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F069D" w14:textId="77777777" w:rsidR="00F601BF" w:rsidRPr="009C7575" w:rsidRDefault="009C7575" w:rsidP="00317181">
      <w:pPr>
        <w:rPr>
          <w:sz w:val="20"/>
          <w:lang w:val="en-US"/>
        </w:rPr>
      </w:pPr>
      <w:r w:rsidRPr="009C7575">
        <w:rPr>
          <w:sz w:val="20"/>
          <w:lang w:val="en-US"/>
        </w:rPr>
        <w:t>Our ref: BNE3414954</w:t>
      </w:r>
    </w:p>
    <w:p w14:paraId="318D8715" w14:textId="77777777" w:rsidR="009C7575" w:rsidRDefault="009C7575" w:rsidP="00317181">
      <w:pPr>
        <w:rPr>
          <w:sz w:val="24"/>
          <w:szCs w:val="24"/>
          <w:lang w:val="en-US"/>
        </w:rPr>
      </w:pPr>
    </w:p>
    <w:p w14:paraId="1D840680" w14:textId="27DEFA7F" w:rsidR="009C7575" w:rsidRDefault="00907EE5" w:rsidP="009C7575">
      <w:pPr>
        <w:spacing w:after="240"/>
        <w:rPr>
          <w:sz w:val="24"/>
          <w:szCs w:val="24"/>
          <w:lang w:val="en-US"/>
        </w:rPr>
      </w:pPr>
      <w:r>
        <w:rPr>
          <w:sz w:val="24"/>
          <w:szCs w:val="24"/>
          <w:lang w:val="en-US"/>
        </w:rPr>
        <w:t>15</w:t>
      </w:r>
      <w:r w:rsidR="009C7575">
        <w:rPr>
          <w:sz w:val="24"/>
          <w:szCs w:val="24"/>
          <w:lang w:val="en-US"/>
        </w:rPr>
        <w:t xml:space="preserve"> April 2019</w:t>
      </w:r>
    </w:p>
    <w:p w14:paraId="6CFA161E" w14:textId="77777777" w:rsidR="009C7575" w:rsidRDefault="009C7575" w:rsidP="009C7575">
      <w:pPr>
        <w:spacing w:before="0" w:after="0"/>
        <w:rPr>
          <w:sz w:val="24"/>
          <w:szCs w:val="24"/>
          <w:lang w:val="en-US"/>
        </w:rPr>
      </w:pPr>
      <w:r>
        <w:rPr>
          <w:sz w:val="24"/>
          <w:szCs w:val="24"/>
          <w:lang w:val="en-US"/>
        </w:rPr>
        <w:t>Committee Secretary</w:t>
      </w:r>
    </w:p>
    <w:p w14:paraId="512F70E3" w14:textId="77777777" w:rsidR="009C7575" w:rsidRDefault="009C7575" w:rsidP="009C7575">
      <w:pPr>
        <w:spacing w:before="0" w:after="0"/>
        <w:rPr>
          <w:sz w:val="24"/>
          <w:szCs w:val="24"/>
          <w:lang w:val="en-US"/>
        </w:rPr>
      </w:pPr>
      <w:r>
        <w:rPr>
          <w:sz w:val="24"/>
          <w:szCs w:val="24"/>
          <w:lang w:val="en-US"/>
        </w:rPr>
        <w:t>Health Committee</w:t>
      </w:r>
    </w:p>
    <w:p w14:paraId="240A9533" w14:textId="37EBFF5E" w:rsidR="009C7575" w:rsidRDefault="009C7575" w:rsidP="009C7575">
      <w:pPr>
        <w:spacing w:before="0" w:after="0"/>
        <w:rPr>
          <w:sz w:val="24"/>
          <w:szCs w:val="24"/>
          <w:lang w:val="en-US"/>
        </w:rPr>
      </w:pPr>
      <w:r>
        <w:rPr>
          <w:sz w:val="24"/>
          <w:szCs w:val="24"/>
          <w:lang w:val="en-US"/>
        </w:rPr>
        <w:t>PARLIAMENT HOUS</w:t>
      </w:r>
      <w:r w:rsidR="00907EE5">
        <w:rPr>
          <w:sz w:val="24"/>
          <w:szCs w:val="24"/>
          <w:lang w:val="en-US"/>
        </w:rPr>
        <w:t>E</w:t>
      </w:r>
      <w:r>
        <w:rPr>
          <w:sz w:val="24"/>
          <w:szCs w:val="24"/>
          <w:lang w:val="en-US"/>
        </w:rPr>
        <w:t xml:space="preserve"> QLD 4000</w:t>
      </w:r>
    </w:p>
    <w:p w14:paraId="450A8C1C" w14:textId="77777777" w:rsidR="009C7575" w:rsidRDefault="009C7575" w:rsidP="009C7575">
      <w:pPr>
        <w:spacing w:before="0" w:after="0"/>
        <w:rPr>
          <w:sz w:val="24"/>
          <w:szCs w:val="24"/>
          <w:lang w:val="en-US"/>
        </w:rPr>
      </w:pPr>
    </w:p>
    <w:p w14:paraId="40ADEC0F" w14:textId="77777777" w:rsidR="009C7575" w:rsidRPr="009C7575" w:rsidRDefault="009C7575" w:rsidP="009C7575">
      <w:pPr>
        <w:spacing w:before="0" w:after="0"/>
        <w:rPr>
          <w:b/>
          <w:i/>
          <w:sz w:val="24"/>
          <w:szCs w:val="24"/>
          <w:lang w:val="en-US"/>
        </w:rPr>
      </w:pPr>
      <w:r w:rsidRPr="009C7575">
        <w:rPr>
          <w:b/>
          <w:i/>
          <w:sz w:val="24"/>
          <w:szCs w:val="24"/>
          <w:lang w:val="en-US"/>
        </w:rPr>
        <w:t xml:space="preserve">By email: </w:t>
      </w:r>
      <w:hyperlink r:id="rId8" w:history="1">
        <w:r w:rsidRPr="009C7575">
          <w:rPr>
            <w:rStyle w:val="Hyperlink"/>
            <w:b/>
            <w:i/>
            <w:sz w:val="24"/>
            <w:szCs w:val="24"/>
            <w:lang w:val="en-US"/>
          </w:rPr>
          <w:t>careinquiry@parliament.qld.gov.au</w:t>
        </w:r>
      </w:hyperlink>
      <w:r w:rsidRPr="009C7575">
        <w:rPr>
          <w:b/>
          <w:i/>
          <w:sz w:val="24"/>
          <w:szCs w:val="24"/>
          <w:lang w:val="en-US"/>
        </w:rPr>
        <w:t xml:space="preserve"> </w:t>
      </w:r>
    </w:p>
    <w:p w14:paraId="6B45C5C7" w14:textId="77777777" w:rsidR="009C7575" w:rsidRDefault="009C7575" w:rsidP="009C7575">
      <w:pPr>
        <w:spacing w:before="0" w:after="0"/>
        <w:rPr>
          <w:sz w:val="24"/>
          <w:szCs w:val="24"/>
          <w:lang w:val="en-US"/>
        </w:rPr>
      </w:pPr>
    </w:p>
    <w:p w14:paraId="6EC14453" w14:textId="77777777" w:rsidR="009C7575" w:rsidRDefault="009C7575" w:rsidP="009C7575">
      <w:pPr>
        <w:spacing w:after="240"/>
        <w:rPr>
          <w:sz w:val="24"/>
          <w:szCs w:val="24"/>
          <w:lang w:val="en-US"/>
        </w:rPr>
      </w:pPr>
      <w:r>
        <w:rPr>
          <w:sz w:val="24"/>
          <w:szCs w:val="24"/>
          <w:lang w:val="en-US"/>
        </w:rPr>
        <w:t>Dear Secretary</w:t>
      </w:r>
    </w:p>
    <w:p w14:paraId="076706B0" w14:textId="77777777" w:rsidR="009C7575" w:rsidRPr="009C7575" w:rsidRDefault="009C7575" w:rsidP="009C7575">
      <w:pPr>
        <w:spacing w:after="240"/>
        <w:rPr>
          <w:b/>
          <w:sz w:val="24"/>
          <w:szCs w:val="24"/>
          <w:lang w:val="en-US"/>
        </w:rPr>
      </w:pPr>
      <w:r w:rsidRPr="009C7575">
        <w:rPr>
          <w:b/>
          <w:sz w:val="24"/>
          <w:szCs w:val="24"/>
          <w:lang w:val="en-US"/>
        </w:rPr>
        <w:t>Inquiry into aged care, end-of-life and palliative care, and voluntary assisted dying</w:t>
      </w:r>
    </w:p>
    <w:p w14:paraId="16783C05" w14:textId="77777777" w:rsidR="009C7575" w:rsidRDefault="009C7575" w:rsidP="009C7575">
      <w:pPr>
        <w:spacing w:after="240"/>
        <w:rPr>
          <w:sz w:val="24"/>
          <w:szCs w:val="24"/>
          <w:lang w:val="en-US"/>
        </w:rPr>
      </w:pPr>
      <w:r>
        <w:rPr>
          <w:sz w:val="24"/>
          <w:szCs w:val="24"/>
          <w:lang w:val="en-US"/>
        </w:rPr>
        <w:t>Thank you the opportunity to provide a submission to this inquiry.</w:t>
      </w:r>
      <w:r w:rsidR="003153F4">
        <w:rPr>
          <w:sz w:val="24"/>
          <w:szCs w:val="24"/>
          <w:lang w:val="en-US"/>
        </w:rPr>
        <w:t xml:space="preserve">  The terms of reference include inquiring into the views of the Queensland community and relevant health practitioners on the desirability of supporting voluntary assisted dying, including provisions for it being legislated in Queensland and any necessary safeguards to protect vulnerable persons.</w:t>
      </w:r>
    </w:p>
    <w:p w14:paraId="1DA35A7E" w14:textId="77777777" w:rsidR="003153F4" w:rsidRDefault="003153F4" w:rsidP="009C7575">
      <w:pPr>
        <w:spacing w:after="240"/>
        <w:rPr>
          <w:sz w:val="24"/>
          <w:szCs w:val="24"/>
          <w:lang w:val="en-US"/>
        </w:rPr>
      </w:pPr>
      <w:r>
        <w:rPr>
          <w:sz w:val="24"/>
          <w:szCs w:val="24"/>
          <w:lang w:val="en-US"/>
        </w:rPr>
        <w:t xml:space="preserve">This submission is confined to providing information on human rights </w:t>
      </w:r>
      <w:r w:rsidR="00F44C9A">
        <w:rPr>
          <w:sz w:val="24"/>
          <w:szCs w:val="24"/>
          <w:lang w:val="en-US"/>
        </w:rPr>
        <w:t xml:space="preserve">relevant to </w:t>
      </w:r>
      <w:r>
        <w:rPr>
          <w:sz w:val="24"/>
          <w:szCs w:val="24"/>
          <w:lang w:val="en-US"/>
        </w:rPr>
        <w:t>voluntary assisted dying.</w:t>
      </w:r>
    </w:p>
    <w:p w14:paraId="1ED362FA" w14:textId="77777777" w:rsidR="00F44C9A" w:rsidRDefault="00F44C9A" w:rsidP="009C7575">
      <w:pPr>
        <w:spacing w:after="240"/>
        <w:rPr>
          <w:sz w:val="24"/>
          <w:szCs w:val="24"/>
          <w:lang w:val="en-US"/>
        </w:rPr>
      </w:pPr>
      <w:r>
        <w:rPr>
          <w:sz w:val="24"/>
          <w:szCs w:val="24"/>
          <w:lang w:val="en-US"/>
        </w:rPr>
        <w:t xml:space="preserve">I note that in undertaking the inquiry the Committee is to consider the current legal framework, and relevant reports and materials in other jurisdictions, including the Victorian Government’s inquiry into end-of-life choices, the </w:t>
      </w:r>
      <w:r w:rsidR="00590D66">
        <w:rPr>
          <w:i/>
          <w:sz w:val="24"/>
          <w:szCs w:val="24"/>
          <w:lang w:val="en-US"/>
        </w:rPr>
        <w:t>Voluntary Assisted D</w:t>
      </w:r>
      <w:r>
        <w:rPr>
          <w:i/>
          <w:sz w:val="24"/>
          <w:szCs w:val="24"/>
          <w:lang w:val="en-US"/>
        </w:rPr>
        <w:t xml:space="preserve">ying Act 2017 </w:t>
      </w:r>
      <w:r>
        <w:rPr>
          <w:sz w:val="24"/>
          <w:szCs w:val="24"/>
          <w:lang w:val="en-US"/>
        </w:rPr>
        <w:t>(Vic), and implementation of the associated reforms.</w:t>
      </w:r>
    </w:p>
    <w:p w14:paraId="2E88C413" w14:textId="77777777" w:rsidR="00BC69AB" w:rsidRDefault="00BC69AB" w:rsidP="009C7575">
      <w:pPr>
        <w:spacing w:after="240"/>
        <w:rPr>
          <w:sz w:val="24"/>
          <w:szCs w:val="24"/>
          <w:lang w:val="en-US"/>
        </w:rPr>
      </w:pPr>
      <w:r>
        <w:rPr>
          <w:sz w:val="24"/>
          <w:szCs w:val="24"/>
          <w:lang w:val="en-US"/>
        </w:rPr>
        <w:t xml:space="preserve">The </w:t>
      </w:r>
      <w:r w:rsidR="00CA7FBD">
        <w:rPr>
          <w:sz w:val="24"/>
          <w:szCs w:val="24"/>
          <w:lang w:val="en-US"/>
        </w:rPr>
        <w:t>Issues paper for the inquiry identifies that there is no universally accepted definition of assisted dying or of euthanasia.  For the purpose of this submission, the terms ‘voluntary assisted dying’ and ‘voluntary euthanasia’ are used interchangeably.</w:t>
      </w:r>
    </w:p>
    <w:p w14:paraId="4FD6C9AB" w14:textId="77777777" w:rsidR="00354736" w:rsidRDefault="00354736" w:rsidP="00BC69AB">
      <w:pPr>
        <w:rPr>
          <w:sz w:val="24"/>
          <w:szCs w:val="24"/>
          <w:lang w:val="en-US"/>
        </w:rPr>
      </w:pPr>
      <w:r>
        <w:rPr>
          <w:sz w:val="24"/>
          <w:szCs w:val="24"/>
          <w:lang w:val="en-US"/>
        </w:rPr>
        <w:t xml:space="preserve">A 2016 Issues paper of the Australian Human Rights Commission, </w:t>
      </w:r>
      <w:r>
        <w:rPr>
          <w:i/>
          <w:sz w:val="24"/>
          <w:szCs w:val="24"/>
          <w:lang w:val="en-US"/>
        </w:rPr>
        <w:t>Euthanasia, human rights and the law</w:t>
      </w:r>
      <w:r>
        <w:rPr>
          <w:sz w:val="24"/>
          <w:szCs w:val="24"/>
          <w:lang w:val="en-US"/>
        </w:rPr>
        <w:t>, concludes with a human rights-based analysis of voluntary euthanasia and commentary of the practice informed</w:t>
      </w:r>
      <w:r w:rsidR="00BC69AB">
        <w:rPr>
          <w:sz w:val="24"/>
          <w:szCs w:val="24"/>
          <w:lang w:val="en-US"/>
        </w:rPr>
        <w:t xml:space="preserve"> by human rights prin</w:t>
      </w:r>
      <w:r>
        <w:rPr>
          <w:sz w:val="24"/>
          <w:szCs w:val="24"/>
          <w:lang w:val="en-US"/>
        </w:rPr>
        <w:t>c</w:t>
      </w:r>
      <w:r w:rsidR="00BC69AB">
        <w:rPr>
          <w:sz w:val="24"/>
          <w:szCs w:val="24"/>
          <w:lang w:val="en-US"/>
        </w:rPr>
        <w:t>i</w:t>
      </w:r>
      <w:r>
        <w:rPr>
          <w:sz w:val="24"/>
          <w:szCs w:val="24"/>
          <w:lang w:val="en-US"/>
        </w:rPr>
        <w:t>ples.</w:t>
      </w:r>
      <w:r w:rsidR="00BC69AB">
        <w:rPr>
          <w:sz w:val="24"/>
          <w:szCs w:val="24"/>
          <w:lang w:val="en-US"/>
        </w:rPr>
        <w:t xml:space="preserve">  The analysis states:</w:t>
      </w:r>
    </w:p>
    <w:p w14:paraId="7E038ADF" w14:textId="77777777" w:rsidR="00BC69AB" w:rsidRPr="00BC69AB" w:rsidRDefault="00BC69AB" w:rsidP="00BC69AB">
      <w:pPr>
        <w:pStyle w:val="Heading2"/>
        <w:shd w:val="clear" w:color="auto" w:fill="FFFFFF"/>
        <w:spacing w:before="0" w:after="120"/>
        <w:ind w:left="720" w:right="595"/>
        <w:rPr>
          <w:rFonts w:ascii="Arial" w:hAnsi="Arial" w:cs="Arial"/>
          <w:color w:val="333333"/>
          <w:sz w:val="22"/>
          <w:szCs w:val="22"/>
        </w:rPr>
      </w:pPr>
      <w:r w:rsidRPr="00BC69AB">
        <w:rPr>
          <w:rStyle w:val="Strong"/>
          <w:rFonts w:ascii="Arial" w:hAnsi="Arial" w:cs="Arial"/>
          <w:color w:val="333333"/>
          <w:sz w:val="22"/>
          <w:szCs w:val="22"/>
        </w:rPr>
        <w:t>6 Analysis</w:t>
      </w:r>
    </w:p>
    <w:p w14:paraId="68F38079" w14:textId="77777777" w:rsidR="00BC69AB" w:rsidRPr="00BC69AB" w:rsidRDefault="00BC69AB" w:rsidP="00BC69AB">
      <w:pPr>
        <w:pStyle w:val="NormalWeb"/>
        <w:shd w:val="clear" w:color="auto" w:fill="FFFFFF"/>
        <w:spacing w:before="0" w:beforeAutospacing="0" w:after="180" w:afterAutospacing="0"/>
        <w:ind w:left="720" w:right="593"/>
        <w:rPr>
          <w:rFonts w:ascii="Arial" w:hAnsi="Arial" w:cs="Arial"/>
          <w:color w:val="000000"/>
          <w:sz w:val="22"/>
          <w:szCs w:val="22"/>
        </w:rPr>
      </w:pPr>
      <w:r w:rsidRPr="00BC69AB">
        <w:rPr>
          <w:rFonts w:ascii="Arial" w:hAnsi="Arial" w:cs="Arial"/>
          <w:color w:val="000000"/>
          <w:sz w:val="22"/>
          <w:szCs w:val="22"/>
        </w:rPr>
        <w:t>An analysis of international human rights law relevant to the practice of voluntary euthanasia does not lead to ‘the’ answer. Rather it reveals a balancing of rights, the appropriate balance of which may be subject to competing views.</w:t>
      </w:r>
    </w:p>
    <w:p w14:paraId="60949EB6" w14:textId="77777777" w:rsidR="00BC69AB" w:rsidRPr="00BC69AB" w:rsidRDefault="00BC69AB" w:rsidP="00BC69AB">
      <w:pPr>
        <w:pStyle w:val="NormalWeb"/>
        <w:shd w:val="clear" w:color="auto" w:fill="FFFFFF"/>
        <w:spacing w:before="0" w:beforeAutospacing="0" w:after="180" w:afterAutospacing="0"/>
        <w:ind w:left="720" w:right="595"/>
        <w:rPr>
          <w:rFonts w:ascii="Arial" w:hAnsi="Arial" w:cs="Arial"/>
          <w:color w:val="000000"/>
          <w:sz w:val="22"/>
          <w:szCs w:val="22"/>
        </w:rPr>
      </w:pPr>
      <w:r w:rsidRPr="00BC69AB">
        <w:rPr>
          <w:rFonts w:ascii="Arial" w:hAnsi="Arial" w:cs="Arial"/>
          <w:color w:val="000000"/>
          <w:sz w:val="22"/>
          <w:szCs w:val="22"/>
        </w:rPr>
        <w:lastRenderedPageBreak/>
        <w:t>The right to life does not (as a corollary) include a right to choose to die. But nor does it require a State to ensure that a person’s life is protected when this is against the express wishes of that person. In the case of a request for voluntary euthanasia, the State’s obligation to protect life must be balanced against the right to personal autonomy which is contained within the right to privacy.</w:t>
      </w:r>
    </w:p>
    <w:p w14:paraId="40999684" w14:textId="77777777" w:rsidR="00BC69AB" w:rsidRPr="00BC69AB" w:rsidRDefault="00BC69AB" w:rsidP="00BC69AB">
      <w:pPr>
        <w:pStyle w:val="NormalWeb"/>
        <w:shd w:val="clear" w:color="auto" w:fill="FFFFFF"/>
        <w:spacing w:before="0" w:beforeAutospacing="0" w:after="180" w:afterAutospacing="0"/>
        <w:ind w:left="720" w:right="595"/>
        <w:rPr>
          <w:rFonts w:ascii="Arial" w:hAnsi="Arial" w:cs="Arial"/>
          <w:color w:val="000000"/>
          <w:sz w:val="22"/>
          <w:szCs w:val="22"/>
        </w:rPr>
      </w:pPr>
      <w:r w:rsidRPr="00BC69AB">
        <w:rPr>
          <w:rFonts w:ascii="Arial" w:hAnsi="Arial" w:cs="Arial"/>
          <w:color w:val="000000"/>
          <w:sz w:val="22"/>
          <w:szCs w:val="22"/>
        </w:rPr>
        <w:t>Laws prohibiting access to voluntary euthanasia may interfere with the right to respect for private life as guaranteed under article 17 of the ICCPR, and as such need to be able to be justified as a legitimate limitation of that right.</w:t>
      </w:r>
    </w:p>
    <w:p w14:paraId="5F301D18" w14:textId="77777777" w:rsidR="00BC69AB" w:rsidRPr="00BC69AB" w:rsidRDefault="00BC69AB" w:rsidP="00BC69AB">
      <w:pPr>
        <w:pStyle w:val="NormalWeb"/>
        <w:shd w:val="clear" w:color="auto" w:fill="FFFFFF"/>
        <w:spacing w:before="0" w:beforeAutospacing="0" w:after="180" w:afterAutospacing="0"/>
        <w:ind w:left="720" w:right="595"/>
        <w:rPr>
          <w:rFonts w:ascii="Arial" w:hAnsi="Arial" w:cs="Arial"/>
          <w:color w:val="000000"/>
          <w:sz w:val="22"/>
          <w:szCs w:val="22"/>
        </w:rPr>
      </w:pPr>
      <w:r w:rsidRPr="00BC69AB">
        <w:rPr>
          <w:rFonts w:ascii="Arial" w:hAnsi="Arial" w:cs="Arial"/>
          <w:color w:val="000000"/>
          <w:sz w:val="22"/>
          <w:szCs w:val="22"/>
        </w:rPr>
        <w:t>In relation to access to passive euthanasia, it is important to note that to subject a person to medical treatment against their will or without their consent may violate their physical integrity and breach their rights under article 17 (and possibly article 7) of the ICCPR.</w:t>
      </w:r>
    </w:p>
    <w:p w14:paraId="53D90513" w14:textId="77777777" w:rsidR="00BC69AB" w:rsidRPr="00BC69AB" w:rsidRDefault="00BC69AB" w:rsidP="00BC69AB">
      <w:pPr>
        <w:pStyle w:val="NormalWeb"/>
        <w:shd w:val="clear" w:color="auto" w:fill="FFFFFF"/>
        <w:spacing w:before="0" w:beforeAutospacing="0" w:after="180" w:afterAutospacing="0"/>
        <w:ind w:left="720" w:right="595"/>
        <w:rPr>
          <w:rFonts w:ascii="Arial" w:hAnsi="Arial" w:cs="Arial"/>
          <w:color w:val="000000"/>
          <w:sz w:val="22"/>
          <w:szCs w:val="22"/>
        </w:rPr>
      </w:pPr>
      <w:r w:rsidRPr="00BC69AB">
        <w:rPr>
          <w:rFonts w:ascii="Arial" w:hAnsi="Arial" w:cs="Arial"/>
          <w:color w:val="000000"/>
          <w:sz w:val="22"/>
          <w:szCs w:val="22"/>
        </w:rPr>
        <w:t>Further, the Disability Convention makes clear that people with disability are entitled to the same respect for their rights to life, health, physical integrity and personal autonomy as people without disability.</w:t>
      </w:r>
    </w:p>
    <w:p w14:paraId="47A47E32" w14:textId="77777777" w:rsidR="00BC69AB" w:rsidRPr="00BC69AB" w:rsidRDefault="00BC69AB" w:rsidP="00BC69AB">
      <w:pPr>
        <w:pStyle w:val="NormalWeb"/>
        <w:shd w:val="clear" w:color="auto" w:fill="FFFFFF"/>
        <w:spacing w:before="0" w:beforeAutospacing="0" w:after="180" w:afterAutospacing="0"/>
        <w:ind w:left="720" w:right="595"/>
        <w:rPr>
          <w:rFonts w:ascii="Arial" w:hAnsi="Arial" w:cs="Arial"/>
          <w:color w:val="000000"/>
          <w:sz w:val="22"/>
          <w:szCs w:val="22"/>
        </w:rPr>
      </w:pPr>
      <w:r w:rsidRPr="00BC69AB">
        <w:rPr>
          <w:rFonts w:ascii="Arial" w:hAnsi="Arial" w:cs="Arial"/>
          <w:color w:val="000000"/>
          <w:sz w:val="22"/>
          <w:szCs w:val="22"/>
        </w:rPr>
        <w:t>If a State does choose to legalise voluntary euthanasia, article 6 of the ICCPR requires that the legislation includes strict and effective safeguards against abuse. In order to be compatible with the right to freedom of thought, conscience and belief, such laws may need to include an appropriately worded ‘conscientious objection’ provision.</w:t>
      </w:r>
    </w:p>
    <w:p w14:paraId="0C8A2B45" w14:textId="77777777" w:rsidR="00BC69AB" w:rsidRPr="00BC69AB" w:rsidRDefault="00BC69AB" w:rsidP="00BC69AB">
      <w:pPr>
        <w:pStyle w:val="NormalWeb"/>
        <w:shd w:val="clear" w:color="auto" w:fill="FFFFFF"/>
        <w:spacing w:before="0" w:beforeAutospacing="0" w:after="240" w:afterAutospacing="0"/>
        <w:ind w:left="720" w:right="595"/>
        <w:rPr>
          <w:sz w:val="22"/>
          <w:szCs w:val="22"/>
          <w:lang w:val="en-US"/>
        </w:rPr>
      </w:pPr>
      <w:r w:rsidRPr="00BC69AB">
        <w:rPr>
          <w:rFonts w:ascii="Arial" w:hAnsi="Arial" w:cs="Arial"/>
          <w:color w:val="000000"/>
          <w:sz w:val="22"/>
          <w:szCs w:val="22"/>
        </w:rPr>
        <w:t>The analysis suggests that there is no one identifiable right that necessarily requires the legalisation of voluntary euthanasia, nor is there one identifiable right that prevents its legalisation, provided stringent safeguards are instituted. It would seem from a human rights perspective, the option exists to support legalisation of voluntary euthanasia practices provided that sufficient safeguards are put in place to prevent ‘arbitrary’ (including discriminatory) deprivations of life.</w:t>
      </w:r>
    </w:p>
    <w:p w14:paraId="2BAAA725" w14:textId="77777777" w:rsidR="00BC69AB" w:rsidRDefault="00CA7FBD" w:rsidP="00D73C9A">
      <w:pPr>
        <w:rPr>
          <w:sz w:val="24"/>
          <w:szCs w:val="24"/>
          <w:lang w:val="en-US"/>
        </w:rPr>
      </w:pPr>
      <w:r>
        <w:rPr>
          <w:sz w:val="24"/>
          <w:szCs w:val="24"/>
          <w:lang w:val="en-US"/>
        </w:rPr>
        <w:t xml:space="preserve">The AHRC Issues paper identified that the following rights under the </w:t>
      </w:r>
      <w:r>
        <w:rPr>
          <w:i/>
          <w:sz w:val="24"/>
          <w:szCs w:val="24"/>
          <w:lang w:val="en-US"/>
        </w:rPr>
        <w:t xml:space="preserve">International Covenant on Civil and Political Rights </w:t>
      </w:r>
      <w:r>
        <w:rPr>
          <w:sz w:val="24"/>
          <w:szCs w:val="24"/>
          <w:lang w:val="en-US"/>
        </w:rPr>
        <w:t>(ICCPR) may be engaged by the practice of voluntary euthanasia:</w:t>
      </w:r>
    </w:p>
    <w:p w14:paraId="4CDB0F4E" w14:textId="77777777" w:rsidR="00CA7FBD" w:rsidRDefault="00CA7FBD" w:rsidP="007D76D2">
      <w:pPr>
        <w:pStyle w:val="ListParagraph"/>
        <w:numPr>
          <w:ilvl w:val="0"/>
          <w:numId w:val="3"/>
        </w:numPr>
        <w:spacing w:after="120"/>
        <w:ind w:left="714" w:hanging="357"/>
        <w:contextualSpacing w:val="0"/>
        <w:rPr>
          <w:rFonts w:ascii="Arial" w:hAnsi="Arial" w:cs="Arial"/>
          <w:sz w:val="24"/>
          <w:szCs w:val="24"/>
          <w:lang w:val="en-US"/>
        </w:rPr>
      </w:pPr>
      <w:r>
        <w:rPr>
          <w:rFonts w:ascii="Arial" w:hAnsi="Arial" w:cs="Arial"/>
          <w:sz w:val="24"/>
          <w:szCs w:val="24"/>
          <w:lang w:val="en-US"/>
        </w:rPr>
        <w:t>right to life (article 6)</w:t>
      </w:r>
    </w:p>
    <w:p w14:paraId="0AE70D83" w14:textId="77777777" w:rsidR="00CA7FBD" w:rsidRDefault="00CA7FBD" w:rsidP="007D76D2">
      <w:pPr>
        <w:pStyle w:val="ListParagraph"/>
        <w:numPr>
          <w:ilvl w:val="0"/>
          <w:numId w:val="3"/>
        </w:numPr>
        <w:spacing w:after="120"/>
        <w:ind w:left="714" w:hanging="357"/>
        <w:contextualSpacing w:val="0"/>
        <w:rPr>
          <w:rFonts w:ascii="Arial" w:hAnsi="Arial" w:cs="Arial"/>
          <w:sz w:val="24"/>
          <w:szCs w:val="24"/>
          <w:lang w:val="en-US"/>
        </w:rPr>
      </w:pPr>
      <w:r>
        <w:rPr>
          <w:rFonts w:ascii="Arial" w:hAnsi="Arial" w:cs="Arial"/>
          <w:sz w:val="24"/>
          <w:szCs w:val="24"/>
          <w:lang w:val="en-US"/>
        </w:rPr>
        <w:t>freedom from cruel, inhuman or degrading treatment (article 7)</w:t>
      </w:r>
    </w:p>
    <w:p w14:paraId="5CFE1CD3" w14:textId="77777777" w:rsidR="00CA7FBD" w:rsidRDefault="00CA7FBD" w:rsidP="007D76D2">
      <w:pPr>
        <w:pStyle w:val="ListParagraph"/>
        <w:numPr>
          <w:ilvl w:val="0"/>
          <w:numId w:val="3"/>
        </w:numPr>
        <w:spacing w:after="120"/>
        <w:ind w:left="714" w:hanging="357"/>
        <w:contextualSpacing w:val="0"/>
        <w:rPr>
          <w:rFonts w:ascii="Arial" w:hAnsi="Arial" w:cs="Arial"/>
          <w:sz w:val="24"/>
          <w:szCs w:val="24"/>
          <w:lang w:val="en-US"/>
        </w:rPr>
      </w:pPr>
      <w:r>
        <w:rPr>
          <w:rFonts w:ascii="Arial" w:hAnsi="Arial" w:cs="Arial"/>
          <w:sz w:val="24"/>
          <w:szCs w:val="24"/>
          <w:lang w:val="en-US"/>
        </w:rPr>
        <w:t>right to respect for private life (article 17)</w:t>
      </w:r>
    </w:p>
    <w:p w14:paraId="1BA4BA5F" w14:textId="77777777" w:rsidR="00CA7FBD" w:rsidRDefault="00CA7FBD" w:rsidP="007D76D2">
      <w:pPr>
        <w:pStyle w:val="ListParagraph"/>
        <w:numPr>
          <w:ilvl w:val="0"/>
          <w:numId w:val="3"/>
        </w:numPr>
        <w:spacing w:after="240"/>
        <w:ind w:left="714" w:hanging="357"/>
        <w:contextualSpacing w:val="0"/>
        <w:rPr>
          <w:rFonts w:ascii="Arial" w:hAnsi="Arial" w:cs="Arial"/>
          <w:sz w:val="24"/>
          <w:szCs w:val="24"/>
          <w:lang w:val="en-US"/>
        </w:rPr>
      </w:pPr>
      <w:r>
        <w:rPr>
          <w:rFonts w:ascii="Arial" w:hAnsi="Arial" w:cs="Arial"/>
          <w:sz w:val="24"/>
          <w:szCs w:val="24"/>
          <w:lang w:val="en-US"/>
        </w:rPr>
        <w:t>freedom of thought, conscience and religion (article 18).</w:t>
      </w:r>
    </w:p>
    <w:p w14:paraId="198EA1AF" w14:textId="421D20BA" w:rsidR="00CA7FBD" w:rsidRDefault="00CA7FBD" w:rsidP="00CA7FBD">
      <w:pPr>
        <w:spacing w:after="240"/>
        <w:rPr>
          <w:rFonts w:cs="Arial"/>
          <w:sz w:val="24"/>
          <w:szCs w:val="24"/>
          <w:lang w:val="en-US"/>
        </w:rPr>
      </w:pPr>
      <w:r>
        <w:rPr>
          <w:rFonts w:cs="Arial"/>
          <w:sz w:val="24"/>
          <w:szCs w:val="24"/>
          <w:lang w:val="en-US"/>
        </w:rPr>
        <w:t xml:space="preserve">The </w:t>
      </w:r>
      <w:r>
        <w:rPr>
          <w:rFonts w:cs="Arial"/>
          <w:i/>
          <w:sz w:val="24"/>
          <w:szCs w:val="24"/>
          <w:lang w:val="en-US"/>
        </w:rPr>
        <w:t xml:space="preserve">Convention on the Rights of Persons with Disabilities </w:t>
      </w:r>
      <w:r w:rsidR="008458DA">
        <w:rPr>
          <w:rFonts w:cs="Arial"/>
          <w:sz w:val="24"/>
          <w:szCs w:val="24"/>
          <w:lang w:val="en-US"/>
        </w:rPr>
        <w:t xml:space="preserve">contains </w:t>
      </w:r>
      <w:r w:rsidR="006F7958">
        <w:rPr>
          <w:rFonts w:cs="Arial"/>
          <w:sz w:val="24"/>
          <w:szCs w:val="24"/>
          <w:lang w:val="en-US"/>
        </w:rPr>
        <w:t>specific obligations in relation to people with disability that are also relevant.</w:t>
      </w:r>
    </w:p>
    <w:p w14:paraId="7BBC58CA" w14:textId="77777777" w:rsidR="008458DA" w:rsidRDefault="006F7958" w:rsidP="00CA7FBD">
      <w:pPr>
        <w:spacing w:after="240"/>
        <w:rPr>
          <w:rFonts w:cs="Arial"/>
          <w:sz w:val="24"/>
          <w:szCs w:val="24"/>
          <w:lang w:val="en-US"/>
        </w:rPr>
      </w:pPr>
      <w:r>
        <w:rPr>
          <w:rFonts w:cs="Arial"/>
          <w:sz w:val="24"/>
          <w:szCs w:val="24"/>
          <w:lang w:val="en-US"/>
        </w:rPr>
        <w:t xml:space="preserve">The </w:t>
      </w:r>
      <w:r>
        <w:rPr>
          <w:rFonts w:cs="Arial"/>
          <w:i/>
          <w:sz w:val="24"/>
          <w:szCs w:val="24"/>
          <w:lang w:val="en-US"/>
        </w:rPr>
        <w:t>Human Rights Act 2019</w:t>
      </w:r>
      <w:r>
        <w:rPr>
          <w:rFonts w:cs="Arial"/>
          <w:sz w:val="24"/>
          <w:szCs w:val="24"/>
          <w:lang w:val="en-US"/>
        </w:rPr>
        <w:t>, which is expected to commence on 1 January 2020, primarily protects human rights drawn from the ICCPR</w:t>
      </w:r>
      <w:r w:rsidR="00963A6B">
        <w:rPr>
          <w:rFonts w:cs="Arial"/>
          <w:sz w:val="24"/>
          <w:szCs w:val="24"/>
          <w:lang w:val="en-US"/>
        </w:rPr>
        <w:t xml:space="preserve">, as well as two rights drawn from the </w:t>
      </w:r>
      <w:r w:rsidR="00963A6B">
        <w:rPr>
          <w:rFonts w:cs="Arial"/>
          <w:i/>
          <w:sz w:val="24"/>
          <w:szCs w:val="24"/>
          <w:lang w:val="en-US"/>
        </w:rPr>
        <w:t xml:space="preserve">International Covenant on Economic, Social and Cultural Rights </w:t>
      </w:r>
      <w:r w:rsidR="00963A6B">
        <w:rPr>
          <w:rFonts w:cs="Arial"/>
          <w:sz w:val="24"/>
          <w:szCs w:val="24"/>
          <w:lang w:val="en-US"/>
        </w:rPr>
        <w:t>(ICESCR)</w:t>
      </w:r>
      <w:r w:rsidR="00D73C9A">
        <w:rPr>
          <w:rFonts w:cs="Arial"/>
          <w:sz w:val="24"/>
          <w:szCs w:val="24"/>
          <w:lang w:val="en-US"/>
        </w:rPr>
        <w:t xml:space="preserve">.  </w:t>
      </w:r>
    </w:p>
    <w:p w14:paraId="0FDD81E1" w14:textId="3EB3331B" w:rsidR="006F7958" w:rsidRDefault="00D73C9A" w:rsidP="008458DA">
      <w:pPr>
        <w:rPr>
          <w:rFonts w:cs="Arial"/>
          <w:sz w:val="24"/>
          <w:szCs w:val="24"/>
          <w:lang w:val="en-US"/>
        </w:rPr>
      </w:pPr>
      <w:r>
        <w:rPr>
          <w:rFonts w:cs="Arial"/>
          <w:sz w:val="24"/>
          <w:szCs w:val="24"/>
          <w:lang w:val="en-US"/>
        </w:rPr>
        <w:t xml:space="preserve">The following rights under the </w:t>
      </w:r>
      <w:r w:rsidRPr="00D73C9A">
        <w:rPr>
          <w:rFonts w:cs="Arial"/>
          <w:i/>
          <w:sz w:val="24"/>
          <w:szCs w:val="24"/>
          <w:lang w:val="en-US"/>
        </w:rPr>
        <w:t>Human Rights Act 2019</w:t>
      </w:r>
      <w:r>
        <w:rPr>
          <w:rFonts w:cs="Arial"/>
          <w:sz w:val="24"/>
          <w:szCs w:val="24"/>
          <w:lang w:val="en-US"/>
        </w:rPr>
        <w:t xml:space="preserve"> may be engaged in relation to voluntary assisted dying:</w:t>
      </w:r>
    </w:p>
    <w:p w14:paraId="3FCC5D45" w14:textId="77777777" w:rsidR="002A064E" w:rsidRDefault="002A064E" w:rsidP="007D76D2">
      <w:pPr>
        <w:pStyle w:val="ListParagraph"/>
        <w:numPr>
          <w:ilvl w:val="0"/>
          <w:numId w:val="3"/>
        </w:numPr>
        <w:spacing w:after="120"/>
        <w:ind w:left="714" w:hanging="357"/>
        <w:contextualSpacing w:val="0"/>
        <w:rPr>
          <w:rFonts w:ascii="Arial" w:hAnsi="Arial" w:cs="Arial"/>
          <w:sz w:val="24"/>
          <w:szCs w:val="24"/>
          <w:lang w:val="en-US"/>
        </w:rPr>
      </w:pPr>
      <w:r>
        <w:rPr>
          <w:rFonts w:ascii="Arial" w:hAnsi="Arial" w:cs="Arial"/>
          <w:sz w:val="24"/>
          <w:szCs w:val="24"/>
          <w:lang w:val="en-US"/>
        </w:rPr>
        <w:lastRenderedPageBreak/>
        <w:t>recognition and equality before the law (section 15) – drawn from articles 16 and 26 of the ICCPR</w:t>
      </w:r>
    </w:p>
    <w:p w14:paraId="1E22F350" w14:textId="77777777" w:rsidR="00D73C9A" w:rsidRDefault="00D73C9A" w:rsidP="007D76D2">
      <w:pPr>
        <w:pStyle w:val="ListParagraph"/>
        <w:numPr>
          <w:ilvl w:val="0"/>
          <w:numId w:val="3"/>
        </w:numPr>
        <w:spacing w:after="120"/>
        <w:ind w:left="714" w:hanging="357"/>
        <w:contextualSpacing w:val="0"/>
        <w:rPr>
          <w:rFonts w:ascii="Arial" w:hAnsi="Arial" w:cs="Arial"/>
          <w:sz w:val="24"/>
          <w:szCs w:val="24"/>
          <w:lang w:val="en-US"/>
        </w:rPr>
      </w:pPr>
      <w:r w:rsidRPr="00D73C9A">
        <w:rPr>
          <w:rFonts w:ascii="Arial" w:hAnsi="Arial" w:cs="Arial"/>
          <w:sz w:val="24"/>
          <w:szCs w:val="24"/>
          <w:lang w:val="en-US"/>
        </w:rPr>
        <w:t xml:space="preserve">right to </w:t>
      </w:r>
      <w:r>
        <w:rPr>
          <w:rFonts w:ascii="Arial" w:hAnsi="Arial" w:cs="Arial"/>
          <w:sz w:val="24"/>
          <w:szCs w:val="24"/>
          <w:lang w:val="en-US"/>
        </w:rPr>
        <w:t>life (section 16) – drawn from article 6(1) of the ICCPR</w:t>
      </w:r>
    </w:p>
    <w:p w14:paraId="3DDD1656" w14:textId="77777777" w:rsidR="00D73C9A" w:rsidRDefault="00D73C9A" w:rsidP="007D76D2">
      <w:pPr>
        <w:pStyle w:val="ListParagraph"/>
        <w:numPr>
          <w:ilvl w:val="0"/>
          <w:numId w:val="3"/>
        </w:numPr>
        <w:spacing w:after="120"/>
        <w:ind w:left="714" w:hanging="357"/>
        <w:contextualSpacing w:val="0"/>
        <w:rPr>
          <w:rFonts w:ascii="Arial" w:hAnsi="Arial" w:cs="Arial"/>
          <w:sz w:val="24"/>
          <w:szCs w:val="24"/>
          <w:lang w:val="en-US"/>
        </w:rPr>
      </w:pPr>
      <w:r>
        <w:rPr>
          <w:rFonts w:ascii="Arial" w:hAnsi="Arial" w:cs="Arial"/>
          <w:sz w:val="24"/>
          <w:szCs w:val="24"/>
          <w:lang w:val="en-US"/>
        </w:rPr>
        <w:t>protection from torture and cruel, inhuman or degrading treatment (section 17) – drawn from article 7 of the ICCPR</w:t>
      </w:r>
    </w:p>
    <w:p w14:paraId="65AEA5A6" w14:textId="77777777" w:rsidR="00D73C9A" w:rsidRDefault="00D73C9A" w:rsidP="007D76D2">
      <w:pPr>
        <w:pStyle w:val="ListParagraph"/>
        <w:numPr>
          <w:ilvl w:val="0"/>
          <w:numId w:val="3"/>
        </w:numPr>
        <w:spacing w:after="120"/>
        <w:ind w:left="714" w:hanging="357"/>
        <w:contextualSpacing w:val="0"/>
        <w:rPr>
          <w:rFonts w:ascii="Arial" w:hAnsi="Arial" w:cs="Arial"/>
          <w:sz w:val="24"/>
          <w:szCs w:val="24"/>
          <w:lang w:val="en-US"/>
        </w:rPr>
      </w:pPr>
      <w:r>
        <w:rPr>
          <w:rFonts w:ascii="Arial" w:hAnsi="Arial" w:cs="Arial"/>
          <w:sz w:val="24"/>
          <w:szCs w:val="24"/>
          <w:lang w:val="en-US"/>
        </w:rPr>
        <w:t>freedom of thought, conscience, religion and belief (section 20) – drawn from article18 of the ICCPR</w:t>
      </w:r>
    </w:p>
    <w:p w14:paraId="7815CB49" w14:textId="77777777" w:rsidR="00D73C9A" w:rsidRDefault="00D73C9A" w:rsidP="007D76D2">
      <w:pPr>
        <w:pStyle w:val="ListParagraph"/>
        <w:numPr>
          <w:ilvl w:val="0"/>
          <w:numId w:val="3"/>
        </w:numPr>
        <w:spacing w:after="120"/>
        <w:ind w:left="714" w:hanging="357"/>
        <w:contextualSpacing w:val="0"/>
        <w:rPr>
          <w:rFonts w:ascii="Arial" w:hAnsi="Arial" w:cs="Arial"/>
          <w:sz w:val="24"/>
          <w:szCs w:val="24"/>
          <w:lang w:val="en-US"/>
        </w:rPr>
      </w:pPr>
      <w:r>
        <w:rPr>
          <w:rFonts w:ascii="Arial" w:hAnsi="Arial" w:cs="Arial"/>
          <w:sz w:val="24"/>
          <w:szCs w:val="24"/>
          <w:lang w:val="en-US"/>
        </w:rPr>
        <w:t>freedom of expression (section 21) – drawn from article 19 of the ICCPR</w:t>
      </w:r>
    </w:p>
    <w:p w14:paraId="7724A4A1" w14:textId="77777777" w:rsidR="00D73C9A" w:rsidRDefault="00D73C9A" w:rsidP="007D76D2">
      <w:pPr>
        <w:pStyle w:val="ListParagraph"/>
        <w:numPr>
          <w:ilvl w:val="0"/>
          <w:numId w:val="3"/>
        </w:numPr>
        <w:spacing w:after="120"/>
        <w:ind w:left="714" w:hanging="357"/>
        <w:contextualSpacing w:val="0"/>
        <w:rPr>
          <w:rFonts w:ascii="Arial" w:hAnsi="Arial" w:cs="Arial"/>
          <w:sz w:val="24"/>
          <w:szCs w:val="24"/>
          <w:lang w:val="en-US"/>
        </w:rPr>
      </w:pPr>
      <w:r>
        <w:rPr>
          <w:rFonts w:ascii="Arial" w:hAnsi="Arial" w:cs="Arial"/>
          <w:sz w:val="24"/>
          <w:szCs w:val="24"/>
          <w:lang w:val="en-US"/>
        </w:rPr>
        <w:t>privacy and reputation (section 24) – drawn from article 17 of the ICCPR</w:t>
      </w:r>
    </w:p>
    <w:p w14:paraId="53CCB118" w14:textId="77777777" w:rsidR="00D73C9A" w:rsidRDefault="00D73C9A" w:rsidP="007D76D2">
      <w:pPr>
        <w:pStyle w:val="ListParagraph"/>
        <w:numPr>
          <w:ilvl w:val="0"/>
          <w:numId w:val="3"/>
        </w:numPr>
        <w:spacing w:after="120"/>
        <w:ind w:left="714" w:hanging="357"/>
        <w:contextualSpacing w:val="0"/>
        <w:rPr>
          <w:rFonts w:ascii="Arial" w:hAnsi="Arial" w:cs="Arial"/>
          <w:sz w:val="24"/>
          <w:szCs w:val="24"/>
          <w:lang w:val="en-US"/>
        </w:rPr>
      </w:pPr>
      <w:r>
        <w:rPr>
          <w:rFonts w:ascii="Arial" w:hAnsi="Arial" w:cs="Arial"/>
          <w:sz w:val="24"/>
          <w:szCs w:val="24"/>
          <w:lang w:val="en-US"/>
        </w:rPr>
        <w:t>protection of families and children (section 26) – drawn from article</w:t>
      </w:r>
      <w:r w:rsidR="00963A6B">
        <w:rPr>
          <w:rFonts w:ascii="Arial" w:hAnsi="Arial" w:cs="Arial"/>
          <w:sz w:val="24"/>
          <w:szCs w:val="24"/>
          <w:lang w:val="en-US"/>
        </w:rPr>
        <w:t>s 23(1), 24(1) and 24(2) of the ICCPR</w:t>
      </w:r>
      <w:r>
        <w:rPr>
          <w:rFonts w:ascii="Arial" w:hAnsi="Arial" w:cs="Arial"/>
          <w:sz w:val="24"/>
          <w:szCs w:val="24"/>
          <w:lang w:val="en-US"/>
        </w:rPr>
        <w:t xml:space="preserve"> </w:t>
      </w:r>
    </w:p>
    <w:p w14:paraId="6EB2C241" w14:textId="77777777" w:rsidR="00963A6B" w:rsidRPr="00D73C9A" w:rsidRDefault="00963A6B" w:rsidP="007D76D2">
      <w:pPr>
        <w:pStyle w:val="ListParagraph"/>
        <w:numPr>
          <w:ilvl w:val="0"/>
          <w:numId w:val="3"/>
        </w:numPr>
        <w:spacing w:after="240"/>
        <w:ind w:left="714" w:hanging="357"/>
        <w:contextualSpacing w:val="0"/>
        <w:rPr>
          <w:rFonts w:ascii="Arial" w:hAnsi="Arial" w:cs="Arial"/>
          <w:sz w:val="24"/>
          <w:szCs w:val="24"/>
          <w:lang w:val="en-US"/>
        </w:rPr>
      </w:pPr>
      <w:r>
        <w:rPr>
          <w:rFonts w:ascii="Arial" w:hAnsi="Arial" w:cs="Arial"/>
          <w:sz w:val="24"/>
          <w:szCs w:val="24"/>
          <w:lang w:val="en-US"/>
        </w:rPr>
        <w:t>right to health services (section 37) – drawn from article 12 of the ICESCR.</w:t>
      </w:r>
    </w:p>
    <w:p w14:paraId="5AD31DF7" w14:textId="77777777" w:rsidR="00CA7FBD" w:rsidRDefault="007D76D2" w:rsidP="009C7575">
      <w:pPr>
        <w:spacing w:after="240"/>
        <w:rPr>
          <w:sz w:val="24"/>
          <w:szCs w:val="24"/>
          <w:lang w:val="en-US"/>
        </w:rPr>
      </w:pPr>
      <w:r>
        <w:rPr>
          <w:sz w:val="24"/>
          <w:szCs w:val="24"/>
          <w:lang w:val="en-US"/>
        </w:rPr>
        <w:t>The Victorian Scrutiny of Acts and Regulations Committee conducted a ‘Charter Analysis’</w:t>
      </w:r>
      <w:r>
        <w:rPr>
          <w:rStyle w:val="FootnoteReference"/>
          <w:sz w:val="24"/>
          <w:szCs w:val="24"/>
          <w:lang w:val="en-US"/>
        </w:rPr>
        <w:footnoteReference w:id="1"/>
      </w:r>
      <w:r>
        <w:rPr>
          <w:sz w:val="24"/>
          <w:szCs w:val="24"/>
          <w:lang w:val="en-US"/>
        </w:rPr>
        <w:t xml:space="preserve"> of the Voluntary Assisted Dying Bill 2017, which has since become an Act in Victoria.  </w:t>
      </w:r>
      <w:r w:rsidR="006D2D06">
        <w:rPr>
          <w:sz w:val="24"/>
          <w:szCs w:val="24"/>
          <w:lang w:val="en-US"/>
        </w:rPr>
        <w:t xml:space="preserve">The analysis involved consideration of similar rights in the Charter to those identified above.  </w:t>
      </w:r>
      <w:r>
        <w:rPr>
          <w:sz w:val="24"/>
          <w:szCs w:val="24"/>
          <w:lang w:val="en-US"/>
        </w:rPr>
        <w:t>That Committee made the following observations and comments on the Bill:</w:t>
      </w:r>
    </w:p>
    <w:p w14:paraId="70316B5D" w14:textId="15A77F1C" w:rsidR="007D76D2" w:rsidRPr="008458DA" w:rsidRDefault="00746018" w:rsidP="00134DC7">
      <w:pPr>
        <w:pStyle w:val="ListParagraph"/>
        <w:numPr>
          <w:ilvl w:val="0"/>
          <w:numId w:val="3"/>
        </w:numPr>
        <w:spacing w:after="120" w:line="240" w:lineRule="auto"/>
        <w:ind w:left="714" w:hanging="357"/>
        <w:contextualSpacing w:val="0"/>
        <w:rPr>
          <w:rFonts w:ascii="Arial" w:hAnsi="Arial" w:cs="Arial"/>
          <w:sz w:val="24"/>
          <w:szCs w:val="24"/>
        </w:rPr>
      </w:pPr>
      <w:r>
        <w:rPr>
          <w:rFonts w:ascii="Arial" w:hAnsi="Arial" w:cs="Arial"/>
          <w:sz w:val="24"/>
          <w:szCs w:val="24"/>
        </w:rPr>
        <w:t>A</w:t>
      </w:r>
      <w:r w:rsidR="007D76D2" w:rsidRPr="008458DA">
        <w:rPr>
          <w:rFonts w:ascii="Arial" w:hAnsi="Arial" w:cs="Arial"/>
          <w:sz w:val="24"/>
          <w:szCs w:val="24"/>
        </w:rPr>
        <w:t xml:space="preserve"> </w:t>
      </w:r>
      <w:r w:rsidR="007D76D2" w:rsidRPr="008458DA">
        <w:rPr>
          <w:rFonts w:ascii="Arial" w:hAnsi="Arial" w:cs="Arial"/>
          <w:sz w:val="24"/>
          <w:szCs w:val="24"/>
          <w:lang w:val="en-US"/>
        </w:rPr>
        <w:t>deprivation</w:t>
      </w:r>
      <w:r w:rsidR="007D76D2" w:rsidRPr="008458DA">
        <w:rPr>
          <w:rFonts w:ascii="Arial" w:hAnsi="Arial" w:cs="Arial"/>
          <w:sz w:val="24"/>
          <w:szCs w:val="24"/>
        </w:rPr>
        <w:t xml:space="preserve"> of life by assisted dying may be ‘arbitrary’ if the person’s consent to</w:t>
      </w:r>
      <w:r w:rsidR="00FD145E" w:rsidRPr="008458DA">
        <w:rPr>
          <w:rFonts w:ascii="Arial" w:hAnsi="Arial" w:cs="Arial"/>
          <w:sz w:val="24"/>
          <w:szCs w:val="24"/>
        </w:rPr>
        <w:t xml:space="preserve"> </w:t>
      </w:r>
      <w:r w:rsidR="007D76D2" w:rsidRPr="008458DA">
        <w:rPr>
          <w:rFonts w:ascii="Arial" w:hAnsi="Arial" w:cs="Arial"/>
          <w:sz w:val="24"/>
          <w:szCs w:val="24"/>
        </w:rPr>
        <w:t>voluntary assisted dying is the result of outside pressu</w:t>
      </w:r>
      <w:r>
        <w:rPr>
          <w:rFonts w:ascii="Arial" w:hAnsi="Arial" w:cs="Arial"/>
          <w:sz w:val="24"/>
          <w:szCs w:val="24"/>
        </w:rPr>
        <w:t>re, irrationality or depression.</w:t>
      </w:r>
    </w:p>
    <w:p w14:paraId="57E058A8" w14:textId="4D40635C" w:rsidR="007D76D2" w:rsidRPr="008458DA" w:rsidRDefault="00746018" w:rsidP="00134DC7">
      <w:pPr>
        <w:pStyle w:val="ListParagraph"/>
        <w:numPr>
          <w:ilvl w:val="0"/>
          <w:numId w:val="3"/>
        </w:numPr>
        <w:spacing w:after="120" w:line="240" w:lineRule="auto"/>
        <w:ind w:left="714" w:hanging="357"/>
        <w:contextualSpacing w:val="0"/>
        <w:rPr>
          <w:rFonts w:ascii="Arial" w:hAnsi="Arial" w:cs="Arial"/>
          <w:sz w:val="24"/>
          <w:szCs w:val="24"/>
        </w:rPr>
      </w:pPr>
      <w:r>
        <w:rPr>
          <w:rFonts w:ascii="Arial" w:hAnsi="Arial" w:cs="Arial"/>
          <w:sz w:val="24"/>
          <w:szCs w:val="24"/>
        </w:rPr>
        <w:t>The</w:t>
      </w:r>
      <w:r w:rsidR="007D76D2" w:rsidRPr="008458DA">
        <w:rPr>
          <w:rFonts w:ascii="Arial" w:hAnsi="Arial" w:cs="Arial"/>
          <w:sz w:val="24"/>
          <w:szCs w:val="24"/>
        </w:rPr>
        <w:t xml:space="preserve"> </w:t>
      </w:r>
      <w:r w:rsidR="007D76D2" w:rsidRPr="008458DA">
        <w:rPr>
          <w:rFonts w:ascii="Arial" w:hAnsi="Arial" w:cs="Arial"/>
          <w:sz w:val="24"/>
          <w:szCs w:val="24"/>
          <w:lang w:val="en-US"/>
        </w:rPr>
        <w:t>Charter</w:t>
      </w:r>
      <w:r w:rsidR="007D76D2" w:rsidRPr="008458DA">
        <w:rPr>
          <w:rFonts w:ascii="Arial" w:hAnsi="Arial" w:cs="Arial"/>
          <w:sz w:val="24"/>
          <w:szCs w:val="24"/>
        </w:rPr>
        <w:t xml:space="preserve"> rights of people under 18 or who have</w:t>
      </w:r>
      <w:r w:rsidR="00FD145E" w:rsidRPr="008458DA">
        <w:rPr>
          <w:rFonts w:ascii="Arial" w:hAnsi="Arial" w:cs="Arial"/>
          <w:sz w:val="24"/>
          <w:szCs w:val="24"/>
        </w:rPr>
        <w:t xml:space="preserve"> </w:t>
      </w:r>
      <w:r w:rsidR="007D76D2" w:rsidRPr="008458DA">
        <w:rPr>
          <w:rFonts w:ascii="Arial" w:hAnsi="Arial" w:cs="Arial"/>
          <w:sz w:val="24"/>
          <w:szCs w:val="24"/>
        </w:rPr>
        <w:t>an incurable, advanced, progressive illness, disease or medical condition that is non</w:t>
      </w:r>
      <w:r w:rsidR="007D76D2" w:rsidRPr="008458DA">
        <w:rPr>
          <w:rFonts w:ascii="Cambria Math" w:hAnsi="Cambria Math" w:cs="Cambria Math"/>
          <w:sz w:val="24"/>
          <w:szCs w:val="24"/>
        </w:rPr>
        <w:t>‐</w:t>
      </w:r>
      <w:r w:rsidR="007D76D2" w:rsidRPr="008458DA">
        <w:rPr>
          <w:rFonts w:ascii="Arial" w:hAnsi="Arial" w:cs="Arial"/>
          <w:sz w:val="24"/>
          <w:szCs w:val="24"/>
        </w:rPr>
        <w:t>fatal or only fatal</w:t>
      </w:r>
      <w:r w:rsidR="00FD145E" w:rsidRPr="008458DA">
        <w:rPr>
          <w:rFonts w:ascii="Arial" w:hAnsi="Arial" w:cs="Arial"/>
          <w:sz w:val="24"/>
          <w:szCs w:val="24"/>
        </w:rPr>
        <w:t xml:space="preserve"> </w:t>
      </w:r>
      <w:r w:rsidR="007D76D2" w:rsidRPr="008458DA">
        <w:rPr>
          <w:rFonts w:ascii="Arial" w:hAnsi="Arial" w:cs="Arial"/>
          <w:sz w:val="24"/>
          <w:szCs w:val="24"/>
        </w:rPr>
        <w:t>in the long</w:t>
      </w:r>
      <w:r w:rsidR="007D76D2" w:rsidRPr="008458DA">
        <w:rPr>
          <w:rFonts w:ascii="Cambria Math" w:hAnsi="Cambria Math" w:cs="Cambria Math"/>
          <w:sz w:val="24"/>
          <w:szCs w:val="24"/>
        </w:rPr>
        <w:t>‐</w:t>
      </w:r>
      <w:r w:rsidR="007D76D2" w:rsidRPr="008458DA">
        <w:rPr>
          <w:rFonts w:ascii="Arial" w:hAnsi="Arial" w:cs="Arial"/>
          <w:sz w:val="24"/>
          <w:szCs w:val="24"/>
        </w:rPr>
        <w:t>term to enjoy their human rights without discrimination</w:t>
      </w:r>
      <w:r w:rsidR="008458DA" w:rsidRPr="008458DA">
        <w:rPr>
          <w:rFonts w:ascii="Arial" w:hAnsi="Arial" w:cs="Arial"/>
          <w:sz w:val="24"/>
          <w:szCs w:val="24"/>
        </w:rPr>
        <w:t xml:space="preserve"> may be engaged</w:t>
      </w:r>
      <w:r w:rsidR="007D76D2" w:rsidRPr="008458DA">
        <w:rPr>
          <w:rFonts w:ascii="Arial" w:hAnsi="Arial" w:cs="Arial"/>
          <w:sz w:val="24"/>
          <w:szCs w:val="24"/>
        </w:rPr>
        <w:t>.</w:t>
      </w:r>
    </w:p>
    <w:p w14:paraId="68F0754A" w14:textId="165EFC5A" w:rsidR="007D76D2" w:rsidRPr="008458DA" w:rsidRDefault="00746018" w:rsidP="00134DC7">
      <w:pPr>
        <w:pStyle w:val="ListParagraph"/>
        <w:numPr>
          <w:ilvl w:val="0"/>
          <w:numId w:val="3"/>
        </w:numPr>
        <w:spacing w:after="120" w:line="240" w:lineRule="auto"/>
        <w:ind w:left="714" w:hanging="357"/>
        <w:contextualSpacing w:val="0"/>
        <w:rPr>
          <w:rFonts w:ascii="Arial" w:hAnsi="Arial" w:cs="Arial"/>
          <w:sz w:val="24"/>
          <w:szCs w:val="24"/>
        </w:rPr>
      </w:pPr>
      <w:r>
        <w:rPr>
          <w:rFonts w:ascii="Arial" w:hAnsi="Arial" w:cs="Arial"/>
          <w:sz w:val="24"/>
          <w:szCs w:val="24"/>
        </w:rPr>
        <w:t>T</w:t>
      </w:r>
      <w:r w:rsidR="007D76D2" w:rsidRPr="008458DA">
        <w:rPr>
          <w:rFonts w:ascii="Arial" w:hAnsi="Arial" w:cs="Arial"/>
          <w:sz w:val="24"/>
          <w:szCs w:val="24"/>
        </w:rPr>
        <w:t xml:space="preserve">he </w:t>
      </w:r>
      <w:r w:rsidR="007D76D2" w:rsidRPr="008458DA">
        <w:rPr>
          <w:rFonts w:ascii="Arial" w:hAnsi="Arial" w:cs="Arial"/>
          <w:sz w:val="24"/>
          <w:szCs w:val="24"/>
          <w:lang w:val="en-US"/>
        </w:rPr>
        <w:t>Charter</w:t>
      </w:r>
      <w:r w:rsidR="007D76D2" w:rsidRPr="008458DA">
        <w:rPr>
          <w:rFonts w:ascii="Arial" w:hAnsi="Arial" w:cs="Arial"/>
          <w:sz w:val="24"/>
          <w:szCs w:val="24"/>
        </w:rPr>
        <w:t xml:space="preserve"> right of people who are refused</w:t>
      </w:r>
      <w:r w:rsidR="00FD145E" w:rsidRPr="008458DA">
        <w:rPr>
          <w:rFonts w:ascii="Arial" w:hAnsi="Arial" w:cs="Arial"/>
          <w:sz w:val="24"/>
          <w:szCs w:val="24"/>
        </w:rPr>
        <w:t xml:space="preserve"> </w:t>
      </w:r>
      <w:r w:rsidR="007D76D2" w:rsidRPr="008458DA">
        <w:rPr>
          <w:rFonts w:ascii="Arial" w:hAnsi="Arial" w:cs="Arial"/>
          <w:sz w:val="24"/>
          <w:szCs w:val="24"/>
        </w:rPr>
        <w:t>a voluntary assisted dying permit, despite otherwise being eligible for access to voluntary assisted</w:t>
      </w:r>
      <w:r w:rsidR="00FD145E" w:rsidRPr="008458DA">
        <w:rPr>
          <w:rFonts w:ascii="Arial" w:hAnsi="Arial" w:cs="Arial"/>
          <w:sz w:val="24"/>
          <w:szCs w:val="24"/>
        </w:rPr>
        <w:t xml:space="preserve"> </w:t>
      </w:r>
      <w:r w:rsidR="007D76D2" w:rsidRPr="008458DA">
        <w:rPr>
          <w:rFonts w:ascii="Arial" w:hAnsi="Arial" w:cs="Arial"/>
          <w:sz w:val="24"/>
          <w:szCs w:val="24"/>
        </w:rPr>
        <w:t>dying and complying with Part 3 of the Bill, to equality before the law</w:t>
      </w:r>
      <w:r w:rsidR="008458DA" w:rsidRPr="008458DA">
        <w:rPr>
          <w:rFonts w:ascii="Arial" w:hAnsi="Arial" w:cs="Arial"/>
          <w:sz w:val="24"/>
          <w:szCs w:val="24"/>
        </w:rPr>
        <w:t xml:space="preserve"> may be eng</w:t>
      </w:r>
      <w:r>
        <w:rPr>
          <w:rFonts w:ascii="Arial" w:hAnsi="Arial" w:cs="Arial"/>
          <w:sz w:val="24"/>
          <w:szCs w:val="24"/>
        </w:rPr>
        <w:t>a</w:t>
      </w:r>
      <w:r w:rsidR="008458DA" w:rsidRPr="008458DA">
        <w:rPr>
          <w:rFonts w:ascii="Arial" w:hAnsi="Arial" w:cs="Arial"/>
          <w:sz w:val="24"/>
          <w:szCs w:val="24"/>
        </w:rPr>
        <w:t>ged</w:t>
      </w:r>
      <w:r w:rsidR="007D76D2" w:rsidRPr="008458DA">
        <w:rPr>
          <w:rFonts w:ascii="Arial" w:hAnsi="Arial" w:cs="Arial"/>
          <w:sz w:val="24"/>
          <w:szCs w:val="24"/>
        </w:rPr>
        <w:t>.</w:t>
      </w:r>
    </w:p>
    <w:p w14:paraId="1E42FC21" w14:textId="775CC569" w:rsidR="000468E2" w:rsidRDefault="00746018" w:rsidP="00134DC7">
      <w:pPr>
        <w:pStyle w:val="ListParagraph"/>
        <w:numPr>
          <w:ilvl w:val="0"/>
          <w:numId w:val="3"/>
        </w:numPr>
        <w:spacing w:after="120" w:line="240" w:lineRule="auto"/>
        <w:ind w:left="714" w:hanging="357"/>
        <w:contextualSpacing w:val="0"/>
        <w:rPr>
          <w:rFonts w:ascii="Arial" w:hAnsi="Arial" w:cs="Arial"/>
          <w:sz w:val="24"/>
          <w:szCs w:val="24"/>
        </w:rPr>
      </w:pPr>
      <w:r>
        <w:rPr>
          <w:rFonts w:ascii="Arial" w:hAnsi="Arial" w:cs="Arial"/>
          <w:sz w:val="24"/>
          <w:szCs w:val="24"/>
        </w:rPr>
        <w:t>T</w:t>
      </w:r>
      <w:r w:rsidR="000468E2" w:rsidRPr="008458DA">
        <w:rPr>
          <w:rFonts w:ascii="Arial" w:hAnsi="Arial" w:cs="Arial"/>
          <w:sz w:val="24"/>
          <w:szCs w:val="24"/>
        </w:rPr>
        <w:t xml:space="preserve">he </w:t>
      </w:r>
      <w:r w:rsidR="000468E2" w:rsidRPr="008458DA">
        <w:rPr>
          <w:rFonts w:ascii="Arial" w:hAnsi="Arial" w:cs="Arial"/>
          <w:sz w:val="24"/>
          <w:szCs w:val="24"/>
          <w:lang w:val="en-US"/>
        </w:rPr>
        <w:t>Statement</w:t>
      </w:r>
      <w:r w:rsidR="000468E2" w:rsidRPr="008458DA">
        <w:rPr>
          <w:rFonts w:ascii="Arial" w:hAnsi="Arial" w:cs="Arial"/>
          <w:sz w:val="24"/>
          <w:szCs w:val="24"/>
        </w:rPr>
        <w:t xml:space="preserve"> of Compatibility accompanying the Bill did not address how health practitioners (other</w:t>
      </w:r>
      <w:r w:rsidR="008458DA" w:rsidRPr="008458DA">
        <w:rPr>
          <w:rFonts w:ascii="Arial" w:hAnsi="Arial" w:cs="Arial"/>
          <w:sz w:val="24"/>
          <w:szCs w:val="24"/>
        </w:rPr>
        <w:t xml:space="preserve"> </w:t>
      </w:r>
      <w:r w:rsidR="000468E2" w:rsidRPr="008458DA">
        <w:rPr>
          <w:rFonts w:ascii="Arial" w:hAnsi="Arial" w:cs="Arial"/>
          <w:sz w:val="24"/>
          <w:szCs w:val="24"/>
        </w:rPr>
        <w:t>than the co</w:t>
      </w:r>
      <w:r w:rsidR="000468E2" w:rsidRPr="008458DA">
        <w:rPr>
          <w:rFonts w:ascii="Cambria Math" w:hAnsi="Cambria Math" w:cs="Cambria Math"/>
          <w:sz w:val="24"/>
          <w:szCs w:val="24"/>
        </w:rPr>
        <w:t>‐</w:t>
      </w:r>
      <w:r w:rsidR="000468E2" w:rsidRPr="008458DA">
        <w:rPr>
          <w:rFonts w:ascii="Arial" w:hAnsi="Arial" w:cs="Arial"/>
          <w:sz w:val="24"/>
          <w:szCs w:val="24"/>
        </w:rPr>
        <w:t>ordinating and consulting medical practitioners) are to be given an opportunity to not participate in voluntary assisted dying.</w:t>
      </w:r>
    </w:p>
    <w:p w14:paraId="3D0E4A33" w14:textId="0A821E64" w:rsidR="00746018" w:rsidRPr="008458DA" w:rsidRDefault="00746018" w:rsidP="00134DC7">
      <w:pPr>
        <w:pStyle w:val="ListParagraph"/>
        <w:numPr>
          <w:ilvl w:val="0"/>
          <w:numId w:val="3"/>
        </w:numPr>
        <w:spacing w:before="120" w:after="240" w:line="240" w:lineRule="auto"/>
        <w:ind w:left="714" w:hanging="357"/>
        <w:contextualSpacing w:val="0"/>
        <w:rPr>
          <w:rFonts w:ascii="Arial" w:hAnsi="Arial" w:cs="Arial"/>
          <w:sz w:val="24"/>
          <w:szCs w:val="24"/>
        </w:rPr>
      </w:pPr>
      <w:r>
        <w:rPr>
          <w:rFonts w:ascii="Arial" w:hAnsi="Arial" w:cs="Arial"/>
          <w:sz w:val="24"/>
          <w:szCs w:val="24"/>
        </w:rPr>
        <w:t>Various clauses limited how anyone, including family members, could discuss assisted dying with a perso</w:t>
      </w:r>
      <w:r w:rsidR="00134DC7">
        <w:rPr>
          <w:rFonts w:ascii="Arial" w:hAnsi="Arial" w:cs="Arial"/>
          <w:sz w:val="24"/>
          <w:szCs w:val="24"/>
        </w:rPr>
        <w:t>n who may have a fatal illness.</w:t>
      </w:r>
    </w:p>
    <w:p w14:paraId="0BED8992" w14:textId="7F6EFB72" w:rsidR="009C7575" w:rsidRDefault="00746018" w:rsidP="00134DC7">
      <w:pPr>
        <w:spacing w:after="240"/>
        <w:rPr>
          <w:sz w:val="24"/>
          <w:szCs w:val="24"/>
          <w:lang w:val="en-US"/>
        </w:rPr>
      </w:pPr>
      <w:r>
        <w:rPr>
          <w:sz w:val="24"/>
          <w:szCs w:val="24"/>
          <w:lang w:val="en-US"/>
        </w:rPr>
        <w:t xml:space="preserve">The observations and comments of the Victorian Scrutiny of Acts and Regulations may assist this Committee in identifying human rights considerations relevant to </w:t>
      </w:r>
      <w:r>
        <w:rPr>
          <w:sz w:val="24"/>
          <w:szCs w:val="24"/>
          <w:lang w:val="en-US"/>
        </w:rPr>
        <w:lastRenderedPageBreak/>
        <w:t>voluntary assisted dying, and to address issues such as safeguards to protect vulnerable people and conscientious objection of medical practitioners to voluntary assisted dying.</w:t>
      </w:r>
    </w:p>
    <w:p w14:paraId="5FB13DCC" w14:textId="6EB3999B" w:rsidR="00746018" w:rsidRDefault="0000188B" w:rsidP="00134DC7">
      <w:pPr>
        <w:spacing w:after="240"/>
        <w:rPr>
          <w:sz w:val="24"/>
          <w:szCs w:val="24"/>
          <w:lang w:val="en-US"/>
        </w:rPr>
      </w:pPr>
      <w:r>
        <w:rPr>
          <w:sz w:val="24"/>
          <w:szCs w:val="24"/>
          <w:lang w:val="en-US"/>
        </w:rPr>
        <w:t>The approach of identifying the huma</w:t>
      </w:r>
      <w:r w:rsidR="003E4229">
        <w:rPr>
          <w:sz w:val="24"/>
          <w:szCs w:val="24"/>
          <w:lang w:val="en-US"/>
        </w:rPr>
        <w:t xml:space="preserve">n rights that may be engaged and </w:t>
      </w:r>
      <w:r>
        <w:rPr>
          <w:sz w:val="24"/>
          <w:szCs w:val="24"/>
          <w:lang w:val="en-US"/>
        </w:rPr>
        <w:t xml:space="preserve">considering </w:t>
      </w:r>
      <w:r w:rsidR="003E4229">
        <w:rPr>
          <w:sz w:val="24"/>
          <w:szCs w:val="24"/>
          <w:lang w:val="en-US"/>
        </w:rPr>
        <w:t xml:space="preserve">whether any limitation of the rights is reasonable and justified in accordance with section 13 of the </w:t>
      </w:r>
      <w:r w:rsidR="003E4229" w:rsidRPr="003E4229">
        <w:rPr>
          <w:i/>
          <w:sz w:val="24"/>
          <w:szCs w:val="24"/>
          <w:lang w:val="en-US"/>
        </w:rPr>
        <w:t>Human Rights Act 2019</w:t>
      </w:r>
      <w:r w:rsidR="003E4229">
        <w:rPr>
          <w:sz w:val="24"/>
          <w:szCs w:val="24"/>
          <w:lang w:val="en-US"/>
        </w:rPr>
        <w:t xml:space="preserve"> would assist the Committee in this inquiry.</w:t>
      </w:r>
      <w:r w:rsidR="00134DC7">
        <w:rPr>
          <w:sz w:val="24"/>
          <w:szCs w:val="24"/>
          <w:lang w:val="en-US"/>
        </w:rPr>
        <w:t xml:space="preserve">  It will necessitate finding an appropriate balance of human rights.</w:t>
      </w:r>
    </w:p>
    <w:p w14:paraId="7B18BBBA" w14:textId="0CFA67F7" w:rsidR="00134DC7" w:rsidRDefault="00134DC7" w:rsidP="00134DC7">
      <w:pPr>
        <w:spacing w:after="0"/>
        <w:rPr>
          <w:sz w:val="24"/>
          <w:szCs w:val="24"/>
          <w:lang w:val="en-US"/>
        </w:rPr>
      </w:pPr>
      <w:r>
        <w:rPr>
          <w:sz w:val="24"/>
          <w:szCs w:val="24"/>
          <w:lang w:val="en-US"/>
        </w:rPr>
        <w:t>Yours sincerely</w:t>
      </w:r>
    </w:p>
    <w:p w14:paraId="7D73237A" w14:textId="749C871C" w:rsidR="00134DC7" w:rsidRDefault="00907EE5" w:rsidP="00134DC7">
      <w:pPr>
        <w:rPr>
          <w:sz w:val="24"/>
          <w:szCs w:val="24"/>
          <w:lang w:val="en-US"/>
        </w:rPr>
      </w:pPr>
      <w:r>
        <w:rPr>
          <w:noProof/>
          <w:sz w:val="24"/>
          <w:szCs w:val="24"/>
          <w14:ligatures w14:val="none"/>
          <w14:cntxtAlts w14:val="0"/>
        </w:rPr>
        <w:drawing>
          <wp:inline distT="0" distB="0" distL="0" distR="0" wp14:anchorId="33F8265F" wp14:editId="075E3432">
            <wp:extent cx="1545230" cy="3238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eroli Holmes signature.jpg"/>
                    <pic:cNvPicPr/>
                  </pic:nvPicPr>
                  <pic:blipFill>
                    <a:blip r:embed="rId9">
                      <a:extLst>
                        <a:ext uri="{28A0092B-C50C-407E-A947-70E740481C1C}">
                          <a14:useLocalDpi xmlns:a14="http://schemas.microsoft.com/office/drawing/2010/main" val="0"/>
                        </a:ext>
                      </a:extLst>
                    </a:blip>
                    <a:stretch>
                      <a:fillRect/>
                    </a:stretch>
                  </pic:blipFill>
                  <pic:spPr>
                    <a:xfrm>
                      <a:off x="0" y="0"/>
                      <a:ext cx="1557024" cy="326322"/>
                    </a:xfrm>
                    <a:prstGeom prst="rect">
                      <a:avLst/>
                    </a:prstGeom>
                  </pic:spPr>
                </pic:pic>
              </a:graphicData>
            </a:graphic>
          </wp:inline>
        </w:drawing>
      </w:r>
    </w:p>
    <w:p w14:paraId="3658A3F1" w14:textId="0F0BF0C6" w:rsidR="00134DC7" w:rsidRDefault="00907EE5" w:rsidP="00134DC7">
      <w:pPr>
        <w:spacing w:after="0"/>
        <w:rPr>
          <w:b/>
          <w:sz w:val="24"/>
          <w:szCs w:val="24"/>
          <w:lang w:val="en-US"/>
        </w:rPr>
      </w:pPr>
      <w:r>
        <w:rPr>
          <w:b/>
          <w:sz w:val="24"/>
          <w:szCs w:val="24"/>
          <w:lang w:val="en-US"/>
        </w:rPr>
        <w:t>NEROLI HOLMES</w:t>
      </w:r>
    </w:p>
    <w:p w14:paraId="70104D11" w14:textId="7564C921" w:rsidR="00907EE5" w:rsidRDefault="00907EE5" w:rsidP="00907EE5">
      <w:pPr>
        <w:spacing w:before="0" w:after="0"/>
        <w:rPr>
          <w:b/>
          <w:sz w:val="24"/>
          <w:szCs w:val="24"/>
          <w:lang w:val="en-US"/>
        </w:rPr>
      </w:pPr>
      <w:r>
        <w:rPr>
          <w:b/>
          <w:sz w:val="24"/>
          <w:szCs w:val="24"/>
          <w:lang w:val="en-US"/>
        </w:rPr>
        <w:t>Acting Commissioner</w:t>
      </w:r>
    </w:p>
    <w:p w14:paraId="4C709341" w14:textId="30ED8747" w:rsidR="00134DC7" w:rsidRPr="00134DC7" w:rsidRDefault="00134DC7" w:rsidP="00134DC7">
      <w:pPr>
        <w:spacing w:before="0" w:after="0"/>
        <w:rPr>
          <w:b/>
          <w:sz w:val="24"/>
          <w:szCs w:val="24"/>
          <w:lang w:val="en-US"/>
        </w:rPr>
      </w:pPr>
      <w:r>
        <w:rPr>
          <w:b/>
          <w:sz w:val="24"/>
          <w:szCs w:val="24"/>
          <w:lang w:val="en-US"/>
        </w:rPr>
        <w:t xml:space="preserve">Anti-Discrimination </w:t>
      </w:r>
      <w:r w:rsidR="00907EE5">
        <w:rPr>
          <w:b/>
          <w:sz w:val="24"/>
          <w:szCs w:val="24"/>
          <w:lang w:val="en-US"/>
        </w:rPr>
        <w:t>Commission Queensland</w:t>
      </w:r>
    </w:p>
    <w:p w14:paraId="08390EBB" w14:textId="77777777" w:rsidR="00134DC7" w:rsidRDefault="00134DC7" w:rsidP="009C7575">
      <w:pPr>
        <w:rPr>
          <w:sz w:val="24"/>
          <w:szCs w:val="24"/>
          <w:lang w:val="en-US"/>
        </w:rPr>
      </w:pPr>
    </w:p>
    <w:p w14:paraId="32C36BF3" w14:textId="77777777" w:rsidR="009C7575" w:rsidRDefault="009C7575" w:rsidP="009C7575">
      <w:pPr>
        <w:rPr>
          <w:sz w:val="24"/>
          <w:szCs w:val="24"/>
          <w:lang w:val="en-US"/>
        </w:rPr>
      </w:pPr>
    </w:p>
    <w:p w14:paraId="0E1125CF" w14:textId="77777777" w:rsidR="009C7575" w:rsidRPr="009C7575" w:rsidRDefault="009C7575" w:rsidP="00317181">
      <w:pPr>
        <w:rPr>
          <w:sz w:val="24"/>
          <w:szCs w:val="24"/>
          <w:lang w:val="en-US"/>
        </w:rPr>
      </w:pPr>
      <w:bookmarkStart w:id="0" w:name="_GoBack"/>
      <w:bookmarkEnd w:id="0"/>
    </w:p>
    <w:sectPr w:rsidR="009C7575" w:rsidRPr="009C7575" w:rsidSect="00907EE5">
      <w:headerReference w:type="default" r:id="rId10"/>
      <w:headerReference w:type="first" r:id="rId11"/>
      <w:footerReference w:type="first" r:id="rId12"/>
      <w:pgSz w:w="11906" w:h="16838" w:code="9"/>
      <w:pgMar w:top="1134" w:right="1558" w:bottom="1134" w:left="1560" w:header="709" w:footer="7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21113" w14:textId="77777777" w:rsidR="003E4229" w:rsidRDefault="003E4229">
      <w:r>
        <w:separator/>
      </w:r>
    </w:p>
  </w:endnote>
  <w:endnote w:type="continuationSeparator" w:id="0">
    <w:p w14:paraId="3E431176" w14:textId="77777777" w:rsidR="003E4229" w:rsidRDefault="003E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8352E" w14:textId="77777777" w:rsidR="003E4229" w:rsidRDefault="003E4229">
    <w:pPr>
      <w:pStyle w:val="Footer"/>
    </w:pPr>
    <w:r>
      <w:rPr>
        <w:noProof/>
      </w:rPr>
      <w:drawing>
        <wp:inline distT="0" distB="0" distL="0" distR="0" wp14:anchorId="6BBCB448" wp14:editId="415D164F">
          <wp:extent cx="5730875" cy="883920"/>
          <wp:effectExtent l="0" t="0" r="3175"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88392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5DECD" w14:textId="77777777" w:rsidR="003E4229" w:rsidRDefault="003E4229">
      <w:r>
        <w:separator/>
      </w:r>
    </w:p>
  </w:footnote>
  <w:footnote w:type="continuationSeparator" w:id="0">
    <w:p w14:paraId="38FA7DC1" w14:textId="77777777" w:rsidR="003E4229" w:rsidRDefault="003E4229">
      <w:r>
        <w:continuationSeparator/>
      </w:r>
    </w:p>
  </w:footnote>
  <w:footnote w:id="1">
    <w:p w14:paraId="2B2D9AC2" w14:textId="77777777" w:rsidR="003E4229" w:rsidRPr="007D76D2" w:rsidRDefault="003E4229">
      <w:pPr>
        <w:pStyle w:val="FootnoteText"/>
        <w:rPr>
          <w:lang w:val="en-US"/>
        </w:rPr>
      </w:pPr>
      <w:r>
        <w:rPr>
          <w:rStyle w:val="FootnoteReference"/>
        </w:rPr>
        <w:footnoteRef/>
      </w:r>
      <w:r>
        <w:t xml:space="preserve"> </w:t>
      </w:r>
      <w:r>
        <w:rPr>
          <w:lang w:val="en-US"/>
        </w:rPr>
        <w:t xml:space="preserve">Under the </w:t>
      </w:r>
      <w:r w:rsidRPr="007D76D2">
        <w:rPr>
          <w:i/>
          <w:lang w:val="en-US"/>
        </w:rPr>
        <w:t>Charter of Human Rights and Responsibilities Act 2006</w:t>
      </w:r>
      <w:r>
        <w:rPr>
          <w:lang w:val="en-US"/>
        </w:rPr>
        <w:t xml:space="preserve"> (Vic) (the Charter), the Scrutiny of Acts and Regulations Committee is required to report on the compatibility of proposed legislation with the human rights under the Charter.  The Queensland </w:t>
      </w:r>
      <w:r>
        <w:rPr>
          <w:i/>
          <w:lang w:val="en-US"/>
        </w:rPr>
        <w:t xml:space="preserve">Human Rights Act 2019 </w:t>
      </w:r>
      <w:r>
        <w:rPr>
          <w:lang w:val="en-US"/>
        </w:rPr>
        <w:t>provides for a similar obligation on portfolio committees of the Queensland Parliament.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29FCE" w14:textId="0AC5615B" w:rsidR="003E4229" w:rsidRDefault="00907EE5" w:rsidP="00907EE5">
    <w:pPr>
      <w:pStyle w:val="Header"/>
      <w:tabs>
        <w:tab w:val="clear" w:pos="4153"/>
        <w:tab w:val="clear" w:pos="8306"/>
        <w:tab w:val="right" w:pos="8788"/>
      </w:tabs>
      <w:rPr>
        <w:bCs/>
        <w:sz w:val="20"/>
        <w:lang w:val="en-US"/>
      </w:rPr>
    </w:pPr>
    <w:r>
      <w:rPr>
        <w:sz w:val="20"/>
        <w:lang w:val="en-US"/>
      </w:rPr>
      <w:t xml:space="preserve">Health Committee </w:t>
    </w:r>
    <w:r w:rsidR="003E4229" w:rsidRPr="006F7958">
      <w:rPr>
        <w:sz w:val="20"/>
        <w:lang w:val="en-US"/>
      </w:rPr>
      <w:tab/>
      <w:t xml:space="preserve">Page </w:t>
    </w:r>
    <w:r w:rsidR="003E4229" w:rsidRPr="006F7958">
      <w:rPr>
        <w:bCs/>
        <w:sz w:val="20"/>
        <w:lang w:val="en-US"/>
      </w:rPr>
      <w:fldChar w:fldCharType="begin"/>
    </w:r>
    <w:r w:rsidR="003E4229" w:rsidRPr="006F7958">
      <w:rPr>
        <w:bCs/>
        <w:sz w:val="20"/>
        <w:lang w:val="en-US"/>
      </w:rPr>
      <w:instrText xml:space="preserve"> PAGE  \* Arabic  \* MERGEFORMAT </w:instrText>
    </w:r>
    <w:r w:rsidR="003E4229" w:rsidRPr="006F7958">
      <w:rPr>
        <w:bCs/>
        <w:sz w:val="20"/>
        <w:lang w:val="en-US"/>
      </w:rPr>
      <w:fldChar w:fldCharType="separate"/>
    </w:r>
    <w:r w:rsidR="00CE7F17">
      <w:rPr>
        <w:bCs/>
        <w:noProof/>
        <w:sz w:val="20"/>
        <w:lang w:val="en-US"/>
      </w:rPr>
      <w:t>4</w:t>
    </w:r>
    <w:r w:rsidR="003E4229" w:rsidRPr="006F7958">
      <w:rPr>
        <w:bCs/>
        <w:sz w:val="20"/>
        <w:lang w:val="en-US"/>
      </w:rPr>
      <w:fldChar w:fldCharType="end"/>
    </w:r>
    <w:r w:rsidR="003E4229" w:rsidRPr="006F7958">
      <w:rPr>
        <w:sz w:val="20"/>
        <w:lang w:val="en-US"/>
      </w:rPr>
      <w:t xml:space="preserve"> of </w:t>
    </w:r>
    <w:r w:rsidR="003E4229" w:rsidRPr="006F7958">
      <w:rPr>
        <w:bCs/>
        <w:sz w:val="20"/>
        <w:lang w:val="en-US"/>
      </w:rPr>
      <w:fldChar w:fldCharType="begin"/>
    </w:r>
    <w:r w:rsidR="003E4229" w:rsidRPr="006F7958">
      <w:rPr>
        <w:bCs/>
        <w:sz w:val="20"/>
        <w:lang w:val="en-US"/>
      </w:rPr>
      <w:instrText xml:space="preserve"> NUMPAGES  \* Arabic  \* MERGEFORMAT </w:instrText>
    </w:r>
    <w:r w:rsidR="003E4229" w:rsidRPr="006F7958">
      <w:rPr>
        <w:bCs/>
        <w:sz w:val="20"/>
        <w:lang w:val="en-US"/>
      </w:rPr>
      <w:fldChar w:fldCharType="separate"/>
    </w:r>
    <w:r w:rsidR="00CE7F17">
      <w:rPr>
        <w:bCs/>
        <w:noProof/>
        <w:sz w:val="20"/>
        <w:lang w:val="en-US"/>
      </w:rPr>
      <w:t>4</w:t>
    </w:r>
    <w:r w:rsidR="003E4229" w:rsidRPr="006F7958">
      <w:rPr>
        <w:bCs/>
        <w:sz w:val="20"/>
        <w:lang w:val="en-US"/>
      </w:rPr>
      <w:fldChar w:fldCharType="end"/>
    </w:r>
  </w:p>
  <w:p w14:paraId="5AF9693E" w14:textId="77777777" w:rsidR="003E4229" w:rsidRPr="006F7958" w:rsidRDefault="003E4229" w:rsidP="006F7958">
    <w:pPr>
      <w:pStyle w:val="Header"/>
      <w:pBdr>
        <w:top w:val="single" w:sz="4" w:space="1" w:color="auto"/>
      </w:pBdr>
      <w:rPr>
        <w:sz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E9F9B" w14:textId="77777777" w:rsidR="003E4229" w:rsidRDefault="003E4229" w:rsidP="009C7575">
    <w:pPr>
      <w:pStyle w:val="Header"/>
      <w:ind w:hanging="142"/>
    </w:pPr>
    <w:r>
      <w:rPr>
        <w:noProof/>
      </w:rPr>
      <w:drawing>
        <wp:inline distT="0" distB="0" distL="0" distR="0" wp14:anchorId="2E2BB1F6" wp14:editId="5D56F332">
          <wp:extent cx="4291200" cy="608400"/>
          <wp:effectExtent l="0" t="0" r="0" b="127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1200" cy="608400"/>
                  </a:xfrm>
                  <a:prstGeom prst="rect">
                    <a:avLst/>
                  </a:prstGeom>
                  <a:noFill/>
                </pic:spPr>
              </pic:pic>
            </a:graphicData>
          </a:graphic>
        </wp:inline>
      </w:drawing>
    </w:r>
  </w:p>
  <w:p w14:paraId="65EDBC19" w14:textId="77777777" w:rsidR="003E4229" w:rsidRDefault="003E4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23291"/>
    <w:multiLevelType w:val="hybridMultilevel"/>
    <w:tmpl w:val="4BD6DD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C3F7AF2"/>
    <w:multiLevelType w:val="hybridMultilevel"/>
    <w:tmpl w:val="E416CE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B442B4C"/>
    <w:multiLevelType w:val="hybridMultilevel"/>
    <w:tmpl w:val="7EC61394"/>
    <w:lvl w:ilvl="0" w:tplc="8A603042">
      <w:start w:val="1"/>
      <w:numFmt w:val="bullet"/>
      <w:lvlText w:val=""/>
      <w:lvlJc w:val="left"/>
      <w:pPr>
        <w:ind w:left="720" w:hanging="360"/>
      </w:pPr>
      <w:rPr>
        <w:rFonts w:ascii="Wingdings" w:hAnsi="Wingdings"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4F1"/>
    <w:rsid w:val="0000019B"/>
    <w:rsid w:val="00000A42"/>
    <w:rsid w:val="00001726"/>
    <w:rsid w:val="0000188B"/>
    <w:rsid w:val="00001E36"/>
    <w:rsid w:val="00011289"/>
    <w:rsid w:val="0001660A"/>
    <w:rsid w:val="00017B8B"/>
    <w:rsid w:val="00021B77"/>
    <w:rsid w:val="00021CB3"/>
    <w:rsid w:val="00022CFE"/>
    <w:rsid w:val="0002407A"/>
    <w:rsid w:val="000255AA"/>
    <w:rsid w:val="00026C2A"/>
    <w:rsid w:val="00034426"/>
    <w:rsid w:val="00035813"/>
    <w:rsid w:val="0003738B"/>
    <w:rsid w:val="000436B1"/>
    <w:rsid w:val="00043ACE"/>
    <w:rsid w:val="000444CA"/>
    <w:rsid w:val="00044AB9"/>
    <w:rsid w:val="00044DC8"/>
    <w:rsid w:val="000468E2"/>
    <w:rsid w:val="00046BA5"/>
    <w:rsid w:val="0005257E"/>
    <w:rsid w:val="00055999"/>
    <w:rsid w:val="00056179"/>
    <w:rsid w:val="0006292C"/>
    <w:rsid w:val="000758B1"/>
    <w:rsid w:val="00075E15"/>
    <w:rsid w:val="00081597"/>
    <w:rsid w:val="0008355C"/>
    <w:rsid w:val="00084A79"/>
    <w:rsid w:val="00084C56"/>
    <w:rsid w:val="00085838"/>
    <w:rsid w:val="00091F40"/>
    <w:rsid w:val="000923B4"/>
    <w:rsid w:val="0009438A"/>
    <w:rsid w:val="00094907"/>
    <w:rsid w:val="000955CA"/>
    <w:rsid w:val="000A0941"/>
    <w:rsid w:val="000A1844"/>
    <w:rsid w:val="000A60AF"/>
    <w:rsid w:val="000A68BE"/>
    <w:rsid w:val="000A6A45"/>
    <w:rsid w:val="000B5115"/>
    <w:rsid w:val="000B5B10"/>
    <w:rsid w:val="000B7DE2"/>
    <w:rsid w:val="000C0356"/>
    <w:rsid w:val="000C365D"/>
    <w:rsid w:val="000C3B16"/>
    <w:rsid w:val="000C3C85"/>
    <w:rsid w:val="000C443A"/>
    <w:rsid w:val="000C68B7"/>
    <w:rsid w:val="000C6BA9"/>
    <w:rsid w:val="000D1452"/>
    <w:rsid w:val="000D2137"/>
    <w:rsid w:val="000D2957"/>
    <w:rsid w:val="000D624C"/>
    <w:rsid w:val="000D6F19"/>
    <w:rsid w:val="000E0027"/>
    <w:rsid w:val="000E2E5F"/>
    <w:rsid w:val="000E4806"/>
    <w:rsid w:val="000E6B4E"/>
    <w:rsid w:val="000E7485"/>
    <w:rsid w:val="000F1F01"/>
    <w:rsid w:val="000F6F0B"/>
    <w:rsid w:val="00100BA2"/>
    <w:rsid w:val="001015B8"/>
    <w:rsid w:val="00101886"/>
    <w:rsid w:val="0010204E"/>
    <w:rsid w:val="00104C79"/>
    <w:rsid w:val="00111043"/>
    <w:rsid w:val="001117C3"/>
    <w:rsid w:val="0011397B"/>
    <w:rsid w:val="00116845"/>
    <w:rsid w:val="001217F7"/>
    <w:rsid w:val="0012585A"/>
    <w:rsid w:val="00125C2C"/>
    <w:rsid w:val="001304AB"/>
    <w:rsid w:val="001315F3"/>
    <w:rsid w:val="00132D68"/>
    <w:rsid w:val="00134DC7"/>
    <w:rsid w:val="0013570E"/>
    <w:rsid w:val="00135AAF"/>
    <w:rsid w:val="00141B78"/>
    <w:rsid w:val="0016012F"/>
    <w:rsid w:val="0016451E"/>
    <w:rsid w:val="001669A4"/>
    <w:rsid w:val="00170BB7"/>
    <w:rsid w:val="00175DA5"/>
    <w:rsid w:val="0017757F"/>
    <w:rsid w:val="00177F8B"/>
    <w:rsid w:val="001823D5"/>
    <w:rsid w:val="00182A29"/>
    <w:rsid w:val="001900BF"/>
    <w:rsid w:val="00190317"/>
    <w:rsid w:val="0019074F"/>
    <w:rsid w:val="00191C62"/>
    <w:rsid w:val="0019445D"/>
    <w:rsid w:val="00194D21"/>
    <w:rsid w:val="0019563D"/>
    <w:rsid w:val="001A3F82"/>
    <w:rsid w:val="001A63C1"/>
    <w:rsid w:val="001B1EEE"/>
    <w:rsid w:val="001B31AD"/>
    <w:rsid w:val="001B324D"/>
    <w:rsid w:val="001B4B3B"/>
    <w:rsid w:val="001B56A5"/>
    <w:rsid w:val="001B6D46"/>
    <w:rsid w:val="001C332D"/>
    <w:rsid w:val="001C6B68"/>
    <w:rsid w:val="001C706E"/>
    <w:rsid w:val="001D7746"/>
    <w:rsid w:val="001E003E"/>
    <w:rsid w:val="001E17DF"/>
    <w:rsid w:val="001E1E03"/>
    <w:rsid w:val="001E5E0A"/>
    <w:rsid w:val="001F06A8"/>
    <w:rsid w:val="001F1C58"/>
    <w:rsid w:val="001F1C62"/>
    <w:rsid w:val="001F42F9"/>
    <w:rsid w:val="001F5E47"/>
    <w:rsid w:val="00200D0A"/>
    <w:rsid w:val="00205EEE"/>
    <w:rsid w:val="0020694B"/>
    <w:rsid w:val="002127BA"/>
    <w:rsid w:val="0021319B"/>
    <w:rsid w:val="00214FDD"/>
    <w:rsid w:val="00222A34"/>
    <w:rsid w:val="002247EE"/>
    <w:rsid w:val="00230261"/>
    <w:rsid w:val="00230B5E"/>
    <w:rsid w:val="002347FF"/>
    <w:rsid w:val="00241501"/>
    <w:rsid w:val="00241D9D"/>
    <w:rsid w:val="00245EC7"/>
    <w:rsid w:val="0024640A"/>
    <w:rsid w:val="002479CC"/>
    <w:rsid w:val="00251F96"/>
    <w:rsid w:val="00255599"/>
    <w:rsid w:val="00255767"/>
    <w:rsid w:val="0025622A"/>
    <w:rsid w:val="002577DF"/>
    <w:rsid w:val="002731DA"/>
    <w:rsid w:val="00274D6A"/>
    <w:rsid w:val="002802D0"/>
    <w:rsid w:val="00281A52"/>
    <w:rsid w:val="00281A81"/>
    <w:rsid w:val="002825BA"/>
    <w:rsid w:val="00283B19"/>
    <w:rsid w:val="00284090"/>
    <w:rsid w:val="00285495"/>
    <w:rsid w:val="002920A1"/>
    <w:rsid w:val="002921A2"/>
    <w:rsid w:val="00296A16"/>
    <w:rsid w:val="002A0320"/>
    <w:rsid w:val="002A0529"/>
    <w:rsid w:val="002A064E"/>
    <w:rsid w:val="002A155C"/>
    <w:rsid w:val="002A163F"/>
    <w:rsid w:val="002A2C36"/>
    <w:rsid w:val="002A2D51"/>
    <w:rsid w:val="002A4505"/>
    <w:rsid w:val="002A54A2"/>
    <w:rsid w:val="002B1E03"/>
    <w:rsid w:val="002B2DF7"/>
    <w:rsid w:val="002C5BCB"/>
    <w:rsid w:val="002D0858"/>
    <w:rsid w:val="002D2336"/>
    <w:rsid w:val="002D3074"/>
    <w:rsid w:val="002D53D7"/>
    <w:rsid w:val="002D5412"/>
    <w:rsid w:val="002D597B"/>
    <w:rsid w:val="002D5AF6"/>
    <w:rsid w:val="002D5CF8"/>
    <w:rsid w:val="002E0D75"/>
    <w:rsid w:val="002E22B0"/>
    <w:rsid w:val="002E2EED"/>
    <w:rsid w:val="002E6627"/>
    <w:rsid w:val="002E6F02"/>
    <w:rsid w:val="002E7F41"/>
    <w:rsid w:val="002F0800"/>
    <w:rsid w:val="002F71A9"/>
    <w:rsid w:val="00302CA9"/>
    <w:rsid w:val="00303766"/>
    <w:rsid w:val="00304382"/>
    <w:rsid w:val="003063BE"/>
    <w:rsid w:val="0030666B"/>
    <w:rsid w:val="00306C25"/>
    <w:rsid w:val="00311D92"/>
    <w:rsid w:val="00312C08"/>
    <w:rsid w:val="00314979"/>
    <w:rsid w:val="00314A9B"/>
    <w:rsid w:val="003153F4"/>
    <w:rsid w:val="003156AF"/>
    <w:rsid w:val="00317181"/>
    <w:rsid w:val="00322B33"/>
    <w:rsid w:val="00323FEF"/>
    <w:rsid w:val="0032443C"/>
    <w:rsid w:val="00326AE0"/>
    <w:rsid w:val="00326E92"/>
    <w:rsid w:val="00327D5B"/>
    <w:rsid w:val="003300A9"/>
    <w:rsid w:val="00334A83"/>
    <w:rsid w:val="003357B6"/>
    <w:rsid w:val="0033686A"/>
    <w:rsid w:val="003436E6"/>
    <w:rsid w:val="00344975"/>
    <w:rsid w:val="00345260"/>
    <w:rsid w:val="003517D4"/>
    <w:rsid w:val="0035231A"/>
    <w:rsid w:val="00354736"/>
    <w:rsid w:val="00355D33"/>
    <w:rsid w:val="00356DE8"/>
    <w:rsid w:val="00362104"/>
    <w:rsid w:val="00363FD9"/>
    <w:rsid w:val="00370D69"/>
    <w:rsid w:val="00374EDB"/>
    <w:rsid w:val="00375DD6"/>
    <w:rsid w:val="00377558"/>
    <w:rsid w:val="003778C0"/>
    <w:rsid w:val="00380D78"/>
    <w:rsid w:val="003832FE"/>
    <w:rsid w:val="0038337A"/>
    <w:rsid w:val="00384877"/>
    <w:rsid w:val="003849AD"/>
    <w:rsid w:val="00384A8A"/>
    <w:rsid w:val="00391566"/>
    <w:rsid w:val="00395CBD"/>
    <w:rsid w:val="0039686A"/>
    <w:rsid w:val="003A274F"/>
    <w:rsid w:val="003A6A47"/>
    <w:rsid w:val="003A6B67"/>
    <w:rsid w:val="003B588A"/>
    <w:rsid w:val="003B5ACE"/>
    <w:rsid w:val="003B7781"/>
    <w:rsid w:val="003B7D31"/>
    <w:rsid w:val="003C127C"/>
    <w:rsid w:val="003C2555"/>
    <w:rsid w:val="003C3534"/>
    <w:rsid w:val="003C4FB0"/>
    <w:rsid w:val="003C55C5"/>
    <w:rsid w:val="003D18B4"/>
    <w:rsid w:val="003D2464"/>
    <w:rsid w:val="003D3458"/>
    <w:rsid w:val="003D375A"/>
    <w:rsid w:val="003E1D97"/>
    <w:rsid w:val="003E4229"/>
    <w:rsid w:val="003E6496"/>
    <w:rsid w:val="003E7D4E"/>
    <w:rsid w:val="003F2612"/>
    <w:rsid w:val="003F3CB6"/>
    <w:rsid w:val="003F438D"/>
    <w:rsid w:val="003F6520"/>
    <w:rsid w:val="003F7D62"/>
    <w:rsid w:val="003F7FFD"/>
    <w:rsid w:val="00401BEC"/>
    <w:rsid w:val="004050F6"/>
    <w:rsid w:val="00405741"/>
    <w:rsid w:val="00405B77"/>
    <w:rsid w:val="00411C6A"/>
    <w:rsid w:val="00413AF7"/>
    <w:rsid w:val="00414833"/>
    <w:rsid w:val="00415F6C"/>
    <w:rsid w:val="0041623D"/>
    <w:rsid w:val="004218E8"/>
    <w:rsid w:val="00424B4C"/>
    <w:rsid w:val="00426410"/>
    <w:rsid w:val="00427DB6"/>
    <w:rsid w:val="00427EDC"/>
    <w:rsid w:val="00430E59"/>
    <w:rsid w:val="00433286"/>
    <w:rsid w:val="0043381D"/>
    <w:rsid w:val="0043477A"/>
    <w:rsid w:val="00447465"/>
    <w:rsid w:val="004478DA"/>
    <w:rsid w:val="00450F22"/>
    <w:rsid w:val="004517BD"/>
    <w:rsid w:val="004538FA"/>
    <w:rsid w:val="00454155"/>
    <w:rsid w:val="0045558E"/>
    <w:rsid w:val="00457C1B"/>
    <w:rsid w:val="00457EA3"/>
    <w:rsid w:val="00460C14"/>
    <w:rsid w:val="00461A05"/>
    <w:rsid w:val="00461DA0"/>
    <w:rsid w:val="00462144"/>
    <w:rsid w:val="00462C5D"/>
    <w:rsid w:val="00466C9F"/>
    <w:rsid w:val="004670F9"/>
    <w:rsid w:val="00475D96"/>
    <w:rsid w:val="004813C4"/>
    <w:rsid w:val="004833E0"/>
    <w:rsid w:val="0048451E"/>
    <w:rsid w:val="004962BA"/>
    <w:rsid w:val="00496A11"/>
    <w:rsid w:val="0049735F"/>
    <w:rsid w:val="00497B74"/>
    <w:rsid w:val="004A7318"/>
    <w:rsid w:val="004B3081"/>
    <w:rsid w:val="004B375E"/>
    <w:rsid w:val="004B60DD"/>
    <w:rsid w:val="004C0AF8"/>
    <w:rsid w:val="004C1E7C"/>
    <w:rsid w:val="004C224D"/>
    <w:rsid w:val="004C2E9B"/>
    <w:rsid w:val="004C378D"/>
    <w:rsid w:val="004C63C4"/>
    <w:rsid w:val="004D1010"/>
    <w:rsid w:val="004D3F5D"/>
    <w:rsid w:val="004D4015"/>
    <w:rsid w:val="004D4F51"/>
    <w:rsid w:val="004D582F"/>
    <w:rsid w:val="004D62F3"/>
    <w:rsid w:val="004D6A3B"/>
    <w:rsid w:val="004D6C60"/>
    <w:rsid w:val="004E2745"/>
    <w:rsid w:val="004E5BBD"/>
    <w:rsid w:val="005005F7"/>
    <w:rsid w:val="005034F1"/>
    <w:rsid w:val="005037DD"/>
    <w:rsid w:val="005045AC"/>
    <w:rsid w:val="00507039"/>
    <w:rsid w:val="00507E1A"/>
    <w:rsid w:val="00514CB3"/>
    <w:rsid w:val="0052129E"/>
    <w:rsid w:val="00523B23"/>
    <w:rsid w:val="0052672A"/>
    <w:rsid w:val="00530FD0"/>
    <w:rsid w:val="00531819"/>
    <w:rsid w:val="00533C0C"/>
    <w:rsid w:val="0053520F"/>
    <w:rsid w:val="005363C1"/>
    <w:rsid w:val="00537DE7"/>
    <w:rsid w:val="00540293"/>
    <w:rsid w:val="005419E2"/>
    <w:rsid w:val="00550201"/>
    <w:rsid w:val="005535B1"/>
    <w:rsid w:val="00554432"/>
    <w:rsid w:val="0055468A"/>
    <w:rsid w:val="00563015"/>
    <w:rsid w:val="00565E60"/>
    <w:rsid w:val="00566C61"/>
    <w:rsid w:val="0056726F"/>
    <w:rsid w:val="00571939"/>
    <w:rsid w:val="0058388F"/>
    <w:rsid w:val="00583A8D"/>
    <w:rsid w:val="00583E41"/>
    <w:rsid w:val="00587C5B"/>
    <w:rsid w:val="00590D66"/>
    <w:rsid w:val="00594391"/>
    <w:rsid w:val="005952D3"/>
    <w:rsid w:val="005A2191"/>
    <w:rsid w:val="005A2ECB"/>
    <w:rsid w:val="005A338D"/>
    <w:rsid w:val="005A55E1"/>
    <w:rsid w:val="005B1923"/>
    <w:rsid w:val="005B2EA3"/>
    <w:rsid w:val="005B51EA"/>
    <w:rsid w:val="005B7867"/>
    <w:rsid w:val="005C2881"/>
    <w:rsid w:val="005C2F0B"/>
    <w:rsid w:val="005C33A0"/>
    <w:rsid w:val="005C756A"/>
    <w:rsid w:val="005D55C8"/>
    <w:rsid w:val="005D5820"/>
    <w:rsid w:val="005D59EC"/>
    <w:rsid w:val="005D5ED0"/>
    <w:rsid w:val="005D61CF"/>
    <w:rsid w:val="005E35D0"/>
    <w:rsid w:val="005E7080"/>
    <w:rsid w:val="005F07D5"/>
    <w:rsid w:val="005F0976"/>
    <w:rsid w:val="005F0AB1"/>
    <w:rsid w:val="005F58B5"/>
    <w:rsid w:val="005F625D"/>
    <w:rsid w:val="006003DB"/>
    <w:rsid w:val="00602470"/>
    <w:rsid w:val="00602F7F"/>
    <w:rsid w:val="00610FEE"/>
    <w:rsid w:val="0061208F"/>
    <w:rsid w:val="00613A57"/>
    <w:rsid w:val="0062111E"/>
    <w:rsid w:val="00621C0B"/>
    <w:rsid w:val="00622084"/>
    <w:rsid w:val="006276D6"/>
    <w:rsid w:val="00632ADC"/>
    <w:rsid w:val="00640A1B"/>
    <w:rsid w:val="00641D05"/>
    <w:rsid w:val="00646CA7"/>
    <w:rsid w:val="006504CD"/>
    <w:rsid w:val="0065244D"/>
    <w:rsid w:val="00655100"/>
    <w:rsid w:val="00655E0A"/>
    <w:rsid w:val="006607F2"/>
    <w:rsid w:val="006624F8"/>
    <w:rsid w:val="00665ADC"/>
    <w:rsid w:val="00672160"/>
    <w:rsid w:val="00672CE4"/>
    <w:rsid w:val="006730FA"/>
    <w:rsid w:val="00681647"/>
    <w:rsid w:val="00682B00"/>
    <w:rsid w:val="00683308"/>
    <w:rsid w:val="00686128"/>
    <w:rsid w:val="00686568"/>
    <w:rsid w:val="006866F1"/>
    <w:rsid w:val="00697DA7"/>
    <w:rsid w:val="006A0ADA"/>
    <w:rsid w:val="006A0FC8"/>
    <w:rsid w:val="006A4B34"/>
    <w:rsid w:val="006A7F1F"/>
    <w:rsid w:val="006B0908"/>
    <w:rsid w:val="006B1069"/>
    <w:rsid w:val="006B545C"/>
    <w:rsid w:val="006C2826"/>
    <w:rsid w:val="006C2A3E"/>
    <w:rsid w:val="006D04FF"/>
    <w:rsid w:val="006D1EA6"/>
    <w:rsid w:val="006D2D06"/>
    <w:rsid w:val="006D2D7B"/>
    <w:rsid w:val="006D3058"/>
    <w:rsid w:val="006E10E5"/>
    <w:rsid w:val="006E1EF2"/>
    <w:rsid w:val="006E2A1B"/>
    <w:rsid w:val="006E5819"/>
    <w:rsid w:val="006E5A1B"/>
    <w:rsid w:val="006F0A19"/>
    <w:rsid w:val="006F0E69"/>
    <w:rsid w:val="006F1529"/>
    <w:rsid w:val="006F3DC3"/>
    <w:rsid w:val="006F43EA"/>
    <w:rsid w:val="006F56AE"/>
    <w:rsid w:val="006F6DE8"/>
    <w:rsid w:val="006F7958"/>
    <w:rsid w:val="007014ED"/>
    <w:rsid w:val="007031FE"/>
    <w:rsid w:val="00704E9B"/>
    <w:rsid w:val="00705E8B"/>
    <w:rsid w:val="007103FE"/>
    <w:rsid w:val="00715619"/>
    <w:rsid w:val="007166CF"/>
    <w:rsid w:val="00722571"/>
    <w:rsid w:val="0072334C"/>
    <w:rsid w:val="00723E2D"/>
    <w:rsid w:val="00723ED0"/>
    <w:rsid w:val="00734171"/>
    <w:rsid w:val="0073589C"/>
    <w:rsid w:val="00736D19"/>
    <w:rsid w:val="00741659"/>
    <w:rsid w:val="00744657"/>
    <w:rsid w:val="0074491E"/>
    <w:rsid w:val="00746018"/>
    <w:rsid w:val="00754860"/>
    <w:rsid w:val="007560C9"/>
    <w:rsid w:val="0075701F"/>
    <w:rsid w:val="00763098"/>
    <w:rsid w:val="00763EDD"/>
    <w:rsid w:val="00764390"/>
    <w:rsid w:val="0076454E"/>
    <w:rsid w:val="007759C2"/>
    <w:rsid w:val="00776A95"/>
    <w:rsid w:val="00776BA2"/>
    <w:rsid w:val="0078325D"/>
    <w:rsid w:val="0078592F"/>
    <w:rsid w:val="0079213A"/>
    <w:rsid w:val="0079353E"/>
    <w:rsid w:val="007A1745"/>
    <w:rsid w:val="007A6B71"/>
    <w:rsid w:val="007B0163"/>
    <w:rsid w:val="007B0CED"/>
    <w:rsid w:val="007B1018"/>
    <w:rsid w:val="007B6224"/>
    <w:rsid w:val="007B72FE"/>
    <w:rsid w:val="007C00FC"/>
    <w:rsid w:val="007C08D5"/>
    <w:rsid w:val="007C1F87"/>
    <w:rsid w:val="007C68D0"/>
    <w:rsid w:val="007C6DD9"/>
    <w:rsid w:val="007D3EB1"/>
    <w:rsid w:val="007D4FB4"/>
    <w:rsid w:val="007D598F"/>
    <w:rsid w:val="007D5EEF"/>
    <w:rsid w:val="007D6F3E"/>
    <w:rsid w:val="007D763B"/>
    <w:rsid w:val="007D76D2"/>
    <w:rsid w:val="007E1309"/>
    <w:rsid w:val="007E52D8"/>
    <w:rsid w:val="007F1CBA"/>
    <w:rsid w:val="007F6445"/>
    <w:rsid w:val="007F6A76"/>
    <w:rsid w:val="008029A8"/>
    <w:rsid w:val="008035AA"/>
    <w:rsid w:val="008041B3"/>
    <w:rsid w:val="00810F2F"/>
    <w:rsid w:val="008115F0"/>
    <w:rsid w:val="0081170C"/>
    <w:rsid w:val="008126F9"/>
    <w:rsid w:val="0081650A"/>
    <w:rsid w:val="008166F7"/>
    <w:rsid w:val="008253D2"/>
    <w:rsid w:val="00832FF6"/>
    <w:rsid w:val="00833E2E"/>
    <w:rsid w:val="008352FF"/>
    <w:rsid w:val="008361E5"/>
    <w:rsid w:val="00841170"/>
    <w:rsid w:val="008413ED"/>
    <w:rsid w:val="008414DB"/>
    <w:rsid w:val="00841EC2"/>
    <w:rsid w:val="00842F8D"/>
    <w:rsid w:val="00843177"/>
    <w:rsid w:val="008458DA"/>
    <w:rsid w:val="0084599F"/>
    <w:rsid w:val="00847AA5"/>
    <w:rsid w:val="008544A3"/>
    <w:rsid w:val="00855B35"/>
    <w:rsid w:val="00855EC9"/>
    <w:rsid w:val="00864F60"/>
    <w:rsid w:val="008665DA"/>
    <w:rsid w:val="008701DC"/>
    <w:rsid w:val="00870F05"/>
    <w:rsid w:val="008727AA"/>
    <w:rsid w:val="008729E4"/>
    <w:rsid w:val="00872BFA"/>
    <w:rsid w:val="008753DF"/>
    <w:rsid w:val="00877A99"/>
    <w:rsid w:val="00881343"/>
    <w:rsid w:val="0088428A"/>
    <w:rsid w:val="00890121"/>
    <w:rsid w:val="0089097C"/>
    <w:rsid w:val="00890D99"/>
    <w:rsid w:val="00890ED4"/>
    <w:rsid w:val="00893B29"/>
    <w:rsid w:val="0089499C"/>
    <w:rsid w:val="00895515"/>
    <w:rsid w:val="00895B11"/>
    <w:rsid w:val="008977BC"/>
    <w:rsid w:val="008A375B"/>
    <w:rsid w:val="008A61C5"/>
    <w:rsid w:val="008A6C6F"/>
    <w:rsid w:val="008B05DF"/>
    <w:rsid w:val="008B7B86"/>
    <w:rsid w:val="008C1814"/>
    <w:rsid w:val="008C2B9F"/>
    <w:rsid w:val="008C496D"/>
    <w:rsid w:val="008C5938"/>
    <w:rsid w:val="008C5A48"/>
    <w:rsid w:val="008C5A64"/>
    <w:rsid w:val="008D09AB"/>
    <w:rsid w:val="008D09DB"/>
    <w:rsid w:val="008D27D9"/>
    <w:rsid w:val="008D4625"/>
    <w:rsid w:val="008D6537"/>
    <w:rsid w:val="008D708A"/>
    <w:rsid w:val="008D771E"/>
    <w:rsid w:val="008E094A"/>
    <w:rsid w:val="008E7364"/>
    <w:rsid w:val="008E73B0"/>
    <w:rsid w:val="008F3788"/>
    <w:rsid w:val="008F500B"/>
    <w:rsid w:val="008F53FF"/>
    <w:rsid w:val="008F6F9C"/>
    <w:rsid w:val="00904059"/>
    <w:rsid w:val="00904564"/>
    <w:rsid w:val="00906E3F"/>
    <w:rsid w:val="00906EAF"/>
    <w:rsid w:val="00907EE5"/>
    <w:rsid w:val="009106E1"/>
    <w:rsid w:val="009110B0"/>
    <w:rsid w:val="0092101B"/>
    <w:rsid w:val="0092249C"/>
    <w:rsid w:val="00922ED9"/>
    <w:rsid w:val="009234DB"/>
    <w:rsid w:val="00924C30"/>
    <w:rsid w:val="00926901"/>
    <w:rsid w:val="00927174"/>
    <w:rsid w:val="009278E4"/>
    <w:rsid w:val="0093191F"/>
    <w:rsid w:val="00932239"/>
    <w:rsid w:val="009325F5"/>
    <w:rsid w:val="00935399"/>
    <w:rsid w:val="00941695"/>
    <w:rsid w:val="009502FD"/>
    <w:rsid w:val="00952726"/>
    <w:rsid w:val="0095789B"/>
    <w:rsid w:val="0096032D"/>
    <w:rsid w:val="00960C95"/>
    <w:rsid w:val="00963A6B"/>
    <w:rsid w:val="009648DC"/>
    <w:rsid w:val="00967D84"/>
    <w:rsid w:val="009728DB"/>
    <w:rsid w:val="00973B44"/>
    <w:rsid w:val="00974089"/>
    <w:rsid w:val="009748D8"/>
    <w:rsid w:val="009754B7"/>
    <w:rsid w:val="009832F8"/>
    <w:rsid w:val="00983947"/>
    <w:rsid w:val="009917EF"/>
    <w:rsid w:val="00992FF2"/>
    <w:rsid w:val="00993DC9"/>
    <w:rsid w:val="00995114"/>
    <w:rsid w:val="00997D3E"/>
    <w:rsid w:val="009A3E44"/>
    <w:rsid w:val="009A6689"/>
    <w:rsid w:val="009B47EF"/>
    <w:rsid w:val="009B6BE5"/>
    <w:rsid w:val="009B774E"/>
    <w:rsid w:val="009C2258"/>
    <w:rsid w:val="009C3FDA"/>
    <w:rsid w:val="009C7575"/>
    <w:rsid w:val="009D092B"/>
    <w:rsid w:val="009D6358"/>
    <w:rsid w:val="009D71EC"/>
    <w:rsid w:val="009E0EC8"/>
    <w:rsid w:val="009E2A26"/>
    <w:rsid w:val="009E75CE"/>
    <w:rsid w:val="009E76CD"/>
    <w:rsid w:val="009E79AB"/>
    <w:rsid w:val="009E7B28"/>
    <w:rsid w:val="009E7FAA"/>
    <w:rsid w:val="009F015A"/>
    <w:rsid w:val="009F0D1C"/>
    <w:rsid w:val="009F1555"/>
    <w:rsid w:val="009F739C"/>
    <w:rsid w:val="009F76B9"/>
    <w:rsid w:val="009F7E03"/>
    <w:rsid w:val="00A00363"/>
    <w:rsid w:val="00A01051"/>
    <w:rsid w:val="00A01DBB"/>
    <w:rsid w:val="00A036B6"/>
    <w:rsid w:val="00A04914"/>
    <w:rsid w:val="00A05C68"/>
    <w:rsid w:val="00A11B96"/>
    <w:rsid w:val="00A12583"/>
    <w:rsid w:val="00A14C3C"/>
    <w:rsid w:val="00A2103F"/>
    <w:rsid w:val="00A210D4"/>
    <w:rsid w:val="00A21612"/>
    <w:rsid w:val="00A22259"/>
    <w:rsid w:val="00A24B7D"/>
    <w:rsid w:val="00A35AFA"/>
    <w:rsid w:val="00A3708A"/>
    <w:rsid w:val="00A37C57"/>
    <w:rsid w:val="00A4017E"/>
    <w:rsid w:val="00A44D89"/>
    <w:rsid w:val="00A47EFF"/>
    <w:rsid w:val="00A506A0"/>
    <w:rsid w:val="00A65577"/>
    <w:rsid w:val="00A65D6C"/>
    <w:rsid w:val="00A66478"/>
    <w:rsid w:val="00A666F1"/>
    <w:rsid w:val="00A667DC"/>
    <w:rsid w:val="00A6775D"/>
    <w:rsid w:val="00A711DB"/>
    <w:rsid w:val="00A774B7"/>
    <w:rsid w:val="00A80CDB"/>
    <w:rsid w:val="00A823B9"/>
    <w:rsid w:val="00A835BB"/>
    <w:rsid w:val="00A9358F"/>
    <w:rsid w:val="00A96961"/>
    <w:rsid w:val="00AA06CB"/>
    <w:rsid w:val="00AA227C"/>
    <w:rsid w:val="00AA6C04"/>
    <w:rsid w:val="00AA75EC"/>
    <w:rsid w:val="00AB07E1"/>
    <w:rsid w:val="00AB238C"/>
    <w:rsid w:val="00AC2F33"/>
    <w:rsid w:val="00AC3547"/>
    <w:rsid w:val="00AC48C3"/>
    <w:rsid w:val="00AC5F29"/>
    <w:rsid w:val="00AD6122"/>
    <w:rsid w:val="00AE07E3"/>
    <w:rsid w:val="00AE27EE"/>
    <w:rsid w:val="00AE3DE1"/>
    <w:rsid w:val="00AE43AE"/>
    <w:rsid w:val="00AE4E44"/>
    <w:rsid w:val="00AE625A"/>
    <w:rsid w:val="00AF09DF"/>
    <w:rsid w:val="00AF1A6F"/>
    <w:rsid w:val="00AF7C87"/>
    <w:rsid w:val="00B0319E"/>
    <w:rsid w:val="00B03901"/>
    <w:rsid w:val="00B05094"/>
    <w:rsid w:val="00B06375"/>
    <w:rsid w:val="00B07B0C"/>
    <w:rsid w:val="00B07FF5"/>
    <w:rsid w:val="00B1252B"/>
    <w:rsid w:val="00B12DFA"/>
    <w:rsid w:val="00B15DB0"/>
    <w:rsid w:val="00B2024F"/>
    <w:rsid w:val="00B21F4B"/>
    <w:rsid w:val="00B227BA"/>
    <w:rsid w:val="00B256D9"/>
    <w:rsid w:val="00B25CE0"/>
    <w:rsid w:val="00B26356"/>
    <w:rsid w:val="00B26B66"/>
    <w:rsid w:val="00B30F6B"/>
    <w:rsid w:val="00B32C02"/>
    <w:rsid w:val="00B36373"/>
    <w:rsid w:val="00B3757E"/>
    <w:rsid w:val="00B40BB2"/>
    <w:rsid w:val="00B42770"/>
    <w:rsid w:val="00B44BB4"/>
    <w:rsid w:val="00B4513B"/>
    <w:rsid w:val="00B63C48"/>
    <w:rsid w:val="00B660A4"/>
    <w:rsid w:val="00B665E8"/>
    <w:rsid w:val="00B71556"/>
    <w:rsid w:val="00B745B4"/>
    <w:rsid w:val="00B74AD5"/>
    <w:rsid w:val="00B8762C"/>
    <w:rsid w:val="00B91FBD"/>
    <w:rsid w:val="00B94487"/>
    <w:rsid w:val="00B9459F"/>
    <w:rsid w:val="00B95781"/>
    <w:rsid w:val="00B96F44"/>
    <w:rsid w:val="00B97828"/>
    <w:rsid w:val="00BA1D88"/>
    <w:rsid w:val="00BA2181"/>
    <w:rsid w:val="00BA30ED"/>
    <w:rsid w:val="00BB052A"/>
    <w:rsid w:val="00BB318D"/>
    <w:rsid w:val="00BB3E31"/>
    <w:rsid w:val="00BB46F3"/>
    <w:rsid w:val="00BB520F"/>
    <w:rsid w:val="00BB72EC"/>
    <w:rsid w:val="00BC1499"/>
    <w:rsid w:val="00BC239A"/>
    <w:rsid w:val="00BC533A"/>
    <w:rsid w:val="00BC69AB"/>
    <w:rsid w:val="00BD352A"/>
    <w:rsid w:val="00BD3E21"/>
    <w:rsid w:val="00BD6D6E"/>
    <w:rsid w:val="00BD6DB2"/>
    <w:rsid w:val="00BE26F6"/>
    <w:rsid w:val="00BE4670"/>
    <w:rsid w:val="00BE7A4D"/>
    <w:rsid w:val="00BF0C6C"/>
    <w:rsid w:val="00BF4ED2"/>
    <w:rsid w:val="00BF75FE"/>
    <w:rsid w:val="00C011ED"/>
    <w:rsid w:val="00C0756E"/>
    <w:rsid w:val="00C10E5D"/>
    <w:rsid w:val="00C14330"/>
    <w:rsid w:val="00C148B7"/>
    <w:rsid w:val="00C1589F"/>
    <w:rsid w:val="00C160A5"/>
    <w:rsid w:val="00C17580"/>
    <w:rsid w:val="00C23109"/>
    <w:rsid w:val="00C254F3"/>
    <w:rsid w:val="00C25FD1"/>
    <w:rsid w:val="00C25FEA"/>
    <w:rsid w:val="00C27443"/>
    <w:rsid w:val="00C30719"/>
    <w:rsid w:val="00C37413"/>
    <w:rsid w:val="00C37B6F"/>
    <w:rsid w:val="00C428CC"/>
    <w:rsid w:val="00C433D6"/>
    <w:rsid w:val="00C43D25"/>
    <w:rsid w:val="00C4405C"/>
    <w:rsid w:val="00C47F32"/>
    <w:rsid w:val="00C523EE"/>
    <w:rsid w:val="00C54D69"/>
    <w:rsid w:val="00C5508F"/>
    <w:rsid w:val="00C657EC"/>
    <w:rsid w:val="00C71120"/>
    <w:rsid w:val="00C77193"/>
    <w:rsid w:val="00C8165E"/>
    <w:rsid w:val="00C81698"/>
    <w:rsid w:val="00C863AE"/>
    <w:rsid w:val="00C94E27"/>
    <w:rsid w:val="00CA1AFB"/>
    <w:rsid w:val="00CA3182"/>
    <w:rsid w:val="00CA51D3"/>
    <w:rsid w:val="00CA7FBD"/>
    <w:rsid w:val="00CB065C"/>
    <w:rsid w:val="00CB4B60"/>
    <w:rsid w:val="00CB7386"/>
    <w:rsid w:val="00CC049D"/>
    <w:rsid w:val="00CC212F"/>
    <w:rsid w:val="00CC4E57"/>
    <w:rsid w:val="00CC6BCC"/>
    <w:rsid w:val="00CD26BD"/>
    <w:rsid w:val="00CE2CD4"/>
    <w:rsid w:val="00CE44DE"/>
    <w:rsid w:val="00CE7F17"/>
    <w:rsid w:val="00CF3675"/>
    <w:rsid w:val="00CF4732"/>
    <w:rsid w:val="00CF53FF"/>
    <w:rsid w:val="00CF742E"/>
    <w:rsid w:val="00CF78AF"/>
    <w:rsid w:val="00D00672"/>
    <w:rsid w:val="00D00C16"/>
    <w:rsid w:val="00D03083"/>
    <w:rsid w:val="00D04D0F"/>
    <w:rsid w:val="00D05FFF"/>
    <w:rsid w:val="00D138EE"/>
    <w:rsid w:val="00D15180"/>
    <w:rsid w:val="00D15B00"/>
    <w:rsid w:val="00D222AB"/>
    <w:rsid w:val="00D232A0"/>
    <w:rsid w:val="00D2637B"/>
    <w:rsid w:val="00D27BA4"/>
    <w:rsid w:val="00D27F8A"/>
    <w:rsid w:val="00D313D1"/>
    <w:rsid w:val="00D35574"/>
    <w:rsid w:val="00D36516"/>
    <w:rsid w:val="00D52766"/>
    <w:rsid w:val="00D528E2"/>
    <w:rsid w:val="00D61638"/>
    <w:rsid w:val="00D639F6"/>
    <w:rsid w:val="00D65E66"/>
    <w:rsid w:val="00D70C85"/>
    <w:rsid w:val="00D72D7B"/>
    <w:rsid w:val="00D73C9A"/>
    <w:rsid w:val="00D750A8"/>
    <w:rsid w:val="00D75A50"/>
    <w:rsid w:val="00D75CA9"/>
    <w:rsid w:val="00D76E4C"/>
    <w:rsid w:val="00D77D34"/>
    <w:rsid w:val="00D806AE"/>
    <w:rsid w:val="00D806CE"/>
    <w:rsid w:val="00D81B3A"/>
    <w:rsid w:val="00D83BCE"/>
    <w:rsid w:val="00D85243"/>
    <w:rsid w:val="00D852F0"/>
    <w:rsid w:val="00D8582C"/>
    <w:rsid w:val="00D85A10"/>
    <w:rsid w:val="00D903AE"/>
    <w:rsid w:val="00D91720"/>
    <w:rsid w:val="00D936C1"/>
    <w:rsid w:val="00D9539C"/>
    <w:rsid w:val="00D95B5F"/>
    <w:rsid w:val="00D96BB4"/>
    <w:rsid w:val="00DA2593"/>
    <w:rsid w:val="00DA35D9"/>
    <w:rsid w:val="00DA3E82"/>
    <w:rsid w:val="00DA697A"/>
    <w:rsid w:val="00DB2CA4"/>
    <w:rsid w:val="00DB5988"/>
    <w:rsid w:val="00DB656C"/>
    <w:rsid w:val="00DB6DEB"/>
    <w:rsid w:val="00DB727E"/>
    <w:rsid w:val="00DB7444"/>
    <w:rsid w:val="00DC18ED"/>
    <w:rsid w:val="00DC1C31"/>
    <w:rsid w:val="00DC2B33"/>
    <w:rsid w:val="00DC4E88"/>
    <w:rsid w:val="00DC6C6D"/>
    <w:rsid w:val="00DD191E"/>
    <w:rsid w:val="00DD2FCC"/>
    <w:rsid w:val="00DD3F77"/>
    <w:rsid w:val="00DE1D92"/>
    <w:rsid w:val="00DF105C"/>
    <w:rsid w:val="00DF3255"/>
    <w:rsid w:val="00DF4625"/>
    <w:rsid w:val="00DF7C05"/>
    <w:rsid w:val="00E02BA3"/>
    <w:rsid w:val="00E0411A"/>
    <w:rsid w:val="00E04A1F"/>
    <w:rsid w:val="00E05879"/>
    <w:rsid w:val="00E075E2"/>
    <w:rsid w:val="00E110F3"/>
    <w:rsid w:val="00E153C1"/>
    <w:rsid w:val="00E21BC1"/>
    <w:rsid w:val="00E239EE"/>
    <w:rsid w:val="00E2415B"/>
    <w:rsid w:val="00E26268"/>
    <w:rsid w:val="00E27396"/>
    <w:rsid w:val="00E27A9B"/>
    <w:rsid w:val="00E32451"/>
    <w:rsid w:val="00E35F97"/>
    <w:rsid w:val="00E36592"/>
    <w:rsid w:val="00E378D7"/>
    <w:rsid w:val="00E412BA"/>
    <w:rsid w:val="00E433D5"/>
    <w:rsid w:val="00E47599"/>
    <w:rsid w:val="00E5089F"/>
    <w:rsid w:val="00E50A99"/>
    <w:rsid w:val="00E54072"/>
    <w:rsid w:val="00E55AC0"/>
    <w:rsid w:val="00E55F38"/>
    <w:rsid w:val="00E56CC1"/>
    <w:rsid w:val="00E60CC7"/>
    <w:rsid w:val="00E61F9D"/>
    <w:rsid w:val="00E63D6F"/>
    <w:rsid w:val="00E65357"/>
    <w:rsid w:val="00E66DCF"/>
    <w:rsid w:val="00E67160"/>
    <w:rsid w:val="00E71BB2"/>
    <w:rsid w:val="00E743BE"/>
    <w:rsid w:val="00E770D2"/>
    <w:rsid w:val="00E80FD6"/>
    <w:rsid w:val="00E83ACC"/>
    <w:rsid w:val="00E84430"/>
    <w:rsid w:val="00E87BF1"/>
    <w:rsid w:val="00E934F4"/>
    <w:rsid w:val="00E938D3"/>
    <w:rsid w:val="00E975CF"/>
    <w:rsid w:val="00EA1F73"/>
    <w:rsid w:val="00EB0939"/>
    <w:rsid w:val="00EB3AE4"/>
    <w:rsid w:val="00EB5052"/>
    <w:rsid w:val="00EB76F2"/>
    <w:rsid w:val="00EB7BEE"/>
    <w:rsid w:val="00EC0CE5"/>
    <w:rsid w:val="00EC27C5"/>
    <w:rsid w:val="00EC6ED6"/>
    <w:rsid w:val="00ED32AD"/>
    <w:rsid w:val="00EE63A6"/>
    <w:rsid w:val="00EF20EE"/>
    <w:rsid w:val="00EF739F"/>
    <w:rsid w:val="00F01B11"/>
    <w:rsid w:val="00F035A5"/>
    <w:rsid w:val="00F0604F"/>
    <w:rsid w:val="00F13A57"/>
    <w:rsid w:val="00F21C78"/>
    <w:rsid w:val="00F2268C"/>
    <w:rsid w:val="00F24F01"/>
    <w:rsid w:val="00F27340"/>
    <w:rsid w:val="00F27E62"/>
    <w:rsid w:val="00F31156"/>
    <w:rsid w:val="00F322C0"/>
    <w:rsid w:val="00F34B20"/>
    <w:rsid w:val="00F40682"/>
    <w:rsid w:val="00F41612"/>
    <w:rsid w:val="00F43AE5"/>
    <w:rsid w:val="00F44C9A"/>
    <w:rsid w:val="00F46CEB"/>
    <w:rsid w:val="00F47732"/>
    <w:rsid w:val="00F54858"/>
    <w:rsid w:val="00F5614A"/>
    <w:rsid w:val="00F56B83"/>
    <w:rsid w:val="00F601BF"/>
    <w:rsid w:val="00F63AF9"/>
    <w:rsid w:val="00F657BF"/>
    <w:rsid w:val="00F70510"/>
    <w:rsid w:val="00F70C0F"/>
    <w:rsid w:val="00F71218"/>
    <w:rsid w:val="00F747A9"/>
    <w:rsid w:val="00F75163"/>
    <w:rsid w:val="00F76878"/>
    <w:rsid w:val="00F777A9"/>
    <w:rsid w:val="00F80C67"/>
    <w:rsid w:val="00F86DDE"/>
    <w:rsid w:val="00F906CE"/>
    <w:rsid w:val="00F9109B"/>
    <w:rsid w:val="00F91E70"/>
    <w:rsid w:val="00F94522"/>
    <w:rsid w:val="00FA1FC7"/>
    <w:rsid w:val="00FA5C06"/>
    <w:rsid w:val="00FB388D"/>
    <w:rsid w:val="00FB4B2D"/>
    <w:rsid w:val="00FB4E25"/>
    <w:rsid w:val="00FB53B2"/>
    <w:rsid w:val="00FC3611"/>
    <w:rsid w:val="00FC3720"/>
    <w:rsid w:val="00FC4A0B"/>
    <w:rsid w:val="00FC4D43"/>
    <w:rsid w:val="00FC58E3"/>
    <w:rsid w:val="00FC5C39"/>
    <w:rsid w:val="00FC6F0C"/>
    <w:rsid w:val="00FD014A"/>
    <w:rsid w:val="00FD0380"/>
    <w:rsid w:val="00FD145E"/>
    <w:rsid w:val="00FD2A2C"/>
    <w:rsid w:val="00FD3210"/>
    <w:rsid w:val="00FD388A"/>
    <w:rsid w:val="00FD4F36"/>
    <w:rsid w:val="00FD6250"/>
    <w:rsid w:val="00FD6D38"/>
    <w:rsid w:val="00FE41F3"/>
    <w:rsid w:val="00FE6170"/>
    <w:rsid w:val="00FF2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23B39F2"/>
  <w15:docId w15:val="{47CE6B92-CDAE-475C-9290-A9EE44AEE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FDD"/>
    <w:pPr>
      <w:spacing w:before="120" w:after="120"/>
    </w:pPr>
    <w:rPr>
      <w:rFonts w:ascii="Arial" w:hAnsi="Arial"/>
      <w:color w:val="212120"/>
      <w:kern w:val="28"/>
      <w:sz w:val="22"/>
      <w14:ligatures w14:val="standard"/>
      <w14:cntxtAlts/>
    </w:rPr>
  </w:style>
  <w:style w:type="paragraph" w:styleId="Heading1">
    <w:name w:val="heading 1"/>
    <w:basedOn w:val="Normal"/>
    <w:next w:val="Normal"/>
    <w:link w:val="Heading1Char"/>
    <w:autoRedefine/>
    <w:qFormat/>
    <w:rsid w:val="001F1C62"/>
    <w:pPr>
      <w:keepNext/>
      <w:outlineLvl w:val="0"/>
    </w:pPr>
    <w:rPr>
      <w:b/>
      <w:color w:val="auto"/>
      <w:kern w:val="0"/>
      <w:sz w:val="24"/>
      <w:lang w:val="en-US"/>
      <w14:ligatures w14:val="none"/>
      <w14:cntxtAlts w14:val="0"/>
    </w:rPr>
  </w:style>
  <w:style w:type="paragraph" w:styleId="Heading2">
    <w:name w:val="heading 2"/>
    <w:basedOn w:val="Normal"/>
    <w:next w:val="Normal"/>
    <w:link w:val="Heading2Char"/>
    <w:semiHidden/>
    <w:unhideWhenUsed/>
    <w:qFormat/>
    <w:rsid w:val="00BC69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3AF7"/>
    <w:pPr>
      <w:tabs>
        <w:tab w:val="center" w:pos="4153"/>
        <w:tab w:val="right" w:pos="8306"/>
      </w:tabs>
    </w:pPr>
  </w:style>
  <w:style w:type="paragraph" w:styleId="Footer">
    <w:name w:val="footer"/>
    <w:basedOn w:val="Normal"/>
    <w:link w:val="FooterChar"/>
    <w:uiPriority w:val="99"/>
    <w:rsid w:val="00413AF7"/>
    <w:pPr>
      <w:tabs>
        <w:tab w:val="center" w:pos="4153"/>
        <w:tab w:val="right" w:pos="8306"/>
      </w:tabs>
    </w:pPr>
  </w:style>
  <w:style w:type="paragraph" w:styleId="BalloonText">
    <w:name w:val="Balloon Text"/>
    <w:basedOn w:val="Normal"/>
    <w:semiHidden/>
    <w:rsid w:val="001A63C1"/>
    <w:rPr>
      <w:rFonts w:ascii="Tahoma" w:hAnsi="Tahoma" w:cs="Tahoma"/>
      <w:sz w:val="16"/>
      <w:szCs w:val="16"/>
    </w:rPr>
  </w:style>
  <w:style w:type="character" w:customStyle="1" w:styleId="Heading1Char">
    <w:name w:val="Heading 1 Char"/>
    <w:basedOn w:val="DefaultParagraphFont"/>
    <w:link w:val="Heading1"/>
    <w:rsid w:val="001F1C62"/>
    <w:rPr>
      <w:rFonts w:ascii="Arial" w:hAnsi="Arial"/>
      <w:b/>
      <w:sz w:val="24"/>
      <w:lang w:val="en-US"/>
    </w:rPr>
  </w:style>
  <w:style w:type="character" w:customStyle="1" w:styleId="HeaderChar">
    <w:name w:val="Header Char"/>
    <w:basedOn w:val="DefaultParagraphFont"/>
    <w:link w:val="Header"/>
    <w:uiPriority w:val="99"/>
    <w:rsid w:val="005034F1"/>
    <w:rPr>
      <w:rFonts w:ascii="Arial" w:hAnsi="Arial"/>
      <w:color w:val="212120"/>
      <w:kern w:val="28"/>
      <w:sz w:val="22"/>
      <w14:ligatures w14:val="standard"/>
      <w14:cntxtAlts/>
    </w:rPr>
  </w:style>
  <w:style w:type="character" w:customStyle="1" w:styleId="FooterChar">
    <w:name w:val="Footer Char"/>
    <w:basedOn w:val="DefaultParagraphFont"/>
    <w:link w:val="Footer"/>
    <w:uiPriority w:val="99"/>
    <w:rsid w:val="005034F1"/>
    <w:rPr>
      <w:rFonts w:ascii="Arial" w:hAnsi="Arial"/>
      <w:color w:val="212120"/>
      <w:kern w:val="28"/>
      <w:sz w:val="22"/>
      <w14:ligatures w14:val="standard"/>
      <w14:cntxtAlts/>
    </w:rPr>
  </w:style>
  <w:style w:type="character" w:styleId="Hyperlink">
    <w:name w:val="Hyperlink"/>
    <w:basedOn w:val="DefaultParagraphFont"/>
    <w:uiPriority w:val="99"/>
    <w:unhideWhenUsed/>
    <w:rsid w:val="005A338D"/>
    <w:rPr>
      <w:color w:val="0000FF" w:themeColor="hyperlink"/>
      <w:u w:val="single"/>
    </w:rPr>
  </w:style>
  <w:style w:type="paragraph" w:styleId="FootnoteText">
    <w:name w:val="footnote text"/>
    <w:basedOn w:val="Normal"/>
    <w:link w:val="FootnoteTextChar"/>
    <w:semiHidden/>
    <w:unhideWhenUsed/>
    <w:rsid w:val="00540293"/>
    <w:pPr>
      <w:spacing w:before="0" w:after="0"/>
    </w:pPr>
    <w:rPr>
      <w:sz w:val="20"/>
    </w:rPr>
  </w:style>
  <w:style w:type="character" w:customStyle="1" w:styleId="FootnoteTextChar">
    <w:name w:val="Footnote Text Char"/>
    <w:basedOn w:val="DefaultParagraphFont"/>
    <w:link w:val="FootnoteText"/>
    <w:semiHidden/>
    <w:rsid w:val="00540293"/>
    <w:rPr>
      <w:rFonts w:ascii="Arial" w:hAnsi="Arial"/>
      <w:color w:val="212120"/>
      <w:kern w:val="28"/>
      <w14:ligatures w14:val="standard"/>
      <w14:cntxtAlts/>
    </w:rPr>
  </w:style>
  <w:style w:type="character" w:styleId="FootnoteReference">
    <w:name w:val="footnote reference"/>
    <w:basedOn w:val="DefaultParagraphFont"/>
    <w:semiHidden/>
    <w:unhideWhenUsed/>
    <w:rsid w:val="00540293"/>
    <w:rPr>
      <w:vertAlign w:val="superscript"/>
    </w:rPr>
  </w:style>
  <w:style w:type="paragraph" w:styleId="ListParagraph">
    <w:name w:val="List Paragraph"/>
    <w:basedOn w:val="Normal"/>
    <w:uiPriority w:val="34"/>
    <w:qFormat/>
    <w:rsid w:val="00583E41"/>
    <w:pPr>
      <w:spacing w:before="0" w:after="200" w:line="276" w:lineRule="auto"/>
      <w:ind w:left="720"/>
      <w:contextualSpacing/>
    </w:pPr>
    <w:rPr>
      <w:rFonts w:asciiTheme="minorHAnsi" w:eastAsiaTheme="minorHAnsi" w:hAnsiTheme="minorHAnsi" w:cstheme="minorBidi"/>
      <w:color w:val="auto"/>
      <w:kern w:val="0"/>
      <w:szCs w:val="22"/>
      <w:lang w:eastAsia="en-US"/>
      <w14:ligatures w14:val="none"/>
      <w14:cntxtAlts w14:val="0"/>
    </w:rPr>
  </w:style>
  <w:style w:type="character" w:customStyle="1" w:styleId="Heading2Char">
    <w:name w:val="Heading 2 Char"/>
    <w:basedOn w:val="DefaultParagraphFont"/>
    <w:link w:val="Heading2"/>
    <w:semiHidden/>
    <w:rsid w:val="00BC69AB"/>
    <w:rPr>
      <w:rFonts w:asciiTheme="majorHAnsi" w:eastAsiaTheme="majorEastAsia" w:hAnsiTheme="majorHAnsi" w:cstheme="majorBidi"/>
      <w:color w:val="365F91" w:themeColor="accent1" w:themeShade="BF"/>
      <w:kern w:val="28"/>
      <w:sz w:val="26"/>
      <w:szCs w:val="26"/>
      <w14:ligatures w14:val="standard"/>
      <w14:cntxtAlts/>
    </w:rPr>
  </w:style>
  <w:style w:type="character" w:styleId="Strong">
    <w:name w:val="Strong"/>
    <w:basedOn w:val="DefaultParagraphFont"/>
    <w:uiPriority w:val="22"/>
    <w:qFormat/>
    <w:rsid w:val="00BC69AB"/>
    <w:rPr>
      <w:b/>
      <w:bCs/>
    </w:rPr>
  </w:style>
  <w:style w:type="paragraph" w:styleId="NormalWeb">
    <w:name w:val="Normal (Web)"/>
    <w:basedOn w:val="Normal"/>
    <w:uiPriority w:val="99"/>
    <w:semiHidden/>
    <w:unhideWhenUsed/>
    <w:rsid w:val="00BC69AB"/>
    <w:pPr>
      <w:spacing w:before="100" w:beforeAutospacing="1" w:after="100" w:afterAutospacing="1"/>
    </w:pPr>
    <w:rPr>
      <w:rFonts w:ascii="Times New Roman" w:hAnsi="Times New Roman"/>
      <w:color w:val="auto"/>
      <w:kern w:val="0"/>
      <w:sz w:val="24"/>
      <w:szCs w:val="24"/>
      <w14:ligatures w14:val="none"/>
      <w14:cntxtAlts w14:val="0"/>
    </w:rPr>
  </w:style>
  <w:style w:type="character" w:styleId="CommentReference">
    <w:name w:val="annotation reference"/>
    <w:basedOn w:val="DefaultParagraphFont"/>
    <w:semiHidden/>
    <w:unhideWhenUsed/>
    <w:rsid w:val="000468E2"/>
    <w:rPr>
      <w:sz w:val="16"/>
      <w:szCs w:val="16"/>
    </w:rPr>
  </w:style>
  <w:style w:type="paragraph" w:styleId="CommentText">
    <w:name w:val="annotation text"/>
    <w:basedOn w:val="Normal"/>
    <w:link w:val="CommentTextChar"/>
    <w:semiHidden/>
    <w:unhideWhenUsed/>
    <w:rsid w:val="000468E2"/>
    <w:rPr>
      <w:sz w:val="20"/>
    </w:rPr>
  </w:style>
  <w:style w:type="character" w:customStyle="1" w:styleId="CommentTextChar">
    <w:name w:val="Comment Text Char"/>
    <w:basedOn w:val="DefaultParagraphFont"/>
    <w:link w:val="CommentText"/>
    <w:semiHidden/>
    <w:rsid w:val="000468E2"/>
    <w:rPr>
      <w:rFonts w:ascii="Arial" w:hAnsi="Arial"/>
      <w:color w:val="212120"/>
      <w:kern w:val="28"/>
      <w14:ligatures w14:val="standard"/>
      <w14:cntxtAlts/>
    </w:rPr>
  </w:style>
  <w:style w:type="paragraph" w:styleId="CommentSubject">
    <w:name w:val="annotation subject"/>
    <w:basedOn w:val="CommentText"/>
    <w:next w:val="CommentText"/>
    <w:link w:val="CommentSubjectChar"/>
    <w:semiHidden/>
    <w:unhideWhenUsed/>
    <w:rsid w:val="000468E2"/>
    <w:rPr>
      <w:b/>
      <w:bCs/>
    </w:rPr>
  </w:style>
  <w:style w:type="character" w:customStyle="1" w:styleId="CommentSubjectChar">
    <w:name w:val="Comment Subject Char"/>
    <w:basedOn w:val="CommentTextChar"/>
    <w:link w:val="CommentSubject"/>
    <w:semiHidden/>
    <w:rsid w:val="000468E2"/>
    <w:rPr>
      <w:rFonts w:ascii="Arial" w:hAnsi="Arial"/>
      <w:b/>
      <w:bCs/>
      <w:color w:val="212120"/>
      <w:kern w:val="2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inquiry@parliament.qld.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773D1-432D-4BC8-8B22-0837EBA63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E1540190</Template>
  <TotalTime>494</TotalTime>
  <Pages>4</Pages>
  <Words>1156</Words>
  <Characters>6379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Ball</dc:creator>
  <cp:lastModifiedBy>Coral Logan</cp:lastModifiedBy>
  <cp:revision>12</cp:revision>
  <cp:lastPrinted>2019-04-15T00:06:00Z</cp:lastPrinted>
  <dcterms:created xsi:type="dcterms:W3CDTF">2019-04-11T00:39:00Z</dcterms:created>
  <dcterms:modified xsi:type="dcterms:W3CDTF">2019-04-15T00:09:00Z</dcterms:modified>
</cp:coreProperties>
</file>