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93" w:rsidRDefault="00B97493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AA0CF2" w:rsidRDefault="00AA0CF2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AA0CF2" w:rsidRPr="006206DF" w:rsidRDefault="00AA0CF2" w:rsidP="00434BB0">
      <w:pPr>
        <w:spacing w:after="240" w:line="22" w:lineRule="atLeast"/>
        <w:rPr>
          <w:rFonts w:ascii="Arial" w:hAnsi="Arial" w:cs="Arial"/>
          <w:sz w:val="20"/>
          <w:szCs w:val="20"/>
        </w:rPr>
      </w:pPr>
      <w:r w:rsidRPr="006206DF">
        <w:rPr>
          <w:rFonts w:ascii="Arial" w:hAnsi="Arial" w:cs="Arial"/>
          <w:sz w:val="20"/>
          <w:szCs w:val="20"/>
        </w:rPr>
        <w:t xml:space="preserve">Our reference: BNE </w:t>
      </w:r>
      <w:r w:rsidR="000A3B3C">
        <w:rPr>
          <w:rFonts w:ascii="Arial" w:hAnsi="Arial" w:cs="Arial"/>
          <w:sz w:val="20"/>
          <w:szCs w:val="20"/>
        </w:rPr>
        <w:t>3416878</w:t>
      </w:r>
    </w:p>
    <w:p w:rsidR="0088060D" w:rsidRDefault="000A3B3C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December 2019</w:t>
      </w:r>
    </w:p>
    <w:p w:rsidR="0088060D" w:rsidRDefault="0088060D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88060D" w:rsidRDefault="00AA0CF2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</w:p>
    <w:p w:rsidR="0088060D" w:rsidRDefault="00AA0CF2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Affairs and Community Safety Committee</w:t>
      </w:r>
    </w:p>
    <w:p w:rsidR="0088060D" w:rsidRDefault="00AA0CF2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Parliament House</w:t>
      </w:r>
    </w:p>
    <w:p w:rsidR="00AA0CF2" w:rsidRDefault="00AA0CF2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George </w:t>
      </w:r>
      <w:r w:rsidR="009E201D">
        <w:rPr>
          <w:rFonts w:ascii="Arial" w:hAnsi="Arial" w:cs="Arial"/>
          <w:sz w:val="24"/>
          <w:szCs w:val="24"/>
        </w:rPr>
        <w:t>Street</w:t>
      </w:r>
    </w:p>
    <w:p w:rsidR="0088060D" w:rsidRDefault="00AA0CF2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BRISBANE QLD 4000</w:t>
      </w:r>
    </w:p>
    <w:p w:rsidR="0088060D" w:rsidRDefault="0088060D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88060D" w:rsidRPr="0088060D" w:rsidRDefault="0088060D" w:rsidP="00434BB0">
      <w:pPr>
        <w:spacing w:after="0" w:line="22" w:lineRule="atLeast"/>
        <w:rPr>
          <w:rFonts w:ascii="Arial" w:hAnsi="Arial" w:cs="Arial"/>
          <w:b/>
          <w:i/>
          <w:sz w:val="24"/>
          <w:szCs w:val="24"/>
        </w:rPr>
      </w:pPr>
      <w:r w:rsidRPr="0088060D">
        <w:rPr>
          <w:rFonts w:ascii="Arial" w:hAnsi="Arial" w:cs="Arial"/>
          <w:b/>
          <w:i/>
          <w:sz w:val="24"/>
          <w:szCs w:val="24"/>
        </w:rPr>
        <w:t xml:space="preserve">By email: </w:t>
      </w:r>
      <w:hyperlink r:id="rId8" w:history="1">
        <w:r w:rsidR="00AA0CF2" w:rsidRPr="00427E91">
          <w:rPr>
            <w:rStyle w:val="Hyperlink"/>
            <w:rFonts w:ascii="Arial" w:hAnsi="Arial" w:cs="Arial"/>
            <w:b/>
            <w:i/>
            <w:sz w:val="24"/>
            <w:szCs w:val="24"/>
          </w:rPr>
          <w:t>lacsc@parliament.qld.gov.au</w:t>
        </w:r>
      </w:hyperlink>
      <w:r w:rsidR="00AA0CF2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8060D" w:rsidRDefault="0088060D" w:rsidP="00434BB0">
      <w:pPr>
        <w:spacing w:after="0" w:line="22" w:lineRule="atLeast"/>
        <w:rPr>
          <w:rFonts w:ascii="Arial" w:hAnsi="Arial" w:cs="Arial"/>
          <w:sz w:val="24"/>
          <w:szCs w:val="24"/>
        </w:rPr>
      </w:pPr>
    </w:p>
    <w:p w:rsidR="0088060D" w:rsidRDefault="0088060D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AA0CF2">
        <w:rPr>
          <w:rFonts w:ascii="Arial" w:hAnsi="Arial" w:cs="Arial"/>
          <w:sz w:val="24"/>
          <w:szCs w:val="24"/>
        </w:rPr>
        <w:t>Chair</w:t>
      </w:r>
    </w:p>
    <w:p w:rsidR="00AA0CF2" w:rsidRPr="00AA0CF2" w:rsidRDefault="00AA0CF2" w:rsidP="00434BB0">
      <w:pPr>
        <w:spacing w:before="120" w:after="240" w:line="22" w:lineRule="atLeast"/>
        <w:rPr>
          <w:rFonts w:ascii="Arial" w:hAnsi="Arial" w:cs="Arial"/>
          <w:b/>
          <w:sz w:val="24"/>
          <w:szCs w:val="24"/>
        </w:rPr>
      </w:pPr>
      <w:r w:rsidRPr="00AA0CF2">
        <w:rPr>
          <w:rFonts w:ascii="Arial" w:hAnsi="Arial" w:cs="Arial"/>
          <w:b/>
          <w:sz w:val="24"/>
          <w:szCs w:val="24"/>
        </w:rPr>
        <w:t>JUSTICE AND OTHER LEGISLATION AMENDMENT BILL 2019</w:t>
      </w:r>
    </w:p>
    <w:p w:rsidR="0088060D" w:rsidRDefault="0088060D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the opportunity to make a submission to the </w:t>
      </w:r>
      <w:r w:rsidR="00AA0CF2">
        <w:rPr>
          <w:rFonts w:ascii="Arial" w:hAnsi="Arial" w:cs="Arial"/>
          <w:sz w:val="24"/>
          <w:szCs w:val="24"/>
        </w:rPr>
        <w:t>inquiry into the Justice and Other Legislation Amendment Bill 2019</w:t>
      </w:r>
      <w:r>
        <w:rPr>
          <w:rFonts w:ascii="Arial" w:hAnsi="Arial" w:cs="Arial"/>
          <w:sz w:val="24"/>
          <w:szCs w:val="24"/>
        </w:rPr>
        <w:t>.</w:t>
      </w:r>
    </w:p>
    <w:p w:rsidR="00AA0CF2" w:rsidRDefault="00AA0CF2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Bill is to amend various legislation within the justice portfolio </w:t>
      </w:r>
      <w:r w:rsidR="0086744C">
        <w:rPr>
          <w:rFonts w:ascii="Arial" w:hAnsi="Arial" w:cs="Arial"/>
          <w:sz w:val="24"/>
          <w:szCs w:val="24"/>
        </w:rPr>
        <w:t xml:space="preserve">so as </w:t>
      </w:r>
      <w:r>
        <w:rPr>
          <w:rFonts w:ascii="Arial" w:hAnsi="Arial" w:cs="Arial"/>
          <w:sz w:val="24"/>
          <w:szCs w:val="24"/>
        </w:rPr>
        <w:t>to improve efficiencies, clarify, an</w:t>
      </w:r>
      <w:r w:rsidR="0086744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update the legislation.  The Bill includes amendments to the </w:t>
      </w:r>
      <w:r w:rsidRPr="00D4795C">
        <w:rPr>
          <w:rFonts w:ascii="Arial" w:hAnsi="Arial" w:cs="Arial"/>
          <w:i/>
          <w:sz w:val="24"/>
          <w:szCs w:val="24"/>
        </w:rPr>
        <w:t>Anti-Discrimination Act 1991</w:t>
      </w:r>
      <w:r w:rsidR="00D4795C">
        <w:rPr>
          <w:rFonts w:ascii="Arial" w:hAnsi="Arial" w:cs="Arial"/>
          <w:sz w:val="24"/>
          <w:szCs w:val="24"/>
        </w:rPr>
        <w:t xml:space="preserve"> relating to complaints about allegations of contraventions that occurred both inside and outside the statutory time limit for making a complaint to the Queensland Human Rights Commission (the Commission).</w:t>
      </w:r>
    </w:p>
    <w:p w:rsidR="00D4795C" w:rsidRDefault="00D4795C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submission is confined to </w:t>
      </w:r>
      <w:r w:rsidR="0086744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proposed amendments to the </w:t>
      </w:r>
      <w:r w:rsidRPr="00D4795C">
        <w:rPr>
          <w:rFonts w:ascii="Arial" w:hAnsi="Arial" w:cs="Arial"/>
          <w:i/>
          <w:sz w:val="24"/>
          <w:szCs w:val="24"/>
        </w:rPr>
        <w:t>Anti-Discrimination Act 1991</w:t>
      </w:r>
      <w:r w:rsidR="009E201D">
        <w:rPr>
          <w:rFonts w:ascii="Arial" w:hAnsi="Arial" w:cs="Arial"/>
          <w:i/>
          <w:sz w:val="24"/>
          <w:szCs w:val="24"/>
        </w:rPr>
        <w:t xml:space="preserve"> </w:t>
      </w:r>
      <w:r w:rsidR="009E201D">
        <w:rPr>
          <w:rFonts w:ascii="Arial" w:hAnsi="Arial" w:cs="Arial"/>
          <w:sz w:val="24"/>
          <w:szCs w:val="24"/>
        </w:rPr>
        <w:t>in the Bill</w:t>
      </w:r>
      <w:r>
        <w:rPr>
          <w:rFonts w:ascii="Arial" w:hAnsi="Arial" w:cs="Arial"/>
          <w:i/>
          <w:sz w:val="24"/>
          <w:szCs w:val="24"/>
        </w:rPr>
        <w:t>.</w:t>
      </w:r>
    </w:p>
    <w:p w:rsidR="00751AA0" w:rsidRPr="00751AA0" w:rsidRDefault="00751AA0" w:rsidP="00434BB0">
      <w:pPr>
        <w:spacing w:before="120" w:after="120" w:line="22" w:lineRule="atLeast"/>
        <w:rPr>
          <w:rFonts w:ascii="Arial" w:hAnsi="Arial" w:cs="Arial"/>
          <w:b/>
          <w:sz w:val="24"/>
          <w:szCs w:val="24"/>
        </w:rPr>
      </w:pPr>
      <w:r w:rsidRPr="00751AA0">
        <w:rPr>
          <w:rFonts w:ascii="Arial" w:hAnsi="Arial" w:cs="Arial"/>
          <w:b/>
          <w:sz w:val="24"/>
          <w:szCs w:val="24"/>
        </w:rPr>
        <w:t>The Commission’s functions relative to the Bill</w:t>
      </w:r>
    </w:p>
    <w:p w:rsidR="0088060D" w:rsidRDefault="0088060D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84964">
        <w:rPr>
          <w:rFonts w:ascii="Arial" w:hAnsi="Arial" w:cs="Arial"/>
          <w:sz w:val="24"/>
          <w:szCs w:val="24"/>
        </w:rPr>
        <w:t>Commission</w:t>
      </w:r>
      <w:r w:rsidR="0086744C">
        <w:rPr>
          <w:rFonts w:ascii="Arial" w:hAnsi="Arial" w:cs="Arial"/>
          <w:sz w:val="24"/>
          <w:szCs w:val="24"/>
        </w:rPr>
        <w:t>’s</w:t>
      </w:r>
      <w:r w:rsidR="001849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functions </w:t>
      </w:r>
      <w:r w:rsidR="00FF7ECD">
        <w:rPr>
          <w:rFonts w:ascii="Arial" w:hAnsi="Arial" w:cs="Arial"/>
          <w:sz w:val="24"/>
          <w:szCs w:val="24"/>
        </w:rPr>
        <w:t xml:space="preserve">include dealing with complaints made </w:t>
      </w:r>
      <w:r>
        <w:rPr>
          <w:rFonts w:ascii="Arial" w:hAnsi="Arial" w:cs="Arial"/>
          <w:sz w:val="24"/>
          <w:szCs w:val="24"/>
        </w:rPr>
        <w:t xml:space="preserve">under the </w:t>
      </w:r>
      <w:r w:rsidR="00FF7ECD">
        <w:rPr>
          <w:rFonts w:ascii="Arial" w:hAnsi="Arial" w:cs="Arial"/>
          <w:i/>
          <w:sz w:val="24"/>
          <w:szCs w:val="24"/>
        </w:rPr>
        <w:t>Anti-Discrimination Act 1991</w:t>
      </w:r>
      <w:r w:rsidR="0086744C">
        <w:rPr>
          <w:rFonts w:ascii="Arial" w:hAnsi="Arial" w:cs="Arial"/>
          <w:sz w:val="24"/>
          <w:szCs w:val="24"/>
        </w:rPr>
        <w:t>, namely, c</w:t>
      </w:r>
      <w:r w:rsidR="00FF7ECD">
        <w:rPr>
          <w:rFonts w:ascii="Arial" w:hAnsi="Arial" w:cs="Arial"/>
          <w:sz w:val="24"/>
          <w:szCs w:val="24"/>
        </w:rPr>
        <w:t xml:space="preserve">omplaints about contraventions of the </w:t>
      </w:r>
      <w:r w:rsidR="00D4795C" w:rsidRPr="00D4795C">
        <w:rPr>
          <w:rFonts w:ascii="Arial" w:hAnsi="Arial" w:cs="Arial"/>
          <w:i/>
          <w:sz w:val="24"/>
          <w:szCs w:val="24"/>
        </w:rPr>
        <w:t>Anti-Discrimination Act 1991</w:t>
      </w:r>
      <w:r w:rsidR="00FF7ECD">
        <w:rPr>
          <w:rFonts w:ascii="Arial" w:hAnsi="Arial" w:cs="Arial"/>
          <w:sz w:val="24"/>
          <w:szCs w:val="24"/>
        </w:rPr>
        <w:t xml:space="preserve"> and </w:t>
      </w:r>
      <w:r w:rsidR="0086744C">
        <w:rPr>
          <w:rFonts w:ascii="Arial" w:hAnsi="Arial" w:cs="Arial"/>
          <w:sz w:val="24"/>
          <w:szCs w:val="24"/>
        </w:rPr>
        <w:t xml:space="preserve">complaints about </w:t>
      </w:r>
      <w:r w:rsidR="00FF7ECD">
        <w:rPr>
          <w:rFonts w:ascii="Arial" w:hAnsi="Arial" w:cs="Arial"/>
          <w:sz w:val="24"/>
          <w:szCs w:val="24"/>
        </w:rPr>
        <w:t>reprisal</w:t>
      </w:r>
      <w:r w:rsidR="0086744C">
        <w:rPr>
          <w:rFonts w:ascii="Arial" w:hAnsi="Arial" w:cs="Arial"/>
          <w:sz w:val="24"/>
          <w:szCs w:val="24"/>
        </w:rPr>
        <w:t xml:space="preserve"> under the </w:t>
      </w:r>
      <w:r w:rsidR="0086744C">
        <w:rPr>
          <w:rFonts w:ascii="Arial" w:hAnsi="Arial" w:cs="Arial"/>
          <w:i/>
          <w:sz w:val="24"/>
          <w:szCs w:val="24"/>
        </w:rPr>
        <w:t>Public Interest Disclosure Act 2010</w:t>
      </w:r>
      <w:r w:rsidR="00FF7ECD">
        <w:rPr>
          <w:rFonts w:ascii="Arial" w:hAnsi="Arial" w:cs="Arial"/>
          <w:i/>
          <w:sz w:val="24"/>
          <w:szCs w:val="24"/>
        </w:rPr>
        <w:t>.</w:t>
      </w:r>
    </w:p>
    <w:p w:rsidR="007C160D" w:rsidRDefault="00D4795C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6744C">
        <w:rPr>
          <w:rFonts w:ascii="Arial" w:hAnsi="Arial" w:cs="Arial"/>
          <w:sz w:val="24"/>
          <w:szCs w:val="24"/>
        </w:rPr>
        <w:t xml:space="preserve">Commission’s </w:t>
      </w:r>
      <w:r>
        <w:rPr>
          <w:rFonts w:ascii="Arial" w:hAnsi="Arial" w:cs="Arial"/>
          <w:sz w:val="24"/>
          <w:szCs w:val="24"/>
        </w:rPr>
        <w:t xml:space="preserve">complaint handling function under the </w:t>
      </w:r>
      <w:r w:rsidRPr="00D4795C">
        <w:rPr>
          <w:rFonts w:ascii="Arial" w:hAnsi="Arial" w:cs="Arial"/>
          <w:i/>
          <w:sz w:val="24"/>
          <w:szCs w:val="24"/>
        </w:rPr>
        <w:t>Anti-Discrimination Act 1991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is, essentially, to endeavour to resolve complaints through conciliation.  Complaints that are not resolved through conciliation may be referred to a tribunal for hearing and determination.  For complaints about work-related matters the tribunal is the Queensland Industrial Relations Commission, and for all other complaints the tribunal is the Queensland Civil and Administrative Tribunal.</w:t>
      </w:r>
    </w:p>
    <w:p w:rsidR="007C160D" w:rsidRPr="007C160D" w:rsidRDefault="007C160D" w:rsidP="00434BB0">
      <w:pPr>
        <w:keepNext/>
        <w:spacing w:before="120" w:after="120" w:line="22" w:lineRule="atLeast"/>
        <w:rPr>
          <w:rFonts w:ascii="Arial" w:hAnsi="Arial" w:cs="Arial"/>
          <w:b/>
          <w:sz w:val="24"/>
          <w:szCs w:val="24"/>
        </w:rPr>
      </w:pPr>
      <w:r w:rsidRPr="007C160D">
        <w:rPr>
          <w:rFonts w:ascii="Arial" w:hAnsi="Arial" w:cs="Arial"/>
          <w:b/>
          <w:sz w:val="24"/>
          <w:szCs w:val="24"/>
        </w:rPr>
        <w:lastRenderedPageBreak/>
        <w:t>Background</w:t>
      </w:r>
    </w:p>
    <w:p w:rsidR="00751AA0" w:rsidRDefault="009373B8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statutory</w:t>
      </w:r>
      <w:r w:rsidR="007C160D">
        <w:rPr>
          <w:rFonts w:ascii="Arial" w:hAnsi="Arial" w:cs="Arial"/>
          <w:sz w:val="24"/>
          <w:szCs w:val="24"/>
        </w:rPr>
        <w:t xml:space="preserve"> time limit </w:t>
      </w:r>
      <w:r>
        <w:rPr>
          <w:rFonts w:ascii="Arial" w:hAnsi="Arial" w:cs="Arial"/>
          <w:sz w:val="24"/>
          <w:szCs w:val="24"/>
        </w:rPr>
        <w:t>requires</w:t>
      </w:r>
      <w:r w:rsidR="007C160D">
        <w:rPr>
          <w:rFonts w:ascii="Arial" w:hAnsi="Arial" w:cs="Arial"/>
          <w:sz w:val="24"/>
          <w:szCs w:val="24"/>
        </w:rPr>
        <w:t xml:space="preserve"> a complaint </w:t>
      </w:r>
      <w:r>
        <w:rPr>
          <w:rFonts w:ascii="Arial" w:hAnsi="Arial" w:cs="Arial"/>
          <w:sz w:val="24"/>
          <w:szCs w:val="24"/>
        </w:rPr>
        <w:t xml:space="preserve">to be made to the Commission within </w:t>
      </w:r>
      <w:r w:rsidR="007C160D">
        <w:rPr>
          <w:rFonts w:ascii="Arial" w:hAnsi="Arial" w:cs="Arial"/>
          <w:sz w:val="24"/>
          <w:szCs w:val="24"/>
        </w:rPr>
        <w:t>one year from the alleged contravention.</w:t>
      </w:r>
      <w:r w:rsidR="007C160D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7C160D">
        <w:rPr>
          <w:rFonts w:ascii="Arial" w:hAnsi="Arial" w:cs="Arial"/>
          <w:sz w:val="24"/>
          <w:szCs w:val="24"/>
        </w:rPr>
        <w:t xml:space="preserve">  However, a complaint that is made more than one year after the alleged contravention (out-of-time) may be accepted if the </w:t>
      </w:r>
      <w:r>
        <w:rPr>
          <w:rFonts w:ascii="Arial" w:hAnsi="Arial" w:cs="Arial"/>
          <w:sz w:val="24"/>
          <w:szCs w:val="24"/>
        </w:rPr>
        <w:t>person making the complaint</w:t>
      </w:r>
      <w:r w:rsidR="007C160D">
        <w:rPr>
          <w:rFonts w:ascii="Arial" w:hAnsi="Arial" w:cs="Arial"/>
          <w:sz w:val="24"/>
          <w:szCs w:val="24"/>
        </w:rPr>
        <w:t xml:space="preserve"> shows good cause.</w:t>
      </w:r>
      <w:r w:rsidR="007C160D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7C160D">
        <w:rPr>
          <w:rFonts w:ascii="Arial" w:hAnsi="Arial" w:cs="Arial"/>
          <w:sz w:val="24"/>
          <w:szCs w:val="24"/>
        </w:rPr>
        <w:t xml:space="preserve">  The Commissioner’s discretion to accept an out-of-time complaint is unfettered, however case law </w:t>
      </w:r>
      <w:r w:rsidR="009E201D">
        <w:rPr>
          <w:rFonts w:ascii="Arial" w:hAnsi="Arial" w:cs="Arial"/>
          <w:sz w:val="24"/>
          <w:szCs w:val="24"/>
        </w:rPr>
        <w:t>guides</w:t>
      </w:r>
      <w:r w:rsidR="007C160D">
        <w:rPr>
          <w:rFonts w:ascii="Arial" w:hAnsi="Arial" w:cs="Arial"/>
          <w:sz w:val="24"/>
          <w:szCs w:val="24"/>
        </w:rPr>
        <w:t xml:space="preserve"> the types of factors that are relevant </w:t>
      </w:r>
      <w:r w:rsidR="00CE245E">
        <w:rPr>
          <w:rFonts w:ascii="Arial" w:hAnsi="Arial" w:cs="Arial"/>
          <w:sz w:val="24"/>
          <w:szCs w:val="24"/>
        </w:rPr>
        <w:t xml:space="preserve">when considering whether </w:t>
      </w:r>
      <w:r w:rsidR="007C160D">
        <w:rPr>
          <w:rFonts w:ascii="Arial" w:hAnsi="Arial" w:cs="Arial"/>
          <w:sz w:val="24"/>
          <w:szCs w:val="24"/>
        </w:rPr>
        <w:t>to exercise the discretion.</w:t>
      </w:r>
      <w:r w:rsidR="005134C3">
        <w:rPr>
          <w:rStyle w:val="FootnoteReference"/>
          <w:rFonts w:ascii="Arial" w:hAnsi="Arial" w:cs="Arial"/>
          <w:sz w:val="24"/>
          <w:szCs w:val="24"/>
        </w:rPr>
        <w:footnoteReference w:id="3"/>
      </w:r>
    </w:p>
    <w:p w:rsidR="0086744C" w:rsidRDefault="005134C3" w:rsidP="00434BB0">
      <w:pPr>
        <w:spacing w:before="120" w:after="12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decision whether or not to acce</w:t>
      </w:r>
      <w:r w:rsidR="00FF7ECD">
        <w:rPr>
          <w:rFonts w:ascii="Arial" w:hAnsi="Arial" w:cs="Arial"/>
          <w:sz w:val="24"/>
          <w:szCs w:val="24"/>
        </w:rPr>
        <w:t>pt a complaint made out-of-time</w:t>
      </w:r>
      <w:r>
        <w:rPr>
          <w:rFonts w:ascii="Arial" w:hAnsi="Arial" w:cs="Arial"/>
          <w:sz w:val="24"/>
          <w:szCs w:val="24"/>
        </w:rPr>
        <w:t xml:space="preserve"> affects the rights of the parties to the complaint, and accordingly the Commissioner </w:t>
      </w:r>
      <w:r w:rsidR="00FF7ECD">
        <w:rPr>
          <w:rFonts w:ascii="Arial" w:hAnsi="Arial" w:cs="Arial"/>
          <w:sz w:val="24"/>
          <w:szCs w:val="24"/>
        </w:rPr>
        <w:t xml:space="preserve">must </w:t>
      </w:r>
      <w:r>
        <w:rPr>
          <w:rFonts w:ascii="Arial" w:hAnsi="Arial" w:cs="Arial"/>
          <w:sz w:val="24"/>
          <w:szCs w:val="24"/>
        </w:rPr>
        <w:t>provide natural justice (also called procedural fairness) to the parties.  This involves</w:t>
      </w:r>
      <w:r w:rsidR="008674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744C" w:rsidRDefault="005134C3" w:rsidP="00434BB0">
      <w:pPr>
        <w:pStyle w:val="ListParagraph"/>
        <w:numPr>
          <w:ilvl w:val="0"/>
          <w:numId w:val="4"/>
        </w:numPr>
        <w:spacing w:before="120" w:after="12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6744C">
        <w:rPr>
          <w:rFonts w:ascii="Arial" w:hAnsi="Arial" w:cs="Arial"/>
          <w:sz w:val="24"/>
          <w:szCs w:val="24"/>
        </w:rPr>
        <w:t>giving the complainant an opportunity to provide submissions as to why the discretion shou</w:t>
      </w:r>
      <w:r w:rsidR="0086744C">
        <w:rPr>
          <w:rFonts w:ascii="Arial" w:hAnsi="Arial" w:cs="Arial"/>
          <w:sz w:val="24"/>
          <w:szCs w:val="24"/>
        </w:rPr>
        <w:t>ld be exercised in their favour;</w:t>
      </w:r>
      <w:r w:rsidRPr="0086744C">
        <w:rPr>
          <w:rFonts w:ascii="Arial" w:hAnsi="Arial" w:cs="Arial"/>
          <w:sz w:val="24"/>
          <w:szCs w:val="24"/>
        </w:rPr>
        <w:t xml:space="preserve"> </w:t>
      </w:r>
    </w:p>
    <w:p w:rsidR="0086744C" w:rsidRDefault="005134C3" w:rsidP="00434BB0">
      <w:pPr>
        <w:pStyle w:val="ListParagraph"/>
        <w:numPr>
          <w:ilvl w:val="0"/>
          <w:numId w:val="4"/>
        </w:numPr>
        <w:spacing w:before="120" w:after="12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6744C">
        <w:rPr>
          <w:rFonts w:ascii="Arial" w:hAnsi="Arial" w:cs="Arial"/>
          <w:sz w:val="24"/>
          <w:szCs w:val="24"/>
        </w:rPr>
        <w:t xml:space="preserve">giving those submissions to the respondents with an </w:t>
      </w:r>
      <w:r w:rsidR="0086744C">
        <w:rPr>
          <w:rFonts w:ascii="Arial" w:hAnsi="Arial" w:cs="Arial"/>
          <w:sz w:val="24"/>
          <w:szCs w:val="24"/>
        </w:rPr>
        <w:t>opportunity to make submissions;</w:t>
      </w:r>
      <w:r w:rsidRPr="0086744C">
        <w:rPr>
          <w:rFonts w:ascii="Arial" w:hAnsi="Arial" w:cs="Arial"/>
          <w:sz w:val="24"/>
          <w:szCs w:val="24"/>
        </w:rPr>
        <w:t xml:space="preserve"> and </w:t>
      </w:r>
    </w:p>
    <w:p w:rsidR="005134C3" w:rsidRPr="0086744C" w:rsidRDefault="005134C3" w:rsidP="00492B5F">
      <w:pPr>
        <w:pStyle w:val="ListParagraph"/>
        <w:numPr>
          <w:ilvl w:val="0"/>
          <w:numId w:val="4"/>
        </w:numPr>
        <w:spacing w:before="120" w:after="24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6744C">
        <w:rPr>
          <w:rFonts w:ascii="Arial" w:hAnsi="Arial" w:cs="Arial"/>
          <w:sz w:val="24"/>
          <w:szCs w:val="24"/>
        </w:rPr>
        <w:t>giving the complainant the opportunity to reply to the respondents’ submissions.</w:t>
      </w:r>
    </w:p>
    <w:p w:rsidR="005134C3" w:rsidRDefault="00492B5F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Complaints are often about more than one incident, and some complaints are about things that have happened over a period of time.  Some complaints include incidents that occurred within the one year time limit (within-time) as well as incidents that occurred out-of-time.  The process described above for deciding the out-of-time component of a complaint is lengthy and can be costly for the parti</w:t>
      </w:r>
      <w:r w:rsidR="00A8475E">
        <w:rPr>
          <w:rFonts w:ascii="Arial" w:hAnsi="Arial" w:cs="Arial"/>
          <w:sz w:val="24"/>
          <w:szCs w:val="24"/>
        </w:rPr>
        <w:t xml:space="preserve">es.  It </w:t>
      </w:r>
      <w:r w:rsidR="00907E3E">
        <w:rPr>
          <w:rFonts w:ascii="Arial" w:hAnsi="Arial" w:cs="Arial"/>
          <w:sz w:val="24"/>
          <w:szCs w:val="24"/>
        </w:rPr>
        <w:t>is often</w:t>
      </w:r>
      <w:r w:rsidR="00A8475E">
        <w:rPr>
          <w:rFonts w:ascii="Arial" w:hAnsi="Arial" w:cs="Arial"/>
          <w:sz w:val="24"/>
          <w:szCs w:val="24"/>
        </w:rPr>
        <w:t xml:space="preserve"> adversarial and </w:t>
      </w:r>
      <w:r w:rsidR="00907E3E">
        <w:rPr>
          <w:rFonts w:ascii="Arial" w:hAnsi="Arial" w:cs="Arial"/>
          <w:sz w:val="24"/>
          <w:szCs w:val="24"/>
        </w:rPr>
        <w:t xml:space="preserve">can </w:t>
      </w:r>
      <w:r w:rsidR="00A8475E">
        <w:rPr>
          <w:rFonts w:ascii="Arial" w:hAnsi="Arial" w:cs="Arial"/>
          <w:sz w:val="24"/>
          <w:szCs w:val="24"/>
        </w:rPr>
        <w:t xml:space="preserve">cause the parties to become more </w:t>
      </w:r>
      <w:r w:rsidR="006C7A50">
        <w:rPr>
          <w:rFonts w:ascii="Arial" w:hAnsi="Arial" w:cs="Arial"/>
          <w:sz w:val="24"/>
          <w:szCs w:val="24"/>
        </w:rPr>
        <w:t>polarised, thereby hindering conciliation.</w:t>
      </w:r>
    </w:p>
    <w:p w:rsidR="001D709F" w:rsidRDefault="001D709F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recent years the number of complaints received by the Commission has increased significantly, with a consequential impact on resources.  Given the primary purpose of dealing with complaints is to resolve them through conciliation, the decision-making process for out-of-time complaints diverts resources from achieving the purpose.</w:t>
      </w:r>
    </w:p>
    <w:p w:rsidR="001D709F" w:rsidRDefault="001D709F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Adopting a process whereby complaints with both in-time and out-of-time components are taken to conciliation before deciding whether to accept the out-of-time component, has resulted in some of t</w:t>
      </w:r>
      <w:r w:rsidR="00453D25">
        <w:rPr>
          <w:rFonts w:ascii="Arial" w:hAnsi="Arial" w:cs="Arial"/>
          <w:sz w:val="24"/>
          <w:szCs w:val="24"/>
        </w:rPr>
        <w:t>hese complaints resolving, thereby reducing the number of administrative decisions required to be made.</w:t>
      </w:r>
    </w:p>
    <w:p w:rsidR="00453D25" w:rsidRPr="00453D25" w:rsidRDefault="00453D25" w:rsidP="00453D25">
      <w:pPr>
        <w:keepNext/>
        <w:spacing w:before="120" w:after="120" w:line="22" w:lineRule="atLeast"/>
        <w:rPr>
          <w:rFonts w:ascii="Arial" w:hAnsi="Arial" w:cs="Arial"/>
          <w:b/>
          <w:sz w:val="24"/>
          <w:szCs w:val="24"/>
        </w:rPr>
      </w:pPr>
      <w:r w:rsidRPr="00453D25">
        <w:rPr>
          <w:rFonts w:ascii="Arial" w:hAnsi="Arial" w:cs="Arial"/>
          <w:b/>
          <w:sz w:val="24"/>
          <w:szCs w:val="24"/>
        </w:rPr>
        <w:t>The Bill</w:t>
      </w:r>
    </w:p>
    <w:p w:rsidR="00453D25" w:rsidRDefault="00453D25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Bill </w:t>
      </w:r>
      <w:r w:rsidR="00231F4F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 xml:space="preserve">give statutory effect to the process of deferring a decision on the out-of-time component </w:t>
      </w:r>
      <w:r w:rsidR="00231F4F">
        <w:rPr>
          <w:rFonts w:ascii="Arial" w:hAnsi="Arial" w:cs="Arial"/>
          <w:sz w:val="24"/>
          <w:szCs w:val="24"/>
        </w:rPr>
        <w:t>of a complaint that includes both in-time and out-of-time components, until the parties have participated in a conciliation conference.</w:t>
      </w:r>
    </w:p>
    <w:p w:rsidR="00231F4F" w:rsidRDefault="00231F4F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achieved by inserting a new provision authorising the deferral of a decision on out-of-time contraventions (clause 10), and amending provisions about </w:t>
      </w:r>
      <w:r>
        <w:rPr>
          <w:rFonts w:ascii="Arial" w:hAnsi="Arial" w:cs="Arial"/>
          <w:sz w:val="24"/>
          <w:szCs w:val="24"/>
        </w:rPr>
        <w:lastRenderedPageBreak/>
        <w:t>conciliation of complaints (clause 12) and referral of a complaint to a tribunal after a conciliation conference (clause 13).</w:t>
      </w:r>
    </w:p>
    <w:p w:rsidR="00231F4F" w:rsidRDefault="00231F4F" w:rsidP="003E068B">
      <w:pPr>
        <w:spacing w:before="120" w:after="12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11 also clarifies that </w:t>
      </w:r>
      <w:r w:rsidR="003E068B">
        <w:rPr>
          <w:rFonts w:ascii="Arial" w:hAnsi="Arial" w:cs="Arial"/>
          <w:sz w:val="24"/>
          <w:szCs w:val="24"/>
        </w:rPr>
        <w:t>certain decisions not to accept a complaint have the same effect as a decision to reject a complaint.  Where there has been a decision to reject a complaint, the complaint lapses and the person cannot make another complaint about the same subject matter.  Under the Bill, this would also apply to decisions:</w:t>
      </w:r>
    </w:p>
    <w:p w:rsidR="003E068B" w:rsidRDefault="003E068B" w:rsidP="003E068B">
      <w:pPr>
        <w:pStyle w:val="ListParagraph"/>
        <w:numPr>
          <w:ilvl w:val="0"/>
          <w:numId w:val="5"/>
        </w:numPr>
        <w:spacing w:before="120" w:after="12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it is not fair to accept a complaint where there is a prior agreement not to complain (section 137); and</w:t>
      </w:r>
    </w:p>
    <w:p w:rsidR="003E068B" w:rsidRPr="003E068B" w:rsidRDefault="003E068B" w:rsidP="003E068B">
      <w:pPr>
        <w:pStyle w:val="ListParagraph"/>
        <w:numPr>
          <w:ilvl w:val="0"/>
          <w:numId w:val="5"/>
        </w:numPr>
        <w:spacing w:before="120" w:after="24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to accept a complaint, or part of a complaint, made out-of-time (section 138).</w:t>
      </w:r>
    </w:p>
    <w:p w:rsidR="00623AB5" w:rsidRDefault="00A473D2" w:rsidP="00434BB0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</w:t>
      </w:r>
      <w:r w:rsidR="00A13C43">
        <w:rPr>
          <w:rFonts w:ascii="Arial" w:hAnsi="Arial" w:cs="Arial"/>
          <w:sz w:val="24"/>
          <w:szCs w:val="24"/>
        </w:rPr>
        <w:t xml:space="preserve">rovision would align the rights and interests of parties to complaints that include both in-time and out-of-time components, with </w:t>
      </w:r>
      <w:r w:rsidR="00623AB5">
        <w:rPr>
          <w:rFonts w:ascii="Arial" w:hAnsi="Arial" w:cs="Arial"/>
          <w:sz w:val="24"/>
          <w:szCs w:val="24"/>
        </w:rPr>
        <w:t>the rights and interests</w:t>
      </w:r>
      <w:r w:rsidR="00A13C43">
        <w:rPr>
          <w:rFonts w:ascii="Arial" w:hAnsi="Arial" w:cs="Arial"/>
          <w:sz w:val="24"/>
          <w:szCs w:val="24"/>
        </w:rPr>
        <w:t xml:space="preserve"> of parties to complain</w:t>
      </w:r>
      <w:r w:rsidR="00A30388">
        <w:rPr>
          <w:rFonts w:ascii="Arial" w:hAnsi="Arial" w:cs="Arial"/>
          <w:sz w:val="24"/>
          <w:szCs w:val="24"/>
        </w:rPr>
        <w:t>ts that are wholly out-of-</w:t>
      </w:r>
      <w:r w:rsidR="00A13C43">
        <w:rPr>
          <w:rFonts w:ascii="Arial" w:hAnsi="Arial" w:cs="Arial"/>
          <w:sz w:val="24"/>
          <w:szCs w:val="24"/>
        </w:rPr>
        <w:t>time</w:t>
      </w:r>
      <w:r w:rsidR="00623AB5">
        <w:rPr>
          <w:rFonts w:ascii="Arial" w:hAnsi="Arial" w:cs="Arial"/>
          <w:sz w:val="24"/>
          <w:szCs w:val="24"/>
        </w:rPr>
        <w:t xml:space="preserve"> (i.e. that do not include in-time components)</w:t>
      </w:r>
      <w:r w:rsidR="00A13C43">
        <w:rPr>
          <w:rFonts w:ascii="Arial" w:hAnsi="Arial" w:cs="Arial"/>
          <w:sz w:val="24"/>
          <w:szCs w:val="24"/>
        </w:rPr>
        <w:t xml:space="preserve">, </w:t>
      </w:r>
      <w:r w:rsidR="00907E3E">
        <w:rPr>
          <w:rFonts w:ascii="Arial" w:hAnsi="Arial" w:cs="Arial"/>
          <w:sz w:val="24"/>
          <w:szCs w:val="24"/>
        </w:rPr>
        <w:t>where a decision is made not to accept</w:t>
      </w:r>
      <w:r w:rsidR="00A13C43">
        <w:rPr>
          <w:rFonts w:ascii="Arial" w:hAnsi="Arial" w:cs="Arial"/>
          <w:sz w:val="24"/>
          <w:szCs w:val="24"/>
        </w:rPr>
        <w:t xml:space="preserve"> the out-of-time components</w:t>
      </w:r>
      <w:r w:rsidR="00623AB5">
        <w:rPr>
          <w:rFonts w:ascii="Arial" w:hAnsi="Arial" w:cs="Arial"/>
          <w:sz w:val="24"/>
          <w:szCs w:val="24"/>
        </w:rPr>
        <w:t xml:space="preserve"> of the complaint</w:t>
      </w:r>
      <w:r w:rsidR="00A13C43">
        <w:rPr>
          <w:rFonts w:ascii="Arial" w:hAnsi="Arial" w:cs="Arial"/>
          <w:sz w:val="24"/>
          <w:szCs w:val="24"/>
        </w:rPr>
        <w:t>.</w:t>
      </w:r>
      <w:r w:rsidR="00CE1D89">
        <w:rPr>
          <w:rFonts w:ascii="Arial" w:hAnsi="Arial" w:cs="Arial"/>
          <w:sz w:val="24"/>
          <w:szCs w:val="24"/>
        </w:rPr>
        <w:t xml:space="preserve">  </w:t>
      </w:r>
    </w:p>
    <w:p w:rsidR="00184964" w:rsidRDefault="00CE1D89" w:rsidP="00623AB5">
      <w:pPr>
        <w:spacing w:before="120" w:after="12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because:</w:t>
      </w:r>
    </w:p>
    <w:p w:rsidR="00CE1D89" w:rsidRDefault="00CE1D89" w:rsidP="00CE1D89">
      <w:pPr>
        <w:pStyle w:val="ListParagraph"/>
        <w:numPr>
          <w:ilvl w:val="0"/>
          <w:numId w:val="5"/>
        </w:numPr>
        <w:spacing w:before="120" w:after="12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 whether or not to accept a complaint, or component of a complaint, made out-of-time, are not subject to review by the relevant tribunal;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</w:p>
    <w:p w:rsidR="00CE1D89" w:rsidRDefault="00CE1D89" w:rsidP="00CE1D89">
      <w:pPr>
        <w:pStyle w:val="ListParagraph"/>
        <w:numPr>
          <w:ilvl w:val="0"/>
          <w:numId w:val="5"/>
        </w:numPr>
        <w:spacing w:before="120" w:after="12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limited right of review of these decisions is available under the </w:t>
      </w:r>
      <w:r>
        <w:rPr>
          <w:rFonts w:ascii="Arial" w:hAnsi="Arial" w:cs="Arial"/>
          <w:i/>
          <w:sz w:val="24"/>
          <w:szCs w:val="24"/>
        </w:rPr>
        <w:t>Judicial Review Act 1991</w:t>
      </w:r>
      <w:r>
        <w:rPr>
          <w:rFonts w:ascii="Arial" w:hAnsi="Arial" w:cs="Arial"/>
          <w:sz w:val="24"/>
          <w:szCs w:val="24"/>
        </w:rPr>
        <w:t>;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</w:p>
    <w:p w:rsidR="00A30388" w:rsidRDefault="002943CA" w:rsidP="00CE1D89">
      <w:pPr>
        <w:pStyle w:val="ListParagraph"/>
        <w:numPr>
          <w:ilvl w:val="0"/>
          <w:numId w:val="5"/>
        </w:numPr>
        <w:spacing w:before="120" w:after="12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Queensland Civil and Administrative Tribunal has allowed a referred complaint to be amended to include out-of-time components that </w:t>
      </w:r>
      <w:r w:rsidR="00907E3E">
        <w:rPr>
          <w:rFonts w:ascii="Arial" w:hAnsi="Arial" w:cs="Arial"/>
          <w:sz w:val="24"/>
          <w:szCs w:val="24"/>
        </w:rPr>
        <w:t>the Commission had decided not to accept</w:t>
      </w:r>
      <w:r w:rsidR="00A30388">
        <w:rPr>
          <w:rFonts w:ascii="Arial" w:hAnsi="Arial" w:cs="Arial"/>
          <w:sz w:val="24"/>
          <w:szCs w:val="24"/>
        </w:rPr>
        <w:t>;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 xml:space="preserve">  </w:t>
      </w:r>
    </w:p>
    <w:p w:rsidR="00CE1D89" w:rsidRDefault="00A30388" w:rsidP="000725D5">
      <w:pPr>
        <w:pStyle w:val="ListParagraph"/>
        <w:numPr>
          <w:ilvl w:val="0"/>
          <w:numId w:val="5"/>
        </w:numPr>
        <w:spacing w:before="120" w:after="240" w:line="22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</w:t>
      </w:r>
      <w:r w:rsidR="00623AB5">
        <w:rPr>
          <w:rFonts w:ascii="Arial" w:hAnsi="Arial" w:cs="Arial"/>
          <w:sz w:val="24"/>
          <w:szCs w:val="24"/>
        </w:rPr>
        <w:t xml:space="preserve"> complaint that does not include in-time components is </w:t>
      </w:r>
      <w:r>
        <w:rPr>
          <w:rFonts w:ascii="Arial" w:hAnsi="Arial" w:cs="Arial"/>
          <w:sz w:val="24"/>
          <w:szCs w:val="24"/>
        </w:rPr>
        <w:t xml:space="preserve">not accepted by the Commission, the complaint is </w:t>
      </w:r>
      <w:r w:rsidR="00623AB5">
        <w:rPr>
          <w:rFonts w:ascii="Arial" w:hAnsi="Arial" w:cs="Arial"/>
          <w:sz w:val="24"/>
          <w:szCs w:val="24"/>
        </w:rPr>
        <w:t xml:space="preserve">not referred to a relevant tribunal </w:t>
      </w:r>
      <w:r>
        <w:rPr>
          <w:rFonts w:ascii="Arial" w:hAnsi="Arial" w:cs="Arial"/>
          <w:sz w:val="24"/>
          <w:szCs w:val="24"/>
        </w:rPr>
        <w:t>and there is no opportunity for it to be</w:t>
      </w:r>
      <w:r w:rsidR="00623AB5">
        <w:rPr>
          <w:rFonts w:ascii="Arial" w:hAnsi="Arial" w:cs="Arial"/>
          <w:sz w:val="24"/>
          <w:szCs w:val="24"/>
        </w:rPr>
        <w:t xml:space="preserve"> considered by the tribunal.</w:t>
      </w:r>
    </w:p>
    <w:p w:rsidR="00623AB5" w:rsidRDefault="000725D5" w:rsidP="000725D5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provision would also clarify that a decision of the Commission made under section 137 of the Act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 not to accept a complaint, also has the same effect as a decision to reject a complaint.</w:t>
      </w:r>
    </w:p>
    <w:p w:rsidR="00983FE4" w:rsidRPr="006062DC" w:rsidRDefault="00983FE4" w:rsidP="000725D5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removing the potential disparity in the rights of complaint parties, clause 11 is consistent with the </w:t>
      </w:r>
      <w:r w:rsidR="006062DC">
        <w:rPr>
          <w:rFonts w:ascii="Arial" w:hAnsi="Arial" w:cs="Arial"/>
          <w:sz w:val="24"/>
          <w:szCs w:val="24"/>
        </w:rPr>
        <w:t>principle of</w:t>
      </w:r>
      <w:r>
        <w:rPr>
          <w:rFonts w:ascii="Arial" w:hAnsi="Arial" w:cs="Arial"/>
          <w:sz w:val="24"/>
          <w:szCs w:val="24"/>
        </w:rPr>
        <w:t xml:space="preserve"> equality before the law.</w:t>
      </w:r>
      <w:r w:rsidR="006062DC">
        <w:rPr>
          <w:rFonts w:ascii="Arial" w:hAnsi="Arial" w:cs="Arial"/>
          <w:sz w:val="24"/>
          <w:szCs w:val="24"/>
        </w:rPr>
        <w:t xml:space="preserve">  Equality before the law is an important human right under Queensland’s </w:t>
      </w:r>
      <w:r w:rsidR="006062DC">
        <w:rPr>
          <w:rFonts w:ascii="Arial" w:hAnsi="Arial" w:cs="Arial"/>
          <w:i/>
          <w:sz w:val="24"/>
          <w:szCs w:val="24"/>
        </w:rPr>
        <w:t xml:space="preserve">Human Rights Act 2019, </w:t>
      </w:r>
      <w:r w:rsidR="006062DC">
        <w:rPr>
          <w:rFonts w:ascii="Arial" w:hAnsi="Arial" w:cs="Arial"/>
          <w:sz w:val="24"/>
          <w:szCs w:val="24"/>
        </w:rPr>
        <w:t>which will</w:t>
      </w:r>
      <w:r w:rsidR="00526876">
        <w:rPr>
          <w:rFonts w:ascii="Arial" w:hAnsi="Arial" w:cs="Arial"/>
          <w:sz w:val="24"/>
          <w:szCs w:val="24"/>
        </w:rPr>
        <w:t xml:space="preserve"> take </w:t>
      </w:r>
      <w:r w:rsidR="00526876">
        <w:rPr>
          <w:rFonts w:ascii="Arial" w:hAnsi="Arial" w:cs="Arial"/>
          <w:sz w:val="24"/>
          <w:szCs w:val="24"/>
        </w:rPr>
        <w:lastRenderedPageBreak/>
        <w:t>effect from 1 January 2020.</w:t>
      </w:r>
      <w:r w:rsidR="00187EAE">
        <w:rPr>
          <w:rFonts w:ascii="Arial" w:hAnsi="Arial" w:cs="Arial"/>
          <w:sz w:val="24"/>
          <w:szCs w:val="24"/>
        </w:rPr>
        <w:t xml:space="preserve">  This amendment is a timely opportunity to make this aspect of the Act compatible with human rights.</w:t>
      </w:r>
    </w:p>
    <w:p w:rsidR="000725D5" w:rsidRPr="004A7B4E" w:rsidRDefault="000725D5" w:rsidP="00623AB5">
      <w:pPr>
        <w:spacing w:before="120" w:after="120" w:line="22" w:lineRule="atLeast"/>
        <w:rPr>
          <w:rFonts w:ascii="Arial" w:hAnsi="Arial" w:cs="Arial"/>
          <w:b/>
          <w:sz w:val="24"/>
          <w:szCs w:val="24"/>
        </w:rPr>
      </w:pPr>
      <w:r w:rsidRPr="004A7B4E">
        <w:rPr>
          <w:rFonts w:ascii="Arial" w:hAnsi="Arial" w:cs="Arial"/>
          <w:b/>
          <w:sz w:val="24"/>
          <w:szCs w:val="24"/>
        </w:rPr>
        <w:t>Conclusion</w:t>
      </w:r>
    </w:p>
    <w:p w:rsidR="000725D5" w:rsidRDefault="000725D5" w:rsidP="00D07488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Commission was consulted about the proposed amendments to the </w:t>
      </w:r>
      <w:r w:rsidRPr="00983FE4">
        <w:rPr>
          <w:rFonts w:ascii="Arial" w:hAnsi="Arial" w:cs="Arial"/>
          <w:i/>
          <w:sz w:val="24"/>
          <w:szCs w:val="24"/>
        </w:rPr>
        <w:t>Anti-Discrimination Act 1991</w:t>
      </w:r>
      <w:r w:rsidR="004A7B4E">
        <w:rPr>
          <w:rFonts w:ascii="Arial" w:hAnsi="Arial" w:cs="Arial"/>
          <w:sz w:val="24"/>
          <w:szCs w:val="24"/>
        </w:rPr>
        <w:t>, and information and feedbac</w:t>
      </w:r>
      <w:r w:rsidR="00983FE4">
        <w:rPr>
          <w:rFonts w:ascii="Arial" w:hAnsi="Arial" w:cs="Arial"/>
          <w:sz w:val="24"/>
          <w:szCs w:val="24"/>
        </w:rPr>
        <w:t xml:space="preserve">k that the Commission </w:t>
      </w:r>
      <w:r w:rsidR="00907E3E">
        <w:rPr>
          <w:rFonts w:ascii="Arial" w:hAnsi="Arial" w:cs="Arial"/>
          <w:sz w:val="24"/>
          <w:szCs w:val="24"/>
        </w:rPr>
        <w:t xml:space="preserve">provided </w:t>
      </w:r>
      <w:r w:rsidR="00983FE4">
        <w:rPr>
          <w:rFonts w:ascii="Arial" w:hAnsi="Arial" w:cs="Arial"/>
          <w:sz w:val="24"/>
          <w:szCs w:val="24"/>
        </w:rPr>
        <w:t>has been appropriately considered.</w:t>
      </w:r>
    </w:p>
    <w:p w:rsidR="00983FE4" w:rsidRDefault="00983FE4" w:rsidP="00D07488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proposed amendments will </w:t>
      </w:r>
      <w:r w:rsidR="00D07488">
        <w:rPr>
          <w:rFonts w:ascii="Arial" w:hAnsi="Arial" w:cs="Arial"/>
          <w:sz w:val="24"/>
          <w:szCs w:val="24"/>
        </w:rPr>
        <w:t>simplify</w:t>
      </w:r>
      <w:r w:rsidR="00187EAE">
        <w:rPr>
          <w:rFonts w:ascii="Arial" w:hAnsi="Arial" w:cs="Arial"/>
          <w:sz w:val="24"/>
          <w:szCs w:val="24"/>
        </w:rPr>
        <w:t xml:space="preserve"> processes for dealing with the subject complaints, </w:t>
      </w:r>
      <w:r w:rsidR="00907E3E">
        <w:rPr>
          <w:rFonts w:ascii="Arial" w:hAnsi="Arial" w:cs="Arial"/>
          <w:sz w:val="24"/>
          <w:szCs w:val="24"/>
        </w:rPr>
        <w:t>and improve</w:t>
      </w:r>
      <w:r w:rsidR="00187EAE">
        <w:rPr>
          <w:rFonts w:ascii="Arial" w:hAnsi="Arial" w:cs="Arial"/>
          <w:sz w:val="24"/>
          <w:szCs w:val="24"/>
        </w:rPr>
        <w:t xml:space="preserve"> efficiencies </w:t>
      </w:r>
      <w:r w:rsidR="00D07488">
        <w:rPr>
          <w:rFonts w:ascii="Arial" w:hAnsi="Arial" w:cs="Arial"/>
          <w:sz w:val="24"/>
          <w:szCs w:val="24"/>
        </w:rPr>
        <w:t>for the Commission to the benefit of the public.</w:t>
      </w:r>
    </w:p>
    <w:p w:rsidR="00623AB5" w:rsidRPr="00623AB5" w:rsidRDefault="00D07488" w:rsidP="00D07488">
      <w:pPr>
        <w:spacing w:before="120" w:after="24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Commission supports the proposed amendments to the </w:t>
      </w:r>
      <w:r>
        <w:rPr>
          <w:rFonts w:ascii="Arial" w:hAnsi="Arial" w:cs="Arial"/>
          <w:i/>
          <w:sz w:val="24"/>
          <w:szCs w:val="24"/>
        </w:rPr>
        <w:t>Anti-Discrimination Act 1991</w:t>
      </w:r>
      <w:r>
        <w:rPr>
          <w:rFonts w:ascii="Arial" w:hAnsi="Arial" w:cs="Arial"/>
          <w:sz w:val="24"/>
          <w:szCs w:val="24"/>
        </w:rPr>
        <w:t xml:space="preserve"> and asks the Committee to recommend that clauses 7 to 14 of the Bill be passed.</w:t>
      </w:r>
    </w:p>
    <w:p w:rsidR="00184964" w:rsidRDefault="00184964" w:rsidP="00434BB0">
      <w:pPr>
        <w:spacing w:before="240"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C7774C" w:rsidRDefault="00D23676" w:rsidP="00434BB0">
      <w:pPr>
        <w:spacing w:before="120"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[signed]</w:t>
      </w:r>
      <w:bookmarkStart w:id="0" w:name="_GoBack"/>
      <w:bookmarkEnd w:id="0"/>
    </w:p>
    <w:p w:rsidR="00184964" w:rsidRPr="00184964" w:rsidRDefault="00184964" w:rsidP="00434BB0">
      <w:pPr>
        <w:spacing w:before="120" w:after="0" w:line="22" w:lineRule="atLeast"/>
        <w:rPr>
          <w:rFonts w:ascii="Arial" w:hAnsi="Arial" w:cs="Arial"/>
          <w:b/>
          <w:sz w:val="24"/>
          <w:szCs w:val="24"/>
        </w:rPr>
      </w:pPr>
      <w:r w:rsidRPr="00184964">
        <w:rPr>
          <w:rFonts w:ascii="Arial" w:hAnsi="Arial" w:cs="Arial"/>
          <w:b/>
          <w:sz w:val="24"/>
          <w:szCs w:val="24"/>
        </w:rPr>
        <w:t>SCOTT MCDOUGALL</w:t>
      </w:r>
    </w:p>
    <w:p w:rsidR="00184964" w:rsidRPr="00184964" w:rsidRDefault="00184964" w:rsidP="00434BB0">
      <w:pPr>
        <w:spacing w:after="0" w:line="22" w:lineRule="atLeast"/>
        <w:rPr>
          <w:rFonts w:ascii="Arial" w:hAnsi="Arial" w:cs="Arial"/>
          <w:b/>
          <w:i/>
          <w:sz w:val="24"/>
          <w:szCs w:val="24"/>
        </w:rPr>
      </w:pPr>
      <w:r w:rsidRPr="00184964">
        <w:rPr>
          <w:rFonts w:ascii="Arial" w:hAnsi="Arial" w:cs="Arial"/>
          <w:b/>
          <w:sz w:val="24"/>
          <w:szCs w:val="24"/>
        </w:rPr>
        <w:t>Queensland Human Rights Commissioner</w:t>
      </w:r>
    </w:p>
    <w:sectPr w:rsidR="00184964" w:rsidRPr="00184964" w:rsidSect="008724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59" w:right="1474" w:bottom="1440" w:left="1474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3E" w:rsidRDefault="00907E3E" w:rsidP="00304408">
      <w:pPr>
        <w:spacing w:after="0" w:line="240" w:lineRule="auto"/>
      </w:pPr>
      <w:r>
        <w:separator/>
      </w:r>
    </w:p>
  </w:endnote>
  <w:endnote w:type="continuationSeparator" w:id="0">
    <w:p w:rsidR="00907E3E" w:rsidRDefault="00907E3E" w:rsidP="0030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3E" w:rsidRDefault="00907E3E" w:rsidP="00911F7B">
    <w:pPr>
      <w:pStyle w:val="Footer"/>
      <w:tabs>
        <w:tab w:val="clear" w:pos="4513"/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3E" w:rsidRDefault="00907E3E" w:rsidP="000C13C7">
    <w:pPr>
      <w:pStyle w:val="Footer"/>
      <w:tabs>
        <w:tab w:val="clear" w:pos="4513"/>
        <w:tab w:val="clear" w:pos="9026"/>
      </w:tabs>
    </w:pPr>
    <w:r>
      <w:rPr>
        <w:noProof/>
      </w:rPr>
      <w:drawing>
        <wp:inline distT="0" distB="0" distL="0" distR="0">
          <wp:extent cx="5657578" cy="1085182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HR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578" cy="108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3E" w:rsidRDefault="00907E3E" w:rsidP="00304408">
      <w:pPr>
        <w:spacing w:after="0" w:line="240" w:lineRule="auto"/>
      </w:pPr>
      <w:r>
        <w:separator/>
      </w:r>
    </w:p>
  </w:footnote>
  <w:footnote w:type="continuationSeparator" w:id="0">
    <w:p w:rsidR="00907E3E" w:rsidRDefault="00907E3E" w:rsidP="00304408">
      <w:pPr>
        <w:spacing w:after="0" w:line="240" w:lineRule="auto"/>
      </w:pPr>
      <w:r>
        <w:continuationSeparator/>
      </w:r>
    </w:p>
  </w:footnote>
  <w:footnote w:id="1">
    <w:p w:rsidR="00907E3E" w:rsidRPr="00FF7ECD" w:rsidRDefault="00907E3E">
      <w:pPr>
        <w:pStyle w:val="FootnoteText"/>
        <w:rPr>
          <w:rFonts w:ascii="Arial" w:hAnsi="Arial" w:cs="Arial"/>
          <w:lang w:val="en-US"/>
        </w:rPr>
      </w:pPr>
      <w:r w:rsidRPr="00FF7ECD">
        <w:rPr>
          <w:rStyle w:val="FootnoteReference"/>
          <w:rFonts w:ascii="Arial" w:hAnsi="Arial" w:cs="Arial"/>
        </w:rPr>
        <w:footnoteRef/>
      </w:r>
      <w:r w:rsidRPr="00FF7ECD">
        <w:rPr>
          <w:rFonts w:ascii="Arial" w:hAnsi="Arial" w:cs="Arial"/>
        </w:rPr>
        <w:t xml:space="preserve"> </w:t>
      </w:r>
      <w:r w:rsidRPr="00FF7ECD">
        <w:rPr>
          <w:rFonts w:ascii="Arial" w:hAnsi="Arial" w:cs="Arial"/>
          <w:i/>
          <w:lang w:val="en-US"/>
        </w:rPr>
        <w:t>Anti-Discrimination Act 1991</w:t>
      </w:r>
      <w:r w:rsidRPr="00FF7ECD">
        <w:rPr>
          <w:rFonts w:ascii="Arial" w:hAnsi="Arial" w:cs="Arial"/>
          <w:lang w:val="en-US"/>
        </w:rPr>
        <w:t>, section 138(1).</w:t>
      </w:r>
    </w:p>
  </w:footnote>
  <w:footnote w:id="2">
    <w:p w:rsidR="00907E3E" w:rsidRPr="00FF7ECD" w:rsidRDefault="00907E3E">
      <w:pPr>
        <w:pStyle w:val="FootnoteText"/>
        <w:rPr>
          <w:rFonts w:ascii="Arial" w:hAnsi="Arial" w:cs="Arial"/>
          <w:lang w:val="en-US"/>
        </w:rPr>
      </w:pPr>
      <w:r w:rsidRPr="00FF7ECD">
        <w:rPr>
          <w:rStyle w:val="FootnoteReference"/>
          <w:rFonts w:ascii="Arial" w:hAnsi="Arial" w:cs="Arial"/>
        </w:rPr>
        <w:footnoteRef/>
      </w:r>
      <w:r w:rsidRPr="00FF7ECD">
        <w:rPr>
          <w:rFonts w:ascii="Arial" w:hAnsi="Arial" w:cs="Arial"/>
        </w:rPr>
        <w:t xml:space="preserve"> </w:t>
      </w:r>
      <w:r w:rsidRPr="00FF7ECD">
        <w:rPr>
          <w:rFonts w:ascii="Arial" w:hAnsi="Arial" w:cs="Arial"/>
          <w:i/>
          <w:lang w:val="en-US"/>
        </w:rPr>
        <w:t>Anti-Discrimination Act 1991</w:t>
      </w:r>
      <w:r w:rsidRPr="00FF7ECD">
        <w:rPr>
          <w:rFonts w:ascii="Arial" w:hAnsi="Arial" w:cs="Arial"/>
          <w:lang w:val="en-US"/>
        </w:rPr>
        <w:t>, section 138(2).</w:t>
      </w:r>
    </w:p>
  </w:footnote>
  <w:footnote w:id="3">
    <w:p w:rsidR="00907E3E" w:rsidRPr="00FF7ECD" w:rsidRDefault="00907E3E">
      <w:pPr>
        <w:pStyle w:val="FootnoteText"/>
        <w:rPr>
          <w:rFonts w:ascii="Arial" w:hAnsi="Arial" w:cs="Arial"/>
          <w:lang w:val="en-US"/>
        </w:rPr>
      </w:pPr>
      <w:r w:rsidRPr="00FF7ECD">
        <w:rPr>
          <w:rStyle w:val="FootnoteReference"/>
          <w:rFonts w:ascii="Arial" w:hAnsi="Arial" w:cs="Arial"/>
        </w:rPr>
        <w:footnoteRef/>
      </w:r>
      <w:r w:rsidRPr="00FF7ECD">
        <w:rPr>
          <w:rFonts w:ascii="Arial" w:hAnsi="Arial" w:cs="Arial"/>
        </w:rPr>
        <w:t xml:space="preserve"> </w:t>
      </w:r>
      <w:r w:rsidRPr="00FF7ECD">
        <w:rPr>
          <w:rFonts w:ascii="Arial" w:hAnsi="Arial" w:cs="Arial"/>
          <w:lang w:val="en-US"/>
        </w:rPr>
        <w:t xml:space="preserve">See for example, </w:t>
      </w:r>
      <w:r w:rsidRPr="00FF7ECD">
        <w:rPr>
          <w:rFonts w:ascii="Arial" w:hAnsi="Arial" w:cs="Arial"/>
          <w:i/>
          <w:lang w:val="en-US"/>
        </w:rPr>
        <w:t xml:space="preserve">Buderim Ginger Ltd v Booth </w:t>
      </w:r>
      <w:r w:rsidRPr="00FF7ECD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2001] QSC 349</w:t>
      </w:r>
      <w:r w:rsidRPr="00FF7ECD">
        <w:rPr>
          <w:rFonts w:ascii="Arial" w:hAnsi="Arial" w:cs="Arial"/>
          <w:lang w:val="en-US"/>
        </w:rPr>
        <w:t xml:space="preserve">; </w:t>
      </w:r>
      <w:r w:rsidRPr="00FF7ECD">
        <w:rPr>
          <w:rFonts w:ascii="Arial" w:hAnsi="Arial" w:cs="Arial"/>
          <w:i/>
          <w:lang w:val="en-US"/>
        </w:rPr>
        <w:t xml:space="preserve">State of Queensland v Ball &amp; Ors </w:t>
      </w:r>
      <w:r w:rsidRPr="00FF7ECD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2011] QSC 50.</w:t>
      </w:r>
    </w:p>
  </w:footnote>
  <w:footnote w:id="4">
    <w:p w:rsidR="00907E3E" w:rsidRPr="002943CA" w:rsidRDefault="00907E3E">
      <w:pPr>
        <w:pStyle w:val="FootnoteText"/>
        <w:rPr>
          <w:rFonts w:ascii="Arial" w:hAnsi="Arial" w:cs="Arial"/>
          <w:lang w:val="en-US"/>
        </w:rPr>
      </w:pPr>
      <w:r w:rsidRPr="002943CA">
        <w:rPr>
          <w:rStyle w:val="FootnoteReference"/>
          <w:rFonts w:ascii="Arial" w:hAnsi="Arial" w:cs="Arial"/>
        </w:rPr>
        <w:footnoteRef/>
      </w:r>
      <w:r w:rsidRPr="002943CA">
        <w:rPr>
          <w:rFonts w:ascii="Arial" w:hAnsi="Arial" w:cs="Arial"/>
        </w:rPr>
        <w:t xml:space="preserve"> </w:t>
      </w:r>
      <w:r w:rsidRPr="002943CA">
        <w:rPr>
          <w:rFonts w:ascii="Arial" w:hAnsi="Arial" w:cs="Arial"/>
          <w:lang w:val="en-US"/>
        </w:rPr>
        <w:t xml:space="preserve">Under the </w:t>
      </w:r>
      <w:r w:rsidRPr="002943CA">
        <w:rPr>
          <w:rFonts w:ascii="Arial" w:hAnsi="Arial" w:cs="Arial"/>
          <w:i/>
          <w:lang w:val="en-US"/>
        </w:rPr>
        <w:t xml:space="preserve">Anti-Discrimination Act 1991 </w:t>
      </w:r>
      <w:r w:rsidRPr="002943CA">
        <w:rPr>
          <w:rFonts w:ascii="Arial" w:hAnsi="Arial" w:cs="Arial"/>
          <w:lang w:val="en-US"/>
        </w:rPr>
        <w:t>the only decisions that may be reviewed by a relevant tribunal are decisions that a complainant has lost interest in pursuing a complaint, which is a decision made under section 169 of the Act.</w:t>
      </w:r>
    </w:p>
  </w:footnote>
  <w:footnote w:id="5">
    <w:p w:rsidR="00907E3E" w:rsidRPr="002943CA" w:rsidRDefault="00907E3E">
      <w:pPr>
        <w:pStyle w:val="FootnoteText"/>
        <w:rPr>
          <w:rFonts w:ascii="Arial" w:hAnsi="Arial" w:cs="Arial"/>
          <w:lang w:val="en-US"/>
        </w:rPr>
      </w:pPr>
      <w:r w:rsidRPr="002943CA">
        <w:rPr>
          <w:rStyle w:val="FootnoteReference"/>
          <w:rFonts w:ascii="Arial" w:hAnsi="Arial" w:cs="Arial"/>
        </w:rPr>
        <w:footnoteRef/>
      </w:r>
      <w:r w:rsidRPr="002943CA">
        <w:rPr>
          <w:rFonts w:ascii="Arial" w:hAnsi="Arial" w:cs="Arial"/>
        </w:rPr>
        <w:t xml:space="preserve"> </w:t>
      </w:r>
      <w:r w:rsidRPr="002943CA">
        <w:rPr>
          <w:rFonts w:ascii="Arial" w:hAnsi="Arial" w:cs="Arial"/>
          <w:lang w:val="en-US"/>
        </w:rPr>
        <w:t xml:space="preserve">An application for review under the </w:t>
      </w:r>
      <w:r w:rsidRPr="002943CA">
        <w:rPr>
          <w:rFonts w:ascii="Arial" w:hAnsi="Arial" w:cs="Arial"/>
          <w:i/>
          <w:lang w:val="en-US"/>
        </w:rPr>
        <w:t xml:space="preserve">Judicial Review Act 1991 </w:t>
      </w:r>
      <w:r w:rsidRPr="002943CA">
        <w:rPr>
          <w:rFonts w:ascii="Arial" w:hAnsi="Arial" w:cs="Arial"/>
          <w:lang w:val="en-US"/>
        </w:rPr>
        <w:t>is made to the Supreme Court of Queensland.</w:t>
      </w:r>
    </w:p>
  </w:footnote>
  <w:footnote w:id="6">
    <w:p w:rsidR="00907E3E" w:rsidRPr="006F47F7" w:rsidRDefault="00907E3E">
      <w:pPr>
        <w:pStyle w:val="FootnoteText"/>
        <w:rPr>
          <w:rFonts w:ascii="Arial" w:hAnsi="Arial" w:cs="Arial"/>
          <w:lang w:val="en-US"/>
        </w:rPr>
      </w:pPr>
      <w:r w:rsidRPr="002943CA">
        <w:rPr>
          <w:rStyle w:val="FootnoteReference"/>
          <w:rFonts w:ascii="Arial" w:hAnsi="Arial" w:cs="Arial"/>
        </w:rPr>
        <w:footnoteRef/>
      </w:r>
      <w:r w:rsidRPr="002943CA">
        <w:rPr>
          <w:rFonts w:ascii="Arial" w:hAnsi="Arial" w:cs="Arial"/>
        </w:rPr>
        <w:t xml:space="preserve"> </w:t>
      </w:r>
      <w:r w:rsidRPr="006F47F7">
        <w:rPr>
          <w:rFonts w:ascii="Arial" w:hAnsi="Arial" w:cs="Arial"/>
          <w:i/>
          <w:lang w:val="en-US"/>
        </w:rPr>
        <w:t>Bond v State of Queensland</w:t>
      </w:r>
      <w:r w:rsidRPr="002943CA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lang w:val="en-US"/>
        </w:rPr>
        <w:t>[2017] QCAT 132 (2 May 2017).</w:t>
      </w:r>
    </w:p>
  </w:footnote>
  <w:footnote w:id="7">
    <w:p w:rsidR="00907E3E" w:rsidRPr="000725D5" w:rsidRDefault="00907E3E">
      <w:pPr>
        <w:pStyle w:val="FootnoteText"/>
        <w:rPr>
          <w:rFonts w:ascii="Arial" w:hAnsi="Arial" w:cs="Arial"/>
          <w:lang w:val="en-US"/>
        </w:rPr>
      </w:pPr>
      <w:r w:rsidRPr="000725D5">
        <w:rPr>
          <w:rStyle w:val="FootnoteReference"/>
          <w:rFonts w:ascii="Arial" w:hAnsi="Arial" w:cs="Arial"/>
        </w:rPr>
        <w:footnoteRef/>
      </w:r>
      <w:r w:rsidRPr="000725D5">
        <w:rPr>
          <w:rFonts w:ascii="Arial" w:hAnsi="Arial" w:cs="Arial"/>
        </w:rPr>
        <w:t xml:space="preserve"> </w:t>
      </w:r>
      <w:r w:rsidRPr="000725D5">
        <w:rPr>
          <w:rFonts w:ascii="Arial" w:hAnsi="Arial" w:cs="Arial"/>
          <w:lang w:val="en-US"/>
        </w:rPr>
        <w:t>Section 137 enables the Commissioner to accept a complaint even though there has been a prior agreement not to complaint (e.g. a settlement deed is satisfaction of all claims).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3E" w:rsidRDefault="00907E3E" w:rsidP="00163A3A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Justice and Other Legislation Amendment Bill 2019</w:t>
    </w:r>
    <w:r>
      <w:rPr>
        <w:rFonts w:ascii="Arial" w:hAnsi="Arial" w:cs="Arial"/>
        <w:sz w:val="20"/>
        <w:lang w:val="en-US"/>
      </w:rPr>
      <w:tab/>
    </w:r>
    <w:r w:rsidRPr="004809C8">
      <w:rPr>
        <w:rFonts w:ascii="Arial" w:hAnsi="Arial" w:cs="Arial"/>
        <w:sz w:val="20"/>
        <w:lang w:val="en-US"/>
      </w:rPr>
      <w:t xml:space="preserve">Page </w:t>
    </w:r>
    <w:r w:rsidRPr="004809C8">
      <w:rPr>
        <w:rFonts w:ascii="Arial" w:hAnsi="Arial" w:cs="Arial"/>
        <w:bCs/>
        <w:sz w:val="20"/>
        <w:lang w:val="en-US"/>
      </w:rPr>
      <w:fldChar w:fldCharType="begin"/>
    </w:r>
    <w:r w:rsidRPr="004809C8">
      <w:rPr>
        <w:rFonts w:ascii="Arial" w:hAnsi="Arial" w:cs="Arial"/>
        <w:bCs/>
        <w:sz w:val="20"/>
        <w:lang w:val="en-US"/>
      </w:rPr>
      <w:instrText xml:space="preserve"> PAGE  \* Arabic  \* MERGEFORMAT </w:instrText>
    </w:r>
    <w:r w:rsidRPr="004809C8">
      <w:rPr>
        <w:rFonts w:ascii="Arial" w:hAnsi="Arial" w:cs="Arial"/>
        <w:bCs/>
        <w:sz w:val="20"/>
        <w:lang w:val="en-US"/>
      </w:rPr>
      <w:fldChar w:fldCharType="separate"/>
    </w:r>
    <w:r w:rsidR="00D23676">
      <w:rPr>
        <w:rFonts w:ascii="Arial" w:hAnsi="Arial" w:cs="Arial"/>
        <w:bCs/>
        <w:noProof/>
        <w:sz w:val="20"/>
        <w:lang w:val="en-US"/>
      </w:rPr>
      <w:t>4</w:t>
    </w:r>
    <w:r w:rsidRPr="004809C8">
      <w:rPr>
        <w:rFonts w:ascii="Arial" w:hAnsi="Arial" w:cs="Arial"/>
        <w:bCs/>
        <w:sz w:val="20"/>
        <w:lang w:val="en-US"/>
      </w:rPr>
      <w:fldChar w:fldCharType="end"/>
    </w:r>
    <w:r w:rsidRPr="004809C8">
      <w:rPr>
        <w:rFonts w:ascii="Arial" w:hAnsi="Arial" w:cs="Arial"/>
        <w:sz w:val="20"/>
        <w:lang w:val="en-US"/>
      </w:rPr>
      <w:t xml:space="preserve"> of </w:t>
    </w:r>
    <w:r w:rsidRPr="004809C8">
      <w:rPr>
        <w:rFonts w:ascii="Arial" w:hAnsi="Arial" w:cs="Arial"/>
        <w:bCs/>
        <w:sz w:val="20"/>
        <w:lang w:val="en-US"/>
      </w:rPr>
      <w:fldChar w:fldCharType="begin"/>
    </w:r>
    <w:r w:rsidRPr="004809C8">
      <w:rPr>
        <w:rFonts w:ascii="Arial" w:hAnsi="Arial" w:cs="Arial"/>
        <w:bCs/>
        <w:sz w:val="20"/>
        <w:lang w:val="en-US"/>
      </w:rPr>
      <w:instrText xml:space="preserve"> NUMPAGES  \* Arabic  \* MERGEFORMAT </w:instrText>
    </w:r>
    <w:r w:rsidRPr="004809C8">
      <w:rPr>
        <w:rFonts w:ascii="Arial" w:hAnsi="Arial" w:cs="Arial"/>
        <w:bCs/>
        <w:sz w:val="20"/>
        <w:lang w:val="en-US"/>
      </w:rPr>
      <w:fldChar w:fldCharType="separate"/>
    </w:r>
    <w:r w:rsidR="00D23676">
      <w:rPr>
        <w:rFonts w:ascii="Arial" w:hAnsi="Arial" w:cs="Arial"/>
        <w:bCs/>
        <w:noProof/>
        <w:sz w:val="20"/>
        <w:lang w:val="en-US"/>
      </w:rPr>
      <w:t>4</w:t>
    </w:r>
    <w:r w:rsidRPr="004809C8">
      <w:rPr>
        <w:rFonts w:ascii="Arial" w:hAnsi="Arial" w:cs="Arial"/>
        <w:bCs/>
        <w:sz w:val="20"/>
        <w:lang w:val="en-US"/>
      </w:rPr>
      <w:fldChar w:fldCharType="end"/>
    </w:r>
  </w:p>
  <w:p w:rsidR="00907E3E" w:rsidRDefault="00907E3E" w:rsidP="00163A3A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  <w:p w:rsidR="00907E3E" w:rsidRPr="00163A3A" w:rsidRDefault="00907E3E" w:rsidP="00163A3A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3E" w:rsidRDefault="00907E3E" w:rsidP="000C13C7">
    <w:pPr>
      <w:pStyle w:val="Header"/>
      <w:tabs>
        <w:tab w:val="clear" w:pos="4513"/>
        <w:tab w:val="clear" w:pos="9026"/>
      </w:tabs>
    </w:pPr>
    <w:r>
      <w:rPr>
        <w:noProof/>
      </w:rPr>
      <w:drawing>
        <wp:inline distT="0" distB="0" distL="0" distR="0">
          <wp:extent cx="2147504" cy="895985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HRC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8"/>
                  <a:stretch/>
                </pic:blipFill>
                <pic:spPr bwMode="auto">
                  <a:xfrm>
                    <a:off x="0" y="0"/>
                    <a:ext cx="2147995" cy="896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0BED"/>
    <w:multiLevelType w:val="hybridMultilevel"/>
    <w:tmpl w:val="5688F730"/>
    <w:lvl w:ilvl="0" w:tplc="518CD3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6607A1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E07C9"/>
    <w:multiLevelType w:val="hybridMultilevel"/>
    <w:tmpl w:val="A1C479E6"/>
    <w:lvl w:ilvl="0" w:tplc="8A603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4553"/>
    <w:multiLevelType w:val="hybridMultilevel"/>
    <w:tmpl w:val="A12C97A8"/>
    <w:lvl w:ilvl="0" w:tplc="122678C0">
      <w:start w:val="1"/>
      <w:numFmt w:val="bullet"/>
      <w:lvlText w:val=""/>
      <w:lvlJc w:val="left"/>
      <w:pPr>
        <w:ind w:left="365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44680653"/>
    <w:multiLevelType w:val="hybridMultilevel"/>
    <w:tmpl w:val="A2260D1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554296"/>
    <w:multiLevelType w:val="hybridMultilevel"/>
    <w:tmpl w:val="921603C0"/>
    <w:lvl w:ilvl="0" w:tplc="8A603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08"/>
    <w:rsid w:val="0004713B"/>
    <w:rsid w:val="000510CC"/>
    <w:rsid w:val="000725D5"/>
    <w:rsid w:val="000832AF"/>
    <w:rsid w:val="000A3B3C"/>
    <w:rsid w:val="000A6CFF"/>
    <w:rsid w:val="000C13C7"/>
    <w:rsid w:val="000D3487"/>
    <w:rsid w:val="0011709F"/>
    <w:rsid w:val="00126FA4"/>
    <w:rsid w:val="00162D8F"/>
    <w:rsid w:val="00163A3A"/>
    <w:rsid w:val="00184964"/>
    <w:rsid w:val="00187EAE"/>
    <w:rsid w:val="001D709F"/>
    <w:rsid w:val="00231F4F"/>
    <w:rsid w:val="002943CA"/>
    <w:rsid w:val="002E26EA"/>
    <w:rsid w:val="00304408"/>
    <w:rsid w:val="003E068B"/>
    <w:rsid w:val="004150AF"/>
    <w:rsid w:val="00434BB0"/>
    <w:rsid w:val="00453D25"/>
    <w:rsid w:val="00475BCA"/>
    <w:rsid w:val="004809C8"/>
    <w:rsid w:val="00492B5F"/>
    <w:rsid w:val="004A7B4E"/>
    <w:rsid w:val="005134C3"/>
    <w:rsid w:val="00526876"/>
    <w:rsid w:val="005F28E2"/>
    <w:rsid w:val="006062DC"/>
    <w:rsid w:val="006129E9"/>
    <w:rsid w:val="006206DF"/>
    <w:rsid w:val="00623AB5"/>
    <w:rsid w:val="006A79C1"/>
    <w:rsid w:val="006C7A50"/>
    <w:rsid w:val="006E329C"/>
    <w:rsid w:val="006F47F7"/>
    <w:rsid w:val="00751AA0"/>
    <w:rsid w:val="007C160D"/>
    <w:rsid w:val="007E1FFA"/>
    <w:rsid w:val="0086744C"/>
    <w:rsid w:val="0087248A"/>
    <w:rsid w:val="0088060D"/>
    <w:rsid w:val="008B7583"/>
    <w:rsid w:val="00907E3E"/>
    <w:rsid w:val="00911F7B"/>
    <w:rsid w:val="00916895"/>
    <w:rsid w:val="009373B8"/>
    <w:rsid w:val="00983FE4"/>
    <w:rsid w:val="009E201D"/>
    <w:rsid w:val="009F7A0C"/>
    <w:rsid w:val="00A13C43"/>
    <w:rsid w:val="00A30388"/>
    <w:rsid w:val="00A473D2"/>
    <w:rsid w:val="00A71D12"/>
    <w:rsid w:val="00A76F79"/>
    <w:rsid w:val="00A8475E"/>
    <w:rsid w:val="00A97617"/>
    <w:rsid w:val="00AA0CF2"/>
    <w:rsid w:val="00B134B5"/>
    <w:rsid w:val="00B2097C"/>
    <w:rsid w:val="00B97493"/>
    <w:rsid w:val="00C7774C"/>
    <w:rsid w:val="00CE1D89"/>
    <w:rsid w:val="00CE245E"/>
    <w:rsid w:val="00D025F7"/>
    <w:rsid w:val="00D07488"/>
    <w:rsid w:val="00D23676"/>
    <w:rsid w:val="00D4795C"/>
    <w:rsid w:val="00DE53D1"/>
    <w:rsid w:val="00E12314"/>
    <w:rsid w:val="00E95861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C069F0E"/>
  <w15:chartTrackingRefBased/>
  <w15:docId w15:val="{E18C8788-34A5-4714-A949-D5AD56ED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A3A"/>
    <w:pPr>
      <w:spacing w:after="160" w:line="256" w:lineRule="auto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126FA4"/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30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408"/>
  </w:style>
  <w:style w:type="paragraph" w:styleId="Footer">
    <w:name w:val="footer"/>
    <w:basedOn w:val="Normal"/>
    <w:link w:val="FooterChar"/>
    <w:uiPriority w:val="99"/>
    <w:unhideWhenUsed/>
    <w:rsid w:val="00304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08"/>
  </w:style>
  <w:style w:type="character" w:styleId="Hyperlink">
    <w:name w:val="Hyperlink"/>
    <w:basedOn w:val="DefaultParagraphFont"/>
    <w:uiPriority w:val="99"/>
    <w:unhideWhenUsed/>
    <w:rsid w:val="00163A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3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95"/>
    <w:rPr>
      <w:rFonts w:ascii="Segoe UI" w:eastAsia="Calibri" w:hAnsi="Segoe UI" w:cs="Segoe UI"/>
      <w:color w:val="000000"/>
      <w:sz w:val="18"/>
      <w:szCs w:val="18"/>
      <w:lang w:eastAsia="en-AU"/>
    </w:rPr>
  </w:style>
  <w:style w:type="character" w:styleId="Strong">
    <w:name w:val="Strong"/>
    <w:basedOn w:val="DefaultParagraphFont"/>
    <w:uiPriority w:val="22"/>
    <w:qFormat/>
    <w:rsid w:val="007E1FF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16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60D"/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C1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sc@parliament.qld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B959-5829-4A39-BD80-F01B7397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317101D1</Template>
  <TotalTime>2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ADCQ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Ball</dc:creator>
  <cp:keywords/>
  <dc:description/>
  <cp:lastModifiedBy>Julie Ball</cp:lastModifiedBy>
  <cp:revision>3</cp:revision>
  <cp:lastPrinted>2019-12-19T05:03:00Z</cp:lastPrinted>
  <dcterms:created xsi:type="dcterms:W3CDTF">2019-12-19T05:02:00Z</dcterms:created>
  <dcterms:modified xsi:type="dcterms:W3CDTF">2019-12-19T05:04:00Z</dcterms:modified>
</cp:coreProperties>
</file>