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C3EB9" w14:textId="77777777" w:rsidR="00266F9A" w:rsidRDefault="00266F9A" w:rsidP="00266F9A">
      <w:bookmarkStart w:id="0" w:name="_Toc28073511"/>
      <w:bookmarkStart w:id="1" w:name="_GoBack"/>
      <w:bookmarkEnd w:id="1"/>
      <w:r>
        <w:tab/>
      </w:r>
    </w:p>
    <w:tbl>
      <w:tblPr>
        <w:tblW w:w="5000" w:type="pct"/>
        <w:jc w:val="center"/>
        <w:tblLook w:val="04A0" w:firstRow="1" w:lastRow="0" w:firstColumn="1" w:lastColumn="0" w:noHBand="0" w:noVBand="1"/>
      </w:tblPr>
      <w:tblGrid>
        <w:gridCol w:w="8498"/>
      </w:tblGrid>
      <w:tr w:rsidR="00266F9A" w:rsidRPr="00D95D9E" w14:paraId="51C2A04B" w14:textId="77777777" w:rsidTr="00F767A7">
        <w:trPr>
          <w:trHeight w:val="360"/>
          <w:jc w:val="center"/>
        </w:trPr>
        <w:tc>
          <w:tcPr>
            <w:tcW w:w="5000" w:type="pct"/>
            <w:tcBorders>
              <w:top w:val="thinThickSmallGap" w:sz="24" w:space="0" w:color="1F497D" w:themeColor="text2"/>
            </w:tcBorders>
            <w:vAlign w:val="center"/>
          </w:tcPr>
          <w:p w14:paraId="7E3EFED1" w14:textId="77777777" w:rsidR="00266F9A" w:rsidRPr="00D95D9E" w:rsidRDefault="00266F9A" w:rsidP="00F767A7">
            <w:pPr>
              <w:pStyle w:val="NoSpacing"/>
              <w:spacing w:before="720" w:after="240"/>
              <w:jc w:val="center"/>
              <w:rPr>
                <w:b/>
                <w:bCs/>
                <w:sz w:val="28"/>
              </w:rPr>
            </w:pPr>
          </w:p>
        </w:tc>
      </w:tr>
      <w:tr w:rsidR="00266F9A" w:rsidRPr="00D95D9E" w14:paraId="4B8871DE" w14:textId="77777777" w:rsidTr="00F767A7">
        <w:trPr>
          <w:trHeight w:val="2506"/>
          <w:jc w:val="center"/>
        </w:trPr>
        <w:sdt>
          <w:sdtPr>
            <w:rPr>
              <w:rFonts w:asciiTheme="majorHAnsi" w:eastAsiaTheme="majorEastAsia" w:hAnsiTheme="majorHAnsi" w:cstheme="majorBidi"/>
              <w:color w:val="1F497D" w:themeColor="text2"/>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328C4D91" w14:textId="66D4CBDD" w:rsidR="00266F9A" w:rsidRPr="00D95D9E" w:rsidRDefault="00266F9A" w:rsidP="000A2665">
                <w:pPr>
                  <w:pStyle w:val="NoSpacing"/>
                  <w:spacing w:after="240"/>
                  <w:jc w:val="center"/>
                  <w:rPr>
                    <w:rFonts w:asciiTheme="majorHAnsi" w:eastAsiaTheme="majorEastAsia" w:hAnsiTheme="majorHAnsi" w:cstheme="majorBidi"/>
                    <w:sz w:val="80"/>
                    <w:szCs w:val="80"/>
                  </w:rPr>
                </w:pPr>
                <w:r w:rsidRPr="00266F9A">
                  <w:rPr>
                    <w:rFonts w:asciiTheme="majorHAnsi" w:eastAsiaTheme="majorEastAsia" w:hAnsiTheme="majorHAnsi" w:cstheme="majorBidi"/>
                    <w:color w:val="1F497D" w:themeColor="text2"/>
                    <w:sz w:val="60"/>
                    <w:szCs w:val="60"/>
                  </w:rPr>
                  <w:t>Electoral and Other Legislation (Accountability, Integrity and Other Matters) Amendment Bill 2019</w:t>
                </w:r>
                <w:r w:rsidR="000A2665">
                  <w:rPr>
                    <w:rFonts w:asciiTheme="majorHAnsi" w:eastAsiaTheme="majorEastAsia" w:hAnsiTheme="majorHAnsi" w:cstheme="majorBidi"/>
                    <w:color w:val="1F497D" w:themeColor="text2"/>
                    <w:sz w:val="60"/>
                    <w:szCs w:val="60"/>
                  </w:rPr>
                  <w:t xml:space="preserve"> and related Inquiry</w:t>
                </w:r>
              </w:p>
            </w:tc>
          </w:sdtContent>
        </w:sdt>
      </w:tr>
      <w:tr w:rsidR="00266F9A" w:rsidRPr="00D95D9E" w14:paraId="2A837BDD" w14:textId="77777777" w:rsidTr="00F767A7">
        <w:trPr>
          <w:trHeight w:val="360"/>
          <w:jc w:val="center"/>
        </w:trPr>
        <w:tc>
          <w:tcPr>
            <w:tcW w:w="5000" w:type="pct"/>
            <w:vAlign w:val="center"/>
          </w:tcPr>
          <w:p w14:paraId="4C852259" w14:textId="77777777" w:rsidR="00266F9A" w:rsidRPr="00D95D9E" w:rsidRDefault="00266F9A" w:rsidP="00F767A7">
            <w:pPr>
              <w:pStyle w:val="NoSpacing"/>
              <w:spacing w:after="240"/>
              <w:jc w:val="center"/>
              <w:rPr>
                <w:b/>
                <w:bCs/>
                <w:sz w:val="28"/>
              </w:rPr>
            </w:pPr>
          </w:p>
        </w:tc>
      </w:tr>
      <w:tr w:rsidR="00266F9A" w:rsidRPr="00D95D9E" w14:paraId="643752FE" w14:textId="77777777" w:rsidTr="00F767A7">
        <w:trPr>
          <w:trHeight w:val="360"/>
          <w:jc w:val="center"/>
        </w:trPr>
        <w:tc>
          <w:tcPr>
            <w:tcW w:w="5000" w:type="pct"/>
            <w:tcBorders>
              <w:bottom w:val="thickThinSmallGap" w:sz="24" w:space="0" w:color="1F497D" w:themeColor="text2"/>
            </w:tcBorders>
            <w:vAlign w:val="center"/>
          </w:tcPr>
          <w:p w14:paraId="1133845C" w14:textId="77777777" w:rsidR="00266F9A" w:rsidRDefault="00266F9A" w:rsidP="00F767A7">
            <w:pPr>
              <w:pStyle w:val="NoSpacing"/>
              <w:spacing w:before="120" w:after="120"/>
              <w:jc w:val="right"/>
              <w:rPr>
                <w:rFonts w:ascii="Arial" w:hAnsi="Arial" w:cs="Arial"/>
                <w:b/>
                <w:bCs/>
                <w:sz w:val="28"/>
              </w:rPr>
            </w:pPr>
            <w:r>
              <w:rPr>
                <w:rFonts w:ascii="Arial" w:hAnsi="Arial" w:cs="Arial"/>
                <w:b/>
                <w:bCs/>
                <w:sz w:val="28"/>
              </w:rPr>
              <w:t>Submission</w:t>
            </w:r>
          </w:p>
          <w:p w14:paraId="0069844F" w14:textId="77777777" w:rsidR="00266F9A" w:rsidRDefault="00266F9A" w:rsidP="00F767A7">
            <w:pPr>
              <w:pStyle w:val="NoSpacing"/>
              <w:spacing w:before="120" w:after="120"/>
              <w:jc w:val="right"/>
              <w:rPr>
                <w:rFonts w:ascii="Arial" w:hAnsi="Arial" w:cs="Arial"/>
                <w:b/>
                <w:bCs/>
                <w:sz w:val="28"/>
              </w:rPr>
            </w:pPr>
            <w:r>
              <w:rPr>
                <w:rFonts w:ascii="Arial" w:hAnsi="Arial" w:cs="Arial"/>
                <w:b/>
                <w:bCs/>
                <w:sz w:val="28"/>
              </w:rPr>
              <w:t>to</w:t>
            </w:r>
          </w:p>
          <w:p w14:paraId="393898A4" w14:textId="5766B9F1" w:rsidR="00F767A7" w:rsidRDefault="00F767A7" w:rsidP="00F767A7">
            <w:pPr>
              <w:pStyle w:val="NoSpacing"/>
              <w:spacing w:before="120" w:after="120"/>
              <w:jc w:val="right"/>
              <w:rPr>
                <w:rFonts w:ascii="Arial" w:hAnsi="Arial" w:cs="Arial"/>
                <w:b/>
                <w:bCs/>
                <w:sz w:val="28"/>
              </w:rPr>
            </w:pPr>
            <w:r w:rsidRPr="00F767A7">
              <w:rPr>
                <w:rFonts w:ascii="Arial" w:hAnsi="Arial" w:cs="Arial"/>
                <w:b/>
                <w:bCs/>
                <w:sz w:val="28"/>
              </w:rPr>
              <w:t>Economics and Governance Committee</w:t>
            </w:r>
            <w:r w:rsidR="00AC25D3">
              <w:rPr>
                <w:rFonts w:ascii="Arial" w:hAnsi="Arial" w:cs="Arial"/>
                <w:b/>
                <w:bCs/>
                <w:sz w:val="28"/>
              </w:rPr>
              <w:t xml:space="preserve">, </w:t>
            </w:r>
            <w:r w:rsidR="00AC25D3">
              <w:rPr>
                <w:rFonts w:ascii="Arial" w:hAnsi="Arial" w:cs="Arial"/>
                <w:b/>
                <w:bCs/>
                <w:sz w:val="28"/>
              </w:rPr>
              <w:br/>
              <w:t>Queensland Parliament</w:t>
            </w:r>
          </w:p>
          <w:p w14:paraId="4BCF2125" w14:textId="6047B005" w:rsidR="00266F9A" w:rsidRPr="00D95D9E" w:rsidRDefault="00F767A7" w:rsidP="00F767A7">
            <w:pPr>
              <w:pStyle w:val="NoSpacing"/>
              <w:spacing w:before="120" w:after="120"/>
              <w:jc w:val="right"/>
              <w:rPr>
                <w:b/>
                <w:bCs/>
                <w:sz w:val="28"/>
              </w:rPr>
            </w:pPr>
            <w:r w:rsidRPr="00F767A7">
              <w:rPr>
                <w:rFonts w:ascii="Arial" w:hAnsi="Arial" w:cs="Arial"/>
                <w:b/>
                <w:bCs/>
                <w:sz w:val="28"/>
              </w:rPr>
              <w:t xml:space="preserve"> </w:t>
            </w:r>
          </w:p>
        </w:tc>
      </w:tr>
    </w:tbl>
    <w:p w14:paraId="3977D036" w14:textId="0B735C7C" w:rsidR="00266F9A" w:rsidRDefault="00266F9A" w:rsidP="00266F9A"/>
    <w:p w14:paraId="63AFC5C1" w14:textId="748C998A" w:rsidR="00266F9A" w:rsidRDefault="00266F9A" w:rsidP="00266F9A"/>
    <w:p w14:paraId="6924B2C9" w14:textId="2E67E3C4" w:rsidR="00266F9A" w:rsidRPr="00A16356" w:rsidRDefault="00F767A7" w:rsidP="00266F9A">
      <w:pPr>
        <w:pStyle w:val="NoSpacing"/>
        <w:jc w:val="center"/>
        <w:rPr>
          <w:rFonts w:ascii="Arial" w:hAnsi="Arial" w:cs="Arial"/>
          <w:color w:val="4F81BD" w:themeColor="accent1"/>
          <w:sz w:val="28"/>
          <w:szCs w:val="28"/>
        </w:rPr>
      </w:pPr>
      <w:r>
        <w:rPr>
          <w:rFonts w:ascii="Arial" w:hAnsi="Arial" w:cs="Arial"/>
          <w:color w:val="4F81BD" w:themeColor="accent1"/>
          <w:sz w:val="28"/>
          <w:szCs w:val="28"/>
        </w:rPr>
        <w:t>8</w:t>
      </w:r>
      <w:r w:rsidR="00266F9A">
        <w:rPr>
          <w:rFonts w:ascii="Arial" w:hAnsi="Arial" w:cs="Arial"/>
          <w:color w:val="4F81BD" w:themeColor="accent1"/>
          <w:sz w:val="28"/>
          <w:szCs w:val="28"/>
        </w:rPr>
        <w:t xml:space="preserve"> January 2020</w:t>
      </w:r>
    </w:p>
    <w:p w14:paraId="50EB2CDB" w14:textId="77777777" w:rsidR="00266F9A" w:rsidRDefault="00266F9A" w:rsidP="00266F9A"/>
    <w:p w14:paraId="04A9002B" w14:textId="41E2976B" w:rsidR="00266F9A" w:rsidRDefault="00266F9A">
      <w:pPr>
        <w:rPr>
          <w:rFonts w:ascii="Arial" w:hAnsi="Arial" w:cs="Arial"/>
        </w:rPr>
      </w:pPr>
      <w:r>
        <w:rPr>
          <w:rFonts w:ascii="Arial" w:hAnsi="Arial" w:cs="Arial"/>
        </w:rPr>
        <w:br w:type="page"/>
      </w:r>
    </w:p>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lang w:val="en-AU"/>
        </w:rPr>
      </w:sdtEndPr>
      <w:sdtContent>
        <w:p w14:paraId="0274290E" w14:textId="77777777" w:rsidR="001C15DD" w:rsidRPr="001C15DD" w:rsidRDefault="001C15DD" w:rsidP="001C15DD">
          <w:pPr>
            <w:pStyle w:val="TOCHeading"/>
            <w:rPr>
              <w:rFonts w:ascii="Arial" w:hAnsi="Arial" w:cs="Arial"/>
            </w:rPr>
          </w:pPr>
          <w:r w:rsidRPr="001C15DD">
            <w:rPr>
              <w:rFonts w:ascii="Arial" w:hAnsi="Arial" w:cs="Arial"/>
            </w:rPr>
            <w:t>Table of Contents</w:t>
          </w:r>
        </w:p>
        <w:p w14:paraId="3645AB94" w14:textId="17F50CE3" w:rsidR="001C15DD" w:rsidRPr="001C15DD" w:rsidRDefault="001C15DD">
          <w:pPr>
            <w:pStyle w:val="TOC1"/>
            <w:tabs>
              <w:tab w:val="right" w:leader="dot" w:pos="8488"/>
            </w:tabs>
            <w:rPr>
              <w:rFonts w:ascii="Arial" w:hAnsi="Arial" w:cs="Arial"/>
              <w:noProof/>
              <w:sz w:val="22"/>
              <w:szCs w:val="22"/>
              <w:lang w:eastAsia="en-AU"/>
            </w:rPr>
          </w:pPr>
          <w:r w:rsidRPr="001C15DD">
            <w:rPr>
              <w:rFonts w:ascii="Arial" w:hAnsi="Arial" w:cs="Arial"/>
              <w:b/>
              <w:bCs/>
              <w:noProof/>
            </w:rPr>
            <w:fldChar w:fldCharType="begin"/>
          </w:r>
          <w:r w:rsidRPr="001C15DD">
            <w:rPr>
              <w:rFonts w:ascii="Arial" w:hAnsi="Arial" w:cs="Arial"/>
              <w:b/>
              <w:bCs/>
              <w:noProof/>
            </w:rPr>
            <w:instrText xml:space="preserve"> TOC \o "1-3" \h \z \u </w:instrText>
          </w:r>
          <w:r w:rsidRPr="001C15DD">
            <w:rPr>
              <w:rFonts w:ascii="Arial" w:hAnsi="Arial" w:cs="Arial"/>
              <w:b/>
              <w:bCs/>
              <w:noProof/>
            </w:rPr>
            <w:fldChar w:fldCharType="separate"/>
          </w:r>
          <w:hyperlink w:anchor="_Toc29377382" w:history="1">
            <w:r w:rsidRPr="001C15DD">
              <w:rPr>
                <w:rStyle w:val="Hyperlink"/>
                <w:rFonts w:ascii="Arial" w:hAnsi="Arial" w:cs="Arial"/>
                <w:noProof/>
              </w:rPr>
              <w:t>Summary of submission</w:t>
            </w:r>
            <w:r w:rsidRPr="001C15DD">
              <w:rPr>
                <w:rFonts w:ascii="Arial" w:hAnsi="Arial" w:cs="Arial"/>
                <w:noProof/>
                <w:webHidden/>
              </w:rPr>
              <w:tab/>
            </w:r>
            <w:r w:rsidRPr="001C15DD">
              <w:rPr>
                <w:rFonts w:ascii="Arial" w:hAnsi="Arial" w:cs="Arial"/>
                <w:noProof/>
                <w:webHidden/>
              </w:rPr>
              <w:fldChar w:fldCharType="begin"/>
            </w:r>
            <w:r w:rsidRPr="001C15DD">
              <w:rPr>
                <w:rFonts w:ascii="Arial" w:hAnsi="Arial" w:cs="Arial"/>
                <w:noProof/>
                <w:webHidden/>
              </w:rPr>
              <w:instrText xml:space="preserve"> PAGEREF _Toc29377382 \h </w:instrText>
            </w:r>
            <w:r w:rsidRPr="001C15DD">
              <w:rPr>
                <w:rFonts w:ascii="Arial" w:hAnsi="Arial" w:cs="Arial"/>
                <w:noProof/>
                <w:webHidden/>
              </w:rPr>
            </w:r>
            <w:r w:rsidRPr="001C15DD">
              <w:rPr>
                <w:rFonts w:ascii="Arial" w:hAnsi="Arial" w:cs="Arial"/>
                <w:noProof/>
                <w:webHidden/>
              </w:rPr>
              <w:fldChar w:fldCharType="separate"/>
            </w:r>
            <w:r w:rsidR="00AB2C2C">
              <w:rPr>
                <w:rFonts w:ascii="Arial" w:hAnsi="Arial" w:cs="Arial"/>
                <w:noProof/>
                <w:webHidden/>
              </w:rPr>
              <w:t>3</w:t>
            </w:r>
            <w:r w:rsidRPr="001C15DD">
              <w:rPr>
                <w:rFonts w:ascii="Arial" w:hAnsi="Arial" w:cs="Arial"/>
                <w:noProof/>
                <w:webHidden/>
              </w:rPr>
              <w:fldChar w:fldCharType="end"/>
            </w:r>
          </w:hyperlink>
        </w:p>
        <w:p w14:paraId="29D4301F" w14:textId="71CA0414" w:rsidR="001C15DD" w:rsidRPr="001C15DD" w:rsidRDefault="00C6621A">
          <w:pPr>
            <w:pStyle w:val="TOC1"/>
            <w:tabs>
              <w:tab w:val="right" w:leader="dot" w:pos="8488"/>
            </w:tabs>
            <w:rPr>
              <w:rFonts w:ascii="Arial" w:hAnsi="Arial" w:cs="Arial"/>
              <w:noProof/>
              <w:sz w:val="22"/>
              <w:szCs w:val="22"/>
              <w:lang w:eastAsia="en-AU"/>
            </w:rPr>
          </w:pPr>
          <w:hyperlink w:anchor="_Toc29377383" w:history="1">
            <w:r w:rsidR="001C15DD" w:rsidRPr="001C15DD">
              <w:rPr>
                <w:rStyle w:val="Hyperlink"/>
                <w:rFonts w:ascii="Arial" w:hAnsi="Arial" w:cs="Arial"/>
                <w:noProof/>
              </w:rPr>
              <w:t>Electoral and Other Legislation (Accountability, Integrity and Other Matters) Amendment Bill 2019</w:t>
            </w:r>
            <w:r w:rsidR="001C15DD" w:rsidRPr="001C15DD">
              <w:rPr>
                <w:rFonts w:ascii="Arial" w:hAnsi="Arial" w:cs="Arial"/>
                <w:noProof/>
                <w:webHidden/>
              </w:rPr>
              <w:tab/>
            </w:r>
            <w:r w:rsidR="001C15DD" w:rsidRPr="001C15DD">
              <w:rPr>
                <w:rFonts w:ascii="Arial" w:hAnsi="Arial" w:cs="Arial"/>
                <w:noProof/>
                <w:webHidden/>
              </w:rPr>
              <w:fldChar w:fldCharType="begin"/>
            </w:r>
            <w:r w:rsidR="001C15DD" w:rsidRPr="001C15DD">
              <w:rPr>
                <w:rFonts w:ascii="Arial" w:hAnsi="Arial" w:cs="Arial"/>
                <w:noProof/>
                <w:webHidden/>
              </w:rPr>
              <w:instrText xml:space="preserve"> PAGEREF _Toc29377383 \h </w:instrText>
            </w:r>
            <w:r w:rsidR="001C15DD" w:rsidRPr="001C15DD">
              <w:rPr>
                <w:rFonts w:ascii="Arial" w:hAnsi="Arial" w:cs="Arial"/>
                <w:noProof/>
                <w:webHidden/>
              </w:rPr>
            </w:r>
            <w:r w:rsidR="001C15DD" w:rsidRPr="001C15DD">
              <w:rPr>
                <w:rFonts w:ascii="Arial" w:hAnsi="Arial" w:cs="Arial"/>
                <w:noProof/>
                <w:webHidden/>
              </w:rPr>
              <w:fldChar w:fldCharType="separate"/>
            </w:r>
            <w:r w:rsidR="00AB2C2C">
              <w:rPr>
                <w:rFonts w:ascii="Arial" w:hAnsi="Arial" w:cs="Arial"/>
                <w:noProof/>
                <w:webHidden/>
              </w:rPr>
              <w:t>4</w:t>
            </w:r>
            <w:r w:rsidR="001C15DD" w:rsidRPr="001C15DD">
              <w:rPr>
                <w:rFonts w:ascii="Arial" w:hAnsi="Arial" w:cs="Arial"/>
                <w:noProof/>
                <w:webHidden/>
              </w:rPr>
              <w:fldChar w:fldCharType="end"/>
            </w:r>
          </w:hyperlink>
        </w:p>
        <w:p w14:paraId="4C46E98E" w14:textId="48879245" w:rsidR="001C15DD" w:rsidRPr="001C15DD" w:rsidRDefault="00C6621A">
          <w:pPr>
            <w:pStyle w:val="TOC1"/>
            <w:tabs>
              <w:tab w:val="right" w:leader="dot" w:pos="8488"/>
            </w:tabs>
            <w:rPr>
              <w:rFonts w:ascii="Arial" w:hAnsi="Arial" w:cs="Arial"/>
              <w:noProof/>
              <w:sz w:val="22"/>
              <w:szCs w:val="22"/>
              <w:lang w:eastAsia="en-AU"/>
            </w:rPr>
          </w:pPr>
          <w:hyperlink w:anchor="_Toc29377384" w:history="1">
            <w:r w:rsidR="001C15DD" w:rsidRPr="001C15DD">
              <w:rPr>
                <w:rStyle w:val="Hyperlink"/>
                <w:rFonts w:ascii="Arial" w:hAnsi="Arial" w:cs="Arial"/>
                <w:noProof/>
              </w:rPr>
              <w:t>Restriction on electoral donations and expenditure caps generally</w:t>
            </w:r>
            <w:r w:rsidR="001C15DD" w:rsidRPr="001C15DD">
              <w:rPr>
                <w:rFonts w:ascii="Arial" w:hAnsi="Arial" w:cs="Arial"/>
                <w:noProof/>
                <w:webHidden/>
              </w:rPr>
              <w:tab/>
            </w:r>
            <w:r w:rsidR="001C15DD" w:rsidRPr="001C15DD">
              <w:rPr>
                <w:rFonts w:ascii="Arial" w:hAnsi="Arial" w:cs="Arial"/>
                <w:noProof/>
                <w:webHidden/>
              </w:rPr>
              <w:fldChar w:fldCharType="begin"/>
            </w:r>
            <w:r w:rsidR="001C15DD" w:rsidRPr="001C15DD">
              <w:rPr>
                <w:rFonts w:ascii="Arial" w:hAnsi="Arial" w:cs="Arial"/>
                <w:noProof/>
                <w:webHidden/>
              </w:rPr>
              <w:instrText xml:space="preserve"> PAGEREF _Toc29377384 \h </w:instrText>
            </w:r>
            <w:r w:rsidR="001C15DD" w:rsidRPr="001C15DD">
              <w:rPr>
                <w:rFonts w:ascii="Arial" w:hAnsi="Arial" w:cs="Arial"/>
                <w:noProof/>
                <w:webHidden/>
              </w:rPr>
            </w:r>
            <w:r w:rsidR="001C15DD" w:rsidRPr="001C15DD">
              <w:rPr>
                <w:rFonts w:ascii="Arial" w:hAnsi="Arial" w:cs="Arial"/>
                <w:noProof/>
                <w:webHidden/>
              </w:rPr>
              <w:fldChar w:fldCharType="separate"/>
            </w:r>
            <w:r w:rsidR="00AB2C2C">
              <w:rPr>
                <w:rFonts w:ascii="Arial" w:hAnsi="Arial" w:cs="Arial"/>
                <w:noProof/>
                <w:webHidden/>
              </w:rPr>
              <w:t>6</w:t>
            </w:r>
            <w:r w:rsidR="001C15DD" w:rsidRPr="001C15DD">
              <w:rPr>
                <w:rFonts w:ascii="Arial" w:hAnsi="Arial" w:cs="Arial"/>
                <w:noProof/>
                <w:webHidden/>
              </w:rPr>
              <w:fldChar w:fldCharType="end"/>
            </w:r>
          </w:hyperlink>
        </w:p>
        <w:p w14:paraId="577AD3B0" w14:textId="5D9289F3" w:rsidR="001C15DD" w:rsidRPr="001C15DD" w:rsidRDefault="00C6621A">
          <w:pPr>
            <w:pStyle w:val="TOC2"/>
            <w:rPr>
              <w:rFonts w:ascii="Arial" w:hAnsi="Arial" w:cs="Arial"/>
              <w:noProof/>
              <w:sz w:val="22"/>
              <w:szCs w:val="22"/>
              <w:lang w:eastAsia="en-AU"/>
            </w:rPr>
          </w:pPr>
          <w:hyperlink w:anchor="_Toc29377385" w:history="1">
            <w:r w:rsidR="001C15DD" w:rsidRPr="001C15DD">
              <w:rPr>
                <w:rStyle w:val="Hyperlink"/>
                <w:rFonts w:ascii="Arial" w:hAnsi="Arial" w:cs="Arial"/>
                <w:noProof/>
              </w:rPr>
              <w:t>Freedom of expression</w:t>
            </w:r>
            <w:r w:rsidR="001C15DD" w:rsidRPr="001C15DD">
              <w:rPr>
                <w:rFonts w:ascii="Arial" w:hAnsi="Arial" w:cs="Arial"/>
                <w:noProof/>
                <w:webHidden/>
              </w:rPr>
              <w:tab/>
            </w:r>
            <w:r w:rsidR="001C15DD" w:rsidRPr="001C15DD">
              <w:rPr>
                <w:rFonts w:ascii="Arial" w:hAnsi="Arial" w:cs="Arial"/>
                <w:noProof/>
                <w:webHidden/>
              </w:rPr>
              <w:fldChar w:fldCharType="begin"/>
            </w:r>
            <w:r w:rsidR="001C15DD" w:rsidRPr="001C15DD">
              <w:rPr>
                <w:rFonts w:ascii="Arial" w:hAnsi="Arial" w:cs="Arial"/>
                <w:noProof/>
                <w:webHidden/>
              </w:rPr>
              <w:instrText xml:space="preserve"> PAGEREF _Toc29377385 \h </w:instrText>
            </w:r>
            <w:r w:rsidR="001C15DD" w:rsidRPr="001C15DD">
              <w:rPr>
                <w:rFonts w:ascii="Arial" w:hAnsi="Arial" w:cs="Arial"/>
                <w:noProof/>
                <w:webHidden/>
              </w:rPr>
            </w:r>
            <w:r w:rsidR="001C15DD" w:rsidRPr="001C15DD">
              <w:rPr>
                <w:rFonts w:ascii="Arial" w:hAnsi="Arial" w:cs="Arial"/>
                <w:noProof/>
                <w:webHidden/>
              </w:rPr>
              <w:fldChar w:fldCharType="separate"/>
            </w:r>
            <w:r w:rsidR="00AB2C2C">
              <w:rPr>
                <w:rFonts w:ascii="Arial" w:hAnsi="Arial" w:cs="Arial"/>
                <w:noProof/>
                <w:webHidden/>
              </w:rPr>
              <w:t>6</w:t>
            </w:r>
            <w:r w:rsidR="001C15DD" w:rsidRPr="001C15DD">
              <w:rPr>
                <w:rFonts w:ascii="Arial" w:hAnsi="Arial" w:cs="Arial"/>
                <w:noProof/>
                <w:webHidden/>
              </w:rPr>
              <w:fldChar w:fldCharType="end"/>
            </w:r>
          </w:hyperlink>
        </w:p>
        <w:p w14:paraId="1E17DE62" w14:textId="2AA3512D" w:rsidR="001C15DD" w:rsidRPr="001C15DD" w:rsidRDefault="00C6621A">
          <w:pPr>
            <w:pStyle w:val="TOC2"/>
            <w:rPr>
              <w:rFonts w:ascii="Arial" w:hAnsi="Arial" w:cs="Arial"/>
              <w:noProof/>
              <w:sz w:val="22"/>
              <w:szCs w:val="22"/>
              <w:lang w:eastAsia="en-AU"/>
            </w:rPr>
          </w:pPr>
          <w:hyperlink w:anchor="_Toc29377386" w:history="1">
            <w:r w:rsidR="001C15DD" w:rsidRPr="001C15DD">
              <w:rPr>
                <w:rStyle w:val="Hyperlink"/>
                <w:rFonts w:ascii="Arial" w:hAnsi="Arial" w:cs="Arial"/>
                <w:noProof/>
              </w:rPr>
              <w:t>Right to take part in public life</w:t>
            </w:r>
            <w:r w:rsidR="001C15DD" w:rsidRPr="001C15DD">
              <w:rPr>
                <w:rFonts w:ascii="Arial" w:hAnsi="Arial" w:cs="Arial"/>
                <w:noProof/>
                <w:webHidden/>
              </w:rPr>
              <w:tab/>
            </w:r>
            <w:r w:rsidR="001C15DD" w:rsidRPr="001C15DD">
              <w:rPr>
                <w:rFonts w:ascii="Arial" w:hAnsi="Arial" w:cs="Arial"/>
                <w:noProof/>
                <w:webHidden/>
              </w:rPr>
              <w:fldChar w:fldCharType="begin"/>
            </w:r>
            <w:r w:rsidR="001C15DD" w:rsidRPr="001C15DD">
              <w:rPr>
                <w:rFonts w:ascii="Arial" w:hAnsi="Arial" w:cs="Arial"/>
                <w:noProof/>
                <w:webHidden/>
              </w:rPr>
              <w:instrText xml:space="preserve"> PAGEREF _Toc29377386 \h </w:instrText>
            </w:r>
            <w:r w:rsidR="001C15DD" w:rsidRPr="001C15DD">
              <w:rPr>
                <w:rFonts w:ascii="Arial" w:hAnsi="Arial" w:cs="Arial"/>
                <w:noProof/>
                <w:webHidden/>
              </w:rPr>
            </w:r>
            <w:r w:rsidR="001C15DD" w:rsidRPr="001C15DD">
              <w:rPr>
                <w:rFonts w:ascii="Arial" w:hAnsi="Arial" w:cs="Arial"/>
                <w:noProof/>
                <w:webHidden/>
              </w:rPr>
              <w:fldChar w:fldCharType="separate"/>
            </w:r>
            <w:r w:rsidR="00AB2C2C">
              <w:rPr>
                <w:rFonts w:ascii="Arial" w:hAnsi="Arial" w:cs="Arial"/>
                <w:noProof/>
                <w:webHidden/>
              </w:rPr>
              <w:t>8</w:t>
            </w:r>
            <w:r w:rsidR="001C15DD" w:rsidRPr="001C15DD">
              <w:rPr>
                <w:rFonts w:ascii="Arial" w:hAnsi="Arial" w:cs="Arial"/>
                <w:noProof/>
                <w:webHidden/>
              </w:rPr>
              <w:fldChar w:fldCharType="end"/>
            </w:r>
          </w:hyperlink>
        </w:p>
        <w:p w14:paraId="14BB081B" w14:textId="51F88014" w:rsidR="001C15DD" w:rsidRPr="001C15DD" w:rsidRDefault="00C6621A">
          <w:pPr>
            <w:pStyle w:val="TOC2"/>
            <w:rPr>
              <w:rFonts w:ascii="Arial" w:hAnsi="Arial" w:cs="Arial"/>
              <w:noProof/>
              <w:sz w:val="22"/>
              <w:szCs w:val="22"/>
              <w:lang w:eastAsia="en-AU"/>
            </w:rPr>
          </w:pPr>
          <w:hyperlink w:anchor="_Toc29377387" w:history="1">
            <w:r w:rsidR="001C15DD" w:rsidRPr="001C15DD">
              <w:rPr>
                <w:rStyle w:val="Hyperlink"/>
                <w:rFonts w:ascii="Arial" w:hAnsi="Arial" w:cs="Arial"/>
                <w:noProof/>
              </w:rPr>
              <w:t>Restrictions and caps conclusion</w:t>
            </w:r>
            <w:r w:rsidR="001C15DD" w:rsidRPr="001C15DD">
              <w:rPr>
                <w:rFonts w:ascii="Arial" w:hAnsi="Arial" w:cs="Arial"/>
                <w:noProof/>
                <w:webHidden/>
              </w:rPr>
              <w:tab/>
            </w:r>
            <w:r w:rsidR="001C15DD" w:rsidRPr="001C15DD">
              <w:rPr>
                <w:rFonts w:ascii="Arial" w:hAnsi="Arial" w:cs="Arial"/>
                <w:noProof/>
                <w:webHidden/>
              </w:rPr>
              <w:fldChar w:fldCharType="begin"/>
            </w:r>
            <w:r w:rsidR="001C15DD" w:rsidRPr="001C15DD">
              <w:rPr>
                <w:rFonts w:ascii="Arial" w:hAnsi="Arial" w:cs="Arial"/>
                <w:noProof/>
                <w:webHidden/>
              </w:rPr>
              <w:instrText xml:space="preserve"> PAGEREF _Toc29377387 \h </w:instrText>
            </w:r>
            <w:r w:rsidR="001C15DD" w:rsidRPr="001C15DD">
              <w:rPr>
                <w:rFonts w:ascii="Arial" w:hAnsi="Arial" w:cs="Arial"/>
                <w:noProof/>
                <w:webHidden/>
              </w:rPr>
            </w:r>
            <w:r w:rsidR="001C15DD" w:rsidRPr="001C15DD">
              <w:rPr>
                <w:rFonts w:ascii="Arial" w:hAnsi="Arial" w:cs="Arial"/>
                <w:noProof/>
                <w:webHidden/>
              </w:rPr>
              <w:fldChar w:fldCharType="separate"/>
            </w:r>
            <w:r w:rsidR="00AB2C2C">
              <w:rPr>
                <w:rFonts w:ascii="Arial" w:hAnsi="Arial" w:cs="Arial"/>
                <w:noProof/>
                <w:webHidden/>
              </w:rPr>
              <w:t>9</w:t>
            </w:r>
            <w:r w:rsidR="001C15DD" w:rsidRPr="001C15DD">
              <w:rPr>
                <w:rFonts w:ascii="Arial" w:hAnsi="Arial" w:cs="Arial"/>
                <w:noProof/>
                <w:webHidden/>
              </w:rPr>
              <w:fldChar w:fldCharType="end"/>
            </w:r>
          </w:hyperlink>
        </w:p>
        <w:p w14:paraId="6632B79E" w14:textId="1F965099" w:rsidR="001C15DD" w:rsidRPr="001C15DD" w:rsidRDefault="00C6621A">
          <w:pPr>
            <w:pStyle w:val="TOC1"/>
            <w:tabs>
              <w:tab w:val="right" w:leader="dot" w:pos="8488"/>
            </w:tabs>
            <w:rPr>
              <w:rFonts w:ascii="Arial" w:hAnsi="Arial" w:cs="Arial"/>
              <w:noProof/>
              <w:sz w:val="22"/>
              <w:szCs w:val="22"/>
              <w:lang w:eastAsia="en-AU"/>
            </w:rPr>
          </w:pPr>
          <w:hyperlink w:anchor="_Toc29377388" w:history="1">
            <w:r w:rsidR="001C15DD" w:rsidRPr="001C15DD">
              <w:rPr>
                <w:rStyle w:val="Hyperlink"/>
                <w:rFonts w:ascii="Arial" w:hAnsi="Arial" w:cs="Arial"/>
                <w:noProof/>
              </w:rPr>
              <w:t>Application of human rights considerations to third party participants</w:t>
            </w:r>
            <w:r w:rsidR="001C15DD" w:rsidRPr="001C15DD">
              <w:rPr>
                <w:rFonts w:ascii="Arial" w:hAnsi="Arial" w:cs="Arial"/>
                <w:noProof/>
                <w:webHidden/>
              </w:rPr>
              <w:tab/>
            </w:r>
            <w:r w:rsidR="001C15DD" w:rsidRPr="001C15DD">
              <w:rPr>
                <w:rFonts w:ascii="Arial" w:hAnsi="Arial" w:cs="Arial"/>
                <w:noProof/>
                <w:webHidden/>
              </w:rPr>
              <w:fldChar w:fldCharType="begin"/>
            </w:r>
            <w:r w:rsidR="001C15DD" w:rsidRPr="001C15DD">
              <w:rPr>
                <w:rFonts w:ascii="Arial" w:hAnsi="Arial" w:cs="Arial"/>
                <w:noProof/>
                <w:webHidden/>
              </w:rPr>
              <w:instrText xml:space="preserve"> PAGEREF _Toc29377388 \h </w:instrText>
            </w:r>
            <w:r w:rsidR="001C15DD" w:rsidRPr="001C15DD">
              <w:rPr>
                <w:rFonts w:ascii="Arial" w:hAnsi="Arial" w:cs="Arial"/>
                <w:noProof/>
                <w:webHidden/>
              </w:rPr>
            </w:r>
            <w:r w:rsidR="001C15DD" w:rsidRPr="001C15DD">
              <w:rPr>
                <w:rFonts w:ascii="Arial" w:hAnsi="Arial" w:cs="Arial"/>
                <w:noProof/>
                <w:webHidden/>
              </w:rPr>
              <w:fldChar w:fldCharType="separate"/>
            </w:r>
            <w:r w:rsidR="00AB2C2C">
              <w:rPr>
                <w:rFonts w:ascii="Arial" w:hAnsi="Arial" w:cs="Arial"/>
                <w:noProof/>
                <w:webHidden/>
              </w:rPr>
              <w:t>9</w:t>
            </w:r>
            <w:r w:rsidR="001C15DD" w:rsidRPr="001C15DD">
              <w:rPr>
                <w:rFonts w:ascii="Arial" w:hAnsi="Arial" w:cs="Arial"/>
                <w:noProof/>
                <w:webHidden/>
              </w:rPr>
              <w:fldChar w:fldCharType="end"/>
            </w:r>
          </w:hyperlink>
        </w:p>
        <w:p w14:paraId="42BB1100" w14:textId="3BD52641" w:rsidR="001C15DD" w:rsidRPr="001C15DD" w:rsidRDefault="00C6621A">
          <w:pPr>
            <w:pStyle w:val="TOC1"/>
            <w:tabs>
              <w:tab w:val="right" w:leader="dot" w:pos="8488"/>
            </w:tabs>
            <w:rPr>
              <w:rFonts w:ascii="Arial" w:hAnsi="Arial" w:cs="Arial"/>
              <w:noProof/>
              <w:sz w:val="22"/>
              <w:szCs w:val="22"/>
              <w:lang w:eastAsia="en-AU"/>
            </w:rPr>
          </w:pPr>
          <w:hyperlink w:anchor="_Toc29377389" w:history="1">
            <w:r w:rsidR="001C15DD" w:rsidRPr="001C15DD">
              <w:rPr>
                <w:rStyle w:val="Hyperlink"/>
                <w:rFonts w:ascii="Arial" w:hAnsi="Arial" w:cs="Arial"/>
                <w:noProof/>
              </w:rPr>
              <w:t>Application of human rights considerations to provision of public funding</w:t>
            </w:r>
            <w:r w:rsidR="001C15DD" w:rsidRPr="001C15DD">
              <w:rPr>
                <w:rFonts w:ascii="Arial" w:hAnsi="Arial" w:cs="Arial"/>
                <w:noProof/>
                <w:webHidden/>
              </w:rPr>
              <w:tab/>
            </w:r>
            <w:r w:rsidR="001C15DD" w:rsidRPr="001C15DD">
              <w:rPr>
                <w:rFonts w:ascii="Arial" w:hAnsi="Arial" w:cs="Arial"/>
                <w:noProof/>
                <w:webHidden/>
              </w:rPr>
              <w:fldChar w:fldCharType="begin"/>
            </w:r>
            <w:r w:rsidR="001C15DD" w:rsidRPr="001C15DD">
              <w:rPr>
                <w:rFonts w:ascii="Arial" w:hAnsi="Arial" w:cs="Arial"/>
                <w:noProof/>
                <w:webHidden/>
              </w:rPr>
              <w:instrText xml:space="preserve"> PAGEREF _Toc29377389 \h </w:instrText>
            </w:r>
            <w:r w:rsidR="001C15DD" w:rsidRPr="001C15DD">
              <w:rPr>
                <w:rFonts w:ascii="Arial" w:hAnsi="Arial" w:cs="Arial"/>
                <w:noProof/>
                <w:webHidden/>
              </w:rPr>
            </w:r>
            <w:r w:rsidR="001C15DD" w:rsidRPr="001C15DD">
              <w:rPr>
                <w:rFonts w:ascii="Arial" w:hAnsi="Arial" w:cs="Arial"/>
                <w:noProof/>
                <w:webHidden/>
              </w:rPr>
              <w:fldChar w:fldCharType="separate"/>
            </w:r>
            <w:r w:rsidR="00AB2C2C">
              <w:rPr>
                <w:rFonts w:ascii="Arial" w:hAnsi="Arial" w:cs="Arial"/>
                <w:noProof/>
                <w:webHidden/>
              </w:rPr>
              <w:t>13</w:t>
            </w:r>
            <w:r w:rsidR="001C15DD" w:rsidRPr="001C15DD">
              <w:rPr>
                <w:rFonts w:ascii="Arial" w:hAnsi="Arial" w:cs="Arial"/>
                <w:noProof/>
                <w:webHidden/>
              </w:rPr>
              <w:fldChar w:fldCharType="end"/>
            </w:r>
          </w:hyperlink>
        </w:p>
        <w:p w14:paraId="1D87F65B" w14:textId="7BBEC07C" w:rsidR="001C15DD" w:rsidRPr="001C15DD" w:rsidRDefault="00C6621A">
          <w:pPr>
            <w:pStyle w:val="TOC1"/>
            <w:tabs>
              <w:tab w:val="right" w:leader="dot" w:pos="8488"/>
            </w:tabs>
            <w:rPr>
              <w:rFonts w:ascii="Arial" w:hAnsi="Arial" w:cs="Arial"/>
              <w:noProof/>
              <w:sz w:val="22"/>
              <w:szCs w:val="22"/>
              <w:lang w:eastAsia="en-AU"/>
            </w:rPr>
          </w:pPr>
          <w:hyperlink w:anchor="_Toc29377390" w:history="1">
            <w:r w:rsidR="001C15DD" w:rsidRPr="001C15DD">
              <w:rPr>
                <w:rStyle w:val="Hyperlink"/>
                <w:rFonts w:ascii="Arial" w:hAnsi="Arial" w:cs="Arial"/>
                <w:noProof/>
              </w:rPr>
              <w:t>Application of human rights considerations to reverse onus provisions</w:t>
            </w:r>
            <w:r w:rsidR="001C15DD" w:rsidRPr="001C15DD">
              <w:rPr>
                <w:rFonts w:ascii="Arial" w:hAnsi="Arial" w:cs="Arial"/>
                <w:noProof/>
                <w:webHidden/>
              </w:rPr>
              <w:tab/>
            </w:r>
            <w:r w:rsidR="001C15DD" w:rsidRPr="001C15DD">
              <w:rPr>
                <w:rFonts w:ascii="Arial" w:hAnsi="Arial" w:cs="Arial"/>
                <w:noProof/>
                <w:webHidden/>
              </w:rPr>
              <w:fldChar w:fldCharType="begin"/>
            </w:r>
            <w:r w:rsidR="001C15DD" w:rsidRPr="001C15DD">
              <w:rPr>
                <w:rFonts w:ascii="Arial" w:hAnsi="Arial" w:cs="Arial"/>
                <w:noProof/>
                <w:webHidden/>
              </w:rPr>
              <w:instrText xml:space="preserve"> PAGEREF _Toc29377390 \h </w:instrText>
            </w:r>
            <w:r w:rsidR="001C15DD" w:rsidRPr="001C15DD">
              <w:rPr>
                <w:rFonts w:ascii="Arial" w:hAnsi="Arial" w:cs="Arial"/>
                <w:noProof/>
                <w:webHidden/>
              </w:rPr>
            </w:r>
            <w:r w:rsidR="001C15DD" w:rsidRPr="001C15DD">
              <w:rPr>
                <w:rFonts w:ascii="Arial" w:hAnsi="Arial" w:cs="Arial"/>
                <w:noProof/>
                <w:webHidden/>
              </w:rPr>
              <w:fldChar w:fldCharType="separate"/>
            </w:r>
            <w:r w:rsidR="00AB2C2C">
              <w:rPr>
                <w:rFonts w:ascii="Arial" w:hAnsi="Arial" w:cs="Arial"/>
                <w:noProof/>
                <w:webHidden/>
              </w:rPr>
              <w:t>14</w:t>
            </w:r>
            <w:r w:rsidR="001C15DD" w:rsidRPr="001C15DD">
              <w:rPr>
                <w:rFonts w:ascii="Arial" w:hAnsi="Arial" w:cs="Arial"/>
                <w:noProof/>
                <w:webHidden/>
              </w:rPr>
              <w:fldChar w:fldCharType="end"/>
            </w:r>
          </w:hyperlink>
        </w:p>
        <w:p w14:paraId="0402D43C" w14:textId="620FCB8C" w:rsidR="001C15DD" w:rsidRPr="001C15DD" w:rsidRDefault="00C6621A">
          <w:pPr>
            <w:pStyle w:val="TOC1"/>
            <w:tabs>
              <w:tab w:val="right" w:leader="dot" w:pos="8488"/>
            </w:tabs>
            <w:rPr>
              <w:rFonts w:ascii="Arial" w:hAnsi="Arial" w:cs="Arial"/>
              <w:noProof/>
              <w:sz w:val="22"/>
              <w:szCs w:val="22"/>
              <w:lang w:eastAsia="en-AU"/>
            </w:rPr>
          </w:pPr>
          <w:hyperlink w:anchor="_Toc29377391" w:history="1">
            <w:r w:rsidR="001C15DD" w:rsidRPr="001C15DD">
              <w:rPr>
                <w:rStyle w:val="Hyperlink"/>
                <w:rFonts w:ascii="Arial" w:hAnsi="Arial" w:cs="Arial"/>
                <w:noProof/>
              </w:rPr>
              <w:t>Application of human rights considerations to subsequent disciplinary action</w:t>
            </w:r>
            <w:r w:rsidR="001C15DD" w:rsidRPr="001C15DD">
              <w:rPr>
                <w:rFonts w:ascii="Arial" w:hAnsi="Arial" w:cs="Arial"/>
                <w:noProof/>
                <w:webHidden/>
              </w:rPr>
              <w:tab/>
            </w:r>
            <w:r w:rsidR="001C15DD" w:rsidRPr="001C15DD">
              <w:rPr>
                <w:rFonts w:ascii="Arial" w:hAnsi="Arial" w:cs="Arial"/>
                <w:noProof/>
                <w:webHidden/>
              </w:rPr>
              <w:fldChar w:fldCharType="begin"/>
            </w:r>
            <w:r w:rsidR="001C15DD" w:rsidRPr="001C15DD">
              <w:rPr>
                <w:rFonts w:ascii="Arial" w:hAnsi="Arial" w:cs="Arial"/>
                <w:noProof/>
                <w:webHidden/>
              </w:rPr>
              <w:instrText xml:space="preserve"> PAGEREF _Toc29377391 \h </w:instrText>
            </w:r>
            <w:r w:rsidR="001C15DD" w:rsidRPr="001C15DD">
              <w:rPr>
                <w:rFonts w:ascii="Arial" w:hAnsi="Arial" w:cs="Arial"/>
                <w:noProof/>
                <w:webHidden/>
              </w:rPr>
            </w:r>
            <w:r w:rsidR="001C15DD" w:rsidRPr="001C15DD">
              <w:rPr>
                <w:rFonts w:ascii="Arial" w:hAnsi="Arial" w:cs="Arial"/>
                <w:noProof/>
                <w:webHidden/>
              </w:rPr>
              <w:fldChar w:fldCharType="separate"/>
            </w:r>
            <w:r w:rsidR="00AB2C2C">
              <w:rPr>
                <w:rFonts w:ascii="Arial" w:hAnsi="Arial" w:cs="Arial"/>
                <w:noProof/>
                <w:webHidden/>
              </w:rPr>
              <w:t>15</w:t>
            </w:r>
            <w:r w:rsidR="001C15DD" w:rsidRPr="001C15DD">
              <w:rPr>
                <w:rFonts w:ascii="Arial" w:hAnsi="Arial" w:cs="Arial"/>
                <w:noProof/>
                <w:webHidden/>
              </w:rPr>
              <w:fldChar w:fldCharType="end"/>
            </w:r>
          </w:hyperlink>
        </w:p>
        <w:p w14:paraId="7B94A6BC" w14:textId="1AD28D4F" w:rsidR="001C15DD" w:rsidRPr="001C15DD" w:rsidRDefault="00C6621A">
          <w:pPr>
            <w:pStyle w:val="TOC1"/>
            <w:tabs>
              <w:tab w:val="right" w:leader="dot" w:pos="8488"/>
            </w:tabs>
            <w:rPr>
              <w:rFonts w:ascii="Arial" w:hAnsi="Arial" w:cs="Arial"/>
              <w:noProof/>
              <w:sz w:val="22"/>
              <w:szCs w:val="22"/>
              <w:lang w:eastAsia="en-AU"/>
            </w:rPr>
          </w:pPr>
          <w:hyperlink w:anchor="_Toc29377392" w:history="1">
            <w:r w:rsidR="001C15DD" w:rsidRPr="001C15DD">
              <w:rPr>
                <w:rStyle w:val="Hyperlink"/>
                <w:rFonts w:ascii="Arial" w:hAnsi="Arial" w:cs="Arial"/>
                <w:noProof/>
              </w:rPr>
              <w:t>Application of human rights considerations to local government matters</w:t>
            </w:r>
            <w:r w:rsidR="001C15DD" w:rsidRPr="001C15DD">
              <w:rPr>
                <w:rFonts w:ascii="Arial" w:hAnsi="Arial" w:cs="Arial"/>
                <w:noProof/>
                <w:webHidden/>
              </w:rPr>
              <w:tab/>
            </w:r>
            <w:r w:rsidR="001C15DD" w:rsidRPr="001C15DD">
              <w:rPr>
                <w:rFonts w:ascii="Arial" w:hAnsi="Arial" w:cs="Arial"/>
                <w:noProof/>
                <w:webHidden/>
              </w:rPr>
              <w:fldChar w:fldCharType="begin"/>
            </w:r>
            <w:r w:rsidR="001C15DD" w:rsidRPr="001C15DD">
              <w:rPr>
                <w:rFonts w:ascii="Arial" w:hAnsi="Arial" w:cs="Arial"/>
                <w:noProof/>
                <w:webHidden/>
              </w:rPr>
              <w:instrText xml:space="preserve"> PAGEREF _Toc29377392 \h </w:instrText>
            </w:r>
            <w:r w:rsidR="001C15DD" w:rsidRPr="001C15DD">
              <w:rPr>
                <w:rFonts w:ascii="Arial" w:hAnsi="Arial" w:cs="Arial"/>
                <w:noProof/>
                <w:webHidden/>
              </w:rPr>
            </w:r>
            <w:r w:rsidR="001C15DD" w:rsidRPr="001C15DD">
              <w:rPr>
                <w:rFonts w:ascii="Arial" w:hAnsi="Arial" w:cs="Arial"/>
                <w:noProof/>
                <w:webHidden/>
              </w:rPr>
              <w:fldChar w:fldCharType="separate"/>
            </w:r>
            <w:r w:rsidR="00AB2C2C">
              <w:rPr>
                <w:rFonts w:ascii="Arial" w:hAnsi="Arial" w:cs="Arial"/>
                <w:noProof/>
                <w:webHidden/>
              </w:rPr>
              <w:t>16</w:t>
            </w:r>
            <w:r w:rsidR="001C15DD" w:rsidRPr="001C15DD">
              <w:rPr>
                <w:rFonts w:ascii="Arial" w:hAnsi="Arial" w:cs="Arial"/>
                <w:noProof/>
                <w:webHidden/>
              </w:rPr>
              <w:fldChar w:fldCharType="end"/>
            </w:r>
          </w:hyperlink>
        </w:p>
        <w:p w14:paraId="10CD6932" w14:textId="502A95BF" w:rsidR="001C15DD" w:rsidRPr="001C15DD" w:rsidRDefault="00C6621A">
          <w:pPr>
            <w:pStyle w:val="TOC1"/>
            <w:tabs>
              <w:tab w:val="right" w:leader="dot" w:pos="8488"/>
            </w:tabs>
            <w:rPr>
              <w:rFonts w:ascii="Arial" w:hAnsi="Arial" w:cs="Arial"/>
              <w:noProof/>
              <w:sz w:val="22"/>
              <w:szCs w:val="22"/>
              <w:lang w:eastAsia="en-AU"/>
            </w:rPr>
          </w:pPr>
          <w:hyperlink w:anchor="_Toc29377393" w:history="1">
            <w:r w:rsidR="001C15DD" w:rsidRPr="001C15DD">
              <w:rPr>
                <w:rStyle w:val="Hyperlink"/>
                <w:rFonts w:ascii="Arial" w:hAnsi="Arial" w:cs="Arial"/>
                <w:noProof/>
              </w:rPr>
              <w:t>Conclusion</w:t>
            </w:r>
            <w:r w:rsidR="001C15DD" w:rsidRPr="001C15DD">
              <w:rPr>
                <w:rFonts w:ascii="Arial" w:hAnsi="Arial" w:cs="Arial"/>
                <w:noProof/>
                <w:webHidden/>
              </w:rPr>
              <w:tab/>
            </w:r>
            <w:r w:rsidR="001C15DD" w:rsidRPr="001C15DD">
              <w:rPr>
                <w:rFonts w:ascii="Arial" w:hAnsi="Arial" w:cs="Arial"/>
                <w:noProof/>
                <w:webHidden/>
              </w:rPr>
              <w:fldChar w:fldCharType="begin"/>
            </w:r>
            <w:r w:rsidR="001C15DD" w:rsidRPr="001C15DD">
              <w:rPr>
                <w:rFonts w:ascii="Arial" w:hAnsi="Arial" w:cs="Arial"/>
                <w:noProof/>
                <w:webHidden/>
              </w:rPr>
              <w:instrText xml:space="preserve"> PAGEREF _Toc29377393 \h </w:instrText>
            </w:r>
            <w:r w:rsidR="001C15DD" w:rsidRPr="001C15DD">
              <w:rPr>
                <w:rFonts w:ascii="Arial" w:hAnsi="Arial" w:cs="Arial"/>
                <w:noProof/>
                <w:webHidden/>
              </w:rPr>
            </w:r>
            <w:r w:rsidR="001C15DD" w:rsidRPr="001C15DD">
              <w:rPr>
                <w:rFonts w:ascii="Arial" w:hAnsi="Arial" w:cs="Arial"/>
                <w:noProof/>
                <w:webHidden/>
              </w:rPr>
              <w:fldChar w:fldCharType="separate"/>
            </w:r>
            <w:r w:rsidR="00AB2C2C">
              <w:rPr>
                <w:rFonts w:ascii="Arial" w:hAnsi="Arial" w:cs="Arial"/>
                <w:noProof/>
                <w:webHidden/>
              </w:rPr>
              <w:t>16</w:t>
            </w:r>
            <w:r w:rsidR="001C15DD" w:rsidRPr="001C15DD">
              <w:rPr>
                <w:rFonts w:ascii="Arial" w:hAnsi="Arial" w:cs="Arial"/>
                <w:noProof/>
                <w:webHidden/>
              </w:rPr>
              <w:fldChar w:fldCharType="end"/>
            </w:r>
          </w:hyperlink>
        </w:p>
        <w:p w14:paraId="4740F0CC" w14:textId="2337FF30" w:rsidR="001C15DD" w:rsidRDefault="001C15DD" w:rsidP="001C15DD">
          <w:pPr>
            <w:spacing w:before="120" w:after="120"/>
            <w:rPr>
              <w:rFonts w:ascii="Arial" w:hAnsi="Arial" w:cs="Arial"/>
              <w:b/>
              <w:bCs/>
              <w:noProof/>
            </w:rPr>
          </w:pPr>
          <w:r w:rsidRPr="001C15DD">
            <w:rPr>
              <w:rFonts w:ascii="Arial" w:hAnsi="Arial" w:cs="Arial"/>
              <w:b/>
              <w:bCs/>
              <w:noProof/>
            </w:rPr>
            <w:fldChar w:fldCharType="end"/>
          </w:r>
        </w:p>
      </w:sdtContent>
    </w:sdt>
    <w:p w14:paraId="32D88039" w14:textId="77777777" w:rsidR="001C15DD" w:rsidRDefault="001C15DD">
      <w:pPr>
        <w:rPr>
          <w:rFonts w:ascii="Arial" w:eastAsiaTheme="majorEastAsia" w:hAnsi="Arial" w:cs="Arial"/>
          <w:b/>
          <w:color w:val="365F91" w:themeColor="accent1" w:themeShade="BF"/>
          <w:sz w:val="28"/>
          <w:szCs w:val="32"/>
        </w:rPr>
      </w:pPr>
      <w:r>
        <w:rPr>
          <w:rFonts w:cs="Arial"/>
        </w:rPr>
        <w:br w:type="page"/>
      </w:r>
    </w:p>
    <w:p w14:paraId="2CFCE568" w14:textId="4282E6AE" w:rsidR="007B302D" w:rsidRPr="007B302D" w:rsidRDefault="007B302D" w:rsidP="007B302D">
      <w:pPr>
        <w:pStyle w:val="Heading1"/>
        <w:rPr>
          <w:rFonts w:cs="Arial"/>
        </w:rPr>
      </w:pPr>
      <w:bookmarkStart w:id="2" w:name="_Toc29377382"/>
      <w:r w:rsidRPr="007B302D">
        <w:rPr>
          <w:rFonts w:cs="Arial"/>
        </w:rPr>
        <w:lastRenderedPageBreak/>
        <w:t xml:space="preserve">Summary of </w:t>
      </w:r>
      <w:r w:rsidR="00BC31F6">
        <w:rPr>
          <w:rFonts w:cs="Arial"/>
        </w:rPr>
        <w:t>s</w:t>
      </w:r>
      <w:r w:rsidRPr="007B302D">
        <w:rPr>
          <w:rFonts w:cs="Arial"/>
        </w:rPr>
        <w:t>ubmission</w:t>
      </w:r>
      <w:bookmarkEnd w:id="2"/>
    </w:p>
    <w:p w14:paraId="7CF9832C" w14:textId="733140A4" w:rsidR="007B302D" w:rsidRPr="007B302D" w:rsidRDefault="00F767A7" w:rsidP="007B302D">
      <w:pPr>
        <w:pStyle w:val="Numberedparagraph"/>
        <w:rPr>
          <w:szCs w:val="22"/>
        </w:rPr>
      </w:pPr>
      <w:r>
        <w:t>T</w:t>
      </w:r>
      <w:r w:rsidR="007B302D" w:rsidRPr="007B302D">
        <w:t>his submission outlines the most relevant rights under the</w:t>
      </w:r>
      <w:r>
        <w:t xml:space="preserve"> </w:t>
      </w:r>
      <w:r>
        <w:rPr>
          <w:i/>
        </w:rPr>
        <w:t xml:space="preserve">Human Rights Act 2019 </w:t>
      </w:r>
      <w:r>
        <w:t>(</w:t>
      </w:r>
      <w:r w:rsidR="007B302D" w:rsidRPr="007B302D">
        <w:rPr>
          <w:szCs w:val="22"/>
        </w:rPr>
        <w:t>HRA</w:t>
      </w:r>
      <w:r>
        <w:rPr>
          <w:szCs w:val="22"/>
        </w:rPr>
        <w:t>)</w:t>
      </w:r>
      <w:r w:rsidR="007B302D" w:rsidRPr="007B302D">
        <w:rPr>
          <w:i/>
          <w:szCs w:val="22"/>
        </w:rPr>
        <w:t xml:space="preserve"> </w:t>
      </w:r>
      <w:r w:rsidR="007B302D" w:rsidRPr="007B302D">
        <w:t>that are likely to be engaged in any expenditure cap scheme</w:t>
      </w:r>
      <w:r>
        <w:t xml:space="preserve">, in response to the Committee’s </w:t>
      </w:r>
      <w:r w:rsidRPr="007B302D">
        <w:t>Inquiry into the feasibility of introducing expenditure caps for Queensland local government elections</w:t>
      </w:r>
      <w:r w:rsidR="007B302D" w:rsidRPr="007B302D">
        <w:t xml:space="preserve">. </w:t>
      </w:r>
    </w:p>
    <w:p w14:paraId="0B2A1843" w14:textId="6A67A598" w:rsidR="007B302D" w:rsidRPr="007B302D" w:rsidRDefault="007B302D" w:rsidP="007B302D">
      <w:pPr>
        <w:pStyle w:val="Numberedparagraph"/>
        <w:rPr>
          <w:szCs w:val="22"/>
        </w:rPr>
      </w:pPr>
      <w:r w:rsidRPr="007B302D">
        <w:t xml:space="preserve">Human Rights under the HRA may be limited by legislation, provided that </w:t>
      </w:r>
      <w:r w:rsidR="00BC31F6">
        <w:t xml:space="preserve">the </w:t>
      </w:r>
      <w:r w:rsidRPr="007B302D">
        <w:t xml:space="preserve">limitation is justified as the most proportionate </w:t>
      </w:r>
      <w:r w:rsidR="00BC31F6">
        <w:t xml:space="preserve">way </w:t>
      </w:r>
      <w:r w:rsidRPr="007B302D">
        <w:t>to achieve an important purpose (including whether that purpose is consistent with a free and democratic society based on human dignity, equality</w:t>
      </w:r>
      <w:r w:rsidR="00BC31F6">
        <w:t>,</w:t>
      </w:r>
      <w:r w:rsidRPr="007B302D">
        <w:t xml:space="preserve"> and freedom). </w:t>
      </w:r>
    </w:p>
    <w:p w14:paraId="68F17DC1" w14:textId="3A1B7197" w:rsidR="007B302D" w:rsidRPr="007B302D" w:rsidRDefault="007B302D" w:rsidP="007B302D">
      <w:pPr>
        <w:pStyle w:val="Numberedparagraph"/>
      </w:pPr>
      <w:r w:rsidRPr="007B302D">
        <w:t xml:space="preserve">Rights engaged in an expenditure cap model include freedom of expression and the right to take part in public life. Both are related to the implied freedom of political communication in the </w:t>
      </w:r>
      <w:r w:rsidR="00BC31F6" w:rsidRPr="00DF6C60">
        <w:rPr>
          <w:i/>
        </w:rPr>
        <w:t xml:space="preserve">Commonwealth </w:t>
      </w:r>
      <w:r w:rsidRPr="00DF6C60">
        <w:rPr>
          <w:i/>
        </w:rPr>
        <w:t>Constitution</w:t>
      </w:r>
      <w:r w:rsidRPr="007B302D">
        <w:t xml:space="preserve">, </w:t>
      </w:r>
      <w:r w:rsidR="00BC31F6">
        <w:t xml:space="preserve">and were </w:t>
      </w:r>
      <w:r w:rsidRPr="007B302D">
        <w:t xml:space="preserve">recently considered by the High Court in relation to several different donation and expenditure schemes in other jurisdictions. </w:t>
      </w:r>
    </w:p>
    <w:p w14:paraId="14C53056" w14:textId="04E87951" w:rsidR="00B11054" w:rsidRDefault="007B302D" w:rsidP="00997B58">
      <w:pPr>
        <w:pStyle w:val="Numberedparagraph"/>
      </w:pPr>
      <w:r w:rsidRPr="007B302D">
        <w:t xml:space="preserve">The proportionality assessment outlined by the High Court with respect to limits on the implied freedom is analogous to the proportionality assessment under the HRA. This </w:t>
      </w:r>
      <w:r w:rsidR="00BC31F6">
        <w:t xml:space="preserve">assessment </w:t>
      </w:r>
      <w:r w:rsidRPr="007B302D">
        <w:t xml:space="preserve">includes demonstrating how any proposed changes to expenditure caps are the least restrictive way of achieving their purpose. </w:t>
      </w:r>
    </w:p>
    <w:p w14:paraId="247C3362" w14:textId="718FEE6F" w:rsidR="007B302D" w:rsidRPr="007B302D" w:rsidRDefault="007B302D" w:rsidP="00F767A7">
      <w:pPr>
        <w:pStyle w:val="Numberedparagraph"/>
      </w:pPr>
      <w:r w:rsidRPr="007B302D">
        <w:t xml:space="preserve">This submission also applies </w:t>
      </w:r>
      <w:r w:rsidR="00C108AF">
        <w:t xml:space="preserve">the proportionality </w:t>
      </w:r>
      <w:r w:rsidRPr="007B302D">
        <w:t>test to the proposed changes to donations, expenditure</w:t>
      </w:r>
      <w:r w:rsidR="00C108AF">
        <w:t>,</w:t>
      </w:r>
      <w:r w:rsidRPr="007B302D">
        <w:t xml:space="preserve"> and related matters in </w:t>
      </w:r>
      <w:r w:rsidR="00F767A7">
        <w:t xml:space="preserve">the </w:t>
      </w:r>
      <w:r w:rsidR="00F767A7" w:rsidRPr="00F767A7">
        <w:t>Electoral and Other Legislation (Accountability, Integrity and Other Matters) Amendment Bill 2019</w:t>
      </w:r>
      <w:r w:rsidR="00F767A7">
        <w:t xml:space="preserve"> (</w:t>
      </w:r>
      <w:r w:rsidRPr="007B302D">
        <w:t>the Bill</w:t>
      </w:r>
      <w:r w:rsidR="00F767A7">
        <w:t>)</w:t>
      </w:r>
      <w:r w:rsidRPr="007B302D">
        <w:t xml:space="preserve">. The Commission supports the Bill’s </w:t>
      </w:r>
      <w:r w:rsidR="00C108AF">
        <w:t>objective of</w:t>
      </w:r>
      <w:r w:rsidRPr="007B302D">
        <w:t xml:space="preserve"> enhanc</w:t>
      </w:r>
      <w:r w:rsidR="00C108AF">
        <w:t>ing</w:t>
      </w:r>
      <w:r w:rsidRPr="007B302D">
        <w:t xml:space="preserve"> the democratic rights of all Queenslanders. Nonetheless, in applying a human rights analysis, the Commission suggests the Bill may benefit from further </w:t>
      </w:r>
      <w:r w:rsidR="00C108AF">
        <w:t xml:space="preserve">evidence to </w:t>
      </w:r>
      <w:r w:rsidRPr="007B302D">
        <w:t>justify limit</w:t>
      </w:r>
      <w:r w:rsidR="00C108AF">
        <w:t>ing</w:t>
      </w:r>
      <w:r w:rsidR="000A2665">
        <w:t xml:space="preserve"> </w:t>
      </w:r>
      <w:r w:rsidRPr="007B302D">
        <w:t>rights.</w:t>
      </w:r>
    </w:p>
    <w:p w14:paraId="4BCC062D" w14:textId="687BA15E" w:rsidR="007B302D" w:rsidRPr="007B302D" w:rsidRDefault="007B302D" w:rsidP="007B302D">
      <w:pPr>
        <w:pStyle w:val="Numberedparagraph"/>
      </w:pPr>
      <w:r w:rsidRPr="007B302D">
        <w:t>The only area the Commission suggest</w:t>
      </w:r>
      <w:r w:rsidR="00C108AF">
        <w:t>s</w:t>
      </w:r>
      <w:r w:rsidRPr="007B302D">
        <w:t xml:space="preserve"> amendment to the Bill is to address the disproportionate and potentially unintended consequences for smaller non-government organisations and charities</w:t>
      </w:r>
      <w:r w:rsidR="00C108AF">
        <w:t>,</w:t>
      </w:r>
      <w:r w:rsidRPr="007B302D">
        <w:t xml:space="preserve"> due to the broad definition of </w:t>
      </w:r>
      <w:r w:rsidR="00C108AF">
        <w:t>‘</w:t>
      </w:r>
      <w:r w:rsidRPr="007B302D">
        <w:t>third parties</w:t>
      </w:r>
      <w:r w:rsidR="00C108AF">
        <w:t>’</w:t>
      </w:r>
      <w:r w:rsidRPr="007B302D">
        <w:t xml:space="preserve">. While only individuals in Queensland have human rights, the requirement for registered third parties to appoint a person as an agent </w:t>
      </w:r>
      <w:r w:rsidR="00C108AF">
        <w:t>(</w:t>
      </w:r>
      <w:r w:rsidRPr="007B302D">
        <w:t>and related registration requirements</w:t>
      </w:r>
      <w:r w:rsidR="00C108AF">
        <w:t>)</w:t>
      </w:r>
      <w:r w:rsidRPr="007B302D">
        <w:t xml:space="preserve"> impact on individuals. There may also be an indirect impact on individuals assisted by charities due to the changes. We suggest this issue may be addressed by either narrowing the scope of the organisations captured as third parties, or changing the definition of </w:t>
      </w:r>
      <w:r w:rsidR="00C108AF">
        <w:t>‘</w:t>
      </w:r>
      <w:r w:rsidRPr="007B302D">
        <w:t>electoral expenditure</w:t>
      </w:r>
      <w:r w:rsidR="00C108AF">
        <w:t>’</w:t>
      </w:r>
      <w:r w:rsidRPr="007B302D">
        <w:t xml:space="preserve"> to be more in line with that used in Victorian legislation.</w:t>
      </w:r>
    </w:p>
    <w:p w14:paraId="6D15C270" w14:textId="02C15732" w:rsidR="007B302D" w:rsidRPr="007B302D" w:rsidRDefault="007B302D" w:rsidP="007B302D">
      <w:pPr>
        <w:pStyle w:val="Numberedparagraph"/>
      </w:pPr>
      <w:r w:rsidRPr="007B302D">
        <w:t xml:space="preserve">To assist in assessing if human rights are proportionately limited by the Bill, the following areas would also benefit from further </w:t>
      </w:r>
      <w:r w:rsidR="000A2665">
        <w:t xml:space="preserve">information </w:t>
      </w:r>
      <w:r w:rsidRPr="007B302D">
        <w:t xml:space="preserve">demonstrating why the measures chosen are the least restrictive way to achieve the important purposes: </w:t>
      </w:r>
    </w:p>
    <w:p w14:paraId="76D13793" w14:textId="0D20F773" w:rsidR="007B302D" w:rsidRPr="007B302D" w:rsidRDefault="00B11054" w:rsidP="007B302D">
      <w:pPr>
        <w:pStyle w:val="Bulletedlist"/>
        <w:rPr>
          <w:szCs w:val="22"/>
        </w:rPr>
      </w:pPr>
      <w:r>
        <w:t>t</w:t>
      </w:r>
      <w:r w:rsidR="007B302D" w:rsidRPr="007B302D">
        <w:t>he differing donation caps placed on various electoral participants;</w:t>
      </w:r>
    </w:p>
    <w:p w14:paraId="534DEA07" w14:textId="1ECA428A" w:rsidR="007B302D" w:rsidRPr="007B302D" w:rsidRDefault="00B11054" w:rsidP="007B302D">
      <w:pPr>
        <w:pStyle w:val="Bulletedlist"/>
      </w:pPr>
      <w:r>
        <w:t>t</w:t>
      </w:r>
      <w:r w:rsidR="007B302D" w:rsidRPr="007B302D">
        <w:t xml:space="preserve">he proposed new </w:t>
      </w:r>
      <w:r>
        <w:t>‘</w:t>
      </w:r>
      <w:r w:rsidR="007B302D" w:rsidRPr="007B302D">
        <w:t>dishonest conduct</w:t>
      </w:r>
      <w:r>
        <w:t>’</w:t>
      </w:r>
      <w:r w:rsidR="007B302D" w:rsidRPr="007B302D">
        <w:t xml:space="preserve"> offences placing an evidential burden on a defendant; and</w:t>
      </w:r>
    </w:p>
    <w:p w14:paraId="6F17F079" w14:textId="2B304474" w:rsidR="007B302D" w:rsidRPr="007B302D" w:rsidRDefault="00B11054" w:rsidP="007B302D">
      <w:pPr>
        <w:pStyle w:val="Bulletedlist"/>
      </w:pPr>
      <w:r>
        <w:t>t</w:t>
      </w:r>
      <w:r w:rsidR="007B302D" w:rsidRPr="007B302D">
        <w:t>he existing (but proposed to be amended) power of the Minister to recommend dissolving a local council and appointing a person to act as interim administrator.</w:t>
      </w:r>
    </w:p>
    <w:p w14:paraId="04713B4F" w14:textId="77777777" w:rsidR="007B302D" w:rsidRPr="007B302D" w:rsidRDefault="007B302D" w:rsidP="007B302D">
      <w:pPr>
        <w:pStyle w:val="Heading1"/>
        <w:rPr>
          <w:rFonts w:cs="Arial"/>
          <w:sz w:val="24"/>
          <w:szCs w:val="24"/>
        </w:rPr>
      </w:pPr>
      <w:bookmarkStart w:id="3" w:name="_Toc29377383"/>
      <w:r w:rsidRPr="007B302D">
        <w:rPr>
          <w:rFonts w:cs="Arial"/>
        </w:rPr>
        <w:t>Electoral and Other Legislation (Accountability, Integrity and Other Matters) Amendment Bill 2019</w:t>
      </w:r>
      <w:bookmarkEnd w:id="3"/>
    </w:p>
    <w:p w14:paraId="06FD082A" w14:textId="7D0CA989" w:rsidR="007B302D" w:rsidRPr="007B302D" w:rsidRDefault="007B302D" w:rsidP="00DF6C60">
      <w:pPr>
        <w:pStyle w:val="Numberedparagraph"/>
        <w:spacing w:after="120"/>
      </w:pPr>
      <w:r w:rsidRPr="007B302D">
        <w:t xml:space="preserve">According to the Explanatory Note, the </w:t>
      </w:r>
      <w:r w:rsidR="00B11054">
        <w:t xml:space="preserve">policy objectives </w:t>
      </w:r>
      <w:r w:rsidRPr="007B302D">
        <w:t xml:space="preserve">of the Bill </w:t>
      </w:r>
      <w:r w:rsidR="00B11054">
        <w:t>are</w:t>
      </w:r>
      <w:r w:rsidRPr="007B302D">
        <w:t xml:space="preserve"> to:</w:t>
      </w:r>
    </w:p>
    <w:p w14:paraId="342EEB28" w14:textId="177375F9" w:rsidR="007B302D" w:rsidRPr="007B302D" w:rsidRDefault="00B11054" w:rsidP="007B302D">
      <w:pPr>
        <w:pStyle w:val="Bulletedlist"/>
        <w:rPr>
          <w:szCs w:val="22"/>
        </w:rPr>
      </w:pPr>
      <w:r>
        <w:t>i</w:t>
      </w:r>
      <w:r w:rsidR="007B302D" w:rsidRPr="007B302D">
        <w:t>mprove the actual and perceived integrity and public accountability of State elections and ensure public confidence in State electoral and political processes;</w:t>
      </w:r>
    </w:p>
    <w:p w14:paraId="07002458" w14:textId="5CEB1BEC" w:rsidR="007B302D" w:rsidRPr="007B302D" w:rsidRDefault="00B11054" w:rsidP="007B302D">
      <w:pPr>
        <w:pStyle w:val="Bulletedlist"/>
      </w:pPr>
      <w:r>
        <w:t>r</w:t>
      </w:r>
      <w:r w:rsidR="007B302D" w:rsidRPr="007B302D">
        <w:t>educe signage concentrated around the entrances to pre-poll voting offices</w:t>
      </w:r>
      <w:r>
        <w:t>,</w:t>
      </w:r>
      <w:r w:rsidR="007B302D" w:rsidRPr="007B302D">
        <w:t xml:space="preserve"> and to ensure that areas around pre-poll voting offices and ordinary polling booths are more neutral environments for voters </w:t>
      </w:r>
      <w:r>
        <w:t>,</w:t>
      </w:r>
      <w:r w:rsidR="007B302D" w:rsidRPr="007B302D">
        <w:t xml:space="preserve">and prevent damage or interference to the ordinary use of those premises; </w:t>
      </w:r>
    </w:p>
    <w:p w14:paraId="2B7EEA09" w14:textId="110F5A4C" w:rsidR="007B302D" w:rsidRPr="007B302D" w:rsidRDefault="00B11054" w:rsidP="007B302D">
      <w:pPr>
        <w:pStyle w:val="Bulletedlist"/>
      </w:pPr>
      <w:r>
        <w:t>i</w:t>
      </w:r>
      <w:r w:rsidR="007B302D" w:rsidRPr="007B302D">
        <w:t xml:space="preserve">mplement recommendations of the Crime and Corruption Commission; </w:t>
      </w:r>
    </w:p>
    <w:p w14:paraId="3EE5193C" w14:textId="3F135AB2" w:rsidR="007B302D" w:rsidRPr="007B302D" w:rsidRDefault="00B11054" w:rsidP="007B302D">
      <w:pPr>
        <w:pStyle w:val="Bulletedlist"/>
      </w:pPr>
      <w:r>
        <w:t>c</w:t>
      </w:r>
      <w:r w:rsidR="007B302D" w:rsidRPr="007B302D">
        <w:t>ontinue the Government’s rolling local government reform agenda guided by four key principles of integrity, transparency, diversity</w:t>
      </w:r>
      <w:r>
        <w:t>,</w:t>
      </w:r>
      <w:r w:rsidR="007B302D" w:rsidRPr="007B302D">
        <w:t xml:space="preserve"> and consistency. </w:t>
      </w:r>
    </w:p>
    <w:p w14:paraId="7605F4F3" w14:textId="77777777" w:rsidR="007B302D" w:rsidRPr="007B302D" w:rsidRDefault="007B302D" w:rsidP="00DF6C60">
      <w:pPr>
        <w:pStyle w:val="Numberedparagraph"/>
        <w:spacing w:after="120"/>
      </w:pPr>
      <w:r w:rsidRPr="007B302D">
        <w:t>Of most relevance to human rights, the Bill aims to achieve this by:</w:t>
      </w:r>
    </w:p>
    <w:p w14:paraId="5D930C88" w14:textId="6D86E1CD" w:rsidR="007B302D" w:rsidRPr="007B302D" w:rsidRDefault="00B11054" w:rsidP="007B302D">
      <w:pPr>
        <w:pStyle w:val="Bulletedlist"/>
        <w:rPr>
          <w:szCs w:val="22"/>
        </w:rPr>
      </w:pPr>
      <w:r>
        <w:t>c</w:t>
      </w:r>
      <w:r w:rsidR="007B302D" w:rsidRPr="007B302D">
        <w:t>apping the giving and acceptance of political donations to registered political parties and associated parties;</w:t>
      </w:r>
    </w:p>
    <w:p w14:paraId="6D5499CA" w14:textId="7B614BE0" w:rsidR="007B302D" w:rsidRPr="007B302D" w:rsidRDefault="00B11054" w:rsidP="007B302D">
      <w:pPr>
        <w:pStyle w:val="Bulletedlist"/>
      </w:pPr>
      <w:r>
        <w:t>c</w:t>
      </w:r>
      <w:r w:rsidR="007B302D" w:rsidRPr="007B302D">
        <w:t>apping electoral expenditure for registered political parties and their associated entities, candidates and third parties involved in electoral campaigning;</w:t>
      </w:r>
    </w:p>
    <w:p w14:paraId="619CD929" w14:textId="4C972C95" w:rsidR="007B302D" w:rsidRPr="007B302D" w:rsidRDefault="00B11054" w:rsidP="007B302D">
      <w:pPr>
        <w:pStyle w:val="Bulletedlist"/>
      </w:pPr>
      <w:r>
        <w:t>r</w:t>
      </w:r>
      <w:r w:rsidR="007B302D" w:rsidRPr="007B302D">
        <w:t>equiring registered political parties, candidates and registered third parties to maintain dedicated State campaign accounts to support the integrity of, and compliance with, the donations and expenditure gaps;</w:t>
      </w:r>
    </w:p>
    <w:p w14:paraId="5943E09F" w14:textId="279F023D" w:rsidR="007B302D" w:rsidRPr="007B302D" w:rsidRDefault="00B11054" w:rsidP="007B302D">
      <w:pPr>
        <w:pStyle w:val="Bulletedlist"/>
      </w:pPr>
      <w:r>
        <w:t>i</w:t>
      </w:r>
      <w:r w:rsidR="007B302D" w:rsidRPr="007B302D">
        <w:t>ncreasing public funding and policy development funding;</w:t>
      </w:r>
    </w:p>
    <w:p w14:paraId="1C0D0EBA" w14:textId="1074DF51" w:rsidR="007B302D" w:rsidRPr="007B302D" w:rsidRDefault="00B11054" w:rsidP="007B302D">
      <w:pPr>
        <w:pStyle w:val="Bulletedlist"/>
      </w:pPr>
      <w:r>
        <w:t>c</w:t>
      </w:r>
      <w:r w:rsidR="007B302D" w:rsidRPr="007B302D">
        <w:t xml:space="preserve">reating new offences regarding unpermitted signage, and for Ministers who knowingly fail to disclose a conflict of interest with the intent to dishonestly gain a benefit to themselves or another person, or cause detriment to another person. A new offence is also added where a Minister internationally fails to comply with their obligations to register their interest; and     </w:t>
      </w:r>
    </w:p>
    <w:p w14:paraId="3BFABCAE" w14:textId="55C9A9F6" w:rsidR="007B302D" w:rsidRPr="007B302D" w:rsidRDefault="00585747" w:rsidP="007B302D">
      <w:pPr>
        <w:pStyle w:val="Bulletedlist"/>
      </w:pPr>
      <w:r>
        <w:t xml:space="preserve">adding </w:t>
      </w:r>
      <w:r w:rsidR="00B11054">
        <w:t>n</w:t>
      </w:r>
      <w:r w:rsidR="007B302D" w:rsidRPr="007B302D">
        <w:t xml:space="preserve">ew dishonest conduct of councillor offences that apply if a councillor fails to comply with particular conflict of interest or register of interests requirements (‘relevant integrity provisions’) with the intent to dishonestly gain a benefit for the councillor or someone else, or to dishonestly cause a detriment to someone. The Bill also includes a new process for how conflicts of interest are to be managed for councillors. </w:t>
      </w:r>
    </w:p>
    <w:p w14:paraId="1D252126" w14:textId="15082903" w:rsidR="007B302D" w:rsidRPr="007B302D" w:rsidRDefault="007B302D" w:rsidP="007B302D">
      <w:pPr>
        <w:pStyle w:val="Numberedparagraph"/>
      </w:pPr>
      <w:r w:rsidRPr="007B302D">
        <w:t>As the Attorney</w:t>
      </w:r>
      <w:r w:rsidR="00B11054">
        <w:t>-</w:t>
      </w:r>
      <w:r w:rsidRPr="007B302D">
        <w:t xml:space="preserve">General noted in introducing the Bill, these reforms will enhance the actual and perceived integrity and public accountability </w:t>
      </w:r>
      <w:r w:rsidR="00B11054">
        <w:t>of</w:t>
      </w:r>
      <w:r w:rsidRPr="007B302D">
        <w:t xml:space="preserve"> state elections</w:t>
      </w:r>
      <w:r w:rsidR="00B11054">
        <w:t>,</w:t>
      </w:r>
      <w:r w:rsidRPr="007B302D">
        <w:t xml:space="preserve"> and support public confidence in state electoral processes and public institutions. </w:t>
      </w:r>
      <w:r w:rsidR="00B11054">
        <w:t>S</w:t>
      </w:r>
      <w:r w:rsidRPr="007B302D">
        <w:t xml:space="preserve">ome of the </w:t>
      </w:r>
      <w:r w:rsidR="00B11054">
        <w:t xml:space="preserve">suggested reforms </w:t>
      </w:r>
      <w:r w:rsidRPr="007B302D">
        <w:t xml:space="preserve"> arise from the Belcarra report into local government corruption.</w:t>
      </w:r>
      <w:r w:rsidRPr="007B302D">
        <w:rPr>
          <w:rStyle w:val="FootnoteReference"/>
          <w:szCs w:val="22"/>
        </w:rPr>
        <w:footnoteReference w:id="1"/>
      </w:r>
    </w:p>
    <w:p w14:paraId="347582A7" w14:textId="165F0CDE" w:rsidR="007B302D" w:rsidRPr="007B302D" w:rsidRDefault="00997B58" w:rsidP="00DF6C60">
      <w:pPr>
        <w:pStyle w:val="Numberedparagraph"/>
        <w:spacing w:after="120"/>
      </w:pPr>
      <w:r>
        <w:t>The</w:t>
      </w:r>
      <w:r w:rsidR="007B302D" w:rsidRPr="007B302D">
        <w:t xml:space="preserve"> human rights protected in the HRA engaged by the Bill </w:t>
      </w:r>
      <w:r w:rsidR="00DF6C60">
        <w:t>are</w:t>
      </w:r>
      <w:r w:rsidR="007B302D" w:rsidRPr="007B302D">
        <w:t xml:space="preserve"> the:</w:t>
      </w:r>
    </w:p>
    <w:p w14:paraId="1B21FDF6" w14:textId="1AB26088" w:rsidR="007B302D" w:rsidRPr="007B302D" w:rsidRDefault="00997B58" w:rsidP="007B302D">
      <w:pPr>
        <w:pStyle w:val="Bulletedlist"/>
        <w:rPr>
          <w:szCs w:val="22"/>
        </w:rPr>
      </w:pPr>
      <w:r>
        <w:t>r</w:t>
      </w:r>
      <w:r w:rsidR="007B302D" w:rsidRPr="007B302D">
        <w:t>ight to equality (s 15)</w:t>
      </w:r>
      <w:r>
        <w:t>;</w:t>
      </w:r>
    </w:p>
    <w:p w14:paraId="0218902D" w14:textId="1D5C1F26" w:rsidR="007B302D" w:rsidRPr="007B302D" w:rsidRDefault="00997B58" w:rsidP="007B302D">
      <w:pPr>
        <w:pStyle w:val="Bulletedlist"/>
      </w:pPr>
      <w:r>
        <w:t>f</w:t>
      </w:r>
      <w:r w:rsidR="007B302D" w:rsidRPr="007B302D">
        <w:t>reedom of expression (s 21)</w:t>
      </w:r>
      <w:r>
        <w:t>;</w:t>
      </w:r>
    </w:p>
    <w:p w14:paraId="035FBE9B" w14:textId="734049F3" w:rsidR="007B302D" w:rsidRPr="007B302D" w:rsidRDefault="00997B58" w:rsidP="007B302D">
      <w:pPr>
        <w:pStyle w:val="Bulletedlist"/>
      </w:pPr>
      <w:r>
        <w:t>t</w:t>
      </w:r>
      <w:r w:rsidR="007B302D" w:rsidRPr="007B302D">
        <w:t>aking part in public life (s 23)</w:t>
      </w:r>
      <w:r>
        <w:t>;</w:t>
      </w:r>
      <w:r w:rsidR="007B302D" w:rsidRPr="007B302D">
        <w:t xml:space="preserve"> </w:t>
      </w:r>
    </w:p>
    <w:p w14:paraId="0B1FF2E4" w14:textId="75EF3571" w:rsidR="007B302D" w:rsidRPr="007B302D" w:rsidRDefault="00997B58" w:rsidP="007B302D">
      <w:pPr>
        <w:pStyle w:val="Bulletedlist"/>
      </w:pPr>
      <w:r>
        <w:t>r</w:t>
      </w:r>
      <w:r w:rsidR="007B302D" w:rsidRPr="007B302D">
        <w:t>ight to privacy (s 25)</w:t>
      </w:r>
      <w:r>
        <w:t>; and</w:t>
      </w:r>
    </w:p>
    <w:p w14:paraId="63B5D03C" w14:textId="72E490A2" w:rsidR="007B302D" w:rsidRPr="007B302D" w:rsidRDefault="00997B58" w:rsidP="007B302D">
      <w:pPr>
        <w:pStyle w:val="Bulletedlist"/>
      </w:pPr>
      <w:r>
        <w:t>r</w:t>
      </w:r>
      <w:r w:rsidR="007B302D" w:rsidRPr="007B302D">
        <w:t>ight to presumption of innocence (s 32)</w:t>
      </w:r>
      <w:r>
        <w:t>.</w:t>
      </w:r>
    </w:p>
    <w:p w14:paraId="51028051" w14:textId="3BCA58F0" w:rsidR="007B302D" w:rsidRPr="007B302D" w:rsidRDefault="007B302D" w:rsidP="007B302D">
      <w:pPr>
        <w:pStyle w:val="Numberedparagraph"/>
      </w:pPr>
      <w:r w:rsidRPr="007B302D">
        <w:t>In addition</w:t>
      </w:r>
      <w:r w:rsidR="00997B58">
        <w:t xml:space="preserve"> to these rights under Queensland legislation</w:t>
      </w:r>
      <w:r w:rsidRPr="007B302D">
        <w:t xml:space="preserve">, the proposals may be inconsistent with the implied freedom of political communication in the </w:t>
      </w:r>
      <w:r w:rsidRPr="00DF6C60">
        <w:rPr>
          <w:i/>
        </w:rPr>
        <w:t>Commonwealth Constitution</w:t>
      </w:r>
      <w:r w:rsidRPr="007B302D">
        <w:t xml:space="preserve">. </w:t>
      </w:r>
    </w:p>
    <w:p w14:paraId="6801734C" w14:textId="48906C13" w:rsidR="007B302D" w:rsidRPr="007B302D" w:rsidRDefault="007B302D" w:rsidP="007B302D">
      <w:pPr>
        <w:pStyle w:val="Numberedparagraph"/>
      </w:pPr>
      <w:r w:rsidRPr="007B302D">
        <w:t xml:space="preserve">The HRA draws upon rights in the </w:t>
      </w:r>
      <w:r w:rsidRPr="00DF6C60">
        <w:rPr>
          <w:i/>
        </w:rPr>
        <w:t>International Covenant on Civil and Political Rights</w:t>
      </w:r>
      <w:r w:rsidRPr="007B302D">
        <w:t xml:space="preserve"> (ICCPR). The three main requirements for limitations on ICCPR rights are</w:t>
      </w:r>
      <w:r w:rsidR="00997B58">
        <w:t>:</w:t>
      </w:r>
      <w:r w:rsidRPr="007B302D">
        <w:t xml:space="preserve"> legality, necessity, and proportionality. The substantive requirements of necessity and proportionality are interrelated, which is reflected in the provision for the limitation of human rights in the HRA.</w:t>
      </w:r>
      <w:r w:rsidRPr="007B302D">
        <w:rPr>
          <w:rStyle w:val="FootnoteReference"/>
          <w:szCs w:val="22"/>
        </w:rPr>
        <w:footnoteReference w:id="2"/>
      </w:r>
    </w:p>
    <w:p w14:paraId="1AB11C94" w14:textId="72558181" w:rsidR="007B302D" w:rsidRPr="007B302D" w:rsidRDefault="007B302D" w:rsidP="00DF6C60">
      <w:pPr>
        <w:pStyle w:val="Numberedparagraph"/>
        <w:spacing w:after="120"/>
      </w:pPr>
      <w:r w:rsidRPr="007B302D">
        <w:t xml:space="preserve">Section 13(2) of the HRA sets out </w:t>
      </w:r>
      <w:r w:rsidR="00960631">
        <w:t xml:space="preserve">factors </w:t>
      </w:r>
      <w:r w:rsidRPr="007B302D">
        <w:t>for deciding whether a limit on a right is reasonable and justified including:</w:t>
      </w:r>
    </w:p>
    <w:p w14:paraId="17A217CF" w14:textId="01D14F04" w:rsidR="007B302D" w:rsidRPr="00DF6C60" w:rsidRDefault="007B302D" w:rsidP="000A2665">
      <w:pPr>
        <w:pStyle w:val="Numberedparagraph"/>
        <w:numPr>
          <w:ilvl w:val="0"/>
          <w:numId w:val="44"/>
        </w:numPr>
        <w:ind w:right="843" w:hanging="371"/>
        <w:rPr>
          <w:sz w:val="22"/>
          <w:szCs w:val="22"/>
        </w:rPr>
      </w:pPr>
      <w:r w:rsidRPr="00DF6C60">
        <w:rPr>
          <w:sz w:val="22"/>
          <w:szCs w:val="22"/>
        </w:rPr>
        <w:t>the nature of the human right;</w:t>
      </w:r>
    </w:p>
    <w:p w14:paraId="407822F6" w14:textId="72ED4ADF" w:rsidR="007B302D" w:rsidRPr="00DF6C60" w:rsidRDefault="007B302D" w:rsidP="000A2665">
      <w:pPr>
        <w:pStyle w:val="Numberedparagraph"/>
        <w:numPr>
          <w:ilvl w:val="0"/>
          <w:numId w:val="44"/>
        </w:numPr>
        <w:ind w:right="843" w:hanging="371"/>
        <w:rPr>
          <w:sz w:val="22"/>
          <w:szCs w:val="22"/>
        </w:rPr>
      </w:pPr>
      <w:r w:rsidRPr="00DF6C60">
        <w:rPr>
          <w:sz w:val="22"/>
          <w:szCs w:val="22"/>
        </w:rPr>
        <w:t>the nature and purpose of the limitation</w:t>
      </w:r>
      <w:r w:rsidR="00997B58" w:rsidRPr="00760129">
        <w:rPr>
          <w:sz w:val="22"/>
          <w:szCs w:val="22"/>
        </w:rPr>
        <w:t xml:space="preserve">, </w:t>
      </w:r>
      <w:r w:rsidRPr="00DF6C60">
        <w:rPr>
          <w:sz w:val="22"/>
          <w:szCs w:val="22"/>
        </w:rPr>
        <w:t>including whether it is</w:t>
      </w:r>
      <w:r w:rsidR="00460CA1" w:rsidRPr="00760129">
        <w:rPr>
          <w:sz w:val="22"/>
          <w:szCs w:val="22"/>
        </w:rPr>
        <w:t xml:space="preserve"> </w:t>
      </w:r>
      <w:r w:rsidRPr="00DF6C60">
        <w:rPr>
          <w:sz w:val="22"/>
          <w:szCs w:val="22"/>
        </w:rPr>
        <w:t xml:space="preserve"> consistent with a free and democratic society based on human dignity, equality and freedom;</w:t>
      </w:r>
    </w:p>
    <w:p w14:paraId="5BE20B23" w14:textId="08C050F5" w:rsidR="007B302D" w:rsidRPr="00DF6C60" w:rsidRDefault="007B302D" w:rsidP="000A2665">
      <w:pPr>
        <w:pStyle w:val="Numberedparagraph"/>
        <w:numPr>
          <w:ilvl w:val="0"/>
          <w:numId w:val="44"/>
        </w:numPr>
        <w:ind w:right="843" w:hanging="371"/>
        <w:rPr>
          <w:sz w:val="22"/>
          <w:szCs w:val="22"/>
        </w:rPr>
      </w:pPr>
      <w:r w:rsidRPr="00DF6C60">
        <w:rPr>
          <w:sz w:val="22"/>
          <w:szCs w:val="22"/>
        </w:rPr>
        <w:t xml:space="preserve">the relationship between the limitation and </w:t>
      </w:r>
      <w:r w:rsidR="00997B58" w:rsidRPr="00760129">
        <w:rPr>
          <w:sz w:val="22"/>
          <w:szCs w:val="22"/>
        </w:rPr>
        <w:t xml:space="preserve">its </w:t>
      </w:r>
      <w:r w:rsidRPr="00DF6C60">
        <w:rPr>
          <w:sz w:val="22"/>
          <w:szCs w:val="22"/>
        </w:rPr>
        <w:t>purpose</w:t>
      </w:r>
      <w:r w:rsidR="00997B58" w:rsidRPr="00760129">
        <w:rPr>
          <w:sz w:val="22"/>
          <w:szCs w:val="22"/>
        </w:rPr>
        <w:t>,</w:t>
      </w:r>
      <w:r w:rsidRPr="00DF6C60">
        <w:rPr>
          <w:sz w:val="22"/>
          <w:szCs w:val="22"/>
        </w:rPr>
        <w:t xml:space="preserve"> including whether </w:t>
      </w:r>
      <w:r w:rsidR="005A54FC" w:rsidRPr="00760129">
        <w:rPr>
          <w:sz w:val="22"/>
          <w:szCs w:val="22"/>
        </w:rPr>
        <w:t>the</w:t>
      </w:r>
      <w:r w:rsidRPr="00DF6C60">
        <w:rPr>
          <w:sz w:val="22"/>
          <w:szCs w:val="22"/>
        </w:rPr>
        <w:t xml:space="preserve"> limitation helps to achieve the purpose;</w:t>
      </w:r>
    </w:p>
    <w:p w14:paraId="09D21A68" w14:textId="1D1A5B7D" w:rsidR="007B302D" w:rsidRPr="00DF6C60" w:rsidRDefault="007B302D" w:rsidP="00DF6C60">
      <w:pPr>
        <w:pStyle w:val="Numberedparagraph"/>
        <w:numPr>
          <w:ilvl w:val="0"/>
          <w:numId w:val="44"/>
        </w:numPr>
        <w:ind w:right="843"/>
        <w:rPr>
          <w:sz w:val="22"/>
          <w:szCs w:val="22"/>
        </w:rPr>
      </w:pPr>
      <w:r w:rsidRPr="00DF6C60">
        <w:rPr>
          <w:sz w:val="22"/>
          <w:szCs w:val="22"/>
        </w:rPr>
        <w:t>whether there are any less restrictive and reasonabl</w:t>
      </w:r>
      <w:r w:rsidR="003E0B9B" w:rsidRPr="00760129">
        <w:rPr>
          <w:sz w:val="22"/>
          <w:szCs w:val="22"/>
        </w:rPr>
        <w:t>y available</w:t>
      </w:r>
      <w:r w:rsidRPr="00DF6C60">
        <w:rPr>
          <w:sz w:val="22"/>
          <w:szCs w:val="22"/>
        </w:rPr>
        <w:t xml:space="preserve"> ways to achieve the purpose;</w:t>
      </w:r>
    </w:p>
    <w:p w14:paraId="5C4BAF58" w14:textId="79876B5E" w:rsidR="007B302D" w:rsidRPr="00DF6C60" w:rsidRDefault="007B302D" w:rsidP="00DF6C60">
      <w:pPr>
        <w:pStyle w:val="Numberedparagraph"/>
        <w:numPr>
          <w:ilvl w:val="0"/>
          <w:numId w:val="44"/>
        </w:numPr>
        <w:rPr>
          <w:sz w:val="22"/>
          <w:szCs w:val="22"/>
        </w:rPr>
      </w:pPr>
      <w:r w:rsidRPr="00DF6C60">
        <w:rPr>
          <w:sz w:val="22"/>
          <w:szCs w:val="22"/>
        </w:rPr>
        <w:t>the importance of the purpose of the limitation;</w:t>
      </w:r>
    </w:p>
    <w:p w14:paraId="5E929936" w14:textId="385BB3A4" w:rsidR="007B302D" w:rsidRPr="00DF6C60" w:rsidRDefault="007B302D" w:rsidP="00DF6C60">
      <w:pPr>
        <w:pStyle w:val="Numberedparagraph"/>
        <w:numPr>
          <w:ilvl w:val="0"/>
          <w:numId w:val="44"/>
        </w:numPr>
        <w:ind w:right="843"/>
        <w:rPr>
          <w:sz w:val="22"/>
          <w:szCs w:val="22"/>
        </w:rPr>
      </w:pPr>
      <w:r w:rsidRPr="00DF6C60">
        <w:rPr>
          <w:sz w:val="22"/>
          <w:szCs w:val="22"/>
        </w:rPr>
        <w:t>the importance of preserving the human right</w:t>
      </w:r>
      <w:r w:rsidR="003E0B9B" w:rsidRPr="00760129">
        <w:rPr>
          <w:sz w:val="22"/>
          <w:szCs w:val="22"/>
        </w:rPr>
        <w:t>, taking into account the nature and extent of the limitation on the human right</w:t>
      </w:r>
      <w:r w:rsidRPr="00DF6C60">
        <w:rPr>
          <w:sz w:val="22"/>
          <w:szCs w:val="22"/>
        </w:rPr>
        <w:t xml:space="preserve">; </w:t>
      </w:r>
    </w:p>
    <w:p w14:paraId="390C8914" w14:textId="48670812" w:rsidR="007B302D" w:rsidRPr="00DF6C60" w:rsidRDefault="003E0B9B" w:rsidP="00DF6C60">
      <w:pPr>
        <w:pStyle w:val="Numberedparagraph"/>
        <w:numPr>
          <w:ilvl w:val="0"/>
          <w:numId w:val="44"/>
        </w:numPr>
        <w:ind w:right="843"/>
        <w:rPr>
          <w:sz w:val="22"/>
          <w:szCs w:val="22"/>
        </w:rPr>
      </w:pPr>
      <w:r w:rsidRPr="00760129">
        <w:rPr>
          <w:sz w:val="22"/>
          <w:szCs w:val="22"/>
        </w:rPr>
        <w:t xml:space="preserve">the </w:t>
      </w:r>
      <w:r w:rsidR="007B302D" w:rsidRPr="00DF6C60">
        <w:rPr>
          <w:sz w:val="22"/>
          <w:szCs w:val="22"/>
        </w:rPr>
        <w:t>balanc</w:t>
      </w:r>
      <w:r w:rsidRPr="00760129">
        <w:rPr>
          <w:sz w:val="22"/>
          <w:szCs w:val="22"/>
        </w:rPr>
        <w:t xml:space="preserve">e between </w:t>
      </w:r>
      <w:r w:rsidR="007B302D" w:rsidRPr="00DF6C60">
        <w:rPr>
          <w:sz w:val="22"/>
          <w:szCs w:val="22"/>
        </w:rPr>
        <w:t>the matters</w:t>
      </w:r>
      <w:r w:rsidRPr="00760129">
        <w:rPr>
          <w:sz w:val="22"/>
          <w:szCs w:val="22"/>
        </w:rPr>
        <w:t xml:space="preserve"> mentioned in paragraphs (e) </w:t>
      </w:r>
      <w:r w:rsidR="00460CA1" w:rsidRPr="00760129">
        <w:rPr>
          <w:sz w:val="22"/>
          <w:szCs w:val="22"/>
        </w:rPr>
        <w:br/>
      </w:r>
      <w:r w:rsidRPr="00760129">
        <w:rPr>
          <w:sz w:val="22"/>
          <w:szCs w:val="22"/>
        </w:rPr>
        <w:t>and (f)</w:t>
      </w:r>
      <w:r w:rsidR="007B302D" w:rsidRPr="00DF6C60">
        <w:rPr>
          <w:sz w:val="22"/>
          <w:szCs w:val="22"/>
        </w:rPr>
        <w:t xml:space="preserve">. </w:t>
      </w:r>
    </w:p>
    <w:p w14:paraId="30F3A3A7" w14:textId="5B4DEA6C" w:rsidR="007B302D" w:rsidRPr="007B302D" w:rsidRDefault="007B302D" w:rsidP="00DF6C60">
      <w:pPr>
        <w:pStyle w:val="Numberedparagraph"/>
        <w:spacing w:after="120"/>
      </w:pPr>
      <w:r w:rsidRPr="007B302D">
        <w:t>The justification in the Explanatory Note does not</w:t>
      </w:r>
      <w:r w:rsidR="00960631">
        <w:t xml:space="preserve"> refer to these factors</w:t>
      </w:r>
      <w:r w:rsidRPr="007B302D">
        <w:t>, but includes details relevant to the</w:t>
      </w:r>
      <w:r w:rsidR="00960631">
        <w:t>m</w:t>
      </w:r>
      <w:r w:rsidRPr="007B302D">
        <w:t>. While not exploring all human rights aspects of the Bill, this submission highlight</w:t>
      </w:r>
      <w:r w:rsidR="00960631">
        <w:t>s</w:t>
      </w:r>
      <w:r w:rsidRPr="007B302D">
        <w:t xml:space="preserve"> areas where further justification </w:t>
      </w:r>
      <w:r w:rsidR="00960631">
        <w:t xml:space="preserve">for restricting human rights </w:t>
      </w:r>
      <w:r w:rsidRPr="007B302D">
        <w:t xml:space="preserve">could be </w:t>
      </w:r>
      <w:r w:rsidR="00960631">
        <w:t xml:space="preserve">explored </w:t>
      </w:r>
      <w:r w:rsidRPr="007B302D">
        <w:t>by the Committee in relation to:</w:t>
      </w:r>
    </w:p>
    <w:p w14:paraId="0DD9F9EA" w14:textId="6F72A1C4" w:rsidR="007B302D" w:rsidRPr="007B302D" w:rsidRDefault="00960631" w:rsidP="007B302D">
      <w:pPr>
        <w:pStyle w:val="Bulletedlist"/>
        <w:rPr>
          <w:szCs w:val="22"/>
        </w:rPr>
      </w:pPr>
      <w:r>
        <w:t>l</w:t>
      </w:r>
      <w:r w:rsidR="007B302D" w:rsidRPr="007B302D">
        <w:t>imits on third party expenditure</w:t>
      </w:r>
      <w:r w:rsidR="00DA7697">
        <w:t>;</w:t>
      </w:r>
    </w:p>
    <w:p w14:paraId="7E553AFB" w14:textId="0E21B60E" w:rsidR="007B302D" w:rsidRPr="007B302D" w:rsidRDefault="00960631" w:rsidP="007B302D">
      <w:pPr>
        <w:pStyle w:val="Bulletedlist"/>
      </w:pPr>
      <w:r>
        <w:t>i</w:t>
      </w:r>
      <w:r w:rsidR="007B302D" w:rsidRPr="007B302D">
        <w:t>ncreases to public expenditure for certain participants</w:t>
      </w:r>
      <w:r w:rsidR="00DA7697">
        <w:t>;</w:t>
      </w:r>
    </w:p>
    <w:p w14:paraId="26C49922" w14:textId="13DCF97A" w:rsidR="007B302D" w:rsidRPr="007B302D" w:rsidRDefault="00960631" w:rsidP="007B302D">
      <w:pPr>
        <w:pStyle w:val="Bulletedlist"/>
      </w:pPr>
      <w:r>
        <w:t>r</w:t>
      </w:r>
      <w:r w:rsidR="007B302D" w:rsidRPr="007B302D">
        <w:t>everse onus provisions</w:t>
      </w:r>
      <w:r w:rsidR="00DA7697">
        <w:t>;</w:t>
      </w:r>
    </w:p>
    <w:p w14:paraId="5F338132" w14:textId="18CB8662" w:rsidR="007B302D" w:rsidRPr="007B302D" w:rsidRDefault="00960631" w:rsidP="007B302D">
      <w:pPr>
        <w:pStyle w:val="Bulletedlist"/>
      </w:pPr>
      <w:r>
        <w:t>s</w:t>
      </w:r>
      <w:r w:rsidR="007B302D" w:rsidRPr="007B302D">
        <w:t>ubsequent disciplinary action against councillors</w:t>
      </w:r>
      <w:r w:rsidR="00DA7697">
        <w:t>; and</w:t>
      </w:r>
    </w:p>
    <w:p w14:paraId="55F03ED1" w14:textId="11C3CF37" w:rsidR="007B302D" w:rsidRPr="007B302D" w:rsidRDefault="00960631" w:rsidP="007B302D">
      <w:pPr>
        <w:pStyle w:val="Bulletedlist"/>
      </w:pPr>
      <w:r>
        <w:t>p</w:t>
      </w:r>
      <w:r w:rsidR="007B302D" w:rsidRPr="007B302D">
        <w:t>ower of the Minister to recommend dissolving and appointing a person to act as interim administrator.</w:t>
      </w:r>
    </w:p>
    <w:p w14:paraId="7CA6C817" w14:textId="03B05958" w:rsidR="007B302D" w:rsidRPr="007B302D" w:rsidRDefault="007B302D" w:rsidP="007B302D">
      <w:pPr>
        <w:pStyle w:val="Numberedparagraph"/>
      </w:pPr>
      <w:r w:rsidRPr="007B302D">
        <w:t xml:space="preserve">The Commission notes that </w:t>
      </w:r>
      <w:r w:rsidR="00DF6C60">
        <w:t>other</w:t>
      </w:r>
      <w:r w:rsidR="00DF6C60" w:rsidRPr="007B302D">
        <w:t xml:space="preserve"> </w:t>
      </w:r>
      <w:r w:rsidRPr="007B302D">
        <w:t xml:space="preserve">proposed changes </w:t>
      </w:r>
      <w:r w:rsidR="00DF6C60">
        <w:t>also</w:t>
      </w:r>
      <w:r w:rsidR="00DF6C60" w:rsidRPr="007B302D">
        <w:t xml:space="preserve"> </w:t>
      </w:r>
      <w:r w:rsidRPr="007B302D">
        <w:t xml:space="preserve">limit the right to freedom of expression, </w:t>
      </w:r>
      <w:r w:rsidR="00DF6C60">
        <w:t>including</w:t>
      </w:r>
      <w:r w:rsidRPr="007B302D">
        <w:t xml:space="preserve"> the restriction on political signage within 100 metres of a polling booth</w:t>
      </w:r>
      <w:r w:rsidR="00DF6C60">
        <w:t>. The justification for this proposal</w:t>
      </w:r>
      <w:r w:rsidRPr="007B302D">
        <w:t xml:space="preserve"> is </w:t>
      </w:r>
      <w:r w:rsidR="00DF6C60">
        <w:t>included</w:t>
      </w:r>
      <w:r w:rsidRPr="007B302D">
        <w:t xml:space="preserve"> in the Explanatory Note and is consistent with similar changes in other human rights jurisdictions</w:t>
      </w:r>
      <w:r w:rsidR="00DF6C60">
        <w:t xml:space="preserve"> and is therefore not discussed further in this submission. </w:t>
      </w:r>
      <w:r w:rsidRPr="007B302D">
        <w:t xml:space="preserve"> </w:t>
      </w:r>
    </w:p>
    <w:p w14:paraId="25571756" w14:textId="77777777" w:rsidR="007B302D" w:rsidRPr="007B302D" w:rsidRDefault="007B302D" w:rsidP="007B302D">
      <w:pPr>
        <w:pStyle w:val="Heading1"/>
        <w:rPr>
          <w:rFonts w:cs="Arial"/>
          <w:szCs w:val="24"/>
        </w:rPr>
      </w:pPr>
      <w:bookmarkStart w:id="4" w:name="_Toc29377384"/>
      <w:r w:rsidRPr="007B302D">
        <w:rPr>
          <w:rFonts w:cs="Arial"/>
        </w:rPr>
        <w:t>Restriction on electoral donations and expenditure caps generally</w:t>
      </w:r>
      <w:bookmarkEnd w:id="4"/>
      <w:r w:rsidRPr="007B302D">
        <w:rPr>
          <w:rFonts w:cs="Arial"/>
        </w:rPr>
        <w:t xml:space="preserve"> </w:t>
      </w:r>
    </w:p>
    <w:p w14:paraId="1927172F" w14:textId="4A824A4C" w:rsidR="007B302D" w:rsidRPr="007B302D" w:rsidRDefault="00960631" w:rsidP="007B302D">
      <w:pPr>
        <w:pStyle w:val="Numberedparagraph"/>
      </w:pPr>
      <w:r>
        <w:t>R</w:t>
      </w:r>
      <w:r w:rsidR="007B302D" w:rsidRPr="007B302D">
        <w:t>estriction</w:t>
      </w:r>
      <w:r>
        <w:t>s</w:t>
      </w:r>
      <w:r w:rsidR="007B302D" w:rsidRPr="007B302D">
        <w:t xml:space="preserve"> on electoral donations, gifts</w:t>
      </w:r>
      <w:r>
        <w:t>,</w:t>
      </w:r>
      <w:r w:rsidR="007B302D" w:rsidRPr="007B302D">
        <w:t xml:space="preserve"> and expenditure caps will engage human rights. The most relevant are freedom of expression and the right to take part in public life. </w:t>
      </w:r>
    </w:p>
    <w:p w14:paraId="0BB130DB" w14:textId="77777777" w:rsidR="007B302D" w:rsidRPr="007B302D" w:rsidRDefault="007B302D" w:rsidP="007B302D">
      <w:pPr>
        <w:pStyle w:val="Heading2"/>
        <w:rPr>
          <w:rFonts w:cs="Arial"/>
          <w:sz w:val="22"/>
          <w:szCs w:val="22"/>
        </w:rPr>
      </w:pPr>
      <w:bookmarkStart w:id="5" w:name="_Toc29377385"/>
      <w:r w:rsidRPr="007B302D">
        <w:rPr>
          <w:rFonts w:cs="Arial"/>
          <w:sz w:val="22"/>
          <w:szCs w:val="22"/>
        </w:rPr>
        <w:t>Freedom of expression</w:t>
      </w:r>
      <w:bookmarkEnd w:id="5"/>
      <w:r w:rsidRPr="007B302D">
        <w:rPr>
          <w:rFonts w:cs="Arial"/>
          <w:sz w:val="22"/>
          <w:szCs w:val="22"/>
        </w:rPr>
        <w:t xml:space="preserve"> </w:t>
      </w:r>
    </w:p>
    <w:p w14:paraId="27ABFFAD" w14:textId="77777777" w:rsidR="007B302D" w:rsidRPr="007B302D" w:rsidRDefault="00D50C27" w:rsidP="00DF6C60">
      <w:pPr>
        <w:pStyle w:val="Numberedparagraph"/>
        <w:spacing w:after="120"/>
        <w:rPr>
          <w:sz w:val="22"/>
        </w:rPr>
      </w:pPr>
      <w:r>
        <w:t xml:space="preserve">Freedom of expression in the HRA is drawn from </w:t>
      </w:r>
      <w:r w:rsidR="007B302D" w:rsidRPr="007B302D">
        <w:t>Article 19 of the ICCPR</w:t>
      </w:r>
      <w:r>
        <w:t>, which</w:t>
      </w:r>
      <w:r w:rsidR="007B302D" w:rsidRPr="007B302D">
        <w:t xml:space="preserve"> provides:</w:t>
      </w:r>
    </w:p>
    <w:p w14:paraId="0C7C5995" w14:textId="19A06CA1" w:rsidR="007B302D" w:rsidRPr="00DF6C60" w:rsidRDefault="007B302D" w:rsidP="00DF6C60">
      <w:pPr>
        <w:pStyle w:val="Quote"/>
        <w:numPr>
          <w:ilvl w:val="3"/>
          <w:numId w:val="13"/>
        </w:numPr>
        <w:ind w:right="843"/>
        <w:rPr>
          <w:sz w:val="22"/>
          <w:szCs w:val="22"/>
        </w:rPr>
      </w:pPr>
      <w:r w:rsidRPr="00DF6C60">
        <w:rPr>
          <w:sz w:val="22"/>
          <w:szCs w:val="22"/>
        </w:rPr>
        <w:t>Everyone shall have the right to hold opinions without interference.</w:t>
      </w:r>
    </w:p>
    <w:p w14:paraId="1985526B" w14:textId="34D8A819" w:rsidR="007B302D" w:rsidRPr="00DF6C60" w:rsidRDefault="007B302D" w:rsidP="00DF6C60">
      <w:pPr>
        <w:pStyle w:val="Quote"/>
        <w:numPr>
          <w:ilvl w:val="3"/>
          <w:numId w:val="13"/>
        </w:numPr>
        <w:ind w:right="843"/>
        <w:rPr>
          <w:sz w:val="22"/>
          <w:szCs w:val="22"/>
        </w:rPr>
      </w:pPr>
      <w:r w:rsidRPr="00DF6C60">
        <w:rPr>
          <w:sz w:val="22"/>
          <w:szCs w:val="22"/>
        </w:rPr>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14:paraId="2AB78992" w14:textId="4361FE3F" w:rsidR="007B302D" w:rsidRPr="00DF6C60" w:rsidRDefault="007B302D" w:rsidP="00DF6C60">
      <w:pPr>
        <w:pStyle w:val="Quote"/>
        <w:numPr>
          <w:ilvl w:val="3"/>
          <w:numId w:val="13"/>
        </w:numPr>
        <w:ind w:right="843"/>
        <w:rPr>
          <w:sz w:val="22"/>
          <w:szCs w:val="22"/>
        </w:rPr>
      </w:pPr>
      <w:r w:rsidRPr="00DF6C60">
        <w:rPr>
          <w:sz w:val="22"/>
          <w:szCs w:val="22"/>
        </w:rPr>
        <w:t>The exercise of the rights provided for in paragraph 2 of this article carries with it special duties and responsibilities. It may therefore be subject to certain restrictions, but these shall only be such as are provided by law and are necessary:</w:t>
      </w:r>
    </w:p>
    <w:p w14:paraId="5E257071" w14:textId="77777777" w:rsidR="007B302D" w:rsidRPr="00DF6C60" w:rsidRDefault="007B302D" w:rsidP="00DF6C60">
      <w:pPr>
        <w:pStyle w:val="Quote"/>
        <w:ind w:firstLine="521"/>
        <w:rPr>
          <w:sz w:val="22"/>
          <w:szCs w:val="22"/>
        </w:rPr>
      </w:pPr>
      <w:r w:rsidRPr="00DF6C60">
        <w:rPr>
          <w:sz w:val="22"/>
          <w:szCs w:val="22"/>
        </w:rPr>
        <w:t>(a) For respect of the rights or reputations of others;</w:t>
      </w:r>
    </w:p>
    <w:p w14:paraId="5D57870D" w14:textId="77777777" w:rsidR="007B302D" w:rsidRPr="00DF6C60" w:rsidRDefault="007B302D" w:rsidP="00DF6C60">
      <w:pPr>
        <w:pStyle w:val="Quote"/>
        <w:ind w:left="1428" w:right="843"/>
        <w:rPr>
          <w:sz w:val="22"/>
          <w:szCs w:val="22"/>
        </w:rPr>
      </w:pPr>
      <w:r w:rsidRPr="00DF6C60">
        <w:rPr>
          <w:sz w:val="22"/>
          <w:szCs w:val="22"/>
        </w:rPr>
        <w:t>(b) For the protection of national security or of public order, or of public health or morals.</w:t>
      </w:r>
    </w:p>
    <w:p w14:paraId="01E4DC10" w14:textId="606CCB80" w:rsidR="007B302D" w:rsidRPr="007B302D" w:rsidRDefault="007B302D" w:rsidP="007B302D">
      <w:pPr>
        <w:pStyle w:val="Numberedparagraph"/>
        <w:rPr>
          <w:i/>
        </w:rPr>
      </w:pPr>
      <w:r w:rsidRPr="007B302D">
        <w:t>Political speech enjoys particular protection as a form of expression</w:t>
      </w:r>
      <w:r w:rsidR="00960631">
        <w:t>.</w:t>
      </w:r>
      <w:r w:rsidRPr="007B302D">
        <w:t xml:space="preserve"> </w:t>
      </w:r>
      <w:r w:rsidR="00960631">
        <w:t>I</w:t>
      </w:r>
      <w:r w:rsidRPr="007B302D">
        <w:t xml:space="preserve">t encourages public debate central to the functioning of Queensland’s democratic system of government, </w:t>
      </w:r>
      <w:r w:rsidR="00960631">
        <w:t>and</w:t>
      </w:r>
      <w:r w:rsidRPr="007B302D">
        <w:t xml:space="preserve"> has been recognised as an implied freedom in the </w:t>
      </w:r>
      <w:r w:rsidRPr="00DF6C60">
        <w:rPr>
          <w:i/>
        </w:rPr>
        <w:t>Commonwealth Constitution</w:t>
      </w:r>
      <w:r w:rsidRPr="007B302D">
        <w:t>.</w:t>
      </w:r>
      <w:r w:rsidRPr="007B302D">
        <w:rPr>
          <w:rStyle w:val="FootnoteReference"/>
          <w:szCs w:val="22"/>
        </w:rPr>
        <w:footnoteReference w:id="3"/>
      </w:r>
      <w:r w:rsidRPr="007B302D">
        <w:t xml:space="preserve"> The Explanatory Note</w:t>
      </w:r>
      <w:r w:rsidR="00960631">
        <w:t xml:space="preserve"> to the Bill</w:t>
      </w:r>
      <w:r w:rsidRPr="007B302D">
        <w:t xml:space="preserve"> refers to the High Court decision in </w:t>
      </w:r>
      <w:r w:rsidRPr="007B302D">
        <w:rPr>
          <w:i/>
        </w:rPr>
        <w:t>McCloy v NSW,</w:t>
      </w:r>
      <w:r w:rsidRPr="007B302D">
        <w:rPr>
          <w:rStyle w:val="FootnoteReference"/>
          <w:i/>
          <w:szCs w:val="22"/>
        </w:rPr>
        <w:footnoteReference w:id="4"/>
      </w:r>
      <w:r w:rsidRPr="007B302D">
        <w:rPr>
          <w:i/>
        </w:rPr>
        <w:t xml:space="preserve"> </w:t>
      </w:r>
      <w:r w:rsidRPr="007B302D">
        <w:t xml:space="preserve">which considered a prohibition in the </w:t>
      </w:r>
      <w:r w:rsidRPr="007B302D">
        <w:rPr>
          <w:i/>
        </w:rPr>
        <w:t>Elect</w:t>
      </w:r>
      <w:r w:rsidR="00960631">
        <w:rPr>
          <w:i/>
        </w:rPr>
        <w:t>ion</w:t>
      </w:r>
      <w:r w:rsidRPr="007B302D">
        <w:rPr>
          <w:i/>
        </w:rPr>
        <w:t xml:space="preserve"> Funding</w:t>
      </w:r>
      <w:r w:rsidR="00960631">
        <w:rPr>
          <w:i/>
        </w:rPr>
        <w:t xml:space="preserve">, Expenditure </w:t>
      </w:r>
      <w:r w:rsidRPr="007B302D">
        <w:rPr>
          <w:i/>
        </w:rPr>
        <w:t>and Disclosure</w:t>
      </w:r>
      <w:r w:rsidR="00960631">
        <w:rPr>
          <w:i/>
        </w:rPr>
        <w:t>s</w:t>
      </w:r>
      <w:r w:rsidRPr="007B302D">
        <w:rPr>
          <w:i/>
        </w:rPr>
        <w:t xml:space="preserve"> Act 1981 </w:t>
      </w:r>
      <w:r w:rsidR="00960631">
        <w:t xml:space="preserve">(NSW) </w:t>
      </w:r>
      <w:r w:rsidRPr="007B302D">
        <w:t xml:space="preserve">on property developers making political donations. </w:t>
      </w:r>
      <w:r w:rsidR="00960631">
        <w:t xml:space="preserve">The Court held that the capping of political donations is a measure that preserves and enhances the system of representative government. </w:t>
      </w:r>
      <w:r w:rsidRPr="007B302D">
        <w:t>Th</w:t>
      </w:r>
      <w:r w:rsidR="00960631">
        <w:t>e</w:t>
      </w:r>
      <w:r w:rsidRPr="007B302D">
        <w:t xml:space="preserve"> scheme </w:t>
      </w:r>
      <w:r w:rsidR="00960631">
        <w:t xml:space="preserve">in the NSW Act </w:t>
      </w:r>
      <w:r w:rsidRPr="007B302D">
        <w:t xml:space="preserve">has been adopted with modification in Queensland and was found to be a valid by the High Court in </w:t>
      </w:r>
      <w:r w:rsidRPr="007B302D">
        <w:rPr>
          <w:i/>
        </w:rPr>
        <w:t>Spence v Queensland.</w:t>
      </w:r>
      <w:r w:rsidRPr="007B302D">
        <w:rPr>
          <w:rStyle w:val="FootnoteReference"/>
          <w:szCs w:val="22"/>
        </w:rPr>
        <w:footnoteReference w:id="5"/>
      </w:r>
      <w:r w:rsidRPr="007B302D">
        <w:rPr>
          <w:i/>
        </w:rPr>
        <w:t xml:space="preserve"> </w:t>
      </w:r>
    </w:p>
    <w:p w14:paraId="43DAF93A" w14:textId="4B80979C" w:rsidR="007B302D" w:rsidRPr="007B302D" w:rsidRDefault="007B302D" w:rsidP="007B302D">
      <w:pPr>
        <w:pStyle w:val="Numberedparagraph"/>
      </w:pPr>
      <w:r w:rsidRPr="007B302D">
        <w:t xml:space="preserve">There are differences between the implied right of freedom of political communication in the </w:t>
      </w:r>
      <w:r w:rsidRPr="00DF6C60">
        <w:rPr>
          <w:i/>
        </w:rPr>
        <w:t>Constitution</w:t>
      </w:r>
      <w:r w:rsidRPr="007B302D">
        <w:t xml:space="preserve"> and the freedom of expression in s 21 of the HRA. The Constitutional implied freedom is not a personal right that can be claimed. Rather this right acts as a restraint on the ability of Parliament to limit political communication, meaning that individuals can challenge laws that purport to restrict political communication. In contrast, the </w:t>
      </w:r>
      <w:r w:rsidR="006A3E5A">
        <w:t xml:space="preserve">right to </w:t>
      </w:r>
      <w:r w:rsidRPr="007B302D">
        <w:t xml:space="preserve">freedom of expression in the HRA is a personal right which extends to all forms of expression and includes receiving or imparting ideas or information. </w:t>
      </w:r>
    </w:p>
    <w:p w14:paraId="4297EE61" w14:textId="0EAAE3C4" w:rsidR="007B302D" w:rsidRPr="007B302D" w:rsidRDefault="007B302D" w:rsidP="007B302D">
      <w:pPr>
        <w:pStyle w:val="Numberedparagraph"/>
      </w:pPr>
      <w:r w:rsidRPr="007B302D">
        <w:t xml:space="preserve">Nonetheless, the proportionality assessment outlined by the High Court with respect to limits on the implied freedom is analogous to the proportionality assessment under the HRA. </w:t>
      </w:r>
      <w:r w:rsidR="006A3E5A">
        <w:t>T</w:t>
      </w:r>
      <w:r w:rsidRPr="007B302D">
        <w:t>he Victorian Parliamentary Scrutiny of Acts and Regulations Committee (SARC) summarised the test for a valid limitation o</w:t>
      </w:r>
      <w:r w:rsidR="006A3E5A">
        <w:t>f</w:t>
      </w:r>
      <w:r w:rsidRPr="007B302D">
        <w:t xml:space="preserve"> the implied freedom based on the High Court authority as:</w:t>
      </w:r>
    </w:p>
    <w:p w14:paraId="59A0D495" w14:textId="77777777" w:rsidR="007B302D" w:rsidRPr="00DF6C60" w:rsidRDefault="00DC7216" w:rsidP="00460CA1">
      <w:pPr>
        <w:pStyle w:val="Quote"/>
        <w:ind w:right="843"/>
        <w:rPr>
          <w:sz w:val="22"/>
          <w:szCs w:val="22"/>
        </w:rPr>
      </w:pPr>
      <w:r w:rsidRPr="00DF6C60">
        <w:rPr>
          <w:sz w:val="22"/>
          <w:szCs w:val="22"/>
        </w:rPr>
        <w:t>…a</w:t>
      </w:r>
      <w:r w:rsidR="007B302D" w:rsidRPr="00DF6C60">
        <w:rPr>
          <w:sz w:val="22"/>
          <w:szCs w:val="22"/>
        </w:rPr>
        <w:t xml:space="preserve">re the purpose of the law and the means adopted to achieve that purpose legitimate, in the sense that they are compatible with the maintenance of the constitutionally prescribed system of representative government? This question reflects what is referred to in these reasons as "compatibility testing". </w:t>
      </w:r>
    </w:p>
    <w:p w14:paraId="0A082DB3" w14:textId="77777777" w:rsidR="007B302D" w:rsidRPr="00DF6C60" w:rsidRDefault="007B302D" w:rsidP="00460CA1">
      <w:pPr>
        <w:pStyle w:val="Quote"/>
        <w:ind w:right="843"/>
        <w:rPr>
          <w:sz w:val="22"/>
          <w:szCs w:val="22"/>
        </w:rPr>
      </w:pPr>
      <w:r w:rsidRPr="00DF6C60">
        <w:rPr>
          <w:sz w:val="22"/>
          <w:szCs w:val="22"/>
        </w:rPr>
        <w:t xml:space="preserve">The answer to that question will be in the affirmative if the purpose of the law and the means adopted are identified and are compatible with the constitutionally prescribed system in the sense that they do not adversely impinge upon the functioning of the system of representative government. </w:t>
      </w:r>
    </w:p>
    <w:p w14:paraId="76CDF022" w14:textId="77777777" w:rsidR="007B302D" w:rsidRPr="00DF6C60" w:rsidRDefault="007B302D" w:rsidP="00460CA1">
      <w:pPr>
        <w:pStyle w:val="Quote"/>
        <w:ind w:right="843"/>
        <w:rPr>
          <w:rFonts w:eastAsia="Times New Roman"/>
          <w:sz w:val="22"/>
          <w:szCs w:val="22"/>
        </w:rPr>
      </w:pPr>
      <w:r w:rsidRPr="00DF6C60">
        <w:rPr>
          <w:sz w:val="22"/>
          <w:szCs w:val="22"/>
        </w:rPr>
        <w:t xml:space="preserve">If the answer to the question is "no", then the law exceeds the implied limitation and the enquiry as to validity ends. </w:t>
      </w:r>
    </w:p>
    <w:p w14:paraId="55824CD3" w14:textId="77777777" w:rsidR="007B302D" w:rsidRPr="00DF6C60" w:rsidRDefault="007B302D" w:rsidP="00460CA1">
      <w:pPr>
        <w:pStyle w:val="Quote"/>
        <w:ind w:right="843"/>
        <w:rPr>
          <w:rFonts w:eastAsiaTheme="minorHAnsi"/>
          <w:sz w:val="22"/>
          <w:szCs w:val="22"/>
        </w:rPr>
      </w:pPr>
      <w:r w:rsidRPr="00DF6C60">
        <w:rPr>
          <w:sz w:val="22"/>
          <w:szCs w:val="22"/>
        </w:rPr>
        <w:t>If "yes" is the answer, then is the law reasonably appropriate and adapted to advance that legitimate object? This question involves what is referred to in these reasons as "proportionality testing" to determine whether the restriction which the provision imposes on the freedom is justified.</w:t>
      </w:r>
      <w:r w:rsidRPr="00DF6C60">
        <w:rPr>
          <w:rStyle w:val="FootnoteReference"/>
          <w:sz w:val="22"/>
          <w:szCs w:val="22"/>
        </w:rPr>
        <w:footnoteReference w:id="6"/>
      </w:r>
      <w:r w:rsidRPr="00DF6C60">
        <w:rPr>
          <w:sz w:val="22"/>
          <w:szCs w:val="22"/>
        </w:rPr>
        <w:t xml:space="preserve"> </w:t>
      </w:r>
    </w:p>
    <w:p w14:paraId="02CA19E4" w14:textId="77777777" w:rsidR="007B302D" w:rsidRPr="007B302D" w:rsidRDefault="007B302D" w:rsidP="007B302D">
      <w:pPr>
        <w:pStyle w:val="Heading2"/>
        <w:rPr>
          <w:rFonts w:cs="Arial"/>
          <w:sz w:val="22"/>
          <w:szCs w:val="22"/>
        </w:rPr>
      </w:pPr>
      <w:bookmarkStart w:id="6" w:name="_Toc29377386"/>
      <w:r w:rsidRPr="007B302D">
        <w:rPr>
          <w:rFonts w:cs="Arial"/>
          <w:sz w:val="22"/>
          <w:szCs w:val="22"/>
        </w:rPr>
        <w:t>Right to take part in public life</w:t>
      </w:r>
      <w:bookmarkEnd w:id="6"/>
    </w:p>
    <w:p w14:paraId="1E4FEE23" w14:textId="77279ADB" w:rsidR="007B302D" w:rsidRPr="007B302D" w:rsidRDefault="007B302D" w:rsidP="007B302D">
      <w:pPr>
        <w:pStyle w:val="Numberedparagraph"/>
        <w:rPr>
          <w:sz w:val="22"/>
        </w:rPr>
      </w:pPr>
      <w:r w:rsidRPr="007B302D">
        <w:t>Section 23 of the HRA provides that every person in Queensland has the right, and is to have the opportunity, without discrimination to participate in the con</w:t>
      </w:r>
      <w:r w:rsidR="006A3E5A">
        <w:t>duct</w:t>
      </w:r>
      <w:r w:rsidRPr="007B302D">
        <w:t xml:space="preserve"> of public affairs, directly or through freely chosen representatives. It is based on article 25 of the ICCPR. </w:t>
      </w:r>
    </w:p>
    <w:p w14:paraId="7B6F71EE" w14:textId="07410097" w:rsidR="007B302D" w:rsidRPr="007B302D" w:rsidRDefault="007B302D" w:rsidP="007B302D">
      <w:pPr>
        <w:pStyle w:val="Numberedparagraph"/>
      </w:pPr>
      <w:r w:rsidRPr="007B302D">
        <w:t>In considering this article, the United Nations Human Rights Committee has stated that the free communication of information and ideas about public and political issues between citizens, candidates</w:t>
      </w:r>
      <w:r w:rsidR="003B6937">
        <w:t>,</w:t>
      </w:r>
      <w:r w:rsidRPr="007B302D">
        <w:t xml:space="preserve"> and elected representatives is essential. This implies freedom to engage in political activity individually or through political parties and other organisations, freedom to debate public affairs, to hold peaceful demonstrations and meetings, to criticise and oppose, to publish political material, to campaign for election</w:t>
      </w:r>
      <w:r w:rsidR="003B6937">
        <w:t>,</w:t>
      </w:r>
      <w:r w:rsidRPr="007B302D">
        <w:t xml:space="preserve"> and to advertise political ideas.</w:t>
      </w:r>
      <w:r w:rsidRPr="007B302D">
        <w:rPr>
          <w:rStyle w:val="FootnoteReference"/>
          <w:szCs w:val="22"/>
        </w:rPr>
        <w:footnoteReference w:id="7"/>
      </w:r>
      <w:r w:rsidRPr="007B302D">
        <w:t xml:space="preserve"> In that same General Comment, the Committee also observed that reasonable limitations on campaign expenditure may be justified where this is necessary to ensure that the free choice of voters is not undermined</w:t>
      </w:r>
      <w:r w:rsidR="003B6937">
        <w:t>,</w:t>
      </w:r>
      <w:r w:rsidRPr="007B302D">
        <w:t xml:space="preserve"> or the democratic process distorted by the disproportionate expenditure on behalf of any candidate or party. </w:t>
      </w:r>
    </w:p>
    <w:p w14:paraId="7D72B7A9" w14:textId="67119E37" w:rsidR="007B302D" w:rsidRPr="007B302D" w:rsidRDefault="003B6937" w:rsidP="007B302D">
      <w:pPr>
        <w:pStyle w:val="Heading2"/>
        <w:rPr>
          <w:rFonts w:cs="Arial"/>
          <w:sz w:val="22"/>
          <w:szCs w:val="22"/>
        </w:rPr>
      </w:pPr>
      <w:bookmarkStart w:id="7" w:name="_Toc29377387"/>
      <w:r>
        <w:rPr>
          <w:rFonts w:cs="Arial"/>
          <w:sz w:val="22"/>
          <w:szCs w:val="22"/>
        </w:rPr>
        <w:t>Restrictions and caps c</w:t>
      </w:r>
      <w:r w:rsidR="007B302D" w:rsidRPr="007B302D">
        <w:rPr>
          <w:rFonts w:cs="Arial"/>
          <w:sz w:val="22"/>
          <w:szCs w:val="22"/>
        </w:rPr>
        <w:t>onclusion</w:t>
      </w:r>
      <w:bookmarkEnd w:id="7"/>
    </w:p>
    <w:p w14:paraId="34FCC681" w14:textId="369DE86D" w:rsidR="007B302D" w:rsidRPr="007B302D" w:rsidRDefault="007B302D" w:rsidP="007B302D">
      <w:pPr>
        <w:pStyle w:val="Numberedparagraph"/>
        <w:rPr>
          <w:sz w:val="22"/>
        </w:rPr>
      </w:pPr>
      <w:r w:rsidRPr="007B302D">
        <w:t xml:space="preserve">These general principles are relevant to the Committee’s consideration of expenditure caps for Queensland local government elections as part of its related Inquiry. </w:t>
      </w:r>
      <w:r w:rsidR="003B6937">
        <w:t>In a democratic society, s</w:t>
      </w:r>
      <w:r w:rsidRPr="007B302D">
        <w:t>uch caps must be a proportionate response to evidence of issues based on the test in s 13(2) of the HRA</w:t>
      </w:r>
      <w:r w:rsidR="003B6937">
        <w:t>,</w:t>
      </w:r>
      <w:r w:rsidRPr="007B302D">
        <w:t xml:space="preserve"> including demonstrating that the</w:t>
      </w:r>
      <w:r w:rsidR="003B6937">
        <w:t>re</w:t>
      </w:r>
      <w:r w:rsidRPr="007B302D">
        <w:t xml:space="preserve"> are </w:t>
      </w:r>
      <w:r w:rsidR="003B6937">
        <w:t>no other less</w:t>
      </w:r>
      <w:r w:rsidRPr="007B302D">
        <w:t xml:space="preserve"> restrictive and reasonably available ways to achieve the purpose. </w:t>
      </w:r>
    </w:p>
    <w:p w14:paraId="6058234B" w14:textId="0DD4B897" w:rsidR="007B302D" w:rsidRPr="007B302D" w:rsidRDefault="007B302D" w:rsidP="007B302D">
      <w:pPr>
        <w:pStyle w:val="Heading1"/>
        <w:rPr>
          <w:rFonts w:cs="Arial"/>
          <w:szCs w:val="24"/>
        </w:rPr>
      </w:pPr>
      <w:bookmarkStart w:id="8" w:name="_Toc29377388"/>
      <w:r w:rsidRPr="007B302D">
        <w:rPr>
          <w:rFonts w:cs="Arial"/>
        </w:rPr>
        <w:t>Application of human rights considerations to third party participants</w:t>
      </w:r>
      <w:bookmarkEnd w:id="8"/>
    </w:p>
    <w:p w14:paraId="304EEBAF" w14:textId="44AF4DC7" w:rsidR="007B302D" w:rsidRPr="007B302D" w:rsidRDefault="007B302D" w:rsidP="007B302D">
      <w:pPr>
        <w:pStyle w:val="Numberedparagraph"/>
      </w:pPr>
      <w:r w:rsidRPr="007B302D">
        <w:t>Clause 8 of the Bill inserts a new s 197A which defines participants in an election as including candidates, registered political parties, registered third parties</w:t>
      </w:r>
      <w:r w:rsidR="00DF1746">
        <w:t>,</w:t>
      </w:r>
      <w:r w:rsidRPr="007B302D">
        <w:t xml:space="preserve"> and a third party that is not registered for the election that incurs electoral expenditure for that election or receives a political donation during the donation cap period for an election. </w:t>
      </w:r>
    </w:p>
    <w:p w14:paraId="5EB46094" w14:textId="50AFC190" w:rsidR="007B302D" w:rsidRPr="007B302D" w:rsidRDefault="007B302D" w:rsidP="00DF6C60">
      <w:pPr>
        <w:pStyle w:val="Numberedparagraph"/>
        <w:spacing w:after="120"/>
      </w:pPr>
      <w:r w:rsidRPr="007B302D">
        <w:t xml:space="preserve">A person must not, during a donation cap period, make a political donation to a participant if it would exceed the relevant cap. The donation cap is different for each </w:t>
      </w:r>
      <w:r w:rsidR="00DF1746">
        <w:t xml:space="preserve">category of </w:t>
      </w:r>
      <w:r w:rsidRPr="007B302D">
        <w:t>participant in an election:</w:t>
      </w:r>
    </w:p>
    <w:p w14:paraId="48E9FCF6" w14:textId="77777777" w:rsidR="007B302D" w:rsidRPr="007B302D" w:rsidRDefault="007B302D" w:rsidP="00D50C27">
      <w:pPr>
        <w:pStyle w:val="Bulletedlist"/>
        <w:rPr>
          <w:szCs w:val="22"/>
        </w:rPr>
      </w:pPr>
      <w:r w:rsidRPr="007B302D">
        <w:t>for a registered political party—$4,000; or</w:t>
      </w:r>
    </w:p>
    <w:p w14:paraId="539A321F" w14:textId="77777777" w:rsidR="007B302D" w:rsidRPr="007B302D" w:rsidRDefault="007B302D" w:rsidP="00D50C27">
      <w:pPr>
        <w:pStyle w:val="Bulletedlist"/>
      </w:pPr>
      <w:r w:rsidRPr="007B302D">
        <w:t>for a candidate in the election—$6,000; or</w:t>
      </w:r>
    </w:p>
    <w:p w14:paraId="5D81B769" w14:textId="77777777" w:rsidR="007B302D" w:rsidRPr="007B302D" w:rsidRDefault="007B302D" w:rsidP="00D50C27">
      <w:pPr>
        <w:pStyle w:val="Bulletedlist"/>
        <w:rPr>
          <w:rFonts w:eastAsia="Calibri"/>
          <w:color w:val="000000"/>
          <w:lang w:eastAsia="en-AU"/>
        </w:rPr>
      </w:pPr>
      <w:r w:rsidRPr="007B302D">
        <w:t>for a third party for the election—$4,000.</w:t>
      </w:r>
    </w:p>
    <w:p w14:paraId="5466236A" w14:textId="599511EE" w:rsidR="007B302D" w:rsidRPr="007B302D" w:rsidRDefault="00DF1746" w:rsidP="007B302D">
      <w:pPr>
        <w:pStyle w:val="Numberedparagraph"/>
      </w:pPr>
      <w:r>
        <w:t>T</w:t>
      </w:r>
      <w:r w:rsidR="007B302D" w:rsidRPr="007B302D">
        <w:t>he expenditure caps are also different for each participant</w:t>
      </w:r>
      <w:r>
        <w:t>,</w:t>
      </w:r>
      <w:r w:rsidR="007B302D" w:rsidRPr="007B302D">
        <w:t xml:space="preserve"> with unregistered third parties</w:t>
      </w:r>
      <w:r>
        <w:t>’ expenditure</w:t>
      </w:r>
      <w:r w:rsidR="007B302D" w:rsidRPr="007B302D">
        <w:t xml:space="preserve"> capped at $1,000 (after which they must register) and $1 million for a registered third party. </w:t>
      </w:r>
    </w:p>
    <w:p w14:paraId="6D698567" w14:textId="77777777" w:rsidR="007B302D" w:rsidRPr="007B302D" w:rsidRDefault="007B302D" w:rsidP="007B302D">
      <w:pPr>
        <w:pStyle w:val="Numberedparagraph"/>
      </w:pPr>
      <w:r w:rsidRPr="007B302D">
        <w:t xml:space="preserve">The European Court of Human Rights has noted that a limitation on election expenditure is compatible with freedom of expression under the </w:t>
      </w:r>
      <w:r w:rsidRPr="00DF6C60">
        <w:rPr>
          <w:i/>
        </w:rPr>
        <w:t>European Convention on Human Rights</w:t>
      </w:r>
      <w:r w:rsidRPr="007B302D">
        <w:t>.</w:t>
      </w:r>
      <w:r w:rsidRPr="007B302D">
        <w:rPr>
          <w:rStyle w:val="FootnoteReference"/>
          <w:szCs w:val="22"/>
        </w:rPr>
        <w:footnoteReference w:id="8"/>
      </w:r>
      <w:r w:rsidRPr="007B302D">
        <w:t xml:space="preserve"> In considering this jurisprudence, the Victorian Parliamentary Scrutiny of Acts and Regulations Committee noted the difference between donation caps and expenditure caps:</w:t>
      </w:r>
    </w:p>
    <w:p w14:paraId="042FAFD7" w14:textId="77777777" w:rsidR="007B302D" w:rsidRPr="00DF6C60" w:rsidRDefault="007B302D" w:rsidP="00760129">
      <w:pPr>
        <w:pStyle w:val="Quote"/>
        <w:ind w:right="843"/>
        <w:rPr>
          <w:sz w:val="22"/>
          <w:szCs w:val="22"/>
        </w:rPr>
      </w:pPr>
      <w:r w:rsidRPr="00DF6C60">
        <w:rPr>
          <w:sz w:val="22"/>
          <w:szCs w:val="22"/>
        </w:rPr>
        <w:t xml:space="preserve">…an expenditure cap ensures that candidates that have a monetary advantage (not necessarily because they have voter support but because they are personally well off or have wealthy benefactors) will not have an unfair advantage in regard to other candidates with lesser financial resources. A cap on political donations operates differently in that it does not level the playing field in terms of expenditure </w:t>
      </w:r>
      <w:r w:rsidRPr="00DF6C60">
        <w:rPr>
          <w:i/>
          <w:sz w:val="22"/>
          <w:szCs w:val="22"/>
        </w:rPr>
        <w:t>per se</w:t>
      </w:r>
      <w:r w:rsidRPr="00DF6C60">
        <w:rPr>
          <w:sz w:val="22"/>
          <w:szCs w:val="22"/>
        </w:rPr>
        <w:t xml:space="preserve"> but rather limits the amount of donations.</w:t>
      </w:r>
      <w:r w:rsidRPr="00DF6C60">
        <w:rPr>
          <w:rStyle w:val="FootnoteReference"/>
          <w:sz w:val="22"/>
          <w:szCs w:val="22"/>
        </w:rPr>
        <w:footnoteReference w:id="9"/>
      </w:r>
    </w:p>
    <w:p w14:paraId="3479827A" w14:textId="5DF54B8A" w:rsidR="007B302D" w:rsidRPr="007B302D" w:rsidRDefault="007B302D" w:rsidP="007B302D">
      <w:pPr>
        <w:pStyle w:val="Numberedparagraph"/>
      </w:pPr>
      <w:r w:rsidRPr="007B302D">
        <w:t xml:space="preserve">In </w:t>
      </w:r>
      <w:r w:rsidRPr="007B302D">
        <w:rPr>
          <w:i/>
        </w:rPr>
        <w:t>Unions NSW v New South Wales,</w:t>
      </w:r>
      <w:r w:rsidRPr="007B302D">
        <w:rPr>
          <w:rStyle w:val="FootnoteReference"/>
          <w:szCs w:val="22"/>
        </w:rPr>
        <w:footnoteReference w:id="10"/>
      </w:r>
      <w:r w:rsidRPr="007B302D">
        <w:t xml:space="preserve"> the High Court considered provisions of the </w:t>
      </w:r>
      <w:r w:rsidRPr="007B302D">
        <w:rPr>
          <w:i/>
        </w:rPr>
        <w:t>Electoral Funding Act 2018</w:t>
      </w:r>
      <w:r w:rsidR="00A72D5B">
        <w:rPr>
          <w:i/>
        </w:rPr>
        <w:t xml:space="preserve"> </w:t>
      </w:r>
      <w:r w:rsidR="00A72D5B" w:rsidRPr="00DF6C60">
        <w:t>(NSW)</w:t>
      </w:r>
      <w:r w:rsidRPr="007B302D">
        <w:t>, which reduced the amount of electoral expenditure that could be incurred by third party campaigners from $1,050,000 to $500,000. Third</w:t>
      </w:r>
      <w:r w:rsidR="00A72D5B">
        <w:t>-</w:t>
      </w:r>
      <w:r w:rsidRPr="007B302D">
        <w:t>party campaigners were also prohibited from acting with others to exceed the cap. Such third parties were defined as individuals and organisations that incur expenditure for the dominant purpose of promoting or opposing candidates or political parties</w:t>
      </w:r>
      <w:r w:rsidR="00A72D5B">
        <w:t>,</w:t>
      </w:r>
      <w:r w:rsidRPr="007B302D">
        <w:t xml:space="preserve"> but who were not themselves formally asso</w:t>
      </w:r>
      <w:r w:rsidR="00357ACB">
        <w:t>ciated with a political party or</w:t>
      </w:r>
      <w:r w:rsidRPr="007B302D">
        <w:t xml:space="preserve"> candidate. The Court unanimously found that the provisions impermissibly burdened the implied freedom of political communication. </w:t>
      </w:r>
    </w:p>
    <w:p w14:paraId="348F6514" w14:textId="2BA62AD2" w:rsidR="007B302D" w:rsidRPr="007B302D" w:rsidRDefault="007B302D" w:rsidP="007B302D">
      <w:pPr>
        <w:pStyle w:val="Numberedparagraph"/>
      </w:pPr>
      <w:r w:rsidRPr="007B302D">
        <w:t>Chief Justice Kiefel, and Justices Bell and Keane found this was due to the lack of justification for why the cap on third parties needed to be reduced</w:t>
      </w:r>
      <w:r w:rsidR="00A72D5B">
        <w:t>,</w:t>
      </w:r>
      <w:r w:rsidRPr="007B302D">
        <w:t xml:space="preserve"> and whether this was due to what amount would be necessary to allow third</w:t>
      </w:r>
      <w:r w:rsidR="00A72D5B">
        <w:t>-</w:t>
      </w:r>
      <w:r w:rsidRPr="007B302D">
        <w:t>party campaign</w:t>
      </w:r>
      <w:r w:rsidR="00A72D5B">
        <w:t>er</w:t>
      </w:r>
      <w:r w:rsidRPr="007B302D">
        <w:t>s to reasonably communicate their message.</w:t>
      </w:r>
      <w:r w:rsidRPr="007B302D">
        <w:rPr>
          <w:rStyle w:val="FootnoteReference"/>
          <w:szCs w:val="22"/>
        </w:rPr>
        <w:footnoteReference w:id="11"/>
      </w:r>
      <w:r w:rsidRPr="007B302D">
        <w:t xml:space="preserve"> Other Justices too found there was a lack of justification from the government as to why the cap should be halved.</w:t>
      </w:r>
      <w:r w:rsidRPr="007B302D">
        <w:rPr>
          <w:rStyle w:val="FootnoteReference"/>
          <w:szCs w:val="22"/>
        </w:rPr>
        <w:footnoteReference w:id="12"/>
      </w:r>
      <w:r w:rsidRPr="007B302D">
        <w:t xml:space="preserve"> </w:t>
      </w:r>
    </w:p>
    <w:p w14:paraId="7C25732C" w14:textId="2E26F95A" w:rsidR="007B302D" w:rsidRPr="007B302D" w:rsidRDefault="007B302D" w:rsidP="007B302D">
      <w:pPr>
        <w:pStyle w:val="Numberedparagraph"/>
      </w:pPr>
      <w:r w:rsidRPr="007B302D">
        <w:t>Nonetheless, Chief Justice Kiefel, and Justices Bell and Keane assumed that the purposes of the capping provisions</w:t>
      </w:r>
      <w:r w:rsidR="00A72D5B">
        <w:t xml:space="preserve"> —</w:t>
      </w:r>
      <w:r w:rsidRPr="007B302D">
        <w:t xml:space="preserve"> which were to ensure that wealthy voices could not drown out the voices of others, </w:t>
      </w:r>
      <w:r w:rsidR="00A72D5B">
        <w:t xml:space="preserve">and </w:t>
      </w:r>
      <w:r w:rsidRPr="007B302D">
        <w:t xml:space="preserve">to level the </w:t>
      </w:r>
      <w:r w:rsidR="00A72D5B">
        <w:t xml:space="preserve">playing </w:t>
      </w:r>
      <w:r w:rsidRPr="007B302D">
        <w:t>field</w:t>
      </w:r>
      <w:r w:rsidR="00A72D5B">
        <w:t xml:space="preserve"> — </w:t>
      </w:r>
      <w:r w:rsidRPr="007B302D">
        <w:t>were legitimate.</w:t>
      </w:r>
      <w:r w:rsidRPr="007B302D">
        <w:rPr>
          <w:rStyle w:val="FootnoteReference"/>
          <w:szCs w:val="22"/>
        </w:rPr>
        <w:footnoteReference w:id="13"/>
      </w:r>
      <w:r w:rsidRPr="007B302D">
        <w:t xml:space="preserve"> Justice Gageler similarly found that the purpose of privileging some voices in the political process may be permissible</w:t>
      </w:r>
      <w:r w:rsidR="00A72D5B">
        <w:t>,</w:t>
      </w:r>
      <w:r w:rsidRPr="007B302D">
        <w:t xml:space="preserve"> if it is fair to restrict those that may otherwise dominate the debate and drown out others.</w:t>
      </w:r>
    </w:p>
    <w:p w14:paraId="43C0670E" w14:textId="77777777" w:rsidR="007B302D" w:rsidRPr="00DF6C60" w:rsidRDefault="007B302D" w:rsidP="00760129">
      <w:pPr>
        <w:pStyle w:val="Quote"/>
        <w:ind w:right="843"/>
        <w:rPr>
          <w:sz w:val="22"/>
          <w:szCs w:val="22"/>
        </w:rPr>
      </w:pPr>
      <w:r w:rsidRPr="00DF6C60">
        <w:rPr>
          <w:sz w:val="22"/>
          <w:szCs w:val="22"/>
        </w:rPr>
        <w:t>…the functional distinction between a political party which aims to form government and a third party campaigner justifies a substantial variation between the amount of the cap imposed on the electoral expenditure of that political party and the amount of the cap imposed on the electoral expenditure of a third party campaigner.</w:t>
      </w:r>
      <w:r w:rsidRPr="00DF6C60">
        <w:rPr>
          <w:rStyle w:val="FootnoteReference"/>
          <w:sz w:val="22"/>
          <w:szCs w:val="22"/>
        </w:rPr>
        <w:footnoteReference w:id="14"/>
      </w:r>
    </w:p>
    <w:p w14:paraId="473E5888" w14:textId="34A0DF7B" w:rsidR="007B302D" w:rsidRPr="007B302D" w:rsidRDefault="007B302D" w:rsidP="007B302D">
      <w:pPr>
        <w:pStyle w:val="Numberedparagraph"/>
      </w:pPr>
      <w:r w:rsidRPr="007B302D">
        <w:t xml:space="preserve">This decision, and other relevant authorities, suggest that having particular restrictions on third parties to elections will not be a disproportionate limitation on rights per se. </w:t>
      </w:r>
      <w:r w:rsidR="00357ACB">
        <w:t>To avoid breaching</w:t>
      </w:r>
      <w:r w:rsidRPr="007B302D">
        <w:t xml:space="preserve"> the implied freedom of political communication</w:t>
      </w:r>
      <w:r w:rsidR="00A72D5B">
        <w:t>,</w:t>
      </w:r>
      <w:r w:rsidRPr="007B302D">
        <w:t xml:space="preserve"> </w:t>
      </w:r>
      <w:r w:rsidR="00A72D5B">
        <w:t>decisions about</w:t>
      </w:r>
      <w:r w:rsidR="00357ACB">
        <w:t xml:space="preserve"> how </w:t>
      </w:r>
      <w:r w:rsidRPr="007B302D">
        <w:t>particular prohibitions</w:t>
      </w:r>
      <w:r w:rsidR="00357ACB">
        <w:t xml:space="preserve"> have been determined</w:t>
      </w:r>
      <w:r w:rsidRPr="007B302D">
        <w:t xml:space="preserve"> </w:t>
      </w:r>
      <w:r w:rsidR="00A72D5B">
        <w:t>(</w:t>
      </w:r>
      <w:r w:rsidRPr="007B302D">
        <w:t>such as monetary caps</w:t>
      </w:r>
      <w:r w:rsidR="00A72D5B">
        <w:t>)</w:t>
      </w:r>
      <w:r w:rsidRPr="007B302D">
        <w:t xml:space="preserve"> </w:t>
      </w:r>
      <w:r w:rsidR="00357ACB">
        <w:t xml:space="preserve">must be justified. </w:t>
      </w:r>
      <w:r w:rsidRPr="007B302D">
        <w:t xml:space="preserve">  </w:t>
      </w:r>
    </w:p>
    <w:p w14:paraId="3DD72815" w14:textId="4B82EAE4" w:rsidR="007B302D" w:rsidRPr="007B302D" w:rsidRDefault="005E1A43" w:rsidP="00DF6C60">
      <w:pPr>
        <w:pStyle w:val="Numberedparagraph"/>
        <w:spacing w:after="120"/>
      </w:pPr>
      <w:r>
        <w:t>In 2018</w:t>
      </w:r>
      <w:r w:rsidR="007B302D" w:rsidRPr="007B302D">
        <w:rPr>
          <w:i/>
        </w:rPr>
        <w:t xml:space="preserve">, </w:t>
      </w:r>
      <w:r w:rsidR="007B302D" w:rsidRPr="007B302D">
        <w:t>the Victorian Government introduced the Electoral Legislation Amendment Bill 2018, which differed from the NSW approach by applying more universal donation and expenditure caps</w:t>
      </w:r>
      <w:r w:rsidR="00DF2C0A">
        <w:t xml:space="preserve"> including</w:t>
      </w:r>
      <w:r w:rsidR="007B302D" w:rsidRPr="007B302D">
        <w:t xml:space="preserve">: </w:t>
      </w:r>
    </w:p>
    <w:p w14:paraId="02297CD5" w14:textId="5B537D43" w:rsidR="007B302D" w:rsidRPr="007B302D" w:rsidRDefault="00DF2C0A" w:rsidP="00DA7697">
      <w:pPr>
        <w:pStyle w:val="Bulletedlist"/>
        <w:rPr>
          <w:szCs w:val="22"/>
        </w:rPr>
      </w:pPr>
      <w:r>
        <w:t>a</w:t>
      </w:r>
      <w:r w:rsidR="007B302D" w:rsidRPr="007B302D">
        <w:t xml:space="preserve"> cap of $4</w:t>
      </w:r>
      <w:r>
        <w:t>,</w:t>
      </w:r>
      <w:r w:rsidR="007B302D" w:rsidRPr="007B302D">
        <w:t>000 on political donations made to a candidate, elected member, group, registered political party, nominated entity, associated entity, or third party campaigner; and</w:t>
      </w:r>
    </w:p>
    <w:p w14:paraId="0CA6AAA2" w14:textId="731A01F3" w:rsidR="007B302D" w:rsidRPr="007B302D" w:rsidRDefault="00DF2C0A" w:rsidP="00DA7697">
      <w:pPr>
        <w:pStyle w:val="Bulletedlist"/>
      </w:pPr>
      <w:r>
        <w:t>l</w:t>
      </w:r>
      <w:r w:rsidR="007B302D" w:rsidRPr="007B302D">
        <w:t>imit</w:t>
      </w:r>
      <w:r w:rsidR="00AC5A1E">
        <w:t>ations on</w:t>
      </w:r>
      <w:r w:rsidR="007B302D" w:rsidRPr="007B302D">
        <w:t xml:space="preserve"> the number of third party campaigners to whom a donor can donate. </w:t>
      </w:r>
    </w:p>
    <w:p w14:paraId="70ECC59E" w14:textId="3AF2A88E" w:rsidR="007B302D" w:rsidRPr="007B302D" w:rsidRDefault="007B302D" w:rsidP="007B302D">
      <w:pPr>
        <w:pStyle w:val="Numberedparagraph"/>
      </w:pPr>
      <w:r w:rsidRPr="007B302D">
        <w:t xml:space="preserve">The changes proposed in the Queensland Bill are more aligned to the Victorian model than that considered by the High Court in </w:t>
      </w:r>
      <w:r w:rsidRPr="007B302D">
        <w:rPr>
          <w:i/>
        </w:rPr>
        <w:t xml:space="preserve">Unions NSW. </w:t>
      </w:r>
      <w:r w:rsidRPr="007B302D">
        <w:t>Nonetheless, in its consideration of the Victorian changes</w:t>
      </w:r>
      <w:r w:rsidR="00DF2C0A">
        <w:t>,</w:t>
      </w:r>
      <w:r w:rsidRPr="007B302D">
        <w:t xml:space="preserve"> the SARC sought further information from the Minister as to why the changes sought were the least restrictive means of achieving the purpose</w:t>
      </w:r>
      <w:r w:rsidR="00DF2C0A">
        <w:t>,</w:t>
      </w:r>
      <w:r w:rsidRPr="007B302D">
        <w:t xml:space="preserve"> and how the chosen cap was suitable and adequate in its balance. The Explanatory Note to the Bill currently before the Committee similarly does not provide this detail</w:t>
      </w:r>
      <w:r w:rsidR="00DF2C0A">
        <w:t>,</w:t>
      </w:r>
      <w:r w:rsidRPr="007B302D">
        <w:t xml:space="preserve"> other than noting that regard has been had to donation caps in interstate jurisdictions and comparative international jurisdictions. </w:t>
      </w:r>
    </w:p>
    <w:p w14:paraId="46663B25" w14:textId="1BAE73AA" w:rsidR="007B302D" w:rsidRPr="007B302D" w:rsidRDefault="007B302D" w:rsidP="00DF6C60">
      <w:pPr>
        <w:pStyle w:val="Numberedparagraph"/>
        <w:spacing w:after="120"/>
      </w:pPr>
      <w:r w:rsidRPr="007B302D">
        <w:t>Further, the broad definition of electoral expenditure in the Bill</w:t>
      </w:r>
      <w:r w:rsidR="00DF2C0A">
        <w:t>,</w:t>
      </w:r>
      <w:r w:rsidRPr="007B302D">
        <w:t xml:space="preserve"> coupled with the new </w:t>
      </w:r>
      <w:r w:rsidR="00DF2C0A">
        <w:t>requirements</w:t>
      </w:r>
      <w:r w:rsidR="00DF2C0A" w:rsidRPr="007B302D">
        <w:t xml:space="preserve"> </w:t>
      </w:r>
      <w:r w:rsidRPr="007B302D">
        <w:t>for both unregistered and registered third parties</w:t>
      </w:r>
      <w:r w:rsidR="00DF2C0A">
        <w:t>,</w:t>
      </w:r>
      <w:r w:rsidRPr="007B302D">
        <w:t xml:space="preserve"> is likely to have a disproportionate (and perhaps unintended) impact on a large number of organisations. These requirements include:</w:t>
      </w:r>
    </w:p>
    <w:p w14:paraId="5AF7D5A1" w14:textId="58709336" w:rsidR="007B302D" w:rsidRPr="007B302D" w:rsidRDefault="00DF2C0A" w:rsidP="00DA7697">
      <w:pPr>
        <w:pStyle w:val="Bulletedlist"/>
        <w:rPr>
          <w:szCs w:val="22"/>
        </w:rPr>
      </w:pPr>
      <w:r>
        <w:t>k</w:t>
      </w:r>
      <w:r w:rsidR="007B302D" w:rsidRPr="007B302D">
        <w:t>eeping a separate state campaign bank account which can only hold certain funds including donations;</w:t>
      </w:r>
    </w:p>
    <w:p w14:paraId="70CB5D7F" w14:textId="4A238BF3" w:rsidR="007B302D" w:rsidRPr="007B302D" w:rsidRDefault="00DF2C0A" w:rsidP="00DA7697">
      <w:pPr>
        <w:pStyle w:val="Bulletedlist"/>
      </w:pPr>
      <w:r>
        <w:t>e</w:t>
      </w:r>
      <w:r w:rsidR="007B302D" w:rsidRPr="007B302D">
        <w:t>nsuring that no more than $1</w:t>
      </w:r>
      <w:r>
        <w:t>,</w:t>
      </w:r>
      <w:r w:rsidR="007B302D" w:rsidRPr="007B302D">
        <w:t xml:space="preserve">000 is spent on electoral expenditure; </w:t>
      </w:r>
    </w:p>
    <w:p w14:paraId="44CED370" w14:textId="2E17CEE1" w:rsidR="007B302D" w:rsidRPr="007B302D" w:rsidRDefault="00DF2C0A" w:rsidP="00DA7697">
      <w:pPr>
        <w:pStyle w:val="Bulletedlist"/>
      </w:pPr>
      <w:r>
        <w:t>a</w:t>
      </w:r>
      <w:r w:rsidR="007B302D" w:rsidRPr="007B302D">
        <w:t>ssessing which donations will be used to incur electoral expenditure, even for those received prior to an election year, and arranging for donors to complete a statement to accompany each donation; and</w:t>
      </w:r>
    </w:p>
    <w:p w14:paraId="4D9244BB" w14:textId="3850FDB1" w:rsidR="007B302D" w:rsidRPr="007B302D" w:rsidRDefault="00DF2C0A" w:rsidP="00DA7697">
      <w:pPr>
        <w:pStyle w:val="Bulletedlist"/>
      </w:pPr>
      <w:r>
        <w:t>d</w:t>
      </w:r>
      <w:r w:rsidR="007B302D" w:rsidRPr="007B302D">
        <w:t xml:space="preserve">epositing such donations in the state campaign account. All electoral expenditure must be drawn from this account. </w:t>
      </w:r>
    </w:p>
    <w:p w14:paraId="7F6399FD" w14:textId="3850B58E" w:rsidR="007B302D" w:rsidRPr="007B302D" w:rsidRDefault="007B302D" w:rsidP="00DF6C60">
      <w:pPr>
        <w:pStyle w:val="Numberedparagraph"/>
        <w:spacing w:after="120"/>
      </w:pPr>
      <w:r w:rsidRPr="007B302D">
        <w:t>In addition, if a third party spends more than $1</w:t>
      </w:r>
      <w:r w:rsidR="00DF2C0A">
        <w:t>,</w:t>
      </w:r>
      <w:r w:rsidRPr="007B302D">
        <w:t>000 on electoral expenditure, they are required to:</w:t>
      </w:r>
    </w:p>
    <w:p w14:paraId="2B1779DE" w14:textId="1334BAE8" w:rsidR="007B302D" w:rsidRPr="007B302D" w:rsidRDefault="00DF2C0A" w:rsidP="00DA7697">
      <w:pPr>
        <w:pStyle w:val="Bulletedlist"/>
        <w:rPr>
          <w:szCs w:val="22"/>
        </w:rPr>
      </w:pPr>
      <w:r>
        <w:t>a</w:t>
      </w:r>
      <w:r w:rsidR="007B302D" w:rsidRPr="007B302D">
        <w:t>ppoint an agent; and</w:t>
      </w:r>
    </w:p>
    <w:p w14:paraId="3EAB1656" w14:textId="68A44A74" w:rsidR="007B302D" w:rsidRPr="007B302D" w:rsidRDefault="00DF2C0A" w:rsidP="00DA7697">
      <w:pPr>
        <w:pStyle w:val="Bulletedlist"/>
      </w:pPr>
      <w:r>
        <w:t>r</w:t>
      </w:r>
      <w:r w:rsidR="007B302D" w:rsidRPr="007B302D">
        <w:t xml:space="preserve">egister details with the Electoral Commission that may be made available online (as other jurisdictions have done). </w:t>
      </w:r>
      <w:r>
        <w:br/>
      </w:r>
      <w:r w:rsidRPr="00DF6C60">
        <w:rPr>
          <w:i/>
        </w:rPr>
        <w:t>Note:</w:t>
      </w:r>
      <w:r>
        <w:t xml:space="preserve"> </w:t>
      </w:r>
      <w:r w:rsidR="007B302D" w:rsidRPr="007B302D">
        <w:t>This may include the recording and publishing of personal information, particularly in relation to their registered agent, and so engage</w:t>
      </w:r>
      <w:r w:rsidR="00F767A7">
        <w:t>s</w:t>
      </w:r>
      <w:r w:rsidR="007B302D" w:rsidRPr="007B302D">
        <w:t xml:space="preserve"> the right to privacy under s 25 of the HRA. The need for this limitation is not discussed in the Explanatory Note. </w:t>
      </w:r>
    </w:p>
    <w:p w14:paraId="6E51CFF3" w14:textId="77777777" w:rsidR="00DF2C0A" w:rsidRDefault="00DF2C0A" w:rsidP="00DF6C60">
      <w:pPr>
        <w:pStyle w:val="Bulletedlist"/>
        <w:numPr>
          <w:ilvl w:val="0"/>
          <w:numId w:val="0"/>
        </w:numPr>
        <w:ind w:left="720"/>
      </w:pPr>
    </w:p>
    <w:p w14:paraId="4484AF2B" w14:textId="7D53CF82" w:rsidR="007B302D" w:rsidRPr="007B302D" w:rsidRDefault="007B302D" w:rsidP="00DF6C60">
      <w:pPr>
        <w:pStyle w:val="Bulletedlist"/>
        <w:numPr>
          <w:ilvl w:val="0"/>
          <w:numId w:val="0"/>
        </w:numPr>
        <w:ind w:left="720"/>
      </w:pPr>
      <w:r w:rsidRPr="007B302D">
        <w:t xml:space="preserve">Registered third parties can also not accept more than $4,000 from any single donor aggregated across a </w:t>
      </w:r>
      <w:r w:rsidR="00F767A7" w:rsidRPr="007B302D">
        <w:t>four-year</w:t>
      </w:r>
      <w:r w:rsidRPr="007B302D">
        <w:t xml:space="preserve"> term.</w:t>
      </w:r>
      <w:r w:rsidRPr="007B302D">
        <w:rPr>
          <w:rStyle w:val="FootnoteReference"/>
        </w:rPr>
        <w:footnoteReference w:id="15"/>
      </w:r>
      <w:r w:rsidRPr="007B302D">
        <w:t xml:space="preserve"> </w:t>
      </w:r>
    </w:p>
    <w:p w14:paraId="3140DADD" w14:textId="21C544C5" w:rsidR="007B302D" w:rsidRPr="007B302D" w:rsidRDefault="007B302D" w:rsidP="007B302D">
      <w:pPr>
        <w:pStyle w:val="Numberedparagraph"/>
      </w:pPr>
      <w:r w:rsidRPr="007B302D">
        <w:t xml:space="preserve">Under the </w:t>
      </w:r>
      <w:r w:rsidRPr="007B302D">
        <w:rPr>
          <w:i/>
        </w:rPr>
        <w:t>Electoral Act 2002</w:t>
      </w:r>
      <w:r w:rsidR="00F51338">
        <w:rPr>
          <w:i/>
        </w:rPr>
        <w:t xml:space="preserve"> </w:t>
      </w:r>
      <w:r w:rsidR="00F51338" w:rsidRPr="00DF6C60">
        <w:t>(Vic)</w:t>
      </w:r>
      <w:r w:rsidRPr="007B302D">
        <w:rPr>
          <w:i/>
        </w:rPr>
        <w:t xml:space="preserve">, </w:t>
      </w:r>
      <w:r w:rsidRPr="007B302D">
        <w:t>a political donation is defined more narrowly to include a gift to a third</w:t>
      </w:r>
      <w:r w:rsidR="00F51338">
        <w:t>-</w:t>
      </w:r>
      <w:r w:rsidRPr="007B302D">
        <w:t>party campaigner, if the whole or part of the gift was used, or intended to be used, by that campaigner to incur or reimburse political expenditure. Political expenditure means any expenditure for the dominant purpose of directing how a person should vote at an election, by promoting or opposing candidates, elected members</w:t>
      </w:r>
      <w:r w:rsidR="00F51338">
        <w:t>,</w:t>
      </w:r>
      <w:r w:rsidRPr="007B302D">
        <w:t xml:space="preserve"> and registered political parties.</w:t>
      </w:r>
    </w:p>
    <w:p w14:paraId="20192CC0" w14:textId="0CF73507" w:rsidR="007B302D" w:rsidRPr="007B302D" w:rsidRDefault="007B302D" w:rsidP="00DF6C60">
      <w:pPr>
        <w:pStyle w:val="Numberedparagraph"/>
        <w:spacing w:after="120"/>
      </w:pPr>
      <w:r w:rsidRPr="007B302D">
        <w:t xml:space="preserve">In contrast, the </w:t>
      </w:r>
      <w:r w:rsidR="00F51338">
        <w:t xml:space="preserve">current </w:t>
      </w:r>
      <w:r w:rsidRPr="007B302D">
        <w:t xml:space="preserve">Bill </w:t>
      </w:r>
      <w:r w:rsidR="00F51338">
        <w:t xml:space="preserve">(clause 9, proposed s 199) defines </w:t>
      </w:r>
      <w:r w:rsidRPr="007B302D">
        <w:t xml:space="preserve">electoral expenditure as expenditure incurred: </w:t>
      </w:r>
    </w:p>
    <w:p w14:paraId="00D67AC6" w14:textId="77777777" w:rsidR="007B302D" w:rsidRPr="007B302D" w:rsidRDefault="007B302D" w:rsidP="00DA7697">
      <w:pPr>
        <w:pStyle w:val="Bulletedlist"/>
        <w:rPr>
          <w:szCs w:val="22"/>
        </w:rPr>
      </w:pPr>
      <w:r w:rsidRPr="007B302D">
        <w:t>to promote or oppose (directly or indirectly) a political party in relation to an election;</w:t>
      </w:r>
    </w:p>
    <w:p w14:paraId="3F30BA2C" w14:textId="77777777" w:rsidR="007B302D" w:rsidRPr="007B302D" w:rsidRDefault="007B302D" w:rsidP="00DA7697">
      <w:pPr>
        <w:pStyle w:val="Bulletedlist"/>
      </w:pPr>
      <w:r w:rsidRPr="007B302D">
        <w:t>to promote or oppose (directly or indirectly) the election of a candidate;</w:t>
      </w:r>
    </w:p>
    <w:p w14:paraId="4B630553" w14:textId="77777777" w:rsidR="007B302D" w:rsidRPr="007B302D" w:rsidRDefault="007B302D" w:rsidP="00DA7697">
      <w:pPr>
        <w:pStyle w:val="Bulletedlist"/>
      </w:pPr>
      <w:r w:rsidRPr="007B302D">
        <w:t>to otherwise influence (directly or indirectly) voting at an election.</w:t>
      </w:r>
    </w:p>
    <w:p w14:paraId="30D01034" w14:textId="6C506EB7" w:rsidR="007B302D" w:rsidRPr="007B302D" w:rsidRDefault="007B302D" w:rsidP="007B302D">
      <w:pPr>
        <w:pStyle w:val="Numberedparagraph"/>
      </w:pPr>
      <w:r w:rsidRPr="007B302D">
        <w:t>The kind of expenditure includes that incurred for printing, broadcasting, publishing flyers, how-to-vote cards, polling</w:t>
      </w:r>
      <w:r w:rsidR="00F51338">
        <w:t>,</w:t>
      </w:r>
      <w:r w:rsidRPr="007B302D">
        <w:t xml:space="preserve"> and letters. This is a broad definition that may capture expenditure beyond that which names individual candidates, parties</w:t>
      </w:r>
      <w:r w:rsidR="00F51338">
        <w:t>,</w:t>
      </w:r>
      <w:r w:rsidRPr="007B302D">
        <w:t xml:space="preserve"> or how a person should vote, to advocacy from third parties that indirectly influences voting</w:t>
      </w:r>
      <w:r w:rsidR="00F51338">
        <w:t>,</w:t>
      </w:r>
      <w:r w:rsidRPr="007B302D">
        <w:t xml:space="preserve"> such as issues-based advocacy in an election year. Any organisation that expends funds in undertaking issues-based advocacy may be caught by both the expenditure and donation restrictions. A ‘political donation’ includes any gift made to enable a third party to incur electoral expenditure.</w:t>
      </w:r>
      <w:r w:rsidRPr="007B302D">
        <w:rPr>
          <w:rStyle w:val="FootnoteReference"/>
          <w:szCs w:val="22"/>
        </w:rPr>
        <w:footnoteReference w:id="16"/>
      </w:r>
      <w:r w:rsidRPr="007B302D">
        <w:t xml:space="preserve"> </w:t>
      </w:r>
    </w:p>
    <w:p w14:paraId="1C2E5B49" w14:textId="6CCA913A" w:rsidR="00F51338" w:rsidRDefault="007B302D" w:rsidP="00DF6C60">
      <w:pPr>
        <w:pStyle w:val="Numberedparagraph"/>
        <w:spacing w:after="0"/>
      </w:pPr>
      <w:r w:rsidRPr="007B302D">
        <w:t xml:space="preserve">The Explanatory Note to the Bill </w:t>
      </w:r>
      <w:r w:rsidR="00F51338">
        <w:t xml:space="preserve">at page 11 </w:t>
      </w:r>
      <w:r w:rsidRPr="007B302D">
        <w:t>suggest</w:t>
      </w:r>
      <w:r w:rsidR="00F51338">
        <w:t>s</w:t>
      </w:r>
      <w:r w:rsidRPr="007B302D">
        <w:t xml:space="preserve"> that the Queensland Bill aims to achieve a similar purpose to the Victorian legislation, stating that</w:t>
      </w:r>
      <w:r w:rsidR="00F51338">
        <w:t>:</w:t>
      </w:r>
    </w:p>
    <w:p w14:paraId="550F5CAC" w14:textId="7F929D76" w:rsidR="00F51338" w:rsidRPr="00DF6C60" w:rsidRDefault="007B302D" w:rsidP="00DF6C60">
      <w:pPr>
        <w:pStyle w:val="Numberedparagraph"/>
        <w:numPr>
          <w:ilvl w:val="0"/>
          <w:numId w:val="0"/>
        </w:numPr>
        <w:ind w:left="1440" w:right="845"/>
        <w:rPr>
          <w:sz w:val="22"/>
          <w:szCs w:val="22"/>
        </w:rPr>
      </w:pPr>
      <w:r w:rsidRPr="00DF6C60">
        <w:rPr>
          <w:sz w:val="22"/>
          <w:szCs w:val="22"/>
        </w:rPr>
        <w:t xml:space="preserve">those whose communications are restricted through the expenditure caps are limited to those who are directly involved with the electoral process in the form of seeking election, endorsing candidates for election or communicating with a dominant purpose of influencing voting at an election. </w:t>
      </w:r>
    </w:p>
    <w:p w14:paraId="390A6692" w14:textId="640CAB2A" w:rsidR="007B302D" w:rsidRPr="007B302D" w:rsidRDefault="007B302D" w:rsidP="00DF6C60">
      <w:pPr>
        <w:pStyle w:val="Numberedparagraph"/>
        <w:numPr>
          <w:ilvl w:val="0"/>
          <w:numId w:val="0"/>
        </w:numPr>
        <w:ind w:left="567"/>
      </w:pPr>
      <w:r w:rsidRPr="007B302D">
        <w:t xml:space="preserve">However, the changes proposed taken together may create a significant burden on a broader range of organisations than those covered under the equivalent Victorian provisions, including those who may not be directly involved in the electoral process such as charities and non-government organisations. This issue is exacerbated by the lack of certainty about which organisations may be subject to these new requirements. </w:t>
      </w:r>
    </w:p>
    <w:p w14:paraId="5F0DB40C" w14:textId="195FDAE3" w:rsidR="007B302D" w:rsidRPr="007B302D" w:rsidRDefault="007B302D" w:rsidP="007B302D">
      <w:pPr>
        <w:pStyle w:val="Numberedparagraph"/>
      </w:pPr>
      <w:r w:rsidRPr="007B302D">
        <w:t xml:space="preserve">Further, smaller organisations will also be required to meet the same requirements as larger third parties. This includes creating a new bank account, and additional obligations if they choose to register to access the higher expenditure thresholds. The alternative is to </w:t>
      </w:r>
      <w:r w:rsidR="00F146D4">
        <w:t xml:space="preserve">not </w:t>
      </w:r>
      <w:r w:rsidRPr="007B302D">
        <w:t>register, or significantly change their activities in ways not apparently intended by the</w:t>
      </w:r>
      <w:r w:rsidR="00F146D4">
        <w:t xml:space="preserve"> Bill</w:t>
      </w:r>
      <w:r w:rsidRPr="007B302D">
        <w:t>, which emphasises the</w:t>
      </w:r>
      <w:r w:rsidR="00DA7697">
        <w:t xml:space="preserve"> potentially</w:t>
      </w:r>
      <w:r w:rsidRPr="007B302D">
        <w:t xml:space="preserve"> significant limitation on freedom of expression and right to public participation for these organisations. </w:t>
      </w:r>
    </w:p>
    <w:p w14:paraId="2BC1155D" w14:textId="77777777" w:rsidR="007B302D" w:rsidRPr="007B302D" w:rsidRDefault="007B302D" w:rsidP="007B302D">
      <w:pPr>
        <w:pStyle w:val="Numberedparagraph"/>
      </w:pPr>
      <w:r w:rsidRPr="007B302D">
        <w:t xml:space="preserve">Charitable organisations and others that rely on gifts will also be disproportionately impacted as they have limited funding sources, the bulk of which may be captured by the changes (eg gifts and donations). In contrast, organisations that rely on other funding streams (eg profit-making entities or organisations with membership dues) will have greater flexibility in how they organise their finances. </w:t>
      </w:r>
    </w:p>
    <w:p w14:paraId="295D64EE" w14:textId="21693173" w:rsidR="007B302D" w:rsidRPr="007B302D" w:rsidRDefault="007B302D" w:rsidP="007B302D">
      <w:pPr>
        <w:pStyle w:val="Numberedparagraph"/>
      </w:pPr>
      <w:r w:rsidRPr="007B302D">
        <w:t xml:space="preserve">While some form of donation and expenditure caps on third parties are necessary to achieve the purpose of these changes, the Explanatory Note does not discuss less restrictive options. These </w:t>
      </w:r>
      <w:r w:rsidR="00F146D4">
        <w:t>could</w:t>
      </w:r>
      <w:r w:rsidR="00AA24C6">
        <w:t xml:space="preserve"> </w:t>
      </w:r>
      <w:r w:rsidRPr="007B302D">
        <w:t xml:space="preserve">include exempting charities from the changes, as they are already prevented from promoting or opposing political parties by </w:t>
      </w:r>
      <w:r w:rsidR="00F146D4">
        <w:t>f</w:t>
      </w:r>
      <w:r w:rsidRPr="007B302D">
        <w:t>ederal charity laws.</w:t>
      </w:r>
      <w:r w:rsidRPr="007B302D">
        <w:rPr>
          <w:rStyle w:val="FootnoteReference"/>
          <w:szCs w:val="22"/>
        </w:rPr>
        <w:footnoteReference w:id="17"/>
      </w:r>
      <w:r w:rsidRPr="007B302D">
        <w:t xml:space="preserve"> A related option may be to apply a narrow</w:t>
      </w:r>
      <w:r w:rsidR="00F146D4">
        <w:t>er</w:t>
      </w:r>
      <w:r w:rsidRPr="007B302D">
        <w:t xml:space="preserve"> definition of electoral expenditure for small organisations and/or charities, drawing upon the Victorian definition of political expenditure. The Committee may wish to seek more information on how threshold caps were chosen</w:t>
      </w:r>
      <w:r w:rsidR="00F146D4">
        <w:t>,</w:t>
      </w:r>
      <w:r w:rsidRPr="007B302D">
        <w:t xml:space="preserve"> and how they reflect the least restrictive limitation on rights. </w:t>
      </w:r>
    </w:p>
    <w:p w14:paraId="7EF5D79F" w14:textId="3A729839" w:rsidR="007B302D" w:rsidRPr="007B302D" w:rsidRDefault="007B302D" w:rsidP="007B302D">
      <w:pPr>
        <w:pStyle w:val="Heading1"/>
        <w:rPr>
          <w:rFonts w:cs="Arial"/>
          <w:szCs w:val="24"/>
        </w:rPr>
      </w:pPr>
      <w:bookmarkStart w:id="9" w:name="_Toc29377389"/>
      <w:r w:rsidRPr="007B302D">
        <w:rPr>
          <w:rFonts w:cs="Arial"/>
        </w:rPr>
        <w:t>Application of human rights considerations to provision of public funding</w:t>
      </w:r>
      <w:bookmarkEnd w:id="9"/>
    </w:p>
    <w:p w14:paraId="385DF4CF" w14:textId="77777777" w:rsidR="007B302D" w:rsidRPr="007B302D" w:rsidRDefault="007B302D" w:rsidP="007B302D">
      <w:pPr>
        <w:pStyle w:val="Numberedparagraph"/>
      </w:pPr>
      <w:r w:rsidRPr="007B302D">
        <w:t xml:space="preserve">The Bill increases public funding available for eligible political parties and candidates. While the increase in public funding to reduce reliance on private influence is welcome, this change exacerbates the disproportionate impact on third parties who will not receive such funding, particularly smaller non-government organisations and charities who rely on gifts and donations. </w:t>
      </w:r>
    </w:p>
    <w:p w14:paraId="07858165" w14:textId="77777777" w:rsidR="007B302D" w:rsidRPr="007B302D" w:rsidRDefault="007B302D" w:rsidP="007B302D">
      <w:pPr>
        <w:pStyle w:val="Numberedparagraph"/>
      </w:pPr>
      <w:r w:rsidRPr="007B302D">
        <w:t>While the Explanatory Note does not discuss these limitations, the Compatibility Statement for similar changes in Victoria noted that:</w:t>
      </w:r>
    </w:p>
    <w:p w14:paraId="27C1AB27" w14:textId="77777777" w:rsidR="007B302D" w:rsidRPr="00DF6C60" w:rsidRDefault="007B302D" w:rsidP="00760129">
      <w:pPr>
        <w:pStyle w:val="Quote"/>
        <w:ind w:right="843"/>
        <w:rPr>
          <w:sz w:val="22"/>
          <w:szCs w:val="22"/>
        </w:rPr>
      </w:pPr>
      <w:r w:rsidRPr="00DF6C60">
        <w:rPr>
          <w:sz w:val="22"/>
          <w:szCs w:val="22"/>
        </w:rPr>
        <w:t xml:space="preserve">The effect of the Bill in limiting the source of funding available to candidates and parties may engage the right to freedom of expression, by only making instalment payments available to those parties or candidates who satisfy the eligibility criteria. In particular, this may favour the established political parties and their candidates. </w:t>
      </w:r>
    </w:p>
    <w:p w14:paraId="4BCFB821" w14:textId="77777777" w:rsidR="007B302D" w:rsidRPr="00DF6C60" w:rsidRDefault="007B302D" w:rsidP="00760129">
      <w:pPr>
        <w:pStyle w:val="Quote"/>
        <w:ind w:right="843"/>
        <w:rPr>
          <w:b/>
          <w:sz w:val="22"/>
          <w:szCs w:val="22"/>
        </w:rPr>
      </w:pPr>
      <w:r w:rsidRPr="00DF6C60">
        <w:rPr>
          <w:sz w:val="22"/>
          <w:szCs w:val="22"/>
        </w:rPr>
        <w:t>The right to freedom of expression includes the ability for individual citizens to express an opinion through their vote in support of a party or candidate. Restricting resources to exclude those who cannot satisfy the eligibility criteria, may decrease the capacity of members and supporters of smaller parties to introduce ideas and opinions into the political debate.</w:t>
      </w:r>
      <w:r w:rsidRPr="00DF6C60">
        <w:rPr>
          <w:rStyle w:val="FootnoteReference"/>
          <w:sz w:val="22"/>
          <w:szCs w:val="22"/>
        </w:rPr>
        <w:footnoteReference w:id="18"/>
      </w:r>
    </w:p>
    <w:p w14:paraId="7AD7B655" w14:textId="435D217A" w:rsidR="007B302D" w:rsidRPr="007B302D" w:rsidRDefault="007B302D" w:rsidP="007B302D">
      <w:pPr>
        <w:pStyle w:val="Numberedparagraph"/>
      </w:pPr>
      <w:r w:rsidRPr="007B302D">
        <w:t>The Victorian Compatibility Statement justified any such limitations on the basis that the public funding changes were necessary to support the political donation reforms in the Bill as a whole, which were (similar to the Queensland Bill) for the legitimate purpose of securing and promoting the actual and perceived integrity of the Parliament.</w:t>
      </w:r>
      <w:r w:rsidRPr="007B302D">
        <w:rPr>
          <w:rStyle w:val="FootnoteReference"/>
          <w:szCs w:val="22"/>
        </w:rPr>
        <w:footnoteReference w:id="19"/>
      </w:r>
      <w:r w:rsidRPr="007B302D">
        <w:t xml:space="preserve"> </w:t>
      </w:r>
    </w:p>
    <w:p w14:paraId="407ACDBF" w14:textId="6443166D" w:rsidR="007B302D" w:rsidRPr="007B302D" w:rsidRDefault="007B302D" w:rsidP="007B302D">
      <w:pPr>
        <w:pStyle w:val="Numberedparagraph"/>
      </w:pPr>
      <w:r w:rsidRPr="007B302D">
        <w:t xml:space="preserve">The Commission supports these </w:t>
      </w:r>
      <w:r w:rsidR="0022498C">
        <w:t xml:space="preserve">values, </w:t>
      </w:r>
      <w:r w:rsidRPr="007B302D">
        <w:t xml:space="preserve">but suggests the impact on smaller organisations and charities should be further considered. </w:t>
      </w:r>
    </w:p>
    <w:p w14:paraId="4233DD65" w14:textId="77777777" w:rsidR="007B302D" w:rsidRPr="007B302D" w:rsidRDefault="007B302D" w:rsidP="007B302D">
      <w:pPr>
        <w:pStyle w:val="Heading1"/>
        <w:rPr>
          <w:rFonts w:cs="Arial"/>
          <w:szCs w:val="24"/>
        </w:rPr>
      </w:pPr>
      <w:bookmarkStart w:id="10" w:name="_Toc29377390"/>
      <w:r w:rsidRPr="007B302D">
        <w:rPr>
          <w:rFonts w:cs="Arial"/>
        </w:rPr>
        <w:t>Application of human rights considerations to reverse onus provisions</w:t>
      </w:r>
      <w:bookmarkEnd w:id="10"/>
    </w:p>
    <w:p w14:paraId="5AC150B2" w14:textId="13D39FF6" w:rsidR="007B302D" w:rsidRPr="007B302D" w:rsidRDefault="007B302D" w:rsidP="00DF6C60">
      <w:pPr>
        <w:pStyle w:val="Numberedparagraph"/>
        <w:spacing w:after="120"/>
      </w:pPr>
      <w:r w:rsidRPr="007B302D">
        <w:t>The Bill provides for exceptions and reasonable excuse provisions for various new offence provisions. The effect of these provisions is to reverse the onus of proof to the defendant. Such provisions engage the right to be presumed innocent under s 32(1) of the HRA, as usually the prosecution bears both the legal and evidential burden of proof. The legal burden generally means the burden of proving the existence of the matter while the evidential burden means the burden of adducing or point</w:t>
      </w:r>
      <w:r w:rsidR="0022498C">
        <w:t>ing</w:t>
      </w:r>
      <w:r w:rsidRPr="007B302D">
        <w:t xml:space="preserve"> to evidence that suggests a reasonably possibility that the matter exists or does not exist.</w:t>
      </w:r>
      <w:r w:rsidRPr="007B302D">
        <w:rPr>
          <w:rStyle w:val="FootnoteReference"/>
          <w:szCs w:val="22"/>
        </w:rPr>
        <w:footnoteReference w:id="20"/>
      </w:r>
      <w:r w:rsidRPr="007B302D">
        <w:t xml:space="preserve">  The Commonwealth Parliamentary Joint Committee on Human Rights has observed:</w:t>
      </w:r>
    </w:p>
    <w:p w14:paraId="454190CF" w14:textId="36C878CD" w:rsidR="007B302D" w:rsidRPr="00DF6C60" w:rsidRDefault="007B302D" w:rsidP="00760129">
      <w:pPr>
        <w:pStyle w:val="Quote"/>
        <w:ind w:right="843"/>
        <w:rPr>
          <w:sz w:val="22"/>
          <w:szCs w:val="22"/>
        </w:rPr>
      </w:pPr>
      <w:r w:rsidRPr="00DF6C60">
        <w:rPr>
          <w:sz w:val="22"/>
          <w:szCs w:val="22"/>
        </w:rPr>
        <w:t>Reverse burden offences will be likely to be compatible with the presumption of innocence where they are shown by legislation proponents to be reasonable, necessary and proportionate in pursuit of a legitimate objective. Claims of greater convenience or ease for the prosecution in proving a case will be insufficient, in and of themselves, to justify a limitation on the defendant's right to be presumed innocent.</w:t>
      </w:r>
      <w:r w:rsidRPr="00DF6C60">
        <w:rPr>
          <w:rStyle w:val="FootnoteReference"/>
          <w:sz w:val="22"/>
          <w:szCs w:val="22"/>
        </w:rPr>
        <w:footnoteReference w:id="21"/>
      </w:r>
    </w:p>
    <w:p w14:paraId="7F5D2E5C" w14:textId="5CE70DEF" w:rsidR="007B302D" w:rsidRPr="007B302D" w:rsidRDefault="007B302D" w:rsidP="007B302D">
      <w:pPr>
        <w:pStyle w:val="Numberedparagraph"/>
      </w:pPr>
      <w:r w:rsidRPr="007B302D">
        <w:t>The Explanatory Note states that the burden on the defendant is an evidential one, and argues that these matters are peculiarly within the knowledge of the defendant</w:t>
      </w:r>
      <w:r w:rsidR="0022498C">
        <w:t>,</w:t>
      </w:r>
      <w:r w:rsidRPr="007B302D">
        <w:t xml:space="preserve"> and so the defendant would be better</w:t>
      </w:r>
      <w:r w:rsidR="001C15DD">
        <w:t xml:space="preserve"> </w:t>
      </w:r>
      <w:r w:rsidRPr="007B302D">
        <w:t>positioned than the prosecution to meet the evidential burden.</w:t>
      </w:r>
      <w:r w:rsidR="00AA24C6">
        <w:t xml:space="preserve"> </w:t>
      </w:r>
      <w:r w:rsidRPr="007B302D">
        <w:t xml:space="preserve">This goes some way to meeting the requirements suggested by the Joint Committee. </w:t>
      </w:r>
    </w:p>
    <w:p w14:paraId="34C88578" w14:textId="77777777" w:rsidR="007B302D" w:rsidRPr="007B302D" w:rsidRDefault="007B302D" w:rsidP="007B302D">
      <w:pPr>
        <w:pStyle w:val="Numberedparagraph"/>
      </w:pPr>
      <w:r w:rsidRPr="007B302D">
        <w:t xml:space="preserve">While the placing of an evidential burden on a defendant is lesser than a legal burden, the Committee may wish to seek further information to satisfy the requirements set out by the Commonwealth Parliamentary Committee on Human Rights. </w:t>
      </w:r>
    </w:p>
    <w:p w14:paraId="0BB524CA" w14:textId="77777777" w:rsidR="007B302D" w:rsidRPr="007B302D" w:rsidRDefault="007B302D" w:rsidP="007B302D">
      <w:pPr>
        <w:pStyle w:val="Heading1"/>
        <w:rPr>
          <w:rFonts w:cs="Arial"/>
          <w:szCs w:val="24"/>
        </w:rPr>
      </w:pPr>
      <w:bookmarkStart w:id="11" w:name="_Toc29377391"/>
      <w:r w:rsidRPr="007B302D">
        <w:rPr>
          <w:rFonts w:cs="Arial"/>
        </w:rPr>
        <w:t>Application of human rights considerations to subsequent disciplinary action</w:t>
      </w:r>
      <w:bookmarkEnd w:id="11"/>
    </w:p>
    <w:p w14:paraId="3F5104D7" w14:textId="4C151764" w:rsidR="007B302D" w:rsidRPr="007B302D" w:rsidRDefault="007B302D" w:rsidP="007B302D">
      <w:pPr>
        <w:pStyle w:val="Numberedparagraph"/>
      </w:pPr>
      <w:r w:rsidRPr="007B302D">
        <w:t>As the Explanatory Note states, the penalties for new offences of dishonest conduct of councillor or councillor advisers are substantial</w:t>
      </w:r>
      <w:r w:rsidR="0022498C">
        <w:t>,</w:t>
      </w:r>
      <w:r w:rsidRPr="007B302D">
        <w:t xml:space="preserve"> but are justified on the basis they reflect the serious nature of intentional dishonest conduct. In addition, failure to comply with the relevant integrity provisions will also amount to misconduct for a councillor and a councillor advisor, and therefore the matter may be dealt with as an internal local government disciplinary matter which may result in disciplinary action being taken against the councillor advisor</w:t>
      </w:r>
      <w:r w:rsidR="0022498C">
        <w:t>,</w:t>
      </w:r>
      <w:r w:rsidRPr="007B302D">
        <w:t xml:space="preserve"> as provided for in the advisor’s contract of employment.</w:t>
      </w:r>
    </w:p>
    <w:p w14:paraId="2233936F" w14:textId="40361A34" w:rsidR="007B302D" w:rsidRPr="007B302D" w:rsidRDefault="007B302D" w:rsidP="007B302D">
      <w:pPr>
        <w:pStyle w:val="Numberedparagraph"/>
      </w:pPr>
      <w:r w:rsidRPr="007B302D">
        <w:t xml:space="preserve">Section 34 of the </w:t>
      </w:r>
      <w:r w:rsidRPr="00DF6C60">
        <w:rPr>
          <w:i/>
        </w:rPr>
        <w:t>Human Rights Act</w:t>
      </w:r>
      <w:r w:rsidRPr="007B302D">
        <w:t xml:space="preserve"> protects a person being punished more than once for an offence </w:t>
      </w:r>
      <w:r w:rsidR="0022498C">
        <w:t xml:space="preserve">in relation </w:t>
      </w:r>
      <w:r w:rsidRPr="007B302D">
        <w:t xml:space="preserve">to which the person has already been finally convicted or acquitted. </w:t>
      </w:r>
      <w:r w:rsidR="0022498C">
        <w:t>S</w:t>
      </w:r>
      <w:r w:rsidRPr="007B302D">
        <w:t xml:space="preserve">ubsequent disciplinary proceedings arising from an offence </w:t>
      </w:r>
      <w:r w:rsidR="0022498C">
        <w:t xml:space="preserve">could potentially </w:t>
      </w:r>
      <w:r w:rsidRPr="007B302D">
        <w:t xml:space="preserve">engage this right. However, disciplinary proceedings are generally not concerned with punishment, but rather protection of the public and the reputation of the profession in question. For example, the Victorian Civil and Administrative Tribunal has found that a </w:t>
      </w:r>
      <w:r w:rsidR="0022498C" w:rsidRPr="007B302D">
        <w:t xml:space="preserve">Psychology Board of Australia </w:t>
      </w:r>
      <w:r w:rsidRPr="007B302D">
        <w:t>finding of unprofessional conduct by  a registered psychologist arising from his conviction of fraud offences did not violate the right.</w:t>
      </w:r>
      <w:r w:rsidRPr="007B302D">
        <w:rPr>
          <w:rStyle w:val="FootnoteReference"/>
          <w:szCs w:val="22"/>
        </w:rPr>
        <w:footnoteReference w:id="22"/>
      </w:r>
      <w:r w:rsidRPr="007B302D">
        <w:t xml:space="preserve"> The Tribunal cited </w:t>
      </w:r>
      <w:r w:rsidR="00AA24C6">
        <w:t xml:space="preserve">the </w:t>
      </w:r>
      <w:r w:rsidRPr="007B302D">
        <w:t xml:space="preserve">High Court authority of </w:t>
      </w:r>
      <w:r w:rsidRPr="007B302D">
        <w:rPr>
          <w:i/>
        </w:rPr>
        <w:t xml:space="preserve">Clyne v NSW Bar Association </w:t>
      </w:r>
      <w:r w:rsidRPr="007B302D">
        <w:t>in reaching this conclusion.</w:t>
      </w:r>
      <w:r w:rsidRPr="007B302D">
        <w:rPr>
          <w:rStyle w:val="FootnoteReference"/>
          <w:szCs w:val="22"/>
        </w:rPr>
        <w:footnoteReference w:id="23"/>
      </w:r>
      <w:r w:rsidRPr="007B302D">
        <w:t xml:space="preserve"> </w:t>
      </w:r>
    </w:p>
    <w:p w14:paraId="2FABCF4F" w14:textId="7B4BA055" w:rsidR="007B302D" w:rsidRPr="007B302D" w:rsidRDefault="007B302D" w:rsidP="007B302D">
      <w:pPr>
        <w:pStyle w:val="Heading1"/>
        <w:rPr>
          <w:rFonts w:cs="Arial"/>
          <w:szCs w:val="24"/>
        </w:rPr>
      </w:pPr>
      <w:bookmarkStart w:id="12" w:name="_Toc29377392"/>
      <w:r w:rsidRPr="007B302D">
        <w:rPr>
          <w:rFonts w:cs="Arial"/>
        </w:rPr>
        <w:t xml:space="preserve">Application of human rights considerations to </w:t>
      </w:r>
      <w:r w:rsidR="00B05459">
        <w:rPr>
          <w:rFonts w:cs="Arial"/>
        </w:rPr>
        <w:t>local government matters</w:t>
      </w:r>
      <w:bookmarkEnd w:id="12"/>
    </w:p>
    <w:p w14:paraId="6D3CD633" w14:textId="0FC24611" w:rsidR="007B302D" w:rsidRPr="007B302D" w:rsidRDefault="007B302D" w:rsidP="007B302D">
      <w:pPr>
        <w:pStyle w:val="Numberedparagraph"/>
      </w:pPr>
      <w:r w:rsidRPr="007B302D">
        <w:t xml:space="preserve">The Bill proposes amendments to the </w:t>
      </w:r>
      <w:r w:rsidRPr="007B302D">
        <w:rPr>
          <w:i/>
        </w:rPr>
        <w:t xml:space="preserve">Local Government Electoral Act 2011 </w:t>
      </w:r>
      <w:r w:rsidRPr="007B302D">
        <w:t xml:space="preserve">to alter powers of the State to intervene in local government matters, including suspending local councillors and appointing an interim administrator to act in place of councillors, or dissolving a local government. While these </w:t>
      </w:r>
      <w:r w:rsidR="001C143E">
        <w:t xml:space="preserve">proposed amendments </w:t>
      </w:r>
      <w:r w:rsidRPr="007B302D">
        <w:t xml:space="preserve">relate to existing provisions, such powers </w:t>
      </w:r>
      <w:r w:rsidR="001C143E">
        <w:t xml:space="preserve">could potentially </w:t>
      </w:r>
      <w:r w:rsidRPr="007B302D">
        <w:t>engage the right to take part in public life protected in s 23 of the HRA</w:t>
      </w:r>
      <w:r w:rsidR="001C143E">
        <w:t>.</w:t>
      </w:r>
      <w:r w:rsidRPr="007B302D">
        <w:t xml:space="preserve"> </w:t>
      </w:r>
      <w:r w:rsidR="001C143E">
        <w:t>T</w:t>
      </w:r>
      <w:r w:rsidRPr="007B302D">
        <w:t xml:space="preserve">hat right provides that every person in Queensland has the right, and is to have the opportunity, to participate in the conduct of public affairs, directly or through freely chosen representatives. This includes the opportunity to vote and be elected at periodic </w:t>
      </w:r>
      <w:r w:rsidR="001C143E">
        <w:t>s</w:t>
      </w:r>
      <w:r w:rsidRPr="007B302D">
        <w:t xml:space="preserve">tate and local government elections that guarantee the free expression of the will of the electors. </w:t>
      </w:r>
    </w:p>
    <w:p w14:paraId="51F24DD3" w14:textId="521219A0" w:rsidR="007B302D" w:rsidRPr="007B302D" w:rsidRDefault="007B302D" w:rsidP="00DF6C60">
      <w:pPr>
        <w:pStyle w:val="Numberedparagraph"/>
        <w:spacing w:after="120"/>
      </w:pPr>
      <w:r w:rsidRPr="007B302D">
        <w:t xml:space="preserve">The Explanatory Note </w:t>
      </w:r>
      <w:r w:rsidR="001C143E">
        <w:t xml:space="preserve">says </w:t>
      </w:r>
      <w:r w:rsidRPr="007B302D">
        <w:t>the intention of the changes</w:t>
      </w:r>
      <w:r w:rsidR="001C143E">
        <w:t xml:space="preserve"> are</w:t>
      </w:r>
      <w:r w:rsidRPr="007B302D">
        <w:t xml:space="preserve"> to avoid the cost of holding a fresh election if a quadrennial election is to be held within a reasonable period of time after a dissolution</w:t>
      </w:r>
      <w:r w:rsidR="001C143E">
        <w:t>.</w:t>
      </w:r>
      <w:r w:rsidRPr="007B302D">
        <w:t xml:space="preserve"> </w:t>
      </w:r>
      <w:r w:rsidR="001C143E">
        <w:t>It does</w:t>
      </w:r>
      <w:r w:rsidRPr="007B302D">
        <w:t xml:space="preserve"> not explicitly </w:t>
      </w:r>
      <w:r w:rsidR="001C143E">
        <w:t xml:space="preserve">state </w:t>
      </w:r>
      <w:r w:rsidRPr="007B302D">
        <w:t xml:space="preserve">the underlying necessity to have the State  intervene. However, the amendments do not change existing s 123(1) of the </w:t>
      </w:r>
      <w:r w:rsidRPr="007B302D">
        <w:rPr>
          <w:i/>
        </w:rPr>
        <w:t>Local Government Act 2009</w:t>
      </w:r>
      <w:r w:rsidRPr="007B302D">
        <w:t xml:space="preserve"> which applies if: </w:t>
      </w:r>
    </w:p>
    <w:p w14:paraId="57A075B0" w14:textId="5434D2A6" w:rsidR="007B302D" w:rsidRPr="007B302D" w:rsidRDefault="001C143E" w:rsidP="00DA7697">
      <w:pPr>
        <w:pStyle w:val="Bulletedlist"/>
        <w:rPr>
          <w:szCs w:val="22"/>
        </w:rPr>
      </w:pPr>
      <w:r>
        <w:t>a</w:t>
      </w:r>
      <w:r w:rsidR="007B302D" w:rsidRPr="007B302D">
        <w:t xml:space="preserve"> conduct tribunal recommends that every councillor be suspended or dismissed;</w:t>
      </w:r>
    </w:p>
    <w:p w14:paraId="41CFB934" w14:textId="04317864" w:rsidR="007B302D" w:rsidRPr="007B302D" w:rsidRDefault="001C143E" w:rsidP="00DA7697">
      <w:pPr>
        <w:pStyle w:val="Bulletedlist"/>
      </w:pPr>
      <w:r>
        <w:t>t</w:t>
      </w:r>
      <w:r w:rsidR="007B302D" w:rsidRPr="007B302D">
        <w:t>he Minister reasonably believes that a local government has seriously or continuously breached the local government principles; or</w:t>
      </w:r>
    </w:p>
    <w:p w14:paraId="5900D8AE" w14:textId="1A8762D8" w:rsidR="007B302D" w:rsidRPr="007B302D" w:rsidRDefault="001C143E" w:rsidP="00DA7697">
      <w:pPr>
        <w:pStyle w:val="Bulletedlist"/>
      </w:pPr>
      <w:r>
        <w:t>t</w:t>
      </w:r>
      <w:r w:rsidR="007B302D" w:rsidRPr="007B302D">
        <w:t>he Minister reasonably believes that a local government is incapable of performing its responsibilities; or</w:t>
      </w:r>
    </w:p>
    <w:p w14:paraId="10856E6B" w14:textId="138633E8" w:rsidR="007B302D" w:rsidRPr="007B302D" w:rsidRDefault="001C143E" w:rsidP="00DA7697">
      <w:pPr>
        <w:pStyle w:val="Bulletedlist"/>
      </w:pPr>
      <w:r>
        <w:t>t</w:t>
      </w:r>
      <w:r w:rsidR="007B302D" w:rsidRPr="007B302D">
        <w:t xml:space="preserve">he Minister reasonably believes it is otherwise in the public interest that every councillor be suspended or dismissed. </w:t>
      </w:r>
    </w:p>
    <w:p w14:paraId="69E9C53A" w14:textId="77777777" w:rsidR="007B302D" w:rsidRPr="007B302D" w:rsidRDefault="007B302D" w:rsidP="007B302D">
      <w:pPr>
        <w:pStyle w:val="Numberedparagraph"/>
      </w:pPr>
      <w:r w:rsidRPr="007B302D">
        <w:t xml:space="preserve">The Committee may nonetheless wish to seek more information on how this is a reasonable limitation on the right to take part in public life. </w:t>
      </w:r>
    </w:p>
    <w:p w14:paraId="4840316A" w14:textId="77777777" w:rsidR="007B302D" w:rsidRPr="007B302D" w:rsidRDefault="007B302D" w:rsidP="007B302D">
      <w:pPr>
        <w:pStyle w:val="Heading1"/>
        <w:rPr>
          <w:rFonts w:cs="Arial"/>
          <w:szCs w:val="24"/>
        </w:rPr>
      </w:pPr>
      <w:bookmarkStart w:id="13" w:name="_Toc29377393"/>
      <w:r w:rsidRPr="007B302D">
        <w:rPr>
          <w:rFonts w:cs="Arial"/>
        </w:rPr>
        <w:t>Conclusion</w:t>
      </w:r>
      <w:bookmarkEnd w:id="13"/>
    </w:p>
    <w:p w14:paraId="61B48633" w14:textId="2F601038" w:rsidR="007B302D" w:rsidRPr="007B302D" w:rsidRDefault="007B302D" w:rsidP="007B302D">
      <w:pPr>
        <w:pStyle w:val="Numberedparagraph"/>
      </w:pPr>
      <w:r w:rsidRPr="007B302D">
        <w:t xml:space="preserve">The Commission supports the </w:t>
      </w:r>
      <w:r w:rsidR="001C143E">
        <w:t xml:space="preserve">objectives </w:t>
      </w:r>
      <w:r w:rsidRPr="007B302D">
        <w:t xml:space="preserve">of the Bill, which are aimed </w:t>
      </w:r>
      <w:r w:rsidR="001C143E">
        <w:t>at</w:t>
      </w:r>
      <w:r w:rsidRPr="007B302D">
        <w:t xml:space="preserve"> enhanc</w:t>
      </w:r>
      <w:r w:rsidR="001C143E">
        <w:t>ing</w:t>
      </w:r>
      <w:r w:rsidRPr="007B302D">
        <w:t xml:space="preserve"> the democratic rights of all Queenslanders. While the Bill was introduced prior to the obligation under the HRA for members to include a statement of compatibility for new legislation, this submission has provided a framework for assessment of human rights compatibility.</w:t>
      </w:r>
    </w:p>
    <w:p w14:paraId="658D326F" w14:textId="5B7049E3" w:rsidR="007B302D" w:rsidRPr="007B302D" w:rsidRDefault="007B302D" w:rsidP="007B302D">
      <w:pPr>
        <w:pStyle w:val="Numberedparagraph"/>
        <w:rPr>
          <w:szCs w:val="22"/>
        </w:rPr>
      </w:pPr>
      <w:r w:rsidRPr="007B302D">
        <w:rPr>
          <w:szCs w:val="22"/>
        </w:rPr>
        <w:t xml:space="preserve">In applying the human rights principles discussed above, the Commission suggests amendments should be considered regarding </w:t>
      </w:r>
      <w:r w:rsidRPr="007B302D">
        <w:t>the disproportionate and potentially unintended consequences for smaller non-government organisations and charities</w:t>
      </w:r>
      <w:r w:rsidR="00A914B7">
        <w:t>,</w:t>
      </w:r>
      <w:r w:rsidRPr="007B302D">
        <w:t xml:space="preserve"> due to the broad definition of </w:t>
      </w:r>
      <w:r w:rsidR="00A914B7">
        <w:t>‘</w:t>
      </w:r>
      <w:r w:rsidRPr="007B302D">
        <w:t>third parties</w:t>
      </w:r>
      <w:r w:rsidR="00A914B7">
        <w:t>’</w:t>
      </w:r>
      <w:r w:rsidRPr="007B302D">
        <w:rPr>
          <w:szCs w:val="22"/>
        </w:rPr>
        <w:t xml:space="preserve">. </w:t>
      </w:r>
    </w:p>
    <w:p w14:paraId="74D4B958" w14:textId="44A49551" w:rsidR="007B302D" w:rsidRPr="007B302D" w:rsidRDefault="007B302D" w:rsidP="00DF6C60">
      <w:pPr>
        <w:pStyle w:val="Numberedparagraph"/>
        <w:spacing w:after="120"/>
      </w:pPr>
      <w:r w:rsidRPr="007B302D">
        <w:t xml:space="preserve">The Committee may </w:t>
      </w:r>
      <w:r w:rsidR="00A914B7">
        <w:t>consider</w:t>
      </w:r>
      <w:r w:rsidR="00F767A7">
        <w:t xml:space="preserve"> seeking</w:t>
      </w:r>
      <w:r w:rsidR="00A914B7">
        <w:t xml:space="preserve"> </w:t>
      </w:r>
      <w:r w:rsidR="00F767A7">
        <w:t>further information regarding the following proposals</w:t>
      </w:r>
      <w:r w:rsidR="00A914B7">
        <w:t xml:space="preserve"> to </w:t>
      </w:r>
      <w:r w:rsidRPr="007B302D">
        <w:t>demonstrat</w:t>
      </w:r>
      <w:r w:rsidR="00A914B7">
        <w:t>e</w:t>
      </w:r>
      <w:r w:rsidRPr="007B302D">
        <w:t xml:space="preserve"> why the</w:t>
      </w:r>
      <w:r w:rsidR="00F767A7">
        <w:t>se</w:t>
      </w:r>
      <w:r w:rsidRPr="007B302D">
        <w:t xml:space="preserve"> measures are the least restrictive </w:t>
      </w:r>
      <w:r w:rsidR="00A914B7">
        <w:t xml:space="preserve">means of </w:t>
      </w:r>
      <w:r w:rsidRPr="007B302D">
        <w:t>achiev</w:t>
      </w:r>
      <w:r w:rsidR="00A914B7">
        <w:t>ing</w:t>
      </w:r>
      <w:r w:rsidRPr="007B302D">
        <w:t xml:space="preserve"> the important purposes of the Bill: </w:t>
      </w:r>
    </w:p>
    <w:p w14:paraId="1FD749D3" w14:textId="65C513BB" w:rsidR="007B302D" w:rsidRPr="00DA7697" w:rsidRDefault="00A914B7" w:rsidP="00DA7697">
      <w:pPr>
        <w:pStyle w:val="Bulletedlist"/>
      </w:pPr>
      <w:r>
        <w:t>t</w:t>
      </w:r>
      <w:r w:rsidR="007B302D" w:rsidRPr="00DA7697">
        <w:t>he differing donation caps placed on various electoral participants;</w:t>
      </w:r>
    </w:p>
    <w:p w14:paraId="2137EA03" w14:textId="71FD897F" w:rsidR="007B302D" w:rsidRPr="00DA7697" w:rsidRDefault="00A914B7" w:rsidP="00DA7697">
      <w:pPr>
        <w:pStyle w:val="Bulletedlist"/>
      </w:pPr>
      <w:r>
        <w:t>t</w:t>
      </w:r>
      <w:r w:rsidR="007B302D" w:rsidRPr="00DA7697">
        <w:t xml:space="preserve">he proposed new dishonest conduct offences placing an evidential burden on a defendant; </w:t>
      </w:r>
    </w:p>
    <w:p w14:paraId="79193E11" w14:textId="4A8B0BEB" w:rsidR="007B302D" w:rsidRPr="00DA7697" w:rsidRDefault="00A914B7" w:rsidP="00DA7697">
      <w:pPr>
        <w:pStyle w:val="Bulletedlist"/>
      </w:pPr>
      <w:r>
        <w:t>t</w:t>
      </w:r>
      <w:r w:rsidR="007B302D" w:rsidRPr="00DA7697">
        <w:t>he existing (but proposed to be amended) power of the Minister to recommend dissolving a local council and appointing a person to act as interim administrator.</w:t>
      </w:r>
    </w:p>
    <w:p w14:paraId="586F0F3B" w14:textId="77777777" w:rsidR="007B302D" w:rsidRPr="007B302D" w:rsidRDefault="007B302D" w:rsidP="007B302D">
      <w:pPr>
        <w:pStyle w:val="Numberedparagraph"/>
        <w:rPr>
          <w:sz w:val="22"/>
        </w:rPr>
      </w:pPr>
      <w:r w:rsidRPr="007B302D">
        <w:t xml:space="preserve">Thank you for the opportunity to participate in the committee process. </w:t>
      </w:r>
      <w:bookmarkEnd w:id="0"/>
    </w:p>
    <w:sectPr w:rsidR="007B302D" w:rsidRPr="007B302D" w:rsidSect="00E30AE6">
      <w:headerReference w:type="default" r:id="rId9"/>
      <w:footerReference w:type="default" r:id="rId10"/>
      <w:headerReference w:type="first" r:id="rId11"/>
      <w:footerReference w:type="first" r:id="rId12"/>
      <w:pgSz w:w="11900" w:h="16840" w:code="9"/>
      <w:pgMar w:top="1440" w:right="1701" w:bottom="1361" w:left="170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E000A" w14:textId="77777777" w:rsidR="00F767A7" w:rsidRDefault="00F767A7" w:rsidP="0034134D">
      <w:r>
        <w:separator/>
      </w:r>
    </w:p>
  </w:endnote>
  <w:endnote w:type="continuationSeparator" w:id="0">
    <w:p w14:paraId="2B374069" w14:textId="77777777" w:rsidR="00F767A7" w:rsidRDefault="00F767A7"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D0801" w14:textId="77777777" w:rsidR="00F767A7" w:rsidRDefault="00F767A7" w:rsidP="000731D3">
    <w:pPr>
      <w:pStyle w:val="Footer"/>
      <w:pBdr>
        <w:top w:val="single" w:sz="4" w:space="1" w:color="auto"/>
      </w:pBdr>
      <w:jc w:val="right"/>
      <w:rPr>
        <w:rFonts w:ascii="Arial" w:hAnsi="Arial" w:cs="Arial"/>
        <w:sz w:val="20"/>
        <w:szCs w:val="20"/>
      </w:rPr>
    </w:pPr>
  </w:p>
  <w:p w14:paraId="6E790BDE" w14:textId="6B767F91" w:rsidR="00F767A7" w:rsidRPr="000731D3" w:rsidRDefault="00F767A7" w:rsidP="000731D3">
    <w:pPr>
      <w:pStyle w:val="Footer"/>
      <w:jc w:val="right"/>
      <w:rPr>
        <w:rFonts w:ascii="Arial" w:hAnsi="Arial" w:cs="Arial"/>
        <w:sz w:val="20"/>
        <w:szCs w:val="20"/>
      </w:rPr>
    </w:pP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sidR="00C6621A">
      <w:rPr>
        <w:rFonts w:ascii="Arial" w:hAnsi="Arial" w:cs="Arial"/>
        <w:noProof/>
        <w:sz w:val="20"/>
        <w:szCs w:val="20"/>
      </w:rPr>
      <w:t>4</w:t>
    </w:r>
    <w:r w:rsidRPr="004A2375">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03B82" w14:textId="779811C5" w:rsidR="00F767A7" w:rsidRPr="004A2375" w:rsidRDefault="00F767A7" w:rsidP="00E7746A">
    <w:pPr>
      <w:pStyle w:val="Footer"/>
      <w:tabs>
        <w:tab w:val="left" w:pos="1905"/>
        <w:tab w:val="right" w:pos="8498"/>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7AF4F" w14:textId="77777777" w:rsidR="00F767A7" w:rsidRDefault="00F767A7" w:rsidP="0034134D">
      <w:r>
        <w:separator/>
      </w:r>
    </w:p>
  </w:footnote>
  <w:footnote w:type="continuationSeparator" w:id="0">
    <w:p w14:paraId="37FDA814" w14:textId="77777777" w:rsidR="00F767A7" w:rsidRDefault="00F767A7" w:rsidP="0034134D">
      <w:r>
        <w:continuationSeparator/>
      </w:r>
    </w:p>
  </w:footnote>
  <w:footnote w:id="1">
    <w:p w14:paraId="6EA237EC" w14:textId="720B3762" w:rsidR="00F767A7" w:rsidRDefault="00F767A7" w:rsidP="007B302D">
      <w:pPr>
        <w:pStyle w:val="FootnoteText"/>
        <w:rPr>
          <w:rFonts w:cs="Calibri"/>
        </w:rPr>
      </w:pPr>
      <w:r>
        <w:rPr>
          <w:rStyle w:val="FootnoteReference"/>
        </w:rPr>
        <w:footnoteRef/>
      </w:r>
      <w:r>
        <w:t xml:space="preserve"> Queensland Crime and Corruption Commission, </w:t>
      </w:r>
      <w:r>
        <w:rPr>
          <w:i/>
        </w:rPr>
        <w:t xml:space="preserve">Operation Belcarra – A blueprint for integrity and addressing corruption risk in local government </w:t>
      </w:r>
      <w:r>
        <w:t xml:space="preserve">(Report, October 2017). </w:t>
      </w:r>
    </w:p>
  </w:footnote>
  <w:footnote w:id="2">
    <w:p w14:paraId="60483E7C" w14:textId="77777777" w:rsidR="00F767A7" w:rsidRDefault="00F767A7" w:rsidP="007B302D">
      <w:pPr>
        <w:pStyle w:val="FootnoteText"/>
        <w:rPr>
          <w:rFonts w:cs="Arial"/>
        </w:rPr>
      </w:pPr>
      <w:r>
        <w:rPr>
          <w:rStyle w:val="FootnoteReference"/>
          <w:rFonts w:cs="Arial"/>
        </w:rPr>
        <w:footnoteRef/>
      </w:r>
      <w:r>
        <w:rPr>
          <w:rFonts w:cs="Arial"/>
        </w:rPr>
        <w:t xml:space="preserve"> </w:t>
      </w:r>
      <w:r>
        <w:rPr>
          <w:rFonts w:cs="Arial"/>
          <w:i/>
        </w:rPr>
        <w:t>Human Rights Act 2019</w:t>
      </w:r>
      <w:r>
        <w:rPr>
          <w:rFonts w:cs="Arial"/>
        </w:rPr>
        <w:t>, section 13.</w:t>
      </w:r>
    </w:p>
  </w:footnote>
  <w:footnote w:id="3">
    <w:p w14:paraId="4E920EA9" w14:textId="42671F89" w:rsidR="00F767A7" w:rsidRPr="007B302D" w:rsidRDefault="00F767A7" w:rsidP="007B302D">
      <w:pPr>
        <w:pStyle w:val="FootnoteText"/>
        <w:rPr>
          <w:rFonts w:cs="Arial"/>
          <w:szCs w:val="20"/>
        </w:rPr>
      </w:pPr>
      <w:r w:rsidRPr="007B302D">
        <w:rPr>
          <w:rStyle w:val="FootnoteReference"/>
          <w:rFonts w:cs="Arial"/>
          <w:szCs w:val="20"/>
        </w:rPr>
        <w:footnoteRef/>
      </w:r>
      <w:r w:rsidRPr="007B302D">
        <w:rPr>
          <w:rFonts w:cs="Arial"/>
          <w:szCs w:val="20"/>
        </w:rPr>
        <w:t xml:space="preserve"> </w:t>
      </w:r>
      <w:r w:rsidRPr="00DA7697">
        <w:rPr>
          <w:rFonts w:cs="Arial"/>
          <w:i/>
          <w:szCs w:val="20"/>
        </w:rPr>
        <w:t>Lange v Australian Broadcasting Corp</w:t>
      </w:r>
      <w:r w:rsidRPr="007B302D">
        <w:rPr>
          <w:rFonts w:cs="Arial"/>
          <w:szCs w:val="20"/>
        </w:rPr>
        <w:t xml:space="preserve"> (1997) 189 CLR 520</w:t>
      </w:r>
      <w:r>
        <w:rPr>
          <w:rFonts w:cs="Arial"/>
          <w:szCs w:val="20"/>
        </w:rPr>
        <w:t>.</w:t>
      </w:r>
    </w:p>
  </w:footnote>
  <w:footnote w:id="4">
    <w:p w14:paraId="54494DA6" w14:textId="19F36E7C" w:rsidR="00F767A7" w:rsidRPr="007B302D" w:rsidRDefault="00F767A7" w:rsidP="007B302D">
      <w:pPr>
        <w:pStyle w:val="FootnoteText"/>
        <w:rPr>
          <w:rFonts w:cs="Arial"/>
          <w:szCs w:val="20"/>
        </w:rPr>
      </w:pPr>
      <w:r w:rsidRPr="007B302D">
        <w:rPr>
          <w:rStyle w:val="FootnoteReference"/>
          <w:rFonts w:cs="Arial"/>
          <w:szCs w:val="20"/>
        </w:rPr>
        <w:footnoteRef/>
      </w:r>
      <w:r w:rsidRPr="007B302D">
        <w:rPr>
          <w:rFonts w:cs="Arial"/>
          <w:szCs w:val="20"/>
        </w:rPr>
        <w:t xml:space="preserve"> </w:t>
      </w:r>
      <w:r w:rsidRPr="007B302D">
        <w:rPr>
          <w:rFonts w:cs="Arial"/>
          <w:i/>
          <w:szCs w:val="20"/>
        </w:rPr>
        <w:t>McCloy v New South Wales</w:t>
      </w:r>
      <w:r w:rsidRPr="007B302D">
        <w:rPr>
          <w:rFonts w:cs="Arial"/>
          <w:szCs w:val="20"/>
        </w:rPr>
        <w:t xml:space="preserve"> [2015] HCA 34</w:t>
      </w:r>
      <w:r>
        <w:rPr>
          <w:rFonts w:cs="Arial"/>
          <w:szCs w:val="20"/>
        </w:rPr>
        <w:t>.</w:t>
      </w:r>
    </w:p>
  </w:footnote>
  <w:footnote w:id="5">
    <w:p w14:paraId="1B34B47F" w14:textId="77777777" w:rsidR="00F767A7" w:rsidRDefault="00F767A7" w:rsidP="007B302D">
      <w:pPr>
        <w:pStyle w:val="FootnoteText"/>
      </w:pPr>
      <w:r w:rsidRPr="007B302D">
        <w:rPr>
          <w:rStyle w:val="FootnoteReference"/>
          <w:rFonts w:cs="Arial"/>
          <w:szCs w:val="20"/>
        </w:rPr>
        <w:footnoteRef/>
      </w:r>
      <w:r w:rsidRPr="007B302D">
        <w:rPr>
          <w:rFonts w:cs="Arial"/>
          <w:szCs w:val="20"/>
        </w:rPr>
        <w:t xml:space="preserve"> [2019] HCA 15. That challenge largely concerned the interaction between the Queensland provisions </w:t>
      </w:r>
      <w:r>
        <w:rPr>
          <w:rFonts w:cs="Arial"/>
          <w:szCs w:val="20"/>
        </w:rPr>
        <w:t>and changes made subsequently</w:t>
      </w:r>
      <w:r w:rsidRPr="007B302D">
        <w:rPr>
          <w:rFonts w:cs="Arial"/>
          <w:szCs w:val="20"/>
        </w:rPr>
        <w:t xml:space="preserve"> to Commonwealth electoral legislation, although the High Court also considered the implied freedom.</w:t>
      </w:r>
      <w:r>
        <w:t xml:space="preserve"> </w:t>
      </w:r>
    </w:p>
  </w:footnote>
  <w:footnote w:id="6">
    <w:p w14:paraId="4FFD21C9" w14:textId="7B8A1AA6" w:rsidR="00F767A7" w:rsidRPr="00DC7216" w:rsidRDefault="00F767A7" w:rsidP="007B302D">
      <w:pPr>
        <w:pStyle w:val="FootnoteText"/>
      </w:pPr>
      <w:r>
        <w:rPr>
          <w:rStyle w:val="FootnoteReference"/>
        </w:rPr>
        <w:footnoteRef/>
      </w:r>
      <w:r>
        <w:t xml:space="preserve"> Scrutiny of Acts and Regulations Committee, Parliament of Victoria, </w:t>
      </w:r>
      <w:r>
        <w:rPr>
          <w:i/>
        </w:rPr>
        <w:t xml:space="preserve">Alert Digest </w:t>
      </w:r>
      <w:r>
        <w:t xml:space="preserve">No. </w:t>
      </w:r>
      <w:r w:rsidRPr="00DF6C60">
        <w:t>7 of</w:t>
      </w:r>
      <w:r>
        <w:rPr>
          <w:i/>
        </w:rPr>
        <w:t xml:space="preserve"> </w:t>
      </w:r>
      <w:r>
        <w:t xml:space="preserve">2018, 4: quoting 3-step test outlined in </w:t>
      </w:r>
      <w:r>
        <w:rPr>
          <w:i/>
        </w:rPr>
        <w:t xml:space="preserve">McCloy </w:t>
      </w:r>
      <w:r>
        <w:t xml:space="preserve">derived from </w:t>
      </w:r>
      <w:r w:rsidRPr="00DF6C60">
        <w:rPr>
          <w:i/>
        </w:rPr>
        <w:t>Lange v Australian Broadcasting Corporation</w:t>
      </w:r>
      <w:r>
        <w:t xml:space="preserve"> and </w:t>
      </w:r>
      <w:r w:rsidRPr="00DF6C60">
        <w:rPr>
          <w:i/>
        </w:rPr>
        <w:t>Coleman v Power</w:t>
      </w:r>
      <w:r>
        <w:t>.</w:t>
      </w:r>
    </w:p>
  </w:footnote>
  <w:footnote w:id="7">
    <w:p w14:paraId="3D05F7F5" w14:textId="037CA657" w:rsidR="00F767A7" w:rsidRDefault="00F767A7" w:rsidP="007B302D">
      <w:pPr>
        <w:pStyle w:val="FootnoteText"/>
      </w:pPr>
      <w:r>
        <w:rPr>
          <w:rStyle w:val="FootnoteReference"/>
        </w:rPr>
        <w:footnoteRef/>
      </w:r>
      <w:r>
        <w:t xml:space="preserve"> UN Human Rights Committee, </w:t>
      </w:r>
      <w:r w:rsidRPr="00357ACB">
        <w:rPr>
          <w:i/>
        </w:rPr>
        <w:t>General Comment No. 25 ‘The right to participate in public affairs, voting rights and the right of equal access to the public service’</w:t>
      </w:r>
      <w:r>
        <w:t>, 57</w:t>
      </w:r>
      <w:r w:rsidRPr="00357ACB">
        <w:rPr>
          <w:vertAlign w:val="superscript"/>
        </w:rPr>
        <w:t>th</w:t>
      </w:r>
      <w:r>
        <w:t xml:space="preserve"> session, UN Doc CCPR/C/21/Rev.1/Add.7 [8, 25] (12 July 1996).</w:t>
      </w:r>
    </w:p>
  </w:footnote>
  <w:footnote w:id="8">
    <w:p w14:paraId="290646F9" w14:textId="4B8516A4" w:rsidR="00F767A7" w:rsidRDefault="00F767A7" w:rsidP="007B302D">
      <w:pPr>
        <w:pStyle w:val="FootnoteText"/>
      </w:pPr>
      <w:r>
        <w:rPr>
          <w:rStyle w:val="FootnoteReference"/>
        </w:rPr>
        <w:footnoteRef/>
      </w:r>
      <w:r>
        <w:t xml:space="preserve"> </w:t>
      </w:r>
      <w:r>
        <w:rPr>
          <w:i/>
        </w:rPr>
        <w:t>Pierre-Bloch v France</w:t>
      </w:r>
      <w:r>
        <w:t xml:space="preserve"> [1997] ECHR 84, [54]; </w:t>
      </w:r>
      <w:r>
        <w:rPr>
          <w:i/>
        </w:rPr>
        <w:t>Bowman v United Kingdom</w:t>
      </w:r>
      <w:r>
        <w:t xml:space="preserve"> (1998) 26 EHRR 1, [42] as cited in Scrutiny of Acts and Regulations Committee, Parliament of Victoria, </w:t>
      </w:r>
      <w:r>
        <w:rPr>
          <w:i/>
        </w:rPr>
        <w:t xml:space="preserve">Alert Digest </w:t>
      </w:r>
      <w:r w:rsidRPr="00DF6C60">
        <w:t>No. 7</w:t>
      </w:r>
      <w:r>
        <w:rPr>
          <w:i/>
        </w:rPr>
        <w:t xml:space="preserve"> </w:t>
      </w:r>
      <w:r>
        <w:t>of 2018, 4.</w:t>
      </w:r>
    </w:p>
  </w:footnote>
  <w:footnote w:id="9">
    <w:p w14:paraId="70DD978B" w14:textId="7DF89644" w:rsidR="00F767A7" w:rsidRDefault="00F767A7" w:rsidP="007B302D">
      <w:pPr>
        <w:pStyle w:val="FootnoteText"/>
      </w:pPr>
      <w:r>
        <w:rPr>
          <w:rStyle w:val="FootnoteReference"/>
        </w:rPr>
        <w:footnoteRef/>
      </w:r>
      <w:r>
        <w:t xml:space="preserve"> Scrutiny of Acts and Regulations Committee, Parliament of Victoria, </w:t>
      </w:r>
      <w:r>
        <w:rPr>
          <w:i/>
        </w:rPr>
        <w:t xml:space="preserve">Alert Digest </w:t>
      </w:r>
      <w:r w:rsidRPr="00DF6C60">
        <w:t>No. 7</w:t>
      </w:r>
      <w:r>
        <w:rPr>
          <w:i/>
        </w:rPr>
        <w:t xml:space="preserve"> </w:t>
      </w:r>
      <w:r>
        <w:t>of 2018, 4.</w:t>
      </w:r>
    </w:p>
  </w:footnote>
  <w:footnote w:id="10">
    <w:p w14:paraId="000BAE94" w14:textId="526FA896" w:rsidR="00F767A7" w:rsidRDefault="00F767A7" w:rsidP="007B302D">
      <w:pPr>
        <w:pStyle w:val="FootnoteText"/>
      </w:pPr>
      <w:r>
        <w:rPr>
          <w:rStyle w:val="FootnoteReference"/>
        </w:rPr>
        <w:footnoteRef/>
      </w:r>
      <w:r>
        <w:t xml:space="preserve"> [2019] HCA 1.</w:t>
      </w:r>
    </w:p>
  </w:footnote>
  <w:footnote w:id="11">
    <w:p w14:paraId="5B3519A3" w14:textId="6C2E9DB9" w:rsidR="00F767A7" w:rsidRDefault="00F767A7" w:rsidP="007B302D">
      <w:pPr>
        <w:pStyle w:val="FootnoteText"/>
      </w:pPr>
      <w:r>
        <w:rPr>
          <w:rStyle w:val="FootnoteReference"/>
        </w:rPr>
        <w:footnoteRef/>
      </w:r>
      <w:r>
        <w:t xml:space="preserve"> Ibid [53].</w:t>
      </w:r>
    </w:p>
  </w:footnote>
  <w:footnote w:id="12">
    <w:p w14:paraId="1F257310" w14:textId="6DF9FCCB" w:rsidR="00F767A7" w:rsidRDefault="00F767A7" w:rsidP="007B302D">
      <w:pPr>
        <w:pStyle w:val="FootnoteText"/>
      </w:pPr>
      <w:r>
        <w:rPr>
          <w:rStyle w:val="FootnoteReference"/>
        </w:rPr>
        <w:footnoteRef/>
      </w:r>
      <w:r>
        <w:t xml:space="preserve"> For example Nettle J at [116], Gordon J at [153]. </w:t>
      </w:r>
    </w:p>
  </w:footnote>
  <w:footnote w:id="13">
    <w:p w14:paraId="7ABBDCB0" w14:textId="5E6127D8" w:rsidR="00F767A7" w:rsidRDefault="00F767A7" w:rsidP="007B302D">
      <w:pPr>
        <w:pStyle w:val="FootnoteText"/>
      </w:pPr>
      <w:r>
        <w:rPr>
          <w:rStyle w:val="FootnoteReference"/>
        </w:rPr>
        <w:footnoteRef/>
      </w:r>
      <w:r>
        <w:t xml:space="preserve"> </w:t>
      </w:r>
      <w:r w:rsidRPr="00DF6C60">
        <w:rPr>
          <w:i/>
        </w:rPr>
        <w:t>Unions NSW v New South Wales</w:t>
      </w:r>
      <w:r>
        <w:t xml:space="preserve"> [2019] HCA 1 [31].</w:t>
      </w:r>
    </w:p>
  </w:footnote>
  <w:footnote w:id="14">
    <w:p w14:paraId="140E4EC4" w14:textId="2926CD2E" w:rsidR="00F767A7" w:rsidRDefault="00F767A7" w:rsidP="007B302D">
      <w:pPr>
        <w:pStyle w:val="FootnoteText"/>
      </w:pPr>
      <w:r>
        <w:rPr>
          <w:rStyle w:val="FootnoteReference"/>
        </w:rPr>
        <w:footnoteRef/>
      </w:r>
      <w:r>
        <w:t xml:space="preserve"> Ibid [90].</w:t>
      </w:r>
    </w:p>
  </w:footnote>
  <w:footnote w:id="15">
    <w:p w14:paraId="03F06E61" w14:textId="764ACBE8" w:rsidR="00F767A7" w:rsidRDefault="00F767A7" w:rsidP="007B302D">
      <w:pPr>
        <w:pStyle w:val="FootnoteText"/>
      </w:pPr>
      <w:r>
        <w:rPr>
          <w:rStyle w:val="FootnoteReference"/>
        </w:rPr>
        <w:footnoteRef/>
      </w:r>
      <w:r>
        <w:t xml:space="preserve"> Clause 22, proposed s 259.</w:t>
      </w:r>
    </w:p>
  </w:footnote>
  <w:footnote w:id="16">
    <w:p w14:paraId="39C7230E" w14:textId="7930F6E9" w:rsidR="00F767A7" w:rsidRDefault="00F767A7" w:rsidP="007B302D">
      <w:pPr>
        <w:pStyle w:val="FootnoteText"/>
      </w:pPr>
      <w:r>
        <w:rPr>
          <w:rStyle w:val="FootnoteReference"/>
        </w:rPr>
        <w:footnoteRef/>
      </w:r>
      <w:r>
        <w:t xml:space="preserve"> </w:t>
      </w:r>
      <w:r w:rsidR="00485E30">
        <w:t>Clause</w:t>
      </w:r>
      <w:r>
        <w:t xml:space="preserve"> 22, proposed s 250. </w:t>
      </w:r>
    </w:p>
  </w:footnote>
  <w:footnote w:id="17">
    <w:p w14:paraId="2798A32F" w14:textId="2D0B1D0F" w:rsidR="00F767A7" w:rsidRDefault="00F767A7" w:rsidP="007B302D">
      <w:pPr>
        <w:pStyle w:val="FootnoteText"/>
      </w:pPr>
      <w:r>
        <w:rPr>
          <w:rStyle w:val="FootnoteReference"/>
        </w:rPr>
        <w:footnoteRef/>
      </w:r>
      <w:r>
        <w:t xml:space="preserve"> Under the </w:t>
      </w:r>
      <w:r>
        <w:rPr>
          <w:i/>
        </w:rPr>
        <w:t>Charities Act 2013</w:t>
      </w:r>
      <w:r>
        <w:t xml:space="preserve"> (Cth), charities must act for the public benefit and are prohibited from having a ‘disqualifying purpose’, which under s 11 includes promoting or opposing a candidate or political party. </w:t>
      </w:r>
    </w:p>
  </w:footnote>
  <w:footnote w:id="18">
    <w:p w14:paraId="25B90669" w14:textId="77777777" w:rsidR="00F767A7" w:rsidRDefault="00F767A7" w:rsidP="007B302D">
      <w:pPr>
        <w:pStyle w:val="FootnoteText"/>
        <w:rPr>
          <w:i/>
        </w:rPr>
      </w:pPr>
      <w:r>
        <w:rPr>
          <w:rStyle w:val="FootnoteReference"/>
        </w:rPr>
        <w:footnoteRef/>
      </w:r>
      <w:r>
        <w:t xml:space="preserve"> Victoria, </w:t>
      </w:r>
      <w:r>
        <w:rPr>
          <w:i/>
        </w:rPr>
        <w:t>Parliamentary Debates,</w:t>
      </w:r>
      <w:r>
        <w:t xml:space="preserve"> Legislative Assembly</w:t>
      </w:r>
      <w:r>
        <w:rPr>
          <w:i/>
        </w:rPr>
        <w:t xml:space="preserve"> </w:t>
      </w:r>
      <w:r>
        <w:t xml:space="preserve">10 May 2018, 1346. </w:t>
      </w:r>
      <w:r>
        <w:rPr>
          <w:i/>
        </w:rPr>
        <w:t xml:space="preserve"> </w:t>
      </w:r>
    </w:p>
  </w:footnote>
  <w:footnote w:id="19">
    <w:p w14:paraId="4637B6CC" w14:textId="77777777" w:rsidR="00F767A7" w:rsidRDefault="00F767A7" w:rsidP="007B302D">
      <w:pPr>
        <w:pStyle w:val="FootnoteText"/>
      </w:pPr>
      <w:r>
        <w:rPr>
          <w:rStyle w:val="FootnoteReference"/>
        </w:rPr>
        <w:footnoteRef/>
      </w:r>
      <w:r>
        <w:t xml:space="preserve"> Ibid. </w:t>
      </w:r>
    </w:p>
  </w:footnote>
  <w:footnote w:id="20">
    <w:p w14:paraId="626C82FA" w14:textId="77777777" w:rsidR="00F767A7" w:rsidRDefault="00F767A7" w:rsidP="007B302D">
      <w:pPr>
        <w:pStyle w:val="FootnoteText"/>
      </w:pPr>
      <w:r>
        <w:rPr>
          <w:rStyle w:val="FootnoteReference"/>
        </w:rPr>
        <w:footnoteRef/>
      </w:r>
      <w:r>
        <w:t xml:space="preserve"> See for example </w:t>
      </w:r>
      <w:r>
        <w:rPr>
          <w:i/>
        </w:rPr>
        <w:t xml:space="preserve">Criminal Code Act 1995 </w:t>
      </w:r>
      <w:r>
        <w:t xml:space="preserve">(Cth) Division 13. </w:t>
      </w:r>
    </w:p>
  </w:footnote>
  <w:footnote w:id="21">
    <w:p w14:paraId="77E9ACF9" w14:textId="21F15200" w:rsidR="00F767A7" w:rsidRDefault="00F767A7" w:rsidP="007B302D">
      <w:pPr>
        <w:pStyle w:val="FootnoteText"/>
      </w:pPr>
      <w:r>
        <w:rPr>
          <w:rStyle w:val="FootnoteReference"/>
        </w:rPr>
        <w:footnoteRef/>
      </w:r>
      <w:r>
        <w:t xml:space="preserve"> Parliamentary Joint Committee on Human Rights, Parliament of Australia, </w:t>
      </w:r>
      <w:r w:rsidRPr="00357ACB">
        <w:rPr>
          <w:i/>
        </w:rPr>
        <w:t>Guidance Note 2: Offence provisions, civil penalties and human rights,</w:t>
      </w:r>
      <w:r>
        <w:t xml:space="preserve"> (December 2014), 2. </w:t>
      </w:r>
    </w:p>
  </w:footnote>
  <w:footnote w:id="22">
    <w:p w14:paraId="5A9DCBD5" w14:textId="36949360" w:rsidR="00F767A7" w:rsidRDefault="00F767A7" w:rsidP="007B302D">
      <w:pPr>
        <w:pStyle w:val="FootnoteText"/>
      </w:pPr>
      <w:r>
        <w:rPr>
          <w:rStyle w:val="FootnoteReference"/>
        </w:rPr>
        <w:footnoteRef/>
      </w:r>
      <w:r>
        <w:t xml:space="preserve"> </w:t>
      </w:r>
      <w:r>
        <w:rPr>
          <w:i/>
        </w:rPr>
        <w:t>Psychology Board of Australia v Ildiri</w:t>
      </w:r>
      <w:r>
        <w:t xml:space="preserve"> (Occupational and Business Regulation) [2011] VCAT 1036.</w:t>
      </w:r>
    </w:p>
  </w:footnote>
  <w:footnote w:id="23">
    <w:p w14:paraId="72A1A27C" w14:textId="7D1B2751" w:rsidR="00F767A7" w:rsidRDefault="00F767A7" w:rsidP="007B302D">
      <w:pPr>
        <w:pStyle w:val="FootnoteText"/>
      </w:pPr>
      <w:r>
        <w:rPr>
          <w:rStyle w:val="FootnoteReference"/>
        </w:rPr>
        <w:footnoteRef/>
      </w:r>
      <w:r>
        <w:t xml:space="preserve"> [1960] HCA 40; (1960) 104 CLR 186.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9FFAA" w14:textId="77777777" w:rsidR="00F767A7" w:rsidRPr="009116DC" w:rsidRDefault="00F767A7" w:rsidP="000731D3">
    <w:pPr>
      <w:pStyle w:val="Header"/>
      <w:rPr>
        <w:rFonts w:ascii="Arial" w:hAnsi="Arial" w:cs="Arial"/>
        <w:color w:val="365F91" w:themeColor="accent1" w:themeShade="BF"/>
        <w:sz w:val="20"/>
        <w:szCs w:val="20"/>
      </w:rPr>
    </w:pPr>
    <w:r>
      <w:rPr>
        <w:rFonts w:ascii="Arial" w:hAnsi="Arial" w:cs="Arial"/>
        <w:color w:val="365F91" w:themeColor="accent1" w:themeShade="BF"/>
        <w:sz w:val="20"/>
        <w:szCs w:val="20"/>
      </w:rPr>
      <w:t xml:space="preserve">QHRC submission: </w:t>
    </w:r>
    <w:r w:rsidRPr="007B302D">
      <w:rPr>
        <w:rFonts w:ascii="Arial" w:hAnsi="Arial" w:cs="Arial"/>
        <w:color w:val="365F91" w:themeColor="accent1" w:themeShade="BF"/>
        <w:sz w:val="20"/>
        <w:szCs w:val="20"/>
      </w:rPr>
      <w:t>Electoral and Other Legislation (Accountability, Integrity and Other Matters) Amendment Bill 2019</w:t>
    </w:r>
  </w:p>
  <w:p w14:paraId="3401D5B5" w14:textId="77777777" w:rsidR="00F767A7" w:rsidRPr="000731D3" w:rsidRDefault="00F767A7" w:rsidP="000731D3">
    <w:pPr>
      <w:pStyle w:val="Header"/>
      <w:pBdr>
        <w:bottom w:val="single" w:sz="4" w:space="1" w:color="auto"/>
      </w:pBdr>
      <w:rPr>
        <w:rFonts w:ascii="Arial" w:hAnsi="Arial" w:cs="Arial"/>
        <w:sz w:val="20"/>
        <w:szCs w:val="20"/>
      </w:rPr>
    </w:pPr>
  </w:p>
  <w:p w14:paraId="45704D08" w14:textId="77777777" w:rsidR="00F767A7" w:rsidRPr="000731D3" w:rsidRDefault="00F767A7" w:rsidP="00073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20CFB" w14:textId="2107B173" w:rsidR="00F767A7" w:rsidRPr="00266F9A" w:rsidRDefault="00F767A7" w:rsidP="00DF6C60">
    <w:pPr>
      <w:pStyle w:val="Header"/>
    </w:pPr>
    <w:r w:rsidRPr="00F63848">
      <w:rPr>
        <w:noProof/>
        <w:lang w:eastAsia="en-AU"/>
      </w:rPr>
      <w:drawing>
        <wp:inline distT="0" distB="0" distL="0" distR="0" wp14:anchorId="3F2F5894" wp14:editId="1665EA67">
          <wp:extent cx="4095750" cy="1635396"/>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5565" cy="16473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744E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4866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243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CA8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4E7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3C31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E021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461B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5C0A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18ED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7B428D6"/>
    <w:multiLevelType w:val="hybridMultilevel"/>
    <w:tmpl w:val="FA0C5A22"/>
    <w:lvl w:ilvl="0" w:tplc="F9B65CB4">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097A3CAF"/>
    <w:multiLevelType w:val="hybridMultilevel"/>
    <w:tmpl w:val="674891B2"/>
    <w:lvl w:ilvl="0" w:tplc="0C09000F">
      <w:start w:val="1"/>
      <w:numFmt w:val="decimal"/>
      <w:lvlText w:val="%1."/>
      <w:lvlJc w:val="left"/>
      <w:pPr>
        <w:ind w:left="720" w:hanging="360"/>
      </w:pPr>
    </w:lvl>
    <w:lvl w:ilvl="1" w:tplc="D1AA2608">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0250E7E"/>
    <w:multiLevelType w:val="multilevel"/>
    <w:tmpl w:val="9502FB24"/>
    <w:lvl w:ilvl="0">
      <w:start w:val="1"/>
      <w:numFmt w:val="decimal"/>
      <w:pStyle w:val="Numberedparagraph"/>
      <w:lvlText w:val="%1."/>
      <w:lvlJc w:val="left"/>
      <w:pPr>
        <w:ind w:left="567" w:hanging="567"/>
      </w:pPr>
      <w:rPr>
        <w:rFonts w:hint="default"/>
        <w:i w:val="0"/>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4"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5" w15:restartNumberingAfterBreak="0">
    <w:nsid w:val="3164161E"/>
    <w:multiLevelType w:val="hybridMultilevel"/>
    <w:tmpl w:val="57CE0F32"/>
    <w:lvl w:ilvl="0" w:tplc="8A603042">
      <w:start w:val="1"/>
      <w:numFmt w:val="bullet"/>
      <w:lvlText w:val=""/>
      <w:lvlJc w:val="left"/>
      <w:pPr>
        <w:ind w:left="780" w:hanging="360"/>
      </w:pPr>
      <w:rPr>
        <w:rFonts w:ascii="Wingdings" w:hAnsi="Wingdings" w:hint="default"/>
        <w:sz w:val="24"/>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6" w15:restartNumberingAfterBreak="0">
    <w:nsid w:val="38956138"/>
    <w:multiLevelType w:val="hybridMultilevel"/>
    <w:tmpl w:val="C6BE1028"/>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BDB0907"/>
    <w:multiLevelType w:val="hybridMultilevel"/>
    <w:tmpl w:val="0F544D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32A6909"/>
    <w:multiLevelType w:val="hybridMultilevel"/>
    <w:tmpl w:val="83C21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3"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AB524B"/>
    <w:multiLevelType w:val="multilevel"/>
    <w:tmpl w:val="7CECFD1E"/>
    <w:lvl w:ilvl="0">
      <w:start w:val="1"/>
      <w:numFmt w:val="decimal"/>
      <w:lvlText w:val="%1."/>
      <w:lvlJc w:val="left"/>
      <w:pPr>
        <w:ind w:left="567" w:hanging="567"/>
      </w:pPr>
      <w:rPr>
        <w:rFonts w:hint="default"/>
        <w:i w:val="0"/>
      </w:rPr>
    </w:lvl>
    <w:lvl w:ilvl="1">
      <w:start w:val="1"/>
      <w:numFmt w:val="bullet"/>
      <w:lvlText w:val=""/>
      <w:lvlJc w:val="left"/>
      <w:pPr>
        <w:ind w:left="907" w:hanging="283"/>
      </w:pPr>
      <w:rPr>
        <w:rFonts w:ascii="Symbol" w:hAnsi="Symbol"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5" w15:restartNumberingAfterBreak="0">
    <w:nsid w:val="5F143D09"/>
    <w:multiLevelType w:val="hybridMultilevel"/>
    <w:tmpl w:val="17D81F82"/>
    <w:lvl w:ilvl="0" w:tplc="2348D20E">
      <w:start w:val="1"/>
      <w:numFmt w:val="decimal"/>
      <w:pStyle w:val="NormalNum"/>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72F74"/>
    <w:multiLevelType w:val="hybridMultilevel"/>
    <w:tmpl w:val="48FA0BDA"/>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1"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2" w15:restartNumberingAfterBreak="0">
    <w:nsid w:val="6BFB5B95"/>
    <w:multiLevelType w:val="hybridMultilevel"/>
    <w:tmpl w:val="B7140F68"/>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F973F92"/>
    <w:multiLevelType w:val="hybridMultilevel"/>
    <w:tmpl w:val="1758D6C6"/>
    <w:lvl w:ilvl="0" w:tplc="8A603042">
      <w:start w:val="1"/>
      <w:numFmt w:val="bullet"/>
      <w:lvlText w:val=""/>
      <w:lvlJc w:val="left"/>
      <w:pPr>
        <w:ind w:left="1080" w:hanging="360"/>
      </w:pPr>
      <w:rPr>
        <w:rFonts w:ascii="Wingdings" w:hAnsi="Wingdings" w:hint="default"/>
        <w:sz w:val="24"/>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4"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35"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75230DA9"/>
    <w:multiLevelType w:val="hybridMultilevel"/>
    <w:tmpl w:val="956A88E8"/>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7221256"/>
    <w:multiLevelType w:val="hybridMultilevel"/>
    <w:tmpl w:val="4802CC3A"/>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7804023E"/>
    <w:multiLevelType w:val="hybridMultilevel"/>
    <w:tmpl w:val="40683B8C"/>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9EA5312"/>
    <w:multiLevelType w:val="hybridMultilevel"/>
    <w:tmpl w:val="3794AFEE"/>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9FC794C"/>
    <w:multiLevelType w:val="multilevel"/>
    <w:tmpl w:val="70525272"/>
    <w:lvl w:ilvl="0">
      <w:start w:val="1"/>
      <w:numFmt w:val="decimal"/>
      <w:lvlText w:val="%1."/>
      <w:lvlJc w:val="left"/>
      <w:pPr>
        <w:ind w:left="567" w:hanging="567"/>
      </w:pPr>
      <w:rPr>
        <w:rFonts w:hint="default"/>
        <w:i w:val="0"/>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1" w15:restartNumberingAfterBreak="0">
    <w:nsid w:val="7B33349A"/>
    <w:multiLevelType w:val="hybridMultilevel"/>
    <w:tmpl w:val="17EAF17C"/>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34"/>
  </w:num>
  <w:num w:numId="4">
    <w:abstractNumId w:val="20"/>
  </w:num>
  <w:num w:numId="5">
    <w:abstractNumId w:val="23"/>
  </w:num>
  <w:num w:numId="6">
    <w:abstractNumId w:val="28"/>
  </w:num>
  <w:num w:numId="7">
    <w:abstractNumId w:val="10"/>
  </w:num>
  <w:num w:numId="8">
    <w:abstractNumId w:val="21"/>
  </w:num>
  <w:num w:numId="9">
    <w:abstractNumId w:val="31"/>
  </w:num>
  <w:num w:numId="10">
    <w:abstractNumId w:val="35"/>
  </w:num>
  <w:num w:numId="11">
    <w:abstractNumId w:val="29"/>
  </w:num>
  <w:num w:numId="12">
    <w:abstractNumId w:val="22"/>
  </w:num>
  <w:num w:numId="13">
    <w:abstractNumId w:val="13"/>
  </w:num>
  <w:num w:numId="14">
    <w:abstractNumId w:val="14"/>
  </w:num>
  <w:num w:numId="15">
    <w:abstractNumId w:val="20"/>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30"/>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7"/>
  </w:num>
  <w:num w:numId="20">
    <w:abstractNumId w:val="32"/>
  </w:num>
  <w:num w:numId="21">
    <w:abstractNumId w:val="33"/>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9"/>
  </w:num>
  <w:num w:numId="25">
    <w:abstractNumId w:val="41"/>
  </w:num>
  <w:num w:numId="26">
    <w:abstractNumId w:val="15"/>
  </w:num>
  <w:num w:numId="27">
    <w:abstractNumId w:val="16"/>
  </w:num>
  <w:num w:numId="28">
    <w:abstractNumId w:val="36"/>
  </w:num>
  <w:num w:numId="29">
    <w:abstractNumId w:val="27"/>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2"/>
  </w:num>
  <w:num w:numId="41">
    <w:abstractNumId w:val="40"/>
  </w:num>
  <w:num w:numId="42">
    <w:abstractNumId w:val="18"/>
  </w:num>
  <w:num w:numId="43">
    <w:abstractNumId w:val="24"/>
  </w:num>
  <w:num w:numId="44">
    <w:abstractNumId w:val="11"/>
  </w:num>
  <w:num w:numId="45">
    <w:abstractNumId w:val="13"/>
  </w:num>
  <w:num w:numId="46">
    <w:abstractNumId w:val="13"/>
  </w:num>
  <w:num w:numId="47">
    <w:abstractNumId w:val="13"/>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D0"/>
    <w:rsid w:val="00002F05"/>
    <w:rsid w:val="0002351E"/>
    <w:rsid w:val="00041E58"/>
    <w:rsid w:val="00044A7F"/>
    <w:rsid w:val="00045B46"/>
    <w:rsid w:val="00047983"/>
    <w:rsid w:val="00054120"/>
    <w:rsid w:val="00056960"/>
    <w:rsid w:val="00057023"/>
    <w:rsid w:val="00057D21"/>
    <w:rsid w:val="00063EDF"/>
    <w:rsid w:val="00072CE6"/>
    <w:rsid w:val="000731D3"/>
    <w:rsid w:val="00075AB0"/>
    <w:rsid w:val="0007682B"/>
    <w:rsid w:val="00095FBB"/>
    <w:rsid w:val="00096517"/>
    <w:rsid w:val="000A201B"/>
    <w:rsid w:val="000A2665"/>
    <w:rsid w:val="000B6C72"/>
    <w:rsid w:val="000B794F"/>
    <w:rsid w:val="000D49A5"/>
    <w:rsid w:val="000E1039"/>
    <w:rsid w:val="000F0BC1"/>
    <w:rsid w:val="000F4098"/>
    <w:rsid w:val="00105217"/>
    <w:rsid w:val="001066BD"/>
    <w:rsid w:val="00121E6F"/>
    <w:rsid w:val="00124A35"/>
    <w:rsid w:val="001304EE"/>
    <w:rsid w:val="00163B1B"/>
    <w:rsid w:val="001825CB"/>
    <w:rsid w:val="00182865"/>
    <w:rsid w:val="00182E06"/>
    <w:rsid w:val="001916E4"/>
    <w:rsid w:val="0019203A"/>
    <w:rsid w:val="00195E9F"/>
    <w:rsid w:val="001A12BD"/>
    <w:rsid w:val="001B1A27"/>
    <w:rsid w:val="001B5470"/>
    <w:rsid w:val="001B57C6"/>
    <w:rsid w:val="001C01FD"/>
    <w:rsid w:val="001C127F"/>
    <w:rsid w:val="001C143E"/>
    <w:rsid w:val="001C15DD"/>
    <w:rsid w:val="001D50C0"/>
    <w:rsid w:val="001D7758"/>
    <w:rsid w:val="001E3A26"/>
    <w:rsid w:val="001F3F19"/>
    <w:rsid w:val="001F5F4B"/>
    <w:rsid w:val="0022498C"/>
    <w:rsid w:val="00227178"/>
    <w:rsid w:val="00233F52"/>
    <w:rsid w:val="00235527"/>
    <w:rsid w:val="00240EF9"/>
    <w:rsid w:val="0024194E"/>
    <w:rsid w:val="00253B42"/>
    <w:rsid w:val="00266F9A"/>
    <w:rsid w:val="00283D88"/>
    <w:rsid w:val="00284FF0"/>
    <w:rsid w:val="00292C50"/>
    <w:rsid w:val="002A03F1"/>
    <w:rsid w:val="002B65D4"/>
    <w:rsid w:val="002D46A2"/>
    <w:rsid w:val="002E433B"/>
    <w:rsid w:val="00310CB2"/>
    <w:rsid w:val="00312C2A"/>
    <w:rsid w:val="003204FA"/>
    <w:rsid w:val="00321445"/>
    <w:rsid w:val="0032516B"/>
    <w:rsid w:val="0033216F"/>
    <w:rsid w:val="0034134D"/>
    <w:rsid w:val="00344F59"/>
    <w:rsid w:val="00350D39"/>
    <w:rsid w:val="00350EE3"/>
    <w:rsid w:val="0035654D"/>
    <w:rsid w:val="00357ACB"/>
    <w:rsid w:val="00370336"/>
    <w:rsid w:val="003847F0"/>
    <w:rsid w:val="00392522"/>
    <w:rsid w:val="00395332"/>
    <w:rsid w:val="003A666E"/>
    <w:rsid w:val="003B197E"/>
    <w:rsid w:val="003B6937"/>
    <w:rsid w:val="003C6A61"/>
    <w:rsid w:val="003D3AAC"/>
    <w:rsid w:val="003D625C"/>
    <w:rsid w:val="003E0B9B"/>
    <w:rsid w:val="003F6F7E"/>
    <w:rsid w:val="00417F6B"/>
    <w:rsid w:val="00421429"/>
    <w:rsid w:val="00430CCB"/>
    <w:rsid w:val="00431D51"/>
    <w:rsid w:val="004418EC"/>
    <w:rsid w:val="004424F3"/>
    <w:rsid w:val="00451416"/>
    <w:rsid w:val="004538FC"/>
    <w:rsid w:val="0045765D"/>
    <w:rsid w:val="00460CA1"/>
    <w:rsid w:val="00463BEF"/>
    <w:rsid w:val="00466216"/>
    <w:rsid w:val="00485E30"/>
    <w:rsid w:val="004A2375"/>
    <w:rsid w:val="004A6F71"/>
    <w:rsid w:val="004B0599"/>
    <w:rsid w:val="004B71ED"/>
    <w:rsid w:val="004C2886"/>
    <w:rsid w:val="004E3D6B"/>
    <w:rsid w:val="004E58C1"/>
    <w:rsid w:val="004F2CB8"/>
    <w:rsid w:val="004F4CB1"/>
    <w:rsid w:val="005009D5"/>
    <w:rsid w:val="00502924"/>
    <w:rsid w:val="00516283"/>
    <w:rsid w:val="00517D74"/>
    <w:rsid w:val="00541DD0"/>
    <w:rsid w:val="00580083"/>
    <w:rsid w:val="00585747"/>
    <w:rsid w:val="005916EB"/>
    <w:rsid w:val="005A54FC"/>
    <w:rsid w:val="005B404C"/>
    <w:rsid w:val="005B7E50"/>
    <w:rsid w:val="005C3FB8"/>
    <w:rsid w:val="005D5A16"/>
    <w:rsid w:val="005E1A43"/>
    <w:rsid w:val="005E452A"/>
    <w:rsid w:val="005E5159"/>
    <w:rsid w:val="005F0F47"/>
    <w:rsid w:val="00617E4F"/>
    <w:rsid w:val="00627334"/>
    <w:rsid w:val="006335BE"/>
    <w:rsid w:val="00644E93"/>
    <w:rsid w:val="006466AD"/>
    <w:rsid w:val="006769BF"/>
    <w:rsid w:val="00694221"/>
    <w:rsid w:val="006A39A0"/>
    <w:rsid w:val="006A3E5A"/>
    <w:rsid w:val="006A7B3A"/>
    <w:rsid w:val="006E7ACA"/>
    <w:rsid w:val="006F0979"/>
    <w:rsid w:val="006F1EFD"/>
    <w:rsid w:val="006F1F8D"/>
    <w:rsid w:val="00701BE5"/>
    <w:rsid w:val="007047F5"/>
    <w:rsid w:val="007069A1"/>
    <w:rsid w:val="00706A05"/>
    <w:rsid w:val="00730224"/>
    <w:rsid w:val="00735BA1"/>
    <w:rsid w:val="00751AE0"/>
    <w:rsid w:val="00760129"/>
    <w:rsid w:val="007619FB"/>
    <w:rsid w:val="00763604"/>
    <w:rsid w:val="00776828"/>
    <w:rsid w:val="007A45D7"/>
    <w:rsid w:val="007B302D"/>
    <w:rsid w:val="007B538A"/>
    <w:rsid w:val="007C47D8"/>
    <w:rsid w:val="007C510E"/>
    <w:rsid w:val="007C62E7"/>
    <w:rsid w:val="007D0694"/>
    <w:rsid w:val="007D0AF8"/>
    <w:rsid w:val="007D76F6"/>
    <w:rsid w:val="007F4F44"/>
    <w:rsid w:val="0080290B"/>
    <w:rsid w:val="008037F9"/>
    <w:rsid w:val="00805768"/>
    <w:rsid w:val="008101EC"/>
    <w:rsid w:val="00814DAD"/>
    <w:rsid w:val="00827429"/>
    <w:rsid w:val="008470F3"/>
    <w:rsid w:val="00850155"/>
    <w:rsid w:val="0086439D"/>
    <w:rsid w:val="00867AFD"/>
    <w:rsid w:val="00871324"/>
    <w:rsid w:val="0089208D"/>
    <w:rsid w:val="008930A1"/>
    <w:rsid w:val="00894023"/>
    <w:rsid w:val="008970A8"/>
    <w:rsid w:val="008B0352"/>
    <w:rsid w:val="008B3191"/>
    <w:rsid w:val="008C3D59"/>
    <w:rsid w:val="008C6189"/>
    <w:rsid w:val="008D29B3"/>
    <w:rsid w:val="008D4D8D"/>
    <w:rsid w:val="008E2FB8"/>
    <w:rsid w:val="008E304C"/>
    <w:rsid w:val="008E792D"/>
    <w:rsid w:val="0090102E"/>
    <w:rsid w:val="00905A21"/>
    <w:rsid w:val="009116DC"/>
    <w:rsid w:val="00912E7D"/>
    <w:rsid w:val="00914828"/>
    <w:rsid w:val="00960631"/>
    <w:rsid w:val="009746DD"/>
    <w:rsid w:val="00987057"/>
    <w:rsid w:val="009962E8"/>
    <w:rsid w:val="00997B58"/>
    <w:rsid w:val="009A556B"/>
    <w:rsid w:val="009D3109"/>
    <w:rsid w:val="009D3B40"/>
    <w:rsid w:val="009F3E8A"/>
    <w:rsid w:val="00A0082F"/>
    <w:rsid w:val="00A023C1"/>
    <w:rsid w:val="00A16356"/>
    <w:rsid w:val="00A30198"/>
    <w:rsid w:val="00A35BBA"/>
    <w:rsid w:val="00A45369"/>
    <w:rsid w:val="00A53D1F"/>
    <w:rsid w:val="00A70E36"/>
    <w:rsid w:val="00A72D5B"/>
    <w:rsid w:val="00A90373"/>
    <w:rsid w:val="00A914B7"/>
    <w:rsid w:val="00AA24C6"/>
    <w:rsid w:val="00AB2C2C"/>
    <w:rsid w:val="00AC25D3"/>
    <w:rsid w:val="00AC5A1E"/>
    <w:rsid w:val="00AE176D"/>
    <w:rsid w:val="00AE3A61"/>
    <w:rsid w:val="00AF0BDD"/>
    <w:rsid w:val="00B03079"/>
    <w:rsid w:val="00B05459"/>
    <w:rsid w:val="00B11054"/>
    <w:rsid w:val="00B360EA"/>
    <w:rsid w:val="00B41356"/>
    <w:rsid w:val="00B46BAB"/>
    <w:rsid w:val="00B50F67"/>
    <w:rsid w:val="00B67E6E"/>
    <w:rsid w:val="00B82CE9"/>
    <w:rsid w:val="00B83AE9"/>
    <w:rsid w:val="00B8743D"/>
    <w:rsid w:val="00B87FB4"/>
    <w:rsid w:val="00B91EA6"/>
    <w:rsid w:val="00B933A9"/>
    <w:rsid w:val="00BB0B80"/>
    <w:rsid w:val="00BB2F50"/>
    <w:rsid w:val="00BC31F6"/>
    <w:rsid w:val="00C108AF"/>
    <w:rsid w:val="00C255F9"/>
    <w:rsid w:val="00C33416"/>
    <w:rsid w:val="00C35743"/>
    <w:rsid w:val="00C4116E"/>
    <w:rsid w:val="00C526DC"/>
    <w:rsid w:val="00C627FD"/>
    <w:rsid w:val="00C641D7"/>
    <w:rsid w:val="00C6621A"/>
    <w:rsid w:val="00C66E1D"/>
    <w:rsid w:val="00C8564F"/>
    <w:rsid w:val="00C921E9"/>
    <w:rsid w:val="00C9716F"/>
    <w:rsid w:val="00CA162B"/>
    <w:rsid w:val="00CA23CF"/>
    <w:rsid w:val="00CA4879"/>
    <w:rsid w:val="00CB0BBF"/>
    <w:rsid w:val="00CC2E5C"/>
    <w:rsid w:val="00CD7704"/>
    <w:rsid w:val="00CE14AA"/>
    <w:rsid w:val="00CE4544"/>
    <w:rsid w:val="00D102EC"/>
    <w:rsid w:val="00D21103"/>
    <w:rsid w:val="00D33110"/>
    <w:rsid w:val="00D33FEE"/>
    <w:rsid w:val="00D35B0E"/>
    <w:rsid w:val="00D50C27"/>
    <w:rsid w:val="00D61B81"/>
    <w:rsid w:val="00D6241A"/>
    <w:rsid w:val="00D72B38"/>
    <w:rsid w:val="00D74335"/>
    <w:rsid w:val="00D76F2A"/>
    <w:rsid w:val="00D86386"/>
    <w:rsid w:val="00DA7697"/>
    <w:rsid w:val="00DC0A10"/>
    <w:rsid w:val="00DC0EDF"/>
    <w:rsid w:val="00DC553C"/>
    <w:rsid w:val="00DC7216"/>
    <w:rsid w:val="00DC7280"/>
    <w:rsid w:val="00DD2998"/>
    <w:rsid w:val="00DD4168"/>
    <w:rsid w:val="00DD5B86"/>
    <w:rsid w:val="00DD7883"/>
    <w:rsid w:val="00DE62F6"/>
    <w:rsid w:val="00DF1746"/>
    <w:rsid w:val="00DF2C0A"/>
    <w:rsid w:val="00DF5AE3"/>
    <w:rsid w:val="00DF6C60"/>
    <w:rsid w:val="00E02BF6"/>
    <w:rsid w:val="00E15E88"/>
    <w:rsid w:val="00E1631A"/>
    <w:rsid w:val="00E30AE6"/>
    <w:rsid w:val="00E34F61"/>
    <w:rsid w:val="00E54B68"/>
    <w:rsid w:val="00E57811"/>
    <w:rsid w:val="00E6776E"/>
    <w:rsid w:val="00E75312"/>
    <w:rsid w:val="00E7746A"/>
    <w:rsid w:val="00E91A9E"/>
    <w:rsid w:val="00E940D7"/>
    <w:rsid w:val="00EA0FB4"/>
    <w:rsid w:val="00EB3433"/>
    <w:rsid w:val="00EB5211"/>
    <w:rsid w:val="00EB6445"/>
    <w:rsid w:val="00EB7E3E"/>
    <w:rsid w:val="00EC4641"/>
    <w:rsid w:val="00ED0709"/>
    <w:rsid w:val="00ED426F"/>
    <w:rsid w:val="00ED6006"/>
    <w:rsid w:val="00EE20D8"/>
    <w:rsid w:val="00EF2CD3"/>
    <w:rsid w:val="00EF4347"/>
    <w:rsid w:val="00F12660"/>
    <w:rsid w:val="00F146D4"/>
    <w:rsid w:val="00F4420D"/>
    <w:rsid w:val="00F47D85"/>
    <w:rsid w:val="00F51338"/>
    <w:rsid w:val="00F552D1"/>
    <w:rsid w:val="00F558ED"/>
    <w:rsid w:val="00F55DEB"/>
    <w:rsid w:val="00F73546"/>
    <w:rsid w:val="00F767A7"/>
    <w:rsid w:val="00FB4D15"/>
    <w:rsid w:val="00FD4014"/>
    <w:rsid w:val="00FE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113CE25B"/>
  <w14:defaultImageDpi w14:val="300"/>
  <w15:docId w15:val="{8CE17EB4-3D77-44A8-868C-7B1E60C2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02D"/>
    <w:rPr>
      <w:lang w:val="en-AU"/>
    </w:rPr>
  </w:style>
  <w:style w:type="paragraph" w:styleId="Heading1">
    <w:name w:val="heading 1"/>
    <w:basedOn w:val="Normal"/>
    <w:next w:val="Normal"/>
    <w:link w:val="Heading1Char"/>
    <w:uiPriority w:val="9"/>
    <w:qFormat/>
    <w:rsid w:val="007C510E"/>
    <w:pPr>
      <w:keepNext/>
      <w:keepLines/>
      <w:spacing w:before="240" w:after="240"/>
      <w:outlineLvl w:val="0"/>
    </w:pPr>
    <w:rPr>
      <w:rFonts w:ascii="Arial" w:eastAsiaTheme="majorEastAsia" w:hAnsi="Arial"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502924"/>
    <w:pPr>
      <w:keepNext/>
      <w:keepLines/>
      <w:spacing w:before="240" w:after="120"/>
      <w:outlineLvl w:val="1"/>
    </w:pPr>
    <w:rPr>
      <w:rFonts w:ascii="Arial" w:eastAsiaTheme="majorEastAsia" w:hAnsi="Arial" w:cstheme="majorBidi"/>
      <w:b/>
      <w:color w:val="365F91" w:themeColor="accent1" w:themeShade="BF"/>
    </w:rPr>
  </w:style>
  <w:style w:type="paragraph" w:styleId="Heading3">
    <w:name w:val="heading 3"/>
    <w:basedOn w:val="Normal"/>
    <w:next w:val="Normal"/>
    <w:link w:val="Heading3Char"/>
    <w:uiPriority w:val="9"/>
    <w:unhideWhenUsed/>
    <w:qFormat/>
    <w:rsid w:val="00502924"/>
    <w:pPr>
      <w:keepNext/>
      <w:keepLines/>
      <w:spacing w:before="240" w:after="120"/>
      <w:outlineLvl w:val="2"/>
    </w:pPr>
    <w:rPr>
      <w:rFonts w:ascii="Arial" w:eastAsiaTheme="majorEastAsia" w:hAnsi="Arial"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5_G"/>
    <w:basedOn w:val="Normal"/>
    <w:link w:val="FootnoteTextChar"/>
    <w:unhideWhenUsed/>
    <w:rsid w:val="00C33416"/>
    <w:rPr>
      <w:rFonts w:ascii="Arial" w:hAnsi="Arial"/>
      <w:sz w:val="20"/>
    </w:rPr>
  </w:style>
  <w:style w:type="character" w:customStyle="1" w:styleId="FootnoteTextChar">
    <w:name w:val="Footnote Text Char"/>
    <w:aliases w:val="5_G Char"/>
    <w:basedOn w:val="DefaultParagraphFont"/>
    <w:link w:val="FootnoteText"/>
    <w:rsid w:val="00C33416"/>
    <w:rPr>
      <w:rFonts w:ascii="Arial" w:hAnsi="Arial"/>
      <w:sz w:val="20"/>
    </w:rPr>
  </w:style>
  <w:style w:type="character" w:styleId="FootnoteReference">
    <w:name w:val="footnote reference"/>
    <w:aliases w:val="4_G"/>
    <w:basedOn w:val="DefaultParagraphFont"/>
    <w:unhideWhenUsed/>
    <w:rsid w:val="0034134D"/>
    <w:rPr>
      <w:vertAlign w:val="superscript"/>
    </w:rPr>
  </w:style>
  <w:style w:type="character" w:customStyle="1" w:styleId="Heading1Char">
    <w:name w:val="Heading 1 Char"/>
    <w:basedOn w:val="DefaultParagraphFont"/>
    <w:link w:val="Heading1"/>
    <w:uiPriority w:val="9"/>
    <w:rsid w:val="007C510E"/>
    <w:rPr>
      <w:rFonts w:ascii="Arial" w:eastAsiaTheme="majorEastAsia" w:hAnsi="Arial" w:cstheme="majorBidi"/>
      <w:b/>
      <w:color w:val="365F91" w:themeColor="accent1" w:themeShade="BF"/>
      <w:sz w:val="2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val="0"/>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502924"/>
    <w:rPr>
      <w:rFonts w:ascii="Arial" w:eastAsiaTheme="majorEastAsia" w:hAnsi="Arial" w:cstheme="majorBidi"/>
      <w:b/>
      <w:color w:val="365F91" w:themeColor="accent1" w:themeShade="BF"/>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502924"/>
    <w:rPr>
      <w:rFonts w:ascii="Arial" w:eastAsiaTheme="majorEastAsia" w:hAnsi="Arial" w:cstheme="majorBidi"/>
      <w:i/>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9116DC"/>
    <w:pPr>
      <w:spacing w:before="240" w:after="240" w:line="276" w:lineRule="auto"/>
      <w:ind w:left="907"/>
    </w:pPr>
    <w:rPr>
      <w:rFonts w:ascii="Arial" w:hAnsi="Arial"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9116DC"/>
    <w:rPr>
      <w:rFonts w:ascii="Arial" w:hAnsi="Arial" w:cs="Arial"/>
      <w:sz w:val="20"/>
      <w:szCs w:val="20"/>
    </w:rPr>
  </w:style>
  <w:style w:type="paragraph" w:customStyle="1" w:styleId="Bulletedlist">
    <w:name w:val="Bulleted list"/>
    <w:basedOn w:val="ListParagraph"/>
    <w:qFormat/>
    <w:rsid w:val="00B46BAB"/>
    <w:pPr>
      <w:numPr>
        <w:numId w:val="16"/>
      </w:numPr>
      <w:spacing w:after="240"/>
    </w:pPr>
    <w:rPr>
      <w:rFonts w:ascii="Arial" w:hAnsi="Arial" w:cs="Arial"/>
    </w:rPr>
  </w:style>
  <w:style w:type="paragraph" w:styleId="Title">
    <w:name w:val="Title"/>
    <w:basedOn w:val="Normal"/>
    <w:next w:val="Normal"/>
    <w:link w:val="TitleChar"/>
    <w:uiPriority w:val="10"/>
    <w:rsid w:val="007B302D"/>
    <w:pPr>
      <w:spacing w:before="120" w:after="240"/>
    </w:pPr>
    <w:rPr>
      <w:rFonts w:ascii="Arial" w:eastAsia="Calibri" w:hAnsi="Arial" w:cs="Arial"/>
      <w:b/>
      <w:color w:val="000000"/>
      <w:lang w:eastAsia="en-AU"/>
    </w:rPr>
  </w:style>
  <w:style w:type="character" w:customStyle="1" w:styleId="TitleChar">
    <w:name w:val="Title Char"/>
    <w:basedOn w:val="DefaultParagraphFont"/>
    <w:link w:val="Title"/>
    <w:uiPriority w:val="10"/>
    <w:rsid w:val="007B302D"/>
    <w:rPr>
      <w:rFonts w:ascii="Arial" w:eastAsia="Calibri" w:hAnsi="Arial" w:cs="Arial"/>
      <w:b/>
      <w:color w:val="000000"/>
      <w:lang w:val="en-AU" w:eastAsia="en-AU"/>
    </w:rPr>
  </w:style>
  <w:style w:type="character" w:customStyle="1" w:styleId="bodyquoteChar">
    <w:name w:val="body quote Char"/>
    <w:link w:val="bodyquote"/>
    <w:locked/>
    <w:rsid w:val="007B302D"/>
    <w:rPr>
      <w:rFonts w:ascii="Calibri" w:hAnsi="Calibri"/>
    </w:rPr>
  </w:style>
  <w:style w:type="paragraph" w:customStyle="1" w:styleId="bodyquote">
    <w:name w:val="body quote"/>
    <w:link w:val="bodyquoteChar"/>
    <w:rsid w:val="007B302D"/>
    <w:pPr>
      <w:spacing w:after="240"/>
      <w:ind w:left="709"/>
      <w:jc w:val="both"/>
    </w:pPr>
    <w:rPr>
      <w:rFonts w:ascii="Calibri" w:hAnsi="Calibri"/>
    </w:rPr>
  </w:style>
  <w:style w:type="paragraph" w:customStyle="1" w:styleId="NormalNum">
    <w:name w:val="Normal Num"/>
    <w:basedOn w:val="Normal"/>
    <w:rsid w:val="007B302D"/>
    <w:pPr>
      <w:numPr>
        <w:numId w:val="17"/>
      </w:numPr>
      <w:spacing w:before="120" w:after="120"/>
      <w:ind w:left="357" w:hanging="357"/>
    </w:pPr>
    <w:rPr>
      <w:rFonts w:ascii="Arial" w:eastAsia="Calibri" w:hAnsi="Arial" w:cs="Arial"/>
      <w:color w:val="000000"/>
      <w:sz w:val="22"/>
      <w:lang w:eastAsia="en-AU"/>
    </w:rPr>
  </w:style>
  <w:style w:type="paragraph" w:customStyle="1" w:styleId="bullet">
    <w:name w:val="bullet"/>
    <w:rsid w:val="007B302D"/>
    <w:pPr>
      <w:spacing w:after="200" w:line="276" w:lineRule="auto"/>
    </w:pPr>
    <w:rPr>
      <w:rFonts w:ascii="Arial" w:eastAsia="Calibri" w:hAnsi="Arial" w:cs="Arial"/>
      <w:color w:val="000000"/>
      <w:lang w:val="en-AU" w:eastAsia="en-AU"/>
    </w:rPr>
  </w:style>
  <w:style w:type="paragraph" w:styleId="Revision">
    <w:name w:val="Revision"/>
    <w:hidden/>
    <w:uiPriority w:val="99"/>
    <w:semiHidden/>
    <w:rsid w:val="00997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557524">
      <w:bodyDiv w:val="1"/>
      <w:marLeft w:val="0"/>
      <w:marRight w:val="0"/>
      <w:marTop w:val="0"/>
      <w:marBottom w:val="0"/>
      <w:divBdr>
        <w:top w:val="none" w:sz="0" w:space="0" w:color="auto"/>
        <w:left w:val="none" w:sz="0" w:space="0" w:color="auto"/>
        <w:bottom w:val="none" w:sz="0" w:space="0" w:color="auto"/>
        <w:right w:val="none" w:sz="0" w:space="0" w:color="auto"/>
      </w:divBdr>
    </w:div>
    <w:div w:id="10521173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cq-file01\Data\Shared\LEGAL%20RESEARCH%20&amp;%20POLICY%20(Team)\Sandpit\QHRC%20-%20long%20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60E292-1EF8-4DEA-8E71-B9200AF9B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 long submission</Template>
  <TotalTime>0</TotalTime>
  <Pages>17</Pages>
  <Words>5074</Words>
  <Characters>28927</Characters>
  <Application>Microsoft Office Word</Application>
  <DocSecurity>4</DocSecurity>
  <Lines>241</Lines>
  <Paragraphs>67</Paragraphs>
  <ScaleCrop>false</ScaleCrop>
  <HeadingPairs>
    <vt:vector size="2" baseType="variant">
      <vt:variant>
        <vt:lpstr>Title</vt:lpstr>
      </vt:variant>
      <vt:variant>
        <vt:i4>1</vt:i4>
      </vt:variant>
    </vt:vector>
  </HeadingPairs>
  <TitlesOfParts>
    <vt:vector size="1" baseType="lpstr">
      <vt:lpstr>Electoral and Other Legislation (Accountability, Integrity and Other Matters) Amendment Bill 2019 and related Inquiry</vt:lpstr>
    </vt:vector>
  </TitlesOfParts>
  <Company/>
  <LinksUpToDate>false</LinksUpToDate>
  <CharactersWithSpaces>33934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Electoral and Other Legislation (Accountability, Integrity and Other Matters) Amendment Bill 2019 and related Inquiry</dc:title>
  <dc:subject/>
  <dc:creator>Sean Costello</dc:creator>
  <cp:keywords/>
  <dc:description/>
  <cp:lastModifiedBy>Helen Bannerman</cp:lastModifiedBy>
  <cp:revision>2</cp:revision>
  <cp:lastPrinted>2020-01-15T03:33:00Z</cp:lastPrinted>
  <dcterms:created xsi:type="dcterms:W3CDTF">2020-02-03T05:52:00Z</dcterms:created>
  <dcterms:modified xsi:type="dcterms:W3CDTF">2020-02-03T05:52:00Z</dcterms:modified>
</cp:coreProperties>
</file>