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A7167" w14:textId="77777777" w:rsidR="007B302D" w:rsidRPr="00DC21E3" w:rsidRDefault="007B302D" w:rsidP="007B302D">
      <w:pPr>
        <w:tabs>
          <w:tab w:val="left" w:pos="1170"/>
        </w:tabs>
        <w:rPr>
          <w:rFonts w:ascii="Arial" w:hAnsi="Arial" w:cs="Arial"/>
          <w:sz w:val="22"/>
          <w:szCs w:val="22"/>
        </w:rPr>
      </w:pPr>
      <w:bookmarkStart w:id="0" w:name="_Toc28073511"/>
    </w:p>
    <w:p w14:paraId="394D52D0" w14:textId="77777777" w:rsidR="007B302D" w:rsidRPr="00457551" w:rsidRDefault="007B302D" w:rsidP="007B302D">
      <w:pPr>
        <w:tabs>
          <w:tab w:val="left" w:pos="1170"/>
        </w:tabs>
        <w:rPr>
          <w:rFonts w:ascii="Arial" w:hAnsi="Arial" w:cs="Arial"/>
          <w:sz w:val="22"/>
          <w:szCs w:val="22"/>
        </w:rPr>
      </w:pPr>
      <w:r w:rsidRPr="00457551">
        <w:rPr>
          <w:rFonts w:ascii="Arial" w:hAnsi="Arial" w:cs="Arial"/>
          <w:sz w:val="22"/>
          <w:szCs w:val="22"/>
        </w:rPr>
        <w:t>Our reference:  BNE 3416958</w:t>
      </w:r>
    </w:p>
    <w:p w14:paraId="666EB998" w14:textId="77777777" w:rsidR="007B302D" w:rsidRPr="00457551" w:rsidRDefault="007B302D" w:rsidP="007B302D">
      <w:pPr>
        <w:rPr>
          <w:rFonts w:ascii="Arial" w:hAnsi="Arial" w:cs="Arial"/>
          <w:sz w:val="22"/>
          <w:szCs w:val="22"/>
        </w:rPr>
      </w:pPr>
    </w:p>
    <w:p w14:paraId="40D2F9B9" w14:textId="6D406E3E" w:rsidR="007B302D" w:rsidRPr="00457551" w:rsidRDefault="00457551" w:rsidP="007B302D">
      <w:pPr>
        <w:rPr>
          <w:rFonts w:ascii="Arial" w:hAnsi="Arial" w:cs="Arial"/>
          <w:sz w:val="22"/>
          <w:szCs w:val="22"/>
        </w:rPr>
      </w:pPr>
      <w:r>
        <w:rPr>
          <w:rFonts w:ascii="Arial" w:hAnsi="Arial" w:cs="Arial"/>
          <w:sz w:val="22"/>
          <w:szCs w:val="22"/>
        </w:rPr>
        <w:t>3 February</w:t>
      </w:r>
      <w:r w:rsidR="007B302D" w:rsidRPr="00457551">
        <w:rPr>
          <w:rFonts w:ascii="Arial" w:hAnsi="Arial" w:cs="Arial"/>
          <w:sz w:val="22"/>
          <w:szCs w:val="22"/>
        </w:rPr>
        <w:t xml:space="preserve"> 2020</w:t>
      </w:r>
    </w:p>
    <w:p w14:paraId="78C3118F" w14:textId="77777777" w:rsidR="007B302D" w:rsidRPr="00457551" w:rsidRDefault="007B302D" w:rsidP="007B302D">
      <w:pPr>
        <w:rPr>
          <w:rFonts w:ascii="Arial" w:hAnsi="Arial" w:cs="Arial"/>
          <w:sz w:val="22"/>
          <w:szCs w:val="22"/>
        </w:rPr>
      </w:pPr>
    </w:p>
    <w:p w14:paraId="6E85959B" w14:textId="77777777" w:rsidR="007B302D" w:rsidRPr="00457551" w:rsidRDefault="007B302D" w:rsidP="007B302D">
      <w:pPr>
        <w:rPr>
          <w:rFonts w:ascii="Arial" w:hAnsi="Arial" w:cs="Arial"/>
          <w:sz w:val="22"/>
          <w:szCs w:val="22"/>
        </w:rPr>
      </w:pPr>
      <w:r w:rsidRPr="00457551">
        <w:rPr>
          <w:rFonts w:ascii="Arial" w:hAnsi="Arial" w:cs="Arial"/>
          <w:sz w:val="22"/>
          <w:szCs w:val="22"/>
        </w:rPr>
        <w:t>Committee Secretary</w:t>
      </w:r>
    </w:p>
    <w:p w14:paraId="15C9427D" w14:textId="77777777" w:rsidR="007B302D" w:rsidRPr="00457551" w:rsidRDefault="007B302D" w:rsidP="007B302D">
      <w:pPr>
        <w:rPr>
          <w:rFonts w:ascii="Arial" w:hAnsi="Arial" w:cs="Arial"/>
          <w:sz w:val="22"/>
          <w:szCs w:val="22"/>
        </w:rPr>
      </w:pPr>
      <w:r w:rsidRPr="00457551">
        <w:rPr>
          <w:rFonts w:ascii="Arial" w:hAnsi="Arial" w:cs="Arial"/>
          <w:sz w:val="22"/>
          <w:szCs w:val="22"/>
        </w:rPr>
        <w:t>Economics and Governance Committee</w:t>
      </w:r>
    </w:p>
    <w:p w14:paraId="65086D88" w14:textId="77777777" w:rsidR="007B302D" w:rsidRPr="00457551" w:rsidRDefault="007B302D" w:rsidP="007B302D">
      <w:pPr>
        <w:rPr>
          <w:rFonts w:ascii="Arial" w:hAnsi="Arial" w:cs="Arial"/>
          <w:sz w:val="22"/>
          <w:szCs w:val="22"/>
        </w:rPr>
      </w:pPr>
      <w:r w:rsidRPr="00457551">
        <w:rPr>
          <w:rFonts w:ascii="Arial" w:hAnsi="Arial" w:cs="Arial"/>
          <w:sz w:val="22"/>
          <w:szCs w:val="22"/>
        </w:rPr>
        <w:t>Parliament House</w:t>
      </w:r>
    </w:p>
    <w:p w14:paraId="0F5ED61F" w14:textId="77777777" w:rsidR="007B302D" w:rsidRPr="00457551" w:rsidRDefault="007B302D" w:rsidP="007B302D">
      <w:pPr>
        <w:rPr>
          <w:rFonts w:ascii="Arial" w:hAnsi="Arial" w:cs="Arial"/>
          <w:sz w:val="22"/>
          <w:szCs w:val="22"/>
        </w:rPr>
      </w:pPr>
      <w:r w:rsidRPr="00457551">
        <w:rPr>
          <w:rFonts w:ascii="Arial" w:hAnsi="Arial" w:cs="Arial"/>
          <w:sz w:val="22"/>
          <w:szCs w:val="22"/>
        </w:rPr>
        <w:t>BRISBANE QLD 4000</w:t>
      </w:r>
    </w:p>
    <w:p w14:paraId="44492353" w14:textId="77777777" w:rsidR="007B302D" w:rsidRPr="00457551" w:rsidRDefault="007B302D" w:rsidP="007B302D">
      <w:pPr>
        <w:rPr>
          <w:rFonts w:ascii="Arial" w:hAnsi="Arial" w:cs="Arial"/>
          <w:sz w:val="22"/>
          <w:szCs w:val="22"/>
        </w:rPr>
      </w:pPr>
    </w:p>
    <w:p w14:paraId="44DD0C9B" w14:textId="77777777" w:rsidR="007B302D" w:rsidRPr="00457551" w:rsidRDefault="007B302D" w:rsidP="007B302D">
      <w:pPr>
        <w:rPr>
          <w:rFonts w:ascii="Arial" w:hAnsi="Arial" w:cs="Arial"/>
          <w:sz w:val="22"/>
          <w:szCs w:val="22"/>
        </w:rPr>
      </w:pPr>
      <w:r w:rsidRPr="00457551">
        <w:rPr>
          <w:rFonts w:ascii="Arial" w:hAnsi="Arial" w:cs="Arial"/>
          <w:b/>
          <w:i/>
          <w:sz w:val="22"/>
          <w:szCs w:val="22"/>
        </w:rPr>
        <w:t xml:space="preserve">By email:  </w:t>
      </w:r>
      <w:r w:rsidRPr="00457551">
        <w:rPr>
          <w:rFonts w:ascii="Arial" w:hAnsi="Arial" w:cs="Arial"/>
          <w:sz w:val="22"/>
          <w:szCs w:val="22"/>
        </w:rPr>
        <w:t>egc@parliament.qld.gov.au</w:t>
      </w:r>
    </w:p>
    <w:p w14:paraId="6F396DE6" w14:textId="77777777" w:rsidR="007B302D" w:rsidRPr="00457551" w:rsidRDefault="007B302D" w:rsidP="007B302D">
      <w:pPr>
        <w:spacing w:before="120" w:after="240"/>
        <w:rPr>
          <w:rFonts w:ascii="Arial" w:hAnsi="Arial" w:cs="Arial"/>
          <w:sz w:val="22"/>
          <w:szCs w:val="22"/>
        </w:rPr>
      </w:pPr>
    </w:p>
    <w:p w14:paraId="0939F75C" w14:textId="77777777" w:rsidR="007B302D" w:rsidRPr="00457551" w:rsidRDefault="007B302D" w:rsidP="007B302D">
      <w:pPr>
        <w:spacing w:before="120" w:after="240"/>
        <w:rPr>
          <w:rFonts w:ascii="Arial" w:hAnsi="Arial" w:cs="Arial"/>
          <w:sz w:val="22"/>
          <w:szCs w:val="22"/>
        </w:rPr>
      </w:pPr>
      <w:r w:rsidRPr="00457551">
        <w:rPr>
          <w:rFonts w:ascii="Arial" w:hAnsi="Arial" w:cs="Arial"/>
          <w:sz w:val="22"/>
          <w:szCs w:val="22"/>
        </w:rPr>
        <w:t>Dear Committee</w:t>
      </w:r>
    </w:p>
    <w:p w14:paraId="0FD33FFE" w14:textId="17C25409" w:rsidR="007B302D" w:rsidRPr="00457551" w:rsidRDefault="007B302D" w:rsidP="007B302D">
      <w:pPr>
        <w:pStyle w:val="Title"/>
        <w:rPr>
          <w:color w:val="365F91" w:themeColor="accent1" w:themeShade="BF"/>
          <w:sz w:val="22"/>
          <w:szCs w:val="22"/>
        </w:rPr>
      </w:pPr>
      <w:r w:rsidRPr="00457551">
        <w:rPr>
          <w:color w:val="365F91" w:themeColor="accent1" w:themeShade="BF"/>
          <w:sz w:val="22"/>
          <w:szCs w:val="22"/>
        </w:rPr>
        <w:t xml:space="preserve">Electoral and Other Legislation (Accountability, Integrity and Other Matters) Amendment Bill 2019 </w:t>
      </w:r>
      <w:r w:rsidR="00457551">
        <w:rPr>
          <w:color w:val="365F91" w:themeColor="accent1" w:themeShade="BF"/>
          <w:sz w:val="22"/>
          <w:szCs w:val="22"/>
        </w:rPr>
        <w:t xml:space="preserve">– Further Submission </w:t>
      </w:r>
    </w:p>
    <w:p w14:paraId="364AB643" w14:textId="77777777" w:rsidR="00CC0379" w:rsidRPr="00457551" w:rsidRDefault="007B302D" w:rsidP="007B302D">
      <w:pPr>
        <w:spacing w:before="120" w:after="240"/>
        <w:rPr>
          <w:rFonts w:ascii="Arial" w:hAnsi="Arial" w:cs="Arial"/>
          <w:sz w:val="22"/>
          <w:szCs w:val="22"/>
        </w:rPr>
      </w:pPr>
      <w:r w:rsidRPr="00457551">
        <w:rPr>
          <w:rFonts w:ascii="Arial" w:hAnsi="Arial" w:cs="Arial"/>
          <w:sz w:val="22"/>
          <w:szCs w:val="22"/>
        </w:rPr>
        <w:t xml:space="preserve">Thank you for the opportunity to make a </w:t>
      </w:r>
      <w:r w:rsidR="006D316C" w:rsidRPr="00457551">
        <w:rPr>
          <w:rFonts w:ascii="Arial" w:hAnsi="Arial" w:cs="Arial"/>
          <w:sz w:val="22"/>
          <w:szCs w:val="22"/>
        </w:rPr>
        <w:t xml:space="preserve">further </w:t>
      </w:r>
      <w:r w:rsidRPr="00457551">
        <w:rPr>
          <w:rFonts w:ascii="Arial" w:hAnsi="Arial" w:cs="Arial"/>
          <w:sz w:val="22"/>
          <w:szCs w:val="22"/>
        </w:rPr>
        <w:t>submission to the</w:t>
      </w:r>
      <w:r w:rsidR="006D316C" w:rsidRPr="00457551">
        <w:rPr>
          <w:rFonts w:ascii="Arial" w:hAnsi="Arial" w:cs="Arial"/>
          <w:sz w:val="22"/>
          <w:szCs w:val="22"/>
        </w:rPr>
        <w:t xml:space="preserve"> above inquiry regarding the proposal to add strict liability offences to the Bill. </w:t>
      </w:r>
      <w:r w:rsidR="00D16FBD" w:rsidRPr="00457551">
        <w:rPr>
          <w:rFonts w:ascii="Arial" w:hAnsi="Arial" w:cs="Arial"/>
          <w:sz w:val="22"/>
          <w:szCs w:val="22"/>
        </w:rPr>
        <w:t xml:space="preserve"> </w:t>
      </w:r>
    </w:p>
    <w:p w14:paraId="6B3EEAA6" w14:textId="0AD1EFA0" w:rsidR="007B302D" w:rsidRPr="00457551" w:rsidRDefault="006D316C" w:rsidP="007B302D">
      <w:pPr>
        <w:spacing w:before="120" w:after="240"/>
        <w:rPr>
          <w:rFonts w:ascii="Arial" w:hAnsi="Arial" w:cs="Arial"/>
          <w:sz w:val="22"/>
          <w:szCs w:val="22"/>
        </w:rPr>
      </w:pPr>
      <w:r w:rsidRPr="00457551">
        <w:rPr>
          <w:rFonts w:ascii="Arial" w:hAnsi="Arial" w:cs="Arial"/>
          <w:sz w:val="22"/>
          <w:szCs w:val="22"/>
        </w:rPr>
        <w:t>As we stated in our earlier submission</w:t>
      </w:r>
      <w:r w:rsidR="008F0B29" w:rsidRPr="00457551">
        <w:rPr>
          <w:rFonts w:ascii="Arial" w:hAnsi="Arial" w:cs="Arial"/>
          <w:sz w:val="22"/>
          <w:szCs w:val="22"/>
        </w:rPr>
        <w:t xml:space="preserve"> of 8 January 2020</w:t>
      </w:r>
      <w:r w:rsidRPr="00457551">
        <w:rPr>
          <w:rFonts w:ascii="Arial" w:hAnsi="Arial" w:cs="Arial"/>
          <w:sz w:val="22"/>
          <w:szCs w:val="22"/>
        </w:rPr>
        <w:t>, t</w:t>
      </w:r>
      <w:r w:rsidR="007B302D" w:rsidRPr="00457551">
        <w:rPr>
          <w:rFonts w:ascii="Arial" w:hAnsi="Arial" w:cs="Arial"/>
          <w:sz w:val="22"/>
          <w:szCs w:val="22"/>
        </w:rPr>
        <w:t xml:space="preserve">he Queensland Human Rights Commission (the Commission) has functions under the </w:t>
      </w:r>
      <w:r w:rsidR="007B302D" w:rsidRPr="00457551">
        <w:rPr>
          <w:rFonts w:ascii="Arial" w:hAnsi="Arial" w:cs="Arial"/>
          <w:i/>
          <w:sz w:val="22"/>
          <w:szCs w:val="22"/>
        </w:rPr>
        <w:t>Anti-Discrimination Act 1991</w:t>
      </w:r>
      <w:r w:rsidR="007B302D" w:rsidRPr="00457551">
        <w:rPr>
          <w:rFonts w:ascii="Arial" w:hAnsi="Arial" w:cs="Arial"/>
          <w:sz w:val="22"/>
          <w:szCs w:val="22"/>
        </w:rPr>
        <w:t xml:space="preserve"> and the </w:t>
      </w:r>
      <w:r w:rsidR="007B302D" w:rsidRPr="00457551">
        <w:rPr>
          <w:rFonts w:ascii="Arial" w:hAnsi="Arial" w:cs="Arial"/>
          <w:i/>
          <w:sz w:val="22"/>
          <w:szCs w:val="22"/>
        </w:rPr>
        <w:t xml:space="preserve">Human Rights Act 2019 </w:t>
      </w:r>
      <w:r w:rsidR="007B302D" w:rsidRPr="00457551">
        <w:rPr>
          <w:rFonts w:ascii="Arial" w:hAnsi="Arial" w:cs="Arial"/>
          <w:sz w:val="22"/>
          <w:szCs w:val="22"/>
        </w:rPr>
        <w:t>(HRA) to promote an understanding and discussion of human rights in Queensland, and to provide information and educative services about human rights.</w:t>
      </w:r>
    </w:p>
    <w:p w14:paraId="52DD5752" w14:textId="02633DE7" w:rsidR="001C5366" w:rsidRPr="00457551" w:rsidRDefault="006D316C" w:rsidP="001C5366">
      <w:pPr>
        <w:spacing w:before="120" w:after="240"/>
        <w:rPr>
          <w:rFonts w:ascii="Arial" w:hAnsi="Arial" w:cs="Arial"/>
          <w:sz w:val="22"/>
          <w:szCs w:val="22"/>
        </w:rPr>
      </w:pPr>
      <w:r w:rsidRPr="00457551">
        <w:rPr>
          <w:rFonts w:ascii="Arial" w:hAnsi="Arial" w:cs="Arial"/>
          <w:sz w:val="22"/>
          <w:szCs w:val="22"/>
        </w:rPr>
        <w:t>On 28 January 2020, the Committee sought further submissions regarding the proposed dishonest conduct of minister offences and dishonest conduct of counci</w:t>
      </w:r>
      <w:r w:rsidR="00457551">
        <w:rPr>
          <w:rFonts w:ascii="Arial" w:hAnsi="Arial" w:cs="Arial"/>
          <w:sz w:val="22"/>
          <w:szCs w:val="22"/>
        </w:rPr>
        <w:t>l</w:t>
      </w:r>
      <w:r w:rsidRPr="00457551">
        <w:rPr>
          <w:rFonts w:ascii="Arial" w:hAnsi="Arial" w:cs="Arial"/>
          <w:sz w:val="22"/>
          <w:szCs w:val="22"/>
        </w:rPr>
        <w:t>lor offences, which were intended to give effect to recommendations made by the Crime and Corruption Commission (CCC)</w:t>
      </w:r>
      <w:r w:rsidR="008F0B29" w:rsidRPr="00457551">
        <w:rPr>
          <w:rFonts w:ascii="Arial" w:hAnsi="Arial" w:cs="Arial"/>
          <w:sz w:val="22"/>
          <w:szCs w:val="22"/>
        </w:rPr>
        <w:t xml:space="preserve"> in September 2019</w:t>
      </w:r>
      <w:r w:rsidRPr="00457551">
        <w:rPr>
          <w:rFonts w:ascii="Arial" w:hAnsi="Arial" w:cs="Arial"/>
          <w:sz w:val="22"/>
          <w:szCs w:val="22"/>
        </w:rPr>
        <w:t xml:space="preserve">.  In its evidence to the Committee, the CCC indicated it did not believe the offences as drafted </w:t>
      </w:r>
      <w:r w:rsidR="00457551">
        <w:rPr>
          <w:rFonts w:ascii="Arial" w:hAnsi="Arial" w:cs="Arial"/>
          <w:sz w:val="22"/>
          <w:szCs w:val="22"/>
        </w:rPr>
        <w:t>achieve the purpose</w:t>
      </w:r>
      <w:r w:rsidR="001C5366" w:rsidRPr="00457551">
        <w:rPr>
          <w:rFonts w:ascii="Arial" w:hAnsi="Arial" w:cs="Arial"/>
          <w:sz w:val="22"/>
          <w:szCs w:val="22"/>
        </w:rPr>
        <w:t xml:space="preserve"> of th</w:t>
      </w:r>
      <w:r w:rsidR="008F0B29" w:rsidRPr="00457551">
        <w:rPr>
          <w:rFonts w:ascii="Arial" w:hAnsi="Arial" w:cs="Arial"/>
          <w:sz w:val="22"/>
          <w:szCs w:val="22"/>
        </w:rPr>
        <w:t>ese recommendations. It suggested</w:t>
      </w:r>
      <w:r w:rsidR="001C5366" w:rsidRPr="00457551">
        <w:rPr>
          <w:rFonts w:ascii="Arial" w:hAnsi="Arial" w:cs="Arial"/>
          <w:sz w:val="22"/>
          <w:szCs w:val="22"/>
        </w:rPr>
        <w:t xml:space="preserve"> that ‘the offence should also prescribe the failure to disclose relevant interests when the person knew or ought to have known of the relevant interest. A strict liability offence is required because otherwise the laws are ineffective in preventing corruption and would negatively contribute to perceptions in democratic decision-making processes’. </w:t>
      </w:r>
    </w:p>
    <w:p w14:paraId="106BD6D5" w14:textId="50C3ADFD" w:rsidR="001C5366" w:rsidRPr="00457551" w:rsidRDefault="001C5366" w:rsidP="001C5366">
      <w:pPr>
        <w:spacing w:before="120" w:after="240"/>
        <w:rPr>
          <w:rFonts w:ascii="Arial" w:hAnsi="Arial" w:cs="Arial"/>
          <w:sz w:val="22"/>
          <w:szCs w:val="22"/>
        </w:rPr>
      </w:pPr>
      <w:r w:rsidRPr="00457551">
        <w:rPr>
          <w:rFonts w:ascii="Arial" w:hAnsi="Arial" w:cs="Arial"/>
          <w:sz w:val="22"/>
          <w:szCs w:val="22"/>
        </w:rPr>
        <w:t xml:space="preserve">The CCC has also advised that it considers that offences relating to the contravention of conflict of interest and register of interest requirements should apply to all members of the Queensland Parliament. </w:t>
      </w:r>
    </w:p>
    <w:p w14:paraId="7DF6A0A4" w14:textId="07D9F554" w:rsidR="007321D1" w:rsidRPr="00457551" w:rsidRDefault="007321D1" w:rsidP="001C5366">
      <w:pPr>
        <w:spacing w:before="120" w:after="240"/>
        <w:rPr>
          <w:rFonts w:ascii="Arial" w:hAnsi="Arial" w:cs="Arial"/>
          <w:sz w:val="22"/>
          <w:szCs w:val="22"/>
        </w:rPr>
      </w:pPr>
      <w:r w:rsidRPr="00457551">
        <w:rPr>
          <w:rFonts w:ascii="Arial" w:hAnsi="Arial" w:cs="Arial"/>
          <w:sz w:val="22"/>
          <w:szCs w:val="22"/>
        </w:rPr>
        <w:t xml:space="preserve">Our submission is informed not only by the </w:t>
      </w:r>
      <w:r w:rsidR="00607523" w:rsidRPr="00457551">
        <w:rPr>
          <w:rFonts w:ascii="Arial" w:hAnsi="Arial" w:cs="Arial"/>
          <w:sz w:val="22"/>
          <w:szCs w:val="22"/>
        </w:rPr>
        <w:t>investigations and recommendations of the CCC, but the need for Queensland law and agencies to hold public officials to the highest level of probity in light of the</w:t>
      </w:r>
      <w:r w:rsidR="00110D75" w:rsidRPr="00457551">
        <w:rPr>
          <w:rFonts w:ascii="Arial" w:hAnsi="Arial" w:cs="Arial"/>
          <w:sz w:val="22"/>
          <w:szCs w:val="22"/>
        </w:rPr>
        <w:t xml:space="preserve"> history of corruption in Queensland, and particularly the</w:t>
      </w:r>
      <w:r w:rsidR="00607523" w:rsidRPr="00457551">
        <w:rPr>
          <w:rFonts w:ascii="Arial" w:hAnsi="Arial" w:cs="Arial"/>
          <w:sz w:val="22"/>
          <w:szCs w:val="22"/>
        </w:rPr>
        <w:t xml:space="preserve"> findings and recommendations of the Fitzgerald Inquiry report. The O</w:t>
      </w:r>
      <w:r w:rsidR="00D561B5">
        <w:rPr>
          <w:rFonts w:ascii="Arial" w:hAnsi="Arial" w:cs="Arial"/>
          <w:sz w:val="22"/>
          <w:szCs w:val="22"/>
        </w:rPr>
        <w:t>ffice of the High Commissioner for</w:t>
      </w:r>
      <w:r w:rsidR="00607523" w:rsidRPr="00457551">
        <w:rPr>
          <w:rFonts w:ascii="Arial" w:hAnsi="Arial" w:cs="Arial"/>
          <w:sz w:val="22"/>
          <w:szCs w:val="22"/>
        </w:rPr>
        <w:t xml:space="preserve"> Human Rights has noted that corruption is a </w:t>
      </w:r>
      <w:r w:rsidR="00607523" w:rsidRPr="00457551">
        <w:rPr>
          <w:rFonts w:ascii="Arial" w:hAnsi="Arial" w:cs="Arial"/>
          <w:sz w:val="22"/>
          <w:szCs w:val="22"/>
        </w:rPr>
        <w:lastRenderedPageBreak/>
        <w:t>structural obstacle to the enjoyment of human rights. Disadvantaged groups and persons suffer disproportionately from corruption and it can undermine the rule of law and the state itself.</w:t>
      </w:r>
      <w:r w:rsidR="00607523" w:rsidRPr="00457551">
        <w:rPr>
          <w:rStyle w:val="FootnoteReference"/>
          <w:rFonts w:ascii="Arial" w:hAnsi="Arial" w:cs="Arial"/>
          <w:sz w:val="22"/>
          <w:szCs w:val="22"/>
        </w:rPr>
        <w:footnoteReference w:id="2"/>
      </w:r>
      <w:r w:rsidR="00607523" w:rsidRPr="00457551">
        <w:rPr>
          <w:rFonts w:ascii="Arial" w:hAnsi="Arial" w:cs="Arial"/>
          <w:sz w:val="22"/>
          <w:szCs w:val="22"/>
        </w:rPr>
        <w:t xml:space="preserve">  </w:t>
      </w:r>
    </w:p>
    <w:p w14:paraId="5818E9F4" w14:textId="24821FC3" w:rsidR="00BF5402" w:rsidRPr="00457551" w:rsidRDefault="00BF5402" w:rsidP="001C5366">
      <w:pPr>
        <w:spacing w:before="120" w:after="240"/>
        <w:rPr>
          <w:rFonts w:ascii="Arial" w:hAnsi="Arial" w:cs="Arial"/>
          <w:sz w:val="22"/>
          <w:szCs w:val="22"/>
        </w:rPr>
      </w:pPr>
      <w:r w:rsidRPr="00457551">
        <w:rPr>
          <w:rFonts w:ascii="Arial" w:hAnsi="Arial" w:cs="Arial"/>
          <w:sz w:val="22"/>
          <w:szCs w:val="22"/>
        </w:rPr>
        <w:t>We accept that the introduction of strict liability offences in this context may be demonstrably justified, but suggest</w:t>
      </w:r>
      <w:r w:rsidR="003A6568" w:rsidRPr="00457551">
        <w:rPr>
          <w:rFonts w:ascii="Arial" w:hAnsi="Arial" w:cs="Arial"/>
          <w:sz w:val="22"/>
          <w:szCs w:val="22"/>
        </w:rPr>
        <w:t xml:space="preserve"> some less restrictive options must at least be considered, to</w:t>
      </w:r>
      <w:r w:rsidRPr="00457551">
        <w:rPr>
          <w:rFonts w:ascii="Arial" w:hAnsi="Arial" w:cs="Arial"/>
          <w:sz w:val="22"/>
          <w:szCs w:val="22"/>
        </w:rPr>
        <w:t xml:space="preserve"> ensur</w:t>
      </w:r>
      <w:r w:rsidR="00110D75" w:rsidRPr="00457551">
        <w:rPr>
          <w:rFonts w:ascii="Arial" w:hAnsi="Arial" w:cs="Arial"/>
          <w:sz w:val="22"/>
          <w:szCs w:val="22"/>
        </w:rPr>
        <w:t>e</w:t>
      </w:r>
      <w:r w:rsidRPr="00457551">
        <w:rPr>
          <w:rFonts w:ascii="Arial" w:hAnsi="Arial" w:cs="Arial"/>
          <w:sz w:val="22"/>
          <w:szCs w:val="22"/>
        </w:rPr>
        <w:t xml:space="preserve"> the provisions are compatible with human rights. </w:t>
      </w:r>
    </w:p>
    <w:p w14:paraId="483D8957" w14:textId="06C8BD64" w:rsidR="003B283B" w:rsidRPr="00457551" w:rsidRDefault="00966AAD" w:rsidP="003A6568">
      <w:pPr>
        <w:keepNext/>
        <w:keepLines/>
        <w:widowControl w:val="0"/>
        <w:spacing w:before="120" w:after="240"/>
        <w:rPr>
          <w:rFonts w:ascii="Arial" w:hAnsi="Arial" w:cs="Arial"/>
          <w:b/>
          <w:sz w:val="22"/>
          <w:szCs w:val="22"/>
        </w:rPr>
      </w:pPr>
      <w:r w:rsidRPr="00457551">
        <w:rPr>
          <w:rFonts w:ascii="Arial" w:hAnsi="Arial" w:cs="Arial"/>
          <w:b/>
          <w:sz w:val="22"/>
          <w:szCs w:val="22"/>
        </w:rPr>
        <w:t>Strict Liability</w:t>
      </w:r>
    </w:p>
    <w:p w14:paraId="5F9A4BF7" w14:textId="68E1637B" w:rsidR="00966AAD" w:rsidRPr="00457551" w:rsidRDefault="00966AAD" w:rsidP="003A6568">
      <w:pPr>
        <w:keepNext/>
        <w:keepLines/>
        <w:widowControl w:val="0"/>
        <w:spacing w:before="120" w:after="240"/>
        <w:rPr>
          <w:rFonts w:ascii="Arial" w:hAnsi="Arial" w:cs="Arial"/>
          <w:b/>
          <w:sz w:val="22"/>
          <w:szCs w:val="22"/>
        </w:rPr>
      </w:pPr>
      <w:r w:rsidRPr="00457551">
        <w:rPr>
          <w:rFonts w:ascii="Arial" w:hAnsi="Arial" w:cs="Arial"/>
          <w:sz w:val="22"/>
          <w:szCs w:val="22"/>
        </w:rPr>
        <w:t xml:space="preserve">One of the challenges in providing feedback on the proposal is being clear about how the provisions may be redrafted to adopt ‘strict liability’. Criminal offences generally require the prosecution to prove beyond reasonable </w:t>
      </w:r>
      <w:r w:rsidR="00D561B5">
        <w:rPr>
          <w:rFonts w:ascii="Arial" w:hAnsi="Arial" w:cs="Arial"/>
          <w:sz w:val="22"/>
          <w:szCs w:val="22"/>
        </w:rPr>
        <w:t xml:space="preserve">doubt </w:t>
      </w:r>
      <w:r w:rsidRPr="00457551">
        <w:rPr>
          <w:rFonts w:ascii="Arial" w:hAnsi="Arial" w:cs="Arial"/>
          <w:sz w:val="22"/>
          <w:szCs w:val="22"/>
        </w:rPr>
        <w:t xml:space="preserve">a fault element of the offence which may include intent, knowledge, recklessness or negligence. </w:t>
      </w:r>
      <w:r w:rsidR="00BA46B9" w:rsidRPr="00457551">
        <w:rPr>
          <w:rFonts w:ascii="Arial" w:hAnsi="Arial" w:cs="Arial"/>
          <w:sz w:val="22"/>
          <w:szCs w:val="22"/>
        </w:rPr>
        <w:t>Our understanding is that s</w:t>
      </w:r>
      <w:r w:rsidRPr="00457551">
        <w:rPr>
          <w:rFonts w:ascii="Arial" w:hAnsi="Arial" w:cs="Arial"/>
          <w:sz w:val="22"/>
          <w:szCs w:val="22"/>
        </w:rPr>
        <w:t xml:space="preserve">trict (and absolute) liability offences </w:t>
      </w:r>
      <w:r w:rsidR="00BA46B9" w:rsidRPr="00457551">
        <w:rPr>
          <w:rFonts w:ascii="Arial" w:hAnsi="Arial" w:cs="Arial"/>
          <w:sz w:val="22"/>
          <w:szCs w:val="22"/>
        </w:rPr>
        <w:t>alter</w:t>
      </w:r>
      <w:r w:rsidRPr="00457551">
        <w:rPr>
          <w:rFonts w:ascii="Arial" w:hAnsi="Arial" w:cs="Arial"/>
          <w:sz w:val="22"/>
          <w:szCs w:val="22"/>
        </w:rPr>
        <w:t xml:space="preserve"> this by not requiring that a fault element is proved.</w:t>
      </w:r>
      <w:r w:rsidR="00DC21E3" w:rsidRPr="00457551">
        <w:rPr>
          <w:rFonts w:ascii="Arial" w:hAnsi="Arial" w:cs="Arial"/>
          <w:sz w:val="22"/>
          <w:szCs w:val="22"/>
        </w:rPr>
        <w:t xml:space="preserve"> The key difference between absolute and strict liability offences is that absolute liability offences do not provide for a mistake of fact excuse or defence.</w:t>
      </w:r>
    </w:p>
    <w:p w14:paraId="521D0793" w14:textId="2020AA72" w:rsidR="001C5366" w:rsidRPr="00457551" w:rsidRDefault="00110D75" w:rsidP="001C5366">
      <w:pPr>
        <w:spacing w:before="120" w:after="240"/>
        <w:rPr>
          <w:rFonts w:ascii="Arial" w:hAnsi="Arial" w:cs="Arial"/>
          <w:sz w:val="22"/>
          <w:szCs w:val="22"/>
        </w:rPr>
      </w:pPr>
      <w:r w:rsidRPr="00457551">
        <w:rPr>
          <w:rFonts w:ascii="Arial" w:hAnsi="Arial" w:cs="Arial"/>
          <w:sz w:val="22"/>
          <w:szCs w:val="22"/>
        </w:rPr>
        <w:t xml:space="preserve">We therefore base our initial comments on this definition of strict liability. </w:t>
      </w:r>
      <w:r w:rsidR="001C5366" w:rsidRPr="00457551">
        <w:rPr>
          <w:rFonts w:ascii="Arial" w:hAnsi="Arial" w:cs="Arial"/>
          <w:sz w:val="22"/>
          <w:szCs w:val="22"/>
        </w:rPr>
        <w:t>The Australian Joint Parliamentary Committee on Human Rights has observed that the right to be presumed innocent is limited when offences allow ‘for the imposition of criminal liability without the need to prove</w:t>
      </w:r>
      <w:r w:rsidR="00DC21E3" w:rsidRPr="00457551">
        <w:rPr>
          <w:rFonts w:ascii="Arial" w:hAnsi="Arial" w:cs="Arial"/>
          <w:sz w:val="22"/>
          <w:szCs w:val="22"/>
        </w:rPr>
        <w:t xml:space="preserve"> fault’ and that</w:t>
      </w:r>
      <w:r w:rsidR="001C5366" w:rsidRPr="00457551">
        <w:rPr>
          <w:rFonts w:ascii="Arial" w:hAnsi="Arial" w:cs="Arial"/>
          <w:sz w:val="22"/>
          <w:szCs w:val="22"/>
        </w:rPr>
        <w:t>:</w:t>
      </w:r>
    </w:p>
    <w:p w14:paraId="3EB87EAD" w14:textId="602AD0C0" w:rsidR="001C5366" w:rsidRPr="00457551" w:rsidRDefault="001C5366" w:rsidP="001C5366">
      <w:pPr>
        <w:pStyle w:val="Quote"/>
        <w:rPr>
          <w:sz w:val="22"/>
          <w:szCs w:val="22"/>
        </w:rPr>
      </w:pPr>
      <w:r w:rsidRPr="00457551">
        <w:rPr>
          <w:sz w:val="22"/>
          <w:szCs w:val="22"/>
        </w:rPr>
        <w:t>Strict liability and absolute liability offences will not necessarily be inconsistent with the presumption of innocence where they are reasonable, necessary and proportionate in pursuit of a legitimate objective.</w:t>
      </w:r>
      <w:r w:rsidR="00DC21E3" w:rsidRPr="00457551">
        <w:rPr>
          <w:rStyle w:val="FootnoteReference"/>
          <w:sz w:val="22"/>
          <w:szCs w:val="22"/>
        </w:rPr>
        <w:footnoteReference w:id="3"/>
      </w:r>
    </w:p>
    <w:p w14:paraId="46E07862" w14:textId="01D5C05A" w:rsidR="00B73F51" w:rsidRPr="00457551" w:rsidRDefault="00B73F51" w:rsidP="00CC2663">
      <w:pPr>
        <w:spacing w:before="120" w:after="240"/>
        <w:rPr>
          <w:rFonts w:ascii="Arial" w:hAnsi="Arial" w:cs="Arial"/>
          <w:sz w:val="22"/>
          <w:szCs w:val="22"/>
        </w:rPr>
      </w:pPr>
      <w:r w:rsidRPr="00457551">
        <w:rPr>
          <w:rFonts w:ascii="Arial" w:hAnsi="Arial" w:cs="Arial"/>
          <w:sz w:val="22"/>
          <w:szCs w:val="22"/>
        </w:rPr>
        <w:t>The Committee has expande</w:t>
      </w:r>
      <w:r w:rsidR="008F0B29" w:rsidRPr="00457551">
        <w:rPr>
          <w:rFonts w:ascii="Arial" w:hAnsi="Arial" w:cs="Arial"/>
          <w:sz w:val="22"/>
          <w:szCs w:val="22"/>
        </w:rPr>
        <w:t>d on this test to suggest that strict liability offences are more li</w:t>
      </w:r>
      <w:r w:rsidR="00876C64" w:rsidRPr="00457551">
        <w:rPr>
          <w:rFonts w:ascii="Arial" w:hAnsi="Arial" w:cs="Arial"/>
          <w:sz w:val="22"/>
          <w:szCs w:val="22"/>
        </w:rPr>
        <w:t>kely to be proportionate if</w:t>
      </w:r>
      <w:r w:rsidR="008F0B29" w:rsidRPr="00457551">
        <w:rPr>
          <w:rFonts w:ascii="Arial" w:hAnsi="Arial" w:cs="Arial"/>
          <w:sz w:val="22"/>
          <w:szCs w:val="22"/>
        </w:rPr>
        <w:t xml:space="preserve"> the </w:t>
      </w:r>
      <w:r w:rsidRPr="00457551">
        <w:rPr>
          <w:rFonts w:ascii="Arial" w:hAnsi="Arial" w:cs="Arial"/>
          <w:sz w:val="22"/>
          <w:szCs w:val="22"/>
        </w:rPr>
        <w:t>offence</w:t>
      </w:r>
      <w:r w:rsidR="008F0B29" w:rsidRPr="00457551">
        <w:rPr>
          <w:rFonts w:ascii="Arial" w:hAnsi="Arial" w:cs="Arial"/>
          <w:sz w:val="22"/>
          <w:szCs w:val="22"/>
        </w:rPr>
        <w:t xml:space="preserve"> is regulatory in nature and the </w:t>
      </w:r>
      <w:r w:rsidRPr="00457551">
        <w:rPr>
          <w:rFonts w:ascii="Arial" w:hAnsi="Arial" w:cs="Arial"/>
          <w:sz w:val="22"/>
          <w:szCs w:val="22"/>
        </w:rPr>
        <w:t>penalty</w:t>
      </w:r>
      <w:r w:rsidR="008F0B29" w:rsidRPr="00457551">
        <w:rPr>
          <w:rFonts w:ascii="Arial" w:hAnsi="Arial" w:cs="Arial"/>
          <w:sz w:val="22"/>
          <w:szCs w:val="22"/>
        </w:rPr>
        <w:t xml:space="preserve"> is</w:t>
      </w:r>
      <w:r w:rsidRPr="00457551">
        <w:rPr>
          <w:rFonts w:ascii="Arial" w:hAnsi="Arial" w:cs="Arial"/>
          <w:sz w:val="22"/>
          <w:szCs w:val="22"/>
        </w:rPr>
        <w:t xml:space="preserve"> at the low</w:t>
      </w:r>
      <w:r w:rsidR="008F0B29" w:rsidRPr="00457551">
        <w:rPr>
          <w:rFonts w:ascii="Arial" w:hAnsi="Arial" w:cs="Arial"/>
          <w:sz w:val="22"/>
          <w:szCs w:val="22"/>
        </w:rPr>
        <w:t>er end of the scale</w:t>
      </w:r>
      <w:r w:rsidRPr="00457551">
        <w:rPr>
          <w:rFonts w:ascii="Arial" w:hAnsi="Arial" w:cs="Arial"/>
          <w:sz w:val="22"/>
          <w:szCs w:val="22"/>
        </w:rPr>
        <w:t xml:space="preserve">. </w:t>
      </w:r>
      <w:r w:rsidR="004B7209" w:rsidRPr="00457551">
        <w:rPr>
          <w:rFonts w:ascii="Arial" w:hAnsi="Arial" w:cs="Arial"/>
          <w:sz w:val="22"/>
          <w:szCs w:val="22"/>
        </w:rPr>
        <w:t xml:space="preserve">The Committee has also </w:t>
      </w:r>
      <w:r w:rsidR="00DC21E3" w:rsidRPr="00457551">
        <w:rPr>
          <w:rFonts w:ascii="Arial" w:hAnsi="Arial" w:cs="Arial"/>
          <w:sz w:val="22"/>
          <w:szCs w:val="22"/>
        </w:rPr>
        <w:t>cited with approval</w:t>
      </w:r>
      <w:r w:rsidR="004B7209" w:rsidRPr="00457551">
        <w:rPr>
          <w:rFonts w:ascii="Arial" w:hAnsi="Arial" w:cs="Arial"/>
          <w:sz w:val="22"/>
          <w:szCs w:val="22"/>
        </w:rPr>
        <w:t xml:space="preserve"> the Commonwealth Attorney-General’s Departments’ Guide to Framing Commonwealth Offences, Infringements Notice and Enforcement Provisions. </w:t>
      </w:r>
      <w:r w:rsidR="00CA77F2" w:rsidRPr="00457551">
        <w:rPr>
          <w:rFonts w:ascii="Arial" w:hAnsi="Arial" w:cs="Arial"/>
          <w:sz w:val="22"/>
          <w:szCs w:val="22"/>
        </w:rPr>
        <w:t>That guide provides the following principles for assessing strict liability:</w:t>
      </w:r>
    </w:p>
    <w:p w14:paraId="2C7710A8" w14:textId="77777777" w:rsidR="00CA77F2" w:rsidRPr="00457551" w:rsidRDefault="00CA77F2" w:rsidP="00CA77F2">
      <w:pPr>
        <w:pStyle w:val="Bulletedlist"/>
        <w:spacing w:before="120"/>
        <w:rPr>
          <w:sz w:val="22"/>
          <w:szCs w:val="22"/>
        </w:rPr>
      </w:pPr>
      <w:r w:rsidRPr="00457551">
        <w:rPr>
          <w:sz w:val="22"/>
          <w:szCs w:val="22"/>
        </w:rPr>
        <w:t>Strict liability may be appropriate where it is necessary to ensure the integrity of a regulatory regime, such as public health, the environment, or financial or corporate regulation. However, as with other criteria, this should be applied subject to other relevant principles.</w:t>
      </w:r>
    </w:p>
    <w:p w14:paraId="6EC6DAB0" w14:textId="77777777" w:rsidR="00CA77F2" w:rsidRPr="00457551" w:rsidRDefault="00CA77F2" w:rsidP="00CA77F2">
      <w:pPr>
        <w:pStyle w:val="Bulletedlist"/>
        <w:rPr>
          <w:sz w:val="22"/>
          <w:szCs w:val="22"/>
        </w:rPr>
      </w:pPr>
      <w:r w:rsidRPr="00457551">
        <w:rPr>
          <w:sz w:val="22"/>
          <w:szCs w:val="22"/>
        </w:rPr>
        <w:t>Strict liability should not be justified by reference to broad uncertain criteria, such as offences being intuitively against community interests or for the public good. Criteria should be more specific.</w:t>
      </w:r>
    </w:p>
    <w:p w14:paraId="5DC09416" w14:textId="77777777" w:rsidR="00CA77F2" w:rsidRPr="00457551" w:rsidRDefault="00CA77F2" w:rsidP="00CA77F2">
      <w:pPr>
        <w:pStyle w:val="Bulletedlist"/>
        <w:spacing w:before="120"/>
        <w:rPr>
          <w:sz w:val="22"/>
          <w:szCs w:val="22"/>
        </w:rPr>
      </w:pPr>
      <w:r w:rsidRPr="00457551">
        <w:rPr>
          <w:sz w:val="22"/>
          <w:szCs w:val="22"/>
        </w:rPr>
        <w:t>Strict liability may be justified where its application is necessary to protect the general revenue.</w:t>
      </w:r>
    </w:p>
    <w:p w14:paraId="3FFDFD76" w14:textId="77777777" w:rsidR="00CA77F2" w:rsidRPr="00457551" w:rsidRDefault="00CA77F2" w:rsidP="00CA77F2">
      <w:pPr>
        <w:pStyle w:val="Bulletedlist"/>
        <w:spacing w:before="120"/>
        <w:rPr>
          <w:sz w:val="22"/>
          <w:szCs w:val="22"/>
        </w:rPr>
      </w:pPr>
      <w:r w:rsidRPr="00457551">
        <w:rPr>
          <w:sz w:val="22"/>
          <w:szCs w:val="22"/>
        </w:rPr>
        <w:lastRenderedPageBreak/>
        <w:t>Strict liability should not be justified on the sole ground of minimising resource requirements; cost saving alone would normally not be sufficient, although it may be relevant together with other criteria.</w:t>
      </w:r>
      <w:r w:rsidRPr="00457551">
        <w:rPr>
          <w:rStyle w:val="FootnoteReference"/>
          <w:sz w:val="22"/>
          <w:szCs w:val="22"/>
        </w:rPr>
        <w:footnoteReference w:id="4"/>
      </w:r>
    </w:p>
    <w:p w14:paraId="0DF1802C" w14:textId="6E947D50" w:rsidR="00B73F51" w:rsidRPr="00457551" w:rsidRDefault="00CA77F2" w:rsidP="00CC2663">
      <w:pPr>
        <w:spacing w:before="120" w:after="240"/>
        <w:rPr>
          <w:rFonts w:ascii="Arial" w:hAnsi="Arial" w:cs="Arial"/>
          <w:sz w:val="22"/>
          <w:szCs w:val="22"/>
        </w:rPr>
      </w:pPr>
      <w:r w:rsidRPr="00457551">
        <w:rPr>
          <w:rFonts w:ascii="Arial" w:hAnsi="Arial" w:cs="Arial"/>
          <w:sz w:val="22"/>
          <w:szCs w:val="22"/>
        </w:rPr>
        <w:t>The Guide suggests that minor offences regulatory in nature includ</w:t>
      </w:r>
      <w:r w:rsidR="00876C64" w:rsidRPr="00457551">
        <w:rPr>
          <w:rFonts w:ascii="Arial" w:hAnsi="Arial" w:cs="Arial"/>
          <w:sz w:val="22"/>
          <w:szCs w:val="22"/>
        </w:rPr>
        <w:t>e those dealing with</w:t>
      </w:r>
      <w:r w:rsidRPr="00457551">
        <w:rPr>
          <w:rFonts w:ascii="Arial" w:hAnsi="Arial" w:cs="Arial"/>
          <w:sz w:val="22"/>
          <w:szCs w:val="22"/>
        </w:rPr>
        <w:t xml:space="preserve"> ‘failing to comply with reporting obligations’.</w:t>
      </w:r>
      <w:r w:rsidRPr="00457551">
        <w:rPr>
          <w:rStyle w:val="FootnoteReference"/>
          <w:rFonts w:ascii="Arial" w:hAnsi="Arial" w:cs="Arial"/>
          <w:sz w:val="22"/>
          <w:szCs w:val="22"/>
        </w:rPr>
        <w:footnoteReference w:id="5"/>
      </w:r>
      <w:r w:rsidRPr="00457551">
        <w:rPr>
          <w:rFonts w:ascii="Arial" w:hAnsi="Arial" w:cs="Arial"/>
          <w:sz w:val="22"/>
          <w:szCs w:val="22"/>
        </w:rPr>
        <w:t xml:space="preserve"> </w:t>
      </w:r>
    </w:p>
    <w:p w14:paraId="78535FD0" w14:textId="03B9507D" w:rsidR="003B283B" w:rsidRPr="00457551" w:rsidRDefault="003B283B" w:rsidP="00CC2663">
      <w:pPr>
        <w:spacing w:before="120" w:after="240"/>
        <w:rPr>
          <w:rFonts w:ascii="Arial" w:hAnsi="Arial" w:cs="Arial"/>
          <w:b/>
          <w:sz w:val="22"/>
          <w:szCs w:val="22"/>
        </w:rPr>
      </w:pPr>
      <w:r w:rsidRPr="00457551">
        <w:rPr>
          <w:rFonts w:ascii="Arial" w:hAnsi="Arial" w:cs="Arial"/>
          <w:b/>
          <w:sz w:val="22"/>
          <w:szCs w:val="22"/>
        </w:rPr>
        <w:t xml:space="preserve">Is Strict Liability Proportionate? </w:t>
      </w:r>
    </w:p>
    <w:p w14:paraId="1162C2CD" w14:textId="6FBC8890" w:rsidR="00966AAD" w:rsidRPr="00457551" w:rsidRDefault="00966AAD" w:rsidP="00966AAD">
      <w:pPr>
        <w:rPr>
          <w:rFonts w:ascii="Arial" w:hAnsi="Arial" w:cs="Arial"/>
          <w:sz w:val="22"/>
          <w:szCs w:val="22"/>
        </w:rPr>
      </w:pPr>
      <w:r w:rsidRPr="00457551">
        <w:rPr>
          <w:rFonts w:ascii="Arial" w:hAnsi="Arial" w:cs="Arial"/>
          <w:sz w:val="22"/>
          <w:szCs w:val="22"/>
        </w:rPr>
        <w:t>As we discussed in our earlier submission, s 13(2) of the HRA sets out factors for deciding whether a limit on a right is reasonable and justified</w:t>
      </w:r>
      <w:r w:rsidR="00DC21E3" w:rsidRPr="00457551">
        <w:rPr>
          <w:rFonts w:ascii="Arial" w:hAnsi="Arial" w:cs="Arial"/>
          <w:sz w:val="22"/>
          <w:szCs w:val="22"/>
        </w:rPr>
        <w:t xml:space="preserve">. Section 13 is consistent with the principles set out above in requiring that when deciding if a limit on a human rights is reasonable the following must be considered: </w:t>
      </w:r>
    </w:p>
    <w:p w14:paraId="14D7E25B" w14:textId="77777777" w:rsidR="00966AAD" w:rsidRPr="00457551" w:rsidRDefault="00966AAD" w:rsidP="00966AAD">
      <w:pPr>
        <w:pStyle w:val="Numberedparagraph"/>
        <w:numPr>
          <w:ilvl w:val="0"/>
          <w:numId w:val="40"/>
        </w:numPr>
        <w:ind w:right="843" w:hanging="371"/>
        <w:rPr>
          <w:sz w:val="22"/>
          <w:szCs w:val="22"/>
        </w:rPr>
      </w:pPr>
      <w:r w:rsidRPr="00457551">
        <w:rPr>
          <w:sz w:val="22"/>
          <w:szCs w:val="22"/>
        </w:rPr>
        <w:t>the nature of the human right;</w:t>
      </w:r>
    </w:p>
    <w:p w14:paraId="39137328" w14:textId="77777777" w:rsidR="00966AAD" w:rsidRPr="00457551" w:rsidRDefault="00966AAD" w:rsidP="00966AAD">
      <w:pPr>
        <w:pStyle w:val="Numberedparagraph"/>
        <w:numPr>
          <w:ilvl w:val="0"/>
          <w:numId w:val="40"/>
        </w:numPr>
        <w:ind w:right="843" w:hanging="371"/>
        <w:rPr>
          <w:sz w:val="22"/>
          <w:szCs w:val="22"/>
        </w:rPr>
      </w:pPr>
      <w:r w:rsidRPr="00457551">
        <w:rPr>
          <w:sz w:val="22"/>
          <w:szCs w:val="22"/>
        </w:rPr>
        <w:t>the nature and purpose of the limitation, including whether it is  consistent with a free and democratic society based on human dignity, equality and freedom;</w:t>
      </w:r>
    </w:p>
    <w:p w14:paraId="3A35A4EA" w14:textId="77777777" w:rsidR="00966AAD" w:rsidRPr="00457551" w:rsidRDefault="00966AAD" w:rsidP="00966AAD">
      <w:pPr>
        <w:pStyle w:val="Numberedparagraph"/>
        <w:numPr>
          <w:ilvl w:val="0"/>
          <w:numId w:val="40"/>
        </w:numPr>
        <w:ind w:right="843" w:hanging="371"/>
        <w:rPr>
          <w:sz w:val="22"/>
          <w:szCs w:val="22"/>
        </w:rPr>
      </w:pPr>
      <w:r w:rsidRPr="00457551">
        <w:rPr>
          <w:sz w:val="22"/>
          <w:szCs w:val="22"/>
        </w:rPr>
        <w:t>the relationship between the limitation and its purpose, including whether the limitation helps to achieve the purpose;</w:t>
      </w:r>
    </w:p>
    <w:p w14:paraId="3704879D" w14:textId="77777777" w:rsidR="00966AAD" w:rsidRPr="00457551" w:rsidRDefault="00966AAD" w:rsidP="00966AAD">
      <w:pPr>
        <w:pStyle w:val="Numberedparagraph"/>
        <w:numPr>
          <w:ilvl w:val="0"/>
          <w:numId w:val="40"/>
        </w:numPr>
        <w:ind w:right="843"/>
        <w:rPr>
          <w:sz w:val="22"/>
          <w:szCs w:val="22"/>
        </w:rPr>
      </w:pPr>
      <w:r w:rsidRPr="00457551">
        <w:rPr>
          <w:sz w:val="22"/>
          <w:szCs w:val="22"/>
        </w:rPr>
        <w:t>whether there are any less restrictive and reasonably available ways to achieve the purpose;</w:t>
      </w:r>
    </w:p>
    <w:p w14:paraId="43D36D5F" w14:textId="77777777" w:rsidR="00966AAD" w:rsidRPr="00457551" w:rsidRDefault="00966AAD" w:rsidP="00966AAD">
      <w:pPr>
        <w:pStyle w:val="Numberedparagraph"/>
        <w:numPr>
          <w:ilvl w:val="0"/>
          <w:numId w:val="40"/>
        </w:numPr>
        <w:rPr>
          <w:sz w:val="22"/>
          <w:szCs w:val="22"/>
        </w:rPr>
      </w:pPr>
      <w:r w:rsidRPr="00457551">
        <w:rPr>
          <w:sz w:val="22"/>
          <w:szCs w:val="22"/>
        </w:rPr>
        <w:t>the importance of the purpose of the limitation;</w:t>
      </w:r>
    </w:p>
    <w:p w14:paraId="2117BF76" w14:textId="77777777" w:rsidR="00966AAD" w:rsidRPr="00457551" w:rsidRDefault="00966AAD" w:rsidP="00966AAD">
      <w:pPr>
        <w:pStyle w:val="Numberedparagraph"/>
        <w:numPr>
          <w:ilvl w:val="0"/>
          <w:numId w:val="40"/>
        </w:numPr>
        <w:ind w:right="843"/>
        <w:rPr>
          <w:sz w:val="22"/>
          <w:szCs w:val="22"/>
        </w:rPr>
      </w:pPr>
      <w:r w:rsidRPr="00457551">
        <w:rPr>
          <w:sz w:val="22"/>
          <w:szCs w:val="22"/>
        </w:rPr>
        <w:t xml:space="preserve">the importance of preserving the human right, taking into account the nature and extent of the limitation on the human right; </w:t>
      </w:r>
    </w:p>
    <w:p w14:paraId="2718E590" w14:textId="77777777" w:rsidR="00966AAD" w:rsidRPr="00457551" w:rsidRDefault="00966AAD" w:rsidP="00966AAD">
      <w:pPr>
        <w:pStyle w:val="Numberedparagraph"/>
        <w:numPr>
          <w:ilvl w:val="0"/>
          <w:numId w:val="40"/>
        </w:numPr>
        <w:ind w:right="843"/>
        <w:rPr>
          <w:sz w:val="22"/>
          <w:szCs w:val="22"/>
        </w:rPr>
      </w:pPr>
      <w:r w:rsidRPr="00457551">
        <w:rPr>
          <w:sz w:val="22"/>
          <w:szCs w:val="22"/>
        </w:rPr>
        <w:t xml:space="preserve">the balance between the matters mentioned in paragraphs (e) </w:t>
      </w:r>
      <w:r w:rsidRPr="00457551">
        <w:rPr>
          <w:sz w:val="22"/>
          <w:szCs w:val="22"/>
        </w:rPr>
        <w:br/>
        <w:t xml:space="preserve">and (f). </w:t>
      </w:r>
    </w:p>
    <w:p w14:paraId="04CEC578" w14:textId="56B53AE6" w:rsidR="00CA77F2" w:rsidRPr="00457551" w:rsidRDefault="00CA77F2" w:rsidP="00CC2663">
      <w:pPr>
        <w:spacing w:before="120" w:after="240"/>
        <w:rPr>
          <w:rFonts w:ascii="Arial" w:hAnsi="Arial" w:cs="Arial"/>
          <w:sz w:val="22"/>
          <w:szCs w:val="22"/>
        </w:rPr>
      </w:pPr>
      <w:r w:rsidRPr="00457551">
        <w:rPr>
          <w:rFonts w:ascii="Arial" w:hAnsi="Arial" w:cs="Arial"/>
          <w:sz w:val="22"/>
          <w:szCs w:val="22"/>
        </w:rPr>
        <w:t xml:space="preserve">In applying these principles to the proposal, in particular s 13 of the HRA, we make the following observations, noting that </w:t>
      </w:r>
      <w:r w:rsidR="005E100B" w:rsidRPr="00457551">
        <w:rPr>
          <w:rFonts w:ascii="Arial" w:hAnsi="Arial" w:cs="Arial"/>
          <w:sz w:val="22"/>
          <w:szCs w:val="22"/>
        </w:rPr>
        <w:t xml:space="preserve">it </w:t>
      </w:r>
      <w:r w:rsidRPr="00457551">
        <w:rPr>
          <w:rFonts w:ascii="Arial" w:hAnsi="Arial" w:cs="Arial"/>
          <w:sz w:val="22"/>
          <w:szCs w:val="22"/>
        </w:rPr>
        <w:t>is ultimately for the Government to justify the limitation on rights of proposed legislation:</w:t>
      </w:r>
    </w:p>
    <w:p w14:paraId="0B7A49E3" w14:textId="77777777" w:rsidR="00CA77F2" w:rsidRPr="00457551" w:rsidRDefault="00CA77F2" w:rsidP="00CA77F2">
      <w:pPr>
        <w:pStyle w:val="Bulletedlist"/>
        <w:rPr>
          <w:sz w:val="22"/>
          <w:szCs w:val="22"/>
        </w:rPr>
      </w:pPr>
      <w:r w:rsidRPr="00457551">
        <w:rPr>
          <w:sz w:val="22"/>
          <w:szCs w:val="22"/>
        </w:rPr>
        <w:t>The presumption of innocence, protected under s 32 of the HRA</w:t>
      </w:r>
      <w:r w:rsidR="005E100B" w:rsidRPr="00457551">
        <w:rPr>
          <w:sz w:val="22"/>
          <w:szCs w:val="22"/>
        </w:rPr>
        <w:t>,</w:t>
      </w:r>
      <w:r w:rsidRPr="00457551">
        <w:rPr>
          <w:sz w:val="22"/>
          <w:szCs w:val="22"/>
        </w:rPr>
        <w:t xml:space="preserve"> is a fundamental protection of the criminal law</w:t>
      </w:r>
      <w:r w:rsidR="005E100B" w:rsidRPr="00457551">
        <w:rPr>
          <w:sz w:val="22"/>
          <w:szCs w:val="22"/>
        </w:rPr>
        <w:t>;</w:t>
      </w:r>
      <w:r w:rsidRPr="00457551">
        <w:rPr>
          <w:sz w:val="22"/>
          <w:szCs w:val="22"/>
        </w:rPr>
        <w:t xml:space="preserve"> </w:t>
      </w:r>
    </w:p>
    <w:p w14:paraId="6D715344" w14:textId="77777777" w:rsidR="001B3A9C" w:rsidRPr="00457551" w:rsidRDefault="001B3A9C" w:rsidP="00CA77F2">
      <w:pPr>
        <w:pStyle w:val="Bulletedlist"/>
        <w:rPr>
          <w:sz w:val="22"/>
          <w:szCs w:val="22"/>
        </w:rPr>
      </w:pPr>
      <w:r w:rsidRPr="00457551">
        <w:rPr>
          <w:sz w:val="22"/>
          <w:szCs w:val="22"/>
        </w:rPr>
        <w:t>The proposed limitation is important and consistent with a free and democratic society in that it seeks to prevent conflicts of interest and corruption in the democratic process;</w:t>
      </w:r>
    </w:p>
    <w:p w14:paraId="2F9454AF" w14:textId="77777777" w:rsidR="001B3A9C" w:rsidRPr="00457551" w:rsidRDefault="001B3A9C" w:rsidP="001B3A9C">
      <w:pPr>
        <w:pStyle w:val="Bulletedlist"/>
        <w:rPr>
          <w:sz w:val="22"/>
          <w:szCs w:val="22"/>
        </w:rPr>
      </w:pPr>
      <w:r w:rsidRPr="00457551">
        <w:rPr>
          <w:sz w:val="22"/>
          <w:szCs w:val="22"/>
        </w:rPr>
        <w:t>Based on the assessment and findings of the CC</w:t>
      </w:r>
      <w:r w:rsidR="005E100B" w:rsidRPr="00457551">
        <w:rPr>
          <w:sz w:val="22"/>
          <w:szCs w:val="22"/>
        </w:rPr>
        <w:t>C it would achieve this purpose;</w:t>
      </w:r>
    </w:p>
    <w:p w14:paraId="68819683" w14:textId="3E23DE87" w:rsidR="001B3A9C" w:rsidRPr="00457551" w:rsidRDefault="008F0B29" w:rsidP="001B3A9C">
      <w:pPr>
        <w:pStyle w:val="Bulletedlist"/>
        <w:rPr>
          <w:sz w:val="22"/>
          <w:szCs w:val="22"/>
        </w:rPr>
      </w:pPr>
      <w:r w:rsidRPr="00457551">
        <w:rPr>
          <w:sz w:val="22"/>
          <w:szCs w:val="22"/>
        </w:rPr>
        <w:lastRenderedPageBreak/>
        <w:t>Reform</w:t>
      </w:r>
      <w:r w:rsidR="001B3A9C" w:rsidRPr="00457551">
        <w:rPr>
          <w:sz w:val="22"/>
          <w:szCs w:val="22"/>
        </w:rPr>
        <w:t xml:space="preserve"> </w:t>
      </w:r>
      <w:r w:rsidRPr="00457551">
        <w:rPr>
          <w:sz w:val="22"/>
          <w:szCs w:val="22"/>
        </w:rPr>
        <w:t>is</w:t>
      </w:r>
      <w:r w:rsidR="001B3A9C" w:rsidRPr="00457551">
        <w:rPr>
          <w:sz w:val="22"/>
          <w:szCs w:val="22"/>
        </w:rPr>
        <w:t xml:space="preserve"> necessary </w:t>
      </w:r>
      <w:r w:rsidRPr="00457551">
        <w:rPr>
          <w:sz w:val="22"/>
          <w:szCs w:val="22"/>
        </w:rPr>
        <w:t>based on the</w:t>
      </w:r>
      <w:r w:rsidR="001B3A9C" w:rsidRPr="00457551">
        <w:rPr>
          <w:sz w:val="22"/>
          <w:szCs w:val="22"/>
        </w:rPr>
        <w:t xml:space="preserve"> recommendations of the CCC</w:t>
      </w:r>
      <w:r w:rsidRPr="00457551">
        <w:rPr>
          <w:sz w:val="22"/>
          <w:szCs w:val="22"/>
        </w:rPr>
        <w:t xml:space="preserve"> that</w:t>
      </w:r>
      <w:r w:rsidR="001B3A9C" w:rsidRPr="00457551">
        <w:rPr>
          <w:sz w:val="22"/>
          <w:szCs w:val="22"/>
        </w:rPr>
        <w:t xml:space="preserve"> indicate that the current legi</w:t>
      </w:r>
      <w:r w:rsidR="005E100B" w:rsidRPr="00457551">
        <w:rPr>
          <w:sz w:val="22"/>
          <w:szCs w:val="22"/>
        </w:rPr>
        <w:t xml:space="preserve">slative regime is not effective; </w:t>
      </w:r>
    </w:p>
    <w:p w14:paraId="011CAB73" w14:textId="7AEABEE5" w:rsidR="00CC3F2E" w:rsidRPr="00457551" w:rsidRDefault="00CC3F2E" w:rsidP="001B3A9C">
      <w:pPr>
        <w:pStyle w:val="Bulletedlist"/>
        <w:rPr>
          <w:sz w:val="22"/>
          <w:szCs w:val="22"/>
        </w:rPr>
      </w:pPr>
      <w:r w:rsidRPr="00457551">
        <w:rPr>
          <w:sz w:val="22"/>
          <w:szCs w:val="22"/>
        </w:rPr>
        <w:t xml:space="preserve">The offence is arguably regulatory in nature; </w:t>
      </w:r>
    </w:p>
    <w:p w14:paraId="6E2E6798" w14:textId="2371F382" w:rsidR="00966AAD" w:rsidRPr="00457551" w:rsidRDefault="00966AAD" w:rsidP="00114B7B">
      <w:pPr>
        <w:pStyle w:val="Bulletedlist"/>
        <w:rPr>
          <w:sz w:val="22"/>
          <w:szCs w:val="22"/>
        </w:rPr>
      </w:pPr>
      <w:r w:rsidRPr="00457551">
        <w:rPr>
          <w:sz w:val="22"/>
          <w:szCs w:val="22"/>
        </w:rPr>
        <w:t>Nonetheless, it is unclear if strict liability is the least restrictive way of achieving the purpose; and</w:t>
      </w:r>
    </w:p>
    <w:p w14:paraId="4E7810BB" w14:textId="493E1813" w:rsidR="001B3A9C" w:rsidRPr="00457551" w:rsidRDefault="001B3A9C" w:rsidP="00114B7B">
      <w:pPr>
        <w:pStyle w:val="Bulletedlist"/>
        <w:rPr>
          <w:sz w:val="22"/>
          <w:szCs w:val="22"/>
        </w:rPr>
      </w:pPr>
      <w:r w:rsidRPr="00457551">
        <w:rPr>
          <w:sz w:val="22"/>
          <w:szCs w:val="22"/>
        </w:rPr>
        <w:t>The penalty imposed</w:t>
      </w:r>
      <w:r w:rsidR="00114B7B" w:rsidRPr="00457551">
        <w:rPr>
          <w:sz w:val="22"/>
          <w:szCs w:val="22"/>
        </w:rPr>
        <w:t xml:space="preserve"> of 200 penalty units or 2 years imprisonment</w:t>
      </w:r>
      <w:r w:rsidRPr="00457551">
        <w:rPr>
          <w:sz w:val="22"/>
          <w:szCs w:val="22"/>
        </w:rPr>
        <w:t xml:space="preserve"> is </w:t>
      </w:r>
      <w:r w:rsidR="00114B7B" w:rsidRPr="00457551">
        <w:rPr>
          <w:sz w:val="22"/>
          <w:szCs w:val="22"/>
        </w:rPr>
        <w:t>significant.</w:t>
      </w:r>
    </w:p>
    <w:p w14:paraId="09504A32" w14:textId="0AD1E628" w:rsidR="000B7153" w:rsidRPr="00457551" w:rsidRDefault="00110D75" w:rsidP="008F0B29">
      <w:pPr>
        <w:spacing w:before="120" w:after="240"/>
        <w:rPr>
          <w:rFonts w:ascii="Arial" w:hAnsi="Arial" w:cs="Arial"/>
          <w:b/>
          <w:sz w:val="22"/>
          <w:szCs w:val="22"/>
        </w:rPr>
      </w:pPr>
      <w:r w:rsidRPr="00457551">
        <w:rPr>
          <w:rFonts w:ascii="Arial" w:hAnsi="Arial" w:cs="Arial"/>
          <w:b/>
          <w:sz w:val="22"/>
          <w:szCs w:val="22"/>
        </w:rPr>
        <w:t xml:space="preserve">Is Recklessness a less restrictive option? </w:t>
      </w:r>
    </w:p>
    <w:p w14:paraId="69653531" w14:textId="177C56C4" w:rsidR="00BA46B9" w:rsidRPr="00457551" w:rsidRDefault="00BF5402" w:rsidP="00F14B3F">
      <w:pPr>
        <w:spacing w:before="120" w:after="240"/>
        <w:rPr>
          <w:rFonts w:ascii="Arial" w:hAnsi="Arial" w:cs="Arial"/>
          <w:sz w:val="22"/>
          <w:szCs w:val="22"/>
        </w:rPr>
      </w:pPr>
      <w:r w:rsidRPr="00457551">
        <w:rPr>
          <w:rFonts w:ascii="Arial" w:hAnsi="Arial" w:cs="Arial"/>
          <w:sz w:val="22"/>
          <w:szCs w:val="22"/>
        </w:rPr>
        <w:t>The definition of corrupt conduct</w:t>
      </w:r>
      <w:r w:rsidR="00BA46B9" w:rsidRPr="00457551">
        <w:rPr>
          <w:rFonts w:ascii="Arial" w:hAnsi="Arial" w:cs="Arial"/>
          <w:sz w:val="22"/>
          <w:szCs w:val="22"/>
        </w:rPr>
        <w:t xml:space="preserve"> in s 15 of the </w:t>
      </w:r>
      <w:r w:rsidR="00BA46B9" w:rsidRPr="00457551">
        <w:rPr>
          <w:rFonts w:ascii="Arial" w:hAnsi="Arial" w:cs="Arial"/>
          <w:i/>
          <w:sz w:val="22"/>
          <w:szCs w:val="22"/>
        </w:rPr>
        <w:t>Crime and Corruption Act 2001</w:t>
      </w:r>
      <w:r w:rsidR="00BA46B9" w:rsidRPr="00457551">
        <w:rPr>
          <w:rFonts w:ascii="Arial" w:hAnsi="Arial" w:cs="Arial"/>
          <w:sz w:val="22"/>
          <w:szCs w:val="22"/>
        </w:rPr>
        <w:t xml:space="preserve"> includes th</w:t>
      </w:r>
      <w:r w:rsidRPr="00457551">
        <w:rPr>
          <w:rFonts w:ascii="Arial" w:hAnsi="Arial" w:cs="Arial"/>
          <w:sz w:val="22"/>
          <w:szCs w:val="22"/>
        </w:rPr>
        <w:t xml:space="preserve">e concept of recklessness. It is defined as including conduct </w:t>
      </w:r>
      <w:r w:rsidR="00BA46B9" w:rsidRPr="00457551">
        <w:rPr>
          <w:rFonts w:ascii="Arial" w:hAnsi="Arial" w:cs="Arial"/>
          <w:sz w:val="22"/>
          <w:szCs w:val="22"/>
        </w:rPr>
        <w:t xml:space="preserve">that </w:t>
      </w:r>
      <w:r w:rsidR="00BA46B9" w:rsidRPr="00457551">
        <w:rPr>
          <w:rFonts w:ascii="Arial" w:hAnsi="Arial" w:cs="Arial"/>
          <w:color w:val="000000"/>
          <w:sz w:val="22"/>
          <w:szCs w:val="22"/>
          <w:shd w:val="clear" w:color="auto" w:fill="FFFFFF"/>
        </w:rPr>
        <w:t>adversely affects the performance of functions of a person holding an appointment and results in the performance of the</w:t>
      </w:r>
      <w:r w:rsidRPr="00457551">
        <w:rPr>
          <w:rFonts w:ascii="Arial" w:hAnsi="Arial" w:cs="Arial"/>
          <w:color w:val="000000"/>
          <w:sz w:val="22"/>
          <w:szCs w:val="22"/>
          <w:shd w:val="clear" w:color="auto" w:fill="FFFFFF"/>
        </w:rPr>
        <w:t>se</w:t>
      </w:r>
      <w:r w:rsidR="00BA46B9" w:rsidRPr="00457551">
        <w:rPr>
          <w:rFonts w:ascii="Arial" w:hAnsi="Arial" w:cs="Arial"/>
          <w:color w:val="000000"/>
          <w:sz w:val="22"/>
          <w:szCs w:val="22"/>
          <w:shd w:val="clear" w:color="auto" w:fill="FFFFFF"/>
        </w:rPr>
        <w:t xml:space="preserve"> functions in way that involves a breach of the trust placed in a person holding an appointment, either knowingly or </w:t>
      </w:r>
      <w:r w:rsidR="00BA46B9" w:rsidRPr="00457551">
        <w:rPr>
          <w:rFonts w:ascii="Arial" w:hAnsi="Arial" w:cs="Arial"/>
          <w:b/>
          <w:color w:val="000000"/>
          <w:sz w:val="22"/>
          <w:szCs w:val="22"/>
          <w:shd w:val="clear" w:color="auto" w:fill="FFFFFF"/>
        </w:rPr>
        <w:t>recklessly</w:t>
      </w:r>
      <w:r w:rsidR="00BA46B9" w:rsidRPr="00457551">
        <w:rPr>
          <w:rFonts w:ascii="Arial" w:hAnsi="Arial" w:cs="Arial"/>
          <w:color w:val="000000"/>
          <w:sz w:val="22"/>
          <w:szCs w:val="22"/>
          <w:shd w:val="clear" w:color="auto" w:fill="FFFFFF"/>
        </w:rPr>
        <w:t xml:space="preserve">, and if proved would be a criminal offence. </w:t>
      </w:r>
    </w:p>
    <w:p w14:paraId="299C9E88" w14:textId="21BD6E03" w:rsidR="00CC3F2E" w:rsidRPr="00457551" w:rsidRDefault="00CC3F2E" w:rsidP="00CC3F2E">
      <w:pPr>
        <w:spacing w:before="120" w:after="240"/>
        <w:rPr>
          <w:rFonts w:ascii="Arial" w:hAnsi="Arial" w:cs="Arial"/>
          <w:sz w:val="22"/>
          <w:szCs w:val="22"/>
        </w:rPr>
      </w:pPr>
      <w:r w:rsidRPr="00457551">
        <w:rPr>
          <w:rFonts w:ascii="Arial" w:hAnsi="Arial" w:cs="Arial"/>
          <w:sz w:val="22"/>
          <w:szCs w:val="22"/>
        </w:rPr>
        <w:t>A person is reckless with respect to a circumstance if he or she is aware of a substantial risk that the circumstance exists or will exist and having regard to the circumstances known to him or her, it is unjustifiable to take the risk</w:t>
      </w:r>
      <w:r w:rsidR="003B283B" w:rsidRPr="00457551">
        <w:rPr>
          <w:rFonts w:ascii="Arial" w:hAnsi="Arial" w:cs="Arial"/>
          <w:sz w:val="22"/>
          <w:szCs w:val="22"/>
        </w:rPr>
        <w:t>.</w:t>
      </w:r>
      <w:r w:rsidRPr="00457551">
        <w:rPr>
          <w:rStyle w:val="FootnoteReference"/>
          <w:rFonts w:ascii="Arial" w:hAnsi="Arial" w:cs="Arial"/>
          <w:sz w:val="22"/>
          <w:szCs w:val="22"/>
        </w:rPr>
        <w:footnoteReference w:id="6"/>
      </w:r>
      <w:r w:rsidRPr="00457551">
        <w:rPr>
          <w:rFonts w:ascii="Arial" w:hAnsi="Arial" w:cs="Arial"/>
          <w:sz w:val="22"/>
          <w:szCs w:val="22"/>
        </w:rPr>
        <w:t xml:space="preserve"> </w:t>
      </w:r>
    </w:p>
    <w:p w14:paraId="16989FBF" w14:textId="425F7267" w:rsidR="00DC21E3" w:rsidRPr="00457551" w:rsidRDefault="00DC21E3" w:rsidP="00DC21E3">
      <w:pPr>
        <w:spacing w:before="120" w:after="240"/>
        <w:rPr>
          <w:rFonts w:ascii="Arial" w:hAnsi="Arial" w:cs="Arial"/>
          <w:sz w:val="22"/>
          <w:szCs w:val="22"/>
        </w:rPr>
      </w:pPr>
      <w:r w:rsidRPr="00457551">
        <w:rPr>
          <w:rFonts w:ascii="Arial" w:hAnsi="Arial" w:cs="Arial"/>
          <w:sz w:val="22"/>
          <w:szCs w:val="22"/>
        </w:rPr>
        <w:t xml:space="preserve">In its September 2019 Report, the CCC observed that the </w:t>
      </w:r>
      <w:r w:rsidR="00D561B5" w:rsidRPr="00457551">
        <w:rPr>
          <w:rFonts w:ascii="Arial" w:hAnsi="Arial" w:cs="Arial"/>
          <w:sz w:val="22"/>
          <w:szCs w:val="22"/>
        </w:rPr>
        <w:t>behaviour</w:t>
      </w:r>
      <w:r w:rsidRPr="00457551">
        <w:rPr>
          <w:rFonts w:ascii="Arial" w:hAnsi="Arial" w:cs="Arial"/>
          <w:sz w:val="22"/>
          <w:szCs w:val="22"/>
        </w:rPr>
        <w:t xml:space="preserve"> of Deputy Premier in failing to update her statements of interest as required under s 69B of the </w:t>
      </w:r>
      <w:r w:rsidRPr="00457551">
        <w:rPr>
          <w:rFonts w:ascii="Arial" w:hAnsi="Arial" w:cs="Arial"/>
          <w:i/>
          <w:sz w:val="22"/>
          <w:szCs w:val="22"/>
        </w:rPr>
        <w:t xml:space="preserve">Parliament of Queensland Act 2001 </w:t>
      </w:r>
      <w:r w:rsidRPr="00457551">
        <w:rPr>
          <w:rFonts w:ascii="Arial" w:hAnsi="Arial" w:cs="Arial"/>
          <w:sz w:val="22"/>
          <w:szCs w:val="22"/>
        </w:rPr>
        <w:t xml:space="preserve">was not corrupt conduct as this section was not a criminal offence. In its evidence to this Inquiry, the CCC indicated that it sought further amendments as: </w:t>
      </w:r>
    </w:p>
    <w:p w14:paraId="7835310F" w14:textId="77777777" w:rsidR="00DC21E3" w:rsidRPr="008C5D23" w:rsidRDefault="00DC21E3" w:rsidP="008C5D23">
      <w:pPr>
        <w:pStyle w:val="Quote"/>
      </w:pPr>
      <w:r w:rsidRPr="008C5D23">
        <w:t xml:space="preserve">Enforcement of these obligations requires offence provisions which sanction the failure to disclose relevant interests when the person knew or ought to have known of the relevant interest. </w:t>
      </w:r>
    </w:p>
    <w:p w14:paraId="45D93EDA" w14:textId="148A30F7" w:rsidR="00DC21E3" w:rsidRPr="00457551" w:rsidRDefault="003B283B" w:rsidP="00CC3F2E">
      <w:pPr>
        <w:spacing w:before="120" w:after="240"/>
        <w:rPr>
          <w:rFonts w:ascii="Arial" w:hAnsi="Arial" w:cs="Arial"/>
          <w:sz w:val="22"/>
          <w:szCs w:val="22"/>
        </w:rPr>
      </w:pPr>
      <w:r w:rsidRPr="00457551">
        <w:rPr>
          <w:rFonts w:ascii="Arial" w:hAnsi="Arial" w:cs="Arial"/>
          <w:sz w:val="22"/>
          <w:szCs w:val="22"/>
        </w:rPr>
        <w:t>It may be that a less restrictive way of achieving the CCC’s recommendation would be to include recklessness</w:t>
      </w:r>
      <w:r w:rsidR="00CC3F2E" w:rsidRPr="00457551">
        <w:rPr>
          <w:rFonts w:ascii="Arial" w:hAnsi="Arial" w:cs="Arial"/>
          <w:sz w:val="22"/>
          <w:szCs w:val="22"/>
        </w:rPr>
        <w:t xml:space="preserve"> </w:t>
      </w:r>
      <w:r w:rsidRPr="00457551">
        <w:rPr>
          <w:rFonts w:ascii="Arial" w:hAnsi="Arial" w:cs="Arial"/>
          <w:sz w:val="22"/>
          <w:szCs w:val="22"/>
        </w:rPr>
        <w:t>as a fault element that must be proved by the prosecution</w:t>
      </w:r>
      <w:r w:rsidR="00BA46B9" w:rsidRPr="00457551">
        <w:rPr>
          <w:rFonts w:ascii="Arial" w:hAnsi="Arial" w:cs="Arial"/>
          <w:sz w:val="22"/>
          <w:szCs w:val="22"/>
        </w:rPr>
        <w:t>, rather than removing the fault element entirely</w:t>
      </w:r>
      <w:r w:rsidRPr="00457551">
        <w:rPr>
          <w:rFonts w:ascii="Arial" w:hAnsi="Arial" w:cs="Arial"/>
          <w:sz w:val="22"/>
          <w:szCs w:val="22"/>
        </w:rPr>
        <w:t>. For example, s</w:t>
      </w:r>
      <w:r w:rsidR="000B7153" w:rsidRPr="00457551">
        <w:rPr>
          <w:rFonts w:ascii="Arial" w:hAnsi="Arial" w:cs="Arial"/>
          <w:sz w:val="22"/>
          <w:szCs w:val="22"/>
        </w:rPr>
        <w:t>ection 97D of the Criminal Code and Other Legislation (Ministerial Accountability) Amendment Bill 2019</w:t>
      </w:r>
      <w:r w:rsidR="000B7153" w:rsidRPr="00457551">
        <w:rPr>
          <w:rFonts w:ascii="Arial" w:hAnsi="Arial" w:cs="Arial"/>
          <w:i/>
          <w:sz w:val="22"/>
          <w:szCs w:val="22"/>
        </w:rPr>
        <w:t xml:space="preserve">, </w:t>
      </w:r>
      <w:r w:rsidR="000B7153" w:rsidRPr="00457551">
        <w:rPr>
          <w:rFonts w:ascii="Arial" w:hAnsi="Arial" w:cs="Arial"/>
          <w:sz w:val="22"/>
          <w:szCs w:val="22"/>
        </w:rPr>
        <w:t xml:space="preserve">tabled by the Honourable Ms Deborah Frecklington MP, </w:t>
      </w:r>
      <w:r w:rsidR="00CC3F2E" w:rsidRPr="00457551">
        <w:rPr>
          <w:rFonts w:ascii="Arial" w:hAnsi="Arial" w:cs="Arial"/>
          <w:sz w:val="22"/>
          <w:szCs w:val="22"/>
        </w:rPr>
        <w:t>states that the provision applies</w:t>
      </w:r>
      <w:r w:rsidR="000B7153" w:rsidRPr="00457551">
        <w:rPr>
          <w:rFonts w:ascii="Arial" w:hAnsi="Arial" w:cs="Arial"/>
          <w:sz w:val="22"/>
          <w:szCs w:val="22"/>
        </w:rPr>
        <w:t xml:space="preserve"> when a minster ‘is aware or ought reasonably to have been aware’ of the conflict of interest in the matter. In its submission, the CCC </w:t>
      </w:r>
      <w:r w:rsidR="00DC21E3" w:rsidRPr="00457551">
        <w:rPr>
          <w:rFonts w:ascii="Arial" w:hAnsi="Arial" w:cs="Arial"/>
          <w:sz w:val="22"/>
          <w:szCs w:val="22"/>
        </w:rPr>
        <w:t>said of this provision:</w:t>
      </w:r>
    </w:p>
    <w:p w14:paraId="14852C87" w14:textId="0C5986AF" w:rsidR="00DC21E3" w:rsidRPr="00457551" w:rsidRDefault="00DC21E3" w:rsidP="00DC21E3">
      <w:pPr>
        <w:pStyle w:val="Quote"/>
      </w:pPr>
      <w:r w:rsidRPr="00457551">
        <w:t xml:space="preserve">The CCC notes that this broader approach is more consistent with the CCC's recommendations than the proposed new section 40A. The strict liability introduced by this provision is adequately mitigated by the requirement to prove knowledge or objectively reasonable knowledge. </w:t>
      </w:r>
    </w:p>
    <w:p w14:paraId="0540F198" w14:textId="4B475C7A" w:rsidR="000B7153" w:rsidRPr="00457551" w:rsidRDefault="00110D75" w:rsidP="00CC3F2E">
      <w:pPr>
        <w:spacing w:before="120" w:after="240"/>
        <w:rPr>
          <w:rFonts w:ascii="Arial" w:hAnsi="Arial" w:cs="Arial"/>
          <w:sz w:val="22"/>
          <w:szCs w:val="22"/>
        </w:rPr>
      </w:pPr>
      <w:r w:rsidRPr="00457551">
        <w:rPr>
          <w:rFonts w:ascii="Arial" w:hAnsi="Arial" w:cs="Arial"/>
          <w:sz w:val="22"/>
          <w:szCs w:val="22"/>
        </w:rPr>
        <w:t>T</w:t>
      </w:r>
      <w:r w:rsidR="00BF5402" w:rsidRPr="00457551">
        <w:rPr>
          <w:rFonts w:ascii="Arial" w:hAnsi="Arial" w:cs="Arial"/>
          <w:sz w:val="22"/>
          <w:szCs w:val="22"/>
        </w:rPr>
        <w:t>his provision</w:t>
      </w:r>
      <w:r w:rsidRPr="00457551">
        <w:rPr>
          <w:rFonts w:ascii="Arial" w:hAnsi="Arial" w:cs="Arial"/>
          <w:sz w:val="22"/>
          <w:szCs w:val="22"/>
        </w:rPr>
        <w:t xml:space="preserve"> appears to</w:t>
      </w:r>
      <w:r w:rsidR="00BF5402" w:rsidRPr="00457551">
        <w:rPr>
          <w:rFonts w:ascii="Arial" w:hAnsi="Arial" w:cs="Arial"/>
          <w:sz w:val="22"/>
          <w:szCs w:val="22"/>
        </w:rPr>
        <w:t xml:space="preserve"> require</w:t>
      </w:r>
      <w:r w:rsidR="00CC3F2E" w:rsidRPr="00457551">
        <w:rPr>
          <w:rFonts w:ascii="Arial" w:hAnsi="Arial" w:cs="Arial"/>
          <w:sz w:val="22"/>
          <w:szCs w:val="22"/>
        </w:rPr>
        <w:t xml:space="preserve"> the</w:t>
      </w:r>
      <w:r w:rsidR="008C5D23">
        <w:rPr>
          <w:rFonts w:ascii="Arial" w:hAnsi="Arial" w:cs="Arial"/>
          <w:sz w:val="22"/>
          <w:szCs w:val="22"/>
        </w:rPr>
        <w:t xml:space="preserve"> prosecution to prove that the m</w:t>
      </w:r>
      <w:r w:rsidR="00CC3F2E" w:rsidRPr="00457551">
        <w:rPr>
          <w:rFonts w:ascii="Arial" w:hAnsi="Arial" w:cs="Arial"/>
          <w:sz w:val="22"/>
          <w:szCs w:val="22"/>
        </w:rPr>
        <w:t>inister ought to have reasonably been aware of the declarable conflict of interest.</w:t>
      </w:r>
      <w:r w:rsidR="00DC21E3" w:rsidRPr="00457551">
        <w:rPr>
          <w:rFonts w:ascii="Arial" w:hAnsi="Arial" w:cs="Arial"/>
          <w:sz w:val="22"/>
          <w:szCs w:val="22"/>
        </w:rPr>
        <w:t xml:space="preserve"> Whether this is defined as ‘strict liability’ may be a matter of semantics.</w:t>
      </w:r>
      <w:r w:rsidRPr="00457551">
        <w:rPr>
          <w:rFonts w:ascii="Arial" w:hAnsi="Arial" w:cs="Arial"/>
          <w:sz w:val="22"/>
          <w:szCs w:val="22"/>
        </w:rPr>
        <w:t xml:space="preserve"> If this is the ‘strict liability’ change proposed, then i</w:t>
      </w:r>
      <w:r w:rsidR="00DC21E3" w:rsidRPr="00457551">
        <w:rPr>
          <w:rFonts w:ascii="Arial" w:hAnsi="Arial" w:cs="Arial"/>
          <w:sz w:val="22"/>
          <w:szCs w:val="22"/>
        </w:rPr>
        <w:t>n relation to the presumption of innocence,</w:t>
      </w:r>
      <w:r w:rsidRPr="00457551">
        <w:rPr>
          <w:rFonts w:ascii="Arial" w:hAnsi="Arial" w:cs="Arial"/>
          <w:sz w:val="22"/>
          <w:szCs w:val="22"/>
        </w:rPr>
        <w:t xml:space="preserve"> it would seem a more proportionate and justified limitation than an offence that did not require the prosecution </w:t>
      </w:r>
      <w:r w:rsidR="00DC21E3" w:rsidRPr="00457551">
        <w:rPr>
          <w:rFonts w:ascii="Arial" w:hAnsi="Arial" w:cs="Arial"/>
          <w:sz w:val="22"/>
          <w:szCs w:val="22"/>
        </w:rPr>
        <w:t>to prove</w:t>
      </w:r>
      <w:r w:rsidR="00BA46B9" w:rsidRPr="00457551">
        <w:rPr>
          <w:rFonts w:ascii="Arial" w:hAnsi="Arial" w:cs="Arial"/>
          <w:sz w:val="22"/>
          <w:szCs w:val="22"/>
        </w:rPr>
        <w:t xml:space="preserve"> a fault element </w:t>
      </w:r>
      <w:r w:rsidR="00DC21E3" w:rsidRPr="00457551">
        <w:rPr>
          <w:rFonts w:ascii="Arial" w:hAnsi="Arial" w:cs="Arial"/>
          <w:sz w:val="22"/>
          <w:szCs w:val="22"/>
        </w:rPr>
        <w:t>beyond reasonable doubt</w:t>
      </w:r>
      <w:r w:rsidR="00BF5402" w:rsidRPr="00457551">
        <w:rPr>
          <w:rFonts w:ascii="Arial" w:hAnsi="Arial" w:cs="Arial"/>
          <w:sz w:val="22"/>
          <w:szCs w:val="22"/>
        </w:rPr>
        <w:t xml:space="preserve">. </w:t>
      </w:r>
    </w:p>
    <w:p w14:paraId="0AA90F32" w14:textId="6FD23EA4" w:rsidR="003B283B" w:rsidRPr="00457551" w:rsidRDefault="003B283B" w:rsidP="008F0B29">
      <w:pPr>
        <w:spacing w:before="120" w:after="240"/>
        <w:rPr>
          <w:rFonts w:ascii="Arial" w:hAnsi="Arial" w:cs="Arial"/>
          <w:b/>
          <w:sz w:val="22"/>
          <w:szCs w:val="22"/>
        </w:rPr>
      </w:pPr>
      <w:r w:rsidRPr="00457551">
        <w:rPr>
          <w:rFonts w:ascii="Arial" w:hAnsi="Arial" w:cs="Arial"/>
          <w:b/>
          <w:sz w:val="22"/>
          <w:szCs w:val="22"/>
        </w:rPr>
        <w:lastRenderedPageBreak/>
        <w:t>Other Less Restrictive Options</w:t>
      </w:r>
    </w:p>
    <w:p w14:paraId="6F26BA69" w14:textId="2BC24F0E" w:rsidR="00114B7B" w:rsidRPr="00457551" w:rsidRDefault="00BA46B9" w:rsidP="00CC2663">
      <w:pPr>
        <w:spacing w:before="120" w:after="240"/>
        <w:rPr>
          <w:rFonts w:ascii="Arial" w:hAnsi="Arial" w:cs="Arial"/>
          <w:sz w:val="22"/>
          <w:szCs w:val="22"/>
        </w:rPr>
      </w:pPr>
      <w:r w:rsidRPr="00457551">
        <w:rPr>
          <w:rFonts w:ascii="Arial" w:hAnsi="Arial" w:cs="Arial"/>
          <w:sz w:val="22"/>
          <w:szCs w:val="22"/>
        </w:rPr>
        <w:t xml:space="preserve">There may be </w:t>
      </w:r>
      <w:r w:rsidR="000B7153" w:rsidRPr="00457551">
        <w:rPr>
          <w:rFonts w:ascii="Arial" w:hAnsi="Arial" w:cs="Arial"/>
          <w:sz w:val="22"/>
          <w:szCs w:val="22"/>
        </w:rPr>
        <w:t xml:space="preserve">other ways in which the offences could </w:t>
      </w:r>
      <w:r w:rsidR="00BF5402" w:rsidRPr="00457551">
        <w:rPr>
          <w:rFonts w:ascii="Arial" w:hAnsi="Arial" w:cs="Arial"/>
          <w:sz w:val="22"/>
          <w:szCs w:val="22"/>
        </w:rPr>
        <w:t>potentially be redrafted</w:t>
      </w:r>
      <w:r w:rsidR="007B6BE1" w:rsidRPr="00457551">
        <w:rPr>
          <w:rFonts w:ascii="Arial" w:hAnsi="Arial" w:cs="Arial"/>
          <w:sz w:val="22"/>
          <w:szCs w:val="22"/>
        </w:rPr>
        <w:t xml:space="preserve"> to be </w:t>
      </w:r>
      <w:r w:rsidR="000B7153" w:rsidRPr="00457551">
        <w:rPr>
          <w:rFonts w:ascii="Arial" w:hAnsi="Arial" w:cs="Arial"/>
          <w:sz w:val="22"/>
          <w:szCs w:val="22"/>
        </w:rPr>
        <w:t>a less re</w:t>
      </w:r>
      <w:r w:rsidR="007B6BE1" w:rsidRPr="00457551">
        <w:rPr>
          <w:rFonts w:ascii="Arial" w:hAnsi="Arial" w:cs="Arial"/>
          <w:sz w:val="22"/>
          <w:szCs w:val="22"/>
        </w:rPr>
        <w:t>strictive limitation on rights but still achieve their purpose:</w:t>
      </w:r>
    </w:p>
    <w:p w14:paraId="3BCA3E3D" w14:textId="637D620C" w:rsidR="00114B7B" w:rsidRPr="00457551" w:rsidRDefault="00114B7B" w:rsidP="00114B7B">
      <w:pPr>
        <w:pStyle w:val="Bulletedlist"/>
        <w:rPr>
          <w:sz w:val="22"/>
          <w:szCs w:val="22"/>
        </w:rPr>
      </w:pPr>
      <w:r w:rsidRPr="00457551">
        <w:rPr>
          <w:sz w:val="22"/>
          <w:szCs w:val="22"/>
        </w:rPr>
        <w:t>Apply strict liability but reduce the maximum penalty of the offences.</w:t>
      </w:r>
      <w:r w:rsidR="00CC3F2E" w:rsidRPr="00457551">
        <w:rPr>
          <w:sz w:val="22"/>
          <w:szCs w:val="22"/>
        </w:rPr>
        <w:t xml:space="preserve"> For example, s 97D of the </w:t>
      </w:r>
      <w:r w:rsidR="00BF5402" w:rsidRPr="00457551">
        <w:rPr>
          <w:sz w:val="22"/>
          <w:szCs w:val="22"/>
        </w:rPr>
        <w:t xml:space="preserve">Criminal Code and Other Legislation (Ministerial Accountability) Amendment Bill </w:t>
      </w:r>
      <w:r w:rsidR="00CC3F2E" w:rsidRPr="00457551">
        <w:rPr>
          <w:sz w:val="22"/>
          <w:szCs w:val="22"/>
        </w:rPr>
        <w:t>applies a maximum penalty of 100 penalty units or 1 year’s imprison</w:t>
      </w:r>
      <w:r w:rsidR="003A6568" w:rsidRPr="00457551">
        <w:rPr>
          <w:sz w:val="22"/>
          <w:szCs w:val="22"/>
        </w:rPr>
        <w:t xml:space="preserve">ment. We note that the CCC supported the higher penalty in the </w:t>
      </w:r>
      <w:r w:rsidR="00D561B5">
        <w:rPr>
          <w:sz w:val="22"/>
          <w:szCs w:val="22"/>
        </w:rPr>
        <w:t>G</w:t>
      </w:r>
      <w:r w:rsidR="003A6568" w:rsidRPr="00457551">
        <w:rPr>
          <w:sz w:val="22"/>
          <w:szCs w:val="22"/>
        </w:rPr>
        <w:t xml:space="preserve">overnment’s Bill. </w:t>
      </w:r>
    </w:p>
    <w:p w14:paraId="58C279CF" w14:textId="728022B3" w:rsidR="00114B7B" w:rsidRPr="00457551" w:rsidRDefault="00114B7B" w:rsidP="00114B7B">
      <w:pPr>
        <w:pStyle w:val="Bulletedlist"/>
        <w:rPr>
          <w:sz w:val="22"/>
          <w:szCs w:val="22"/>
        </w:rPr>
      </w:pPr>
      <w:r w:rsidRPr="00457551">
        <w:rPr>
          <w:sz w:val="22"/>
          <w:szCs w:val="22"/>
        </w:rPr>
        <w:t>Confine the offences regarding council</w:t>
      </w:r>
      <w:r w:rsidR="007B6BE1" w:rsidRPr="00457551">
        <w:rPr>
          <w:sz w:val="22"/>
          <w:szCs w:val="22"/>
        </w:rPr>
        <w:t>s</w:t>
      </w:r>
      <w:r w:rsidRPr="00457551">
        <w:rPr>
          <w:sz w:val="22"/>
          <w:szCs w:val="22"/>
        </w:rPr>
        <w:t xml:space="preserve"> to </w:t>
      </w:r>
      <w:r w:rsidR="00D561B5" w:rsidRPr="00457551">
        <w:rPr>
          <w:sz w:val="22"/>
          <w:szCs w:val="22"/>
        </w:rPr>
        <w:t>councillors</w:t>
      </w:r>
      <w:r w:rsidRPr="00457551">
        <w:rPr>
          <w:sz w:val="22"/>
          <w:szCs w:val="22"/>
        </w:rPr>
        <w:t xml:space="preserve"> only (eg not exten</w:t>
      </w:r>
      <w:r w:rsidR="007B6BE1" w:rsidRPr="00457551">
        <w:rPr>
          <w:sz w:val="22"/>
          <w:szCs w:val="22"/>
        </w:rPr>
        <w:t>d</w:t>
      </w:r>
      <w:r w:rsidRPr="00457551">
        <w:rPr>
          <w:sz w:val="22"/>
          <w:szCs w:val="22"/>
        </w:rPr>
        <w:t xml:space="preserve"> strict liability to advisers) </w:t>
      </w:r>
    </w:p>
    <w:p w14:paraId="691C8BC9" w14:textId="7950E8B8" w:rsidR="00607523" w:rsidRPr="00457551" w:rsidRDefault="00607523" w:rsidP="00CC2663">
      <w:pPr>
        <w:spacing w:before="120" w:after="240"/>
        <w:rPr>
          <w:rFonts w:ascii="Arial" w:hAnsi="Arial" w:cs="Arial"/>
          <w:b/>
          <w:sz w:val="22"/>
          <w:szCs w:val="22"/>
        </w:rPr>
      </w:pPr>
      <w:r w:rsidRPr="00457551">
        <w:rPr>
          <w:rFonts w:ascii="Arial" w:hAnsi="Arial" w:cs="Arial"/>
          <w:b/>
          <w:sz w:val="22"/>
          <w:szCs w:val="22"/>
        </w:rPr>
        <w:t>Extension to all Members of Parliament</w:t>
      </w:r>
    </w:p>
    <w:p w14:paraId="2FFCCAF0" w14:textId="78C7203C" w:rsidR="00607523" w:rsidRPr="00457551" w:rsidRDefault="00607523" w:rsidP="00CC2663">
      <w:pPr>
        <w:spacing w:before="120" w:after="240"/>
        <w:rPr>
          <w:rFonts w:ascii="Arial" w:hAnsi="Arial" w:cs="Arial"/>
          <w:sz w:val="22"/>
          <w:szCs w:val="22"/>
        </w:rPr>
      </w:pPr>
      <w:r w:rsidRPr="00457551">
        <w:rPr>
          <w:rFonts w:ascii="Arial" w:hAnsi="Arial" w:cs="Arial"/>
          <w:sz w:val="22"/>
          <w:szCs w:val="22"/>
        </w:rPr>
        <w:t>The CCC also recommended that the proposed offences dealing with contravention of conflict of interest and register of interest requirements apply to all State Members of Parliament.</w:t>
      </w:r>
      <w:r w:rsidR="008C5D23">
        <w:rPr>
          <w:rFonts w:ascii="Arial" w:hAnsi="Arial" w:cs="Arial"/>
          <w:sz w:val="22"/>
          <w:szCs w:val="22"/>
        </w:rPr>
        <w:t xml:space="preserve"> Restricting these offences to m</w:t>
      </w:r>
      <w:r w:rsidRPr="00457551">
        <w:rPr>
          <w:rFonts w:ascii="Arial" w:hAnsi="Arial" w:cs="Arial"/>
          <w:sz w:val="22"/>
          <w:szCs w:val="22"/>
        </w:rPr>
        <w:t>inisters only would arguably be a less restrictive limitation on rights. Further, given the penalties proposed, the right to security and liberty of individual Members</w:t>
      </w:r>
      <w:r w:rsidR="00D561B5">
        <w:rPr>
          <w:rFonts w:ascii="Arial" w:hAnsi="Arial" w:cs="Arial"/>
          <w:sz w:val="22"/>
          <w:szCs w:val="22"/>
        </w:rPr>
        <w:t xml:space="preserve"> under s 29 of the HRA</w:t>
      </w:r>
      <w:r w:rsidRPr="00457551">
        <w:rPr>
          <w:rFonts w:ascii="Arial" w:hAnsi="Arial" w:cs="Arial"/>
          <w:sz w:val="22"/>
          <w:szCs w:val="22"/>
        </w:rPr>
        <w:t xml:space="preserve"> is limited by the potential for them to be imprisoned as a result of such a contravention. While noting that any such limitation would have to be justified by the Government, </w:t>
      </w:r>
      <w:r w:rsidR="00110D75" w:rsidRPr="00457551">
        <w:rPr>
          <w:rFonts w:ascii="Arial" w:hAnsi="Arial" w:cs="Arial"/>
          <w:sz w:val="22"/>
          <w:szCs w:val="22"/>
        </w:rPr>
        <w:t xml:space="preserve">the Commission is conscious of the recommendations of the CCC in this area and the impact corruption and perceived corruption has on the Queensland community. In light of this, the Commission accepts that there is likely to be a strong justification for extending the offences as suggested by the CCC. </w:t>
      </w:r>
    </w:p>
    <w:p w14:paraId="3D8A3271" w14:textId="1E81801D" w:rsidR="003B283B" w:rsidRPr="00457551" w:rsidRDefault="003B283B" w:rsidP="00CC2663">
      <w:pPr>
        <w:spacing w:before="120" w:after="240"/>
        <w:rPr>
          <w:rFonts w:ascii="Arial" w:hAnsi="Arial" w:cs="Arial"/>
          <w:b/>
          <w:sz w:val="22"/>
          <w:szCs w:val="22"/>
        </w:rPr>
      </w:pPr>
      <w:r w:rsidRPr="00457551">
        <w:rPr>
          <w:rFonts w:ascii="Arial" w:hAnsi="Arial" w:cs="Arial"/>
          <w:b/>
          <w:sz w:val="22"/>
          <w:szCs w:val="22"/>
        </w:rPr>
        <w:t>Conclusion</w:t>
      </w:r>
    </w:p>
    <w:p w14:paraId="148F3407" w14:textId="3A12FB7C" w:rsidR="00CC2663" w:rsidRPr="00457551" w:rsidRDefault="003B283B" w:rsidP="00CC2663">
      <w:pPr>
        <w:spacing w:before="120" w:after="240"/>
        <w:rPr>
          <w:rFonts w:ascii="Arial" w:hAnsi="Arial" w:cs="Arial"/>
          <w:sz w:val="22"/>
          <w:szCs w:val="22"/>
        </w:rPr>
      </w:pPr>
      <w:r w:rsidRPr="00457551">
        <w:rPr>
          <w:rFonts w:ascii="Arial" w:hAnsi="Arial" w:cs="Arial"/>
          <w:sz w:val="22"/>
          <w:szCs w:val="22"/>
        </w:rPr>
        <w:t>I</w:t>
      </w:r>
      <w:r w:rsidR="001B3A9C" w:rsidRPr="00457551">
        <w:rPr>
          <w:rFonts w:ascii="Arial" w:hAnsi="Arial" w:cs="Arial"/>
          <w:sz w:val="22"/>
          <w:szCs w:val="22"/>
        </w:rPr>
        <w:t>n t</w:t>
      </w:r>
      <w:r w:rsidRPr="00457551">
        <w:rPr>
          <w:rFonts w:ascii="Arial" w:hAnsi="Arial" w:cs="Arial"/>
          <w:sz w:val="22"/>
          <w:szCs w:val="22"/>
        </w:rPr>
        <w:t>he time available we have offered some alternative less restrictive limitations on human rights that the Committee and Government might consider to address the CCC’s concerns. However, we accept</w:t>
      </w:r>
      <w:r w:rsidR="001B3A9C" w:rsidRPr="00457551">
        <w:rPr>
          <w:rFonts w:ascii="Arial" w:hAnsi="Arial" w:cs="Arial"/>
          <w:sz w:val="22"/>
          <w:szCs w:val="22"/>
        </w:rPr>
        <w:t xml:space="preserve"> that the imposition of strict </w:t>
      </w:r>
      <w:r w:rsidR="00114B7B" w:rsidRPr="00457551">
        <w:rPr>
          <w:rFonts w:ascii="Arial" w:hAnsi="Arial" w:cs="Arial"/>
          <w:sz w:val="22"/>
          <w:szCs w:val="22"/>
        </w:rPr>
        <w:t>liability</w:t>
      </w:r>
      <w:r w:rsidR="001B3A9C" w:rsidRPr="00457551">
        <w:rPr>
          <w:rFonts w:ascii="Arial" w:hAnsi="Arial" w:cs="Arial"/>
          <w:sz w:val="22"/>
          <w:szCs w:val="22"/>
        </w:rPr>
        <w:t xml:space="preserve"> in this situation </w:t>
      </w:r>
      <w:r w:rsidRPr="00457551">
        <w:rPr>
          <w:rFonts w:ascii="Arial" w:hAnsi="Arial" w:cs="Arial"/>
          <w:sz w:val="22"/>
          <w:szCs w:val="22"/>
        </w:rPr>
        <w:t>could be demonstrably</w:t>
      </w:r>
      <w:r w:rsidR="005E100B" w:rsidRPr="00457551">
        <w:rPr>
          <w:rFonts w:ascii="Arial" w:hAnsi="Arial" w:cs="Arial"/>
          <w:sz w:val="22"/>
          <w:szCs w:val="22"/>
        </w:rPr>
        <w:t xml:space="preserve"> </w:t>
      </w:r>
      <w:r w:rsidRPr="00457551">
        <w:rPr>
          <w:rFonts w:ascii="Arial" w:hAnsi="Arial" w:cs="Arial"/>
          <w:sz w:val="22"/>
          <w:szCs w:val="22"/>
        </w:rPr>
        <w:t xml:space="preserve">justified given the findings of the CCC, particularly if these options are considered and demonstrated to be unworkable. </w:t>
      </w:r>
      <w:r w:rsidR="005E100B" w:rsidRPr="00457551">
        <w:rPr>
          <w:rFonts w:ascii="Arial" w:hAnsi="Arial" w:cs="Arial"/>
          <w:sz w:val="22"/>
          <w:szCs w:val="22"/>
        </w:rPr>
        <w:t xml:space="preserve"> </w:t>
      </w:r>
    </w:p>
    <w:p w14:paraId="54CBA883" w14:textId="77777777" w:rsidR="007B302D" w:rsidRPr="00457551" w:rsidRDefault="007B302D" w:rsidP="00D16FBD">
      <w:pPr>
        <w:pStyle w:val="Numberedparagraph"/>
        <w:numPr>
          <w:ilvl w:val="0"/>
          <w:numId w:val="0"/>
        </w:numPr>
        <w:ind w:left="567" w:hanging="567"/>
        <w:rPr>
          <w:sz w:val="22"/>
          <w:szCs w:val="22"/>
        </w:rPr>
      </w:pPr>
      <w:r w:rsidRPr="00457551">
        <w:rPr>
          <w:sz w:val="22"/>
          <w:szCs w:val="22"/>
        </w:rPr>
        <w:t xml:space="preserve">Thank you for the opportunity to participate in the committee process. </w:t>
      </w:r>
    </w:p>
    <w:p w14:paraId="240C9DBB" w14:textId="77777777" w:rsidR="007B302D" w:rsidRPr="00457551" w:rsidRDefault="007B302D" w:rsidP="007B302D">
      <w:pPr>
        <w:spacing w:before="360"/>
        <w:rPr>
          <w:rFonts w:ascii="Arial" w:hAnsi="Arial" w:cs="Arial"/>
          <w:sz w:val="22"/>
          <w:szCs w:val="22"/>
        </w:rPr>
      </w:pPr>
      <w:r w:rsidRPr="00457551">
        <w:rPr>
          <w:rFonts w:ascii="Arial" w:hAnsi="Arial" w:cs="Arial"/>
          <w:sz w:val="22"/>
          <w:szCs w:val="22"/>
        </w:rPr>
        <w:t>Yours sincerely</w:t>
      </w:r>
    </w:p>
    <w:p w14:paraId="130BD73E" w14:textId="77777777" w:rsidR="007B302D" w:rsidRPr="00457551" w:rsidRDefault="007B302D" w:rsidP="007B302D">
      <w:pPr>
        <w:rPr>
          <w:rFonts w:ascii="Arial" w:hAnsi="Arial" w:cs="Arial"/>
          <w:sz w:val="22"/>
          <w:szCs w:val="22"/>
        </w:rPr>
      </w:pPr>
    </w:p>
    <w:p w14:paraId="484D23DD" w14:textId="00392123" w:rsidR="007B302D" w:rsidRPr="00457551" w:rsidRDefault="007B302D" w:rsidP="00350EE3">
      <w:pPr>
        <w:rPr>
          <w:rFonts w:ascii="Arial" w:hAnsi="Arial" w:cs="Arial"/>
          <w:sz w:val="22"/>
          <w:szCs w:val="22"/>
        </w:rPr>
      </w:pPr>
      <w:bookmarkStart w:id="1" w:name="_GoBack"/>
      <w:bookmarkEnd w:id="1"/>
    </w:p>
    <w:p w14:paraId="5265B3EB" w14:textId="77777777" w:rsidR="007B302D" w:rsidRPr="00457551" w:rsidRDefault="007B302D" w:rsidP="007B302D">
      <w:pPr>
        <w:rPr>
          <w:rFonts w:ascii="Arial" w:hAnsi="Arial" w:cs="Arial"/>
          <w:b/>
          <w:sz w:val="22"/>
          <w:szCs w:val="22"/>
        </w:rPr>
      </w:pPr>
      <w:r w:rsidRPr="00457551">
        <w:rPr>
          <w:rFonts w:ascii="Arial" w:hAnsi="Arial" w:cs="Arial"/>
          <w:b/>
          <w:sz w:val="22"/>
          <w:szCs w:val="22"/>
        </w:rPr>
        <w:t>SCOTT MCDOUGALL</w:t>
      </w:r>
    </w:p>
    <w:p w14:paraId="22B42806" w14:textId="0424EE6A" w:rsidR="004418EC" w:rsidRPr="00DC21E3" w:rsidRDefault="007B302D" w:rsidP="00DA7697">
      <w:pPr>
        <w:rPr>
          <w:rFonts w:ascii="Arial" w:hAnsi="Arial" w:cs="Arial"/>
          <w:sz w:val="22"/>
          <w:szCs w:val="22"/>
        </w:rPr>
      </w:pPr>
      <w:r w:rsidRPr="00457551">
        <w:rPr>
          <w:rFonts w:ascii="Arial" w:hAnsi="Arial" w:cs="Arial"/>
          <w:b/>
          <w:sz w:val="22"/>
          <w:szCs w:val="22"/>
        </w:rPr>
        <w:t>Queensland Human Rights Commissioner</w:t>
      </w:r>
      <w:bookmarkEnd w:id="0"/>
    </w:p>
    <w:sectPr w:rsidR="004418EC" w:rsidRPr="00DC21E3" w:rsidSect="00E30AE6">
      <w:headerReference w:type="default" r:id="rId9"/>
      <w:footerReference w:type="default" r:id="rId10"/>
      <w:headerReference w:type="first" r:id="rId11"/>
      <w:footerReference w:type="first" r:id="rId12"/>
      <w:pgSz w:w="11900" w:h="16840" w:code="9"/>
      <w:pgMar w:top="1440" w:right="1701" w:bottom="136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32AF7" w14:textId="77777777" w:rsidR="0040105C" w:rsidRDefault="0040105C" w:rsidP="0034134D">
      <w:r>
        <w:separator/>
      </w:r>
    </w:p>
  </w:endnote>
  <w:endnote w:type="continuationSeparator" w:id="0">
    <w:p w14:paraId="16EAE827" w14:textId="77777777" w:rsidR="0040105C" w:rsidRDefault="0040105C" w:rsidP="0034134D">
      <w:r>
        <w:continuationSeparator/>
      </w:r>
    </w:p>
  </w:endnote>
  <w:endnote w:type="continuationNotice" w:id="1">
    <w:p w14:paraId="497E6E85" w14:textId="77777777" w:rsidR="0040105C" w:rsidRDefault="00401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6260" w14:textId="77777777" w:rsidR="0040105C" w:rsidRDefault="0040105C" w:rsidP="000731D3">
    <w:pPr>
      <w:pStyle w:val="Footer"/>
      <w:pBdr>
        <w:top w:val="single" w:sz="4" w:space="1" w:color="auto"/>
      </w:pBdr>
      <w:jc w:val="right"/>
      <w:rPr>
        <w:rFonts w:ascii="Arial" w:hAnsi="Arial" w:cs="Arial"/>
        <w:sz w:val="20"/>
        <w:szCs w:val="20"/>
      </w:rPr>
    </w:pPr>
  </w:p>
  <w:p w14:paraId="70D1BA17" w14:textId="7897BCCA" w:rsidR="0040105C" w:rsidRPr="000731D3" w:rsidRDefault="0040105C" w:rsidP="000731D3">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303A1A">
      <w:rPr>
        <w:rFonts w:ascii="Arial" w:hAnsi="Arial" w:cs="Arial"/>
        <w:noProof/>
        <w:sz w:val="20"/>
        <w:szCs w:val="20"/>
      </w:rPr>
      <w:t>5</w:t>
    </w:r>
    <w:r w:rsidRPr="004A237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6DC25" w14:textId="77777777" w:rsidR="0040105C" w:rsidRPr="004A2375" w:rsidRDefault="0040105C" w:rsidP="00E7746A">
    <w:pPr>
      <w:pStyle w:val="Footer"/>
      <w:tabs>
        <w:tab w:val="left" w:pos="1905"/>
        <w:tab w:val="right" w:pos="8498"/>
      </w:tabs>
      <w:rPr>
        <w:rFonts w:ascii="Arial" w:hAnsi="Arial" w:cs="Arial"/>
        <w:sz w:val="20"/>
        <w:szCs w:val="20"/>
      </w:rPr>
    </w:pPr>
    <w:r>
      <w:rPr>
        <w:noProof/>
        <w:lang w:eastAsia="en-AU"/>
      </w:rPr>
      <w:drawing>
        <wp:inline distT="0" distB="0" distL="0" distR="0" wp14:anchorId="5C32B66C" wp14:editId="208D408D">
          <wp:extent cx="5396230" cy="103441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396230" cy="10344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DD902" w14:textId="77777777" w:rsidR="0040105C" w:rsidRDefault="0040105C" w:rsidP="0034134D">
      <w:r>
        <w:separator/>
      </w:r>
    </w:p>
  </w:footnote>
  <w:footnote w:type="continuationSeparator" w:id="0">
    <w:p w14:paraId="13791156" w14:textId="77777777" w:rsidR="0040105C" w:rsidRDefault="0040105C" w:rsidP="0034134D">
      <w:r>
        <w:continuationSeparator/>
      </w:r>
    </w:p>
  </w:footnote>
  <w:footnote w:type="continuationNotice" w:id="1">
    <w:p w14:paraId="7A652A93" w14:textId="77777777" w:rsidR="0040105C" w:rsidRDefault="0040105C"/>
  </w:footnote>
  <w:footnote w:id="2">
    <w:p w14:paraId="6288C92E" w14:textId="2CE51609" w:rsidR="0040105C" w:rsidRPr="00607523" w:rsidRDefault="0040105C">
      <w:pPr>
        <w:pStyle w:val="FootnoteText"/>
      </w:pPr>
      <w:r>
        <w:rPr>
          <w:rStyle w:val="FootnoteReference"/>
        </w:rPr>
        <w:footnoteRef/>
      </w:r>
      <w:r>
        <w:t xml:space="preserve"> UN Office of the High Commissioner for Human Rights, </w:t>
      </w:r>
      <w:r>
        <w:rPr>
          <w:i/>
        </w:rPr>
        <w:t>Corruption and Human Rights</w:t>
      </w:r>
      <w:r>
        <w:t>,</w:t>
      </w:r>
      <w:r w:rsidRPr="00607523">
        <w:t xml:space="preserve"> </w:t>
      </w:r>
      <w:r>
        <w:t>&lt;</w:t>
      </w:r>
      <w:hyperlink r:id="rId1" w:history="1">
        <w:r>
          <w:rPr>
            <w:rStyle w:val="Hyperlink"/>
          </w:rPr>
          <w:t>https://www.ohch</w:t>
        </w:r>
        <w:r>
          <w:rPr>
            <w:rStyle w:val="Hyperlink"/>
          </w:rPr>
          <w:t>r</w:t>
        </w:r>
        <w:r>
          <w:rPr>
            <w:rStyle w:val="Hyperlink"/>
          </w:rPr>
          <w:t>.org/EN/Issues/Corruptio</w:t>
        </w:r>
        <w:r>
          <w:rPr>
            <w:rStyle w:val="Hyperlink"/>
          </w:rPr>
          <w:t>n</w:t>
        </w:r>
        <w:r>
          <w:rPr>
            <w:rStyle w:val="Hyperlink"/>
          </w:rPr>
          <w:t>AndHR/Pages/CorruptionAndHRIndex.aspx</w:t>
        </w:r>
      </w:hyperlink>
      <w:r>
        <w:t xml:space="preserve">&gt;. See also s 15 of the HRA which enshrines protection for equality before the law. </w:t>
      </w:r>
    </w:p>
  </w:footnote>
  <w:footnote w:id="3">
    <w:p w14:paraId="6597355B" w14:textId="46649B42" w:rsidR="0040105C" w:rsidRDefault="0040105C">
      <w:pPr>
        <w:pStyle w:val="FootnoteText"/>
      </w:pPr>
      <w:r>
        <w:rPr>
          <w:rStyle w:val="FootnoteReference"/>
        </w:rPr>
        <w:footnoteRef/>
      </w:r>
      <w:r>
        <w:t xml:space="preserve"> Parliamentary Joint Committee on Human Rights, Parliament of Australia, </w:t>
      </w:r>
      <w:r w:rsidRPr="00357ACB">
        <w:rPr>
          <w:i/>
        </w:rPr>
        <w:t>Guidance Note 2: Offence provisions, civil penalties and human rights,</w:t>
      </w:r>
      <w:r>
        <w:t xml:space="preserve"> (December 2014), 2</w:t>
      </w:r>
    </w:p>
  </w:footnote>
  <w:footnote w:id="4">
    <w:p w14:paraId="1632E49F" w14:textId="78ABA5DF" w:rsidR="0040105C" w:rsidRDefault="0040105C" w:rsidP="003A6568">
      <w:pPr>
        <w:pStyle w:val="FootnoteText"/>
      </w:pPr>
      <w:r>
        <w:rPr>
          <w:rStyle w:val="FootnoteReference"/>
        </w:rPr>
        <w:footnoteRef/>
      </w:r>
      <w:r>
        <w:t xml:space="preserve"> Attorney General’s Department (Cth), </w:t>
      </w:r>
      <w:r w:rsidRPr="003A6568">
        <w:rPr>
          <w:i/>
        </w:rPr>
        <w:t>Guide to Framing Commonwealth Offences, Infringement Notices and Enforcement Powers</w:t>
      </w:r>
      <w:r>
        <w:t xml:space="preserve">, September 2011 edition, </w:t>
      </w:r>
      <w:r w:rsidR="008C5D23">
        <w:t>&lt;</w:t>
      </w:r>
      <w:hyperlink r:id="rId2" w:history="1">
        <w:r>
          <w:rPr>
            <w:rStyle w:val="Hyperlink"/>
          </w:rPr>
          <w:t>https://www.ag.gov.au/Publications/Documents/GuidetoFramingCommonwealthOffencesInfringementNoticesand</w:t>
        </w:r>
        <w:r>
          <w:rPr>
            <w:rStyle w:val="Hyperlink"/>
          </w:rPr>
          <w:t>E</w:t>
        </w:r>
        <w:r>
          <w:rPr>
            <w:rStyle w:val="Hyperlink"/>
          </w:rPr>
          <w:t>nforcementPowers/A%20Guide%20to%20Framing%20Cth%20Offences.pdf</w:t>
        </w:r>
      </w:hyperlink>
      <w:r w:rsidR="008C5D23">
        <w:t>&gt;</w:t>
      </w:r>
      <w:r>
        <w:t xml:space="preserve">,  24. </w:t>
      </w:r>
    </w:p>
  </w:footnote>
  <w:footnote w:id="5">
    <w:p w14:paraId="39795BEA" w14:textId="341FD0E1" w:rsidR="0040105C" w:rsidRDefault="0040105C">
      <w:pPr>
        <w:pStyle w:val="FootnoteText"/>
      </w:pPr>
      <w:r>
        <w:rPr>
          <w:rStyle w:val="FootnoteReference"/>
        </w:rPr>
        <w:footnoteRef/>
      </w:r>
      <w:r>
        <w:t xml:space="preserve"> Ibid, 57. </w:t>
      </w:r>
    </w:p>
  </w:footnote>
  <w:footnote w:id="6">
    <w:p w14:paraId="07C5C3AE" w14:textId="4E16E272" w:rsidR="0040105C" w:rsidRPr="00CC3F2E" w:rsidRDefault="0040105C">
      <w:pPr>
        <w:pStyle w:val="FootnoteText"/>
      </w:pPr>
      <w:r>
        <w:rPr>
          <w:rStyle w:val="FootnoteReference"/>
        </w:rPr>
        <w:footnoteRef/>
      </w:r>
      <w:r>
        <w:t xml:space="preserve"> </w:t>
      </w:r>
      <w:r>
        <w:rPr>
          <w:i/>
        </w:rPr>
        <w:t xml:space="preserve">Criminal Code Act 1995 </w:t>
      </w:r>
      <w:r>
        <w:t>(Cth), s 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FBA60" w14:textId="77777777" w:rsidR="0040105C" w:rsidRPr="009116DC" w:rsidRDefault="0040105C" w:rsidP="000731D3">
    <w:pPr>
      <w:pStyle w:val="Header"/>
      <w:rPr>
        <w:rFonts w:ascii="Arial" w:hAnsi="Arial" w:cs="Arial"/>
        <w:color w:val="365F91" w:themeColor="accent1" w:themeShade="BF"/>
        <w:sz w:val="20"/>
        <w:szCs w:val="20"/>
      </w:rPr>
    </w:pPr>
    <w:r>
      <w:rPr>
        <w:rFonts w:ascii="Arial" w:hAnsi="Arial" w:cs="Arial"/>
        <w:color w:val="365F91" w:themeColor="accent1" w:themeShade="BF"/>
        <w:sz w:val="20"/>
        <w:szCs w:val="20"/>
      </w:rPr>
      <w:t xml:space="preserve">QHRC submission: </w:t>
    </w:r>
    <w:r w:rsidRPr="007B302D">
      <w:rPr>
        <w:rFonts w:ascii="Arial" w:hAnsi="Arial" w:cs="Arial"/>
        <w:color w:val="365F91" w:themeColor="accent1" w:themeShade="BF"/>
        <w:sz w:val="20"/>
        <w:szCs w:val="20"/>
      </w:rPr>
      <w:t>Electoral and Other Legislation (Accountability, Integrity and Other Matters) Amendment Bill 2019</w:t>
    </w:r>
  </w:p>
  <w:p w14:paraId="08EDB8FD" w14:textId="77777777" w:rsidR="0040105C" w:rsidRPr="000731D3" w:rsidRDefault="0040105C" w:rsidP="000731D3">
    <w:pPr>
      <w:pStyle w:val="Header"/>
      <w:pBdr>
        <w:bottom w:val="single" w:sz="4" w:space="1" w:color="auto"/>
      </w:pBdr>
      <w:rPr>
        <w:rFonts w:ascii="Arial" w:hAnsi="Arial" w:cs="Arial"/>
        <w:sz w:val="20"/>
        <w:szCs w:val="20"/>
      </w:rPr>
    </w:pPr>
  </w:p>
  <w:p w14:paraId="22DE79A9" w14:textId="77777777" w:rsidR="0040105C" w:rsidRPr="000731D3" w:rsidRDefault="0040105C" w:rsidP="00073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3B54" w14:textId="77777777" w:rsidR="0040105C" w:rsidRPr="000731D3" w:rsidRDefault="0040105C" w:rsidP="007B302D">
    <w:pPr>
      <w:pStyle w:val="Header"/>
      <w:pBdr>
        <w:bottom w:val="single" w:sz="4" w:space="1" w:color="auto"/>
      </w:pBdr>
      <w:rPr>
        <w:rFonts w:ascii="Arial" w:hAnsi="Arial" w:cs="Arial"/>
        <w:sz w:val="20"/>
        <w:szCs w:val="20"/>
      </w:rPr>
    </w:pPr>
    <w:r>
      <w:rPr>
        <w:noProof/>
        <w:lang w:eastAsia="en-AU"/>
      </w:rPr>
      <w:drawing>
        <wp:inline distT="0" distB="0" distL="0" distR="0" wp14:anchorId="05853ACC" wp14:editId="632D4EBE">
          <wp:extent cx="2146935" cy="895985"/>
          <wp:effectExtent l="0" t="0" r="571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6935" cy="8959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744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4866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243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CA8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4E7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3C31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E021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461B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5C0A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18ED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7B428D6"/>
    <w:multiLevelType w:val="hybridMultilevel"/>
    <w:tmpl w:val="FA0C5A22"/>
    <w:lvl w:ilvl="0" w:tplc="F9B65CB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97A3CAF"/>
    <w:multiLevelType w:val="hybridMultilevel"/>
    <w:tmpl w:val="674891B2"/>
    <w:lvl w:ilvl="0" w:tplc="0C09000F">
      <w:start w:val="1"/>
      <w:numFmt w:val="decimal"/>
      <w:lvlText w:val="%1."/>
      <w:lvlJc w:val="left"/>
      <w:pPr>
        <w:ind w:left="720" w:hanging="360"/>
      </w:pPr>
    </w:lvl>
    <w:lvl w:ilvl="1" w:tplc="D1AA2608">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0250E7E"/>
    <w:multiLevelType w:val="multilevel"/>
    <w:tmpl w:val="9502FB24"/>
    <w:lvl w:ilvl="0">
      <w:start w:val="1"/>
      <w:numFmt w:val="decimal"/>
      <w:pStyle w:val="Numberedparagraph"/>
      <w:lvlText w:val="%1."/>
      <w:lvlJc w:val="left"/>
      <w:pPr>
        <w:ind w:left="567" w:hanging="567"/>
      </w:pPr>
      <w:rPr>
        <w:rFonts w:hint="default"/>
        <w:i w:val="0"/>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4" w15:restartNumberingAfterBreak="0">
    <w:nsid w:val="155459A2"/>
    <w:multiLevelType w:val="multilevel"/>
    <w:tmpl w:val="B2B0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6" w15:restartNumberingAfterBreak="0">
    <w:nsid w:val="3164161E"/>
    <w:multiLevelType w:val="hybridMultilevel"/>
    <w:tmpl w:val="57CE0F32"/>
    <w:lvl w:ilvl="0" w:tplc="8A603042">
      <w:start w:val="1"/>
      <w:numFmt w:val="bullet"/>
      <w:lvlText w:val=""/>
      <w:lvlJc w:val="left"/>
      <w:pPr>
        <w:ind w:left="780" w:hanging="360"/>
      </w:pPr>
      <w:rPr>
        <w:rFonts w:ascii="Wingdings" w:hAnsi="Wingdings" w:hint="default"/>
        <w:sz w:val="24"/>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7" w15:restartNumberingAfterBreak="0">
    <w:nsid w:val="38956138"/>
    <w:multiLevelType w:val="hybridMultilevel"/>
    <w:tmpl w:val="C6BE1028"/>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BDB0907"/>
    <w:multiLevelType w:val="hybridMultilevel"/>
    <w:tmpl w:val="0F544D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3"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143D09"/>
    <w:multiLevelType w:val="hybridMultilevel"/>
    <w:tmpl w:val="17D81F82"/>
    <w:lvl w:ilvl="0" w:tplc="2348D20E">
      <w:start w:val="1"/>
      <w:numFmt w:val="decimal"/>
      <w:pStyle w:val="NormalNum"/>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72F74"/>
    <w:multiLevelType w:val="hybridMultilevel"/>
    <w:tmpl w:val="48FA0BDA"/>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0"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1" w15:restartNumberingAfterBreak="0">
    <w:nsid w:val="6BFB5B95"/>
    <w:multiLevelType w:val="hybridMultilevel"/>
    <w:tmpl w:val="B7140F68"/>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973F92"/>
    <w:multiLevelType w:val="hybridMultilevel"/>
    <w:tmpl w:val="1758D6C6"/>
    <w:lvl w:ilvl="0" w:tplc="8A603042">
      <w:start w:val="1"/>
      <w:numFmt w:val="bullet"/>
      <w:lvlText w:val=""/>
      <w:lvlJc w:val="left"/>
      <w:pPr>
        <w:ind w:left="1080" w:hanging="360"/>
      </w:pPr>
      <w:rPr>
        <w:rFonts w:ascii="Wingdings" w:hAnsi="Wingdings" w:hint="default"/>
        <w:sz w:val="24"/>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3"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4"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75230DA9"/>
    <w:multiLevelType w:val="hybridMultilevel"/>
    <w:tmpl w:val="956A88E8"/>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7221256"/>
    <w:multiLevelType w:val="hybridMultilevel"/>
    <w:tmpl w:val="4802CC3A"/>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804023E"/>
    <w:multiLevelType w:val="hybridMultilevel"/>
    <w:tmpl w:val="40683B8C"/>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9EA5312"/>
    <w:multiLevelType w:val="hybridMultilevel"/>
    <w:tmpl w:val="3794AFEE"/>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B33349A"/>
    <w:multiLevelType w:val="hybridMultilevel"/>
    <w:tmpl w:val="17EAF17C"/>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33"/>
  </w:num>
  <w:num w:numId="4">
    <w:abstractNumId w:val="20"/>
  </w:num>
  <w:num w:numId="5">
    <w:abstractNumId w:val="23"/>
  </w:num>
  <w:num w:numId="6">
    <w:abstractNumId w:val="27"/>
  </w:num>
  <w:num w:numId="7">
    <w:abstractNumId w:val="10"/>
  </w:num>
  <w:num w:numId="8">
    <w:abstractNumId w:val="21"/>
  </w:num>
  <w:num w:numId="9">
    <w:abstractNumId w:val="30"/>
  </w:num>
  <w:num w:numId="10">
    <w:abstractNumId w:val="34"/>
  </w:num>
  <w:num w:numId="11">
    <w:abstractNumId w:val="28"/>
  </w:num>
  <w:num w:numId="12">
    <w:abstractNumId w:val="22"/>
  </w:num>
  <w:num w:numId="13">
    <w:abstractNumId w:val="13"/>
  </w:num>
  <w:num w:numId="14">
    <w:abstractNumId w:val="15"/>
  </w:num>
  <w:num w:numId="15">
    <w:abstractNumId w:val="20"/>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2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6"/>
  </w:num>
  <w:num w:numId="20">
    <w:abstractNumId w:val="31"/>
  </w:num>
  <w:num w:numId="21">
    <w:abstractNumId w:val="3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8"/>
  </w:num>
  <w:num w:numId="25">
    <w:abstractNumId w:val="39"/>
  </w:num>
  <w:num w:numId="26">
    <w:abstractNumId w:val="16"/>
  </w:num>
  <w:num w:numId="27">
    <w:abstractNumId w:val="17"/>
  </w:num>
  <w:num w:numId="28">
    <w:abstractNumId w:val="35"/>
  </w:num>
  <w:num w:numId="29">
    <w:abstractNumId w:val="26"/>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D0"/>
    <w:rsid w:val="00002F05"/>
    <w:rsid w:val="0002351E"/>
    <w:rsid w:val="00041E58"/>
    <w:rsid w:val="00044A7F"/>
    <w:rsid w:val="00045B46"/>
    <w:rsid w:val="00047983"/>
    <w:rsid w:val="00054120"/>
    <w:rsid w:val="00056960"/>
    <w:rsid w:val="00057023"/>
    <w:rsid w:val="00057D21"/>
    <w:rsid w:val="00063EDF"/>
    <w:rsid w:val="00072CE6"/>
    <w:rsid w:val="000731D3"/>
    <w:rsid w:val="00075AB0"/>
    <w:rsid w:val="0007682B"/>
    <w:rsid w:val="000947D0"/>
    <w:rsid w:val="00095FBB"/>
    <w:rsid w:val="00096517"/>
    <w:rsid w:val="000A201B"/>
    <w:rsid w:val="000B6C72"/>
    <w:rsid w:val="000B7153"/>
    <w:rsid w:val="000B794F"/>
    <w:rsid w:val="000D49A5"/>
    <w:rsid w:val="000E1039"/>
    <w:rsid w:val="000F0BC1"/>
    <w:rsid w:val="000F4098"/>
    <w:rsid w:val="00105217"/>
    <w:rsid w:val="001066BD"/>
    <w:rsid w:val="00110D75"/>
    <w:rsid w:val="00114B7B"/>
    <w:rsid w:val="00121E6F"/>
    <w:rsid w:val="00124A35"/>
    <w:rsid w:val="001304EE"/>
    <w:rsid w:val="00163B1B"/>
    <w:rsid w:val="001825CB"/>
    <w:rsid w:val="00182865"/>
    <w:rsid w:val="00182E06"/>
    <w:rsid w:val="001916E4"/>
    <w:rsid w:val="0019203A"/>
    <w:rsid w:val="00195E9F"/>
    <w:rsid w:val="001A12BD"/>
    <w:rsid w:val="001B1A27"/>
    <w:rsid w:val="001B3A9C"/>
    <w:rsid w:val="001B5470"/>
    <w:rsid w:val="001B57C6"/>
    <w:rsid w:val="001C01FD"/>
    <w:rsid w:val="001C127F"/>
    <w:rsid w:val="001C5366"/>
    <w:rsid w:val="001D50C0"/>
    <w:rsid w:val="001D7758"/>
    <w:rsid w:val="001E3A26"/>
    <w:rsid w:val="001F3F19"/>
    <w:rsid w:val="001F5F4B"/>
    <w:rsid w:val="00227178"/>
    <w:rsid w:val="00233F52"/>
    <w:rsid w:val="00235527"/>
    <w:rsid w:val="00240EF9"/>
    <w:rsid w:val="0024194E"/>
    <w:rsid w:val="00253B42"/>
    <w:rsid w:val="00283D88"/>
    <w:rsid w:val="00284FF0"/>
    <w:rsid w:val="00292C50"/>
    <w:rsid w:val="002A03F1"/>
    <w:rsid w:val="002B65D4"/>
    <w:rsid w:val="002D46A2"/>
    <w:rsid w:val="002E433B"/>
    <w:rsid w:val="00303A1A"/>
    <w:rsid w:val="00310CB2"/>
    <w:rsid w:val="00312C2A"/>
    <w:rsid w:val="003204FA"/>
    <w:rsid w:val="00321445"/>
    <w:rsid w:val="0032516B"/>
    <w:rsid w:val="0033216F"/>
    <w:rsid w:val="0034134D"/>
    <w:rsid w:val="00344F59"/>
    <w:rsid w:val="00350D39"/>
    <w:rsid w:val="00350EE3"/>
    <w:rsid w:val="0035654D"/>
    <w:rsid w:val="00357ACB"/>
    <w:rsid w:val="00370336"/>
    <w:rsid w:val="003847F0"/>
    <w:rsid w:val="00392522"/>
    <w:rsid w:val="00395332"/>
    <w:rsid w:val="003A6568"/>
    <w:rsid w:val="003A666E"/>
    <w:rsid w:val="003B197E"/>
    <w:rsid w:val="003B283B"/>
    <w:rsid w:val="003C6A61"/>
    <w:rsid w:val="003D3AAC"/>
    <w:rsid w:val="003D625C"/>
    <w:rsid w:val="003F6F7E"/>
    <w:rsid w:val="0040105C"/>
    <w:rsid w:val="00421429"/>
    <w:rsid w:val="00430CCB"/>
    <w:rsid w:val="00431D51"/>
    <w:rsid w:val="004418EC"/>
    <w:rsid w:val="004424F3"/>
    <w:rsid w:val="00451416"/>
    <w:rsid w:val="004538FC"/>
    <w:rsid w:val="00457551"/>
    <w:rsid w:val="0045765D"/>
    <w:rsid w:val="00463BEF"/>
    <w:rsid w:val="00466216"/>
    <w:rsid w:val="004A2375"/>
    <w:rsid w:val="004A6F71"/>
    <w:rsid w:val="004B0599"/>
    <w:rsid w:val="004B71ED"/>
    <w:rsid w:val="004B7209"/>
    <w:rsid w:val="004C2886"/>
    <w:rsid w:val="004E3D6B"/>
    <w:rsid w:val="004E58C1"/>
    <w:rsid w:val="004F2CB8"/>
    <w:rsid w:val="004F4CB1"/>
    <w:rsid w:val="005009D5"/>
    <w:rsid w:val="00502924"/>
    <w:rsid w:val="00516283"/>
    <w:rsid w:val="00517D74"/>
    <w:rsid w:val="00541DD0"/>
    <w:rsid w:val="00554AB8"/>
    <w:rsid w:val="00580083"/>
    <w:rsid w:val="005916EB"/>
    <w:rsid w:val="005B404C"/>
    <w:rsid w:val="005B7E50"/>
    <w:rsid w:val="005C3FB8"/>
    <w:rsid w:val="005D5A16"/>
    <w:rsid w:val="005E100B"/>
    <w:rsid w:val="005E452A"/>
    <w:rsid w:val="005E5159"/>
    <w:rsid w:val="005F0F47"/>
    <w:rsid w:val="00607523"/>
    <w:rsid w:val="00617E4F"/>
    <w:rsid w:val="00620B55"/>
    <w:rsid w:val="00627334"/>
    <w:rsid w:val="006335BE"/>
    <w:rsid w:val="00644E93"/>
    <w:rsid w:val="006466AD"/>
    <w:rsid w:val="006769BF"/>
    <w:rsid w:val="00694221"/>
    <w:rsid w:val="006A39A0"/>
    <w:rsid w:val="006A7B3A"/>
    <w:rsid w:val="006D316C"/>
    <w:rsid w:val="006E7ACA"/>
    <w:rsid w:val="006F0979"/>
    <w:rsid w:val="006F1EFD"/>
    <w:rsid w:val="006F1F8D"/>
    <w:rsid w:val="00701BE5"/>
    <w:rsid w:val="007069A1"/>
    <w:rsid w:val="00706A05"/>
    <w:rsid w:val="00730224"/>
    <w:rsid w:val="007321D1"/>
    <w:rsid w:val="00735BA1"/>
    <w:rsid w:val="00751AE0"/>
    <w:rsid w:val="007619FB"/>
    <w:rsid w:val="00763604"/>
    <w:rsid w:val="007A45D7"/>
    <w:rsid w:val="007B302D"/>
    <w:rsid w:val="007B538A"/>
    <w:rsid w:val="007B6BE1"/>
    <w:rsid w:val="007C47D8"/>
    <w:rsid w:val="007C510E"/>
    <w:rsid w:val="007C62E7"/>
    <w:rsid w:val="007D0694"/>
    <w:rsid w:val="007D0AF8"/>
    <w:rsid w:val="007F4F44"/>
    <w:rsid w:val="0080290B"/>
    <w:rsid w:val="008037F9"/>
    <w:rsid w:val="00805768"/>
    <w:rsid w:val="008101EC"/>
    <w:rsid w:val="00827429"/>
    <w:rsid w:val="008470F3"/>
    <w:rsid w:val="00850155"/>
    <w:rsid w:val="0086439D"/>
    <w:rsid w:val="00867AFD"/>
    <w:rsid w:val="00871324"/>
    <w:rsid w:val="00876C64"/>
    <w:rsid w:val="0089208D"/>
    <w:rsid w:val="008930A1"/>
    <w:rsid w:val="00894023"/>
    <w:rsid w:val="008970A8"/>
    <w:rsid w:val="008B0352"/>
    <w:rsid w:val="008B3191"/>
    <w:rsid w:val="008C3D59"/>
    <w:rsid w:val="008C5D23"/>
    <w:rsid w:val="008C6189"/>
    <w:rsid w:val="008D29B3"/>
    <w:rsid w:val="008D4D8D"/>
    <w:rsid w:val="008E2FB8"/>
    <w:rsid w:val="008E304C"/>
    <w:rsid w:val="008E792D"/>
    <w:rsid w:val="008F0B29"/>
    <w:rsid w:val="0090102E"/>
    <w:rsid w:val="00905A21"/>
    <w:rsid w:val="009116DC"/>
    <w:rsid w:val="00912E7D"/>
    <w:rsid w:val="00914828"/>
    <w:rsid w:val="00933D13"/>
    <w:rsid w:val="009662D5"/>
    <w:rsid w:val="00966AAD"/>
    <w:rsid w:val="009746DD"/>
    <w:rsid w:val="00987057"/>
    <w:rsid w:val="009A556B"/>
    <w:rsid w:val="009D3109"/>
    <w:rsid w:val="009D3B40"/>
    <w:rsid w:val="009F3E8A"/>
    <w:rsid w:val="00A0082F"/>
    <w:rsid w:val="00A023C1"/>
    <w:rsid w:val="00A12C06"/>
    <w:rsid w:val="00A16356"/>
    <w:rsid w:val="00A30198"/>
    <w:rsid w:val="00A35BBA"/>
    <w:rsid w:val="00A45369"/>
    <w:rsid w:val="00A53D1F"/>
    <w:rsid w:val="00A70E36"/>
    <w:rsid w:val="00A90373"/>
    <w:rsid w:val="00AE176D"/>
    <w:rsid w:val="00AE3A61"/>
    <w:rsid w:val="00AF0BDD"/>
    <w:rsid w:val="00B03079"/>
    <w:rsid w:val="00B360EA"/>
    <w:rsid w:val="00B41356"/>
    <w:rsid w:val="00B46BAB"/>
    <w:rsid w:val="00B50F67"/>
    <w:rsid w:val="00B6724D"/>
    <w:rsid w:val="00B67E6E"/>
    <w:rsid w:val="00B73F51"/>
    <w:rsid w:val="00B82CE9"/>
    <w:rsid w:val="00B83AE9"/>
    <w:rsid w:val="00B8743D"/>
    <w:rsid w:val="00B87FB4"/>
    <w:rsid w:val="00B91EA6"/>
    <w:rsid w:val="00B933A9"/>
    <w:rsid w:val="00BA46B9"/>
    <w:rsid w:val="00BB0B80"/>
    <w:rsid w:val="00BB2F50"/>
    <w:rsid w:val="00BF5402"/>
    <w:rsid w:val="00C255F9"/>
    <w:rsid w:val="00C33416"/>
    <w:rsid w:val="00C35743"/>
    <w:rsid w:val="00C4116E"/>
    <w:rsid w:val="00C526DC"/>
    <w:rsid w:val="00C627FD"/>
    <w:rsid w:val="00C641D7"/>
    <w:rsid w:val="00C66E1D"/>
    <w:rsid w:val="00C8564F"/>
    <w:rsid w:val="00C9716F"/>
    <w:rsid w:val="00CA162B"/>
    <w:rsid w:val="00CA23CF"/>
    <w:rsid w:val="00CA4879"/>
    <w:rsid w:val="00CA77F2"/>
    <w:rsid w:val="00CB0BBF"/>
    <w:rsid w:val="00CB3ABF"/>
    <w:rsid w:val="00CC0379"/>
    <w:rsid w:val="00CC2663"/>
    <w:rsid w:val="00CC2E5C"/>
    <w:rsid w:val="00CC3F2E"/>
    <w:rsid w:val="00CD5A10"/>
    <w:rsid w:val="00CD7704"/>
    <w:rsid w:val="00CE14AA"/>
    <w:rsid w:val="00CE4544"/>
    <w:rsid w:val="00D102EC"/>
    <w:rsid w:val="00D16FBD"/>
    <w:rsid w:val="00D21103"/>
    <w:rsid w:val="00D33110"/>
    <w:rsid w:val="00D33FEE"/>
    <w:rsid w:val="00D35262"/>
    <w:rsid w:val="00D35B0E"/>
    <w:rsid w:val="00D50C27"/>
    <w:rsid w:val="00D561B5"/>
    <w:rsid w:val="00D61B81"/>
    <w:rsid w:val="00D6241A"/>
    <w:rsid w:val="00D72B38"/>
    <w:rsid w:val="00D74335"/>
    <w:rsid w:val="00D76F2A"/>
    <w:rsid w:val="00D86386"/>
    <w:rsid w:val="00DA7697"/>
    <w:rsid w:val="00DC0A10"/>
    <w:rsid w:val="00DC0EDF"/>
    <w:rsid w:val="00DC21E3"/>
    <w:rsid w:val="00DC553C"/>
    <w:rsid w:val="00DC7216"/>
    <w:rsid w:val="00DC7280"/>
    <w:rsid w:val="00DD2998"/>
    <w:rsid w:val="00DD4168"/>
    <w:rsid w:val="00DD5B86"/>
    <w:rsid w:val="00DD7883"/>
    <w:rsid w:val="00DE62F6"/>
    <w:rsid w:val="00DF5AE3"/>
    <w:rsid w:val="00E02BF6"/>
    <w:rsid w:val="00E15E88"/>
    <w:rsid w:val="00E1631A"/>
    <w:rsid w:val="00E30AE6"/>
    <w:rsid w:val="00E54B68"/>
    <w:rsid w:val="00E6776E"/>
    <w:rsid w:val="00E7746A"/>
    <w:rsid w:val="00E91A9E"/>
    <w:rsid w:val="00E940D7"/>
    <w:rsid w:val="00EA0FB4"/>
    <w:rsid w:val="00EB3433"/>
    <w:rsid w:val="00EB5211"/>
    <w:rsid w:val="00EB6445"/>
    <w:rsid w:val="00EB7E3E"/>
    <w:rsid w:val="00EC4641"/>
    <w:rsid w:val="00ED0709"/>
    <w:rsid w:val="00ED426F"/>
    <w:rsid w:val="00ED6006"/>
    <w:rsid w:val="00EE20D8"/>
    <w:rsid w:val="00EF2CD3"/>
    <w:rsid w:val="00F12660"/>
    <w:rsid w:val="00F14B3F"/>
    <w:rsid w:val="00F4420D"/>
    <w:rsid w:val="00F552D1"/>
    <w:rsid w:val="00F558ED"/>
    <w:rsid w:val="00F55DEB"/>
    <w:rsid w:val="00F73546"/>
    <w:rsid w:val="00FB4D15"/>
    <w:rsid w:val="00FD4014"/>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15F5FBF"/>
  <w14:defaultImageDpi w14:val="300"/>
  <w15:docId w15:val="{8CE17EB4-3D77-44A8-868C-7B1E60C2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02D"/>
    <w:rPr>
      <w:lang w:val="en-AU"/>
    </w:rPr>
  </w:style>
  <w:style w:type="paragraph" w:styleId="Heading1">
    <w:name w:val="heading 1"/>
    <w:basedOn w:val="Normal"/>
    <w:next w:val="Normal"/>
    <w:link w:val="Heading1Char"/>
    <w:uiPriority w:val="9"/>
    <w:qFormat/>
    <w:rsid w:val="007C510E"/>
    <w:pPr>
      <w:keepNext/>
      <w:keepLines/>
      <w:spacing w:before="240" w:after="240"/>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502924"/>
    <w:pPr>
      <w:keepNext/>
      <w:keepLines/>
      <w:spacing w:before="240" w:after="120"/>
      <w:outlineLvl w:val="1"/>
    </w:pPr>
    <w:rPr>
      <w:rFonts w:ascii="Arial" w:eastAsiaTheme="majorEastAsia" w:hAnsi="Arial" w:cstheme="majorBidi"/>
      <w:b/>
      <w:color w:val="365F91" w:themeColor="accent1" w:themeShade="BF"/>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ascii="Arial" w:eastAsiaTheme="majorEastAsia" w:hAnsi="Arial"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rFonts w:ascii="Arial" w:hAnsi="Arial"/>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
    <w:basedOn w:val="DefaultParagraphFont"/>
    <w:unhideWhenUsed/>
    <w:rsid w:val="0034134D"/>
    <w:rPr>
      <w:vertAlign w:val="superscript"/>
    </w:rPr>
  </w:style>
  <w:style w:type="character" w:customStyle="1" w:styleId="Heading1Char">
    <w:name w:val="Heading 1 Char"/>
    <w:basedOn w:val="DefaultParagraphFont"/>
    <w:link w:val="Heading1"/>
    <w:uiPriority w:val="9"/>
    <w:rsid w:val="007C510E"/>
    <w:rPr>
      <w:rFonts w:ascii="Arial" w:eastAsiaTheme="majorEastAsia" w:hAnsi="Arial" w:cstheme="majorBidi"/>
      <w:b/>
      <w:color w:val="365F91" w:themeColor="accent1" w:themeShade="BF"/>
      <w:sz w:val="2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02924"/>
    <w:rPr>
      <w:rFonts w:ascii="Arial" w:eastAsiaTheme="majorEastAsia" w:hAnsi="Arial" w:cstheme="majorBidi"/>
      <w:b/>
      <w:color w:val="365F91" w:themeColor="accent1" w:themeShade="BF"/>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9116DC"/>
    <w:pPr>
      <w:spacing w:before="240" w:after="240" w:line="276" w:lineRule="auto"/>
      <w:ind w:left="907"/>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9116DC"/>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 w:type="paragraph" w:styleId="Title">
    <w:name w:val="Title"/>
    <w:basedOn w:val="Normal"/>
    <w:next w:val="Normal"/>
    <w:link w:val="TitleChar"/>
    <w:uiPriority w:val="10"/>
    <w:rsid w:val="007B302D"/>
    <w:pPr>
      <w:spacing w:before="120" w:after="240"/>
    </w:pPr>
    <w:rPr>
      <w:rFonts w:ascii="Arial" w:eastAsia="Calibri" w:hAnsi="Arial" w:cs="Arial"/>
      <w:b/>
      <w:color w:val="000000"/>
      <w:lang w:eastAsia="en-AU"/>
    </w:rPr>
  </w:style>
  <w:style w:type="character" w:customStyle="1" w:styleId="TitleChar">
    <w:name w:val="Title Char"/>
    <w:basedOn w:val="DefaultParagraphFont"/>
    <w:link w:val="Title"/>
    <w:uiPriority w:val="10"/>
    <w:rsid w:val="007B302D"/>
    <w:rPr>
      <w:rFonts w:ascii="Arial" w:eastAsia="Calibri" w:hAnsi="Arial" w:cs="Arial"/>
      <w:b/>
      <w:color w:val="000000"/>
      <w:lang w:val="en-AU" w:eastAsia="en-AU"/>
    </w:rPr>
  </w:style>
  <w:style w:type="character" w:customStyle="1" w:styleId="bodyquoteChar">
    <w:name w:val="body quote Char"/>
    <w:link w:val="bodyquote"/>
    <w:locked/>
    <w:rsid w:val="007B302D"/>
    <w:rPr>
      <w:rFonts w:ascii="Calibri" w:hAnsi="Calibri"/>
    </w:rPr>
  </w:style>
  <w:style w:type="paragraph" w:customStyle="1" w:styleId="bodyquote">
    <w:name w:val="body quote"/>
    <w:link w:val="bodyquoteChar"/>
    <w:rsid w:val="007B302D"/>
    <w:pPr>
      <w:spacing w:after="240"/>
      <w:ind w:left="709"/>
      <w:jc w:val="both"/>
    </w:pPr>
    <w:rPr>
      <w:rFonts w:ascii="Calibri" w:hAnsi="Calibri"/>
    </w:rPr>
  </w:style>
  <w:style w:type="paragraph" w:customStyle="1" w:styleId="NormalNum">
    <w:name w:val="Normal Num"/>
    <w:basedOn w:val="Normal"/>
    <w:rsid w:val="007B302D"/>
    <w:pPr>
      <w:numPr>
        <w:numId w:val="17"/>
      </w:numPr>
      <w:spacing w:before="120" w:after="120"/>
      <w:ind w:left="357" w:hanging="357"/>
    </w:pPr>
    <w:rPr>
      <w:rFonts w:ascii="Arial" w:eastAsia="Calibri" w:hAnsi="Arial" w:cs="Arial"/>
      <w:color w:val="000000"/>
      <w:sz w:val="22"/>
      <w:lang w:eastAsia="en-AU"/>
    </w:rPr>
  </w:style>
  <w:style w:type="paragraph" w:customStyle="1" w:styleId="bullet">
    <w:name w:val="bullet"/>
    <w:rsid w:val="007B302D"/>
    <w:pPr>
      <w:spacing w:after="200" w:line="276" w:lineRule="auto"/>
    </w:pPr>
    <w:rPr>
      <w:rFonts w:ascii="Arial" w:eastAsia="Calibri" w:hAnsi="Arial" w:cs="Arial"/>
      <w:color w:val="000000"/>
      <w:lang w:val="en-AU" w:eastAsia="en-AU"/>
    </w:rPr>
  </w:style>
  <w:style w:type="paragraph" w:styleId="NormalWeb">
    <w:name w:val="Normal (Web)"/>
    <w:basedOn w:val="Normal"/>
    <w:uiPriority w:val="99"/>
    <w:semiHidden/>
    <w:unhideWhenUsed/>
    <w:rsid w:val="007321D1"/>
    <w:pPr>
      <w:spacing w:before="100" w:beforeAutospacing="1" w:after="100" w:afterAutospacing="1"/>
    </w:pPr>
    <w:rPr>
      <w:rFonts w:ascii="Times New Roman" w:eastAsia="Times New Roman" w:hAnsi="Times New Roman" w:cs="Times New Roman"/>
      <w:lang w:eastAsia="en-AU"/>
    </w:rPr>
  </w:style>
  <w:style w:type="character" w:styleId="Emphasis">
    <w:name w:val="Emphasis"/>
    <w:basedOn w:val="DefaultParagraphFont"/>
    <w:uiPriority w:val="20"/>
    <w:qFormat/>
    <w:rsid w:val="007321D1"/>
    <w:rPr>
      <w:i/>
      <w:iCs/>
    </w:rPr>
  </w:style>
  <w:style w:type="paragraph" w:styleId="Revision">
    <w:name w:val="Revision"/>
    <w:hidden/>
    <w:uiPriority w:val="99"/>
    <w:semiHidden/>
    <w:rsid w:val="007321D1"/>
  </w:style>
  <w:style w:type="character" w:styleId="FollowedHyperlink">
    <w:name w:val="FollowedHyperlink"/>
    <w:basedOn w:val="DefaultParagraphFont"/>
    <w:uiPriority w:val="99"/>
    <w:semiHidden/>
    <w:unhideWhenUsed/>
    <w:rsid w:val="004575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0214">
      <w:bodyDiv w:val="1"/>
      <w:marLeft w:val="0"/>
      <w:marRight w:val="0"/>
      <w:marTop w:val="0"/>
      <w:marBottom w:val="0"/>
      <w:divBdr>
        <w:top w:val="none" w:sz="0" w:space="0" w:color="auto"/>
        <w:left w:val="none" w:sz="0" w:space="0" w:color="auto"/>
        <w:bottom w:val="none" w:sz="0" w:space="0" w:color="auto"/>
        <w:right w:val="none" w:sz="0" w:space="0" w:color="auto"/>
      </w:divBdr>
    </w:div>
    <w:div w:id="846557524">
      <w:bodyDiv w:val="1"/>
      <w:marLeft w:val="0"/>
      <w:marRight w:val="0"/>
      <w:marTop w:val="0"/>
      <w:marBottom w:val="0"/>
      <w:divBdr>
        <w:top w:val="none" w:sz="0" w:space="0" w:color="auto"/>
        <w:left w:val="none" w:sz="0" w:space="0" w:color="auto"/>
        <w:bottom w:val="none" w:sz="0" w:space="0" w:color="auto"/>
        <w:right w:val="none" w:sz="0" w:space="0" w:color="auto"/>
      </w:divBdr>
    </w:div>
    <w:div w:id="1052117350">
      <w:bodyDiv w:val="1"/>
      <w:marLeft w:val="0"/>
      <w:marRight w:val="0"/>
      <w:marTop w:val="0"/>
      <w:marBottom w:val="0"/>
      <w:divBdr>
        <w:top w:val="none" w:sz="0" w:space="0" w:color="auto"/>
        <w:left w:val="none" w:sz="0" w:space="0" w:color="auto"/>
        <w:bottom w:val="none" w:sz="0" w:space="0" w:color="auto"/>
        <w:right w:val="none" w:sz="0" w:space="0" w:color="auto"/>
      </w:divBdr>
    </w:div>
    <w:div w:id="1321959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ag.gov.au/Publications/Documents/GuidetoFramingCommonwealthOffencesInfringementNoticesandEnforcementPowers/A%20Guide%20to%20Framing%20Cth%20Offences.pdf" TargetMode="External"/><Relationship Id="rId1" Type="http://schemas.openxmlformats.org/officeDocument/2006/relationships/hyperlink" Target="https://www.ohchr.org/EN/Issues/CorruptionAndHR/Pages/CorruptionAndHRIndex.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cq-file01\Data\Shared\LEGAL%20RESEARCH%20&amp;%20POLICY%20(Team)\Sandpit\QHRC%20-%20long%20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9FB588-CC38-4863-9D84-7012AE55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Template>
  <TotalTime>1</TotalTime>
  <Pages>5</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Sean Costello</dc:creator>
  <cp:keywords/>
  <dc:description/>
  <cp:lastModifiedBy>Sean Costello</cp:lastModifiedBy>
  <cp:revision>2</cp:revision>
  <cp:lastPrinted>2020-02-03T02:06:00Z</cp:lastPrinted>
  <dcterms:created xsi:type="dcterms:W3CDTF">2020-02-03T02:07:00Z</dcterms:created>
  <dcterms:modified xsi:type="dcterms:W3CDTF">2020-02-03T02:07:00Z</dcterms:modified>
</cp:coreProperties>
</file>