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 w:val="24"/>
          <w:szCs w:val="24"/>
          <w:lang w:val="en-AU"/>
        </w:rPr>
        <w:id w:val="2067608509"/>
        <w:docPartObj>
          <w:docPartGallery w:val="Cover Pages"/>
          <w:docPartUnique/>
        </w:docPartObj>
      </w:sdtPr>
      <w:sdtEndPr>
        <w:rPr>
          <w:sz w:val="16"/>
          <w:szCs w:val="16"/>
        </w:rPr>
      </w:sdtEndPr>
      <w:sdtContent>
        <w:tbl>
          <w:tblPr>
            <w:tblW w:w="5000" w:type="pct"/>
            <w:jc w:val="center"/>
            <w:tblBorders>
              <w:bottom w:val="single" w:sz="4" w:space="0" w:color="auto"/>
            </w:tblBorders>
            <w:tblLook w:val="04A0" w:firstRow="1" w:lastRow="0" w:firstColumn="1" w:lastColumn="0" w:noHBand="0" w:noVBand="1"/>
          </w:tblPr>
          <w:tblGrid>
            <w:gridCol w:w="8306"/>
          </w:tblGrid>
          <w:tr w:rsidR="004A2375" w:rsidRPr="00D95D9E" w14:paraId="71855361" w14:textId="77777777" w:rsidTr="00260847">
            <w:trPr>
              <w:trHeight w:val="2506"/>
              <w:jc w:val="center"/>
            </w:trPr>
            <w:tc>
              <w:tcPr>
                <w:tcW w:w="5000" w:type="pct"/>
                <w:vAlign w:val="center"/>
              </w:tcPr>
              <w:p w14:paraId="71602E16" w14:textId="77777777" w:rsidR="00260847" w:rsidRDefault="00260847" w:rsidP="003C443B">
                <w:pPr>
                  <w:pStyle w:val="NoSpacing"/>
                  <w:spacing w:after="240"/>
                </w:pPr>
              </w:p>
              <w:p w14:paraId="11D4EEDE" w14:textId="77777777" w:rsidR="00260847" w:rsidRDefault="00260847" w:rsidP="003C443B">
                <w:pPr>
                  <w:pStyle w:val="NoSpacing"/>
                  <w:spacing w:after="240"/>
                </w:pPr>
              </w:p>
              <w:p w14:paraId="30DC6B47" w14:textId="77777777" w:rsidR="00260847" w:rsidRDefault="00260847" w:rsidP="003C443B">
                <w:pPr>
                  <w:pStyle w:val="NoSpacing"/>
                  <w:spacing w:after="240"/>
                </w:pPr>
              </w:p>
              <w:p w14:paraId="130C5837" w14:textId="77777777" w:rsidR="00260847" w:rsidRDefault="00260847" w:rsidP="003C443B">
                <w:pPr>
                  <w:pStyle w:val="NoSpacing"/>
                  <w:spacing w:after="240"/>
                </w:pPr>
              </w:p>
              <w:p w14:paraId="5BA0EC27" w14:textId="77777777" w:rsidR="00260847" w:rsidRDefault="00260847" w:rsidP="003C443B">
                <w:pPr>
                  <w:pStyle w:val="NoSpacing"/>
                  <w:spacing w:after="240"/>
                </w:pPr>
              </w:p>
              <w:p w14:paraId="47907A85" w14:textId="77777777" w:rsidR="00260847" w:rsidRDefault="00260847" w:rsidP="003C443B">
                <w:pPr>
                  <w:pStyle w:val="NoSpacing"/>
                  <w:spacing w:after="240"/>
                </w:pPr>
              </w:p>
              <w:p w14:paraId="0CB91ECE" w14:textId="77777777" w:rsidR="00260847" w:rsidRDefault="00260847" w:rsidP="003C443B">
                <w:pPr>
                  <w:pStyle w:val="NoSpacing"/>
                  <w:spacing w:after="240"/>
                </w:pPr>
                <w:r w:rsidRPr="00F63848">
                  <w:rPr>
                    <w:noProof/>
                    <w:lang w:val="en-AU" w:eastAsia="en-AU"/>
                  </w:rPr>
                  <w:drawing>
                    <wp:inline distT="0" distB="0" distL="0" distR="0" wp14:anchorId="7FDEF73F" wp14:editId="27C03B73">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34DF7A30" w14:textId="77777777" w:rsidR="00260847" w:rsidRDefault="00260847" w:rsidP="003C443B">
                <w:pPr>
                  <w:pStyle w:val="NoSpacing"/>
                  <w:spacing w:after="240"/>
                </w:pPr>
              </w:p>
              <w:p w14:paraId="7C5F437F" w14:textId="77777777" w:rsidR="00260847" w:rsidRDefault="00260847" w:rsidP="003C443B">
                <w:pPr>
                  <w:pStyle w:val="NoSpacing"/>
                  <w:spacing w:after="240"/>
                </w:pPr>
              </w:p>
              <w:p w14:paraId="6DAD6AF3" w14:textId="77777777" w:rsidR="00260847" w:rsidRDefault="00260847" w:rsidP="003C443B">
                <w:pPr>
                  <w:pStyle w:val="NoSpacing"/>
                  <w:spacing w:after="240"/>
                </w:pPr>
              </w:p>
              <w:p w14:paraId="30ECEA62" w14:textId="77777777" w:rsidR="00260847" w:rsidRDefault="00260847" w:rsidP="003C443B">
                <w:pPr>
                  <w:pStyle w:val="NoSpacing"/>
                  <w:spacing w:after="240"/>
                </w:pPr>
              </w:p>
              <w:sdt>
                <w:sdtPr>
                  <w:rPr>
                    <w:rFonts w:ascii="Arial" w:eastAsiaTheme="majorEastAsia" w:hAnsi="Arial" w:cs="Arial"/>
                    <w:color w:val="004270"/>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0BE8800E" w14:textId="77777777" w:rsidR="004A2375" w:rsidRPr="00D95D9E" w:rsidRDefault="006201CC" w:rsidP="005B022D">
                    <w:pPr>
                      <w:pStyle w:val="NoSpacing"/>
                      <w:spacing w:after="240"/>
                      <w:rPr>
                        <w:rFonts w:asciiTheme="majorHAnsi" w:eastAsiaTheme="majorEastAsia" w:hAnsiTheme="majorHAnsi" w:cstheme="majorBidi"/>
                        <w:sz w:val="80"/>
                        <w:szCs w:val="80"/>
                      </w:rPr>
                    </w:pPr>
                    <w:r>
                      <w:rPr>
                        <w:rFonts w:ascii="Arial" w:eastAsiaTheme="majorEastAsia" w:hAnsi="Arial" w:cs="Arial"/>
                        <w:color w:val="004270"/>
                        <w:sz w:val="60"/>
                        <w:szCs w:val="60"/>
                      </w:rPr>
                      <w:t>Submission to Senate Select Committee on COVID-19</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037B9E11" w14:textId="77777777" w:rsidTr="00260847">
            <w:tc>
              <w:tcPr>
                <w:tcW w:w="6407" w:type="dxa"/>
                <w:tcMar>
                  <w:top w:w="216" w:type="dxa"/>
                  <w:left w:w="115" w:type="dxa"/>
                  <w:bottom w:w="216" w:type="dxa"/>
                  <w:right w:w="115" w:type="dxa"/>
                </w:tcMar>
              </w:tcPr>
              <w:p w14:paraId="22DC9638" w14:textId="77777777" w:rsidR="00A16356" w:rsidRDefault="00A16356" w:rsidP="00260847">
                <w:pPr>
                  <w:pStyle w:val="NoSpacing"/>
                  <w:jc w:val="center"/>
                  <w:rPr>
                    <w:color w:val="4F81BD" w:themeColor="accent1"/>
                  </w:rPr>
                </w:pPr>
              </w:p>
            </w:tc>
          </w:tr>
        </w:tbl>
        <w:p w14:paraId="386B9CBC" w14:textId="5EBBD62E" w:rsidR="00260847" w:rsidRDefault="00294A3F" w:rsidP="00260847">
          <w:pPr>
            <w:pStyle w:val="NoSpacing"/>
            <w:spacing w:before="120" w:after="120"/>
            <w:rPr>
              <w:rFonts w:ascii="Arial" w:hAnsi="Arial" w:cs="Arial"/>
              <w:bCs/>
              <w:sz w:val="28"/>
            </w:rPr>
          </w:pPr>
          <w:r>
            <w:rPr>
              <w:rFonts w:ascii="Arial" w:hAnsi="Arial" w:cs="Arial"/>
              <w:bCs/>
              <w:sz w:val="28"/>
            </w:rPr>
            <w:t xml:space="preserve">28 </w:t>
          </w:r>
          <w:r w:rsidR="005B022D">
            <w:rPr>
              <w:rFonts w:ascii="Arial" w:hAnsi="Arial" w:cs="Arial"/>
              <w:bCs/>
              <w:sz w:val="28"/>
            </w:rPr>
            <w:t>May 2020</w:t>
          </w:r>
        </w:p>
        <w:p w14:paraId="1368B8BC" w14:textId="77777777" w:rsidR="00260847" w:rsidRDefault="00260847">
          <w:pPr>
            <w:rPr>
              <w:rFonts w:ascii="Arial" w:hAnsi="Arial" w:cs="Arial"/>
              <w:bCs/>
              <w:sz w:val="28"/>
              <w:szCs w:val="22"/>
              <w:lang w:val="en-US"/>
            </w:rPr>
          </w:pPr>
          <w:r>
            <w:rPr>
              <w:rFonts w:ascii="Arial" w:hAnsi="Arial" w:cs="Arial"/>
              <w:bCs/>
              <w:sz w:val="28"/>
            </w:rPr>
            <w:br w:type="page"/>
          </w:r>
        </w:p>
        <w:p w14:paraId="3383AF02" w14:textId="77777777" w:rsidR="004A2375" w:rsidRDefault="004A2375" w:rsidP="00260847">
          <w:pPr>
            <w:pStyle w:val="NoSpacing"/>
            <w:spacing w:before="120" w:after="120"/>
          </w:pPr>
        </w:p>
        <w:p w14:paraId="5DDDA7BB" w14:textId="77777777" w:rsidR="00A16356" w:rsidRPr="004A2375" w:rsidRDefault="00546049">
          <w:pPr>
            <w:rPr>
              <w:rFonts w:ascii="Arial" w:eastAsiaTheme="majorEastAsia" w:hAnsi="Arial" w:cstheme="majorBidi"/>
              <w:b/>
              <w:color w:val="365F91" w:themeColor="accent1" w:themeShade="BF"/>
              <w:sz w:val="16"/>
              <w:szCs w:val="16"/>
            </w:rPr>
          </w:pPr>
        </w:p>
      </w:sdtContent>
    </w:sdt>
    <w:bookmarkStart w:id="1" w:name="_Toc41562975"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1B78A021" w14:textId="77777777" w:rsidR="00A16356" w:rsidRPr="00A16356" w:rsidRDefault="00260847" w:rsidP="00260847">
          <w:pPr>
            <w:pStyle w:val="Heading1"/>
          </w:pPr>
          <w:r>
            <w:t>Table of c</w:t>
          </w:r>
          <w:r w:rsidR="00A16356" w:rsidRPr="00A16356">
            <w:t>ontents</w:t>
          </w:r>
          <w:bookmarkEnd w:id="1"/>
        </w:p>
        <w:p w14:paraId="7232FBEC" w14:textId="2C753336" w:rsidR="00294A3F" w:rsidRPr="00294A3F" w:rsidRDefault="00A16356">
          <w:pPr>
            <w:pStyle w:val="TOC1"/>
            <w:tabs>
              <w:tab w:val="right" w:leader="dot" w:pos="8296"/>
            </w:tabs>
            <w:rPr>
              <w:rFonts w:ascii="Arial" w:hAnsi="Arial" w:cs="Arial"/>
              <w:noProof/>
              <w:sz w:val="22"/>
              <w:szCs w:val="22"/>
              <w:lang w:eastAsia="en-AU"/>
            </w:rPr>
          </w:pPr>
          <w:r w:rsidRPr="00294A3F">
            <w:rPr>
              <w:rFonts w:ascii="Arial" w:hAnsi="Arial" w:cs="Arial"/>
              <w:b/>
              <w:bCs/>
              <w:noProof/>
            </w:rPr>
            <w:fldChar w:fldCharType="begin"/>
          </w:r>
          <w:r w:rsidRPr="00294A3F">
            <w:rPr>
              <w:rFonts w:ascii="Arial" w:hAnsi="Arial" w:cs="Arial"/>
              <w:b/>
              <w:bCs/>
              <w:noProof/>
            </w:rPr>
            <w:instrText xml:space="preserve"> TOC \o "1-3" \h \z \u </w:instrText>
          </w:r>
          <w:r w:rsidRPr="00294A3F">
            <w:rPr>
              <w:rFonts w:ascii="Arial" w:hAnsi="Arial" w:cs="Arial"/>
              <w:b/>
              <w:bCs/>
              <w:noProof/>
            </w:rPr>
            <w:fldChar w:fldCharType="separate"/>
          </w:r>
          <w:hyperlink w:anchor="_Toc41562976" w:history="1">
            <w:r w:rsidR="00294A3F" w:rsidRPr="00294A3F">
              <w:rPr>
                <w:rStyle w:val="Hyperlink"/>
                <w:rFonts w:ascii="Arial" w:hAnsi="Arial" w:cs="Arial"/>
                <w:noProof/>
              </w:rPr>
              <w:t>Introduction</w:t>
            </w:r>
            <w:r w:rsidR="00294A3F" w:rsidRPr="00294A3F">
              <w:rPr>
                <w:rFonts w:ascii="Arial" w:hAnsi="Arial" w:cs="Arial"/>
                <w:noProof/>
                <w:webHidden/>
              </w:rPr>
              <w:tab/>
            </w:r>
            <w:r w:rsidR="00294A3F" w:rsidRPr="00294A3F">
              <w:rPr>
                <w:rFonts w:ascii="Arial" w:hAnsi="Arial" w:cs="Arial"/>
                <w:noProof/>
                <w:webHidden/>
              </w:rPr>
              <w:fldChar w:fldCharType="begin"/>
            </w:r>
            <w:r w:rsidR="00294A3F" w:rsidRPr="00294A3F">
              <w:rPr>
                <w:rFonts w:ascii="Arial" w:hAnsi="Arial" w:cs="Arial"/>
                <w:noProof/>
                <w:webHidden/>
              </w:rPr>
              <w:instrText xml:space="preserve"> PAGEREF _Toc41562976 \h </w:instrText>
            </w:r>
            <w:r w:rsidR="00294A3F" w:rsidRPr="00294A3F">
              <w:rPr>
                <w:rFonts w:ascii="Arial" w:hAnsi="Arial" w:cs="Arial"/>
                <w:noProof/>
                <w:webHidden/>
              </w:rPr>
            </w:r>
            <w:r w:rsidR="00294A3F" w:rsidRPr="00294A3F">
              <w:rPr>
                <w:rFonts w:ascii="Arial" w:hAnsi="Arial" w:cs="Arial"/>
                <w:noProof/>
                <w:webHidden/>
              </w:rPr>
              <w:fldChar w:fldCharType="separate"/>
            </w:r>
            <w:r w:rsidR="00546049">
              <w:rPr>
                <w:rFonts w:ascii="Arial" w:hAnsi="Arial" w:cs="Arial"/>
                <w:noProof/>
                <w:webHidden/>
              </w:rPr>
              <w:t>2</w:t>
            </w:r>
            <w:r w:rsidR="00294A3F" w:rsidRPr="00294A3F">
              <w:rPr>
                <w:rFonts w:ascii="Arial" w:hAnsi="Arial" w:cs="Arial"/>
                <w:noProof/>
                <w:webHidden/>
              </w:rPr>
              <w:fldChar w:fldCharType="end"/>
            </w:r>
          </w:hyperlink>
        </w:p>
        <w:p w14:paraId="28F784C5" w14:textId="76D7DA82" w:rsidR="00294A3F" w:rsidRPr="00294A3F" w:rsidRDefault="00546049">
          <w:pPr>
            <w:pStyle w:val="TOC1"/>
            <w:tabs>
              <w:tab w:val="right" w:leader="dot" w:pos="8296"/>
            </w:tabs>
            <w:rPr>
              <w:rFonts w:ascii="Arial" w:hAnsi="Arial" w:cs="Arial"/>
              <w:noProof/>
              <w:sz w:val="22"/>
              <w:szCs w:val="22"/>
              <w:lang w:eastAsia="en-AU"/>
            </w:rPr>
          </w:pPr>
          <w:hyperlink w:anchor="_Toc41562977" w:history="1">
            <w:r w:rsidR="00294A3F" w:rsidRPr="00294A3F">
              <w:rPr>
                <w:rStyle w:val="Hyperlink"/>
                <w:rFonts w:ascii="Arial" w:hAnsi="Arial" w:cs="Arial"/>
                <w:noProof/>
              </w:rPr>
              <w:t>Human rights legislation</w:t>
            </w:r>
            <w:r w:rsidR="00294A3F" w:rsidRPr="00294A3F">
              <w:rPr>
                <w:rFonts w:ascii="Arial" w:hAnsi="Arial" w:cs="Arial"/>
                <w:noProof/>
                <w:webHidden/>
              </w:rPr>
              <w:tab/>
            </w:r>
            <w:r w:rsidR="00294A3F" w:rsidRPr="00294A3F">
              <w:rPr>
                <w:rFonts w:ascii="Arial" w:hAnsi="Arial" w:cs="Arial"/>
                <w:noProof/>
                <w:webHidden/>
              </w:rPr>
              <w:fldChar w:fldCharType="begin"/>
            </w:r>
            <w:r w:rsidR="00294A3F" w:rsidRPr="00294A3F">
              <w:rPr>
                <w:rFonts w:ascii="Arial" w:hAnsi="Arial" w:cs="Arial"/>
                <w:noProof/>
                <w:webHidden/>
              </w:rPr>
              <w:instrText xml:space="preserve"> PAGEREF _Toc41562977 \h </w:instrText>
            </w:r>
            <w:r w:rsidR="00294A3F" w:rsidRPr="00294A3F">
              <w:rPr>
                <w:rFonts w:ascii="Arial" w:hAnsi="Arial" w:cs="Arial"/>
                <w:noProof/>
                <w:webHidden/>
              </w:rPr>
            </w:r>
            <w:r w:rsidR="00294A3F" w:rsidRPr="00294A3F">
              <w:rPr>
                <w:rFonts w:ascii="Arial" w:hAnsi="Arial" w:cs="Arial"/>
                <w:noProof/>
                <w:webHidden/>
              </w:rPr>
              <w:fldChar w:fldCharType="separate"/>
            </w:r>
            <w:r>
              <w:rPr>
                <w:rFonts w:ascii="Arial" w:hAnsi="Arial" w:cs="Arial"/>
                <w:noProof/>
                <w:webHidden/>
              </w:rPr>
              <w:t>2</w:t>
            </w:r>
            <w:r w:rsidR="00294A3F" w:rsidRPr="00294A3F">
              <w:rPr>
                <w:rFonts w:ascii="Arial" w:hAnsi="Arial" w:cs="Arial"/>
                <w:noProof/>
                <w:webHidden/>
              </w:rPr>
              <w:fldChar w:fldCharType="end"/>
            </w:r>
          </w:hyperlink>
        </w:p>
        <w:p w14:paraId="3AAD531B" w14:textId="194D6A13" w:rsidR="00294A3F" w:rsidRPr="00294A3F" w:rsidRDefault="00546049">
          <w:pPr>
            <w:pStyle w:val="TOC1"/>
            <w:tabs>
              <w:tab w:val="right" w:leader="dot" w:pos="8296"/>
            </w:tabs>
            <w:rPr>
              <w:rFonts w:ascii="Arial" w:hAnsi="Arial" w:cs="Arial"/>
              <w:noProof/>
              <w:sz w:val="22"/>
              <w:szCs w:val="22"/>
              <w:lang w:eastAsia="en-AU"/>
            </w:rPr>
          </w:pPr>
          <w:hyperlink w:anchor="_Toc41562978" w:history="1">
            <w:r w:rsidR="00294A3F" w:rsidRPr="00294A3F">
              <w:rPr>
                <w:rStyle w:val="Hyperlink"/>
                <w:rFonts w:ascii="Arial" w:hAnsi="Arial" w:cs="Arial"/>
                <w:noProof/>
              </w:rPr>
              <w:t>Biosecurity Act</w:t>
            </w:r>
            <w:r w:rsidR="00294A3F" w:rsidRPr="00294A3F">
              <w:rPr>
                <w:rFonts w:ascii="Arial" w:hAnsi="Arial" w:cs="Arial"/>
                <w:noProof/>
                <w:webHidden/>
              </w:rPr>
              <w:tab/>
            </w:r>
            <w:r w:rsidR="00294A3F" w:rsidRPr="00294A3F">
              <w:rPr>
                <w:rFonts w:ascii="Arial" w:hAnsi="Arial" w:cs="Arial"/>
                <w:noProof/>
                <w:webHidden/>
              </w:rPr>
              <w:fldChar w:fldCharType="begin"/>
            </w:r>
            <w:r w:rsidR="00294A3F" w:rsidRPr="00294A3F">
              <w:rPr>
                <w:rFonts w:ascii="Arial" w:hAnsi="Arial" w:cs="Arial"/>
                <w:noProof/>
                <w:webHidden/>
              </w:rPr>
              <w:instrText xml:space="preserve"> PAGEREF _Toc41562978 \h </w:instrText>
            </w:r>
            <w:r w:rsidR="00294A3F" w:rsidRPr="00294A3F">
              <w:rPr>
                <w:rFonts w:ascii="Arial" w:hAnsi="Arial" w:cs="Arial"/>
                <w:noProof/>
                <w:webHidden/>
              </w:rPr>
            </w:r>
            <w:r w:rsidR="00294A3F" w:rsidRPr="00294A3F">
              <w:rPr>
                <w:rFonts w:ascii="Arial" w:hAnsi="Arial" w:cs="Arial"/>
                <w:noProof/>
                <w:webHidden/>
              </w:rPr>
              <w:fldChar w:fldCharType="separate"/>
            </w:r>
            <w:r>
              <w:rPr>
                <w:rFonts w:ascii="Arial" w:hAnsi="Arial" w:cs="Arial"/>
                <w:noProof/>
                <w:webHidden/>
              </w:rPr>
              <w:t>4</w:t>
            </w:r>
            <w:r w:rsidR="00294A3F" w:rsidRPr="00294A3F">
              <w:rPr>
                <w:rFonts w:ascii="Arial" w:hAnsi="Arial" w:cs="Arial"/>
                <w:noProof/>
                <w:webHidden/>
              </w:rPr>
              <w:fldChar w:fldCharType="end"/>
            </w:r>
          </w:hyperlink>
        </w:p>
        <w:p w14:paraId="265A0EF9" w14:textId="595CD35E" w:rsidR="00294A3F" w:rsidRPr="00294A3F" w:rsidRDefault="00546049">
          <w:pPr>
            <w:pStyle w:val="TOC1"/>
            <w:tabs>
              <w:tab w:val="right" w:leader="dot" w:pos="8296"/>
            </w:tabs>
            <w:rPr>
              <w:rFonts w:ascii="Arial" w:hAnsi="Arial" w:cs="Arial"/>
              <w:noProof/>
              <w:sz w:val="22"/>
              <w:szCs w:val="22"/>
              <w:lang w:eastAsia="en-AU"/>
            </w:rPr>
          </w:pPr>
          <w:hyperlink w:anchor="_Toc41562979" w:history="1">
            <w:r w:rsidR="00294A3F" w:rsidRPr="00294A3F">
              <w:rPr>
                <w:rStyle w:val="Hyperlink"/>
                <w:rFonts w:ascii="Arial" w:hAnsi="Arial" w:cs="Arial"/>
                <w:noProof/>
              </w:rPr>
              <w:t>Racial vilification</w:t>
            </w:r>
            <w:r w:rsidR="00294A3F" w:rsidRPr="00294A3F">
              <w:rPr>
                <w:rFonts w:ascii="Arial" w:hAnsi="Arial" w:cs="Arial"/>
                <w:noProof/>
                <w:webHidden/>
              </w:rPr>
              <w:tab/>
            </w:r>
            <w:r w:rsidR="00294A3F" w:rsidRPr="00294A3F">
              <w:rPr>
                <w:rFonts w:ascii="Arial" w:hAnsi="Arial" w:cs="Arial"/>
                <w:noProof/>
                <w:webHidden/>
              </w:rPr>
              <w:fldChar w:fldCharType="begin"/>
            </w:r>
            <w:r w:rsidR="00294A3F" w:rsidRPr="00294A3F">
              <w:rPr>
                <w:rFonts w:ascii="Arial" w:hAnsi="Arial" w:cs="Arial"/>
                <w:noProof/>
                <w:webHidden/>
              </w:rPr>
              <w:instrText xml:space="preserve"> PAGEREF _Toc41562979 \h </w:instrText>
            </w:r>
            <w:r w:rsidR="00294A3F" w:rsidRPr="00294A3F">
              <w:rPr>
                <w:rFonts w:ascii="Arial" w:hAnsi="Arial" w:cs="Arial"/>
                <w:noProof/>
                <w:webHidden/>
              </w:rPr>
            </w:r>
            <w:r w:rsidR="00294A3F" w:rsidRPr="00294A3F">
              <w:rPr>
                <w:rFonts w:ascii="Arial" w:hAnsi="Arial" w:cs="Arial"/>
                <w:noProof/>
                <w:webHidden/>
              </w:rPr>
              <w:fldChar w:fldCharType="separate"/>
            </w:r>
            <w:r>
              <w:rPr>
                <w:rFonts w:ascii="Arial" w:hAnsi="Arial" w:cs="Arial"/>
                <w:noProof/>
                <w:webHidden/>
              </w:rPr>
              <w:t>6</w:t>
            </w:r>
            <w:r w:rsidR="00294A3F" w:rsidRPr="00294A3F">
              <w:rPr>
                <w:rFonts w:ascii="Arial" w:hAnsi="Arial" w:cs="Arial"/>
                <w:noProof/>
                <w:webHidden/>
              </w:rPr>
              <w:fldChar w:fldCharType="end"/>
            </w:r>
          </w:hyperlink>
        </w:p>
        <w:p w14:paraId="67FD29F7" w14:textId="124957A5" w:rsidR="00294A3F" w:rsidRPr="00294A3F" w:rsidRDefault="00546049">
          <w:pPr>
            <w:pStyle w:val="TOC1"/>
            <w:tabs>
              <w:tab w:val="right" w:leader="dot" w:pos="8296"/>
            </w:tabs>
            <w:rPr>
              <w:rFonts w:ascii="Arial" w:hAnsi="Arial" w:cs="Arial"/>
              <w:noProof/>
              <w:sz w:val="22"/>
              <w:szCs w:val="22"/>
              <w:lang w:eastAsia="en-AU"/>
            </w:rPr>
          </w:pPr>
          <w:hyperlink w:anchor="_Toc41562980" w:history="1">
            <w:r w:rsidR="00294A3F" w:rsidRPr="00294A3F">
              <w:rPr>
                <w:rStyle w:val="Hyperlink"/>
                <w:rFonts w:ascii="Arial" w:hAnsi="Arial" w:cs="Arial"/>
                <w:noProof/>
                <w:lang w:val="en-US" w:eastAsia="en-AU"/>
              </w:rPr>
              <w:t>Nationally consistent framework for Health</w:t>
            </w:r>
            <w:r w:rsidR="00294A3F" w:rsidRPr="00294A3F">
              <w:rPr>
                <w:rFonts w:ascii="Arial" w:hAnsi="Arial" w:cs="Arial"/>
                <w:noProof/>
                <w:webHidden/>
              </w:rPr>
              <w:tab/>
            </w:r>
            <w:r w:rsidR="00294A3F" w:rsidRPr="00294A3F">
              <w:rPr>
                <w:rFonts w:ascii="Arial" w:hAnsi="Arial" w:cs="Arial"/>
                <w:noProof/>
                <w:webHidden/>
              </w:rPr>
              <w:fldChar w:fldCharType="begin"/>
            </w:r>
            <w:r w:rsidR="00294A3F" w:rsidRPr="00294A3F">
              <w:rPr>
                <w:rFonts w:ascii="Arial" w:hAnsi="Arial" w:cs="Arial"/>
                <w:noProof/>
                <w:webHidden/>
              </w:rPr>
              <w:instrText xml:space="preserve"> PAGEREF _Toc41562980 \h </w:instrText>
            </w:r>
            <w:r w:rsidR="00294A3F" w:rsidRPr="00294A3F">
              <w:rPr>
                <w:rFonts w:ascii="Arial" w:hAnsi="Arial" w:cs="Arial"/>
                <w:noProof/>
                <w:webHidden/>
              </w:rPr>
            </w:r>
            <w:r w:rsidR="00294A3F" w:rsidRPr="00294A3F">
              <w:rPr>
                <w:rFonts w:ascii="Arial" w:hAnsi="Arial" w:cs="Arial"/>
                <w:noProof/>
                <w:webHidden/>
              </w:rPr>
              <w:fldChar w:fldCharType="separate"/>
            </w:r>
            <w:r>
              <w:rPr>
                <w:rFonts w:ascii="Arial" w:hAnsi="Arial" w:cs="Arial"/>
                <w:noProof/>
                <w:webHidden/>
              </w:rPr>
              <w:t>8</w:t>
            </w:r>
            <w:r w:rsidR="00294A3F" w:rsidRPr="00294A3F">
              <w:rPr>
                <w:rFonts w:ascii="Arial" w:hAnsi="Arial" w:cs="Arial"/>
                <w:noProof/>
                <w:webHidden/>
              </w:rPr>
              <w:fldChar w:fldCharType="end"/>
            </w:r>
          </w:hyperlink>
        </w:p>
        <w:p w14:paraId="763FDBD1" w14:textId="71DE8995" w:rsidR="00294A3F" w:rsidRPr="00294A3F" w:rsidRDefault="00546049">
          <w:pPr>
            <w:pStyle w:val="TOC1"/>
            <w:tabs>
              <w:tab w:val="right" w:leader="dot" w:pos="8296"/>
            </w:tabs>
            <w:rPr>
              <w:rFonts w:ascii="Arial" w:hAnsi="Arial" w:cs="Arial"/>
              <w:noProof/>
              <w:sz w:val="22"/>
              <w:szCs w:val="22"/>
              <w:lang w:eastAsia="en-AU"/>
            </w:rPr>
          </w:pPr>
          <w:hyperlink w:anchor="_Toc41562981" w:history="1">
            <w:r w:rsidR="00294A3F" w:rsidRPr="00294A3F">
              <w:rPr>
                <w:rStyle w:val="Hyperlink"/>
                <w:rFonts w:ascii="Arial" w:hAnsi="Arial" w:cs="Arial"/>
                <w:noProof/>
              </w:rPr>
              <w:t>Conclusion</w:t>
            </w:r>
            <w:r w:rsidR="00294A3F" w:rsidRPr="00294A3F">
              <w:rPr>
                <w:rFonts w:ascii="Arial" w:hAnsi="Arial" w:cs="Arial"/>
                <w:noProof/>
                <w:webHidden/>
              </w:rPr>
              <w:tab/>
            </w:r>
            <w:r w:rsidR="00294A3F" w:rsidRPr="00294A3F">
              <w:rPr>
                <w:rFonts w:ascii="Arial" w:hAnsi="Arial" w:cs="Arial"/>
                <w:noProof/>
                <w:webHidden/>
              </w:rPr>
              <w:fldChar w:fldCharType="begin"/>
            </w:r>
            <w:r w:rsidR="00294A3F" w:rsidRPr="00294A3F">
              <w:rPr>
                <w:rFonts w:ascii="Arial" w:hAnsi="Arial" w:cs="Arial"/>
                <w:noProof/>
                <w:webHidden/>
              </w:rPr>
              <w:instrText xml:space="preserve"> PAGEREF _Toc41562981 \h </w:instrText>
            </w:r>
            <w:r w:rsidR="00294A3F" w:rsidRPr="00294A3F">
              <w:rPr>
                <w:rFonts w:ascii="Arial" w:hAnsi="Arial" w:cs="Arial"/>
                <w:noProof/>
                <w:webHidden/>
              </w:rPr>
            </w:r>
            <w:r w:rsidR="00294A3F" w:rsidRPr="00294A3F">
              <w:rPr>
                <w:rFonts w:ascii="Arial" w:hAnsi="Arial" w:cs="Arial"/>
                <w:noProof/>
                <w:webHidden/>
              </w:rPr>
              <w:fldChar w:fldCharType="separate"/>
            </w:r>
            <w:r>
              <w:rPr>
                <w:rFonts w:ascii="Arial" w:hAnsi="Arial" w:cs="Arial"/>
                <w:noProof/>
                <w:webHidden/>
              </w:rPr>
              <w:t>9</w:t>
            </w:r>
            <w:r w:rsidR="00294A3F" w:rsidRPr="00294A3F">
              <w:rPr>
                <w:rFonts w:ascii="Arial" w:hAnsi="Arial" w:cs="Arial"/>
                <w:noProof/>
                <w:webHidden/>
              </w:rPr>
              <w:fldChar w:fldCharType="end"/>
            </w:r>
          </w:hyperlink>
        </w:p>
        <w:p w14:paraId="38EA0202" w14:textId="74E40285" w:rsidR="00A16356" w:rsidRPr="00041E58" w:rsidRDefault="00A16356" w:rsidP="00466216">
          <w:pPr>
            <w:spacing w:before="120" w:after="120"/>
            <w:rPr>
              <w:rFonts w:ascii="Arial" w:hAnsi="Arial" w:cs="Arial"/>
            </w:rPr>
          </w:pPr>
          <w:r w:rsidRPr="00294A3F">
            <w:rPr>
              <w:rFonts w:ascii="Arial" w:hAnsi="Arial" w:cs="Arial"/>
              <w:b/>
              <w:bCs/>
              <w:noProof/>
            </w:rPr>
            <w:fldChar w:fldCharType="end"/>
          </w:r>
        </w:p>
      </w:sdtContent>
    </w:sdt>
    <w:p w14:paraId="045BDB79" w14:textId="77777777" w:rsidR="004A2375" w:rsidRDefault="004A2375">
      <w:pPr>
        <w:rPr>
          <w:rFonts w:ascii="Arial" w:eastAsiaTheme="majorEastAsia" w:hAnsi="Arial" w:cstheme="majorBidi"/>
          <w:b/>
          <w:color w:val="365F91" w:themeColor="accent1" w:themeShade="BF"/>
          <w:sz w:val="28"/>
          <w:szCs w:val="32"/>
        </w:rPr>
        <w:sectPr w:rsidR="004A2375" w:rsidSect="00A16356">
          <w:footerReference w:type="default" r:id="rId10"/>
          <w:headerReference w:type="first" r:id="rId11"/>
          <w:pgSz w:w="11900" w:h="16840" w:code="9"/>
          <w:pgMar w:top="1440" w:right="1797" w:bottom="1440" w:left="1797" w:header="709" w:footer="709" w:gutter="0"/>
          <w:pgNumType w:start="0"/>
          <w:cols w:space="708"/>
          <w:titlePg/>
          <w:docGrid w:linePitch="360"/>
        </w:sectPr>
      </w:pPr>
    </w:p>
    <w:p w14:paraId="52FF7524" w14:textId="77777777" w:rsidR="00B82CE9" w:rsidRDefault="00CF76BE" w:rsidP="007C510E">
      <w:pPr>
        <w:pStyle w:val="Heading1"/>
      </w:pPr>
      <w:bookmarkStart w:id="2" w:name="_Toc41562976"/>
      <w:r>
        <w:lastRenderedPageBreak/>
        <w:t>Introduction</w:t>
      </w:r>
      <w:bookmarkEnd w:id="2"/>
    </w:p>
    <w:p w14:paraId="4B0CC700" w14:textId="4309D671" w:rsidR="00FB62E1" w:rsidRDefault="00FB62E1" w:rsidP="0086387C">
      <w:pPr>
        <w:pStyle w:val="Numberedparagraph"/>
      </w:pPr>
      <w:r>
        <w:t>Thank you for the opportunity to make a submission to this important inquiry. Australians have been subjected to extraordinary restrictions, the like of which have not been seen for generations. It is critically important that the community has the opportunity to report on the impact of these changes, particularly to assess unintended consequences, and to inform future government decisions.</w:t>
      </w:r>
      <w:r w:rsidR="00C63B20">
        <w:t xml:space="preserve"> We are grateful for the opportunity to share our observations at the Queensland level about the impact of the Australian Government’s response to this crisis. </w:t>
      </w:r>
    </w:p>
    <w:p w14:paraId="2D3DCB28" w14:textId="54E5C020" w:rsidR="0086387C" w:rsidRDefault="0086387C" w:rsidP="0086387C">
      <w:pPr>
        <w:pStyle w:val="Numberedparagraph"/>
      </w:pPr>
      <w:r>
        <w:t xml:space="preserve">The Queensland Human Rights Commission (the Commission) has functions under the </w:t>
      </w:r>
      <w:r>
        <w:rPr>
          <w:i/>
        </w:rPr>
        <w:t>Anti-Discrimination Act 1991</w:t>
      </w:r>
      <w:r w:rsidR="008161E7">
        <w:rPr>
          <w:i/>
        </w:rPr>
        <w:t xml:space="preserve"> </w:t>
      </w:r>
      <w:r w:rsidR="008161E7">
        <w:t>(Qld)</w:t>
      </w:r>
      <w:r>
        <w:t xml:space="preserve"> and the </w:t>
      </w:r>
      <w:r>
        <w:rPr>
          <w:i/>
        </w:rPr>
        <w:t>Human Rights Act 2019</w:t>
      </w:r>
      <w:r w:rsidR="008161E7">
        <w:rPr>
          <w:i/>
        </w:rPr>
        <w:t xml:space="preserve"> </w:t>
      </w:r>
      <w:r w:rsidR="008161E7">
        <w:t>(Qld)</w:t>
      </w:r>
      <w:r>
        <w:t xml:space="preserve"> to promote an understanding and discussion of human rights in Queensland, and to provide information and </w:t>
      </w:r>
      <w:r w:rsidR="00154906">
        <w:t xml:space="preserve">education </w:t>
      </w:r>
      <w:r>
        <w:t xml:space="preserve">about human rights. </w:t>
      </w:r>
    </w:p>
    <w:p w14:paraId="36A798A5" w14:textId="11F9F7CE" w:rsidR="00CF76BE" w:rsidRDefault="0086387C" w:rsidP="00A35CFE">
      <w:pPr>
        <w:pStyle w:val="Numberedparagraph"/>
      </w:pPr>
      <w:r>
        <w:t xml:space="preserve">In fulfilling these functions, the Commission has closely monitored the impact </w:t>
      </w:r>
      <w:r w:rsidR="00F15515">
        <w:t xml:space="preserve">on the Queensland community </w:t>
      </w:r>
      <w:r w:rsidR="00ED3BBF">
        <w:t xml:space="preserve">— both positive and negative — </w:t>
      </w:r>
      <w:r>
        <w:t xml:space="preserve">of </w:t>
      </w:r>
      <w:r w:rsidR="00ED3BBF">
        <w:t xml:space="preserve">government responses </w:t>
      </w:r>
      <w:r w:rsidR="00F15515">
        <w:t xml:space="preserve">to the </w:t>
      </w:r>
      <w:r>
        <w:t>COVID-19 pandemic</w:t>
      </w:r>
      <w:r w:rsidR="00ED3BBF">
        <w:t>.</w:t>
      </w:r>
      <w:r w:rsidR="00F15515">
        <w:t xml:space="preserve"> </w:t>
      </w:r>
      <w:r>
        <w:t xml:space="preserve"> </w:t>
      </w:r>
    </w:p>
    <w:p w14:paraId="5697C6FC" w14:textId="00D2155C" w:rsidR="00CF76BE" w:rsidRDefault="00ED3BBF" w:rsidP="00CF76BE">
      <w:pPr>
        <w:pStyle w:val="Numberedparagraph"/>
      </w:pPr>
      <w:r>
        <w:t xml:space="preserve">The Commission </w:t>
      </w:r>
      <w:r w:rsidR="00CF76BE">
        <w:t>wish</w:t>
      </w:r>
      <w:r>
        <w:t>es</w:t>
      </w:r>
      <w:r w:rsidR="00CF76BE">
        <w:t xml:space="preserve"> to bring to the attention of the Committee </w:t>
      </w:r>
      <w:r w:rsidR="0021451D">
        <w:t>some</w:t>
      </w:r>
      <w:r w:rsidR="00CF76BE">
        <w:t xml:space="preserve"> critical</w:t>
      </w:r>
      <w:r w:rsidR="0086387C">
        <w:t xml:space="preserve"> </w:t>
      </w:r>
      <w:r>
        <w:t xml:space="preserve">human rights </w:t>
      </w:r>
      <w:r w:rsidR="0086387C">
        <w:t>issues</w:t>
      </w:r>
      <w:r>
        <w:t xml:space="preserve"> arising from the Australian Government’s response</w:t>
      </w:r>
      <w:r w:rsidR="00CF76BE">
        <w:t xml:space="preserve">. These </w:t>
      </w:r>
      <w:r w:rsidR="009C4DE9">
        <w:t>include</w:t>
      </w:r>
      <w:r>
        <w:t xml:space="preserve"> the</w:t>
      </w:r>
      <w:r w:rsidR="00CF76BE">
        <w:t>:</w:t>
      </w:r>
    </w:p>
    <w:p w14:paraId="17B9919C" w14:textId="6EEF203B" w:rsidR="00CF76BE" w:rsidRDefault="00ED3BBF" w:rsidP="00CF76BE">
      <w:pPr>
        <w:pStyle w:val="Bulletedlist"/>
      </w:pPr>
      <w:r>
        <w:t>b</w:t>
      </w:r>
      <w:r w:rsidR="00CF76BE">
        <w:t>enefit of human rights legislation in government responses to pandemics such as COVID-19;</w:t>
      </w:r>
    </w:p>
    <w:p w14:paraId="66B477B5" w14:textId="18FC330A" w:rsidR="003F329F" w:rsidRDefault="003F329F" w:rsidP="003F329F">
      <w:pPr>
        <w:pStyle w:val="Bulletedlist"/>
      </w:pPr>
      <w:r>
        <w:t xml:space="preserve">impact of the Commonwealth </w:t>
      </w:r>
      <w:r w:rsidRPr="00C0422D">
        <w:rPr>
          <w:i/>
        </w:rPr>
        <w:t>Biosecurity Act</w:t>
      </w:r>
      <w:r w:rsidR="00C0422D">
        <w:rPr>
          <w:i/>
        </w:rPr>
        <w:t xml:space="preserve"> 2015</w:t>
      </w:r>
      <w:r>
        <w:t xml:space="preserve"> restrictions</w:t>
      </w:r>
      <w:r w:rsidR="00294A3F">
        <w:t>;</w:t>
      </w:r>
    </w:p>
    <w:p w14:paraId="4513BBE7" w14:textId="252BA1BD" w:rsidR="00CF76BE" w:rsidRDefault="009C4DE9" w:rsidP="00CF76BE">
      <w:pPr>
        <w:pStyle w:val="Bulletedlist"/>
      </w:pPr>
      <w:r>
        <w:t>n</w:t>
      </w:r>
      <w:r w:rsidR="00CF76BE">
        <w:t>eed to protect members of the community from public abuse, particularly because of their race, through a positive national campaign</w:t>
      </w:r>
      <w:r w:rsidR="00ED3BBF">
        <w:t>;</w:t>
      </w:r>
      <w:r w:rsidR="00CF76BE">
        <w:t xml:space="preserve"> </w:t>
      </w:r>
      <w:r w:rsidR="00FB62E1">
        <w:t>and</w:t>
      </w:r>
    </w:p>
    <w:p w14:paraId="0C52C1CD" w14:textId="62641049" w:rsidR="00FB62E1" w:rsidRDefault="00ED3BBF" w:rsidP="00CF76BE">
      <w:pPr>
        <w:pStyle w:val="Bulletedlist"/>
      </w:pPr>
      <w:r>
        <w:t>need to c</w:t>
      </w:r>
      <w:r w:rsidR="009C4DE9">
        <w:t xml:space="preserve">onsider </w:t>
      </w:r>
      <w:r>
        <w:t xml:space="preserve">a </w:t>
      </w:r>
      <w:r w:rsidR="009C4DE9">
        <w:t>n</w:t>
      </w:r>
      <w:r w:rsidR="00CF76BE">
        <w:t>ationally consistent</w:t>
      </w:r>
      <w:r>
        <w:t>,</w:t>
      </w:r>
      <w:r w:rsidR="00CF76BE">
        <w:t xml:space="preserve"> ethical framework for allocating resources </w:t>
      </w:r>
      <w:r>
        <w:t>(</w:t>
      </w:r>
      <w:r w:rsidR="00CF76BE">
        <w:t>should the scarcity of critical care seen elsewhere occur in Australia</w:t>
      </w:r>
      <w:r>
        <w:t>)</w:t>
      </w:r>
      <w:r w:rsidR="00FB62E1">
        <w:t>.</w:t>
      </w:r>
    </w:p>
    <w:p w14:paraId="33D1B9FB" w14:textId="77777777" w:rsidR="006201CC" w:rsidRDefault="006201CC" w:rsidP="006201CC">
      <w:pPr>
        <w:pStyle w:val="Bulletedlist"/>
        <w:numPr>
          <w:ilvl w:val="0"/>
          <w:numId w:val="0"/>
        </w:numPr>
        <w:ind w:left="1287"/>
      </w:pPr>
    </w:p>
    <w:p w14:paraId="31E9C326" w14:textId="0C0E3E43" w:rsidR="00CF76BE" w:rsidRDefault="0086387C" w:rsidP="00FB62E1">
      <w:pPr>
        <w:pStyle w:val="Heading1"/>
      </w:pPr>
      <w:bookmarkStart w:id="3" w:name="_Toc41562977"/>
      <w:r>
        <w:t xml:space="preserve">Human </w:t>
      </w:r>
      <w:r w:rsidR="00C92C76">
        <w:t>r</w:t>
      </w:r>
      <w:r>
        <w:t xml:space="preserve">ights </w:t>
      </w:r>
      <w:r w:rsidR="00C92C76">
        <w:t>l</w:t>
      </w:r>
      <w:r>
        <w:t>egislation</w:t>
      </w:r>
      <w:bookmarkEnd w:id="3"/>
    </w:p>
    <w:p w14:paraId="70C13A24" w14:textId="3FF99F46" w:rsidR="0086387C" w:rsidRDefault="0086387C" w:rsidP="0086387C">
      <w:pPr>
        <w:pStyle w:val="Numberedparagraph"/>
        <w:rPr>
          <w:lang w:val="en-US" w:eastAsia="en-AU"/>
        </w:rPr>
      </w:pPr>
      <w:r>
        <w:rPr>
          <w:lang w:val="en-US" w:eastAsia="en-AU"/>
        </w:rPr>
        <w:t>On 1 January 2020, th</w:t>
      </w:r>
      <w:r w:rsidR="00A35CFE">
        <w:rPr>
          <w:lang w:val="en-US" w:eastAsia="en-AU"/>
        </w:rPr>
        <w:t>e</w:t>
      </w:r>
      <w:r w:rsidR="004C2549">
        <w:rPr>
          <w:lang w:val="en-US" w:eastAsia="en-AU"/>
        </w:rPr>
        <w:t xml:space="preserve"> </w:t>
      </w:r>
      <w:r w:rsidR="004C2549" w:rsidRPr="00585211">
        <w:rPr>
          <w:i/>
          <w:lang w:val="en-US" w:eastAsia="en-AU"/>
        </w:rPr>
        <w:t xml:space="preserve">Human Rights Act 2019 </w:t>
      </w:r>
      <w:r w:rsidR="004C2549" w:rsidRPr="00585211">
        <w:rPr>
          <w:lang w:val="en-US" w:eastAsia="en-AU"/>
        </w:rPr>
        <w:t>(</w:t>
      </w:r>
      <w:proofErr w:type="spellStart"/>
      <w:r w:rsidR="004C2549" w:rsidRPr="00585211">
        <w:rPr>
          <w:lang w:val="en-US" w:eastAsia="en-AU"/>
        </w:rPr>
        <w:t>Qld</w:t>
      </w:r>
      <w:proofErr w:type="spellEnd"/>
      <w:r w:rsidR="004C2549" w:rsidRPr="00585211">
        <w:rPr>
          <w:lang w:val="en-US" w:eastAsia="en-AU"/>
        </w:rPr>
        <w:t>)</w:t>
      </w:r>
      <w:r w:rsidR="004C2549" w:rsidRPr="00585211">
        <w:rPr>
          <w:i/>
          <w:lang w:val="en-US" w:eastAsia="en-AU"/>
        </w:rPr>
        <w:t xml:space="preserve"> </w:t>
      </w:r>
      <w:r w:rsidR="004C2549" w:rsidRPr="00585211">
        <w:rPr>
          <w:lang w:val="en-US" w:eastAsia="en-AU"/>
        </w:rPr>
        <w:t xml:space="preserve">came into full effect, </w:t>
      </w:r>
      <w:r w:rsidR="00B442BA">
        <w:rPr>
          <w:lang w:val="en-US" w:eastAsia="en-AU"/>
        </w:rPr>
        <w:t>and established</w:t>
      </w:r>
      <w:r w:rsidR="00B442BA" w:rsidRPr="00585211">
        <w:rPr>
          <w:lang w:val="en-US" w:eastAsia="en-AU"/>
        </w:rPr>
        <w:t xml:space="preserve"> </w:t>
      </w:r>
      <w:r w:rsidR="0075068E" w:rsidRPr="00585211">
        <w:rPr>
          <w:lang w:val="en-US" w:eastAsia="en-AU"/>
        </w:rPr>
        <w:t xml:space="preserve">a new framework of human rights protections for </w:t>
      </w:r>
      <w:r w:rsidR="00145E1E">
        <w:rPr>
          <w:lang w:val="en-US" w:eastAsia="en-AU"/>
        </w:rPr>
        <w:t xml:space="preserve">people in </w:t>
      </w:r>
      <w:r w:rsidR="0075068E" w:rsidRPr="00585211">
        <w:rPr>
          <w:lang w:val="en-US" w:eastAsia="en-AU"/>
        </w:rPr>
        <w:t xml:space="preserve">Queensland. </w:t>
      </w:r>
      <w:r w:rsidR="00DA270B">
        <w:rPr>
          <w:lang w:val="en-US" w:eastAsia="en-AU"/>
        </w:rPr>
        <w:t>B</w:t>
      </w:r>
      <w:r w:rsidR="0075068E" w:rsidRPr="00585211">
        <w:rPr>
          <w:lang w:val="en-US" w:eastAsia="en-AU"/>
        </w:rPr>
        <w:t>ased on similar legislation in the ACT</w:t>
      </w:r>
      <w:r w:rsidR="0075068E">
        <w:rPr>
          <w:lang w:val="en-US" w:eastAsia="en-AU"/>
        </w:rPr>
        <w:t xml:space="preserve"> and Victoria, </w:t>
      </w:r>
      <w:r w:rsidR="00B442BA">
        <w:rPr>
          <w:lang w:val="en-US" w:eastAsia="en-AU"/>
        </w:rPr>
        <w:t xml:space="preserve">the Queensland Act </w:t>
      </w:r>
      <w:r w:rsidR="0075068E">
        <w:rPr>
          <w:lang w:val="en-US" w:eastAsia="en-AU"/>
        </w:rPr>
        <w:t>creat</w:t>
      </w:r>
      <w:r w:rsidR="00B442BA">
        <w:rPr>
          <w:lang w:val="en-US" w:eastAsia="en-AU"/>
        </w:rPr>
        <w:t>ed</w:t>
      </w:r>
      <w:r w:rsidR="0075068E">
        <w:rPr>
          <w:lang w:val="en-US" w:eastAsia="en-AU"/>
        </w:rPr>
        <w:t xml:space="preserve"> new obligations </w:t>
      </w:r>
      <w:r w:rsidR="009C4DE9">
        <w:rPr>
          <w:lang w:val="en-US" w:eastAsia="en-AU"/>
        </w:rPr>
        <w:t>that</w:t>
      </w:r>
      <w:r w:rsidR="0075068E">
        <w:rPr>
          <w:lang w:val="en-US" w:eastAsia="en-AU"/>
        </w:rPr>
        <w:t>:</w:t>
      </w:r>
    </w:p>
    <w:p w14:paraId="3FE076FB" w14:textId="62BD6083" w:rsidR="0075068E" w:rsidRPr="0075068E" w:rsidRDefault="00B442BA" w:rsidP="0075068E">
      <w:pPr>
        <w:pStyle w:val="Bulletedlist"/>
      </w:pPr>
      <w:r>
        <w:rPr>
          <w:rStyle w:val="Strong"/>
          <w:sz w:val="22"/>
          <w:szCs w:val="22"/>
        </w:rPr>
        <w:t>P</w:t>
      </w:r>
      <w:r w:rsidR="0075068E" w:rsidRPr="0075068E">
        <w:rPr>
          <w:rStyle w:val="Strong"/>
          <w:sz w:val="22"/>
          <w:szCs w:val="22"/>
        </w:rPr>
        <w:t>arliament</w:t>
      </w:r>
      <w:r w:rsidR="0075068E" w:rsidRPr="0075068E">
        <w:t xml:space="preserve"> must consider human rights when proposing and scrutinising new laws. </w:t>
      </w:r>
    </w:p>
    <w:p w14:paraId="2141576C" w14:textId="162C7F2C" w:rsidR="0075068E" w:rsidRPr="0075068E" w:rsidRDefault="00B442BA" w:rsidP="0075068E">
      <w:pPr>
        <w:pStyle w:val="Bulletedlist"/>
      </w:pPr>
      <w:r>
        <w:rPr>
          <w:rStyle w:val="Strong"/>
          <w:sz w:val="22"/>
          <w:szCs w:val="22"/>
        </w:rPr>
        <w:lastRenderedPageBreak/>
        <w:t>C</w:t>
      </w:r>
      <w:r w:rsidR="0075068E" w:rsidRPr="0075068E">
        <w:rPr>
          <w:rStyle w:val="Strong"/>
          <w:sz w:val="22"/>
          <w:szCs w:val="22"/>
        </w:rPr>
        <w:t>ourts and tribunals,</w:t>
      </w:r>
      <w:r w:rsidR="0075068E" w:rsidRPr="0075068E">
        <w:t> so far as is possible to do so, must interpret legislation in a way that is compatible with human rights. </w:t>
      </w:r>
    </w:p>
    <w:p w14:paraId="62C394B6" w14:textId="546DDA16" w:rsidR="0075068E" w:rsidRPr="0075068E" w:rsidRDefault="00B442BA" w:rsidP="0075068E">
      <w:pPr>
        <w:pStyle w:val="Bulletedlist"/>
      </w:pPr>
      <w:r>
        <w:rPr>
          <w:rStyle w:val="Strong"/>
          <w:sz w:val="22"/>
          <w:szCs w:val="22"/>
        </w:rPr>
        <w:t>P</w:t>
      </w:r>
      <w:r w:rsidR="0075068E" w:rsidRPr="0075068E">
        <w:rPr>
          <w:rStyle w:val="Strong"/>
          <w:sz w:val="22"/>
          <w:szCs w:val="22"/>
        </w:rPr>
        <w:t>ublic entities</w:t>
      </w:r>
      <w:r w:rsidR="0075068E" w:rsidRPr="0075068E">
        <w:t> </w:t>
      </w:r>
      <w:r>
        <w:t>—</w:t>
      </w:r>
      <w:r w:rsidR="0075068E" w:rsidRPr="0075068E">
        <w:t xml:space="preserve"> such as state government departments, local councils, state schools, the police and non-government organisations and businesses performing a public function </w:t>
      </w:r>
      <w:r>
        <w:t xml:space="preserve">— </w:t>
      </w:r>
      <w:r w:rsidR="0075068E" w:rsidRPr="0075068E">
        <w:t xml:space="preserve">must act compatibly with human rights.  </w:t>
      </w:r>
    </w:p>
    <w:p w14:paraId="440CFF37" w14:textId="2B4265FA" w:rsidR="00102FBA" w:rsidRDefault="0086387C" w:rsidP="0086387C">
      <w:pPr>
        <w:pStyle w:val="Numberedparagraph"/>
      </w:pPr>
      <w:r w:rsidRPr="009C4DE9">
        <w:t xml:space="preserve">The Queensland </w:t>
      </w:r>
      <w:r w:rsidRPr="00FB62E1">
        <w:rPr>
          <w:i/>
        </w:rPr>
        <w:t>Human Rights Act</w:t>
      </w:r>
      <w:r w:rsidRPr="009C4DE9">
        <w:t xml:space="preserve"> has prove</w:t>
      </w:r>
      <w:r w:rsidR="00931BEF">
        <w:t>d to be</w:t>
      </w:r>
      <w:r w:rsidRPr="009C4DE9">
        <w:t xml:space="preserve"> an importa</w:t>
      </w:r>
      <w:r w:rsidR="00F74511">
        <w:t xml:space="preserve">nt safeguard </w:t>
      </w:r>
      <w:r w:rsidR="00E9207F">
        <w:t xml:space="preserve">for </w:t>
      </w:r>
      <w:r w:rsidR="00F74511">
        <w:t xml:space="preserve">assessing the </w:t>
      </w:r>
      <w:r w:rsidRPr="009C4DE9">
        <w:t xml:space="preserve">unprecedented </w:t>
      </w:r>
      <w:r w:rsidR="00A35CFE" w:rsidRPr="009C4DE9">
        <w:t>restrictions</w:t>
      </w:r>
      <w:r w:rsidR="00F74511">
        <w:t xml:space="preserve"> introduced in response to COVID-19</w:t>
      </w:r>
      <w:r w:rsidR="00A35CFE" w:rsidRPr="009C4DE9">
        <w:t>. Firstly</w:t>
      </w:r>
      <w:r w:rsidR="00E9207F">
        <w:t>,</w:t>
      </w:r>
      <w:r w:rsidR="00A35CFE" w:rsidRPr="009C4DE9">
        <w:t xml:space="preserve"> by requiring that all primary legislation introduced in response</w:t>
      </w:r>
      <w:r w:rsidR="00FB618B">
        <w:t xml:space="preserve"> to the pandemic</w:t>
      </w:r>
      <w:r w:rsidR="00A35CFE" w:rsidRPr="009C4DE9">
        <w:t xml:space="preserve"> is accompanied by a </w:t>
      </w:r>
      <w:r w:rsidR="009C4DE9" w:rsidRPr="009C4DE9">
        <w:t>compatibility</w:t>
      </w:r>
      <w:r w:rsidR="00A35CFE" w:rsidRPr="009C4DE9">
        <w:t xml:space="preserve"> </w:t>
      </w:r>
      <w:r w:rsidR="009C4DE9">
        <w:t xml:space="preserve">statement. </w:t>
      </w:r>
      <w:r w:rsidR="00102FBA">
        <w:t>These compatibility statements provide transparency about the human rights o</w:t>
      </w:r>
      <w:r w:rsidR="00FB618B">
        <w:t xml:space="preserve">f </w:t>
      </w:r>
      <w:r w:rsidR="00E9207F">
        <w:t xml:space="preserve">people in </w:t>
      </w:r>
      <w:r w:rsidR="00FB618B">
        <w:t>Queensland impacted by the</w:t>
      </w:r>
      <w:r w:rsidR="00102FBA">
        <w:t xml:space="preserve"> changes</w:t>
      </w:r>
      <w:r w:rsidR="00E9207F">
        <w:t>,</w:t>
      </w:r>
      <w:r w:rsidR="00102FBA">
        <w:t xml:space="preserve"> and how the government consider</w:t>
      </w:r>
      <w:r w:rsidR="00E9207F">
        <w:t>s</w:t>
      </w:r>
      <w:r w:rsidR="00102FBA">
        <w:t xml:space="preserve"> them the least restrictive way of achieving the important purpose of protecting lives. This</w:t>
      </w:r>
      <w:r w:rsidR="00FB618B">
        <w:t xml:space="preserve"> analysis allows</w:t>
      </w:r>
      <w:r w:rsidR="00102FBA">
        <w:t xml:space="preserve"> key stakeholders</w:t>
      </w:r>
      <w:r w:rsidR="00E9207F">
        <w:t>,</w:t>
      </w:r>
      <w:r w:rsidR="00102FBA">
        <w:t xml:space="preserve"> such as </w:t>
      </w:r>
      <w:r w:rsidR="00E9207F">
        <w:t>the Commission</w:t>
      </w:r>
      <w:r w:rsidR="00102FBA">
        <w:t xml:space="preserve"> </w:t>
      </w:r>
      <w:r w:rsidR="00D56EA9">
        <w:t>and</w:t>
      </w:r>
      <w:r w:rsidR="00102FBA">
        <w:t xml:space="preserve"> the broader community, the opportunity to consider these justifications and monitor whether the factors that just</w:t>
      </w:r>
      <w:r w:rsidR="00F74511">
        <w:t>if</w:t>
      </w:r>
      <w:r w:rsidR="00D56EA9">
        <w:t>y</w:t>
      </w:r>
      <w:r w:rsidR="00F74511">
        <w:t xml:space="preserve"> them</w:t>
      </w:r>
      <w:r w:rsidR="00FB618B">
        <w:t xml:space="preserve"> still</w:t>
      </w:r>
      <w:r w:rsidR="00F74511">
        <w:t xml:space="preserve"> arise</w:t>
      </w:r>
      <w:r w:rsidR="00102FBA">
        <w:t xml:space="preserve">. </w:t>
      </w:r>
    </w:p>
    <w:p w14:paraId="336B4CB3" w14:textId="7F6CA9DC" w:rsidR="00A35CFE" w:rsidRDefault="009C4DE9" w:rsidP="0086387C">
      <w:pPr>
        <w:pStyle w:val="Numberedparagraph"/>
      </w:pPr>
      <w:r>
        <w:t xml:space="preserve">Secondly, </w:t>
      </w:r>
      <w:r w:rsidR="00FB618B">
        <w:t>one of the</w:t>
      </w:r>
      <w:r>
        <w:t xml:space="preserve"> </w:t>
      </w:r>
      <w:r w:rsidR="00764AED">
        <w:t xml:space="preserve">Queensland </w:t>
      </w:r>
      <w:r w:rsidR="00D56EA9">
        <w:t>G</w:t>
      </w:r>
      <w:r>
        <w:t>overnment</w:t>
      </w:r>
      <w:r w:rsidR="00764AED">
        <w:t>’s</w:t>
      </w:r>
      <w:r>
        <w:t xml:space="preserve"> response</w:t>
      </w:r>
      <w:r w:rsidR="00FB618B">
        <w:t>s</w:t>
      </w:r>
      <w:r w:rsidR="00F74511">
        <w:t xml:space="preserve"> </w:t>
      </w:r>
      <w:r w:rsidR="00FB618B">
        <w:t xml:space="preserve">has been the creation of </w:t>
      </w:r>
      <w:r>
        <w:t>new powers for ministers to change legislation via regulation.</w:t>
      </w:r>
      <w:r>
        <w:rPr>
          <w:rStyle w:val="FootnoteReference"/>
        </w:rPr>
        <w:footnoteReference w:id="1"/>
      </w:r>
      <w:r w:rsidR="003F748E">
        <w:t xml:space="preserve"> One critical safeguard for this extraordinary new power is that the </w:t>
      </w:r>
      <w:r w:rsidR="003F748E" w:rsidRPr="00FB62E1">
        <w:rPr>
          <w:i/>
        </w:rPr>
        <w:t>Human Rights Act</w:t>
      </w:r>
      <w:r>
        <w:t xml:space="preserve"> </w:t>
      </w:r>
      <w:r w:rsidR="003F748E">
        <w:t>requires</w:t>
      </w:r>
      <w:r>
        <w:t xml:space="preserve"> subordinate legislation to be accompanied by certificates explaining the relevant minister’s view on human rights compatibility.</w:t>
      </w:r>
      <w:r w:rsidR="00585211">
        <w:rPr>
          <w:rStyle w:val="FootnoteReference"/>
        </w:rPr>
        <w:footnoteReference w:id="2"/>
      </w:r>
      <w:r>
        <w:t xml:space="preserve"> This creates a level of accountability </w:t>
      </w:r>
      <w:r w:rsidR="00F74511">
        <w:t>and confirms</w:t>
      </w:r>
      <w:r>
        <w:t xml:space="preserve"> that the government</w:t>
      </w:r>
      <w:r w:rsidR="003F748E">
        <w:t xml:space="preserve"> </w:t>
      </w:r>
      <w:r w:rsidR="00D56EA9">
        <w:t>ha</w:t>
      </w:r>
      <w:r w:rsidR="003F748E">
        <w:t>s conside</w:t>
      </w:r>
      <w:r w:rsidR="00D56EA9">
        <w:t>red</w:t>
      </w:r>
      <w:r w:rsidR="003F748E">
        <w:t xml:space="preserve"> human rights</w:t>
      </w:r>
      <w:r>
        <w:t xml:space="preserve"> and </w:t>
      </w:r>
      <w:r w:rsidR="00FB62E1">
        <w:t>justified</w:t>
      </w:r>
      <w:r w:rsidR="003F748E">
        <w:t xml:space="preserve"> any</w:t>
      </w:r>
      <w:r>
        <w:t xml:space="preserve"> limitat</w:t>
      </w:r>
      <w:r w:rsidR="003F748E">
        <w:t xml:space="preserve">ion </w:t>
      </w:r>
      <w:r>
        <w:t xml:space="preserve">when exercising </w:t>
      </w:r>
      <w:r w:rsidR="00F74511">
        <w:t xml:space="preserve">such </w:t>
      </w:r>
      <w:r w:rsidR="003F748E">
        <w:t xml:space="preserve">unprecedented powers. </w:t>
      </w:r>
      <w:r>
        <w:t xml:space="preserve"> </w:t>
      </w:r>
    </w:p>
    <w:p w14:paraId="008AF9CD" w14:textId="3601696B" w:rsidR="00D32451" w:rsidRDefault="00D32451" w:rsidP="00D32451">
      <w:pPr>
        <w:pStyle w:val="Numberedparagraph"/>
        <w:rPr>
          <w:lang w:val="en-US" w:eastAsia="en-AU"/>
        </w:rPr>
      </w:pPr>
      <w:r>
        <w:rPr>
          <w:lang w:val="en-US" w:eastAsia="en-AU"/>
        </w:rPr>
        <w:t xml:space="preserve">Even after these significant legislative changes were made, the </w:t>
      </w:r>
      <w:r>
        <w:t xml:space="preserve">obligations to act and make decisions which are compatible with rights remain. These obligations apply to Queensland Government departments and agencies, local councils, and organisations providing services to the public on behalf of the state government. To fulfil these obligations, such entities </w:t>
      </w:r>
      <w:r>
        <w:rPr>
          <w:lang w:val="en-US" w:eastAsia="en-AU"/>
        </w:rPr>
        <w:t>must give proper consideration to human rights in decision making.</w:t>
      </w:r>
      <w:r>
        <w:rPr>
          <w:rStyle w:val="FootnoteReference"/>
          <w:lang w:val="en-US" w:eastAsia="en-AU"/>
        </w:rPr>
        <w:footnoteReference w:id="3"/>
      </w:r>
    </w:p>
    <w:p w14:paraId="0222215B" w14:textId="5DEDA1B3" w:rsidR="00784A5E" w:rsidRPr="00784A5E" w:rsidRDefault="00784A5E" w:rsidP="00784A5E">
      <w:pPr>
        <w:pStyle w:val="Numberedparagraph"/>
      </w:pPr>
      <w:r>
        <w:t xml:space="preserve">For example, when the Chief Health Officer has considered an exemption from the restrictions for an individual, she </w:t>
      </w:r>
      <w:r w:rsidR="004257D1">
        <w:t>is</w:t>
      </w:r>
      <w:r>
        <w:t xml:space="preserve"> required to </w:t>
      </w:r>
      <w:r w:rsidR="004257D1">
        <w:t>consider if any limitation on rights is proportionate</w:t>
      </w:r>
      <w:r>
        <w:t>. Further, a social housing provider who was required to change the rules for who can visit rooming accommodation during COVID-19 reported to us that they found the proportionality test in the Act to be a valuable framework to help them appropriately balance resident rights with health and safety risks.</w:t>
      </w:r>
      <w:r w:rsidR="004257D1">
        <w:t xml:space="preserve"> </w:t>
      </w:r>
      <w:r>
        <w:t xml:space="preserve">We also </w:t>
      </w:r>
      <w:r>
        <w:lastRenderedPageBreak/>
        <w:t>acknowledge the work of Queensland Corrective Services in providing greater access to videoconferencing in prison to facilitate family visitation</w:t>
      </w:r>
      <w:r w:rsidR="004257D1">
        <w:t xml:space="preserve"> as </w:t>
      </w:r>
      <w:r w:rsidR="00E851F3">
        <w:t xml:space="preserve">a </w:t>
      </w:r>
      <w:r w:rsidR="004257D1">
        <w:t>way of lessening limitations on rights relevant to regular contact with family</w:t>
      </w:r>
      <w:r>
        <w:t xml:space="preserve">. </w:t>
      </w:r>
    </w:p>
    <w:p w14:paraId="1662289A" w14:textId="12F92CBA" w:rsidR="00102FBA" w:rsidRDefault="00102FBA" w:rsidP="00102FBA">
      <w:pPr>
        <w:pStyle w:val="Numberedparagraph"/>
        <w:rPr>
          <w:lang w:val="en-US" w:eastAsia="en-AU"/>
        </w:rPr>
      </w:pPr>
      <w:r>
        <w:rPr>
          <w:lang w:val="en-US" w:eastAsia="en-AU"/>
        </w:rPr>
        <w:t xml:space="preserve">Public </w:t>
      </w:r>
      <w:r w:rsidR="00634DFA">
        <w:rPr>
          <w:lang w:val="en-US" w:eastAsia="en-AU"/>
        </w:rPr>
        <w:t>e</w:t>
      </w:r>
      <w:r>
        <w:rPr>
          <w:lang w:val="en-US" w:eastAsia="en-AU"/>
        </w:rPr>
        <w:t xml:space="preserve">ntities are held accountable for their decisions through court and tribunal proceedings. </w:t>
      </w:r>
      <w:r w:rsidR="003F748E">
        <w:rPr>
          <w:lang w:val="en-US" w:eastAsia="en-AU"/>
        </w:rPr>
        <w:t xml:space="preserve">In relation </w:t>
      </w:r>
      <w:r w:rsidR="004257D1">
        <w:rPr>
          <w:lang w:val="en-US" w:eastAsia="en-AU"/>
        </w:rPr>
        <w:t xml:space="preserve">to </w:t>
      </w:r>
      <w:r w:rsidR="003F748E">
        <w:rPr>
          <w:lang w:val="en-US" w:eastAsia="en-AU"/>
        </w:rPr>
        <w:t xml:space="preserve">decisions made in response </w:t>
      </w:r>
      <w:r w:rsidR="00AD06C1">
        <w:rPr>
          <w:lang w:val="en-US" w:eastAsia="en-AU"/>
        </w:rPr>
        <w:t>to COVID-19</w:t>
      </w:r>
      <w:r w:rsidR="003F748E">
        <w:rPr>
          <w:lang w:val="en-US" w:eastAsia="en-AU"/>
        </w:rPr>
        <w:t xml:space="preserve">, </w:t>
      </w:r>
      <w:r>
        <w:rPr>
          <w:lang w:val="en-US" w:eastAsia="en-AU"/>
        </w:rPr>
        <w:t xml:space="preserve">the </w:t>
      </w:r>
      <w:r w:rsidRPr="00FB62E1">
        <w:rPr>
          <w:i/>
          <w:lang w:val="en-US" w:eastAsia="en-AU"/>
        </w:rPr>
        <w:t>Human Rights Act</w:t>
      </w:r>
      <w:r>
        <w:rPr>
          <w:lang w:val="en-US" w:eastAsia="en-AU"/>
        </w:rPr>
        <w:t xml:space="preserve"> has been </w:t>
      </w:r>
      <w:r w:rsidR="003F748E">
        <w:rPr>
          <w:lang w:val="en-US" w:eastAsia="en-AU"/>
        </w:rPr>
        <w:t>considered</w:t>
      </w:r>
      <w:r w:rsidR="00595BAF">
        <w:rPr>
          <w:lang w:val="en-US" w:eastAsia="en-AU"/>
        </w:rPr>
        <w:t xml:space="preserve"> in </w:t>
      </w:r>
      <w:r w:rsidR="00686AE8">
        <w:rPr>
          <w:lang w:val="en-US" w:eastAsia="en-AU"/>
        </w:rPr>
        <w:t xml:space="preserve">recent </w:t>
      </w:r>
      <w:r w:rsidR="00CE03C7">
        <w:rPr>
          <w:lang w:val="en-US" w:eastAsia="en-AU"/>
        </w:rPr>
        <w:t xml:space="preserve">court and tribunal matters </w:t>
      </w:r>
      <w:r w:rsidR="001153BA">
        <w:rPr>
          <w:lang w:val="en-US" w:eastAsia="en-AU"/>
        </w:rPr>
        <w:t>i</w:t>
      </w:r>
      <w:r w:rsidR="00CE03C7">
        <w:rPr>
          <w:lang w:val="en-US" w:eastAsia="en-AU"/>
        </w:rPr>
        <w:t xml:space="preserve">n relation to </w:t>
      </w:r>
      <w:r w:rsidR="00784A5E">
        <w:rPr>
          <w:lang w:val="en-US" w:eastAsia="en-AU"/>
        </w:rPr>
        <w:t xml:space="preserve">guardianship, sentencing, mental health, </w:t>
      </w:r>
      <w:r>
        <w:rPr>
          <w:lang w:val="en-US" w:eastAsia="en-AU"/>
        </w:rPr>
        <w:t>bail</w:t>
      </w:r>
      <w:r w:rsidR="00CE03C7">
        <w:rPr>
          <w:lang w:val="en-US" w:eastAsia="en-AU"/>
        </w:rPr>
        <w:t>, local government elections</w:t>
      </w:r>
      <w:r w:rsidR="001153BA">
        <w:rPr>
          <w:lang w:val="en-US" w:eastAsia="en-AU"/>
        </w:rPr>
        <w:t>,</w:t>
      </w:r>
      <w:r w:rsidR="00CE03C7">
        <w:rPr>
          <w:lang w:val="en-US" w:eastAsia="en-AU"/>
        </w:rPr>
        <w:t xml:space="preserve"> </w:t>
      </w:r>
      <w:r w:rsidR="00595BAF">
        <w:rPr>
          <w:lang w:val="en-US" w:eastAsia="en-AU"/>
        </w:rPr>
        <w:t>and</w:t>
      </w:r>
      <w:r>
        <w:rPr>
          <w:lang w:val="en-US" w:eastAsia="en-AU"/>
        </w:rPr>
        <w:t xml:space="preserve"> residential tenancy</w:t>
      </w:r>
      <w:r w:rsidR="00595BAF">
        <w:rPr>
          <w:lang w:val="en-US" w:eastAsia="en-AU"/>
        </w:rPr>
        <w:t xml:space="preserve"> matters.</w:t>
      </w:r>
    </w:p>
    <w:p w14:paraId="71F50769" w14:textId="388E1D4E" w:rsidR="00102FBA" w:rsidRDefault="00102FBA" w:rsidP="00102FBA">
      <w:pPr>
        <w:pStyle w:val="Numberedparagraph"/>
        <w:rPr>
          <w:lang w:val="en-US" w:eastAsia="en-AU"/>
        </w:rPr>
      </w:pPr>
      <w:r>
        <w:rPr>
          <w:lang w:val="en-US" w:eastAsia="en-AU"/>
        </w:rPr>
        <w:t xml:space="preserve">The Commission </w:t>
      </w:r>
      <w:r w:rsidR="001153BA">
        <w:rPr>
          <w:lang w:val="en-US" w:eastAsia="en-AU"/>
        </w:rPr>
        <w:t>deals with human rights</w:t>
      </w:r>
      <w:r>
        <w:rPr>
          <w:lang w:val="en-US" w:eastAsia="en-AU"/>
        </w:rPr>
        <w:t xml:space="preserve"> complaints against public entities for alleged contravention</w:t>
      </w:r>
      <w:r w:rsidR="001153BA">
        <w:rPr>
          <w:lang w:val="en-US" w:eastAsia="en-AU"/>
        </w:rPr>
        <w:t>s</w:t>
      </w:r>
      <w:r>
        <w:rPr>
          <w:lang w:val="en-US" w:eastAsia="en-AU"/>
        </w:rPr>
        <w:t xml:space="preserve"> of</w:t>
      </w:r>
      <w:r w:rsidR="001153BA">
        <w:rPr>
          <w:lang w:val="en-US" w:eastAsia="en-AU"/>
        </w:rPr>
        <w:t xml:space="preserve"> the Act, and </w:t>
      </w:r>
      <w:r w:rsidR="00595BAF">
        <w:rPr>
          <w:lang w:val="en-US" w:eastAsia="en-AU"/>
        </w:rPr>
        <w:t xml:space="preserve">has received complaints about how individual public entities have responded to the crisis. </w:t>
      </w:r>
      <w:r w:rsidR="001153BA">
        <w:rPr>
          <w:lang w:val="en-US" w:eastAsia="en-AU"/>
        </w:rPr>
        <w:t>The Commission</w:t>
      </w:r>
      <w:r w:rsidR="00595BAF">
        <w:rPr>
          <w:lang w:val="en-US" w:eastAsia="en-AU"/>
        </w:rPr>
        <w:t xml:space="preserve"> work</w:t>
      </w:r>
      <w:r w:rsidR="001153BA">
        <w:rPr>
          <w:lang w:val="en-US" w:eastAsia="en-AU"/>
        </w:rPr>
        <w:t>s</w:t>
      </w:r>
      <w:r w:rsidR="00595BAF">
        <w:rPr>
          <w:lang w:val="en-US" w:eastAsia="en-AU"/>
        </w:rPr>
        <w:t xml:space="preserve"> with </w:t>
      </w:r>
      <w:r w:rsidR="001153BA">
        <w:rPr>
          <w:lang w:val="en-US" w:eastAsia="en-AU"/>
        </w:rPr>
        <w:t xml:space="preserve">public entities </w:t>
      </w:r>
      <w:r w:rsidR="00595BAF">
        <w:rPr>
          <w:lang w:val="en-US" w:eastAsia="en-AU"/>
        </w:rPr>
        <w:t>to resolve complaints through conciliation</w:t>
      </w:r>
      <w:r w:rsidR="003F748E">
        <w:rPr>
          <w:lang w:val="en-US" w:eastAsia="en-AU"/>
        </w:rPr>
        <w:t xml:space="preserve">, which may result in systemic </w:t>
      </w:r>
      <w:r w:rsidR="00AD06C1">
        <w:rPr>
          <w:lang w:val="en-US" w:eastAsia="en-AU"/>
        </w:rPr>
        <w:t xml:space="preserve">state-wide </w:t>
      </w:r>
      <w:r w:rsidR="003F748E">
        <w:rPr>
          <w:lang w:val="en-US" w:eastAsia="en-AU"/>
        </w:rPr>
        <w:t>policy change</w:t>
      </w:r>
      <w:r w:rsidR="00595BAF">
        <w:rPr>
          <w:lang w:val="en-US" w:eastAsia="en-AU"/>
        </w:rPr>
        <w:t xml:space="preserve">. </w:t>
      </w:r>
    </w:p>
    <w:p w14:paraId="402B36A5" w14:textId="22221D99" w:rsidR="00A35CFE" w:rsidRDefault="00A35CFE" w:rsidP="0086387C">
      <w:pPr>
        <w:pStyle w:val="Numberedparagraph"/>
        <w:rPr>
          <w:lang w:val="en-US" w:eastAsia="en-AU"/>
        </w:rPr>
      </w:pPr>
      <w:r>
        <w:rPr>
          <w:lang w:val="en-US" w:eastAsia="en-AU"/>
        </w:rPr>
        <w:t xml:space="preserve">While parliamentary </w:t>
      </w:r>
      <w:r w:rsidR="00394846">
        <w:rPr>
          <w:lang w:val="en-US" w:eastAsia="en-AU"/>
        </w:rPr>
        <w:t>scrutiny</w:t>
      </w:r>
      <w:r>
        <w:rPr>
          <w:lang w:val="en-US" w:eastAsia="en-AU"/>
        </w:rPr>
        <w:t xml:space="preserve"> measures exist at the Commonwealth level</w:t>
      </w:r>
      <w:r w:rsidR="00CE03C7">
        <w:rPr>
          <w:lang w:val="en-US" w:eastAsia="en-AU"/>
        </w:rPr>
        <w:t xml:space="preserve"> t</w:t>
      </w:r>
      <w:r w:rsidR="0086569A">
        <w:rPr>
          <w:lang w:val="en-US" w:eastAsia="en-AU"/>
        </w:rPr>
        <w:t>o</w:t>
      </w:r>
      <w:r w:rsidR="00CE03C7">
        <w:rPr>
          <w:lang w:val="en-US" w:eastAsia="en-AU"/>
        </w:rPr>
        <w:t xml:space="preserve"> consider human rights</w:t>
      </w:r>
      <w:r>
        <w:rPr>
          <w:lang w:val="en-US" w:eastAsia="en-AU"/>
        </w:rPr>
        <w:t xml:space="preserve">, we suggest that this crisis demonstrates the importance of </w:t>
      </w:r>
      <w:r w:rsidR="00394846">
        <w:rPr>
          <w:lang w:val="en-US" w:eastAsia="en-AU"/>
        </w:rPr>
        <w:t xml:space="preserve">a </w:t>
      </w:r>
      <w:r>
        <w:rPr>
          <w:lang w:val="en-US" w:eastAsia="en-AU"/>
        </w:rPr>
        <w:t>more comprehensive</w:t>
      </w:r>
      <w:r w:rsidR="00CE03C7">
        <w:rPr>
          <w:lang w:val="en-US" w:eastAsia="en-AU"/>
        </w:rPr>
        <w:t xml:space="preserve"> system</w:t>
      </w:r>
      <w:r w:rsidR="00394846">
        <w:rPr>
          <w:lang w:val="en-US" w:eastAsia="en-AU"/>
        </w:rPr>
        <w:t xml:space="preserve">. </w:t>
      </w:r>
      <w:r w:rsidR="00C0422D">
        <w:rPr>
          <w:lang w:val="en-US" w:eastAsia="en-AU"/>
        </w:rPr>
        <w:t>A national human rights act</w:t>
      </w:r>
      <w:r w:rsidR="00784A5E">
        <w:rPr>
          <w:lang w:val="en-US" w:eastAsia="en-AU"/>
        </w:rPr>
        <w:t xml:space="preserve"> </w:t>
      </w:r>
      <w:r w:rsidR="004257D1">
        <w:rPr>
          <w:lang w:val="en-US" w:eastAsia="en-AU"/>
        </w:rPr>
        <w:t xml:space="preserve">would </w:t>
      </w:r>
      <w:r w:rsidR="00784A5E">
        <w:rPr>
          <w:lang w:val="en-US" w:eastAsia="en-AU"/>
        </w:rPr>
        <w:t>protect</w:t>
      </w:r>
      <w:r w:rsidR="004257D1">
        <w:rPr>
          <w:lang w:val="en-US" w:eastAsia="en-AU"/>
        </w:rPr>
        <w:t xml:space="preserve"> the rights of all Australians, </w:t>
      </w:r>
      <w:r w:rsidR="00784A5E">
        <w:rPr>
          <w:lang w:val="en-US" w:eastAsia="en-AU"/>
        </w:rPr>
        <w:t>particularly</w:t>
      </w:r>
      <w:r w:rsidR="00C0422D">
        <w:rPr>
          <w:lang w:val="en-US" w:eastAsia="en-AU"/>
        </w:rPr>
        <w:t xml:space="preserve"> when they are most at risk such as</w:t>
      </w:r>
      <w:r w:rsidR="00784A5E">
        <w:rPr>
          <w:lang w:val="en-US" w:eastAsia="en-AU"/>
        </w:rPr>
        <w:t xml:space="preserve"> </w:t>
      </w:r>
      <w:r w:rsidR="003F748E">
        <w:rPr>
          <w:lang w:val="en-US" w:eastAsia="en-AU"/>
        </w:rPr>
        <w:t xml:space="preserve">during </w:t>
      </w:r>
      <w:r w:rsidR="00C0422D">
        <w:rPr>
          <w:lang w:val="en-US" w:eastAsia="en-AU"/>
        </w:rPr>
        <w:t>a crisis like this</w:t>
      </w:r>
      <w:r w:rsidR="00784A5E">
        <w:rPr>
          <w:lang w:val="en-US" w:eastAsia="en-AU"/>
        </w:rPr>
        <w:t xml:space="preserve"> pandemic.</w:t>
      </w:r>
      <w:r w:rsidR="003F748E">
        <w:rPr>
          <w:lang w:val="en-US" w:eastAsia="en-AU"/>
        </w:rPr>
        <w:t xml:space="preserve"> </w:t>
      </w:r>
    </w:p>
    <w:p w14:paraId="4E013226" w14:textId="1374BDD2" w:rsidR="004F7D72" w:rsidRDefault="004F7D72" w:rsidP="004F7D72">
      <w:pPr>
        <w:pStyle w:val="Heading1"/>
      </w:pPr>
      <w:bookmarkStart w:id="4" w:name="_Toc41562978"/>
      <w:r>
        <w:t>Biosecurity Act</w:t>
      </w:r>
      <w:bookmarkEnd w:id="4"/>
    </w:p>
    <w:p w14:paraId="522E03E6" w14:textId="40146573" w:rsidR="00C0422D" w:rsidRPr="00C0422D" w:rsidRDefault="00F05247" w:rsidP="00F05247">
      <w:pPr>
        <w:pStyle w:val="Numberedparagraph"/>
      </w:pPr>
      <w:r>
        <w:t>The</w:t>
      </w:r>
      <w:r w:rsidR="004257D1" w:rsidRPr="00C0422D">
        <w:t xml:space="preserve"> </w:t>
      </w:r>
      <w:r>
        <w:t>Commission has concerns about the duration of</w:t>
      </w:r>
      <w:r w:rsidR="004257D1" w:rsidRPr="00C0422D">
        <w:t xml:space="preserve"> the Commonwealth Government’s blanket restrictions</w:t>
      </w:r>
      <w:r>
        <w:t xml:space="preserve"> placed</w:t>
      </w:r>
      <w:r w:rsidR="004257D1" w:rsidRPr="00C0422D">
        <w:t xml:space="preserve"> on remote </w:t>
      </w:r>
      <w:r w:rsidR="004C2FF8">
        <w:t xml:space="preserve">Indigenous </w:t>
      </w:r>
      <w:r w:rsidR="004257D1" w:rsidRPr="00C0422D">
        <w:t>communities</w:t>
      </w:r>
      <w:r>
        <w:t xml:space="preserve"> </w:t>
      </w:r>
      <w:r w:rsidR="00C0422D" w:rsidRPr="00C0422D">
        <w:t xml:space="preserve">under the </w:t>
      </w:r>
      <w:r w:rsidR="00C0422D" w:rsidRPr="00F05247">
        <w:rPr>
          <w:i/>
        </w:rPr>
        <w:t>Biosecurity Act 2015</w:t>
      </w:r>
      <w:r w:rsidR="00C0422D" w:rsidRPr="00C0422D">
        <w:t xml:space="preserve"> (</w:t>
      </w:r>
      <w:proofErr w:type="spellStart"/>
      <w:r w:rsidR="00C0422D" w:rsidRPr="00C0422D">
        <w:t>Cth</w:t>
      </w:r>
      <w:proofErr w:type="spellEnd"/>
      <w:r w:rsidR="00C0422D" w:rsidRPr="00C0422D">
        <w:t>)</w:t>
      </w:r>
      <w:r>
        <w:t>. The relevant determination, made in March,</w:t>
      </w:r>
      <w:r w:rsidR="00C0422D" w:rsidRPr="00C0422D">
        <w:t xml:space="preserve"> placed significant restrictions on multiple rights including freedom of movement in and out of certain remote communities in Queensland.</w:t>
      </w:r>
      <w:r w:rsidR="00C0422D">
        <w:rPr>
          <w:rStyle w:val="FootnoteReference"/>
          <w:lang w:val="en-US" w:eastAsia="en-AU"/>
        </w:rPr>
        <w:footnoteReference w:id="4"/>
      </w:r>
      <w:r w:rsidR="00C0422D" w:rsidRPr="00F05247">
        <w:rPr>
          <w:lang w:val="en-US" w:eastAsia="en-AU"/>
        </w:rPr>
        <w:t xml:space="preserve"> </w:t>
      </w:r>
      <w:r w:rsidR="00C0422D" w:rsidRPr="00C0422D">
        <w:t xml:space="preserve"> </w:t>
      </w:r>
    </w:p>
    <w:p w14:paraId="4A586818" w14:textId="4769F8C3" w:rsidR="00C0422D" w:rsidRPr="00C0422D" w:rsidRDefault="00C0422D" w:rsidP="00C0422D">
      <w:pPr>
        <w:pStyle w:val="Numberedparagraph"/>
      </w:pPr>
      <w:r w:rsidRPr="00C0422D">
        <w:t>We appreciate that the Australian Government imposed these restrictions to protect vulnerable communities, particularly Aboriginal and Torres Strait Islander peoples, and consulted, albeit urgently, with local communities and community controlled health services on these restrictions</w:t>
      </w:r>
      <w:r>
        <w:t>.</w:t>
      </w:r>
    </w:p>
    <w:p w14:paraId="3C9E3CE2" w14:textId="34DB0863" w:rsidR="00C0422D" w:rsidRPr="00C0422D" w:rsidRDefault="00C0422D" w:rsidP="00C0422D">
      <w:pPr>
        <w:pStyle w:val="Numberedparagraph"/>
      </w:pPr>
      <w:r w:rsidRPr="00C0422D">
        <w:t>As a result of the restrictions and the hard work and discipline of many people living and working in the designated areas, there have been no positive COVID-19 cases in any of Queensland’s discrete Indigenous communities</w:t>
      </w:r>
      <w:r>
        <w:t>. T</w:t>
      </w:r>
      <w:r w:rsidRPr="00C0422D">
        <w:t xml:space="preserve">his is a very commendable outcome, particularly when we </w:t>
      </w:r>
      <w:r w:rsidRPr="00C0422D">
        <w:lastRenderedPageBreak/>
        <w:t>look at the devastation this virus is causing in First Nations populations internationally.</w:t>
      </w:r>
    </w:p>
    <w:p w14:paraId="1D926D9D" w14:textId="17CEE118" w:rsidR="00C0422D" w:rsidRPr="00C0422D" w:rsidRDefault="00C0422D" w:rsidP="00C0422D">
      <w:pPr>
        <w:pStyle w:val="Numberedparagraph"/>
      </w:pPr>
      <w:r w:rsidRPr="00C0422D">
        <w:t>However, the lack of consistency between the restrictions imposed by the Commonwealth on designated Indigenous communities and those imposed by the state on the rest of Queensland, caused significant frustration in some communities, including Palm Island and Yarrabah.</w:t>
      </w:r>
    </w:p>
    <w:p w14:paraId="1583ECC4" w14:textId="4AFE7D68" w:rsidR="00C0422D" w:rsidRPr="00C0422D" w:rsidRDefault="00C0422D" w:rsidP="00C0422D">
      <w:pPr>
        <w:pStyle w:val="Numberedparagraph"/>
      </w:pPr>
      <w:r w:rsidRPr="00C0422D">
        <w:t>For example, the Queensland Chief Health Officer lifted restrictions imposed on Aboriginal and Torres Strait Islander communities in other parts of the state such as North S</w:t>
      </w:r>
      <w:r w:rsidR="00F05247">
        <w:t>tradbroke Island on 16 May 2020.</w:t>
      </w:r>
      <w:r w:rsidRPr="002917E4">
        <w:rPr>
          <w:rStyle w:val="FootnoteReference"/>
          <w:lang w:val="en-US" w:eastAsia="en-AU"/>
        </w:rPr>
        <w:footnoteReference w:id="5"/>
      </w:r>
      <w:r w:rsidRPr="002917E4">
        <w:rPr>
          <w:lang w:val="en-US" w:eastAsia="en-AU"/>
        </w:rPr>
        <w:t xml:space="preserve"> </w:t>
      </w:r>
      <w:r w:rsidRPr="00C0422D">
        <w:t xml:space="preserve"> Throughout May, the Queensland Government also loosened restrictions across Queensland, including by allowing residents to travel greater distances. In contrast, restrictions under the </w:t>
      </w:r>
      <w:r w:rsidRPr="00F05247">
        <w:t>Commonwealth</w:t>
      </w:r>
      <w:r w:rsidRPr="00F05247">
        <w:rPr>
          <w:i/>
        </w:rPr>
        <w:t xml:space="preserve"> Biosecurity Act</w:t>
      </w:r>
      <w:r w:rsidRPr="00C0422D">
        <w:t xml:space="preserve"> remained static - thereby preventing residents of designated Indigenous communities from travelling as far as others in Queensland and requiring many to quarantine for 14 days.  </w:t>
      </w:r>
    </w:p>
    <w:p w14:paraId="011ECEAF" w14:textId="5906C5C8" w:rsidR="00C0422D" w:rsidRDefault="00C0422D" w:rsidP="00C0422D">
      <w:pPr>
        <w:pStyle w:val="Numberedparagraph"/>
        <w:rPr>
          <w:lang w:val="en-US"/>
        </w:rPr>
      </w:pPr>
      <w:r w:rsidRPr="00C0422D">
        <w:t>The Commission</w:t>
      </w:r>
      <w:r>
        <w:rPr>
          <w:lang w:val="en-US"/>
        </w:rPr>
        <w:t xml:space="preserve"> is also aware of other community concerns </w:t>
      </w:r>
      <w:r w:rsidR="00F05247">
        <w:rPr>
          <w:lang w:val="en-US"/>
        </w:rPr>
        <w:t xml:space="preserve">arising from these restrictions </w:t>
      </w:r>
      <w:r>
        <w:rPr>
          <w:lang w:val="en-US"/>
        </w:rPr>
        <w:t>including:</w:t>
      </w:r>
    </w:p>
    <w:p w14:paraId="15EBBAE3" w14:textId="75187F45" w:rsidR="00C0422D" w:rsidRDefault="00C0422D" w:rsidP="00C0422D">
      <w:pPr>
        <w:pStyle w:val="Bulletedlist"/>
        <w:numPr>
          <w:ilvl w:val="0"/>
          <w:numId w:val="20"/>
        </w:numPr>
        <w:rPr>
          <w:lang w:val="en-US" w:eastAsia="en-AU"/>
        </w:rPr>
      </w:pPr>
      <w:r>
        <w:rPr>
          <w:lang w:val="en-US" w:eastAsia="en-AU"/>
        </w:rPr>
        <w:t>Inflexible restrictions on the ability of people to quarantine within a designated area</w:t>
      </w:r>
      <w:r w:rsidR="00F05247">
        <w:rPr>
          <w:lang w:val="en-US" w:eastAsia="en-AU"/>
        </w:rPr>
        <w:t>.</w:t>
      </w:r>
    </w:p>
    <w:p w14:paraId="0F6D497F" w14:textId="324814C6" w:rsidR="00C0422D" w:rsidRDefault="00C0422D" w:rsidP="00C0422D">
      <w:pPr>
        <w:pStyle w:val="Bulletedlist"/>
        <w:numPr>
          <w:ilvl w:val="0"/>
          <w:numId w:val="20"/>
        </w:numPr>
        <w:rPr>
          <w:lang w:val="en-US" w:eastAsia="en-AU"/>
        </w:rPr>
      </w:pPr>
      <w:r>
        <w:rPr>
          <w:lang w:val="en-US" w:eastAsia="en-AU"/>
        </w:rPr>
        <w:t>Lack of mental health and cultural supports for those subject to quarantine</w:t>
      </w:r>
      <w:r w:rsidR="00F05247">
        <w:rPr>
          <w:lang w:val="en-US" w:eastAsia="en-AU"/>
        </w:rPr>
        <w:t>.</w:t>
      </w:r>
    </w:p>
    <w:p w14:paraId="6EA9407F" w14:textId="77777777" w:rsidR="00C0422D" w:rsidRDefault="00C0422D" w:rsidP="00C0422D">
      <w:pPr>
        <w:pStyle w:val="Bulletedlist"/>
        <w:numPr>
          <w:ilvl w:val="0"/>
          <w:numId w:val="20"/>
        </w:numPr>
        <w:rPr>
          <w:lang w:val="en-US" w:eastAsia="en-AU"/>
        </w:rPr>
      </w:pPr>
      <w:r>
        <w:rPr>
          <w:lang w:val="en-US" w:eastAsia="en-AU"/>
        </w:rPr>
        <w:t>Traditional fishing, hunting and food gathering areas being outside the designated areas preventing traditional practices. (This did not appear to be a deliberate measure to address risk of infection, but an unintended consequence of designated areas being based on the boundaries of local government areas).</w:t>
      </w:r>
    </w:p>
    <w:p w14:paraId="6E1C48E6" w14:textId="77777777" w:rsidR="00C0422D" w:rsidRDefault="00C0422D" w:rsidP="00C0422D">
      <w:pPr>
        <w:pStyle w:val="Bulletedlist"/>
        <w:numPr>
          <w:ilvl w:val="0"/>
          <w:numId w:val="20"/>
        </w:numPr>
        <w:rPr>
          <w:lang w:val="en-US" w:eastAsia="en-AU"/>
        </w:rPr>
      </w:pPr>
      <w:r>
        <w:rPr>
          <w:lang w:val="en-US" w:eastAsia="en-AU"/>
        </w:rPr>
        <w:t xml:space="preserve">Frustrations that non-Indigenous people, presumably undertaking certain functions deemed ‘essential activity’ under the determination, are able to visit and leave these communities without quarantining. </w:t>
      </w:r>
    </w:p>
    <w:p w14:paraId="4E25926B" w14:textId="058D82B2" w:rsidR="00C0422D" w:rsidRDefault="00C0422D" w:rsidP="00C0422D">
      <w:pPr>
        <w:pStyle w:val="Bulletedlist"/>
        <w:numPr>
          <w:ilvl w:val="0"/>
          <w:numId w:val="20"/>
        </w:numPr>
        <w:rPr>
          <w:lang w:val="en-US" w:eastAsia="en-AU"/>
        </w:rPr>
      </w:pPr>
      <w:r>
        <w:rPr>
          <w:lang w:val="en-US" w:eastAsia="en-AU"/>
        </w:rPr>
        <w:t>Lack of access to essential goods such as groceries and clothing due to travel restrictions and the increased price of such goods inside of some designated areas.</w:t>
      </w:r>
    </w:p>
    <w:p w14:paraId="29D59030" w14:textId="7D3D3562" w:rsidR="00C0422D" w:rsidRPr="00C0422D" w:rsidRDefault="00C0422D" w:rsidP="00C0422D">
      <w:pPr>
        <w:pStyle w:val="Numberedparagraph"/>
      </w:pPr>
      <w:r w:rsidRPr="00C0422D">
        <w:t xml:space="preserve">The Commission believes alternative protections which reflect and understand the unique needs of different communities </w:t>
      </w:r>
      <w:r w:rsidR="00F05247">
        <w:t>are better</w:t>
      </w:r>
      <w:r w:rsidRPr="00C0422D">
        <w:t xml:space="preserve"> developed under more flexible state-based public health directives. </w:t>
      </w:r>
      <w:r>
        <w:t>This would require the</w:t>
      </w:r>
      <w:r w:rsidRPr="00C0422D">
        <w:t xml:space="preserve"> Queensland Government to work closely with our Aboriginal Community Controlled Health Services and Local Disaster Management Committees, to ensure that the voices of Indigenous </w:t>
      </w:r>
      <w:r w:rsidRPr="00C0422D">
        <w:lastRenderedPageBreak/>
        <w:t xml:space="preserve">Queenslanders are heard and valued as part of informed decision making about pandemic protections.  </w:t>
      </w:r>
    </w:p>
    <w:p w14:paraId="5A66322B" w14:textId="663FFD22" w:rsidR="004F7D72" w:rsidRDefault="00C0422D" w:rsidP="004F7D72">
      <w:pPr>
        <w:pStyle w:val="Numberedparagraph"/>
        <w:rPr>
          <w:lang w:val="en-US" w:eastAsia="en-AU"/>
        </w:rPr>
      </w:pPr>
      <w:r>
        <w:rPr>
          <w:lang w:val="en-US" w:eastAsia="en-AU"/>
        </w:rPr>
        <w:t xml:space="preserve">If such Commonwealth-based restrictions under the </w:t>
      </w:r>
      <w:r w:rsidRPr="0080180F">
        <w:rPr>
          <w:i/>
          <w:lang w:val="en-US" w:eastAsia="en-AU"/>
        </w:rPr>
        <w:t>Biosecurity Act</w:t>
      </w:r>
      <w:r>
        <w:rPr>
          <w:lang w:val="en-US" w:eastAsia="en-AU"/>
        </w:rPr>
        <w:t xml:space="preserve"> are considered in future, we note that the price of </w:t>
      </w:r>
      <w:r w:rsidR="004F7D72">
        <w:rPr>
          <w:lang w:val="en-US" w:eastAsia="en-AU"/>
        </w:rPr>
        <w:t xml:space="preserve">goods in these </w:t>
      </w:r>
      <w:r w:rsidR="00B47B85">
        <w:rPr>
          <w:lang w:val="en-US" w:eastAsia="en-AU"/>
        </w:rPr>
        <w:t>designated Indigenous communities</w:t>
      </w:r>
      <w:r>
        <w:rPr>
          <w:lang w:val="en-US" w:eastAsia="en-AU"/>
        </w:rPr>
        <w:t xml:space="preserve"> was a particular issue of concern. W</w:t>
      </w:r>
      <w:r w:rsidR="004F7D72">
        <w:rPr>
          <w:lang w:val="en-US" w:eastAsia="en-AU"/>
        </w:rPr>
        <w:t xml:space="preserve">e note that </w:t>
      </w:r>
      <w:r w:rsidR="0080180F">
        <w:rPr>
          <w:lang w:val="en-US" w:eastAsia="en-AU"/>
        </w:rPr>
        <w:t>a</w:t>
      </w:r>
      <w:r w:rsidR="004F7D72">
        <w:rPr>
          <w:lang w:val="en-US" w:eastAsia="en-AU"/>
        </w:rPr>
        <w:t xml:space="preserve"> </w:t>
      </w:r>
      <w:r w:rsidR="0080180F">
        <w:rPr>
          <w:lang w:val="en-US" w:eastAsia="en-AU"/>
        </w:rPr>
        <w:t xml:space="preserve">specific </w:t>
      </w:r>
      <w:r w:rsidR="004F7D72">
        <w:rPr>
          <w:lang w:val="en-US" w:eastAsia="en-AU"/>
        </w:rPr>
        <w:t>determination</w:t>
      </w:r>
      <w:r w:rsidR="0080180F">
        <w:rPr>
          <w:lang w:val="en-US" w:eastAsia="en-AU"/>
        </w:rPr>
        <w:t xml:space="preserve"> was made to protect against </w:t>
      </w:r>
      <w:r w:rsidR="004F7D72">
        <w:rPr>
          <w:lang w:val="en-US" w:eastAsia="en-AU"/>
        </w:rPr>
        <w:t>‘price gouging’ of health supplies.</w:t>
      </w:r>
      <w:r w:rsidR="0080180F">
        <w:rPr>
          <w:rStyle w:val="FootnoteReference"/>
          <w:lang w:val="en-US" w:eastAsia="en-AU"/>
        </w:rPr>
        <w:footnoteReference w:id="6"/>
      </w:r>
      <w:r w:rsidR="004F7D72">
        <w:rPr>
          <w:lang w:val="en-US" w:eastAsia="en-AU"/>
        </w:rPr>
        <w:t xml:space="preserve"> We suggest that </w:t>
      </w:r>
      <w:r>
        <w:rPr>
          <w:lang w:val="en-US" w:eastAsia="en-AU"/>
        </w:rPr>
        <w:t xml:space="preserve">in future consideration be given to applying such protections </w:t>
      </w:r>
      <w:r w:rsidR="004F7D72">
        <w:rPr>
          <w:lang w:val="en-US" w:eastAsia="en-AU"/>
        </w:rPr>
        <w:t>to essential food and clothing</w:t>
      </w:r>
      <w:r>
        <w:rPr>
          <w:lang w:val="en-US" w:eastAsia="en-AU"/>
        </w:rPr>
        <w:t xml:space="preserve"> also</w:t>
      </w:r>
      <w:r w:rsidR="0080180F">
        <w:rPr>
          <w:lang w:val="en-US" w:eastAsia="en-AU"/>
        </w:rPr>
        <w:t>, particularly in areas designated for specific restrictions</w:t>
      </w:r>
      <w:r w:rsidR="004F7D72">
        <w:rPr>
          <w:lang w:val="en-US" w:eastAsia="en-AU"/>
        </w:rPr>
        <w:t xml:space="preserve">. </w:t>
      </w:r>
    </w:p>
    <w:p w14:paraId="1F884AA8" w14:textId="37FA01B8" w:rsidR="0086387C" w:rsidRDefault="0086387C" w:rsidP="0086387C">
      <w:pPr>
        <w:pStyle w:val="Heading1"/>
      </w:pPr>
      <w:bookmarkStart w:id="5" w:name="_Toc41562979"/>
      <w:r>
        <w:t xml:space="preserve">Racial </w:t>
      </w:r>
      <w:r w:rsidR="00734D71">
        <w:t>v</w:t>
      </w:r>
      <w:r>
        <w:t>ilification</w:t>
      </w:r>
      <w:bookmarkEnd w:id="5"/>
      <w:r>
        <w:t xml:space="preserve"> </w:t>
      </w:r>
    </w:p>
    <w:p w14:paraId="6075DD1B" w14:textId="44CAC12C" w:rsidR="00784A5E" w:rsidRDefault="0086387C" w:rsidP="00DD28F9">
      <w:pPr>
        <w:pStyle w:val="Numberedparagraph"/>
        <w:rPr>
          <w:lang w:val="en-US" w:eastAsia="en-AU"/>
        </w:rPr>
      </w:pPr>
      <w:r w:rsidRPr="00DD28F9">
        <w:rPr>
          <w:lang w:val="en-US" w:eastAsia="en-AU"/>
        </w:rPr>
        <w:t>As the body responsible for handling complaints of rac</w:t>
      </w:r>
      <w:r w:rsidR="00DD28F9" w:rsidRPr="00DD28F9">
        <w:rPr>
          <w:lang w:val="en-US" w:eastAsia="en-AU"/>
        </w:rPr>
        <w:t>ial</w:t>
      </w:r>
      <w:r w:rsidRPr="00DD28F9">
        <w:rPr>
          <w:lang w:val="en-US" w:eastAsia="en-AU"/>
        </w:rPr>
        <w:t xml:space="preserve"> vilification in Queens</w:t>
      </w:r>
      <w:r w:rsidR="000A557A" w:rsidRPr="00DD28F9">
        <w:rPr>
          <w:lang w:val="en-US" w:eastAsia="en-AU"/>
        </w:rPr>
        <w:t xml:space="preserve">land, </w:t>
      </w:r>
      <w:r w:rsidR="00396233" w:rsidRPr="00DD28F9">
        <w:rPr>
          <w:lang w:val="en-US" w:eastAsia="en-AU"/>
        </w:rPr>
        <w:t xml:space="preserve">the Commission is </w:t>
      </w:r>
      <w:r w:rsidR="000A557A" w:rsidRPr="00DD28F9">
        <w:rPr>
          <w:lang w:val="en-US" w:eastAsia="en-AU"/>
        </w:rPr>
        <w:t xml:space="preserve">concerned about </w:t>
      </w:r>
      <w:r w:rsidR="00FB62E1" w:rsidRPr="00DD28F9">
        <w:rPr>
          <w:lang w:val="en-US" w:eastAsia="en-AU"/>
        </w:rPr>
        <w:t xml:space="preserve">the </w:t>
      </w:r>
      <w:r w:rsidR="00DD28F9" w:rsidRPr="00DD28F9">
        <w:rPr>
          <w:lang w:val="en-US" w:eastAsia="en-AU"/>
        </w:rPr>
        <w:t xml:space="preserve">reported increase in anti-Chinese and anti-Asian sentiment </w:t>
      </w:r>
      <w:r w:rsidR="00FB62E1" w:rsidRPr="00DD28F9">
        <w:rPr>
          <w:lang w:val="en-US" w:eastAsia="en-AU"/>
        </w:rPr>
        <w:t>in some sections of the community</w:t>
      </w:r>
      <w:r w:rsidR="00DD28F9" w:rsidRPr="00DD28F9">
        <w:rPr>
          <w:lang w:val="en-US" w:eastAsia="en-AU"/>
        </w:rPr>
        <w:t xml:space="preserve"> during the pandemic. </w:t>
      </w:r>
      <w:r w:rsidR="00E23A45" w:rsidRPr="00DD28F9">
        <w:rPr>
          <w:lang w:val="en-US" w:eastAsia="en-AU"/>
        </w:rPr>
        <w:t>W</w:t>
      </w:r>
      <w:r w:rsidR="000A557A" w:rsidRPr="00DD28F9">
        <w:rPr>
          <w:lang w:val="en-US" w:eastAsia="en-AU"/>
        </w:rPr>
        <w:t xml:space="preserve">e have </w:t>
      </w:r>
      <w:r w:rsidR="00E23A45" w:rsidRPr="00DD28F9">
        <w:rPr>
          <w:lang w:val="en-US" w:eastAsia="en-AU"/>
        </w:rPr>
        <w:t>received</w:t>
      </w:r>
      <w:r w:rsidR="000A557A" w:rsidRPr="00DD28F9">
        <w:rPr>
          <w:lang w:val="en-US" w:eastAsia="en-AU"/>
        </w:rPr>
        <w:t xml:space="preserve"> enquiries </w:t>
      </w:r>
      <w:r w:rsidR="00396233" w:rsidRPr="00DD28F9">
        <w:rPr>
          <w:lang w:val="en-US" w:eastAsia="en-AU"/>
        </w:rPr>
        <w:t xml:space="preserve">and complaints </w:t>
      </w:r>
      <w:r w:rsidR="000A557A" w:rsidRPr="00DD28F9">
        <w:rPr>
          <w:lang w:val="en-US" w:eastAsia="en-AU"/>
        </w:rPr>
        <w:t xml:space="preserve">from people of Chinese </w:t>
      </w:r>
      <w:r w:rsidR="00DD28F9" w:rsidRPr="00DD28F9">
        <w:rPr>
          <w:lang w:val="en-US" w:eastAsia="en-AU"/>
        </w:rPr>
        <w:t xml:space="preserve">and Asian </w:t>
      </w:r>
      <w:r w:rsidR="000A557A" w:rsidRPr="00DD28F9">
        <w:rPr>
          <w:lang w:val="en-US" w:eastAsia="en-AU"/>
        </w:rPr>
        <w:t>descent who have experienced</w:t>
      </w:r>
      <w:r w:rsidR="00E23A45" w:rsidRPr="00DD28F9">
        <w:rPr>
          <w:lang w:val="en-US" w:eastAsia="en-AU"/>
        </w:rPr>
        <w:t xml:space="preserve"> racial</w:t>
      </w:r>
      <w:r w:rsidR="000A557A" w:rsidRPr="00DD28F9">
        <w:rPr>
          <w:lang w:val="en-US" w:eastAsia="en-AU"/>
        </w:rPr>
        <w:t xml:space="preserve"> vilification </w:t>
      </w:r>
      <w:r w:rsidR="00396233" w:rsidRPr="00DD28F9">
        <w:rPr>
          <w:lang w:val="en-US" w:eastAsia="en-AU"/>
        </w:rPr>
        <w:t>and</w:t>
      </w:r>
      <w:r w:rsidR="000A557A" w:rsidRPr="00DD28F9">
        <w:rPr>
          <w:lang w:val="en-US" w:eastAsia="en-AU"/>
        </w:rPr>
        <w:t xml:space="preserve"> discriminatory treatment when trying to obtain goods and services. </w:t>
      </w:r>
      <w:r w:rsidR="00E23A45" w:rsidRPr="00DD28F9">
        <w:rPr>
          <w:lang w:val="en-US" w:eastAsia="en-AU"/>
        </w:rPr>
        <w:t xml:space="preserve">For example, </w:t>
      </w:r>
      <w:r w:rsidR="00396233" w:rsidRPr="00DD28F9">
        <w:rPr>
          <w:lang w:val="en-US" w:eastAsia="en-AU"/>
        </w:rPr>
        <w:t>there were</w:t>
      </w:r>
      <w:r w:rsidR="00E23A45" w:rsidRPr="00DD28F9">
        <w:rPr>
          <w:lang w:val="en-US" w:eastAsia="en-AU"/>
        </w:rPr>
        <w:t xml:space="preserve"> allegations of</w:t>
      </w:r>
      <w:r w:rsidR="000A557A" w:rsidRPr="00DD28F9">
        <w:rPr>
          <w:lang w:val="en-US" w:eastAsia="en-AU"/>
        </w:rPr>
        <w:t xml:space="preserve"> being told things </w:t>
      </w:r>
      <w:r w:rsidR="00396233" w:rsidRPr="00DD28F9">
        <w:rPr>
          <w:lang w:val="en-US" w:eastAsia="en-AU"/>
        </w:rPr>
        <w:t>such as,</w:t>
      </w:r>
      <w:r w:rsidR="000A557A" w:rsidRPr="00DD28F9">
        <w:rPr>
          <w:lang w:val="en-US" w:eastAsia="en-AU"/>
        </w:rPr>
        <w:t xml:space="preserve"> </w:t>
      </w:r>
      <w:r w:rsidR="00396233" w:rsidRPr="00DD28F9">
        <w:rPr>
          <w:lang w:val="en-US" w:eastAsia="en-AU"/>
        </w:rPr>
        <w:t>‘y</w:t>
      </w:r>
      <w:r w:rsidR="000A557A" w:rsidRPr="00DD28F9">
        <w:rPr>
          <w:lang w:val="en-US" w:eastAsia="en-AU"/>
        </w:rPr>
        <w:t>ou brought in coronavirus</w:t>
      </w:r>
      <w:r w:rsidR="00396233" w:rsidRPr="00DD28F9">
        <w:rPr>
          <w:lang w:val="en-US" w:eastAsia="en-AU"/>
        </w:rPr>
        <w:t>’,</w:t>
      </w:r>
      <w:r w:rsidR="000A557A" w:rsidRPr="00DD28F9">
        <w:rPr>
          <w:lang w:val="en-US" w:eastAsia="en-AU"/>
        </w:rPr>
        <w:t xml:space="preserve"> and you should </w:t>
      </w:r>
      <w:r w:rsidR="00396233" w:rsidRPr="00DD28F9">
        <w:rPr>
          <w:lang w:val="en-US" w:eastAsia="en-AU"/>
        </w:rPr>
        <w:t>‘</w:t>
      </w:r>
      <w:r w:rsidR="000A557A" w:rsidRPr="00DD28F9">
        <w:rPr>
          <w:lang w:val="en-US" w:eastAsia="en-AU"/>
        </w:rPr>
        <w:t>go back to where you came from</w:t>
      </w:r>
      <w:r w:rsidR="00396233" w:rsidRPr="00DD28F9">
        <w:rPr>
          <w:lang w:val="en-US" w:eastAsia="en-AU"/>
        </w:rPr>
        <w:t>’</w:t>
      </w:r>
      <w:r w:rsidR="000A557A" w:rsidRPr="00DD28F9">
        <w:rPr>
          <w:lang w:val="en-US" w:eastAsia="en-AU"/>
        </w:rPr>
        <w:t xml:space="preserve">, and </w:t>
      </w:r>
      <w:r w:rsidR="00396233" w:rsidRPr="00DD28F9">
        <w:rPr>
          <w:lang w:val="en-US" w:eastAsia="en-AU"/>
        </w:rPr>
        <w:t>being</w:t>
      </w:r>
      <w:r w:rsidR="000A557A" w:rsidRPr="00DD28F9">
        <w:rPr>
          <w:lang w:val="en-US" w:eastAsia="en-AU"/>
        </w:rPr>
        <w:t xml:space="preserve"> refus</w:t>
      </w:r>
      <w:r w:rsidR="00396233" w:rsidRPr="00DD28F9">
        <w:rPr>
          <w:lang w:val="en-US" w:eastAsia="en-AU"/>
        </w:rPr>
        <w:t>ed</w:t>
      </w:r>
      <w:r w:rsidR="000A557A" w:rsidRPr="00DD28F9">
        <w:rPr>
          <w:lang w:val="en-US" w:eastAsia="en-AU"/>
        </w:rPr>
        <w:t xml:space="preserve"> service on the basis of </w:t>
      </w:r>
      <w:r w:rsidR="00396233" w:rsidRPr="00DD28F9">
        <w:rPr>
          <w:lang w:val="en-US" w:eastAsia="en-AU"/>
        </w:rPr>
        <w:t>their</w:t>
      </w:r>
      <w:r w:rsidR="000A557A" w:rsidRPr="00DD28F9">
        <w:rPr>
          <w:lang w:val="en-US" w:eastAsia="en-AU"/>
        </w:rPr>
        <w:t xml:space="preserve"> </w:t>
      </w:r>
      <w:r w:rsidR="00DD28F9" w:rsidRPr="00DD28F9">
        <w:rPr>
          <w:lang w:val="en-US" w:eastAsia="en-AU"/>
        </w:rPr>
        <w:t xml:space="preserve">race. </w:t>
      </w:r>
      <w:r w:rsidR="00784A5E" w:rsidRPr="00DD28F9">
        <w:rPr>
          <w:lang w:val="en-US" w:eastAsia="en-AU"/>
        </w:rPr>
        <w:t>We have also heard from a vocational education provider who are hearing first hand from their Asian students that they are experiencing increased vilification in the community.</w:t>
      </w:r>
    </w:p>
    <w:p w14:paraId="1E6C6C11" w14:textId="77777777" w:rsidR="00DD28F9" w:rsidRDefault="00DD28F9" w:rsidP="00DD28F9">
      <w:pPr>
        <w:pStyle w:val="Numberedparagraph"/>
        <w:rPr>
          <w:lang w:val="en-US" w:eastAsia="en-AU"/>
        </w:rPr>
      </w:pPr>
      <w:r>
        <w:rPr>
          <w:lang w:val="en-US" w:eastAsia="en-AU"/>
        </w:rPr>
        <w:t xml:space="preserve">The Commission is working with complainants to resolve these complaints, but a common difficulty in vilification matters is identifying respondents when comments are expressed by strangers in public places. </w:t>
      </w:r>
    </w:p>
    <w:p w14:paraId="0233E945" w14:textId="0DAFB833" w:rsidR="00DD28F9" w:rsidRPr="00DD28F9" w:rsidRDefault="00DD28F9" w:rsidP="00DD28F9">
      <w:pPr>
        <w:pStyle w:val="Numberedparagraph"/>
        <w:rPr>
          <w:lang w:val="en-US" w:eastAsia="en-AU"/>
        </w:rPr>
      </w:pPr>
      <w:r>
        <w:rPr>
          <w:lang w:val="en-US" w:eastAsia="en-AU"/>
        </w:rPr>
        <w:t xml:space="preserve">We are also concerned that the number of complaints we have received is not representative of the full scale of the problem. It is believed that there are several factors which may dissuade victims of this behavior to make formal complaints, including confusion about the process or the correct body to complain to, a reluctance to engage in a conciliation with perpetrators (or a belief this would have few positive outcomes), </w:t>
      </w:r>
      <w:r w:rsidR="00B47FD0">
        <w:rPr>
          <w:lang w:val="en-US" w:eastAsia="en-AU"/>
        </w:rPr>
        <w:t xml:space="preserve">or the difficulty in naming or locating a respondent. </w:t>
      </w:r>
    </w:p>
    <w:p w14:paraId="306D2861" w14:textId="6337F8FE" w:rsidR="0086387C" w:rsidRDefault="00C63B20" w:rsidP="00595BAF">
      <w:pPr>
        <w:pStyle w:val="Numberedparagraph"/>
        <w:rPr>
          <w:lang w:val="en-US" w:eastAsia="en-AU"/>
        </w:rPr>
      </w:pPr>
      <w:r>
        <w:rPr>
          <w:lang w:val="en-US" w:eastAsia="en-AU"/>
        </w:rPr>
        <w:t xml:space="preserve">The Commission suggests that a preventative mechanism to address this behavior is more positive messaging at the national level. This could include </w:t>
      </w:r>
      <w:r w:rsidR="0086387C" w:rsidRPr="00595BAF">
        <w:rPr>
          <w:lang w:val="en-US" w:eastAsia="en-AU"/>
        </w:rPr>
        <w:t>the Federal Government fund</w:t>
      </w:r>
      <w:r>
        <w:rPr>
          <w:lang w:val="en-US" w:eastAsia="en-AU"/>
        </w:rPr>
        <w:t>ing</w:t>
      </w:r>
      <w:r w:rsidR="0086387C" w:rsidRPr="00595BAF">
        <w:rPr>
          <w:lang w:val="en-US" w:eastAsia="en-AU"/>
        </w:rPr>
        <w:t xml:space="preserve"> a national campaign promot</w:t>
      </w:r>
      <w:r w:rsidR="00684439">
        <w:rPr>
          <w:lang w:val="en-US" w:eastAsia="en-AU"/>
        </w:rPr>
        <w:t>ing</w:t>
      </w:r>
      <w:r w:rsidR="0086387C" w:rsidRPr="00595BAF">
        <w:rPr>
          <w:lang w:val="en-US" w:eastAsia="en-AU"/>
        </w:rPr>
        <w:t xml:space="preserve"> the benefits of Australia’s rich multicultural community. </w:t>
      </w:r>
      <w:r w:rsidR="0086569A">
        <w:rPr>
          <w:lang w:val="en-US" w:eastAsia="en-AU"/>
        </w:rPr>
        <w:t xml:space="preserve">National leadership </w:t>
      </w:r>
      <w:r w:rsidR="0086569A">
        <w:rPr>
          <w:lang w:val="en-US" w:eastAsia="en-AU"/>
        </w:rPr>
        <w:lastRenderedPageBreak/>
        <w:t>and consistent messaging, particularly from the Australian Government, would send an important message that the community disagrees with racist conduct</w:t>
      </w:r>
      <w:r w:rsidR="0086569A">
        <w:rPr>
          <w:color w:val="1F497D"/>
        </w:rPr>
        <w:t xml:space="preserve">. </w:t>
      </w:r>
      <w:r w:rsidR="0086569A">
        <w:rPr>
          <w:lang w:val="en-US" w:eastAsia="en-AU"/>
        </w:rPr>
        <w:t xml:space="preserve">Such a campaign could </w:t>
      </w:r>
      <w:r w:rsidR="00B47FD0">
        <w:rPr>
          <w:lang w:val="en-US" w:eastAsia="en-AU"/>
        </w:rPr>
        <w:t xml:space="preserve">clarify how and who to report such incidents to, as well as </w:t>
      </w:r>
      <w:proofErr w:type="spellStart"/>
      <w:r w:rsidR="0086569A">
        <w:rPr>
          <w:lang w:val="en-US" w:eastAsia="en-AU"/>
        </w:rPr>
        <w:t>emphasise</w:t>
      </w:r>
      <w:proofErr w:type="spellEnd"/>
      <w:r w:rsidR="0086569A">
        <w:rPr>
          <w:lang w:val="en-US" w:eastAsia="en-AU"/>
        </w:rPr>
        <w:t xml:space="preserve"> the critical role bystanders play in calling out racism the moment it happens, empowering and supporting victims</w:t>
      </w:r>
      <w:r w:rsidR="00396233">
        <w:rPr>
          <w:lang w:val="en-US" w:eastAsia="en-AU"/>
        </w:rPr>
        <w:t>,</w:t>
      </w:r>
      <w:r w:rsidR="0086569A">
        <w:rPr>
          <w:lang w:val="en-US" w:eastAsia="en-AU"/>
        </w:rPr>
        <w:t xml:space="preserve"> and restating community expectations about </w:t>
      </w:r>
      <w:proofErr w:type="spellStart"/>
      <w:r w:rsidR="0086569A">
        <w:rPr>
          <w:lang w:val="en-US" w:eastAsia="en-AU"/>
        </w:rPr>
        <w:t>behavio</w:t>
      </w:r>
      <w:r w:rsidR="00396233">
        <w:rPr>
          <w:lang w:val="en-US" w:eastAsia="en-AU"/>
        </w:rPr>
        <w:t>u</w:t>
      </w:r>
      <w:r w:rsidR="0086569A">
        <w:rPr>
          <w:lang w:val="en-US" w:eastAsia="en-AU"/>
        </w:rPr>
        <w:t>r</w:t>
      </w:r>
      <w:proofErr w:type="spellEnd"/>
      <w:r w:rsidR="0086569A">
        <w:rPr>
          <w:lang w:val="en-US" w:eastAsia="en-AU"/>
        </w:rPr>
        <w:t xml:space="preserve">. </w:t>
      </w:r>
      <w:r w:rsidR="0086387C" w:rsidRPr="00595BAF">
        <w:rPr>
          <w:lang w:val="en-US" w:eastAsia="en-AU"/>
        </w:rPr>
        <w:t xml:space="preserve">The </w:t>
      </w:r>
      <w:r w:rsidR="00E23A45">
        <w:rPr>
          <w:lang w:val="en-US" w:eastAsia="en-AU"/>
        </w:rPr>
        <w:t xml:space="preserve">Commission has </w:t>
      </w:r>
      <w:r w:rsidR="00396233">
        <w:rPr>
          <w:lang w:val="en-US" w:eastAsia="en-AU"/>
        </w:rPr>
        <w:t xml:space="preserve">produced resources to </w:t>
      </w:r>
      <w:r w:rsidR="00E23A45">
        <w:rPr>
          <w:lang w:val="en-US" w:eastAsia="en-AU"/>
        </w:rPr>
        <w:t>promote positive messaging about racial diversity and</w:t>
      </w:r>
      <w:r w:rsidR="0086387C" w:rsidRPr="00595BAF">
        <w:rPr>
          <w:lang w:val="en-US" w:eastAsia="en-AU"/>
        </w:rPr>
        <w:t xml:space="preserve"> </w:t>
      </w:r>
      <w:r w:rsidR="0086569A">
        <w:rPr>
          <w:lang w:val="en-US" w:eastAsia="en-AU"/>
        </w:rPr>
        <w:t xml:space="preserve">the important role bystanders can play </w:t>
      </w:r>
      <w:r w:rsidR="00684439">
        <w:rPr>
          <w:lang w:val="en-US" w:eastAsia="en-AU"/>
        </w:rPr>
        <w:t xml:space="preserve">in </w:t>
      </w:r>
      <w:r w:rsidR="0086569A">
        <w:rPr>
          <w:lang w:val="en-US" w:eastAsia="en-AU"/>
        </w:rPr>
        <w:t>stamp</w:t>
      </w:r>
      <w:r w:rsidR="00684439">
        <w:rPr>
          <w:lang w:val="en-US" w:eastAsia="en-AU"/>
        </w:rPr>
        <w:t>ing</w:t>
      </w:r>
      <w:r w:rsidR="0086569A">
        <w:rPr>
          <w:lang w:val="en-US" w:eastAsia="en-AU"/>
        </w:rPr>
        <w:t xml:space="preserve"> out racism, and </w:t>
      </w:r>
      <w:r w:rsidR="0086387C" w:rsidRPr="00595BAF">
        <w:rPr>
          <w:lang w:val="en-US" w:eastAsia="en-AU"/>
        </w:rPr>
        <w:t>would welcome the opportunity to participate in a</w:t>
      </w:r>
      <w:r w:rsidR="00E23A45">
        <w:rPr>
          <w:lang w:val="en-US" w:eastAsia="en-AU"/>
        </w:rPr>
        <w:t xml:space="preserve"> national</w:t>
      </w:r>
      <w:r w:rsidR="0086387C" w:rsidRPr="00595BAF">
        <w:rPr>
          <w:lang w:val="en-US" w:eastAsia="en-AU"/>
        </w:rPr>
        <w:t xml:space="preserve"> campaign. </w:t>
      </w:r>
    </w:p>
    <w:p w14:paraId="70A1AB43" w14:textId="6547E333" w:rsidR="0086387C" w:rsidRPr="00FB618B" w:rsidRDefault="00684439" w:rsidP="00FB618B">
      <w:pPr>
        <w:pStyle w:val="Numberedparagraph"/>
        <w:rPr>
          <w:lang w:val="en-US" w:eastAsia="en-AU"/>
        </w:rPr>
      </w:pPr>
      <w:r>
        <w:rPr>
          <w:lang w:val="en"/>
        </w:rPr>
        <w:t>T</w:t>
      </w:r>
      <w:r w:rsidR="00FB618B" w:rsidRPr="00595BAF">
        <w:rPr>
          <w:lang w:val="en"/>
        </w:rPr>
        <w:t xml:space="preserve">he establishment </w:t>
      </w:r>
      <w:r w:rsidRPr="00595BAF">
        <w:rPr>
          <w:lang w:val="en"/>
        </w:rPr>
        <w:t>by Australia’s law enforcement agencies</w:t>
      </w:r>
      <w:r>
        <w:rPr>
          <w:lang w:val="en"/>
        </w:rPr>
        <w:t xml:space="preserve"> </w:t>
      </w:r>
      <w:r w:rsidR="00FB618B" w:rsidRPr="00595BAF">
        <w:rPr>
          <w:lang w:val="en"/>
        </w:rPr>
        <w:t>of a national data base for hate</w:t>
      </w:r>
      <w:r>
        <w:rPr>
          <w:lang w:val="en"/>
        </w:rPr>
        <w:t>-</w:t>
      </w:r>
      <w:r w:rsidR="00FB618B">
        <w:rPr>
          <w:lang w:val="en"/>
        </w:rPr>
        <w:t>motivated crimes</w:t>
      </w:r>
      <w:r>
        <w:rPr>
          <w:lang w:val="en"/>
        </w:rPr>
        <w:t xml:space="preserve"> would</w:t>
      </w:r>
      <w:r w:rsidR="00294A3F">
        <w:rPr>
          <w:lang w:val="en"/>
        </w:rPr>
        <w:t xml:space="preserve"> also</w:t>
      </w:r>
      <w:r>
        <w:rPr>
          <w:lang w:val="en"/>
        </w:rPr>
        <w:t xml:space="preserve"> be a positive response to the current situation</w:t>
      </w:r>
      <w:r w:rsidR="00FB618B">
        <w:rPr>
          <w:lang w:val="en"/>
        </w:rPr>
        <w:t xml:space="preserve">. This would provide an evidence base to inform </w:t>
      </w:r>
      <w:r w:rsidR="0086387C" w:rsidRPr="00595BAF">
        <w:rPr>
          <w:lang w:val="en"/>
        </w:rPr>
        <w:t xml:space="preserve">strategies to address </w:t>
      </w:r>
      <w:r w:rsidR="00FB618B">
        <w:rPr>
          <w:lang w:val="en"/>
        </w:rPr>
        <w:t>hate crime.  As Chin Tan, the Federal Race Discrimination Commissioner</w:t>
      </w:r>
      <w:r w:rsidR="00C628BF">
        <w:rPr>
          <w:lang w:val="en"/>
        </w:rPr>
        <w:t>,</w:t>
      </w:r>
      <w:r w:rsidR="00FB618B">
        <w:rPr>
          <w:lang w:val="en"/>
        </w:rPr>
        <w:t xml:space="preserve"> has noted</w:t>
      </w:r>
      <w:r w:rsidR="00C628BF">
        <w:rPr>
          <w:lang w:val="en"/>
        </w:rPr>
        <w:t>,</w:t>
      </w:r>
      <w:r w:rsidR="00FB618B">
        <w:rPr>
          <w:lang w:val="en"/>
        </w:rPr>
        <w:t xml:space="preserve"> complaints received by anti-discrimination bodies </w:t>
      </w:r>
      <w:r w:rsidR="00FB618B" w:rsidRPr="00FB618B">
        <w:rPr>
          <w:lang w:val="en"/>
        </w:rPr>
        <w:t>do not tell the full story of what is happening in the community, nor do they illustrate the sustained spike in racism that has been widely observed.</w:t>
      </w:r>
      <w:r w:rsidR="00FB618B">
        <w:rPr>
          <w:lang w:val="en"/>
        </w:rPr>
        <w:t xml:space="preserve"> </w:t>
      </w:r>
      <w:r w:rsidR="00C628BF">
        <w:rPr>
          <w:lang w:val="en"/>
        </w:rPr>
        <w:t>P</w:t>
      </w:r>
      <w:r w:rsidR="00FB618B">
        <w:rPr>
          <w:lang w:val="en"/>
        </w:rPr>
        <w:t xml:space="preserve">ublishing statistics from law enforcement </w:t>
      </w:r>
      <w:r w:rsidR="00C628BF">
        <w:rPr>
          <w:lang w:val="en"/>
        </w:rPr>
        <w:t xml:space="preserve">agencies </w:t>
      </w:r>
      <w:r w:rsidR="00FB618B">
        <w:rPr>
          <w:lang w:val="en"/>
        </w:rPr>
        <w:t xml:space="preserve">would </w:t>
      </w:r>
      <w:r w:rsidR="00C628BF">
        <w:rPr>
          <w:lang w:val="en"/>
        </w:rPr>
        <w:t xml:space="preserve">be </w:t>
      </w:r>
      <w:r w:rsidR="00FB618B">
        <w:rPr>
          <w:lang w:val="en"/>
        </w:rPr>
        <w:t xml:space="preserve">likely </w:t>
      </w:r>
      <w:r w:rsidR="00C628BF">
        <w:rPr>
          <w:lang w:val="en"/>
        </w:rPr>
        <w:t xml:space="preserve">to </w:t>
      </w:r>
      <w:r w:rsidR="00FB618B">
        <w:rPr>
          <w:lang w:val="en"/>
        </w:rPr>
        <w:t>show a more accurate picture</w:t>
      </w:r>
      <w:r w:rsidR="00C628BF">
        <w:rPr>
          <w:lang w:val="en"/>
        </w:rPr>
        <w:t>,</w:t>
      </w:r>
      <w:r w:rsidR="00FB618B">
        <w:rPr>
          <w:lang w:val="en"/>
        </w:rPr>
        <w:t xml:space="preserve"> and would </w:t>
      </w:r>
      <w:r w:rsidR="00C628BF">
        <w:rPr>
          <w:lang w:val="en"/>
        </w:rPr>
        <w:t xml:space="preserve">encourage </w:t>
      </w:r>
      <w:r w:rsidR="00FB618B">
        <w:rPr>
          <w:lang w:val="en"/>
        </w:rPr>
        <w:t>the</w:t>
      </w:r>
      <w:r w:rsidR="0086387C" w:rsidRPr="00595BAF">
        <w:t xml:space="preserve"> adoption of a uniform, national system for defining, classifying</w:t>
      </w:r>
      <w:r w:rsidR="00C628BF">
        <w:t>,</w:t>
      </w:r>
      <w:r w:rsidR="0086387C" w:rsidRPr="00595BAF">
        <w:t xml:space="preserve"> and recording hate-motivated crimes, and training </w:t>
      </w:r>
      <w:r w:rsidR="00C628BF">
        <w:t xml:space="preserve">for </w:t>
      </w:r>
      <w:r w:rsidR="0086387C" w:rsidRPr="00595BAF">
        <w:t xml:space="preserve">all police forces within Australia </w:t>
      </w:r>
      <w:r w:rsidR="00FB618B">
        <w:t>to use the system</w:t>
      </w:r>
      <w:r w:rsidR="0086387C" w:rsidRPr="00595BAF">
        <w:rPr>
          <w:lang w:val="en"/>
        </w:rPr>
        <w:t>.</w:t>
      </w:r>
    </w:p>
    <w:p w14:paraId="031671B6" w14:textId="77777777" w:rsidR="00FB618B" w:rsidRDefault="00FB618B" w:rsidP="00FB618B">
      <w:pPr>
        <w:pStyle w:val="Numberedparagraph"/>
        <w:rPr>
          <w:lang w:val="en"/>
        </w:rPr>
      </w:pPr>
      <w:r w:rsidRPr="00FB618B">
        <w:rPr>
          <w:lang w:val="en"/>
        </w:rPr>
        <w:t xml:space="preserve">As </w:t>
      </w:r>
      <w:proofErr w:type="spellStart"/>
      <w:r w:rsidRPr="00FB618B">
        <w:rPr>
          <w:lang w:val="en"/>
        </w:rPr>
        <w:t>Mr</w:t>
      </w:r>
      <w:proofErr w:type="spellEnd"/>
      <w:r w:rsidRPr="00FB618B">
        <w:rPr>
          <w:lang w:val="en"/>
        </w:rPr>
        <w:t xml:space="preserve"> Tan has observed, </w:t>
      </w:r>
    </w:p>
    <w:p w14:paraId="1729CF63" w14:textId="1A5B10C4" w:rsidR="00FB618B" w:rsidRPr="00FB62E1" w:rsidRDefault="00FB618B" w:rsidP="00FB618B">
      <w:pPr>
        <w:pStyle w:val="Quote"/>
        <w:rPr>
          <w:sz w:val="22"/>
          <w:szCs w:val="22"/>
          <w:lang w:val="en-US" w:eastAsia="en-AU"/>
        </w:rPr>
      </w:pPr>
      <w:r w:rsidRPr="00FB62E1">
        <w:rPr>
          <w:sz w:val="22"/>
          <w:szCs w:val="22"/>
          <w:lang w:val="en"/>
        </w:rPr>
        <w:t>A comprehensive collection and evaluation of data should be a cornerstone of a national anti-racism strategy, as it would tell us how we are doing at combating racism. It would tell us where hotspots are and where we need to focus our attention. It would provide a true indication of trends that need addressing, such as the spike in racism prompted by COVID-19. And, most importantly, it would mean anyone who experiences or witnesses racism could have confidence their story would support efforts to stamp out racism altogether.</w:t>
      </w:r>
      <w:r w:rsidRPr="00FB62E1">
        <w:rPr>
          <w:rStyle w:val="FootnoteReference"/>
          <w:sz w:val="22"/>
          <w:szCs w:val="22"/>
          <w:lang w:val="en"/>
        </w:rPr>
        <w:footnoteReference w:id="7"/>
      </w:r>
    </w:p>
    <w:p w14:paraId="1D247136" w14:textId="77777777" w:rsidR="009C4DE9" w:rsidRDefault="009C4DE9" w:rsidP="009C4DE9">
      <w:pPr>
        <w:pStyle w:val="Heading1"/>
        <w:rPr>
          <w:lang w:val="en-US" w:eastAsia="en-AU"/>
        </w:rPr>
      </w:pPr>
      <w:bookmarkStart w:id="6" w:name="_Toc41562980"/>
      <w:r>
        <w:rPr>
          <w:lang w:val="en-US" w:eastAsia="en-AU"/>
        </w:rPr>
        <w:lastRenderedPageBreak/>
        <w:t>Nationally consistent framework for Health</w:t>
      </w:r>
      <w:bookmarkEnd w:id="6"/>
    </w:p>
    <w:p w14:paraId="1A17D613" w14:textId="4980AF08" w:rsidR="009C4DE9" w:rsidRDefault="00A75413" w:rsidP="00FB618B">
      <w:pPr>
        <w:pStyle w:val="Numberedparagraph"/>
        <w:rPr>
          <w:lang w:val="en-US" w:eastAsia="en-AU"/>
        </w:rPr>
      </w:pPr>
      <w:r>
        <w:rPr>
          <w:lang w:val="en-US" w:eastAsia="en-AU"/>
        </w:rPr>
        <w:t>For some nations, t</w:t>
      </w:r>
      <w:r w:rsidR="009C4DE9">
        <w:rPr>
          <w:lang w:val="en-US" w:eastAsia="en-AU"/>
        </w:rPr>
        <w:t>he</w:t>
      </w:r>
      <w:r>
        <w:rPr>
          <w:lang w:val="en-US" w:eastAsia="en-AU"/>
        </w:rPr>
        <w:t>ir</w:t>
      </w:r>
      <w:r w:rsidR="009C4DE9">
        <w:rPr>
          <w:lang w:val="en-US" w:eastAsia="en-AU"/>
        </w:rPr>
        <w:t xml:space="preserve"> </w:t>
      </w:r>
      <w:r w:rsidR="003F748E">
        <w:rPr>
          <w:lang w:val="en-US" w:eastAsia="en-AU"/>
        </w:rPr>
        <w:t>respon</w:t>
      </w:r>
      <w:r w:rsidR="002E417E">
        <w:rPr>
          <w:lang w:val="en-US" w:eastAsia="en-AU"/>
        </w:rPr>
        <w:t>se</w:t>
      </w:r>
      <w:r w:rsidR="003F748E">
        <w:rPr>
          <w:lang w:val="en-US" w:eastAsia="en-AU"/>
        </w:rPr>
        <w:t xml:space="preserve"> to the COVID-19</w:t>
      </w:r>
      <w:r w:rsidR="00CE03C7">
        <w:rPr>
          <w:lang w:val="en-US" w:eastAsia="en-AU"/>
        </w:rPr>
        <w:t xml:space="preserve"> </w:t>
      </w:r>
      <w:r w:rsidR="009C4DE9">
        <w:rPr>
          <w:lang w:val="en-US" w:eastAsia="en-AU"/>
        </w:rPr>
        <w:t xml:space="preserve">pandemic </w:t>
      </w:r>
      <w:r w:rsidR="002E417E">
        <w:rPr>
          <w:lang w:val="en-US" w:eastAsia="en-AU"/>
        </w:rPr>
        <w:t xml:space="preserve">has shown </w:t>
      </w:r>
      <w:r w:rsidR="009C4DE9">
        <w:rPr>
          <w:lang w:val="en-US" w:eastAsia="en-AU"/>
        </w:rPr>
        <w:t>that health resources are insufficient to deal with the crisis, particularly in the emergency care setting.</w:t>
      </w:r>
    </w:p>
    <w:p w14:paraId="6D469969" w14:textId="6552738D" w:rsidR="003F748E" w:rsidRDefault="00FB618B" w:rsidP="00FB618B">
      <w:pPr>
        <w:pStyle w:val="Numberedparagraph"/>
        <w:rPr>
          <w:lang w:val="en-US" w:eastAsia="en-AU"/>
        </w:rPr>
      </w:pPr>
      <w:r>
        <w:rPr>
          <w:lang w:val="en-US" w:eastAsia="en-AU"/>
        </w:rPr>
        <w:t>The Commission</w:t>
      </w:r>
      <w:r w:rsidR="009C4DE9">
        <w:rPr>
          <w:lang w:val="en-US" w:eastAsia="en-AU"/>
        </w:rPr>
        <w:t xml:space="preserve"> acknowledge</w:t>
      </w:r>
      <w:r>
        <w:rPr>
          <w:lang w:val="en-US" w:eastAsia="en-AU"/>
        </w:rPr>
        <w:t>s</w:t>
      </w:r>
      <w:r w:rsidR="009C4DE9">
        <w:rPr>
          <w:lang w:val="en-US" w:eastAsia="en-AU"/>
        </w:rPr>
        <w:t xml:space="preserve"> that health practitioners seek to apply a sophisticated set of ethical frameworks in decision</w:t>
      </w:r>
      <w:r w:rsidR="00A75413">
        <w:rPr>
          <w:lang w:val="en-US" w:eastAsia="en-AU"/>
        </w:rPr>
        <w:t>-</w:t>
      </w:r>
      <w:r w:rsidR="009C4DE9">
        <w:rPr>
          <w:lang w:val="en-US" w:eastAsia="en-AU"/>
        </w:rPr>
        <w:t>making</w:t>
      </w:r>
      <w:r w:rsidR="004C2FF8">
        <w:rPr>
          <w:lang w:val="en-US" w:eastAsia="en-AU"/>
        </w:rPr>
        <w:t xml:space="preserve"> in critical care and other health settings</w:t>
      </w:r>
      <w:r w:rsidR="009C4DE9">
        <w:rPr>
          <w:lang w:val="en-US" w:eastAsia="en-AU"/>
        </w:rPr>
        <w:t xml:space="preserve">. Significant work has </w:t>
      </w:r>
      <w:r w:rsidR="003F748E">
        <w:rPr>
          <w:lang w:val="en-US" w:eastAsia="en-AU"/>
        </w:rPr>
        <w:t xml:space="preserve">already </w:t>
      </w:r>
      <w:r w:rsidR="009C4DE9">
        <w:rPr>
          <w:lang w:val="en-US" w:eastAsia="en-AU"/>
        </w:rPr>
        <w:t>been done by the Australian, state</w:t>
      </w:r>
      <w:r w:rsidR="00A75413">
        <w:rPr>
          <w:lang w:val="en-US" w:eastAsia="en-AU"/>
        </w:rPr>
        <w:t>,</w:t>
      </w:r>
      <w:r w:rsidR="009C4DE9">
        <w:rPr>
          <w:lang w:val="en-US" w:eastAsia="en-AU"/>
        </w:rPr>
        <w:t xml:space="preserve"> and territory governments and professional bodies in this area. The </w:t>
      </w:r>
      <w:r w:rsidR="003F748E">
        <w:rPr>
          <w:lang w:val="en-US" w:eastAsia="en-AU"/>
        </w:rPr>
        <w:t>Commission</w:t>
      </w:r>
      <w:r w:rsidR="009C4DE9">
        <w:rPr>
          <w:lang w:val="en-US" w:eastAsia="en-AU"/>
        </w:rPr>
        <w:t xml:space="preserve"> has welcomed in particular the opportunity to work with Queensland Health officials on developing a robust framework in Queensland to guide how health practitioners can approach these complex issues</w:t>
      </w:r>
      <w:r w:rsidR="00A75413">
        <w:rPr>
          <w:lang w:val="en-US" w:eastAsia="en-AU"/>
        </w:rPr>
        <w:t>,</w:t>
      </w:r>
      <w:r w:rsidR="009C4DE9">
        <w:rPr>
          <w:lang w:val="en-US" w:eastAsia="en-AU"/>
        </w:rPr>
        <w:t xml:space="preserve"> should scarcity </w:t>
      </w:r>
      <w:r w:rsidR="004C2FF8">
        <w:rPr>
          <w:lang w:val="en-US" w:eastAsia="en-AU"/>
        </w:rPr>
        <w:t xml:space="preserve">of health resources </w:t>
      </w:r>
      <w:r w:rsidR="009C4DE9">
        <w:rPr>
          <w:lang w:val="en-US" w:eastAsia="en-AU"/>
        </w:rPr>
        <w:t>become an issue.</w:t>
      </w:r>
      <w:r w:rsidR="003F748E">
        <w:rPr>
          <w:rStyle w:val="FootnoteReference"/>
          <w:lang w:val="en-US" w:eastAsia="en-AU"/>
        </w:rPr>
        <w:footnoteReference w:id="8"/>
      </w:r>
    </w:p>
    <w:p w14:paraId="7188FAD2" w14:textId="4BEEFD78" w:rsidR="00FB618B" w:rsidRDefault="00A75413" w:rsidP="00FB618B">
      <w:pPr>
        <w:pStyle w:val="Numberedparagraph"/>
        <w:rPr>
          <w:lang w:val="en-US" w:eastAsia="en-AU"/>
        </w:rPr>
      </w:pPr>
      <w:r>
        <w:rPr>
          <w:lang w:val="en-US" w:eastAsia="en-AU"/>
        </w:rPr>
        <w:t xml:space="preserve">The Commission </w:t>
      </w:r>
      <w:r w:rsidR="003F748E">
        <w:rPr>
          <w:lang w:val="en-US" w:eastAsia="en-AU"/>
        </w:rPr>
        <w:t>continue</w:t>
      </w:r>
      <w:r>
        <w:rPr>
          <w:lang w:val="en-US" w:eastAsia="en-AU"/>
        </w:rPr>
        <w:t>s</w:t>
      </w:r>
      <w:r w:rsidR="003F748E">
        <w:rPr>
          <w:lang w:val="en-US" w:eastAsia="en-AU"/>
        </w:rPr>
        <w:t xml:space="preserve"> to work with the Queensland government to</w:t>
      </w:r>
      <w:r w:rsidR="009C4DE9">
        <w:rPr>
          <w:lang w:val="en-US" w:eastAsia="en-AU"/>
        </w:rPr>
        <w:t xml:space="preserve"> ensure that human rights are considered in decision</w:t>
      </w:r>
      <w:r>
        <w:rPr>
          <w:lang w:val="en-US" w:eastAsia="en-AU"/>
        </w:rPr>
        <w:t>-</w:t>
      </w:r>
      <w:r w:rsidR="009C4DE9">
        <w:rPr>
          <w:lang w:val="en-US" w:eastAsia="en-AU"/>
        </w:rPr>
        <w:t xml:space="preserve">making throughout the health system, particularly regarding critical care. </w:t>
      </w:r>
      <w:r w:rsidR="00CE03C7">
        <w:rPr>
          <w:lang w:val="en-US" w:eastAsia="en-AU"/>
        </w:rPr>
        <w:t>This ensures that such systems do not apply or entrench unconscious bias against certain groups, such as people with disability and older Australians, and provides a transparent set of human rights</w:t>
      </w:r>
      <w:r>
        <w:rPr>
          <w:lang w:val="en-US" w:eastAsia="en-AU"/>
        </w:rPr>
        <w:t>-</w:t>
      </w:r>
      <w:r w:rsidR="00CE03C7">
        <w:rPr>
          <w:lang w:val="en-US" w:eastAsia="en-AU"/>
        </w:rPr>
        <w:t>compatible considerations for health professionals faced with scar</w:t>
      </w:r>
      <w:r>
        <w:rPr>
          <w:lang w:val="en-US" w:eastAsia="en-AU"/>
        </w:rPr>
        <w:t>c</w:t>
      </w:r>
      <w:r w:rsidR="00CE03C7">
        <w:rPr>
          <w:lang w:val="en-US" w:eastAsia="en-AU"/>
        </w:rPr>
        <w:t xml:space="preserve">e critical care resources. </w:t>
      </w:r>
      <w:r w:rsidR="00784A5E">
        <w:rPr>
          <w:lang w:val="en-US" w:eastAsia="en-AU"/>
        </w:rPr>
        <w:t xml:space="preserve">This includes preventing </w:t>
      </w:r>
      <w:r w:rsidR="00784A5E">
        <w:t xml:space="preserve">overreliance on potentially discriminatory tools such as the clinical frailty scale and diagrams that have the potential to promote bias. </w:t>
      </w:r>
    </w:p>
    <w:p w14:paraId="1F7C45E2" w14:textId="218FDA71" w:rsidR="009C4DE9" w:rsidRDefault="009C4DE9" w:rsidP="00FB618B">
      <w:pPr>
        <w:pStyle w:val="Numberedparagraph"/>
        <w:rPr>
          <w:lang w:val="en-US" w:eastAsia="en-AU"/>
        </w:rPr>
      </w:pPr>
      <w:r>
        <w:rPr>
          <w:lang w:val="en-US" w:eastAsia="en-AU"/>
        </w:rPr>
        <w:t>While we support the Queensland Government’s efforts in this area, we suggest a nationally</w:t>
      </w:r>
      <w:r w:rsidR="00A75413">
        <w:rPr>
          <w:lang w:val="en-US" w:eastAsia="en-AU"/>
        </w:rPr>
        <w:t>-</w:t>
      </w:r>
      <w:r>
        <w:rPr>
          <w:lang w:val="en-US" w:eastAsia="en-AU"/>
        </w:rPr>
        <w:t>consistent framework</w:t>
      </w:r>
      <w:r w:rsidR="00A75413">
        <w:rPr>
          <w:lang w:val="en-US" w:eastAsia="en-AU"/>
        </w:rPr>
        <w:t>,</w:t>
      </w:r>
      <w:r>
        <w:rPr>
          <w:lang w:val="en-US" w:eastAsia="en-AU"/>
        </w:rPr>
        <w:t xml:space="preserve"> such as </w:t>
      </w:r>
      <w:r w:rsidR="00C96CA6">
        <w:rPr>
          <w:lang w:val="en-US" w:eastAsia="en-AU"/>
        </w:rPr>
        <w:t xml:space="preserve">that </w:t>
      </w:r>
      <w:r>
        <w:rPr>
          <w:lang w:val="en-US" w:eastAsia="en-AU"/>
        </w:rPr>
        <w:t>in the United Kingdom</w:t>
      </w:r>
      <w:r w:rsidR="00A75413">
        <w:rPr>
          <w:lang w:val="en-US" w:eastAsia="en-AU"/>
        </w:rPr>
        <w:t>,</w:t>
      </w:r>
      <w:r>
        <w:rPr>
          <w:lang w:val="en-US" w:eastAsia="en-AU"/>
        </w:rPr>
        <w:t xml:space="preserve"> would be a further positive step.</w:t>
      </w:r>
      <w:r w:rsidR="003F748E">
        <w:rPr>
          <w:rStyle w:val="FootnoteReference"/>
          <w:lang w:val="en-US" w:eastAsia="en-AU"/>
        </w:rPr>
        <w:footnoteReference w:id="9"/>
      </w:r>
      <w:r>
        <w:rPr>
          <w:lang w:val="en-US" w:eastAsia="en-AU"/>
        </w:rPr>
        <w:t xml:space="preserve"> </w:t>
      </w:r>
      <w:r w:rsidR="003F748E">
        <w:rPr>
          <w:lang w:val="en-US" w:eastAsia="en-AU"/>
        </w:rPr>
        <w:t>At this time when Australia has been so successful in ‘flattening the curve’, we</w:t>
      </w:r>
      <w:r>
        <w:rPr>
          <w:lang w:val="en-US" w:eastAsia="en-AU"/>
        </w:rPr>
        <w:t xml:space="preserve"> </w:t>
      </w:r>
      <w:r w:rsidR="00A75413">
        <w:rPr>
          <w:lang w:val="en-US" w:eastAsia="en-AU"/>
        </w:rPr>
        <w:t xml:space="preserve">require </w:t>
      </w:r>
      <w:r>
        <w:rPr>
          <w:lang w:val="en-US" w:eastAsia="en-AU"/>
        </w:rPr>
        <w:t xml:space="preserve">capacity </w:t>
      </w:r>
      <w:r w:rsidR="003F748E">
        <w:rPr>
          <w:lang w:val="en-US" w:eastAsia="en-AU"/>
        </w:rPr>
        <w:t xml:space="preserve">across </w:t>
      </w:r>
      <w:r>
        <w:rPr>
          <w:lang w:val="en-US" w:eastAsia="en-AU"/>
        </w:rPr>
        <w:t>the health sector</w:t>
      </w:r>
      <w:r w:rsidR="003F748E">
        <w:rPr>
          <w:lang w:val="en-US" w:eastAsia="en-AU"/>
        </w:rPr>
        <w:t xml:space="preserve"> and broader community</w:t>
      </w:r>
      <w:r>
        <w:rPr>
          <w:lang w:val="en-US" w:eastAsia="en-AU"/>
        </w:rPr>
        <w:t xml:space="preserve"> to</w:t>
      </w:r>
      <w:r w:rsidR="003F748E">
        <w:rPr>
          <w:lang w:val="en-US" w:eastAsia="en-AU"/>
        </w:rPr>
        <w:t xml:space="preserve"> develop such guidance. It would</w:t>
      </w:r>
      <w:r>
        <w:rPr>
          <w:lang w:val="en-US" w:eastAsia="en-AU"/>
        </w:rPr>
        <w:t xml:space="preserve"> provide some certainty for health professionals and the community about how </w:t>
      </w:r>
      <w:r w:rsidR="003F748E">
        <w:rPr>
          <w:lang w:val="en-US" w:eastAsia="en-AU"/>
        </w:rPr>
        <w:t>critical decisions will be made</w:t>
      </w:r>
      <w:r w:rsidR="00A75413">
        <w:rPr>
          <w:lang w:val="en-US" w:eastAsia="en-AU"/>
        </w:rPr>
        <w:t>,</w:t>
      </w:r>
      <w:r w:rsidR="003F748E">
        <w:rPr>
          <w:lang w:val="en-US" w:eastAsia="en-AU"/>
        </w:rPr>
        <w:t xml:space="preserve"> </w:t>
      </w:r>
      <w:r w:rsidR="00A75413">
        <w:rPr>
          <w:lang w:val="en-US" w:eastAsia="en-AU"/>
        </w:rPr>
        <w:t xml:space="preserve">in the event of dealing with a </w:t>
      </w:r>
      <w:r w:rsidR="00CE03C7">
        <w:rPr>
          <w:lang w:val="en-US" w:eastAsia="en-AU"/>
        </w:rPr>
        <w:t xml:space="preserve">scarcity </w:t>
      </w:r>
      <w:r w:rsidR="00A75413">
        <w:rPr>
          <w:lang w:val="en-US" w:eastAsia="en-AU"/>
        </w:rPr>
        <w:t>of emergency care</w:t>
      </w:r>
      <w:r w:rsidR="0034799F">
        <w:rPr>
          <w:lang w:val="en-US" w:eastAsia="en-AU"/>
        </w:rPr>
        <w:t xml:space="preserve"> facilities</w:t>
      </w:r>
      <w:r w:rsidR="00C96CA6">
        <w:rPr>
          <w:lang w:val="en-US" w:eastAsia="en-AU"/>
        </w:rPr>
        <w:t>, as has been</w:t>
      </w:r>
      <w:r w:rsidR="00A75413">
        <w:rPr>
          <w:lang w:val="en-US" w:eastAsia="en-AU"/>
        </w:rPr>
        <w:t xml:space="preserve"> </w:t>
      </w:r>
      <w:r w:rsidR="00CE03C7">
        <w:rPr>
          <w:lang w:val="en-US" w:eastAsia="en-AU"/>
        </w:rPr>
        <w:t xml:space="preserve">faced by other countries. </w:t>
      </w:r>
      <w:r w:rsidR="003F748E">
        <w:rPr>
          <w:lang w:val="en-US" w:eastAsia="en-AU"/>
        </w:rPr>
        <w:t xml:space="preserve"> </w:t>
      </w:r>
    </w:p>
    <w:p w14:paraId="5350BF7C" w14:textId="6811A493" w:rsidR="00D32451" w:rsidRDefault="00D32451" w:rsidP="00D32451">
      <w:pPr>
        <w:pStyle w:val="Heading1"/>
      </w:pPr>
      <w:bookmarkStart w:id="7" w:name="_Toc41562981"/>
      <w:r>
        <w:lastRenderedPageBreak/>
        <w:t>Conclusion</w:t>
      </w:r>
      <w:bookmarkEnd w:id="7"/>
    </w:p>
    <w:p w14:paraId="0F4B7505" w14:textId="769E11F5" w:rsidR="00F74511" w:rsidRDefault="00F74511" w:rsidP="00F74511">
      <w:pPr>
        <w:pStyle w:val="Numberedparagraph"/>
      </w:pPr>
      <w:r>
        <w:t>Thank you for the opportunity to make a submission to this important Inquiry</w:t>
      </w:r>
      <w:r w:rsidR="00FB62E1">
        <w:t>, which provides an important mechanism to learn from the government response to this pandemic</w:t>
      </w:r>
      <w:r>
        <w:t xml:space="preserve">. </w:t>
      </w:r>
      <w:r w:rsidR="00327126">
        <w:t xml:space="preserve">It </w:t>
      </w:r>
      <w:r w:rsidR="00E34109">
        <w:t>is unpredictable when</w:t>
      </w:r>
      <w:r w:rsidR="00327126">
        <w:t xml:space="preserve"> </w:t>
      </w:r>
      <w:r>
        <w:t xml:space="preserve">we </w:t>
      </w:r>
      <w:r w:rsidR="00E34109">
        <w:t xml:space="preserve">may </w:t>
      </w:r>
      <w:r>
        <w:t>find ourselves again having to consider extraordinary restrictions on our lib</w:t>
      </w:r>
      <w:r w:rsidR="00CE03C7">
        <w:t xml:space="preserve">erty and other rights, </w:t>
      </w:r>
      <w:r>
        <w:t>whether in response to a second COVID-19 wave or a future new pandemic.</w:t>
      </w:r>
      <w:r w:rsidR="00C01DCB">
        <w:t xml:space="preserve"> </w:t>
      </w:r>
      <w:r w:rsidR="00E34109">
        <w:t>The learning from this pandemic will help Australia to be best placed to act effectively and appropriately the next time we face such a crisis.</w:t>
      </w:r>
    </w:p>
    <w:p w14:paraId="66344F9C" w14:textId="6BDF2D08" w:rsidR="004418EC" w:rsidRDefault="00F74511" w:rsidP="00D32451">
      <w:pPr>
        <w:pStyle w:val="Numberedparagraph"/>
      </w:pPr>
      <w:r>
        <w:t xml:space="preserve">The Queensland </w:t>
      </w:r>
      <w:r w:rsidRPr="00D32451">
        <w:rPr>
          <w:i/>
        </w:rPr>
        <w:t>Human Rights Act 2019</w:t>
      </w:r>
      <w:r w:rsidR="00901B5A">
        <w:t xml:space="preserve"> has proved an important</w:t>
      </w:r>
      <w:r>
        <w:t xml:space="preserve"> tool to guide policy</w:t>
      </w:r>
      <w:r w:rsidR="00C01DCB">
        <w:t>-</w:t>
      </w:r>
      <w:r>
        <w:t>making, inform critical decisions</w:t>
      </w:r>
      <w:r w:rsidR="00C01DCB">
        <w:t>,</w:t>
      </w:r>
      <w:r>
        <w:t xml:space="preserve"> and assess the impact of restrictions on individ</w:t>
      </w:r>
      <w:r w:rsidR="00CE03C7">
        <w:t xml:space="preserve">uals. </w:t>
      </w:r>
      <w:r w:rsidR="00C01DCB">
        <w:t xml:space="preserve">The Commission </w:t>
      </w:r>
      <w:r>
        <w:t>suggest</w:t>
      </w:r>
      <w:r w:rsidR="00C01DCB">
        <w:t>s</w:t>
      </w:r>
      <w:r>
        <w:t xml:space="preserve"> this demonstrates the need equivalent </w:t>
      </w:r>
      <w:r w:rsidR="00C01DCB">
        <w:t xml:space="preserve">national legislation </w:t>
      </w:r>
      <w:r>
        <w:t xml:space="preserve">to protect the rights of all Australians.  </w:t>
      </w:r>
    </w:p>
    <w:p w14:paraId="1095CA24" w14:textId="2923E5B5" w:rsidR="00E34109" w:rsidRDefault="00E34109" w:rsidP="00D32451">
      <w:pPr>
        <w:pStyle w:val="Numberedparagraph"/>
      </w:pPr>
      <w:r>
        <w:t xml:space="preserve">We </w:t>
      </w:r>
      <w:r w:rsidR="00F05247">
        <w:t>suggest</w:t>
      </w:r>
      <w:r>
        <w:t xml:space="preserve"> the Committee</w:t>
      </w:r>
      <w:r w:rsidR="00F05247">
        <w:t xml:space="preserve"> consider recommendations about</w:t>
      </w:r>
      <w:r>
        <w:t>:</w:t>
      </w:r>
    </w:p>
    <w:p w14:paraId="6B9E5CC9" w14:textId="233E7D12" w:rsidR="00294A3F" w:rsidRDefault="00E34109" w:rsidP="00294A3F">
      <w:pPr>
        <w:pStyle w:val="Numberedparagraph"/>
        <w:numPr>
          <w:ilvl w:val="0"/>
          <w:numId w:val="21"/>
        </w:numPr>
      </w:pPr>
      <w:r>
        <w:t>Recognis</w:t>
      </w:r>
      <w:r w:rsidR="00F05247">
        <w:t>ing</w:t>
      </w:r>
      <w:r>
        <w:t xml:space="preserve"> the benefit of human rights legislation to guide government responses to pandemics such as COVID-19;</w:t>
      </w:r>
    </w:p>
    <w:p w14:paraId="415741A0" w14:textId="29BA13E0" w:rsidR="00294A3F" w:rsidRDefault="00E34109" w:rsidP="00294A3F">
      <w:pPr>
        <w:pStyle w:val="Numberedparagraph"/>
        <w:numPr>
          <w:ilvl w:val="0"/>
          <w:numId w:val="21"/>
        </w:numPr>
      </w:pPr>
      <w:r>
        <w:t>Support</w:t>
      </w:r>
      <w:r w:rsidR="00F05247">
        <w:t>ing</w:t>
      </w:r>
      <w:r>
        <w:t xml:space="preserve"> a </w:t>
      </w:r>
      <w:r w:rsidR="005472F8">
        <w:t xml:space="preserve">positive </w:t>
      </w:r>
      <w:r>
        <w:t xml:space="preserve">national campaign to protect </w:t>
      </w:r>
      <w:r w:rsidR="005472F8">
        <w:t xml:space="preserve">various </w:t>
      </w:r>
      <w:r w:rsidR="005472F8" w:rsidRPr="00B41313">
        <w:t xml:space="preserve">groups of the </w:t>
      </w:r>
      <w:r w:rsidR="005472F8">
        <w:t xml:space="preserve">Australian </w:t>
      </w:r>
      <w:r w:rsidR="005472F8" w:rsidRPr="00B41313">
        <w:t>community who exp</w:t>
      </w:r>
      <w:r w:rsidR="005472F8">
        <w:t xml:space="preserve">erience more frequent racial </w:t>
      </w:r>
      <w:r w:rsidR="005472F8" w:rsidRPr="00B41313">
        <w:t>hatred, abuse and vilification</w:t>
      </w:r>
      <w:r>
        <w:t>, and</w:t>
      </w:r>
      <w:r w:rsidR="005472F8" w:rsidRPr="005472F8">
        <w:t xml:space="preserve"> </w:t>
      </w:r>
      <w:r w:rsidR="005472F8">
        <w:t xml:space="preserve">to </w:t>
      </w:r>
      <w:r w:rsidR="005472F8" w:rsidRPr="00B41313">
        <w:t>enhance the ability of the community to remain cohesive during and after critical events that can give rise to racial vilification</w:t>
      </w:r>
      <w:r w:rsidR="00901B5A">
        <w:t>; and</w:t>
      </w:r>
    </w:p>
    <w:p w14:paraId="4FF04400" w14:textId="3C812438" w:rsidR="00E34109" w:rsidRDefault="00E34109" w:rsidP="00294A3F">
      <w:pPr>
        <w:pStyle w:val="Numberedparagraph"/>
        <w:numPr>
          <w:ilvl w:val="0"/>
          <w:numId w:val="21"/>
        </w:numPr>
      </w:pPr>
      <w:r>
        <w:t>Support</w:t>
      </w:r>
      <w:r w:rsidR="00F05247">
        <w:t>ing</w:t>
      </w:r>
      <w:r>
        <w:t xml:space="preserve"> </w:t>
      </w:r>
      <w:r w:rsidR="005472F8">
        <w:t xml:space="preserve">the endorsement of </w:t>
      </w:r>
      <w:r>
        <w:t xml:space="preserve">a nationally consistent, ethical framework for allocating </w:t>
      </w:r>
      <w:r w:rsidR="005472F8">
        <w:t xml:space="preserve">scarce emergency care medical </w:t>
      </w:r>
      <w:r>
        <w:t xml:space="preserve">resources (should the scarcity of critical care </w:t>
      </w:r>
      <w:r w:rsidR="005472F8">
        <w:t xml:space="preserve">resources </w:t>
      </w:r>
      <w:r>
        <w:t xml:space="preserve">seen elsewhere </w:t>
      </w:r>
      <w:r w:rsidR="005472F8">
        <w:t xml:space="preserve">in the world </w:t>
      </w:r>
      <w:r>
        <w:t>occur in Australia).</w:t>
      </w:r>
    </w:p>
    <w:p w14:paraId="51FD8956" w14:textId="4870148D" w:rsidR="00D32451" w:rsidRDefault="00D32451" w:rsidP="00F05247">
      <w:pPr>
        <w:pStyle w:val="Numberedparagraph"/>
        <w:numPr>
          <w:ilvl w:val="0"/>
          <w:numId w:val="0"/>
        </w:numPr>
        <w:ind w:left="1134"/>
      </w:pPr>
      <w:r>
        <w:t xml:space="preserve"> </w:t>
      </w:r>
    </w:p>
    <w:sectPr w:rsidR="00D32451" w:rsidSect="00CB0BBF">
      <w:headerReference w:type="default" r:id="rId12"/>
      <w:headerReference w:type="first" r:id="rId13"/>
      <w:footerReference w:type="first" r:id="rId14"/>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FB906" w14:textId="77777777" w:rsidR="00877983" w:rsidRDefault="00877983" w:rsidP="0034134D">
      <w:r>
        <w:separator/>
      </w:r>
    </w:p>
  </w:endnote>
  <w:endnote w:type="continuationSeparator" w:id="0">
    <w:p w14:paraId="0D678432" w14:textId="77777777" w:rsidR="00877983" w:rsidRDefault="00877983"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7DE03" w14:textId="44B08E0E" w:rsidR="00877983" w:rsidRPr="00260847" w:rsidRDefault="00877983"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2F6B54BB" wp14:editId="439E5B3B">
          <wp:extent cx="5296278" cy="465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20"/>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20"/>
      </w:rPr>
      <w:fldChar w:fldCharType="begin"/>
    </w:r>
    <w:r w:rsidRPr="00260847">
      <w:rPr>
        <w:rFonts w:ascii="Arial" w:hAnsi="Arial" w:cs="Arial"/>
        <w:color w:val="404040" w:themeColor="text1" w:themeTint="BF"/>
        <w:sz w:val="16"/>
        <w:szCs w:val="20"/>
      </w:rPr>
      <w:instrText xml:space="preserve"> PAGE   \* MERGEFORMAT </w:instrText>
    </w:r>
    <w:r w:rsidRPr="00260847">
      <w:rPr>
        <w:rFonts w:ascii="Arial" w:hAnsi="Arial" w:cs="Arial"/>
        <w:color w:val="404040" w:themeColor="text1" w:themeTint="BF"/>
        <w:sz w:val="16"/>
        <w:szCs w:val="20"/>
      </w:rPr>
      <w:fldChar w:fldCharType="separate"/>
    </w:r>
    <w:r w:rsidR="00546049">
      <w:rPr>
        <w:rFonts w:ascii="Arial" w:hAnsi="Arial" w:cs="Arial"/>
        <w:noProof/>
        <w:color w:val="404040" w:themeColor="text1" w:themeTint="BF"/>
        <w:sz w:val="16"/>
        <w:szCs w:val="20"/>
      </w:rPr>
      <w:t>9</w:t>
    </w:r>
    <w:r w:rsidRPr="00260847">
      <w:rPr>
        <w:rFonts w:ascii="Arial" w:hAnsi="Arial"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A54A" w14:textId="77777777" w:rsidR="00877983" w:rsidRDefault="00877983" w:rsidP="000731D3">
    <w:pPr>
      <w:pStyle w:val="Footer"/>
      <w:pBdr>
        <w:top w:val="single" w:sz="4" w:space="1" w:color="auto"/>
      </w:pBdr>
      <w:jc w:val="right"/>
      <w:rPr>
        <w:rFonts w:ascii="Arial" w:hAnsi="Arial" w:cs="Arial"/>
        <w:sz w:val="20"/>
        <w:szCs w:val="20"/>
      </w:rPr>
    </w:pPr>
  </w:p>
  <w:p w14:paraId="262DE4DF" w14:textId="77777777" w:rsidR="00877983" w:rsidRPr="004A2375" w:rsidRDefault="00877983"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F3D66" w14:textId="77777777" w:rsidR="00877983" w:rsidRDefault="00877983" w:rsidP="0034134D">
      <w:r>
        <w:separator/>
      </w:r>
    </w:p>
  </w:footnote>
  <w:footnote w:type="continuationSeparator" w:id="0">
    <w:p w14:paraId="00B35150" w14:textId="77777777" w:rsidR="00877983" w:rsidRDefault="00877983" w:rsidP="0034134D">
      <w:r>
        <w:continuationSeparator/>
      </w:r>
    </w:p>
  </w:footnote>
  <w:footnote w:id="1">
    <w:p w14:paraId="6C128332" w14:textId="08DD5465" w:rsidR="00877983" w:rsidRPr="00585211" w:rsidRDefault="00877983">
      <w:pPr>
        <w:pStyle w:val="FootnoteText"/>
        <w:rPr>
          <w:lang w:val="en-US"/>
        </w:rPr>
      </w:pPr>
      <w:r>
        <w:rPr>
          <w:rStyle w:val="FootnoteReference"/>
        </w:rPr>
        <w:footnoteRef/>
      </w:r>
      <w:r>
        <w:t xml:space="preserve"> </w:t>
      </w:r>
      <w:r w:rsidRPr="00585211">
        <w:rPr>
          <w:i/>
        </w:rPr>
        <w:t>COVID-19 Emergency Response Act 2020</w:t>
      </w:r>
      <w:r>
        <w:rPr>
          <w:i/>
        </w:rPr>
        <w:t xml:space="preserve"> </w:t>
      </w:r>
      <w:r>
        <w:t>(Qld).</w:t>
      </w:r>
    </w:p>
  </w:footnote>
  <w:footnote w:id="2">
    <w:p w14:paraId="15775935" w14:textId="37CB0403" w:rsidR="00877983" w:rsidRPr="00585211" w:rsidRDefault="00877983">
      <w:pPr>
        <w:pStyle w:val="FootnoteText"/>
        <w:rPr>
          <w:lang w:val="en-US"/>
        </w:rPr>
      </w:pPr>
      <w:r>
        <w:rPr>
          <w:rStyle w:val="FootnoteReference"/>
        </w:rPr>
        <w:footnoteRef/>
      </w:r>
      <w:r>
        <w:t xml:space="preserve"> </w:t>
      </w:r>
      <w:r>
        <w:rPr>
          <w:i/>
        </w:rPr>
        <w:t xml:space="preserve">Human Rights Act 2019 </w:t>
      </w:r>
      <w:r>
        <w:t xml:space="preserve">(Qld) </w:t>
      </w:r>
      <w:r>
        <w:rPr>
          <w:lang w:val="en-US"/>
        </w:rPr>
        <w:t>s 41.</w:t>
      </w:r>
    </w:p>
  </w:footnote>
  <w:footnote w:id="3">
    <w:p w14:paraId="6E9DD03D" w14:textId="77777777" w:rsidR="00877983" w:rsidRDefault="00877983" w:rsidP="00D32451">
      <w:pPr>
        <w:pStyle w:val="FootnoteText"/>
        <w:rPr>
          <w:lang w:val="en-US"/>
        </w:rPr>
      </w:pPr>
      <w:r>
        <w:rPr>
          <w:rStyle w:val="FootnoteReference"/>
        </w:rPr>
        <w:footnoteRef/>
      </w:r>
      <w:r>
        <w:t xml:space="preserve"> </w:t>
      </w:r>
      <w:r>
        <w:rPr>
          <w:i/>
        </w:rPr>
        <w:t xml:space="preserve">Human Rights Act 2019 </w:t>
      </w:r>
      <w:r>
        <w:t xml:space="preserve">(Qld) </w:t>
      </w:r>
      <w:r>
        <w:rPr>
          <w:lang w:val="en-US"/>
        </w:rPr>
        <w:t>s 58</w:t>
      </w:r>
    </w:p>
  </w:footnote>
  <w:footnote w:id="4">
    <w:p w14:paraId="10225172" w14:textId="77777777" w:rsidR="00877983" w:rsidRPr="003B7EB1" w:rsidRDefault="00877983" w:rsidP="00C0422D">
      <w:pPr>
        <w:pStyle w:val="FootnoteText"/>
        <w:rPr>
          <w:lang w:val="en-US"/>
        </w:rPr>
      </w:pPr>
      <w:r>
        <w:rPr>
          <w:rStyle w:val="FootnoteReference"/>
        </w:rPr>
        <w:footnoteRef/>
      </w:r>
      <w:r>
        <w:t xml:space="preserve"> </w:t>
      </w:r>
      <w:r w:rsidRPr="00715BE5">
        <w:rPr>
          <w:i/>
        </w:rPr>
        <w:t>Biosecurity (Human Biosecurity Emergency) (Human Coronavirus with Pandemic Potential) (Emergency Requirements for Remote Communities) Determination 2020</w:t>
      </w:r>
    </w:p>
  </w:footnote>
  <w:footnote w:id="5">
    <w:p w14:paraId="70FEA169" w14:textId="00F45FBE" w:rsidR="00877983" w:rsidRPr="00715BE5" w:rsidRDefault="00877983" w:rsidP="00C0422D">
      <w:pPr>
        <w:pStyle w:val="FootnoteText"/>
        <w:rPr>
          <w:lang w:val="en-US"/>
        </w:rPr>
      </w:pPr>
      <w:r>
        <w:rPr>
          <w:rStyle w:val="FootnoteReference"/>
        </w:rPr>
        <w:footnoteRef/>
      </w:r>
      <w:r>
        <w:t xml:space="preserve"> </w:t>
      </w:r>
      <w:r w:rsidRPr="00715BE5">
        <w:rPr>
          <w:i/>
        </w:rPr>
        <w:t>Restricted Access to Designated Areas Direction (No.3)</w:t>
      </w:r>
      <w:r>
        <w:t xml:space="preserve"> made under the </w:t>
      </w:r>
      <w:r>
        <w:rPr>
          <w:i/>
        </w:rPr>
        <w:t xml:space="preserve">Public Health Act 2005 </w:t>
      </w:r>
      <w:r>
        <w:t>(Qld)</w:t>
      </w:r>
    </w:p>
  </w:footnote>
  <w:footnote w:id="6">
    <w:p w14:paraId="0B76D2E1" w14:textId="430C74A5" w:rsidR="00877983" w:rsidRPr="0080180F" w:rsidRDefault="00877983">
      <w:pPr>
        <w:pStyle w:val="FootnoteText"/>
        <w:rPr>
          <w:lang w:val="en-US"/>
        </w:rPr>
      </w:pPr>
      <w:r>
        <w:rPr>
          <w:rStyle w:val="FootnoteReference"/>
        </w:rPr>
        <w:footnoteRef/>
      </w:r>
      <w:r>
        <w:t xml:space="preserve"> </w:t>
      </w:r>
      <w:r w:rsidRPr="00715BE5">
        <w:rPr>
          <w:i/>
        </w:rPr>
        <w:t>Biosecurity (Human Biosecurity Emergency) (Human Coronavirus with Pandemic Potential) (Essential Goods) Determination 2020</w:t>
      </w:r>
    </w:p>
  </w:footnote>
  <w:footnote w:id="7">
    <w:p w14:paraId="329EED65" w14:textId="49D0479D" w:rsidR="00877983" w:rsidRPr="00FB618B" w:rsidRDefault="00877983">
      <w:pPr>
        <w:pStyle w:val="FootnoteText"/>
        <w:rPr>
          <w:lang w:val="en-US"/>
        </w:rPr>
      </w:pPr>
      <w:r>
        <w:rPr>
          <w:rStyle w:val="FootnoteReference"/>
        </w:rPr>
        <w:footnoteRef/>
      </w:r>
      <w:r>
        <w:t xml:space="preserve"> ABC News, ‘</w:t>
      </w:r>
      <w:r w:rsidRPr="0086569A">
        <w:t>COVID-19 has prompted a spike in racist attacks. We need to start tracking them better</w:t>
      </w:r>
      <w:r>
        <w:t xml:space="preserve">’, </w:t>
      </w:r>
      <w:r>
        <w:rPr>
          <w:i/>
        </w:rPr>
        <w:t xml:space="preserve">ABC News Analysis, </w:t>
      </w:r>
      <w:r>
        <w:t>9 May 2020 (Chin Tan) &lt;</w:t>
      </w:r>
      <w:hyperlink r:id="rId1" w:history="1">
        <w:r w:rsidRPr="00C42FE7">
          <w:rPr>
            <w:rStyle w:val="Hyperlink"/>
          </w:rPr>
          <w:t>https://www.abc.net.au/news/2020-05-09/coronavirus-covid-19-racist-attacks-data-collection-strategy/12229162?nw=0</w:t>
        </w:r>
      </w:hyperlink>
      <w:r>
        <w:rPr>
          <w:rStyle w:val="Hyperlink"/>
        </w:rPr>
        <w:t>&gt;</w:t>
      </w:r>
      <w:r>
        <w:t xml:space="preserve"> </w:t>
      </w:r>
    </w:p>
  </w:footnote>
  <w:footnote w:id="8">
    <w:p w14:paraId="1A2E1C7F" w14:textId="514DB2BD" w:rsidR="00877983" w:rsidRPr="00AA3551" w:rsidRDefault="00877983">
      <w:pPr>
        <w:pStyle w:val="FootnoteText"/>
        <w:rPr>
          <w:lang w:val="en-US"/>
        </w:rPr>
      </w:pPr>
      <w:r>
        <w:rPr>
          <w:rStyle w:val="FootnoteReference"/>
        </w:rPr>
        <w:footnoteRef/>
      </w:r>
      <w:r>
        <w:t xml:space="preserve"> Queensland Health, </w:t>
      </w:r>
      <w:r w:rsidRPr="00AA3551">
        <w:rPr>
          <w:i/>
        </w:rPr>
        <w:t>Queensland ethical framework to guide clinical decision making in the COVID-19 pandemic</w:t>
      </w:r>
      <w:r>
        <w:rPr>
          <w:i/>
        </w:rPr>
        <w:t xml:space="preserve"> </w:t>
      </w:r>
      <w:r>
        <w:t>(2020) &lt;</w:t>
      </w:r>
      <w:hyperlink r:id="rId2" w:history="1">
        <w:r>
          <w:rPr>
            <w:rStyle w:val="Hyperlink"/>
          </w:rPr>
          <w:t>https://www.health.qld.gov.au/__data/assets/pdf_file/0025/955303/covid-19-ethical-framework.pdf</w:t>
        </w:r>
      </w:hyperlink>
      <w:r>
        <w:t xml:space="preserve">&gt; </w:t>
      </w:r>
    </w:p>
  </w:footnote>
  <w:footnote w:id="9">
    <w:p w14:paraId="347AD298" w14:textId="66B11441" w:rsidR="00877983" w:rsidRPr="00AA3551" w:rsidRDefault="00877983">
      <w:pPr>
        <w:pStyle w:val="FootnoteText"/>
        <w:rPr>
          <w:lang w:val="en-US"/>
        </w:rPr>
      </w:pPr>
      <w:r>
        <w:rPr>
          <w:rStyle w:val="FootnoteReference"/>
        </w:rPr>
        <w:footnoteRef/>
      </w:r>
      <w:r>
        <w:t xml:space="preserve"> National Institute for Health and Care Excellence (UK), </w:t>
      </w:r>
      <w:r w:rsidRPr="00AA3551">
        <w:rPr>
          <w:i/>
        </w:rPr>
        <w:t>COVID-19 rapid guideline: critical care in adults</w:t>
      </w:r>
      <w:r>
        <w:rPr>
          <w:i/>
        </w:rPr>
        <w:t xml:space="preserve"> </w:t>
      </w:r>
      <w:r>
        <w:t>(2020) &lt;</w:t>
      </w:r>
      <w:hyperlink r:id="rId3" w:history="1">
        <w:r>
          <w:rPr>
            <w:rStyle w:val="Hyperlink"/>
          </w:rPr>
          <w:t>https://www.nice.org.uk/guidance/ng159/chapter/4-Clinical-decision-making</w:t>
        </w:r>
      </w:hyperlink>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5A359" w14:textId="77777777" w:rsidR="00877983" w:rsidRDefault="00877983" w:rsidP="00260847">
    <w:pPr>
      <w:pStyle w:val="Header"/>
      <w:tabs>
        <w:tab w:val="clear" w:pos="4513"/>
        <w:tab w:val="clear" w:pos="9026"/>
      </w:tabs>
      <w:spacing w:before="240"/>
    </w:pPr>
  </w:p>
  <w:p w14:paraId="71584454" w14:textId="77777777" w:rsidR="00877983" w:rsidRDefault="00877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274EE" w14:textId="77777777" w:rsidR="00877983" w:rsidRPr="000731D3" w:rsidRDefault="00877983"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AB17" w14:textId="77777777" w:rsidR="00877983" w:rsidRPr="000731D3" w:rsidRDefault="00877983" w:rsidP="000731D3">
    <w:pPr>
      <w:pStyle w:val="Header"/>
      <w:rPr>
        <w:rFonts w:ascii="Arial" w:hAnsi="Arial" w:cs="Arial"/>
        <w:color w:val="365F91" w:themeColor="accent1" w:themeShade="BF"/>
      </w:rPr>
    </w:pPr>
    <w:r>
      <w:rPr>
        <w:rFonts w:ascii="Arial" w:hAnsi="Arial" w:cs="Arial"/>
        <w:color w:val="365F91" w:themeColor="accent1" w:themeShade="BF"/>
      </w:rPr>
      <w:t>[title]</w:t>
    </w:r>
  </w:p>
  <w:p w14:paraId="00F461AF" w14:textId="77777777" w:rsidR="00877983" w:rsidRPr="000731D3" w:rsidRDefault="00877983" w:rsidP="000731D3">
    <w:pPr>
      <w:pStyle w:val="Header"/>
      <w:pBdr>
        <w:bottom w:val="single" w:sz="4" w:space="1" w:color="auto"/>
      </w:pBdr>
      <w:rPr>
        <w:rFonts w:ascii="Arial" w:hAnsi="Arial" w:cs="Arial"/>
        <w:sz w:val="20"/>
        <w:szCs w:val="20"/>
      </w:rPr>
    </w:pPr>
  </w:p>
  <w:p w14:paraId="3A541F43" w14:textId="77777777" w:rsidR="00877983" w:rsidRPr="000731D3" w:rsidRDefault="00877983"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2F504DB4"/>
    <w:multiLevelType w:val="hybridMultilevel"/>
    <w:tmpl w:val="278A1DD8"/>
    <w:lvl w:ilvl="0" w:tplc="85C455E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45563A75"/>
    <w:multiLevelType w:val="multilevel"/>
    <w:tmpl w:val="9CBA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9"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2C10BF"/>
    <w:multiLevelType w:val="multilevel"/>
    <w:tmpl w:val="54000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5"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7"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1"/>
  </w:num>
  <w:num w:numId="2">
    <w:abstractNumId w:val="5"/>
  </w:num>
  <w:num w:numId="3">
    <w:abstractNumId w:val="16"/>
  </w:num>
  <w:num w:numId="4">
    <w:abstractNumId w:val="6"/>
  </w:num>
  <w:num w:numId="5">
    <w:abstractNumId w:val="9"/>
  </w:num>
  <w:num w:numId="6">
    <w:abstractNumId w:val="12"/>
  </w:num>
  <w:num w:numId="7">
    <w:abstractNumId w:val="0"/>
  </w:num>
  <w:num w:numId="8">
    <w:abstractNumId w:val="7"/>
  </w:num>
  <w:num w:numId="9">
    <w:abstractNumId w:val="15"/>
  </w:num>
  <w:num w:numId="10">
    <w:abstractNumId w:val="17"/>
  </w:num>
  <w:num w:numId="11">
    <w:abstractNumId w:val="13"/>
  </w:num>
  <w:num w:numId="12">
    <w:abstractNumId w:val="8"/>
  </w:num>
  <w:num w:numId="13">
    <w:abstractNumId w:val="1"/>
  </w:num>
  <w:num w:numId="14">
    <w:abstractNumId w:val="2"/>
  </w:num>
  <w:num w:numId="15">
    <w:abstractNumId w:val="6"/>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4"/>
  </w:num>
  <w:num w:numId="17">
    <w:abstractNumId w:val="10"/>
  </w:num>
  <w:num w:numId="18">
    <w:abstractNumId w:val="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2D"/>
    <w:rsid w:val="00002F05"/>
    <w:rsid w:val="0002351E"/>
    <w:rsid w:val="00025027"/>
    <w:rsid w:val="00041E58"/>
    <w:rsid w:val="00044A7F"/>
    <w:rsid w:val="00045B46"/>
    <w:rsid w:val="00047983"/>
    <w:rsid w:val="00054120"/>
    <w:rsid w:val="00056960"/>
    <w:rsid w:val="00057023"/>
    <w:rsid w:val="00057D21"/>
    <w:rsid w:val="00063EDF"/>
    <w:rsid w:val="00065456"/>
    <w:rsid w:val="00072CE6"/>
    <w:rsid w:val="000731D3"/>
    <w:rsid w:val="00075AB0"/>
    <w:rsid w:val="0007682B"/>
    <w:rsid w:val="0008189D"/>
    <w:rsid w:val="00095FBB"/>
    <w:rsid w:val="00096517"/>
    <w:rsid w:val="000A201B"/>
    <w:rsid w:val="000A557A"/>
    <w:rsid w:val="000B6C72"/>
    <w:rsid w:val="000B794F"/>
    <w:rsid w:val="000D49A5"/>
    <w:rsid w:val="000E1039"/>
    <w:rsid w:val="000F0BC1"/>
    <w:rsid w:val="000F4098"/>
    <w:rsid w:val="000F7FD1"/>
    <w:rsid w:val="00102FBA"/>
    <w:rsid w:val="00105217"/>
    <w:rsid w:val="001066BD"/>
    <w:rsid w:val="001153BA"/>
    <w:rsid w:val="00121E6F"/>
    <w:rsid w:val="00124A35"/>
    <w:rsid w:val="001304EE"/>
    <w:rsid w:val="00145E1E"/>
    <w:rsid w:val="00151A6C"/>
    <w:rsid w:val="00154906"/>
    <w:rsid w:val="001825CB"/>
    <w:rsid w:val="00182865"/>
    <w:rsid w:val="00182E06"/>
    <w:rsid w:val="00187779"/>
    <w:rsid w:val="001916E4"/>
    <w:rsid w:val="0019203A"/>
    <w:rsid w:val="00195E9F"/>
    <w:rsid w:val="001A12BD"/>
    <w:rsid w:val="001B1A27"/>
    <w:rsid w:val="001B5470"/>
    <w:rsid w:val="001B57C6"/>
    <w:rsid w:val="001C01FD"/>
    <w:rsid w:val="001C127F"/>
    <w:rsid w:val="001D50C0"/>
    <w:rsid w:val="001D7758"/>
    <w:rsid w:val="001E3A26"/>
    <w:rsid w:val="001F00CA"/>
    <w:rsid w:val="001F3F19"/>
    <w:rsid w:val="001F5F4B"/>
    <w:rsid w:val="0021451D"/>
    <w:rsid w:val="00227178"/>
    <w:rsid w:val="00233F52"/>
    <w:rsid w:val="00235527"/>
    <w:rsid w:val="00240EF9"/>
    <w:rsid w:val="0024194E"/>
    <w:rsid w:val="00253B42"/>
    <w:rsid w:val="00260847"/>
    <w:rsid w:val="00265FCB"/>
    <w:rsid w:val="00283D88"/>
    <w:rsid w:val="00284FF0"/>
    <w:rsid w:val="002917E4"/>
    <w:rsid w:val="00292C50"/>
    <w:rsid w:val="00294987"/>
    <w:rsid w:val="00294A3F"/>
    <w:rsid w:val="002A03F1"/>
    <w:rsid w:val="002B65D4"/>
    <w:rsid w:val="002D46A2"/>
    <w:rsid w:val="002D6858"/>
    <w:rsid w:val="002E417E"/>
    <w:rsid w:val="002E433B"/>
    <w:rsid w:val="00310CB2"/>
    <w:rsid w:val="00312C2A"/>
    <w:rsid w:val="003204FA"/>
    <w:rsid w:val="00321445"/>
    <w:rsid w:val="0032516B"/>
    <w:rsid w:val="00327126"/>
    <w:rsid w:val="0033216F"/>
    <w:rsid w:val="0034134D"/>
    <w:rsid w:val="00344F59"/>
    <w:rsid w:val="0034799F"/>
    <w:rsid w:val="00350D39"/>
    <w:rsid w:val="0035654D"/>
    <w:rsid w:val="00370336"/>
    <w:rsid w:val="003847F0"/>
    <w:rsid w:val="00392522"/>
    <w:rsid w:val="00394846"/>
    <w:rsid w:val="00395332"/>
    <w:rsid w:val="00396233"/>
    <w:rsid w:val="003A666E"/>
    <w:rsid w:val="003B197E"/>
    <w:rsid w:val="003B7EB1"/>
    <w:rsid w:val="003C2709"/>
    <w:rsid w:val="003C443B"/>
    <w:rsid w:val="003C6A61"/>
    <w:rsid w:val="003D3AAC"/>
    <w:rsid w:val="003D625C"/>
    <w:rsid w:val="003E3402"/>
    <w:rsid w:val="003F329F"/>
    <w:rsid w:val="003F6F7E"/>
    <w:rsid w:val="003F748E"/>
    <w:rsid w:val="00416BBC"/>
    <w:rsid w:val="00421429"/>
    <w:rsid w:val="004257D1"/>
    <w:rsid w:val="00431D51"/>
    <w:rsid w:val="004418EC"/>
    <w:rsid w:val="004424F3"/>
    <w:rsid w:val="00451416"/>
    <w:rsid w:val="004538FC"/>
    <w:rsid w:val="0045765D"/>
    <w:rsid w:val="00463BEF"/>
    <w:rsid w:val="00466216"/>
    <w:rsid w:val="004A1A9C"/>
    <w:rsid w:val="004A2375"/>
    <w:rsid w:val="004A6F71"/>
    <w:rsid w:val="004B0599"/>
    <w:rsid w:val="004B71ED"/>
    <w:rsid w:val="004C17FC"/>
    <w:rsid w:val="004C2549"/>
    <w:rsid w:val="004C2886"/>
    <w:rsid w:val="004C2FF8"/>
    <w:rsid w:val="004E3D6B"/>
    <w:rsid w:val="004E58C1"/>
    <w:rsid w:val="004F2CB8"/>
    <w:rsid w:val="004F4CB1"/>
    <w:rsid w:val="004F7D72"/>
    <w:rsid w:val="005009D5"/>
    <w:rsid w:val="00502924"/>
    <w:rsid w:val="00506A9A"/>
    <w:rsid w:val="00516283"/>
    <w:rsid w:val="00517D74"/>
    <w:rsid w:val="00546049"/>
    <w:rsid w:val="005472F8"/>
    <w:rsid w:val="00580083"/>
    <w:rsid w:val="00585211"/>
    <w:rsid w:val="005916EB"/>
    <w:rsid w:val="00595BAF"/>
    <w:rsid w:val="005B022D"/>
    <w:rsid w:val="005B404C"/>
    <w:rsid w:val="005B7E50"/>
    <w:rsid w:val="005C3FB8"/>
    <w:rsid w:val="005D5A16"/>
    <w:rsid w:val="005E452A"/>
    <w:rsid w:val="005E5159"/>
    <w:rsid w:val="005F0F47"/>
    <w:rsid w:val="006050E7"/>
    <w:rsid w:val="00617E4F"/>
    <w:rsid w:val="006201CC"/>
    <w:rsid w:val="00627334"/>
    <w:rsid w:val="006335BE"/>
    <w:rsid w:val="00634DFA"/>
    <w:rsid w:val="00644E93"/>
    <w:rsid w:val="006466AD"/>
    <w:rsid w:val="00654F20"/>
    <w:rsid w:val="006769BF"/>
    <w:rsid w:val="00684439"/>
    <w:rsid w:val="00686AE8"/>
    <w:rsid w:val="00694221"/>
    <w:rsid w:val="006A39A0"/>
    <w:rsid w:val="006A7B3A"/>
    <w:rsid w:val="006D0CD6"/>
    <w:rsid w:val="006D389A"/>
    <w:rsid w:val="006E7ACA"/>
    <w:rsid w:val="006F0979"/>
    <w:rsid w:val="006F1EFD"/>
    <w:rsid w:val="006F1F8D"/>
    <w:rsid w:val="00701BE5"/>
    <w:rsid w:val="007069A1"/>
    <w:rsid w:val="00706A05"/>
    <w:rsid w:val="00715BE5"/>
    <w:rsid w:val="00730224"/>
    <w:rsid w:val="00734D71"/>
    <w:rsid w:val="00735BA1"/>
    <w:rsid w:val="0075068E"/>
    <w:rsid w:val="00751AE0"/>
    <w:rsid w:val="00752094"/>
    <w:rsid w:val="007619FB"/>
    <w:rsid w:val="00763604"/>
    <w:rsid w:val="00764AED"/>
    <w:rsid w:val="00772756"/>
    <w:rsid w:val="00773E9D"/>
    <w:rsid w:val="00784A5E"/>
    <w:rsid w:val="0078501A"/>
    <w:rsid w:val="0079527C"/>
    <w:rsid w:val="007A45D7"/>
    <w:rsid w:val="007B538A"/>
    <w:rsid w:val="007C47D8"/>
    <w:rsid w:val="007C510E"/>
    <w:rsid w:val="007C62E7"/>
    <w:rsid w:val="007D0694"/>
    <w:rsid w:val="007D0AF8"/>
    <w:rsid w:val="007F4F44"/>
    <w:rsid w:val="0080180F"/>
    <w:rsid w:val="0080290B"/>
    <w:rsid w:val="008037F9"/>
    <w:rsid w:val="00805768"/>
    <w:rsid w:val="008101EC"/>
    <w:rsid w:val="008161E7"/>
    <w:rsid w:val="00827429"/>
    <w:rsid w:val="008470F3"/>
    <w:rsid w:val="00850155"/>
    <w:rsid w:val="0086387C"/>
    <w:rsid w:val="0086439D"/>
    <w:rsid w:val="0086569A"/>
    <w:rsid w:val="00867AFD"/>
    <w:rsid w:val="00871324"/>
    <w:rsid w:val="00877983"/>
    <w:rsid w:val="0089208D"/>
    <w:rsid w:val="008930A1"/>
    <w:rsid w:val="008970A8"/>
    <w:rsid w:val="008B0352"/>
    <w:rsid w:val="008B3191"/>
    <w:rsid w:val="008C3D59"/>
    <w:rsid w:val="008C6189"/>
    <w:rsid w:val="008D29B3"/>
    <w:rsid w:val="008D4D8D"/>
    <w:rsid w:val="008E2FB8"/>
    <w:rsid w:val="008E304C"/>
    <w:rsid w:val="008E792D"/>
    <w:rsid w:val="0090102E"/>
    <w:rsid w:val="00901B5A"/>
    <w:rsid w:val="00905A21"/>
    <w:rsid w:val="009116DC"/>
    <w:rsid w:val="00912E7D"/>
    <w:rsid w:val="00914828"/>
    <w:rsid w:val="00931BEF"/>
    <w:rsid w:val="00972705"/>
    <w:rsid w:val="009746DD"/>
    <w:rsid w:val="00987057"/>
    <w:rsid w:val="009A556B"/>
    <w:rsid w:val="009C0144"/>
    <w:rsid w:val="009C4DE9"/>
    <w:rsid w:val="009D3109"/>
    <w:rsid w:val="009D3B40"/>
    <w:rsid w:val="009F3E8A"/>
    <w:rsid w:val="00A0082F"/>
    <w:rsid w:val="00A023C1"/>
    <w:rsid w:val="00A029FE"/>
    <w:rsid w:val="00A16356"/>
    <w:rsid w:val="00A30198"/>
    <w:rsid w:val="00A35BBA"/>
    <w:rsid w:val="00A35CFE"/>
    <w:rsid w:val="00A45369"/>
    <w:rsid w:val="00A53D1F"/>
    <w:rsid w:val="00A70E36"/>
    <w:rsid w:val="00A75413"/>
    <w:rsid w:val="00A90373"/>
    <w:rsid w:val="00AA0C08"/>
    <w:rsid w:val="00AA3551"/>
    <w:rsid w:val="00AC392A"/>
    <w:rsid w:val="00AD06C1"/>
    <w:rsid w:val="00AE176D"/>
    <w:rsid w:val="00AE3A61"/>
    <w:rsid w:val="00AF0BDD"/>
    <w:rsid w:val="00B03079"/>
    <w:rsid w:val="00B3183B"/>
    <w:rsid w:val="00B360EA"/>
    <w:rsid w:val="00B41356"/>
    <w:rsid w:val="00B442BA"/>
    <w:rsid w:val="00B46BAB"/>
    <w:rsid w:val="00B47B85"/>
    <w:rsid w:val="00B47FD0"/>
    <w:rsid w:val="00B50F67"/>
    <w:rsid w:val="00B67E6E"/>
    <w:rsid w:val="00B82CE9"/>
    <w:rsid w:val="00B83AE9"/>
    <w:rsid w:val="00B8743D"/>
    <w:rsid w:val="00B87FB4"/>
    <w:rsid w:val="00B91EA6"/>
    <w:rsid w:val="00B933A9"/>
    <w:rsid w:val="00BB0B80"/>
    <w:rsid w:val="00BB2F50"/>
    <w:rsid w:val="00BC46FF"/>
    <w:rsid w:val="00C01DCB"/>
    <w:rsid w:val="00C0422D"/>
    <w:rsid w:val="00C255F9"/>
    <w:rsid w:val="00C33416"/>
    <w:rsid w:val="00C35743"/>
    <w:rsid w:val="00C4116E"/>
    <w:rsid w:val="00C45B85"/>
    <w:rsid w:val="00C526DC"/>
    <w:rsid w:val="00C54F99"/>
    <w:rsid w:val="00C627FD"/>
    <w:rsid w:val="00C628BF"/>
    <w:rsid w:val="00C63B20"/>
    <w:rsid w:val="00C6409E"/>
    <w:rsid w:val="00C640BE"/>
    <w:rsid w:val="00C641D7"/>
    <w:rsid w:val="00C66E1D"/>
    <w:rsid w:val="00C8564F"/>
    <w:rsid w:val="00C92C76"/>
    <w:rsid w:val="00C96CA6"/>
    <w:rsid w:val="00C9716F"/>
    <w:rsid w:val="00CA162B"/>
    <w:rsid w:val="00CA23CF"/>
    <w:rsid w:val="00CA4879"/>
    <w:rsid w:val="00CB0BBF"/>
    <w:rsid w:val="00CC2E5C"/>
    <w:rsid w:val="00CD7704"/>
    <w:rsid w:val="00CE03C7"/>
    <w:rsid w:val="00CE14AA"/>
    <w:rsid w:val="00CE4544"/>
    <w:rsid w:val="00CF76BE"/>
    <w:rsid w:val="00D102EC"/>
    <w:rsid w:val="00D21103"/>
    <w:rsid w:val="00D251F9"/>
    <w:rsid w:val="00D25B99"/>
    <w:rsid w:val="00D32451"/>
    <w:rsid w:val="00D33110"/>
    <w:rsid w:val="00D33FEE"/>
    <w:rsid w:val="00D35B0E"/>
    <w:rsid w:val="00D56EA9"/>
    <w:rsid w:val="00D61B81"/>
    <w:rsid w:val="00D6241A"/>
    <w:rsid w:val="00D74335"/>
    <w:rsid w:val="00D76F2A"/>
    <w:rsid w:val="00D86386"/>
    <w:rsid w:val="00D92F52"/>
    <w:rsid w:val="00DA270B"/>
    <w:rsid w:val="00DC0A10"/>
    <w:rsid w:val="00DC0EDF"/>
    <w:rsid w:val="00DC1745"/>
    <w:rsid w:val="00DC553C"/>
    <w:rsid w:val="00DC6753"/>
    <w:rsid w:val="00DC7280"/>
    <w:rsid w:val="00DD28F9"/>
    <w:rsid w:val="00DD2998"/>
    <w:rsid w:val="00DD4168"/>
    <w:rsid w:val="00DD5B86"/>
    <w:rsid w:val="00DD7883"/>
    <w:rsid w:val="00DE62F6"/>
    <w:rsid w:val="00DF5AE3"/>
    <w:rsid w:val="00E02BF6"/>
    <w:rsid w:val="00E15E88"/>
    <w:rsid w:val="00E1631A"/>
    <w:rsid w:val="00E23A45"/>
    <w:rsid w:val="00E34109"/>
    <w:rsid w:val="00E54B68"/>
    <w:rsid w:val="00E6776E"/>
    <w:rsid w:val="00E7746A"/>
    <w:rsid w:val="00E851F3"/>
    <w:rsid w:val="00E91A9E"/>
    <w:rsid w:val="00E9207F"/>
    <w:rsid w:val="00E940D7"/>
    <w:rsid w:val="00EA0FB4"/>
    <w:rsid w:val="00EA4066"/>
    <w:rsid w:val="00EB3433"/>
    <w:rsid w:val="00EB5211"/>
    <w:rsid w:val="00EB6445"/>
    <w:rsid w:val="00EB7E3E"/>
    <w:rsid w:val="00EC4641"/>
    <w:rsid w:val="00ED0709"/>
    <w:rsid w:val="00ED3BBF"/>
    <w:rsid w:val="00ED426F"/>
    <w:rsid w:val="00ED6006"/>
    <w:rsid w:val="00EE20D8"/>
    <w:rsid w:val="00EF2CD3"/>
    <w:rsid w:val="00F05247"/>
    <w:rsid w:val="00F12660"/>
    <w:rsid w:val="00F15515"/>
    <w:rsid w:val="00F4420D"/>
    <w:rsid w:val="00F552D1"/>
    <w:rsid w:val="00F558ED"/>
    <w:rsid w:val="00F55DEB"/>
    <w:rsid w:val="00F73546"/>
    <w:rsid w:val="00F74511"/>
    <w:rsid w:val="00FB4D15"/>
    <w:rsid w:val="00FB618B"/>
    <w:rsid w:val="00FB62E1"/>
    <w:rsid w:val="00FD2AA1"/>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06E88549"/>
  <w14:defaultImageDpi w14:val="300"/>
  <w15:docId w15:val="{FABC01CD-84EB-4D8D-8168-24A0B065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nhideWhenUsed/>
    <w:rsid w:val="00C33416"/>
    <w:rPr>
      <w:rFonts w:ascii="Arial" w:hAnsi="Arial"/>
      <w:sz w:val="20"/>
    </w:rPr>
  </w:style>
  <w:style w:type="character" w:customStyle="1" w:styleId="FootnoteTextChar">
    <w:name w:val="Footnote Text Char"/>
    <w:basedOn w:val="DefaultParagraphFont"/>
    <w:link w:val="FootnoteText"/>
    <w:rsid w:val="00C33416"/>
    <w:rPr>
      <w:rFonts w:ascii="Arial" w:hAnsi="Arial"/>
      <w:sz w:val="20"/>
    </w:rPr>
  </w:style>
  <w:style w:type="character" w:styleId="FootnoteReference">
    <w:name w:val="footnote reference"/>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 w:type="paragraph" w:styleId="NormalWeb">
    <w:name w:val="Normal (Web)"/>
    <w:basedOn w:val="Normal"/>
    <w:uiPriority w:val="99"/>
    <w:semiHidden/>
    <w:unhideWhenUsed/>
    <w:rsid w:val="0075068E"/>
    <w:pPr>
      <w:spacing w:before="100" w:beforeAutospacing="1" w:after="100" w:afterAutospacing="1"/>
    </w:pPr>
    <w:rPr>
      <w:rFonts w:ascii="Times New Roman" w:eastAsia="Times New Roman" w:hAnsi="Times New Roman" w:cs="Times New Roman"/>
      <w:lang w:eastAsia="en-AU"/>
    </w:rPr>
  </w:style>
  <w:style w:type="character" w:styleId="Strong">
    <w:name w:val="Strong"/>
    <w:basedOn w:val="DefaultParagraphFont"/>
    <w:uiPriority w:val="22"/>
    <w:qFormat/>
    <w:rsid w:val="0075068E"/>
    <w:rPr>
      <w:b/>
      <w:bCs/>
    </w:rPr>
  </w:style>
  <w:style w:type="character" w:styleId="FollowedHyperlink">
    <w:name w:val="FollowedHyperlink"/>
    <w:basedOn w:val="DefaultParagraphFont"/>
    <w:uiPriority w:val="99"/>
    <w:semiHidden/>
    <w:unhideWhenUsed/>
    <w:rsid w:val="0086569A"/>
    <w:rPr>
      <w:color w:val="800080" w:themeColor="followedHyperlink"/>
      <w:u w:val="single"/>
    </w:rPr>
  </w:style>
  <w:style w:type="paragraph" w:styleId="Revision">
    <w:name w:val="Revision"/>
    <w:hidden/>
    <w:uiPriority w:val="99"/>
    <w:semiHidden/>
    <w:rsid w:val="00C640BE"/>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7553">
      <w:bodyDiv w:val="1"/>
      <w:marLeft w:val="0"/>
      <w:marRight w:val="0"/>
      <w:marTop w:val="0"/>
      <w:marBottom w:val="0"/>
      <w:divBdr>
        <w:top w:val="none" w:sz="0" w:space="0" w:color="auto"/>
        <w:left w:val="none" w:sz="0" w:space="0" w:color="auto"/>
        <w:bottom w:val="none" w:sz="0" w:space="0" w:color="auto"/>
        <w:right w:val="none" w:sz="0" w:space="0" w:color="auto"/>
      </w:divBdr>
    </w:div>
    <w:div w:id="168839066">
      <w:bodyDiv w:val="1"/>
      <w:marLeft w:val="0"/>
      <w:marRight w:val="0"/>
      <w:marTop w:val="0"/>
      <w:marBottom w:val="0"/>
      <w:divBdr>
        <w:top w:val="none" w:sz="0" w:space="0" w:color="auto"/>
        <w:left w:val="none" w:sz="0" w:space="0" w:color="auto"/>
        <w:bottom w:val="none" w:sz="0" w:space="0" w:color="auto"/>
        <w:right w:val="none" w:sz="0" w:space="0" w:color="auto"/>
      </w:divBdr>
    </w:div>
    <w:div w:id="195588208">
      <w:bodyDiv w:val="1"/>
      <w:marLeft w:val="0"/>
      <w:marRight w:val="0"/>
      <w:marTop w:val="0"/>
      <w:marBottom w:val="0"/>
      <w:divBdr>
        <w:top w:val="none" w:sz="0" w:space="0" w:color="auto"/>
        <w:left w:val="none" w:sz="0" w:space="0" w:color="auto"/>
        <w:bottom w:val="none" w:sz="0" w:space="0" w:color="auto"/>
        <w:right w:val="none" w:sz="0" w:space="0" w:color="auto"/>
      </w:divBdr>
    </w:div>
    <w:div w:id="441413565">
      <w:bodyDiv w:val="1"/>
      <w:marLeft w:val="0"/>
      <w:marRight w:val="0"/>
      <w:marTop w:val="0"/>
      <w:marBottom w:val="0"/>
      <w:divBdr>
        <w:top w:val="none" w:sz="0" w:space="0" w:color="auto"/>
        <w:left w:val="none" w:sz="0" w:space="0" w:color="auto"/>
        <w:bottom w:val="none" w:sz="0" w:space="0" w:color="auto"/>
        <w:right w:val="none" w:sz="0" w:space="0" w:color="auto"/>
      </w:divBdr>
    </w:div>
    <w:div w:id="652871870">
      <w:bodyDiv w:val="1"/>
      <w:marLeft w:val="0"/>
      <w:marRight w:val="0"/>
      <w:marTop w:val="0"/>
      <w:marBottom w:val="0"/>
      <w:divBdr>
        <w:top w:val="none" w:sz="0" w:space="0" w:color="auto"/>
        <w:left w:val="none" w:sz="0" w:space="0" w:color="auto"/>
        <w:bottom w:val="none" w:sz="0" w:space="0" w:color="auto"/>
        <w:right w:val="none" w:sz="0" w:space="0" w:color="auto"/>
      </w:divBdr>
    </w:div>
    <w:div w:id="721170162">
      <w:bodyDiv w:val="1"/>
      <w:marLeft w:val="0"/>
      <w:marRight w:val="0"/>
      <w:marTop w:val="0"/>
      <w:marBottom w:val="0"/>
      <w:divBdr>
        <w:top w:val="none" w:sz="0" w:space="0" w:color="auto"/>
        <w:left w:val="none" w:sz="0" w:space="0" w:color="auto"/>
        <w:bottom w:val="none" w:sz="0" w:space="0" w:color="auto"/>
        <w:right w:val="none" w:sz="0" w:space="0" w:color="auto"/>
      </w:divBdr>
    </w:div>
    <w:div w:id="771826228">
      <w:bodyDiv w:val="1"/>
      <w:marLeft w:val="0"/>
      <w:marRight w:val="0"/>
      <w:marTop w:val="0"/>
      <w:marBottom w:val="0"/>
      <w:divBdr>
        <w:top w:val="none" w:sz="0" w:space="0" w:color="auto"/>
        <w:left w:val="none" w:sz="0" w:space="0" w:color="auto"/>
        <w:bottom w:val="none" w:sz="0" w:space="0" w:color="auto"/>
        <w:right w:val="none" w:sz="0" w:space="0" w:color="auto"/>
      </w:divBdr>
    </w:div>
    <w:div w:id="860163003">
      <w:bodyDiv w:val="1"/>
      <w:marLeft w:val="0"/>
      <w:marRight w:val="0"/>
      <w:marTop w:val="0"/>
      <w:marBottom w:val="0"/>
      <w:divBdr>
        <w:top w:val="none" w:sz="0" w:space="0" w:color="auto"/>
        <w:left w:val="none" w:sz="0" w:space="0" w:color="auto"/>
        <w:bottom w:val="none" w:sz="0" w:space="0" w:color="auto"/>
        <w:right w:val="none" w:sz="0" w:space="0" w:color="auto"/>
      </w:divBdr>
    </w:div>
    <w:div w:id="944844388">
      <w:bodyDiv w:val="1"/>
      <w:marLeft w:val="0"/>
      <w:marRight w:val="0"/>
      <w:marTop w:val="0"/>
      <w:marBottom w:val="0"/>
      <w:divBdr>
        <w:top w:val="none" w:sz="0" w:space="0" w:color="auto"/>
        <w:left w:val="none" w:sz="0" w:space="0" w:color="auto"/>
        <w:bottom w:val="none" w:sz="0" w:space="0" w:color="auto"/>
        <w:right w:val="none" w:sz="0" w:space="0" w:color="auto"/>
      </w:divBdr>
    </w:div>
    <w:div w:id="979575224">
      <w:bodyDiv w:val="1"/>
      <w:marLeft w:val="0"/>
      <w:marRight w:val="0"/>
      <w:marTop w:val="0"/>
      <w:marBottom w:val="0"/>
      <w:divBdr>
        <w:top w:val="none" w:sz="0" w:space="0" w:color="auto"/>
        <w:left w:val="none" w:sz="0" w:space="0" w:color="auto"/>
        <w:bottom w:val="none" w:sz="0" w:space="0" w:color="auto"/>
        <w:right w:val="none" w:sz="0" w:space="0" w:color="auto"/>
      </w:divBdr>
    </w:div>
    <w:div w:id="1063985275">
      <w:bodyDiv w:val="1"/>
      <w:marLeft w:val="0"/>
      <w:marRight w:val="0"/>
      <w:marTop w:val="0"/>
      <w:marBottom w:val="0"/>
      <w:divBdr>
        <w:top w:val="none" w:sz="0" w:space="0" w:color="auto"/>
        <w:left w:val="none" w:sz="0" w:space="0" w:color="auto"/>
        <w:bottom w:val="none" w:sz="0" w:space="0" w:color="auto"/>
        <w:right w:val="none" w:sz="0" w:space="0" w:color="auto"/>
      </w:divBdr>
    </w:div>
    <w:div w:id="1070737152">
      <w:bodyDiv w:val="1"/>
      <w:marLeft w:val="0"/>
      <w:marRight w:val="0"/>
      <w:marTop w:val="0"/>
      <w:marBottom w:val="0"/>
      <w:divBdr>
        <w:top w:val="none" w:sz="0" w:space="0" w:color="auto"/>
        <w:left w:val="none" w:sz="0" w:space="0" w:color="auto"/>
        <w:bottom w:val="none" w:sz="0" w:space="0" w:color="auto"/>
        <w:right w:val="none" w:sz="0" w:space="0" w:color="auto"/>
      </w:divBdr>
    </w:div>
    <w:div w:id="1125271784">
      <w:bodyDiv w:val="1"/>
      <w:marLeft w:val="0"/>
      <w:marRight w:val="0"/>
      <w:marTop w:val="0"/>
      <w:marBottom w:val="0"/>
      <w:divBdr>
        <w:top w:val="none" w:sz="0" w:space="0" w:color="auto"/>
        <w:left w:val="none" w:sz="0" w:space="0" w:color="auto"/>
        <w:bottom w:val="none" w:sz="0" w:space="0" w:color="auto"/>
        <w:right w:val="none" w:sz="0" w:space="0" w:color="auto"/>
      </w:divBdr>
    </w:div>
    <w:div w:id="1734766712">
      <w:bodyDiv w:val="1"/>
      <w:marLeft w:val="0"/>
      <w:marRight w:val="0"/>
      <w:marTop w:val="0"/>
      <w:marBottom w:val="0"/>
      <w:divBdr>
        <w:top w:val="none" w:sz="0" w:space="0" w:color="auto"/>
        <w:left w:val="none" w:sz="0" w:space="0" w:color="auto"/>
        <w:bottom w:val="none" w:sz="0" w:space="0" w:color="auto"/>
        <w:right w:val="none" w:sz="0" w:space="0" w:color="auto"/>
      </w:divBdr>
    </w:div>
    <w:div w:id="1785231335">
      <w:bodyDiv w:val="1"/>
      <w:marLeft w:val="0"/>
      <w:marRight w:val="0"/>
      <w:marTop w:val="0"/>
      <w:marBottom w:val="0"/>
      <w:divBdr>
        <w:top w:val="none" w:sz="0" w:space="0" w:color="auto"/>
        <w:left w:val="none" w:sz="0" w:space="0" w:color="auto"/>
        <w:bottom w:val="none" w:sz="0" w:space="0" w:color="auto"/>
        <w:right w:val="none" w:sz="0" w:space="0" w:color="auto"/>
      </w:divBdr>
    </w:div>
    <w:div w:id="20217343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ng159/chapter/4-Clinical-decision-making" TargetMode="External"/><Relationship Id="rId2" Type="http://schemas.openxmlformats.org/officeDocument/2006/relationships/hyperlink" Target="https://www.health.qld.gov.au/__data/assets/pdf_file/0025/955303/covid-19-ethical-framework.pdf" TargetMode="External"/><Relationship Id="rId1" Type="http://schemas.openxmlformats.org/officeDocument/2006/relationships/hyperlink" Target="https://www.abc.net.au/news/2020-05-09/coronavirus-covid-19-racist-attacks-data-collection-strategy/12229162?nw=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7D34CB-774A-42B9-9B1F-65DDBD4F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56</TotalTime>
  <Pages>10</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Submission to Senate Select Committee on COVID-19</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Senate Select Committee on COVID-19</dc:title>
  <dc:subject/>
  <dc:creator>Queensland Human Rights Commission</dc:creator>
  <cp:keywords/>
  <dc:description/>
  <cp:lastModifiedBy>Sean Costello</cp:lastModifiedBy>
  <cp:revision>8</cp:revision>
  <cp:lastPrinted>2020-05-28T06:04:00Z</cp:lastPrinted>
  <dcterms:created xsi:type="dcterms:W3CDTF">2020-05-28T03:03:00Z</dcterms:created>
  <dcterms:modified xsi:type="dcterms:W3CDTF">2020-05-28T06:09:00Z</dcterms:modified>
</cp:coreProperties>
</file>