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rPr>
      </w:sdtEndPr>
      <w:sdtContent>
        <w:p w14:paraId="7D2D8D59" w14:textId="77777777"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75CCB51F" w14:textId="77777777" w:rsidTr="004A2375">
            <w:trPr>
              <w:trHeight w:val="360"/>
              <w:jc w:val="center"/>
            </w:trPr>
            <w:tc>
              <w:tcPr>
                <w:tcW w:w="5000" w:type="pct"/>
                <w:tcBorders>
                  <w:top w:val="thinThickSmallGap" w:sz="24" w:space="0" w:color="1F497D" w:themeColor="text2"/>
                </w:tcBorders>
                <w:vAlign w:val="center"/>
              </w:tcPr>
              <w:p w14:paraId="57947801" w14:textId="77777777" w:rsidR="004A2375" w:rsidRPr="00D95D9E" w:rsidRDefault="004A2375" w:rsidP="004A2375">
                <w:pPr>
                  <w:pStyle w:val="NoSpacing"/>
                  <w:spacing w:before="720" w:after="240"/>
                  <w:jc w:val="center"/>
                  <w:rPr>
                    <w:b/>
                    <w:bCs/>
                    <w:sz w:val="28"/>
                  </w:rPr>
                </w:pPr>
              </w:p>
            </w:tc>
          </w:tr>
          <w:tr w:rsidR="004A2375" w:rsidRPr="00D95D9E" w14:paraId="38CE1B80"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494D62A4" w14:textId="2EF70005" w:rsidR="004A2375" w:rsidRPr="00D95D9E" w:rsidRDefault="00EE6639" w:rsidP="00626FFB">
                    <w:pPr>
                      <w:pStyle w:val="NoSpacing"/>
                      <w:spacing w:after="240"/>
                      <w:jc w:val="center"/>
                      <w:rPr>
                        <w:rFonts w:asciiTheme="majorHAnsi" w:eastAsiaTheme="majorEastAsia" w:hAnsiTheme="majorHAnsi" w:cstheme="majorBidi"/>
                        <w:sz w:val="80"/>
                        <w:szCs w:val="80"/>
                      </w:rPr>
                    </w:pPr>
                    <w:r>
                      <w:rPr>
                        <w:rFonts w:asciiTheme="majorHAnsi" w:eastAsiaTheme="majorEastAsia" w:hAnsiTheme="majorHAnsi" w:cstheme="majorBidi"/>
                        <w:color w:val="1F497D" w:themeColor="text2"/>
                        <w:sz w:val="60"/>
                        <w:szCs w:val="60"/>
                      </w:rPr>
                      <w:t>Penalties for assaults on frontline</w:t>
                    </w:r>
                    <w:r w:rsidR="00626FFB">
                      <w:rPr>
                        <w:rFonts w:asciiTheme="majorHAnsi" w:eastAsiaTheme="majorEastAsia" w:hAnsiTheme="majorHAnsi" w:cstheme="majorBidi"/>
                        <w:color w:val="1F497D" w:themeColor="text2"/>
                        <w:sz w:val="60"/>
                        <w:szCs w:val="60"/>
                      </w:rPr>
                      <w:t xml:space="preserve"> public officers</w:t>
                    </w:r>
                  </w:p>
                </w:tc>
              </w:sdtContent>
            </w:sdt>
          </w:tr>
          <w:tr w:rsidR="004A2375" w:rsidRPr="00D95D9E" w14:paraId="1C9E3996" w14:textId="77777777" w:rsidTr="004A2375">
            <w:trPr>
              <w:trHeight w:val="360"/>
              <w:jc w:val="center"/>
            </w:trPr>
            <w:tc>
              <w:tcPr>
                <w:tcW w:w="5000" w:type="pct"/>
                <w:vAlign w:val="center"/>
              </w:tcPr>
              <w:p w14:paraId="5601C2E2" w14:textId="77777777" w:rsidR="004A2375" w:rsidRPr="00D95D9E" w:rsidRDefault="004A2375" w:rsidP="004A2375">
                <w:pPr>
                  <w:pStyle w:val="NoSpacing"/>
                  <w:spacing w:after="240"/>
                  <w:jc w:val="center"/>
                  <w:rPr>
                    <w:b/>
                    <w:bCs/>
                    <w:sz w:val="28"/>
                  </w:rPr>
                </w:pPr>
              </w:p>
            </w:tc>
          </w:tr>
          <w:tr w:rsidR="004A2375" w:rsidRPr="008539D3" w14:paraId="164BBAF7" w14:textId="77777777" w:rsidTr="004A2375">
            <w:trPr>
              <w:trHeight w:val="360"/>
              <w:jc w:val="center"/>
            </w:trPr>
            <w:tc>
              <w:tcPr>
                <w:tcW w:w="5000" w:type="pct"/>
                <w:tcBorders>
                  <w:bottom w:val="thickThinSmallGap" w:sz="24" w:space="0" w:color="1F497D" w:themeColor="text2"/>
                </w:tcBorders>
                <w:vAlign w:val="center"/>
              </w:tcPr>
              <w:p w14:paraId="7D13EF07" w14:textId="77777777" w:rsidR="00182865" w:rsidRPr="008539D3" w:rsidRDefault="00182865" w:rsidP="00182865">
                <w:pPr>
                  <w:pStyle w:val="NoSpacing"/>
                  <w:spacing w:before="120" w:after="120"/>
                  <w:jc w:val="right"/>
                  <w:rPr>
                    <w:rFonts w:ascii="Arial" w:hAnsi="Arial" w:cs="Arial"/>
                    <w:b/>
                    <w:bCs/>
                    <w:sz w:val="28"/>
                  </w:rPr>
                </w:pPr>
                <w:r w:rsidRPr="008539D3">
                  <w:rPr>
                    <w:rFonts w:ascii="Arial" w:hAnsi="Arial" w:cs="Arial"/>
                    <w:b/>
                    <w:bCs/>
                    <w:sz w:val="28"/>
                  </w:rPr>
                  <w:t>Submission</w:t>
                </w:r>
              </w:p>
              <w:p w14:paraId="00C5E0F3" w14:textId="77777777" w:rsidR="00182865" w:rsidRPr="008539D3" w:rsidRDefault="00182865" w:rsidP="00182865">
                <w:pPr>
                  <w:pStyle w:val="NoSpacing"/>
                  <w:spacing w:before="120" w:after="120"/>
                  <w:jc w:val="right"/>
                  <w:rPr>
                    <w:rFonts w:ascii="Arial" w:hAnsi="Arial" w:cs="Arial"/>
                    <w:b/>
                    <w:bCs/>
                    <w:sz w:val="28"/>
                  </w:rPr>
                </w:pPr>
                <w:r w:rsidRPr="008539D3">
                  <w:rPr>
                    <w:rFonts w:ascii="Arial" w:hAnsi="Arial" w:cs="Arial"/>
                    <w:b/>
                    <w:bCs/>
                    <w:sz w:val="28"/>
                  </w:rPr>
                  <w:t>to</w:t>
                </w:r>
              </w:p>
              <w:p w14:paraId="42537211" w14:textId="77777777" w:rsidR="00240EF9" w:rsidRPr="008539D3" w:rsidRDefault="008539D3" w:rsidP="008539D3">
                <w:pPr>
                  <w:pStyle w:val="NoSpacing"/>
                  <w:spacing w:before="120" w:after="120"/>
                  <w:jc w:val="right"/>
                  <w:rPr>
                    <w:rFonts w:ascii="Arial" w:hAnsi="Arial" w:cs="Arial"/>
                    <w:b/>
                    <w:bCs/>
                    <w:sz w:val="28"/>
                  </w:rPr>
                </w:pPr>
                <w:r w:rsidRPr="008539D3">
                  <w:rPr>
                    <w:rFonts w:ascii="Arial" w:hAnsi="Arial" w:cs="Arial"/>
                    <w:b/>
                    <w:bCs/>
                    <w:sz w:val="28"/>
                  </w:rPr>
                  <w:t>Queensland Sentencing Advisory Council</w:t>
                </w:r>
              </w:p>
            </w:tc>
          </w:tr>
        </w:tbl>
        <w:p w14:paraId="72504AED"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697D262B" w14:textId="77777777" w:rsidTr="00392522">
            <w:tc>
              <w:tcPr>
                <w:tcW w:w="6585" w:type="dxa"/>
                <w:tcMar>
                  <w:top w:w="216" w:type="dxa"/>
                  <w:left w:w="115" w:type="dxa"/>
                  <w:bottom w:w="216" w:type="dxa"/>
                  <w:right w:w="115" w:type="dxa"/>
                </w:tcMar>
              </w:tcPr>
              <w:p w14:paraId="0D5764F4" w14:textId="341541ED" w:rsidR="00A16356" w:rsidRPr="00A16356" w:rsidRDefault="006765D6"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25 June</w:t>
                </w:r>
                <w:r w:rsidR="008539D3">
                  <w:rPr>
                    <w:rFonts w:ascii="Arial" w:hAnsi="Arial" w:cs="Arial"/>
                    <w:color w:val="4F81BD" w:themeColor="accent1"/>
                    <w:sz w:val="28"/>
                    <w:szCs w:val="28"/>
                  </w:rPr>
                  <w:t xml:space="preserve"> 2020</w:t>
                </w:r>
              </w:p>
              <w:p w14:paraId="6CC8AC0B" w14:textId="77777777" w:rsidR="00A16356" w:rsidRDefault="00A16356">
                <w:pPr>
                  <w:pStyle w:val="NoSpacing"/>
                  <w:rPr>
                    <w:color w:val="4F81BD" w:themeColor="accent1"/>
                  </w:rPr>
                </w:pPr>
              </w:p>
            </w:tc>
          </w:tr>
        </w:tbl>
        <w:p w14:paraId="012E2959" w14:textId="77777777" w:rsidR="004A2375" w:rsidRDefault="00A16356">
          <w:r>
            <w:br w:type="page"/>
          </w:r>
        </w:p>
        <w:p w14:paraId="62F4FA1F" w14:textId="77777777" w:rsidR="00A16356" w:rsidRPr="004A2375" w:rsidRDefault="003A2B19">
          <w:pPr>
            <w:rPr>
              <w:rFonts w:ascii="Arial" w:eastAsiaTheme="majorEastAsia" w:hAnsi="Arial" w:cstheme="majorBidi"/>
              <w:b/>
              <w:color w:val="365F91" w:themeColor="accent1" w:themeShade="BF"/>
              <w:sz w:val="16"/>
              <w:szCs w:val="16"/>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6B2C5957" w14:textId="77777777" w:rsidR="00A16356" w:rsidRPr="008038A5" w:rsidRDefault="00A16356" w:rsidP="007C510E">
          <w:pPr>
            <w:pStyle w:val="TOCHeading"/>
            <w:rPr>
              <w:rFonts w:ascii="Arial" w:hAnsi="Arial" w:cs="Arial"/>
            </w:rPr>
          </w:pPr>
          <w:r w:rsidRPr="008038A5">
            <w:rPr>
              <w:rFonts w:ascii="Arial" w:hAnsi="Arial" w:cs="Arial"/>
            </w:rPr>
            <w:t>Table of Contents</w:t>
          </w:r>
        </w:p>
        <w:p w14:paraId="4AA89D72" w14:textId="393D6979" w:rsidR="006A1165" w:rsidRDefault="00EC2DB3">
          <w:pPr>
            <w:pStyle w:val="TOC1"/>
            <w:tabs>
              <w:tab w:val="right" w:leader="dot" w:pos="8296"/>
            </w:tabs>
            <w:rPr>
              <w:noProof/>
              <w:sz w:val="22"/>
              <w:szCs w:val="22"/>
              <w:lang w:eastAsia="en-AU"/>
            </w:rPr>
          </w:pPr>
          <w:r>
            <w:rPr>
              <w:rFonts w:ascii="Arial" w:hAnsi="Arial" w:cs="Arial"/>
              <w:b/>
              <w:bCs/>
              <w:noProof/>
            </w:rPr>
            <w:fldChar w:fldCharType="begin"/>
          </w:r>
          <w:r>
            <w:rPr>
              <w:rFonts w:ascii="Arial" w:hAnsi="Arial" w:cs="Arial"/>
              <w:b/>
              <w:bCs/>
              <w:noProof/>
            </w:rPr>
            <w:instrText xml:space="preserve"> TOC \o "1-2" \h \z \u </w:instrText>
          </w:r>
          <w:r>
            <w:rPr>
              <w:rFonts w:ascii="Arial" w:hAnsi="Arial" w:cs="Arial"/>
              <w:b/>
              <w:bCs/>
              <w:noProof/>
            </w:rPr>
            <w:fldChar w:fldCharType="separate"/>
          </w:r>
          <w:hyperlink w:anchor="_Toc43990181" w:history="1">
            <w:r w:rsidR="006A1165" w:rsidRPr="00161027">
              <w:rPr>
                <w:rStyle w:val="Hyperlink"/>
                <w:noProof/>
              </w:rPr>
              <w:t>Introduction</w:t>
            </w:r>
            <w:r w:rsidR="006A1165">
              <w:rPr>
                <w:noProof/>
                <w:webHidden/>
              </w:rPr>
              <w:tab/>
            </w:r>
            <w:r w:rsidR="006A1165">
              <w:rPr>
                <w:noProof/>
                <w:webHidden/>
              </w:rPr>
              <w:fldChar w:fldCharType="begin"/>
            </w:r>
            <w:r w:rsidR="006A1165">
              <w:rPr>
                <w:noProof/>
                <w:webHidden/>
              </w:rPr>
              <w:instrText xml:space="preserve"> PAGEREF _Toc43990181 \h </w:instrText>
            </w:r>
            <w:r w:rsidR="006A1165">
              <w:rPr>
                <w:noProof/>
                <w:webHidden/>
              </w:rPr>
            </w:r>
            <w:r w:rsidR="006A1165">
              <w:rPr>
                <w:noProof/>
                <w:webHidden/>
              </w:rPr>
              <w:fldChar w:fldCharType="separate"/>
            </w:r>
            <w:r w:rsidR="00134DEB">
              <w:rPr>
                <w:noProof/>
                <w:webHidden/>
              </w:rPr>
              <w:t>2</w:t>
            </w:r>
            <w:r w:rsidR="006A1165">
              <w:rPr>
                <w:noProof/>
                <w:webHidden/>
              </w:rPr>
              <w:fldChar w:fldCharType="end"/>
            </w:r>
          </w:hyperlink>
        </w:p>
        <w:p w14:paraId="41AD08F6" w14:textId="4C7936F7" w:rsidR="006A1165" w:rsidRDefault="006A1165">
          <w:pPr>
            <w:pStyle w:val="TOC1"/>
            <w:tabs>
              <w:tab w:val="right" w:leader="dot" w:pos="8296"/>
            </w:tabs>
            <w:rPr>
              <w:noProof/>
              <w:sz w:val="22"/>
              <w:szCs w:val="22"/>
              <w:lang w:eastAsia="en-AU"/>
            </w:rPr>
          </w:pPr>
          <w:hyperlink w:anchor="_Toc43990182" w:history="1">
            <w:r w:rsidRPr="00161027">
              <w:rPr>
                <w:rStyle w:val="Hyperlink"/>
                <w:noProof/>
              </w:rPr>
              <w:t>Application of Human Rights</w:t>
            </w:r>
            <w:r>
              <w:rPr>
                <w:noProof/>
                <w:webHidden/>
              </w:rPr>
              <w:tab/>
            </w:r>
            <w:r>
              <w:rPr>
                <w:noProof/>
                <w:webHidden/>
              </w:rPr>
              <w:fldChar w:fldCharType="begin"/>
            </w:r>
            <w:r>
              <w:rPr>
                <w:noProof/>
                <w:webHidden/>
              </w:rPr>
              <w:instrText xml:space="preserve"> PAGEREF _Toc43990182 \h </w:instrText>
            </w:r>
            <w:r>
              <w:rPr>
                <w:noProof/>
                <w:webHidden/>
              </w:rPr>
            </w:r>
            <w:r>
              <w:rPr>
                <w:noProof/>
                <w:webHidden/>
              </w:rPr>
              <w:fldChar w:fldCharType="separate"/>
            </w:r>
            <w:r w:rsidR="00134DEB">
              <w:rPr>
                <w:noProof/>
                <w:webHidden/>
              </w:rPr>
              <w:t>3</w:t>
            </w:r>
            <w:r>
              <w:rPr>
                <w:noProof/>
                <w:webHidden/>
              </w:rPr>
              <w:fldChar w:fldCharType="end"/>
            </w:r>
          </w:hyperlink>
        </w:p>
        <w:p w14:paraId="263DAA73" w14:textId="38533C77" w:rsidR="006A1165" w:rsidRDefault="006A1165">
          <w:pPr>
            <w:pStyle w:val="TOC1"/>
            <w:tabs>
              <w:tab w:val="right" w:leader="dot" w:pos="8296"/>
            </w:tabs>
            <w:rPr>
              <w:noProof/>
              <w:sz w:val="22"/>
              <w:szCs w:val="22"/>
              <w:lang w:eastAsia="en-AU"/>
            </w:rPr>
          </w:pPr>
          <w:hyperlink w:anchor="_Toc43990183" w:history="1">
            <w:r w:rsidRPr="00161027">
              <w:rPr>
                <w:rStyle w:val="Hyperlink"/>
                <w:noProof/>
              </w:rPr>
              <w:t>Purpose of reform?</w:t>
            </w:r>
            <w:r>
              <w:rPr>
                <w:noProof/>
                <w:webHidden/>
              </w:rPr>
              <w:tab/>
            </w:r>
            <w:r>
              <w:rPr>
                <w:noProof/>
                <w:webHidden/>
              </w:rPr>
              <w:fldChar w:fldCharType="begin"/>
            </w:r>
            <w:r>
              <w:rPr>
                <w:noProof/>
                <w:webHidden/>
              </w:rPr>
              <w:instrText xml:space="preserve"> PAGEREF _Toc43990183 \h </w:instrText>
            </w:r>
            <w:r>
              <w:rPr>
                <w:noProof/>
                <w:webHidden/>
              </w:rPr>
            </w:r>
            <w:r>
              <w:rPr>
                <w:noProof/>
                <w:webHidden/>
              </w:rPr>
              <w:fldChar w:fldCharType="separate"/>
            </w:r>
            <w:r w:rsidR="00134DEB">
              <w:rPr>
                <w:noProof/>
                <w:webHidden/>
              </w:rPr>
              <w:t>4</w:t>
            </w:r>
            <w:r>
              <w:rPr>
                <w:noProof/>
                <w:webHidden/>
              </w:rPr>
              <w:fldChar w:fldCharType="end"/>
            </w:r>
          </w:hyperlink>
        </w:p>
        <w:p w14:paraId="26C0B287" w14:textId="741FEFD8" w:rsidR="006A1165" w:rsidRDefault="006A1165">
          <w:pPr>
            <w:pStyle w:val="TOC2"/>
            <w:rPr>
              <w:noProof/>
              <w:sz w:val="22"/>
              <w:szCs w:val="22"/>
              <w:lang w:eastAsia="en-AU"/>
            </w:rPr>
          </w:pPr>
          <w:hyperlink w:anchor="_Toc43990184" w:history="1">
            <w:r w:rsidRPr="00161027">
              <w:rPr>
                <w:rStyle w:val="Hyperlink"/>
                <w:noProof/>
              </w:rPr>
              <w:t>What factors increase assaults against public officers?</w:t>
            </w:r>
            <w:r>
              <w:rPr>
                <w:noProof/>
                <w:webHidden/>
              </w:rPr>
              <w:tab/>
            </w:r>
            <w:r>
              <w:rPr>
                <w:noProof/>
                <w:webHidden/>
              </w:rPr>
              <w:fldChar w:fldCharType="begin"/>
            </w:r>
            <w:r>
              <w:rPr>
                <w:noProof/>
                <w:webHidden/>
              </w:rPr>
              <w:instrText xml:space="preserve"> PAGEREF _Toc43990184 \h </w:instrText>
            </w:r>
            <w:r>
              <w:rPr>
                <w:noProof/>
                <w:webHidden/>
              </w:rPr>
            </w:r>
            <w:r>
              <w:rPr>
                <w:noProof/>
                <w:webHidden/>
              </w:rPr>
              <w:fldChar w:fldCharType="separate"/>
            </w:r>
            <w:r w:rsidR="00134DEB">
              <w:rPr>
                <w:noProof/>
                <w:webHidden/>
              </w:rPr>
              <w:t>5</w:t>
            </w:r>
            <w:r>
              <w:rPr>
                <w:noProof/>
                <w:webHidden/>
              </w:rPr>
              <w:fldChar w:fldCharType="end"/>
            </w:r>
          </w:hyperlink>
        </w:p>
        <w:p w14:paraId="498DBA16" w14:textId="493AD84C" w:rsidR="006A1165" w:rsidRDefault="006A1165">
          <w:pPr>
            <w:pStyle w:val="TOC2"/>
            <w:rPr>
              <w:noProof/>
              <w:sz w:val="22"/>
              <w:szCs w:val="22"/>
              <w:lang w:eastAsia="en-AU"/>
            </w:rPr>
          </w:pPr>
          <w:hyperlink w:anchor="_Toc43990185" w:history="1">
            <w:r w:rsidRPr="00161027">
              <w:rPr>
                <w:rStyle w:val="Hyperlink"/>
                <w:noProof/>
              </w:rPr>
              <w:t>Do higher penalties act as a deterrent?</w:t>
            </w:r>
            <w:r>
              <w:rPr>
                <w:noProof/>
                <w:webHidden/>
              </w:rPr>
              <w:tab/>
            </w:r>
            <w:r>
              <w:rPr>
                <w:noProof/>
                <w:webHidden/>
              </w:rPr>
              <w:fldChar w:fldCharType="begin"/>
            </w:r>
            <w:r>
              <w:rPr>
                <w:noProof/>
                <w:webHidden/>
              </w:rPr>
              <w:instrText xml:space="preserve"> PAGEREF _Toc43990185 \h </w:instrText>
            </w:r>
            <w:r>
              <w:rPr>
                <w:noProof/>
                <w:webHidden/>
              </w:rPr>
            </w:r>
            <w:r>
              <w:rPr>
                <w:noProof/>
                <w:webHidden/>
              </w:rPr>
              <w:fldChar w:fldCharType="separate"/>
            </w:r>
            <w:r w:rsidR="00134DEB">
              <w:rPr>
                <w:noProof/>
                <w:webHidden/>
              </w:rPr>
              <w:t>7</w:t>
            </w:r>
            <w:r>
              <w:rPr>
                <w:noProof/>
                <w:webHidden/>
              </w:rPr>
              <w:fldChar w:fldCharType="end"/>
            </w:r>
          </w:hyperlink>
        </w:p>
        <w:p w14:paraId="5D28BE0C" w14:textId="271B5221" w:rsidR="006A1165" w:rsidRDefault="006A1165">
          <w:pPr>
            <w:pStyle w:val="TOC2"/>
            <w:rPr>
              <w:noProof/>
              <w:sz w:val="22"/>
              <w:szCs w:val="22"/>
              <w:lang w:eastAsia="en-AU"/>
            </w:rPr>
          </w:pPr>
          <w:hyperlink w:anchor="_Toc43990186" w:history="1">
            <w:r w:rsidRPr="00161027">
              <w:rPr>
                <w:rStyle w:val="Hyperlink"/>
                <w:noProof/>
              </w:rPr>
              <w:t>Could higher penalties increase risks for some workers?</w:t>
            </w:r>
            <w:r>
              <w:rPr>
                <w:noProof/>
                <w:webHidden/>
              </w:rPr>
              <w:tab/>
            </w:r>
            <w:r>
              <w:rPr>
                <w:noProof/>
                <w:webHidden/>
              </w:rPr>
              <w:fldChar w:fldCharType="begin"/>
            </w:r>
            <w:r>
              <w:rPr>
                <w:noProof/>
                <w:webHidden/>
              </w:rPr>
              <w:instrText xml:space="preserve"> PAGEREF _Toc43990186 \h </w:instrText>
            </w:r>
            <w:r>
              <w:rPr>
                <w:noProof/>
                <w:webHidden/>
              </w:rPr>
            </w:r>
            <w:r>
              <w:rPr>
                <w:noProof/>
                <w:webHidden/>
              </w:rPr>
              <w:fldChar w:fldCharType="separate"/>
            </w:r>
            <w:r w:rsidR="00134DEB">
              <w:rPr>
                <w:noProof/>
                <w:webHidden/>
              </w:rPr>
              <w:t>8</w:t>
            </w:r>
            <w:r>
              <w:rPr>
                <w:noProof/>
                <w:webHidden/>
              </w:rPr>
              <w:fldChar w:fldCharType="end"/>
            </w:r>
          </w:hyperlink>
        </w:p>
        <w:p w14:paraId="7F0FCD50" w14:textId="1FAF1B20" w:rsidR="006A1165" w:rsidRDefault="006A1165">
          <w:pPr>
            <w:pStyle w:val="TOC1"/>
            <w:tabs>
              <w:tab w:val="right" w:leader="dot" w:pos="8296"/>
            </w:tabs>
            <w:rPr>
              <w:noProof/>
              <w:sz w:val="22"/>
              <w:szCs w:val="22"/>
              <w:lang w:eastAsia="en-AU"/>
            </w:rPr>
          </w:pPr>
          <w:hyperlink w:anchor="_Toc43990187" w:history="1">
            <w:r w:rsidRPr="00161027">
              <w:rPr>
                <w:rStyle w:val="Hyperlink"/>
                <w:noProof/>
              </w:rPr>
              <w:t>Potential coverage</w:t>
            </w:r>
            <w:r>
              <w:rPr>
                <w:noProof/>
                <w:webHidden/>
              </w:rPr>
              <w:tab/>
            </w:r>
            <w:r>
              <w:rPr>
                <w:noProof/>
                <w:webHidden/>
              </w:rPr>
              <w:fldChar w:fldCharType="begin"/>
            </w:r>
            <w:r>
              <w:rPr>
                <w:noProof/>
                <w:webHidden/>
              </w:rPr>
              <w:instrText xml:space="preserve"> PAGEREF _Toc43990187 \h </w:instrText>
            </w:r>
            <w:r>
              <w:rPr>
                <w:noProof/>
                <w:webHidden/>
              </w:rPr>
            </w:r>
            <w:r>
              <w:rPr>
                <w:noProof/>
                <w:webHidden/>
              </w:rPr>
              <w:fldChar w:fldCharType="separate"/>
            </w:r>
            <w:r w:rsidR="00134DEB">
              <w:rPr>
                <w:noProof/>
                <w:webHidden/>
              </w:rPr>
              <w:t>8</w:t>
            </w:r>
            <w:r>
              <w:rPr>
                <w:noProof/>
                <w:webHidden/>
              </w:rPr>
              <w:fldChar w:fldCharType="end"/>
            </w:r>
          </w:hyperlink>
        </w:p>
        <w:p w14:paraId="1C44790A" w14:textId="581DF12E" w:rsidR="006A1165" w:rsidRDefault="006A1165">
          <w:pPr>
            <w:pStyle w:val="TOC2"/>
            <w:rPr>
              <w:noProof/>
              <w:sz w:val="22"/>
              <w:szCs w:val="22"/>
              <w:lang w:eastAsia="en-AU"/>
            </w:rPr>
          </w:pPr>
          <w:hyperlink w:anchor="_Toc43990188" w:history="1">
            <w:r w:rsidRPr="00161027">
              <w:rPr>
                <w:rStyle w:val="Hyperlink"/>
                <w:noProof/>
              </w:rPr>
              <w:t>Right to equality of victims</w:t>
            </w:r>
            <w:r>
              <w:rPr>
                <w:noProof/>
                <w:webHidden/>
              </w:rPr>
              <w:tab/>
            </w:r>
            <w:r>
              <w:rPr>
                <w:noProof/>
                <w:webHidden/>
              </w:rPr>
              <w:fldChar w:fldCharType="begin"/>
            </w:r>
            <w:r>
              <w:rPr>
                <w:noProof/>
                <w:webHidden/>
              </w:rPr>
              <w:instrText xml:space="preserve"> PAGEREF _Toc43990188 \h </w:instrText>
            </w:r>
            <w:r>
              <w:rPr>
                <w:noProof/>
                <w:webHidden/>
              </w:rPr>
            </w:r>
            <w:r>
              <w:rPr>
                <w:noProof/>
                <w:webHidden/>
              </w:rPr>
              <w:fldChar w:fldCharType="separate"/>
            </w:r>
            <w:r w:rsidR="00134DEB">
              <w:rPr>
                <w:noProof/>
                <w:webHidden/>
              </w:rPr>
              <w:t>9</w:t>
            </w:r>
            <w:r>
              <w:rPr>
                <w:noProof/>
                <w:webHidden/>
              </w:rPr>
              <w:fldChar w:fldCharType="end"/>
            </w:r>
          </w:hyperlink>
        </w:p>
        <w:p w14:paraId="09E43B98" w14:textId="7D74BDE7" w:rsidR="006A1165" w:rsidRDefault="006A1165">
          <w:pPr>
            <w:pStyle w:val="TOC2"/>
            <w:rPr>
              <w:noProof/>
              <w:sz w:val="22"/>
              <w:szCs w:val="22"/>
              <w:lang w:eastAsia="en-AU"/>
            </w:rPr>
          </w:pPr>
          <w:hyperlink w:anchor="_Toc43990189" w:history="1">
            <w:r w:rsidRPr="00161027">
              <w:rPr>
                <w:rStyle w:val="Hyperlink"/>
                <w:noProof/>
              </w:rPr>
              <w:t>Rights of the accused</w:t>
            </w:r>
            <w:r>
              <w:rPr>
                <w:noProof/>
                <w:webHidden/>
              </w:rPr>
              <w:tab/>
            </w:r>
            <w:r>
              <w:rPr>
                <w:noProof/>
                <w:webHidden/>
              </w:rPr>
              <w:fldChar w:fldCharType="begin"/>
            </w:r>
            <w:r>
              <w:rPr>
                <w:noProof/>
                <w:webHidden/>
              </w:rPr>
              <w:instrText xml:space="preserve"> PAGEREF _Toc43990189 \h </w:instrText>
            </w:r>
            <w:r>
              <w:rPr>
                <w:noProof/>
                <w:webHidden/>
              </w:rPr>
            </w:r>
            <w:r>
              <w:rPr>
                <w:noProof/>
                <w:webHidden/>
              </w:rPr>
              <w:fldChar w:fldCharType="separate"/>
            </w:r>
            <w:r w:rsidR="00134DEB">
              <w:rPr>
                <w:noProof/>
                <w:webHidden/>
              </w:rPr>
              <w:t>10</w:t>
            </w:r>
            <w:r>
              <w:rPr>
                <w:noProof/>
                <w:webHidden/>
              </w:rPr>
              <w:fldChar w:fldCharType="end"/>
            </w:r>
          </w:hyperlink>
        </w:p>
        <w:p w14:paraId="13CEEA39" w14:textId="3EE3CEF1" w:rsidR="006A1165" w:rsidRDefault="006A1165">
          <w:pPr>
            <w:pStyle w:val="TOC1"/>
            <w:tabs>
              <w:tab w:val="right" w:leader="dot" w:pos="8296"/>
            </w:tabs>
            <w:rPr>
              <w:noProof/>
              <w:sz w:val="22"/>
              <w:szCs w:val="22"/>
              <w:lang w:eastAsia="en-AU"/>
            </w:rPr>
          </w:pPr>
          <w:hyperlink w:anchor="_Toc43990190" w:history="1">
            <w:r w:rsidRPr="00161027">
              <w:rPr>
                <w:rStyle w:val="Hyperlink"/>
                <w:noProof/>
              </w:rPr>
              <w:t>Victims’ needs more broadly</w:t>
            </w:r>
            <w:r>
              <w:rPr>
                <w:noProof/>
                <w:webHidden/>
              </w:rPr>
              <w:tab/>
            </w:r>
            <w:r>
              <w:rPr>
                <w:noProof/>
                <w:webHidden/>
              </w:rPr>
              <w:fldChar w:fldCharType="begin"/>
            </w:r>
            <w:r>
              <w:rPr>
                <w:noProof/>
                <w:webHidden/>
              </w:rPr>
              <w:instrText xml:space="preserve"> PAGEREF _Toc43990190 \h </w:instrText>
            </w:r>
            <w:r>
              <w:rPr>
                <w:noProof/>
                <w:webHidden/>
              </w:rPr>
            </w:r>
            <w:r>
              <w:rPr>
                <w:noProof/>
                <w:webHidden/>
              </w:rPr>
              <w:fldChar w:fldCharType="separate"/>
            </w:r>
            <w:r w:rsidR="00134DEB">
              <w:rPr>
                <w:noProof/>
                <w:webHidden/>
              </w:rPr>
              <w:t>13</w:t>
            </w:r>
            <w:r>
              <w:rPr>
                <w:noProof/>
                <w:webHidden/>
              </w:rPr>
              <w:fldChar w:fldCharType="end"/>
            </w:r>
          </w:hyperlink>
        </w:p>
        <w:p w14:paraId="03FC426F" w14:textId="020103D4" w:rsidR="006A1165" w:rsidRDefault="006A1165">
          <w:pPr>
            <w:pStyle w:val="TOC1"/>
            <w:tabs>
              <w:tab w:val="right" w:leader="dot" w:pos="8296"/>
            </w:tabs>
            <w:rPr>
              <w:noProof/>
              <w:sz w:val="22"/>
              <w:szCs w:val="22"/>
              <w:lang w:eastAsia="en-AU"/>
            </w:rPr>
          </w:pPr>
          <w:hyperlink w:anchor="_Toc43990191" w:history="1">
            <w:r w:rsidRPr="00161027">
              <w:rPr>
                <w:rStyle w:val="Hyperlink"/>
                <w:noProof/>
              </w:rPr>
              <w:t>Sentencing principles</w:t>
            </w:r>
            <w:r>
              <w:rPr>
                <w:noProof/>
                <w:webHidden/>
              </w:rPr>
              <w:tab/>
            </w:r>
            <w:r>
              <w:rPr>
                <w:noProof/>
                <w:webHidden/>
              </w:rPr>
              <w:fldChar w:fldCharType="begin"/>
            </w:r>
            <w:r>
              <w:rPr>
                <w:noProof/>
                <w:webHidden/>
              </w:rPr>
              <w:instrText xml:space="preserve"> PAGEREF _Toc43990191 \h </w:instrText>
            </w:r>
            <w:r>
              <w:rPr>
                <w:noProof/>
                <w:webHidden/>
              </w:rPr>
            </w:r>
            <w:r>
              <w:rPr>
                <w:noProof/>
                <w:webHidden/>
              </w:rPr>
              <w:fldChar w:fldCharType="separate"/>
            </w:r>
            <w:r w:rsidR="00134DEB">
              <w:rPr>
                <w:noProof/>
                <w:webHidden/>
              </w:rPr>
              <w:t>14</w:t>
            </w:r>
            <w:r>
              <w:rPr>
                <w:noProof/>
                <w:webHidden/>
              </w:rPr>
              <w:fldChar w:fldCharType="end"/>
            </w:r>
          </w:hyperlink>
        </w:p>
        <w:p w14:paraId="7F8D58DD" w14:textId="20B841DE" w:rsidR="006A1165" w:rsidRDefault="006A1165">
          <w:pPr>
            <w:pStyle w:val="TOC1"/>
            <w:tabs>
              <w:tab w:val="right" w:leader="dot" w:pos="8296"/>
            </w:tabs>
            <w:rPr>
              <w:noProof/>
              <w:sz w:val="22"/>
              <w:szCs w:val="22"/>
              <w:lang w:eastAsia="en-AU"/>
            </w:rPr>
          </w:pPr>
          <w:hyperlink w:anchor="_Toc43990192" w:history="1">
            <w:r w:rsidRPr="00161027">
              <w:rPr>
                <w:rStyle w:val="Hyperlink"/>
                <w:noProof/>
              </w:rPr>
              <w:t>Community understanding</w:t>
            </w:r>
            <w:r>
              <w:rPr>
                <w:noProof/>
                <w:webHidden/>
              </w:rPr>
              <w:tab/>
            </w:r>
            <w:r>
              <w:rPr>
                <w:noProof/>
                <w:webHidden/>
              </w:rPr>
              <w:fldChar w:fldCharType="begin"/>
            </w:r>
            <w:r>
              <w:rPr>
                <w:noProof/>
                <w:webHidden/>
              </w:rPr>
              <w:instrText xml:space="preserve"> PAGEREF _Toc43990192 \h </w:instrText>
            </w:r>
            <w:r>
              <w:rPr>
                <w:noProof/>
                <w:webHidden/>
              </w:rPr>
            </w:r>
            <w:r>
              <w:rPr>
                <w:noProof/>
                <w:webHidden/>
              </w:rPr>
              <w:fldChar w:fldCharType="separate"/>
            </w:r>
            <w:r w:rsidR="00134DEB">
              <w:rPr>
                <w:noProof/>
                <w:webHidden/>
              </w:rPr>
              <w:t>15</w:t>
            </w:r>
            <w:r>
              <w:rPr>
                <w:noProof/>
                <w:webHidden/>
              </w:rPr>
              <w:fldChar w:fldCharType="end"/>
            </w:r>
          </w:hyperlink>
        </w:p>
        <w:p w14:paraId="6C970D7E" w14:textId="0753663F" w:rsidR="006A1165" w:rsidRDefault="006A1165">
          <w:pPr>
            <w:pStyle w:val="TOC1"/>
            <w:tabs>
              <w:tab w:val="right" w:leader="dot" w:pos="8296"/>
            </w:tabs>
            <w:rPr>
              <w:noProof/>
              <w:sz w:val="22"/>
              <w:szCs w:val="22"/>
              <w:lang w:eastAsia="en-AU"/>
            </w:rPr>
          </w:pPr>
          <w:hyperlink w:anchor="_Toc43990193" w:history="1">
            <w:r w:rsidRPr="00161027">
              <w:rPr>
                <w:rStyle w:val="Hyperlink"/>
                <w:noProof/>
              </w:rPr>
              <w:t>Conclusion</w:t>
            </w:r>
            <w:r>
              <w:rPr>
                <w:noProof/>
                <w:webHidden/>
              </w:rPr>
              <w:tab/>
            </w:r>
            <w:r>
              <w:rPr>
                <w:noProof/>
                <w:webHidden/>
              </w:rPr>
              <w:fldChar w:fldCharType="begin"/>
            </w:r>
            <w:r>
              <w:rPr>
                <w:noProof/>
                <w:webHidden/>
              </w:rPr>
              <w:instrText xml:space="preserve"> PAGEREF _Toc43990193 \h </w:instrText>
            </w:r>
            <w:r>
              <w:rPr>
                <w:noProof/>
                <w:webHidden/>
              </w:rPr>
            </w:r>
            <w:r>
              <w:rPr>
                <w:noProof/>
                <w:webHidden/>
              </w:rPr>
              <w:fldChar w:fldCharType="separate"/>
            </w:r>
            <w:r w:rsidR="00134DEB">
              <w:rPr>
                <w:noProof/>
                <w:webHidden/>
              </w:rPr>
              <w:t>16</w:t>
            </w:r>
            <w:r>
              <w:rPr>
                <w:noProof/>
                <w:webHidden/>
              </w:rPr>
              <w:fldChar w:fldCharType="end"/>
            </w:r>
          </w:hyperlink>
        </w:p>
        <w:p w14:paraId="4300B851" w14:textId="4E8E7844" w:rsidR="00A16356" w:rsidRPr="00041E58" w:rsidRDefault="00EC2DB3" w:rsidP="00466216">
          <w:pPr>
            <w:spacing w:before="120" w:after="120"/>
            <w:rPr>
              <w:rFonts w:ascii="Arial" w:hAnsi="Arial" w:cs="Arial"/>
            </w:rPr>
          </w:pPr>
          <w:r>
            <w:rPr>
              <w:rFonts w:ascii="Arial" w:hAnsi="Arial" w:cs="Arial"/>
              <w:b/>
              <w:bCs/>
              <w:noProof/>
            </w:rPr>
            <w:fldChar w:fldCharType="end"/>
          </w:r>
        </w:p>
      </w:sdtContent>
    </w:sdt>
    <w:p w14:paraId="0DABCCCD" w14:textId="1E6A2668" w:rsidR="004A2375" w:rsidRDefault="004A2375">
      <w:pPr>
        <w:rPr>
          <w:rFonts w:ascii="Arial" w:eastAsiaTheme="majorEastAsia" w:hAnsi="Arial" w:cstheme="majorBidi"/>
          <w:b/>
          <w:color w:val="365F91" w:themeColor="accent1" w:themeShade="BF"/>
          <w:sz w:val="28"/>
          <w:szCs w:val="32"/>
        </w:rPr>
      </w:pPr>
    </w:p>
    <w:p w14:paraId="69502FE8" w14:textId="77777777" w:rsidR="00EC2DB3" w:rsidRDefault="00EC2DB3">
      <w:pPr>
        <w:rPr>
          <w:rFonts w:ascii="Arial" w:eastAsiaTheme="majorEastAsia" w:hAnsi="Arial" w:cstheme="majorBidi"/>
          <w:b/>
          <w:color w:val="365F91" w:themeColor="accent1" w:themeShade="BF"/>
          <w:sz w:val="28"/>
          <w:szCs w:val="32"/>
        </w:rPr>
        <w:sectPr w:rsidR="00EC2DB3" w:rsidSect="00A16356">
          <w:headerReference w:type="first" r:id="rId9"/>
          <w:pgSz w:w="11900" w:h="16840" w:code="9"/>
          <w:pgMar w:top="1440" w:right="1797" w:bottom="1440" w:left="1797" w:header="709" w:footer="709" w:gutter="0"/>
          <w:pgNumType w:start="0"/>
          <w:cols w:space="708"/>
          <w:titlePg/>
          <w:docGrid w:linePitch="360"/>
        </w:sectPr>
      </w:pPr>
    </w:p>
    <w:p w14:paraId="12DC91FE" w14:textId="70AA15C5" w:rsidR="008539D3" w:rsidRDefault="00756B6E" w:rsidP="008539D3">
      <w:pPr>
        <w:pStyle w:val="Heading1"/>
      </w:pPr>
      <w:bookmarkStart w:id="0" w:name="_Toc43990181"/>
      <w:r>
        <w:lastRenderedPageBreak/>
        <w:t>Introduction</w:t>
      </w:r>
      <w:bookmarkEnd w:id="0"/>
    </w:p>
    <w:p w14:paraId="32D9759F" w14:textId="46479E2A" w:rsidR="008539D3" w:rsidRDefault="008539D3" w:rsidP="008539D3">
      <w:pPr>
        <w:pStyle w:val="Numberedparagraph"/>
      </w:pPr>
      <w:r>
        <w:t xml:space="preserve">The Queensland Human Rights Commission (the Commission) has functions under the </w:t>
      </w:r>
      <w:r>
        <w:rPr>
          <w:i/>
        </w:rPr>
        <w:t>Anti-Discrimination Act 1991</w:t>
      </w:r>
      <w:r>
        <w:t xml:space="preserve"> and the </w:t>
      </w:r>
      <w:r>
        <w:rPr>
          <w:i/>
        </w:rPr>
        <w:t>Human Rights Act 2019</w:t>
      </w:r>
      <w:r>
        <w:t xml:space="preserve"> to promote an understanding and discussion of human rights in Queensland.</w:t>
      </w:r>
    </w:p>
    <w:p w14:paraId="21D6F1E8" w14:textId="7662EB49" w:rsidR="004B1C84" w:rsidRDefault="008F78D2" w:rsidP="008539D3">
      <w:pPr>
        <w:pStyle w:val="Numberedparagraph"/>
      </w:pPr>
      <w:r>
        <w:t xml:space="preserve">We note that the Council has drawn upon our earlier submission to inform the human rights discussion in the Issues Paper. </w:t>
      </w:r>
      <w:r w:rsidR="00F951AF">
        <w:t xml:space="preserve">We </w:t>
      </w:r>
      <w:r w:rsidR="000B6A5F">
        <w:t xml:space="preserve">support this review in light of </w:t>
      </w:r>
      <w:r w:rsidR="004B1C84">
        <w:t>community</w:t>
      </w:r>
      <w:r w:rsidR="00F951AF">
        <w:t xml:space="preserve"> concer</w:t>
      </w:r>
      <w:r w:rsidR="004B1C84">
        <w:t>n about</w:t>
      </w:r>
      <w:r w:rsidR="008539D3">
        <w:t xml:space="preserve"> assaults on corrective services officers, police and other frontline emergency service workers, such as paramedics and hospital emergency department staff</w:t>
      </w:r>
      <w:r w:rsidR="004B1C84">
        <w:t>.</w:t>
      </w:r>
      <w:r w:rsidR="001C1521">
        <w:t xml:space="preserve"> </w:t>
      </w:r>
    </w:p>
    <w:p w14:paraId="29ECB685" w14:textId="5AF2A8CA" w:rsidR="008539D3" w:rsidRDefault="008947EF" w:rsidP="00BB67DA">
      <w:pPr>
        <w:pStyle w:val="Numberedparagraph"/>
      </w:pPr>
      <w:r>
        <w:t>The</w:t>
      </w:r>
      <w:r w:rsidR="002E4968">
        <w:t xml:space="preserve"> Issues Paper </w:t>
      </w:r>
      <w:r>
        <w:t>highlights</w:t>
      </w:r>
      <w:r w:rsidR="002E4968">
        <w:t xml:space="preserve"> that these officers</w:t>
      </w:r>
      <w:r w:rsidR="000C0875">
        <w:t xml:space="preserve"> a</w:t>
      </w:r>
      <w:r w:rsidR="00DD6601">
        <w:t>re highly skilled in their work, and are adept at de-escalating violent and volatile situations</w:t>
      </w:r>
      <w:r w:rsidR="000C0875">
        <w:t>.</w:t>
      </w:r>
      <w:r w:rsidR="00165C75">
        <w:t xml:space="preserve"> </w:t>
      </w:r>
      <w:r w:rsidR="00DD6601">
        <w:t>These workers often deal</w:t>
      </w:r>
      <w:r w:rsidR="00165C75">
        <w:t xml:space="preserve"> with the most complex and chall</w:t>
      </w:r>
      <w:r>
        <w:t xml:space="preserve">enging people in our community and </w:t>
      </w:r>
      <w:r w:rsidR="00DD6601">
        <w:t>deserve to</w:t>
      </w:r>
      <w:r w:rsidR="004B1C84">
        <w:t xml:space="preserve"> undertake their critical duties in a safe working environment</w:t>
      </w:r>
      <w:r w:rsidR="000C0875">
        <w:t xml:space="preserve">. </w:t>
      </w:r>
      <w:r w:rsidR="008539D3">
        <w:t>Nonetheless,</w:t>
      </w:r>
      <w:r w:rsidR="006765D6">
        <w:t xml:space="preserve"> treating assaults against </w:t>
      </w:r>
      <w:r w:rsidR="001F17B2">
        <w:t xml:space="preserve">particular categories of </w:t>
      </w:r>
      <w:r w:rsidR="006765D6">
        <w:t>victims</w:t>
      </w:r>
      <w:r>
        <w:t xml:space="preserve"> as more serious</w:t>
      </w:r>
      <w:r w:rsidR="006765D6">
        <w:t>,</w:t>
      </w:r>
      <w:r>
        <w:t xml:space="preserve"> </w:t>
      </w:r>
      <w:r w:rsidR="001F17B2">
        <w:t xml:space="preserve">and </w:t>
      </w:r>
      <w:r w:rsidR="006765D6">
        <w:t xml:space="preserve">imposing </w:t>
      </w:r>
      <w:r w:rsidR="008539D3">
        <w:t>higher penalties</w:t>
      </w:r>
      <w:r>
        <w:t>, will limit rights</w:t>
      </w:r>
      <w:r w:rsidR="008539D3">
        <w:t xml:space="preserve">. </w:t>
      </w:r>
      <w:r w:rsidR="001C1521">
        <w:t xml:space="preserve">For example, the recent COVID-19 pandemic has also highlighted that measures may be necessary to protect ‘frontline’ private workers such as those in the retail sector.  </w:t>
      </w:r>
      <w:r w:rsidR="008539D3">
        <w:t xml:space="preserve">Human rights are not absolute, and may be limited in certain circumstances. </w:t>
      </w:r>
    </w:p>
    <w:p w14:paraId="28FB8784" w14:textId="746C25A9" w:rsidR="00B44F65" w:rsidRDefault="00B44F65" w:rsidP="00BB67DA">
      <w:pPr>
        <w:pStyle w:val="Numberedparagraph"/>
      </w:pPr>
      <w:r>
        <w:t>The Issues Paper</w:t>
      </w:r>
      <w:r w:rsidR="008947EF">
        <w:t xml:space="preserve"> and accompanying Griffith University </w:t>
      </w:r>
      <w:r w:rsidR="00476C78">
        <w:t>r</w:t>
      </w:r>
      <w:r w:rsidR="008947EF">
        <w:t xml:space="preserve">esearch </w:t>
      </w:r>
      <w:r w:rsidR="00476C78">
        <w:t>p</w:t>
      </w:r>
      <w:r w:rsidR="008947EF">
        <w:t>aper</w:t>
      </w:r>
      <w:r>
        <w:t xml:space="preserve"> provide a comprehensive analysis of the issues involved in thi</w:t>
      </w:r>
      <w:r w:rsidR="00476C78">
        <w:t>s Review and properly identify</w:t>
      </w:r>
      <w:r>
        <w:t xml:space="preserve"> the human rights issues that must be considered.</w:t>
      </w:r>
      <w:r w:rsidR="009A0BFD">
        <w:t xml:space="preserve"> </w:t>
      </w:r>
      <w:r w:rsidR="000546B3">
        <w:t>Our</w:t>
      </w:r>
      <w:r w:rsidR="008947EF">
        <w:t xml:space="preserve"> submission focusses on issues </w:t>
      </w:r>
      <w:r w:rsidR="00FF73C2">
        <w:t xml:space="preserve">relevant to human rights </w:t>
      </w:r>
      <w:r w:rsidR="00756B6E">
        <w:t xml:space="preserve">and our functions. </w:t>
      </w:r>
    </w:p>
    <w:p w14:paraId="1764180D" w14:textId="4EC8A967" w:rsidR="00476C78" w:rsidRDefault="00476C78" w:rsidP="000546B3">
      <w:pPr>
        <w:pStyle w:val="Numberedparagraph"/>
      </w:pPr>
      <w:r>
        <w:t>In summary, as the Council has identified, a threshold question for this review is the purpose of any proposed reform. This will inform</w:t>
      </w:r>
      <w:r w:rsidR="000546B3">
        <w:t xml:space="preserve"> answers to the</w:t>
      </w:r>
      <w:r>
        <w:t xml:space="preserve"> other questions </w:t>
      </w:r>
      <w:r w:rsidR="000546B3">
        <w:t>raised</w:t>
      </w:r>
      <w:r>
        <w:t xml:space="preserve"> including which measures will be most effective, which workers </w:t>
      </w:r>
      <w:r w:rsidR="000546B3">
        <w:t>should</w:t>
      </w:r>
      <w:r>
        <w:t xml:space="preserve"> be covered</w:t>
      </w:r>
      <w:r w:rsidR="009A3F71">
        <w:t>,</w:t>
      </w:r>
      <w:r>
        <w:t xml:space="preserve"> and if any limitations on human rights </w:t>
      </w:r>
      <w:r w:rsidR="000546B3">
        <w:t>are</w:t>
      </w:r>
      <w:r>
        <w:t xml:space="preserve"> justified. </w:t>
      </w:r>
      <w:r w:rsidR="000B6A5F">
        <w:t xml:space="preserve">Two purposes emerge from the Council’s work to date – to denounce assaults upon frontline public officers and to prevent future attacks from occurring. While the Commission agrees both are worthy goals, it is arguable that there are ways of achieving either or both with less limitations on human rights than imposing higher penalties. Certainly, any law reform imposing such changes would have to be accompanied by evidence-based justification for why it is the least restrictive way of achieving one or both of these goals.  </w:t>
      </w:r>
    </w:p>
    <w:p w14:paraId="4C03BD93" w14:textId="2296BE35" w:rsidR="008539D3" w:rsidRPr="00476C78" w:rsidRDefault="00DD6601" w:rsidP="00476C78">
      <w:pPr>
        <w:pStyle w:val="Heading1"/>
        <w:rPr>
          <w:rFonts w:cs="Arial"/>
        </w:rPr>
      </w:pPr>
      <w:bookmarkStart w:id="1" w:name="_Toc43990182"/>
      <w:r>
        <w:lastRenderedPageBreak/>
        <w:t>Application of Human Rights</w:t>
      </w:r>
      <w:bookmarkEnd w:id="1"/>
    </w:p>
    <w:p w14:paraId="468C9AE0" w14:textId="438D34A0" w:rsidR="008539D3" w:rsidRDefault="008947EF" w:rsidP="008539D3">
      <w:pPr>
        <w:pStyle w:val="Numberedparagraph"/>
      </w:pPr>
      <w:r>
        <w:t>Law reform based</w:t>
      </w:r>
      <w:r w:rsidR="006765D6">
        <w:t xml:space="preserve"> on the </w:t>
      </w:r>
      <w:r>
        <w:t xml:space="preserve">victim </w:t>
      </w:r>
      <w:r w:rsidR="006765D6">
        <w:t xml:space="preserve">of </w:t>
      </w:r>
      <w:r>
        <w:t>an</w:t>
      </w:r>
      <w:r w:rsidR="006765D6">
        <w:t xml:space="preserve"> </w:t>
      </w:r>
      <w:r w:rsidR="008539D3">
        <w:t xml:space="preserve">offence will </w:t>
      </w:r>
      <w:r w:rsidR="009A3F71">
        <w:t xml:space="preserve">be </w:t>
      </w:r>
      <w:r w:rsidR="008539D3">
        <w:t xml:space="preserve">likely </w:t>
      </w:r>
      <w:r w:rsidR="009A3F71">
        <w:t xml:space="preserve">to </w:t>
      </w:r>
      <w:r w:rsidR="008539D3">
        <w:t>engage</w:t>
      </w:r>
      <w:r>
        <w:t xml:space="preserve"> and fulfil</w:t>
      </w:r>
      <w:r w:rsidR="008539D3">
        <w:t xml:space="preserve"> several human rights protected in the </w:t>
      </w:r>
      <w:r w:rsidR="008539D3">
        <w:rPr>
          <w:i/>
        </w:rPr>
        <w:t xml:space="preserve">Human Rights Act 2019 </w:t>
      </w:r>
      <w:r w:rsidR="008539D3">
        <w:t xml:space="preserve">(HRA) including: </w:t>
      </w:r>
    </w:p>
    <w:p w14:paraId="4B64059E" w14:textId="77777777" w:rsidR="008947EF" w:rsidRDefault="008947EF" w:rsidP="008947EF">
      <w:pPr>
        <w:pStyle w:val="Bulletedlist"/>
      </w:pPr>
      <w:r>
        <w:t>right to life;</w:t>
      </w:r>
      <w:r>
        <w:rPr>
          <w:rStyle w:val="FootnoteReference"/>
        </w:rPr>
        <w:footnoteReference w:id="1"/>
      </w:r>
    </w:p>
    <w:p w14:paraId="1B1E617D" w14:textId="48362DBB" w:rsidR="008539D3" w:rsidRDefault="004F71C4" w:rsidP="008539D3">
      <w:pPr>
        <w:pStyle w:val="Bulletedlist"/>
      </w:pPr>
      <w:r>
        <w:t>r</w:t>
      </w:r>
      <w:r w:rsidR="008539D3">
        <w:t>ight to equality;</w:t>
      </w:r>
      <w:r w:rsidR="008539D3">
        <w:rPr>
          <w:rStyle w:val="FootnoteReference"/>
        </w:rPr>
        <w:footnoteReference w:id="2"/>
      </w:r>
    </w:p>
    <w:p w14:paraId="778EB147" w14:textId="5D335101" w:rsidR="008539D3" w:rsidRDefault="004F71C4" w:rsidP="008539D3">
      <w:pPr>
        <w:pStyle w:val="Bulletedlist"/>
      </w:pPr>
      <w:r>
        <w:t>r</w:t>
      </w:r>
      <w:r w:rsidR="008539D3">
        <w:t>ight to liberty and security;</w:t>
      </w:r>
      <w:r w:rsidR="008539D3">
        <w:rPr>
          <w:rStyle w:val="FootnoteReference"/>
        </w:rPr>
        <w:footnoteReference w:id="3"/>
      </w:r>
      <w:r w:rsidR="008539D3">
        <w:t xml:space="preserve"> </w:t>
      </w:r>
    </w:p>
    <w:p w14:paraId="3833EBD3" w14:textId="688B5FCA" w:rsidR="008539D3" w:rsidRDefault="004F71C4" w:rsidP="008539D3">
      <w:pPr>
        <w:pStyle w:val="Bulletedlist"/>
      </w:pPr>
      <w:r>
        <w:t>r</w:t>
      </w:r>
      <w:r w:rsidR="008539D3">
        <w:t>ight to a fair hearing;</w:t>
      </w:r>
      <w:r w:rsidR="008539D3">
        <w:rPr>
          <w:rStyle w:val="FootnoteReference"/>
        </w:rPr>
        <w:footnoteReference w:id="4"/>
      </w:r>
      <w:r w:rsidR="008539D3">
        <w:t xml:space="preserve"> and</w:t>
      </w:r>
    </w:p>
    <w:p w14:paraId="3AEAE162" w14:textId="3721E665" w:rsidR="008539D3" w:rsidRDefault="004F71C4" w:rsidP="008539D3">
      <w:pPr>
        <w:pStyle w:val="Bulletedlist"/>
      </w:pPr>
      <w:proofErr w:type="gramStart"/>
      <w:r>
        <w:t>p</w:t>
      </w:r>
      <w:r w:rsidR="008539D3">
        <w:t>rotection</w:t>
      </w:r>
      <w:proofErr w:type="gramEnd"/>
      <w:r w:rsidR="008539D3">
        <w:t xml:space="preserve"> from cruel, inhuman or degrading treatment.</w:t>
      </w:r>
      <w:r w:rsidR="008539D3">
        <w:rPr>
          <w:rStyle w:val="FootnoteReference"/>
        </w:rPr>
        <w:footnoteReference w:id="5"/>
      </w:r>
    </w:p>
    <w:p w14:paraId="5FD53D5F" w14:textId="77777777" w:rsidR="008539D3" w:rsidRDefault="008539D3" w:rsidP="008539D3">
      <w:pPr>
        <w:pStyle w:val="Numberedparagraph"/>
      </w:pPr>
      <w:r>
        <w:t xml:space="preserve">The HRA draws upon rights in the </w:t>
      </w:r>
      <w:r w:rsidRPr="00D301CD">
        <w:rPr>
          <w:i/>
        </w:rPr>
        <w:t>International Covenant on Civil and Political Rights</w:t>
      </w:r>
      <w:r>
        <w:t xml:space="preserve"> (ICCPR). Article two of the ICCPR obliges state parties to respect the rights of all individuals, and where not already provided for by existing legislation, take steps to amend laws to recognise rights. The United Nations Human Rights Committee has commented that this obligation includes ensuring individuals are protected not only by the State, but against violations of their rights by private persons. This includes taking appropriate measures or to exercise due diligence to prevent, punish, investigate or redress the harm caused by such acts by private persons or entities.</w:t>
      </w:r>
      <w:r>
        <w:rPr>
          <w:rStyle w:val="FootnoteReference"/>
        </w:rPr>
        <w:footnoteReference w:id="6"/>
      </w:r>
    </w:p>
    <w:p w14:paraId="2D9D7FEE" w14:textId="06FDEBBE" w:rsidR="00064CD9" w:rsidRDefault="00756B6E" w:rsidP="003B0434">
      <w:pPr>
        <w:pStyle w:val="Numberedparagraph"/>
      </w:pPr>
      <w:r>
        <w:t>S</w:t>
      </w:r>
      <w:r w:rsidR="008539D3">
        <w:t xml:space="preserve">ection 13(2) of the </w:t>
      </w:r>
      <w:r w:rsidR="00037553">
        <w:t>HRA</w:t>
      </w:r>
      <w:r w:rsidR="008539D3">
        <w:t xml:space="preserve"> sets out criteria for deciding whether a limit on a right is reasonable and </w:t>
      </w:r>
      <w:r>
        <w:t>justified. Key criteria for this review include the purpose of the limitation</w:t>
      </w:r>
      <w:r w:rsidR="00F0674F">
        <w:t>,</w:t>
      </w:r>
      <w:r>
        <w:t xml:space="preserve"> and whether there are any less restrictive and reasonable ways to achieve that purpose. </w:t>
      </w:r>
      <w:r w:rsidR="00064CD9">
        <w:t>Section 13(2</w:t>
      </w:r>
      <w:proofErr w:type="gramStart"/>
      <w:r w:rsidR="00064CD9">
        <w:t>)(</w:t>
      </w:r>
      <w:proofErr w:type="gramEnd"/>
      <w:r w:rsidR="00147720">
        <w:t>g</w:t>
      </w:r>
      <w:r w:rsidR="00064CD9">
        <w:t xml:space="preserve">) </w:t>
      </w:r>
      <w:r w:rsidR="00147720">
        <w:t xml:space="preserve">requires that in assessing compatibility, the importance of the purpose of the limitation must be balanced against the importance of preserving the human right, taking into account the nature and extent of the limitation on the human right. </w:t>
      </w:r>
    </w:p>
    <w:p w14:paraId="02A9FF98" w14:textId="0317A725" w:rsidR="00DD05AB" w:rsidRDefault="00956805" w:rsidP="00DD05AB">
      <w:pPr>
        <w:pStyle w:val="Heading1"/>
      </w:pPr>
      <w:bookmarkStart w:id="2" w:name="_Toc43990183"/>
      <w:r>
        <w:lastRenderedPageBreak/>
        <w:t>Purpose</w:t>
      </w:r>
      <w:r w:rsidR="00756B6E">
        <w:t xml:space="preserve"> of </w:t>
      </w:r>
      <w:r w:rsidR="00F0674F">
        <w:t>r</w:t>
      </w:r>
      <w:r w:rsidR="00756B6E">
        <w:t>eform?</w:t>
      </w:r>
      <w:bookmarkEnd w:id="2"/>
      <w:r w:rsidR="00756B6E">
        <w:t xml:space="preserve"> </w:t>
      </w:r>
    </w:p>
    <w:p w14:paraId="5E89E06D" w14:textId="4293519A" w:rsidR="00B22DAA" w:rsidRPr="000B6A5F" w:rsidRDefault="00774489" w:rsidP="000B6A5F">
      <w:pPr>
        <w:pStyle w:val="Questions"/>
      </w:pPr>
      <w:r w:rsidRPr="000B6A5F">
        <w:t xml:space="preserve">4. </w:t>
      </w:r>
      <w:r w:rsidR="00B22DAA" w:rsidRPr="000B6A5F">
        <w:t xml:space="preserve">Does the current sentencing </w:t>
      </w:r>
      <w:r w:rsidR="00613F98" w:rsidRPr="000B6A5F">
        <w:t>processes</w:t>
      </w:r>
      <w:r w:rsidR="00B22DAA" w:rsidRPr="000B6A5F">
        <w:t xml:space="preserve"> in Queensland adequately meet the needs of public officer victims?</w:t>
      </w:r>
      <w:r w:rsidR="00BB67DA" w:rsidRPr="000B6A5F">
        <w:br/>
      </w:r>
    </w:p>
    <w:p w14:paraId="6A73B13A" w14:textId="77777777" w:rsidR="00B22DAA" w:rsidRPr="000B6A5F" w:rsidRDefault="00B22DAA" w:rsidP="000B6A5F">
      <w:pPr>
        <w:pStyle w:val="Questions"/>
      </w:pPr>
      <w:r w:rsidRPr="000B6A5F">
        <w:t>14 Do existing offences, penalties and sentencing practices in Queensland provide an adequate and appropriate response to assaults against police and other frontline emergency service workers, corrective services officers and other public officers?</w:t>
      </w:r>
    </w:p>
    <w:p w14:paraId="72BF3307" w14:textId="0131FFBE" w:rsidR="00924101" w:rsidRDefault="00B22DAA" w:rsidP="008947EF">
      <w:pPr>
        <w:pStyle w:val="Numberedparagraph"/>
      </w:pPr>
      <w:r>
        <w:t xml:space="preserve">The Commission submits that these questions </w:t>
      </w:r>
      <w:r w:rsidR="0089505F">
        <w:t>are</w:t>
      </w:r>
      <w:r>
        <w:t xml:space="preserve"> the most important for this review</w:t>
      </w:r>
      <w:r w:rsidR="008947EF">
        <w:t xml:space="preserve"> as they establish the purpose of potential reform</w:t>
      </w:r>
      <w:r>
        <w:t xml:space="preserve">. </w:t>
      </w:r>
      <w:r w:rsidR="000B6A5F">
        <w:t>The process of justifying limitations on human rights produces effective public policy.</w:t>
      </w:r>
      <w:r w:rsidRPr="00EC2DB3">
        <w:t xml:space="preserve"> </w:t>
      </w:r>
      <w:r w:rsidR="008947EF">
        <w:t>As t</w:t>
      </w:r>
      <w:r w:rsidR="00924101">
        <w:t xml:space="preserve">he Issues Paper </w:t>
      </w:r>
      <w:r w:rsidR="008947EF">
        <w:t>notes</w:t>
      </w:r>
      <w:r w:rsidR="00924101">
        <w:t xml:space="preserve">: </w:t>
      </w:r>
    </w:p>
    <w:p w14:paraId="2C158D27" w14:textId="0D95CF1C" w:rsidR="00924101" w:rsidRDefault="00924101" w:rsidP="000B6A5F">
      <w:pPr>
        <w:pStyle w:val="Quote"/>
      </w:pPr>
      <w:r>
        <w:t>Any future reforms introduced in Queensland which might limit the right to equal treatment – such as the extension of the offence of serious assault to apply to other occupational groups, or legislative reforms that may enhance current protections for public sector officers — will need to be justified under the new Queensland HRA</w:t>
      </w:r>
      <w:r>
        <w:rPr>
          <w:i/>
          <w:iCs/>
        </w:rPr>
        <w:t xml:space="preserve">. </w:t>
      </w:r>
      <w:r>
        <w:t>Consequently, the purpose of the limitation will need to be shown to be important, and the limitation rationally and necessarily con</w:t>
      </w:r>
      <w:r w:rsidR="008947EF">
        <w:t>nected to achieving its purpose.</w:t>
      </w:r>
    </w:p>
    <w:p w14:paraId="28B491B7" w14:textId="20110E01" w:rsidR="00157016" w:rsidRDefault="000546B3" w:rsidP="00157016">
      <w:pPr>
        <w:pStyle w:val="Numberedparagraph"/>
      </w:pPr>
      <w:r>
        <w:t xml:space="preserve">The review </w:t>
      </w:r>
      <w:r w:rsidR="000B6A5F">
        <w:t>has essentially</w:t>
      </w:r>
      <w:r>
        <w:t xml:space="preserve"> identified</w:t>
      </w:r>
      <w:r w:rsidR="00812632">
        <w:t xml:space="preserve"> two </w:t>
      </w:r>
      <w:r w:rsidR="000B6A5F">
        <w:t>main reasons</w:t>
      </w:r>
      <w:r w:rsidR="00812632">
        <w:t xml:space="preserve"> for making offences against </w:t>
      </w:r>
      <w:r w:rsidR="00924101">
        <w:t>public officers</w:t>
      </w:r>
      <w:r w:rsidR="00812632">
        <w:t xml:space="preserve"> more serious (whether that is through specific offences, aggravating factors</w:t>
      </w:r>
      <w:r w:rsidR="00294973">
        <w:t>,</w:t>
      </w:r>
      <w:r w:rsidR="00812632">
        <w:t xml:space="preserve"> or</w:t>
      </w:r>
      <w:r w:rsidR="00924101">
        <w:t xml:space="preserve"> increased maximum penalties)</w:t>
      </w:r>
      <w:r w:rsidR="00294973">
        <w:t xml:space="preserve"> namely</w:t>
      </w:r>
      <w:r w:rsidR="00157016">
        <w:t xml:space="preserve">: </w:t>
      </w:r>
    </w:p>
    <w:p w14:paraId="67D3BDB5" w14:textId="4953020C" w:rsidR="00F02AD7" w:rsidRPr="00C45B96" w:rsidRDefault="00294973" w:rsidP="00C45B96">
      <w:pPr>
        <w:pStyle w:val="Bulletedlist"/>
      </w:pPr>
      <w:r>
        <w:t>t</w:t>
      </w:r>
      <w:r w:rsidR="00F02AD7" w:rsidRPr="00C45B96">
        <w:t xml:space="preserve">o </w:t>
      </w:r>
      <w:r w:rsidR="00F02AD7" w:rsidRPr="00C45B96">
        <w:rPr>
          <w:b/>
        </w:rPr>
        <w:t>deter</w:t>
      </w:r>
      <w:r w:rsidR="00F02AD7" w:rsidRPr="00C45B96">
        <w:t xml:space="preserve"> the conduct and </w:t>
      </w:r>
      <w:r w:rsidR="00F02AD7" w:rsidRPr="00C45B96">
        <w:rPr>
          <w:b/>
        </w:rPr>
        <w:t xml:space="preserve">protect </w:t>
      </w:r>
      <w:r w:rsidR="00F02AD7" w:rsidRPr="00C45B96">
        <w:t>these officers because they are more vulnerable due to the nature of their work</w:t>
      </w:r>
      <w:r>
        <w:t>; and</w:t>
      </w:r>
    </w:p>
    <w:p w14:paraId="5DFCCFE0" w14:textId="10825D5B" w:rsidR="0089505F" w:rsidRDefault="00294973" w:rsidP="0089505F">
      <w:pPr>
        <w:pStyle w:val="Bulletedlist"/>
      </w:pPr>
      <w:proofErr w:type="gramStart"/>
      <w:r>
        <w:t>t</w:t>
      </w:r>
      <w:r w:rsidR="005253D2" w:rsidRPr="00C45B96">
        <w:t>o</w:t>
      </w:r>
      <w:proofErr w:type="gramEnd"/>
      <w:r w:rsidR="00C45B96">
        <w:t xml:space="preserve"> </w:t>
      </w:r>
      <w:r w:rsidR="005253D2" w:rsidRPr="0089505F">
        <w:rPr>
          <w:b/>
        </w:rPr>
        <w:t>denounce</w:t>
      </w:r>
      <w:r w:rsidR="002A4C2E" w:rsidRPr="0089505F">
        <w:rPr>
          <w:b/>
        </w:rPr>
        <w:t xml:space="preserve"> and condemn</w:t>
      </w:r>
      <w:r w:rsidR="005253D2" w:rsidRPr="00C45B96">
        <w:t xml:space="preserve"> acts of violence against officers who are acting to protect the community, </w:t>
      </w:r>
      <w:r w:rsidR="00C45B96" w:rsidRPr="00C45B96">
        <w:t xml:space="preserve">save the lives of others, </w:t>
      </w:r>
      <w:r w:rsidR="005253D2" w:rsidRPr="00C45B96">
        <w:t>upholding the rule of law</w:t>
      </w:r>
      <w:r>
        <w:t>,</w:t>
      </w:r>
      <w:r w:rsidR="005253D2" w:rsidRPr="00C45B96">
        <w:t xml:space="preserve"> and performing duties on behalf of the state</w:t>
      </w:r>
      <w:r w:rsidR="00C45B96" w:rsidRPr="00C45B96">
        <w:t xml:space="preserve">. </w:t>
      </w:r>
    </w:p>
    <w:p w14:paraId="363DB0CF" w14:textId="07D5EA37" w:rsidR="0089505F" w:rsidRPr="00C45B96" w:rsidRDefault="0089505F" w:rsidP="0089505F">
      <w:pPr>
        <w:pStyle w:val="Numberedparagraph"/>
      </w:pPr>
      <w:r>
        <w:t xml:space="preserve">Both purposes acknowledge that as well as </w:t>
      </w:r>
      <w:r w:rsidRPr="00C45B96">
        <w:t xml:space="preserve">the impacts on individual victims, a serious assault </w:t>
      </w:r>
      <w:r>
        <w:t xml:space="preserve">on particular workers </w:t>
      </w:r>
      <w:r w:rsidRPr="00C45B96">
        <w:t>may impact public confidence in government, the justice system</w:t>
      </w:r>
      <w:r w:rsidR="00294973">
        <w:t>,</w:t>
      </w:r>
      <w:r w:rsidRPr="00C45B96">
        <w:t xml:space="preserve"> and the institutions that employ them.</w:t>
      </w:r>
    </w:p>
    <w:p w14:paraId="36126880" w14:textId="2C2AA9AD" w:rsidR="00B22DAA" w:rsidRPr="00EC2DB3" w:rsidRDefault="0089505F" w:rsidP="008947EF">
      <w:pPr>
        <w:pStyle w:val="Numberedparagraph"/>
      </w:pPr>
      <w:r>
        <w:t xml:space="preserve">As the Issues Paper explores in some length, there are challenges in using increased penalties to denounce and </w:t>
      </w:r>
      <w:r w:rsidR="00E53630">
        <w:t>condemn</w:t>
      </w:r>
      <w:r>
        <w:t xml:space="preserve"> conduct, and measuring whether such a purpose is achieved can </w:t>
      </w:r>
      <w:r w:rsidR="000546B3">
        <w:t>also be</w:t>
      </w:r>
      <w:r>
        <w:t xml:space="preserve"> difficult. In contrast, t</w:t>
      </w:r>
      <w:r w:rsidR="00924101">
        <w:t xml:space="preserve">he </w:t>
      </w:r>
      <w:r>
        <w:t xml:space="preserve">success of deterring behaviour </w:t>
      </w:r>
      <w:r w:rsidR="00924101">
        <w:t xml:space="preserve">can at least be informed by research and experience in other jurisdictions. </w:t>
      </w:r>
    </w:p>
    <w:p w14:paraId="41F5DEA6" w14:textId="5CDF8C18" w:rsidR="00B22DAA" w:rsidRDefault="00B22DAA" w:rsidP="00B22DAA">
      <w:pPr>
        <w:pStyle w:val="Heading2"/>
      </w:pPr>
      <w:bookmarkStart w:id="3" w:name="_Toc43990184"/>
      <w:r>
        <w:lastRenderedPageBreak/>
        <w:t xml:space="preserve">What </w:t>
      </w:r>
      <w:r w:rsidR="00BB67DA">
        <w:t>factors increase</w:t>
      </w:r>
      <w:r>
        <w:t xml:space="preserve"> assaults against </w:t>
      </w:r>
      <w:r w:rsidR="004E46AA">
        <w:t>public officers</w:t>
      </w:r>
      <w:r w:rsidR="00924101">
        <w:t>?</w:t>
      </w:r>
      <w:bookmarkEnd w:id="3"/>
    </w:p>
    <w:p w14:paraId="49FBDF9C" w14:textId="788E84EF" w:rsidR="0089505F" w:rsidRDefault="001C1521" w:rsidP="00157016">
      <w:pPr>
        <w:pStyle w:val="Numberedparagraph"/>
      </w:pPr>
      <w:r>
        <w:t>R</w:t>
      </w:r>
      <w:r w:rsidR="00956805">
        <w:t xml:space="preserve">esearch </w:t>
      </w:r>
      <w:r>
        <w:t xml:space="preserve">has identified some factors that </w:t>
      </w:r>
      <w:r w:rsidR="000546B3">
        <w:t>increase</w:t>
      </w:r>
      <w:r>
        <w:t xml:space="preserve"> the</w:t>
      </w:r>
      <w:r w:rsidR="008947EF">
        <w:t xml:space="preserve"> risk</w:t>
      </w:r>
      <w:r w:rsidR="000546B3">
        <w:t xml:space="preserve"> of assault for particular workers</w:t>
      </w:r>
      <w:r w:rsidR="0089505F">
        <w:t>.</w:t>
      </w:r>
      <w:r w:rsidR="00DF1E78">
        <w:t xml:space="preserve"> </w:t>
      </w:r>
    </w:p>
    <w:p w14:paraId="67D306A8" w14:textId="46B39F49" w:rsidR="00BB67DA" w:rsidRDefault="008947EF" w:rsidP="00BB67DA">
      <w:pPr>
        <w:pStyle w:val="Numberedparagraph"/>
      </w:pPr>
      <w:r>
        <w:t>For example, the Issues Paper notes</w:t>
      </w:r>
      <w:r w:rsidR="00661B55">
        <w:t xml:space="preserve"> that </w:t>
      </w:r>
      <w:r w:rsidR="00661B55" w:rsidRPr="004B1C84">
        <w:rPr>
          <w:b/>
        </w:rPr>
        <w:t xml:space="preserve">corrections officers </w:t>
      </w:r>
      <w:r w:rsidR="00661B55">
        <w:t>ha</w:t>
      </w:r>
      <w:r w:rsidR="00924101">
        <w:t>ve</w:t>
      </w:r>
      <w:r w:rsidR="00661B55">
        <w:t xml:space="preserve"> among the highest acceptance rates of claims lodged with WorkCover (36%). </w:t>
      </w:r>
      <w:r>
        <w:t>Overcrowding is a particular risk factor these workers. T</w:t>
      </w:r>
      <w:r w:rsidR="0096086E">
        <w:t xml:space="preserve">he Queensland Crime and Corruption Commission’s </w:t>
      </w:r>
      <w:r w:rsidR="00B909F2" w:rsidRPr="004B1C84">
        <w:rPr>
          <w:i/>
        </w:rPr>
        <w:t>Taskforce</w:t>
      </w:r>
      <w:r w:rsidR="0096086E" w:rsidRPr="004B1C84">
        <w:rPr>
          <w:i/>
        </w:rPr>
        <w:t xml:space="preserve"> </w:t>
      </w:r>
      <w:proofErr w:type="spellStart"/>
      <w:r w:rsidR="0096086E" w:rsidRPr="004B1C84">
        <w:rPr>
          <w:i/>
        </w:rPr>
        <w:t>Flaxton</w:t>
      </w:r>
      <w:proofErr w:type="spellEnd"/>
      <w:r w:rsidR="0096086E" w:rsidRPr="004B1C84">
        <w:rPr>
          <w:i/>
        </w:rPr>
        <w:t xml:space="preserve">, </w:t>
      </w:r>
      <w:r w:rsidR="004E46AA">
        <w:t xml:space="preserve">report </w:t>
      </w:r>
      <w:r w:rsidR="00B909F2">
        <w:t>recommended improvements to prevent, detect</w:t>
      </w:r>
      <w:r w:rsidR="006D5969">
        <w:t>,</w:t>
      </w:r>
      <w:r w:rsidR="00B909F2">
        <w:t xml:space="preserve"> and deal with corruption risks, which it n</w:t>
      </w:r>
      <w:r w:rsidR="00BB67DA">
        <w:t>oted would improve staff safety, as overcrowding can:</w:t>
      </w:r>
    </w:p>
    <w:p w14:paraId="25B34B93" w14:textId="77777777" w:rsidR="00BB67DA" w:rsidRPr="000B6A5F" w:rsidRDefault="00BB67DA" w:rsidP="000B6A5F">
      <w:pPr>
        <w:pStyle w:val="Quote"/>
      </w:pPr>
      <w:r>
        <w:t>…</w:t>
      </w:r>
      <w:r w:rsidRPr="000B6A5F">
        <w:t>increase the risk of conflict, violence and serious assaults against prisoners and staff. An analysis of data from the last five years shows that as the utilisation rate (a measure of overcrowding) of Queensland prisons increased, so too did prisoner-on-prisoner and prisoner-on-staff assaults, self-harm incidents, and incidents requiring the use of force.</w:t>
      </w:r>
      <w:r w:rsidRPr="000B6A5F">
        <w:rPr>
          <w:rStyle w:val="FootnoteReference"/>
        </w:rPr>
        <w:footnoteReference w:id="7"/>
      </w:r>
      <w:r w:rsidRPr="000B6A5F">
        <w:t xml:space="preserve"> </w:t>
      </w:r>
    </w:p>
    <w:p w14:paraId="7B8AF7CA" w14:textId="79C05745" w:rsidR="000C0875" w:rsidRDefault="00BB67DA" w:rsidP="004B1C84">
      <w:pPr>
        <w:pStyle w:val="Numberedparagraph"/>
      </w:pPr>
      <w:r>
        <w:t>Unions have previous</w:t>
      </w:r>
      <w:r w:rsidR="006D5969">
        <w:t>ly</w:t>
      </w:r>
      <w:r>
        <w:t xml:space="preserve"> cited o</w:t>
      </w:r>
      <w:r w:rsidR="00151611">
        <w:t xml:space="preserve">vercrowding and a lack of investment in infrastructure </w:t>
      </w:r>
      <w:r>
        <w:t xml:space="preserve">as </w:t>
      </w:r>
      <w:r w:rsidR="00151611">
        <w:t>driver</w:t>
      </w:r>
      <w:r>
        <w:t>s</w:t>
      </w:r>
      <w:r w:rsidR="00151611">
        <w:t xml:space="preserve"> of violence in Queensland prisons</w:t>
      </w:r>
      <w:r w:rsidR="000538B5">
        <w:t>.</w:t>
      </w:r>
      <w:r w:rsidR="00151611">
        <w:rPr>
          <w:rStyle w:val="FootnoteReference"/>
        </w:rPr>
        <w:footnoteReference w:id="8"/>
      </w:r>
      <w:r w:rsidR="000538B5">
        <w:t xml:space="preserve"> </w:t>
      </w:r>
    </w:p>
    <w:p w14:paraId="3801B852" w14:textId="43C06DB3" w:rsidR="008947EF" w:rsidRDefault="008947EF" w:rsidP="008947EF">
      <w:pPr>
        <w:pStyle w:val="Numberedparagraph"/>
      </w:pPr>
      <w:r>
        <w:t xml:space="preserve">The NSW Inspector of Custodial Services </w:t>
      </w:r>
      <w:r w:rsidR="006D5969">
        <w:t xml:space="preserve">report </w:t>
      </w:r>
      <w:r>
        <w:t xml:space="preserve">notes that the persistent threat of violence stems from </w:t>
      </w:r>
      <w:r w:rsidR="006D5969">
        <w:t xml:space="preserve">prisoners </w:t>
      </w:r>
      <w:r>
        <w:t xml:space="preserve">receiving longer sentences, </w:t>
      </w:r>
      <w:r w:rsidR="00DE0DF0">
        <w:t xml:space="preserve">which </w:t>
      </w:r>
      <w:r>
        <w:t>result</w:t>
      </w:r>
      <w:r w:rsidR="00DE0DF0">
        <w:t>s</w:t>
      </w:r>
      <w:r>
        <w:t xml:space="preserve"> in less incentive for good behaviour</w:t>
      </w:r>
      <w:r w:rsidR="006D5969">
        <w:t>,</w:t>
      </w:r>
      <w:r>
        <w:t xml:space="preserve"> </w:t>
      </w:r>
      <w:r w:rsidR="00DE0DF0">
        <w:t xml:space="preserve">as well as an </w:t>
      </w:r>
      <w:r>
        <w:t xml:space="preserve">increase in the numbers of mentally ill and violent </w:t>
      </w:r>
      <w:r w:rsidR="000B6A5F">
        <w:t>p</w:t>
      </w:r>
      <w:r w:rsidR="00DE0DF0">
        <w:t xml:space="preserve">risoners. </w:t>
      </w:r>
      <w:r>
        <w:t xml:space="preserve">However, this Report also cautioned that while the pre-existing </w:t>
      </w:r>
      <w:r w:rsidR="00DE0DF0">
        <w:t xml:space="preserve">prisoner </w:t>
      </w:r>
      <w:r>
        <w:t xml:space="preserve">characteristics are clearly important </w:t>
      </w:r>
      <w:r w:rsidR="00DE0DF0">
        <w:t>(</w:t>
      </w:r>
      <w:r>
        <w:t>such as being a violen</w:t>
      </w:r>
      <w:r w:rsidR="00DE0DF0">
        <w:t>t</w:t>
      </w:r>
      <w:r>
        <w:t xml:space="preserve"> offender</w:t>
      </w:r>
      <w:r w:rsidR="00DE0DF0">
        <w:t>)</w:t>
      </w:r>
      <w:r>
        <w:t xml:space="preserve"> the factors contributing to correctional centre violence ‘are complex and defy anything other than comprehensive </w:t>
      </w:r>
      <w:proofErr w:type="gramStart"/>
      <w:r>
        <w:t>analysis’</w:t>
      </w:r>
      <w:proofErr w:type="gramEnd"/>
      <w:r>
        <w:t>. It found violence was linked to structural or situational factors such as prison design</w:t>
      </w:r>
      <w:r w:rsidR="00DE0DF0">
        <w:t>,</w:t>
      </w:r>
      <w:r>
        <w:t xml:space="preserve"> security levels, management practices</w:t>
      </w:r>
      <w:r w:rsidR="00DE0DF0">
        <w:t>,</w:t>
      </w:r>
      <w:r>
        <w:t xml:space="preserve"> population profile</w:t>
      </w:r>
      <w:r w:rsidR="00DE0DF0">
        <w:t>,</w:t>
      </w:r>
      <w:r>
        <w:t xml:space="preserve"> activity levels</w:t>
      </w:r>
      <w:r w:rsidR="00DE0DF0">
        <w:t>,</w:t>
      </w:r>
      <w:r>
        <w:t xml:space="preserve"> and outside environmental influences (such as overcrowding).</w:t>
      </w:r>
      <w:r>
        <w:rPr>
          <w:rStyle w:val="FootnoteReference"/>
        </w:rPr>
        <w:footnoteReference w:id="9"/>
      </w:r>
      <w:r>
        <w:t xml:space="preserve"> </w:t>
      </w:r>
    </w:p>
    <w:p w14:paraId="607E1597" w14:textId="483D54A1" w:rsidR="00F03E65" w:rsidRDefault="00F03E65" w:rsidP="00B1349D">
      <w:pPr>
        <w:pStyle w:val="Numberedparagraph"/>
      </w:pPr>
      <w:r>
        <w:t xml:space="preserve">The WA Inspector of Custodial Services found that </w:t>
      </w:r>
      <w:r w:rsidR="00DE0DF0">
        <w:t>p</w:t>
      </w:r>
      <w:r>
        <w:t xml:space="preserve">risoners with mental health issues or cognitive impairments, particularly women, were over-represented in staff assault incidents, which ‘aligned with international and local experience’. Other key drivers of assaults included prisoners with </w:t>
      </w:r>
      <w:r>
        <w:lastRenderedPageBreak/>
        <w:t>‘idle hands’, and prisoners being kept in more secure accommodation than was required for their classification.</w:t>
      </w:r>
      <w:r>
        <w:rPr>
          <w:rStyle w:val="FootnoteReference"/>
        </w:rPr>
        <w:footnoteReference w:id="10"/>
      </w:r>
    </w:p>
    <w:p w14:paraId="140D3AF5" w14:textId="4C5EAA05" w:rsidR="00151611" w:rsidRDefault="00661B55" w:rsidP="000538B5">
      <w:pPr>
        <w:pStyle w:val="Numberedparagraph"/>
      </w:pPr>
      <w:r>
        <w:t xml:space="preserve">WorkCover data </w:t>
      </w:r>
      <w:r w:rsidR="000538B5">
        <w:t xml:space="preserve">cited </w:t>
      </w:r>
      <w:r>
        <w:t xml:space="preserve">in the Issues Paper also found </w:t>
      </w:r>
      <w:r w:rsidR="000538B5" w:rsidRPr="000538B5">
        <w:t>claims made by</w:t>
      </w:r>
      <w:r w:rsidR="000538B5">
        <w:rPr>
          <w:b/>
        </w:rPr>
        <w:t xml:space="preserve"> police</w:t>
      </w:r>
      <w:r>
        <w:t xml:space="preserve"> had a high acceptance rate (33.7%).</w:t>
      </w:r>
      <w:r w:rsidR="004B1C84">
        <w:t xml:space="preserve"> In 2009, Western Australia sought to address assaults again</w:t>
      </w:r>
      <w:r w:rsidR="00797A7B">
        <w:t>st</w:t>
      </w:r>
      <w:r w:rsidR="004B1C84">
        <w:t xml:space="preserve"> police through mandatory minimum sentencing laws, which the Issues Paper discusses in detail. </w:t>
      </w:r>
      <w:r w:rsidR="00A23A8A">
        <w:t>It is unclear</w:t>
      </w:r>
      <w:r w:rsidR="004B1C84">
        <w:t xml:space="preserve"> whether these laws </w:t>
      </w:r>
      <w:r w:rsidR="005235E0">
        <w:t xml:space="preserve">actually resulted in </w:t>
      </w:r>
      <w:r w:rsidR="005235E0" w:rsidRPr="005235E0">
        <w:t>a significant drop in assaults aga</w:t>
      </w:r>
      <w:r w:rsidR="005235E0">
        <w:t xml:space="preserve">inst police and public officers (as was claimed). </w:t>
      </w:r>
      <w:r w:rsidR="00B44F65">
        <w:t>In 2017, t</w:t>
      </w:r>
      <w:r w:rsidR="005235E0">
        <w:t xml:space="preserve">he outgoing WA Police Commissioner expressed a preference for </w:t>
      </w:r>
      <w:r w:rsidR="00B44F65">
        <w:t>investment in prevention and working with vulnerable families over mandatory sentencing.</w:t>
      </w:r>
      <w:r w:rsidR="00B44F65">
        <w:rPr>
          <w:rStyle w:val="FootnoteReference"/>
        </w:rPr>
        <w:footnoteReference w:id="11"/>
      </w:r>
      <w:r w:rsidR="000538B5">
        <w:t xml:space="preserve"> </w:t>
      </w:r>
    </w:p>
    <w:p w14:paraId="166C9A60" w14:textId="630314F6" w:rsidR="00DE447D" w:rsidRDefault="003A0ACF" w:rsidP="000538B5">
      <w:pPr>
        <w:pStyle w:val="Numberedparagraph"/>
      </w:pPr>
      <w:r>
        <w:t xml:space="preserve">The </w:t>
      </w:r>
      <w:r w:rsidR="00A23A8A">
        <w:t>Griffith University</w:t>
      </w:r>
      <w:r w:rsidR="00DE447D">
        <w:t xml:space="preserve"> research paper notes that </w:t>
      </w:r>
      <w:r w:rsidR="00C27309">
        <w:t xml:space="preserve">workers </w:t>
      </w:r>
      <w:r w:rsidR="00BF7B2B">
        <w:t xml:space="preserve">who </w:t>
      </w:r>
      <w:r w:rsidR="00DE447D">
        <w:t>visit clients in a domestic</w:t>
      </w:r>
      <w:r>
        <w:t xml:space="preserve"> </w:t>
      </w:r>
      <w:r w:rsidR="00DE447D">
        <w:t>setting may be sub</w:t>
      </w:r>
      <w:r w:rsidR="00A23A8A">
        <w:t>ject to greater risk of assault</w:t>
      </w:r>
      <w:r>
        <w:t>,</w:t>
      </w:r>
      <w:r w:rsidR="00DE447D">
        <w:t xml:space="preserve"> includ</w:t>
      </w:r>
      <w:r>
        <w:t>ing</w:t>
      </w:r>
      <w:r w:rsidR="00DE447D">
        <w:t xml:space="preserve"> </w:t>
      </w:r>
      <w:r w:rsidR="00DE447D" w:rsidRPr="00DE447D">
        <w:rPr>
          <w:b/>
        </w:rPr>
        <w:t>child protection workers</w:t>
      </w:r>
      <w:r w:rsidR="00DE447D">
        <w:t xml:space="preserve">, </w:t>
      </w:r>
      <w:r w:rsidR="00DE447D" w:rsidRPr="0073136F">
        <w:rPr>
          <w:b/>
        </w:rPr>
        <w:t>residential care workers</w:t>
      </w:r>
      <w:r>
        <w:rPr>
          <w:b/>
        </w:rPr>
        <w:t>,</w:t>
      </w:r>
      <w:r w:rsidR="00DE447D">
        <w:t xml:space="preserve"> </w:t>
      </w:r>
      <w:r w:rsidR="0073136F">
        <w:t>and police</w:t>
      </w:r>
      <w:r w:rsidR="00DE447D">
        <w:t xml:space="preserve"> attending domestic disturbances</w:t>
      </w:r>
      <w:r w:rsidR="0073136F">
        <w:t>.</w:t>
      </w:r>
      <w:r w:rsidR="00A23A8A">
        <w:t xml:space="preserve"> </w:t>
      </w:r>
      <w:r w:rsidR="00C27309">
        <w:t xml:space="preserve">As such, </w:t>
      </w:r>
      <w:r w:rsidR="00A23A8A">
        <w:t xml:space="preserve">addressing risks </w:t>
      </w:r>
      <w:r w:rsidR="00C27309">
        <w:t>associated with such visits</w:t>
      </w:r>
      <w:r w:rsidR="00A23A8A">
        <w:t xml:space="preserve"> may reduce incidents of assault. </w:t>
      </w:r>
    </w:p>
    <w:p w14:paraId="5136C531" w14:textId="5AB36F24" w:rsidR="00113963" w:rsidRDefault="00321071" w:rsidP="00113963">
      <w:pPr>
        <w:pStyle w:val="Numberedparagraph"/>
      </w:pPr>
      <w:r w:rsidRPr="000538B5">
        <w:t xml:space="preserve">The Issues Paper </w:t>
      </w:r>
      <w:r w:rsidR="004B1C84">
        <w:t xml:space="preserve">also </w:t>
      </w:r>
      <w:r w:rsidRPr="000538B5">
        <w:t xml:space="preserve">notes that </w:t>
      </w:r>
      <w:r w:rsidR="00A23A8A">
        <w:rPr>
          <w:b/>
        </w:rPr>
        <w:t>p</w:t>
      </w:r>
      <w:r w:rsidRPr="000538B5">
        <w:rPr>
          <w:b/>
        </w:rPr>
        <w:t xml:space="preserve">aramedics </w:t>
      </w:r>
      <w:r w:rsidRPr="000538B5">
        <w:t>are the most common victims of serious assault of a public officer under section 340(2AA)</w:t>
      </w:r>
      <w:r w:rsidR="000546B3">
        <w:t xml:space="preserve"> of the </w:t>
      </w:r>
      <w:r w:rsidR="000546B3">
        <w:rPr>
          <w:i/>
        </w:rPr>
        <w:t>Criminal Code</w:t>
      </w:r>
      <w:r w:rsidR="00F9218B">
        <w:rPr>
          <w:i/>
        </w:rPr>
        <w:t>,</w:t>
      </w:r>
      <w:r w:rsidRPr="000538B5">
        <w:t xml:space="preserve"> and medical worker</w:t>
      </w:r>
      <w:r w:rsidR="00F9218B">
        <w:t>s</w:t>
      </w:r>
      <w:r w:rsidRPr="000538B5">
        <w:t xml:space="preserve"> </w:t>
      </w:r>
      <w:r w:rsidR="00F9218B">
        <w:t>are</w:t>
      </w:r>
      <w:r w:rsidR="00F9218B" w:rsidRPr="000538B5">
        <w:t xml:space="preserve"> </w:t>
      </w:r>
      <w:r w:rsidRPr="000538B5">
        <w:t xml:space="preserve">the second most common victim occupation. </w:t>
      </w:r>
      <w:r w:rsidR="00613F98" w:rsidRPr="000538B5">
        <w:t>In our e</w:t>
      </w:r>
      <w:r w:rsidR="00D23305" w:rsidRPr="000538B5">
        <w:t xml:space="preserve">arlier submission, we noted </w:t>
      </w:r>
      <w:r w:rsidR="00613F98" w:rsidRPr="000538B5">
        <w:t>an international survey</w:t>
      </w:r>
      <w:r w:rsidR="00D23305" w:rsidRPr="000538B5">
        <w:t xml:space="preserve"> of </w:t>
      </w:r>
      <w:r w:rsidR="00D23305" w:rsidRPr="00956805">
        <w:t>paramedics</w:t>
      </w:r>
      <w:r w:rsidR="00613F98" w:rsidRPr="00956805">
        <w:t xml:space="preserve"> </w:t>
      </w:r>
      <w:r w:rsidR="00613F98" w:rsidRPr="000538B5">
        <w:t xml:space="preserve">across 13 countries, </w:t>
      </w:r>
      <w:r w:rsidR="000546B3">
        <w:t xml:space="preserve">which </w:t>
      </w:r>
      <w:r w:rsidR="00F9218B">
        <w:t xml:space="preserve">found that </w:t>
      </w:r>
      <w:r w:rsidR="000546B3">
        <w:t>to address violence there was</w:t>
      </w:r>
      <w:r w:rsidR="00613F98" w:rsidRPr="000538B5">
        <w:t xml:space="preserve"> a need for better training, better options for restraint, improved communication</w:t>
      </w:r>
      <w:r w:rsidR="00F9218B">
        <w:t>,</w:t>
      </w:r>
      <w:r w:rsidR="00613F98" w:rsidRPr="000538B5">
        <w:t xml:space="preserve"> advanced warning, improved public education, better situational awareness</w:t>
      </w:r>
      <w:r w:rsidR="00F9218B">
        <w:t>,</w:t>
      </w:r>
      <w:r w:rsidR="00613F98" w:rsidRPr="000538B5">
        <w:t xml:space="preserve"> and improved inter-agency cooperation.</w:t>
      </w:r>
      <w:r w:rsidR="00613F98" w:rsidRPr="000538B5">
        <w:rPr>
          <w:rStyle w:val="FootnoteReference"/>
        </w:rPr>
        <w:footnoteReference w:id="12"/>
      </w:r>
      <w:r w:rsidR="00613F98" w:rsidRPr="000538B5">
        <w:t xml:space="preserve"> The study nonetheless concludes </w:t>
      </w:r>
      <w:r w:rsidR="00F9218B">
        <w:t xml:space="preserve">that </w:t>
      </w:r>
      <w:r w:rsidR="00613F98" w:rsidRPr="000538B5">
        <w:t>more research is needed into what strategies are most effective at protecting paramedics</w:t>
      </w:r>
      <w:r w:rsidR="00613F98">
        <w:t>.</w:t>
      </w:r>
      <w:r w:rsidR="00613F98">
        <w:rPr>
          <w:rStyle w:val="FootnoteReference"/>
        </w:rPr>
        <w:footnoteReference w:id="13"/>
      </w:r>
      <w:r w:rsidR="00613F98">
        <w:t xml:space="preserve"> </w:t>
      </w:r>
      <w:r w:rsidR="004B1C84">
        <w:t>In relation to</w:t>
      </w:r>
      <w:r w:rsidR="00113963">
        <w:t xml:space="preserve"> </w:t>
      </w:r>
      <w:r w:rsidR="00113963" w:rsidRPr="004B1C84">
        <w:rPr>
          <w:b/>
        </w:rPr>
        <w:t>health</w:t>
      </w:r>
      <w:r w:rsidR="004B1C84" w:rsidRPr="004B1C84">
        <w:rPr>
          <w:b/>
        </w:rPr>
        <w:t>c</w:t>
      </w:r>
      <w:r w:rsidR="00113963" w:rsidRPr="004B1C84">
        <w:rPr>
          <w:b/>
        </w:rPr>
        <w:t>are</w:t>
      </w:r>
      <w:r w:rsidR="004B1C84" w:rsidRPr="004B1C84">
        <w:rPr>
          <w:b/>
        </w:rPr>
        <w:t xml:space="preserve"> workers</w:t>
      </w:r>
      <w:r w:rsidR="004B1C84">
        <w:t xml:space="preserve"> more broadly, the Griffith University research paper notes</w:t>
      </w:r>
      <w:r w:rsidR="00DE447D">
        <w:t>:</w:t>
      </w:r>
    </w:p>
    <w:p w14:paraId="252EACCD" w14:textId="0430A28E" w:rsidR="00DE447D" w:rsidRPr="00DE447D" w:rsidRDefault="00DE447D" w:rsidP="00DE447D">
      <w:pPr>
        <w:pStyle w:val="Bulletedlist"/>
        <w:rPr>
          <w:rStyle w:val="QuoteChar"/>
          <w:sz w:val="24"/>
          <w:szCs w:val="24"/>
        </w:rPr>
      </w:pPr>
      <w:r>
        <w:rPr>
          <w:rStyle w:val="QuoteChar"/>
          <w:sz w:val="24"/>
          <w:szCs w:val="24"/>
        </w:rPr>
        <w:lastRenderedPageBreak/>
        <w:t>P</w:t>
      </w:r>
      <w:r w:rsidR="00113963" w:rsidRPr="00DE447D">
        <w:rPr>
          <w:rStyle w:val="QuoteChar"/>
          <w:sz w:val="24"/>
          <w:szCs w:val="24"/>
        </w:rPr>
        <w:t>hysical violence against Australian nurses has been associated with system delays and proportions of patients waiting, as well as unanticipated changes in the patie</w:t>
      </w:r>
      <w:r w:rsidRPr="00DE447D">
        <w:rPr>
          <w:rStyle w:val="QuoteChar"/>
          <w:sz w:val="24"/>
          <w:szCs w:val="24"/>
        </w:rPr>
        <w:t xml:space="preserve">nt population. </w:t>
      </w:r>
    </w:p>
    <w:p w14:paraId="5A325151" w14:textId="77777777" w:rsidR="00DE447D" w:rsidRPr="00DE447D" w:rsidRDefault="00113963" w:rsidP="00DE447D">
      <w:pPr>
        <w:pStyle w:val="Bulletedlist"/>
        <w:rPr>
          <w:rStyle w:val="QuoteChar"/>
          <w:sz w:val="24"/>
          <w:szCs w:val="24"/>
        </w:rPr>
      </w:pPr>
      <w:r w:rsidRPr="00DE447D">
        <w:rPr>
          <w:rStyle w:val="QuoteChar"/>
          <w:sz w:val="24"/>
          <w:szCs w:val="24"/>
        </w:rPr>
        <w:t>Canadian co</w:t>
      </w:r>
      <w:r w:rsidR="00DE447D" w:rsidRPr="00DE447D">
        <w:rPr>
          <w:rStyle w:val="QuoteChar"/>
          <w:sz w:val="24"/>
          <w:szCs w:val="24"/>
        </w:rPr>
        <w:t>mmunity living support staff</w:t>
      </w:r>
      <w:r w:rsidRPr="00DE447D">
        <w:rPr>
          <w:rStyle w:val="QuoteChar"/>
          <w:sz w:val="24"/>
          <w:szCs w:val="24"/>
        </w:rPr>
        <w:t xml:space="preserve"> perceived that improper client scheduling was one cause of violence f</w:t>
      </w:r>
      <w:r w:rsidR="00DE447D" w:rsidRPr="00DE447D">
        <w:rPr>
          <w:rStyle w:val="QuoteChar"/>
          <w:sz w:val="24"/>
          <w:szCs w:val="24"/>
        </w:rPr>
        <w:t xml:space="preserve">rom clients. </w:t>
      </w:r>
    </w:p>
    <w:p w14:paraId="3D716A56" w14:textId="30BBAA6C" w:rsidR="00DE447D" w:rsidRPr="00DE447D" w:rsidRDefault="00DE447D" w:rsidP="00DE447D">
      <w:pPr>
        <w:pStyle w:val="Bulletedlist"/>
        <w:rPr>
          <w:rStyle w:val="QuoteChar"/>
          <w:sz w:val="24"/>
          <w:szCs w:val="24"/>
        </w:rPr>
      </w:pPr>
      <w:r w:rsidRPr="00DE447D">
        <w:rPr>
          <w:rStyle w:val="QuoteChar"/>
          <w:sz w:val="24"/>
          <w:szCs w:val="24"/>
        </w:rPr>
        <w:t xml:space="preserve">The environment </w:t>
      </w:r>
      <w:r w:rsidR="00113963" w:rsidRPr="00DE447D">
        <w:rPr>
          <w:rStyle w:val="QuoteChar"/>
          <w:sz w:val="24"/>
          <w:szCs w:val="24"/>
        </w:rPr>
        <w:t>has been shown to impact</w:t>
      </w:r>
      <w:r w:rsidR="00956805">
        <w:rPr>
          <w:rStyle w:val="QuoteChar"/>
          <w:sz w:val="24"/>
          <w:szCs w:val="24"/>
        </w:rPr>
        <w:t xml:space="preserve"> on behaviour</w:t>
      </w:r>
      <w:r w:rsidR="00113963" w:rsidRPr="00DE447D">
        <w:rPr>
          <w:rStyle w:val="QuoteChar"/>
          <w:sz w:val="24"/>
          <w:szCs w:val="24"/>
        </w:rPr>
        <w:t>, such as ro</w:t>
      </w:r>
      <w:r w:rsidRPr="00DE447D">
        <w:rPr>
          <w:rStyle w:val="QuoteChar"/>
          <w:sz w:val="24"/>
          <w:szCs w:val="24"/>
        </w:rPr>
        <w:t>om temperature and noise levels</w:t>
      </w:r>
      <w:r w:rsidR="00113963" w:rsidRPr="00DE447D">
        <w:rPr>
          <w:rStyle w:val="QuoteChar"/>
          <w:sz w:val="24"/>
          <w:szCs w:val="24"/>
        </w:rPr>
        <w:t xml:space="preserve">. </w:t>
      </w:r>
    </w:p>
    <w:p w14:paraId="683D1EC2" w14:textId="0C717E68" w:rsidR="00DE447D" w:rsidRPr="00DE447D" w:rsidRDefault="00113963" w:rsidP="00DE447D">
      <w:pPr>
        <w:pStyle w:val="Bulletedlist"/>
        <w:rPr>
          <w:rStyle w:val="QuoteChar"/>
          <w:sz w:val="24"/>
          <w:szCs w:val="24"/>
        </w:rPr>
      </w:pPr>
      <w:r w:rsidRPr="00DE447D">
        <w:rPr>
          <w:rStyle w:val="QuoteChar"/>
          <w:sz w:val="24"/>
          <w:szCs w:val="24"/>
        </w:rPr>
        <w:t>Staffing issues, such as understaffing or staff overload</w:t>
      </w:r>
      <w:r w:rsidR="00F9218B">
        <w:rPr>
          <w:rStyle w:val="QuoteChar"/>
          <w:sz w:val="24"/>
          <w:szCs w:val="24"/>
        </w:rPr>
        <w:t>,</w:t>
      </w:r>
      <w:r w:rsidRPr="00DE447D">
        <w:rPr>
          <w:rStyle w:val="QuoteChar"/>
          <w:sz w:val="24"/>
          <w:szCs w:val="24"/>
        </w:rPr>
        <w:t xml:space="preserve"> have been linked to physical ass</w:t>
      </w:r>
      <w:r w:rsidR="00DE447D" w:rsidRPr="00DE447D">
        <w:rPr>
          <w:rStyle w:val="QuoteChar"/>
          <w:sz w:val="24"/>
          <w:szCs w:val="24"/>
        </w:rPr>
        <w:t xml:space="preserve">aults against Australian nurses. </w:t>
      </w:r>
    </w:p>
    <w:p w14:paraId="6396EB72" w14:textId="1CD37AD5" w:rsidR="00113963" w:rsidRPr="00DE447D" w:rsidRDefault="00113963" w:rsidP="00DE447D">
      <w:pPr>
        <w:pStyle w:val="Bulletedlist"/>
      </w:pPr>
      <w:r w:rsidRPr="00DE447D">
        <w:rPr>
          <w:rStyle w:val="QuoteChar"/>
          <w:sz w:val="24"/>
          <w:szCs w:val="24"/>
        </w:rPr>
        <w:t xml:space="preserve">Workplace safety issues have also been linked to physical assaults in the health sector, such as </w:t>
      </w:r>
      <w:r w:rsidR="00633855">
        <w:rPr>
          <w:rStyle w:val="QuoteChar"/>
          <w:sz w:val="24"/>
          <w:szCs w:val="24"/>
        </w:rPr>
        <w:t>personal alarms</w:t>
      </w:r>
      <w:r w:rsidR="00DE447D" w:rsidRPr="00DE447D">
        <w:rPr>
          <w:rStyle w:val="QuoteChar"/>
          <w:sz w:val="24"/>
          <w:szCs w:val="24"/>
        </w:rPr>
        <w:t>.</w:t>
      </w:r>
    </w:p>
    <w:p w14:paraId="31C02B75" w14:textId="137F1638" w:rsidR="007C7224" w:rsidRDefault="000538B5" w:rsidP="007C7224">
      <w:pPr>
        <w:pStyle w:val="Numberedparagraph"/>
      </w:pPr>
      <w:r>
        <w:t xml:space="preserve">As this brief summary reveals, the drivers of assaults against particular </w:t>
      </w:r>
      <w:r w:rsidR="00C27309">
        <w:t xml:space="preserve">occupations </w:t>
      </w:r>
      <w:r>
        <w:t>are varied.</w:t>
      </w:r>
      <w:r w:rsidR="00DE447D">
        <w:t xml:space="preserve"> It is not immediately apparent that a blanket approach for </w:t>
      </w:r>
      <w:r w:rsidR="00C27309">
        <w:t>a range of occupations</w:t>
      </w:r>
      <w:r w:rsidR="00DE447D">
        <w:t>, particularly implemented through the criminal justice system, will necessarily make such workers safer.</w:t>
      </w:r>
      <w:r>
        <w:t xml:space="preserve"> </w:t>
      </w:r>
      <w:r w:rsidR="008947EF">
        <w:t>The Commission</w:t>
      </w:r>
      <w:r w:rsidR="004B1C84">
        <w:t xml:space="preserve"> agree</w:t>
      </w:r>
      <w:r w:rsidR="008947EF">
        <w:t>s</w:t>
      </w:r>
      <w:r w:rsidR="004B1C84">
        <w:t xml:space="preserve"> with t</w:t>
      </w:r>
      <w:r w:rsidR="005235E0">
        <w:t xml:space="preserve">he Issues Paper </w:t>
      </w:r>
      <w:r w:rsidR="004B1C84">
        <w:t>conclusion:</w:t>
      </w:r>
    </w:p>
    <w:p w14:paraId="344FFE1F" w14:textId="1334BC9B" w:rsidR="007C7224" w:rsidRPr="000B6A5F" w:rsidRDefault="007C7224" w:rsidP="000B6A5F">
      <w:pPr>
        <w:pStyle w:val="Quote"/>
      </w:pPr>
      <w:r w:rsidRPr="000B6A5F">
        <w:t>Nevertheless, more work is needed to better identify the types of interventions that will be most successful in minimising assaults, as well as an investment in rigorous evaluations to assess the conditions of success of these interventions. We should expect that the most effective interventions may vary by location and sector</w:t>
      </w:r>
      <w:r w:rsidR="000538B5" w:rsidRPr="000B6A5F">
        <w:t xml:space="preserve">. </w:t>
      </w:r>
    </w:p>
    <w:p w14:paraId="2D00C783" w14:textId="28FAA425" w:rsidR="00B22DAA" w:rsidRPr="004A4891" w:rsidRDefault="00B22DAA" w:rsidP="007E2EE9">
      <w:pPr>
        <w:pStyle w:val="Heading2"/>
      </w:pPr>
      <w:bookmarkStart w:id="4" w:name="_Toc43990185"/>
      <w:r>
        <w:t>Do higher penalties act as a deterrent?</w:t>
      </w:r>
      <w:bookmarkEnd w:id="4"/>
    </w:p>
    <w:p w14:paraId="611FA9CC" w14:textId="1F99E49B" w:rsidR="007C7224" w:rsidRDefault="006A1165" w:rsidP="00492C3F">
      <w:pPr>
        <w:pStyle w:val="Numberedparagraph"/>
      </w:pPr>
      <w:r>
        <w:t xml:space="preserve">There is limited evidence to support </w:t>
      </w:r>
      <w:r w:rsidR="00181D10">
        <w:t xml:space="preserve">the proposition that higher penalties deter objectionable behaviour. </w:t>
      </w:r>
      <w:r w:rsidR="007C7224">
        <w:t xml:space="preserve">As the Griffith University </w:t>
      </w:r>
      <w:r w:rsidR="00725244">
        <w:t>research paper concludes, imprisonment</w:t>
      </w:r>
      <w:r w:rsidR="002A4C2E">
        <w:t xml:space="preserve">, on average, does not achieve the goal of deterrence in studies of general criminal offending. </w:t>
      </w:r>
      <w:r w:rsidR="004B1C84">
        <w:t>This paper</w:t>
      </w:r>
      <w:r w:rsidR="000538B5">
        <w:t xml:space="preserve"> </w:t>
      </w:r>
      <w:r w:rsidR="00956805">
        <w:t xml:space="preserve">suggests </w:t>
      </w:r>
      <w:r w:rsidR="002A4C2E">
        <w:t xml:space="preserve">that while </w:t>
      </w:r>
      <w:r w:rsidR="007C7224">
        <w:t xml:space="preserve">amendments to sentencing frameworks can clearly communicate the unacceptability of the behaviour, prevention strategies may be a better </w:t>
      </w:r>
      <w:r w:rsidR="00A45A89">
        <w:t xml:space="preserve">means </w:t>
      </w:r>
      <w:r w:rsidR="007C7224">
        <w:t>for reducing the incidence of as</w:t>
      </w:r>
      <w:r w:rsidR="002A4C2E">
        <w:t>saults against public officers.</w:t>
      </w:r>
    </w:p>
    <w:p w14:paraId="647925A8" w14:textId="6A38ABFD" w:rsidR="00E632C1" w:rsidRDefault="006D64B1" w:rsidP="005235E0">
      <w:pPr>
        <w:pStyle w:val="Numberedparagraph"/>
      </w:pPr>
      <w:r>
        <w:t>R</w:t>
      </w:r>
      <w:r w:rsidR="00E632C1">
        <w:t>esearch</w:t>
      </w:r>
      <w:r>
        <w:t xml:space="preserve"> highlighted in the paper</w:t>
      </w:r>
      <w:r w:rsidR="00E632C1">
        <w:t xml:space="preserve"> from </w:t>
      </w:r>
      <w:r w:rsidR="00E632C1" w:rsidRPr="00E632C1">
        <w:t>Professor Andrew Ashworth</w:t>
      </w:r>
      <w:r w:rsidR="00E632C1">
        <w:t xml:space="preserve"> </w:t>
      </w:r>
      <w:r w:rsidR="00181D10">
        <w:t xml:space="preserve">observes </w:t>
      </w:r>
      <w:r w:rsidR="00E632C1">
        <w:t>that potential offenders do not always respond rationally to increased penalties and increased risk of conviction</w:t>
      </w:r>
      <w:r w:rsidR="00956805">
        <w:t>,</w:t>
      </w:r>
      <w:r w:rsidR="00E632C1">
        <w:t xml:space="preserve"> even if they are aware of them</w:t>
      </w:r>
      <w:r w:rsidR="00181D10">
        <w:t>.</w:t>
      </w:r>
    </w:p>
    <w:p w14:paraId="6804810D" w14:textId="23B713C5" w:rsidR="00F03E65" w:rsidRDefault="00F03E65" w:rsidP="007E2EE9">
      <w:pPr>
        <w:pStyle w:val="Numberedparagraph"/>
      </w:pPr>
      <w:r>
        <w:t>The Queensland Productivity Commission</w:t>
      </w:r>
      <w:r w:rsidR="007E2EE9">
        <w:t xml:space="preserve"> </w:t>
      </w:r>
      <w:r w:rsidR="00025877">
        <w:t xml:space="preserve">recently </w:t>
      </w:r>
      <w:r>
        <w:t>considered how imprisonment affects offending</w:t>
      </w:r>
      <w:r w:rsidR="00025877">
        <w:t xml:space="preserve"> in its </w:t>
      </w:r>
      <w:r w:rsidR="00956805">
        <w:rPr>
          <w:i/>
        </w:rPr>
        <w:t xml:space="preserve">Inquiry into Imprisonment and Recidivism </w:t>
      </w:r>
      <w:r w:rsidR="00956805">
        <w:t>(QPC Report)</w:t>
      </w:r>
      <w:r w:rsidR="00956805">
        <w:rPr>
          <w:i/>
        </w:rPr>
        <w:t>.</w:t>
      </w:r>
      <w:r w:rsidR="00956805" w:rsidRPr="00956805">
        <w:rPr>
          <w:rStyle w:val="FootnoteReference"/>
        </w:rPr>
        <w:footnoteReference w:id="14"/>
      </w:r>
      <w:r w:rsidR="00956805">
        <w:rPr>
          <w:i/>
        </w:rPr>
        <w:t xml:space="preserve"> </w:t>
      </w:r>
      <w:r w:rsidR="007E2EE9">
        <w:t>It concluded that ‘t</w:t>
      </w:r>
      <w:r>
        <w:t>here is no research for Queensland that quantifies</w:t>
      </w:r>
      <w:r w:rsidR="007E2EE9">
        <w:t xml:space="preserve"> </w:t>
      </w:r>
      <w:r>
        <w:t>how prison deters i</w:t>
      </w:r>
      <w:r w:rsidR="007E2EE9">
        <w:t xml:space="preserve">ndividuals from committing </w:t>
      </w:r>
      <w:r w:rsidR="007E2EE9">
        <w:lastRenderedPageBreak/>
        <w:t xml:space="preserve">crime </w:t>
      </w:r>
      <w:r>
        <w:t>or prevents o</w:t>
      </w:r>
      <w:r w:rsidR="007E2EE9">
        <w:t>ffending through incapacitation’. In considering the relevant Australian research, it found:</w:t>
      </w:r>
    </w:p>
    <w:p w14:paraId="6D1BA5EA" w14:textId="15003984" w:rsidR="007E2EE9" w:rsidRDefault="00F03E65" w:rsidP="007E2EE9">
      <w:pPr>
        <w:pStyle w:val="Bulletedlist"/>
      </w:pPr>
      <w:r>
        <w:t>There are diminishing returns from the use of</w:t>
      </w:r>
      <w:r w:rsidR="007E2EE9">
        <w:t xml:space="preserve"> </w:t>
      </w:r>
      <w:r>
        <w:t>imprisonment—that is, the additional benefit</w:t>
      </w:r>
      <w:r w:rsidR="007E2EE9">
        <w:t xml:space="preserve"> </w:t>
      </w:r>
      <w:r>
        <w:t>(through a reduction in crime) declines</w:t>
      </w:r>
      <w:r w:rsidR="007E2EE9">
        <w:t xml:space="preserve"> </w:t>
      </w:r>
      <w:r>
        <w:t>significantly as more people are imprisoned.</w:t>
      </w:r>
    </w:p>
    <w:p w14:paraId="776259E9" w14:textId="7E7DE118" w:rsidR="00F03E65" w:rsidRDefault="00F03E65" w:rsidP="007E2EE9">
      <w:pPr>
        <w:pStyle w:val="Bulletedlist"/>
      </w:pPr>
      <w:r>
        <w:t>Increasing policing effort has a much greater</w:t>
      </w:r>
      <w:r w:rsidR="007E2EE9">
        <w:t xml:space="preserve"> </w:t>
      </w:r>
      <w:r>
        <w:t>impact on crime than increasing the severity of</w:t>
      </w:r>
      <w:r w:rsidR="007E2EE9">
        <w:t xml:space="preserve"> </w:t>
      </w:r>
      <w:r>
        <w:t>punishment—Increases in sentence length do</w:t>
      </w:r>
      <w:r w:rsidR="007E2EE9">
        <w:t xml:space="preserve"> </w:t>
      </w:r>
      <w:r>
        <w:t>little to prevent crime.</w:t>
      </w:r>
    </w:p>
    <w:p w14:paraId="665E19D9" w14:textId="44970C2F" w:rsidR="00F03E65" w:rsidRDefault="00F03E65" w:rsidP="007E2EE9">
      <w:pPr>
        <w:pStyle w:val="Bulletedlist"/>
      </w:pPr>
      <w:r>
        <w:t>Well-designed c</w:t>
      </w:r>
      <w:r w:rsidR="007E2EE9">
        <w:t xml:space="preserve">ommunity corrections can reduce </w:t>
      </w:r>
      <w:r>
        <w:t>recidivism without compromising community</w:t>
      </w:r>
      <w:r w:rsidR="007E2EE9">
        <w:t xml:space="preserve"> </w:t>
      </w:r>
      <w:r>
        <w:t>safety</w:t>
      </w:r>
      <w:r w:rsidR="00A423F8">
        <w:t>.</w:t>
      </w:r>
      <w:r w:rsidR="00A423F8">
        <w:rPr>
          <w:rStyle w:val="FootnoteReference"/>
        </w:rPr>
        <w:footnoteReference w:id="15"/>
      </w:r>
    </w:p>
    <w:p w14:paraId="6D15BE61" w14:textId="7029DC2B" w:rsidR="009801EF" w:rsidRDefault="008D1F09" w:rsidP="008D1F09">
      <w:pPr>
        <w:pStyle w:val="Heading2"/>
      </w:pPr>
      <w:bookmarkStart w:id="5" w:name="_Toc43990186"/>
      <w:r>
        <w:t>Could higher penalties increase risks for some workers?</w:t>
      </w:r>
      <w:bookmarkEnd w:id="5"/>
      <w:r>
        <w:t xml:space="preserve"> </w:t>
      </w:r>
    </w:p>
    <w:p w14:paraId="712FB8FC" w14:textId="0C9CE5EA" w:rsidR="00292713" w:rsidRDefault="00476C78" w:rsidP="00BB67DA">
      <w:pPr>
        <w:pStyle w:val="Numberedparagraph"/>
      </w:pPr>
      <w:r>
        <w:t>O</w:t>
      </w:r>
      <w:r w:rsidR="00292713">
        <w:t xml:space="preserve">vercrowding </w:t>
      </w:r>
      <w:r w:rsidR="00725244">
        <w:t xml:space="preserve">has been identified </w:t>
      </w:r>
      <w:r w:rsidR="00292713">
        <w:t>as a particular issue in prison</w:t>
      </w:r>
      <w:r w:rsidR="00A23A8A">
        <w:t>er</w:t>
      </w:r>
      <w:r w:rsidR="00725244">
        <w:t>-on-staff assaults</w:t>
      </w:r>
      <w:r>
        <w:t>. If higher penalties le</w:t>
      </w:r>
      <w:r w:rsidR="00A45A89">
        <w:t>a</w:t>
      </w:r>
      <w:r>
        <w:t>d</w:t>
      </w:r>
      <w:r w:rsidR="00725244">
        <w:t xml:space="preserve"> to higher incarceration rates, </w:t>
      </w:r>
      <w:r>
        <w:t xml:space="preserve">such reform </w:t>
      </w:r>
      <w:r w:rsidR="00725244">
        <w:t xml:space="preserve">might inadvertently increase the risk of assault for corrections officers. </w:t>
      </w:r>
      <w:r w:rsidR="00DC5671">
        <w:t xml:space="preserve"> </w:t>
      </w:r>
    </w:p>
    <w:p w14:paraId="3071A4EA" w14:textId="34E08C8A" w:rsidR="00153CEB" w:rsidRPr="00D14A6A" w:rsidRDefault="000538B5" w:rsidP="00492C3F">
      <w:pPr>
        <w:pStyle w:val="Numberedparagraph"/>
      </w:pPr>
      <w:r w:rsidRPr="00E53630">
        <w:t xml:space="preserve">The Issues Paper provides a detailed snapshot of the imprisonment rates to date arising from the existing </w:t>
      </w:r>
      <w:r w:rsidR="00A45A89">
        <w:t xml:space="preserve">legislative </w:t>
      </w:r>
      <w:r w:rsidRPr="00E53630">
        <w:t>provisions</w:t>
      </w:r>
      <w:r w:rsidR="00A45A89">
        <w:t>, together with</w:t>
      </w:r>
      <w:r w:rsidRPr="00E53630">
        <w:t xml:space="preserve"> assaults against public officers</w:t>
      </w:r>
      <w:r w:rsidR="00956805">
        <w:t xml:space="preserve">, which suggests </w:t>
      </w:r>
      <w:r w:rsidR="00A45A89">
        <w:t xml:space="preserve">that </w:t>
      </w:r>
      <w:r w:rsidR="00956805">
        <w:t xml:space="preserve">higher maximum penalties may not necessarily lead to an increase in the numbers of people incarcerated. </w:t>
      </w:r>
      <w:r w:rsidR="00476C78">
        <w:rPr>
          <w:color w:val="000000"/>
        </w:rPr>
        <w:t>T</w:t>
      </w:r>
      <w:r w:rsidR="00E53630" w:rsidRPr="00956805">
        <w:rPr>
          <w:color w:val="000000"/>
        </w:rPr>
        <w:t xml:space="preserve">he Court of Appeal has </w:t>
      </w:r>
      <w:r w:rsidR="004B1C84" w:rsidRPr="00956805">
        <w:rPr>
          <w:color w:val="000000"/>
        </w:rPr>
        <w:t>also observed</w:t>
      </w:r>
      <w:r w:rsidR="00E53630" w:rsidRPr="00956805">
        <w:rPr>
          <w:color w:val="000000"/>
        </w:rPr>
        <w:t xml:space="preserve"> that </w:t>
      </w:r>
      <w:r w:rsidR="00153CEB" w:rsidRPr="00E53630">
        <w:t xml:space="preserve">all offences committed after </w:t>
      </w:r>
      <w:r w:rsidR="00E53630" w:rsidRPr="00E53630">
        <w:t xml:space="preserve">an </w:t>
      </w:r>
      <w:r w:rsidR="00153CEB" w:rsidRPr="00E53630">
        <w:t>increase</w:t>
      </w:r>
      <w:r w:rsidR="00E53630" w:rsidRPr="00E53630">
        <w:t xml:space="preserve"> penalty will not necessarily </w:t>
      </w:r>
      <w:r w:rsidR="00153CEB" w:rsidRPr="00E53630">
        <w:t>attract a higher penalty than they previously would have.</w:t>
      </w:r>
      <w:r w:rsidR="004B1C84">
        <w:rPr>
          <w:rStyle w:val="FootnoteReference"/>
        </w:rPr>
        <w:footnoteReference w:id="16"/>
      </w:r>
    </w:p>
    <w:p w14:paraId="1F6483DD" w14:textId="79DC1EF0" w:rsidR="00B22DAA" w:rsidRPr="00E53630" w:rsidRDefault="00E12B7B" w:rsidP="002E4968">
      <w:pPr>
        <w:pStyle w:val="Numberedparagraph"/>
        <w:rPr>
          <w:rStyle w:val="Heading3Char"/>
          <w:rFonts w:cs="Arial"/>
        </w:rPr>
      </w:pPr>
      <w:r w:rsidRPr="00D14A6A">
        <w:t>Nonetheless,</w:t>
      </w:r>
      <w:r w:rsidR="00476C78">
        <w:t xml:space="preserve"> given the impetus for this review,</w:t>
      </w:r>
      <w:r w:rsidRPr="00D14A6A">
        <w:t xml:space="preserve"> </w:t>
      </w:r>
      <w:r w:rsidR="00784D03" w:rsidRPr="00D14A6A">
        <w:t xml:space="preserve">the </w:t>
      </w:r>
      <w:r w:rsidR="004E46AA">
        <w:t>justification for any law reform must consider</w:t>
      </w:r>
      <w:r w:rsidR="007C723D">
        <w:t xml:space="preserve"> if </w:t>
      </w:r>
      <w:r w:rsidR="004E46AA">
        <w:t>the proposed</w:t>
      </w:r>
      <w:r w:rsidR="007C723D">
        <w:t xml:space="preserve"> changes</w:t>
      </w:r>
      <w:r w:rsidR="00784D03" w:rsidRPr="00E53630">
        <w:t xml:space="preserve"> </w:t>
      </w:r>
      <w:r w:rsidR="007C723D">
        <w:t>may result in frontline officers being subject to greater risk of assault</w:t>
      </w:r>
      <w:r w:rsidRPr="00E53630">
        <w:t xml:space="preserve">.  </w:t>
      </w:r>
      <w:r w:rsidR="00A423F8" w:rsidRPr="00E53630">
        <w:t xml:space="preserve"> </w:t>
      </w:r>
    </w:p>
    <w:p w14:paraId="1F9B93D1" w14:textId="257C591C" w:rsidR="00956805" w:rsidRDefault="00756B6E" w:rsidP="008947EF">
      <w:pPr>
        <w:pStyle w:val="Heading1"/>
        <w:keepNext w:val="0"/>
        <w:keepLines w:val="0"/>
        <w:widowControl w:val="0"/>
        <w:rPr>
          <w:rStyle w:val="Heading3Char"/>
          <w:i w:val="0"/>
        </w:rPr>
      </w:pPr>
      <w:bookmarkStart w:id="6" w:name="_Toc43990187"/>
      <w:r>
        <w:t xml:space="preserve">Potential </w:t>
      </w:r>
      <w:r w:rsidR="00C53313">
        <w:t>c</w:t>
      </w:r>
      <w:r>
        <w:t>overage</w:t>
      </w:r>
      <w:bookmarkEnd w:id="6"/>
    </w:p>
    <w:p w14:paraId="69B2115C" w14:textId="313DAF13" w:rsidR="00DD05AB" w:rsidRPr="00BB67DA" w:rsidRDefault="00FD61A4" w:rsidP="00D564B1">
      <w:pPr>
        <w:pStyle w:val="Questions"/>
        <w:keepNext w:val="0"/>
        <w:keepLines w:val="0"/>
        <w:widowControl w:val="0"/>
        <w:rPr>
          <w:rStyle w:val="Heading3Char"/>
          <w:i w:val="0"/>
        </w:rPr>
      </w:pPr>
      <w:r w:rsidRPr="00BB67DA">
        <w:rPr>
          <w:rStyle w:val="Heading3Char"/>
          <w:i w:val="0"/>
        </w:rPr>
        <w:t xml:space="preserve">1 </w:t>
      </w:r>
      <w:r w:rsidR="00DD05AB" w:rsidRPr="00BB67DA">
        <w:rPr>
          <w:rStyle w:val="Heading3Char"/>
          <w:i w:val="0"/>
        </w:rPr>
        <w:t>Should an assault on a person while at work be treated by the law as more serious, less serious, or as equally serious as if the same act is committed against someone who is not at work, and why?</w:t>
      </w:r>
      <w:r w:rsidR="00BB67DA">
        <w:rPr>
          <w:rStyle w:val="Heading3Char"/>
          <w:i w:val="0"/>
        </w:rPr>
        <w:br/>
      </w:r>
    </w:p>
    <w:p w14:paraId="7923CD43" w14:textId="092F63C4" w:rsidR="00DD05AB" w:rsidRPr="00BB67DA" w:rsidRDefault="00FD61A4" w:rsidP="00D564B1">
      <w:pPr>
        <w:pStyle w:val="Questions"/>
        <w:keepNext w:val="0"/>
        <w:keepLines w:val="0"/>
        <w:widowControl w:val="0"/>
        <w:rPr>
          <w:rStyle w:val="Heading3Char"/>
          <w:i w:val="0"/>
        </w:rPr>
      </w:pPr>
      <w:r w:rsidRPr="00BB67DA">
        <w:rPr>
          <w:rStyle w:val="Heading3Char"/>
          <w:i w:val="0"/>
        </w:rPr>
        <w:t xml:space="preserve">2 </w:t>
      </w:r>
      <w:r w:rsidR="00DD05AB" w:rsidRPr="00BB67DA">
        <w:rPr>
          <w:rStyle w:val="Heading3Char"/>
          <w:i w:val="0"/>
        </w:rPr>
        <w:t>If an assault is committed on a public officer performing a public duty, should this be treated as more serious, less serious, or as equally serious as if the same act is committed on a person employed in a private capacity(e.g. as a private security officer, or taxi driver) and why?</w:t>
      </w:r>
    </w:p>
    <w:p w14:paraId="17F520CF" w14:textId="5749E4A7" w:rsidR="00FF73C2" w:rsidRPr="00BB67DA" w:rsidRDefault="00BB67DA" w:rsidP="000B6A5F">
      <w:pPr>
        <w:pStyle w:val="Questions"/>
      </w:pPr>
      <w:r>
        <w:lastRenderedPageBreak/>
        <w:br/>
      </w:r>
      <w:r w:rsidR="00FD61A4" w:rsidRPr="00BB67DA">
        <w:t xml:space="preserve">3 </w:t>
      </w:r>
      <w:r w:rsidR="00FF73C2" w:rsidRPr="00BB67DA">
        <w:t>Should the law treat assaults on particular categories of public officers as being more serious than other</w:t>
      </w:r>
      <w:r w:rsidR="003E3DA9" w:rsidRPr="00BB67DA">
        <w:t xml:space="preserve"> </w:t>
      </w:r>
      <w:r w:rsidR="00FF73C2" w:rsidRPr="00BB67DA">
        <w:t>categories of public officer, and why?</w:t>
      </w:r>
    </w:p>
    <w:p w14:paraId="1E97EF09" w14:textId="083B7A4C" w:rsidR="00287807" w:rsidRDefault="00287807" w:rsidP="00DD05AB">
      <w:pPr>
        <w:pStyle w:val="Numberedparagraph"/>
      </w:pPr>
      <w:r>
        <w:t xml:space="preserve">Our earlier submission explored </w:t>
      </w:r>
      <w:r w:rsidR="00E53630">
        <w:t>how some other</w:t>
      </w:r>
      <w:r>
        <w:t xml:space="preserve"> jurisdictions had approached </w:t>
      </w:r>
      <w:r w:rsidR="00E53630">
        <w:t>the</w:t>
      </w:r>
      <w:r w:rsidR="00756B6E">
        <w:t>se</w:t>
      </w:r>
      <w:r w:rsidR="00E53630">
        <w:t xml:space="preserve"> issues</w:t>
      </w:r>
      <w:r w:rsidR="00756B6E">
        <w:t>.</w:t>
      </w:r>
      <w:r>
        <w:t xml:space="preserve"> This included the human rights implications of:</w:t>
      </w:r>
    </w:p>
    <w:p w14:paraId="6EBE3347" w14:textId="6AE889A7" w:rsidR="00287807" w:rsidRDefault="00A45A89" w:rsidP="00151611">
      <w:pPr>
        <w:pStyle w:val="Bulletedlist"/>
      </w:pPr>
      <w:r>
        <w:t>m</w:t>
      </w:r>
      <w:r w:rsidR="00287807">
        <w:t xml:space="preserve">andatory </w:t>
      </w:r>
      <w:r>
        <w:t>m</w:t>
      </w:r>
      <w:r w:rsidR="00287807">
        <w:t>inimum sentences</w:t>
      </w:r>
      <w:r w:rsidR="0021332B">
        <w:t xml:space="preserve"> – which we noted significant</w:t>
      </w:r>
      <w:r>
        <w:t>ly</w:t>
      </w:r>
      <w:r w:rsidR="0021332B">
        <w:t xml:space="preserve"> limit rights</w:t>
      </w:r>
      <w:r>
        <w:t>,</w:t>
      </w:r>
      <w:r w:rsidR="0021332B">
        <w:t xml:space="preserve"> and without further evidence we would not support</w:t>
      </w:r>
      <w:r w:rsidR="00420FF2">
        <w:t>;</w:t>
      </w:r>
      <w:r w:rsidR="0021332B">
        <w:t xml:space="preserve"> </w:t>
      </w:r>
    </w:p>
    <w:p w14:paraId="5181AE8C" w14:textId="6ECF3C08" w:rsidR="00287807" w:rsidRDefault="00A45A89" w:rsidP="00151611">
      <w:pPr>
        <w:pStyle w:val="Bulletedlist"/>
      </w:pPr>
      <w:r>
        <w:t>t</w:t>
      </w:r>
      <w:r w:rsidR="00287807">
        <w:t>ailored and aggravated offences</w:t>
      </w:r>
      <w:r w:rsidR="0021332B">
        <w:t xml:space="preserve"> – depending on the justification provided, may represent a reasonable limitation on rights</w:t>
      </w:r>
      <w:r w:rsidR="00420FF2">
        <w:t>;</w:t>
      </w:r>
      <w:r w:rsidR="0021332B">
        <w:t xml:space="preserve"> </w:t>
      </w:r>
    </w:p>
    <w:p w14:paraId="0581AAA0" w14:textId="28D6E80C" w:rsidR="00287807" w:rsidRDefault="00A45A89" w:rsidP="00151611">
      <w:pPr>
        <w:pStyle w:val="Bulletedlist"/>
      </w:pPr>
      <w:proofErr w:type="gramStart"/>
      <w:r>
        <w:t>n</w:t>
      </w:r>
      <w:r w:rsidR="00287807">
        <w:t>on-legislative</w:t>
      </w:r>
      <w:proofErr w:type="gramEnd"/>
      <w:r w:rsidR="00287807">
        <w:t xml:space="preserve"> options</w:t>
      </w:r>
      <w:r w:rsidR="0021332B">
        <w:t xml:space="preserve"> – should be exhausted before rights are limited </w:t>
      </w:r>
      <w:r w:rsidR="00420FF2">
        <w:t xml:space="preserve">through </w:t>
      </w:r>
      <w:r w:rsidR="0021332B">
        <w:t xml:space="preserve">law reform. </w:t>
      </w:r>
    </w:p>
    <w:p w14:paraId="226D6C1C" w14:textId="68DEE7F2" w:rsidR="00F27969" w:rsidRPr="0092785A" w:rsidRDefault="008F5FC1" w:rsidP="008947EF">
      <w:pPr>
        <w:pStyle w:val="Numberedparagraph"/>
      </w:pPr>
      <w:r>
        <w:t>W</w:t>
      </w:r>
      <w:r w:rsidR="00B35E49">
        <w:t xml:space="preserve">hile various jurisdictions have introduced increased penalties to protect particular workers, the definition of </w:t>
      </w:r>
      <w:r w:rsidR="000B38C7">
        <w:t>the protected worker</w:t>
      </w:r>
      <w:r w:rsidR="00B35E49">
        <w:t xml:space="preserve"> differs. This reflects that specific local evidence about the importance of protecting </w:t>
      </w:r>
      <w:r w:rsidR="00420FF2">
        <w:t xml:space="preserve">a </w:t>
      </w:r>
      <w:r w:rsidR="00B35E49">
        <w:t xml:space="preserve">particular </w:t>
      </w:r>
      <w:r w:rsidR="00C27309">
        <w:t xml:space="preserve">occupation </w:t>
      </w:r>
      <w:r w:rsidR="00B35E49">
        <w:t xml:space="preserve">is necessary to demonstrate human rights compliance.  </w:t>
      </w:r>
      <w:r w:rsidR="0014601A" w:rsidRPr="0092785A">
        <w:t xml:space="preserve"> </w:t>
      </w:r>
    </w:p>
    <w:p w14:paraId="3E0C230E" w14:textId="4361A843" w:rsidR="00B35E49" w:rsidRDefault="00426D97" w:rsidP="00756B6E">
      <w:pPr>
        <w:pStyle w:val="Heading2"/>
      </w:pPr>
      <w:bookmarkStart w:id="7" w:name="_Toc43990188"/>
      <w:r>
        <w:t>Right to equality of victims</w:t>
      </w:r>
      <w:bookmarkEnd w:id="7"/>
      <w:r>
        <w:t xml:space="preserve"> </w:t>
      </w:r>
    </w:p>
    <w:p w14:paraId="46178203" w14:textId="1F97365E" w:rsidR="004A4891" w:rsidRDefault="006D64B1" w:rsidP="004A4891">
      <w:pPr>
        <w:pStyle w:val="Numberedparagraph"/>
      </w:pPr>
      <w:r>
        <w:t xml:space="preserve">The </w:t>
      </w:r>
      <w:r w:rsidR="004A4891">
        <w:t>right to equality w</w:t>
      </w:r>
      <w:r w:rsidR="00E53630">
        <w:t>ill</w:t>
      </w:r>
      <w:r w:rsidR="004A4891">
        <w:t xml:space="preserve"> be engaged</w:t>
      </w:r>
      <w:r w:rsidR="00EC2DB3">
        <w:t xml:space="preserve"> </w:t>
      </w:r>
      <w:r w:rsidR="00E53630">
        <w:t xml:space="preserve">if law reform </w:t>
      </w:r>
      <w:r w:rsidR="00420FF2">
        <w:t xml:space="preserve">seeks </w:t>
      </w:r>
      <w:r w:rsidR="004A4891">
        <w:t>to treat assaults against particular workers more or less seriously</w:t>
      </w:r>
      <w:r w:rsidR="00314AB8">
        <w:t xml:space="preserve"> than</w:t>
      </w:r>
      <w:r w:rsidR="00E53630">
        <w:t xml:space="preserve"> against</w:t>
      </w:r>
      <w:r w:rsidR="00314AB8">
        <w:t xml:space="preserve"> others</w:t>
      </w:r>
      <w:r w:rsidR="004A4891">
        <w:t xml:space="preserve">. For example, the right to equality of members of a certain </w:t>
      </w:r>
      <w:r w:rsidR="00C27309">
        <w:t>occupation</w:t>
      </w:r>
      <w:r w:rsidR="004A4891">
        <w:t xml:space="preserve"> not protected</w:t>
      </w:r>
      <w:r w:rsidR="009801EF">
        <w:t xml:space="preserve"> as </w:t>
      </w:r>
      <w:r w:rsidR="009801EF" w:rsidRPr="004E46AA">
        <w:t>victims</w:t>
      </w:r>
      <w:r w:rsidR="004A4891">
        <w:t xml:space="preserve"> may be engaged if they were not afforded the protection of higher penalties</w:t>
      </w:r>
      <w:r w:rsidR="00812632">
        <w:t xml:space="preserve">. </w:t>
      </w:r>
      <w:r w:rsidR="00E53630">
        <w:t>T</w:t>
      </w:r>
      <w:r w:rsidR="00175BCC">
        <w:t xml:space="preserve">o be a reasonable limitation on rights, justification would be need </w:t>
      </w:r>
      <w:r w:rsidR="00420FF2">
        <w:t xml:space="preserve">to show </w:t>
      </w:r>
      <w:r w:rsidR="00175BCC">
        <w:t>why certain workers, or workers in the public sector compared to the private, are not given this extra protection</w:t>
      </w:r>
      <w:r w:rsidR="00812632">
        <w:t xml:space="preserve"> or recognition (</w:t>
      </w:r>
      <w:r w:rsidR="00056C9A">
        <w:t>assuming such measures will achieve their purpose</w:t>
      </w:r>
      <w:r w:rsidR="00812632">
        <w:t>)</w:t>
      </w:r>
      <w:r w:rsidR="00175BCC">
        <w:t xml:space="preserve">. </w:t>
      </w:r>
    </w:p>
    <w:p w14:paraId="4F40F1EC" w14:textId="04AFE963" w:rsidR="00056C9A" w:rsidRDefault="00AC7838" w:rsidP="004A4891">
      <w:pPr>
        <w:pStyle w:val="Numberedparagraph"/>
      </w:pPr>
      <w:r>
        <w:t>We agree with several stakeholders that</w:t>
      </w:r>
      <w:r w:rsidR="00056C9A">
        <w:t>,</w:t>
      </w:r>
      <w:r>
        <w:t xml:space="preserve"> </w:t>
      </w:r>
      <w:r w:rsidR="00056C9A">
        <w:t xml:space="preserve">if certain offences are to carry higher penalties, </w:t>
      </w:r>
      <w:r w:rsidR="00972E61">
        <w:t>the law must be clear about</w:t>
      </w:r>
      <w:r>
        <w:t xml:space="preserve"> </w:t>
      </w:r>
      <w:r w:rsidR="00972E61">
        <w:t xml:space="preserve">the definition of </w:t>
      </w:r>
      <w:r w:rsidR="00056C9A">
        <w:t xml:space="preserve">the workers covered. </w:t>
      </w:r>
    </w:p>
    <w:p w14:paraId="59CC7465" w14:textId="0416E7F1" w:rsidR="00AC7838" w:rsidRDefault="00AC7838" w:rsidP="004A4891">
      <w:pPr>
        <w:pStyle w:val="Numberedparagraph"/>
      </w:pPr>
      <w:r>
        <w:t xml:space="preserve">The Issues Paper cites our submission, and similar submissions from QAI, that </w:t>
      </w:r>
      <w:r w:rsidR="00C21E4C">
        <w:t xml:space="preserve">there must be a justification, </w:t>
      </w:r>
      <w:r w:rsidR="00C21E4C" w:rsidRPr="00AC7838">
        <w:t xml:space="preserve">based on the particular risks faced by </w:t>
      </w:r>
      <w:r w:rsidRPr="00AC7838">
        <w:t xml:space="preserve">each occupation </w:t>
      </w:r>
      <w:r w:rsidR="00C21E4C">
        <w:t xml:space="preserve">selected </w:t>
      </w:r>
      <w:r w:rsidRPr="00AC7838">
        <w:t>for increased penalties</w:t>
      </w:r>
      <w:r w:rsidR="00C21E4C">
        <w:t>,</w:t>
      </w:r>
      <w:r w:rsidRPr="00AC7838">
        <w:t xml:space="preserve"> rather than a blanket approach. This </w:t>
      </w:r>
      <w:r w:rsidR="009801EF">
        <w:t>would need to</w:t>
      </w:r>
      <w:r w:rsidRPr="00AC7838">
        <w:t xml:space="preserve"> include </w:t>
      </w:r>
      <w:r w:rsidR="009801EF">
        <w:t>justification for</w:t>
      </w:r>
      <w:r w:rsidRPr="00AC7838">
        <w:t xml:space="preserve"> how differences in penalties can achieve the </w:t>
      </w:r>
      <w:r w:rsidR="00972E61">
        <w:t>specific purpose sought</w:t>
      </w:r>
      <w:r w:rsidR="009801EF">
        <w:t xml:space="preserve">. </w:t>
      </w:r>
    </w:p>
    <w:p w14:paraId="45A05632" w14:textId="7777DDAD" w:rsidR="009801EF" w:rsidRDefault="009801EF" w:rsidP="009801EF">
      <w:pPr>
        <w:pStyle w:val="Numberedparagraph"/>
      </w:pPr>
      <w:r>
        <w:t xml:space="preserve">Nonetheless, the frontline workers under consideration in this </w:t>
      </w:r>
      <w:r w:rsidR="00E3118E">
        <w:t>r</w:t>
      </w:r>
      <w:r>
        <w:t xml:space="preserve">eview have the common feature of </w:t>
      </w:r>
      <w:r w:rsidRPr="00314AB8">
        <w:t>having a legal obligation to</w:t>
      </w:r>
      <w:r>
        <w:t xml:space="preserve"> perform duties on behalf of the state that </w:t>
      </w:r>
      <w:r w:rsidR="002B4DCD">
        <w:t xml:space="preserve">may </w:t>
      </w:r>
      <w:r>
        <w:t>involve</w:t>
      </w:r>
      <w:r w:rsidRPr="00314AB8">
        <w:t xml:space="preserve"> deal</w:t>
      </w:r>
      <w:r>
        <w:t>ing</w:t>
      </w:r>
      <w:r w:rsidRPr="00314AB8">
        <w:t xml:space="preserve"> with dangerous people in dangerous situations. </w:t>
      </w:r>
      <w:r w:rsidR="00C27309">
        <w:t>W</w:t>
      </w:r>
      <w:r>
        <w:t xml:space="preserve">e </w:t>
      </w:r>
      <w:r w:rsidR="00C27309">
        <w:t>support any additional measures that are effective in</w:t>
      </w:r>
      <w:r>
        <w:t xml:space="preserve"> protect</w:t>
      </w:r>
      <w:r w:rsidR="00C27309">
        <w:t>ing</w:t>
      </w:r>
      <w:r>
        <w:t xml:space="preserve"> them </w:t>
      </w:r>
      <w:r w:rsidR="00C27309">
        <w:t>further.</w:t>
      </w:r>
    </w:p>
    <w:p w14:paraId="1774E340" w14:textId="3B82636E" w:rsidR="004E46AA" w:rsidRPr="004E46AA" w:rsidRDefault="004E46AA" w:rsidP="004E46AA">
      <w:pPr>
        <w:pStyle w:val="Heading2"/>
      </w:pPr>
      <w:bookmarkStart w:id="8" w:name="_Toc43990189"/>
      <w:r w:rsidRPr="004E46AA">
        <w:lastRenderedPageBreak/>
        <w:t xml:space="preserve">Rights </w:t>
      </w:r>
      <w:r w:rsidRPr="004E46AA">
        <w:rPr>
          <w:rStyle w:val="Heading2Char"/>
          <w:b/>
        </w:rPr>
        <w:t>of the accused</w:t>
      </w:r>
      <w:bookmarkEnd w:id="8"/>
      <w:r w:rsidRPr="004E46AA">
        <w:t xml:space="preserve"> </w:t>
      </w:r>
    </w:p>
    <w:p w14:paraId="0E11B81C" w14:textId="3AF8BEB2" w:rsidR="008F78D2" w:rsidRDefault="00EC2DB3" w:rsidP="009801EF">
      <w:pPr>
        <w:pStyle w:val="Numberedparagraph"/>
      </w:pPr>
      <w:r>
        <w:t>T</w:t>
      </w:r>
      <w:r w:rsidR="004A4891">
        <w:t>he right to equality</w:t>
      </w:r>
      <w:r>
        <w:t xml:space="preserve"> </w:t>
      </w:r>
      <w:r w:rsidR="00E3118E">
        <w:t xml:space="preserve">(and potentially other rights) </w:t>
      </w:r>
      <w:r w:rsidRPr="009801EF">
        <w:t>may</w:t>
      </w:r>
      <w:r>
        <w:t xml:space="preserve"> also be engaged for those </w:t>
      </w:r>
      <w:r w:rsidRPr="009801EF">
        <w:rPr>
          <w:b/>
        </w:rPr>
        <w:t>accused</w:t>
      </w:r>
      <w:r>
        <w:t xml:space="preserve"> of assault </w:t>
      </w:r>
      <w:r w:rsidR="004A4891">
        <w:t xml:space="preserve">because </w:t>
      </w:r>
      <w:r w:rsidR="00B35E49">
        <w:t xml:space="preserve">particular members of the community may be disproportionately impacted. </w:t>
      </w:r>
      <w:r w:rsidR="004A4891">
        <w:t>For example, t</w:t>
      </w:r>
      <w:r w:rsidR="00B35E49">
        <w:t xml:space="preserve">he United Nations Committee against Torture has previously called on Australia to repeal mandatory minimum sentences, noting the disproportionate impact they have on Aboriginal </w:t>
      </w:r>
      <w:r w:rsidR="00E3118E">
        <w:t xml:space="preserve">peoples </w:t>
      </w:r>
      <w:r w:rsidR="00B35E49">
        <w:t>and Torres Strait Islander peoples.</w:t>
      </w:r>
      <w:r w:rsidR="00B35E49">
        <w:rPr>
          <w:rStyle w:val="FootnoteReference"/>
        </w:rPr>
        <w:footnoteReference w:id="17"/>
      </w:r>
      <w:r w:rsidR="00B35E49">
        <w:t xml:space="preserve"> </w:t>
      </w:r>
    </w:p>
    <w:p w14:paraId="5393AD7F" w14:textId="08107A49" w:rsidR="009801EF" w:rsidRDefault="008F78D2" w:rsidP="008F78D2">
      <w:pPr>
        <w:pStyle w:val="Numberedparagraph"/>
      </w:pPr>
      <w:r>
        <w:t xml:space="preserve">In </w:t>
      </w:r>
      <w:r w:rsidR="00956805">
        <w:t>analysing</w:t>
      </w:r>
      <w:r>
        <w:t xml:space="preserve"> demographic data in Queensland, the Issues Paper </w:t>
      </w:r>
      <w:r w:rsidR="009801EF">
        <w:t>notes:</w:t>
      </w:r>
    </w:p>
    <w:p w14:paraId="6E73B6E0" w14:textId="5A2B2976" w:rsidR="009801EF" w:rsidRDefault="009801EF" w:rsidP="009801EF">
      <w:pPr>
        <w:pStyle w:val="Bulletedlist"/>
      </w:pPr>
      <w:r>
        <w:t>T</w:t>
      </w:r>
      <w:r w:rsidR="008F78D2" w:rsidRPr="009801EF">
        <w:t xml:space="preserve">here is a higher proportion of </w:t>
      </w:r>
      <w:r w:rsidR="008F78D2" w:rsidRPr="009801EF">
        <w:rPr>
          <w:b/>
        </w:rPr>
        <w:t>female offenders</w:t>
      </w:r>
      <w:r w:rsidR="008F78D2" w:rsidRPr="009801EF">
        <w:t xml:space="preserve"> sentenced for serious assaults</w:t>
      </w:r>
      <w:r w:rsidR="00E3118E">
        <w:t>,</w:t>
      </w:r>
      <w:r w:rsidR="008F78D2" w:rsidRPr="009801EF">
        <w:t xml:space="preserve"> compared to other</w:t>
      </w:r>
      <w:r w:rsidRPr="009801EF">
        <w:t xml:space="preserve"> acts intended to cause injury.</w:t>
      </w:r>
    </w:p>
    <w:p w14:paraId="59C8C851" w14:textId="65D6BAD2" w:rsidR="009801EF" w:rsidRPr="009801EF" w:rsidRDefault="009801EF" w:rsidP="009801EF">
      <w:pPr>
        <w:pStyle w:val="Bulletedlist"/>
      </w:pPr>
      <w:r w:rsidRPr="009801EF">
        <w:t xml:space="preserve">A high proportion </w:t>
      </w:r>
      <w:r w:rsidRPr="00D301CD">
        <w:t>of</w:t>
      </w:r>
      <w:r w:rsidRPr="009801EF">
        <w:rPr>
          <w:b/>
        </w:rPr>
        <w:t xml:space="preserve"> </w:t>
      </w:r>
      <w:r w:rsidRPr="003A2B19">
        <w:t>female offenders</w:t>
      </w:r>
      <w:r w:rsidRPr="009801EF">
        <w:t xml:space="preserve"> committed a serious assault that involved biting, spitting</w:t>
      </w:r>
      <w:r w:rsidR="00E3118E">
        <w:t>,</w:t>
      </w:r>
      <w:r w:rsidRPr="009801EF">
        <w:t xml:space="preserve"> or bodily fluids (42.3%), much higher than the proportion of female offenders who committed the serious assault of a police officer while armed (13.8%). </w:t>
      </w:r>
    </w:p>
    <w:p w14:paraId="0A295B3B" w14:textId="5456ACA9" w:rsidR="009801EF" w:rsidRDefault="008F78D2" w:rsidP="009801EF">
      <w:pPr>
        <w:pStyle w:val="Bulletedlist"/>
      </w:pPr>
      <w:r w:rsidRPr="009801EF">
        <w:rPr>
          <w:b/>
        </w:rPr>
        <w:t xml:space="preserve">Aboriginal </w:t>
      </w:r>
      <w:r w:rsidR="00E3118E">
        <w:rPr>
          <w:b/>
        </w:rPr>
        <w:t xml:space="preserve">peoples </w:t>
      </w:r>
      <w:r w:rsidRPr="009801EF">
        <w:rPr>
          <w:b/>
        </w:rPr>
        <w:t>and Torres Strait Islander people</w:t>
      </w:r>
      <w:r w:rsidR="00E3118E">
        <w:rPr>
          <w:b/>
        </w:rPr>
        <w:t>s</w:t>
      </w:r>
      <w:r w:rsidRPr="009801EF">
        <w:t xml:space="preserve"> </w:t>
      </w:r>
      <w:r w:rsidR="00C27309" w:rsidRPr="009801EF">
        <w:t>com</w:t>
      </w:r>
      <w:r w:rsidR="00C27309">
        <w:t xml:space="preserve">mitted </w:t>
      </w:r>
      <w:r w:rsidRPr="009801EF">
        <w:t xml:space="preserve">a higher proportion of serious assaults, compared to other categories of offences. </w:t>
      </w:r>
    </w:p>
    <w:p w14:paraId="63450CF9" w14:textId="262E585A" w:rsidR="009801EF" w:rsidRDefault="00C93047" w:rsidP="009801EF">
      <w:pPr>
        <w:pStyle w:val="Bulletedlist"/>
      </w:pPr>
      <w:r w:rsidRPr="009801EF">
        <w:t>Over a third of serious assaults of corrective services officers were committed by Aboriginal or Torres Strait Islander offenders (39.9%), which needs to be interpreted in the context of the continuing over-representation of Aboriginal and Torres Strait Islander people in prison in Queensland.</w:t>
      </w:r>
    </w:p>
    <w:p w14:paraId="2C296364" w14:textId="1C2AA950" w:rsidR="008F78D2" w:rsidRDefault="009801EF" w:rsidP="009801EF">
      <w:pPr>
        <w:pStyle w:val="Bulletedlist"/>
      </w:pPr>
      <w:r>
        <w:t>P</w:t>
      </w:r>
      <w:r w:rsidR="008F78D2" w:rsidRPr="008F78D2">
        <w:t xml:space="preserve">erpetrators with </w:t>
      </w:r>
      <w:r w:rsidR="008F78D2" w:rsidRPr="009801EF">
        <w:rPr>
          <w:b/>
        </w:rPr>
        <w:t>drug or alcohol problems, mental health issues</w:t>
      </w:r>
      <w:r w:rsidR="008F78D2" w:rsidRPr="008F78D2">
        <w:t>, or a history of violence were more likely to assault a public officer</w:t>
      </w:r>
      <w:r>
        <w:t>.</w:t>
      </w:r>
      <w:r w:rsidR="00DF1E78">
        <w:t xml:space="preserve"> The Griffith University research paper notes a WA Office of the Inspector of Custodial Services (2014) report that found prisoner</w:t>
      </w:r>
      <w:r w:rsidR="003B0434">
        <w:t>s with</w:t>
      </w:r>
      <w:r w:rsidR="00DF1E78">
        <w:t xml:space="preserve"> mental health concerns and </w:t>
      </w:r>
      <w:r w:rsidR="00DF1E78" w:rsidRPr="00DF1E78">
        <w:rPr>
          <w:b/>
        </w:rPr>
        <w:t xml:space="preserve">intellectual disability </w:t>
      </w:r>
      <w:r w:rsidR="00DF1E78">
        <w:t>were significantly over-represented in correctional staff assaults.</w:t>
      </w:r>
    </w:p>
    <w:p w14:paraId="643D77DD" w14:textId="2BAE1457" w:rsidR="007C723D" w:rsidRDefault="007C723D" w:rsidP="007C723D">
      <w:pPr>
        <w:pStyle w:val="Numberedparagraph"/>
      </w:pPr>
      <w:r>
        <w:t>Further, compared to the general population, both female and male prisoners in Queensland have a higher rate of intellectual disability than the general population</w:t>
      </w:r>
      <w:r w:rsidR="003B0434">
        <w:t>,</w:t>
      </w:r>
      <w:r>
        <w:t xml:space="preserve"> and a significantly higher number of Aboriginal </w:t>
      </w:r>
      <w:r w:rsidR="003B0434">
        <w:t xml:space="preserve">prisoners </w:t>
      </w:r>
      <w:r>
        <w:t xml:space="preserve">and Torres Strait Islander prisoners identify </w:t>
      </w:r>
      <w:r w:rsidR="00C27309">
        <w:t xml:space="preserve">as having an </w:t>
      </w:r>
      <w:r>
        <w:t>intellectual disability.</w:t>
      </w:r>
      <w:r>
        <w:rPr>
          <w:rStyle w:val="FootnoteReference"/>
        </w:rPr>
        <w:footnoteReference w:id="18"/>
      </w:r>
      <w:r>
        <w:t xml:space="preserve"> </w:t>
      </w:r>
    </w:p>
    <w:p w14:paraId="5ED50D61" w14:textId="7889CB74" w:rsidR="005A1ABC" w:rsidRDefault="005A1ABC" w:rsidP="007C723D">
      <w:pPr>
        <w:pStyle w:val="Numberedparagraph"/>
      </w:pPr>
      <w:r>
        <w:t>The QPC Report also found that Aboriginal and Torres Strait Islander</w:t>
      </w:r>
      <w:r w:rsidR="009E3331">
        <w:t xml:space="preserve"> offenders had higher rates of police contact than non-Indigenous offenders</w:t>
      </w:r>
      <w:r w:rsidR="003B0434">
        <w:t>,</w:t>
      </w:r>
      <w:r w:rsidR="009E3331">
        <w:t xml:space="preserve"> and the average Indigenous offender also experienced a much higher rate of contact with police while under the age of 18.</w:t>
      </w:r>
      <w:r w:rsidR="009E3331" w:rsidRPr="009E3331">
        <w:t xml:space="preserve"> </w:t>
      </w:r>
      <w:r w:rsidR="009E3331">
        <w:t xml:space="preserve">Aboriginal and </w:t>
      </w:r>
      <w:r w:rsidR="009E3331">
        <w:lastRenderedPageBreak/>
        <w:t>Torres Strait Islander women had 14 times more frequent contact with po</w:t>
      </w:r>
      <w:r w:rsidR="006A1256">
        <w:t>lice than non-Indigenous women.</w:t>
      </w:r>
      <w:r w:rsidR="009E3331">
        <w:rPr>
          <w:rStyle w:val="FootnoteReference"/>
        </w:rPr>
        <w:footnoteReference w:id="19"/>
      </w:r>
      <w:r w:rsidR="009E3331">
        <w:t xml:space="preserve"> </w:t>
      </w:r>
    </w:p>
    <w:p w14:paraId="47216798" w14:textId="3560740D" w:rsidR="006A1256" w:rsidRDefault="00972E61" w:rsidP="009E3331">
      <w:pPr>
        <w:pStyle w:val="Numberedparagraph"/>
      </w:pPr>
      <w:r>
        <w:t>That</w:t>
      </w:r>
      <w:r w:rsidR="000E777B" w:rsidRPr="00956805">
        <w:t xml:space="preserve"> </w:t>
      </w:r>
      <w:r w:rsidR="00956805">
        <w:t>report</w:t>
      </w:r>
      <w:r>
        <w:t xml:space="preserve"> also</w:t>
      </w:r>
      <w:r w:rsidR="00956805">
        <w:t xml:space="preserve"> </w:t>
      </w:r>
      <w:r w:rsidR="00981E88">
        <w:t>found that many risk factors associated with imprisonment interact with one another and become compounded over time—for example, a cognitive disability may increase the risk of substance abuse, which in turn further inhibits executive function. These risk factors are exacerbated by socio-economic disadvantage.</w:t>
      </w:r>
      <w:r w:rsidR="00A046BE">
        <w:rPr>
          <w:rStyle w:val="FootnoteReference"/>
        </w:rPr>
        <w:footnoteReference w:id="20"/>
      </w:r>
      <w:r w:rsidR="00981E88">
        <w:t xml:space="preserve"> </w:t>
      </w:r>
      <w:r w:rsidR="009E3331">
        <w:t>The over</w:t>
      </w:r>
      <w:r w:rsidR="003B0434">
        <w:t>-</w:t>
      </w:r>
      <w:r w:rsidR="009E3331">
        <w:t>representation of Aboriginal</w:t>
      </w:r>
      <w:r w:rsidR="003B0434">
        <w:t xml:space="preserve"> peoples</w:t>
      </w:r>
      <w:r w:rsidR="009E3331">
        <w:t xml:space="preserve"> and Torres Strait Islander peoples in the criminal justice system is driven by entrenched economic and social disadvantage that has its roots in historic dispossession and disempowerment. These risk factors are exacerbated by the way </w:t>
      </w:r>
      <w:r w:rsidR="00C53313">
        <w:t xml:space="preserve">in which </w:t>
      </w:r>
      <w:r w:rsidR="009E3331">
        <w:t xml:space="preserve">the criminal justice system interacts with Aboriginal </w:t>
      </w:r>
      <w:r w:rsidR="00C53313">
        <w:t xml:space="preserve">peoples </w:t>
      </w:r>
      <w:r w:rsidR="009E3331">
        <w:t>and Torres Strait islander people</w:t>
      </w:r>
      <w:r w:rsidR="00C53313">
        <w:t>s</w:t>
      </w:r>
      <w:r w:rsidR="009E3331">
        <w:t>.</w:t>
      </w:r>
      <w:r w:rsidR="009E3331">
        <w:rPr>
          <w:rStyle w:val="FootnoteReference"/>
        </w:rPr>
        <w:footnoteReference w:id="21"/>
      </w:r>
      <w:r w:rsidR="00847C09">
        <w:t xml:space="preserve"> The QPC </w:t>
      </w:r>
      <w:r w:rsidR="00C53313">
        <w:t>r</w:t>
      </w:r>
      <w:r w:rsidR="00847C09">
        <w:t>eport recommend</w:t>
      </w:r>
      <w:r w:rsidR="006A1256">
        <w:t>ed</w:t>
      </w:r>
      <w:r w:rsidR="00847C09">
        <w:t xml:space="preserve"> broad structural reform to address these issues.</w:t>
      </w:r>
      <w:r w:rsidR="00847C09">
        <w:rPr>
          <w:rStyle w:val="FootnoteReference"/>
        </w:rPr>
        <w:footnoteReference w:id="22"/>
      </w:r>
      <w:r w:rsidR="00847C09">
        <w:t xml:space="preserve"> </w:t>
      </w:r>
    </w:p>
    <w:p w14:paraId="14EB042E" w14:textId="4CBF0F42" w:rsidR="006A1256" w:rsidRDefault="006A1256" w:rsidP="006A1256">
      <w:pPr>
        <w:pStyle w:val="Numberedparagraph"/>
      </w:pPr>
      <w:r>
        <w:t xml:space="preserve">The report also cites research showing that almost half of all Queensland prisoners are likely to have been previously hospitalised for mental health issues and/or have a history of </w:t>
      </w:r>
      <w:r w:rsidR="00C27309">
        <w:t xml:space="preserve">being neglected in their </w:t>
      </w:r>
      <w:r>
        <w:t>child</w:t>
      </w:r>
      <w:r w:rsidR="00C27309">
        <w:t>hood</w:t>
      </w:r>
      <w:r>
        <w:t>,</w:t>
      </w:r>
      <w:r>
        <w:rPr>
          <w:rStyle w:val="FootnoteReference"/>
        </w:rPr>
        <w:footnoteReference w:id="23"/>
      </w:r>
      <w:r>
        <w:t xml:space="preserve"> and 35 per cent of Queensland prisoners have a disability </w:t>
      </w:r>
      <w:r w:rsidR="00C53313">
        <w:t xml:space="preserve">that </w:t>
      </w:r>
      <w:r>
        <w:t>limit</w:t>
      </w:r>
      <w:r w:rsidR="00C53313">
        <w:t>s</w:t>
      </w:r>
      <w:r>
        <w:t xml:space="preserve"> activity, employment or education.</w:t>
      </w:r>
      <w:r>
        <w:rPr>
          <w:rStyle w:val="FootnoteReference"/>
        </w:rPr>
        <w:footnoteReference w:id="24"/>
      </w:r>
      <w:r>
        <w:t xml:space="preserve"> </w:t>
      </w:r>
    </w:p>
    <w:p w14:paraId="13CB9A8B" w14:textId="7149CB4D" w:rsidR="009E3331" w:rsidRDefault="006A1256" w:rsidP="009E3331">
      <w:pPr>
        <w:pStyle w:val="Numberedparagraph"/>
      </w:pPr>
      <w:r>
        <w:t>P</w:t>
      </w:r>
      <w:r w:rsidR="00847C09">
        <w:t xml:space="preserve">rotective factors </w:t>
      </w:r>
      <w:r w:rsidR="00725244">
        <w:t>to avoid offending behaviour</w:t>
      </w:r>
      <w:r>
        <w:t xml:space="preserve"> include</w:t>
      </w:r>
      <w:r w:rsidR="00847C09">
        <w:t xml:space="preserve"> employment, education, effective parenting, health and resilience, and positive </w:t>
      </w:r>
      <w:r w:rsidR="009D21E8">
        <w:t>influences</w:t>
      </w:r>
      <w:r w:rsidR="00847C09">
        <w:t xml:space="preserve"> from family, friends</w:t>
      </w:r>
      <w:r w:rsidR="00E36779">
        <w:t>,</w:t>
      </w:r>
      <w:r w:rsidR="00847C09">
        <w:t xml:space="preserve"> and work.</w:t>
      </w:r>
      <w:r w:rsidR="00847C09">
        <w:rPr>
          <w:rStyle w:val="FootnoteReference"/>
        </w:rPr>
        <w:footnoteReference w:id="25"/>
      </w:r>
      <w:r w:rsidR="00847C09">
        <w:t xml:space="preserve">  </w:t>
      </w:r>
    </w:p>
    <w:p w14:paraId="2BD5AB96" w14:textId="55E2B8F5" w:rsidR="00981E88" w:rsidRDefault="00476C78" w:rsidP="00981E88">
      <w:pPr>
        <w:pStyle w:val="Numberedparagraph"/>
      </w:pPr>
      <w:r>
        <w:t>It does</w:t>
      </w:r>
      <w:r w:rsidR="00981E88">
        <w:t xml:space="preserve"> not necessarily </w:t>
      </w:r>
      <w:r>
        <w:t>follow</w:t>
      </w:r>
      <w:r w:rsidR="00981E88">
        <w:t xml:space="preserve"> </w:t>
      </w:r>
      <w:r w:rsidR="00E36779">
        <w:t xml:space="preserve">that </w:t>
      </w:r>
      <w:r w:rsidR="009E3331">
        <w:t xml:space="preserve">higher penalties </w:t>
      </w:r>
      <w:r w:rsidR="0011586A">
        <w:t xml:space="preserve">for assaults against public officers </w:t>
      </w:r>
      <w:r w:rsidR="009E3331">
        <w:t>will be an unreasonable limitation on rights. However,</w:t>
      </w:r>
      <w:r>
        <w:t xml:space="preserve"> </w:t>
      </w:r>
      <w:r w:rsidR="00C27309">
        <w:t xml:space="preserve">the above </w:t>
      </w:r>
      <w:r>
        <w:t>research does suggest consideration must</w:t>
      </w:r>
      <w:r w:rsidR="00981E88">
        <w:t xml:space="preserve"> be given as to why certain members of the community are over-represented</w:t>
      </w:r>
      <w:r w:rsidR="009E3331">
        <w:t xml:space="preserve"> in </w:t>
      </w:r>
      <w:r w:rsidR="000546B3">
        <w:t xml:space="preserve"> the criminal justice system</w:t>
      </w:r>
      <w:r w:rsidR="009D21E8">
        <w:t xml:space="preserve">, and if there are alternative ways of achieving </w:t>
      </w:r>
      <w:r w:rsidR="004E46AA">
        <w:t>t</w:t>
      </w:r>
      <w:r w:rsidR="009D21E8">
        <w:t>he purpose of the reform without further entrenching this disadvantage</w:t>
      </w:r>
      <w:r w:rsidR="00981E88">
        <w:t xml:space="preserve">. </w:t>
      </w:r>
      <w:r w:rsidR="00ED5C2B" w:rsidRPr="00956805">
        <w:t>As the QPC Report</w:t>
      </w:r>
      <w:r w:rsidR="00ED5C2B">
        <w:t xml:space="preserve"> put it:</w:t>
      </w:r>
    </w:p>
    <w:p w14:paraId="0B3036FB" w14:textId="65B323D3" w:rsidR="00ED5C2B" w:rsidRPr="00956805" w:rsidRDefault="00ED5C2B" w:rsidP="000B6A5F">
      <w:pPr>
        <w:pStyle w:val="Quote"/>
      </w:pPr>
      <w:r>
        <w:lastRenderedPageBreak/>
        <w:t xml:space="preserve">While the decision to commit an offence ultimately rests with the individual, there is a large body of evidence to suggest that contextual factors increase or decrease the </w:t>
      </w:r>
      <w:r w:rsidRPr="00956805">
        <w:t>risk that an individual will make decisions leading to crime.</w:t>
      </w:r>
      <w:r w:rsidRPr="00956805">
        <w:rPr>
          <w:rStyle w:val="FootnoteReference"/>
        </w:rPr>
        <w:footnoteReference w:id="26"/>
      </w:r>
    </w:p>
    <w:p w14:paraId="547EEE4C" w14:textId="40458052" w:rsidR="00025877" w:rsidRDefault="00981E88" w:rsidP="00025877">
      <w:pPr>
        <w:pStyle w:val="Numberedparagraph"/>
      </w:pPr>
      <w:r w:rsidRPr="00956805">
        <w:t xml:space="preserve">The QPC Report </w:t>
      </w:r>
      <w:r w:rsidR="00693542" w:rsidRPr="00956805">
        <w:t>recommends that the Queensland Government commit to improving the policy</w:t>
      </w:r>
      <w:r w:rsidR="00693542">
        <w:t xml:space="preserve"> development process through</w:t>
      </w:r>
      <w:r w:rsidR="00ED5C2B">
        <w:t xml:space="preserve"> a new</w:t>
      </w:r>
      <w:r w:rsidR="007C723D">
        <w:t xml:space="preserve"> </w:t>
      </w:r>
      <w:r w:rsidR="00ED5C2B">
        <w:t>‘</w:t>
      </w:r>
      <w:r w:rsidR="007C723D">
        <w:t>justice impact test</w:t>
      </w:r>
      <w:r w:rsidR="00ED5C2B">
        <w:t>’,</w:t>
      </w:r>
      <w:r w:rsidR="007C723D">
        <w:t xml:space="preserve"> which includes considering</w:t>
      </w:r>
      <w:r w:rsidR="00025877">
        <w:t xml:space="preserve"> the impact of legislation and policy change</w:t>
      </w:r>
      <w:r w:rsidR="00693542">
        <w:t xml:space="preserve"> on</w:t>
      </w:r>
      <w:r w:rsidR="00025877">
        <w:t xml:space="preserve"> Indigenous communities in remote and regional areas. Such a test </w:t>
      </w:r>
      <w:r w:rsidR="00EC2DB3">
        <w:t xml:space="preserve">would be relevant to informing the proportionality analysis under the </w:t>
      </w:r>
      <w:r w:rsidR="00037553">
        <w:t>HRA</w:t>
      </w:r>
      <w:r w:rsidR="00124940">
        <w:t>,</w:t>
      </w:r>
      <w:r w:rsidR="00EC2DB3">
        <w:rPr>
          <w:i/>
        </w:rPr>
        <w:t xml:space="preserve"> </w:t>
      </w:r>
      <w:r w:rsidR="00EC2DB3">
        <w:t xml:space="preserve">and </w:t>
      </w:r>
      <w:r w:rsidR="00025877">
        <w:t xml:space="preserve">appears particularly relevant to </w:t>
      </w:r>
      <w:r w:rsidR="00EC2DB3">
        <w:t xml:space="preserve">any </w:t>
      </w:r>
      <w:r w:rsidR="00025877">
        <w:t xml:space="preserve">potential change arising from this review. </w:t>
      </w:r>
      <w:r w:rsidR="00EC2DB3">
        <w:t xml:space="preserve">We suggest that the Council reiterate </w:t>
      </w:r>
      <w:r w:rsidR="00ED5C2B">
        <w:t>the need for the development and implementation of this tool</w:t>
      </w:r>
      <w:r w:rsidR="00EC2DB3">
        <w:t xml:space="preserve"> in its report. </w:t>
      </w:r>
    </w:p>
    <w:p w14:paraId="653F87FF" w14:textId="042DF502" w:rsidR="00847C09" w:rsidRDefault="00847C09" w:rsidP="00847C09">
      <w:pPr>
        <w:pStyle w:val="Numberedparagraph"/>
      </w:pPr>
      <w:r>
        <w:t xml:space="preserve">The QPC </w:t>
      </w:r>
      <w:r w:rsidR="00124940">
        <w:t>r</w:t>
      </w:r>
      <w:r>
        <w:t>eport, like others before it</w:t>
      </w:r>
      <w:r w:rsidR="0011586A">
        <w:t>,</w:t>
      </w:r>
      <w:r>
        <w:t xml:space="preserve"> including the Commission’s </w:t>
      </w:r>
      <w:r w:rsidRPr="00847C09">
        <w:rPr>
          <w:i/>
        </w:rPr>
        <w:t>Women in Prison</w:t>
      </w:r>
      <w:r>
        <w:t xml:space="preserve"> </w:t>
      </w:r>
      <w:r w:rsidR="00124940">
        <w:t>r</w:t>
      </w:r>
      <w:r>
        <w:t>eport, also recommends that justice reinvestment projects that support community-led prevention and early interventions be prioritised.</w:t>
      </w:r>
      <w:r w:rsidR="006A1256">
        <w:rPr>
          <w:rStyle w:val="FootnoteReference"/>
        </w:rPr>
        <w:footnoteReference w:id="27"/>
      </w:r>
      <w:r w:rsidR="009D21E8">
        <w:t xml:space="preserve"> Such</w:t>
      </w:r>
      <w:r w:rsidR="0011586A">
        <w:t xml:space="preserve"> an approach seeks to invest in</w:t>
      </w:r>
      <w:r w:rsidR="006A1256">
        <w:t xml:space="preserve"> protective factors</w:t>
      </w:r>
      <w:r>
        <w:t xml:space="preserve"> to </w:t>
      </w:r>
      <w:r w:rsidR="00C27309">
        <w:t xml:space="preserve">reduce </w:t>
      </w:r>
      <w:r>
        <w:t>offending behaviour</w:t>
      </w:r>
      <w:r w:rsidR="0011586A">
        <w:t>. This is likely to result</w:t>
      </w:r>
      <w:r>
        <w:t xml:space="preserve"> in a safer workplace for many </w:t>
      </w:r>
      <w:r w:rsidR="00C27309">
        <w:t>occupation</w:t>
      </w:r>
      <w:r>
        <w:t>s</w:t>
      </w:r>
      <w:r w:rsidR="0011586A">
        <w:t xml:space="preserve"> considered</w:t>
      </w:r>
      <w:r>
        <w:t xml:space="preserve"> in this review. The </w:t>
      </w:r>
      <w:r w:rsidRPr="00847C09">
        <w:rPr>
          <w:i/>
        </w:rPr>
        <w:t xml:space="preserve">Taskforce </w:t>
      </w:r>
      <w:proofErr w:type="spellStart"/>
      <w:r w:rsidRPr="00847C09">
        <w:rPr>
          <w:i/>
        </w:rPr>
        <w:t>Flaxton</w:t>
      </w:r>
      <w:proofErr w:type="spellEnd"/>
      <w:r>
        <w:t xml:space="preserve"> </w:t>
      </w:r>
      <w:r w:rsidR="00124940">
        <w:t>r</w:t>
      </w:r>
      <w:r>
        <w:t>eport recommended a similar approach, coupled with a focus on diversion strategies:</w:t>
      </w:r>
    </w:p>
    <w:p w14:paraId="51511BC6" w14:textId="77777777" w:rsidR="00847C09" w:rsidRDefault="00847C09" w:rsidP="000B6A5F">
      <w:pPr>
        <w:pStyle w:val="Quote"/>
      </w:pPr>
      <w:r>
        <w:t>A greater investment in initiatives that address the root causes of anti-social behaviour, while often initially costly, will reap downstream rewards by reducing offending behaviour that can lead to imprisonment. Further, making better use of effective diversion strategies and alternatives to imprisonment will deliver better crime outcomes and alleviate pressure on the Queensland prison system.</w:t>
      </w:r>
      <w:r>
        <w:rPr>
          <w:rStyle w:val="FootnoteReference"/>
        </w:rPr>
        <w:footnoteReference w:id="28"/>
      </w:r>
    </w:p>
    <w:p w14:paraId="6587F9D9" w14:textId="227FC6FA" w:rsidR="001C1521" w:rsidRDefault="001C1521" w:rsidP="00025877">
      <w:pPr>
        <w:pStyle w:val="Numberedparagraph"/>
      </w:pPr>
      <w:r>
        <w:t>The United Nations has stated that the composition of law enforcement bodies should be representative of the entire community.</w:t>
      </w:r>
      <w:r>
        <w:rPr>
          <w:rStyle w:val="FootnoteReference"/>
        </w:rPr>
        <w:footnoteReference w:id="29"/>
      </w:r>
      <w:r>
        <w:t xml:space="preserve">  Given the overrepresentation of Aboriginal and Torres Strait Islander peoples and women in</w:t>
      </w:r>
      <w:r w:rsidR="006C14AC">
        <w:t xml:space="preserve"> many of</w:t>
      </w:r>
      <w:r>
        <w:t xml:space="preserve"> the assaults analysed by this review, it may be that </w:t>
      </w:r>
      <w:r w:rsidR="006E3D36">
        <w:t xml:space="preserve">increasing the numbers of female and indigenous police may address this issue. </w:t>
      </w:r>
      <w:r w:rsidR="006D64B1">
        <w:t xml:space="preserve">This may also assist cultural competency within QPS. </w:t>
      </w:r>
      <w:r w:rsidR="006E3D36">
        <w:t xml:space="preserve">The Commission suggests that further consultation take place with police and the community about whether this would be an effective measure. </w:t>
      </w:r>
    </w:p>
    <w:p w14:paraId="60F01002" w14:textId="0823EEAC" w:rsidR="00847C09" w:rsidRDefault="009D21E8" w:rsidP="00025877">
      <w:pPr>
        <w:pStyle w:val="Numberedparagraph"/>
      </w:pPr>
      <w:r>
        <w:t xml:space="preserve">If the purpose of reform is to reduce assaults against public officers, </w:t>
      </w:r>
      <w:r w:rsidR="00D24356">
        <w:t>t</w:t>
      </w:r>
      <w:r w:rsidR="006A1256">
        <w:t>he weight of recent evidence in Queensland suggests that</w:t>
      </w:r>
      <w:r>
        <w:t xml:space="preserve"> alternative options </w:t>
      </w:r>
      <w:r>
        <w:lastRenderedPageBreak/>
        <w:t>exist to achieve this purpose, including through</w:t>
      </w:r>
      <w:r w:rsidR="006A1256">
        <w:t xml:space="preserve"> justice reinvestment and related strategies</w:t>
      </w:r>
      <w:r>
        <w:t>, which</w:t>
      </w:r>
      <w:r w:rsidR="006A1256">
        <w:t xml:space="preserve"> are likely to be a more effective than increased penalties. </w:t>
      </w:r>
    </w:p>
    <w:p w14:paraId="7C42412C" w14:textId="17F4F82B" w:rsidR="00756B6E" w:rsidRDefault="00756B6E" w:rsidP="00756B6E">
      <w:pPr>
        <w:pStyle w:val="Heading1"/>
      </w:pPr>
      <w:bookmarkStart w:id="9" w:name="_Toc43990190"/>
      <w:r>
        <w:t xml:space="preserve">Victims’ </w:t>
      </w:r>
      <w:r w:rsidR="00BB67DA">
        <w:t>needs more broadly</w:t>
      </w:r>
      <w:bookmarkEnd w:id="9"/>
      <w:r w:rsidR="00BB67DA">
        <w:t xml:space="preserve"> </w:t>
      </w:r>
    </w:p>
    <w:p w14:paraId="3DCAE71F" w14:textId="20085F71" w:rsidR="006765D6" w:rsidRDefault="00B35E49" w:rsidP="000B6A5F">
      <w:pPr>
        <w:pStyle w:val="Questions"/>
      </w:pPr>
      <w:r>
        <w:t>5 Should any changes be considered to the current approach to better respond to victim needs? If so, what reforms should be considered?</w:t>
      </w:r>
    </w:p>
    <w:p w14:paraId="445B9013" w14:textId="070D715E" w:rsidR="00F857F4" w:rsidRPr="00F857F4" w:rsidRDefault="00812632" w:rsidP="00F857F4">
      <w:pPr>
        <w:pStyle w:val="Numberedparagraph"/>
      </w:pPr>
      <w:r w:rsidRPr="00F857F4">
        <w:t>The</w:t>
      </w:r>
      <w:r w:rsidR="00150EF4" w:rsidRPr="00F857F4">
        <w:t xml:space="preserve"> Issues Paper notes that the </w:t>
      </w:r>
      <w:r w:rsidR="00150EF4" w:rsidRPr="00D301CD">
        <w:rPr>
          <w:i/>
        </w:rPr>
        <w:t>Human Rights Act</w:t>
      </w:r>
      <w:r w:rsidRPr="00F857F4">
        <w:t xml:space="preserve"> does not specifically recognise the human rights of victims of crime. </w:t>
      </w:r>
      <w:r w:rsidR="006C5DC3" w:rsidRPr="00F857F4">
        <w:t>However</w:t>
      </w:r>
      <w:r w:rsidR="00150EF4" w:rsidRPr="00F857F4">
        <w:t>, victims do</w:t>
      </w:r>
      <w:r w:rsidR="006C5DC3" w:rsidRPr="00F857F4">
        <w:t xml:space="preserve"> enjoy rights that could be relevant to their treatment by public entities. For example, </w:t>
      </w:r>
      <w:r w:rsidR="00F857F4" w:rsidRPr="00F857F4">
        <w:t>freedom of expression includes the right to hold and express an opinion, as well as the right to seek out and receive information.</w:t>
      </w:r>
      <w:r w:rsidR="00F857F4" w:rsidRPr="00812F5A">
        <w:rPr>
          <w:rStyle w:val="FootnoteReference"/>
          <w:sz w:val="20"/>
          <w:szCs w:val="20"/>
        </w:rPr>
        <w:footnoteReference w:id="30"/>
      </w:r>
      <w:r w:rsidR="00F857F4" w:rsidRPr="00F857F4">
        <w:t xml:space="preserve"> </w:t>
      </w:r>
      <w:r w:rsidR="00812F5A">
        <w:t>Consistent with this right, a</w:t>
      </w:r>
      <w:r w:rsidR="00F857F4" w:rsidRPr="00F857F4">
        <w:t xml:space="preserve"> victim should be kept informed about such things as: progress of a police investigation, decisions about the prosecution of the accused person, warrants that have been issued, court processes and hearing dates, details of the sentence, outcomes of bail application, and arrangements for release of the accused person.</w:t>
      </w:r>
      <w:r w:rsidR="00924B31">
        <w:t xml:space="preserve"> The extent of the public entity’s obligations may be informed by the </w:t>
      </w:r>
      <w:r w:rsidR="00924B31" w:rsidRPr="00F857F4">
        <w:t xml:space="preserve">Queensland </w:t>
      </w:r>
      <w:r w:rsidR="00924B31" w:rsidRPr="00D301CD">
        <w:rPr>
          <w:i/>
        </w:rPr>
        <w:t>Charter of Victims’ Rights</w:t>
      </w:r>
      <w:r w:rsidR="00924B31">
        <w:t>.</w:t>
      </w:r>
    </w:p>
    <w:p w14:paraId="78FB47E8" w14:textId="35010F8E" w:rsidR="00F857F4" w:rsidRPr="00F857F4" w:rsidRDefault="006C5DC3" w:rsidP="00D301CD">
      <w:pPr>
        <w:pStyle w:val="Numberedparagraph"/>
      </w:pPr>
      <w:r w:rsidRPr="00F857F4">
        <w:t>The Commission deals with complaints about</w:t>
      </w:r>
      <w:r w:rsidR="00343628">
        <w:t xml:space="preserve"> whether</w:t>
      </w:r>
      <w:r w:rsidRPr="00F857F4">
        <w:t xml:space="preserve"> </w:t>
      </w:r>
      <w:r w:rsidR="00D24356">
        <w:t xml:space="preserve">acts or decisions of </w:t>
      </w:r>
      <w:r w:rsidRPr="00F857F4">
        <w:t xml:space="preserve">public </w:t>
      </w:r>
      <w:r w:rsidR="00F857F4" w:rsidRPr="00F857F4">
        <w:t>entities</w:t>
      </w:r>
      <w:r w:rsidR="00343628">
        <w:t xml:space="preserve"> comply with</w:t>
      </w:r>
      <w:r w:rsidR="00F857F4" w:rsidRPr="00F857F4">
        <w:t xml:space="preserve"> the </w:t>
      </w:r>
      <w:r w:rsidR="00F857F4" w:rsidRPr="00476C78">
        <w:rPr>
          <w:i/>
        </w:rPr>
        <w:t>Human Rights Act</w:t>
      </w:r>
      <w:r w:rsidRPr="00F857F4">
        <w:t xml:space="preserve">. </w:t>
      </w:r>
      <w:r w:rsidR="00D301CD">
        <w:t>I</w:t>
      </w:r>
      <w:r w:rsidR="00F857F4" w:rsidRPr="00F857F4">
        <w:t>n</w:t>
      </w:r>
      <w:r w:rsidRPr="00F857F4">
        <w:t xml:space="preserve"> certain circumstances</w:t>
      </w:r>
      <w:r w:rsidR="00F857F4" w:rsidRPr="00F857F4">
        <w:t>, a victim may be able to</w:t>
      </w:r>
      <w:r w:rsidRPr="00F857F4">
        <w:t xml:space="preserve"> make a complaint </w:t>
      </w:r>
      <w:r w:rsidR="00D301CD">
        <w:t xml:space="preserve">to the Commission </w:t>
      </w:r>
      <w:r w:rsidRPr="00F857F4">
        <w:t>against criminal justice entities</w:t>
      </w:r>
      <w:r w:rsidR="007A6240">
        <w:t>,</w:t>
      </w:r>
      <w:r w:rsidRPr="00F857F4">
        <w:t xml:space="preserve"> such as police and the Director of Public Prosecutions</w:t>
      </w:r>
      <w:r w:rsidR="007A6240">
        <w:t>,</w:t>
      </w:r>
      <w:r w:rsidR="002C01B5">
        <w:t xml:space="preserve"> to the Commission</w:t>
      </w:r>
      <w:r w:rsidRPr="00F857F4">
        <w:t xml:space="preserve">. </w:t>
      </w:r>
      <w:r w:rsidR="00812F5A">
        <w:t>The</w:t>
      </w:r>
      <w:r w:rsidR="00F857F4" w:rsidRPr="00F857F4">
        <w:t xml:space="preserve"> Commission generally does not consider complaints involving matters currently before (or previously considered by) courts and tribunals. </w:t>
      </w:r>
    </w:p>
    <w:p w14:paraId="4389D2AF" w14:textId="1DB9A93D" w:rsidR="00150EF4" w:rsidRPr="00F857F4" w:rsidRDefault="008D288D" w:rsidP="0011586A">
      <w:pPr>
        <w:pStyle w:val="Numberedparagraph"/>
      </w:pPr>
      <w:bookmarkStart w:id="10" w:name="_GoBack"/>
      <w:r>
        <w:t>It is arguable</w:t>
      </w:r>
      <w:r w:rsidR="00D301CD">
        <w:t xml:space="preserve"> </w:t>
      </w:r>
      <w:r w:rsidR="006C5DC3" w:rsidRPr="00F857F4">
        <w:t xml:space="preserve">that victims’ rights could be better recognised in the </w:t>
      </w:r>
      <w:r w:rsidR="00037553">
        <w:t>HRA</w:t>
      </w:r>
      <w:r w:rsidR="006C5DC3" w:rsidRPr="00F857F4">
        <w:t>.</w:t>
      </w:r>
      <w:r w:rsidR="0011586A">
        <w:t xml:space="preserve"> </w:t>
      </w:r>
      <w:r w:rsidR="006C5DC3" w:rsidRPr="00F857F4">
        <w:t xml:space="preserve">For example, </w:t>
      </w:r>
      <w:r w:rsidR="00812F5A">
        <w:t xml:space="preserve">the right to fair hearing in the </w:t>
      </w:r>
      <w:r w:rsidR="00812F5A" w:rsidRPr="0011586A">
        <w:rPr>
          <w:i/>
        </w:rPr>
        <w:t>Human Rights Act</w:t>
      </w:r>
      <w:r w:rsidR="0011586A">
        <w:rPr>
          <w:i/>
        </w:rPr>
        <w:t xml:space="preserve"> 2019 </w:t>
      </w:r>
      <w:r w:rsidR="0011586A" w:rsidRPr="00476C78">
        <w:t>(Qld)</w:t>
      </w:r>
      <w:r w:rsidR="00812F5A" w:rsidRPr="0011586A">
        <w:rPr>
          <w:i/>
        </w:rPr>
        <w:t xml:space="preserve"> </w:t>
      </w:r>
      <w:r w:rsidR="00812F5A">
        <w:t xml:space="preserve">applies to ‘a person charged with a criminal offence’. </w:t>
      </w:r>
      <w:r w:rsidR="00924B31">
        <w:t xml:space="preserve">The corresponding right under the </w:t>
      </w:r>
      <w:r w:rsidR="00924B31" w:rsidRPr="0011586A">
        <w:rPr>
          <w:i/>
        </w:rPr>
        <w:t xml:space="preserve">Human Rights Act 2004 </w:t>
      </w:r>
      <w:r w:rsidR="00924B31" w:rsidRPr="00476C78">
        <w:t>(ACT)</w:t>
      </w:r>
      <w:r w:rsidR="00924B31">
        <w:t xml:space="preserve"> states that ‘everyone </w:t>
      </w:r>
      <w:r w:rsidR="00924B31" w:rsidRPr="00924B31">
        <w:t>h</w:t>
      </w:r>
      <w:r w:rsidR="00DD6601">
        <w:t>as the right to have  criminal c</w:t>
      </w:r>
      <w:r w:rsidR="00924B31" w:rsidRPr="00924B31">
        <w:t>harges, and rights and obligations recognised by law, decided by a competent, independent and impartial court or tribunal after a fair and public hearing</w:t>
      </w:r>
      <w:r w:rsidR="00924B31">
        <w:t xml:space="preserve">’. Adopting the broader protection in the ACT legislation </w:t>
      </w:r>
      <w:r w:rsidR="003A2B19">
        <w:t>c</w:t>
      </w:r>
      <w:r w:rsidR="00924B31">
        <w:t xml:space="preserve">ould provide further protection for victims </w:t>
      </w:r>
      <w:r w:rsidR="00343628">
        <w:t>in Queensland</w:t>
      </w:r>
      <w:r w:rsidR="00924B31">
        <w:t xml:space="preserve"> </w:t>
      </w:r>
      <w:r w:rsidR="007A6240">
        <w:t xml:space="preserve">under the </w:t>
      </w:r>
      <w:r w:rsidR="00924B31" w:rsidRPr="0011586A">
        <w:rPr>
          <w:i/>
        </w:rPr>
        <w:t xml:space="preserve">Human Rights Act. </w:t>
      </w:r>
      <w:r w:rsidR="00924B31">
        <w:t>V</w:t>
      </w:r>
      <w:r w:rsidR="00150EF4" w:rsidRPr="00F857F4">
        <w:t xml:space="preserve">ictims can be adversely impacted if there are failures to provide a fair hearing, for example if there unreasonable delays.  Lengthy delays may be harmful to victims and can </w:t>
      </w:r>
      <w:r w:rsidR="007A6240">
        <w:t xml:space="preserve">have an </w:t>
      </w:r>
      <w:r w:rsidR="00150EF4" w:rsidRPr="00F857F4">
        <w:t xml:space="preserve">impact </w:t>
      </w:r>
      <w:r w:rsidR="007A6240">
        <w:t xml:space="preserve">on </w:t>
      </w:r>
      <w:r w:rsidR="00150EF4" w:rsidRPr="00F857F4">
        <w:t xml:space="preserve">the ability to give credible evidence. </w:t>
      </w:r>
    </w:p>
    <w:p w14:paraId="1C1E4584" w14:textId="7A57A5A1" w:rsidR="00924B31" w:rsidRDefault="00924B31" w:rsidP="00924B31">
      <w:pPr>
        <w:pStyle w:val="Numberedparagraph"/>
      </w:pPr>
      <w:r>
        <w:lastRenderedPageBreak/>
        <w:t xml:space="preserve">The Victorian Law Reform Commission in its report on </w:t>
      </w:r>
      <w:r>
        <w:rPr>
          <w:i/>
        </w:rPr>
        <w:t>The Role of Victims of Crime in the Criminal Trial Process,</w:t>
      </w:r>
      <w:r w:rsidRPr="00924B31">
        <w:rPr>
          <w:i/>
        </w:rPr>
        <w:t xml:space="preserve"> </w:t>
      </w:r>
      <w:r>
        <w:t xml:space="preserve">recommended </w:t>
      </w:r>
      <w:r w:rsidR="00DD6601">
        <w:t xml:space="preserve">more comprehensive recognition of </w:t>
      </w:r>
      <w:r w:rsidR="0011586A">
        <w:t>victims’ rights in Victoria’s</w:t>
      </w:r>
      <w:r>
        <w:t xml:space="preserve"> human rights legislation. </w:t>
      </w:r>
      <w:r w:rsidR="0011586A">
        <w:t>This protection</w:t>
      </w:r>
      <w:r>
        <w:t xml:space="preserve"> acknowledge</w:t>
      </w:r>
      <w:r w:rsidR="00476C78">
        <w:t>s</w:t>
      </w:r>
      <w:r w:rsidR="000546B3">
        <w:t xml:space="preserve"> that a </w:t>
      </w:r>
      <w:r>
        <w:t>victim of a criminal offence has the following minimum guarantees:</w:t>
      </w:r>
    </w:p>
    <w:p w14:paraId="2F5FCF74" w14:textId="0BA074AF" w:rsidR="00924B31" w:rsidRDefault="00924B31" w:rsidP="00924B31">
      <w:pPr>
        <w:pStyle w:val="Bulletedlist"/>
      </w:pPr>
      <w:r>
        <w:t>to be acknowledged as a participant (but not a party) with an interest in the proceedings</w:t>
      </w:r>
      <w:r w:rsidR="00DD6601">
        <w:t>;</w:t>
      </w:r>
    </w:p>
    <w:p w14:paraId="09A6682A" w14:textId="5AB38B12" w:rsidR="00924B31" w:rsidRDefault="00924B31" w:rsidP="00924B31">
      <w:pPr>
        <w:pStyle w:val="Bulletedlist"/>
      </w:pPr>
      <w:r>
        <w:t>to be treated with respect at all times</w:t>
      </w:r>
      <w:r w:rsidR="00DD6601">
        <w:t>;</w:t>
      </w:r>
    </w:p>
    <w:p w14:paraId="61AD2804" w14:textId="16DA33C2" w:rsidR="006C5DC3" w:rsidRDefault="00924B31" w:rsidP="00924B31">
      <w:pPr>
        <w:pStyle w:val="Bulletedlist"/>
      </w:pPr>
      <w:proofErr w:type="gramStart"/>
      <w:r>
        <w:t>to</w:t>
      </w:r>
      <w:proofErr w:type="gramEnd"/>
      <w:r>
        <w:t xml:space="preserve"> be protected from unnecessary trauma, intimidation and distress when giving evidence.</w:t>
      </w:r>
      <w:r>
        <w:rPr>
          <w:rStyle w:val="FootnoteReference"/>
        </w:rPr>
        <w:footnoteReference w:id="31"/>
      </w:r>
    </w:p>
    <w:p w14:paraId="4C00689A" w14:textId="68AB1809" w:rsidR="0011586A" w:rsidRPr="00F857F4" w:rsidRDefault="0011586A" w:rsidP="0011586A">
      <w:pPr>
        <w:pStyle w:val="Numberedparagraph"/>
      </w:pPr>
      <w:r>
        <w:t xml:space="preserve">This addition to the Queensland </w:t>
      </w:r>
      <w:r>
        <w:rPr>
          <w:i/>
        </w:rPr>
        <w:t xml:space="preserve">Human Rights Act </w:t>
      </w:r>
      <w:r>
        <w:t>would</w:t>
      </w:r>
      <w:r w:rsidR="00BB67DA">
        <w:t xml:space="preserve"> further protect victims’ needs</w:t>
      </w:r>
      <w:r>
        <w:t xml:space="preserve">. </w:t>
      </w:r>
    </w:p>
    <w:p w14:paraId="773BDE6B" w14:textId="0F79FD8A" w:rsidR="00756B6E" w:rsidRDefault="00756B6E" w:rsidP="00756B6E">
      <w:pPr>
        <w:pStyle w:val="Heading1"/>
      </w:pPr>
      <w:bookmarkStart w:id="11" w:name="_Toc43990191"/>
      <w:bookmarkEnd w:id="10"/>
      <w:r>
        <w:t xml:space="preserve">Sentencing </w:t>
      </w:r>
      <w:r w:rsidR="007A6240">
        <w:t>p</w:t>
      </w:r>
      <w:r>
        <w:t>rinciples</w:t>
      </w:r>
      <w:bookmarkEnd w:id="11"/>
    </w:p>
    <w:p w14:paraId="3C60FE08" w14:textId="3E2845B4" w:rsidR="00B35E49" w:rsidRDefault="00B35E49" w:rsidP="000B6A5F">
      <w:pPr>
        <w:pStyle w:val="Questions"/>
      </w:pPr>
      <w:r>
        <w:t>12. What sentencing purpose/s are most important in sentencing people who commit assaults against police and other frontline emergency service workers, corrective services officers and other public officers? Does this vary by the type of officer or context in which the assault occurs, and in what way?</w:t>
      </w:r>
      <w:r w:rsidR="00BB67DA">
        <w:br/>
      </w:r>
    </w:p>
    <w:p w14:paraId="4A3CFF2F" w14:textId="355C6D4D" w:rsidR="00B35E49" w:rsidRDefault="00B35E49" w:rsidP="000B6A5F">
      <w:pPr>
        <w:pStyle w:val="Questions"/>
      </w:pPr>
      <w:r>
        <w:t>13. Does your answer to Question 12 change when applied specifically to children/young offenders?</w:t>
      </w:r>
    </w:p>
    <w:p w14:paraId="76BEA0E0" w14:textId="04F753D4" w:rsidR="00205764" w:rsidRDefault="0011586A" w:rsidP="00205764">
      <w:pPr>
        <w:pStyle w:val="Numberedparagraph"/>
      </w:pPr>
      <w:r>
        <w:t>The</w:t>
      </w:r>
      <w:r w:rsidR="00205764">
        <w:t xml:space="preserve"> current sentencing principles acknowledge</w:t>
      </w:r>
      <w:r w:rsidR="0073136F">
        <w:t xml:space="preserve"> the</w:t>
      </w:r>
      <w:r w:rsidR="00DF12F2">
        <w:t xml:space="preserve"> vulnerability and specific protections required </w:t>
      </w:r>
      <w:r w:rsidR="00205764">
        <w:t xml:space="preserve">for </w:t>
      </w:r>
      <w:r w:rsidR="00DF12F2">
        <w:t>children</w:t>
      </w:r>
      <w:r w:rsidR="0073136F">
        <w:t xml:space="preserve">, as reflected in </w:t>
      </w:r>
      <w:r w:rsidR="00205764">
        <w:t>their</w:t>
      </w:r>
      <w:r w:rsidR="0073136F">
        <w:t xml:space="preserve"> rights under the </w:t>
      </w:r>
      <w:r w:rsidR="00037553">
        <w:t>HRA</w:t>
      </w:r>
      <w:r w:rsidR="0073136F">
        <w:rPr>
          <w:i/>
        </w:rPr>
        <w:t>.</w:t>
      </w:r>
      <w:r w:rsidR="0073136F" w:rsidRPr="0073136F">
        <w:rPr>
          <w:rStyle w:val="FootnoteReference"/>
        </w:rPr>
        <w:footnoteReference w:id="32"/>
      </w:r>
      <w:r w:rsidR="0073136F" w:rsidRPr="0073136F">
        <w:t xml:space="preserve"> </w:t>
      </w:r>
      <w:r w:rsidR="00205764">
        <w:t xml:space="preserve">This includes principles under the </w:t>
      </w:r>
      <w:r w:rsidR="00205764" w:rsidRPr="00205764">
        <w:rPr>
          <w:i/>
        </w:rPr>
        <w:t>Youth Justice Act 1992</w:t>
      </w:r>
      <w:r w:rsidR="00205764" w:rsidRPr="00245674">
        <w:t xml:space="preserve"> (Qld</w:t>
      </w:r>
      <w:r w:rsidR="00205764">
        <w:t xml:space="preserve">), in particular, that </w:t>
      </w:r>
      <w:r w:rsidR="00205764" w:rsidRPr="00205764">
        <w:t>a detention order should be imposed only as a last resort and for the shortest appropriate period. The Commission strongly supports th</w:t>
      </w:r>
      <w:r w:rsidR="00DD6601">
        <w:t xml:space="preserve">e retention of these principles. </w:t>
      </w:r>
    </w:p>
    <w:p w14:paraId="207E1A8A" w14:textId="4FFA09A1" w:rsidR="00205764" w:rsidRDefault="00205764" w:rsidP="00DF12F2">
      <w:pPr>
        <w:pStyle w:val="Numberedparagraph"/>
      </w:pPr>
      <w:r>
        <w:t xml:space="preserve">The Issues Paper also discusses that </w:t>
      </w:r>
      <w:r w:rsidR="00DF12F2" w:rsidRPr="00205764">
        <w:t>a</w:t>
      </w:r>
      <w:r w:rsidR="0073136F" w:rsidRPr="00205764">
        <w:t xml:space="preserve"> child under 10 is not criminally respon</w:t>
      </w:r>
      <w:r w:rsidR="00DF12F2" w:rsidRPr="00205764">
        <w:t>sible for any act or omission, and that a</w:t>
      </w:r>
      <w:r w:rsidR="0073136F" w:rsidRPr="00205764">
        <w:t xml:space="preserve"> child under 14 can only be criminally responsible if the prosecution shows the child had the capacity to know they should not do the act or make the omission at the time of doing it.</w:t>
      </w:r>
    </w:p>
    <w:p w14:paraId="29494602" w14:textId="7619D56A" w:rsidR="004F143B" w:rsidRDefault="00205764" w:rsidP="000546B3">
      <w:pPr>
        <w:pStyle w:val="Numberedparagraph"/>
      </w:pPr>
      <w:r>
        <w:t>In</w:t>
      </w:r>
      <w:r w:rsidR="00476C78">
        <w:t xml:space="preserve"> recent years</w:t>
      </w:r>
      <w:r w:rsidR="007A6240">
        <w:t>,</w:t>
      </w:r>
      <w:r w:rsidR="00476C78">
        <w:t xml:space="preserve"> the </w:t>
      </w:r>
      <w:r>
        <w:t xml:space="preserve">United Nations Committee on the Rights of the Child </w:t>
      </w:r>
      <w:r w:rsidR="00476C78">
        <w:t>has called for the minimum age of criminal responsibility (MACR) to be raised to14 years of age.</w:t>
      </w:r>
      <w:r>
        <w:rPr>
          <w:rStyle w:val="FootnoteReference"/>
        </w:rPr>
        <w:footnoteReference w:id="33"/>
      </w:r>
      <w:r w:rsidRPr="00EF5D8C">
        <w:t xml:space="preserve"> </w:t>
      </w:r>
      <w:r>
        <w:t xml:space="preserve">It also </w:t>
      </w:r>
      <w:r w:rsidR="00476C78">
        <w:t>recommends</w:t>
      </w:r>
      <w:r>
        <w:t xml:space="preserve"> that ‘</w:t>
      </w:r>
      <w:r w:rsidRPr="00EF5D8C">
        <w:t>no child be deprived of liberty, unless there are genuine public safety or public health concerns</w:t>
      </w:r>
      <w:r>
        <w:t>’</w:t>
      </w:r>
      <w:r w:rsidRPr="00EF5D8C">
        <w:t xml:space="preserve"> </w:t>
      </w:r>
      <w:r w:rsidRPr="00EF5D8C">
        <w:lastRenderedPageBreak/>
        <w:t>and that countries increase the minimum age of detention to 16.</w:t>
      </w:r>
      <w:r>
        <w:rPr>
          <w:rStyle w:val="FootnoteReference"/>
        </w:rPr>
        <w:footnoteReference w:id="34"/>
      </w:r>
      <w:r w:rsidR="00476C78">
        <w:t xml:space="preserve"> T</w:t>
      </w:r>
      <w:r>
        <w:t>he Northern Territory Royal Commission recommended that the MACR be increased and the Australia and New Zealand Children’s Commissioners and Guardians issued a joint statement calling for the MACR to be move</w:t>
      </w:r>
      <w:r w:rsidR="009D75ED">
        <w:t>d</w:t>
      </w:r>
      <w:r>
        <w:t xml:space="preserve"> to 14 years of age in November 2019. </w:t>
      </w:r>
      <w:r w:rsidR="004F143B">
        <w:t>Several recent reports examining the Queensland justice system have recommended an increase in the MACR to 12 years of age, reflecting the United Nations standard at the time. Since these reports were published, the United Nations ha</w:t>
      </w:r>
      <w:r w:rsidR="00B26717">
        <w:t>s changed its approach to MACR.</w:t>
      </w:r>
      <w:r w:rsidR="00B26717">
        <w:rPr>
          <w:rStyle w:val="FootnoteReference"/>
        </w:rPr>
        <w:footnoteReference w:id="35"/>
      </w:r>
    </w:p>
    <w:p w14:paraId="239426D6" w14:textId="25EC328F" w:rsidR="004F143B" w:rsidRDefault="00B26717" w:rsidP="004F143B">
      <w:pPr>
        <w:pStyle w:val="Numberedparagraph"/>
      </w:pPr>
      <w:r>
        <w:t>T</w:t>
      </w:r>
      <w:r w:rsidR="004F143B">
        <w:t xml:space="preserve">he Commission submits that </w:t>
      </w:r>
      <w:r w:rsidR="0011586A">
        <w:t xml:space="preserve">the </w:t>
      </w:r>
      <w:r w:rsidR="009D75ED">
        <w:t>g</w:t>
      </w:r>
      <w:r w:rsidR="0011586A">
        <w:t xml:space="preserve">overnment should change </w:t>
      </w:r>
      <w:r w:rsidR="004F143B">
        <w:t>MACR</w:t>
      </w:r>
      <w:r w:rsidR="0011586A">
        <w:t xml:space="preserve"> in Queensland to</w:t>
      </w:r>
      <w:r w:rsidR="004F143B">
        <w:t xml:space="preserve"> 14</w:t>
      </w:r>
      <w:r w:rsidR="009D75ED">
        <w:t xml:space="preserve"> years</w:t>
      </w:r>
      <w:r w:rsidR="004F143B">
        <w:t xml:space="preserve">, </w:t>
      </w:r>
      <w:r w:rsidR="0011586A">
        <w:t>and consider</w:t>
      </w:r>
      <w:r w:rsidR="004F143B">
        <w:t xml:space="preserve"> a prohibition on </w:t>
      </w:r>
      <w:r w:rsidR="00343628">
        <w:t>children under</w:t>
      </w:r>
      <w:r w:rsidR="004F143B">
        <w:t xml:space="preserve"> 16 </w:t>
      </w:r>
      <w:r w:rsidR="009D75ED">
        <w:t xml:space="preserve">years </w:t>
      </w:r>
      <w:r w:rsidR="004F143B">
        <w:t xml:space="preserve">being detained as recommended by the United Nations committee.  </w:t>
      </w:r>
    </w:p>
    <w:p w14:paraId="5557DDDA" w14:textId="20FE6DD1" w:rsidR="00756B6E" w:rsidRDefault="00756B6E" w:rsidP="00756B6E">
      <w:pPr>
        <w:pStyle w:val="Heading1"/>
      </w:pPr>
      <w:bookmarkStart w:id="12" w:name="_Toc43990192"/>
      <w:r>
        <w:t xml:space="preserve">Community </w:t>
      </w:r>
      <w:r w:rsidR="009D75ED">
        <w:t>u</w:t>
      </w:r>
      <w:r>
        <w:t>nderstanding</w:t>
      </w:r>
      <w:bookmarkEnd w:id="12"/>
      <w:r>
        <w:t xml:space="preserve"> </w:t>
      </w:r>
    </w:p>
    <w:p w14:paraId="00187A64" w14:textId="5364993F" w:rsidR="00527FDA" w:rsidRDefault="00527FDA" w:rsidP="000B6A5F">
      <w:pPr>
        <w:pStyle w:val="Questions"/>
      </w:pPr>
      <w:r w:rsidRPr="00EC2DB3">
        <w:t>17. How can community knowledge and understanding about penalties</w:t>
      </w:r>
      <w:r>
        <w:t xml:space="preserve"> and sentencing for assaults on public officers be enhanced?</w:t>
      </w:r>
    </w:p>
    <w:p w14:paraId="6A47CAA2" w14:textId="2A752B0E" w:rsidR="00E85283" w:rsidRPr="00527FDA" w:rsidRDefault="00527FDA" w:rsidP="008D1F09">
      <w:pPr>
        <w:pStyle w:val="Numberedparagraph"/>
      </w:pPr>
      <w:r>
        <w:t xml:space="preserve">It is likely that any non-legislative response to the issues identified in the terms of reference will be a less restrictive limitation on rights than law reform measures. </w:t>
      </w:r>
      <w:r w:rsidR="0011586A">
        <w:t>This is particularly so</w:t>
      </w:r>
      <w:r>
        <w:t xml:space="preserve"> if the primary purpose of </w:t>
      </w:r>
      <w:r w:rsidR="0011586A">
        <w:t xml:space="preserve">such change </w:t>
      </w:r>
      <w:r>
        <w:t>is to denounce assaults a</w:t>
      </w:r>
      <w:r w:rsidR="0011586A">
        <w:t>gainst public officers</w:t>
      </w:r>
      <w:r>
        <w:t xml:space="preserve">. As the Issues Paper notes, </w:t>
      </w:r>
      <w:r w:rsidR="009A0BFD">
        <w:t>e</w:t>
      </w:r>
      <w:r w:rsidRPr="004A3F81">
        <w:t xml:space="preserve">ven when </w:t>
      </w:r>
      <w:r w:rsidR="008A49FC">
        <w:t>c</w:t>
      </w:r>
      <w:r w:rsidRPr="004A3F81">
        <w:t>ourts may seek to ‘send a message’ to the community through the sentencing process, the achievement of this objective ‘assumes that the sentences, or reports of them in the media, will be known and understood</w:t>
      </w:r>
      <w:r w:rsidR="009A0BFD">
        <w:t>’.</w:t>
      </w:r>
    </w:p>
    <w:p w14:paraId="07FCDDC2" w14:textId="19435E27" w:rsidR="004A3F81" w:rsidRDefault="004A3F81" w:rsidP="008D1F09">
      <w:pPr>
        <w:pStyle w:val="Numberedparagraph"/>
      </w:pPr>
      <w:r>
        <w:t xml:space="preserve">The Commission is </w:t>
      </w:r>
      <w:r w:rsidR="0011586A">
        <w:t>s</w:t>
      </w:r>
      <w:r>
        <w:t xml:space="preserve">upportive of the options in the Issues Paper to achieve behavioural change </w:t>
      </w:r>
      <w:r w:rsidR="008A49FC">
        <w:t xml:space="preserve">through </w:t>
      </w:r>
      <w:r w:rsidR="00D301CD">
        <w:t>measures such</w:t>
      </w:r>
      <w:r w:rsidR="008A49FC">
        <w:t xml:space="preserve"> as </w:t>
      </w:r>
      <w:r>
        <w:t>information campaigns, more precise statistical collection</w:t>
      </w:r>
      <w:r w:rsidR="008A49FC">
        <w:t>,</w:t>
      </w:r>
      <w:r>
        <w:t xml:space="preserve"> and reporting (including from courts), and the Council continuing its role in promoting greater understanding </w:t>
      </w:r>
      <w:r w:rsidR="009A0BFD">
        <w:t>about sentencing in Queensland.</w:t>
      </w:r>
    </w:p>
    <w:p w14:paraId="0265F737" w14:textId="487FBFE1" w:rsidR="004A3F81" w:rsidRDefault="004A3F81" w:rsidP="008D1F09">
      <w:pPr>
        <w:pStyle w:val="Numberedparagraph"/>
      </w:pPr>
      <w:r>
        <w:t xml:space="preserve">We also support the submissions of other stakeholders that investment in prevention will perhaps </w:t>
      </w:r>
      <w:r w:rsidR="008A49FC">
        <w:t xml:space="preserve">be the </w:t>
      </w:r>
      <w:r>
        <w:t xml:space="preserve">best </w:t>
      </w:r>
      <w:r w:rsidR="008A49FC">
        <w:t xml:space="preserve">means of </w:t>
      </w:r>
      <w:r>
        <w:t>address</w:t>
      </w:r>
      <w:r w:rsidR="008A49FC">
        <w:t xml:space="preserve">ing </w:t>
      </w:r>
      <w:r>
        <w:t xml:space="preserve">the issues identified in the Terms of Reference, particularly over the long term. These </w:t>
      </w:r>
      <w:r>
        <w:lastRenderedPageBreak/>
        <w:t xml:space="preserve">include more training for staff on de-escalation and managing vulnerable clients. </w:t>
      </w:r>
    </w:p>
    <w:p w14:paraId="4F3A224C" w14:textId="53633577" w:rsidR="00492C3F" w:rsidRDefault="0011586A" w:rsidP="00C27606">
      <w:pPr>
        <w:pStyle w:val="Numberedparagraph"/>
      </w:pPr>
      <w:r>
        <w:t>T</w:t>
      </w:r>
      <w:r w:rsidR="00C27606">
        <w:t xml:space="preserve">he Council has previously promoted discussion in Queensland about </w:t>
      </w:r>
      <w:proofErr w:type="spellStart"/>
      <w:r w:rsidR="00C27606">
        <w:rPr>
          <w:i/>
        </w:rPr>
        <w:t>Gladue</w:t>
      </w:r>
      <w:proofErr w:type="spellEnd"/>
      <w:r w:rsidR="00C27606">
        <w:t xml:space="preserve"> reports</w:t>
      </w:r>
      <w:r w:rsidR="00865536">
        <w:t>.</w:t>
      </w:r>
      <w:r w:rsidR="00C27606">
        <w:rPr>
          <w:rStyle w:val="FootnoteReference"/>
        </w:rPr>
        <w:footnoteReference w:id="36"/>
      </w:r>
      <w:r w:rsidR="00C27606">
        <w:t xml:space="preserve"> The Commission suggests these reports are worthy of further consideration as a way of promoting understanding within the justice system </w:t>
      </w:r>
      <w:r w:rsidR="00DA32F8">
        <w:t>(</w:t>
      </w:r>
      <w:r w:rsidR="00C27606">
        <w:t>and wider community</w:t>
      </w:r>
      <w:r w:rsidR="00DA32F8">
        <w:t>)</w:t>
      </w:r>
      <w:r w:rsidR="00C27606">
        <w:t xml:space="preserve"> about the impacts of intergenerational poverty and trauma on Indigenous peoples. </w:t>
      </w:r>
      <w:proofErr w:type="spellStart"/>
      <w:r w:rsidR="00C27606">
        <w:rPr>
          <w:i/>
        </w:rPr>
        <w:t>Gladue</w:t>
      </w:r>
      <w:proofErr w:type="spellEnd"/>
      <w:r w:rsidR="00C27606">
        <w:rPr>
          <w:i/>
        </w:rPr>
        <w:t xml:space="preserve"> </w:t>
      </w:r>
      <w:r w:rsidR="00C27606">
        <w:t xml:space="preserve">reports, </w:t>
      </w:r>
      <w:r w:rsidR="00C27606" w:rsidRPr="00C27606">
        <w:t>prepared in some Canadian provinces</w:t>
      </w:r>
      <w:r w:rsidR="00C27606">
        <w:t xml:space="preserve">, </w:t>
      </w:r>
      <w:r w:rsidR="00C27606" w:rsidRPr="00C27606">
        <w:t>are specialist Aboriginal sentencing reports</w:t>
      </w:r>
      <w:r w:rsidR="00C27606">
        <w:t xml:space="preserve"> to complement pre-sentence reports</w:t>
      </w:r>
      <w:r w:rsidR="00C27606" w:rsidRPr="00C27606">
        <w:t xml:space="preserve">. </w:t>
      </w:r>
      <w:r w:rsidR="00C27606">
        <w:t>They seek to</w:t>
      </w:r>
      <w:r w:rsidR="00C27606" w:rsidRPr="00C27606">
        <w:t xml:space="preserve"> promote a better understanding of the underlying causes of offending, including the historic and cultural context of an offender. </w:t>
      </w:r>
      <w:r w:rsidR="00D301CD">
        <w:t xml:space="preserve">The introduction </w:t>
      </w:r>
      <w:r w:rsidR="00343628">
        <w:t xml:space="preserve">of a similar report in Queensland </w:t>
      </w:r>
      <w:r w:rsidR="00D301CD">
        <w:t>may be one</w:t>
      </w:r>
      <w:r w:rsidR="00DA32F8">
        <w:t xml:space="preserve"> means of </w:t>
      </w:r>
      <w:r w:rsidR="00C27606">
        <w:t>address</w:t>
      </w:r>
      <w:r w:rsidR="00DA32F8">
        <w:t>ing</w:t>
      </w:r>
      <w:r w:rsidR="00C27606">
        <w:t xml:space="preserve"> </w:t>
      </w:r>
      <w:r w:rsidR="00C27606" w:rsidRPr="00C27606">
        <w:t xml:space="preserve">the over-representation of Aboriginal </w:t>
      </w:r>
      <w:r w:rsidR="00DA32F8">
        <w:t xml:space="preserve">peoples </w:t>
      </w:r>
      <w:r w:rsidR="00C27606" w:rsidRPr="00C27606">
        <w:t>and Torres Strait Islander people</w:t>
      </w:r>
      <w:r w:rsidR="00DA32F8">
        <w:t>s</w:t>
      </w:r>
      <w:r w:rsidR="00C27606" w:rsidRPr="00C27606">
        <w:t xml:space="preserve"> in prison. </w:t>
      </w:r>
      <w:r w:rsidR="00492C3F">
        <w:t>As the Australian Law Reform Commission</w:t>
      </w:r>
      <w:r w:rsidR="009D21E8">
        <w:t xml:space="preserve"> (ALRC)</w:t>
      </w:r>
      <w:r w:rsidR="00492C3F">
        <w:t xml:space="preserve"> has observed:</w:t>
      </w:r>
    </w:p>
    <w:p w14:paraId="5AE22F5A" w14:textId="49720043" w:rsidR="00492C3F" w:rsidRDefault="00492C3F" w:rsidP="000B6A5F">
      <w:pPr>
        <w:pStyle w:val="Quote"/>
      </w:pPr>
      <w:r w:rsidRPr="00492C3F">
        <w:t>This context may include an examination of complex issues of an historical and cultural nature that are unique to, and prevalent in, Canadian Aboriginal communities, including intergenerational trauma, alcohol and drug addictions, family violence and abuse, and institutionalisation</w:t>
      </w:r>
      <w:r w:rsidR="006D542E">
        <w:t>.</w:t>
      </w:r>
      <w:r w:rsidR="006D542E">
        <w:rPr>
          <w:rStyle w:val="FootnoteReference"/>
        </w:rPr>
        <w:footnoteReference w:id="37"/>
      </w:r>
    </w:p>
    <w:p w14:paraId="2A299354" w14:textId="2774CE23" w:rsidR="00865536" w:rsidRDefault="009D21E8" w:rsidP="008947EF">
      <w:pPr>
        <w:pStyle w:val="Numberedparagraph"/>
      </w:pPr>
      <w:r>
        <w:t xml:space="preserve">In considering </w:t>
      </w:r>
      <w:proofErr w:type="spellStart"/>
      <w:r w:rsidRPr="009D21E8">
        <w:rPr>
          <w:i/>
        </w:rPr>
        <w:t>Gladue</w:t>
      </w:r>
      <w:proofErr w:type="spellEnd"/>
      <w:r w:rsidRPr="009D21E8">
        <w:rPr>
          <w:i/>
        </w:rPr>
        <w:t xml:space="preserve"> </w:t>
      </w:r>
      <w:r>
        <w:t xml:space="preserve">reports, the ALRC recommended that </w:t>
      </w:r>
      <w:r w:rsidR="00DA32F8">
        <w:t>s</w:t>
      </w:r>
      <w:r>
        <w:t>tate and territory governments, in partnership with relevant Aboriginal and Torres Strait Islander organisations, should develop and implement schemes that facilitate the preparation of ‘Indigenous Experience Reports’ for Aboriginal and Torres Strait Islander offenders appearing for sentence in superior courts.</w:t>
      </w:r>
      <w:r>
        <w:rPr>
          <w:rStyle w:val="FootnoteReference"/>
        </w:rPr>
        <w:footnoteReference w:id="38"/>
      </w:r>
      <w:r>
        <w:t xml:space="preserve"> </w:t>
      </w:r>
      <w:r w:rsidR="00343628">
        <w:t>We understand t</w:t>
      </w:r>
      <w:r w:rsidR="00C27606">
        <w:t>he ACT Government is the first Australian jurisdiction to trial their use.</w:t>
      </w:r>
      <w:r w:rsidR="00C27606">
        <w:rPr>
          <w:rStyle w:val="FootnoteReference"/>
        </w:rPr>
        <w:footnoteReference w:id="39"/>
      </w:r>
      <w:r w:rsidR="00C27606">
        <w:t xml:space="preserve"> </w:t>
      </w:r>
    </w:p>
    <w:p w14:paraId="5D34A02A" w14:textId="00AA8E81" w:rsidR="008539D3" w:rsidRDefault="008539D3" w:rsidP="00DA2CA0">
      <w:pPr>
        <w:pStyle w:val="Heading1"/>
      </w:pPr>
      <w:bookmarkStart w:id="13" w:name="_Toc43990193"/>
      <w:r>
        <w:t>Conclusion</w:t>
      </w:r>
      <w:bookmarkEnd w:id="13"/>
    </w:p>
    <w:p w14:paraId="3424FD07" w14:textId="44780F51" w:rsidR="008539D3" w:rsidRDefault="00DF12F2" w:rsidP="00661B2C">
      <w:pPr>
        <w:pStyle w:val="Numberedparagraph"/>
      </w:pPr>
      <w:r>
        <w:t>It is likely that</w:t>
      </w:r>
      <w:r w:rsidR="008539D3">
        <w:t xml:space="preserve"> any increase in penalties for </w:t>
      </w:r>
      <w:r w:rsidR="000629A4">
        <w:t xml:space="preserve">assaults upon </w:t>
      </w:r>
      <w:r w:rsidR="008539D3">
        <w:t>frontline workers will li</w:t>
      </w:r>
      <w:r w:rsidR="000E777B">
        <w:t>mit rights</w:t>
      </w:r>
      <w:r w:rsidR="00DA32F8">
        <w:t>,</w:t>
      </w:r>
      <w:r w:rsidR="000E777B">
        <w:t xml:space="preserve"> and must be justified as the least restrictive way of achieving an important purpose</w:t>
      </w:r>
      <w:r w:rsidR="008539D3">
        <w:t>.</w:t>
      </w:r>
      <w:r w:rsidR="000E777B">
        <w:t xml:space="preserve"> </w:t>
      </w:r>
      <w:r>
        <w:t>If increased safety of frontline workers is the ultimate objective, t</w:t>
      </w:r>
      <w:r w:rsidR="008539D3">
        <w:t>her</w:t>
      </w:r>
      <w:r w:rsidR="000E777B">
        <w:t xml:space="preserve">e may be alternative strategies that </w:t>
      </w:r>
      <w:r w:rsidR="00DA32F8">
        <w:t xml:space="preserve">contribute to </w:t>
      </w:r>
      <w:r w:rsidR="000E777B">
        <w:t>achiev</w:t>
      </w:r>
      <w:r w:rsidR="00DA32F8">
        <w:t>ing</w:t>
      </w:r>
      <w:r w:rsidR="000E777B">
        <w:t xml:space="preserve"> this purpose</w:t>
      </w:r>
      <w:r w:rsidR="008539D3">
        <w:t xml:space="preserve">. The Commission suggests that all options must be exhausted before a significant limitation on rights through the introduction </w:t>
      </w:r>
      <w:r w:rsidR="008539D3">
        <w:lastRenderedPageBreak/>
        <w:t xml:space="preserve">of </w:t>
      </w:r>
      <w:r>
        <w:t xml:space="preserve">further </w:t>
      </w:r>
      <w:r w:rsidR="0011586A">
        <w:t>criminal law</w:t>
      </w:r>
      <w:r>
        <w:t xml:space="preserve">, such as </w:t>
      </w:r>
      <w:r w:rsidR="008539D3">
        <w:t>mandatory minimum custodial sentences</w:t>
      </w:r>
      <w:r>
        <w:t>,</w:t>
      </w:r>
      <w:r w:rsidR="008539D3">
        <w:t xml:space="preserve"> is considered.</w:t>
      </w:r>
      <w:r>
        <w:t xml:space="preserve"> </w:t>
      </w:r>
    </w:p>
    <w:p w14:paraId="7D441AC2" w14:textId="08651D70" w:rsidR="000C407D" w:rsidRDefault="00DF12F2" w:rsidP="00DF12F2">
      <w:pPr>
        <w:pStyle w:val="Numberedparagraph"/>
      </w:pPr>
      <w:r>
        <w:t>The Commission commends the Council on its Issues Paper and related research, and its commitment to consider human rights in undertaking this inquiry</w:t>
      </w:r>
      <w:r w:rsidR="000C407D">
        <w:t xml:space="preserve">. With this in mind, we make </w:t>
      </w:r>
      <w:r w:rsidR="00DD6601">
        <w:t>three</w:t>
      </w:r>
      <w:r w:rsidR="000C407D">
        <w:t xml:space="preserve"> recommendations</w:t>
      </w:r>
      <w:r w:rsidR="000E777B">
        <w:t xml:space="preserve"> for consideration in its final report</w:t>
      </w:r>
      <w:r w:rsidR="000C407D">
        <w:t>:</w:t>
      </w:r>
    </w:p>
    <w:p w14:paraId="1A125BC9" w14:textId="03A0CD7D" w:rsidR="000C407D" w:rsidRDefault="000C407D" w:rsidP="000C407D">
      <w:pPr>
        <w:pStyle w:val="Bulletedlist"/>
      </w:pPr>
      <w:r>
        <w:t xml:space="preserve">Human rights proportionality must be considered in </w:t>
      </w:r>
      <w:r w:rsidR="000E777B">
        <w:t>the formation and justification for any</w:t>
      </w:r>
      <w:r>
        <w:t xml:space="preserve"> c</w:t>
      </w:r>
      <w:r w:rsidR="00DD6601">
        <w:t>hanges arising from this review</w:t>
      </w:r>
      <w:r w:rsidR="00DA32F8">
        <w:t>.</w:t>
      </w:r>
      <w:r w:rsidR="00DD6601">
        <w:t xml:space="preserve"> </w:t>
      </w:r>
    </w:p>
    <w:p w14:paraId="25257B43" w14:textId="4AF7F0CD" w:rsidR="00DF12F2" w:rsidRDefault="000C407D" w:rsidP="000C407D">
      <w:pPr>
        <w:pStyle w:val="Bulletedlist"/>
      </w:pPr>
      <w:r>
        <w:t xml:space="preserve">This consideration, and the policy development process more broadly, would be assisted by the introduction of a Justice Impact Test, as </w:t>
      </w:r>
      <w:r w:rsidR="00756B6E">
        <w:t xml:space="preserve">recently </w:t>
      </w:r>
      <w:r>
        <w:t xml:space="preserve">recommended by the </w:t>
      </w:r>
      <w:r w:rsidR="00DF12F2">
        <w:t>Queensland Productivity Com</w:t>
      </w:r>
      <w:r w:rsidR="00DD6601">
        <w:t>mission</w:t>
      </w:r>
      <w:r w:rsidR="00DA32F8">
        <w:t>.</w:t>
      </w:r>
    </w:p>
    <w:p w14:paraId="01C67349" w14:textId="242C690F" w:rsidR="00765958" w:rsidRDefault="00727D30" w:rsidP="000C407D">
      <w:pPr>
        <w:pStyle w:val="Bulletedlist"/>
      </w:pPr>
      <w:r>
        <w:t>Effective alternative measures are</w:t>
      </w:r>
      <w:r w:rsidR="00DD6601">
        <w:t xml:space="preserve"> available to </w:t>
      </w:r>
      <w:r w:rsidR="00DA32F8">
        <w:t xml:space="preserve">help </w:t>
      </w:r>
      <w:r w:rsidR="00DD6601">
        <w:t>address</w:t>
      </w:r>
      <w:r>
        <w:t xml:space="preserve"> many of</w:t>
      </w:r>
      <w:r w:rsidR="00DD6601">
        <w:t xml:space="preserve"> the issues identified in the Terms of Reference </w:t>
      </w:r>
      <w:r>
        <w:t>including</w:t>
      </w:r>
      <w:r w:rsidR="00765958">
        <w:t>:</w:t>
      </w:r>
    </w:p>
    <w:p w14:paraId="0B24CC7B" w14:textId="1AA6BDBD" w:rsidR="00765958" w:rsidRDefault="00727D30" w:rsidP="00D301CD">
      <w:pPr>
        <w:pStyle w:val="Bulletedlist"/>
        <w:numPr>
          <w:ilvl w:val="1"/>
          <w:numId w:val="16"/>
        </w:numPr>
      </w:pPr>
      <w:r>
        <w:t>addressing the underlying causes of offending behaviour,</w:t>
      </w:r>
    </w:p>
    <w:p w14:paraId="7DE71D13" w14:textId="4279EC2F" w:rsidR="00765958" w:rsidRDefault="00DD6601" w:rsidP="00D301CD">
      <w:pPr>
        <w:pStyle w:val="Bulletedlist"/>
        <w:numPr>
          <w:ilvl w:val="1"/>
          <w:numId w:val="16"/>
        </w:numPr>
      </w:pPr>
      <w:r>
        <w:t>a renewed focus on justice reinve</w:t>
      </w:r>
      <w:r w:rsidR="00727D30">
        <w:t>stment initiatives</w:t>
      </w:r>
      <w:r w:rsidR="00765958">
        <w:t>,</w:t>
      </w:r>
      <w:r w:rsidR="00727D30">
        <w:t xml:space="preserve"> and </w:t>
      </w:r>
    </w:p>
    <w:p w14:paraId="7C421AF0" w14:textId="03341A08" w:rsidR="00DD6601" w:rsidRPr="00DF12F2" w:rsidRDefault="00765958" w:rsidP="00D301CD">
      <w:pPr>
        <w:pStyle w:val="Bulletedlist"/>
        <w:numPr>
          <w:ilvl w:val="1"/>
          <w:numId w:val="16"/>
        </w:numPr>
      </w:pPr>
      <w:proofErr w:type="gramStart"/>
      <w:r>
        <w:t>a</w:t>
      </w:r>
      <w:proofErr w:type="gramEnd"/>
      <w:r>
        <w:t xml:space="preserve"> </w:t>
      </w:r>
      <w:r w:rsidR="00727D30">
        <w:t xml:space="preserve">greater recognition of victims in the </w:t>
      </w:r>
      <w:r w:rsidR="00727D30" w:rsidRPr="00DD6601">
        <w:rPr>
          <w:i/>
        </w:rPr>
        <w:t>Human Rights Act</w:t>
      </w:r>
      <w:r w:rsidR="00727D30">
        <w:t xml:space="preserve">. </w:t>
      </w:r>
    </w:p>
    <w:sectPr w:rsidR="00DD6601" w:rsidRPr="00DF12F2" w:rsidSect="00CB0BBF">
      <w:headerReference w:type="default" r:id="rId10"/>
      <w:footerReference w:type="default" r:id="rId11"/>
      <w:headerReference w:type="first" r:id="rId12"/>
      <w:footerReference w:type="first" r:id="rId13"/>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407D" w14:textId="77777777" w:rsidR="00633855" w:rsidRDefault="00633855" w:rsidP="0034134D">
      <w:r>
        <w:separator/>
      </w:r>
    </w:p>
  </w:endnote>
  <w:endnote w:type="continuationSeparator" w:id="0">
    <w:p w14:paraId="07EEDDCA" w14:textId="77777777" w:rsidR="00633855" w:rsidRDefault="00633855"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64AB" w14:textId="77777777" w:rsidR="00633855" w:rsidRDefault="00633855" w:rsidP="000731D3">
    <w:pPr>
      <w:pStyle w:val="Footer"/>
      <w:pBdr>
        <w:top w:val="single" w:sz="4" w:space="1" w:color="auto"/>
      </w:pBdr>
      <w:jc w:val="right"/>
      <w:rPr>
        <w:rFonts w:ascii="Arial" w:hAnsi="Arial" w:cs="Arial"/>
        <w:sz w:val="20"/>
        <w:szCs w:val="20"/>
      </w:rPr>
    </w:pPr>
  </w:p>
  <w:p w14:paraId="7EAFC2A4" w14:textId="1AA889CD" w:rsidR="00633855" w:rsidRPr="000731D3" w:rsidRDefault="00633855"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3A2B19">
      <w:rPr>
        <w:rFonts w:ascii="Arial" w:hAnsi="Arial" w:cs="Arial"/>
        <w:noProof/>
        <w:sz w:val="20"/>
        <w:szCs w:val="20"/>
      </w:rPr>
      <w:t>17</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93AE" w14:textId="77777777" w:rsidR="00633855" w:rsidRDefault="00633855" w:rsidP="000731D3">
    <w:pPr>
      <w:pStyle w:val="Footer"/>
      <w:pBdr>
        <w:top w:val="single" w:sz="4" w:space="1" w:color="auto"/>
      </w:pBdr>
      <w:jc w:val="right"/>
      <w:rPr>
        <w:rFonts w:ascii="Arial" w:hAnsi="Arial" w:cs="Arial"/>
        <w:sz w:val="20"/>
        <w:szCs w:val="20"/>
      </w:rPr>
    </w:pPr>
  </w:p>
  <w:p w14:paraId="64396F4E" w14:textId="77777777" w:rsidR="00633855" w:rsidRPr="004A2375" w:rsidRDefault="00633855"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1121" w14:textId="77777777" w:rsidR="00633855" w:rsidRDefault="00633855" w:rsidP="0034134D">
      <w:r>
        <w:separator/>
      </w:r>
    </w:p>
  </w:footnote>
  <w:footnote w:type="continuationSeparator" w:id="0">
    <w:p w14:paraId="35C4C6AC" w14:textId="77777777" w:rsidR="00633855" w:rsidRDefault="00633855" w:rsidP="0034134D">
      <w:r>
        <w:continuationSeparator/>
      </w:r>
    </w:p>
  </w:footnote>
  <w:footnote w:id="1">
    <w:p w14:paraId="57385EFB" w14:textId="24DDD1C0" w:rsidR="00633855" w:rsidRDefault="00633855" w:rsidP="008947EF">
      <w:pPr>
        <w:pStyle w:val="FootnoteText"/>
      </w:pPr>
      <w:r>
        <w:rPr>
          <w:rStyle w:val="FootnoteReference"/>
        </w:rPr>
        <w:footnoteRef/>
      </w:r>
      <w:r>
        <w:t xml:space="preserve"> </w:t>
      </w:r>
      <w:r>
        <w:rPr>
          <w:i/>
        </w:rPr>
        <w:t xml:space="preserve">Human Rights Act 2019 </w:t>
      </w:r>
      <w:r>
        <w:t>(HRA) s 16.</w:t>
      </w:r>
    </w:p>
  </w:footnote>
  <w:footnote w:id="2">
    <w:p w14:paraId="0EF4239B" w14:textId="04708B14" w:rsidR="00633855" w:rsidRDefault="00633855" w:rsidP="008539D3">
      <w:pPr>
        <w:pStyle w:val="FootnoteText"/>
        <w:rPr>
          <w:rFonts w:ascii="Calibri" w:hAnsi="Calibri" w:cs="Calibri"/>
          <w:szCs w:val="20"/>
        </w:rPr>
      </w:pPr>
      <w:r>
        <w:rPr>
          <w:rStyle w:val="FootnoteReference"/>
        </w:rPr>
        <w:footnoteRef/>
      </w:r>
      <w:r>
        <w:rPr>
          <w:i/>
        </w:rPr>
        <w:t xml:space="preserve"> </w:t>
      </w:r>
      <w:r>
        <w:t>HRA</w:t>
      </w:r>
      <w:r>
        <w:rPr>
          <w:i/>
        </w:rPr>
        <w:t xml:space="preserve"> </w:t>
      </w:r>
      <w:r>
        <w:t>s 15.</w:t>
      </w:r>
    </w:p>
  </w:footnote>
  <w:footnote w:id="3">
    <w:p w14:paraId="4706A293" w14:textId="0EB154AD" w:rsidR="00633855" w:rsidRDefault="00633855" w:rsidP="008539D3">
      <w:pPr>
        <w:pStyle w:val="FootnoteText"/>
      </w:pPr>
      <w:r>
        <w:rPr>
          <w:rStyle w:val="FootnoteReference"/>
        </w:rPr>
        <w:footnoteRef/>
      </w:r>
      <w:r>
        <w:t xml:space="preserve"> HRA s 29.</w:t>
      </w:r>
    </w:p>
  </w:footnote>
  <w:footnote w:id="4">
    <w:p w14:paraId="6497B881" w14:textId="09C21322" w:rsidR="00633855" w:rsidRDefault="00633855" w:rsidP="008539D3">
      <w:pPr>
        <w:pStyle w:val="FootnoteText"/>
      </w:pPr>
      <w:r>
        <w:rPr>
          <w:rStyle w:val="FootnoteReference"/>
        </w:rPr>
        <w:footnoteRef/>
      </w:r>
      <w:r>
        <w:t xml:space="preserve"> HRA s 31.</w:t>
      </w:r>
    </w:p>
  </w:footnote>
  <w:footnote w:id="5">
    <w:p w14:paraId="2B8E1FF4" w14:textId="648613F0" w:rsidR="00633855" w:rsidRDefault="00633855" w:rsidP="008539D3">
      <w:pPr>
        <w:pStyle w:val="FootnoteText"/>
      </w:pPr>
      <w:r>
        <w:rPr>
          <w:rStyle w:val="FootnoteReference"/>
        </w:rPr>
        <w:footnoteRef/>
      </w:r>
      <w:r>
        <w:t xml:space="preserve"> HRA s 17.</w:t>
      </w:r>
    </w:p>
  </w:footnote>
  <w:footnote w:id="6">
    <w:p w14:paraId="066CAD7C" w14:textId="3839CCFF" w:rsidR="00633855" w:rsidRDefault="00633855" w:rsidP="008539D3">
      <w:pPr>
        <w:pStyle w:val="FootnoteText"/>
      </w:pPr>
      <w:r>
        <w:rPr>
          <w:rStyle w:val="FootnoteReference"/>
        </w:rPr>
        <w:footnoteRef/>
      </w:r>
      <w:r>
        <w:t xml:space="preserve"> United Nations Human Rights Committee, </w:t>
      </w:r>
      <w:r>
        <w:rPr>
          <w:i/>
        </w:rPr>
        <w:t xml:space="preserve">General Comment No 31: The Nature of the General Legal Obligation Imposed on States Parties to the Covenant, </w:t>
      </w:r>
      <w:r>
        <w:t>80</w:t>
      </w:r>
      <w:r>
        <w:rPr>
          <w:vertAlign w:val="superscript"/>
        </w:rPr>
        <w:t>th</w:t>
      </w:r>
      <w:r>
        <w:t xml:space="preserve"> session,</w:t>
      </w:r>
      <w:r>
        <w:rPr>
          <w:i/>
        </w:rPr>
        <w:t xml:space="preserve"> </w:t>
      </w:r>
      <w:r>
        <w:t>CCPR/C/21/Rev.1/Add. 1326, May 2004</w:t>
      </w:r>
      <w:r>
        <w:rPr>
          <w:i/>
        </w:rPr>
        <w:t xml:space="preserve"> </w:t>
      </w:r>
      <w:r>
        <w:t xml:space="preserve">(29 March 2004). </w:t>
      </w:r>
    </w:p>
  </w:footnote>
  <w:footnote w:id="7">
    <w:p w14:paraId="6A67197F" w14:textId="5DCB8AF9" w:rsidR="00633855" w:rsidRDefault="00633855" w:rsidP="00BB67DA">
      <w:pPr>
        <w:pStyle w:val="FootnoteText"/>
      </w:pPr>
      <w:r>
        <w:rPr>
          <w:rStyle w:val="FootnoteReference"/>
        </w:rPr>
        <w:footnoteRef/>
      </w:r>
      <w:r>
        <w:t xml:space="preserve"> Queensland Crime and Corruption Commission, </w:t>
      </w:r>
      <w:r>
        <w:rPr>
          <w:i/>
        </w:rPr>
        <w:t xml:space="preserve">Taskforce </w:t>
      </w:r>
      <w:proofErr w:type="spellStart"/>
      <w:r>
        <w:rPr>
          <w:i/>
        </w:rPr>
        <w:t>Flaxton</w:t>
      </w:r>
      <w:proofErr w:type="spellEnd"/>
      <w:r>
        <w:rPr>
          <w:i/>
        </w:rPr>
        <w:t xml:space="preserve">: An examination of corruption risks and corruption in Queensland Prisons </w:t>
      </w:r>
      <w:r>
        <w:t>(Report, December 2018)</w:t>
      </w:r>
      <w:r>
        <w:rPr>
          <w:i/>
        </w:rPr>
        <w:t xml:space="preserve"> </w:t>
      </w:r>
      <w:r>
        <w:t>6.</w:t>
      </w:r>
    </w:p>
  </w:footnote>
  <w:footnote w:id="8">
    <w:p w14:paraId="161C334F" w14:textId="49323E20" w:rsidR="00633855" w:rsidRDefault="00633855">
      <w:pPr>
        <w:pStyle w:val="FootnoteText"/>
      </w:pPr>
      <w:r>
        <w:rPr>
          <w:rStyle w:val="FootnoteReference"/>
        </w:rPr>
        <w:footnoteRef/>
      </w:r>
      <w:r>
        <w:t xml:space="preserve"> Toby </w:t>
      </w:r>
      <w:proofErr w:type="spellStart"/>
      <w:r>
        <w:t>Crockford</w:t>
      </w:r>
      <w:proofErr w:type="spellEnd"/>
      <w:r>
        <w:t xml:space="preserve">, ‘Six Queensland prison officers attacked in four days as overcrowding worsens’, </w:t>
      </w:r>
      <w:r>
        <w:rPr>
          <w:i/>
        </w:rPr>
        <w:t>Brisbane Times</w:t>
      </w:r>
      <w:r>
        <w:t xml:space="preserve"> (online, 12 August 2019) &lt;</w:t>
      </w:r>
      <w:hyperlink r:id="rId1" w:history="1">
        <w:r>
          <w:rPr>
            <w:rStyle w:val="Hyperlink"/>
          </w:rPr>
          <w:t>https://www.brisbanetimes.com.au/national/queensland/six-queensland-prison-officers-attacked-in-four-days-as-overcrowding-worsens-20180812-p4zx0j.html</w:t>
        </w:r>
      </w:hyperlink>
      <w:r>
        <w:rPr>
          <w:rStyle w:val="Hyperlink"/>
        </w:rPr>
        <w:t>&gt;</w:t>
      </w:r>
    </w:p>
  </w:footnote>
  <w:footnote w:id="9">
    <w:p w14:paraId="4F28B0E5" w14:textId="5E707834" w:rsidR="00633855" w:rsidRDefault="00633855" w:rsidP="008947EF">
      <w:pPr>
        <w:pStyle w:val="FootnoteText"/>
      </w:pPr>
      <w:r>
        <w:rPr>
          <w:rStyle w:val="FootnoteReference"/>
        </w:rPr>
        <w:footnoteRef/>
      </w:r>
      <w:r>
        <w:t xml:space="preserve"> NSW Inspector of Custodial Services, </w:t>
      </w:r>
      <w:r>
        <w:rPr>
          <w:i/>
        </w:rPr>
        <w:t xml:space="preserve">Report No. 1 – The Invisibility of Correctional Officer Work </w:t>
      </w:r>
      <w:r>
        <w:t>(Report, May 2014) 13-14. &lt;</w:t>
      </w:r>
      <w:hyperlink r:id="rId2" w:history="1">
        <w:r w:rsidRPr="00835990">
          <w:rPr>
            <w:rStyle w:val="Hyperlink"/>
          </w:rPr>
          <w:t>http://www.custodialinspector.justice.nsw.gov.au/Documents/Accessible%20Report%20No%201%20DRAFT.pdf</w:t>
        </w:r>
      </w:hyperlink>
      <w:r>
        <w:rPr>
          <w:rStyle w:val="Hyperlink"/>
        </w:rPr>
        <w:t>&gt;</w:t>
      </w:r>
    </w:p>
  </w:footnote>
  <w:footnote w:id="10">
    <w:p w14:paraId="780E5F22" w14:textId="7D4A4A04" w:rsidR="00633855" w:rsidRDefault="00633855" w:rsidP="00F03E65">
      <w:pPr>
        <w:pStyle w:val="FootnoteText"/>
      </w:pPr>
      <w:r>
        <w:rPr>
          <w:rStyle w:val="FootnoteReference"/>
        </w:rPr>
        <w:footnoteRef/>
      </w:r>
      <w:r>
        <w:t xml:space="preserve"> WA Inspector of Custodial Services, </w:t>
      </w:r>
      <w:r>
        <w:rPr>
          <w:i/>
        </w:rPr>
        <w:t xml:space="preserve">Assaults on staff in Western Australian prisons </w:t>
      </w:r>
      <w:r>
        <w:t>(Report, July 2014) &lt;</w:t>
      </w:r>
      <w:hyperlink r:id="rId3" w:history="1">
        <w:r>
          <w:rPr>
            <w:rStyle w:val="Hyperlink"/>
          </w:rPr>
          <w:t>https://www.oics.wa.gov.au/wp-content/uploads/2014/09/2014_0821-Final-report-Assault-on-staff.pdf</w:t>
        </w:r>
      </w:hyperlink>
      <w:r>
        <w:rPr>
          <w:rStyle w:val="Hyperlink"/>
        </w:rPr>
        <w:t>&gt;</w:t>
      </w:r>
    </w:p>
  </w:footnote>
  <w:footnote w:id="11">
    <w:p w14:paraId="36CB2C6B" w14:textId="25E332AB" w:rsidR="00633855" w:rsidRDefault="00633855">
      <w:pPr>
        <w:pStyle w:val="FootnoteText"/>
      </w:pPr>
      <w:r>
        <w:rPr>
          <w:rStyle w:val="FootnoteReference"/>
        </w:rPr>
        <w:footnoteRef/>
      </w:r>
      <w:r>
        <w:t xml:space="preserve"> ‘WA’s top cop wants more forensic funding’, </w:t>
      </w:r>
      <w:r>
        <w:rPr>
          <w:i/>
        </w:rPr>
        <w:t xml:space="preserve">WA Today </w:t>
      </w:r>
      <w:r>
        <w:t>(online 31 July 2017) &lt;</w:t>
      </w:r>
      <w:hyperlink r:id="rId4" w:history="1">
        <w:r>
          <w:rPr>
            <w:rStyle w:val="Hyperlink"/>
          </w:rPr>
          <w:t>https://www.watoday.com.au/national/western-australia/was-top-cop-wants-more-forensic-funding-20170731-gxml2b.html</w:t>
        </w:r>
      </w:hyperlink>
      <w:r>
        <w:rPr>
          <w:rStyle w:val="Hyperlink"/>
        </w:rPr>
        <w:t>&gt;</w:t>
      </w:r>
    </w:p>
  </w:footnote>
  <w:footnote w:id="12">
    <w:p w14:paraId="2B04CD91" w14:textId="77777777" w:rsidR="00633855" w:rsidRDefault="00633855" w:rsidP="00613F98">
      <w:pPr>
        <w:pStyle w:val="FootnoteText"/>
      </w:pPr>
      <w:r>
        <w:rPr>
          <w:rStyle w:val="FootnoteReference"/>
        </w:rPr>
        <w:footnoteRef/>
      </w:r>
      <w:r>
        <w:t xml:space="preserve"> Central Queensland University, ‘Properly Tested Solutions Needed to Tackle Violence </w:t>
      </w:r>
      <w:proofErr w:type="gramStart"/>
      <w:r>
        <w:t>Against</w:t>
      </w:r>
      <w:proofErr w:type="gramEnd"/>
      <w:r>
        <w:t xml:space="preserve"> Paramedics’ (Media Release 18 March 2019) &lt;</w:t>
      </w:r>
      <w:hyperlink r:id="rId5" w:history="1">
        <w:r>
          <w:rPr>
            <w:rStyle w:val="Hyperlink"/>
          </w:rPr>
          <w:t>https://www.cqu.edu.au/cquninews/stories/general-category/2019/properly-tested-solutions-needed-to-tackle-violence-against-paramedics</w:t>
        </w:r>
      </w:hyperlink>
      <w:r>
        <w:t xml:space="preserve">&gt;. </w:t>
      </w:r>
    </w:p>
  </w:footnote>
  <w:footnote w:id="13">
    <w:p w14:paraId="724EECEB" w14:textId="77777777" w:rsidR="00633855" w:rsidRDefault="00633855" w:rsidP="00613F98">
      <w:pPr>
        <w:pStyle w:val="FootnoteText"/>
      </w:pPr>
      <w:r>
        <w:rPr>
          <w:rStyle w:val="FootnoteReference"/>
        </w:rPr>
        <w:footnoteRef/>
      </w:r>
      <w:r>
        <w:t xml:space="preserve"> </w:t>
      </w:r>
      <w:r w:rsidRPr="00C52D37">
        <w:t xml:space="preserve">Brian J. Maguire, Matthew Browne, Barbara J. O’Neill, Michael T. </w:t>
      </w:r>
      <w:proofErr w:type="spellStart"/>
      <w:r w:rsidRPr="00C52D37">
        <w:t>Dealy</w:t>
      </w:r>
      <w:proofErr w:type="spellEnd"/>
      <w:r w:rsidRPr="00C52D37">
        <w:t>, Darryl Clare</w:t>
      </w:r>
      <w:r>
        <w:t xml:space="preserve"> and</w:t>
      </w:r>
      <w:r w:rsidRPr="00C52D37">
        <w:t xml:space="preserve">, Peter O’Meara </w:t>
      </w:r>
      <w:r>
        <w:t xml:space="preserve">(2018) ‘International Survey of Violence </w:t>
      </w:r>
      <w:proofErr w:type="gramStart"/>
      <w:r>
        <w:t>Against</w:t>
      </w:r>
      <w:proofErr w:type="gramEnd"/>
      <w:r>
        <w:t xml:space="preserve"> EMS Personnel: Physical Violence Report’ </w:t>
      </w:r>
      <w:r w:rsidRPr="00C52D37">
        <w:rPr>
          <w:i/>
        </w:rPr>
        <w:t>Prehospital and Disaster Medicine</w:t>
      </w:r>
      <w:r>
        <w:t xml:space="preserve"> 33(5), 526-531. Abstract at &lt;</w:t>
      </w:r>
      <w:hyperlink r:id="rId6" w:history="1">
        <w:r>
          <w:rPr>
            <w:rStyle w:val="Hyperlink"/>
          </w:rPr>
          <w:t>https://www.cambridge.org/core/journals/prehospital-and-disaster-medicine/article/international-survey-of-violence-against-ems-personnel-physical-violence-report/04FB890CA7AA1D019C757FD1E6DBCF97#</w:t>
        </w:r>
      </w:hyperlink>
      <w:r>
        <w:t>&gt;</w:t>
      </w:r>
    </w:p>
  </w:footnote>
  <w:footnote w:id="14">
    <w:p w14:paraId="0E08A0CB" w14:textId="480EB860" w:rsidR="00633855" w:rsidRPr="00DA6CE5" w:rsidRDefault="00633855">
      <w:pPr>
        <w:pStyle w:val="FootnoteText"/>
        <w:rPr>
          <w:lang w:val="en-US"/>
        </w:rPr>
      </w:pPr>
      <w:r>
        <w:rPr>
          <w:rStyle w:val="FootnoteReference"/>
        </w:rPr>
        <w:footnoteRef/>
      </w:r>
      <w:r>
        <w:t xml:space="preserve"> Queensland Productivity Commission, </w:t>
      </w:r>
      <w:r>
        <w:rPr>
          <w:i/>
        </w:rPr>
        <w:t xml:space="preserve">Inquiry into Imprisonment and Recidivism </w:t>
      </w:r>
      <w:r>
        <w:t>(Report, January 2020) &lt;</w:t>
      </w:r>
      <w:hyperlink r:id="rId7" w:history="1">
        <w:r>
          <w:rPr>
            <w:rStyle w:val="Hyperlink"/>
          </w:rPr>
          <w:t>https://qpc.blob.core.windows.net/wordpress/2020/01/FINAL-REPORT-Imprisonment-Volume-I-.pdf</w:t>
        </w:r>
      </w:hyperlink>
      <w:r>
        <w:rPr>
          <w:rStyle w:val="Hyperlink"/>
        </w:rPr>
        <w:t>&gt;</w:t>
      </w:r>
    </w:p>
  </w:footnote>
  <w:footnote w:id="15">
    <w:p w14:paraId="71BB3A9E" w14:textId="7E1088D1" w:rsidR="00633855" w:rsidRDefault="00633855">
      <w:pPr>
        <w:pStyle w:val="FootnoteText"/>
      </w:pPr>
      <w:r>
        <w:rPr>
          <w:rStyle w:val="FootnoteReference"/>
        </w:rPr>
        <w:footnoteRef/>
      </w:r>
      <w:r>
        <w:t xml:space="preserve"> Ibid, xxii. </w:t>
      </w:r>
    </w:p>
  </w:footnote>
  <w:footnote w:id="16">
    <w:p w14:paraId="5B5C1185" w14:textId="7126DBCF" w:rsidR="00633855" w:rsidRPr="004B1C84" w:rsidRDefault="00633855">
      <w:pPr>
        <w:pStyle w:val="FootnoteText"/>
        <w:rPr>
          <w:lang w:val="en-US"/>
        </w:rPr>
      </w:pPr>
      <w:r>
        <w:rPr>
          <w:rStyle w:val="FootnoteReference"/>
        </w:rPr>
        <w:footnoteRef/>
      </w:r>
      <w:r>
        <w:t xml:space="preserve"> As cited in the Issues Paper: </w:t>
      </w:r>
      <w:r w:rsidRPr="007A7C91">
        <w:rPr>
          <w:i/>
        </w:rPr>
        <w:t>R v Murray</w:t>
      </w:r>
      <w:r w:rsidRPr="007A7C91">
        <w:t xml:space="preserve"> (2014) 245 A Crim R 37, 42 [16] (Fraser JA, </w:t>
      </w:r>
      <w:proofErr w:type="spellStart"/>
      <w:r w:rsidRPr="007A7C91">
        <w:t>Gotterson</w:t>
      </w:r>
      <w:proofErr w:type="spellEnd"/>
      <w:r w:rsidRPr="007A7C91">
        <w:t xml:space="preserve"> and Morrison JJA agreeing), citing </w:t>
      </w:r>
      <w:r w:rsidRPr="007A7C91">
        <w:rPr>
          <w:i/>
        </w:rPr>
        <w:t xml:space="preserve">R v </w:t>
      </w:r>
      <w:proofErr w:type="spellStart"/>
      <w:r w:rsidRPr="007A7C91">
        <w:rPr>
          <w:i/>
        </w:rPr>
        <w:t>Samad</w:t>
      </w:r>
      <w:proofErr w:type="spellEnd"/>
      <w:r w:rsidRPr="007A7C91">
        <w:t xml:space="preserve"> [2012] QCA 63 [30] (Wilson AJA</w:t>
      </w:r>
      <w:r>
        <w:t>)</w:t>
      </w:r>
    </w:p>
  </w:footnote>
  <w:footnote w:id="17">
    <w:p w14:paraId="35C9C57A" w14:textId="77777777" w:rsidR="00633855" w:rsidRDefault="00633855" w:rsidP="00B35E49">
      <w:pPr>
        <w:pStyle w:val="FootnoteText"/>
      </w:pPr>
      <w:r>
        <w:rPr>
          <w:rStyle w:val="FootnoteReference"/>
        </w:rPr>
        <w:footnoteRef/>
      </w:r>
      <w:r>
        <w:t xml:space="preserve"> UN Committee against Torture, </w:t>
      </w:r>
      <w:r>
        <w:rPr>
          <w:i/>
        </w:rPr>
        <w:t>Concluding Observations on the Combined Fourth and Fifth Periodic Reports of Australia</w:t>
      </w:r>
      <w:r>
        <w:t xml:space="preserve">, UN Doc </w:t>
      </w:r>
      <w:r w:rsidRPr="00C52D37">
        <w:t>CAT/C/AUS/CO/4-5</w:t>
      </w:r>
      <w:r>
        <w:t xml:space="preserve"> (23 December 2014),</w:t>
      </w:r>
      <w:r w:rsidRPr="00C52D37">
        <w:t xml:space="preserve"> </w:t>
      </w:r>
      <w:r>
        <w:t>[12].</w:t>
      </w:r>
    </w:p>
  </w:footnote>
  <w:footnote w:id="18">
    <w:p w14:paraId="252C3440" w14:textId="7BAC0CAC" w:rsidR="00633855" w:rsidRDefault="00633855" w:rsidP="007C723D">
      <w:pPr>
        <w:pStyle w:val="FootnoteText"/>
      </w:pPr>
      <w:r>
        <w:rPr>
          <w:rStyle w:val="FootnoteReference"/>
        </w:rPr>
        <w:footnoteRef/>
      </w:r>
      <w:r>
        <w:t xml:space="preserve"> Anti-Discrimination Commission Queensland, </w:t>
      </w:r>
      <w:r>
        <w:rPr>
          <w:i/>
        </w:rPr>
        <w:t xml:space="preserve">Women in Prison 2019: A human rights consultation report, </w:t>
      </w:r>
      <w:r>
        <w:t xml:space="preserve">2019, 80. </w:t>
      </w:r>
    </w:p>
  </w:footnote>
  <w:footnote w:id="19">
    <w:p w14:paraId="2C9B7E1A" w14:textId="74753CF2" w:rsidR="00633855" w:rsidRPr="009E3331" w:rsidRDefault="00633855">
      <w:pPr>
        <w:pStyle w:val="FootnoteText"/>
        <w:rPr>
          <w:lang w:val="en-US"/>
        </w:rPr>
      </w:pPr>
      <w:r>
        <w:rPr>
          <w:rStyle w:val="FootnoteReference"/>
        </w:rPr>
        <w:footnoteRef/>
      </w:r>
      <w:r>
        <w:t xml:space="preserve"> Queensland Productivity Commission, </w:t>
      </w:r>
      <w:r>
        <w:rPr>
          <w:i/>
        </w:rPr>
        <w:t xml:space="preserve">Inquiry into Imprisonment and Recidivism </w:t>
      </w:r>
      <w:r>
        <w:t xml:space="preserve">(Report, January 2020) 76. </w:t>
      </w:r>
    </w:p>
  </w:footnote>
  <w:footnote w:id="20">
    <w:p w14:paraId="46963484" w14:textId="27CC4876" w:rsidR="00633855" w:rsidRPr="00A046BE" w:rsidRDefault="00633855">
      <w:pPr>
        <w:pStyle w:val="FootnoteText"/>
        <w:rPr>
          <w:lang w:val="en-US"/>
        </w:rPr>
      </w:pPr>
      <w:r>
        <w:rPr>
          <w:rStyle w:val="FootnoteReference"/>
        </w:rPr>
        <w:footnoteRef/>
      </w:r>
      <w:r>
        <w:t xml:space="preserve"> Ibid, xviii. </w:t>
      </w:r>
    </w:p>
  </w:footnote>
  <w:footnote w:id="21">
    <w:p w14:paraId="694E2D79" w14:textId="6E0529C3" w:rsidR="00633855" w:rsidRPr="009E3331" w:rsidRDefault="00633855">
      <w:pPr>
        <w:pStyle w:val="FootnoteText"/>
        <w:rPr>
          <w:lang w:val="en-US"/>
        </w:rPr>
      </w:pPr>
      <w:r>
        <w:rPr>
          <w:rStyle w:val="FootnoteReference"/>
        </w:rPr>
        <w:footnoteRef/>
      </w:r>
      <w:r>
        <w:t xml:space="preserve"> </w:t>
      </w:r>
      <w:r>
        <w:rPr>
          <w:lang w:val="en-US"/>
        </w:rPr>
        <w:t xml:space="preserve">Ibid, 422. </w:t>
      </w:r>
    </w:p>
  </w:footnote>
  <w:footnote w:id="22">
    <w:p w14:paraId="4BECFDCA" w14:textId="79244721" w:rsidR="00633855" w:rsidRPr="00847C09" w:rsidRDefault="00633855">
      <w:pPr>
        <w:pStyle w:val="FootnoteText"/>
        <w:rPr>
          <w:lang w:val="en-US"/>
        </w:rPr>
      </w:pPr>
      <w:r>
        <w:rPr>
          <w:rStyle w:val="FootnoteReference"/>
        </w:rPr>
        <w:footnoteRef/>
      </w:r>
      <w:r>
        <w:t xml:space="preserve"> </w:t>
      </w:r>
      <w:r>
        <w:rPr>
          <w:lang w:val="en-US"/>
        </w:rPr>
        <w:t xml:space="preserve">See for example recommendations 37 and 38 regarding decision-making, accountabilities, land tenure and Indigenous justice agreements. </w:t>
      </w:r>
    </w:p>
  </w:footnote>
  <w:footnote w:id="23">
    <w:p w14:paraId="170C1614" w14:textId="004FC2FB" w:rsidR="00633855" w:rsidRPr="00ED5C2B" w:rsidRDefault="00633855" w:rsidP="006A1256">
      <w:pPr>
        <w:pStyle w:val="FootnoteText"/>
        <w:rPr>
          <w:lang w:val="en-US"/>
        </w:rPr>
      </w:pPr>
      <w:r>
        <w:rPr>
          <w:rStyle w:val="FootnoteReference"/>
        </w:rPr>
        <w:footnoteRef/>
      </w:r>
      <w:r>
        <w:t xml:space="preserve"> Ibid, xviii.</w:t>
      </w:r>
    </w:p>
  </w:footnote>
  <w:footnote w:id="24">
    <w:p w14:paraId="45B7CE0A" w14:textId="3931E84F" w:rsidR="00633855" w:rsidRPr="00ED5C2B" w:rsidRDefault="00633855" w:rsidP="006A1256">
      <w:pPr>
        <w:pStyle w:val="FootnoteText"/>
        <w:rPr>
          <w:lang w:val="en-US"/>
        </w:rPr>
      </w:pPr>
      <w:r>
        <w:rPr>
          <w:rStyle w:val="FootnoteReference"/>
        </w:rPr>
        <w:footnoteRef/>
      </w:r>
      <w:r>
        <w:t xml:space="preserve"> Ibid, </w:t>
      </w:r>
      <w:r>
        <w:rPr>
          <w:lang w:val="en-US"/>
        </w:rPr>
        <w:t xml:space="preserve">64. </w:t>
      </w:r>
    </w:p>
  </w:footnote>
  <w:footnote w:id="25">
    <w:p w14:paraId="2BD029A9" w14:textId="0DA291C7" w:rsidR="00633855" w:rsidRPr="00847C09" w:rsidRDefault="00633855">
      <w:pPr>
        <w:pStyle w:val="FootnoteText"/>
        <w:rPr>
          <w:lang w:val="en-US"/>
        </w:rPr>
      </w:pPr>
      <w:r>
        <w:rPr>
          <w:rStyle w:val="FootnoteReference"/>
        </w:rPr>
        <w:footnoteRef/>
      </w:r>
      <w:r>
        <w:t xml:space="preserve"> </w:t>
      </w:r>
      <w:r>
        <w:rPr>
          <w:lang w:val="en-US"/>
        </w:rPr>
        <w:t>Ibid, 441</w:t>
      </w:r>
    </w:p>
  </w:footnote>
  <w:footnote w:id="26">
    <w:p w14:paraId="24725110" w14:textId="1617214D" w:rsidR="00633855" w:rsidRPr="00ED5C2B" w:rsidRDefault="00633855">
      <w:pPr>
        <w:pStyle w:val="FootnoteText"/>
        <w:rPr>
          <w:lang w:val="en-US"/>
        </w:rPr>
      </w:pPr>
      <w:r>
        <w:rPr>
          <w:rStyle w:val="FootnoteReference"/>
        </w:rPr>
        <w:footnoteRef/>
      </w:r>
      <w:r>
        <w:t xml:space="preserve"> Ibid, </w:t>
      </w:r>
      <w:r>
        <w:rPr>
          <w:lang w:val="en-US"/>
        </w:rPr>
        <w:t xml:space="preserve">130. </w:t>
      </w:r>
    </w:p>
  </w:footnote>
  <w:footnote w:id="27">
    <w:p w14:paraId="4DEB1E39" w14:textId="4465B715" w:rsidR="00633855" w:rsidRPr="006A1256" w:rsidRDefault="00633855">
      <w:pPr>
        <w:pStyle w:val="FootnoteText"/>
        <w:rPr>
          <w:lang w:val="en-US"/>
        </w:rPr>
      </w:pPr>
      <w:r>
        <w:rPr>
          <w:rStyle w:val="FootnoteReference"/>
        </w:rPr>
        <w:footnoteRef/>
      </w:r>
      <w:r>
        <w:t xml:space="preserve"> </w:t>
      </w:r>
      <w:r>
        <w:rPr>
          <w:lang w:val="en-US"/>
        </w:rPr>
        <w:t xml:space="preserve">Recommendation 30. </w:t>
      </w:r>
    </w:p>
  </w:footnote>
  <w:footnote w:id="28">
    <w:p w14:paraId="2AEBD93A" w14:textId="7773FF9B" w:rsidR="00633855" w:rsidRDefault="00633855" w:rsidP="00847C09">
      <w:pPr>
        <w:pStyle w:val="FootnoteText"/>
      </w:pPr>
      <w:r>
        <w:rPr>
          <w:rStyle w:val="FootnoteReference"/>
        </w:rPr>
        <w:footnoteRef/>
      </w:r>
      <w:r>
        <w:t xml:space="preserve"> Queensland Crime and Corruption Commission, </w:t>
      </w:r>
      <w:r>
        <w:rPr>
          <w:i/>
        </w:rPr>
        <w:t xml:space="preserve">Taskforce </w:t>
      </w:r>
      <w:proofErr w:type="spellStart"/>
      <w:r>
        <w:rPr>
          <w:i/>
        </w:rPr>
        <w:t>Flaxton</w:t>
      </w:r>
      <w:proofErr w:type="spellEnd"/>
      <w:r>
        <w:rPr>
          <w:i/>
        </w:rPr>
        <w:t xml:space="preserve">: An examination of corruption risks and corruption in Queensland Prisons </w:t>
      </w:r>
      <w:r>
        <w:t xml:space="preserve">(Report, December 2018) 6. </w:t>
      </w:r>
    </w:p>
  </w:footnote>
  <w:footnote w:id="29">
    <w:p w14:paraId="5CE800B9" w14:textId="77777777" w:rsidR="00D564B1" w:rsidRPr="00D564B1" w:rsidRDefault="001C1521" w:rsidP="00D564B1">
      <w:pPr>
        <w:pStyle w:val="FootnoteText"/>
        <w:rPr>
          <w:i/>
        </w:rPr>
      </w:pPr>
      <w:r>
        <w:rPr>
          <w:rStyle w:val="FootnoteReference"/>
        </w:rPr>
        <w:footnoteRef/>
      </w:r>
      <w:r>
        <w:t xml:space="preserve"> </w:t>
      </w:r>
      <w:r w:rsidR="00D564B1">
        <w:t xml:space="preserve">United Nations High Commissioner for Human Rights, </w:t>
      </w:r>
      <w:r w:rsidR="00D564B1" w:rsidRPr="00D564B1">
        <w:rPr>
          <w:i/>
        </w:rPr>
        <w:t>Human Rights and</w:t>
      </w:r>
    </w:p>
    <w:p w14:paraId="0EE85DC0" w14:textId="0C9F9720" w:rsidR="001C1521" w:rsidRPr="004B7A24" w:rsidRDefault="00D564B1" w:rsidP="00D564B1">
      <w:pPr>
        <w:pStyle w:val="FootnoteText"/>
        <w:rPr>
          <w:lang w:val="en-US"/>
        </w:rPr>
      </w:pPr>
      <w:r w:rsidRPr="00D564B1">
        <w:rPr>
          <w:i/>
        </w:rPr>
        <w:t>Law Enforcement</w:t>
      </w:r>
      <w:r>
        <w:rPr>
          <w:i/>
        </w:rPr>
        <w:t xml:space="preserve"> </w:t>
      </w:r>
      <w:r>
        <w:t>(2002) &lt;</w:t>
      </w:r>
      <w:hyperlink r:id="rId8" w:history="1">
        <w:r w:rsidR="009A21EA">
          <w:rPr>
            <w:rStyle w:val="Hyperlink"/>
          </w:rPr>
          <w:t>https://www.un.org/ruleoflaw/file</w:t>
        </w:r>
        <w:r w:rsidR="009A21EA">
          <w:rPr>
            <w:rStyle w:val="Hyperlink"/>
          </w:rPr>
          <w:t>s</w:t>
        </w:r>
        <w:r w:rsidR="009A21EA">
          <w:rPr>
            <w:rStyle w:val="Hyperlink"/>
          </w:rPr>
          <w:t>/training5Add2en.pdf</w:t>
        </w:r>
      </w:hyperlink>
      <w:r>
        <w:t>&gt;</w:t>
      </w:r>
    </w:p>
  </w:footnote>
  <w:footnote w:id="30">
    <w:p w14:paraId="0B185B5B" w14:textId="261D4944" w:rsidR="00633855" w:rsidRPr="00F857F4" w:rsidRDefault="00633855">
      <w:pPr>
        <w:pStyle w:val="FootnoteText"/>
        <w:rPr>
          <w:lang w:val="en-US"/>
        </w:rPr>
      </w:pPr>
      <w:r>
        <w:rPr>
          <w:rStyle w:val="FootnoteReference"/>
        </w:rPr>
        <w:footnoteRef/>
      </w:r>
      <w:r>
        <w:t xml:space="preserve"> HRA, s 21. </w:t>
      </w:r>
    </w:p>
  </w:footnote>
  <w:footnote w:id="31">
    <w:p w14:paraId="32D629E6" w14:textId="7890AB7B" w:rsidR="00633855" w:rsidRPr="00924B31" w:rsidRDefault="00633855">
      <w:pPr>
        <w:pStyle w:val="FootnoteText"/>
        <w:rPr>
          <w:lang w:val="en-US"/>
        </w:rPr>
      </w:pPr>
      <w:r>
        <w:rPr>
          <w:rStyle w:val="FootnoteReference"/>
        </w:rPr>
        <w:footnoteRef/>
      </w:r>
      <w:r>
        <w:t xml:space="preserve"> </w:t>
      </w:r>
      <w:r>
        <w:rPr>
          <w:lang w:val="en-US"/>
        </w:rPr>
        <w:t xml:space="preserve">Victorian Law Reform Commission, </w:t>
      </w:r>
      <w:r>
        <w:rPr>
          <w:i/>
        </w:rPr>
        <w:t>The Role of Victims of Crime in the Criminal Trial Process</w:t>
      </w:r>
      <w:r>
        <w:rPr>
          <w:lang w:val="en-US"/>
        </w:rPr>
        <w:t xml:space="preserve"> (Report, August 2016) xxi</w:t>
      </w:r>
    </w:p>
  </w:footnote>
  <w:footnote w:id="32">
    <w:p w14:paraId="5B879AF4" w14:textId="0B9D2310" w:rsidR="00633855" w:rsidRPr="0073136F" w:rsidRDefault="00633855">
      <w:pPr>
        <w:pStyle w:val="FootnoteText"/>
        <w:rPr>
          <w:lang w:val="en-US"/>
        </w:rPr>
      </w:pPr>
      <w:r>
        <w:rPr>
          <w:rStyle w:val="FootnoteReference"/>
        </w:rPr>
        <w:footnoteRef/>
      </w:r>
      <w:r>
        <w:t xml:space="preserve"> HRA, s 26 and s 33</w:t>
      </w:r>
    </w:p>
  </w:footnote>
  <w:footnote w:id="33">
    <w:p w14:paraId="5D051EE3" w14:textId="4C613E9A" w:rsidR="00633855" w:rsidRPr="0014349B" w:rsidRDefault="00633855" w:rsidP="00205764">
      <w:pPr>
        <w:pStyle w:val="FootnoteText"/>
        <w:rPr>
          <w:lang w:val="en-US"/>
        </w:rPr>
      </w:pPr>
      <w:r>
        <w:rPr>
          <w:rStyle w:val="FootnoteReference"/>
        </w:rPr>
        <w:footnoteRef/>
      </w:r>
      <w:r>
        <w:t xml:space="preserve"> United Nations Committee on the Rights of the Child, </w:t>
      </w:r>
      <w:r w:rsidRPr="00247ADB">
        <w:rPr>
          <w:i/>
        </w:rPr>
        <w:t>Concluding Observations on the Combined Fifth and Sixth Periodic Reports of Australia</w:t>
      </w:r>
      <w:r>
        <w:t xml:space="preserve">, 82nd </w:t>
      </w:r>
      <w:proofErr w:type="spellStart"/>
      <w:r>
        <w:t>Sess</w:t>
      </w:r>
      <w:proofErr w:type="spellEnd"/>
      <w:r>
        <w:t xml:space="preserve">, UN Doc CRC/C/AUS/CO/5-6 (30 September 2019) para 48. </w:t>
      </w:r>
    </w:p>
  </w:footnote>
  <w:footnote w:id="34">
    <w:p w14:paraId="287ED431" w14:textId="3CB97BCA" w:rsidR="00633855" w:rsidRPr="00EF5D8C" w:rsidRDefault="00633855" w:rsidP="00205764">
      <w:pPr>
        <w:pStyle w:val="FootnoteText"/>
        <w:rPr>
          <w:lang w:val="en-US"/>
        </w:rPr>
      </w:pPr>
      <w:r>
        <w:rPr>
          <w:rStyle w:val="FootnoteReference"/>
        </w:rPr>
        <w:footnoteRef/>
      </w:r>
      <w:r>
        <w:t xml:space="preserve"> United Nations Committee on the Rights of the Child, </w:t>
      </w:r>
      <w:r w:rsidRPr="0014349B">
        <w:rPr>
          <w:i/>
        </w:rPr>
        <w:t xml:space="preserve">General comment No. </w:t>
      </w:r>
      <w:r>
        <w:rPr>
          <w:i/>
        </w:rPr>
        <w:t>24</w:t>
      </w:r>
      <w:r w:rsidRPr="0014349B">
        <w:rPr>
          <w:i/>
        </w:rPr>
        <w:t xml:space="preserve"> on children’s rights in the child justice system</w:t>
      </w:r>
      <w:r>
        <w:rPr>
          <w:i/>
        </w:rPr>
        <w:t xml:space="preserve">, </w:t>
      </w:r>
      <w:r>
        <w:t xml:space="preserve">UN Doc </w:t>
      </w:r>
      <w:r w:rsidRPr="0014349B">
        <w:t>CRC/C/GC/24</w:t>
      </w:r>
      <w:r>
        <w:t xml:space="preserve"> (18 September 2019), 14. Noting that the Standard Minimum Rules for the Administration of Juvenile Justice (the Beijing Rules) currently maintains 12 as the absolute minimum for MACR. </w:t>
      </w:r>
    </w:p>
  </w:footnote>
  <w:footnote w:id="35">
    <w:p w14:paraId="27C7364E" w14:textId="0D4DA22B" w:rsidR="00633855" w:rsidRPr="00B26717" w:rsidRDefault="00633855">
      <w:pPr>
        <w:pStyle w:val="FootnoteText"/>
        <w:rPr>
          <w:lang w:val="en-US"/>
        </w:rPr>
      </w:pPr>
      <w:r>
        <w:rPr>
          <w:rStyle w:val="FootnoteReference"/>
        </w:rPr>
        <w:footnoteRef/>
      </w:r>
      <w:r>
        <w:t xml:space="preserve"> </w:t>
      </w:r>
      <w:r>
        <w:rPr>
          <w:lang w:val="en-US"/>
        </w:rPr>
        <w:t xml:space="preserve">Youth Justice Taskforce (Department of Child Safety, Youth and Women, Queensland Government), </w:t>
      </w:r>
      <w:r>
        <w:rPr>
          <w:i/>
          <w:lang w:val="en-US"/>
        </w:rPr>
        <w:t xml:space="preserve">Report on Youth Justice Version 2, </w:t>
      </w:r>
      <w:r>
        <w:rPr>
          <w:lang w:val="en-US"/>
        </w:rPr>
        <w:t xml:space="preserve">(Report, June 2018) 105. </w:t>
      </w:r>
      <w:r>
        <w:t xml:space="preserve">The State of Queensland (Queensland Family and Child Commission) </w:t>
      </w:r>
      <w:proofErr w:type="gramStart"/>
      <w:r>
        <w:rPr>
          <w:i/>
        </w:rPr>
        <w:t>The</w:t>
      </w:r>
      <w:proofErr w:type="gramEnd"/>
      <w:r>
        <w:rPr>
          <w:i/>
        </w:rPr>
        <w:t xml:space="preserve"> age of criminal responsibility in Queensland </w:t>
      </w:r>
      <w:r>
        <w:t xml:space="preserve">(Report, 2017). Independent Review of Youth Detention, </w:t>
      </w:r>
      <w:r>
        <w:rPr>
          <w:i/>
        </w:rPr>
        <w:t xml:space="preserve">Confidential Report, </w:t>
      </w:r>
      <w:r>
        <w:t xml:space="preserve">(Report, December 2016) </w:t>
      </w:r>
      <w:r>
        <w:rPr>
          <w:lang w:val="en-US"/>
        </w:rPr>
        <w:t xml:space="preserve">171. </w:t>
      </w:r>
    </w:p>
  </w:footnote>
  <w:footnote w:id="36">
    <w:p w14:paraId="5A2C0691" w14:textId="53047F34" w:rsidR="00633855" w:rsidRPr="00C27606" w:rsidRDefault="00633855">
      <w:pPr>
        <w:pStyle w:val="FootnoteText"/>
        <w:rPr>
          <w:lang w:val="en-US"/>
        </w:rPr>
      </w:pPr>
      <w:r>
        <w:rPr>
          <w:rStyle w:val="FootnoteReference"/>
        </w:rPr>
        <w:footnoteRef/>
      </w:r>
      <w:r>
        <w:t xml:space="preserve"> </w:t>
      </w:r>
      <w:r w:rsidRPr="00375743">
        <w:t>‘Indigenous welfare: How poverty is leading to longer sentences’</w:t>
      </w:r>
      <w:r>
        <w:t xml:space="preserve"> </w:t>
      </w:r>
      <w:r w:rsidRPr="00375743">
        <w:rPr>
          <w:i/>
        </w:rPr>
        <w:t>Sentencing Matters Podcast</w:t>
      </w:r>
      <w:r>
        <w:t xml:space="preserve"> (Queensland Sentencing Advisory Council, May 2018)</w:t>
      </w:r>
    </w:p>
  </w:footnote>
  <w:footnote w:id="37">
    <w:p w14:paraId="72248D67" w14:textId="63414ED3" w:rsidR="00633855" w:rsidRPr="00375743" w:rsidRDefault="00633855" w:rsidP="00375743">
      <w:pPr>
        <w:pStyle w:val="FootnoteText"/>
        <w:rPr>
          <w:i/>
        </w:rPr>
      </w:pPr>
      <w:r>
        <w:rPr>
          <w:rStyle w:val="FootnoteReference"/>
        </w:rPr>
        <w:footnoteRef/>
      </w:r>
      <w:r>
        <w:t xml:space="preserve"> Australian Law Reform Commission, </w:t>
      </w:r>
      <w:r w:rsidRPr="00375743">
        <w:rPr>
          <w:i/>
        </w:rPr>
        <w:t>Pathways to Justice—An Inquiry into the Incarceration</w:t>
      </w:r>
    </w:p>
    <w:p w14:paraId="3580F26B" w14:textId="291623AB" w:rsidR="00633855" w:rsidRPr="006D542E" w:rsidRDefault="00633855" w:rsidP="00375743">
      <w:pPr>
        <w:pStyle w:val="FootnoteText"/>
        <w:rPr>
          <w:lang w:val="en-US"/>
        </w:rPr>
      </w:pPr>
      <w:r w:rsidRPr="00375743">
        <w:rPr>
          <w:i/>
        </w:rPr>
        <w:t>Rate of Aboriginal and Torres Strait Islander Peoples</w:t>
      </w:r>
      <w:r>
        <w:t xml:space="preserve"> (Report 133, December 2017) 203. </w:t>
      </w:r>
    </w:p>
  </w:footnote>
  <w:footnote w:id="38">
    <w:p w14:paraId="6A33ACAB" w14:textId="695036A3" w:rsidR="00633855" w:rsidRPr="009D21E8" w:rsidRDefault="00633855">
      <w:pPr>
        <w:pStyle w:val="FootnoteText"/>
        <w:rPr>
          <w:lang w:val="en-US"/>
        </w:rPr>
      </w:pPr>
      <w:r>
        <w:rPr>
          <w:rStyle w:val="FootnoteReference"/>
        </w:rPr>
        <w:footnoteRef/>
      </w:r>
      <w:r>
        <w:t xml:space="preserve"> Ibid, </w:t>
      </w:r>
      <w:r>
        <w:rPr>
          <w:lang w:val="en-US"/>
        </w:rPr>
        <w:t>Recommendation 6-2.</w:t>
      </w:r>
    </w:p>
  </w:footnote>
  <w:footnote w:id="39">
    <w:p w14:paraId="4B00AC5E" w14:textId="5D1B8EFE" w:rsidR="00633855" w:rsidRPr="00C27606" w:rsidRDefault="00633855">
      <w:pPr>
        <w:pStyle w:val="FootnoteText"/>
        <w:rPr>
          <w:lang w:val="en-US"/>
        </w:rPr>
      </w:pPr>
      <w:r>
        <w:rPr>
          <w:rStyle w:val="FootnoteReference"/>
        </w:rPr>
        <w:footnoteRef/>
      </w:r>
      <w:r>
        <w:t xml:space="preserve"> Michael Inman, ‘</w:t>
      </w:r>
      <w:r w:rsidRPr="00375743">
        <w:t xml:space="preserve">ACT set to trial sentencing reports for indigenous offenders, like Canada's </w:t>
      </w:r>
      <w:proofErr w:type="spellStart"/>
      <w:r w:rsidRPr="00375743">
        <w:t>Gladue</w:t>
      </w:r>
      <w:proofErr w:type="spellEnd"/>
      <w:r w:rsidRPr="00375743">
        <w:t xml:space="preserve"> reports</w:t>
      </w:r>
      <w:r>
        <w:t xml:space="preserve">’ </w:t>
      </w:r>
      <w:r>
        <w:rPr>
          <w:i/>
        </w:rPr>
        <w:t>The Canberra Times,</w:t>
      </w:r>
      <w:r>
        <w:t xml:space="preserve"> (online, 6 August 2017)</w:t>
      </w:r>
      <w:r>
        <w:rPr>
          <w:i/>
        </w:rPr>
        <w:t xml:space="preserve"> &lt;</w:t>
      </w:r>
      <w:hyperlink r:id="rId9" w:anchor="gsc.tab=0" w:history="1">
        <w:r>
          <w:rPr>
            <w:rStyle w:val="Hyperlink"/>
          </w:rPr>
          <w:t>https://www.canberratimes.com.au/story/6029810/act-set-to-trial-sentencing-reports-for-indigenous-offenders-like-canadas-gladue-reports/#gsc.tab=0</w:t>
        </w:r>
      </w:hyperlink>
      <w:r>
        <w:rPr>
          <w:rStyle w:val="Hyperlink"/>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FCE5" w14:textId="77777777" w:rsidR="00633855" w:rsidRDefault="00633855" w:rsidP="000731D3">
    <w:pPr>
      <w:pStyle w:val="Header"/>
      <w:tabs>
        <w:tab w:val="clear" w:pos="4513"/>
        <w:tab w:val="clear" w:pos="9026"/>
      </w:tabs>
      <w:spacing w:before="240"/>
      <w:jc w:val="center"/>
    </w:pPr>
    <w:r w:rsidRPr="00F63848">
      <w:rPr>
        <w:noProof/>
        <w:lang w:eastAsia="en-AU"/>
      </w:rPr>
      <w:drawing>
        <wp:inline distT="0" distB="0" distL="0" distR="0" wp14:anchorId="311BF005" wp14:editId="17D3B9A0">
          <wp:extent cx="4095750" cy="1635396"/>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1663B47C" w14:textId="77777777" w:rsidR="00633855" w:rsidRDefault="00633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E19E0" w14:textId="1B6F2853" w:rsidR="00633855" w:rsidRPr="000731D3" w:rsidRDefault="00633855" w:rsidP="000731D3">
    <w:pPr>
      <w:pStyle w:val="Header"/>
      <w:pBdr>
        <w:bottom w:val="single" w:sz="4" w:space="1" w:color="auto"/>
      </w:pBdr>
      <w:rPr>
        <w:rFonts w:ascii="Arial" w:hAnsi="Arial" w:cs="Arial"/>
        <w:sz w:val="20"/>
        <w:szCs w:val="20"/>
      </w:rPr>
    </w:pPr>
    <w:r w:rsidRPr="00056C9A">
      <w:rPr>
        <w:rFonts w:ascii="Arial" w:hAnsi="Arial" w:cs="Arial"/>
        <w:color w:val="365F91" w:themeColor="accent1" w:themeShade="BF"/>
        <w:sz w:val="20"/>
        <w:szCs w:val="20"/>
      </w:rPr>
      <w:t>Penalties for assaults on frontline public officers</w:t>
    </w:r>
  </w:p>
  <w:p w14:paraId="789367DC" w14:textId="77777777" w:rsidR="00633855" w:rsidRPr="000731D3" w:rsidRDefault="00633855"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6B9C" w14:textId="77777777" w:rsidR="00633855" w:rsidRPr="000731D3" w:rsidRDefault="00633855" w:rsidP="000731D3">
    <w:pPr>
      <w:pStyle w:val="Header"/>
      <w:rPr>
        <w:rFonts w:ascii="Arial" w:hAnsi="Arial" w:cs="Arial"/>
        <w:color w:val="365F91" w:themeColor="accent1" w:themeShade="BF"/>
      </w:rPr>
    </w:pPr>
    <w:r>
      <w:rPr>
        <w:rFonts w:ascii="Arial" w:hAnsi="Arial" w:cs="Arial"/>
        <w:color w:val="365F91" w:themeColor="accent1" w:themeShade="BF"/>
      </w:rPr>
      <w:t>[</w:t>
    </w:r>
    <w:proofErr w:type="gramStart"/>
    <w:r>
      <w:rPr>
        <w:rFonts w:ascii="Arial" w:hAnsi="Arial" w:cs="Arial"/>
        <w:color w:val="365F91" w:themeColor="accent1" w:themeShade="BF"/>
      </w:rPr>
      <w:t>title</w:t>
    </w:r>
    <w:proofErr w:type="gramEnd"/>
    <w:r>
      <w:rPr>
        <w:rFonts w:ascii="Arial" w:hAnsi="Arial" w:cs="Arial"/>
        <w:color w:val="365F91" w:themeColor="accent1" w:themeShade="BF"/>
      </w:rPr>
      <w:t>]</w:t>
    </w:r>
  </w:p>
  <w:p w14:paraId="004602A9" w14:textId="77777777" w:rsidR="00633855" w:rsidRPr="000731D3" w:rsidRDefault="00633855" w:rsidP="000731D3">
    <w:pPr>
      <w:pStyle w:val="Header"/>
      <w:pBdr>
        <w:bottom w:val="single" w:sz="4" w:space="1" w:color="auto"/>
      </w:pBdr>
      <w:rPr>
        <w:rFonts w:ascii="Arial" w:hAnsi="Arial" w:cs="Arial"/>
        <w:sz w:val="20"/>
        <w:szCs w:val="20"/>
      </w:rPr>
    </w:pPr>
  </w:p>
  <w:p w14:paraId="18E0CFB5" w14:textId="77777777" w:rsidR="00633855" w:rsidRPr="000731D3" w:rsidRDefault="00633855"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3C7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D2D0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A56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1EF3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5CE5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21C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4BA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DA8B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38CD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44C8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7A3CAF"/>
    <w:multiLevelType w:val="hybridMultilevel"/>
    <w:tmpl w:val="674891B2"/>
    <w:lvl w:ilvl="0" w:tplc="0C09000F">
      <w:start w:val="1"/>
      <w:numFmt w:val="decimal"/>
      <w:lvlText w:val="%1."/>
      <w:lvlJc w:val="left"/>
      <w:pPr>
        <w:ind w:left="720" w:hanging="360"/>
      </w:pPr>
    </w:lvl>
    <w:lvl w:ilvl="1" w:tplc="D1AA2608">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B8B7D64"/>
    <w:multiLevelType w:val="hybridMultilevel"/>
    <w:tmpl w:val="6B90FA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10250E7E"/>
    <w:multiLevelType w:val="multilevel"/>
    <w:tmpl w:val="A06820F6"/>
    <w:lvl w:ilvl="0">
      <w:start w:val="1"/>
      <w:numFmt w:val="decimal"/>
      <w:pStyle w:val="Numberedparagraph"/>
      <w:lvlText w:val="%1."/>
      <w:lvlJc w:val="left"/>
      <w:pPr>
        <w:ind w:left="567" w:hanging="567"/>
      </w:pPr>
      <w:rPr>
        <w:rFonts w:hint="default"/>
        <w:i w:val="0"/>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 w15:restartNumberingAfterBreak="0">
    <w:nsid w:val="159408D8"/>
    <w:multiLevelType w:val="hybridMultilevel"/>
    <w:tmpl w:val="CE2CF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412274"/>
    <w:multiLevelType w:val="hybridMultilevel"/>
    <w:tmpl w:val="0E38CF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F6D5ACE"/>
    <w:multiLevelType w:val="hybridMultilevel"/>
    <w:tmpl w:val="4C82AA40"/>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1BD115C"/>
    <w:multiLevelType w:val="hybridMultilevel"/>
    <w:tmpl w:val="66706A86"/>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B662FF2"/>
    <w:multiLevelType w:val="hybridMultilevel"/>
    <w:tmpl w:val="33FEE91A"/>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0" w15:restartNumberingAfterBreak="0">
    <w:nsid w:val="33337BDF"/>
    <w:multiLevelType w:val="hybridMultilevel"/>
    <w:tmpl w:val="D304CCC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991307B"/>
    <w:multiLevelType w:val="hybridMultilevel"/>
    <w:tmpl w:val="3C74AF2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6"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62751"/>
    <w:multiLevelType w:val="hybridMultilevel"/>
    <w:tmpl w:val="C72C64DC"/>
    <w:lvl w:ilvl="0" w:tplc="2EEA403C">
      <w:start w:val="56"/>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2"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6D645743"/>
    <w:multiLevelType w:val="hybridMultilevel"/>
    <w:tmpl w:val="BE30C7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5" w15:restartNumberingAfterBreak="0">
    <w:nsid w:val="7413418D"/>
    <w:multiLevelType w:val="hybridMultilevel"/>
    <w:tmpl w:val="ED240E02"/>
    <w:lvl w:ilvl="0" w:tplc="0C090005">
      <w:start w:val="1"/>
      <w:numFmt w:val="bullet"/>
      <w:lvlText w:val=""/>
      <w:lvlJc w:val="left"/>
      <w:pPr>
        <w:ind w:left="780" w:hanging="360"/>
      </w:pPr>
      <w:rPr>
        <w:rFonts w:ascii="Wingdings" w:hAnsi="Wingdings"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36"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76695B42"/>
    <w:multiLevelType w:val="hybridMultilevel"/>
    <w:tmpl w:val="DF5A1BAA"/>
    <w:lvl w:ilvl="0" w:tplc="CD9688C8">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ED20B46"/>
    <w:multiLevelType w:val="hybridMultilevel"/>
    <w:tmpl w:val="CB4CA366"/>
    <w:lvl w:ilvl="0" w:tplc="764836E8">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4"/>
  </w:num>
  <w:num w:numId="4">
    <w:abstractNumId w:val="23"/>
  </w:num>
  <w:num w:numId="5">
    <w:abstractNumId w:val="26"/>
  </w:num>
  <w:num w:numId="6">
    <w:abstractNumId w:val="29"/>
  </w:num>
  <w:num w:numId="7">
    <w:abstractNumId w:val="10"/>
  </w:num>
  <w:num w:numId="8">
    <w:abstractNumId w:val="24"/>
  </w:num>
  <w:num w:numId="9">
    <w:abstractNumId w:val="32"/>
  </w:num>
  <w:num w:numId="10">
    <w:abstractNumId w:val="36"/>
  </w:num>
  <w:num w:numId="11">
    <w:abstractNumId w:val="30"/>
  </w:num>
  <w:num w:numId="12">
    <w:abstractNumId w:val="25"/>
  </w:num>
  <w:num w:numId="13">
    <w:abstractNumId w:val="13"/>
  </w:num>
  <w:num w:numId="14">
    <w:abstractNumId w:val="19"/>
  </w:num>
  <w:num w:numId="15">
    <w:abstractNumId w:val="23"/>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1"/>
  </w:num>
  <w:num w:numId="17">
    <w:abstractNumId w:val="28"/>
  </w:num>
  <w:num w:numId="18">
    <w:abstractNumId w:val="3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17"/>
  </w:num>
  <w:num w:numId="23">
    <w:abstractNumId w:val="12"/>
  </w:num>
  <w:num w:numId="24">
    <w:abstractNumId w:val="35"/>
  </w:num>
  <w:num w:numId="25">
    <w:abstractNumId w:val="20"/>
  </w:num>
  <w:num w:numId="26">
    <w:abstractNumId w:val="21"/>
  </w:num>
  <w:num w:numId="27">
    <w:abstractNumId w:val="1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3"/>
  </w:num>
  <w:num w:numId="41">
    <w:abstractNumId w:val="1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2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D3"/>
    <w:rsid w:val="00002F05"/>
    <w:rsid w:val="00016D10"/>
    <w:rsid w:val="0002351E"/>
    <w:rsid w:val="00025877"/>
    <w:rsid w:val="00037553"/>
    <w:rsid w:val="00041E58"/>
    <w:rsid w:val="00044A7F"/>
    <w:rsid w:val="00045B46"/>
    <w:rsid w:val="00047983"/>
    <w:rsid w:val="000538B5"/>
    <w:rsid w:val="00054120"/>
    <w:rsid w:val="000546B3"/>
    <w:rsid w:val="00056960"/>
    <w:rsid w:val="00056C9A"/>
    <w:rsid w:val="00057023"/>
    <w:rsid w:val="00057D21"/>
    <w:rsid w:val="000629A4"/>
    <w:rsid w:val="00063EDF"/>
    <w:rsid w:val="00064CD9"/>
    <w:rsid w:val="00072CE6"/>
    <w:rsid w:val="000731D3"/>
    <w:rsid w:val="000734FF"/>
    <w:rsid w:val="00075AB0"/>
    <w:rsid w:val="0007682B"/>
    <w:rsid w:val="00095FBB"/>
    <w:rsid w:val="00096517"/>
    <w:rsid w:val="000A201B"/>
    <w:rsid w:val="000B38C7"/>
    <w:rsid w:val="000B6A5F"/>
    <w:rsid w:val="000B6C72"/>
    <w:rsid w:val="000B794F"/>
    <w:rsid w:val="000C0875"/>
    <w:rsid w:val="000C407D"/>
    <w:rsid w:val="000D49A5"/>
    <w:rsid w:val="000E1039"/>
    <w:rsid w:val="000E777B"/>
    <w:rsid w:val="000F0BC1"/>
    <w:rsid w:val="000F4098"/>
    <w:rsid w:val="00105217"/>
    <w:rsid w:val="001066BD"/>
    <w:rsid w:val="00113963"/>
    <w:rsid w:val="0011586A"/>
    <w:rsid w:val="00121E6F"/>
    <w:rsid w:val="00124602"/>
    <w:rsid w:val="00124940"/>
    <w:rsid w:val="00124A35"/>
    <w:rsid w:val="001304EE"/>
    <w:rsid w:val="001340A2"/>
    <w:rsid w:val="00134406"/>
    <w:rsid w:val="00134DEB"/>
    <w:rsid w:val="0014349B"/>
    <w:rsid w:val="0014601A"/>
    <w:rsid w:val="00147720"/>
    <w:rsid w:val="00150EF4"/>
    <w:rsid w:val="00151611"/>
    <w:rsid w:val="00153CEB"/>
    <w:rsid w:val="00157016"/>
    <w:rsid w:val="00165C75"/>
    <w:rsid w:val="00175BCC"/>
    <w:rsid w:val="00181D10"/>
    <w:rsid w:val="001825CB"/>
    <w:rsid w:val="00182865"/>
    <w:rsid w:val="00182E06"/>
    <w:rsid w:val="001916E4"/>
    <w:rsid w:val="0019203A"/>
    <w:rsid w:val="0019304D"/>
    <w:rsid w:val="00195E9F"/>
    <w:rsid w:val="001A12BD"/>
    <w:rsid w:val="001B1A27"/>
    <w:rsid w:val="001B5470"/>
    <w:rsid w:val="001B57C6"/>
    <w:rsid w:val="001C01FD"/>
    <w:rsid w:val="001C127F"/>
    <w:rsid w:val="001C1521"/>
    <w:rsid w:val="001C23B8"/>
    <w:rsid w:val="001D50C0"/>
    <w:rsid w:val="001D72E5"/>
    <w:rsid w:val="001D7758"/>
    <w:rsid w:val="001E3A26"/>
    <w:rsid w:val="001E7242"/>
    <w:rsid w:val="001F17B2"/>
    <w:rsid w:val="001F3F19"/>
    <w:rsid w:val="001F5F4B"/>
    <w:rsid w:val="00205764"/>
    <w:rsid w:val="00211B4A"/>
    <w:rsid w:val="0021332B"/>
    <w:rsid w:val="00227178"/>
    <w:rsid w:val="00233F52"/>
    <w:rsid w:val="00235527"/>
    <w:rsid w:val="00240EF9"/>
    <w:rsid w:val="0024194E"/>
    <w:rsid w:val="00245674"/>
    <w:rsid w:val="00252195"/>
    <w:rsid w:val="00253B42"/>
    <w:rsid w:val="00283D88"/>
    <w:rsid w:val="00284FF0"/>
    <w:rsid w:val="00287807"/>
    <w:rsid w:val="00292713"/>
    <w:rsid w:val="00292C50"/>
    <w:rsid w:val="00294973"/>
    <w:rsid w:val="002A03F1"/>
    <w:rsid w:val="002A4C2E"/>
    <w:rsid w:val="002B4072"/>
    <w:rsid w:val="002B4DCD"/>
    <w:rsid w:val="002B65D4"/>
    <w:rsid w:val="002C01B5"/>
    <w:rsid w:val="002D46A2"/>
    <w:rsid w:val="002E433B"/>
    <w:rsid w:val="002E4968"/>
    <w:rsid w:val="00310CB2"/>
    <w:rsid w:val="00312C2A"/>
    <w:rsid w:val="00314AB8"/>
    <w:rsid w:val="003204FA"/>
    <w:rsid w:val="00321071"/>
    <w:rsid w:val="00321445"/>
    <w:rsid w:val="0032516B"/>
    <w:rsid w:val="0033017E"/>
    <w:rsid w:val="0033216F"/>
    <w:rsid w:val="0034134D"/>
    <w:rsid w:val="00343628"/>
    <w:rsid w:val="00344F59"/>
    <w:rsid w:val="00350311"/>
    <w:rsid w:val="00350D39"/>
    <w:rsid w:val="0035654D"/>
    <w:rsid w:val="00356A69"/>
    <w:rsid w:val="00366ACE"/>
    <w:rsid w:val="00370336"/>
    <w:rsid w:val="00375743"/>
    <w:rsid w:val="003847F0"/>
    <w:rsid w:val="00392522"/>
    <w:rsid w:val="00395332"/>
    <w:rsid w:val="003A0ACF"/>
    <w:rsid w:val="003A1CFA"/>
    <w:rsid w:val="003A2B19"/>
    <w:rsid w:val="003A666E"/>
    <w:rsid w:val="003B0434"/>
    <w:rsid w:val="003B197E"/>
    <w:rsid w:val="003C6A61"/>
    <w:rsid w:val="003D3AAC"/>
    <w:rsid w:val="003D625C"/>
    <w:rsid w:val="003E3DA9"/>
    <w:rsid w:val="003F6F7E"/>
    <w:rsid w:val="00420FF2"/>
    <w:rsid w:val="00421429"/>
    <w:rsid w:val="00426D97"/>
    <w:rsid w:val="00431D51"/>
    <w:rsid w:val="004418EC"/>
    <w:rsid w:val="004424F3"/>
    <w:rsid w:val="00451416"/>
    <w:rsid w:val="004538FC"/>
    <w:rsid w:val="0045765D"/>
    <w:rsid w:val="00463BEF"/>
    <w:rsid w:val="00466216"/>
    <w:rsid w:val="00476C78"/>
    <w:rsid w:val="00492C3F"/>
    <w:rsid w:val="004A2375"/>
    <w:rsid w:val="004A3F81"/>
    <w:rsid w:val="004A4891"/>
    <w:rsid w:val="004A6F71"/>
    <w:rsid w:val="004B0599"/>
    <w:rsid w:val="004B1C84"/>
    <w:rsid w:val="004B71ED"/>
    <w:rsid w:val="004B7A24"/>
    <w:rsid w:val="004C2886"/>
    <w:rsid w:val="004E3D6B"/>
    <w:rsid w:val="004E46AA"/>
    <w:rsid w:val="004E58C1"/>
    <w:rsid w:val="004F143B"/>
    <w:rsid w:val="004F2CB8"/>
    <w:rsid w:val="004F4CB1"/>
    <w:rsid w:val="004F7134"/>
    <w:rsid w:val="004F71C4"/>
    <w:rsid w:val="005009D5"/>
    <w:rsid w:val="00502924"/>
    <w:rsid w:val="005111EF"/>
    <w:rsid w:val="00516283"/>
    <w:rsid w:val="00517D74"/>
    <w:rsid w:val="005235E0"/>
    <w:rsid w:val="005253D2"/>
    <w:rsid w:val="00527FDA"/>
    <w:rsid w:val="00540B55"/>
    <w:rsid w:val="00566165"/>
    <w:rsid w:val="00580083"/>
    <w:rsid w:val="005916EB"/>
    <w:rsid w:val="005A1ABC"/>
    <w:rsid w:val="005B404C"/>
    <w:rsid w:val="005B6560"/>
    <w:rsid w:val="005B7E50"/>
    <w:rsid w:val="005C3FB8"/>
    <w:rsid w:val="005D5A16"/>
    <w:rsid w:val="005E1597"/>
    <w:rsid w:val="005E452A"/>
    <w:rsid w:val="005E5159"/>
    <w:rsid w:val="005F0F47"/>
    <w:rsid w:val="005F4A66"/>
    <w:rsid w:val="00613F98"/>
    <w:rsid w:val="00617E4F"/>
    <w:rsid w:val="00626FFB"/>
    <w:rsid w:val="00627334"/>
    <w:rsid w:val="006335BE"/>
    <w:rsid w:val="00633855"/>
    <w:rsid w:val="00634D74"/>
    <w:rsid w:val="00641693"/>
    <w:rsid w:val="00644E93"/>
    <w:rsid w:val="006466AD"/>
    <w:rsid w:val="00661B55"/>
    <w:rsid w:val="006765D6"/>
    <w:rsid w:val="006769BF"/>
    <w:rsid w:val="00693542"/>
    <w:rsid w:val="00694221"/>
    <w:rsid w:val="006A1165"/>
    <w:rsid w:val="006A1256"/>
    <w:rsid w:val="006A39A0"/>
    <w:rsid w:val="006A7B3A"/>
    <w:rsid w:val="006C14AC"/>
    <w:rsid w:val="006C5DC3"/>
    <w:rsid w:val="006D542E"/>
    <w:rsid w:val="006D5969"/>
    <w:rsid w:val="006D64B1"/>
    <w:rsid w:val="006E3D36"/>
    <w:rsid w:val="006E7ACA"/>
    <w:rsid w:val="006F0979"/>
    <w:rsid w:val="006F1EFD"/>
    <w:rsid w:val="006F1F8D"/>
    <w:rsid w:val="006F5A13"/>
    <w:rsid w:val="00701BE5"/>
    <w:rsid w:val="007069A1"/>
    <w:rsid w:val="00706A05"/>
    <w:rsid w:val="007240B8"/>
    <w:rsid w:val="00725244"/>
    <w:rsid w:val="00727D30"/>
    <w:rsid w:val="00730224"/>
    <w:rsid w:val="0073136F"/>
    <w:rsid w:val="00735BA1"/>
    <w:rsid w:val="007433CA"/>
    <w:rsid w:val="00751AE0"/>
    <w:rsid w:val="00756B6E"/>
    <w:rsid w:val="007619FB"/>
    <w:rsid w:val="00762D11"/>
    <w:rsid w:val="00763604"/>
    <w:rsid w:val="00765958"/>
    <w:rsid w:val="00774489"/>
    <w:rsid w:val="00784D03"/>
    <w:rsid w:val="00797A7B"/>
    <w:rsid w:val="007A45D7"/>
    <w:rsid w:val="007A6240"/>
    <w:rsid w:val="007A7C91"/>
    <w:rsid w:val="007B538A"/>
    <w:rsid w:val="007C3043"/>
    <w:rsid w:val="007C47D8"/>
    <w:rsid w:val="007C510E"/>
    <w:rsid w:val="007C62E7"/>
    <w:rsid w:val="007C7224"/>
    <w:rsid w:val="007C723D"/>
    <w:rsid w:val="007D0694"/>
    <w:rsid w:val="007D0AF8"/>
    <w:rsid w:val="007D133B"/>
    <w:rsid w:val="007E2EE9"/>
    <w:rsid w:val="007F4F44"/>
    <w:rsid w:val="0080290B"/>
    <w:rsid w:val="008037F9"/>
    <w:rsid w:val="008038A5"/>
    <w:rsid w:val="00805768"/>
    <w:rsid w:val="008101EC"/>
    <w:rsid w:val="00812632"/>
    <w:rsid w:val="00812F5A"/>
    <w:rsid w:val="00816FCD"/>
    <w:rsid w:val="00827429"/>
    <w:rsid w:val="00843444"/>
    <w:rsid w:val="008470F3"/>
    <w:rsid w:val="00847C09"/>
    <w:rsid w:val="00850155"/>
    <w:rsid w:val="008539D3"/>
    <w:rsid w:val="0086439D"/>
    <w:rsid w:val="00865536"/>
    <w:rsid w:val="00867AFD"/>
    <w:rsid w:val="00871324"/>
    <w:rsid w:val="00881310"/>
    <w:rsid w:val="0089208D"/>
    <w:rsid w:val="008930A1"/>
    <w:rsid w:val="008947EF"/>
    <w:rsid w:val="0089505F"/>
    <w:rsid w:val="008970A8"/>
    <w:rsid w:val="008A49FC"/>
    <w:rsid w:val="008B0352"/>
    <w:rsid w:val="008B170E"/>
    <w:rsid w:val="008B3191"/>
    <w:rsid w:val="008B7619"/>
    <w:rsid w:val="008C3D59"/>
    <w:rsid w:val="008C6189"/>
    <w:rsid w:val="008D1F09"/>
    <w:rsid w:val="008D288D"/>
    <w:rsid w:val="008D29B3"/>
    <w:rsid w:val="008D4D8D"/>
    <w:rsid w:val="008E2FB8"/>
    <w:rsid w:val="008E304C"/>
    <w:rsid w:val="008E792D"/>
    <w:rsid w:val="008F5FC1"/>
    <w:rsid w:val="008F78D2"/>
    <w:rsid w:val="0090102E"/>
    <w:rsid w:val="00905A21"/>
    <w:rsid w:val="009116DC"/>
    <w:rsid w:val="00912E7D"/>
    <w:rsid w:val="00914828"/>
    <w:rsid w:val="00924101"/>
    <w:rsid w:val="00924B31"/>
    <w:rsid w:val="0092785A"/>
    <w:rsid w:val="00956805"/>
    <w:rsid w:val="0096086E"/>
    <w:rsid w:val="00972E61"/>
    <w:rsid w:val="009746DD"/>
    <w:rsid w:val="009801EF"/>
    <w:rsid w:val="00981E88"/>
    <w:rsid w:val="00984A84"/>
    <w:rsid w:val="00987057"/>
    <w:rsid w:val="009A0BFD"/>
    <w:rsid w:val="009A21EA"/>
    <w:rsid w:val="009A3F71"/>
    <w:rsid w:val="009A556B"/>
    <w:rsid w:val="009D21E8"/>
    <w:rsid w:val="009D3109"/>
    <w:rsid w:val="009D3B40"/>
    <w:rsid w:val="009D75ED"/>
    <w:rsid w:val="009E3331"/>
    <w:rsid w:val="009F3E8A"/>
    <w:rsid w:val="00A0082F"/>
    <w:rsid w:val="00A023C1"/>
    <w:rsid w:val="00A046BE"/>
    <w:rsid w:val="00A109F6"/>
    <w:rsid w:val="00A16356"/>
    <w:rsid w:val="00A23A8A"/>
    <w:rsid w:val="00A30198"/>
    <w:rsid w:val="00A35BBA"/>
    <w:rsid w:val="00A423F8"/>
    <w:rsid w:val="00A45369"/>
    <w:rsid w:val="00A45A89"/>
    <w:rsid w:val="00A53D1F"/>
    <w:rsid w:val="00A70E36"/>
    <w:rsid w:val="00A90373"/>
    <w:rsid w:val="00AA2D2C"/>
    <w:rsid w:val="00AA53E2"/>
    <w:rsid w:val="00AC18D8"/>
    <w:rsid w:val="00AC7838"/>
    <w:rsid w:val="00AE176D"/>
    <w:rsid w:val="00AE3A61"/>
    <w:rsid w:val="00AE6F56"/>
    <w:rsid w:val="00AF0BDD"/>
    <w:rsid w:val="00B03079"/>
    <w:rsid w:val="00B06C88"/>
    <w:rsid w:val="00B1349D"/>
    <w:rsid w:val="00B22DAA"/>
    <w:rsid w:val="00B26717"/>
    <w:rsid w:val="00B35E49"/>
    <w:rsid w:val="00B360EA"/>
    <w:rsid w:val="00B41356"/>
    <w:rsid w:val="00B44F65"/>
    <w:rsid w:val="00B46BAB"/>
    <w:rsid w:val="00B50F67"/>
    <w:rsid w:val="00B67E6E"/>
    <w:rsid w:val="00B73EA9"/>
    <w:rsid w:val="00B82CE9"/>
    <w:rsid w:val="00B83AE9"/>
    <w:rsid w:val="00B8743D"/>
    <w:rsid w:val="00B87FB4"/>
    <w:rsid w:val="00B909F2"/>
    <w:rsid w:val="00B91EA6"/>
    <w:rsid w:val="00B933A9"/>
    <w:rsid w:val="00BB0B80"/>
    <w:rsid w:val="00BB2F50"/>
    <w:rsid w:val="00BB67DA"/>
    <w:rsid w:val="00BB73A7"/>
    <w:rsid w:val="00BE713A"/>
    <w:rsid w:val="00BF7B2B"/>
    <w:rsid w:val="00C16D33"/>
    <w:rsid w:val="00C21E4C"/>
    <w:rsid w:val="00C255F9"/>
    <w:rsid w:val="00C27309"/>
    <w:rsid w:val="00C27606"/>
    <w:rsid w:val="00C27E7A"/>
    <w:rsid w:val="00C33416"/>
    <w:rsid w:val="00C35743"/>
    <w:rsid w:val="00C4116E"/>
    <w:rsid w:val="00C45B96"/>
    <w:rsid w:val="00C526DC"/>
    <w:rsid w:val="00C52D37"/>
    <w:rsid w:val="00C53313"/>
    <w:rsid w:val="00C627FD"/>
    <w:rsid w:val="00C641D7"/>
    <w:rsid w:val="00C66E1D"/>
    <w:rsid w:val="00C8564F"/>
    <w:rsid w:val="00C93047"/>
    <w:rsid w:val="00C9716F"/>
    <w:rsid w:val="00CA162B"/>
    <w:rsid w:val="00CA23CF"/>
    <w:rsid w:val="00CA4879"/>
    <w:rsid w:val="00CB0BBF"/>
    <w:rsid w:val="00CC2E5C"/>
    <w:rsid w:val="00CD0740"/>
    <w:rsid w:val="00CD7704"/>
    <w:rsid w:val="00CE14AA"/>
    <w:rsid w:val="00CE4544"/>
    <w:rsid w:val="00D102EC"/>
    <w:rsid w:val="00D14A6A"/>
    <w:rsid w:val="00D21103"/>
    <w:rsid w:val="00D23305"/>
    <w:rsid w:val="00D24356"/>
    <w:rsid w:val="00D301CD"/>
    <w:rsid w:val="00D33110"/>
    <w:rsid w:val="00D33FEE"/>
    <w:rsid w:val="00D35B0E"/>
    <w:rsid w:val="00D406E5"/>
    <w:rsid w:val="00D564B1"/>
    <w:rsid w:val="00D61B81"/>
    <w:rsid w:val="00D6241A"/>
    <w:rsid w:val="00D66FDC"/>
    <w:rsid w:val="00D74335"/>
    <w:rsid w:val="00D766A5"/>
    <w:rsid w:val="00D76F2A"/>
    <w:rsid w:val="00D86386"/>
    <w:rsid w:val="00DA1C93"/>
    <w:rsid w:val="00DA2CA0"/>
    <w:rsid w:val="00DA32F8"/>
    <w:rsid w:val="00DA6CE5"/>
    <w:rsid w:val="00DC0A10"/>
    <w:rsid w:val="00DC0EDF"/>
    <w:rsid w:val="00DC553C"/>
    <w:rsid w:val="00DC5671"/>
    <w:rsid w:val="00DC7280"/>
    <w:rsid w:val="00DC7DBC"/>
    <w:rsid w:val="00DD05AB"/>
    <w:rsid w:val="00DD2998"/>
    <w:rsid w:val="00DD4168"/>
    <w:rsid w:val="00DD5B86"/>
    <w:rsid w:val="00DD6601"/>
    <w:rsid w:val="00DD7883"/>
    <w:rsid w:val="00DE0DF0"/>
    <w:rsid w:val="00DE447D"/>
    <w:rsid w:val="00DE62F6"/>
    <w:rsid w:val="00DE6D74"/>
    <w:rsid w:val="00DF12F2"/>
    <w:rsid w:val="00DF1E78"/>
    <w:rsid w:val="00DF5AE3"/>
    <w:rsid w:val="00E02BF6"/>
    <w:rsid w:val="00E12B7B"/>
    <w:rsid w:val="00E133FA"/>
    <w:rsid w:val="00E15E88"/>
    <w:rsid w:val="00E1631A"/>
    <w:rsid w:val="00E2092E"/>
    <w:rsid w:val="00E3118E"/>
    <w:rsid w:val="00E36779"/>
    <w:rsid w:val="00E43058"/>
    <w:rsid w:val="00E53630"/>
    <w:rsid w:val="00E54B68"/>
    <w:rsid w:val="00E632C1"/>
    <w:rsid w:val="00E6776E"/>
    <w:rsid w:val="00E7746A"/>
    <w:rsid w:val="00E85283"/>
    <w:rsid w:val="00E91A9E"/>
    <w:rsid w:val="00E940D7"/>
    <w:rsid w:val="00EA0FB4"/>
    <w:rsid w:val="00EB3433"/>
    <w:rsid w:val="00EB5211"/>
    <w:rsid w:val="00EB6445"/>
    <w:rsid w:val="00EB7E3E"/>
    <w:rsid w:val="00EC2DB3"/>
    <w:rsid w:val="00EC4641"/>
    <w:rsid w:val="00ED0412"/>
    <w:rsid w:val="00ED0709"/>
    <w:rsid w:val="00ED426F"/>
    <w:rsid w:val="00ED5C2B"/>
    <w:rsid w:val="00ED6006"/>
    <w:rsid w:val="00EE20D8"/>
    <w:rsid w:val="00EE6639"/>
    <w:rsid w:val="00EF2CD3"/>
    <w:rsid w:val="00F02AD7"/>
    <w:rsid w:val="00F03E65"/>
    <w:rsid w:val="00F0674F"/>
    <w:rsid w:val="00F12660"/>
    <w:rsid w:val="00F27969"/>
    <w:rsid w:val="00F4420D"/>
    <w:rsid w:val="00F552D1"/>
    <w:rsid w:val="00F558ED"/>
    <w:rsid w:val="00F55DEB"/>
    <w:rsid w:val="00F73546"/>
    <w:rsid w:val="00F85492"/>
    <w:rsid w:val="00F857F4"/>
    <w:rsid w:val="00F867EB"/>
    <w:rsid w:val="00F9218B"/>
    <w:rsid w:val="00F951AF"/>
    <w:rsid w:val="00FB4D15"/>
    <w:rsid w:val="00FD4014"/>
    <w:rsid w:val="00FD61A4"/>
    <w:rsid w:val="00FE7FE2"/>
    <w:rsid w:val="00FF13C4"/>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5"/>
    <o:shapelayout v:ext="edit">
      <o:idmap v:ext="edit" data="1"/>
    </o:shapelayout>
  </w:shapeDefaults>
  <w:decimalSymbol w:val="."/>
  <w:listSeparator w:val=","/>
  <w14:docId w14:val="4CD065D1"/>
  <w14:defaultImageDpi w14:val="330"/>
  <w15:docId w15:val="{DA07BE2B-A112-48D5-877A-EA0EE2BD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9D3"/>
    <w:rPr>
      <w:lang w:val="en-AU"/>
    </w:rPr>
  </w:style>
  <w:style w:type="paragraph" w:styleId="Heading1">
    <w:name w:val="heading 1"/>
    <w:basedOn w:val="Normal"/>
    <w:next w:val="Normal"/>
    <w:link w:val="Heading1Char"/>
    <w:uiPriority w:val="9"/>
    <w:qFormat/>
    <w:rsid w:val="007C510E"/>
    <w:pPr>
      <w:keepNext/>
      <w:keepLines/>
      <w:spacing w:before="240" w:after="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ascii="Arial" w:eastAsiaTheme="majorEastAsia" w:hAnsi="Arial" w:cstheme="majorBidi"/>
      <w:b/>
      <w:color w:val="365F91" w:themeColor="accent1" w:themeShade="BF"/>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
    <w:basedOn w:val="DefaultParagraphFont"/>
    <w:unhideWhenUsed/>
    <w:rsid w:val="0034134D"/>
    <w:rPr>
      <w:vertAlign w:val="superscript"/>
    </w:rPr>
  </w:style>
  <w:style w:type="character" w:customStyle="1" w:styleId="Heading1Char">
    <w:name w:val="Heading 1 Char"/>
    <w:basedOn w:val="DefaultParagraphFont"/>
    <w:link w:val="Heading1"/>
    <w:uiPriority w:val="9"/>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0B6A5F"/>
    <w:pPr>
      <w:spacing w:before="240" w:after="240" w:line="276" w:lineRule="auto"/>
      <w:ind w:left="907"/>
    </w:pPr>
    <w:rPr>
      <w:rFonts w:ascii="Arial" w:hAnsi="Arial" w:cs="Arial"/>
      <w:sz w:val="22"/>
      <w:szCs w:val="22"/>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0B6A5F"/>
    <w:rPr>
      <w:rFonts w:ascii="Arial" w:hAnsi="Arial" w:cs="Arial"/>
      <w:sz w:val="22"/>
      <w:szCs w:val="22"/>
      <w:lang w:val="en-AU"/>
    </w:rPr>
  </w:style>
  <w:style w:type="paragraph" w:customStyle="1" w:styleId="Bulletedlist">
    <w:name w:val="Bulleted list"/>
    <w:basedOn w:val="ListParagraph"/>
    <w:qFormat/>
    <w:rsid w:val="00B46BAB"/>
    <w:pPr>
      <w:numPr>
        <w:numId w:val="16"/>
      </w:numPr>
      <w:spacing w:after="240"/>
    </w:pPr>
    <w:rPr>
      <w:rFonts w:ascii="Arial" w:hAnsi="Arial" w:cs="Arial"/>
    </w:rPr>
  </w:style>
  <w:style w:type="character" w:styleId="FollowedHyperlink">
    <w:name w:val="FollowedHyperlink"/>
    <w:basedOn w:val="DefaultParagraphFont"/>
    <w:uiPriority w:val="99"/>
    <w:semiHidden/>
    <w:unhideWhenUsed/>
    <w:rsid w:val="00C52D37"/>
    <w:rPr>
      <w:color w:val="800080" w:themeColor="followedHyperlink"/>
      <w:u w:val="single"/>
    </w:rPr>
  </w:style>
  <w:style w:type="paragraph" w:customStyle="1" w:styleId="Questions">
    <w:name w:val="Questions"/>
    <w:basedOn w:val="Heading3"/>
    <w:qFormat/>
    <w:rsid w:val="000B6A5F"/>
    <w:pPr>
      <w:spacing w:after="360"/>
      <w:contextualSpacing/>
    </w:pPr>
    <w:rPr>
      <w:b/>
      <w:i w:val="0"/>
      <w:sz w:val="22"/>
      <w:szCs w:val="22"/>
    </w:rPr>
  </w:style>
  <w:style w:type="paragraph" w:customStyle="1" w:styleId="Default">
    <w:name w:val="Default"/>
    <w:rsid w:val="00153CEB"/>
    <w:pPr>
      <w:autoSpaceDE w:val="0"/>
      <w:autoSpaceDN w:val="0"/>
      <w:adjustRightInd w:val="0"/>
    </w:pPr>
    <w:rPr>
      <w:rFonts w:ascii="Franklin Gothic Book" w:hAnsi="Franklin Gothic Book" w:cs="Franklin Gothic Book"/>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2811">
      <w:bodyDiv w:val="1"/>
      <w:marLeft w:val="0"/>
      <w:marRight w:val="0"/>
      <w:marTop w:val="0"/>
      <w:marBottom w:val="0"/>
      <w:divBdr>
        <w:top w:val="none" w:sz="0" w:space="0" w:color="auto"/>
        <w:left w:val="none" w:sz="0" w:space="0" w:color="auto"/>
        <w:bottom w:val="none" w:sz="0" w:space="0" w:color="auto"/>
        <w:right w:val="none" w:sz="0" w:space="0" w:color="auto"/>
      </w:divBdr>
    </w:div>
    <w:div w:id="335379631">
      <w:bodyDiv w:val="1"/>
      <w:marLeft w:val="0"/>
      <w:marRight w:val="0"/>
      <w:marTop w:val="0"/>
      <w:marBottom w:val="0"/>
      <w:divBdr>
        <w:top w:val="none" w:sz="0" w:space="0" w:color="auto"/>
        <w:left w:val="none" w:sz="0" w:space="0" w:color="auto"/>
        <w:bottom w:val="none" w:sz="0" w:space="0" w:color="auto"/>
        <w:right w:val="none" w:sz="0" w:space="0" w:color="auto"/>
      </w:divBdr>
    </w:div>
    <w:div w:id="473572507">
      <w:bodyDiv w:val="1"/>
      <w:marLeft w:val="0"/>
      <w:marRight w:val="0"/>
      <w:marTop w:val="0"/>
      <w:marBottom w:val="0"/>
      <w:divBdr>
        <w:top w:val="none" w:sz="0" w:space="0" w:color="auto"/>
        <w:left w:val="none" w:sz="0" w:space="0" w:color="auto"/>
        <w:bottom w:val="none" w:sz="0" w:space="0" w:color="auto"/>
        <w:right w:val="none" w:sz="0" w:space="0" w:color="auto"/>
      </w:divBdr>
    </w:div>
    <w:div w:id="1177110043">
      <w:bodyDiv w:val="1"/>
      <w:marLeft w:val="0"/>
      <w:marRight w:val="0"/>
      <w:marTop w:val="0"/>
      <w:marBottom w:val="0"/>
      <w:divBdr>
        <w:top w:val="none" w:sz="0" w:space="0" w:color="auto"/>
        <w:left w:val="none" w:sz="0" w:space="0" w:color="auto"/>
        <w:bottom w:val="none" w:sz="0" w:space="0" w:color="auto"/>
        <w:right w:val="none" w:sz="0" w:space="0" w:color="auto"/>
      </w:divBdr>
    </w:div>
    <w:div w:id="1265721756">
      <w:bodyDiv w:val="1"/>
      <w:marLeft w:val="0"/>
      <w:marRight w:val="0"/>
      <w:marTop w:val="0"/>
      <w:marBottom w:val="0"/>
      <w:divBdr>
        <w:top w:val="none" w:sz="0" w:space="0" w:color="auto"/>
        <w:left w:val="none" w:sz="0" w:space="0" w:color="auto"/>
        <w:bottom w:val="none" w:sz="0" w:space="0" w:color="auto"/>
        <w:right w:val="none" w:sz="0" w:space="0" w:color="auto"/>
      </w:divBdr>
    </w:div>
    <w:div w:id="1278486162">
      <w:bodyDiv w:val="1"/>
      <w:marLeft w:val="0"/>
      <w:marRight w:val="0"/>
      <w:marTop w:val="0"/>
      <w:marBottom w:val="0"/>
      <w:divBdr>
        <w:top w:val="none" w:sz="0" w:space="0" w:color="auto"/>
        <w:left w:val="none" w:sz="0" w:space="0" w:color="auto"/>
        <w:bottom w:val="none" w:sz="0" w:space="0" w:color="auto"/>
        <w:right w:val="none" w:sz="0" w:space="0" w:color="auto"/>
      </w:divBdr>
    </w:div>
    <w:div w:id="1578242300">
      <w:bodyDiv w:val="1"/>
      <w:marLeft w:val="0"/>
      <w:marRight w:val="0"/>
      <w:marTop w:val="0"/>
      <w:marBottom w:val="0"/>
      <w:divBdr>
        <w:top w:val="none" w:sz="0" w:space="0" w:color="auto"/>
        <w:left w:val="none" w:sz="0" w:space="0" w:color="auto"/>
        <w:bottom w:val="none" w:sz="0" w:space="0" w:color="auto"/>
        <w:right w:val="none" w:sz="0" w:space="0" w:color="auto"/>
      </w:divBdr>
    </w:div>
    <w:div w:id="1972245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ruleoflaw/files/training5Add2en.pdf" TargetMode="External"/><Relationship Id="rId3" Type="http://schemas.openxmlformats.org/officeDocument/2006/relationships/hyperlink" Target="https://www.oics.wa.gov.au/wp-content/uploads/2014/09/2014_0821-Final-report-Assault-on-staff.pdf" TargetMode="External"/><Relationship Id="rId7" Type="http://schemas.openxmlformats.org/officeDocument/2006/relationships/hyperlink" Target="https://qpc.blob.core.windows.net/wordpress/2020/01/FINAL-REPORT-Imprisonment-Volume-I-.pdf" TargetMode="External"/><Relationship Id="rId2" Type="http://schemas.openxmlformats.org/officeDocument/2006/relationships/hyperlink" Target="http://www.custodialinspector.justice.nsw.gov.au/Documents/Accessible%20Report%20No%201%20DRAFT.pdf" TargetMode="External"/><Relationship Id="rId1" Type="http://schemas.openxmlformats.org/officeDocument/2006/relationships/hyperlink" Target="https://www.brisbanetimes.com.au/national/queensland/six-queensland-prison-officers-attacked-in-four-days-as-overcrowding-worsens-20180812-p4zx0j.html" TargetMode="External"/><Relationship Id="rId6" Type="http://schemas.openxmlformats.org/officeDocument/2006/relationships/hyperlink" Target="https://www.cambridge.org/core/journals/prehospital-and-disaster-medicine/article/international-survey-of-violence-against-ems-personnel-physical-violence-report/04FB890CA7AA1D019C757FD1E6DBCF97" TargetMode="External"/><Relationship Id="rId5" Type="http://schemas.openxmlformats.org/officeDocument/2006/relationships/hyperlink" Target="https://www.cqu.edu.au/cquninews/stories/general-category/2019/properly-tested-solutions-needed-to-tackle-violence-against-paramedics" TargetMode="External"/><Relationship Id="rId4" Type="http://schemas.openxmlformats.org/officeDocument/2006/relationships/hyperlink" Target="https://www.watoday.com.au/national/western-australia/was-top-cop-wants-more-forensic-funding-20170731-gxml2b.html" TargetMode="External"/><Relationship Id="rId9" Type="http://schemas.openxmlformats.org/officeDocument/2006/relationships/hyperlink" Target="https://www.canberratimes.com.au/story/6029810/act-set-to-trial-sentencing-reports-for-indigenous-offenders-like-canadas-gladue-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377D32-6ED3-41AF-B5C3-D393A7C3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5128</Words>
  <Characters>29234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Penalties for assaults on frontline public officers</vt:lpstr>
    </vt:vector>
  </TitlesOfParts>
  <Company/>
  <LinksUpToDate>false</LinksUpToDate>
  <CharactersWithSpaces>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Penalties for assaults on frontline public officers</dc:title>
  <dc:subject/>
  <dc:creator>Sean Costello</dc:creator>
  <cp:keywords/>
  <dc:description/>
  <cp:lastModifiedBy>Sean Costello</cp:lastModifiedBy>
  <cp:revision>4</cp:revision>
  <cp:lastPrinted>2020-06-25T05:12:00Z</cp:lastPrinted>
  <dcterms:created xsi:type="dcterms:W3CDTF">2020-06-25T04:58:00Z</dcterms:created>
  <dcterms:modified xsi:type="dcterms:W3CDTF">2020-06-25T05:25:00Z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858990484</vt:i4>
  </property>
</Properties>
</file>