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41A77" w:rsidRPr="00444845" w:rsidRDefault="00941A77"/>
    <w:p w14:paraId="0A37501D" w14:textId="77777777" w:rsidR="00941A77" w:rsidRPr="00444845" w:rsidRDefault="00941A77"/>
    <w:p w14:paraId="5DAB6C7B" w14:textId="77777777" w:rsidR="00941A77" w:rsidRPr="00444845" w:rsidRDefault="00941A77"/>
    <w:sdt>
      <w:sdtPr>
        <w:rPr>
          <w:rFonts w:ascii="Arial" w:hAnsi="Arial" w:cs="Arial"/>
          <w:sz w:val="24"/>
          <w:szCs w:val="24"/>
          <w:lang w:val="en-AU"/>
        </w:rPr>
        <w:id w:val="2067608509"/>
        <w:docPartObj>
          <w:docPartGallery w:val="Cover Pages"/>
          <w:docPartUnique/>
        </w:docPartObj>
      </w:sdtPr>
      <w:sdtEndPr>
        <w:rPr>
          <w:sz w:val="14"/>
          <w:szCs w:val="16"/>
        </w:rPr>
      </w:sdtEndPr>
      <w:sdtContent>
        <w:tbl>
          <w:tblPr>
            <w:tblW w:w="5000" w:type="pct"/>
            <w:jc w:val="center"/>
            <w:tblBorders>
              <w:bottom w:val="single" w:sz="4" w:space="0" w:color="auto"/>
            </w:tblBorders>
            <w:tblLook w:val="04A0" w:firstRow="1" w:lastRow="0" w:firstColumn="1" w:lastColumn="0" w:noHBand="0" w:noVBand="1"/>
          </w:tblPr>
          <w:tblGrid>
            <w:gridCol w:w="8306"/>
          </w:tblGrid>
          <w:tr w:rsidR="004A2375" w:rsidRPr="00444845" w14:paraId="02EB378F" w14:textId="77777777" w:rsidTr="0C0964E0">
            <w:trPr>
              <w:trHeight w:val="2506"/>
              <w:jc w:val="center"/>
            </w:trPr>
            <w:tc>
              <w:tcPr>
                <w:tcW w:w="5000" w:type="pct"/>
                <w:vAlign w:val="center"/>
              </w:tcPr>
              <w:p w14:paraId="6A05A809" w14:textId="77777777" w:rsidR="00260847" w:rsidRPr="00BD6499" w:rsidRDefault="00260847" w:rsidP="003C443B">
                <w:pPr>
                  <w:pStyle w:val="NoSpacing"/>
                  <w:spacing w:after="240"/>
                  <w:rPr>
                    <w:rFonts w:ascii="Arial" w:hAnsi="Arial" w:cs="Arial"/>
                    <w:sz w:val="20"/>
                    <w:lang w:val="en-AU"/>
                  </w:rPr>
                </w:pPr>
              </w:p>
              <w:p w14:paraId="5A39BBE3" w14:textId="77777777" w:rsidR="00260847" w:rsidRPr="00BD6499" w:rsidRDefault="00260847" w:rsidP="375799C0">
                <w:pPr>
                  <w:pStyle w:val="NoSpacing"/>
                  <w:spacing w:after="240"/>
                  <w:rPr>
                    <w:rFonts w:ascii="Arial" w:hAnsi="Arial" w:cs="Arial"/>
                    <w:sz w:val="20"/>
                    <w:szCs w:val="20"/>
                    <w:lang w:val="en-AU"/>
                  </w:rPr>
                </w:pPr>
              </w:p>
              <w:p w14:paraId="41C8F396" w14:textId="77777777" w:rsidR="00260847" w:rsidRPr="00BD6499" w:rsidRDefault="00260847" w:rsidP="003C443B">
                <w:pPr>
                  <w:pStyle w:val="NoSpacing"/>
                  <w:spacing w:after="240"/>
                  <w:rPr>
                    <w:rFonts w:ascii="Arial" w:hAnsi="Arial" w:cs="Arial"/>
                    <w:sz w:val="20"/>
                    <w:lang w:val="en-AU"/>
                  </w:rPr>
                </w:pPr>
                <w:r w:rsidRPr="00444845">
                  <w:rPr>
                    <w:rFonts w:ascii="Arial" w:hAnsi="Arial" w:cs="Arial"/>
                    <w:noProof/>
                    <w:sz w:val="20"/>
                    <w:lang w:val="en-AU" w:eastAsia="en-AU"/>
                  </w:rPr>
                  <w:drawing>
                    <wp:inline distT="0" distB="0" distL="0" distR="0" wp14:anchorId="37705898" wp14:editId="6C03880C">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2A3D3EC" w14:textId="77777777" w:rsidR="00260847" w:rsidRPr="00BD6499" w:rsidRDefault="00260847" w:rsidP="003C443B">
                <w:pPr>
                  <w:pStyle w:val="NoSpacing"/>
                  <w:spacing w:after="240"/>
                  <w:rPr>
                    <w:rFonts w:ascii="Arial" w:hAnsi="Arial" w:cs="Arial"/>
                    <w:sz w:val="20"/>
                    <w:lang w:val="en-AU"/>
                  </w:rPr>
                </w:pPr>
              </w:p>
              <w:p w14:paraId="0D0B940D" w14:textId="77777777" w:rsidR="00260847" w:rsidRPr="00BD6499" w:rsidRDefault="00260847" w:rsidP="003C443B">
                <w:pPr>
                  <w:pStyle w:val="NoSpacing"/>
                  <w:spacing w:after="240"/>
                  <w:rPr>
                    <w:rFonts w:ascii="Arial" w:hAnsi="Arial" w:cs="Arial"/>
                    <w:sz w:val="20"/>
                    <w:lang w:val="en-AU"/>
                  </w:rPr>
                </w:pPr>
              </w:p>
              <w:p w14:paraId="0E27B00A" w14:textId="77777777" w:rsidR="004A2375" w:rsidRPr="00BD6499" w:rsidRDefault="004A2375" w:rsidP="375799C0">
                <w:pPr>
                  <w:pStyle w:val="NoSpacing"/>
                  <w:spacing w:after="240"/>
                  <w:rPr>
                    <w:rFonts w:ascii="Arial" w:hAnsi="Arial" w:cs="Arial"/>
                    <w:sz w:val="20"/>
                    <w:szCs w:val="20"/>
                    <w:lang w:val="en-AU"/>
                  </w:rPr>
                </w:pPr>
              </w:p>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rsidRPr="00444845" w14:paraId="60061E4C" w14:textId="77777777" w:rsidTr="00260847">
            <w:tc>
              <w:tcPr>
                <w:tcW w:w="6407" w:type="dxa"/>
                <w:tcMar>
                  <w:top w:w="216" w:type="dxa"/>
                  <w:left w:w="115" w:type="dxa"/>
                  <w:bottom w:w="216" w:type="dxa"/>
                  <w:right w:w="115" w:type="dxa"/>
                </w:tcMar>
              </w:tcPr>
              <w:p w14:paraId="44EAFD9C" w14:textId="77777777" w:rsidR="00A16356" w:rsidRPr="00BD6499" w:rsidRDefault="00A16356" w:rsidP="00260847">
                <w:pPr>
                  <w:pStyle w:val="NoSpacing"/>
                  <w:jc w:val="center"/>
                  <w:rPr>
                    <w:rFonts w:ascii="Arial" w:hAnsi="Arial" w:cs="Arial"/>
                    <w:color w:val="4F81BD" w:themeColor="accent1"/>
                    <w:sz w:val="20"/>
                    <w:lang w:val="en-AU"/>
                  </w:rPr>
                </w:pPr>
              </w:p>
            </w:tc>
          </w:tr>
        </w:tbl>
        <w:p w14:paraId="2C506391" w14:textId="77777777" w:rsidR="0045665D" w:rsidRPr="00444845" w:rsidRDefault="0045665D" w:rsidP="0045665D">
          <w:pPr>
            <w:pStyle w:val="Heading1"/>
            <w:pBdr>
              <w:bottom w:val="single" w:sz="6" w:space="6" w:color="CCCCCC"/>
            </w:pBdr>
            <w:spacing w:before="0" w:after="0" w:line="600" w:lineRule="atLeast"/>
            <w:textAlignment w:val="baseline"/>
            <w:rPr>
              <w:rFonts w:cs="Arial"/>
              <w:b/>
              <w:bCs/>
              <w:color w:val="000000"/>
              <w:sz w:val="40"/>
              <w:szCs w:val="42"/>
              <w:bdr w:val="none" w:sz="0" w:space="0" w:color="auto" w:frame="1"/>
            </w:rPr>
          </w:pPr>
          <w:bookmarkStart w:id="0" w:name="_Toc44917242"/>
          <w:bookmarkStart w:id="1" w:name="_Toc44943788"/>
          <w:r w:rsidRPr="00444845">
            <w:rPr>
              <w:rFonts w:cs="Arial"/>
              <w:b/>
              <w:bCs/>
              <w:color w:val="000000"/>
              <w:sz w:val="40"/>
              <w:szCs w:val="42"/>
              <w:bdr w:val="none" w:sz="0" w:space="0" w:color="auto" w:frame="1"/>
            </w:rPr>
            <w:t>Inquiry into the Queensland Government’s health response to COVID-19</w:t>
          </w:r>
          <w:bookmarkEnd w:id="0"/>
          <w:bookmarkEnd w:id="1"/>
        </w:p>
        <w:p w14:paraId="4B94D5A5" w14:textId="77777777" w:rsidR="00941A77" w:rsidRPr="00444845" w:rsidRDefault="00941A77" w:rsidP="00244172"/>
        <w:p w14:paraId="3DEEC669" w14:textId="77777777" w:rsidR="00941A77" w:rsidRPr="00BD6499" w:rsidRDefault="00941A77" w:rsidP="00244172">
          <w:pPr>
            <w:pStyle w:val="NoSpacing"/>
            <w:spacing w:before="120" w:after="120"/>
            <w:jc w:val="right"/>
            <w:rPr>
              <w:rFonts w:ascii="Arial" w:hAnsi="Arial" w:cs="Arial"/>
              <w:bCs/>
              <w:sz w:val="24"/>
              <w:lang w:val="en-AU"/>
            </w:rPr>
          </w:pPr>
        </w:p>
        <w:p w14:paraId="3656B9AB" w14:textId="77777777" w:rsidR="00941A77" w:rsidRPr="00BD6499" w:rsidRDefault="00941A77" w:rsidP="00244172">
          <w:pPr>
            <w:pStyle w:val="NoSpacing"/>
            <w:spacing w:before="120" w:after="120"/>
            <w:jc w:val="right"/>
            <w:rPr>
              <w:rFonts w:ascii="Arial" w:hAnsi="Arial" w:cs="Arial"/>
              <w:bCs/>
              <w:sz w:val="24"/>
              <w:lang w:val="en-AU"/>
            </w:rPr>
          </w:pPr>
        </w:p>
        <w:p w14:paraId="45FB0818" w14:textId="77777777" w:rsidR="00941A77" w:rsidRPr="00BD6499" w:rsidRDefault="00941A77" w:rsidP="00244172">
          <w:pPr>
            <w:pStyle w:val="NoSpacing"/>
            <w:spacing w:before="120" w:after="120"/>
            <w:jc w:val="right"/>
            <w:rPr>
              <w:rFonts w:ascii="Arial" w:hAnsi="Arial" w:cs="Arial"/>
              <w:bCs/>
              <w:sz w:val="24"/>
              <w:lang w:val="en-AU"/>
            </w:rPr>
          </w:pPr>
        </w:p>
        <w:p w14:paraId="049F31CB" w14:textId="77777777" w:rsidR="00941A77" w:rsidRPr="00BD6499" w:rsidRDefault="00941A77" w:rsidP="00244172">
          <w:pPr>
            <w:pStyle w:val="NoSpacing"/>
            <w:spacing w:before="120" w:after="120"/>
            <w:jc w:val="right"/>
            <w:rPr>
              <w:rFonts w:ascii="Arial" w:hAnsi="Arial" w:cs="Arial"/>
              <w:bCs/>
              <w:sz w:val="24"/>
              <w:lang w:val="en-AU"/>
            </w:rPr>
          </w:pPr>
        </w:p>
        <w:p w14:paraId="2357FACE" w14:textId="392AAF6C" w:rsidR="00941A77" w:rsidRPr="00BD6499" w:rsidRDefault="00941A77" w:rsidP="00370DC9">
          <w:pPr>
            <w:pStyle w:val="NoSpacing"/>
            <w:spacing w:before="120" w:after="120"/>
            <w:rPr>
              <w:rFonts w:ascii="Arial" w:hAnsi="Arial" w:cs="Arial"/>
              <w:bCs/>
              <w:sz w:val="28"/>
              <w:szCs w:val="28"/>
              <w:lang w:val="en-AU"/>
            </w:rPr>
          </w:pPr>
          <w:r w:rsidRPr="00BD6499">
            <w:rPr>
              <w:rFonts w:ascii="Arial" w:hAnsi="Arial" w:cs="Arial"/>
              <w:bCs/>
              <w:sz w:val="28"/>
              <w:szCs w:val="28"/>
              <w:lang w:val="en-AU"/>
            </w:rPr>
            <w:t>Submission</w:t>
          </w:r>
          <w:r w:rsidR="00B279BE">
            <w:rPr>
              <w:rFonts w:ascii="Arial" w:hAnsi="Arial" w:cs="Arial"/>
              <w:bCs/>
              <w:sz w:val="28"/>
              <w:szCs w:val="28"/>
              <w:lang w:val="en-AU"/>
            </w:rPr>
            <w:t xml:space="preserve"> </w:t>
          </w:r>
          <w:r w:rsidRPr="00BD6499">
            <w:rPr>
              <w:rFonts w:ascii="Arial" w:hAnsi="Arial" w:cs="Arial"/>
              <w:bCs/>
              <w:sz w:val="28"/>
              <w:szCs w:val="28"/>
              <w:lang w:val="en-AU"/>
            </w:rPr>
            <w:t>to</w:t>
          </w:r>
          <w:r w:rsidRPr="00BD6499">
            <w:rPr>
              <w:rFonts w:ascii="Arial" w:hAnsi="Arial" w:cs="Arial"/>
              <w:bCs/>
              <w:sz w:val="28"/>
              <w:szCs w:val="28"/>
              <w:lang w:val="en-AU"/>
            </w:rPr>
            <w:br/>
          </w:r>
          <w:r w:rsidR="007B0883" w:rsidRPr="00DA2912">
            <w:rPr>
              <w:rFonts w:ascii="Arial" w:hAnsi="Arial" w:cs="Arial"/>
              <w:bCs/>
              <w:sz w:val="28"/>
              <w:szCs w:val="28"/>
              <w:lang w:val="en-AU"/>
            </w:rPr>
            <w:t>Queensland Parliament</w:t>
          </w:r>
          <w:r w:rsidR="007B0883" w:rsidRPr="00DA2912">
            <w:rPr>
              <w:rFonts w:ascii="Arial" w:hAnsi="Arial" w:cs="Arial"/>
              <w:bCs/>
              <w:sz w:val="28"/>
              <w:szCs w:val="28"/>
              <w:lang w:val="en-AU"/>
            </w:rPr>
            <w:br/>
          </w:r>
          <w:r w:rsidRPr="00DA2912">
            <w:rPr>
              <w:rFonts w:ascii="Arial" w:hAnsi="Arial" w:cs="Arial"/>
              <w:bCs/>
              <w:sz w:val="28"/>
              <w:szCs w:val="28"/>
              <w:lang w:val="en-AU"/>
            </w:rPr>
            <w:t xml:space="preserve">Health, Communities, Disability Services and </w:t>
          </w:r>
          <w:r w:rsidRPr="00DA2912">
            <w:rPr>
              <w:rFonts w:ascii="Arial" w:hAnsi="Arial" w:cs="Arial"/>
              <w:bCs/>
              <w:sz w:val="28"/>
              <w:szCs w:val="28"/>
              <w:lang w:val="en-AU"/>
            </w:rPr>
            <w:br/>
            <w:t>Domestic and Family Violence Prevention Committee</w:t>
          </w:r>
        </w:p>
        <w:p w14:paraId="4101652C" w14:textId="1DF3AC23" w:rsidR="00941A77" w:rsidRPr="00BD6499" w:rsidRDefault="00941A77" w:rsidP="00EC5BE9">
          <w:pPr>
            <w:pStyle w:val="NoSpacing"/>
            <w:spacing w:before="120" w:after="120"/>
            <w:rPr>
              <w:rFonts w:ascii="Arial" w:hAnsi="Arial" w:cs="Arial"/>
              <w:bCs/>
              <w:sz w:val="24"/>
              <w:lang w:val="en-AU"/>
            </w:rPr>
          </w:pPr>
        </w:p>
        <w:p w14:paraId="4B99056E" w14:textId="77777777" w:rsidR="00941A77" w:rsidRPr="00BD6499" w:rsidRDefault="00941A77" w:rsidP="00244172">
          <w:pPr>
            <w:pStyle w:val="NoSpacing"/>
            <w:spacing w:before="120" w:after="120"/>
            <w:jc w:val="right"/>
            <w:rPr>
              <w:rFonts w:ascii="Arial" w:hAnsi="Arial" w:cs="Arial"/>
              <w:bCs/>
              <w:sz w:val="24"/>
              <w:lang w:val="en-AU"/>
            </w:rPr>
          </w:pPr>
        </w:p>
        <w:p w14:paraId="0B39059D" w14:textId="1D00CB55" w:rsidR="00260847" w:rsidRDefault="00941A77" w:rsidP="00244172">
          <w:pPr>
            <w:pStyle w:val="NoSpacing"/>
            <w:spacing w:before="120" w:after="120"/>
            <w:jc w:val="center"/>
            <w:rPr>
              <w:rFonts w:ascii="Arial" w:hAnsi="Arial" w:cs="Arial"/>
              <w:bCs/>
              <w:sz w:val="24"/>
              <w:lang w:val="en-AU"/>
            </w:rPr>
          </w:pPr>
          <w:r w:rsidRPr="00544FED">
            <w:rPr>
              <w:rFonts w:ascii="Arial" w:hAnsi="Arial" w:cs="Arial"/>
              <w:bCs/>
              <w:sz w:val="24"/>
              <w:lang w:val="en-AU"/>
            </w:rPr>
            <w:t xml:space="preserve"> </w:t>
          </w:r>
          <w:r w:rsidR="00BF0729" w:rsidRPr="00DA2912">
            <w:rPr>
              <w:rFonts w:ascii="Arial" w:hAnsi="Arial" w:cs="Arial"/>
              <w:bCs/>
              <w:sz w:val="28"/>
              <w:lang w:val="en-AU"/>
            </w:rPr>
            <w:t>6</w:t>
          </w:r>
          <w:r w:rsidRPr="00DA2912">
            <w:rPr>
              <w:rFonts w:ascii="Arial" w:hAnsi="Arial" w:cs="Arial"/>
              <w:bCs/>
              <w:sz w:val="28"/>
              <w:lang w:val="en-AU"/>
            </w:rPr>
            <w:t xml:space="preserve"> July 2020</w:t>
          </w:r>
        </w:p>
        <w:p w14:paraId="53A63526" w14:textId="77777777" w:rsidR="00EC5BE9" w:rsidRDefault="00EC5BE9" w:rsidP="00EC5BE9">
          <w:pPr>
            <w:pStyle w:val="NoSpacing"/>
            <w:spacing w:before="120" w:after="120"/>
            <w:jc w:val="right"/>
            <w:rPr>
              <w:rFonts w:ascii="Arial" w:hAnsi="Arial" w:cs="Arial"/>
              <w:bCs/>
              <w:sz w:val="24"/>
              <w:lang w:val="en-AU"/>
            </w:rPr>
          </w:pPr>
        </w:p>
        <w:p w14:paraId="2F2A71D3" w14:textId="0331B8A0" w:rsidR="00EC5BE9" w:rsidRDefault="00EC5BE9" w:rsidP="00EC5BE9">
          <w:pPr>
            <w:pStyle w:val="NoSpacing"/>
            <w:spacing w:before="120" w:after="120"/>
            <w:jc w:val="right"/>
            <w:rPr>
              <w:rFonts w:ascii="Arial" w:hAnsi="Arial" w:cs="Arial"/>
              <w:bCs/>
              <w:sz w:val="24"/>
              <w:lang w:val="en-AU"/>
            </w:rPr>
          </w:pPr>
        </w:p>
        <w:p w14:paraId="258472F2" w14:textId="7122CDB0" w:rsidR="00DA2912" w:rsidRDefault="00DA2912" w:rsidP="00EC5BE9">
          <w:pPr>
            <w:pStyle w:val="NoSpacing"/>
            <w:spacing w:before="120" w:after="120"/>
            <w:jc w:val="right"/>
            <w:rPr>
              <w:rFonts w:ascii="Arial" w:hAnsi="Arial" w:cs="Arial"/>
              <w:bCs/>
              <w:sz w:val="24"/>
              <w:lang w:val="en-AU"/>
            </w:rPr>
          </w:pPr>
        </w:p>
        <w:p w14:paraId="5F39CEF3" w14:textId="77777777" w:rsidR="00DA2912" w:rsidRDefault="00DA2912" w:rsidP="00EC5BE9">
          <w:pPr>
            <w:pStyle w:val="NoSpacing"/>
            <w:spacing w:before="120" w:after="120"/>
            <w:jc w:val="right"/>
            <w:rPr>
              <w:rFonts w:ascii="Arial" w:hAnsi="Arial" w:cs="Arial"/>
              <w:bCs/>
              <w:sz w:val="24"/>
              <w:lang w:val="en-AU"/>
            </w:rPr>
          </w:pPr>
        </w:p>
        <w:p w14:paraId="1299C43A" w14:textId="77777777" w:rsidR="00260847" w:rsidRPr="00BD6499" w:rsidRDefault="00260847">
          <w:pPr>
            <w:rPr>
              <w:rFonts w:ascii="Arial" w:hAnsi="Arial" w:cs="Arial"/>
              <w:bCs/>
              <w:szCs w:val="22"/>
            </w:rPr>
          </w:pPr>
          <w:r w:rsidRPr="00444845">
            <w:rPr>
              <w:rFonts w:ascii="Arial" w:hAnsi="Arial" w:cs="Arial"/>
              <w:bCs/>
            </w:rPr>
            <w:br w:type="page"/>
          </w:r>
        </w:p>
        <w:p w14:paraId="4DDBEF00" w14:textId="77777777" w:rsidR="004A2375" w:rsidRPr="00BD6499" w:rsidRDefault="004A2375" w:rsidP="00260847">
          <w:pPr>
            <w:pStyle w:val="NoSpacing"/>
            <w:spacing w:before="120" w:after="120"/>
            <w:rPr>
              <w:rFonts w:ascii="Arial" w:hAnsi="Arial" w:cs="Arial"/>
              <w:sz w:val="20"/>
              <w:lang w:val="en-AU"/>
            </w:rPr>
          </w:pPr>
        </w:p>
        <w:p w14:paraId="3461D779" w14:textId="77777777" w:rsidR="00A16356" w:rsidRPr="00444845" w:rsidRDefault="005D799C">
          <w:pPr>
            <w:rPr>
              <w:rFonts w:ascii="Arial" w:eastAsiaTheme="majorEastAsia" w:hAnsi="Arial" w:cs="Arial"/>
              <w:b/>
              <w:color w:val="365F91" w:themeColor="accent1" w:themeShade="BF"/>
              <w:sz w:val="14"/>
              <w:szCs w:val="16"/>
            </w:rPr>
          </w:pPr>
        </w:p>
      </w:sdtContent>
    </w:sdt>
    <w:bookmarkStart w:id="2" w:name="_Toc44943789" w:displacedByCustomXml="next"/>
    <w:bookmarkStart w:id="3" w:name="_Toc44603642" w:displacedByCustomXml="next"/>
    <w:bookmarkStart w:id="4" w:name="_Toc44917243" w:displacedByCustomXml="next"/>
    <w:sdt>
      <w:sdtPr>
        <w:rPr>
          <w:rFonts w:asciiTheme="minorHAnsi" w:eastAsiaTheme="minorEastAsia" w:hAnsiTheme="minorHAnsi" w:cs="Arial"/>
          <w:color w:val="auto"/>
          <w:sz w:val="22"/>
          <w:szCs w:val="24"/>
        </w:rPr>
        <w:id w:val="-331140652"/>
        <w:docPartObj>
          <w:docPartGallery w:val="Table of Contents"/>
          <w:docPartUnique/>
        </w:docPartObj>
      </w:sdtPr>
      <w:sdtEndPr>
        <w:rPr>
          <w:rFonts w:ascii="Arial" w:hAnsi="Arial"/>
          <w:b/>
          <w:bCs/>
          <w:noProof/>
        </w:rPr>
      </w:sdtEndPr>
      <w:sdtContent>
        <w:p w14:paraId="6FAD73F2" w14:textId="1F00D6B8" w:rsidR="00B20198" w:rsidRPr="00B20198" w:rsidRDefault="009D79CE" w:rsidP="00B20198">
          <w:pPr>
            <w:pStyle w:val="Heading1"/>
            <w:rPr>
              <w:rFonts w:cs="Arial"/>
              <w:noProof/>
              <w:sz w:val="22"/>
              <w:szCs w:val="22"/>
              <w:lang w:eastAsia="en-AU"/>
            </w:rPr>
          </w:pPr>
          <w:r w:rsidRPr="00B20198">
            <w:rPr>
              <w:rFonts w:cs="Arial"/>
              <w:sz w:val="44"/>
            </w:rPr>
            <w:t xml:space="preserve">Table of </w:t>
          </w:r>
          <w:r w:rsidR="00260847" w:rsidRPr="00B20198">
            <w:rPr>
              <w:rFonts w:cs="Arial"/>
              <w:sz w:val="44"/>
            </w:rPr>
            <w:t>c</w:t>
          </w:r>
          <w:r w:rsidR="00A16356" w:rsidRPr="00B20198">
            <w:rPr>
              <w:rFonts w:cs="Arial"/>
              <w:sz w:val="44"/>
            </w:rPr>
            <w:t>ontents</w:t>
          </w:r>
          <w:bookmarkEnd w:id="3"/>
          <w:bookmarkEnd w:id="2"/>
          <w:r w:rsidR="00A16356" w:rsidRPr="00B20198">
            <w:rPr>
              <w:rFonts w:cs="Arial"/>
              <w:b/>
              <w:bCs/>
              <w:noProof/>
              <w:sz w:val="24"/>
              <w:szCs w:val="24"/>
            </w:rPr>
            <w:fldChar w:fldCharType="begin"/>
          </w:r>
          <w:r w:rsidR="00A16356" w:rsidRPr="00B20198">
            <w:rPr>
              <w:rFonts w:cs="Arial"/>
              <w:b/>
              <w:bCs/>
              <w:noProof/>
              <w:sz w:val="24"/>
              <w:szCs w:val="24"/>
            </w:rPr>
            <w:instrText xml:space="preserve"> TOC \o "1-3" \h \z \u </w:instrText>
          </w:r>
          <w:r w:rsidR="00A16356" w:rsidRPr="00B20198">
            <w:rPr>
              <w:rFonts w:cs="Arial"/>
              <w:b/>
              <w:bCs/>
              <w:noProof/>
              <w:sz w:val="24"/>
              <w:szCs w:val="24"/>
            </w:rPr>
            <w:fldChar w:fldCharType="separate"/>
          </w:r>
          <w:bookmarkEnd w:id="4"/>
        </w:p>
        <w:p w14:paraId="54734319" w14:textId="55016333" w:rsidR="00B20198" w:rsidRPr="00B20198" w:rsidRDefault="00B20198">
          <w:pPr>
            <w:pStyle w:val="TOC1"/>
            <w:tabs>
              <w:tab w:val="right" w:leader="dot" w:pos="8296"/>
            </w:tabs>
            <w:rPr>
              <w:rFonts w:ascii="Arial" w:hAnsi="Arial" w:cs="Arial"/>
              <w:noProof/>
              <w:sz w:val="22"/>
              <w:szCs w:val="22"/>
              <w:lang w:eastAsia="en-AU"/>
            </w:rPr>
          </w:pPr>
        </w:p>
        <w:p w14:paraId="64E1F803" w14:textId="565E28A4" w:rsidR="00B20198" w:rsidRPr="00B20198" w:rsidRDefault="00B20198">
          <w:pPr>
            <w:pStyle w:val="TOC1"/>
            <w:tabs>
              <w:tab w:val="right" w:leader="dot" w:pos="8296"/>
            </w:tabs>
            <w:rPr>
              <w:rFonts w:ascii="Arial" w:hAnsi="Arial" w:cs="Arial"/>
              <w:noProof/>
              <w:sz w:val="22"/>
              <w:szCs w:val="22"/>
              <w:lang w:eastAsia="en-AU"/>
            </w:rPr>
          </w:pPr>
          <w:hyperlink w:anchor="_Toc44943790" w:history="1">
            <w:r w:rsidRPr="00B20198">
              <w:rPr>
                <w:rStyle w:val="Hyperlink"/>
                <w:rFonts w:ascii="Arial" w:hAnsi="Arial" w:cs="Arial"/>
                <w:noProof/>
              </w:rPr>
              <w:t>Summary</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_Toc44943790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2</w:t>
            </w:r>
            <w:r w:rsidRPr="00B20198">
              <w:rPr>
                <w:rFonts w:ascii="Arial" w:hAnsi="Arial" w:cs="Arial"/>
                <w:noProof/>
                <w:webHidden/>
              </w:rPr>
              <w:fldChar w:fldCharType="end"/>
            </w:r>
          </w:hyperlink>
        </w:p>
        <w:p w14:paraId="4BF47470" w14:textId="3D849FA6" w:rsidR="00B20198" w:rsidRPr="00B20198" w:rsidRDefault="00B20198">
          <w:pPr>
            <w:pStyle w:val="TOC1"/>
            <w:tabs>
              <w:tab w:val="right" w:leader="dot" w:pos="8296"/>
            </w:tabs>
            <w:rPr>
              <w:rFonts w:ascii="Arial" w:hAnsi="Arial" w:cs="Arial"/>
              <w:noProof/>
              <w:sz w:val="22"/>
              <w:szCs w:val="22"/>
              <w:lang w:eastAsia="en-AU"/>
            </w:rPr>
          </w:pPr>
          <w:hyperlink w:anchor="_Toc44943791" w:history="1">
            <w:r w:rsidRPr="00B20198">
              <w:rPr>
                <w:rStyle w:val="Hyperlink"/>
                <w:rFonts w:ascii="Arial" w:hAnsi="Arial" w:cs="Arial"/>
                <w:noProof/>
              </w:rPr>
              <w:t xml:space="preserve">The </w:t>
            </w:r>
            <w:r w:rsidRPr="00B20198">
              <w:rPr>
                <w:rStyle w:val="Hyperlink"/>
                <w:rFonts w:ascii="Arial" w:hAnsi="Arial" w:cs="Arial"/>
                <w:i/>
                <w:noProof/>
              </w:rPr>
              <w:t>Human Rights Act</w:t>
            </w:r>
            <w:r w:rsidRPr="00B20198">
              <w:rPr>
                <w:rStyle w:val="Hyperlink"/>
                <w:rFonts w:ascii="Arial" w:hAnsi="Arial" w:cs="Arial"/>
                <w:noProof/>
              </w:rPr>
              <w:t xml:space="preserve"> as safeguard</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_Toc44943791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3</w:t>
            </w:r>
            <w:r w:rsidRPr="00B20198">
              <w:rPr>
                <w:rFonts w:ascii="Arial" w:hAnsi="Arial" w:cs="Arial"/>
                <w:noProof/>
                <w:webHidden/>
              </w:rPr>
              <w:fldChar w:fldCharType="end"/>
            </w:r>
          </w:hyperlink>
        </w:p>
        <w:p w14:paraId="7C23D55C" w14:textId="69B5BCCD" w:rsidR="00B20198" w:rsidRPr="00B20198" w:rsidRDefault="00B20198">
          <w:pPr>
            <w:pStyle w:val="TOC1"/>
            <w:tabs>
              <w:tab w:val="right" w:leader="dot" w:pos="8296"/>
            </w:tabs>
            <w:rPr>
              <w:rFonts w:ascii="Arial" w:hAnsi="Arial" w:cs="Arial"/>
              <w:noProof/>
              <w:sz w:val="22"/>
              <w:szCs w:val="22"/>
              <w:lang w:eastAsia="en-AU"/>
            </w:rPr>
          </w:pPr>
          <w:hyperlink w:anchor="_Toc44943792" w:history="1">
            <w:r w:rsidRPr="00B20198">
              <w:rPr>
                <w:rStyle w:val="Hyperlink"/>
                <w:rFonts w:ascii="Arial" w:hAnsi="Arial" w:cs="Arial"/>
                <w:noProof/>
              </w:rPr>
              <w:t>Queensland Human Rights Commission COVID-19 response</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_Toc44943792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4</w:t>
            </w:r>
            <w:r w:rsidRPr="00B20198">
              <w:rPr>
                <w:rFonts w:ascii="Arial" w:hAnsi="Arial" w:cs="Arial"/>
                <w:noProof/>
                <w:webHidden/>
              </w:rPr>
              <w:fldChar w:fldCharType="end"/>
            </w:r>
          </w:hyperlink>
        </w:p>
        <w:p w14:paraId="05BD211D" w14:textId="628B23EC" w:rsidR="00B20198" w:rsidRPr="00B20198" w:rsidRDefault="00B20198">
          <w:pPr>
            <w:pStyle w:val="TOC2"/>
            <w:rPr>
              <w:rFonts w:ascii="Arial" w:hAnsi="Arial" w:cs="Arial"/>
              <w:noProof/>
              <w:sz w:val="22"/>
              <w:szCs w:val="22"/>
              <w:lang w:eastAsia="en-AU"/>
            </w:rPr>
          </w:pPr>
          <w:hyperlink w:anchor="_Toc44943793" w:history="1">
            <w:r w:rsidRPr="00B20198">
              <w:rPr>
                <w:rStyle w:val="Hyperlink"/>
                <w:rFonts w:ascii="Arial" w:hAnsi="Arial" w:cs="Arial"/>
                <w:noProof/>
              </w:rPr>
              <w:t>Commission functions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_Toc44943793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4</w:t>
            </w:r>
            <w:r w:rsidRPr="00B20198">
              <w:rPr>
                <w:rFonts w:ascii="Arial" w:hAnsi="Arial" w:cs="Arial"/>
                <w:noProof/>
                <w:webHidden/>
              </w:rPr>
              <w:fldChar w:fldCharType="end"/>
            </w:r>
          </w:hyperlink>
        </w:p>
        <w:p w14:paraId="43ABFE39" w14:textId="5908CD85" w:rsidR="00B20198" w:rsidRPr="00B20198" w:rsidRDefault="00B20198">
          <w:pPr>
            <w:pStyle w:val="TOC2"/>
            <w:rPr>
              <w:rFonts w:ascii="Arial" w:hAnsi="Arial" w:cs="Arial"/>
              <w:noProof/>
              <w:sz w:val="22"/>
              <w:szCs w:val="22"/>
              <w:lang w:eastAsia="en-AU"/>
            </w:rPr>
          </w:pPr>
          <w:hyperlink w:anchor="_Toc44943794" w:history="1">
            <w:r w:rsidRPr="00B20198">
              <w:rPr>
                <w:rStyle w:val="Hyperlink"/>
                <w:rFonts w:ascii="Arial" w:hAnsi="Arial" w:cs="Arial"/>
                <w:noProof/>
              </w:rPr>
              <w:t>Restrictions register</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_Toc44943794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4</w:t>
            </w:r>
            <w:r w:rsidRPr="00B20198">
              <w:rPr>
                <w:rFonts w:ascii="Arial" w:hAnsi="Arial" w:cs="Arial"/>
                <w:noProof/>
                <w:webHidden/>
              </w:rPr>
              <w:fldChar w:fldCharType="end"/>
            </w:r>
          </w:hyperlink>
        </w:p>
        <w:p w14:paraId="38449C63" w14:textId="31F27EE8" w:rsidR="00B20198" w:rsidRPr="00B20198" w:rsidRDefault="00B20198">
          <w:pPr>
            <w:pStyle w:val="TOC2"/>
            <w:rPr>
              <w:rFonts w:ascii="Arial" w:hAnsi="Arial" w:cs="Arial"/>
              <w:noProof/>
              <w:sz w:val="22"/>
              <w:szCs w:val="22"/>
              <w:lang w:eastAsia="en-AU"/>
            </w:rPr>
          </w:pPr>
          <w:hyperlink w:anchor="_Toc44943795" w:history="1">
            <w:r w:rsidRPr="00B20198">
              <w:rPr>
                <w:rStyle w:val="Hyperlink"/>
                <w:rFonts w:ascii="Arial" w:hAnsi="Arial" w:cs="Arial"/>
                <w:noProof/>
              </w:rPr>
              <w:t>Systemic responses to human rights issues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_Toc44943795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4</w:t>
            </w:r>
            <w:r w:rsidRPr="00B20198">
              <w:rPr>
                <w:rFonts w:ascii="Arial" w:hAnsi="Arial" w:cs="Arial"/>
                <w:noProof/>
                <w:webHidden/>
              </w:rPr>
              <w:fldChar w:fldCharType="end"/>
            </w:r>
          </w:hyperlink>
        </w:p>
        <w:p w14:paraId="3B3046F9" w14:textId="4A8AE9F9" w:rsidR="00B20198" w:rsidRPr="00B20198" w:rsidRDefault="00B20198">
          <w:pPr>
            <w:pStyle w:val="TOC2"/>
            <w:rPr>
              <w:rFonts w:ascii="Arial" w:hAnsi="Arial" w:cs="Arial"/>
              <w:noProof/>
              <w:sz w:val="22"/>
              <w:szCs w:val="22"/>
              <w:lang w:eastAsia="en-AU"/>
            </w:rPr>
          </w:pPr>
          <w:hyperlink w:anchor="_Toc44943796" w:history="1">
            <w:r w:rsidRPr="00B20198">
              <w:rPr>
                <w:rStyle w:val="Hyperlink"/>
                <w:rFonts w:ascii="Arial" w:hAnsi="Arial" w:cs="Arial"/>
                <w:noProof/>
              </w:rPr>
              <w:t>Community education on human rights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_Toc44943796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5</w:t>
            </w:r>
            <w:r w:rsidRPr="00B20198">
              <w:rPr>
                <w:rFonts w:ascii="Arial" w:hAnsi="Arial" w:cs="Arial"/>
                <w:noProof/>
                <w:webHidden/>
              </w:rPr>
              <w:fldChar w:fldCharType="end"/>
            </w:r>
          </w:hyperlink>
        </w:p>
        <w:p w14:paraId="461FA376" w14:textId="5950378A" w:rsidR="00B20198" w:rsidRPr="00B20198" w:rsidRDefault="00B20198">
          <w:pPr>
            <w:pStyle w:val="TOC2"/>
            <w:rPr>
              <w:rFonts w:ascii="Arial" w:hAnsi="Arial" w:cs="Arial"/>
              <w:noProof/>
              <w:sz w:val="22"/>
              <w:szCs w:val="22"/>
              <w:lang w:eastAsia="en-AU"/>
            </w:rPr>
          </w:pPr>
          <w:hyperlink w:anchor="_Toc44943797" w:history="1">
            <w:r w:rsidRPr="00B20198">
              <w:rPr>
                <w:rStyle w:val="Hyperlink"/>
                <w:rFonts w:ascii="Arial" w:hAnsi="Arial" w:cs="Arial"/>
                <w:noProof/>
              </w:rPr>
              <w:t>COVID-19 enquiry and complaint data</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_Toc44943797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5</w:t>
            </w:r>
            <w:r w:rsidRPr="00B20198">
              <w:rPr>
                <w:rFonts w:ascii="Arial" w:hAnsi="Arial" w:cs="Arial"/>
                <w:noProof/>
                <w:webHidden/>
              </w:rPr>
              <w:fldChar w:fldCharType="end"/>
            </w:r>
          </w:hyperlink>
        </w:p>
        <w:p w14:paraId="46CEBA03" w14:textId="55D1B028" w:rsidR="00B20198" w:rsidRPr="00B20198" w:rsidRDefault="00B20198">
          <w:pPr>
            <w:pStyle w:val="TOC1"/>
            <w:tabs>
              <w:tab w:val="right" w:leader="dot" w:pos="8296"/>
            </w:tabs>
            <w:rPr>
              <w:rFonts w:ascii="Arial" w:hAnsi="Arial" w:cs="Arial"/>
              <w:noProof/>
              <w:sz w:val="22"/>
              <w:szCs w:val="22"/>
              <w:lang w:eastAsia="en-AU"/>
            </w:rPr>
          </w:pPr>
          <w:hyperlink w:anchor="_Toc44943798" w:history="1">
            <w:r w:rsidRPr="00B20198">
              <w:rPr>
                <w:rStyle w:val="Hyperlink"/>
                <w:rFonts w:ascii="Arial" w:hAnsi="Arial" w:cs="Arial"/>
                <w:noProof/>
              </w:rPr>
              <w:t>Closed environments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_Toc44943798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6</w:t>
            </w:r>
            <w:r w:rsidRPr="00B20198">
              <w:rPr>
                <w:rFonts w:ascii="Arial" w:hAnsi="Arial" w:cs="Arial"/>
                <w:noProof/>
                <w:webHidden/>
              </w:rPr>
              <w:fldChar w:fldCharType="end"/>
            </w:r>
          </w:hyperlink>
        </w:p>
        <w:p w14:paraId="03C2DE42" w14:textId="40489725" w:rsidR="00B20198" w:rsidRPr="00B20198" w:rsidRDefault="00B20198">
          <w:pPr>
            <w:pStyle w:val="TOC2"/>
            <w:rPr>
              <w:rFonts w:ascii="Arial" w:hAnsi="Arial" w:cs="Arial"/>
              <w:noProof/>
              <w:sz w:val="22"/>
              <w:szCs w:val="22"/>
              <w:lang w:eastAsia="en-AU"/>
            </w:rPr>
          </w:pPr>
          <w:hyperlink w:anchor="_Toc44943799" w:history="1">
            <w:r w:rsidRPr="00B20198">
              <w:rPr>
                <w:rStyle w:val="Hyperlink"/>
                <w:rFonts w:ascii="Arial" w:hAnsi="Arial" w:cs="Arial"/>
                <w:noProof/>
              </w:rPr>
              <w:t>Prisons and youth detention - overview</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_Toc44943799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7</w:t>
            </w:r>
            <w:r w:rsidRPr="00B20198">
              <w:rPr>
                <w:rFonts w:ascii="Arial" w:hAnsi="Arial" w:cs="Arial"/>
                <w:noProof/>
                <w:webHidden/>
              </w:rPr>
              <w:fldChar w:fldCharType="end"/>
            </w:r>
          </w:hyperlink>
        </w:p>
        <w:p w14:paraId="65D5434B" w14:textId="666E8E1E" w:rsidR="00B20198" w:rsidRPr="00B20198" w:rsidRDefault="00B20198">
          <w:pPr>
            <w:pStyle w:val="TOC3"/>
            <w:tabs>
              <w:tab w:val="right" w:leader="dot" w:pos="8296"/>
            </w:tabs>
            <w:rPr>
              <w:rFonts w:ascii="Arial" w:hAnsi="Arial" w:cs="Arial"/>
              <w:noProof/>
              <w:sz w:val="22"/>
              <w:szCs w:val="22"/>
              <w:lang w:eastAsia="en-AU"/>
            </w:rPr>
          </w:pPr>
          <w:hyperlink w:anchor="_Toc44943800" w:history="1">
            <w:r w:rsidRPr="00B20198">
              <w:rPr>
                <w:rStyle w:val="Hyperlink"/>
                <w:rFonts w:ascii="Arial" w:hAnsi="Arial" w:cs="Arial"/>
                <w:noProof/>
              </w:rPr>
              <w:t>Prisons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_Toc44943800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8</w:t>
            </w:r>
            <w:r w:rsidRPr="00B20198">
              <w:rPr>
                <w:rFonts w:ascii="Arial" w:hAnsi="Arial" w:cs="Arial"/>
                <w:noProof/>
                <w:webHidden/>
              </w:rPr>
              <w:fldChar w:fldCharType="end"/>
            </w:r>
          </w:hyperlink>
        </w:p>
        <w:p w14:paraId="418392BA" w14:textId="049EF281" w:rsidR="00B20198" w:rsidRPr="00B20198" w:rsidRDefault="00B20198">
          <w:pPr>
            <w:pStyle w:val="TOC3"/>
            <w:tabs>
              <w:tab w:val="right" w:leader="dot" w:pos="8296"/>
            </w:tabs>
            <w:rPr>
              <w:rFonts w:ascii="Arial" w:hAnsi="Arial" w:cs="Arial"/>
              <w:noProof/>
              <w:sz w:val="22"/>
              <w:szCs w:val="22"/>
              <w:lang w:eastAsia="en-AU"/>
            </w:rPr>
          </w:pPr>
          <w:hyperlink w:anchor="_Toc44943801" w:history="1">
            <w:r w:rsidRPr="00B20198">
              <w:rPr>
                <w:rStyle w:val="Hyperlink"/>
                <w:rFonts w:ascii="Arial" w:hAnsi="Arial" w:cs="Arial"/>
                <w:noProof/>
              </w:rPr>
              <w:t>Youth detention</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_Toc44943801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10</w:t>
            </w:r>
            <w:r w:rsidRPr="00B20198">
              <w:rPr>
                <w:rFonts w:ascii="Arial" w:hAnsi="Arial" w:cs="Arial"/>
                <w:noProof/>
                <w:webHidden/>
              </w:rPr>
              <w:fldChar w:fldCharType="end"/>
            </w:r>
          </w:hyperlink>
        </w:p>
        <w:p w14:paraId="6FA0B46C" w14:textId="3DD30BBE" w:rsidR="00B20198" w:rsidRPr="00B20198" w:rsidRDefault="00B20198">
          <w:pPr>
            <w:pStyle w:val="TOC3"/>
            <w:tabs>
              <w:tab w:val="right" w:leader="dot" w:pos="8296"/>
            </w:tabs>
            <w:rPr>
              <w:rFonts w:ascii="Arial" w:hAnsi="Arial" w:cs="Arial"/>
              <w:noProof/>
              <w:sz w:val="22"/>
              <w:szCs w:val="22"/>
              <w:lang w:eastAsia="en-AU"/>
            </w:rPr>
          </w:pPr>
          <w:hyperlink w:anchor="_Toc44943802" w:history="1">
            <w:r w:rsidRPr="00B20198">
              <w:rPr>
                <w:rStyle w:val="Hyperlink"/>
                <w:rFonts w:ascii="Arial" w:hAnsi="Arial" w:cs="Arial"/>
                <w:noProof/>
              </w:rPr>
              <w:t>Systemic oversight</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_Toc44943802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10</w:t>
            </w:r>
            <w:r w:rsidRPr="00B20198">
              <w:rPr>
                <w:rFonts w:ascii="Arial" w:hAnsi="Arial" w:cs="Arial"/>
                <w:noProof/>
                <w:webHidden/>
              </w:rPr>
              <w:fldChar w:fldCharType="end"/>
            </w:r>
          </w:hyperlink>
        </w:p>
        <w:p w14:paraId="03367EB0" w14:textId="2C40452A" w:rsidR="00B20198" w:rsidRPr="00B20198" w:rsidRDefault="00B20198">
          <w:pPr>
            <w:pStyle w:val="TOC2"/>
            <w:rPr>
              <w:rFonts w:ascii="Arial" w:hAnsi="Arial" w:cs="Arial"/>
              <w:noProof/>
              <w:sz w:val="22"/>
              <w:szCs w:val="22"/>
              <w:lang w:eastAsia="en-AU"/>
            </w:rPr>
          </w:pPr>
          <w:hyperlink w:anchor="_Toc44943803" w:history="1">
            <w:r w:rsidRPr="00B20198">
              <w:rPr>
                <w:rStyle w:val="Hyperlink"/>
                <w:rFonts w:ascii="Arial" w:hAnsi="Arial" w:cs="Arial"/>
                <w:noProof/>
              </w:rPr>
              <w:t>Mandatory hotel quarantine</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_Toc44943803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11</w:t>
            </w:r>
            <w:r w:rsidRPr="00B20198">
              <w:rPr>
                <w:rFonts w:ascii="Arial" w:hAnsi="Arial" w:cs="Arial"/>
                <w:noProof/>
                <w:webHidden/>
              </w:rPr>
              <w:fldChar w:fldCharType="end"/>
            </w:r>
          </w:hyperlink>
        </w:p>
        <w:p w14:paraId="5CA6C555" w14:textId="70722239" w:rsidR="00B20198" w:rsidRPr="00B20198" w:rsidRDefault="00B20198">
          <w:pPr>
            <w:pStyle w:val="TOC1"/>
            <w:tabs>
              <w:tab w:val="right" w:leader="dot" w:pos="8296"/>
            </w:tabs>
            <w:rPr>
              <w:rFonts w:ascii="Arial" w:hAnsi="Arial" w:cs="Arial"/>
              <w:noProof/>
              <w:sz w:val="22"/>
              <w:szCs w:val="22"/>
              <w:lang w:eastAsia="en-AU"/>
            </w:rPr>
          </w:pPr>
          <w:hyperlink w:anchor="_Toc44943804" w:history="1">
            <w:r w:rsidRPr="00B20198">
              <w:rPr>
                <w:rStyle w:val="Hyperlink"/>
                <w:rFonts w:ascii="Arial" w:hAnsi="Arial" w:cs="Arial"/>
                <w:noProof/>
              </w:rPr>
              <w:t>At risk communities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_Toc44943804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12</w:t>
            </w:r>
            <w:r w:rsidRPr="00B20198">
              <w:rPr>
                <w:rFonts w:ascii="Arial" w:hAnsi="Arial" w:cs="Arial"/>
                <w:noProof/>
                <w:webHidden/>
              </w:rPr>
              <w:fldChar w:fldCharType="end"/>
            </w:r>
          </w:hyperlink>
        </w:p>
        <w:p w14:paraId="04ED2BD8" w14:textId="0DBA2177" w:rsidR="00B20198" w:rsidRPr="00B20198" w:rsidRDefault="00B20198">
          <w:pPr>
            <w:pStyle w:val="TOC2"/>
            <w:rPr>
              <w:rFonts w:ascii="Arial" w:hAnsi="Arial" w:cs="Arial"/>
              <w:noProof/>
              <w:sz w:val="22"/>
              <w:szCs w:val="22"/>
              <w:lang w:eastAsia="en-AU"/>
            </w:rPr>
          </w:pPr>
          <w:hyperlink w:anchor="_Toc44943805" w:history="1">
            <w:r w:rsidRPr="00B20198">
              <w:rPr>
                <w:rStyle w:val="Hyperlink"/>
                <w:rFonts w:ascii="Arial" w:hAnsi="Arial" w:cs="Arial"/>
                <w:noProof/>
              </w:rPr>
              <w:t>Triage framework for frontline health workers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_Toc44943805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13</w:t>
            </w:r>
            <w:r w:rsidRPr="00B20198">
              <w:rPr>
                <w:rFonts w:ascii="Arial" w:hAnsi="Arial" w:cs="Arial"/>
                <w:noProof/>
                <w:webHidden/>
              </w:rPr>
              <w:fldChar w:fldCharType="end"/>
            </w:r>
          </w:hyperlink>
        </w:p>
        <w:p w14:paraId="19B7BF69" w14:textId="4FF2CB47" w:rsidR="00B20198" w:rsidRPr="00B20198" w:rsidRDefault="00B20198">
          <w:pPr>
            <w:pStyle w:val="TOC2"/>
            <w:rPr>
              <w:rFonts w:ascii="Arial" w:hAnsi="Arial" w:cs="Arial"/>
              <w:noProof/>
              <w:sz w:val="22"/>
              <w:szCs w:val="22"/>
              <w:lang w:eastAsia="en-AU"/>
            </w:rPr>
          </w:pPr>
          <w:hyperlink w:anchor="_Toc44943806" w:history="1">
            <w:r w:rsidRPr="00B20198">
              <w:rPr>
                <w:rStyle w:val="Hyperlink"/>
                <w:rFonts w:ascii="Arial" w:hAnsi="Arial" w:cs="Arial"/>
                <w:noProof/>
              </w:rPr>
              <w:t>People with disability</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_Toc44943806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13</w:t>
            </w:r>
            <w:r w:rsidRPr="00B20198">
              <w:rPr>
                <w:rFonts w:ascii="Arial" w:hAnsi="Arial" w:cs="Arial"/>
                <w:noProof/>
                <w:webHidden/>
              </w:rPr>
              <w:fldChar w:fldCharType="end"/>
            </w:r>
          </w:hyperlink>
        </w:p>
        <w:p w14:paraId="3936CCA0" w14:textId="685A546E" w:rsidR="00B20198" w:rsidRPr="00B20198" w:rsidRDefault="00B20198">
          <w:pPr>
            <w:pStyle w:val="TOC2"/>
            <w:rPr>
              <w:rFonts w:ascii="Arial" w:hAnsi="Arial" w:cs="Arial"/>
              <w:noProof/>
              <w:sz w:val="22"/>
              <w:szCs w:val="22"/>
              <w:lang w:eastAsia="en-AU"/>
            </w:rPr>
          </w:pPr>
          <w:hyperlink w:anchor="_Toc44943807" w:history="1">
            <w:r w:rsidRPr="00B20198">
              <w:rPr>
                <w:rStyle w:val="Hyperlink"/>
                <w:rFonts w:ascii="Arial" w:hAnsi="Arial" w:cs="Arial"/>
                <w:noProof/>
              </w:rPr>
              <w:t>Culturally and linguistically diverse (CALD) communities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_Toc44943807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16</w:t>
            </w:r>
            <w:r w:rsidRPr="00B20198">
              <w:rPr>
                <w:rFonts w:ascii="Arial" w:hAnsi="Arial" w:cs="Arial"/>
                <w:noProof/>
                <w:webHidden/>
              </w:rPr>
              <w:fldChar w:fldCharType="end"/>
            </w:r>
          </w:hyperlink>
        </w:p>
        <w:p w14:paraId="0654F9C9" w14:textId="1B8971D4" w:rsidR="00B20198" w:rsidRPr="00B20198" w:rsidRDefault="00B20198">
          <w:pPr>
            <w:pStyle w:val="TOC2"/>
            <w:rPr>
              <w:rFonts w:ascii="Arial" w:hAnsi="Arial" w:cs="Arial"/>
              <w:noProof/>
              <w:sz w:val="22"/>
              <w:szCs w:val="22"/>
              <w:lang w:eastAsia="en-AU"/>
            </w:rPr>
          </w:pPr>
          <w:hyperlink w:anchor="_Toc44943808" w:history="1">
            <w:r w:rsidRPr="00B20198">
              <w:rPr>
                <w:rStyle w:val="Hyperlink"/>
                <w:rFonts w:ascii="Arial" w:hAnsi="Arial" w:cs="Arial"/>
                <w:noProof/>
              </w:rPr>
              <w:t>Aboriginal peoples and Torres Strait Islander peoples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_Toc44943808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17</w:t>
            </w:r>
            <w:r w:rsidRPr="00B20198">
              <w:rPr>
                <w:rFonts w:ascii="Arial" w:hAnsi="Arial" w:cs="Arial"/>
                <w:noProof/>
                <w:webHidden/>
              </w:rPr>
              <w:fldChar w:fldCharType="end"/>
            </w:r>
          </w:hyperlink>
        </w:p>
        <w:p w14:paraId="04FF3777" w14:textId="7A00C95B" w:rsidR="00B20198" w:rsidRPr="00B20198" w:rsidRDefault="00B20198">
          <w:pPr>
            <w:pStyle w:val="TOC3"/>
            <w:tabs>
              <w:tab w:val="right" w:leader="dot" w:pos="8296"/>
            </w:tabs>
            <w:rPr>
              <w:rFonts w:ascii="Arial" w:hAnsi="Arial" w:cs="Arial"/>
              <w:noProof/>
              <w:sz w:val="22"/>
              <w:szCs w:val="22"/>
              <w:lang w:eastAsia="en-AU"/>
            </w:rPr>
          </w:pPr>
          <w:hyperlink w:anchor="_Toc44943809" w:history="1">
            <w:r w:rsidRPr="00B20198">
              <w:rPr>
                <w:rStyle w:val="Hyperlink"/>
                <w:rFonts w:ascii="Arial" w:hAnsi="Arial" w:cs="Arial"/>
                <w:noProof/>
              </w:rPr>
              <w:t>Regional and remote communities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_Toc44943809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18</w:t>
            </w:r>
            <w:r w:rsidRPr="00B20198">
              <w:rPr>
                <w:rFonts w:ascii="Arial" w:hAnsi="Arial" w:cs="Arial"/>
                <w:noProof/>
                <w:webHidden/>
              </w:rPr>
              <w:fldChar w:fldCharType="end"/>
            </w:r>
          </w:hyperlink>
        </w:p>
        <w:p w14:paraId="4DFF807C" w14:textId="3E60765C" w:rsidR="00B20198" w:rsidRPr="00B20198" w:rsidRDefault="00B20198">
          <w:pPr>
            <w:pStyle w:val="TOC3"/>
            <w:tabs>
              <w:tab w:val="right" w:leader="dot" w:pos="8296"/>
            </w:tabs>
            <w:rPr>
              <w:rFonts w:ascii="Arial" w:hAnsi="Arial" w:cs="Arial"/>
              <w:noProof/>
              <w:sz w:val="22"/>
              <w:szCs w:val="22"/>
              <w:lang w:eastAsia="en-AU"/>
            </w:rPr>
          </w:pPr>
          <w:hyperlink w:anchor="_Toc44943810" w:history="1">
            <w:r w:rsidRPr="00B20198">
              <w:rPr>
                <w:rStyle w:val="Hyperlink"/>
                <w:rFonts w:ascii="Arial" w:hAnsi="Arial" w:cs="Arial"/>
                <w:noProof/>
              </w:rPr>
              <w:t>Cost of food and other groceries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_Toc44943810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19</w:t>
            </w:r>
            <w:r w:rsidRPr="00B20198">
              <w:rPr>
                <w:rFonts w:ascii="Arial" w:hAnsi="Arial" w:cs="Arial"/>
                <w:noProof/>
                <w:webHidden/>
              </w:rPr>
              <w:fldChar w:fldCharType="end"/>
            </w:r>
          </w:hyperlink>
        </w:p>
        <w:p w14:paraId="5DF0EDFC" w14:textId="222720A5" w:rsidR="00B20198" w:rsidRPr="00B20198" w:rsidRDefault="00B20198">
          <w:pPr>
            <w:pStyle w:val="TOC3"/>
            <w:tabs>
              <w:tab w:val="right" w:leader="dot" w:pos="8296"/>
            </w:tabs>
            <w:rPr>
              <w:rFonts w:ascii="Arial" w:hAnsi="Arial" w:cs="Arial"/>
              <w:noProof/>
              <w:sz w:val="22"/>
              <w:szCs w:val="22"/>
              <w:lang w:eastAsia="en-AU"/>
            </w:rPr>
          </w:pPr>
          <w:hyperlink w:anchor="_Toc44943811" w:history="1">
            <w:r w:rsidRPr="00B20198">
              <w:rPr>
                <w:rStyle w:val="Hyperlink"/>
                <w:rFonts w:ascii="Arial" w:hAnsi="Arial" w:cs="Arial"/>
                <w:noProof/>
              </w:rPr>
              <w:t>Boarding schools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_Toc44943811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19</w:t>
            </w:r>
            <w:r w:rsidRPr="00B20198">
              <w:rPr>
                <w:rFonts w:ascii="Arial" w:hAnsi="Arial" w:cs="Arial"/>
                <w:noProof/>
                <w:webHidden/>
              </w:rPr>
              <w:fldChar w:fldCharType="end"/>
            </w:r>
          </w:hyperlink>
        </w:p>
        <w:p w14:paraId="7EE6CDAF" w14:textId="1B1B9DF3" w:rsidR="00B20198" w:rsidRPr="00B20198" w:rsidRDefault="00B20198">
          <w:pPr>
            <w:pStyle w:val="TOC2"/>
            <w:rPr>
              <w:rFonts w:ascii="Arial" w:hAnsi="Arial" w:cs="Arial"/>
              <w:noProof/>
              <w:sz w:val="22"/>
              <w:szCs w:val="22"/>
              <w:lang w:eastAsia="en-AU"/>
            </w:rPr>
          </w:pPr>
          <w:hyperlink w:anchor="_Toc44943812" w:history="1">
            <w:r w:rsidRPr="00B20198">
              <w:rPr>
                <w:rStyle w:val="Hyperlink"/>
                <w:rFonts w:ascii="Arial" w:hAnsi="Arial" w:cs="Arial"/>
                <w:noProof/>
              </w:rPr>
              <w:t>Young people in out-of-home care</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_Toc44943812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20</w:t>
            </w:r>
            <w:r w:rsidRPr="00B20198">
              <w:rPr>
                <w:rFonts w:ascii="Arial" w:hAnsi="Arial" w:cs="Arial"/>
                <w:noProof/>
                <w:webHidden/>
              </w:rPr>
              <w:fldChar w:fldCharType="end"/>
            </w:r>
          </w:hyperlink>
        </w:p>
        <w:p w14:paraId="776DBD6A" w14:textId="152E688E" w:rsidR="00B20198" w:rsidRPr="00B20198" w:rsidRDefault="00B20198">
          <w:pPr>
            <w:pStyle w:val="TOC2"/>
            <w:rPr>
              <w:rFonts w:ascii="Arial" w:hAnsi="Arial" w:cs="Arial"/>
              <w:noProof/>
              <w:sz w:val="22"/>
              <w:szCs w:val="22"/>
              <w:lang w:eastAsia="en-AU"/>
            </w:rPr>
          </w:pPr>
          <w:hyperlink w:anchor="_Toc44943813" w:history="1">
            <w:r w:rsidRPr="00B20198">
              <w:rPr>
                <w:rStyle w:val="Hyperlink"/>
                <w:rFonts w:ascii="Arial" w:hAnsi="Arial" w:cs="Arial"/>
                <w:noProof/>
              </w:rPr>
              <w:t>People experiencing housing instability and homelessness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_Toc44943813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21</w:t>
            </w:r>
            <w:r w:rsidRPr="00B20198">
              <w:rPr>
                <w:rFonts w:ascii="Arial" w:hAnsi="Arial" w:cs="Arial"/>
                <w:noProof/>
                <w:webHidden/>
              </w:rPr>
              <w:fldChar w:fldCharType="end"/>
            </w:r>
          </w:hyperlink>
        </w:p>
        <w:p w14:paraId="48087BAD" w14:textId="7F9E9A6F" w:rsidR="00B20198" w:rsidRPr="00B20198" w:rsidRDefault="00B20198">
          <w:pPr>
            <w:pStyle w:val="TOC1"/>
            <w:tabs>
              <w:tab w:val="right" w:leader="dot" w:pos="8296"/>
            </w:tabs>
            <w:rPr>
              <w:rFonts w:ascii="Arial" w:hAnsi="Arial" w:cs="Arial"/>
              <w:noProof/>
              <w:sz w:val="22"/>
              <w:szCs w:val="22"/>
              <w:lang w:eastAsia="en-AU"/>
            </w:rPr>
          </w:pPr>
          <w:hyperlink w:anchor="_Toc44943814" w:history="1">
            <w:r w:rsidRPr="00B20198">
              <w:rPr>
                <w:rStyle w:val="Hyperlink"/>
                <w:rFonts w:ascii="Arial" w:hAnsi="Arial" w:cs="Arial"/>
                <w:noProof/>
              </w:rPr>
              <w:t>Emergency response</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_Toc44943814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22</w:t>
            </w:r>
            <w:r w:rsidRPr="00B20198">
              <w:rPr>
                <w:rFonts w:ascii="Arial" w:hAnsi="Arial" w:cs="Arial"/>
                <w:noProof/>
                <w:webHidden/>
              </w:rPr>
              <w:fldChar w:fldCharType="end"/>
            </w:r>
          </w:hyperlink>
        </w:p>
        <w:p w14:paraId="087D728B" w14:textId="0E1B1A58" w:rsidR="00B20198" w:rsidRPr="00B20198" w:rsidRDefault="00B20198">
          <w:pPr>
            <w:pStyle w:val="TOC2"/>
            <w:rPr>
              <w:rFonts w:ascii="Arial" w:hAnsi="Arial" w:cs="Arial"/>
              <w:noProof/>
              <w:sz w:val="22"/>
              <w:szCs w:val="22"/>
              <w:lang w:eastAsia="en-AU"/>
            </w:rPr>
          </w:pPr>
          <w:hyperlink w:anchor="_Toc44943815" w:history="1">
            <w:r w:rsidRPr="00B20198">
              <w:rPr>
                <w:rStyle w:val="Hyperlink"/>
                <w:rFonts w:ascii="Arial" w:hAnsi="Arial" w:cs="Arial"/>
                <w:noProof/>
              </w:rPr>
              <w:t>Public health directions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_Toc44943815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22</w:t>
            </w:r>
            <w:r w:rsidRPr="00B20198">
              <w:rPr>
                <w:rFonts w:ascii="Arial" w:hAnsi="Arial" w:cs="Arial"/>
                <w:noProof/>
                <w:webHidden/>
              </w:rPr>
              <w:fldChar w:fldCharType="end"/>
            </w:r>
          </w:hyperlink>
        </w:p>
        <w:p w14:paraId="4F9FF80A" w14:textId="4903E451" w:rsidR="00B20198" w:rsidRPr="00B20198" w:rsidRDefault="00B20198">
          <w:pPr>
            <w:pStyle w:val="TOC2"/>
            <w:rPr>
              <w:rFonts w:ascii="Arial" w:hAnsi="Arial" w:cs="Arial"/>
              <w:noProof/>
              <w:sz w:val="22"/>
              <w:szCs w:val="22"/>
              <w:lang w:eastAsia="en-AU"/>
            </w:rPr>
          </w:pPr>
          <w:hyperlink w:anchor="_Toc44943816" w:history="1">
            <w:r w:rsidRPr="00B20198">
              <w:rPr>
                <w:rStyle w:val="Hyperlink"/>
                <w:rFonts w:ascii="Arial" w:hAnsi="Arial" w:cs="Arial"/>
                <w:noProof/>
              </w:rPr>
              <w:t>Enforcement and community policing</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_Toc44943816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24</w:t>
            </w:r>
            <w:r w:rsidRPr="00B20198">
              <w:rPr>
                <w:rFonts w:ascii="Arial" w:hAnsi="Arial" w:cs="Arial"/>
                <w:noProof/>
                <w:webHidden/>
              </w:rPr>
              <w:fldChar w:fldCharType="end"/>
            </w:r>
          </w:hyperlink>
        </w:p>
        <w:p w14:paraId="46FB84A7" w14:textId="7B11CD3B" w:rsidR="00B20198" w:rsidRPr="00B20198" w:rsidRDefault="00B20198">
          <w:pPr>
            <w:pStyle w:val="TOC2"/>
            <w:rPr>
              <w:rFonts w:ascii="Arial" w:hAnsi="Arial" w:cs="Arial"/>
              <w:noProof/>
              <w:sz w:val="22"/>
              <w:szCs w:val="22"/>
              <w:lang w:eastAsia="en-AU"/>
            </w:rPr>
          </w:pPr>
          <w:hyperlink w:anchor="_Toc44943817" w:history="1">
            <w:r w:rsidRPr="00B20198">
              <w:rPr>
                <w:rStyle w:val="Hyperlink"/>
                <w:rFonts w:ascii="Arial" w:hAnsi="Arial" w:cs="Arial"/>
                <w:noProof/>
              </w:rPr>
              <w:t>Parliamentary process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_Toc44943817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25</w:t>
            </w:r>
            <w:r w:rsidRPr="00B20198">
              <w:rPr>
                <w:rFonts w:ascii="Arial" w:hAnsi="Arial" w:cs="Arial"/>
                <w:noProof/>
                <w:webHidden/>
              </w:rPr>
              <w:fldChar w:fldCharType="end"/>
            </w:r>
          </w:hyperlink>
        </w:p>
        <w:p w14:paraId="3A1CDF86" w14:textId="662F2788" w:rsidR="00B20198" w:rsidRPr="00B20198" w:rsidRDefault="00B20198">
          <w:pPr>
            <w:pStyle w:val="TOC1"/>
            <w:tabs>
              <w:tab w:val="right" w:leader="dot" w:pos="8296"/>
            </w:tabs>
            <w:rPr>
              <w:rFonts w:ascii="Arial" w:hAnsi="Arial" w:cs="Arial"/>
              <w:noProof/>
              <w:sz w:val="22"/>
              <w:szCs w:val="22"/>
              <w:lang w:eastAsia="en-AU"/>
            </w:rPr>
          </w:pPr>
          <w:hyperlink w:anchor="_Toc44943818" w:history="1">
            <w:r w:rsidRPr="00B20198">
              <w:rPr>
                <w:rStyle w:val="Hyperlink"/>
                <w:rFonts w:ascii="Arial" w:hAnsi="Arial" w:cs="Arial"/>
                <w:noProof/>
              </w:rPr>
              <w:t>Recommendations</w:t>
            </w:r>
            <w:r w:rsidRPr="00B20198">
              <w:rPr>
                <w:rFonts w:ascii="Arial" w:hAnsi="Arial" w:cs="Arial"/>
                <w:noProof/>
                <w:webHidden/>
              </w:rPr>
              <w:tab/>
            </w:r>
            <w:r w:rsidRPr="00B20198">
              <w:rPr>
                <w:rFonts w:ascii="Arial" w:hAnsi="Arial" w:cs="Arial"/>
                <w:noProof/>
                <w:webHidden/>
              </w:rPr>
              <w:fldChar w:fldCharType="begin"/>
            </w:r>
            <w:r w:rsidRPr="00B20198">
              <w:rPr>
                <w:rFonts w:ascii="Arial" w:hAnsi="Arial" w:cs="Arial"/>
                <w:noProof/>
                <w:webHidden/>
              </w:rPr>
              <w:instrText xml:space="preserve"> PAGEREF _Toc44943818 \h </w:instrText>
            </w:r>
            <w:r w:rsidRPr="00B20198">
              <w:rPr>
                <w:rFonts w:ascii="Arial" w:hAnsi="Arial" w:cs="Arial"/>
                <w:noProof/>
                <w:webHidden/>
              </w:rPr>
            </w:r>
            <w:r w:rsidRPr="00B20198">
              <w:rPr>
                <w:rFonts w:ascii="Arial" w:hAnsi="Arial" w:cs="Arial"/>
                <w:noProof/>
                <w:webHidden/>
              </w:rPr>
              <w:fldChar w:fldCharType="separate"/>
            </w:r>
            <w:r w:rsidR="00FA6F1B">
              <w:rPr>
                <w:rFonts w:ascii="Arial" w:hAnsi="Arial" w:cs="Arial"/>
                <w:noProof/>
                <w:webHidden/>
              </w:rPr>
              <w:t>26</w:t>
            </w:r>
            <w:r w:rsidRPr="00B20198">
              <w:rPr>
                <w:rFonts w:ascii="Arial" w:hAnsi="Arial" w:cs="Arial"/>
                <w:noProof/>
                <w:webHidden/>
              </w:rPr>
              <w:fldChar w:fldCharType="end"/>
            </w:r>
          </w:hyperlink>
        </w:p>
        <w:p w14:paraId="3CF2D8B6" w14:textId="15BA2C7C" w:rsidR="004A2375" w:rsidRPr="003B7715" w:rsidRDefault="00A16356" w:rsidP="007114E9">
          <w:pPr>
            <w:spacing w:before="120" w:after="120"/>
            <w:rPr>
              <w:rFonts w:ascii="Arial" w:hAnsi="Arial" w:cs="Arial"/>
              <w:sz w:val="22"/>
            </w:rPr>
            <w:sectPr w:rsidR="004A2375" w:rsidRPr="003B7715" w:rsidSect="00A16356">
              <w:headerReference w:type="even" r:id="rId13"/>
              <w:headerReference w:type="default" r:id="rId14"/>
              <w:footerReference w:type="even" r:id="rId15"/>
              <w:footerReference w:type="default" r:id="rId16"/>
              <w:headerReference w:type="first" r:id="rId17"/>
              <w:footerReference w:type="first" r:id="rId18"/>
              <w:pgSz w:w="11900" w:h="16840" w:code="9"/>
              <w:pgMar w:top="1440" w:right="1797" w:bottom="1440" w:left="1797" w:header="709" w:footer="709" w:gutter="0"/>
              <w:pgNumType w:start="0"/>
              <w:cols w:space="708"/>
              <w:titlePg/>
              <w:docGrid w:linePitch="360"/>
            </w:sectPr>
          </w:pPr>
          <w:r w:rsidRPr="00B20198">
            <w:rPr>
              <w:rFonts w:ascii="Arial" w:hAnsi="Arial" w:cs="Arial"/>
              <w:b/>
              <w:bCs/>
              <w:noProof/>
            </w:rPr>
            <w:fldChar w:fldCharType="end"/>
          </w:r>
        </w:p>
      </w:sdtContent>
    </w:sdt>
    <w:p w14:paraId="08423271" w14:textId="77777777" w:rsidR="00B82CE9" w:rsidRPr="00444845" w:rsidRDefault="0045665D" w:rsidP="007C510E">
      <w:pPr>
        <w:pStyle w:val="Heading1"/>
        <w:rPr>
          <w:rFonts w:cs="Arial"/>
          <w:sz w:val="44"/>
        </w:rPr>
      </w:pPr>
      <w:bookmarkStart w:id="5" w:name="_Toc44943790"/>
      <w:r w:rsidRPr="00444845">
        <w:rPr>
          <w:rFonts w:cs="Arial"/>
          <w:sz w:val="44"/>
        </w:rPr>
        <w:t>Summary</w:t>
      </w:r>
      <w:bookmarkEnd w:id="5"/>
    </w:p>
    <w:p w14:paraId="031B060D" w14:textId="77777777" w:rsidR="00C568D8" w:rsidRPr="00BD6499" w:rsidRDefault="005A20A7" w:rsidP="007114E9">
      <w:pPr>
        <w:pStyle w:val="Numberedparagraph"/>
        <w:rPr>
          <w:lang w:eastAsia="en-AU"/>
        </w:rPr>
      </w:pPr>
      <w:r w:rsidRPr="00BD6499">
        <w:rPr>
          <w:lang w:eastAsia="en-AU"/>
        </w:rPr>
        <w:t>The Queensland Human Rights Commission (</w:t>
      </w:r>
      <w:r w:rsidR="06F6557B" w:rsidRPr="00BD6499">
        <w:rPr>
          <w:lang w:eastAsia="en-AU"/>
        </w:rPr>
        <w:t>the Commission</w:t>
      </w:r>
      <w:r w:rsidRPr="00BD6499">
        <w:rPr>
          <w:lang w:eastAsia="en-AU"/>
        </w:rPr>
        <w:t>) welcomes</w:t>
      </w:r>
      <w:r w:rsidR="008806FD" w:rsidRPr="00BD6499">
        <w:rPr>
          <w:lang w:eastAsia="en-AU"/>
        </w:rPr>
        <w:t xml:space="preserve"> </w:t>
      </w:r>
      <w:r w:rsidR="00D26D55" w:rsidRPr="00BD6499">
        <w:rPr>
          <w:lang w:eastAsia="en-AU"/>
        </w:rPr>
        <w:t>this Inquiry, which</w:t>
      </w:r>
      <w:r w:rsidR="00F31DBF" w:rsidRPr="00BD6499">
        <w:rPr>
          <w:lang w:eastAsia="en-AU"/>
        </w:rPr>
        <w:t xml:space="preserve"> provide</w:t>
      </w:r>
      <w:r w:rsidR="00555CF3" w:rsidRPr="00BD6499">
        <w:rPr>
          <w:lang w:eastAsia="en-AU"/>
        </w:rPr>
        <w:t>s</w:t>
      </w:r>
      <w:r w:rsidR="00F31DBF" w:rsidRPr="00BD6499">
        <w:rPr>
          <w:lang w:eastAsia="en-AU"/>
        </w:rPr>
        <w:t xml:space="preserve"> an opportunity to reflect on the</w:t>
      </w:r>
      <w:r w:rsidR="00A63E93" w:rsidRPr="00BD6499">
        <w:rPr>
          <w:lang w:eastAsia="en-AU"/>
        </w:rPr>
        <w:t xml:space="preserve"> government’s</w:t>
      </w:r>
      <w:r w:rsidR="00F31DBF" w:rsidRPr="00BD6499">
        <w:rPr>
          <w:lang w:eastAsia="en-AU"/>
        </w:rPr>
        <w:t xml:space="preserve"> response</w:t>
      </w:r>
      <w:r w:rsidR="00A63E93" w:rsidRPr="00BD6499">
        <w:rPr>
          <w:lang w:eastAsia="en-AU"/>
        </w:rPr>
        <w:t xml:space="preserve"> to</w:t>
      </w:r>
      <w:r w:rsidR="00DE5232" w:rsidRPr="00BD6499">
        <w:rPr>
          <w:lang w:eastAsia="en-AU"/>
        </w:rPr>
        <w:t xml:space="preserve"> the</w:t>
      </w:r>
      <w:r w:rsidR="00A63E93" w:rsidRPr="00BD6499">
        <w:rPr>
          <w:lang w:eastAsia="en-AU"/>
        </w:rPr>
        <w:t xml:space="preserve"> COVID-19</w:t>
      </w:r>
      <w:r w:rsidR="00DE5232" w:rsidRPr="00BD6499">
        <w:rPr>
          <w:lang w:eastAsia="en-AU"/>
        </w:rPr>
        <w:t xml:space="preserve"> pandemic</w:t>
      </w:r>
      <w:r w:rsidR="00F31DBF" w:rsidRPr="00BD6499">
        <w:rPr>
          <w:lang w:eastAsia="en-AU"/>
        </w:rPr>
        <w:t xml:space="preserve"> and </w:t>
      </w:r>
      <w:r w:rsidR="00A63E93" w:rsidRPr="00BD6499">
        <w:rPr>
          <w:lang w:eastAsia="en-AU"/>
        </w:rPr>
        <w:t>develop an understanding of</w:t>
      </w:r>
      <w:r w:rsidR="00F31DBF" w:rsidRPr="00BD6499">
        <w:rPr>
          <w:lang w:eastAsia="en-AU"/>
        </w:rPr>
        <w:t xml:space="preserve"> how the response may be further improved</w:t>
      </w:r>
      <w:r w:rsidR="00555CF3" w:rsidRPr="00BD6499">
        <w:rPr>
          <w:lang w:eastAsia="en-AU"/>
        </w:rPr>
        <w:t xml:space="preserve"> in the event of another health emergency</w:t>
      </w:r>
      <w:r w:rsidR="00F31DBF" w:rsidRPr="00BD6499">
        <w:rPr>
          <w:lang w:eastAsia="en-AU"/>
        </w:rPr>
        <w:t xml:space="preserve">. </w:t>
      </w:r>
    </w:p>
    <w:p w14:paraId="1600E42C" w14:textId="76B861D4" w:rsidR="00FC0E29" w:rsidRPr="00BD6499" w:rsidRDefault="17C3D320" w:rsidP="00FC0E29">
      <w:pPr>
        <w:pStyle w:val="Numberedparagraph"/>
        <w:rPr>
          <w:lang w:eastAsia="en-AU"/>
        </w:rPr>
      </w:pPr>
      <w:r w:rsidRPr="00BD6499">
        <w:rPr>
          <w:lang w:eastAsia="en-AU"/>
        </w:rPr>
        <w:t xml:space="preserve">The </w:t>
      </w:r>
      <w:r w:rsidR="3E6E2E81" w:rsidRPr="00BD6499">
        <w:rPr>
          <w:lang w:eastAsia="en-AU"/>
        </w:rPr>
        <w:t xml:space="preserve">Queensland Government </w:t>
      </w:r>
      <w:r w:rsidR="3EF224EA" w:rsidRPr="00BD6499">
        <w:rPr>
          <w:lang w:eastAsia="en-AU"/>
        </w:rPr>
        <w:t xml:space="preserve">must be </w:t>
      </w:r>
      <w:r w:rsidR="005A60EC">
        <w:rPr>
          <w:lang w:eastAsia="en-AU"/>
        </w:rPr>
        <w:t>commended</w:t>
      </w:r>
      <w:r w:rsidR="3EF224EA" w:rsidRPr="00BD6499">
        <w:rPr>
          <w:lang w:eastAsia="en-AU"/>
        </w:rPr>
        <w:t xml:space="preserve"> </w:t>
      </w:r>
      <w:r w:rsidR="3E6E2E81" w:rsidRPr="00BD6499">
        <w:rPr>
          <w:lang w:eastAsia="en-AU"/>
        </w:rPr>
        <w:t xml:space="preserve">on </w:t>
      </w:r>
      <w:r w:rsidR="06229DA7" w:rsidRPr="00BD6499">
        <w:rPr>
          <w:lang w:eastAsia="en-AU"/>
        </w:rPr>
        <w:t xml:space="preserve">implementing </w:t>
      </w:r>
      <w:r w:rsidR="3EF224EA" w:rsidRPr="00BD6499">
        <w:rPr>
          <w:lang w:eastAsia="en-AU"/>
        </w:rPr>
        <w:t>robust measures</w:t>
      </w:r>
      <w:r w:rsidR="3E6E2E81" w:rsidRPr="00BD6499">
        <w:rPr>
          <w:lang w:eastAsia="en-AU"/>
        </w:rPr>
        <w:t xml:space="preserve"> to protect the </w:t>
      </w:r>
      <w:r w:rsidR="00555CF3" w:rsidRPr="00BD6499">
        <w:rPr>
          <w:lang w:eastAsia="en-AU"/>
        </w:rPr>
        <w:t xml:space="preserve">most </w:t>
      </w:r>
      <w:r w:rsidR="3E6E2E81" w:rsidRPr="00BD6499">
        <w:rPr>
          <w:lang w:eastAsia="en-AU"/>
        </w:rPr>
        <w:t xml:space="preserve">fundamental </w:t>
      </w:r>
      <w:r w:rsidR="00555CF3" w:rsidRPr="00BD6499">
        <w:rPr>
          <w:lang w:eastAsia="en-AU"/>
        </w:rPr>
        <w:t xml:space="preserve">of human rights, the </w:t>
      </w:r>
      <w:r w:rsidR="3E6E2E81" w:rsidRPr="00BD6499">
        <w:rPr>
          <w:lang w:eastAsia="en-AU"/>
        </w:rPr>
        <w:t xml:space="preserve">right to life. The strict lockdown measures have </w:t>
      </w:r>
      <w:r w:rsidR="00555CF3" w:rsidRPr="00BD6499">
        <w:rPr>
          <w:lang w:eastAsia="en-AU"/>
        </w:rPr>
        <w:t>‘</w:t>
      </w:r>
      <w:r w:rsidR="3E6E2E81" w:rsidRPr="00BD6499">
        <w:rPr>
          <w:lang w:eastAsia="en-AU"/>
        </w:rPr>
        <w:t>flattened the curve</w:t>
      </w:r>
      <w:r w:rsidR="00555CF3" w:rsidRPr="00BD6499">
        <w:rPr>
          <w:lang w:eastAsia="en-AU"/>
        </w:rPr>
        <w:t>’ (the number of new virus cases from one day to the next)</w:t>
      </w:r>
      <w:r w:rsidR="3E6E2E81" w:rsidRPr="00BD6499">
        <w:rPr>
          <w:lang w:eastAsia="en-AU"/>
        </w:rPr>
        <w:t xml:space="preserve"> </w:t>
      </w:r>
      <w:r w:rsidR="00555CF3" w:rsidRPr="00BD6499">
        <w:rPr>
          <w:lang w:eastAsia="en-AU"/>
        </w:rPr>
        <w:t xml:space="preserve">and </w:t>
      </w:r>
      <w:r w:rsidR="3E6E2E81" w:rsidRPr="00BD6499">
        <w:rPr>
          <w:lang w:eastAsia="en-AU"/>
        </w:rPr>
        <w:t>minimi</w:t>
      </w:r>
      <w:r w:rsidR="00905A4A" w:rsidRPr="00BD6499">
        <w:rPr>
          <w:lang w:eastAsia="en-AU"/>
        </w:rPr>
        <w:t>s</w:t>
      </w:r>
      <w:r w:rsidR="00555CF3" w:rsidRPr="00BD6499">
        <w:rPr>
          <w:lang w:eastAsia="en-AU"/>
        </w:rPr>
        <w:t>ed</w:t>
      </w:r>
      <w:r w:rsidR="3E6E2E81" w:rsidRPr="00BD6499">
        <w:rPr>
          <w:lang w:eastAsia="en-AU"/>
        </w:rPr>
        <w:t xml:space="preserve"> the fatalities that might </w:t>
      </w:r>
      <w:r w:rsidR="00555CF3" w:rsidRPr="00BD6499">
        <w:rPr>
          <w:lang w:eastAsia="en-AU"/>
        </w:rPr>
        <w:t xml:space="preserve">otherwise </w:t>
      </w:r>
      <w:r w:rsidR="3E6E2E81" w:rsidRPr="00BD6499">
        <w:rPr>
          <w:lang w:eastAsia="en-AU"/>
        </w:rPr>
        <w:t xml:space="preserve">have occurred, as evidenced by the </w:t>
      </w:r>
      <w:r w:rsidR="6BB6FB3D" w:rsidRPr="00BD6499">
        <w:rPr>
          <w:lang w:eastAsia="en-AU"/>
        </w:rPr>
        <w:t xml:space="preserve">devastating </w:t>
      </w:r>
      <w:r w:rsidR="3E6E2E81" w:rsidRPr="00BD6499">
        <w:rPr>
          <w:lang w:eastAsia="en-AU"/>
        </w:rPr>
        <w:t>situation in many countries overseas</w:t>
      </w:r>
      <w:r w:rsidR="00555CF3" w:rsidRPr="00BD6499">
        <w:rPr>
          <w:lang w:eastAsia="en-AU"/>
        </w:rPr>
        <w:t>, and more recently</w:t>
      </w:r>
      <w:r w:rsidR="00A62432" w:rsidRPr="00BD6499">
        <w:rPr>
          <w:lang w:eastAsia="en-AU"/>
        </w:rPr>
        <w:t xml:space="preserve"> by the increase in cases</w:t>
      </w:r>
      <w:r w:rsidR="00555CF3" w:rsidRPr="00BD6499">
        <w:rPr>
          <w:lang w:eastAsia="en-AU"/>
        </w:rPr>
        <w:t xml:space="preserve"> in Victoria</w:t>
      </w:r>
      <w:r w:rsidR="3E6E2E81" w:rsidRPr="00BD6499">
        <w:rPr>
          <w:lang w:eastAsia="en-AU"/>
        </w:rPr>
        <w:t>.</w:t>
      </w:r>
    </w:p>
    <w:p w14:paraId="568DE96E" w14:textId="77777777" w:rsidR="00CB39F9" w:rsidRPr="00833D30" w:rsidRDefault="779BA0E2" w:rsidP="007114E9">
      <w:pPr>
        <w:pStyle w:val="Numberedparagraph"/>
      </w:pPr>
      <w:r w:rsidRPr="00444845">
        <w:t xml:space="preserve">In summary, </w:t>
      </w:r>
      <w:r w:rsidR="00555CF3" w:rsidRPr="00444845">
        <w:t>the Commission submits</w:t>
      </w:r>
      <w:r w:rsidRPr="00444845">
        <w:t xml:space="preserve"> that:</w:t>
      </w:r>
    </w:p>
    <w:p w14:paraId="0A7A2A4A" w14:textId="14164FA4" w:rsidR="008A3C6C" w:rsidRPr="00444845" w:rsidRDefault="00ED297C" w:rsidP="006A4E7B">
      <w:pPr>
        <w:pStyle w:val="Bulletedlist"/>
      </w:pPr>
      <w:r w:rsidRPr="009C1BEA">
        <w:t xml:space="preserve">The </w:t>
      </w:r>
      <w:r w:rsidRPr="00444845">
        <w:rPr>
          <w:i/>
        </w:rPr>
        <w:t>Human Rights Act 2019</w:t>
      </w:r>
      <w:r w:rsidRPr="00444845">
        <w:t xml:space="preserve"> has </w:t>
      </w:r>
      <w:r w:rsidR="008A3C6C" w:rsidRPr="00444845">
        <w:t>prove</w:t>
      </w:r>
      <w:r w:rsidR="005A60EC">
        <w:t>n</w:t>
      </w:r>
      <w:r w:rsidR="008A3C6C" w:rsidRPr="00444845">
        <w:t xml:space="preserve"> to be</w:t>
      </w:r>
      <w:r w:rsidRPr="00444845">
        <w:t xml:space="preserve"> an important safeguard of</w:t>
      </w:r>
      <w:r w:rsidR="00A62432" w:rsidRPr="00444845">
        <w:t xml:space="preserve"> the</w:t>
      </w:r>
      <w:r w:rsidRPr="00444845">
        <w:t xml:space="preserve"> rights of people in Queensland</w:t>
      </w:r>
      <w:r w:rsidR="00555CF3" w:rsidRPr="00444845">
        <w:t>.</w:t>
      </w:r>
    </w:p>
    <w:p w14:paraId="707C2058" w14:textId="77777777" w:rsidR="00ED297C" w:rsidRPr="00444845" w:rsidRDefault="008A3C6C" w:rsidP="006A4E7B">
      <w:pPr>
        <w:pStyle w:val="Bulletedlist"/>
      </w:pPr>
      <w:r w:rsidRPr="00444845">
        <w:t xml:space="preserve">Further </w:t>
      </w:r>
      <w:r w:rsidR="002164C4" w:rsidRPr="00444845">
        <w:t>attention</w:t>
      </w:r>
      <w:r w:rsidR="00836519" w:rsidRPr="00444845">
        <w:t xml:space="preserve"> </w:t>
      </w:r>
      <w:r w:rsidRPr="00444845">
        <w:t xml:space="preserve">should be given to the impact of COVID-19 and restrictions on particular at risk communities, </w:t>
      </w:r>
      <w:r w:rsidR="002164C4" w:rsidRPr="00444845">
        <w:t xml:space="preserve">and </w:t>
      </w:r>
      <w:r w:rsidRPr="00444845">
        <w:t>the need for consultation and clear communication</w:t>
      </w:r>
      <w:r w:rsidR="002164C4" w:rsidRPr="00444845">
        <w:t xml:space="preserve"> recognised.</w:t>
      </w:r>
    </w:p>
    <w:p w14:paraId="38D90C7D" w14:textId="137B40D2" w:rsidR="00ED1F48" w:rsidRPr="00444845" w:rsidRDefault="00C877F6" w:rsidP="00D3700B">
      <w:pPr>
        <w:pStyle w:val="Bulletedlist"/>
      </w:pPr>
      <w:r w:rsidRPr="00444845">
        <w:t>Restrictions</w:t>
      </w:r>
      <w:r w:rsidRPr="00BD6499">
        <w:t xml:space="preserve"> put in place to stop the spread of COVID-19 must be subject to scrutiny, have exceptions and appeal processes, and </w:t>
      </w:r>
      <w:r w:rsidR="00ED1F48" w:rsidRPr="00BD6499">
        <w:t>be</w:t>
      </w:r>
      <w:r w:rsidRPr="00BD6499">
        <w:t xml:space="preserve"> properly monitored on an ongoing basis to ensure they remain reasonable, necessary, and proportionate to the health risk</w:t>
      </w:r>
      <w:r w:rsidR="002164C4" w:rsidRPr="00BD6499">
        <w:t>.</w:t>
      </w:r>
    </w:p>
    <w:p w14:paraId="55446DD7" w14:textId="7C5DF04A" w:rsidR="000F47AA" w:rsidRDefault="002164C4" w:rsidP="006A4E7B">
      <w:pPr>
        <w:pStyle w:val="Bulletedlist"/>
      </w:pPr>
      <w:r w:rsidRPr="00BD6499">
        <w:t>The foregoing of usual parliamentary scrutiny and stakeholder input (as happened during the COVID response)</w:t>
      </w:r>
      <w:r w:rsidR="00A62432" w:rsidRPr="00BD6499">
        <w:t>, at times without due consideration of the genuine urgency of</w:t>
      </w:r>
      <w:r w:rsidR="00896B36" w:rsidRPr="00BD6499">
        <w:t xml:space="preserve"> the</w:t>
      </w:r>
      <w:r w:rsidR="00A62432" w:rsidRPr="00BD6499">
        <w:t xml:space="preserve"> issues,</w:t>
      </w:r>
      <w:r w:rsidRPr="00BD6499">
        <w:t xml:space="preserve"> affects transparency and undermines </w:t>
      </w:r>
      <w:r w:rsidR="00C42F65">
        <w:t xml:space="preserve">community confidence in </w:t>
      </w:r>
      <w:r w:rsidRPr="00BD6499">
        <w:t>the parliamentary process, particularly important in Queensland’s unicameral system</w:t>
      </w:r>
      <w:r w:rsidR="00836519" w:rsidRPr="00BD6499">
        <w:t>.</w:t>
      </w:r>
    </w:p>
    <w:p w14:paraId="06F5DB4D" w14:textId="77777777" w:rsidR="00BE52E9" w:rsidRPr="00444845" w:rsidRDefault="00BE52E9" w:rsidP="00BE52E9">
      <w:pPr>
        <w:pStyle w:val="Bulletedlist"/>
      </w:pPr>
      <w:r w:rsidRPr="00444845">
        <w:t>The COVID-19 pandemic has highlighted the need for independent oversight of closed environments.</w:t>
      </w:r>
    </w:p>
    <w:p w14:paraId="2665F41F" w14:textId="7E8C0A3A" w:rsidR="00D3230D" w:rsidRPr="00BD6499" w:rsidRDefault="00D3230D" w:rsidP="006A4E7B">
      <w:pPr>
        <w:pStyle w:val="Bulletedlist"/>
      </w:pPr>
      <w:r>
        <w:t xml:space="preserve">The powers vested under </w:t>
      </w:r>
      <w:r w:rsidR="00FC5752">
        <w:t xml:space="preserve">Chapter 8, Part 7A of </w:t>
      </w:r>
      <w:r>
        <w:t>the</w:t>
      </w:r>
      <w:r w:rsidRPr="00444845">
        <w:t xml:space="preserve"> </w:t>
      </w:r>
      <w:r w:rsidRPr="00444845">
        <w:rPr>
          <w:i/>
        </w:rPr>
        <w:t>Public Health Act</w:t>
      </w:r>
      <w:r w:rsidRPr="00444845">
        <w:t xml:space="preserve"> </w:t>
      </w:r>
      <w:r>
        <w:t>should be limited</w:t>
      </w:r>
      <w:r w:rsidRPr="00444845">
        <w:t xml:space="preserve"> </w:t>
      </w:r>
      <w:r>
        <w:t>to o</w:t>
      </w:r>
      <w:r w:rsidRPr="00444845">
        <w:t>nly</w:t>
      </w:r>
      <w:r>
        <w:t xml:space="preserve"> </w:t>
      </w:r>
      <w:r w:rsidR="001C30C1">
        <w:t>apply</w:t>
      </w:r>
      <w:r w:rsidRPr="00444845">
        <w:t xml:space="preserve"> during a declared public health emergency.</w:t>
      </w:r>
    </w:p>
    <w:p w14:paraId="5C313FBE" w14:textId="6C1ACE11" w:rsidR="5164B057" w:rsidRPr="00BD6499" w:rsidRDefault="5164B057" w:rsidP="5164B057">
      <w:pPr>
        <w:pStyle w:val="Bulletedlist"/>
        <w:numPr>
          <w:ilvl w:val="0"/>
          <w:numId w:val="0"/>
        </w:numPr>
      </w:pPr>
    </w:p>
    <w:p w14:paraId="60301D3C" w14:textId="32A24CDF" w:rsidR="00244172" w:rsidRPr="00BD6499" w:rsidRDefault="00244172" w:rsidP="00A06FE2">
      <w:pPr>
        <w:pStyle w:val="Bulletedlist"/>
        <w:numPr>
          <w:ilvl w:val="0"/>
          <w:numId w:val="0"/>
        </w:numPr>
        <w:ind w:left="567"/>
      </w:pPr>
      <w:r w:rsidRPr="00BD6499">
        <w:t>A more fulsome list of recommendations is provided at the conclusion of this document</w:t>
      </w:r>
      <w:r w:rsidR="00876C6E">
        <w:t xml:space="preserve"> under the title </w:t>
      </w:r>
      <w:r w:rsidR="00876C6E">
        <w:rPr>
          <w:i/>
        </w:rPr>
        <w:t>Recommendations</w:t>
      </w:r>
      <w:r w:rsidRPr="00BD6499">
        <w:t>.</w:t>
      </w:r>
    </w:p>
    <w:p w14:paraId="2224EF77" w14:textId="77777777" w:rsidR="00DE5232" w:rsidRPr="00833D30" w:rsidRDefault="00DE5232" w:rsidP="00DE5232">
      <w:pPr>
        <w:pStyle w:val="Heading1"/>
        <w:rPr>
          <w:rFonts w:cs="Arial"/>
          <w:sz w:val="44"/>
        </w:rPr>
      </w:pPr>
      <w:bookmarkStart w:id="6" w:name="_Toc44943791"/>
      <w:r w:rsidRPr="00444845">
        <w:rPr>
          <w:rFonts w:cs="Arial"/>
          <w:sz w:val="44"/>
        </w:rPr>
        <w:t xml:space="preserve">The </w:t>
      </w:r>
      <w:r w:rsidRPr="00BD6499">
        <w:rPr>
          <w:rFonts w:cs="Arial"/>
          <w:i/>
          <w:sz w:val="44"/>
        </w:rPr>
        <w:t>Human Rights Act</w:t>
      </w:r>
      <w:r w:rsidRPr="00444845">
        <w:rPr>
          <w:rFonts w:cs="Arial"/>
          <w:sz w:val="44"/>
        </w:rPr>
        <w:t xml:space="preserve"> </w:t>
      </w:r>
      <w:r w:rsidR="00836519" w:rsidRPr="00444845">
        <w:rPr>
          <w:rFonts w:cs="Arial"/>
          <w:sz w:val="44"/>
        </w:rPr>
        <w:t>as s</w:t>
      </w:r>
      <w:r w:rsidRPr="00444845">
        <w:rPr>
          <w:rFonts w:cs="Arial"/>
          <w:sz w:val="44"/>
        </w:rPr>
        <w:t>afeguard</w:t>
      </w:r>
      <w:bookmarkEnd w:id="6"/>
    </w:p>
    <w:p w14:paraId="1376563D" w14:textId="074328A2" w:rsidR="00911FFE" w:rsidRDefault="00DE5232" w:rsidP="007114E9">
      <w:pPr>
        <w:pStyle w:val="Numberedparagraph"/>
        <w:rPr>
          <w:lang w:eastAsia="en-AU"/>
        </w:rPr>
      </w:pPr>
      <w:r w:rsidRPr="009C1BEA">
        <w:t xml:space="preserve">The Queensland </w:t>
      </w:r>
      <w:r w:rsidRPr="00444845">
        <w:rPr>
          <w:i/>
          <w:iCs/>
        </w:rPr>
        <w:t>Human Rights Act 2019</w:t>
      </w:r>
      <w:r w:rsidRPr="00444845">
        <w:t xml:space="preserve"> </w:t>
      </w:r>
      <w:r w:rsidR="00D23038" w:rsidRPr="00444845">
        <w:t xml:space="preserve">(the HRA) </w:t>
      </w:r>
      <w:r w:rsidRPr="00444845">
        <w:t>has prove</w:t>
      </w:r>
      <w:r w:rsidR="00480C83">
        <w:t>n</w:t>
      </w:r>
      <w:r w:rsidRPr="00444845">
        <w:t xml:space="preserve"> to be an important </w:t>
      </w:r>
      <w:r w:rsidR="000B1186" w:rsidRPr="00444845">
        <w:t>framework</w:t>
      </w:r>
      <w:r w:rsidR="00836519" w:rsidRPr="00444845">
        <w:t xml:space="preserve"> for </w:t>
      </w:r>
      <w:r w:rsidRPr="00444845">
        <w:t xml:space="preserve">assessing the </w:t>
      </w:r>
      <w:r w:rsidR="00836519" w:rsidRPr="00444845">
        <w:t xml:space="preserve">impact on human rights of the </w:t>
      </w:r>
      <w:r w:rsidR="006A4E7B" w:rsidRPr="00444845">
        <w:t>significant</w:t>
      </w:r>
      <w:r w:rsidRPr="00444845">
        <w:t xml:space="preserve"> restrictions introduced in response to COVID-19. </w:t>
      </w:r>
    </w:p>
    <w:p w14:paraId="7B60D6A3" w14:textId="2FA9783C" w:rsidR="00DE5232" w:rsidRPr="00BD6499" w:rsidRDefault="00DE5232" w:rsidP="007114E9">
      <w:pPr>
        <w:pStyle w:val="Numberedparagraph"/>
        <w:rPr>
          <w:lang w:eastAsia="en-AU"/>
        </w:rPr>
      </w:pPr>
      <w:r w:rsidRPr="00444845">
        <w:t xml:space="preserve">Firstly, </w:t>
      </w:r>
      <w:r w:rsidR="00836519" w:rsidRPr="00444845">
        <w:t xml:space="preserve">the </w:t>
      </w:r>
      <w:r w:rsidR="00D23038" w:rsidRPr="00444845">
        <w:t>HRA</w:t>
      </w:r>
      <w:r w:rsidR="00836519" w:rsidRPr="00444845">
        <w:t xml:space="preserve"> </w:t>
      </w:r>
      <w:r w:rsidRPr="00444845">
        <w:t>requir</w:t>
      </w:r>
      <w:r w:rsidR="00836519" w:rsidRPr="00444845">
        <w:t>es</w:t>
      </w:r>
      <w:r w:rsidRPr="00444845">
        <w:t xml:space="preserve"> that all primary legislation</w:t>
      </w:r>
      <w:r w:rsidR="00836519" w:rsidRPr="00444845">
        <w:t>, including that</w:t>
      </w:r>
      <w:r w:rsidRPr="00444845">
        <w:t xml:space="preserve"> introduced in response to the pandemic</w:t>
      </w:r>
      <w:r w:rsidR="00836519" w:rsidRPr="00444845">
        <w:t>,</w:t>
      </w:r>
      <w:r w:rsidRPr="00444845">
        <w:t xml:space="preserve"> </w:t>
      </w:r>
      <w:r w:rsidR="00836519" w:rsidRPr="00444845">
        <w:t>is</w:t>
      </w:r>
      <w:r w:rsidRPr="00444845">
        <w:t xml:space="preserve"> accompanied by a compatibility statement. These compatibility statements provide transparency about the </w:t>
      </w:r>
      <w:r w:rsidR="0086054A" w:rsidRPr="00444845">
        <w:t xml:space="preserve">impact on </w:t>
      </w:r>
      <w:r w:rsidRPr="00444845">
        <w:t xml:space="preserve">human rights of people in Queensland, and </w:t>
      </w:r>
      <w:r w:rsidR="0086054A" w:rsidRPr="00444845">
        <w:t xml:space="preserve">why </w:t>
      </w:r>
      <w:r w:rsidRPr="00444845">
        <w:t>the government consider</w:t>
      </w:r>
      <w:r w:rsidR="0086054A" w:rsidRPr="00444845">
        <w:t>s</w:t>
      </w:r>
      <w:r w:rsidRPr="00444845">
        <w:t xml:space="preserve"> </w:t>
      </w:r>
      <w:r w:rsidR="0086054A" w:rsidRPr="00444845">
        <w:t xml:space="preserve">that the legislation is </w:t>
      </w:r>
      <w:r w:rsidRPr="00444845">
        <w:t xml:space="preserve">the least restrictive way of achieving the important purpose of protecting lives. This analysis </w:t>
      </w:r>
      <w:r w:rsidR="0086054A" w:rsidRPr="00444845">
        <w:t xml:space="preserve">provides </w:t>
      </w:r>
      <w:r w:rsidRPr="00444845">
        <w:t xml:space="preserve">key stakeholders, such as the Commission and the broader community, </w:t>
      </w:r>
      <w:r w:rsidR="0086054A" w:rsidRPr="00444845">
        <w:t xml:space="preserve">with </w:t>
      </w:r>
      <w:r w:rsidRPr="00444845">
        <w:t xml:space="preserve">the opportunity to consider these justifications and monitor whether the factors that justify </w:t>
      </w:r>
      <w:r w:rsidR="006A4E7B" w:rsidRPr="00444845">
        <w:t>them remain</w:t>
      </w:r>
      <w:r w:rsidRPr="00444845">
        <w:t xml:space="preserve">. </w:t>
      </w:r>
    </w:p>
    <w:p w14:paraId="3E20D3E0" w14:textId="14316CC6" w:rsidR="00DE5232" w:rsidRPr="00D85B08" w:rsidRDefault="00DE5232" w:rsidP="007114E9">
      <w:pPr>
        <w:pStyle w:val="Numberedparagraph"/>
      </w:pPr>
      <w:r w:rsidRPr="00444845">
        <w:t xml:space="preserve">Secondly, one of the Queensland Government’s responses </w:t>
      </w:r>
      <w:r w:rsidR="0086054A" w:rsidRPr="00444845">
        <w:t xml:space="preserve">was to </w:t>
      </w:r>
      <w:r w:rsidRPr="00833D30">
        <w:t>creat</w:t>
      </w:r>
      <w:r w:rsidR="0086054A" w:rsidRPr="00D85B08">
        <w:t>e</w:t>
      </w:r>
      <w:r w:rsidRPr="00D85B08">
        <w:t xml:space="preserve"> new powers for ministers to change legislation via regulation.</w:t>
      </w:r>
      <w:r w:rsidRPr="00444845">
        <w:rPr>
          <w:rStyle w:val="FootnoteReference"/>
        </w:rPr>
        <w:footnoteReference w:id="2"/>
      </w:r>
      <w:r w:rsidRPr="00444845">
        <w:t xml:space="preserve"> </w:t>
      </w:r>
      <w:r w:rsidR="00703CA1" w:rsidRPr="00444845">
        <w:t xml:space="preserve">A </w:t>
      </w:r>
      <w:r w:rsidRPr="00444845">
        <w:t xml:space="preserve">critical safeguard for this extraordinary new power is that the </w:t>
      </w:r>
      <w:r w:rsidR="002541FD" w:rsidRPr="00833D30">
        <w:rPr>
          <w:iCs/>
        </w:rPr>
        <w:t>HRA</w:t>
      </w:r>
      <w:r w:rsidRPr="00D85B08">
        <w:t xml:space="preserve"> requires subordinate legislation to be accompanied by </w:t>
      </w:r>
      <w:r w:rsidR="0086054A" w:rsidRPr="009C1BEA">
        <w:t xml:space="preserve">a </w:t>
      </w:r>
      <w:r w:rsidRPr="00444845">
        <w:t>certificate</w:t>
      </w:r>
      <w:r w:rsidR="0086054A" w:rsidRPr="00444845">
        <w:t xml:space="preserve"> </w:t>
      </w:r>
      <w:r w:rsidRPr="00444845">
        <w:t>explaining the relevant minister’s view on human rights compatibility.</w:t>
      </w:r>
      <w:r w:rsidRPr="00444845">
        <w:rPr>
          <w:rStyle w:val="FootnoteReference"/>
        </w:rPr>
        <w:footnoteReference w:id="3"/>
      </w:r>
      <w:r w:rsidRPr="00444845">
        <w:t xml:space="preserve"> This creates a level of accountability and confirms that the government has considered human rights and justified any l</w:t>
      </w:r>
      <w:r w:rsidR="006A4E7B" w:rsidRPr="00444845">
        <w:t>imitation</w:t>
      </w:r>
      <w:r w:rsidR="0086054A" w:rsidRPr="00444845">
        <w:t>s</w:t>
      </w:r>
      <w:r w:rsidR="006A4E7B" w:rsidRPr="00833D30">
        <w:t xml:space="preserve"> when exercising such</w:t>
      </w:r>
      <w:r w:rsidRPr="00D85B08">
        <w:t xml:space="preserve"> powers.  </w:t>
      </w:r>
    </w:p>
    <w:p w14:paraId="05978A10" w14:textId="7ADF2EA0" w:rsidR="00DE5232" w:rsidRPr="00BD6499" w:rsidRDefault="00DE5232" w:rsidP="007114E9">
      <w:pPr>
        <w:pStyle w:val="Numberedparagraph"/>
        <w:rPr>
          <w:lang w:eastAsia="en-AU"/>
        </w:rPr>
      </w:pPr>
      <w:r w:rsidRPr="00BD6499">
        <w:rPr>
          <w:lang w:eastAsia="en-AU"/>
        </w:rPr>
        <w:t xml:space="preserve">Even </w:t>
      </w:r>
      <w:r w:rsidRPr="00444845">
        <w:t>after</w:t>
      </w:r>
      <w:r w:rsidRPr="00BD6499">
        <w:rPr>
          <w:lang w:eastAsia="en-AU"/>
        </w:rPr>
        <w:t xml:space="preserve"> these significant legislative changes, the </w:t>
      </w:r>
      <w:r w:rsidRPr="00444845">
        <w:t>obligation to act and make decisions which are compatible with rights remain</w:t>
      </w:r>
      <w:r w:rsidR="0086054A" w:rsidRPr="00444845">
        <w:t>s</w:t>
      </w:r>
      <w:r w:rsidRPr="00833D30">
        <w:t>. These obligations apply to Queensland Government departments and agencies, local co</w:t>
      </w:r>
      <w:r w:rsidRPr="00D85B08">
        <w:t xml:space="preserve">uncils, and organisations providing services to the public on behalf of the state government. To fulfil these obligations, such entities </w:t>
      </w:r>
      <w:r w:rsidRPr="00BD6499">
        <w:rPr>
          <w:lang w:eastAsia="en-AU"/>
        </w:rPr>
        <w:t>must give proper consideration to human rights in decision</w:t>
      </w:r>
      <w:r w:rsidR="004C6CC3" w:rsidRPr="00BD6499">
        <w:rPr>
          <w:lang w:eastAsia="en-AU"/>
        </w:rPr>
        <w:t>-</w:t>
      </w:r>
      <w:r w:rsidRPr="00BD6499">
        <w:rPr>
          <w:lang w:eastAsia="en-AU"/>
        </w:rPr>
        <w:t>making.</w:t>
      </w:r>
      <w:r w:rsidRPr="00BD6499">
        <w:rPr>
          <w:rStyle w:val="FootnoteReference"/>
          <w:lang w:eastAsia="en-AU"/>
        </w:rPr>
        <w:footnoteReference w:id="4"/>
      </w:r>
      <w:r w:rsidRPr="00BD6499">
        <w:rPr>
          <w:lang w:eastAsia="en-AU"/>
        </w:rPr>
        <w:t xml:space="preserve"> </w:t>
      </w:r>
      <w:r w:rsidRPr="00444845">
        <w:t>For example, when the Chief Health Officer consider</w:t>
      </w:r>
      <w:r w:rsidR="004C6CC3" w:rsidRPr="00833D30">
        <w:t>s</w:t>
      </w:r>
      <w:r w:rsidRPr="00D85B08">
        <w:t xml:space="preserve"> an exemption from restrictions </w:t>
      </w:r>
      <w:r w:rsidR="004C6CC3" w:rsidRPr="009C1BEA">
        <w:t xml:space="preserve">imposed on </w:t>
      </w:r>
      <w:r w:rsidRPr="00444845">
        <w:t>an individual, she is required to consider if any limitation on rights is proportionate.</w:t>
      </w:r>
    </w:p>
    <w:p w14:paraId="4EE158CA" w14:textId="5B4224A7" w:rsidR="00DE5232" w:rsidRPr="00BD6499" w:rsidRDefault="00DE5232" w:rsidP="007114E9">
      <w:pPr>
        <w:pStyle w:val="Numberedparagraph"/>
        <w:rPr>
          <w:lang w:eastAsia="en-AU"/>
        </w:rPr>
      </w:pPr>
      <w:r w:rsidRPr="00444845">
        <w:t xml:space="preserve">Finally, the </w:t>
      </w:r>
      <w:r w:rsidR="006A4E7B" w:rsidRPr="00444845">
        <w:t>Commission</w:t>
      </w:r>
      <w:r w:rsidRPr="00444845">
        <w:t>’s</w:t>
      </w:r>
      <w:r w:rsidRPr="00833D30">
        <w:t xml:space="preserve"> </w:t>
      </w:r>
      <w:r w:rsidR="0098037E">
        <w:t>complaints</w:t>
      </w:r>
      <w:r w:rsidR="0098037E" w:rsidRPr="00833D30">
        <w:t xml:space="preserve"> </w:t>
      </w:r>
      <w:r w:rsidRPr="00833D30">
        <w:t xml:space="preserve">process under the </w:t>
      </w:r>
      <w:r w:rsidR="00A466C4" w:rsidRPr="00D85B08">
        <w:rPr>
          <w:iCs/>
        </w:rPr>
        <w:t>HRA</w:t>
      </w:r>
      <w:r w:rsidRPr="00D85B08">
        <w:t xml:space="preserve"> has </w:t>
      </w:r>
      <w:r w:rsidR="0059414F">
        <w:t>resolved</w:t>
      </w:r>
      <w:r w:rsidRPr="00D85B08">
        <w:t xml:space="preserve"> </w:t>
      </w:r>
      <w:r w:rsidR="004C6CC3" w:rsidRPr="0098037E">
        <w:t xml:space="preserve">human rights complaints </w:t>
      </w:r>
      <w:r w:rsidRPr="0098037E">
        <w:t xml:space="preserve">arising under COVID-19 </w:t>
      </w:r>
      <w:r w:rsidR="004C6CC3" w:rsidRPr="0098037E">
        <w:t xml:space="preserve">restrictions </w:t>
      </w:r>
      <w:r w:rsidRPr="0098037E">
        <w:t>in a timely manner</w:t>
      </w:r>
      <w:r w:rsidR="51A7AD91" w:rsidRPr="0098037E">
        <w:t>.</w:t>
      </w:r>
      <w:r w:rsidR="54EEA932" w:rsidRPr="0098037E">
        <w:t xml:space="preserve"> This </w:t>
      </w:r>
      <w:r w:rsidR="00BE564A" w:rsidRPr="0098037E">
        <w:t xml:space="preserve">new </w:t>
      </w:r>
      <w:r w:rsidR="54EEA932" w:rsidRPr="0098037E">
        <w:t xml:space="preserve">complaints process could not have had a more stringent test in its first year of operation than </w:t>
      </w:r>
      <w:r w:rsidR="004C6CC3" w:rsidRPr="009C1BEA">
        <w:t xml:space="preserve">in the context of </w:t>
      </w:r>
      <w:r w:rsidR="54EEA932" w:rsidRPr="00444845">
        <w:t xml:space="preserve">public </w:t>
      </w:r>
      <w:r w:rsidR="004C6CC3" w:rsidRPr="00444845">
        <w:t xml:space="preserve">entities </w:t>
      </w:r>
      <w:r w:rsidR="54EEA932" w:rsidRPr="00444845">
        <w:t xml:space="preserve">responding to a pandemic. Yet it has proved a highly effective way of resolving complaints that may not have otherwise come to the attention of </w:t>
      </w:r>
      <w:r w:rsidR="004C6CC3" w:rsidRPr="00444845">
        <w:t>the agency</w:t>
      </w:r>
      <w:r w:rsidR="00911FFE">
        <w:t xml:space="preserve"> (see example below under heading </w:t>
      </w:r>
      <w:r w:rsidR="00911FFE">
        <w:rPr>
          <w:i/>
        </w:rPr>
        <w:t>Covid-19 enquiry and complaint data</w:t>
      </w:r>
      <w:r w:rsidR="00911FFE">
        <w:t>)</w:t>
      </w:r>
      <w:r w:rsidR="54EEA932" w:rsidRPr="00444845">
        <w:t xml:space="preserve">. </w:t>
      </w:r>
    </w:p>
    <w:p w14:paraId="4CC75E58" w14:textId="77777777" w:rsidR="0045665D" w:rsidRPr="00D85B08" w:rsidRDefault="0045665D" w:rsidP="0045665D">
      <w:pPr>
        <w:pStyle w:val="Heading1"/>
        <w:rPr>
          <w:rFonts w:cs="Arial"/>
          <w:sz w:val="44"/>
        </w:rPr>
      </w:pPr>
      <w:bookmarkStart w:id="7" w:name="_Toc44943792"/>
      <w:r w:rsidRPr="00444845">
        <w:rPr>
          <w:rFonts w:cs="Arial"/>
          <w:sz w:val="44"/>
        </w:rPr>
        <w:t xml:space="preserve">Queensland Human Rights Commission </w:t>
      </w:r>
      <w:r w:rsidR="004C6CC3" w:rsidRPr="00444845">
        <w:rPr>
          <w:rFonts w:cs="Arial"/>
          <w:sz w:val="44"/>
        </w:rPr>
        <w:t>COVID</w:t>
      </w:r>
      <w:r w:rsidRPr="00833D30">
        <w:rPr>
          <w:rFonts w:cs="Arial"/>
          <w:sz w:val="44"/>
        </w:rPr>
        <w:t xml:space="preserve">-19 </w:t>
      </w:r>
      <w:r w:rsidR="004C6CC3" w:rsidRPr="00D85B08">
        <w:rPr>
          <w:rFonts w:cs="Arial"/>
          <w:sz w:val="44"/>
        </w:rPr>
        <w:t>r</w:t>
      </w:r>
      <w:r w:rsidRPr="00D85B08">
        <w:rPr>
          <w:rFonts w:cs="Arial"/>
          <w:sz w:val="44"/>
        </w:rPr>
        <w:t>esponse</w:t>
      </w:r>
      <w:bookmarkEnd w:id="7"/>
    </w:p>
    <w:p w14:paraId="2DF3F7EC" w14:textId="77777777" w:rsidR="00DE5232" w:rsidRPr="00444845" w:rsidRDefault="00F50924" w:rsidP="244A23ED">
      <w:pPr>
        <w:pStyle w:val="Heading2"/>
        <w:rPr>
          <w:rFonts w:cs="Arial"/>
          <w:sz w:val="28"/>
          <w:szCs w:val="28"/>
        </w:rPr>
      </w:pPr>
      <w:bookmarkStart w:id="8" w:name="_Toc44943793"/>
      <w:r w:rsidRPr="009C1BEA">
        <w:rPr>
          <w:rFonts w:cs="Arial"/>
          <w:sz w:val="28"/>
          <w:szCs w:val="28"/>
        </w:rPr>
        <w:t>Commission</w:t>
      </w:r>
      <w:r w:rsidR="004C6CC3" w:rsidRPr="00444845">
        <w:rPr>
          <w:rFonts w:cs="Arial"/>
          <w:sz w:val="28"/>
          <w:szCs w:val="28"/>
        </w:rPr>
        <w:t xml:space="preserve"> functions</w:t>
      </w:r>
      <w:bookmarkEnd w:id="8"/>
    </w:p>
    <w:p w14:paraId="0932591F" w14:textId="77777777" w:rsidR="00CB39F9" w:rsidRPr="00444845" w:rsidRDefault="00CB39F9" w:rsidP="007114E9">
      <w:pPr>
        <w:pStyle w:val="Numberedparagraph"/>
        <w:rPr>
          <w:rFonts w:asciiTheme="minorHAnsi" w:hAnsiTheme="minorHAnsi" w:cstheme="minorBidi"/>
        </w:rPr>
      </w:pPr>
      <w:r w:rsidRPr="00444845">
        <w:t xml:space="preserve">The Commission has functions under the </w:t>
      </w:r>
      <w:r w:rsidRPr="00444845">
        <w:rPr>
          <w:i/>
          <w:iCs/>
        </w:rPr>
        <w:t>Anti-Discrimination Act 1991</w:t>
      </w:r>
      <w:r w:rsidRPr="00444845">
        <w:t xml:space="preserve"> and the </w:t>
      </w:r>
      <w:r w:rsidRPr="00444845">
        <w:rPr>
          <w:i/>
          <w:iCs/>
        </w:rPr>
        <w:t>Human Rights Act 2019</w:t>
      </w:r>
      <w:r w:rsidRPr="00444845">
        <w:t xml:space="preserve"> to promote an understanding and discussion of human rights in Queensland, and to provide information and education about human rights. </w:t>
      </w:r>
      <w:r w:rsidR="5134D568" w:rsidRPr="00444845">
        <w:t>In response to the</w:t>
      </w:r>
      <w:r w:rsidRPr="00444845">
        <w:t xml:space="preserve"> COVID-19 </w:t>
      </w:r>
      <w:r w:rsidR="5134D568" w:rsidRPr="00444845">
        <w:t>pandemic, the Commission</w:t>
      </w:r>
      <w:r w:rsidRPr="00444845">
        <w:t>, has been:</w:t>
      </w:r>
    </w:p>
    <w:p w14:paraId="22EE2755" w14:textId="77777777" w:rsidR="002B7599" w:rsidRPr="00444845" w:rsidRDefault="004C6CC3" w:rsidP="006A4E7B">
      <w:pPr>
        <w:pStyle w:val="Bulletedlist"/>
      </w:pPr>
      <w:r w:rsidRPr="00444845">
        <w:t>m</w:t>
      </w:r>
      <w:r w:rsidR="002B7599" w:rsidRPr="00444845">
        <w:t xml:space="preserve">onitoring </w:t>
      </w:r>
      <w:r w:rsidR="002C0617" w:rsidRPr="00444845">
        <w:t xml:space="preserve">and recording </w:t>
      </w:r>
      <w:r w:rsidR="002B7599" w:rsidRPr="00444845">
        <w:t>human rights restrictions;</w:t>
      </w:r>
    </w:p>
    <w:p w14:paraId="5D901F97" w14:textId="77777777" w:rsidR="00CB39F9" w:rsidRPr="00444845" w:rsidRDefault="004C6CC3" w:rsidP="006A4E7B">
      <w:pPr>
        <w:pStyle w:val="Bulletedlist"/>
      </w:pPr>
      <w:r w:rsidRPr="00444845">
        <w:t>e</w:t>
      </w:r>
      <w:r w:rsidR="00CB39F9" w:rsidRPr="00444845">
        <w:t xml:space="preserve">ngaging with </w:t>
      </w:r>
      <w:r w:rsidR="00913BB0" w:rsidRPr="00444845">
        <w:t xml:space="preserve">the </w:t>
      </w:r>
      <w:r w:rsidR="00CB39F9" w:rsidRPr="00444845">
        <w:t xml:space="preserve">community to identify and respond </w:t>
      </w:r>
      <w:r w:rsidR="36EAFE2B" w:rsidRPr="00444845">
        <w:t xml:space="preserve">systemically </w:t>
      </w:r>
      <w:r w:rsidR="00CB39F9" w:rsidRPr="00444845">
        <w:t>to human rights issues;</w:t>
      </w:r>
    </w:p>
    <w:p w14:paraId="0D2D786E" w14:textId="77777777" w:rsidR="00CB39F9" w:rsidRPr="00444845" w:rsidRDefault="004C6CC3" w:rsidP="006A4E7B">
      <w:pPr>
        <w:pStyle w:val="Bulletedlist"/>
      </w:pPr>
      <w:r w:rsidRPr="00444845">
        <w:t>p</w:t>
      </w:r>
      <w:r w:rsidR="00013135" w:rsidRPr="00444845">
        <w:t>ublishing</w:t>
      </w:r>
      <w:r w:rsidR="00CB39F9" w:rsidRPr="00444845">
        <w:t xml:space="preserve"> information for the community on human rights; </w:t>
      </w:r>
    </w:p>
    <w:p w14:paraId="18408094" w14:textId="77777777" w:rsidR="00CB39F9" w:rsidRPr="00444845" w:rsidRDefault="004C6CC3" w:rsidP="006A4E7B">
      <w:pPr>
        <w:pStyle w:val="Bulletedlist"/>
      </w:pPr>
      <w:r w:rsidRPr="00444845">
        <w:t>r</w:t>
      </w:r>
      <w:r w:rsidR="00CB39F9" w:rsidRPr="00444845">
        <w:t xml:space="preserve">esponding to </w:t>
      </w:r>
      <w:r w:rsidR="00DE5232" w:rsidRPr="00444845">
        <w:t>enquiries regarding COVID-19; and</w:t>
      </w:r>
    </w:p>
    <w:p w14:paraId="04DC9E95" w14:textId="77777777" w:rsidR="00DE5232" w:rsidRPr="00444845" w:rsidRDefault="004C6CC3" w:rsidP="006A4E7B">
      <w:pPr>
        <w:pStyle w:val="Bulletedlist"/>
      </w:pPr>
      <w:r w:rsidRPr="00444845">
        <w:t>c</w:t>
      </w:r>
      <w:r w:rsidR="00DE5232" w:rsidRPr="00444845">
        <w:t>onciliating complaints regarding COVID-19.</w:t>
      </w:r>
    </w:p>
    <w:p w14:paraId="0EDED278" w14:textId="77777777" w:rsidR="002A4E97" w:rsidRPr="00444845" w:rsidRDefault="00DC017A" w:rsidP="002A4E97">
      <w:pPr>
        <w:pStyle w:val="Heading2"/>
        <w:rPr>
          <w:rFonts w:cs="Arial"/>
          <w:sz w:val="28"/>
        </w:rPr>
      </w:pPr>
      <w:bookmarkStart w:id="9" w:name="_Toc44943794"/>
      <w:r w:rsidRPr="00444845">
        <w:rPr>
          <w:rFonts w:cs="Arial"/>
          <w:sz w:val="28"/>
        </w:rPr>
        <w:t>Restrictions r</w:t>
      </w:r>
      <w:r w:rsidR="002A4E97" w:rsidRPr="00444845">
        <w:rPr>
          <w:rFonts w:cs="Arial"/>
          <w:sz w:val="28"/>
        </w:rPr>
        <w:t>egister</w:t>
      </w:r>
      <w:bookmarkEnd w:id="9"/>
    </w:p>
    <w:p w14:paraId="5F6E0BFA" w14:textId="7E71027F" w:rsidR="003263D0" w:rsidRPr="00BD6499" w:rsidRDefault="003263D0" w:rsidP="007114E9">
      <w:pPr>
        <w:pStyle w:val="Numberedparagraph"/>
        <w:rPr>
          <w:lang w:eastAsia="en-AU"/>
        </w:rPr>
      </w:pPr>
      <w:r w:rsidRPr="00BD6499">
        <w:rPr>
          <w:lang w:eastAsia="en-AU"/>
        </w:rPr>
        <w:t>The C</w:t>
      </w:r>
      <w:r w:rsidR="10AFB282" w:rsidRPr="00BD6499">
        <w:rPr>
          <w:lang w:eastAsia="en-AU"/>
        </w:rPr>
        <w:t>ommission</w:t>
      </w:r>
      <w:r w:rsidRPr="00BD6499">
        <w:rPr>
          <w:lang w:eastAsia="en-AU"/>
        </w:rPr>
        <w:t xml:space="preserve"> has been monitoring significant human rights restrictions imposed in response to the pandemic</w:t>
      </w:r>
      <w:r w:rsidR="004C6CC3" w:rsidRPr="00BD6499">
        <w:rPr>
          <w:lang w:eastAsia="en-AU"/>
        </w:rPr>
        <w:t>,</w:t>
      </w:r>
      <w:r w:rsidRPr="00BD6499">
        <w:rPr>
          <w:lang w:eastAsia="en-AU"/>
        </w:rPr>
        <w:t xml:space="preserve"> with a view to ensuring that they remain the least restrictive way of achieving the purpose of safeguarding the lives of people in Queensland. </w:t>
      </w:r>
      <w:r w:rsidR="008E6553" w:rsidRPr="00BD6499">
        <w:rPr>
          <w:lang w:eastAsia="en-AU"/>
        </w:rPr>
        <w:t>The Commission is</w:t>
      </w:r>
      <w:r w:rsidRPr="00BD6499">
        <w:rPr>
          <w:lang w:eastAsia="en-AU"/>
        </w:rPr>
        <w:t xml:space="preserve"> also monitoring restrictions to ensure that they do not </w:t>
      </w:r>
      <w:r w:rsidR="004C6CC3" w:rsidRPr="00BD6499">
        <w:rPr>
          <w:lang w:eastAsia="en-AU"/>
        </w:rPr>
        <w:t xml:space="preserve">have a </w:t>
      </w:r>
      <w:r w:rsidRPr="00BD6499">
        <w:rPr>
          <w:lang w:eastAsia="en-AU"/>
        </w:rPr>
        <w:t xml:space="preserve">disproportionate impact on vulnerable members of the community, and that restrictions on fundamental rights </w:t>
      </w:r>
      <w:r w:rsidR="004C6CC3" w:rsidRPr="00BD6499">
        <w:rPr>
          <w:lang w:eastAsia="en-AU"/>
        </w:rPr>
        <w:t>–</w:t>
      </w:r>
      <w:r w:rsidR="000D1CDB">
        <w:rPr>
          <w:lang w:eastAsia="en-AU"/>
        </w:rPr>
        <w:t xml:space="preserve"> </w:t>
      </w:r>
      <w:r w:rsidRPr="00BD6499">
        <w:rPr>
          <w:lang w:eastAsia="en-AU"/>
        </w:rPr>
        <w:t xml:space="preserve">such as the right to </w:t>
      </w:r>
      <w:r w:rsidR="004C6CC3" w:rsidRPr="00BD6499">
        <w:rPr>
          <w:lang w:eastAsia="en-AU"/>
        </w:rPr>
        <w:t xml:space="preserve">liberty and right to </w:t>
      </w:r>
      <w:r w:rsidRPr="00BD6499">
        <w:rPr>
          <w:lang w:eastAsia="en-AU"/>
        </w:rPr>
        <w:t>freedom of movement</w:t>
      </w:r>
      <w:r w:rsidR="004C6CC3" w:rsidRPr="00BD6499">
        <w:rPr>
          <w:lang w:eastAsia="en-AU"/>
        </w:rPr>
        <w:t xml:space="preserve"> – </w:t>
      </w:r>
      <w:r w:rsidRPr="00BD6499">
        <w:rPr>
          <w:lang w:eastAsia="en-AU"/>
        </w:rPr>
        <w:t xml:space="preserve">are removed </w:t>
      </w:r>
      <w:r w:rsidR="474BA6B9" w:rsidRPr="00BD6499">
        <w:rPr>
          <w:lang w:eastAsia="en-AU"/>
        </w:rPr>
        <w:t>when</w:t>
      </w:r>
      <w:r w:rsidRPr="00BD6499">
        <w:rPr>
          <w:lang w:eastAsia="en-AU"/>
        </w:rPr>
        <w:t xml:space="preserve"> no longer required to protect public health.</w:t>
      </w:r>
    </w:p>
    <w:p w14:paraId="7B31695B" w14:textId="512001FC" w:rsidR="00B64F1A" w:rsidRPr="00BD6499" w:rsidRDefault="00B64F1A" w:rsidP="007114E9">
      <w:pPr>
        <w:pStyle w:val="Numberedparagraph"/>
      </w:pPr>
      <w:r w:rsidRPr="00BD6499">
        <w:t>While current restrictions would</w:t>
      </w:r>
      <w:r w:rsidR="00000151" w:rsidRPr="00BD6499">
        <w:t xml:space="preserve"> </w:t>
      </w:r>
      <w:r w:rsidRPr="00BD6499">
        <w:t xml:space="preserve">appear to be </w:t>
      </w:r>
      <w:r w:rsidR="00000151" w:rsidRPr="00BD6499">
        <w:t xml:space="preserve">imposing </w:t>
      </w:r>
      <w:r w:rsidRPr="00BD6499">
        <w:t xml:space="preserve">justifiable limitations on rights in order to achieve </w:t>
      </w:r>
      <w:r w:rsidR="00000151" w:rsidRPr="00BD6499">
        <w:t>the</w:t>
      </w:r>
      <w:r w:rsidRPr="00BD6499">
        <w:t xml:space="preserve"> legitimate goal of public safety it is vital that they do not stay in place for longer than necessary, or limit rights </w:t>
      </w:r>
      <w:r w:rsidR="499ADAB1" w:rsidRPr="00BD6499">
        <w:t>to a greater extent than necessary</w:t>
      </w:r>
      <w:r w:rsidRPr="00BD6499">
        <w:t>. The Commission has initiated a register of restrictions imposed as part of the COVID-19 response</w:t>
      </w:r>
      <w:r w:rsidR="00000151" w:rsidRPr="00BD6499">
        <w:t>,</w:t>
      </w:r>
      <w:r w:rsidRPr="00BD6499">
        <w:t xml:space="preserve"> and will be monitoring the</w:t>
      </w:r>
      <w:r w:rsidR="4DB79C31" w:rsidRPr="00BD6499">
        <w:t xml:space="preserve"> </w:t>
      </w:r>
      <w:r w:rsidRPr="00BD6499">
        <w:t>length and severity</w:t>
      </w:r>
      <w:r w:rsidR="4DB79C31" w:rsidRPr="00BD6499">
        <w:t xml:space="preserve"> of restrictions.</w:t>
      </w:r>
    </w:p>
    <w:p w14:paraId="51F42793" w14:textId="77777777" w:rsidR="2AE4008D" w:rsidRPr="001D492C" w:rsidRDefault="2AE4008D" w:rsidP="479F8F10">
      <w:pPr>
        <w:pStyle w:val="Heading2"/>
        <w:rPr>
          <w:rFonts w:cs="Arial"/>
          <w:sz w:val="28"/>
        </w:rPr>
      </w:pPr>
      <w:bookmarkStart w:id="10" w:name="_Toc44943795"/>
      <w:r w:rsidRPr="001D492C">
        <w:rPr>
          <w:rFonts w:cs="Arial"/>
          <w:sz w:val="28"/>
        </w:rPr>
        <w:t>Systemic responses to human rights issues</w:t>
      </w:r>
      <w:bookmarkEnd w:id="10"/>
    </w:p>
    <w:p w14:paraId="114223BC" w14:textId="7CE6EB41" w:rsidR="34A6A6E3" w:rsidRPr="00444845" w:rsidRDefault="00F726E2" w:rsidP="00A06FE2">
      <w:pPr>
        <w:pStyle w:val="Numberedparagraph"/>
      </w:pPr>
      <w:r w:rsidRPr="00444845">
        <w:t>Early on, t</w:t>
      </w:r>
      <w:r w:rsidR="66A9F6FD" w:rsidRPr="00833D30">
        <w:t xml:space="preserve">he Commission </w:t>
      </w:r>
      <w:r w:rsidR="3C9CB5F4" w:rsidRPr="0098037E">
        <w:t>identif</w:t>
      </w:r>
      <w:r w:rsidRPr="0098037E">
        <w:t xml:space="preserve">ied the </w:t>
      </w:r>
      <w:r w:rsidR="3C9CB5F4" w:rsidRPr="009C1BEA">
        <w:t xml:space="preserve">communities </w:t>
      </w:r>
      <w:r w:rsidR="52D8A702" w:rsidRPr="009C1BEA">
        <w:t>and sectors wh</w:t>
      </w:r>
      <w:r w:rsidR="0A7BF292" w:rsidRPr="00444845">
        <w:t xml:space="preserve">ich </w:t>
      </w:r>
      <w:r w:rsidR="52D8A702" w:rsidRPr="00444845">
        <w:t>would</w:t>
      </w:r>
      <w:r w:rsidR="1AB26975" w:rsidRPr="00444845">
        <w:t xml:space="preserve"> </w:t>
      </w:r>
      <w:r w:rsidR="2A8AE84B" w:rsidRPr="00444845">
        <w:t xml:space="preserve">be particularly affected </w:t>
      </w:r>
      <w:r w:rsidR="001D492C">
        <w:t xml:space="preserve">by </w:t>
      </w:r>
      <w:r w:rsidR="1AB26975" w:rsidRPr="00444845">
        <w:t>COVID-19 and the</w:t>
      </w:r>
      <w:r w:rsidR="76BF9A50" w:rsidRPr="00444845">
        <w:t xml:space="preserve"> human rights</w:t>
      </w:r>
      <w:r w:rsidR="1AB26975" w:rsidRPr="00444845">
        <w:t xml:space="preserve"> issues that might arise. </w:t>
      </w:r>
      <w:r w:rsidR="0BC305EB" w:rsidRPr="00444845">
        <w:t xml:space="preserve">The Commission then </w:t>
      </w:r>
      <w:r w:rsidRPr="00444845">
        <w:t xml:space="preserve">consulted broadly </w:t>
      </w:r>
      <w:r w:rsidR="0BC305EB" w:rsidRPr="00444845">
        <w:t xml:space="preserve">to </w:t>
      </w:r>
      <w:r w:rsidR="00F77DBA" w:rsidRPr="00444845">
        <w:t xml:space="preserve">inform </w:t>
      </w:r>
      <w:r w:rsidR="0BC305EB" w:rsidRPr="00444845">
        <w:t xml:space="preserve">our understanding </w:t>
      </w:r>
      <w:r w:rsidRPr="00444845">
        <w:t xml:space="preserve">and form an effective response and communication strategy. This included approaching </w:t>
      </w:r>
      <w:r w:rsidR="5BA56279" w:rsidRPr="00444845">
        <w:t>relevant departments to seek clarification, bring</w:t>
      </w:r>
      <w:r w:rsidRPr="00444845">
        <w:t>ing</w:t>
      </w:r>
      <w:r w:rsidR="5BA56279" w:rsidRPr="00444845">
        <w:t xml:space="preserve"> issues to their attention, and mak</w:t>
      </w:r>
      <w:r w:rsidRPr="00444845">
        <w:t>ing</w:t>
      </w:r>
      <w:r w:rsidR="5BA56279" w:rsidRPr="00444845">
        <w:t xml:space="preserve"> recommendations for improvement.</w:t>
      </w:r>
      <w:r w:rsidR="00484848" w:rsidRPr="00444845">
        <w:t xml:space="preserve"> </w:t>
      </w:r>
      <w:r w:rsidR="17CD35BD" w:rsidRPr="00444845">
        <w:t>Much of this work undertaken by the Commission is outlined in this submission below.</w:t>
      </w:r>
    </w:p>
    <w:p w14:paraId="21DE9345" w14:textId="77777777" w:rsidR="00E02580" w:rsidRPr="00444845" w:rsidRDefault="00E02580" w:rsidP="00E02580">
      <w:pPr>
        <w:pStyle w:val="Heading2"/>
        <w:rPr>
          <w:rFonts w:cs="Arial"/>
          <w:sz w:val="28"/>
        </w:rPr>
      </w:pPr>
      <w:bookmarkStart w:id="11" w:name="_Toc44943796"/>
      <w:r w:rsidRPr="00444845">
        <w:rPr>
          <w:rFonts w:cs="Arial"/>
          <w:sz w:val="28"/>
        </w:rPr>
        <w:t>Community education on human rights</w:t>
      </w:r>
      <w:bookmarkEnd w:id="11"/>
    </w:p>
    <w:p w14:paraId="36D6911A" w14:textId="09A8BB6E" w:rsidR="00B64F1A" w:rsidRPr="00444845" w:rsidRDefault="00B64F1A" w:rsidP="007114E9">
      <w:pPr>
        <w:pStyle w:val="Numberedparagraph"/>
      </w:pPr>
      <w:r w:rsidRPr="00444845">
        <w:t xml:space="preserve">The </w:t>
      </w:r>
      <w:r w:rsidR="3AD2D69E" w:rsidRPr="00444845">
        <w:t>Commission</w:t>
      </w:r>
      <w:r w:rsidRPr="00444845">
        <w:t>’</w:t>
      </w:r>
      <w:r w:rsidR="0D2D2E8F" w:rsidRPr="00444845">
        <w:t>s</w:t>
      </w:r>
      <w:r w:rsidRPr="00444845">
        <w:t xml:space="preserve"> COVID-19 and Human Rights </w:t>
      </w:r>
      <w:r w:rsidR="001A1E45" w:rsidRPr="00DE2733">
        <w:t>web page</w:t>
      </w:r>
      <w:r w:rsidR="001A1E45">
        <w:rPr>
          <w:rStyle w:val="FootnoteReference"/>
        </w:rPr>
        <w:footnoteReference w:id="5"/>
      </w:r>
      <w:r w:rsidRPr="00444845">
        <w:t xml:space="preserve"> has accessible </w:t>
      </w:r>
      <w:r w:rsidR="00A40932" w:rsidRPr="00444845">
        <w:t>and up</w:t>
      </w:r>
      <w:r w:rsidR="00EB13F9" w:rsidRPr="00833D30">
        <w:t>-</w:t>
      </w:r>
      <w:r w:rsidR="00A40932" w:rsidRPr="0098037E">
        <w:t>to</w:t>
      </w:r>
      <w:r w:rsidR="00EB13F9" w:rsidRPr="0098037E">
        <w:t>-</w:t>
      </w:r>
      <w:r w:rsidR="00A40932" w:rsidRPr="009C1BEA">
        <w:t xml:space="preserve">date </w:t>
      </w:r>
      <w:r w:rsidRPr="009C1BEA">
        <w:t xml:space="preserve">information for the community </w:t>
      </w:r>
      <w:r w:rsidR="000C6818" w:rsidRPr="00444845">
        <w:t xml:space="preserve">about </w:t>
      </w:r>
      <w:r w:rsidR="005D7F60" w:rsidRPr="00444845">
        <w:t xml:space="preserve">relevant </w:t>
      </w:r>
      <w:r w:rsidR="000C6818" w:rsidRPr="00444845">
        <w:t>human rights</w:t>
      </w:r>
      <w:r w:rsidR="005D7F60" w:rsidRPr="00444845">
        <w:t xml:space="preserve"> issues arising during the COVID-19 pandemic</w:t>
      </w:r>
      <w:r w:rsidR="000C6818" w:rsidRPr="00444845">
        <w:t xml:space="preserve">. In </w:t>
      </w:r>
      <w:r w:rsidR="0023127A" w:rsidRPr="00444845">
        <w:t>addition</w:t>
      </w:r>
      <w:r w:rsidR="000C6818" w:rsidRPr="00444845">
        <w:t xml:space="preserve">, </w:t>
      </w:r>
      <w:r w:rsidR="5607A171" w:rsidRPr="00444845">
        <w:t>three</w:t>
      </w:r>
      <w:r w:rsidR="000C6818" w:rsidRPr="00444845">
        <w:t xml:space="preserve"> </w:t>
      </w:r>
      <w:r w:rsidR="00EB13F9" w:rsidRPr="00444845">
        <w:t xml:space="preserve">new </w:t>
      </w:r>
      <w:r w:rsidR="000C6818" w:rsidRPr="00444845">
        <w:t>fact sh</w:t>
      </w:r>
      <w:r w:rsidR="006E592A" w:rsidRPr="00444845">
        <w:t xml:space="preserve">eets were developed by the </w:t>
      </w:r>
      <w:r w:rsidR="45A79BF7" w:rsidRPr="00444845">
        <w:t>Commission</w:t>
      </w:r>
      <w:r w:rsidR="006E592A" w:rsidRPr="00444845">
        <w:t>:</w:t>
      </w:r>
    </w:p>
    <w:p w14:paraId="0E62E39A" w14:textId="77E4ED37" w:rsidR="000C6818" w:rsidRPr="00DE2733" w:rsidRDefault="009967CF" w:rsidP="00670F3F">
      <w:pPr>
        <w:numPr>
          <w:ilvl w:val="0"/>
          <w:numId w:val="2"/>
        </w:numPr>
        <w:spacing w:before="100" w:beforeAutospacing="1" w:after="100" w:afterAutospacing="1"/>
        <w:textAlignment w:val="baseline"/>
        <w:rPr>
          <w:rFonts w:ascii="Arial" w:hAnsi="Arial" w:cs="Arial"/>
        </w:rPr>
      </w:pPr>
      <w:r w:rsidRPr="00DE2733">
        <w:rPr>
          <w:rFonts w:ascii="Arial" w:hAnsi="Arial" w:cs="Arial"/>
        </w:rPr>
        <w:t>Protecting human rights in locked environments during COVID-19: fact sheet;</w:t>
      </w:r>
    </w:p>
    <w:p w14:paraId="574C6F19" w14:textId="28E47463" w:rsidR="000C6818" w:rsidRPr="00DE2733" w:rsidRDefault="009967CF" w:rsidP="00670F3F">
      <w:pPr>
        <w:numPr>
          <w:ilvl w:val="0"/>
          <w:numId w:val="2"/>
        </w:numPr>
        <w:spacing w:before="100" w:beforeAutospacing="1" w:after="100" w:afterAutospacing="1"/>
        <w:textAlignment w:val="baseline"/>
        <w:rPr>
          <w:rFonts w:ascii="Arial" w:hAnsi="Arial" w:cs="Arial"/>
        </w:rPr>
      </w:pPr>
      <w:r w:rsidRPr="00DE2733">
        <w:rPr>
          <w:rFonts w:ascii="Arial" w:hAnsi="Arial" w:cs="Arial"/>
        </w:rPr>
        <w:t>COVID-19 and bail: fact sheet;</w:t>
      </w:r>
      <w:r w:rsidR="00F2589C">
        <w:rPr>
          <w:rFonts w:ascii="Arial" w:hAnsi="Arial" w:cs="Arial"/>
        </w:rPr>
        <w:t xml:space="preserve"> and</w:t>
      </w:r>
    </w:p>
    <w:p w14:paraId="04E4468A" w14:textId="0E267ABD" w:rsidR="78FD84CA" w:rsidRPr="00DE2733" w:rsidRDefault="009967CF" w:rsidP="00670F3F">
      <w:pPr>
        <w:numPr>
          <w:ilvl w:val="0"/>
          <w:numId w:val="2"/>
        </w:numPr>
        <w:spacing w:beforeAutospacing="1" w:afterAutospacing="1"/>
        <w:rPr>
          <w:rFonts w:ascii="Arial" w:hAnsi="Arial" w:cs="Arial"/>
        </w:rPr>
      </w:pPr>
      <w:r w:rsidRPr="00DE2733">
        <w:rPr>
          <w:rFonts w:ascii="Arial" w:hAnsi="Arial" w:cs="Arial"/>
        </w:rPr>
        <w:t>Laws and policies which limit human rights: fact sheet.</w:t>
      </w:r>
    </w:p>
    <w:p w14:paraId="62BDE8EC" w14:textId="77777777" w:rsidR="00FE5FB9" w:rsidRPr="00833D30" w:rsidRDefault="00FE5FB9" w:rsidP="00FE5FB9">
      <w:pPr>
        <w:pStyle w:val="Heading2"/>
        <w:rPr>
          <w:rFonts w:cs="Arial"/>
          <w:sz w:val="28"/>
        </w:rPr>
      </w:pPr>
      <w:bookmarkStart w:id="12" w:name="_Toc44943797"/>
      <w:r w:rsidRPr="00444845">
        <w:rPr>
          <w:rFonts w:cs="Arial"/>
          <w:sz w:val="28"/>
        </w:rPr>
        <w:t xml:space="preserve">COVID-19 </w:t>
      </w:r>
      <w:r w:rsidR="00EB13F9" w:rsidRPr="00444845">
        <w:rPr>
          <w:rFonts w:cs="Arial"/>
          <w:sz w:val="28"/>
        </w:rPr>
        <w:t>e</w:t>
      </w:r>
      <w:r w:rsidRPr="00444845">
        <w:rPr>
          <w:rFonts w:cs="Arial"/>
          <w:sz w:val="28"/>
        </w:rPr>
        <w:t xml:space="preserve">nquiry and </w:t>
      </w:r>
      <w:r w:rsidR="00EB13F9" w:rsidRPr="00833D30">
        <w:rPr>
          <w:rFonts w:cs="Arial"/>
          <w:sz w:val="28"/>
        </w:rPr>
        <w:t>c</w:t>
      </w:r>
      <w:r w:rsidRPr="00833D30">
        <w:rPr>
          <w:rFonts w:cs="Arial"/>
          <w:sz w:val="28"/>
        </w:rPr>
        <w:t>omplaint data</w:t>
      </w:r>
      <w:bookmarkEnd w:id="12"/>
    </w:p>
    <w:p w14:paraId="4A680736" w14:textId="34352329" w:rsidR="00EA6F27" w:rsidRPr="00444845" w:rsidRDefault="00F60E31" w:rsidP="007114E9">
      <w:pPr>
        <w:pStyle w:val="Numberedparagraph"/>
      </w:pPr>
      <w:r w:rsidRPr="009C1BEA">
        <w:t>At the time of writing</w:t>
      </w:r>
      <w:r w:rsidR="00EB13F9" w:rsidRPr="00444845">
        <w:t>,</w:t>
      </w:r>
      <w:r w:rsidRPr="00444845">
        <w:t xml:space="preserve"> </w:t>
      </w:r>
      <w:r w:rsidR="00530294" w:rsidRPr="00444845">
        <w:t>the C</w:t>
      </w:r>
      <w:r w:rsidR="7F50F5F1" w:rsidRPr="00444845">
        <w:t>ommission</w:t>
      </w:r>
      <w:r w:rsidRPr="00444845">
        <w:t xml:space="preserve"> </w:t>
      </w:r>
      <w:r w:rsidR="00530294" w:rsidRPr="00444845">
        <w:t>has</w:t>
      </w:r>
      <w:r w:rsidRPr="00444845">
        <w:t xml:space="preserve"> received</w:t>
      </w:r>
      <w:r w:rsidR="05567EE6" w:rsidRPr="00444845">
        <w:t xml:space="preserve"> </w:t>
      </w:r>
      <w:r w:rsidR="00A809EE" w:rsidRPr="00444845">
        <w:t xml:space="preserve">just over </w:t>
      </w:r>
      <w:r w:rsidR="00BC61F3" w:rsidRPr="00444845">
        <w:t>190</w:t>
      </w:r>
      <w:r w:rsidR="00DC353E" w:rsidRPr="00444845">
        <w:t xml:space="preserve"> </w:t>
      </w:r>
      <w:r w:rsidRPr="00444845">
        <w:t xml:space="preserve">enquiries </w:t>
      </w:r>
      <w:r w:rsidR="00425835" w:rsidRPr="00444845">
        <w:t>and 30 complaints</w:t>
      </w:r>
      <w:r w:rsidRPr="00444845">
        <w:rPr>
          <w:rStyle w:val="FootnoteReference"/>
        </w:rPr>
        <w:footnoteReference w:id="6"/>
      </w:r>
      <w:r w:rsidR="00425835" w:rsidRPr="00444845">
        <w:t xml:space="preserve"> </w:t>
      </w:r>
      <w:r w:rsidRPr="00444845">
        <w:t>relating to COVID-19.</w:t>
      </w:r>
      <w:r w:rsidR="00A70ACA" w:rsidRPr="00444845">
        <w:t xml:space="preserve"> The </w:t>
      </w:r>
      <w:r w:rsidR="00F86645" w:rsidRPr="00833D30">
        <w:t xml:space="preserve">most common </w:t>
      </w:r>
      <w:r w:rsidR="00A70ACA" w:rsidRPr="009C1BEA">
        <w:t>enquiries</w:t>
      </w:r>
      <w:r w:rsidR="00967F7D" w:rsidRPr="00444845">
        <w:t xml:space="preserve"> and complaints</w:t>
      </w:r>
      <w:r w:rsidR="00A70ACA" w:rsidRPr="00444845">
        <w:t xml:space="preserve"> </w:t>
      </w:r>
      <w:r w:rsidR="00C054D3" w:rsidRPr="00444845">
        <w:t>involve</w:t>
      </w:r>
      <w:r w:rsidR="00B91248" w:rsidRPr="00444845">
        <w:t xml:space="preserve"> concerns</w:t>
      </w:r>
      <w:r w:rsidR="00A70ACA" w:rsidRPr="00444845">
        <w:t xml:space="preserve"> </w:t>
      </w:r>
      <w:r w:rsidR="00EB13F9" w:rsidRPr="00444845">
        <w:t>about</w:t>
      </w:r>
      <w:r w:rsidR="00A70ACA" w:rsidRPr="00444845">
        <w:t>:</w:t>
      </w:r>
    </w:p>
    <w:p w14:paraId="56C6235E" w14:textId="77777777" w:rsidR="00A70ACA" w:rsidRPr="00444845" w:rsidRDefault="00EB13F9" w:rsidP="006A4E7B">
      <w:pPr>
        <w:pStyle w:val="Bulletedlist"/>
      </w:pPr>
      <w:r w:rsidRPr="00444845">
        <w:t>l</w:t>
      </w:r>
      <w:r w:rsidR="00A70ACA" w:rsidRPr="00444845">
        <w:t xml:space="preserve">ack of fresh air </w:t>
      </w:r>
      <w:r w:rsidR="004A1BE5" w:rsidRPr="00444845">
        <w:t xml:space="preserve">and exercise </w:t>
      </w:r>
      <w:r w:rsidR="00A70ACA" w:rsidRPr="00444845">
        <w:t>in mandatory</w:t>
      </w:r>
      <w:r w:rsidR="142B0D5F" w:rsidRPr="00444845">
        <w:t xml:space="preserve"> hotel</w:t>
      </w:r>
      <w:r w:rsidR="00A70ACA" w:rsidRPr="00444845">
        <w:t xml:space="preserve"> quarantine</w:t>
      </w:r>
      <w:r w:rsidR="002008EF" w:rsidRPr="00444845">
        <w:t>;</w:t>
      </w:r>
    </w:p>
    <w:p w14:paraId="298C0E0B" w14:textId="77777777" w:rsidR="00A70ACA" w:rsidRPr="00444845" w:rsidRDefault="00EB13F9" w:rsidP="006A4E7B">
      <w:pPr>
        <w:pStyle w:val="Bulletedlist"/>
      </w:pPr>
      <w:r w:rsidRPr="00444845">
        <w:t>a</w:t>
      </w:r>
      <w:r w:rsidR="00A70ACA" w:rsidRPr="00444845">
        <w:t xml:space="preserve">ccess to </w:t>
      </w:r>
      <w:r w:rsidR="00007038" w:rsidRPr="00444845">
        <w:t>education</w:t>
      </w:r>
      <w:r w:rsidR="00A70ACA" w:rsidRPr="00444845">
        <w:t xml:space="preserve"> for children with disability</w:t>
      </w:r>
      <w:r w:rsidR="002008EF" w:rsidRPr="00444845">
        <w:t>;</w:t>
      </w:r>
    </w:p>
    <w:p w14:paraId="159A92DC" w14:textId="23B4DD5C" w:rsidR="002A4E97" w:rsidRPr="00444845" w:rsidRDefault="00002EF3" w:rsidP="006A4E7B">
      <w:pPr>
        <w:pStyle w:val="Bulletedlist"/>
      </w:pPr>
      <w:r w:rsidRPr="00444845">
        <w:t xml:space="preserve">inability </w:t>
      </w:r>
      <w:r w:rsidR="00EB13F9" w:rsidRPr="00444845">
        <w:t xml:space="preserve">of </w:t>
      </w:r>
      <w:r w:rsidR="00A70ACA" w:rsidRPr="00444845">
        <w:t xml:space="preserve">Aboriginal </w:t>
      </w:r>
      <w:r w:rsidR="00EB13F9" w:rsidRPr="00444845">
        <w:t xml:space="preserve">people </w:t>
      </w:r>
      <w:r w:rsidR="00A70ACA" w:rsidRPr="00444845">
        <w:t xml:space="preserve">and Torres Strait Islander people </w:t>
      </w:r>
      <w:r w:rsidR="00DA225C" w:rsidRPr="00444845">
        <w:t>to</w:t>
      </w:r>
      <w:r w:rsidR="00A70ACA" w:rsidRPr="00444845">
        <w:t xml:space="preserve"> return to their communities</w:t>
      </w:r>
      <w:r w:rsidR="002008EF" w:rsidRPr="00444845">
        <w:t>;</w:t>
      </w:r>
    </w:p>
    <w:p w14:paraId="176F27F8" w14:textId="77777777" w:rsidR="003661EB" w:rsidRPr="00444845" w:rsidRDefault="00EB13F9" w:rsidP="006A4E7B">
      <w:pPr>
        <w:pStyle w:val="Bulletedlist"/>
      </w:pPr>
      <w:r w:rsidRPr="00444845">
        <w:t>v</w:t>
      </w:r>
      <w:r w:rsidR="003661EB" w:rsidRPr="00444845">
        <w:t xml:space="preserve">ilification and discrimination against </w:t>
      </w:r>
      <w:r w:rsidRPr="00444845">
        <w:t>people of ‘Asian’ appearance</w:t>
      </w:r>
      <w:r w:rsidR="003661EB" w:rsidRPr="00444845">
        <w:t>;</w:t>
      </w:r>
    </w:p>
    <w:p w14:paraId="283F6D53" w14:textId="77777777" w:rsidR="00DE3058" w:rsidRPr="00444845" w:rsidRDefault="008820C0" w:rsidP="006A4E7B">
      <w:pPr>
        <w:pStyle w:val="Bulletedlist"/>
      </w:pPr>
      <w:r w:rsidRPr="00444845">
        <w:t>prison</w:t>
      </w:r>
      <w:r w:rsidR="00EB13F9" w:rsidRPr="00444845">
        <w:t xml:space="preserve"> issues</w:t>
      </w:r>
      <w:r w:rsidRPr="00444845">
        <w:t xml:space="preserve">, including isolation, </w:t>
      </w:r>
      <w:r w:rsidR="00D109A7" w:rsidRPr="00444845">
        <w:t>lack of</w:t>
      </w:r>
      <w:r w:rsidRPr="00444845">
        <w:t xml:space="preserve"> </w:t>
      </w:r>
      <w:r w:rsidR="264440E9" w:rsidRPr="00444845">
        <w:t>personal protective equipment (PPE)</w:t>
      </w:r>
      <w:r w:rsidRPr="00444845">
        <w:t xml:space="preserve">, </w:t>
      </w:r>
      <w:r w:rsidR="3B3CD045" w:rsidRPr="00444845">
        <w:t xml:space="preserve">and </w:t>
      </w:r>
      <w:r w:rsidR="00DE3058" w:rsidRPr="00444845">
        <w:t>access to family and lawyers;</w:t>
      </w:r>
    </w:p>
    <w:p w14:paraId="7A7AEBFF" w14:textId="77777777" w:rsidR="00B93B12" w:rsidRPr="00444845" w:rsidRDefault="00EB13F9" w:rsidP="006A4E7B">
      <w:pPr>
        <w:pStyle w:val="Bulletedlist"/>
      </w:pPr>
      <w:r w:rsidRPr="00444845">
        <w:t>t</w:t>
      </w:r>
      <w:r w:rsidR="00B93B12" w:rsidRPr="00444845">
        <w:t xml:space="preserve">enancy issues, </w:t>
      </w:r>
      <w:r w:rsidRPr="00444845">
        <w:t>including</w:t>
      </w:r>
      <w:r w:rsidR="00B93B12" w:rsidRPr="00444845">
        <w:t xml:space="preserve"> discrimination against </w:t>
      </w:r>
      <w:r w:rsidR="00BE564A" w:rsidRPr="00444845">
        <w:t>pe</w:t>
      </w:r>
      <w:r w:rsidRPr="00444845">
        <w:t>ople</w:t>
      </w:r>
      <w:r w:rsidR="00BE564A" w:rsidRPr="00444845">
        <w:t xml:space="preserve"> who are </w:t>
      </w:r>
      <w:r w:rsidR="00484848" w:rsidRPr="00444845">
        <w:t xml:space="preserve">temporary residents </w:t>
      </w:r>
      <w:r w:rsidR="00BE564A" w:rsidRPr="00444845">
        <w:t>of Australia</w:t>
      </w:r>
      <w:r w:rsidR="00B93B12" w:rsidRPr="00444845">
        <w:t>;</w:t>
      </w:r>
    </w:p>
    <w:p w14:paraId="392F8410" w14:textId="77777777" w:rsidR="00210867" w:rsidRPr="00444845" w:rsidRDefault="003E033F" w:rsidP="006A4E7B">
      <w:pPr>
        <w:pStyle w:val="Bulletedlist"/>
      </w:pPr>
      <w:r w:rsidRPr="00444845">
        <w:t>lack of meaningful contact for p</w:t>
      </w:r>
      <w:r w:rsidR="00210867" w:rsidRPr="00444845">
        <w:t>arents and relatives of children in out</w:t>
      </w:r>
      <w:r w:rsidR="00C50B63" w:rsidRPr="00444845">
        <w:t>-</w:t>
      </w:r>
      <w:r w:rsidR="00210867" w:rsidRPr="00444845">
        <w:t>of</w:t>
      </w:r>
      <w:r w:rsidR="00C50B63" w:rsidRPr="00444845">
        <w:t>-</w:t>
      </w:r>
      <w:r w:rsidR="00210867" w:rsidRPr="00444845">
        <w:t>home care;</w:t>
      </w:r>
      <w:r w:rsidR="0083321A" w:rsidRPr="00444845">
        <w:t xml:space="preserve"> and</w:t>
      </w:r>
    </w:p>
    <w:p w14:paraId="16AA64A3" w14:textId="753DB92F" w:rsidR="004A5082" w:rsidRDefault="00D12B57" w:rsidP="006A4E7B">
      <w:pPr>
        <w:pStyle w:val="Bulletedlist"/>
      </w:pPr>
      <w:r>
        <w:t>employment</w:t>
      </w:r>
      <w:r w:rsidR="006433F0" w:rsidRPr="00444845">
        <w:t xml:space="preserve"> issues</w:t>
      </w:r>
      <w:r w:rsidR="00C50B63" w:rsidRPr="00444845">
        <w:t>,</w:t>
      </w:r>
      <w:r w:rsidR="00152D59" w:rsidRPr="00444845">
        <w:t xml:space="preserve"> including </w:t>
      </w:r>
      <w:r w:rsidR="0029364C" w:rsidRPr="00444845">
        <w:t>alleged unfair treatment of older workers.</w:t>
      </w:r>
    </w:p>
    <w:p w14:paraId="1C43564C" w14:textId="459C282A" w:rsidR="00971EFD" w:rsidRDefault="00971EFD">
      <w:pPr>
        <w:rPr>
          <w:rFonts w:ascii="Arial" w:hAnsi="Arial" w:cs="Arial"/>
        </w:rPr>
      </w:pPr>
      <w:r>
        <w:br w:type="page"/>
      </w:r>
    </w:p>
    <w:p w14:paraId="0CB0AE22" w14:textId="35243331" w:rsidR="004A5082" w:rsidRDefault="68925F6F" w:rsidP="00670F3F">
      <w:pPr>
        <w:pStyle w:val="Numberedparagraph"/>
      </w:pPr>
      <w:r w:rsidRPr="00444845">
        <w:t xml:space="preserve">The following case study </w:t>
      </w:r>
      <w:r w:rsidR="1E029D15" w:rsidRPr="00444845">
        <w:t>demonstrates</w:t>
      </w:r>
      <w:r w:rsidRPr="00444845">
        <w:t xml:space="preserve"> the </w:t>
      </w:r>
      <w:r w:rsidR="6C6C741B" w:rsidRPr="00444845">
        <w:t xml:space="preserve">effectiveness </w:t>
      </w:r>
      <w:r w:rsidRPr="00444845">
        <w:t xml:space="preserve">of the </w:t>
      </w:r>
      <w:r w:rsidR="00A14925">
        <w:t>Commission’s</w:t>
      </w:r>
      <w:r w:rsidRPr="00444845">
        <w:t xml:space="preserve"> </w:t>
      </w:r>
      <w:r w:rsidR="00BD6499">
        <w:t>complaint</w:t>
      </w:r>
      <w:r w:rsidR="00BD6499" w:rsidRPr="00444845">
        <w:t xml:space="preserve"> </w:t>
      </w:r>
      <w:r w:rsidRPr="00444845">
        <w:t>process</w:t>
      </w:r>
      <w:r w:rsidR="69EB37F2" w:rsidRPr="00444845">
        <w:t xml:space="preserve"> </w:t>
      </w:r>
      <w:r w:rsidR="531945B8" w:rsidRPr="00444845">
        <w:t xml:space="preserve">in safeguarding human rights and offering the opportunity for </w:t>
      </w:r>
      <w:r w:rsidR="69EB37F2" w:rsidRPr="00444845">
        <w:t xml:space="preserve">early resolution of </w:t>
      </w:r>
      <w:r w:rsidR="71867EAC" w:rsidRPr="00444845">
        <w:t>complaints</w:t>
      </w:r>
      <w:r w:rsidR="72C86C6E" w:rsidRPr="00833D30">
        <w:t>:</w:t>
      </w:r>
    </w:p>
    <w:p w14:paraId="1FC39945" w14:textId="77777777" w:rsidR="00975DF8" w:rsidRPr="009C1BEA" w:rsidRDefault="00975DF8" w:rsidP="00580686">
      <w:pPr>
        <w:rPr>
          <w:rFonts w:ascii="Arial" w:hAnsi="Arial" w:cs="Arial"/>
        </w:rPr>
      </w:pPr>
    </w:p>
    <w:p w14:paraId="30E7BBCD" w14:textId="77777777" w:rsidR="00580686" w:rsidRPr="00BD6499" w:rsidRDefault="00580686" w:rsidP="005F4071">
      <w:pPr>
        <w:pBdr>
          <w:top w:val="single" w:sz="4" w:space="1" w:color="auto"/>
          <w:left w:val="single" w:sz="4" w:space="0" w:color="auto"/>
          <w:bottom w:val="single" w:sz="4" w:space="1" w:color="auto"/>
          <w:right w:val="single" w:sz="4" w:space="4" w:color="auto"/>
        </w:pBdr>
        <w:rPr>
          <w:rFonts w:ascii="Arial" w:hAnsi="Arial" w:cs="Arial"/>
          <w:b/>
        </w:rPr>
      </w:pPr>
      <w:r w:rsidRPr="00BD6499">
        <w:rPr>
          <w:rFonts w:ascii="Arial" w:hAnsi="Arial" w:cs="Arial"/>
          <w:b/>
        </w:rPr>
        <w:t xml:space="preserve">Case </w:t>
      </w:r>
      <w:r w:rsidR="00C50B63" w:rsidRPr="00BD6499">
        <w:rPr>
          <w:rFonts w:ascii="Arial" w:hAnsi="Arial" w:cs="Arial"/>
          <w:b/>
        </w:rPr>
        <w:t>s</w:t>
      </w:r>
      <w:r w:rsidRPr="00BD6499">
        <w:rPr>
          <w:rFonts w:ascii="Arial" w:hAnsi="Arial" w:cs="Arial"/>
          <w:b/>
        </w:rPr>
        <w:t>tudy – Child with a disability and her family granted exemption from hotel quarantine</w:t>
      </w:r>
    </w:p>
    <w:p w14:paraId="0562CB0E" w14:textId="77777777" w:rsidR="00580686" w:rsidRPr="00BD6499" w:rsidRDefault="00580686" w:rsidP="005F4071">
      <w:pPr>
        <w:pBdr>
          <w:top w:val="single" w:sz="4" w:space="1" w:color="auto"/>
          <w:left w:val="single" w:sz="4" w:space="0" w:color="auto"/>
          <w:bottom w:val="single" w:sz="4" w:space="1" w:color="auto"/>
          <w:right w:val="single" w:sz="4" w:space="4" w:color="auto"/>
        </w:pBdr>
        <w:rPr>
          <w:rFonts w:ascii="Arial" w:hAnsi="Arial" w:cs="Arial"/>
          <w:b/>
        </w:rPr>
      </w:pPr>
    </w:p>
    <w:p w14:paraId="1DC43029" w14:textId="77777777" w:rsidR="00C50B63" w:rsidRPr="00BD6499" w:rsidRDefault="00580686" w:rsidP="36E14592">
      <w:pPr>
        <w:pBdr>
          <w:top w:val="single" w:sz="4" w:space="1" w:color="auto"/>
          <w:left w:val="single" w:sz="4" w:space="0" w:color="auto"/>
          <w:bottom w:val="single" w:sz="4" w:space="1" w:color="auto"/>
          <w:right w:val="single" w:sz="4" w:space="4" w:color="auto"/>
        </w:pBdr>
        <w:rPr>
          <w:rFonts w:ascii="Arial" w:hAnsi="Arial" w:cs="Arial"/>
        </w:rPr>
      </w:pPr>
      <w:r w:rsidRPr="00BD6499">
        <w:rPr>
          <w:rFonts w:ascii="Arial" w:hAnsi="Arial" w:cs="Arial"/>
        </w:rPr>
        <w:t xml:space="preserve">A family of five adults and </w:t>
      </w:r>
      <w:r w:rsidR="00C50B63" w:rsidRPr="00BD6499">
        <w:rPr>
          <w:rFonts w:ascii="Arial" w:hAnsi="Arial" w:cs="Arial"/>
        </w:rPr>
        <w:t xml:space="preserve">a </w:t>
      </w:r>
      <w:r w:rsidR="00923EF6" w:rsidRPr="00BD6499">
        <w:rPr>
          <w:rFonts w:ascii="Arial" w:hAnsi="Arial" w:cs="Arial"/>
        </w:rPr>
        <w:t>three</w:t>
      </w:r>
      <w:r w:rsidR="00C50B63" w:rsidRPr="00BD6499">
        <w:rPr>
          <w:rFonts w:ascii="Arial" w:hAnsi="Arial" w:cs="Arial"/>
        </w:rPr>
        <w:t>-</w:t>
      </w:r>
      <w:r w:rsidRPr="00BD6499">
        <w:rPr>
          <w:rFonts w:ascii="Arial" w:hAnsi="Arial" w:cs="Arial"/>
        </w:rPr>
        <w:t>year</w:t>
      </w:r>
      <w:r w:rsidR="00C50B63" w:rsidRPr="00BD6499">
        <w:rPr>
          <w:rFonts w:ascii="Arial" w:hAnsi="Arial" w:cs="Arial"/>
        </w:rPr>
        <w:t>-</w:t>
      </w:r>
      <w:r w:rsidRPr="00BD6499">
        <w:rPr>
          <w:rFonts w:ascii="Arial" w:hAnsi="Arial" w:cs="Arial"/>
        </w:rPr>
        <w:t xml:space="preserve">old </w:t>
      </w:r>
      <w:r w:rsidR="00C50B63" w:rsidRPr="00BD6499">
        <w:rPr>
          <w:rFonts w:ascii="Arial" w:hAnsi="Arial" w:cs="Arial"/>
        </w:rPr>
        <w:t xml:space="preserve">child </w:t>
      </w:r>
      <w:r w:rsidRPr="00BD6499">
        <w:rPr>
          <w:rFonts w:ascii="Arial" w:hAnsi="Arial" w:cs="Arial"/>
        </w:rPr>
        <w:t>were placed in mandatory quarantine after returning from overseas. Although they were Queensland residents, they had spen</w:t>
      </w:r>
      <w:r w:rsidR="00C50B63" w:rsidRPr="00BD6499">
        <w:rPr>
          <w:rFonts w:ascii="Arial" w:hAnsi="Arial" w:cs="Arial"/>
        </w:rPr>
        <w:t>t</w:t>
      </w:r>
      <w:r w:rsidRPr="00BD6499">
        <w:rPr>
          <w:rFonts w:ascii="Arial" w:hAnsi="Arial" w:cs="Arial"/>
        </w:rPr>
        <w:t xml:space="preserve"> </w:t>
      </w:r>
      <w:r w:rsidR="00C50B63" w:rsidRPr="00BD6499">
        <w:rPr>
          <w:rFonts w:ascii="Arial" w:hAnsi="Arial" w:cs="Arial"/>
        </w:rPr>
        <w:t>ten</w:t>
      </w:r>
      <w:r w:rsidRPr="00BD6499">
        <w:rPr>
          <w:rFonts w:ascii="Arial" w:hAnsi="Arial" w:cs="Arial"/>
        </w:rPr>
        <w:t xml:space="preserve"> months in New Zealand. The </w:t>
      </w:r>
      <w:r w:rsidR="00C50B63" w:rsidRPr="00BD6499">
        <w:rPr>
          <w:rFonts w:ascii="Arial" w:hAnsi="Arial" w:cs="Arial"/>
        </w:rPr>
        <w:t>three-</w:t>
      </w:r>
      <w:r w:rsidRPr="00BD6499">
        <w:rPr>
          <w:rFonts w:ascii="Arial" w:hAnsi="Arial" w:cs="Arial"/>
        </w:rPr>
        <w:t>year</w:t>
      </w:r>
      <w:r w:rsidR="00C50B63" w:rsidRPr="00BD6499">
        <w:rPr>
          <w:rFonts w:ascii="Arial" w:hAnsi="Arial" w:cs="Arial"/>
        </w:rPr>
        <w:t>-</w:t>
      </w:r>
      <w:r w:rsidRPr="00BD6499">
        <w:rPr>
          <w:rFonts w:ascii="Arial" w:hAnsi="Arial" w:cs="Arial"/>
        </w:rPr>
        <w:t xml:space="preserve">old child </w:t>
      </w:r>
      <w:r w:rsidR="00F91BFE" w:rsidRPr="00BD6499">
        <w:rPr>
          <w:rFonts w:ascii="Arial" w:hAnsi="Arial" w:cs="Arial"/>
        </w:rPr>
        <w:t>has autism spectrum disorder</w:t>
      </w:r>
      <w:r w:rsidR="00C50B63" w:rsidRPr="00BD6499">
        <w:rPr>
          <w:rFonts w:ascii="Arial" w:hAnsi="Arial" w:cs="Arial"/>
        </w:rPr>
        <w:t>,</w:t>
      </w:r>
      <w:r w:rsidR="00F91BFE" w:rsidRPr="00BD6499">
        <w:rPr>
          <w:rFonts w:ascii="Arial" w:hAnsi="Arial" w:cs="Arial"/>
        </w:rPr>
        <w:t xml:space="preserve"> and w</w:t>
      </w:r>
      <w:r w:rsidRPr="00BD6499">
        <w:rPr>
          <w:rFonts w:ascii="Arial" w:hAnsi="Arial" w:cs="Arial"/>
        </w:rPr>
        <w:t>hile she was in quarantine it became clear that the environment was completely unsuitable for her needs</w:t>
      </w:r>
      <w:r w:rsidR="006117EE" w:rsidRPr="00BD6499">
        <w:rPr>
          <w:rFonts w:ascii="Arial" w:hAnsi="Arial" w:cs="Arial"/>
        </w:rPr>
        <w:t xml:space="preserve"> and she became distressed</w:t>
      </w:r>
      <w:r w:rsidRPr="00BD6499">
        <w:rPr>
          <w:rFonts w:ascii="Arial" w:hAnsi="Arial" w:cs="Arial"/>
        </w:rPr>
        <w:t xml:space="preserve">. </w:t>
      </w:r>
    </w:p>
    <w:p w14:paraId="34CE0A41" w14:textId="77777777" w:rsidR="00DC353E" w:rsidRPr="00BD6499" w:rsidRDefault="00DC353E" w:rsidP="36E14592">
      <w:pPr>
        <w:pBdr>
          <w:top w:val="single" w:sz="4" w:space="1" w:color="auto"/>
          <w:left w:val="single" w:sz="4" w:space="0" w:color="auto"/>
          <w:bottom w:val="single" w:sz="4" w:space="1" w:color="auto"/>
          <w:right w:val="single" w:sz="4" w:space="4" w:color="auto"/>
        </w:pBdr>
        <w:rPr>
          <w:rFonts w:ascii="Arial" w:hAnsi="Arial" w:cs="Arial"/>
        </w:rPr>
      </w:pPr>
    </w:p>
    <w:p w14:paraId="3CA36BBB" w14:textId="56FC63A0" w:rsidR="007B74E8" w:rsidRPr="00BD6499" w:rsidRDefault="004A5082" w:rsidP="36E14592">
      <w:pPr>
        <w:pBdr>
          <w:top w:val="single" w:sz="4" w:space="1" w:color="auto"/>
          <w:left w:val="single" w:sz="4" w:space="0" w:color="auto"/>
          <w:bottom w:val="single" w:sz="4" w:space="1" w:color="auto"/>
          <w:right w:val="single" w:sz="4" w:space="4" w:color="auto"/>
        </w:pBdr>
        <w:rPr>
          <w:rFonts w:ascii="Arial" w:hAnsi="Arial" w:cs="Arial"/>
        </w:rPr>
      </w:pPr>
      <w:r>
        <w:rPr>
          <w:rFonts w:ascii="Arial" w:hAnsi="Arial" w:cs="Arial"/>
        </w:rPr>
        <w:t>The three-year-old child</w:t>
      </w:r>
      <w:r w:rsidR="00580686" w:rsidRPr="00BD6499">
        <w:rPr>
          <w:rFonts w:ascii="Arial" w:hAnsi="Arial" w:cs="Arial"/>
        </w:rPr>
        <w:t xml:space="preserve"> experienced severe food aversions and her diet </w:t>
      </w:r>
      <w:r w:rsidR="00C50B63" w:rsidRPr="00BD6499">
        <w:rPr>
          <w:rFonts w:ascii="Arial" w:hAnsi="Arial" w:cs="Arial"/>
        </w:rPr>
        <w:t>could not</w:t>
      </w:r>
      <w:r w:rsidR="00580686" w:rsidRPr="00BD6499">
        <w:rPr>
          <w:rFonts w:ascii="Arial" w:hAnsi="Arial" w:cs="Arial"/>
        </w:rPr>
        <w:t xml:space="preserve"> be catered for in quarantine. </w:t>
      </w:r>
      <w:r w:rsidR="52F22690" w:rsidRPr="00BD6499">
        <w:rPr>
          <w:rFonts w:ascii="Arial" w:hAnsi="Arial" w:cs="Arial"/>
        </w:rPr>
        <w:t>The</w:t>
      </w:r>
      <w:r w:rsidR="00580686" w:rsidRPr="00BD6499">
        <w:rPr>
          <w:rFonts w:ascii="Arial" w:hAnsi="Arial" w:cs="Arial"/>
        </w:rPr>
        <w:t xml:space="preserve"> mother</w:t>
      </w:r>
      <w:r w:rsidR="4FF23ADF" w:rsidRPr="00BD6499">
        <w:rPr>
          <w:rFonts w:ascii="Arial" w:hAnsi="Arial" w:cs="Arial"/>
        </w:rPr>
        <w:t xml:space="preserve"> </w:t>
      </w:r>
      <w:r w:rsidR="007B74E8" w:rsidRPr="00BD6499">
        <w:rPr>
          <w:rFonts w:ascii="Arial" w:hAnsi="Arial" w:cs="Arial"/>
        </w:rPr>
        <w:t>relied on</w:t>
      </w:r>
      <w:r w:rsidR="00580686" w:rsidRPr="00BD6499">
        <w:rPr>
          <w:rFonts w:ascii="Arial" w:hAnsi="Arial" w:cs="Arial"/>
        </w:rPr>
        <w:t xml:space="preserve"> family to help care for </w:t>
      </w:r>
      <w:r w:rsidR="4B37AD57" w:rsidRPr="00BD6499">
        <w:rPr>
          <w:rFonts w:ascii="Arial" w:hAnsi="Arial" w:cs="Arial"/>
        </w:rPr>
        <w:t>the</w:t>
      </w:r>
      <w:r w:rsidR="00580686" w:rsidRPr="00BD6499">
        <w:rPr>
          <w:rFonts w:ascii="Arial" w:hAnsi="Arial" w:cs="Arial"/>
        </w:rPr>
        <w:t xml:space="preserve"> </w:t>
      </w:r>
      <w:r w:rsidR="6AA7E7E1" w:rsidRPr="00BD6499">
        <w:rPr>
          <w:rFonts w:ascii="Arial" w:hAnsi="Arial" w:cs="Arial"/>
        </w:rPr>
        <w:t>child</w:t>
      </w:r>
      <w:r w:rsidR="00580686" w:rsidRPr="00BD6499">
        <w:rPr>
          <w:rFonts w:ascii="Arial" w:hAnsi="Arial" w:cs="Arial"/>
        </w:rPr>
        <w:t>,</w:t>
      </w:r>
      <w:r w:rsidR="720B9A42" w:rsidRPr="00BD6499">
        <w:rPr>
          <w:rFonts w:ascii="Arial" w:hAnsi="Arial" w:cs="Arial"/>
        </w:rPr>
        <w:t xml:space="preserve"> </w:t>
      </w:r>
      <w:r w:rsidR="007B74E8" w:rsidRPr="00BD6499">
        <w:rPr>
          <w:rFonts w:ascii="Arial" w:hAnsi="Arial" w:cs="Arial"/>
        </w:rPr>
        <w:t xml:space="preserve">but </w:t>
      </w:r>
      <w:r w:rsidR="006117EE" w:rsidRPr="00BD6499">
        <w:rPr>
          <w:rFonts w:ascii="Arial" w:hAnsi="Arial" w:cs="Arial"/>
        </w:rPr>
        <w:t xml:space="preserve">was </w:t>
      </w:r>
      <w:r w:rsidR="00580686" w:rsidRPr="00BD6499">
        <w:rPr>
          <w:rFonts w:ascii="Arial" w:hAnsi="Arial" w:cs="Arial"/>
        </w:rPr>
        <w:t xml:space="preserve">kept separate from other family members. The situation worsened when the mother </w:t>
      </w:r>
      <w:r w:rsidR="0D9A8915" w:rsidRPr="00BD6499">
        <w:rPr>
          <w:rFonts w:ascii="Arial" w:hAnsi="Arial" w:cs="Arial"/>
        </w:rPr>
        <w:t xml:space="preserve">was </w:t>
      </w:r>
      <w:r w:rsidR="00580686" w:rsidRPr="00BD6499">
        <w:rPr>
          <w:rFonts w:ascii="Arial" w:hAnsi="Arial" w:cs="Arial"/>
        </w:rPr>
        <w:t xml:space="preserve">accidentally locked out of the room for half an hour, and the </w:t>
      </w:r>
      <w:r w:rsidR="007B74E8" w:rsidRPr="00BD6499">
        <w:rPr>
          <w:rFonts w:ascii="Arial" w:hAnsi="Arial" w:cs="Arial"/>
        </w:rPr>
        <w:t xml:space="preserve">child </w:t>
      </w:r>
      <w:r w:rsidR="00580686" w:rsidRPr="00BD6499">
        <w:rPr>
          <w:rFonts w:ascii="Arial" w:hAnsi="Arial" w:cs="Arial"/>
        </w:rPr>
        <w:t>bec</w:t>
      </w:r>
      <w:r w:rsidR="18C0F834" w:rsidRPr="00BD6499">
        <w:rPr>
          <w:rFonts w:ascii="Arial" w:hAnsi="Arial" w:cs="Arial"/>
        </w:rPr>
        <w:t>a</w:t>
      </w:r>
      <w:r w:rsidR="00580686" w:rsidRPr="00BD6499">
        <w:rPr>
          <w:rFonts w:ascii="Arial" w:hAnsi="Arial" w:cs="Arial"/>
        </w:rPr>
        <w:t xml:space="preserve">me even more distressed. </w:t>
      </w:r>
    </w:p>
    <w:p w14:paraId="62EBF3C5" w14:textId="77777777" w:rsidR="00DC353E" w:rsidRPr="00BD6499" w:rsidRDefault="00DC353E" w:rsidP="36E14592">
      <w:pPr>
        <w:pBdr>
          <w:top w:val="single" w:sz="4" w:space="1" w:color="auto"/>
          <w:left w:val="single" w:sz="4" w:space="0" w:color="auto"/>
          <w:bottom w:val="single" w:sz="4" w:space="1" w:color="auto"/>
          <w:right w:val="single" w:sz="4" w:space="4" w:color="auto"/>
        </w:pBdr>
        <w:rPr>
          <w:rFonts w:ascii="Arial" w:hAnsi="Arial" w:cs="Arial"/>
        </w:rPr>
      </w:pPr>
    </w:p>
    <w:p w14:paraId="0F6EDB39" w14:textId="77777777" w:rsidR="00580686" w:rsidRPr="00BD6499" w:rsidRDefault="00923EF6" w:rsidP="36E14592">
      <w:pPr>
        <w:pBdr>
          <w:top w:val="single" w:sz="4" w:space="1" w:color="auto"/>
          <w:left w:val="single" w:sz="4" w:space="0" w:color="auto"/>
          <w:bottom w:val="single" w:sz="4" w:space="1" w:color="auto"/>
          <w:right w:val="single" w:sz="4" w:space="4" w:color="auto"/>
        </w:pBdr>
        <w:rPr>
          <w:rFonts w:ascii="Arial" w:hAnsi="Arial" w:cs="Arial"/>
        </w:rPr>
      </w:pPr>
      <w:r w:rsidRPr="00BD6499">
        <w:rPr>
          <w:rFonts w:ascii="Arial" w:hAnsi="Arial" w:cs="Arial"/>
        </w:rPr>
        <w:t>Following</w:t>
      </w:r>
      <w:r w:rsidR="0B09F732" w:rsidRPr="00BD6499">
        <w:rPr>
          <w:rFonts w:ascii="Arial" w:hAnsi="Arial" w:cs="Arial"/>
        </w:rPr>
        <w:t xml:space="preserve"> early intervention</w:t>
      </w:r>
      <w:r w:rsidRPr="00BD6499">
        <w:rPr>
          <w:rFonts w:ascii="Arial" w:hAnsi="Arial" w:cs="Arial"/>
        </w:rPr>
        <w:t xml:space="preserve"> discussions between </w:t>
      </w:r>
      <w:r w:rsidR="003456B3" w:rsidRPr="00BD6499">
        <w:rPr>
          <w:rFonts w:ascii="Arial" w:hAnsi="Arial" w:cs="Arial"/>
        </w:rPr>
        <w:t>a</w:t>
      </w:r>
      <w:r w:rsidRPr="00BD6499">
        <w:rPr>
          <w:rFonts w:ascii="Arial" w:hAnsi="Arial" w:cs="Arial"/>
        </w:rPr>
        <w:t xml:space="preserve"> </w:t>
      </w:r>
      <w:r w:rsidR="6CCB1C40" w:rsidRPr="00BD6499">
        <w:rPr>
          <w:rFonts w:ascii="Arial" w:hAnsi="Arial" w:cs="Arial"/>
        </w:rPr>
        <w:t>Commission</w:t>
      </w:r>
      <w:r w:rsidRPr="00BD6499">
        <w:rPr>
          <w:rFonts w:ascii="Arial" w:hAnsi="Arial" w:cs="Arial"/>
        </w:rPr>
        <w:t xml:space="preserve"> conciliator and Queensland Health</w:t>
      </w:r>
      <w:r w:rsidR="00580686" w:rsidRPr="00BD6499">
        <w:rPr>
          <w:rFonts w:ascii="Arial" w:hAnsi="Arial" w:cs="Arial"/>
        </w:rPr>
        <w:t xml:space="preserve">, the family </w:t>
      </w:r>
      <w:r w:rsidR="007B74E8" w:rsidRPr="00BD6499">
        <w:rPr>
          <w:rFonts w:ascii="Arial" w:hAnsi="Arial" w:cs="Arial"/>
        </w:rPr>
        <w:t xml:space="preserve">was </w:t>
      </w:r>
      <w:r w:rsidR="00580686" w:rsidRPr="00BD6499">
        <w:rPr>
          <w:rFonts w:ascii="Arial" w:hAnsi="Arial" w:cs="Arial"/>
        </w:rPr>
        <w:t xml:space="preserve">fast-tracked for an exemption to the requirement to quarantine </w:t>
      </w:r>
      <w:r w:rsidR="100F8659" w:rsidRPr="00BD6499">
        <w:rPr>
          <w:rFonts w:ascii="Arial" w:hAnsi="Arial" w:cs="Arial"/>
        </w:rPr>
        <w:t>in a hotel</w:t>
      </w:r>
      <w:r w:rsidR="007B74E8" w:rsidRPr="00BD6499">
        <w:rPr>
          <w:rFonts w:ascii="Arial" w:hAnsi="Arial" w:cs="Arial"/>
        </w:rPr>
        <w:t>,</w:t>
      </w:r>
      <w:r w:rsidR="100F8659" w:rsidRPr="00BD6499">
        <w:rPr>
          <w:rFonts w:ascii="Arial" w:hAnsi="Arial" w:cs="Arial"/>
        </w:rPr>
        <w:t xml:space="preserve"> </w:t>
      </w:r>
      <w:r w:rsidR="00580686" w:rsidRPr="00BD6499">
        <w:rPr>
          <w:rFonts w:ascii="Arial" w:hAnsi="Arial" w:cs="Arial"/>
        </w:rPr>
        <w:t xml:space="preserve">and were able to return home </w:t>
      </w:r>
      <w:r w:rsidR="39501D7E" w:rsidRPr="00BD6499">
        <w:rPr>
          <w:rFonts w:ascii="Arial" w:hAnsi="Arial" w:cs="Arial"/>
        </w:rPr>
        <w:t xml:space="preserve">for quarantining </w:t>
      </w:r>
      <w:r w:rsidR="00580686" w:rsidRPr="00BD6499">
        <w:rPr>
          <w:rFonts w:ascii="Arial" w:hAnsi="Arial" w:cs="Arial"/>
        </w:rPr>
        <w:t xml:space="preserve">a day after lodging </w:t>
      </w:r>
      <w:r w:rsidR="007B74E8" w:rsidRPr="00BD6499">
        <w:rPr>
          <w:rFonts w:ascii="Arial" w:hAnsi="Arial" w:cs="Arial"/>
        </w:rPr>
        <w:t xml:space="preserve">their </w:t>
      </w:r>
      <w:r w:rsidR="00580686" w:rsidRPr="00BD6499">
        <w:rPr>
          <w:rFonts w:ascii="Arial" w:hAnsi="Arial" w:cs="Arial"/>
        </w:rPr>
        <w:t>complaint with the Commission.</w:t>
      </w:r>
    </w:p>
    <w:p w14:paraId="3571C487" w14:textId="77777777" w:rsidR="0045665D" w:rsidRPr="00833D30" w:rsidRDefault="0045665D" w:rsidP="0045665D">
      <w:pPr>
        <w:pStyle w:val="Heading1"/>
        <w:rPr>
          <w:rFonts w:cs="Arial"/>
          <w:sz w:val="44"/>
        </w:rPr>
      </w:pPr>
      <w:bookmarkStart w:id="13" w:name="_Toc44943798"/>
      <w:r w:rsidRPr="00444845">
        <w:rPr>
          <w:rFonts w:cs="Arial"/>
          <w:sz w:val="44"/>
        </w:rPr>
        <w:t>C</w:t>
      </w:r>
      <w:r w:rsidR="00707A47" w:rsidRPr="00444845">
        <w:rPr>
          <w:rFonts w:cs="Arial"/>
          <w:sz w:val="44"/>
        </w:rPr>
        <w:t>losed e</w:t>
      </w:r>
      <w:r w:rsidRPr="00444845">
        <w:rPr>
          <w:rFonts w:cs="Arial"/>
          <w:sz w:val="44"/>
        </w:rPr>
        <w:t>nvironments</w:t>
      </w:r>
      <w:bookmarkEnd w:id="13"/>
    </w:p>
    <w:p w14:paraId="2D2923A2" w14:textId="77777777" w:rsidR="00357409" w:rsidRPr="00BD6499" w:rsidRDefault="00357409" w:rsidP="007114E9">
      <w:pPr>
        <w:pStyle w:val="Numberedparagraph"/>
      </w:pPr>
      <w:r w:rsidRPr="00BD6499">
        <w:t xml:space="preserve">A closed environment is one </w:t>
      </w:r>
      <w:r w:rsidR="007E4CE7" w:rsidRPr="00BD6499">
        <w:t>from which</w:t>
      </w:r>
      <w:r w:rsidRPr="00BD6499">
        <w:t xml:space="preserve"> people are not free to leave, such as prisons,</w:t>
      </w:r>
      <w:r w:rsidR="0B01D17D" w:rsidRPr="00BD6499">
        <w:t xml:space="preserve"> youth detention,</w:t>
      </w:r>
      <w:r w:rsidRPr="00BD6499">
        <w:t xml:space="preserve"> mental health wards, aged care facilities, or residential care homes for people with disability.</w:t>
      </w:r>
      <w:r w:rsidR="239E554C" w:rsidRPr="00BD6499">
        <w:t xml:space="preserve"> Residents and staff of closed environments are at a greater risk of infection than the general population due to </w:t>
      </w:r>
      <w:r w:rsidR="11667F3A" w:rsidRPr="00BD6499">
        <w:t>shared facilities, difficulties in implementing social distancing</w:t>
      </w:r>
      <w:r w:rsidR="2B28260C" w:rsidRPr="00BD6499">
        <w:t xml:space="preserve"> and isolation</w:t>
      </w:r>
      <w:r w:rsidR="11667F3A" w:rsidRPr="00BD6499">
        <w:t xml:space="preserve">, </w:t>
      </w:r>
      <w:r w:rsidR="49BDAD4C" w:rsidRPr="00BD6499">
        <w:t xml:space="preserve">the potential for </w:t>
      </w:r>
      <w:r w:rsidR="651DB8E9" w:rsidRPr="00BD6499">
        <w:t>workers</w:t>
      </w:r>
      <w:r w:rsidR="4BD8128A" w:rsidRPr="00BD6499">
        <w:t xml:space="preserve"> </w:t>
      </w:r>
      <w:r w:rsidR="662918CA" w:rsidRPr="00BD6499">
        <w:t xml:space="preserve">to bring </w:t>
      </w:r>
      <w:r w:rsidR="3367E8D8" w:rsidRPr="00BD6499">
        <w:t xml:space="preserve">infection </w:t>
      </w:r>
      <w:r w:rsidR="00D9027D" w:rsidRPr="00BD6499">
        <w:t xml:space="preserve">in </w:t>
      </w:r>
      <w:r w:rsidR="0B578E3B" w:rsidRPr="00BD6499">
        <w:t>from the communit</w:t>
      </w:r>
      <w:r w:rsidR="0B2DEA7D" w:rsidRPr="00BD6499">
        <w:t>y</w:t>
      </w:r>
      <w:r w:rsidR="0B578E3B" w:rsidRPr="00BD6499">
        <w:t xml:space="preserve">, </w:t>
      </w:r>
      <w:r w:rsidR="51A9FD1E" w:rsidRPr="00BD6499">
        <w:t>and th</w:t>
      </w:r>
      <w:r w:rsidR="0B1A43D2" w:rsidRPr="00BD6499">
        <w:t>e</w:t>
      </w:r>
      <w:r w:rsidR="51A9FD1E" w:rsidRPr="00BD6499">
        <w:t xml:space="preserve"> often compromised health conditions of </w:t>
      </w:r>
      <w:r w:rsidR="1DA7B3EB" w:rsidRPr="00BD6499">
        <w:t>residents</w:t>
      </w:r>
      <w:r w:rsidR="51A9FD1E" w:rsidRPr="00BD6499">
        <w:t>.</w:t>
      </w:r>
      <w:r w:rsidRPr="00BD6499">
        <w:t xml:space="preserve"> </w:t>
      </w:r>
      <w:r w:rsidR="7B591568" w:rsidRPr="00BD6499">
        <w:t>As far as the Commission is aware, due to the restrictions put in place, no cases of COVID-19 emerged in closed environment</w:t>
      </w:r>
      <w:r w:rsidR="00D9027D" w:rsidRPr="00BD6499">
        <w:t>s</w:t>
      </w:r>
      <w:r w:rsidR="7B591568" w:rsidRPr="00BD6499">
        <w:t>.</w:t>
      </w:r>
    </w:p>
    <w:p w14:paraId="556F3D6E" w14:textId="2173EC06" w:rsidR="015766EF" w:rsidRPr="00BD6499" w:rsidRDefault="2B40F7B9" w:rsidP="007114E9">
      <w:pPr>
        <w:pStyle w:val="Numberedparagraph"/>
      </w:pPr>
      <w:r w:rsidRPr="00BD6499">
        <w:t>The</w:t>
      </w:r>
      <w:r w:rsidR="00043583" w:rsidRPr="00BD6499">
        <w:t xml:space="preserve"> </w:t>
      </w:r>
      <w:r w:rsidR="4987A92C" w:rsidRPr="00BD6499">
        <w:t>Queensland</w:t>
      </w:r>
      <w:r w:rsidR="00043583" w:rsidRPr="00BD6499">
        <w:t xml:space="preserve"> Government must be </w:t>
      </w:r>
      <w:r w:rsidR="000D4DA6">
        <w:t>commended</w:t>
      </w:r>
      <w:r w:rsidR="00043583" w:rsidRPr="00BD6499">
        <w:t xml:space="preserve"> for the</w:t>
      </w:r>
      <w:r w:rsidRPr="00BD6499">
        <w:t xml:space="preserve"> immense success achieved by protecting and preserving the lives of people in closed environments. The Commission however considers that to ensure compatibility with human rights, closed environments will need to </w:t>
      </w:r>
      <w:r w:rsidR="000D4DA6">
        <w:t xml:space="preserve">be </w:t>
      </w:r>
      <w:r w:rsidRPr="00BD6499">
        <w:t>continuously monitor</w:t>
      </w:r>
      <w:r w:rsidR="000D4DA6">
        <w:t>ed</w:t>
      </w:r>
      <w:r w:rsidRPr="00BD6499">
        <w:t xml:space="preserve"> and </w:t>
      </w:r>
      <w:r w:rsidR="0067299F">
        <w:t>adapt</w:t>
      </w:r>
      <w:r w:rsidRPr="00BD6499">
        <w:t xml:space="preserve"> to the changing situation</w:t>
      </w:r>
      <w:r w:rsidR="0095559E" w:rsidRPr="00BD6499">
        <w:t>.</w:t>
      </w:r>
      <w:r w:rsidRPr="00BD6499">
        <w:t xml:space="preserve"> </w:t>
      </w:r>
      <w:r w:rsidR="0095559E" w:rsidRPr="00BD6499">
        <w:t xml:space="preserve">As community infection rates decline, </w:t>
      </w:r>
      <w:r w:rsidRPr="00BD6499">
        <w:t xml:space="preserve">lockdown measures </w:t>
      </w:r>
      <w:r w:rsidR="00B61DBC" w:rsidRPr="00BD6499">
        <w:t xml:space="preserve">must continue to </w:t>
      </w:r>
      <w:r w:rsidR="0095559E" w:rsidRPr="00BD6499">
        <w:t xml:space="preserve">be </w:t>
      </w:r>
      <w:r w:rsidRPr="00BD6499">
        <w:t>reasonable, necessary</w:t>
      </w:r>
      <w:r w:rsidR="0095559E" w:rsidRPr="00BD6499">
        <w:t>,</w:t>
      </w:r>
      <w:r w:rsidRPr="00BD6499">
        <w:t xml:space="preserve"> and proportionate to the health risk.</w:t>
      </w:r>
    </w:p>
    <w:p w14:paraId="13E720D3" w14:textId="77777777" w:rsidR="001657ED" w:rsidRDefault="00357409" w:rsidP="007114E9">
      <w:pPr>
        <w:pStyle w:val="Numberedparagraph"/>
      </w:pPr>
      <w:r w:rsidRPr="00BD6499">
        <w:t xml:space="preserve">Many </w:t>
      </w:r>
      <w:r w:rsidR="7AA38D7F" w:rsidRPr="00BD6499">
        <w:t>closed environments</w:t>
      </w:r>
      <w:r w:rsidRPr="00BD6499">
        <w:t xml:space="preserve"> have been subject to lockdowns of varying degrees during the pandemic, resulting in </w:t>
      </w:r>
      <w:r w:rsidR="004A6B92" w:rsidRPr="00BD6499">
        <w:t xml:space="preserve">bans or limits on </w:t>
      </w:r>
      <w:r w:rsidRPr="00BD6499">
        <w:t xml:space="preserve">visits from family, friends, advocates and others. </w:t>
      </w:r>
      <w:r w:rsidR="004A6B92" w:rsidRPr="00BD6499">
        <w:t>Denying people in closed environments</w:t>
      </w:r>
      <w:r w:rsidRPr="00BD6499">
        <w:t xml:space="preserve"> access to family visits can result in significant mental health concerns </w:t>
      </w:r>
      <w:r w:rsidR="004A6B92" w:rsidRPr="00BD6499">
        <w:t>for them</w:t>
      </w:r>
      <w:r w:rsidR="61CBBC82" w:rsidRPr="00BD6499">
        <w:t>.</w:t>
      </w:r>
      <w:r w:rsidR="35011421" w:rsidRPr="00BD6499">
        <w:t xml:space="preserve"> Visitors also provide informal </w:t>
      </w:r>
      <w:r w:rsidR="0E5DE925" w:rsidRPr="00BD6499">
        <w:t>oversight</w:t>
      </w:r>
      <w:r w:rsidR="004A6B92" w:rsidRPr="00BD6499">
        <w:t>,</w:t>
      </w:r>
      <w:r w:rsidR="0E5DE925" w:rsidRPr="00BD6499">
        <w:t xml:space="preserve"> and a </w:t>
      </w:r>
      <w:r w:rsidR="004A6B92" w:rsidRPr="00BD6499">
        <w:t xml:space="preserve">way </w:t>
      </w:r>
      <w:r w:rsidR="0E5DE925" w:rsidRPr="00BD6499">
        <w:t xml:space="preserve">to complain and </w:t>
      </w:r>
      <w:r w:rsidR="007E4CE7" w:rsidRPr="00BD6499">
        <w:t xml:space="preserve">seek </w:t>
      </w:r>
      <w:r w:rsidR="0E5DE925" w:rsidRPr="00BD6499">
        <w:t xml:space="preserve">review, </w:t>
      </w:r>
      <w:r w:rsidR="318CA306" w:rsidRPr="00BD6499">
        <w:t xml:space="preserve">which is </w:t>
      </w:r>
      <w:r w:rsidR="0E5DE925" w:rsidRPr="00BD6499">
        <w:t>particu</w:t>
      </w:r>
      <w:r w:rsidR="649C590F" w:rsidRPr="00BD6499">
        <w:t>larly important in the absence of formal oversight mechanisms</w:t>
      </w:r>
      <w:r w:rsidR="004A6B92" w:rsidRPr="00BD6499">
        <w:t>,</w:t>
      </w:r>
      <w:r w:rsidR="649C590F" w:rsidRPr="00BD6499">
        <w:t xml:space="preserve"> such as the </w:t>
      </w:r>
      <w:r w:rsidR="004A6B92" w:rsidRPr="00BD6499">
        <w:t>C</w:t>
      </w:r>
      <w:r w:rsidR="649C590F" w:rsidRPr="00BD6499">
        <w:t xml:space="preserve">ommunity </w:t>
      </w:r>
      <w:r w:rsidR="004A6B92" w:rsidRPr="00BD6499">
        <w:t>V</w:t>
      </w:r>
      <w:r w:rsidR="649C590F" w:rsidRPr="00BD6499">
        <w:t xml:space="preserve">isitor </w:t>
      </w:r>
      <w:r w:rsidR="004A6B92" w:rsidRPr="00BD6499">
        <w:t xml:space="preserve">Program </w:t>
      </w:r>
      <w:r w:rsidR="649C590F" w:rsidRPr="00BD6499">
        <w:t>or an independent prison inspector.</w:t>
      </w:r>
      <w:r w:rsidR="26F67648" w:rsidRPr="00BD6499">
        <w:t xml:space="preserve"> Other conditions in closed environments that have given rise to </w:t>
      </w:r>
      <w:r w:rsidR="004A6B92" w:rsidRPr="00BD6499">
        <w:t xml:space="preserve">human rights </w:t>
      </w:r>
      <w:r w:rsidR="26F67648" w:rsidRPr="00BD6499">
        <w:t>concern</w:t>
      </w:r>
      <w:r w:rsidR="004A6B92" w:rsidRPr="00BD6499">
        <w:t>s</w:t>
      </w:r>
      <w:r w:rsidR="26F67648" w:rsidRPr="00BD6499">
        <w:t xml:space="preserve"> are</w:t>
      </w:r>
      <w:r w:rsidR="004A6B92" w:rsidRPr="00BD6499">
        <w:t>:</w:t>
      </w:r>
      <w:r w:rsidR="26F67648" w:rsidRPr="00BD6499">
        <w:t xml:space="preserve"> </w:t>
      </w:r>
    </w:p>
    <w:p w14:paraId="5042BD63" w14:textId="06FD06A1" w:rsidR="001657ED" w:rsidRDefault="00B936AD" w:rsidP="00670F3F">
      <w:pPr>
        <w:pStyle w:val="Numberedparagraph"/>
        <w:numPr>
          <w:ilvl w:val="0"/>
          <w:numId w:val="6"/>
        </w:numPr>
      </w:pPr>
      <w:r>
        <w:t>i</w:t>
      </w:r>
      <w:r w:rsidR="00E6546B">
        <w:t xml:space="preserve">nsufficient </w:t>
      </w:r>
      <w:r w:rsidR="007E4CE7" w:rsidRPr="00BD6499">
        <w:t xml:space="preserve">implementation of </w:t>
      </w:r>
      <w:r w:rsidR="26F67648" w:rsidRPr="00BD6499">
        <w:t xml:space="preserve">risk mitigation </w:t>
      </w:r>
      <w:r w:rsidR="24028D26" w:rsidRPr="00BD6499">
        <w:t>strategies</w:t>
      </w:r>
      <w:r w:rsidR="26F67648" w:rsidRPr="00BD6499">
        <w:t xml:space="preserve"> </w:t>
      </w:r>
      <w:r w:rsidR="004A6B92" w:rsidRPr="00BD6499">
        <w:t>(such as</w:t>
      </w:r>
      <w:r w:rsidR="007E4CE7" w:rsidRPr="00BD6499">
        <w:t xml:space="preserve"> social distancing</w:t>
      </w:r>
      <w:r w:rsidR="004A6B92" w:rsidRPr="00BD6499">
        <w:t xml:space="preserve"> and</w:t>
      </w:r>
      <w:r w:rsidR="007E4CE7" w:rsidRPr="00BD6499">
        <w:t xml:space="preserve"> worker screening</w:t>
      </w:r>
      <w:r w:rsidR="004A6B92" w:rsidRPr="00BD6499">
        <w:t>)</w:t>
      </w:r>
      <w:r w:rsidR="001657ED">
        <w:t>;</w:t>
      </w:r>
    </w:p>
    <w:p w14:paraId="78AB78A9" w14:textId="77777777" w:rsidR="002949E2" w:rsidRDefault="00B61DBC" w:rsidP="00670F3F">
      <w:pPr>
        <w:pStyle w:val="Numberedparagraph"/>
        <w:numPr>
          <w:ilvl w:val="0"/>
          <w:numId w:val="6"/>
        </w:numPr>
      </w:pPr>
      <w:r w:rsidRPr="00BD6499">
        <w:t>the</w:t>
      </w:r>
      <w:r w:rsidR="007E4CE7" w:rsidRPr="00BD6499">
        <w:t xml:space="preserve"> </w:t>
      </w:r>
      <w:r w:rsidR="003B23D5" w:rsidRPr="00BD6499">
        <w:t xml:space="preserve">need for </w:t>
      </w:r>
      <w:r w:rsidR="007E4CE7" w:rsidRPr="00BD6499">
        <w:t>improv</w:t>
      </w:r>
      <w:r w:rsidR="003B23D5" w:rsidRPr="00BD6499">
        <w:t>ed</w:t>
      </w:r>
      <w:r w:rsidR="007E4CE7" w:rsidRPr="00BD6499">
        <w:t xml:space="preserve"> health literacy</w:t>
      </w:r>
      <w:r w:rsidR="002949E2">
        <w:t>;</w:t>
      </w:r>
    </w:p>
    <w:p w14:paraId="5BD675F5" w14:textId="77777777" w:rsidR="002949E2" w:rsidRDefault="003B23D5" w:rsidP="00670F3F">
      <w:pPr>
        <w:pStyle w:val="Numberedparagraph"/>
        <w:numPr>
          <w:ilvl w:val="0"/>
          <w:numId w:val="6"/>
        </w:numPr>
      </w:pPr>
      <w:r w:rsidRPr="00BD6499">
        <w:t>unmet</w:t>
      </w:r>
      <w:r w:rsidR="007E4CE7" w:rsidRPr="00BD6499">
        <w:t xml:space="preserve"> needs of individuals</w:t>
      </w:r>
      <w:r w:rsidRPr="00BD6499">
        <w:t xml:space="preserve"> at greater risk </w:t>
      </w:r>
      <w:r w:rsidR="00BE564A" w:rsidRPr="00BD6499">
        <w:t>(</w:t>
      </w:r>
      <w:r w:rsidR="007E4CE7" w:rsidRPr="00BD6499">
        <w:t>such as people with disability</w:t>
      </w:r>
      <w:r w:rsidR="00BE564A" w:rsidRPr="00BD6499">
        <w:t>)</w:t>
      </w:r>
      <w:r w:rsidR="001657ED">
        <w:t>;</w:t>
      </w:r>
      <w:r w:rsidR="007E4CE7" w:rsidRPr="00BD6499">
        <w:t xml:space="preserve"> </w:t>
      </w:r>
    </w:p>
    <w:p w14:paraId="4D8DEDB5" w14:textId="33975C06" w:rsidR="001657ED" w:rsidRDefault="00961C81" w:rsidP="00670F3F">
      <w:pPr>
        <w:pStyle w:val="Numberedparagraph"/>
        <w:numPr>
          <w:ilvl w:val="0"/>
          <w:numId w:val="6"/>
        </w:numPr>
      </w:pPr>
      <w:r>
        <w:t>lack of</w:t>
      </w:r>
      <w:r w:rsidR="002949E2">
        <w:t xml:space="preserve"> meaningful family and community contact; </w:t>
      </w:r>
      <w:r w:rsidR="007E4CE7" w:rsidRPr="00BD6499">
        <w:t xml:space="preserve">and </w:t>
      </w:r>
    </w:p>
    <w:p w14:paraId="5C798776" w14:textId="77777777" w:rsidR="001657ED" w:rsidRDefault="003B23D5" w:rsidP="00670F3F">
      <w:pPr>
        <w:pStyle w:val="Numberedparagraph"/>
        <w:numPr>
          <w:ilvl w:val="0"/>
          <w:numId w:val="6"/>
        </w:numPr>
      </w:pPr>
      <w:r w:rsidRPr="00BD6499">
        <w:t xml:space="preserve">lack of </w:t>
      </w:r>
      <w:r w:rsidR="26F67648" w:rsidRPr="00BD6499">
        <w:t xml:space="preserve">daily access to open air and exercise. </w:t>
      </w:r>
    </w:p>
    <w:p w14:paraId="3CA6E8F5" w14:textId="03D2CE06" w:rsidR="00357409" w:rsidRPr="00BD6499" w:rsidRDefault="3B5C86AA" w:rsidP="001657ED">
      <w:pPr>
        <w:pStyle w:val="Numberedparagraph"/>
        <w:numPr>
          <w:ilvl w:val="0"/>
          <w:numId w:val="0"/>
        </w:numPr>
        <w:ind w:left="567"/>
      </w:pPr>
      <w:r w:rsidRPr="00BD6499">
        <w:t>These restrictions, possibly individually</w:t>
      </w:r>
      <w:r w:rsidR="003B23D5" w:rsidRPr="00BD6499">
        <w:t>,</w:t>
      </w:r>
      <w:r w:rsidRPr="00BD6499">
        <w:t xml:space="preserve"> but certainly taken together, </w:t>
      </w:r>
      <w:r w:rsidR="260DD3C4" w:rsidRPr="00BD6499">
        <w:t>engage the right to humane treatment while deprived of liberty</w:t>
      </w:r>
      <w:r w:rsidR="001F033F">
        <w:rPr>
          <w:rStyle w:val="FootnoteReference"/>
        </w:rPr>
        <w:footnoteReference w:id="7"/>
      </w:r>
      <w:r w:rsidR="260DD3C4" w:rsidRPr="00BD6499">
        <w:t xml:space="preserve"> and</w:t>
      </w:r>
      <w:r w:rsidR="003C4ED8" w:rsidRPr="00BD6499">
        <w:t xml:space="preserve"> </w:t>
      </w:r>
      <w:r w:rsidR="00A47EE4">
        <w:t>the</w:t>
      </w:r>
      <w:r w:rsidR="260DD3C4" w:rsidRPr="00BD6499">
        <w:t xml:space="preserve"> </w:t>
      </w:r>
      <w:r w:rsidR="09C89BE4" w:rsidRPr="00BD6499">
        <w:t xml:space="preserve">ongoing </w:t>
      </w:r>
      <w:r w:rsidR="707CDA05" w:rsidRPr="00BD6499">
        <w:t>compatibility with human rights must be considered</w:t>
      </w:r>
      <w:r w:rsidR="18897614" w:rsidRPr="00BD6499">
        <w:t>.</w:t>
      </w:r>
    </w:p>
    <w:p w14:paraId="222DB6B4" w14:textId="77777777" w:rsidR="004A6269" w:rsidRPr="00BD6499" w:rsidRDefault="4FE327A0" w:rsidP="00357409">
      <w:pPr>
        <w:pStyle w:val="Numberedparagraph"/>
      </w:pPr>
      <w:r w:rsidRPr="00BD6499">
        <w:t xml:space="preserve">Transparency and consistency </w:t>
      </w:r>
      <w:r w:rsidR="003B23D5" w:rsidRPr="00BD6499">
        <w:t>in</w:t>
      </w:r>
      <w:r w:rsidRPr="00BD6499">
        <w:t xml:space="preserve"> implement</w:t>
      </w:r>
      <w:r w:rsidR="003B23D5" w:rsidRPr="00BD6499">
        <w:t>ing</w:t>
      </w:r>
      <w:r w:rsidRPr="00BD6499">
        <w:t xml:space="preserve"> restrictions </w:t>
      </w:r>
      <w:r w:rsidR="00BE564A" w:rsidRPr="00BD6499">
        <w:t xml:space="preserve">is a significant issue in </w:t>
      </w:r>
      <w:r w:rsidR="003B23D5" w:rsidRPr="00BD6499">
        <w:t>closed</w:t>
      </w:r>
      <w:r w:rsidR="00BE564A" w:rsidRPr="00BD6499">
        <w:t xml:space="preserve"> environments. This is </w:t>
      </w:r>
      <w:r w:rsidR="61904992" w:rsidRPr="00BD6499">
        <w:t xml:space="preserve">discussed in more detail in relation to specific </w:t>
      </w:r>
      <w:r w:rsidR="003B23D5" w:rsidRPr="00BD6499">
        <w:t>closed</w:t>
      </w:r>
      <w:r w:rsidR="0053520C" w:rsidRPr="00BD6499">
        <w:t xml:space="preserve"> </w:t>
      </w:r>
      <w:r w:rsidR="61904992" w:rsidRPr="00BD6499">
        <w:t>environments below.</w:t>
      </w:r>
    </w:p>
    <w:p w14:paraId="2FF8B47B" w14:textId="77777777" w:rsidR="00707A47" w:rsidRPr="0098037E" w:rsidRDefault="00707A47" w:rsidP="00707A47">
      <w:pPr>
        <w:pStyle w:val="Heading2"/>
        <w:rPr>
          <w:rFonts w:cs="Arial"/>
          <w:sz w:val="28"/>
        </w:rPr>
      </w:pPr>
      <w:bookmarkStart w:id="14" w:name="_Toc44943799"/>
      <w:r w:rsidRPr="00444845">
        <w:rPr>
          <w:rFonts w:cs="Arial"/>
          <w:sz w:val="28"/>
        </w:rPr>
        <w:t>Prisons</w:t>
      </w:r>
      <w:r w:rsidR="00A5162B" w:rsidRPr="00444845">
        <w:rPr>
          <w:rFonts w:cs="Arial"/>
          <w:sz w:val="28"/>
        </w:rPr>
        <w:t xml:space="preserve"> and </w:t>
      </w:r>
      <w:r w:rsidR="003B23D5" w:rsidRPr="00444845">
        <w:rPr>
          <w:rFonts w:cs="Arial"/>
          <w:sz w:val="28"/>
        </w:rPr>
        <w:t>y</w:t>
      </w:r>
      <w:r w:rsidR="00A5162B" w:rsidRPr="00833D30">
        <w:rPr>
          <w:rFonts w:cs="Arial"/>
          <w:sz w:val="28"/>
        </w:rPr>
        <w:t xml:space="preserve">outh </w:t>
      </w:r>
      <w:r w:rsidR="003B23D5" w:rsidRPr="00D85B08">
        <w:rPr>
          <w:rFonts w:cs="Arial"/>
          <w:sz w:val="28"/>
        </w:rPr>
        <w:t>d</w:t>
      </w:r>
      <w:r w:rsidR="00A5162B" w:rsidRPr="00D85B08">
        <w:rPr>
          <w:rFonts w:cs="Arial"/>
          <w:sz w:val="28"/>
        </w:rPr>
        <w:t>etention</w:t>
      </w:r>
      <w:r w:rsidR="00CE10D0" w:rsidRPr="00D85B08">
        <w:rPr>
          <w:rFonts w:cs="Arial"/>
          <w:sz w:val="28"/>
        </w:rPr>
        <w:t xml:space="preserve"> - overview</w:t>
      </w:r>
      <w:bookmarkEnd w:id="14"/>
    </w:p>
    <w:p w14:paraId="357EBEC2" w14:textId="1377E1D8" w:rsidR="005808D5" w:rsidRPr="00BD6499" w:rsidRDefault="005808D5" w:rsidP="058A322D">
      <w:pPr>
        <w:pStyle w:val="Numberedparagraph"/>
      </w:pPr>
      <w:r w:rsidRPr="00BD6499">
        <w:t>The Commission acknowledges the considerable efforts of Queensland Corrective Services (QCS)</w:t>
      </w:r>
      <w:r w:rsidR="00A5162B" w:rsidRPr="00BD6499">
        <w:t xml:space="preserve"> and the Department of Youth Justice (DYJ)</w:t>
      </w:r>
      <w:r w:rsidRPr="00BD6499">
        <w:t xml:space="preserve"> in responding to COVID-19.</w:t>
      </w:r>
      <w:r w:rsidR="02DBE681" w:rsidRPr="00BD6499">
        <w:t xml:space="preserve"> </w:t>
      </w:r>
      <w:r w:rsidR="00A5162B" w:rsidRPr="00BD6499">
        <w:t>Places of detention</w:t>
      </w:r>
      <w:r w:rsidRPr="00BD6499">
        <w:t xml:space="preserve"> around the world have suffered severe outbreaks</w:t>
      </w:r>
      <w:r w:rsidR="003B23D5" w:rsidRPr="00BD6499">
        <w:t>,</w:t>
      </w:r>
      <w:r w:rsidRPr="00BD6499">
        <w:t xml:space="preserve"> and it is a credit to QCS</w:t>
      </w:r>
      <w:r w:rsidR="00A5162B" w:rsidRPr="00BD6499">
        <w:t xml:space="preserve"> and DYJ</w:t>
      </w:r>
      <w:r w:rsidRPr="00BD6499">
        <w:t xml:space="preserve"> that this has not occurred in Queensland</w:t>
      </w:r>
      <w:r w:rsidR="00B30052" w:rsidRPr="00BD6499">
        <w:t>.</w:t>
      </w:r>
      <w:r w:rsidRPr="00BD6499">
        <w:t xml:space="preserve"> </w:t>
      </w:r>
    </w:p>
    <w:p w14:paraId="34E7FFF5" w14:textId="1B4C836A" w:rsidR="005808D5" w:rsidRPr="00BD6499" w:rsidRDefault="00A5162B" w:rsidP="005808D5">
      <w:pPr>
        <w:pStyle w:val="Numberedparagraph"/>
      </w:pPr>
      <w:r w:rsidRPr="00BD6499">
        <w:t xml:space="preserve">After personal visits were ceased, these agencies </w:t>
      </w:r>
      <w:r w:rsidR="005808D5" w:rsidRPr="00BD6499">
        <w:t xml:space="preserve">took steps for prisoners to maintain contact with family through </w:t>
      </w:r>
      <w:r w:rsidR="3848F568" w:rsidRPr="00BD6499">
        <w:t xml:space="preserve">‘virtual personal visits’ via </w:t>
      </w:r>
      <w:r w:rsidR="005808D5" w:rsidRPr="00BD6499">
        <w:t>video</w:t>
      </w:r>
      <w:r w:rsidR="003B23D5" w:rsidRPr="00BD6499">
        <w:t>,</w:t>
      </w:r>
      <w:r w:rsidR="005808D5" w:rsidRPr="00BD6499">
        <w:t xml:space="preserve"> and</w:t>
      </w:r>
      <w:r w:rsidRPr="00BD6499">
        <w:t xml:space="preserve"> in the case of QCS,</w:t>
      </w:r>
      <w:r w:rsidR="005808D5" w:rsidRPr="00BD6499">
        <w:t xml:space="preserve"> a modified form of email. </w:t>
      </w:r>
      <w:r w:rsidRPr="00BD6499">
        <w:t xml:space="preserve">QCS also </w:t>
      </w:r>
      <w:r w:rsidR="005808D5" w:rsidRPr="00BD6499">
        <w:t>circulated</w:t>
      </w:r>
      <w:r w:rsidRPr="00BD6499">
        <w:t xml:space="preserve"> information</w:t>
      </w:r>
      <w:r w:rsidR="005808D5" w:rsidRPr="00BD6499">
        <w:t xml:space="preserve"> widely to prisoners, visitors, reporting offenders, and stakeholders via the QCS website</w:t>
      </w:r>
      <w:r w:rsidR="003B23D5" w:rsidRPr="00BD6499">
        <w:t>,</w:t>
      </w:r>
      <w:r w:rsidR="005808D5" w:rsidRPr="00BD6499">
        <w:t xml:space="preserve"> and </w:t>
      </w:r>
      <w:r w:rsidR="008E6553" w:rsidRPr="00BD6499">
        <w:t>the Commission welcomes</w:t>
      </w:r>
      <w:r w:rsidR="005808D5" w:rsidRPr="00BD6499">
        <w:t xml:space="preserve"> QCS publicly discussing human rights and COVID-19 during the pandemic.</w:t>
      </w:r>
      <w:r w:rsidR="005808D5" w:rsidRPr="00BD6499">
        <w:rPr>
          <w:rStyle w:val="FootnoteReference"/>
        </w:rPr>
        <w:footnoteReference w:id="8"/>
      </w:r>
      <w:r w:rsidR="005808D5" w:rsidRPr="00BD6499">
        <w:t xml:space="preserve"> </w:t>
      </w:r>
    </w:p>
    <w:p w14:paraId="1796306F" w14:textId="2E1C04C7" w:rsidR="005808D5" w:rsidRPr="00BD6499" w:rsidRDefault="00E863B4" w:rsidP="005808D5">
      <w:pPr>
        <w:pStyle w:val="Numberedparagraph"/>
      </w:pPr>
      <w:r w:rsidRPr="00BD6499">
        <w:t xml:space="preserve">The QCS </w:t>
      </w:r>
      <w:r w:rsidR="00640271" w:rsidRPr="00BD6499">
        <w:rPr>
          <w:i/>
        </w:rPr>
        <w:t>R</w:t>
      </w:r>
      <w:r w:rsidR="005808D5" w:rsidRPr="00BD6499">
        <w:rPr>
          <w:i/>
        </w:rPr>
        <w:t xml:space="preserve">ecovery </w:t>
      </w:r>
      <w:r w:rsidR="00640271" w:rsidRPr="00BD6499">
        <w:rPr>
          <w:i/>
        </w:rPr>
        <w:t>C</w:t>
      </w:r>
      <w:r w:rsidR="005808D5" w:rsidRPr="00BD6499">
        <w:rPr>
          <w:i/>
        </w:rPr>
        <w:t>ommence</w:t>
      </w:r>
      <w:r w:rsidR="00A5162B" w:rsidRPr="00BD6499">
        <w:rPr>
          <w:i/>
        </w:rPr>
        <w:t>ment</w:t>
      </w:r>
      <w:r w:rsidR="005808D5" w:rsidRPr="00BD6499">
        <w:rPr>
          <w:i/>
        </w:rPr>
        <w:t xml:space="preserve"> </w:t>
      </w:r>
      <w:r w:rsidR="00640271" w:rsidRPr="00BD6499">
        <w:rPr>
          <w:i/>
        </w:rPr>
        <w:t>P</w:t>
      </w:r>
      <w:r w:rsidR="00A5162B" w:rsidRPr="00BD6499">
        <w:rPr>
          <w:i/>
        </w:rPr>
        <w:t>lan</w:t>
      </w:r>
      <w:r w:rsidR="005808D5" w:rsidRPr="00BD6499">
        <w:t xml:space="preserve"> </w:t>
      </w:r>
      <w:r w:rsidR="00640271" w:rsidRPr="00BD6499">
        <w:t xml:space="preserve">was made publicly available and </w:t>
      </w:r>
      <w:r w:rsidR="005808D5" w:rsidRPr="00BD6499">
        <w:t>provide</w:t>
      </w:r>
      <w:r w:rsidR="00640271" w:rsidRPr="00BD6499">
        <w:t>s</w:t>
      </w:r>
      <w:r w:rsidR="005808D5" w:rsidRPr="00BD6499">
        <w:t xml:space="preserve"> critical information </w:t>
      </w:r>
      <w:r w:rsidR="00640271" w:rsidRPr="00BD6499">
        <w:t>about</w:t>
      </w:r>
      <w:r w:rsidR="005808D5" w:rsidRPr="00BD6499">
        <w:t xml:space="preserve"> when and why restrictions were imposed or removed, </w:t>
      </w:r>
      <w:r w:rsidR="00640271" w:rsidRPr="00BD6499">
        <w:t xml:space="preserve">and </w:t>
      </w:r>
      <w:r w:rsidR="005808D5" w:rsidRPr="00BD6499">
        <w:t>assist</w:t>
      </w:r>
      <w:r w:rsidR="00640271" w:rsidRPr="00BD6499">
        <w:t>s</w:t>
      </w:r>
      <w:r w:rsidR="005808D5" w:rsidRPr="00BD6499">
        <w:t xml:space="preserve"> planning and understanding.</w:t>
      </w:r>
      <w:r w:rsidR="005808D5" w:rsidRPr="00BD6499">
        <w:rPr>
          <w:rStyle w:val="FootnoteReference"/>
        </w:rPr>
        <w:footnoteReference w:id="9"/>
      </w:r>
      <w:r w:rsidR="005808D5" w:rsidRPr="00BD6499">
        <w:t xml:space="preserve"> This also </w:t>
      </w:r>
      <w:r w:rsidR="00FB67AB" w:rsidRPr="00BD6499">
        <w:t xml:space="preserve">clarified </w:t>
      </w:r>
      <w:r w:rsidR="005808D5" w:rsidRPr="00BD6499">
        <w:t xml:space="preserve">potential confusion caused by a </w:t>
      </w:r>
      <w:r w:rsidR="00640271" w:rsidRPr="00BD6499">
        <w:t>D</w:t>
      </w:r>
      <w:r w:rsidR="005808D5" w:rsidRPr="00BD6499">
        <w:t xml:space="preserve">irection of the Chief Health Officer </w:t>
      </w:r>
      <w:r w:rsidR="003C4ED8" w:rsidRPr="00BD6499">
        <w:t>prohibiting</w:t>
      </w:r>
      <w:r w:rsidR="005808D5" w:rsidRPr="00BD6499">
        <w:t xml:space="preserve"> personal visits to prisons, while all other measures were imposed under emergency declarations by the QCS Commissioner.</w:t>
      </w:r>
      <w:r w:rsidR="005808D5" w:rsidRPr="00BD6499">
        <w:rPr>
          <w:rStyle w:val="FootnoteReference"/>
        </w:rPr>
        <w:footnoteReference w:id="10"/>
      </w:r>
      <w:r w:rsidR="005808D5" w:rsidRPr="00BD6499">
        <w:t xml:space="preserve"> </w:t>
      </w:r>
    </w:p>
    <w:p w14:paraId="6D65A30D" w14:textId="32C4599B" w:rsidR="005808D5" w:rsidRPr="00BD6499" w:rsidRDefault="005808D5" w:rsidP="005808D5">
      <w:pPr>
        <w:pStyle w:val="Numberedparagraph"/>
      </w:pPr>
      <w:r w:rsidRPr="00BD6499">
        <w:t>Nonetheless, there were aspects of the QCS</w:t>
      </w:r>
      <w:r w:rsidR="00A5162B" w:rsidRPr="00BD6499">
        <w:t xml:space="preserve"> and DYJ</w:t>
      </w:r>
      <w:r w:rsidRPr="00BD6499">
        <w:t xml:space="preserve"> </w:t>
      </w:r>
      <w:r w:rsidR="003425E1" w:rsidRPr="00BD6499">
        <w:t xml:space="preserve">health </w:t>
      </w:r>
      <w:r w:rsidRPr="00BD6499">
        <w:t xml:space="preserve">response that the Commission suggests could have </w:t>
      </w:r>
      <w:r w:rsidR="00CC2A41">
        <w:t xml:space="preserve">been </w:t>
      </w:r>
      <w:r w:rsidRPr="00BD6499">
        <w:t>achieved with less restrictions on rights.</w:t>
      </w:r>
    </w:p>
    <w:p w14:paraId="46496E07" w14:textId="77777777" w:rsidR="00A5162B" w:rsidRPr="00BD6499" w:rsidRDefault="00A5162B" w:rsidP="00A5162B">
      <w:pPr>
        <w:pStyle w:val="Heading3"/>
      </w:pPr>
      <w:bookmarkStart w:id="15" w:name="_Toc44943800"/>
      <w:r w:rsidRPr="00BD6499">
        <w:t>Prisons</w:t>
      </w:r>
      <w:bookmarkEnd w:id="15"/>
    </w:p>
    <w:p w14:paraId="5672CB3F" w14:textId="77777777" w:rsidR="00245D08" w:rsidRDefault="00A97581" w:rsidP="00245D08">
      <w:pPr>
        <w:pStyle w:val="Numberedparagraph"/>
        <w:rPr>
          <w:strike/>
        </w:rPr>
      </w:pPr>
      <w:r w:rsidRPr="00BD6499">
        <w:t>While it may have been necessary for QCS to quarantine all new detainees for 14 days, there appeared to be some confusion as to whether this period would restart if a detainee left their cell. The Commission notes information on the QCS website, updated 12 June, which clarifies that ‘isolated</w:t>
      </w:r>
      <w:r w:rsidRPr="00444845">
        <w:t xml:space="preserve"> prisoners are not required to restart the 14-day isolation period if they are required to leave their cell during the isolation period’.</w:t>
      </w:r>
      <w:r w:rsidRPr="00444845">
        <w:rPr>
          <w:rStyle w:val="FootnoteReference"/>
        </w:rPr>
        <w:footnoteReference w:id="11"/>
      </w:r>
    </w:p>
    <w:p w14:paraId="51AF82B0" w14:textId="5E8CB118" w:rsidR="005808D5" w:rsidRPr="00245D08" w:rsidRDefault="00F456C8" w:rsidP="00670F3F">
      <w:pPr>
        <w:pStyle w:val="Numberedparagraph"/>
        <w:rPr>
          <w:rStyle w:val="FootnoteReference"/>
          <w:strike/>
          <w:vertAlign w:val="baseline"/>
        </w:rPr>
      </w:pPr>
      <w:r w:rsidRPr="00BD6499">
        <w:t>All prisoners</w:t>
      </w:r>
      <w:r w:rsidR="003C4ED8" w:rsidRPr="00BD6499">
        <w:t xml:space="preserve">, </w:t>
      </w:r>
      <w:r w:rsidRPr="00BD6499">
        <w:t xml:space="preserve">including </w:t>
      </w:r>
      <w:r w:rsidR="005808D5" w:rsidRPr="00BD6499">
        <w:t>those in quarantine</w:t>
      </w:r>
      <w:r w:rsidRPr="00BD6499">
        <w:t>,</w:t>
      </w:r>
      <w:r w:rsidR="00E311F4" w:rsidRPr="00BD6499">
        <w:t xml:space="preserve"> should </w:t>
      </w:r>
      <w:r w:rsidR="005808D5" w:rsidRPr="00BD6499">
        <w:t xml:space="preserve">be given time for fresh air and meaningful human contact each day. International human rights standards, reflected in Queensland legislation, require prisoners </w:t>
      </w:r>
      <w:r w:rsidRPr="00BD6499">
        <w:t xml:space="preserve">to </w:t>
      </w:r>
      <w:r w:rsidR="005808D5" w:rsidRPr="00BD6499">
        <w:t xml:space="preserve">be given a minimum daily time </w:t>
      </w:r>
      <w:r w:rsidRPr="00BD6499">
        <w:t xml:space="preserve">of one hour </w:t>
      </w:r>
      <w:r w:rsidR="005808D5" w:rsidRPr="00BD6499">
        <w:t xml:space="preserve">out of </w:t>
      </w:r>
      <w:r w:rsidRPr="00BD6499">
        <w:t xml:space="preserve">their </w:t>
      </w:r>
      <w:r w:rsidR="005808D5" w:rsidRPr="00BD6499">
        <w:t>cell to access fresh air and exercise.</w:t>
      </w:r>
      <w:r w:rsidR="005808D5" w:rsidRPr="00BD6499">
        <w:rPr>
          <w:rStyle w:val="FootnoteReference"/>
        </w:rPr>
        <w:footnoteReference w:id="12"/>
      </w:r>
      <w:r w:rsidR="005808D5" w:rsidRPr="00BD6499">
        <w:t xml:space="preserve"> </w:t>
      </w:r>
    </w:p>
    <w:p w14:paraId="06C200EE" w14:textId="2C4DB204" w:rsidR="005808D5" w:rsidRPr="00BD6499" w:rsidRDefault="005808D5" w:rsidP="005808D5">
      <w:pPr>
        <w:pStyle w:val="Numberedparagraph"/>
      </w:pPr>
      <w:r w:rsidRPr="00BD6499">
        <w:t xml:space="preserve">The Commission </w:t>
      </w:r>
      <w:r w:rsidR="00F456C8" w:rsidRPr="00BD6499">
        <w:t xml:space="preserve">received reports </w:t>
      </w:r>
      <w:r w:rsidR="00A5162B" w:rsidRPr="00BD6499">
        <w:t xml:space="preserve">that during the </w:t>
      </w:r>
      <w:r w:rsidR="003C4ED8" w:rsidRPr="00BD6499">
        <w:t xml:space="preserve">early days of the </w:t>
      </w:r>
      <w:r w:rsidR="00A5162B" w:rsidRPr="00BD6499">
        <w:t>pandemic</w:t>
      </w:r>
      <w:r w:rsidR="006F06F9">
        <w:t xml:space="preserve"> some</w:t>
      </w:r>
      <w:r w:rsidR="003C4ED8" w:rsidRPr="00BD6499">
        <w:t xml:space="preserve"> </w:t>
      </w:r>
      <w:r w:rsidR="00A5162B" w:rsidRPr="00BD6499">
        <w:t xml:space="preserve">lawyers </w:t>
      </w:r>
      <w:r w:rsidR="00F456C8" w:rsidRPr="00BD6499">
        <w:t>experienced</w:t>
      </w:r>
      <w:r w:rsidR="00B17245" w:rsidRPr="00BD6499">
        <w:t xml:space="preserve"> what they considered to be unreasonable</w:t>
      </w:r>
      <w:r w:rsidR="00F456C8" w:rsidRPr="00BD6499">
        <w:t xml:space="preserve"> </w:t>
      </w:r>
      <w:r w:rsidR="00A5162B" w:rsidRPr="00BD6499">
        <w:t>delays in speaking to clients via videoconference.</w:t>
      </w:r>
      <w:r w:rsidRPr="00BD6499">
        <w:t xml:space="preserve"> This is inconsistent with the right of an accused to communicate with their lawyer</w:t>
      </w:r>
      <w:r w:rsidR="00F456C8" w:rsidRPr="00BD6499">
        <w:t>, and is</w:t>
      </w:r>
      <w:r w:rsidR="008E6553" w:rsidRPr="00BD6499">
        <w:t xml:space="preserve"> protected under section </w:t>
      </w:r>
      <w:r w:rsidRPr="00BD6499">
        <w:t xml:space="preserve">32 of the </w:t>
      </w:r>
      <w:r w:rsidR="00192066">
        <w:rPr>
          <w:iCs/>
        </w:rPr>
        <w:t>HRA</w:t>
      </w:r>
      <w:r w:rsidRPr="00BD6499">
        <w:rPr>
          <w:i/>
          <w:iCs/>
        </w:rPr>
        <w:t xml:space="preserve">. </w:t>
      </w:r>
    </w:p>
    <w:p w14:paraId="73248DDC" w14:textId="6919BF7A" w:rsidR="00E863B4" w:rsidRPr="00BD6499" w:rsidRDefault="005808D5" w:rsidP="00E863B4">
      <w:pPr>
        <w:pStyle w:val="Numberedparagraph"/>
      </w:pPr>
      <w:r w:rsidRPr="00BD6499">
        <w:t xml:space="preserve">While </w:t>
      </w:r>
      <w:r w:rsidR="008E6553" w:rsidRPr="00BD6499">
        <w:t>the Commission</w:t>
      </w:r>
      <w:r w:rsidRPr="00BD6499">
        <w:t xml:space="preserve"> acknowledge</w:t>
      </w:r>
      <w:r w:rsidR="008E6553" w:rsidRPr="00BD6499">
        <w:t>s</w:t>
      </w:r>
      <w:r w:rsidRPr="00BD6499">
        <w:t xml:space="preserve"> QCS’</w:t>
      </w:r>
      <w:r w:rsidR="00483CF3" w:rsidRPr="00BD6499">
        <w:t>s</w:t>
      </w:r>
      <w:r w:rsidRPr="00BD6499">
        <w:t xml:space="preserve"> efforts </w:t>
      </w:r>
      <w:r w:rsidR="00483CF3" w:rsidRPr="00BD6499">
        <w:t>to</w:t>
      </w:r>
      <w:r w:rsidRPr="00BD6499">
        <w:t xml:space="preserve"> resolv</w:t>
      </w:r>
      <w:r w:rsidR="00483CF3" w:rsidRPr="00BD6499">
        <w:t>e</w:t>
      </w:r>
      <w:r w:rsidRPr="00BD6499">
        <w:t xml:space="preserve"> these issues</w:t>
      </w:r>
      <w:r w:rsidR="003C4ED8" w:rsidRPr="00BD6499">
        <w:t>,</w:t>
      </w:r>
      <w:r w:rsidRPr="00BD6499">
        <w:t xml:space="preserve"> they </w:t>
      </w:r>
      <w:r w:rsidR="00483CF3" w:rsidRPr="00BD6499">
        <w:t xml:space="preserve">stand as </w:t>
      </w:r>
      <w:r w:rsidRPr="00BD6499">
        <w:t xml:space="preserve">valuable lessons </w:t>
      </w:r>
      <w:r w:rsidR="00483CF3" w:rsidRPr="00BD6499">
        <w:t xml:space="preserve">in the event of another </w:t>
      </w:r>
      <w:r w:rsidRPr="00BD6499">
        <w:t xml:space="preserve">emergency requiring such restrictions. </w:t>
      </w:r>
      <w:r w:rsidR="00483CF3" w:rsidRPr="00BD6499">
        <w:t>In the light of recent experience</w:t>
      </w:r>
      <w:r w:rsidRPr="00BD6499">
        <w:t xml:space="preserve">, </w:t>
      </w:r>
      <w:r w:rsidR="008E6553" w:rsidRPr="00BD6499">
        <w:t>the Commission</w:t>
      </w:r>
      <w:r w:rsidRPr="00BD6499">
        <w:t xml:space="preserve"> suggest</w:t>
      </w:r>
      <w:r w:rsidR="008E6553" w:rsidRPr="00BD6499">
        <w:t>s</w:t>
      </w:r>
      <w:r w:rsidRPr="00BD6499">
        <w:t xml:space="preserve"> greater clarity </w:t>
      </w:r>
      <w:r w:rsidR="00483CF3" w:rsidRPr="00BD6499">
        <w:t xml:space="preserve">is </w:t>
      </w:r>
      <w:r w:rsidRPr="00BD6499">
        <w:t>provided in policies and procedures about how time out of cell is to be tr</w:t>
      </w:r>
      <w:r w:rsidR="006A4E7B" w:rsidRPr="00BD6499">
        <w:t>eated during health quarantines. Th</w:t>
      </w:r>
      <w:r w:rsidR="00483CF3" w:rsidRPr="00BD6499">
        <w:t>is</w:t>
      </w:r>
      <w:r w:rsidR="006A4E7B" w:rsidRPr="00BD6499">
        <w:t xml:space="preserve"> may be necessary in the continued response to COVID-19, or to manage the risk of other communicable diseases</w:t>
      </w:r>
      <w:r w:rsidR="00E863B4" w:rsidRPr="00BD6499">
        <w:t xml:space="preserve">, </w:t>
      </w:r>
      <w:r w:rsidR="003430E1" w:rsidRPr="00BD6499">
        <w:t xml:space="preserve">during which time </w:t>
      </w:r>
      <w:r w:rsidR="00E863B4" w:rsidRPr="00BD6499">
        <w:t xml:space="preserve">priority must be given to developing </w:t>
      </w:r>
      <w:r w:rsidR="003430E1" w:rsidRPr="00BD6499">
        <w:t xml:space="preserve">means to </w:t>
      </w:r>
      <w:r w:rsidR="00E863B4" w:rsidRPr="00BD6499">
        <w:t>provid</w:t>
      </w:r>
      <w:r w:rsidR="003430E1" w:rsidRPr="00BD6499">
        <w:t>e</w:t>
      </w:r>
      <w:r w:rsidR="00E863B4" w:rsidRPr="00BD6499">
        <w:t xml:space="preserve"> time of out of cells without the risk of infecting others. </w:t>
      </w:r>
    </w:p>
    <w:p w14:paraId="0B004437" w14:textId="3D3EF2E2" w:rsidR="00E863B4" w:rsidRPr="00BD6499" w:rsidRDefault="008E6553" w:rsidP="00E863B4">
      <w:pPr>
        <w:pStyle w:val="Numberedparagraph"/>
      </w:pPr>
      <w:r w:rsidRPr="00BD6499">
        <w:t xml:space="preserve">The Commission acknowledges </w:t>
      </w:r>
      <w:r w:rsidR="005808D5" w:rsidRPr="00BD6499">
        <w:t>QCS’</w:t>
      </w:r>
      <w:r w:rsidR="003430E1" w:rsidRPr="00BD6499">
        <w:t>s</w:t>
      </w:r>
      <w:r w:rsidR="005808D5" w:rsidRPr="00BD6499">
        <w:t xml:space="preserve"> efforts to </w:t>
      </w:r>
      <w:r w:rsidR="003430E1" w:rsidRPr="00BD6499">
        <w:t>improve communications through use of</w:t>
      </w:r>
      <w:r w:rsidR="005808D5" w:rsidRPr="00BD6499">
        <w:t xml:space="preserve"> more comprehensive email communication, wireless phone headpieces</w:t>
      </w:r>
      <w:r w:rsidR="003430E1" w:rsidRPr="00BD6499">
        <w:t>,</w:t>
      </w:r>
      <w:r w:rsidR="005808D5" w:rsidRPr="00BD6499">
        <w:t xml:space="preserve"> and greater capacity for prisoners to leave their cell</w:t>
      </w:r>
      <w:r w:rsidR="003430E1" w:rsidRPr="00BD6499">
        <w:t>s</w:t>
      </w:r>
      <w:r w:rsidR="005808D5" w:rsidRPr="00BD6499">
        <w:t xml:space="preserve"> but remain safely quarantined. </w:t>
      </w:r>
      <w:r w:rsidRPr="00BD6499">
        <w:t>The Commission understands</w:t>
      </w:r>
      <w:r w:rsidR="004B0258" w:rsidRPr="00BD6499">
        <w:t xml:space="preserve"> QCS intends to maintain these as communication options</w:t>
      </w:r>
      <w:r w:rsidR="003430E1" w:rsidRPr="00BD6499">
        <w:t xml:space="preserve"> post-COVID</w:t>
      </w:r>
      <w:r w:rsidR="004B0258" w:rsidRPr="00BD6499">
        <w:t xml:space="preserve">, which </w:t>
      </w:r>
      <w:r w:rsidR="00E863B4" w:rsidRPr="00BD6499">
        <w:t>is welcome</w:t>
      </w:r>
      <w:r w:rsidR="004B0258" w:rsidRPr="00BD6499">
        <w:t xml:space="preserve">, provided they remain an alternative rather than a </w:t>
      </w:r>
      <w:r w:rsidR="003430E1" w:rsidRPr="00BD6499">
        <w:t xml:space="preserve">substitute </w:t>
      </w:r>
      <w:r w:rsidR="004B0258" w:rsidRPr="00BD6499">
        <w:t>for face</w:t>
      </w:r>
      <w:r w:rsidR="003430E1" w:rsidRPr="00BD6499">
        <w:t>-</w:t>
      </w:r>
      <w:r w:rsidR="004B0258" w:rsidRPr="00BD6499">
        <w:t>to</w:t>
      </w:r>
      <w:r w:rsidR="003430E1" w:rsidRPr="00BD6499">
        <w:t>-</w:t>
      </w:r>
      <w:r w:rsidR="004B0258" w:rsidRPr="00BD6499">
        <w:t>face visits.</w:t>
      </w:r>
    </w:p>
    <w:p w14:paraId="1EAABDE2" w14:textId="0D2C3AD3" w:rsidR="00850EC3" w:rsidRPr="00BD6499" w:rsidRDefault="00BC683A" w:rsidP="00A97581">
      <w:pPr>
        <w:pStyle w:val="Numberedparagraph"/>
        <w:rPr>
          <w:rFonts w:asciiTheme="minorHAnsi" w:hAnsiTheme="minorHAnsi" w:cstheme="minorBidi"/>
        </w:rPr>
      </w:pPr>
      <w:r w:rsidRPr="00BD6499">
        <w:t xml:space="preserve">As mentioned above, the Chief Health Officer's </w:t>
      </w:r>
      <w:r w:rsidRPr="00BD6499">
        <w:rPr>
          <w:i/>
        </w:rPr>
        <w:t>Corrective Services Facilities Direction</w:t>
      </w:r>
      <w:r w:rsidRPr="00BD6499">
        <w:t xml:space="preserve"> first issued on 23 March 2020, and now in its second iteration, bans all personal visits to prisons without exemption</w:t>
      </w:r>
      <w:r w:rsidR="00850EC3" w:rsidRPr="00BD6499">
        <w:t>.</w:t>
      </w:r>
      <w:r w:rsidR="00A97581" w:rsidRPr="00444845">
        <w:t xml:space="preserve"> </w:t>
      </w:r>
      <w:r w:rsidR="00A97581" w:rsidRPr="00BD6499">
        <w:t>Blanket bans are less likely to be compatible with human rights, in view of the lack of discretion to allow exemption even in exceptional circumstances, especially when visits to other closed environments continue to be permitted.</w:t>
      </w:r>
      <w:r w:rsidR="00850EC3" w:rsidRPr="00BD6499">
        <w:t xml:space="preserve"> </w:t>
      </w:r>
    </w:p>
    <w:p w14:paraId="01D812A9" w14:textId="5D53FC02" w:rsidR="00850EC3" w:rsidRPr="00BD6499" w:rsidRDefault="00850EC3" w:rsidP="00850EC3">
      <w:pPr>
        <w:pStyle w:val="Numberedparagraph"/>
        <w:rPr>
          <w:rFonts w:asciiTheme="minorHAnsi" w:hAnsiTheme="minorHAnsi" w:cstheme="minorBidi"/>
        </w:rPr>
      </w:pPr>
      <w:r w:rsidRPr="00BD6499">
        <w:t xml:space="preserve">Finally, </w:t>
      </w:r>
      <w:r w:rsidR="008E6553" w:rsidRPr="00BD6499">
        <w:t>the Commission notes</w:t>
      </w:r>
      <w:r w:rsidRPr="00BD6499">
        <w:t xml:space="preserve"> that the duration of emergency declarations made under the </w:t>
      </w:r>
      <w:r w:rsidR="00573948" w:rsidRPr="00BD6499">
        <w:rPr>
          <w:i/>
          <w:iCs/>
        </w:rPr>
        <w:t xml:space="preserve">Corrective Services </w:t>
      </w:r>
      <w:r w:rsidRPr="00BD6499">
        <w:rPr>
          <w:i/>
          <w:iCs/>
        </w:rPr>
        <w:t xml:space="preserve">Act 2006, </w:t>
      </w:r>
      <w:r w:rsidRPr="00BD6499">
        <w:t xml:space="preserve">have been extended </w:t>
      </w:r>
      <w:r w:rsidR="00597BA7" w:rsidRPr="00BD6499">
        <w:t xml:space="preserve">by </w:t>
      </w:r>
      <w:r w:rsidRPr="00BD6499">
        <w:t>regulation</w:t>
      </w:r>
      <w:r w:rsidR="00573948" w:rsidRPr="00BD6499">
        <w:rPr>
          <w:rStyle w:val="FootnoteReference"/>
        </w:rPr>
        <w:footnoteReference w:id="13"/>
      </w:r>
      <w:r w:rsidRPr="00BD6499">
        <w:t xml:space="preserve"> from </w:t>
      </w:r>
      <w:r w:rsidR="000E156D">
        <w:t>three</w:t>
      </w:r>
      <w:r w:rsidRPr="00BD6499">
        <w:t xml:space="preserve"> days to </w:t>
      </w:r>
      <w:r w:rsidR="00022AED">
        <w:t>90</w:t>
      </w:r>
      <w:r w:rsidR="00022AED" w:rsidRPr="00BD6499">
        <w:t xml:space="preserve"> </w:t>
      </w:r>
      <w:r w:rsidRPr="00BD6499">
        <w:t>days</w:t>
      </w:r>
      <w:r w:rsidR="005C5A28" w:rsidRPr="00BD6499">
        <w:t>, expiring on 31 December 2020</w:t>
      </w:r>
      <w:r w:rsidRPr="00BD6499">
        <w:t xml:space="preserve">. </w:t>
      </w:r>
      <w:r w:rsidR="008E6553" w:rsidRPr="00BD6499">
        <w:t>The Commission appreciates</w:t>
      </w:r>
      <w:r w:rsidR="00F82E53">
        <w:t xml:space="preserve"> that the existing three</w:t>
      </w:r>
      <w:r w:rsidR="00597BA7" w:rsidRPr="00BD6499">
        <w:t>-</w:t>
      </w:r>
      <w:r w:rsidRPr="00BD6499">
        <w:t>day time period created logistical difficulties, but note</w:t>
      </w:r>
      <w:r w:rsidR="00022AED">
        <w:t>s</w:t>
      </w:r>
      <w:r w:rsidRPr="00BD6499">
        <w:t xml:space="preserve"> that </w:t>
      </w:r>
      <w:r w:rsidR="000E156D">
        <w:t>ninety</w:t>
      </w:r>
      <w:r w:rsidRPr="00BD6499">
        <w:t xml:space="preserve"> days is a significant period </w:t>
      </w:r>
      <w:r w:rsidR="00597BA7" w:rsidRPr="00BD6499">
        <w:t xml:space="preserve">and is </w:t>
      </w:r>
      <w:r w:rsidRPr="00BD6499">
        <w:t>not addressed in detail in the accompanying Human Rights Certificate.</w:t>
      </w:r>
      <w:r w:rsidR="00CE0A35">
        <w:rPr>
          <w:rStyle w:val="FootnoteReference"/>
        </w:rPr>
        <w:footnoteReference w:id="14"/>
      </w:r>
      <w:r w:rsidRPr="00BD6499">
        <w:t xml:space="preserve"> That Certificate also refers to ‘safeguards’</w:t>
      </w:r>
      <w:r w:rsidR="003E21B9" w:rsidRPr="00BD6499">
        <w:t>,</w:t>
      </w:r>
      <w:r w:rsidRPr="00BD6499">
        <w:t xml:space="preserve"> such as the orders being reviewed monthly and declarations </w:t>
      </w:r>
      <w:r w:rsidR="003E21B9" w:rsidRPr="00BD6499">
        <w:t xml:space="preserve">being published </w:t>
      </w:r>
      <w:r w:rsidRPr="00BD6499">
        <w:t xml:space="preserve">online. However, these safeguards were not included in the regulation (or primary legislation) and so are not binding on QCS. </w:t>
      </w:r>
      <w:r w:rsidR="008E6553" w:rsidRPr="00BD6499">
        <w:t>The Commission suggests</w:t>
      </w:r>
      <w:r w:rsidRPr="00BD6499">
        <w:t xml:space="preserve"> that to be described as ‘safeguards’ the</w:t>
      </w:r>
      <w:r w:rsidR="003E21B9" w:rsidRPr="00BD6499">
        <w:t>re</w:t>
      </w:r>
      <w:r w:rsidRPr="00BD6499">
        <w:t xml:space="preserve"> must be a legal obligation placed on the Commissioner. </w:t>
      </w:r>
      <w:r w:rsidR="003E21B9" w:rsidRPr="00BD6499">
        <w:t>T</w:t>
      </w:r>
      <w:r w:rsidRPr="00BD6499">
        <w:t xml:space="preserve">he ability to alter a statutory timeframe </w:t>
      </w:r>
      <w:r w:rsidR="003E21B9" w:rsidRPr="00BD6499">
        <w:t xml:space="preserve">by </w:t>
      </w:r>
      <w:r w:rsidRPr="00BD6499">
        <w:t>regulation would usually be an unreasonable exercise of executive power. If the Government is to exercise such power at this time, it should ensure that it also applies legally enforceable protections to safeguard its use.</w:t>
      </w:r>
    </w:p>
    <w:p w14:paraId="11974FFB" w14:textId="03E3C04D" w:rsidR="00A5162B" w:rsidRPr="00BD6499" w:rsidRDefault="00A5162B" w:rsidP="00A5162B">
      <w:pPr>
        <w:pStyle w:val="Heading3"/>
      </w:pPr>
      <w:bookmarkStart w:id="16" w:name="_Toc44943801"/>
      <w:r w:rsidRPr="00BD6499">
        <w:t xml:space="preserve">Youth </w:t>
      </w:r>
      <w:r w:rsidR="003B23D5" w:rsidRPr="00BD6499">
        <w:t>detention</w:t>
      </w:r>
      <w:bookmarkEnd w:id="16"/>
    </w:p>
    <w:p w14:paraId="2EFB6A23" w14:textId="0034BB7B" w:rsidR="00A5162B" w:rsidRPr="00444845" w:rsidRDefault="00A5162B" w:rsidP="00A5162B">
      <w:pPr>
        <w:pStyle w:val="Numberedparagraph"/>
      </w:pPr>
      <w:r w:rsidRPr="00444845">
        <w:t xml:space="preserve">Unlike QCS, </w:t>
      </w:r>
      <w:r w:rsidR="00213A74" w:rsidRPr="00444845">
        <w:t xml:space="preserve">the </w:t>
      </w:r>
      <w:r w:rsidR="00DD541C" w:rsidRPr="00444845">
        <w:t>DYJ has not released information</w:t>
      </w:r>
      <w:r w:rsidRPr="00444845">
        <w:t xml:space="preserve"> about how </w:t>
      </w:r>
      <w:r w:rsidR="00466CAD" w:rsidRPr="00444845">
        <w:t>it</w:t>
      </w:r>
      <w:r w:rsidR="00DD541C" w:rsidRPr="00444845">
        <w:t xml:space="preserve"> </w:t>
      </w:r>
      <w:r w:rsidRPr="00833D30">
        <w:t>plan</w:t>
      </w:r>
      <w:r w:rsidR="00466CAD" w:rsidRPr="0098037E">
        <w:t>s</w:t>
      </w:r>
      <w:r w:rsidRPr="0098037E">
        <w:t xml:space="preserve"> to ease restrictions as the risks associated with COVID-19 </w:t>
      </w:r>
      <w:r w:rsidR="00DD541C" w:rsidRPr="009C1BEA">
        <w:t xml:space="preserve">are </w:t>
      </w:r>
      <w:r w:rsidRPr="00444845">
        <w:t xml:space="preserve">reduced. </w:t>
      </w:r>
      <w:r w:rsidR="008E6553" w:rsidRPr="00444845">
        <w:t>The Commission</w:t>
      </w:r>
      <w:r w:rsidRPr="00444845">
        <w:t xml:space="preserve"> suggest</w:t>
      </w:r>
      <w:r w:rsidR="008E6553" w:rsidRPr="00444845">
        <w:t>s</w:t>
      </w:r>
      <w:r w:rsidRPr="00444845">
        <w:t xml:space="preserve"> that </w:t>
      </w:r>
      <w:r w:rsidR="00E863B4" w:rsidRPr="00444845">
        <w:t xml:space="preserve">this information be released as a priority, and </w:t>
      </w:r>
      <w:r w:rsidRPr="00444845">
        <w:t xml:space="preserve">should restrictions again be necessary, such a public plan </w:t>
      </w:r>
      <w:r w:rsidR="00E863B4" w:rsidRPr="00444845">
        <w:t xml:space="preserve">be developed. It </w:t>
      </w:r>
      <w:r w:rsidRPr="00444845">
        <w:t>provides certainty for detainees, family, lawyers and other stakeholders about how risks will be managed</w:t>
      </w:r>
      <w:r w:rsidR="005C5A28" w:rsidRPr="00444845">
        <w:t xml:space="preserve"> and restrictions relaxed to ensure least restrictive practice</w:t>
      </w:r>
      <w:r w:rsidRPr="00444845">
        <w:t>.</w:t>
      </w:r>
    </w:p>
    <w:p w14:paraId="4D37ABE5" w14:textId="7043094A" w:rsidR="00A5162B" w:rsidRPr="00444845" w:rsidRDefault="00DD541C" w:rsidP="00850EC3">
      <w:pPr>
        <w:pStyle w:val="Numberedparagraph"/>
      </w:pPr>
      <w:r w:rsidRPr="00444845">
        <w:t>T</w:t>
      </w:r>
      <w:r w:rsidR="00A5162B" w:rsidRPr="00444845">
        <w:t>he QCS plan includes a re-</w:t>
      </w:r>
      <w:r w:rsidR="00850EC3" w:rsidRPr="00444845">
        <w:t>commencement</w:t>
      </w:r>
      <w:r w:rsidR="00A5162B" w:rsidRPr="00444845">
        <w:t xml:space="preserve"> of face</w:t>
      </w:r>
      <w:r w:rsidRPr="00444845">
        <w:t>-</w:t>
      </w:r>
      <w:r w:rsidR="00A5162B" w:rsidRPr="00444845">
        <w:t>to</w:t>
      </w:r>
      <w:r w:rsidRPr="00444845">
        <w:t>-</w:t>
      </w:r>
      <w:r w:rsidR="00A5162B" w:rsidRPr="00444845">
        <w:t xml:space="preserve">face visits </w:t>
      </w:r>
      <w:r w:rsidRPr="00444845">
        <w:t xml:space="preserve">from </w:t>
      </w:r>
      <w:r w:rsidR="00A5162B" w:rsidRPr="00444845">
        <w:t>10 July 2020</w:t>
      </w:r>
      <w:r w:rsidRPr="00444845">
        <w:t>, but</w:t>
      </w:r>
      <w:r w:rsidR="00A5162B" w:rsidRPr="00444845">
        <w:t xml:space="preserve"> </w:t>
      </w:r>
      <w:r w:rsidRPr="00444845">
        <w:t>n</w:t>
      </w:r>
      <w:r w:rsidR="00A5162B" w:rsidRPr="00444845">
        <w:t>o such commitment</w:t>
      </w:r>
      <w:r w:rsidR="00C623E7" w:rsidRPr="00444845">
        <w:t xml:space="preserve"> appears to have been made for the </w:t>
      </w:r>
      <w:r w:rsidR="00A5162B" w:rsidRPr="00444845">
        <w:t xml:space="preserve">recommencement of personal visits in youth detention centres. </w:t>
      </w:r>
      <w:r w:rsidR="008E6553" w:rsidRPr="00444845">
        <w:t>The Commission notes</w:t>
      </w:r>
      <w:r w:rsidR="00A5162B" w:rsidRPr="00444845">
        <w:t xml:space="preserve"> that the youth detention centre in the A</w:t>
      </w:r>
      <w:r w:rsidRPr="00444845">
        <w:t xml:space="preserve">ustralian </w:t>
      </w:r>
      <w:r w:rsidR="00A5162B" w:rsidRPr="00444845">
        <w:t>C</w:t>
      </w:r>
      <w:r w:rsidRPr="00444845">
        <w:t xml:space="preserve">apital </w:t>
      </w:r>
      <w:r w:rsidR="00A5162B" w:rsidRPr="00444845">
        <w:t>T</w:t>
      </w:r>
      <w:r w:rsidRPr="00444845">
        <w:t>erritory</w:t>
      </w:r>
      <w:r w:rsidR="00A5162B" w:rsidRPr="00444845">
        <w:t xml:space="preserve"> is</w:t>
      </w:r>
      <w:r w:rsidR="00850EC3" w:rsidRPr="00444845">
        <w:t xml:space="preserve"> already</w:t>
      </w:r>
      <w:r w:rsidR="00A5162B" w:rsidRPr="00444845">
        <w:t xml:space="preserve"> accepting visitors while observing social distancing measures</w:t>
      </w:r>
      <w:r w:rsidR="00E26ED8" w:rsidRPr="00444845">
        <w:t>, while those in NSW and Victoria remain closed to visitors</w:t>
      </w:r>
      <w:r w:rsidR="00A5162B" w:rsidRPr="00444845">
        <w:t>. Arguably</w:t>
      </w:r>
      <w:r w:rsidRPr="00444845">
        <w:t>,</w:t>
      </w:r>
      <w:r w:rsidR="00A5162B" w:rsidRPr="00444845">
        <w:t xml:space="preserve"> the infection rates in Queensland are comparable to th</w:t>
      </w:r>
      <w:r w:rsidRPr="00444845">
        <w:t>ose</w:t>
      </w:r>
      <w:r w:rsidR="00A5162B" w:rsidRPr="00444845">
        <w:t xml:space="preserve"> of the ACT</w:t>
      </w:r>
      <w:r w:rsidR="000E339A" w:rsidRPr="00444845">
        <w:t>,</w:t>
      </w:r>
      <w:r w:rsidR="00A5162B" w:rsidRPr="00444845">
        <w:t xml:space="preserve"> </w:t>
      </w:r>
      <w:r w:rsidR="008E6553" w:rsidRPr="00444845">
        <w:t>raising the question as to whether</w:t>
      </w:r>
      <w:r w:rsidR="00A5162B" w:rsidRPr="00444845">
        <w:t xml:space="preserve"> restrictions on visits need to remain in place at this time. Limitations on family contact in a youth justice context is particularly concerning to the Commission because of the vulnerability of this cohort, with around </w:t>
      </w:r>
      <w:r w:rsidR="00850EC3" w:rsidRPr="00444845">
        <w:t>two-thirds of detainees</w:t>
      </w:r>
      <w:r w:rsidR="00A5162B" w:rsidRPr="00444845">
        <w:t xml:space="preserve"> being of Aboriginal or Torres Strait Islander descent and a large number from traumatic backgrounds.</w:t>
      </w:r>
      <w:r w:rsidR="00E26ED8" w:rsidRPr="00444845">
        <w:rPr>
          <w:rStyle w:val="FootnoteReference"/>
        </w:rPr>
        <w:footnoteReference w:id="15"/>
      </w:r>
      <w:r w:rsidR="00A5162B" w:rsidRPr="00444845">
        <w:t xml:space="preserve"> Time away from family and kin may undermine the rehabilitative goals of youth justice</w:t>
      </w:r>
      <w:r w:rsidR="00CB1FFE" w:rsidRPr="00444845">
        <w:t>,</w:t>
      </w:r>
      <w:r w:rsidR="00A5162B" w:rsidRPr="00444845">
        <w:t xml:space="preserve"> </w:t>
      </w:r>
      <w:r w:rsidR="00CB1FFE" w:rsidRPr="00444845">
        <w:t xml:space="preserve">including </w:t>
      </w:r>
      <w:r w:rsidR="00A5162B" w:rsidRPr="00444845">
        <w:t>maintaining community and family connection to support reintegration into the community.</w:t>
      </w:r>
      <w:r w:rsidR="00850EC3" w:rsidRPr="00833D30">
        <w:t xml:space="preserve"> This </w:t>
      </w:r>
      <w:r w:rsidR="00CB1FFE" w:rsidRPr="009C1BEA">
        <w:t xml:space="preserve">restriction </w:t>
      </w:r>
      <w:r w:rsidR="00850EC3" w:rsidRPr="00444845">
        <w:t>limits several human rights</w:t>
      </w:r>
      <w:r w:rsidR="00CB1FFE" w:rsidRPr="00444845">
        <w:t>,</w:t>
      </w:r>
      <w:r w:rsidR="00850EC3" w:rsidRPr="00444845">
        <w:t xml:space="preserve"> particularly the cultural right of Aboriginal </w:t>
      </w:r>
      <w:r w:rsidR="00CB1FFE" w:rsidRPr="00444845">
        <w:t xml:space="preserve">peoples </w:t>
      </w:r>
      <w:r w:rsidR="00850EC3" w:rsidRPr="00444845">
        <w:t>and Torres Strait Islander peoples</w:t>
      </w:r>
      <w:r w:rsidR="003B2C4E" w:rsidRPr="00444845">
        <w:rPr>
          <w:rStyle w:val="FootnoteReference"/>
        </w:rPr>
        <w:footnoteReference w:id="16"/>
      </w:r>
      <w:r w:rsidR="003B2C4E" w:rsidRPr="00444845">
        <w:t xml:space="preserve"> and the protection of </w:t>
      </w:r>
      <w:r w:rsidR="00777792" w:rsidRPr="00444845">
        <w:t>families</w:t>
      </w:r>
      <w:r w:rsidR="003B2C4E" w:rsidRPr="00444845">
        <w:t xml:space="preserve"> and children</w:t>
      </w:r>
      <w:r w:rsidR="00850EC3" w:rsidRPr="00444845">
        <w:t>.</w:t>
      </w:r>
      <w:r w:rsidR="008343EC" w:rsidRPr="00444845">
        <w:rPr>
          <w:rStyle w:val="FootnoteReference"/>
        </w:rPr>
        <w:footnoteReference w:id="17"/>
      </w:r>
    </w:p>
    <w:p w14:paraId="41C9AEE6" w14:textId="04DA0F21" w:rsidR="00A5162B" w:rsidRPr="00BD6499" w:rsidRDefault="00A5162B" w:rsidP="00A5162B">
      <w:pPr>
        <w:pStyle w:val="Heading3"/>
      </w:pPr>
      <w:bookmarkStart w:id="17" w:name="_Toc44943802"/>
      <w:r w:rsidRPr="00BD6499">
        <w:t xml:space="preserve">Systemic </w:t>
      </w:r>
      <w:r w:rsidR="003A28DD" w:rsidRPr="00BD6499">
        <w:t>o</w:t>
      </w:r>
      <w:r w:rsidRPr="00BD6499">
        <w:t>versight</w:t>
      </w:r>
      <w:bookmarkEnd w:id="17"/>
    </w:p>
    <w:p w14:paraId="06A846D6" w14:textId="772800BE" w:rsidR="005808D5" w:rsidRPr="00BD6499" w:rsidRDefault="005808D5" w:rsidP="005808D5">
      <w:pPr>
        <w:pStyle w:val="Numberedparagraph"/>
      </w:pPr>
      <w:r w:rsidRPr="00BD6499">
        <w:t xml:space="preserve">At the systemic level, </w:t>
      </w:r>
      <w:r w:rsidR="008E6553" w:rsidRPr="00BD6499">
        <w:t>the Commission suggests</w:t>
      </w:r>
      <w:r w:rsidRPr="00BD6499">
        <w:t xml:space="preserve"> that th</w:t>
      </w:r>
      <w:r w:rsidR="003A28DD" w:rsidRPr="00BD6499">
        <w:t>e</w:t>
      </w:r>
      <w:r w:rsidRPr="00BD6499">
        <w:t xml:space="preserve"> pandemic</w:t>
      </w:r>
      <w:r w:rsidRPr="00BD6499" w:rsidDel="00BF7597">
        <w:t xml:space="preserve"> </w:t>
      </w:r>
      <w:r w:rsidR="003A28DD" w:rsidRPr="00BD6499">
        <w:t xml:space="preserve">has </w:t>
      </w:r>
      <w:r w:rsidRPr="00BD6499">
        <w:t>demonstrate</w:t>
      </w:r>
      <w:r w:rsidR="003A28DD" w:rsidRPr="00BD6499">
        <w:t>d</w:t>
      </w:r>
      <w:r w:rsidRPr="00BD6499">
        <w:t xml:space="preserve"> why an independent</w:t>
      </w:r>
      <w:r w:rsidR="664B789F" w:rsidRPr="00BD6499">
        <w:t>,</w:t>
      </w:r>
      <w:r w:rsidR="4E435A0D" w:rsidRPr="00BD6499">
        <w:t xml:space="preserve"> proactive</w:t>
      </w:r>
      <w:r w:rsidR="00BF7597" w:rsidRPr="00BD6499">
        <w:t xml:space="preserve"> (rather than complaints-based)</w:t>
      </w:r>
      <w:r w:rsidRPr="00BD6499">
        <w:t xml:space="preserve"> inspector of correctional services</w:t>
      </w:r>
      <w:r w:rsidR="00BF7597" w:rsidRPr="00BD6499">
        <w:t xml:space="preserve"> </w:t>
      </w:r>
      <w:r w:rsidRPr="00BD6499">
        <w:t>is critical for Queensland, as recommended by several recent reviews</w:t>
      </w:r>
      <w:r w:rsidR="004355D7" w:rsidRPr="00BD6499">
        <w:rPr>
          <w:rStyle w:val="FootnoteReference"/>
        </w:rPr>
        <w:footnoteReference w:id="18"/>
      </w:r>
      <w:r w:rsidRPr="00BD6499">
        <w:t xml:space="preserve"> </w:t>
      </w:r>
      <w:r w:rsidR="007F7DA8" w:rsidRPr="00BD6499">
        <w:t xml:space="preserve">and required under the </w:t>
      </w:r>
      <w:r w:rsidR="007F7DA8" w:rsidRPr="00BD6499">
        <w:rPr>
          <w:i/>
        </w:rPr>
        <w:t>Optional Protocol to the Convention against Torture</w:t>
      </w:r>
      <w:r w:rsidR="007F7DA8" w:rsidRPr="00BD6499">
        <w:t>.</w:t>
      </w:r>
      <w:r w:rsidR="007F7DA8">
        <w:t xml:space="preserve"> </w:t>
      </w:r>
      <w:r w:rsidRPr="00BD6499">
        <w:t>The Commission is only able to assess the human rights aspects of issues that came to our at</w:t>
      </w:r>
      <w:r w:rsidR="00850EC3" w:rsidRPr="00BD6499">
        <w:t>tention</w:t>
      </w:r>
      <w:r w:rsidR="57C99DF4" w:rsidRPr="00BD6499">
        <w:t xml:space="preserve"> such as through complaints and enquiries</w:t>
      </w:r>
      <w:r w:rsidR="003A28DD" w:rsidRPr="00BD6499">
        <w:t>, and</w:t>
      </w:r>
      <w:r w:rsidR="00850EC3" w:rsidRPr="00BD6499">
        <w:t xml:space="preserve"> </w:t>
      </w:r>
      <w:r w:rsidR="003A28DD" w:rsidRPr="00BD6499">
        <w:t>d</w:t>
      </w:r>
      <w:r w:rsidR="00850EC3" w:rsidRPr="00BD6499">
        <w:t xml:space="preserve">uring the </w:t>
      </w:r>
      <w:r w:rsidR="003A28DD" w:rsidRPr="00BD6499">
        <w:t xml:space="preserve">time that the </w:t>
      </w:r>
      <w:r w:rsidRPr="00BD6499">
        <w:t xml:space="preserve">most restrictive measures </w:t>
      </w:r>
      <w:r w:rsidR="003A28DD" w:rsidRPr="00BD6499">
        <w:t xml:space="preserve">were </w:t>
      </w:r>
      <w:r w:rsidRPr="00BD6499">
        <w:t>in place accredited visitors were prevented from entering prisons</w:t>
      </w:r>
      <w:r w:rsidR="00850EC3" w:rsidRPr="00BD6499">
        <w:t xml:space="preserve"> and youth detention centres</w:t>
      </w:r>
      <w:r w:rsidRPr="00BD6499">
        <w:t xml:space="preserve"> without permission.</w:t>
      </w:r>
    </w:p>
    <w:p w14:paraId="564432AA" w14:textId="77777777" w:rsidR="005808D5" w:rsidRPr="00BD6499" w:rsidRDefault="005808D5" w:rsidP="005808D5">
      <w:pPr>
        <w:pStyle w:val="Numberedparagraph"/>
      </w:pPr>
      <w:r w:rsidRPr="00BD6499">
        <w:t xml:space="preserve">Several international bodies have </w:t>
      </w:r>
      <w:r w:rsidR="00E5347F" w:rsidRPr="00BD6499">
        <w:t xml:space="preserve">stated </w:t>
      </w:r>
      <w:r w:rsidRPr="00BD6499">
        <w:t xml:space="preserve">that </w:t>
      </w:r>
      <w:r w:rsidR="00E5347F" w:rsidRPr="00BD6499">
        <w:t>continued,</w:t>
      </w:r>
      <w:r w:rsidRPr="00BD6499">
        <w:t xml:space="preserve"> independent monitoring of prisoners during the pandemic</w:t>
      </w:r>
      <w:r w:rsidR="00E5347F" w:rsidRPr="00BD6499">
        <w:t xml:space="preserve"> is vital</w:t>
      </w:r>
      <w:r w:rsidRPr="00BD6499">
        <w:t xml:space="preserve">. For example, the World Health </w:t>
      </w:r>
      <w:r w:rsidRPr="00444845">
        <w:t>Organisation</w:t>
      </w:r>
      <w:r w:rsidRPr="00BD6499">
        <w:t xml:space="preserve"> has said:</w:t>
      </w:r>
    </w:p>
    <w:p w14:paraId="6B048024" w14:textId="77777777" w:rsidR="00670F3F" w:rsidRDefault="005808D5" w:rsidP="00263A02">
      <w:pPr>
        <w:pStyle w:val="Numberedparagraph"/>
        <w:numPr>
          <w:ilvl w:val="0"/>
          <w:numId w:val="0"/>
        </w:numPr>
        <w:ind w:left="720"/>
        <w:rPr>
          <w:sz w:val="22"/>
          <w:szCs w:val="22"/>
        </w:rPr>
      </w:pPr>
      <w:r w:rsidRPr="00263A02">
        <w:rPr>
          <w:sz w:val="22"/>
          <w:szCs w:val="22"/>
        </w:rPr>
        <w:t>The COVID-19 outbreak must not be used as a justification for objecting to external inspection of prisons and other places of detention by independent international or national bodies whose mandate is to prevent torture and other cruel, inhuman or degrading treatment or punishment…Even in the circumstances of the COVID-19 outbreak, bodies of inspection in the above sense should have access to all people deprived of their liberty in prisons and other places of detention.</w:t>
      </w:r>
      <w:r w:rsidRPr="00263A02">
        <w:rPr>
          <w:rStyle w:val="FootnoteReference"/>
          <w:sz w:val="22"/>
          <w:szCs w:val="22"/>
        </w:rPr>
        <w:footnoteReference w:id="19"/>
      </w:r>
      <w:r w:rsidR="00A97581" w:rsidRPr="00263A02">
        <w:rPr>
          <w:sz w:val="22"/>
          <w:szCs w:val="22"/>
        </w:rPr>
        <w:t xml:space="preserve"> </w:t>
      </w:r>
    </w:p>
    <w:p w14:paraId="69B62F99" w14:textId="5DC77190" w:rsidR="005808D5" w:rsidRPr="00263A02" w:rsidRDefault="005808D5" w:rsidP="00670F3F">
      <w:pPr>
        <w:pStyle w:val="Numberedparagraph"/>
        <w:rPr>
          <w:rFonts w:asciiTheme="minorHAnsi" w:hAnsiTheme="minorHAnsi" w:cstheme="minorBidi"/>
        </w:rPr>
      </w:pPr>
      <w:r w:rsidRPr="00263A02">
        <w:t>The COVID-19 crisis has reinforced that to ensure community confidence, integrity</w:t>
      </w:r>
      <w:r w:rsidR="008511FA" w:rsidRPr="00263A02">
        <w:t>,</w:t>
      </w:r>
      <w:r w:rsidRPr="00263A02">
        <w:t xml:space="preserve"> and credibility </w:t>
      </w:r>
      <w:r w:rsidR="008511FA" w:rsidRPr="00263A02">
        <w:t xml:space="preserve">in </w:t>
      </w:r>
      <w:r w:rsidRPr="00263A02">
        <w:t xml:space="preserve">the oversight of places of detention, the government should prioritise the establishment of an independent inspector. </w:t>
      </w:r>
      <w:r w:rsidR="5050B784" w:rsidRPr="00263A02">
        <w:t xml:space="preserve">As recommended by the </w:t>
      </w:r>
      <w:r w:rsidR="5050B784" w:rsidRPr="00E276BE">
        <w:rPr>
          <w:i/>
        </w:rPr>
        <w:t>Sofronoff Review</w:t>
      </w:r>
      <w:r w:rsidR="5050B784" w:rsidRPr="00263A02">
        <w:t>,</w:t>
      </w:r>
      <w:r w:rsidR="00E276BE">
        <w:rPr>
          <w:rStyle w:val="FootnoteReference"/>
        </w:rPr>
        <w:footnoteReference w:id="20"/>
      </w:r>
      <w:r w:rsidR="5050B784" w:rsidRPr="00263A02">
        <w:t xml:space="preserve"> this position could be extended to oversight </w:t>
      </w:r>
      <w:r w:rsidR="008511FA" w:rsidRPr="00263A02">
        <w:t xml:space="preserve">of </w:t>
      </w:r>
      <w:r w:rsidR="5050B784" w:rsidRPr="00263A02">
        <w:t>youth detention, perhaps on a transitional basis as has occurred with the recently established ACT Inspector of Correctional Services.</w:t>
      </w:r>
    </w:p>
    <w:p w14:paraId="503F3431" w14:textId="77777777" w:rsidR="00707A47" w:rsidRPr="00444845" w:rsidRDefault="1CAA0753" w:rsidP="058A322D">
      <w:pPr>
        <w:pStyle w:val="Heading2"/>
        <w:rPr>
          <w:rFonts w:cs="Arial"/>
          <w:sz w:val="28"/>
          <w:szCs w:val="28"/>
        </w:rPr>
      </w:pPr>
      <w:bookmarkStart w:id="18" w:name="_Toc44943803"/>
      <w:r w:rsidRPr="00444845">
        <w:rPr>
          <w:rFonts w:cs="Arial"/>
          <w:sz w:val="28"/>
          <w:szCs w:val="28"/>
        </w:rPr>
        <w:t xml:space="preserve">Mandatory </w:t>
      </w:r>
      <w:r w:rsidR="008511FA" w:rsidRPr="00444845">
        <w:rPr>
          <w:rFonts w:cs="Arial"/>
          <w:sz w:val="28"/>
          <w:szCs w:val="28"/>
        </w:rPr>
        <w:t>h</w:t>
      </w:r>
      <w:r w:rsidR="22F42179" w:rsidRPr="00444845">
        <w:rPr>
          <w:rFonts w:cs="Arial"/>
          <w:sz w:val="28"/>
          <w:szCs w:val="28"/>
        </w:rPr>
        <w:t xml:space="preserve">otel </w:t>
      </w:r>
      <w:r w:rsidR="008511FA" w:rsidRPr="00444845">
        <w:rPr>
          <w:rFonts w:cs="Arial"/>
          <w:sz w:val="28"/>
          <w:szCs w:val="28"/>
        </w:rPr>
        <w:t>q</w:t>
      </w:r>
      <w:r w:rsidRPr="00444845">
        <w:rPr>
          <w:rFonts w:cs="Arial"/>
          <w:sz w:val="28"/>
          <w:szCs w:val="28"/>
        </w:rPr>
        <w:t>uarantine</w:t>
      </w:r>
      <w:bookmarkEnd w:id="18"/>
    </w:p>
    <w:p w14:paraId="5D1FC0A6" w14:textId="46F80C95" w:rsidR="6BCAAAA8" w:rsidRPr="00444845" w:rsidRDefault="00D7743C" w:rsidP="00670F3F">
      <w:pPr>
        <w:pStyle w:val="Numberedparagraph"/>
      </w:pPr>
      <w:r>
        <w:t>M</w:t>
      </w:r>
      <w:r w:rsidR="6CAB2B17" w:rsidRPr="00444845">
        <w:t xml:space="preserve">andatory </w:t>
      </w:r>
      <w:r w:rsidR="7284015F" w:rsidRPr="00444845">
        <w:t xml:space="preserve">hotel </w:t>
      </w:r>
      <w:r w:rsidR="6CAB2B17" w:rsidRPr="00444845">
        <w:t xml:space="preserve">quarantining of people </w:t>
      </w:r>
      <w:r w:rsidR="6A5C9EB1" w:rsidRPr="00444845">
        <w:t xml:space="preserve">arriving from overseas </w:t>
      </w:r>
      <w:r w:rsidR="46C117F8" w:rsidRPr="00833D30">
        <w:t xml:space="preserve">since 28 March 2020 </w:t>
      </w:r>
      <w:r>
        <w:t>may have</w:t>
      </w:r>
      <w:r w:rsidR="46C117F8" w:rsidRPr="00833D30">
        <w:t xml:space="preserve"> </w:t>
      </w:r>
      <w:r>
        <w:t xml:space="preserve">significantly </w:t>
      </w:r>
      <w:r w:rsidR="46C117F8" w:rsidRPr="00833D30">
        <w:t xml:space="preserve">contributed to the success of </w:t>
      </w:r>
      <w:r w:rsidR="008511FA" w:rsidRPr="009C1BEA">
        <w:t>‘</w:t>
      </w:r>
      <w:r w:rsidR="46C117F8" w:rsidRPr="009C1BEA">
        <w:t>flattening the curve</w:t>
      </w:r>
      <w:r w:rsidR="008511FA" w:rsidRPr="009C1BEA">
        <w:t xml:space="preserve">’ </w:t>
      </w:r>
      <w:r w:rsidR="3A9ACCAB" w:rsidRPr="00444845">
        <w:t>in Queensland.</w:t>
      </w:r>
      <w:r w:rsidR="164DAC81" w:rsidRPr="00444845">
        <w:t xml:space="preserve"> </w:t>
      </w:r>
      <w:r w:rsidR="6BCAAAA8" w:rsidRPr="00D7743C">
        <w:rPr>
          <w:rFonts w:eastAsia="Arial"/>
        </w:rPr>
        <w:t>However, in view of the fact that mandatory quarantining is likely to con</w:t>
      </w:r>
      <w:r w:rsidR="4A02171A" w:rsidRPr="00D7743C">
        <w:rPr>
          <w:rFonts w:eastAsia="Arial"/>
        </w:rPr>
        <w:t>ti</w:t>
      </w:r>
      <w:r w:rsidR="6BCAAAA8" w:rsidRPr="00D7743C">
        <w:rPr>
          <w:rFonts w:eastAsia="Arial"/>
        </w:rPr>
        <w:t xml:space="preserve">nue for some time, and </w:t>
      </w:r>
      <w:r w:rsidR="008511FA" w:rsidRPr="00D7743C">
        <w:rPr>
          <w:rFonts w:eastAsia="Arial"/>
        </w:rPr>
        <w:t xml:space="preserve">people </w:t>
      </w:r>
      <w:r w:rsidR="00DD34A5" w:rsidRPr="00D7743C">
        <w:rPr>
          <w:rFonts w:eastAsia="Arial"/>
        </w:rPr>
        <w:t>quaran</w:t>
      </w:r>
      <w:r w:rsidR="00DD34A5">
        <w:rPr>
          <w:rFonts w:eastAsia="Arial"/>
        </w:rPr>
        <w:t>t</w:t>
      </w:r>
      <w:r w:rsidR="00DD34A5" w:rsidRPr="00D7743C">
        <w:rPr>
          <w:rFonts w:eastAsia="Arial"/>
        </w:rPr>
        <w:t>ined</w:t>
      </w:r>
      <w:r w:rsidR="000D1CDB" w:rsidRPr="00D7743C">
        <w:rPr>
          <w:rFonts w:eastAsia="Arial"/>
        </w:rPr>
        <w:t xml:space="preserve"> </w:t>
      </w:r>
      <w:r w:rsidR="6BCAAAA8" w:rsidRPr="00D7743C">
        <w:rPr>
          <w:rFonts w:eastAsia="Arial"/>
        </w:rPr>
        <w:t xml:space="preserve">will be required to pay from 1 July 2020, </w:t>
      </w:r>
      <w:r w:rsidR="7D127024" w:rsidRPr="00D7743C">
        <w:rPr>
          <w:rFonts w:eastAsia="Arial"/>
        </w:rPr>
        <w:t xml:space="preserve">the conditions under which quarantine </w:t>
      </w:r>
      <w:r w:rsidR="008511FA" w:rsidRPr="00D7743C">
        <w:rPr>
          <w:rFonts w:eastAsia="Arial"/>
        </w:rPr>
        <w:t xml:space="preserve">occurs needs to be reconsidered in order </w:t>
      </w:r>
      <w:r w:rsidR="7D127024" w:rsidRPr="00D7743C">
        <w:rPr>
          <w:rFonts w:eastAsia="Arial"/>
        </w:rPr>
        <w:t xml:space="preserve">to ensure </w:t>
      </w:r>
      <w:r w:rsidR="008511FA" w:rsidRPr="00D7743C">
        <w:rPr>
          <w:rFonts w:eastAsia="Arial"/>
        </w:rPr>
        <w:t xml:space="preserve">that </w:t>
      </w:r>
      <w:r w:rsidR="67BAFDEF" w:rsidRPr="00D7743C">
        <w:rPr>
          <w:rFonts w:eastAsia="Arial"/>
        </w:rPr>
        <w:t>human rights are respected.</w:t>
      </w:r>
    </w:p>
    <w:p w14:paraId="51BD38AC" w14:textId="0F4B5DBB" w:rsidR="17AFC01E" w:rsidRPr="00444845" w:rsidRDefault="17AFC01E" w:rsidP="00850EC3">
      <w:pPr>
        <w:pStyle w:val="Numberedparagraph"/>
      </w:pPr>
      <w:r w:rsidRPr="00444845">
        <w:rPr>
          <w:rFonts w:eastAsia="Arial"/>
        </w:rPr>
        <w:t xml:space="preserve">The Commission’s </w:t>
      </w:r>
      <w:r w:rsidR="008511FA" w:rsidRPr="00444845">
        <w:rPr>
          <w:rFonts w:eastAsia="Arial"/>
        </w:rPr>
        <w:t xml:space="preserve">main </w:t>
      </w:r>
      <w:r w:rsidRPr="00444845">
        <w:rPr>
          <w:rFonts w:eastAsia="Arial"/>
        </w:rPr>
        <w:t xml:space="preserve">concern is the </w:t>
      </w:r>
      <w:r w:rsidR="008511FA" w:rsidRPr="00444845">
        <w:rPr>
          <w:rFonts w:eastAsia="Arial"/>
        </w:rPr>
        <w:t xml:space="preserve">lack of </w:t>
      </w:r>
      <w:r w:rsidRPr="00444845">
        <w:rPr>
          <w:rFonts w:eastAsia="Arial"/>
        </w:rPr>
        <w:t xml:space="preserve">access to fresh air and exercise. </w:t>
      </w:r>
      <w:r w:rsidR="6B0C788B" w:rsidRPr="00444845">
        <w:rPr>
          <w:rFonts w:eastAsia="Arial"/>
        </w:rPr>
        <w:t>Many people</w:t>
      </w:r>
      <w:r w:rsidR="00201344" w:rsidRPr="00444845">
        <w:rPr>
          <w:rFonts w:eastAsia="Arial"/>
        </w:rPr>
        <w:t xml:space="preserve"> quarantining</w:t>
      </w:r>
      <w:r w:rsidR="6B0C788B" w:rsidRPr="00444845">
        <w:rPr>
          <w:rFonts w:eastAsia="Arial"/>
        </w:rPr>
        <w:t xml:space="preserve"> in hotels report being </w:t>
      </w:r>
      <w:r w:rsidR="008511FA" w:rsidRPr="00444845">
        <w:rPr>
          <w:rFonts w:eastAsia="Arial"/>
        </w:rPr>
        <w:t xml:space="preserve">confined to </w:t>
      </w:r>
      <w:r w:rsidR="6B0C788B" w:rsidRPr="00444845">
        <w:rPr>
          <w:rFonts w:eastAsia="Arial"/>
        </w:rPr>
        <w:t xml:space="preserve">rooms </w:t>
      </w:r>
      <w:r w:rsidR="00466A7D" w:rsidRPr="00444845">
        <w:rPr>
          <w:rFonts w:eastAsia="Arial"/>
        </w:rPr>
        <w:t>with</w:t>
      </w:r>
      <w:r w:rsidR="6B0C788B" w:rsidRPr="00444845">
        <w:rPr>
          <w:rFonts w:eastAsia="Arial"/>
        </w:rPr>
        <w:t xml:space="preserve"> no opening windows </w:t>
      </w:r>
      <w:r w:rsidR="00466A7D" w:rsidRPr="00444845">
        <w:rPr>
          <w:rFonts w:eastAsia="Arial"/>
        </w:rPr>
        <w:t xml:space="preserve">or </w:t>
      </w:r>
      <w:r w:rsidR="6B0C788B" w:rsidRPr="00444845">
        <w:rPr>
          <w:rFonts w:eastAsia="Arial"/>
        </w:rPr>
        <w:t>balconies</w:t>
      </w:r>
      <w:r w:rsidR="6295EB13" w:rsidRPr="00444845">
        <w:rPr>
          <w:rFonts w:eastAsia="Arial"/>
        </w:rPr>
        <w:t>,</w:t>
      </w:r>
      <w:r w:rsidR="6B0C788B" w:rsidRPr="00444845">
        <w:rPr>
          <w:rFonts w:eastAsia="Arial"/>
        </w:rPr>
        <w:t xml:space="preserve"> and </w:t>
      </w:r>
      <w:r w:rsidR="00466A7D" w:rsidRPr="00444845">
        <w:rPr>
          <w:rFonts w:eastAsia="Arial"/>
        </w:rPr>
        <w:t xml:space="preserve">that time allowed out of the room is </w:t>
      </w:r>
      <w:r w:rsidR="6B0C788B" w:rsidRPr="00444845">
        <w:rPr>
          <w:rFonts w:eastAsia="Arial"/>
        </w:rPr>
        <w:t xml:space="preserve">at the discretion of the supervising police unit. </w:t>
      </w:r>
      <w:r w:rsidR="00466A7D" w:rsidRPr="00444845">
        <w:rPr>
          <w:rFonts w:eastAsia="Arial"/>
        </w:rPr>
        <w:t>This is unacceptable given that</w:t>
      </w:r>
      <w:r w:rsidR="4C27B268" w:rsidRPr="00444845">
        <w:rPr>
          <w:rFonts w:eastAsia="Arial"/>
        </w:rPr>
        <w:t xml:space="preserve"> international human rights standards entitle prisoners to a minimum of </w:t>
      </w:r>
      <w:r w:rsidR="00466A7D" w:rsidRPr="00444845">
        <w:rPr>
          <w:rFonts w:eastAsia="Arial"/>
        </w:rPr>
        <w:t>one</w:t>
      </w:r>
      <w:r w:rsidR="5E540E86" w:rsidRPr="00444845">
        <w:rPr>
          <w:rFonts w:eastAsia="Arial"/>
        </w:rPr>
        <w:t>-</w:t>
      </w:r>
      <w:r w:rsidR="4C27B268" w:rsidRPr="00444845">
        <w:rPr>
          <w:rFonts w:eastAsia="Arial"/>
        </w:rPr>
        <w:t>hour fresh</w:t>
      </w:r>
      <w:r w:rsidR="5C1B168D" w:rsidRPr="00444845">
        <w:rPr>
          <w:rFonts w:eastAsia="Arial"/>
        </w:rPr>
        <w:t xml:space="preserve"> air</w:t>
      </w:r>
      <w:r w:rsidR="4C27B268" w:rsidRPr="00444845">
        <w:rPr>
          <w:rFonts w:eastAsia="Arial"/>
        </w:rPr>
        <w:t xml:space="preserve"> and exercise per day.</w:t>
      </w:r>
      <w:r w:rsidR="00A3324D" w:rsidRPr="00444845">
        <w:rPr>
          <w:rFonts w:eastAsia="Arial"/>
        </w:rPr>
        <w:t xml:space="preserve"> The Commission understands that there are police resourcing issues and health risks in facilitating room breaks, Therefore, a</w:t>
      </w:r>
      <w:r w:rsidR="00466A7D" w:rsidRPr="00444845">
        <w:rPr>
          <w:rFonts w:eastAsia="Arial"/>
        </w:rPr>
        <w:t>ppropriate accommodation should be provided that allows safe access to fresh air and exercise, taking the particular needs of each person under quarantine into account.</w:t>
      </w:r>
    </w:p>
    <w:p w14:paraId="401909C6" w14:textId="7EEE78FE" w:rsidR="33E2E46F" w:rsidRPr="00444845" w:rsidRDefault="00466A7D" w:rsidP="00850EC3">
      <w:pPr>
        <w:pStyle w:val="Numberedparagraph"/>
      </w:pPr>
      <w:r w:rsidRPr="00444845">
        <w:rPr>
          <w:rFonts w:eastAsia="Arial"/>
        </w:rPr>
        <w:t>For people in mandatory hotel quarantine, the q</w:t>
      </w:r>
      <w:r w:rsidR="33E2E46F" w:rsidRPr="00444845">
        <w:rPr>
          <w:rFonts w:eastAsia="Arial"/>
        </w:rPr>
        <w:t xml:space="preserve">uality and consistency of information </w:t>
      </w:r>
      <w:r w:rsidRPr="00444845">
        <w:rPr>
          <w:rFonts w:eastAsia="Arial"/>
        </w:rPr>
        <w:t xml:space="preserve">provided has fallen short of what is needed. </w:t>
      </w:r>
      <w:r w:rsidR="4E1388BC" w:rsidRPr="00444845">
        <w:rPr>
          <w:rFonts w:eastAsia="Arial"/>
        </w:rPr>
        <w:t>As far as the Commission is aware, t</w:t>
      </w:r>
      <w:r w:rsidR="0E4AC78A" w:rsidRPr="00444845">
        <w:rPr>
          <w:rFonts w:eastAsia="Arial"/>
        </w:rPr>
        <w:t xml:space="preserve">he material </w:t>
      </w:r>
      <w:r w:rsidRPr="00444845">
        <w:rPr>
          <w:rFonts w:eastAsia="Arial"/>
        </w:rPr>
        <w:t xml:space="preserve">provided </w:t>
      </w:r>
      <w:r w:rsidR="0E4AC78A" w:rsidRPr="00444845">
        <w:rPr>
          <w:rFonts w:eastAsia="Arial"/>
        </w:rPr>
        <w:t>does not include plain English guidance on the application of the</w:t>
      </w:r>
      <w:r w:rsidR="002B55D2" w:rsidRPr="00444845">
        <w:rPr>
          <w:rFonts w:eastAsia="Arial"/>
        </w:rPr>
        <w:t xml:space="preserve"> relevant</w:t>
      </w:r>
      <w:r w:rsidR="0E4AC78A" w:rsidRPr="00444845">
        <w:rPr>
          <w:rFonts w:eastAsia="Arial"/>
        </w:rPr>
        <w:t xml:space="preserve"> </w:t>
      </w:r>
      <w:r w:rsidR="00D85B08">
        <w:rPr>
          <w:rFonts w:eastAsia="Arial"/>
        </w:rPr>
        <w:t>p</w:t>
      </w:r>
      <w:r w:rsidR="00D85B08" w:rsidRPr="00D85B08">
        <w:rPr>
          <w:rFonts w:eastAsia="Arial"/>
        </w:rPr>
        <w:t xml:space="preserve">ublic </w:t>
      </w:r>
      <w:r w:rsidR="00807124">
        <w:rPr>
          <w:rFonts w:eastAsia="Arial"/>
        </w:rPr>
        <w:t>h</w:t>
      </w:r>
      <w:r w:rsidR="00807124" w:rsidRPr="00D85B08">
        <w:rPr>
          <w:rFonts w:eastAsia="Arial"/>
        </w:rPr>
        <w:t xml:space="preserve">ealth </w:t>
      </w:r>
      <w:r w:rsidR="00807124">
        <w:rPr>
          <w:rFonts w:eastAsia="Arial"/>
        </w:rPr>
        <w:t>d</w:t>
      </w:r>
      <w:r w:rsidR="00807124" w:rsidRPr="00D85B08">
        <w:rPr>
          <w:rFonts w:eastAsia="Arial"/>
        </w:rPr>
        <w:t>irection</w:t>
      </w:r>
      <w:r w:rsidR="0E4AC78A" w:rsidRPr="00807124">
        <w:rPr>
          <w:rFonts w:eastAsia="Arial"/>
        </w:rPr>
        <w:t>, the</w:t>
      </w:r>
      <w:r w:rsidR="339B961A" w:rsidRPr="00807124">
        <w:rPr>
          <w:rFonts w:eastAsia="Arial"/>
        </w:rPr>
        <w:t xml:space="preserve"> meaning of and</w:t>
      </w:r>
      <w:r w:rsidR="0E4AC78A" w:rsidRPr="00807124">
        <w:rPr>
          <w:rFonts w:eastAsia="Arial"/>
        </w:rPr>
        <w:t xml:space="preserve"> process </w:t>
      </w:r>
      <w:r w:rsidR="2B232E0F" w:rsidRPr="00807124">
        <w:rPr>
          <w:rFonts w:eastAsia="Arial"/>
        </w:rPr>
        <w:t>of</w:t>
      </w:r>
      <w:r w:rsidR="0E4AC78A" w:rsidRPr="00807124">
        <w:rPr>
          <w:rFonts w:eastAsia="Arial"/>
        </w:rPr>
        <w:t xml:space="preserve"> applying for an exemption, or </w:t>
      </w:r>
      <w:r w:rsidRPr="00807124">
        <w:rPr>
          <w:rFonts w:eastAsia="Arial"/>
        </w:rPr>
        <w:t>where to go</w:t>
      </w:r>
      <w:r w:rsidR="0E4AC78A" w:rsidRPr="00807124">
        <w:rPr>
          <w:rFonts w:eastAsia="Arial"/>
        </w:rPr>
        <w:t xml:space="preserve"> for queries and complaints. </w:t>
      </w:r>
      <w:r w:rsidRPr="00807124">
        <w:rPr>
          <w:rFonts w:eastAsia="Arial"/>
        </w:rPr>
        <w:t xml:space="preserve">There is </w:t>
      </w:r>
      <w:r w:rsidR="006117EE" w:rsidRPr="009C1BEA">
        <w:rPr>
          <w:rFonts w:eastAsia="Arial"/>
        </w:rPr>
        <w:t>in</w:t>
      </w:r>
      <w:r w:rsidRPr="00444845">
        <w:rPr>
          <w:rFonts w:eastAsia="Arial"/>
        </w:rPr>
        <w:t xml:space="preserve">consistency between the official information provided by the Queensland Government and other sources such as </w:t>
      </w:r>
      <w:r w:rsidR="0437470F" w:rsidRPr="00444845">
        <w:rPr>
          <w:rFonts w:eastAsia="Arial"/>
        </w:rPr>
        <w:t>Public Health, Red Cross, the Community Re</w:t>
      </w:r>
      <w:r w:rsidR="5B33925E" w:rsidRPr="00444845">
        <w:rPr>
          <w:rFonts w:eastAsia="Arial"/>
        </w:rPr>
        <w:t xml:space="preserve">covery Hotline, Queensland Police Service, </w:t>
      </w:r>
      <w:r w:rsidR="00A3324D" w:rsidRPr="00444845">
        <w:rPr>
          <w:rFonts w:eastAsia="Arial"/>
        </w:rPr>
        <w:t xml:space="preserve">and </w:t>
      </w:r>
      <w:r w:rsidR="5B33925E" w:rsidRPr="00444845">
        <w:rPr>
          <w:rFonts w:eastAsia="Arial"/>
        </w:rPr>
        <w:t>hotel management, who all have a role to play in meeting the needs and wellbeing of pe</w:t>
      </w:r>
      <w:r w:rsidR="00D24722" w:rsidRPr="00444845">
        <w:rPr>
          <w:rFonts w:eastAsia="Arial"/>
        </w:rPr>
        <w:t>ople</w:t>
      </w:r>
      <w:r w:rsidR="5B33925E" w:rsidRPr="00444845">
        <w:rPr>
          <w:rFonts w:eastAsia="Arial"/>
        </w:rPr>
        <w:t xml:space="preserve"> in quarantine</w:t>
      </w:r>
      <w:r w:rsidR="107DB756" w:rsidRPr="00444845">
        <w:rPr>
          <w:rFonts w:eastAsia="Arial"/>
        </w:rPr>
        <w:t xml:space="preserve"> </w:t>
      </w:r>
    </w:p>
    <w:p w14:paraId="1F08DC79" w14:textId="77777777" w:rsidR="44F7ABD8" w:rsidRPr="00444845" w:rsidRDefault="00D24722" w:rsidP="00850EC3">
      <w:pPr>
        <w:pStyle w:val="Numberedparagraph"/>
      </w:pPr>
      <w:r w:rsidRPr="00444845">
        <w:rPr>
          <w:rFonts w:eastAsia="Arial"/>
        </w:rPr>
        <w:t>C</w:t>
      </w:r>
      <w:r w:rsidR="44F7ABD8" w:rsidRPr="00444845">
        <w:rPr>
          <w:rFonts w:eastAsia="Arial"/>
        </w:rPr>
        <w:t>lear lines of authority and transparen</w:t>
      </w:r>
      <w:r w:rsidR="5634A681" w:rsidRPr="00444845">
        <w:rPr>
          <w:rFonts w:eastAsia="Arial"/>
        </w:rPr>
        <w:t>t</w:t>
      </w:r>
      <w:r w:rsidR="44F7ABD8" w:rsidRPr="00444845">
        <w:rPr>
          <w:rFonts w:eastAsia="Arial"/>
        </w:rPr>
        <w:t xml:space="preserve"> decision-making</w:t>
      </w:r>
      <w:r w:rsidRPr="00444845">
        <w:rPr>
          <w:rFonts w:eastAsia="Arial"/>
        </w:rPr>
        <w:t xml:space="preserve"> would improve the human rights situation of people in hotel quarantine</w:t>
      </w:r>
      <w:r w:rsidR="44F7ABD8" w:rsidRPr="00444845">
        <w:rPr>
          <w:rFonts w:eastAsia="Arial"/>
        </w:rPr>
        <w:t xml:space="preserve">. </w:t>
      </w:r>
      <w:r w:rsidR="50C0CA7F" w:rsidRPr="00444845">
        <w:rPr>
          <w:rFonts w:eastAsia="Arial"/>
        </w:rPr>
        <w:t xml:space="preserve">The Commission’s experience with complaints </w:t>
      </w:r>
      <w:r w:rsidR="002B55D2" w:rsidRPr="00444845">
        <w:rPr>
          <w:rFonts w:eastAsia="Arial"/>
        </w:rPr>
        <w:t xml:space="preserve">received </w:t>
      </w:r>
      <w:r w:rsidRPr="00444845">
        <w:rPr>
          <w:rFonts w:eastAsia="Arial"/>
        </w:rPr>
        <w:t xml:space="preserve">is </w:t>
      </w:r>
      <w:r w:rsidR="50C0CA7F" w:rsidRPr="00444845">
        <w:rPr>
          <w:rFonts w:eastAsia="Arial"/>
        </w:rPr>
        <w:t xml:space="preserve">that it was difficult </w:t>
      </w:r>
      <w:r w:rsidRPr="00444845">
        <w:rPr>
          <w:rFonts w:eastAsia="Arial"/>
        </w:rPr>
        <w:t xml:space="preserve">for a person in mandatory hotel quarantine </w:t>
      </w:r>
      <w:r w:rsidR="50C0CA7F" w:rsidRPr="00444845">
        <w:rPr>
          <w:rFonts w:eastAsia="Arial"/>
        </w:rPr>
        <w:t>to identify who was responsible for a</w:t>
      </w:r>
      <w:r w:rsidR="1734F8FD" w:rsidRPr="00444845">
        <w:rPr>
          <w:rFonts w:eastAsia="Arial"/>
        </w:rPr>
        <w:t>n act or</w:t>
      </w:r>
      <w:r w:rsidR="50C0CA7F" w:rsidRPr="00444845">
        <w:rPr>
          <w:rFonts w:eastAsia="Arial"/>
        </w:rPr>
        <w:t xml:space="preserve"> decision, the process to make a</w:t>
      </w:r>
      <w:r w:rsidR="002B55D2" w:rsidRPr="00444845">
        <w:rPr>
          <w:rFonts w:eastAsia="Arial"/>
        </w:rPr>
        <w:t>n internal</w:t>
      </w:r>
      <w:r w:rsidR="50C0CA7F" w:rsidRPr="00444845">
        <w:rPr>
          <w:rFonts w:eastAsia="Arial"/>
        </w:rPr>
        <w:t xml:space="preserve"> complaint, and </w:t>
      </w:r>
      <w:r w:rsidR="69EE240C" w:rsidRPr="00444845">
        <w:rPr>
          <w:rFonts w:eastAsia="Arial"/>
        </w:rPr>
        <w:t xml:space="preserve">how decision-making discretion would be applied and communicated. </w:t>
      </w:r>
    </w:p>
    <w:p w14:paraId="1EA771F3" w14:textId="77777777" w:rsidR="21777C7E" w:rsidRPr="00444845" w:rsidRDefault="00D24722" w:rsidP="00850EC3">
      <w:pPr>
        <w:pStyle w:val="Numberedparagraph"/>
      </w:pPr>
      <w:r w:rsidRPr="00444845">
        <w:rPr>
          <w:rFonts w:eastAsia="Arial"/>
        </w:rPr>
        <w:t>The government should grasp the</w:t>
      </w:r>
      <w:r w:rsidR="21777C7E" w:rsidRPr="00444845">
        <w:rPr>
          <w:rFonts w:eastAsia="Arial"/>
        </w:rPr>
        <w:t xml:space="preserve"> opportunity </w:t>
      </w:r>
      <w:r w:rsidR="53A49C05" w:rsidRPr="00444845">
        <w:rPr>
          <w:rFonts w:eastAsia="Arial"/>
        </w:rPr>
        <w:t xml:space="preserve">to obtain feedback from relevant stakeholders, </w:t>
      </w:r>
      <w:r w:rsidRPr="00444845">
        <w:rPr>
          <w:rFonts w:eastAsia="Arial"/>
        </w:rPr>
        <w:t xml:space="preserve">especially </w:t>
      </w:r>
      <w:r w:rsidR="53A49C05" w:rsidRPr="00444845">
        <w:rPr>
          <w:rFonts w:eastAsia="Arial"/>
        </w:rPr>
        <w:t xml:space="preserve">people who have gone through </w:t>
      </w:r>
      <w:r w:rsidRPr="00444845">
        <w:rPr>
          <w:rFonts w:eastAsia="Arial"/>
        </w:rPr>
        <w:t xml:space="preserve">hotel </w:t>
      </w:r>
      <w:r w:rsidR="53A49C05" w:rsidRPr="00833D30">
        <w:rPr>
          <w:rFonts w:eastAsia="Arial"/>
        </w:rPr>
        <w:t>quarantine, so that conditions, information, and processes can be improved</w:t>
      </w:r>
      <w:r w:rsidR="002B55D2" w:rsidRPr="009C1BEA">
        <w:rPr>
          <w:rFonts w:eastAsia="Arial"/>
        </w:rPr>
        <w:t>.</w:t>
      </w:r>
    </w:p>
    <w:p w14:paraId="2F498CCE" w14:textId="77777777" w:rsidR="0045665D" w:rsidRPr="00444845" w:rsidRDefault="2DFE911F" w:rsidP="3385D653">
      <w:pPr>
        <w:pStyle w:val="Heading1"/>
        <w:rPr>
          <w:rFonts w:cs="Arial"/>
          <w:sz w:val="44"/>
          <w:szCs w:val="44"/>
        </w:rPr>
      </w:pPr>
      <w:bookmarkStart w:id="19" w:name="_Toc44943804"/>
      <w:r w:rsidRPr="00444845">
        <w:rPr>
          <w:rFonts w:cs="Arial"/>
          <w:sz w:val="44"/>
          <w:szCs w:val="44"/>
        </w:rPr>
        <w:t>At risk communities</w:t>
      </w:r>
      <w:bookmarkEnd w:id="19"/>
    </w:p>
    <w:p w14:paraId="17004233" w14:textId="2EF5FDC8" w:rsidR="0B621AF2" w:rsidRPr="00BD6499" w:rsidRDefault="0B621AF2" w:rsidP="00201344">
      <w:pPr>
        <w:pStyle w:val="Numberedparagraph"/>
      </w:pPr>
      <w:r w:rsidRPr="00BD6499">
        <w:t>Protection of hu</w:t>
      </w:r>
      <w:r w:rsidR="700E77D0" w:rsidRPr="00BD6499">
        <w:t xml:space="preserve">man worth and dignity </w:t>
      </w:r>
      <w:r w:rsidRPr="00BD6499">
        <w:t xml:space="preserve">requires focus on the specific needs of people most at risk </w:t>
      </w:r>
      <w:r w:rsidR="00AB74C7" w:rsidRPr="00BD6499">
        <w:t xml:space="preserve">of </w:t>
      </w:r>
      <w:r w:rsidRPr="00BD6499">
        <w:t xml:space="preserve">human rights violations. </w:t>
      </w:r>
      <w:r w:rsidR="03A33CDB" w:rsidRPr="00BD6499">
        <w:t xml:space="preserve">The communities identified below </w:t>
      </w:r>
      <w:r w:rsidR="00201344" w:rsidRPr="00BD6499">
        <w:t xml:space="preserve">are </w:t>
      </w:r>
      <w:r w:rsidR="03A33CDB" w:rsidRPr="00BD6499">
        <w:t>both mo</w:t>
      </w:r>
      <w:r w:rsidR="322FB6EE" w:rsidRPr="00BD6499">
        <w:t>re</w:t>
      </w:r>
      <w:r w:rsidR="03A33CDB" w:rsidRPr="00BD6499">
        <w:t xml:space="preserve"> at risk if infected by COVID-19, </w:t>
      </w:r>
      <w:r w:rsidR="2903C67A" w:rsidRPr="00BD6499">
        <w:t>and</w:t>
      </w:r>
      <w:r w:rsidR="03A33CDB" w:rsidRPr="00BD6499">
        <w:t xml:space="preserve"> more vulnerable to </w:t>
      </w:r>
      <w:r w:rsidR="7FD7D2FF" w:rsidRPr="00BD6499">
        <w:t xml:space="preserve">discrimination and other negative outcomes as a result of </w:t>
      </w:r>
      <w:r w:rsidR="03A33CDB" w:rsidRPr="00BD6499">
        <w:t xml:space="preserve">general restrictions put in place for the safety of the whole community. </w:t>
      </w:r>
      <w:r w:rsidR="47FA2A9E" w:rsidRPr="00BD6499">
        <w:t>It is</w:t>
      </w:r>
      <w:r w:rsidRPr="00BD6499" w:rsidDel="47FA2A9E">
        <w:t xml:space="preserve"> </w:t>
      </w:r>
      <w:r w:rsidR="13B4537B" w:rsidRPr="00BD6499">
        <w:t>essential</w:t>
      </w:r>
      <w:r w:rsidR="5256B5D4" w:rsidRPr="00BD6499">
        <w:t xml:space="preserve"> that government </w:t>
      </w:r>
      <w:r w:rsidR="5B92F5C3" w:rsidRPr="00BD6499">
        <w:t>considers</w:t>
      </w:r>
      <w:r w:rsidR="5F660B71" w:rsidRPr="00BD6499">
        <w:t xml:space="preserve"> </w:t>
      </w:r>
      <w:r w:rsidR="000A7563" w:rsidRPr="00BD6499">
        <w:t xml:space="preserve">impacts on at risk communities </w:t>
      </w:r>
      <w:r w:rsidR="545E2D77" w:rsidRPr="00BD6499">
        <w:t>when developing responses that restrict human rights.</w:t>
      </w:r>
    </w:p>
    <w:p w14:paraId="5AAB0C13" w14:textId="77777777" w:rsidR="001B6FF8" w:rsidRPr="00807124" w:rsidRDefault="001B6FF8" w:rsidP="001B6FF8">
      <w:pPr>
        <w:pStyle w:val="Heading2"/>
        <w:rPr>
          <w:sz w:val="28"/>
          <w:szCs w:val="28"/>
        </w:rPr>
      </w:pPr>
      <w:bookmarkStart w:id="20" w:name="_Toc44943805"/>
      <w:r w:rsidRPr="00444845">
        <w:rPr>
          <w:sz w:val="28"/>
          <w:szCs w:val="28"/>
        </w:rPr>
        <w:t xml:space="preserve">Triage </w:t>
      </w:r>
      <w:r w:rsidR="000A7563" w:rsidRPr="00444845">
        <w:rPr>
          <w:sz w:val="28"/>
          <w:szCs w:val="28"/>
        </w:rPr>
        <w:t>f</w:t>
      </w:r>
      <w:r w:rsidRPr="00444845">
        <w:rPr>
          <w:sz w:val="28"/>
          <w:szCs w:val="28"/>
        </w:rPr>
        <w:t xml:space="preserve">ramework for </w:t>
      </w:r>
      <w:r w:rsidR="000A7563" w:rsidRPr="00444845">
        <w:rPr>
          <w:sz w:val="28"/>
          <w:szCs w:val="28"/>
        </w:rPr>
        <w:t>f</w:t>
      </w:r>
      <w:r w:rsidRPr="00444845">
        <w:rPr>
          <w:sz w:val="28"/>
          <w:szCs w:val="28"/>
        </w:rPr>
        <w:t>ront</w:t>
      </w:r>
      <w:r w:rsidR="000A7563" w:rsidRPr="00444845">
        <w:rPr>
          <w:sz w:val="28"/>
          <w:szCs w:val="28"/>
        </w:rPr>
        <w:t>l</w:t>
      </w:r>
      <w:r w:rsidRPr="00833D30">
        <w:rPr>
          <w:sz w:val="28"/>
          <w:szCs w:val="28"/>
        </w:rPr>
        <w:t xml:space="preserve">ine </w:t>
      </w:r>
      <w:r w:rsidR="000A7563" w:rsidRPr="00833D30">
        <w:rPr>
          <w:sz w:val="28"/>
          <w:szCs w:val="28"/>
        </w:rPr>
        <w:t>h</w:t>
      </w:r>
      <w:r w:rsidRPr="00D85B08">
        <w:rPr>
          <w:sz w:val="28"/>
          <w:szCs w:val="28"/>
        </w:rPr>
        <w:t xml:space="preserve">ealth </w:t>
      </w:r>
      <w:r w:rsidR="000A7563" w:rsidRPr="00D85B08">
        <w:rPr>
          <w:sz w:val="28"/>
          <w:szCs w:val="28"/>
        </w:rPr>
        <w:t>w</w:t>
      </w:r>
      <w:r w:rsidRPr="00807124">
        <w:rPr>
          <w:sz w:val="28"/>
          <w:szCs w:val="28"/>
        </w:rPr>
        <w:t>orkers</w:t>
      </w:r>
      <w:bookmarkEnd w:id="20"/>
    </w:p>
    <w:p w14:paraId="41094004" w14:textId="1787EF03" w:rsidR="005808D5" w:rsidRPr="00BD6499" w:rsidRDefault="000A7563" w:rsidP="000A58C2">
      <w:pPr>
        <w:pStyle w:val="Numberedparagraph"/>
        <w:rPr>
          <w:lang w:eastAsia="en-AU"/>
        </w:rPr>
      </w:pPr>
      <w:r w:rsidRPr="00BD6499">
        <w:rPr>
          <w:lang w:eastAsia="en-AU"/>
        </w:rPr>
        <w:t xml:space="preserve">In a </w:t>
      </w:r>
      <w:r w:rsidR="005808D5" w:rsidRPr="00BD6499">
        <w:rPr>
          <w:lang w:eastAsia="en-AU"/>
        </w:rPr>
        <w:t>pandemic</w:t>
      </w:r>
      <w:r w:rsidR="4DE15B0B" w:rsidRPr="00BD6499">
        <w:rPr>
          <w:lang w:eastAsia="en-AU"/>
        </w:rPr>
        <w:t xml:space="preserve"> </w:t>
      </w:r>
      <w:r w:rsidRPr="00BD6499">
        <w:rPr>
          <w:lang w:eastAsia="en-AU"/>
        </w:rPr>
        <w:t xml:space="preserve">the </w:t>
      </w:r>
      <w:r w:rsidR="002B55D2" w:rsidRPr="00BD6499">
        <w:rPr>
          <w:lang w:eastAsia="en-AU"/>
        </w:rPr>
        <w:t>usual</w:t>
      </w:r>
      <w:r w:rsidR="4B6880F0" w:rsidRPr="00BD6499">
        <w:rPr>
          <w:lang w:eastAsia="en-AU"/>
        </w:rPr>
        <w:t xml:space="preserve"> </w:t>
      </w:r>
      <w:r w:rsidR="005808D5" w:rsidRPr="00BD6499">
        <w:rPr>
          <w:lang w:eastAsia="en-AU"/>
        </w:rPr>
        <w:t xml:space="preserve">health resources </w:t>
      </w:r>
      <w:r w:rsidRPr="00BD6499">
        <w:rPr>
          <w:lang w:eastAsia="en-AU"/>
        </w:rPr>
        <w:t>are un</w:t>
      </w:r>
      <w:r w:rsidR="002B55D2" w:rsidRPr="00BD6499">
        <w:rPr>
          <w:lang w:eastAsia="en-AU"/>
        </w:rPr>
        <w:t xml:space="preserve">likely </w:t>
      </w:r>
      <w:r w:rsidRPr="00BD6499">
        <w:rPr>
          <w:lang w:eastAsia="en-AU"/>
        </w:rPr>
        <w:t xml:space="preserve">to </w:t>
      </w:r>
      <w:r w:rsidR="002B55D2" w:rsidRPr="00BD6499">
        <w:rPr>
          <w:lang w:eastAsia="en-AU"/>
        </w:rPr>
        <w:t>be</w:t>
      </w:r>
      <w:r w:rsidR="005808D5" w:rsidRPr="00BD6499">
        <w:rPr>
          <w:lang w:eastAsia="en-AU"/>
        </w:rPr>
        <w:t xml:space="preserve"> sufficient to </w:t>
      </w:r>
      <w:r w:rsidRPr="00BD6499">
        <w:rPr>
          <w:lang w:eastAsia="en-AU"/>
        </w:rPr>
        <w:t>meet demand</w:t>
      </w:r>
      <w:r w:rsidR="005808D5" w:rsidRPr="00BD6499">
        <w:rPr>
          <w:lang w:eastAsia="en-AU"/>
        </w:rPr>
        <w:t>, particularly in the emergency care setting.</w:t>
      </w:r>
      <w:r w:rsidR="000A58C2" w:rsidRPr="00BD6499">
        <w:rPr>
          <w:lang w:eastAsia="en-AU"/>
        </w:rPr>
        <w:t xml:space="preserve"> </w:t>
      </w:r>
      <w:r w:rsidR="4B6880F0" w:rsidRPr="00BD6499">
        <w:rPr>
          <w:lang w:eastAsia="en-AU"/>
        </w:rPr>
        <w:t>With this in mind, s</w:t>
      </w:r>
      <w:r w:rsidR="005808D5" w:rsidRPr="00BD6499">
        <w:rPr>
          <w:lang w:eastAsia="en-AU"/>
        </w:rPr>
        <w:t>ignificant work has already been done by Australian, state and territory governments</w:t>
      </w:r>
      <w:r w:rsidR="00A22F15" w:rsidRPr="00BD6499">
        <w:rPr>
          <w:lang w:eastAsia="en-AU"/>
        </w:rPr>
        <w:t>,</w:t>
      </w:r>
      <w:r w:rsidR="005808D5" w:rsidRPr="00BD6499">
        <w:rPr>
          <w:lang w:eastAsia="en-AU"/>
        </w:rPr>
        <w:t xml:space="preserve"> and professional bodies </w:t>
      </w:r>
      <w:r w:rsidR="01211F09" w:rsidRPr="00BD6499">
        <w:rPr>
          <w:lang w:eastAsia="en-AU"/>
        </w:rPr>
        <w:t>to prepare</w:t>
      </w:r>
      <w:r w:rsidR="00A22F15" w:rsidRPr="00BD6499">
        <w:rPr>
          <w:lang w:eastAsia="en-AU"/>
        </w:rPr>
        <w:t xml:space="preserve"> for the emergency</w:t>
      </w:r>
      <w:r w:rsidR="005808D5" w:rsidRPr="00BD6499">
        <w:rPr>
          <w:lang w:eastAsia="en-AU"/>
        </w:rPr>
        <w:t>. The Commission has welcomed</w:t>
      </w:r>
      <w:r w:rsidR="00A22F15" w:rsidRPr="00BD6499">
        <w:rPr>
          <w:lang w:eastAsia="en-AU"/>
        </w:rPr>
        <w:t>,</w:t>
      </w:r>
      <w:r w:rsidR="005808D5" w:rsidRPr="00BD6499">
        <w:rPr>
          <w:lang w:eastAsia="en-AU"/>
        </w:rPr>
        <w:t xml:space="preserve"> in particular</w:t>
      </w:r>
      <w:r w:rsidR="00A22F15" w:rsidRPr="00BD6499">
        <w:rPr>
          <w:lang w:eastAsia="en-AU"/>
        </w:rPr>
        <w:t>,</w:t>
      </w:r>
      <w:r w:rsidR="005808D5" w:rsidRPr="00BD6499">
        <w:rPr>
          <w:lang w:eastAsia="en-AU"/>
        </w:rPr>
        <w:t xml:space="preserve"> </w:t>
      </w:r>
      <w:r w:rsidR="00590F98" w:rsidRPr="00BD6499">
        <w:rPr>
          <w:lang w:eastAsia="en-AU"/>
        </w:rPr>
        <w:t xml:space="preserve">Queensland Health </w:t>
      </w:r>
      <w:r w:rsidR="005808D5" w:rsidRPr="00BD6499">
        <w:rPr>
          <w:lang w:eastAsia="en-AU"/>
        </w:rPr>
        <w:t>developing a robust framework in Queensland to guide how health practitioners can approach these complex issues, should scarcity of health resources become an issue.</w:t>
      </w:r>
      <w:r w:rsidR="005808D5" w:rsidRPr="00BD6499">
        <w:rPr>
          <w:rStyle w:val="FootnoteReference"/>
          <w:lang w:eastAsia="en-AU"/>
        </w:rPr>
        <w:footnoteReference w:id="21"/>
      </w:r>
      <w:r w:rsidR="4B6880F0" w:rsidRPr="00BD6499">
        <w:rPr>
          <w:lang w:eastAsia="en-AU"/>
        </w:rPr>
        <w:t xml:space="preserve"> </w:t>
      </w:r>
    </w:p>
    <w:p w14:paraId="56996DD4" w14:textId="08C3CF79" w:rsidR="005808D5" w:rsidRPr="00BD6499" w:rsidRDefault="005808D5" w:rsidP="005808D5">
      <w:pPr>
        <w:pStyle w:val="Numberedparagraph"/>
        <w:rPr>
          <w:lang w:eastAsia="en-AU"/>
        </w:rPr>
      </w:pPr>
      <w:r w:rsidRPr="00BD6499">
        <w:rPr>
          <w:lang w:eastAsia="en-AU"/>
        </w:rPr>
        <w:t xml:space="preserve">The Commission continues to </w:t>
      </w:r>
      <w:r w:rsidR="008B2DF8" w:rsidRPr="00BD6499">
        <w:rPr>
          <w:lang w:eastAsia="en-AU"/>
        </w:rPr>
        <w:t>provide feedback to</w:t>
      </w:r>
      <w:r w:rsidRPr="00BD6499">
        <w:rPr>
          <w:lang w:eastAsia="en-AU"/>
        </w:rPr>
        <w:t xml:space="preserve"> Queensland Health to ensure that human rights are considered in decision-making throughout the health system, </w:t>
      </w:r>
      <w:r w:rsidR="00A22F15" w:rsidRPr="00BD6499">
        <w:rPr>
          <w:lang w:eastAsia="en-AU"/>
        </w:rPr>
        <w:t xml:space="preserve">especially with </w:t>
      </w:r>
      <w:r w:rsidRPr="00BD6499">
        <w:rPr>
          <w:lang w:eastAsia="en-AU"/>
        </w:rPr>
        <w:t>regard</w:t>
      </w:r>
      <w:r w:rsidR="00A22F15" w:rsidRPr="00BD6499">
        <w:rPr>
          <w:lang w:eastAsia="en-AU"/>
        </w:rPr>
        <w:t xml:space="preserve"> to</w:t>
      </w:r>
      <w:r w:rsidRPr="00BD6499">
        <w:rPr>
          <w:lang w:eastAsia="en-AU"/>
        </w:rPr>
        <w:t xml:space="preserve"> critical care.</w:t>
      </w:r>
      <w:r w:rsidR="004A165C" w:rsidRPr="00BD6499">
        <w:rPr>
          <w:lang w:eastAsia="en-AU"/>
        </w:rPr>
        <w:t xml:space="preserve"> </w:t>
      </w:r>
      <w:r w:rsidR="00A22F15" w:rsidRPr="00BD6499">
        <w:rPr>
          <w:lang w:eastAsia="en-AU"/>
        </w:rPr>
        <w:t>S</w:t>
      </w:r>
      <w:r w:rsidRPr="00BD6499">
        <w:rPr>
          <w:lang w:eastAsia="en-AU"/>
        </w:rPr>
        <w:t xml:space="preserve">uch systems should not apply or entrench unconscious bias against certain groups, such as people with disability and older Australians, and must provide a transparent set of human rights-compatible considerations </w:t>
      </w:r>
      <w:r w:rsidR="002B55D2" w:rsidRPr="00BD6499">
        <w:rPr>
          <w:lang w:eastAsia="en-AU"/>
        </w:rPr>
        <w:t xml:space="preserve">to support </w:t>
      </w:r>
      <w:r w:rsidRPr="00BD6499">
        <w:rPr>
          <w:lang w:eastAsia="en-AU"/>
        </w:rPr>
        <w:t xml:space="preserve">health professionals faced with scarce critical care resources. This includes preventing </w:t>
      </w:r>
      <w:r w:rsidRPr="00444845">
        <w:t>overreliance on potentially discriminatory tools</w:t>
      </w:r>
      <w:r w:rsidR="00A22F15" w:rsidRPr="00444845">
        <w:t>,</w:t>
      </w:r>
      <w:r w:rsidRPr="00444845">
        <w:t xml:space="preserve"> such as the clinical frailty scale and</w:t>
      </w:r>
      <w:r w:rsidR="00B531A9" w:rsidRPr="00444845">
        <w:t xml:space="preserve"> accompanying</w:t>
      </w:r>
      <w:r w:rsidRPr="00444845">
        <w:t xml:space="preserve"> diagrams that have the potential to promote bias.</w:t>
      </w:r>
      <w:r w:rsidR="002B55D2" w:rsidRPr="00444845">
        <w:t xml:space="preserve"> Successful development of a strong framework for COVID-19 </w:t>
      </w:r>
      <w:r w:rsidR="00A22F15" w:rsidRPr="00833D30">
        <w:t xml:space="preserve">response </w:t>
      </w:r>
      <w:r w:rsidR="002B55D2" w:rsidRPr="00833D30">
        <w:t xml:space="preserve">can provide the foundation for </w:t>
      </w:r>
      <w:r w:rsidR="00737433" w:rsidRPr="00D85B08">
        <w:t>fairer health decisions more broadly, and improve the culture in delivering health servi</w:t>
      </w:r>
      <w:r w:rsidR="00737433" w:rsidRPr="009C1BEA">
        <w:t xml:space="preserve">ces to groups who have traditionally been vulnerable to discrimination, such as older people, people with disability, and Aboriginal </w:t>
      </w:r>
      <w:r w:rsidR="00A22F15" w:rsidRPr="00444845">
        <w:t xml:space="preserve">peoples </w:t>
      </w:r>
      <w:r w:rsidR="00737433" w:rsidRPr="00444845">
        <w:t>and Torres Strait Islander people</w:t>
      </w:r>
      <w:r w:rsidR="00A22F15" w:rsidRPr="00444845">
        <w:t>s</w:t>
      </w:r>
      <w:r w:rsidR="00737433" w:rsidRPr="00444845">
        <w:t>.</w:t>
      </w:r>
    </w:p>
    <w:p w14:paraId="2313DA29" w14:textId="77777777" w:rsidR="00707A47" w:rsidRPr="00444845" w:rsidRDefault="00707A47" w:rsidP="375799C0">
      <w:pPr>
        <w:pStyle w:val="Heading2"/>
        <w:rPr>
          <w:rFonts w:cs="Arial"/>
          <w:sz w:val="28"/>
          <w:szCs w:val="28"/>
        </w:rPr>
      </w:pPr>
      <w:bookmarkStart w:id="21" w:name="_Toc44943806"/>
      <w:r w:rsidRPr="00444845">
        <w:rPr>
          <w:rFonts w:cs="Arial"/>
          <w:sz w:val="28"/>
          <w:szCs w:val="28"/>
        </w:rPr>
        <w:t xml:space="preserve">People with </w:t>
      </w:r>
      <w:r w:rsidR="00B3011A" w:rsidRPr="00444845">
        <w:rPr>
          <w:rFonts w:cs="Arial"/>
          <w:sz w:val="28"/>
          <w:szCs w:val="28"/>
        </w:rPr>
        <w:t>d</w:t>
      </w:r>
      <w:r w:rsidRPr="00444845">
        <w:rPr>
          <w:rFonts w:cs="Arial"/>
          <w:sz w:val="28"/>
          <w:szCs w:val="28"/>
        </w:rPr>
        <w:t>isability</w:t>
      </w:r>
      <w:bookmarkEnd w:id="21"/>
    </w:p>
    <w:p w14:paraId="643FAFF5" w14:textId="75400230" w:rsidR="00737433" w:rsidRPr="00BD6499" w:rsidRDefault="00B3011A" w:rsidP="00850EC3">
      <w:pPr>
        <w:pStyle w:val="Numberedparagraph"/>
      </w:pPr>
      <w:r w:rsidRPr="00BD6499">
        <w:t>V</w:t>
      </w:r>
      <w:r w:rsidR="71C96B66" w:rsidRPr="00BD6499">
        <w:t xml:space="preserve">arious organisations </w:t>
      </w:r>
      <w:r w:rsidRPr="00BD6499">
        <w:t>have made statements</w:t>
      </w:r>
      <w:r w:rsidR="006117EE" w:rsidRPr="00BD6499">
        <w:rPr>
          <w:rStyle w:val="FootnoteReference"/>
        </w:rPr>
        <w:footnoteReference w:id="22"/>
      </w:r>
      <w:r w:rsidRPr="00BD6499">
        <w:t xml:space="preserve"> </w:t>
      </w:r>
      <w:r w:rsidR="71C96B66" w:rsidRPr="00BD6499">
        <w:t>that people with disability felt left behind in the early days of the pandemic. While specific attention</w:t>
      </w:r>
      <w:r w:rsidR="68544B8F" w:rsidRPr="00BD6499">
        <w:t xml:space="preserve"> </w:t>
      </w:r>
      <w:r w:rsidRPr="00BD6499">
        <w:t xml:space="preserve">was </w:t>
      </w:r>
      <w:r w:rsidR="20AF2CEA" w:rsidRPr="00BD6499">
        <w:t xml:space="preserve">properly </w:t>
      </w:r>
      <w:r w:rsidR="043DC647" w:rsidRPr="00BD6499">
        <w:t>given</w:t>
      </w:r>
      <w:r w:rsidR="71C96B66" w:rsidRPr="00BD6499">
        <w:t xml:space="preserve"> </w:t>
      </w:r>
      <w:r w:rsidR="777EB48F" w:rsidRPr="00BD6499">
        <w:t xml:space="preserve">by the Queensland government </w:t>
      </w:r>
      <w:r w:rsidR="71C96B66" w:rsidRPr="00BD6499">
        <w:t xml:space="preserve">to </w:t>
      </w:r>
      <w:r w:rsidR="46864BE6" w:rsidRPr="00BD6499">
        <w:t>aged care, hospitals, remote comm</w:t>
      </w:r>
      <w:r w:rsidR="74E26AE1" w:rsidRPr="00BD6499">
        <w:t xml:space="preserve">unities, </w:t>
      </w:r>
      <w:r w:rsidR="0B8FDBC7" w:rsidRPr="00BD6499">
        <w:t xml:space="preserve">and corrective services, limited guidance or </w:t>
      </w:r>
      <w:r w:rsidR="6D34F626" w:rsidRPr="00BD6499">
        <w:t xml:space="preserve">reassurance </w:t>
      </w:r>
      <w:r w:rsidRPr="00BD6499">
        <w:t xml:space="preserve">was </w:t>
      </w:r>
      <w:r w:rsidR="6D34F626" w:rsidRPr="00BD6499">
        <w:t xml:space="preserve">given to people with disability, their families and carers. </w:t>
      </w:r>
      <w:r w:rsidR="26485F37" w:rsidRPr="00BD6499">
        <w:t xml:space="preserve">The </w:t>
      </w:r>
      <w:r w:rsidR="26485F37" w:rsidRPr="00BD6499">
        <w:rPr>
          <w:i/>
          <w:iCs/>
        </w:rPr>
        <w:t xml:space="preserve">National Management and Operation Plan for People with Disability </w:t>
      </w:r>
      <w:r w:rsidR="0E17946E" w:rsidRPr="00BD6499">
        <w:rPr>
          <w:i/>
          <w:iCs/>
        </w:rPr>
        <w:t xml:space="preserve">was released </w:t>
      </w:r>
      <w:r w:rsidR="0E17946E" w:rsidRPr="00BD6499">
        <w:t>on 17 April 2020, however, the complementary Queensland plan is still to be released followi</w:t>
      </w:r>
      <w:r w:rsidR="46DC184D" w:rsidRPr="00BD6499">
        <w:t>ng</w:t>
      </w:r>
      <w:r w:rsidR="0E17946E" w:rsidRPr="00BD6499">
        <w:t xml:space="preserve"> final approval.</w:t>
      </w:r>
      <w:r w:rsidR="2D181D70" w:rsidRPr="00BD6499">
        <w:rPr>
          <w:rStyle w:val="FootnoteReference"/>
        </w:rPr>
        <w:footnoteReference w:id="23"/>
      </w:r>
      <w:r w:rsidR="63A3414D" w:rsidRPr="00BD6499">
        <w:t xml:space="preserve"> </w:t>
      </w:r>
      <w:r w:rsidR="27F6AB28" w:rsidRPr="00BD6499">
        <w:t xml:space="preserve">The </w:t>
      </w:r>
      <w:r w:rsidR="27F6AB28" w:rsidRPr="00BD6499">
        <w:rPr>
          <w:i/>
          <w:iCs/>
        </w:rPr>
        <w:t>Queensland Disability Strategy – in response to the COVID-19 pandemic</w:t>
      </w:r>
      <w:r w:rsidR="27F6AB28" w:rsidRPr="00BD6499">
        <w:t xml:space="preserve"> referred to in the</w:t>
      </w:r>
      <w:r w:rsidR="27F6AB28" w:rsidRPr="00444845">
        <w:t xml:space="preserve"> Department of Communities, Disability Services and Seniors briefing to this inquiry</w:t>
      </w:r>
      <w:r w:rsidR="006117EE" w:rsidRPr="00444845">
        <w:rPr>
          <w:rStyle w:val="FootnoteReference"/>
        </w:rPr>
        <w:footnoteReference w:id="24"/>
      </w:r>
      <w:r w:rsidR="27F6AB28" w:rsidRPr="00444845">
        <w:t xml:space="preserve"> could not be located online.</w:t>
      </w:r>
    </w:p>
    <w:p w14:paraId="5C2C636E" w14:textId="044D58A7" w:rsidR="2D181D70" w:rsidRPr="00BD6499" w:rsidRDefault="00737433" w:rsidP="00430629">
      <w:pPr>
        <w:pStyle w:val="Numberedparagraph"/>
      </w:pPr>
      <w:r w:rsidRPr="00BD6499">
        <w:t xml:space="preserve">Some excellent resources have been developed for people with disability. </w:t>
      </w:r>
      <w:r w:rsidR="008E6553" w:rsidRPr="00BD6499">
        <w:t>The Commission notes the</w:t>
      </w:r>
      <w:r w:rsidRPr="00BD6499">
        <w:t xml:space="preserve"> links from the Queensland Government’s page on COVID-19 for people with disability</w:t>
      </w:r>
      <w:r w:rsidRPr="00BD6499">
        <w:rPr>
          <w:rStyle w:val="FootnoteReference"/>
        </w:rPr>
        <w:footnoteReference w:id="25"/>
      </w:r>
      <w:r w:rsidR="00303B7C" w:rsidRPr="00BD6499">
        <w:t xml:space="preserve"> to </w:t>
      </w:r>
      <w:r w:rsidR="00430629" w:rsidRPr="00BD6499">
        <w:t xml:space="preserve">resources by the </w:t>
      </w:r>
      <w:r w:rsidR="00303B7C" w:rsidRPr="00BD6499">
        <w:t xml:space="preserve">Queenslanders with Disability Network, including </w:t>
      </w:r>
      <w:r w:rsidR="00430629" w:rsidRPr="00BD6499">
        <w:t xml:space="preserve">the Queensland Government funded </w:t>
      </w:r>
      <w:r w:rsidR="00303B7C" w:rsidRPr="00BD6499">
        <w:t xml:space="preserve">‘Person-Centred Emergency Preparedness (PCEP) Planning for COVID-19’ </w:t>
      </w:r>
      <w:r w:rsidR="00430629" w:rsidRPr="00BD6499">
        <w:t xml:space="preserve">tool, and easy English resources developed by Access Easy English. However, there still is, in the Commission’s view, </w:t>
      </w:r>
      <w:r w:rsidR="47CDBF07" w:rsidRPr="00BD6499">
        <w:t xml:space="preserve">a lack of </w:t>
      </w:r>
      <w:r w:rsidR="5C727362" w:rsidRPr="00BD6499">
        <w:t xml:space="preserve">clear </w:t>
      </w:r>
      <w:r w:rsidR="47CDBF07" w:rsidRPr="00BD6499">
        <w:t xml:space="preserve">government communication </w:t>
      </w:r>
      <w:r w:rsidR="00430629" w:rsidRPr="00BD6499">
        <w:t>reinforcing</w:t>
      </w:r>
      <w:r w:rsidR="47CDBF07" w:rsidRPr="00BD6499">
        <w:t xml:space="preserve"> the rights of people with disability</w:t>
      </w:r>
      <w:r w:rsidR="0441988F" w:rsidRPr="00BD6499">
        <w:t xml:space="preserve"> during the COVID-19 pandemic</w:t>
      </w:r>
      <w:r w:rsidR="47CDBF07" w:rsidRPr="00BD6499">
        <w:t xml:space="preserve"> </w:t>
      </w:r>
      <w:r w:rsidR="68833D32" w:rsidRPr="00BD6499">
        <w:t xml:space="preserve">and the steps they can take to </w:t>
      </w:r>
      <w:r w:rsidR="4E643A5D" w:rsidRPr="00BD6499">
        <w:t xml:space="preserve">protect </w:t>
      </w:r>
      <w:r w:rsidR="68833D32" w:rsidRPr="00BD6499">
        <w:t>th</w:t>
      </w:r>
      <w:r w:rsidR="6984894E" w:rsidRPr="00BD6499">
        <w:t xml:space="preserve">ose </w:t>
      </w:r>
      <w:r w:rsidR="68833D32" w:rsidRPr="00BD6499">
        <w:t xml:space="preserve">rights. </w:t>
      </w:r>
      <w:r w:rsidR="00430629" w:rsidRPr="00BD6499">
        <w:t>For example, the continued right to receive essential services</w:t>
      </w:r>
      <w:r w:rsidR="006575AA" w:rsidRPr="00BD6499">
        <w:t>, to direct those services within the limits of those restrictions,</w:t>
      </w:r>
      <w:r w:rsidR="00430629" w:rsidRPr="00BD6499">
        <w:t xml:space="preserve"> and who to contact should services be unilaterally withdrawn. </w:t>
      </w:r>
    </w:p>
    <w:p w14:paraId="54A3D907" w14:textId="523E5AEA" w:rsidR="007F64A9" w:rsidRPr="00BD6499" w:rsidRDefault="0091616D" w:rsidP="007F64A9">
      <w:pPr>
        <w:pStyle w:val="Numberedparagraph"/>
      </w:pPr>
      <w:r w:rsidRPr="00BD6499">
        <w:t>Also</w:t>
      </w:r>
      <w:r w:rsidR="006575AA" w:rsidRPr="00BD6499">
        <w:t>, t</w:t>
      </w:r>
      <w:r w:rsidR="7E311BBE" w:rsidRPr="00BD6499">
        <w:t xml:space="preserve">here appears to have been limited </w:t>
      </w:r>
      <w:r w:rsidRPr="00BD6499">
        <w:t xml:space="preserve">recognition of the fact that </w:t>
      </w:r>
      <w:r w:rsidR="7E311BBE" w:rsidRPr="00BD6499">
        <w:t xml:space="preserve">general restrictions might be </w:t>
      </w:r>
      <w:r w:rsidRPr="00BD6499">
        <w:t>in</w:t>
      </w:r>
      <w:r w:rsidR="7E311BBE" w:rsidRPr="00BD6499">
        <w:t>appropriate</w:t>
      </w:r>
      <w:r w:rsidRPr="00BD6499">
        <w:t>,</w:t>
      </w:r>
      <w:r w:rsidR="7E311BBE" w:rsidRPr="00BD6499">
        <w:t xml:space="preserve"> or </w:t>
      </w:r>
      <w:r w:rsidR="1C81794D" w:rsidRPr="00BD6499">
        <w:t xml:space="preserve">might </w:t>
      </w:r>
      <w:r w:rsidR="7E311BBE" w:rsidRPr="00BD6499">
        <w:t>disproportionately impact people with disa</w:t>
      </w:r>
      <w:r w:rsidR="1A629056" w:rsidRPr="00BD6499">
        <w:t>bilit</w:t>
      </w:r>
      <w:r w:rsidR="7E311BBE" w:rsidRPr="00BD6499">
        <w:t xml:space="preserve">y. The </w:t>
      </w:r>
      <w:r w:rsidR="1BA87906" w:rsidRPr="00BD6499">
        <w:t xml:space="preserve">distress suffered by people with </w:t>
      </w:r>
      <w:r w:rsidR="4E317078" w:rsidRPr="00BD6499">
        <w:t xml:space="preserve">some </w:t>
      </w:r>
      <w:r w:rsidR="1BA87906" w:rsidRPr="00BD6499">
        <w:t>disa</w:t>
      </w:r>
      <w:r w:rsidR="16A8682C" w:rsidRPr="00BD6499">
        <w:t xml:space="preserve">bilities </w:t>
      </w:r>
      <w:r w:rsidR="1BA87906" w:rsidRPr="00BD6499">
        <w:t>if confined at home,</w:t>
      </w:r>
      <w:r w:rsidR="2367DA88" w:rsidRPr="00BD6499">
        <w:t xml:space="preserve"> the greater </w:t>
      </w:r>
      <w:r w:rsidR="006575AA" w:rsidRPr="00BD6499">
        <w:t xml:space="preserve">importance </w:t>
      </w:r>
      <w:r w:rsidR="2367DA88" w:rsidRPr="00BD6499">
        <w:t>of social contact, activities and outings</w:t>
      </w:r>
      <w:r w:rsidR="0CBC2140" w:rsidRPr="00BD6499">
        <w:t xml:space="preserve">, and confusion as to the definition of ‘essential services’ </w:t>
      </w:r>
      <w:r w:rsidR="56B3192B" w:rsidRPr="00BD6499">
        <w:t xml:space="preserve">under </w:t>
      </w:r>
      <w:r w:rsidR="00807124">
        <w:t>p</w:t>
      </w:r>
      <w:r w:rsidR="00807124" w:rsidRPr="00BD6499">
        <w:t xml:space="preserve">ublic </w:t>
      </w:r>
      <w:r w:rsidR="00807124">
        <w:t>h</w:t>
      </w:r>
      <w:r w:rsidR="00807124" w:rsidRPr="00BD6499">
        <w:t xml:space="preserve">ealth </w:t>
      </w:r>
      <w:r w:rsidR="00807124">
        <w:t>d</w:t>
      </w:r>
      <w:r w:rsidR="00807124" w:rsidRPr="00BD6499">
        <w:t xml:space="preserve">irections </w:t>
      </w:r>
      <w:r w:rsidR="2367DA88" w:rsidRPr="00BD6499">
        <w:t xml:space="preserve">are just </w:t>
      </w:r>
      <w:r w:rsidR="70E6DC99" w:rsidRPr="00BD6499">
        <w:t xml:space="preserve">some </w:t>
      </w:r>
      <w:r w:rsidR="2367DA88" w:rsidRPr="00BD6499">
        <w:t xml:space="preserve">examples. </w:t>
      </w:r>
      <w:r w:rsidR="00596B15" w:rsidRPr="00BD6499">
        <w:t xml:space="preserve">Reductions in services should only </w:t>
      </w:r>
      <w:r w:rsidR="29CD2D43" w:rsidRPr="00BD6499">
        <w:t>occur</w:t>
      </w:r>
      <w:r w:rsidR="00596B15" w:rsidRPr="00BD6499">
        <w:t xml:space="preserve"> after considering the impact on the health and safety of the individual, and the substitution of alternative in</w:t>
      </w:r>
      <w:r w:rsidR="00B3131E" w:rsidRPr="00BD6499">
        <w:t>-</w:t>
      </w:r>
      <w:r w:rsidR="00596B15" w:rsidRPr="00BD6499">
        <w:t xml:space="preserve">home services. </w:t>
      </w:r>
      <w:r w:rsidR="480D9494" w:rsidRPr="00BD6499">
        <w:t>Careful consideration of these issues</w:t>
      </w:r>
      <w:r w:rsidR="00B3131E" w:rsidRPr="00BD6499">
        <w:t>,</w:t>
      </w:r>
      <w:r w:rsidR="480D9494" w:rsidRPr="00BD6499">
        <w:t xml:space="preserve"> supported by clear and early messaging to people with disability and their supports</w:t>
      </w:r>
      <w:r w:rsidR="00596B15" w:rsidRPr="00BD6499">
        <w:t>, and effective avenues for complaint,</w:t>
      </w:r>
      <w:r w:rsidR="480D9494" w:rsidRPr="00BD6499">
        <w:t xml:space="preserve"> would have eased anxiety and </w:t>
      </w:r>
      <w:r w:rsidR="29D4C923" w:rsidRPr="00BD6499">
        <w:t>avoided potentially harmful reductions in services</w:t>
      </w:r>
      <w:r w:rsidR="00B3131E" w:rsidRPr="00BD6499">
        <w:t xml:space="preserve"> to this </w:t>
      </w:r>
      <w:r w:rsidR="00B67D09" w:rsidRPr="00BD6499">
        <w:t>cohort</w:t>
      </w:r>
      <w:r w:rsidR="29D4C923" w:rsidRPr="00BD6499">
        <w:t>.</w:t>
      </w:r>
    </w:p>
    <w:p w14:paraId="43812A54" w14:textId="3F8DFCB4" w:rsidR="55D5D6A5" w:rsidRPr="00BD6499" w:rsidRDefault="006575AA" w:rsidP="007F64A9">
      <w:pPr>
        <w:pStyle w:val="Numberedparagraph"/>
      </w:pPr>
      <w:r w:rsidRPr="00BD6499">
        <w:t xml:space="preserve">Consideration </w:t>
      </w:r>
      <w:r w:rsidR="007F64A9" w:rsidRPr="00BD6499">
        <w:t xml:space="preserve">must also be </w:t>
      </w:r>
      <w:r w:rsidRPr="00BD6499">
        <w:t xml:space="preserve">given to </w:t>
      </w:r>
      <w:r w:rsidR="007F64A9" w:rsidRPr="00BD6499">
        <w:t xml:space="preserve">alternative protective </w:t>
      </w:r>
      <w:r w:rsidRPr="00BD6499">
        <w:t xml:space="preserve">measures </w:t>
      </w:r>
      <w:r w:rsidR="007F64A9" w:rsidRPr="00BD6499">
        <w:t xml:space="preserve">which reduce the risk of infection in a less restrictive way, such as </w:t>
      </w:r>
      <w:r w:rsidR="27379DE0" w:rsidRPr="00BD6499">
        <w:t>infection control training</w:t>
      </w:r>
      <w:r w:rsidR="007F64A9" w:rsidRPr="00BD6499">
        <w:t xml:space="preserve"> for all disability service and accommodation providers</w:t>
      </w:r>
      <w:r w:rsidR="27379DE0" w:rsidRPr="00BD6499">
        <w:t xml:space="preserve">, </w:t>
      </w:r>
      <w:r w:rsidR="1318F02E" w:rsidRPr="00BD6499">
        <w:t xml:space="preserve">and guidelines for the screening and testing of people with </w:t>
      </w:r>
      <w:r w:rsidR="4DB79956" w:rsidRPr="00BD6499">
        <w:t>disability</w:t>
      </w:r>
      <w:r w:rsidR="1318F02E" w:rsidRPr="00BD6499">
        <w:t xml:space="preserve"> and their carers.</w:t>
      </w:r>
    </w:p>
    <w:p w14:paraId="25BCA4B1" w14:textId="77777777" w:rsidR="00DB61B0" w:rsidRPr="00BD6499" w:rsidRDefault="007F64A9" w:rsidP="00850EC3">
      <w:pPr>
        <w:pStyle w:val="Numberedparagraph"/>
      </w:pPr>
      <w:r w:rsidRPr="00BD6499">
        <w:t>There have</w:t>
      </w:r>
      <w:r w:rsidR="55D5D6A5" w:rsidRPr="00BD6499">
        <w:t xml:space="preserve"> been some positive outcomes</w:t>
      </w:r>
      <w:r w:rsidR="00DB61B0" w:rsidRPr="00BD6499">
        <w:t>, for example:</w:t>
      </w:r>
    </w:p>
    <w:p w14:paraId="186CADF8" w14:textId="414C040D" w:rsidR="00DB61B0" w:rsidRPr="00BD6499" w:rsidRDefault="7E3E1A8F" w:rsidP="00670F3F">
      <w:pPr>
        <w:pStyle w:val="Numberedparagraph"/>
        <w:numPr>
          <w:ilvl w:val="0"/>
          <w:numId w:val="3"/>
        </w:numPr>
      </w:pPr>
      <w:r w:rsidRPr="00BD6499">
        <w:t>A</w:t>
      </w:r>
      <w:r w:rsidR="674CFB70" w:rsidRPr="00BD6499">
        <w:t xml:space="preserve"> hotline</w:t>
      </w:r>
      <w:r w:rsidR="00737433" w:rsidRPr="00BD6499">
        <w:t xml:space="preserve"> for people with </w:t>
      </w:r>
      <w:r w:rsidR="5337996E" w:rsidRPr="00BD6499">
        <w:t xml:space="preserve">disability </w:t>
      </w:r>
      <w:r w:rsidR="76079323" w:rsidRPr="00BD6499">
        <w:t>has</w:t>
      </w:r>
      <w:r w:rsidR="5337996E" w:rsidRPr="00BD6499">
        <w:t xml:space="preserve"> been set up to report shortfalls in services.</w:t>
      </w:r>
      <w:r w:rsidR="00CF6E79" w:rsidRPr="00CF6E79">
        <w:rPr>
          <w:rStyle w:val="FootnoteReference"/>
        </w:rPr>
        <w:t xml:space="preserve"> </w:t>
      </w:r>
      <w:r w:rsidR="00CF6E79" w:rsidRPr="00BD6499">
        <w:rPr>
          <w:rStyle w:val="FootnoteReference"/>
        </w:rPr>
        <w:footnoteReference w:id="26"/>
      </w:r>
      <w:r w:rsidR="5337996E" w:rsidRPr="00BD6499">
        <w:t xml:space="preserve"> </w:t>
      </w:r>
    </w:p>
    <w:p w14:paraId="04E47546" w14:textId="134B37C2" w:rsidR="00DB61B0" w:rsidRPr="00BD6499" w:rsidRDefault="5337996E" w:rsidP="00670F3F">
      <w:pPr>
        <w:pStyle w:val="Numberedparagraph"/>
        <w:numPr>
          <w:ilvl w:val="0"/>
          <w:numId w:val="3"/>
        </w:numPr>
      </w:pPr>
      <w:r w:rsidRPr="00BD6499">
        <w:t>The</w:t>
      </w:r>
      <w:r w:rsidRPr="00BD6499" w:rsidDel="00DB61B0">
        <w:t xml:space="preserve"> </w:t>
      </w:r>
      <w:r w:rsidR="00DB61B0" w:rsidRPr="00BD6499">
        <w:t xml:space="preserve">National Disability Insurance Agency (NDIA) </w:t>
      </w:r>
      <w:r w:rsidRPr="00BD6499">
        <w:t xml:space="preserve">has proactively </w:t>
      </w:r>
      <w:r w:rsidR="00F62F8D" w:rsidRPr="00BD6499">
        <w:t xml:space="preserve">contacted </w:t>
      </w:r>
      <w:r w:rsidR="0D9A7078" w:rsidRPr="00BD6499">
        <w:t>thousands of high-risk NDIS participants to check on their wellbeing and services. Where there has been a shortfall in services identified, the NDIA, states and territories were to coordinate alternative supports.</w:t>
      </w:r>
      <w:r w:rsidR="02258539" w:rsidRPr="00BD6499">
        <w:t xml:space="preserve"> It will be important to assess the success of this collaboration in filling the gap, and whether simil</w:t>
      </w:r>
      <w:r w:rsidR="7DDE2CC1" w:rsidRPr="00BD6499">
        <w:t>ar approaches can be adopted in thin markets and for people with complex needs.</w:t>
      </w:r>
      <w:r w:rsidRPr="00BD6499">
        <w:rPr>
          <w:rStyle w:val="FootnoteReference"/>
        </w:rPr>
        <w:footnoteReference w:id="27"/>
      </w:r>
      <w:r w:rsidR="7DDE2CC1" w:rsidRPr="00BD6499">
        <w:t xml:space="preserve"> </w:t>
      </w:r>
    </w:p>
    <w:p w14:paraId="65B67B99" w14:textId="5D8E06BC" w:rsidR="00DB61B0" w:rsidRPr="00BD6499" w:rsidRDefault="00DB61B0" w:rsidP="00670F3F">
      <w:pPr>
        <w:pStyle w:val="Numberedparagraph"/>
        <w:numPr>
          <w:ilvl w:val="0"/>
          <w:numId w:val="3"/>
        </w:numPr>
      </w:pPr>
      <w:r w:rsidRPr="00BD6499">
        <w:t xml:space="preserve">The </w:t>
      </w:r>
      <w:r w:rsidR="00BF4C1A" w:rsidRPr="00BD6499">
        <w:t>Accommodation Support and Respite Services, the Public Trustee of Queensland</w:t>
      </w:r>
      <w:r w:rsidR="00F62F8D" w:rsidRPr="00BD6499">
        <w:t>,</w:t>
      </w:r>
      <w:r w:rsidR="00BF4C1A" w:rsidRPr="00BD6499">
        <w:t xml:space="preserve"> and the Office of the Public Advocate </w:t>
      </w:r>
      <w:r w:rsidRPr="00BD6499">
        <w:t xml:space="preserve">and the Queensland Human Rights Commission are </w:t>
      </w:r>
      <w:r w:rsidR="00F15841" w:rsidRPr="00BD6499">
        <w:t>discussing</w:t>
      </w:r>
      <w:r w:rsidRPr="00BD6499">
        <w:t xml:space="preserve"> ways to ensure increased access to contactless banking for people with disability, to reduce reliance on bank books and cash </w:t>
      </w:r>
      <w:r w:rsidR="00F15841" w:rsidRPr="00BD6499">
        <w:t>withdrawals</w:t>
      </w:r>
      <w:r w:rsidRPr="00BD6499">
        <w:t xml:space="preserve"> which </w:t>
      </w:r>
      <w:r w:rsidR="00A66AE7" w:rsidRPr="00BD6499">
        <w:t>create</w:t>
      </w:r>
      <w:r w:rsidRPr="00BD6499">
        <w:t xml:space="preserve"> more risk and </w:t>
      </w:r>
      <w:r w:rsidR="00A66AE7" w:rsidRPr="00BD6499">
        <w:t>are less convenient</w:t>
      </w:r>
      <w:r w:rsidRPr="00BD6499">
        <w:t xml:space="preserve">. </w:t>
      </w:r>
    </w:p>
    <w:p w14:paraId="733EE13C" w14:textId="4968DCA7" w:rsidR="55D5D6A5" w:rsidRPr="00BD6499" w:rsidRDefault="55D5D6A5" w:rsidP="00850EC3">
      <w:pPr>
        <w:pStyle w:val="Numberedparagraph"/>
        <w:rPr>
          <w:rFonts w:asciiTheme="minorHAnsi" w:hAnsiTheme="minorHAnsi" w:cstheme="minorBidi"/>
        </w:rPr>
      </w:pPr>
      <w:r w:rsidRPr="00BD6499">
        <w:t>A</w:t>
      </w:r>
      <w:r w:rsidR="007F64A9" w:rsidRPr="00BD6499">
        <w:t>nother</w:t>
      </w:r>
      <w:r w:rsidRPr="00BD6499">
        <w:t xml:space="preserve"> concern for the Commission</w:t>
      </w:r>
      <w:r w:rsidRPr="00BD6499" w:rsidDel="00982560">
        <w:t xml:space="preserve"> </w:t>
      </w:r>
      <w:r w:rsidR="00982560" w:rsidRPr="00BD6499">
        <w:t xml:space="preserve">is </w:t>
      </w:r>
      <w:r w:rsidRPr="00BD6499">
        <w:t>the situation for people</w:t>
      </w:r>
      <w:r w:rsidR="007F64A9" w:rsidRPr="00BD6499">
        <w:t xml:space="preserve"> with disability </w:t>
      </w:r>
      <w:r w:rsidRPr="00BD6499">
        <w:t>in congregate care</w:t>
      </w:r>
      <w:r w:rsidR="002F67FB" w:rsidRPr="00BD6499">
        <w:t xml:space="preserve"> (such as group homes)</w:t>
      </w:r>
      <w:r w:rsidRPr="00BD6499">
        <w:t xml:space="preserve">, </w:t>
      </w:r>
      <w:r w:rsidR="03475366" w:rsidRPr="00BD6499">
        <w:t xml:space="preserve">another example of a closed environment. </w:t>
      </w:r>
      <w:r w:rsidR="3806A02A" w:rsidRPr="00BD6499">
        <w:t>Since around 23 March 2020 to date, face</w:t>
      </w:r>
      <w:r w:rsidR="00D573B7" w:rsidRPr="00BD6499">
        <w:t>-</w:t>
      </w:r>
      <w:r w:rsidR="3806A02A" w:rsidRPr="00BD6499">
        <w:t>to</w:t>
      </w:r>
      <w:r w:rsidR="00D573B7" w:rsidRPr="00BD6499">
        <w:t>-</w:t>
      </w:r>
      <w:r w:rsidR="3806A02A" w:rsidRPr="00BD6499">
        <w:t xml:space="preserve">face visits by the Community Visitor Program have been suspended. This has left </w:t>
      </w:r>
      <w:r w:rsidR="00BF4C1A" w:rsidRPr="00BD6499">
        <w:t xml:space="preserve">many </w:t>
      </w:r>
      <w:r w:rsidR="3806A02A" w:rsidRPr="00BD6499">
        <w:t xml:space="preserve">congregate care facilities with limited </w:t>
      </w:r>
      <w:r w:rsidR="3931A916" w:rsidRPr="00BD6499">
        <w:t xml:space="preserve">formal </w:t>
      </w:r>
      <w:r w:rsidR="3806A02A" w:rsidRPr="00BD6499">
        <w:t xml:space="preserve">oversight, and </w:t>
      </w:r>
      <w:r w:rsidR="0806FA08" w:rsidRPr="00BD6499">
        <w:t xml:space="preserve">with reductions in visitors and out of home activity, </w:t>
      </w:r>
      <w:r w:rsidR="006F6081" w:rsidRPr="00BD6499">
        <w:t xml:space="preserve">and </w:t>
      </w:r>
      <w:r w:rsidR="0806FA08" w:rsidRPr="00BD6499">
        <w:t xml:space="preserve">limited informal oversight. </w:t>
      </w:r>
      <w:r w:rsidR="60A8A7F2" w:rsidRPr="00BD6499">
        <w:t>Th</w:t>
      </w:r>
      <w:r w:rsidR="08843929" w:rsidRPr="00BD6499">
        <w:t xml:space="preserve">e </w:t>
      </w:r>
      <w:r w:rsidR="60A8A7F2" w:rsidRPr="00BD6499">
        <w:t xml:space="preserve">Commission </w:t>
      </w:r>
      <w:r w:rsidR="007F64A9" w:rsidRPr="00BD6499">
        <w:t>has been</w:t>
      </w:r>
      <w:r w:rsidR="60A8A7F2" w:rsidRPr="00BD6499">
        <w:t xml:space="preserve"> </w:t>
      </w:r>
      <w:r w:rsidR="08843929" w:rsidRPr="00BD6499">
        <w:t xml:space="preserve">unable to </w:t>
      </w:r>
      <w:r w:rsidR="00982560" w:rsidRPr="00BD6499">
        <w:t>determine</w:t>
      </w:r>
      <w:r w:rsidR="009D42C6" w:rsidRPr="00BD6499">
        <w:t xml:space="preserve"> </w:t>
      </w:r>
      <w:r w:rsidR="08843929" w:rsidRPr="00BD6499">
        <w:t>whether basic human rights</w:t>
      </w:r>
      <w:r w:rsidR="00D573B7" w:rsidRPr="00BD6499">
        <w:t>,</w:t>
      </w:r>
      <w:r w:rsidR="08843929" w:rsidRPr="00BD6499">
        <w:t xml:space="preserve"> such as access to health services, fresh air and exercise</w:t>
      </w:r>
      <w:r w:rsidR="6F3DF449" w:rsidRPr="00BD6499">
        <w:t xml:space="preserve">, </w:t>
      </w:r>
      <w:r w:rsidR="796DE3F1" w:rsidRPr="00BD6499">
        <w:t xml:space="preserve">infection control measures, </w:t>
      </w:r>
      <w:r w:rsidR="6F3DF449" w:rsidRPr="00BD6499">
        <w:t>and</w:t>
      </w:r>
      <w:r w:rsidR="009D42C6" w:rsidRPr="00BD6499">
        <w:t xml:space="preserve"> meaningful</w:t>
      </w:r>
      <w:r w:rsidR="6F3DF449" w:rsidRPr="00BD6499">
        <w:t xml:space="preserve"> contact with families </w:t>
      </w:r>
      <w:r w:rsidR="009D42C6" w:rsidRPr="00BD6499">
        <w:t xml:space="preserve">is </w:t>
      </w:r>
      <w:r w:rsidR="6F3DF449" w:rsidRPr="00BD6499">
        <w:t>being facilitated.</w:t>
      </w:r>
      <w:r w:rsidR="007F64A9" w:rsidRPr="00BD6499">
        <w:t xml:space="preserve"> </w:t>
      </w:r>
      <w:r w:rsidR="08F4599C" w:rsidRPr="00BD6499">
        <w:t xml:space="preserve">Similar concerns exist for people in private boarding houses, some of which are not </w:t>
      </w:r>
      <w:r w:rsidR="1EA1915E" w:rsidRPr="00BD6499">
        <w:t>visitable</w:t>
      </w:r>
      <w:r w:rsidR="08F4599C" w:rsidRPr="00BD6499">
        <w:t xml:space="preserve"> sites by the Community Visitor and are not registered service providers </w:t>
      </w:r>
      <w:r w:rsidR="00BF4C1A" w:rsidRPr="00BD6499">
        <w:t xml:space="preserve">within the scope of the NDIS Quality and Safeguards Commission. </w:t>
      </w:r>
    </w:p>
    <w:p w14:paraId="24BD459A" w14:textId="6EE9BF70" w:rsidR="00BF4C1A" w:rsidRPr="00BD6499" w:rsidRDefault="00BF4C1A" w:rsidP="00850EC3">
      <w:pPr>
        <w:pStyle w:val="Numberedparagraph"/>
        <w:rPr>
          <w:rFonts w:asciiTheme="minorHAnsi" w:hAnsiTheme="minorHAnsi" w:cstheme="minorBidi"/>
        </w:rPr>
      </w:pPr>
      <w:r w:rsidRPr="00BD6499">
        <w:t xml:space="preserve">Finally, any response which impacts </w:t>
      </w:r>
      <w:r w:rsidR="00D573B7" w:rsidRPr="00BD6499">
        <w:t xml:space="preserve">on </w:t>
      </w:r>
      <w:r w:rsidRPr="00BD6499">
        <w:t xml:space="preserve">the rights of a particular group should be made in consultation with that group. </w:t>
      </w:r>
      <w:r w:rsidR="000D2B73" w:rsidRPr="00BD6499">
        <w:t xml:space="preserve">The </w:t>
      </w:r>
      <w:r w:rsidRPr="00444845">
        <w:rPr>
          <w:i/>
        </w:rPr>
        <w:t>Justice and Other Legislation (COVID-19 Emergency Response) Amendment Act 2020</w:t>
      </w:r>
      <w:r w:rsidR="000D2B73" w:rsidRPr="00444845">
        <w:rPr>
          <w:i/>
        </w:rPr>
        <w:t xml:space="preserve"> </w:t>
      </w:r>
      <w:r w:rsidR="000D2B73" w:rsidRPr="00444845">
        <w:t xml:space="preserve">made temporary amendments to the </w:t>
      </w:r>
      <w:r w:rsidR="000D2B73" w:rsidRPr="00833D30">
        <w:rPr>
          <w:i/>
        </w:rPr>
        <w:t>Disability Services Act 2006</w:t>
      </w:r>
      <w:r w:rsidR="000D2B73" w:rsidRPr="00833D30">
        <w:t xml:space="preserve"> to give immunity to ser</w:t>
      </w:r>
      <w:r w:rsidR="000D2B73" w:rsidRPr="009C1BEA">
        <w:t>vice providers who lock gates, doors</w:t>
      </w:r>
      <w:r w:rsidR="00D573B7" w:rsidRPr="00444845">
        <w:t>,</w:t>
      </w:r>
      <w:r w:rsidR="000D2B73" w:rsidRPr="00444845">
        <w:t xml:space="preserve"> or windows to ensure </w:t>
      </w:r>
      <w:r w:rsidR="00FA0712" w:rsidRPr="00444845">
        <w:t xml:space="preserve">resident compliance with a </w:t>
      </w:r>
      <w:r w:rsidR="00807124">
        <w:t>p</w:t>
      </w:r>
      <w:r w:rsidR="00807124" w:rsidRPr="00807124">
        <w:t xml:space="preserve">ublic </w:t>
      </w:r>
      <w:r w:rsidR="00807124">
        <w:t>h</w:t>
      </w:r>
      <w:r w:rsidR="00807124" w:rsidRPr="00807124">
        <w:t xml:space="preserve">ealth </w:t>
      </w:r>
      <w:r w:rsidR="00807124">
        <w:t>d</w:t>
      </w:r>
      <w:r w:rsidR="00807124" w:rsidRPr="00807124">
        <w:t>irection</w:t>
      </w:r>
      <w:r w:rsidR="00FA0712" w:rsidRPr="00807124">
        <w:t xml:space="preserve">, </w:t>
      </w:r>
      <w:r w:rsidR="000D2B73" w:rsidRPr="00807124">
        <w:t xml:space="preserve">and also to the </w:t>
      </w:r>
      <w:r w:rsidR="000D2B73" w:rsidRPr="00807124">
        <w:rPr>
          <w:i/>
        </w:rPr>
        <w:t xml:space="preserve">Forensic Disability Act </w:t>
      </w:r>
      <w:r w:rsidR="00FA0712" w:rsidRPr="00807124">
        <w:rPr>
          <w:i/>
        </w:rPr>
        <w:t>2011</w:t>
      </w:r>
      <w:r w:rsidR="00FA0712" w:rsidRPr="00807124">
        <w:t xml:space="preserve"> clarifying the powers of the Forensic Disability Service to refuse visitors and suspend leave to the</w:t>
      </w:r>
      <w:r w:rsidR="00FA0712" w:rsidRPr="009C1BEA">
        <w:t xml:space="preserve"> community. </w:t>
      </w:r>
      <w:r w:rsidR="2360E6C3" w:rsidRPr="00444845">
        <w:t xml:space="preserve">The </w:t>
      </w:r>
      <w:r w:rsidR="3368CDF0" w:rsidRPr="00444845">
        <w:t>legislation</w:t>
      </w:r>
      <w:r w:rsidR="00FA0712" w:rsidRPr="00444845">
        <w:t xml:space="preserve"> was passed without consultation, with limited explanation of the purpose of the amendments being provided for in the Explanatory Notes, and neither an explanation of the urgency that would have justified dispensing with all forms of scrutiny </w:t>
      </w:r>
      <w:r w:rsidR="00D573B7" w:rsidRPr="00444845">
        <w:t>n</w:t>
      </w:r>
      <w:r w:rsidR="00FA0712" w:rsidRPr="00444845">
        <w:t xml:space="preserve">or opportunity for feedback. </w:t>
      </w:r>
      <w:r w:rsidR="00D72C98" w:rsidRPr="00444845">
        <w:t xml:space="preserve">Following the passing of the </w:t>
      </w:r>
      <w:r w:rsidR="00D573B7" w:rsidRPr="00444845">
        <w:t>B</w:t>
      </w:r>
      <w:r w:rsidR="00D72C98" w:rsidRPr="00444845">
        <w:t>ill, the Commission, together with the Public Advocate and Public Guardian, were given the opportunity to consult with relevant department teams in relation to our concerns, and contributed to the development of the locked gates, doors</w:t>
      </w:r>
      <w:r w:rsidR="00D573B7" w:rsidRPr="00444845">
        <w:t>,</w:t>
      </w:r>
      <w:r w:rsidR="00D72C98" w:rsidRPr="00444845">
        <w:t xml:space="preserve"> and windows policy underpinning the </w:t>
      </w:r>
      <w:r w:rsidR="00D72C98" w:rsidRPr="00444845">
        <w:rPr>
          <w:i/>
        </w:rPr>
        <w:t>Disability Services Act</w:t>
      </w:r>
      <w:r w:rsidR="00D72C98" w:rsidRPr="00444845">
        <w:t xml:space="preserve"> amendments. While the Commission appreciates the swift response from department teams, the confusion and concerns could have been avoided, and better outcomes</w:t>
      </w:r>
      <w:r w:rsidR="00D573B7" w:rsidRPr="00444845">
        <w:t>,</w:t>
      </w:r>
      <w:r w:rsidR="00D72C98" w:rsidRPr="00444845">
        <w:t xml:space="preserve"> </w:t>
      </w:r>
      <w:r w:rsidR="001D44AC" w:rsidRPr="00444845">
        <w:t>responsive to needs</w:t>
      </w:r>
      <w:r w:rsidR="00D573B7" w:rsidRPr="00444845">
        <w:t>,</w:t>
      </w:r>
      <w:r w:rsidR="001D44AC" w:rsidRPr="00444845">
        <w:t xml:space="preserve"> </w:t>
      </w:r>
      <w:r w:rsidR="00D72C98" w:rsidRPr="00444845">
        <w:t xml:space="preserve">achieved by better communication and consultation at the outset. </w:t>
      </w:r>
    </w:p>
    <w:p w14:paraId="6D98A12B" w14:textId="40E5735D" w:rsidR="00B92520" w:rsidRPr="00807124" w:rsidRDefault="00707A47" w:rsidP="0BC5565C">
      <w:pPr>
        <w:pStyle w:val="Heading2"/>
        <w:rPr>
          <w:rFonts w:cs="Arial"/>
          <w:sz w:val="28"/>
          <w:szCs w:val="28"/>
        </w:rPr>
      </w:pPr>
      <w:bookmarkStart w:id="22" w:name="_Toc44943807"/>
      <w:r w:rsidRPr="00444845">
        <w:rPr>
          <w:rFonts w:cs="Arial"/>
          <w:sz w:val="28"/>
          <w:szCs w:val="28"/>
        </w:rPr>
        <w:t xml:space="preserve">Culturally and </w:t>
      </w:r>
      <w:r w:rsidR="00D573B7" w:rsidRPr="00444845">
        <w:rPr>
          <w:rFonts w:cs="Arial"/>
          <w:sz w:val="28"/>
          <w:szCs w:val="28"/>
        </w:rPr>
        <w:t>l</w:t>
      </w:r>
      <w:r w:rsidRPr="00444845">
        <w:rPr>
          <w:rFonts w:cs="Arial"/>
          <w:sz w:val="28"/>
          <w:szCs w:val="28"/>
        </w:rPr>
        <w:t xml:space="preserve">inguistically </w:t>
      </w:r>
      <w:r w:rsidR="00D573B7" w:rsidRPr="00444845">
        <w:rPr>
          <w:rFonts w:cs="Arial"/>
          <w:sz w:val="28"/>
          <w:szCs w:val="28"/>
        </w:rPr>
        <w:t>d</w:t>
      </w:r>
      <w:r w:rsidRPr="00833D30">
        <w:rPr>
          <w:rFonts w:cs="Arial"/>
          <w:sz w:val="28"/>
          <w:szCs w:val="28"/>
        </w:rPr>
        <w:t>iverse</w:t>
      </w:r>
      <w:r w:rsidR="1C96FD57" w:rsidRPr="00833D30">
        <w:rPr>
          <w:rFonts w:cs="Arial"/>
          <w:sz w:val="28"/>
          <w:szCs w:val="28"/>
        </w:rPr>
        <w:t xml:space="preserve"> (CALD)</w:t>
      </w:r>
      <w:r w:rsidRPr="00807124">
        <w:rPr>
          <w:rFonts w:cs="Arial"/>
          <w:sz w:val="28"/>
          <w:szCs w:val="28"/>
        </w:rPr>
        <w:t xml:space="preserve"> </w:t>
      </w:r>
      <w:r w:rsidR="00D573B7" w:rsidRPr="00807124">
        <w:rPr>
          <w:rFonts w:cs="Arial"/>
          <w:sz w:val="28"/>
          <w:szCs w:val="28"/>
        </w:rPr>
        <w:t>communities</w:t>
      </w:r>
      <w:bookmarkEnd w:id="22"/>
    </w:p>
    <w:p w14:paraId="629E5284" w14:textId="0A515EA0" w:rsidR="73D7E15E" w:rsidRPr="00444845" w:rsidRDefault="73D7E15E" w:rsidP="00850EC3">
      <w:pPr>
        <w:pStyle w:val="Numberedparagraph"/>
      </w:pPr>
      <w:r w:rsidRPr="009C1BEA">
        <w:t xml:space="preserve">Queensland Health’s </w:t>
      </w:r>
      <w:r w:rsidRPr="00444845">
        <w:rPr>
          <w:i/>
          <w:iCs/>
        </w:rPr>
        <w:t>Policy and Action Plan for CALD Communities</w:t>
      </w:r>
      <w:r w:rsidRPr="00444845">
        <w:t xml:space="preserve"> </w:t>
      </w:r>
      <w:r w:rsidR="43AEEB38" w:rsidRPr="00444845">
        <w:t xml:space="preserve">has focused on ensuring there is translated material </w:t>
      </w:r>
      <w:r w:rsidR="5AD89DD0" w:rsidRPr="00444845">
        <w:t>about COVID-19 made available to</w:t>
      </w:r>
      <w:r w:rsidR="43AEEB38" w:rsidRPr="00444845">
        <w:t xml:space="preserve"> culturally and linguistically diverse </w:t>
      </w:r>
      <w:r w:rsidR="4542BC84" w:rsidRPr="00444845">
        <w:t>communities</w:t>
      </w:r>
      <w:r w:rsidR="43AEEB38" w:rsidRPr="00444845">
        <w:t>.</w:t>
      </w:r>
      <w:r w:rsidR="45C2CC4D" w:rsidRPr="00444845">
        <w:t xml:space="preserve"> </w:t>
      </w:r>
      <w:r w:rsidR="43AEEB38" w:rsidRPr="00444845">
        <w:t>While initially t</w:t>
      </w:r>
      <w:r w:rsidR="19EB992B" w:rsidRPr="00444845">
        <w:t xml:space="preserve">his </w:t>
      </w:r>
      <w:r w:rsidR="43AEEB38" w:rsidRPr="00444845">
        <w:t xml:space="preserve">was focussed on </w:t>
      </w:r>
      <w:r w:rsidR="7907FF0D" w:rsidRPr="00444845">
        <w:t>public</w:t>
      </w:r>
      <w:r w:rsidR="43AEEB38" w:rsidRPr="00444845">
        <w:t xml:space="preserve"> health </w:t>
      </w:r>
      <w:r w:rsidR="0D0AC8F5" w:rsidRPr="00444845">
        <w:t>advice</w:t>
      </w:r>
      <w:r w:rsidR="0CB438E5" w:rsidRPr="00444845">
        <w:t>,</w:t>
      </w:r>
      <w:r w:rsidR="0D0AC8F5" w:rsidRPr="00444845">
        <w:t xml:space="preserve"> after consulting with the</w:t>
      </w:r>
      <w:r w:rsidR="5D78D6E2" w:rsidRPr="00444845">
        <w:t xml:space="preserve"> COVID-19 CALD working group</w:t>
      </w:r>
      <w:r w:rsidR="0DE3911A" w:rsidRPr="00444845">
        <w:t xml:space="preserve">, </w:t>
      </w:r>
      <w:r w:rsidR="09249304" w:rsidRPr="00444845">
        <w:t>there w</w:t>
      </w:r>
      <w:r w:rsidR="3AC59C93" w:rsidRPr="00444845">
        <w:t xml:space="preserve">as </w:t>
      </w:r>
      <w:r w:rsidR="09249304" w:rsidRPr="00444845">
        <w:t xml:space="preserve">a concerted effort to </w:t>
      </w:r>
      <w:r w:rsidR="0DE3911A" w:rsidRPr="00444845">
        <w:t>tr</w:t>
      </w:r>
      <w:r w:rsidR="73C5E37E" w:rsidRPr="00444845">
        <w:t xml:space="preserve">anslate the </w:t>
      </w:r>
      <w:r w:rsidR="008958AA">
        <w:t>Public</w:t>
      </w:r>
      <w:r w:rsidR="00807124" w:rsidRPr="00807124">
        <w:t xml:space="preserve"> </w:t>
      </w:r>
      <w:r w:rsidR="008958AA">
        <w:t>H</w:t>
      </w:r>
      <w:r w:rsidR="00807124" w:rsidRPr="00807124">
        <w:t xml:space="preserve">ealth </w:t>
      </w:r>
      <w:r w:rsidR="008958AA">
        <w:t>D</w:t>
      </w:r>
      <w:r w:rsidR="0098037E" w:rsidRPr="00807124">
        <w:t>irections</w:t>
      </w:r>
      <w:r w:rsidR="5D78D6E2" w:rsidRPr="00807124">
        <w:t xml:space="preserve">. </w:t>
      </w:r>
      <w:r w:rsidR="08508799" w:rsidRPr="00807124">
        <w:t>This was an</w:t>
      </w:r>
      <w:r w:rsidR="725887BD" w:rsidRPr="00807124">
        <w:t xml:space="preserve"> important step, because it went some way to ensuring that people with English as a second language </w:t>
      </w:r>
      <w:r w:rsidR="6C7D33F5" w:rsidRPr="00807124">
        <w:t xml:space="preserve">became aware of their obligations. </w:t>
      </w:r>
      <w:r w:rsidR="5F2E50E9" w:rsidRPr="00807124">
        <w:t xml:space="preserve">Without </w:t>
      </w:r>
      <w:r w:rsidR="1B029F5C" w:rsidRPr="00807124">
        <w:t xml:space="preserve">access to </w:t>
      </w:r>
      <w:r w:rsidR="5F2E50E9" w:rsidRPr="0098037E">
        <w:t xml:space="preserve">information on the </w:t>
      </w:r>
      <w:r w:rsidR="00B61887">
        <w:t>Public Health Directions</w:t>
      </w:r>
      <w:r w:rsidR="5F2E50E9" w:rsidRPr="0098037E">
        <w:t>, there is a risk that CALD communities</w:t>
      </w:r>
      <w:r w:rsidR="313C9DC0" w:rsidRPr="009C1BEA">
        <w:t xml:space="preserve"> might disproportionately and unfairly receive infringement notices.</w:t>
      </w:r>
      <w:r w:rsidR="5F2E50E9" w:rsidRPr="00444845">
        <w:t xml:space="preserve"> </w:t>
      </w:r>
      <w:r w:rsidR="008E6553" w:rsidRPr="00444845">
        <w:t>The Commission</w:t>
      </w:r>
      <w:r w:rsidR="6C7D33F5" w:rsidRPr="00444845">
        <w:t xml:space="preserve"> </w:t>
      </w:r>
      <w:r w:rsidR="003764E4" w:rsidRPr="00444845">
        <w:t xml:space="preserve">strongly </w:t>
      </w:r>
      <w:r w:rsidR="6C7D33F5" w:rsidRPr="00444845">
        <w:t>support</w:t>
      </w:r>
      <w:r w:rsidR="008E6553" w:rsidRPr="00444845">
        <w:t>s</w:t>
      </w:r>
      <w:r w:rsidR="6C7D33F5" w:rsidRPr="00444845">
        <w:t xml:space="preserve"> efforts to continue to update the translated materials as restrictions change, along with</w:t>
      </w:r>
      <w:r w:rsidR="4278094B" w:rsidRPr="00444845">
        <w:t xml:space="preserve"> Queensland Health’s ongoing engagement with</w:t>
      </w:r>
      <w:r w:rsidR="60A67BE0" w:rsidRPr="00444845">
        <w:t xml:space="preserve"> community leaders.</w:t>
      </w:r>
    </w:p>
    <w:p w14:paraId="08314D15" w14:textId="53824BDD" w:rsidR="003A1032" w:rsidRPr="00BD6499" w:rsidRDefault="005B3BF1" w:rsidP="00905A4A">
      <w:pPr>
        <w:pStyle w:val="Numberedparagraph"/>
        <w:rPr>
          <w:lang w:eastAsia="en-AU"/>
        </w:rPr>
      </w:pPr>
      <w:r w:rsidRPr="00444845">
        <w:t>The</w:t>
      </w:r>
      <w:r w:rsidR="0036262E" w:rsidRPr="00BD6499">
        <w:rPr>
          <w:lang w:eastAsia="en-AU"/>
        </w:rPr>
        <w:t xml:space="preserve"> Commission </w:t>
      </w:r>
      <w:r w:rsidRPr="00BD6499">
        <w:rPr>
          <w:lang w:eastAsia="en-AU"/>
        </w:rPr>
        <w:t xml:space="preserve">is </w:t>
      </w:r>
      <w:r w:rsidR="0036262E" w:rsidRPr="00BD6499">
        <w:rPr>
          <w:lang w:eastAsia="en-AU"/>
        </w:rPr>
        <w:t xml:space="preserve">concerned about the </w:t>
      </w:r>
      <w:r w:rsidR="008656FE" w:rsidRPr="00BD6499">
        <w:rPr>
          <w:lang w:eastAsia="en-AU"/>
        </w:rPr>
        <w:t xml:space="preserve">health impact on CALD communities following a </w:t>
      </w:r>
      <w:r w:rsidR="0036262E" w:rsidRPr="00BD6499">
        <w:rPr>
          <w:lang w:eastAsia="en-AU"/>
        </w:rPr>
        <w:t xml:space="preserve">reported increase in anti-Asian sentiment in some sections of the community during the pandemic. </w:t>
      </w:r>
      <w:r w:rsidR="003A1032" w:rsidRPr="00BD6499">
        <w:rPr>
          <w:lang w:eastAsia="en-AU"/>
        </w:rPr>
        <w:t xml:space="preserve">There is </w:t>
      </w:r>
      <w:r w:rsidR="60A36027" w:rsidRPr="00BD6499">
        <w:rPr>
          <w:lang w:eastAsia="en-AU"/>
        </w:rPr>
        <w:t>an established</w:t>
      </w:r>
      <w:r w:rsidR="003A1032" w:rsidRPr="00BD6499">
        <w:rPr>
          <w:lang w:eastAsia="en-AU"/>
        </w:rPr>
        <w:t xml:space="preserve"> link between experiences of racism and poor health outcomes for marginalized communities.</w:t>
      </w:r>
      <w:r w:rsidRPr="00BD6499">
        <w:rPr>
          <w:rStyle w:val="FootnoteReference"/>
          <w:lang w:eastAsia="en-AU"/>
        </w:rPr>
        <w:footnoteReference w:id="28"/>
      </w:r>
      <w:r w:rsidR="003A1032" w:rsidRPr="00BD6499">
        <w:rPr>
          <w:lang w:eastAsia="en-AU"/>
        </w:rPr>
        <w:t xml:space="preserve"> </w:t>
      </w:r>
    </w:p>
    <w:p w14:paraId="53B28A7C" w14:textId="4B2A6DF4" w:rsidR="0036262E" w:rsidRPr="00BD6499" w:rsidRDefault="003A1032" w:rsidP="00905A4A">
      <w:pPr>
        <w:pStyle w:val="Numberedparagraph"/>
        <w:rPr>
          <w:lang w:eastAsia="en-AU"/>
        </w:rPr>
      </w:pPr>
      <w:r w:rsidRPr="00444845">
        <w:t xml:space="preserve">The Commission has </w:t>
      </w:r>
      <w:r w:rsidR="0036262E" w:rsidRPr="00BD6499">
        <w:rPr>
          <w:lang w:eastAsia="en-AU"/>
        </w:rPr>
        <w:t xml:space="preserve">received enquiries and complaints from people of Asian descent who have experienced racial vilification and discriminatory treatment when trying to obtain goods and services. For example, there were allegations of being told things such as, ‘you brought in coronavirus’, and you should ‘go back to where you came from’, and being refused service on the basis of their race. </w:t>
      </w:r>
      <w:r w:rsidR="005E39FB" w:rsidRPr="00BD6499">
        <w:rPr>
          <w:lang w:eastAsia="en-AU"/>
        </w:rPr>
        <w:t>The Commission has</w:t>
      </w:r>
      <w:r w:rsidR="0036262E" w:rsidRPr="00BD6499">
        <w:rPr>
          <w:lang w:eastAsia="en-AU"/>
        </w:rPr>
        <w:t xml:space="preserve"> also heard from a vocational education provider who </w:t>
      </w:r>
      <w:r w:rsidR="00D573B7" w:rsidRPr="00BD6499">
        <w:rPr>
          <w:lang w:eastAsia="en-AU"/>
        </w:rPr>
        <w:t>is</w:t>
      </w:r>
      <w:r w:rsidR="0036262E" w:rsidRPr="00BD6499">
        <w:rPr>
          <w:lang w:eastAsia="en-AU"/>
        </w:rPr>
        <w:t xml:space="preserve"> hearing first hand from their Asian students that they are experiencing increased vilification in the community.</w:t>
      </w:r>
      <w:r w:rsidR="005B3BF1" w:rsidRPr="00BD6499">
        <w:rPr>
          <w:lang w:eastAsia="en-AU"/>
        </w:rPr>
        <w:t xml:space="preserve"> </w:t>
      </w:r>
    </w:p>
    <w:p w14:paraId="064F12FA" w14:textId="77777777" w:rsidR="0036262E" w:rsidRPr="00BD6499" w:rsidRDefault="0036262E" w:rsidP="0036262E">
      <w:pPr>
        <w:pStyle w:val="Numberedparagraph"/>
        <w:rPr>
          <w:lang w:eastAsia="en-AU"/>
        </w:rPr>
      </w:pPr>
      <w:r w:rsidRPr="00BD6499">
        <w:rPr>
          <w:lang w:eastAsia="en-AU"/>
        </w:rPr>
        <w:t xml:space="preserve">The Commission is working with complainants to resolve these complaints, but a common difficulty in vilification matters is identifying respondents when comments are expressed by strangers in public places. </w:t>
      </w:r>
    </w:p>
    <w:p w14:paraId="23EE7C87" w14:textId="25C11D07" w:rsidR="0036262E" w:rsidRPr="00BD6499" w:rsidRDefault="0043295E" w:rsidP="0036262E">
      <w:pPr>
        <w:pStyle w:val="Numberedparagraph"/>
        <w:rPr>
          <w:lang w:eastAsia="en-AU"/>
        </w:rPr>
      </w:pPr>
      <w:r w:rsidRPr="00BD6499">
        <w:rPr>
          <w:lang w:eastAsia="en-AU"/>
        </w:rPr>
        <w:t>The Commission is</w:t>
      </w:r>
      <w:r w:rsidR="0036262E" w:rsidRPr="00BD6499">
        <w:rPr>
          <w:lang w:eastAsia="en-AU"/>
        </w:rPr>
        <w:t xml:space="preserve"> also concerned that the number of complaints received is not representative of the full scale of the problem. </w:t>
      </w:r>
      <w:r w:rsidR="004B3603" w:rsidRPr="00BD6499">
        <w:rPr>
          <w:lang w:eastAsia="en-AU"/>
        </w:rPr>
        <w:t>A</w:t>
      </w:r>
      <w:r w:rsidR="00D573B7" w:rsidRPr="00BD6499">
        <w:rPr>
          <w:lang w:eastAsia="en-AU"/>
        </w:rPr>
        <w:t xml:space="preserve"> number of </w:t>
      </w:r>
      <w:r w:rsidR="0036262E" w:rsidRPr="00BD6499">
        <w:rPr>
          <w:lang w:eastAsia="en-AU"/>
        </w:rPr>
        <w:t xml:space="preserve">factors may dissuade victims </w:t>
      </w:r>
      <w:r w:rsidR="004B3603" w:rsidRPr="00BD6499">
        <w:rPr>
          <w:lang w:eastAsia="en-AU"/>
        </w:rPr>
        <w:t>from</w:t>
      </w:r>
      <w:r w:rsidR="0036262E" w:rsidRPr="00BD6499">
        <w:rPr>
          <w:lang w:eastAsia="en-AU"/>
        </w:rPr>
        <w:t xml:space="preserve"> mak</w:t>
      </w:r>
      <w:r w:rsidR="004B3603" w:rsidRPr="00BD6499">
        <w:rPr>
          <w:lang w:eastAsia="en-AU"/>
        </w:rPr>
        <w:t>ing</w:t>
      </w:r>
      <w:r w:rsidR="0036262E" w:rsidRPr="00BD6499">
        <w:rPr>
          <w:lang w:eastAsia="en-AU"/>
        </w:rPr>
        <w:t xml:space="preserve"> formal complaints, including confusion about the process or the correct body to complain to, a reluctance to engage in a conciliation with perpetrators (or a belief this would have few positive outcomes), or the difficulty in naming or locating a respondent.</w:t>
      </w:r>
      <w:r w:rsidR="004F3068" w:rsidRPr="00BD6499">
        <w:rPr>
          <w:lang w:eastAsia="en-AU"/>
        </w:rPr>
        <w:t xml:space="preserve"> </w:t>
      </w:r>
    </w:p>
    <w:p w14:paraId="7444AE79" w14:textId="79264FF1" w:rsidR="005B3BF1" w:rsidRPr="00BD6499" w:rsidRDefault="0036262E" w:rsidP="0036262E">
      <w:pPr>
        <w:pStyle w:val="Numberedparagraph"/>
        <w:rPr>
          <w:lang w:eastAsia="en-AU"/>
        </w:rPr>
      </w:pPr>
      <w:r w:rsidRPr="00BD6499">
        <w:rPr>
          <w:lang w:eastAsia="en-AU"/>
        </w:rPr>
        <w:t xml:space="preserve">The Commission suggests that </w:t>
      </w:r>
      <w:r w:rsidR="004B3603" w:rsidRPr="00BD6499">
        <w:rPr>
          <w:lang w:eastAsia="en-AU"/>
        </w:rPr>
        <w:t>positive messaging</w:t>
      </w:r>
      <w:r w:rsidR="00233BF9" w:rsidRPr="00BD6499">
        <w:rPr>
          <w:lang w:eastAsia="en-AU"/>
        </w:rPr>
        <w:t xml:space="preserve"> at a state and national level </w:t>
      </w:r>
      <w:r w:rsidR="004B3603" w:rsidRPr="00BD6499">
        <w:rPr>
          <w:lang w:eastAsia="en-AU"/>
        </w:rPr>
        <w:t xml:space="preserve">may help </w:t>
      </w:r>
      <w:r w:rsidRPr="00BD6499">
        <w:rPr>
          <w:lang w:eastAsia="en-AU"/>
        </w:rPr>
        <w:t xml:space="preserve">to address this </w:t>
      </w:r>
      <w:r w:rsidR="004B3603" w:rsidRPr="00BD6499">
        <w:rPr>
          <w:lang w:eastAsia="en-AU"/>
        </w:rPr>
        <w:t xml:space="preserve">unacceptable </w:t>
      </w:r>
      <w:r w:rsidR="00233BF9" w:rsidRPr="00BD6499">
        <w:rPr>
          <w:lang w:eastAsia="en-AU"/>
        </w:rPr>
        <w:t>behavio</w:t>
      </w:r>
      <w:r w:rsidR="00833D30">
        <w:rPr>
          <w:lang w:eastAsia="en-AU"/>
        </w:rPr>
        <w:t>u</w:t>
      </w:r>
      <w:r w:rsidR="00233BF9" w:rsidRPr="00BD6499">
        <w:rPr>
          <w:lang w:eastAsia="en-AU"/>
        </w:rPr>
        <w:t>r.</w:t>
      </w:r>
      <w:r w:rsidRPr="00BD6499">
        <w:rPr>
          <w:lang w:eastAsia="en-AU"/>
        </w:rPr>
        <w:t xml:space="preserve"> This could include </w:t>
      </w:r>
      <w:r w:rsidR="00233BF9" w:rsidRPr="00BD6499">
        <w:rPr>
          <w:lang w:eastAsia="en-AU"/>
        </w:rPr>
        <w:t xml:space="preserve">the </w:t>
      </w:r>
      <w:r w:rsidR="00331698" w:rsidRPr="00BD6499">
        <w:rPr>
          <w:lang w:eastAsia="en-AU"/>
        </w:rPr>
        <w:t xml:space="preserve">Queensland government </w:t>
      </w:r>
      <w:r w:rsidRPr="00BD6499">
        <w:rPr>
          <w:lang w:eastAsia="en-AU"/>
        </w:rPr>
        <w:t>funding a campaign promoting the benefits of Australia’s rich multicultural community</w:t>
      </w:r>
      <w:r w:rsidR="00233BF9" w:rsidRPr="00BD6499">
        <w:rPr>
          <w:lang w:eastAsia="en-AU"/>
        </w:rPr>
        <w:t>,</w:t>
      </w:r>
      <w:r w:rsidR="00331698" w:rsidRPr="00BD6499">
        <w:rPr>
          <w:lang w:eastAsia="en-AU"/>
        </w:rPr>
        <w:t xml:space="preserve"> and </w:t>
      </w:r>
      <w:r w:rsidR="00EF01B0" w:rsidRPr="00BD6499">
        <w:rPr>
          <w:lang w:eastAsia="en-AU"/>
        </w:rPr>
        <w:t xml:space="preserve">a campaign to support people from CALD communities to know and assert their </w:t>
      </w:r>
      <w:r w:rsidR="00331698" w:rsidRPr="00BD6499">
        <w:rPr>
          <w:lang w:eastAsia="en-AU"/>
        </w:rPr>
        <w:t>rights</w:t>
      </w:r>
      <w:r w:rsidRPr="00BD6499">
        <w:rPr>
          <w:lang w:eastAsia="en-AU"/>
        </w:rPr>
        <w:t xml:space="preserve">. </w:t>
      </w:r>
      <w:r w:rsidR="003941C4" w:rsidRPr="00BD6499">
        <w:rPr>
          <w:lang w:eastAsia="en-AU"/>
        </w:rPr>
        <w:t>The Commission</w:t>
      </w:r>
      <w:r w:rsidR="005B3BF1" w:rsidRPr="00BD6499">
        <w:rPr>
          <w:lang w:eastAsia="en-AU"/>
        </w:rPr>
        <w:t xml:space="preserve"> </w:t>
      </w:r>
      <w:r w:rsidR="00EF01B0" w:rsidRPr="00BD6499">
        <w:rPr>
          <w:lang w:eastAsia="en-AU"/>
        </w:rPr>
        <w:t xml:space="preserve">further </w:t>
      </w:r>
      <w:r w:rsidR="005B3BF1" w:rsidRPr="00BD6499">
        <w:rPr>
          <w:lang w:eastAsia="en-AU"/>
        </w:rPr>
        <w:t>recommend</w:t>
      </w:r>
      <w:r w:rsidR="003941C4" w:rsidRPr="00BD6499">
        <w:rPr>
          <w:lang w:eastAsia="en-AU"/>
        </w:rPr>
        <w:t>s</w:t>
      </w:r>
      <w:r w:rsidR="005B3BF1" w:rsidRPr="00BD6499">
        <w:rPr>
          <w:lang w:eastAsia="en-AU"/>
        </w:rPr>
        <w:t xml:space="preserve"> that the Queensland Government </w:t>
      </w:r>
      <w:r w:rsidR="00233BF9" w:rsidRPr="00BD6499">
        <w:rPr>
          <w:lang w:eastAsia="en-AU"/>
        </w:rPr>
        <w:t xml:space="preserve">encourage and support </w:t>
      </w:r>
      <w:r w:rsidR="005B3BF1" w:rsidRPr="00BD6499">
        <w:rPr>
          <w:lang w:eastAsia="en-AU"/>
        </w:rPr>
        <w:t xml:space="preserve">the Federal Government to </w:t>
      </w:r>
      <w:r w:rsidR="00B75BB1" w:rsidRPr="00BD6499">
        <w:rPr>
          <w:lang w:eastAsia="en-AU"/>
        </w:rPr>
        <w:t>provide national leadership and consistent</w:t>
      </w:r>
      <w:r w:rsidR="008656FE" w:rsidRPr="00BD6499">
        <w:rPr>
          <w:lang w:eastAsia="en-AU"/>
        </w:rPr>
        <w:t xml:space="preserve"> anti-racism</w:t>
      </w:r>
      <w:r w:rsidR="00B75BB1" w:rsidRPr="00BD6499">
        <w:rPr>
          <w:lang w:eastAsia="en-AU"/>
        </w:rPr>
        <w:t xml:space="preserve"> messaging, along with the establishment of a national database</w:t>
      </w:r>
      <w:r w:rsidR="008656FE" w:rsidRPr="00BD6499">
        <w:rPr>
          <w:lang w:eastAsia="en-AU"/>
        </w:rPr>
        <w:t xml:space="preserve"> </w:t>
      </w:r>
      <w:r w:rsidR="00B75BB1" w:rsidRPr="00BD6499">
        <w:rPr>
          <w:lang w:eastAsia="en-AU"/>
        </w:rPr>
        <w:t>for hate motivated crimes</w:t>
      </w:r>
      <w:r w:rsidR="00233BF9" w:rsidRPr="00BD6499">
        <w:rPr>
          <w:lang w:eastAsia="en-AU"/>
        </w:rPr>
        <w:t xml:space="preserve"> as recommended by the Federal Race Discrimination Commissioner</w:t>
      </w:r>
      <w:r w:rsidR="00B75BB1" w:rsidRPr="00BD6499">
        <w:rPr>
          <w:lang w:eastAsia="en-AU"/>
        </w:rPr>
        <w:t>.</w:t>
      </w:r>
      <w:r w:rsidR="008656FE" w:rsidRPr="00BD6499">
        <w:rPr>
          <w:rStyle w:val="FootnoteReference"/>
          <w:lang w:eastAsia="en-AU"/>
        </w:rPr>
        <w:t xml:space="preserve"> </w:t>
      </w:r>
      <w:r w:rsidR="008656FE" w:rsidRPr="00BD6499">
        <w:rPr>
          <w:rStyle w:val="FootnoteReference"/>
          <w:lang w:eastAsia="en-AU"/>
        </w:rPr>
        <w:footnoteReference w:id="29"/>
      </w:r>
    </w:p>
    <w:p w14:paraId="3A14AD0B" w14:textId="77ACE366" w:rsidR="00707A47" w:rsidRPr="00833D30" w:rsidRDefault="00707A47" w:rsidP="00707A47">
      <w:pPr>
        <w:pStyle w:val="Heading2"/>
        <w:rPr>
          <w:rFonts w:cs="Arial"/>
          <w:sz w:val="28"/>
        </w:rPr>
      </w:pPr>
      <w:bookmarkStart w:id="23" w:name="_Toc44943808"/>
      <w:r w:rsidRPr="00444845">
        <w:rPr>
          <w:rFonts w:cs="Arial"/>
          <w:sz w:val="28"/>
        </w:rPr>
        <w:t>Aborig</w:t>
      </w:r>
      <w:r w:rsidR="003523D7" w:rsidRPr="00444845">
        <w:rPr>
          <w:rFonts w:cs="Arial"/>
          <w:sz w:val="28"/>
        </w:rPr>
        <w:t>inal peoples and Torres Strait I</w:t>
      </w:r>
      <w:r w:rsidRPr="00444845">
        <w:rPr>
          <w:rFonts w:cs="Arial"/>
          <w:sz w:val="28"/>
        </w:rPr>
        <w:t>slander peoples</w:t>
      </w:r>
      <w:bookmarkEnd w:id="23"/>
    </w:p>
    <w:p w14:paraId="3CF0F643" w14:textId="693538B4" w:rsidR="00E46D23" w:rsidRPr="00BD6499" w:rsidRDefault="001D00C1" w:rsidP="008E790B">
      <w:pPr>
        <w:pStyle w:val="Numberedparagraph"/>
      </w:pPr>
      <w:r w:rsidRPr="00BD6499">
        <w:t xml:space="preserve">First Nations people are more vulnerable to COVID-19 </w:t>
      </w:r>
      <w:r w:rsidR="00881C27" w:rsidRPr="00BD6499">
        <w:t xml:space="preserve">infection, </w:t>
      </w:r>
      <w:r w:rsidRPr="00BD6499">
        <w:t xml:space="preserve">due to a higher rate of chronic illness, and the social connectedness of families and communities </w:t>
      </w:r>
      <w:r w:rsidR="00881C27" w:rsidRPr="00BD6499">
        <w:t xml:space="preserve">that </w:t>
      </w:r>
      <w:r w:rsidRPr="00BD6499">
        <w:t>mak</w:t>
      </w:r>
      <w:r w:rsidR="00881C27" w:rsidRPr="00BD6499">
        <w:t>es</w:t>
      </w:r>
      <w:r w:rsidRPr="00BD6499">
        <w:t xml:space="preserve"> physical distancing more difficult. Aboriginal </w:t>
      </w:r>
      <w:r w:rsidR="00881C27" w:rsidRPr="00BD6499">
        <w:t xml:space="preserve">children </w:t>
      </w:r>
      <w:r w:rsidRPr="00BD6499">
        <w:t xml:space="preserve">and Torres Strait Islander children in </w:t>
      </w:r>
      <w:r w:rsidR="008E790B" w:rsidRPr="00BD6499">
        <w:t xml:space="preserve">out-of-home </w:t>
      </w:r>
      <w:r w:rsidRPr="00BD6499">
        <w:t xml:space="preserve">care face the same barriers to family contact as non-Indigenous children, </w:t>
      </w:r>
      <w:r w:rsidR="00881C27" w:rsidRPr="00BD6499">
        <w:t xml:space="preserve">but </w:t>
      </w:r>
      <w:r w:rsidR="7364746D" w:rsidRPr="00BD6499">
        <w:t xml:space="preserve">the situation </w:t>
      </w:r>
      <w:r w:rsidR="00881C27" w:rsidRPr="00BD6499">
        <w:t>is further</w:t>
      </w:r>
      <w:r w:rsidRPr="00BD6499">
        <w:t xml:space="preserve"> compounded by the potential loss of connection to culture resulting from lack of contact.</w:t>
      </w:r>
      <w:r w:rsidR="008E790B" w:rsidRPr="00BD6499">
        <w:t xml:space="preserve"> </w:t>
      </w:r>
    </w:p>
    <w:p w14:paraId="0EEA3D9D" w14:textId="77777777" w:rsidR="008E790B" w:rsidRPr="00BD6499" w:rsidRDefault="008E790B" w:rsidP="008E790B">
      <w:pPr>
        <w:pStyle w:val="Numberedparagraph"/>
      </w:pPr>
      <w:r w:rsidRPr="00BD6499">
        <w:t xml:space="preserve">As noted above, several people of Aboriginal and Torres Strait Islander descent have been in contact with the Commission to raise concerns about restrictions imposed by the federal </w:t>
      </w:r>
      <w:r w:rsidRPr="00BD6499">
        <w:rPr>
          <w:i/>
        </w:rPr>
        <w:t>Biosecurity Act 2015</w:t>
      </w:r>
      <w:r w:rsidRPr="00BD6499">
        <w:t>. The impact of these restrictions is dealt with in more detail below</w:t>
      </w:r>
      <w:r w:rsidR="00233BF9" w:rsidRPr="00BD6499">
        <w:t xml:space="preserve"> with respect to the impact on regional and remote communities</w:t>
      </w:r>
      <w:r w:rsidRPr="00BD6499">
        <w:t xml:space="preserve">. </w:t>
      </w:r>
    </w:p>
    <w:p w14:paraId="690DD3E3" w14:textId="77777777" w:rsidR="005808D5" w:rsidRPr="00BD6499" w:rsidRDefault="005808D5" w:rsidP="005808D5">
      <w:pPr>
        <w:pStyle w:val="Heading3"/>
      </w:pPr>
      <w:bookmarkStart w:id="24" w:name="_Toc44943809"/>
      <w:r w:rsidRPr="00BD6499">
        <w:t xml:space="preserve">Regional and </w:t>
      </w:r>
      <w:r w:rsidR="004839B7" w:rsidRPr="00BD6499">
        <w:t>r</w:t>
      </w:r>
      <w:r w:rsidRPr="00BD6499">
        <w:t xml:space="preserve">emote </w:t>
      </w:r>
      <w:r w:rsidR="004839B7" w:rsidRPr="00BD6499">
        <w:t>c</w:t>
      </w:r>
      <w:r w:rsidRPr="00BD6499">
        <w:t>ommunities</w:t>
      </w:r>
      <w:bookmarkEnd w:id="24"/>
      <w:r w:rsidRPr="00BD6499">
        <w:t xml:space="preserve"> </w:t>
      </w:r>
    </w:p>
    <w:p w14:paraId="3793C333" w14:textId="77777777" w:rsidR="005808D5" w:rsidRPr="00444845" w:rsidRDefault="005808D5" w:rsidP="005808D5">
      <w:pPr>
        <w:pStyle w:val="Numberedparagraph"/>
      </w:pPr>
      <w:r w:rsidRPr="00444845">
        <w:t xml:space="preserve">Until mid-June, significant restrictions were placed on remote communities across the country by the Australian Government under the </w:t>
      </w:r>
      <w:r w:rsidRPr="00444845">
        <w:rPr>
          <w:i/>
          <w:iCs/>
        </w:rPr>
        <w:t>Biosecurity Act</w:t>
      </w:r>
      <w:r w:rsidRPr="00833D30">
        <w:t xml:space="preserve">. These restrictions </w:t>
      </w:r>
      <w:r w:rsidR="00320E51" w:rsidRPr="00833D30">
        <w:t xml:space="preserve">had a significant </w:t>
      </w:r>
      <w:r w:rsidRPr="00807124">
        <w:t>impact on freedom of m</w:t>
      </w:r>
      <w:r w:rsidRPr="0098037E">
        <w:t>ovement in and out of such communities.</w:t>
      </w:r>
      <w:r w:rsidRPr="00BD6499">
        <w:rPr>
          <w:rStyle w:val="FootnoteReference"/>
          <w:lang w:eastAsia="en-AU"/>
        </w:rPr>
        <w:footnoteReference w:id="30"/>
      </w:r>
      <w:r w:rsidRPr="00BD6499">
        <w:rPr>
          <w:lang w:eastAsia="en-AU"/>
        </w:rPr>
        <w:t xml:space="preserve"> </w:t>
      </w:r>
      <w:r w:rsidRPr="00444845">
        <w:t xml:space="preserve"> </w:t>
      </w:r>
    </w:p>
    <w:p w14:paraId="37DD271C" w14:textId="49E0F8F2" w:rsidR="005808D5" w:rsidRPr="00444845" w:rsidRDefault="005808D5" w:rsidP="005808D5">
      <w:pPr>
        <w:pStyle w:val="Numberedparagraph"/>
        <w:rPr>
          <w:rFonts w:asciiTheme="minorHAnsi" w:hAnsiTheme="minorHAnsi" w:cstheme="minorBidi"/>
        </w:rPr>
      </w:pPr>
      <w:r w:rsidRPr="00444845">
        <w:t>As a result of the restrictions and the hard work and discipline of many people living and working in the designated areas, there have been no positive COVID-19 cases in any of Queensland’s discrete In</w:t>
      </w:r>
      <w:r w:rsidRPr="00833D30">
        <w:t>digenous com</w:t>
      </w:r>
      <w:r w:rsidRPr="0098037E">
        <w:t xml:space="preserve">munities. This is a very commendable outcome, particularly when </w:t>
      </w:r>
      <w:r w:rsidR="00D906E4" w:rsidRPr="009C1BEA">
        <w:t>considering the</w:t>
      </w:r>
      <w:r w:rsidRPr="00444845">
        <w:t xml:space="preserve"> devastation this virus is causing in First Nations populations internationally.</w:t>
      </w:r>
    </w:p>
    <w:p w14:paraId="7D867930" w14:textId="5ED182A9" w:rsidR="005808D5" w:rsidRPr="00444845" w:rsidRDefault="005808D5" w:rsidP="005808D5">
      <w:pPr>
        <w:pStyle w:val="Numberedparagraph"/>
      </w:pPr>
      <w:r w:rsidRPr="00444845">
        <w:t xml:space="preserve">However, the lack of consistency between the restrictions imposed by the Commonwealth on designated Indigenous communities and those imposed by the state </w:t>
      </w:r>
      <w:r w:rsidR="00586902" w:rsidRPr="00444845">
        <w:t>g</w:t>
      </w:r>
      <w:r w:rsidRPr="00444845">
        <w:t>overnment on the rest of Queensland</w:t>
      </w:r>
      <w:r w:rsidR="00586902" w:rsidRPr="00444845">
        <w:t xml:space="preserve"> </w:t>
      </w:r>
      <w:r w:rsidRPr="00444845">
        <w:t>caused significant frustration in some communities, including Palm Island and Yarrabah.</w:t>
      </w:r>
    </w:p>
    <w:p w14:paraId="30763907" w14:textId="3369834E" w:rsidR="005808D5" w:rsidRPr="00444845" w:rsidRDefault="00586902" w:rsidP="005808D5">
      <w:pPr>
        <w:pStyle w:val="Numberedparagraph"/>
      </w:pPr>
      <w:r w:rsidRPr="00444845">
        <w:t xml:space="preserve">By way of </w:t>
      </w:r>
      <w:r w:rsidR="005808D5" w:rsidRPr="00444845">
        <w:t>example, the Queensland Chief Health Officer lifted restrictions imposed on Aboriginal and Torres Strait Islander communities in other parts of the state</w:t>
      </w:r>
      <w:r w:rsidR="292C7147" w:rsidRPr="00444845">
        <w:t xml:space="preserve"> </w:t>
      </w:r>
      <w:r w:rsidR="005808D5" w:rsidRPr="00444845">
        <w:t>on 16 May 2020.</w:t>
      </w:r>
      <w:r w:rsidR="005808D5" w:rsidRPr="00BD6499">
        <w:rPr>
          <w:rStyle w:val="FootnoteReference"/>
          <w:lang w:eastAsia="en-AU"/>
        </w:rPr>
        <w:footnoteReference w:id="31"/>
      </w:r>
      <w:r w:rsidR="005808D5" w:rsidRPr="00BD6499">
        <w:rPr>
          <w:lang w:eastAsia="en-AU"/>
        </w:rPr>
        <w:t xml:space="preserve"> </w:t>
      </w:r>
      <w:r w:rsidR="005808D5" w:rsidRPr="00444845">
        <w:t xml:space="preserve">Throughout May, the Queensland Government also </w:t>
      </w:r>
      <w:r w:rsidRPr="00444845">
        <w:t xml:space="preserve">relaxed </w:t>
      </w:r>
      <w:r w:rsidR="005808D5" w:rsidRPr="00444845">
        <w:t xml:space="preserve">restrictions across Queensland, </w:t>
      </w:r>
      <w:r w:rsidRPr="00833D30">
        <w:t>and</w:t>
      </w:r>
      <w:r w:rsidR="005808D5" w:rsidRPr="00833D30">
        <w:t xml:space="preserve"> allow</w:t>
      </w:r>
      <w:r w:rsidRPr="00807124">
        <w:t>ed</w:t>
      </w:r>
      <w:r w:rsidR="005808D5" w:rsidRPr="0098037E">
        <w:t xml:space="preserve"> residents to travel greater distances. In contras</w:t>
      </w:r>
      <w:r w:rsidR="005808D5" w:rsidRPr="009C1BEA">
        <w:t>t, restrictions under the Commonwealth</w:t>
      </w:r>
      <w:r w:rsidR="005808D5" w:rsidRPr="00444845">
        <w:rPr>
          <w:i/>
          <w:iCs/>
        </w:rPr>
        <w:t xml:space="preserve"> Biosecurity Act</w:t>
      </w:r>
      <w:r w:rsidR="005808D5" w:rsidRPr="00444845">
        <w:t xml:space="preserve"> remained static un</w:t>
      </w:r>
      <w:r w:rsidRPr="00444845">
        <w:t>til</w:t>
      </w:r>
      <w:r w:rsidR="005808D5" w:rsidRPr="00444845">
        <w:t xml:space="preserve"> 12 June 2020</w:t>
      </w:r>
      <w:r w:rsidRPr="00444845">
        <w:t>,</w:t>
      </w:r>
      <w:r w:rsidR="005808D5" w:rsidRPr="00444845">
        <w:t xml:space="preserve"> thereby preventing residents of designated Indigenous communities from travelling as far as other</w:t>
      </w:r>
      <w:r w:rsidRPr="00444845">
        <w:t xml:space="preserve"> people</w:t>
      </w:r>
      <w:r w:rsidR="005808D5" w:rsidRPr="00444845">
        <w:t xml:space="preserve"> in Queensland and requiring many to quarantine for 14 days. </w:t>
      </w:r>
    </w:p>
    <w:p w14:paraId="14F9FE71" w14:textId="1E557F20" w:rsidR="005808D5" w:rsidRPr="00444845" w:rsidRDefault="005808D5" w:rsidP="005808D5">
      <w:pPr>
        <w:pStyle w:val="Numberedparagraph"/>
      </w:pPr>
      <w:r w:rsidRPr="00444845">
        <w:t xml:space="preserve">Many community concerns were resolved </w:t>
      </w:r>
      <w:r w:rsidR="00586902" w:rsidRPr="00444845">
        <w:t xml:space="preserve">when </w:t>
      </w:r>
      <w:r w:rsidRPr="00444845">
        <w:t xml:space="preserve">new </w:t>
      </w:r>
      <w:r w:rsidR="00586902" w:rsidRPr="00444845">
        <w:t>D</w:t>
      </w:r>
      <w:r w:rsidRPr="00444845">
        <w:t xml:space="preserve">irections </w:t>
      </w:r>
      <w:r w:rsidR="00586902" w:rsidRPr="00444845">
        <w:t xml:space="preserve">were </w:t>
      </w:r>
      <w:r w:rsidRPr="00444845">
        <w:t>issued by the Queensland Chief Health Officer, replac</w:t>
      </w:r>
      <w:r w:rsidR="00586902" w:rsidRPr="00444845">
        <w:t>ing</w:t>
      </w:r>
      <w:r w:rsidRPr="00444845">
        <w:t xml:space="preserve"> the Commonwealth restrictions. These state-based </w:t>
      </w:r>
      <w:r w:rsidR="0098037E">
        <w:t>p</w:t>
      </w:r>
      <w:r w:rsidR="21218790" w:rsidRPr="0098037E">
        <w:t xml:space="preserve">ublic </w:t>
      </w:r>
      <w:r w:rsidR="0098037E">
        <w:t>h</w:t>
      </w:r>
      <w:r w:rsidR="21218790" w:rsidRPr="0098037E">
        <w:t>ealth</w:t>
      </w:r>
      <w:r w:rsidRPr="0098037E">
        <w:t xml:space="preserve"> </w:t>
      </w:r>
      <w:r w:rsidR="0098037E">
        <w:t>d</w:t>
      </w:r>
      <w:r w:rsidR="0098037E" w:rsidRPr="0098037E">
        <w:t xml:space="preserve">irections </w:t>
      </w:r>
      <w:r w:rsidRPr="0098037E">
        <w:t xml:space="preserve">better reflect and </w:t>
      </w:r>
      <w:r w:rsidR="00586902" w:rsidRPr="0098037E">
        <w:t xml:space="preserve">take account of </w:t>
      </w:r>
      <w:r w:rsidRPr="0098037E">
        <w:t>the needs of different com</w:t>
      </w:r>
      <w:r w:rsidRPr="009C1BEA">
        <w:t>munities.</w:t>
      </w:r>
      <w:r w:rsidR="0045170E" w:rsidRPr="00444845">
        <w:t xml:space="preserve"> </w:t>
      </w:r>
      <w:r w:rsidR="00B65FF2" w:rsidRPr="00444845">
        <w:t xml:space="preserve">The reason for their success may lie in the fact </w:t>
      </w:r>
      <w:r w:rsidR="0045170E" w:rsidRPr="00444845">
        <w:t>that they were developed by Queensland Health in partnership with the Department of Aboriginal and Torres S</w:t>
      </w:r>
      <w:r w:rsidR="552113D9" w:rsidRPr="00444845">
        <w:t>trait</w:t>
      </w:r>
      <w:r w:rsidR="0045170E" w:rsidRPr="00444845">
        <w:t xml:space="preserve"> Islander Partnership</w:t>
      </w:r>
      <w:r w:rsidR="001612F8">
        <w:t>s</w:t>
      </w:r>
      <w:r w:rsidR="0045170E" w:rsidRPr="00444845">
        <w:t xml:space="preserve"> and Aboriginal and Torres Strait Islander Mayors. </w:t>
      </w:r>
    </w:p>
    <w:p w14:paraId="69AF8AB9" w14:textId="286AD8C4" w:rsidR="00850EC3" w:rsidRDefault="00FB2201" w:rsidP="00FB2201">
      <w:pPr>
        <w:pStyle w:val="Numberedparagraph"/>
      </w:pPr>
      <w:r>
        <w:t>However, considerable</w:t>
      </w:r>
      <w:r w:rsidR="006B35DC" w:rsidRPr="00444845">
        <w:t xml:space="preserve"> confusion </w:t>
      </w:r>
      <w:r w:rsidR="00AF6E8B" w:rsidRPr="00444845">
        <w:t xml:space="preserve">continues </w:t>
      </w:r>
      <w:r w:rsidR="006B35DC" w:rsidRPr="00444845">
        <w:t xml:space="preserve">about </w:t>
      </w:r>
      <w:r w:rsidR="0045170E" w:rsidRPr="00444845">
        <w:t>how some elements of the remaining restrictions operate</w:t>
      </w:r>
      <w:r w:rsidR="00850EC3" w:rsidRPr="00444845">
        <w:t>, such as whether a travel pass is necessary for all persons entering designated communities, including residents and family members visiting from the broader travel zones</w:t>
      </w:r>
      <w:r w:rsidR="0045170E" w:rsidRPr="00444845">
        <w:t xml:space="preserve">. </w:t>
      </w:r>
      <w:r w:rsidR="00B32AC1">
        <w:t>The Commission has heard from some people in remote communities that t</w:t>
      </w:r>
      <w:r w:rsidR="008A5B5E" w:rsidRPr="00444845">
        <w:t xml:space="preserve">he relative freedom of workers deemed to be doing ‘essential work’ to move freely in and out of designated communities has also caused frustration and undermined community cohesion. </w:t>
      </w:r>
      <w:r w:rsidR="00467FC5" w:rsidRPr="00444845">
        <w:t>The Commission has</w:t>
      </w:r>
      <w:r w:rsidR="0045170E" w:rsidRPr="00444845">
        <w:t xml:space="preserve"> discussed these issues with Queensland Health with a view to assisting in improving guidance for the community. </w:t>
      </w:r>
    </w:p>
    <w:p w14:paraId="0D087C1F" w14:textId="6B1D99D7" w:rsidR="00C8103C" w:rsidRPr="00444845" w:rsidRDefault="00C8103C" w:rsidP="00930584">
      <w:pPr>
        <w:pStyle w:val="Numberedparagraph"/>
      </w:pPr>
      <w:r w:rsidRPr="00444845">
        <w:t xml:space="preserve">Overall, the Commission understands </w:t>
      </w:r>
      <w:r w:rsidR="00B65865">
        <w:t>that</w:t>
      </w:r>
      <w:r w:rsidRPr="00444845">
        <w:t xml:space="preserve"> restrictions have been developed in consultation with communities with the important goal of keeping residents safe. The Queensland Government should continue to work closely with Aboriginal and Torres Strait Islander community-controlled health services and local disaster management committees to ensure that the voices of First Nations people are heard and valued as part of informed decision-making about pandemic protections. </w:t>
      </w:r>
    </w:p>
    <w:p w14:paraId="13DC5F83" w14:textId="01E72FF6" w:rsidR="005808D5" w:rsidRPr="00444845" w:rsidRDefault="00AF6E8B" w:rsidP="00850EC3">
      <w:pPr>
        <w:pStyle w:val="Heading3"/>
      </w:pPr>
      <w:bookmarkStart w:id="25" w:name="_Toc44943810"/>
      <w:r w:rsidRPr="00444845">
        <w:t>Cost of food and other groceries</w:t>
      </w:r>
      <w:bookmarkEnd w:id="25"/>
    </w:p>
    <w:p w14:paraId="754F1FDB" w14:textId="5CBE5667" w:rsidR="003A5B33" w:rsidRPr="00BD6499" w:rsidRDefault="5715AC7D" w:rsidP="003A5B33">
      <w:pPr>
        <w:pStyle w:val="Numberedparagraph"/>
        <w:rPr>
          <w:lang w:eastAsia="en-AU"/>
        </w:rPr>
      </w:pPr>
      <w:r w:rsidRPr="00BD6499">
        <w:rPr>
          <w:lang w:eastAsia="en-AU"/>
        </w:rPr>
        <w:t xml:space="preserve">Many members of the community expressed frustration at the cost of these goods in </w:t>
      </w:r>
      <w:r w:rsidR="00633DD2" w:rsidRPr="00BD6499">
        <w:rPr>
          <w:lang w:eastAsia="en-AU"/>
        </w:rPr>
        <w:t>regional and remote areas</w:t>
      </w:r>
      <w:r w:rsidRPr="00BD6499">
        <w:rPr>
          <w:lang w:eastAsia="en-AU"/>
        </w:rPr>
        <w:t>.</w:t>
      </w:r>
      <w:r w:rsidR="00BE2EEA" w:rsidRPr="00BD6499">
        <w:rPr>
          <w:lang w:eastAsia="en-AU"/>
        </w:rPr>
        <w:t xml:space="preserve"> This was an issue prior to the COVID</w:t>
      </w:r>
      <w:r w:rsidR="00D77A71" w:rsidRPr="00BD6499">
        <w:rPr>
          <w:lang w:eastAsia="en-AU"/>
        </w:rPr>
        <w:t>-19</w:t>
      </w:r>
      <w:r w:rsidR="00BE2EEA" w:rsidRPr="00BD6499">
        <w:rPr>
          <w:lang w:eastAsia="en-AU"/>
        </w:rPr>
        <w:t xml:space="preserve"> pandemic, but the restrictions on movement exacerbated community frustration.</w:t>
      </w:r>
      <w:r w:rsidRPr="00BD6499">
        <w:rPr>
          <w:lang w:eastAsia="en-AU"/>
        </w:rPr>
        <w:t xml:space="preserve"> </w:t>
      </w:r>
      <w:r w:rsidR="008E6553" w:rsidRPr="00BD6499">
        <w:rPr>
          <w:lang w:eastAsia="en-AU"/>
        </w:rPr>
        <w:t>The Commission</w:t>
      </w:r>
      <w:r w:rsidR="00AF6E8B" w:rsidRPr="00BD6499">
        <w:rPr>
          <w:lang w:eastAsia="en-AU"/>
        </w:rPr>
        <w:t xml:space="preserve"> suggest</w:t>
      </w:r>
      <w:r w:rsidR="008E6553" w:rsidRPr="00BD6499">
        <w:rPr>
          <w:lang w:eastAsia="en-AU"/>
        </w:rPr>
        <w:t>s</w:t>
      </w:r>
      <w:r w:rsidR="00AF6E8B" w:rsidRPr="00BD6499">
        <w:rPr>
          <w:lang w:eastAsia="en-AU"/>
        </w:rPr>
        <w:t xml:space="preserve"> further</w:t>
      </w:r>
      <w:r w:rsidRPr="00BD6499">
        <w:rPr>
          <w:lang w:eastAsia="en-AU"/>
        </w:rPr>
        <w:t xml:space="preserve"> consultation with Aboriginal and Torres Strait Islander </w:t>
      </w:r>
      <w:r w:rsidR="002B4139" w:rsidRPr="00BD6499">
        <w:rPr>
          <w:lang w:eastAsia="en-AU"/>
        </w:rPr>
        <w:t>communities</w:t>
      </w:r>
      <w:r w:rsidR="00AF6E8B" w:rsidRPr="00BD6499">
        <w:rPr>
          <w:lang w:eastAsia="en-AU"/>
        </w:rPr>
        <w:t xml:space="preserve"> to address the underlying drivers of these higher prices</w:t>
      </w:r>
      <w:r w:rsidRPr="00BD6499">
        <w:rPr>
          <w:lang w:eastAsia="en-AU"/>
        </w:rPr>
        <w:t>.</w:t>
      </w:r>
    </w:p>
    <w:p w14:paraId="48B14127" w14:textId="77777777" w:rsidR="00BE2EEA" w:rsidRPr="00833D30" w:rsidRDefault="00BE2EEA" w:rsidP="00BE2EEA">
      <w:pPr>
        <w:pStyle w:val="Heading3"/>
      </w:pPr>
      <w:bookmarkStart w:id="26" w:name="_Toc44943811"/>
      <w:r w:rsidRPr="00444845">
        <w:t xml:space="preserve">Boarding </w:t>
      </w:r>
      <w:r w:rsidR="002B4139" w:rsidRPr="00444845">
        <w:t>s</w:t>
      </w:r>
      <w:r w:rsidRPr="00444845">
        <w:t>chools</w:t>
      </w:r>
      <w:bookmarkEnd w:id="26"/>
    </w:p>
    <w:p w14:paraId="421E1166" w14:textId="3DBF1118" w:rsidR="005808D5" w:rsidRPr="00444845" w:rsidRDefault="20B1F7FE" w:rsidP="005808D5">
      <w:pPr>
        <w:pStyle w:val="Numberedparagraph"/>
      </w:pPr>
      <w:r w:rsidRPr="009C1BEA">
        <w:t>B</w:t>
      </w:r>
      <w:r w:rsidR="005808D5" w:rsidRPr="00444845">
        <w:t>oarding school students</w:t>
      </w:r>
      <w:r w:rsidRPr="00444845">
        <w:t xml:space="preserve"> from regional and remote </w:t>
      </w:r>
      <w:r w:rsidR="02CFBCBF" w:rsidRPr="00444845">
        <w:t>communities</w:t>
      </w:r>
      <w:r w:rsidRPr="00444845">
        <w:t xml:space="preserve"> </w:t>
      </w:r>
      <w:r w:rsidR="0EB60A47" w:rsidRPr="00444845">
        <w:t xml:space="preserve">were significantly affected by the </w:t>
      </w:r>
      <w:r w:rsidR="002B4139" w:rsidRPr="00444845">
        <w:t>COVID</w:t>
      </w:r>
      <w:r w:rsidR="00D77A71" w:rsidRPr="00444845">
        <w:t>-19</w:t>
      </w:r>
      <w:r w:rsidR="002B4139" w:rsidRPr="00444845">
        <w:t xml:space="preserve"> </w:t>
      </w:r>
      <w:r w:rsidR="0EB60A47" w:rsidRPr="00444845">
        <w:t>restrictions</w:t>
      </w:r>
      <w:r w:rsidR="005808D5" w:rsidRPr="00444845">
        <w:t xml:space="preserve">. Although </w:t>
      </w:r>
      <w:r w:rsidR="0098037E">
        <w:t>p</w:t>
      </w:r>
      <w:r w:rsidR="0098037E" w:rsidRPr="0098037E">
        <w:t xml:space="preserve">ublic </w:t>
      </w:r>
      <w:r w:rsidR="0098037E">
        <w:t>h</w:t>
      </w:r>
      <w:r w:rsidR="0098037E" w:rsidRPr="0098037E">
        <w:t xml:space="preserve">ealth </w:t>
      </w:r>
      <w:r w:rsidR="0098037E">
        <w:t>d</w:t>
      </w:r>
      <w:r w:rsidR="0098037E" w:rsidRPr="0098037E">
        <w:t xml:space="preserve">irections </w:t>
      </w:r>
      <w:r w:rsidR="7CD997EA" w:rsidRPr="0098037E">
        <w:t xml:space="preserve">provided </w:t>
      </w:r>
      <w:r w:rsidR="005808D5" w:rsidRPr="0098037E">
        <w:t xml:space="preserve">that </w:t>
      </w:r>
      <w:r w:rsidR="00C043CD" w:rsidRPr="0098037E">
        <w:t xml:space="preserve">from 12 June </w:t>
      </w:r>
      <w:r w:rsidR="005808D5" w:rsidRPr="0098037E">
        <w:t>students returning to designated communities d</w:t>
      </w:r>
      <w:r w:rsidR="7CD997EA" w:rsidRPr="009C1BEA">
        <w:t>id</w:t>
      </w:r>
      <w:r w:rsidR="005808D5" w:rsidRPr="00444845">
        <w:t xml:space="preserve"> not need to self-isolate, </w:t>
      </w:r>
      <w:r w:rsidR="7CD997EA" w:rsidRPr="00444845">
        <w:t>the Commission understands most boarding school</w:t>
      </w:r>
      <w:r w:rsidR="005808D5" w:rsidRPr="00444845">
        <w:t xml:space="preserve"> students </w:t>
      </w:r>
      <w:r w:rsidR="5715AC7D" w:rsidRPr="00444845">
        <w:t>will not</w:t>
      </w:r>
      <w:r w:rsidR="7CD997EA" w:rsidRPr="00444845">
        <w:t xml:space="preserve"> return </w:t>
      </w:r>
      <w:r w:rsidR="0EB60A47" w:rsidRPr="00444845">
        <w:t xml:space="preserve">to school </w:t>
      </w:r>
      <w:r w:rsidR="7CD997EA" w:rsidRPr="00444845">
        <w:t>until</w:t>
      </w:r>
      <w:r w:rsidR="5715AC7D" w:rsidRPr="00444845">
        <w:t xml:space="preserve"> mid-July</w:t>
      </w:r>
      <w:r w:rsidR="005808D5" w:rsidRPr="00444845">
        <w:t xml:space="preserve">. </w:t>
      </w:r>
      <w:r w:rsidR="005808D5" w:rsidRPr="00444845" w:rsidDel="001D68C0">
        <w:t xml:space="preserve">The </w:t>
      </w:r>
      <w:r w:rsidR="42033B60" w:rsidRPr="00444845" w:rsidDel="001D68C0">
        <w:t>prolonged</w:t>
      </w:r>
      <w:r w:rsidR="005808D5" w:rsidRPr="00444845" w:rsidDel="001D68C0">
        <w:t xml:space="preserve"> closure of boarding schools has </w:t>
      </w:r>
      <w:r w:rsidR="001D68C0" w:rsidRPr="00444845">
        <w:t xml:space="preserve">particularly </w:t>
      </w:r>
      <w:r w:rsidR="2C95AB5D" w:rsidRPr="00444845" w:rsidDel="005808D5">
        <w:t>affected</w:t>
      </w:r>
      <w:r w:rsidR="21218790" w:rsidRPr="00444845">
        <w:t xml:space="preserve"> </w:t>
      </w:r>
      <w:r w:rsidR="77795D47" w:rsidRPr="00444845">
        <w:t>around 400</w:t>
      </w:r>
      <w:r w:rsidR="005808D5" w:rsidRPr="00444845">
        <w:t xml:space="preserve"> Aboriginal and Torres Strait Islander students from remote communities.</w:t>
      </w:r>
      <w:r w:rsidR="005808D5" w:rsidRPr="00444845">
        <w:rPr>
          <w:rStyle w:val="FootnoteReference"/>
        </w:rPr>
        <w:footnoteReference w:id="32"/>
      </w:r>
      <w:r w:rsidR="005808D5" w:rsidRPr="00444845">
        <w:t xml:space="preserve"> </w:t>
      </w:r>
      <w:r w:rsidR="00C043CD" w:rsidRPr="00444845">
        <w:t>Also, m</w:t>
      </w:r>
      <w:r w:rsidR="005808D5" w:rsidRPr="00444845">
        <w:t>any students in remote areas do not have access to technology</w:t>
      </w:r>
      <w:r w:rsidR="00C043CD" w:rsidRPr="00833D30">
        <w:t>,</w:t>
      </w:r>
      <w:r w:rsidR="005808D5" w:rsidRPr="00833D30">
        <w:t xml:space="preserve"> such as reliable internet connections</w:t>
      </w:r>
      <w:r w:rsidR="00C043CD" w:rsidRPr="00807124">
        <w:t>,</w:t>
      </w:r>
      <w:r w:rsidR="005808D5" w:rsidRPr="0098037E">
        <w:t xml:space="preserve"> and so their right to education, protected under the </w:t>
      </w:r>
      <w:r w:rsidR="00480C83">
        <w:rPr>
          <w:iCs/>
        </w:rPr>
        <w:t>HRA</w:t>
      </w:r>
      <w:r w:rsidR="005808D5" w:rsidRPr="0098037E">
        <w:rPr>
          <w:i/>
          <w:iCs/>
        </w:rPr>
        <w:t xml:space="preserve">, </w:t>
      </w:r>
      <w:r w:rsidR="005808D5" w:rsidRPr="0098037E">
        <w:t>has been significantly disrupted. High transport costs</w:t>
      </w:r>
      <w:r w:rsidR="00D77A71" w:rsidRPr="0098037E">
        <w:t xml:space="preserve"> has</w:t>
      </w:r>
      <w:r w:rsidR="005808D5" w:rsidRPr="0098037E">
        <w:t xml:space="preserve"> also m</w:t>
      </w:r>
      <w:r w:rsidR="4DB1D4DF" w:rsidRPr="0098037E">
        <w:t>ad</w:t>
      </w:r>
      <w:r w:rsidR="005808D5" w:rsidRPr="0098037E">
        <w:t xml:space="preserve">e planning difficult for parents. The Commission recommends that future pandemic </w:t>
      </w:r>
      <w:r w:rsidR="00C043CD" w:rsidRPr="009C1BEA">
        <w:t xml:space="preserve">or other emergency </w:t>
      </w:r>
      <w:r w:rsidR="005808D5" w:rsidRPr="00444845">
        <w:t>planning specifically consider</w:t>
      </w:r>
      <w:r w:rsidR="00C043CD" w:rsidRPr="00444845">
        <w:t>s</w:t>
      </w:r>
      <w:r w:rsidR="005808D5" w:rsidRPr="00444845">
        <w:t xml:space="preserve"> the impact on boarding school students from remote communities.</w:t>
      </w:r>
    </w:p>
    <w:p w14:paraId="15CB38CC" w14:textId="77777777" w:rsidR="006F6761" w:rsidRPr="00444845" w:rsidRDefault="006F6761" w:rsidP="006F6761">
      <w:pPr>
        <w:pStyle w:val="Heading2"/>
        <w:rPr>
          <w:rFonts w:cs="Arial"/>
          <w:sz w:val="28"/>
        </w:rPr>
      </w:pPr>
      <w:bookmarkStart w:id="27" w:name="_Toc44943812"/>
      <w:r w:rsidRPr="00444845">
        <w:rPr>
          <w:rFonts w:cs="Arial"/>
          <w:sz w:val="28"/>
          <w:szCs w:val="28"/>
        </w:rPr>
        <w:t>Young people in out</w:t>
      </w:r>
      <w:r w:rsidR="00C043CD" w:rsidRPr="00444845">
        <w:rPr>
          <w:rFonts w:cs="Arial"/>
          <w:sz w:val="28"/>
          <w:szCs w:val="28"/>
        </w:rPr>
        <w:t>-</w:t>
      </w:r>
      <w:r w:rsidRPr="00444845">
        <w:rPr>
          <w:rFonts w:cs="Arial"/>
          <w:sz w:val="28"/>
          <w:szCs w:val="28"/>
        </w:rPr>
        <w:t>of</w:t>
      </w:r>
      <w:r w:rsidR="00C043CD" w:rsidRPr="00444845">
        <w:rPr>
          <w:rFonts w:cs="Arial"/>
          <w:sz w:val="28"/>
          <w:szCs w:val="28"/>
        </w:rPr>
        <w:t>-</w:t>
      </w:r>
      <w:r w:rsidRPr="00444845">
        <w:rPr>
          <w:rFonts w:cs="Arial"/>
          <w:sz w:val="28"/>
          <w:szCs w:val="28"/>
        </w:rPr>
        <w:t>home care</w:t>
      </w:r>
      <w:bookmarkEnd w:id="27"/>
    </w:p>
    <w:p w14:paraId="2DDB05DF" w14:textId="77777777" w:rsidR="0ABA3A98" w:rsidRPr="00BD6499" w:rsidRDefault="00C043CD" w:rsidP="007114E9">
      <w:pPr>
        <w:pStyle w:val="Numberedparagraph"/>
      </w:pPr>
      <w:r w:rsidRPr="00BD6499">
        <w:t>A</w:t>
      </w:r>
      <w:r w:rsidR="0ABA3A98" w:rsidRPr="00BD6499">
        <w:t>t the date of writing</w:t>
      </w:r>
      <w:r w:rsidRPr="00BD6499">
        <w:t>, the Commission understands</w:t>
      </w:r>
      <w:r w:rsidR="0ABA3A98" w:rsidRPr="00BD6499">
        <w:t xml:space="preserve"> that no cases of COVID-19 among young people in care</w:t>
      </w:r>
      <w:r w:rsidRPr="00BD6499">
        <w:t xml:space="preserve"> have been reported</w:t>
      </w:r>
      <w:r w:rsidR="0ABA3A98" w:rsidRPr="00BD6499">
        <w:t xml:space="preserve">, and no residential care </w:t>
      </w:r>
      <w:r w:rsidRPr="00BD6499">
        <w:t xml:space="preserve">services </w:t>
      </w:r>
      <w:r w:rsidR="0ABA3A98" w:rsidRPr="00BD6499">
        <w:t xml:space="preserve">have </w:t>
      </w:r>
      <w:r w:rsidR="16FDE16B" w:rsidRPr="00BD6499">
        <w:t xml:space="preserve">been required to close due to health risk. </w:t>
      </w:r>
    </w:p>
    <w:p w14:paraId="5BECA724" w14:textId="77777777" w:rsidR="00CC2F94" w:rsidRPr="00BD6499" w:rsidRDefault="008B0849" w:rsidP="007114E9">
      <w:pPr>
        <w:pStyle w:val="Numberedparagraph"/>
      </w:pPr>
      <w:r w:rsidRPr="00BD6499">
        <w:t xml:space="preserve">Even before the </w:t>
      </w:r>
      <w:r w:rsidR="007109E5" w:rsidRPr="00BD6499">
        <w:t xml:space="preserve">COVID-19 </w:t>
      </w:r>
      <w:r w:rsidRPr="00BD6499">
        <w:t xml:space="preserve">pandemic, </w:t>
      </w:r>
      <w:r w:rsidR="00B31155" w:rsidRPr="00BD6499">
        <w:t xml:space="preserve">human rights </w:t>
      </w:r>
      <w:r w:rsidRPr="00BD6499">
        <w:t xml:space="preserve">enquiries about </w:t>
      </w:r>
      <w:r w:rsidR="00B31155" w:rsidRPr="00BD6499">
        <w:t xml:space="preserve">the Department of </w:t>
      </w:r>
      <w:r w:rsidRPr="00BD6499">
        <w:t xml:space="preserve">Child Safety constituted a significant proportion of calls to </w:t>
      </w:r>
      <w:r w:rsidR="36C6CACA" w:rsidRPr="00BD6499">
        <w:t xml:space="preserve">the Commission’s </w:t>
      </w:r>
      <w:r w:rsidRPr="00BD6499">
        <w:t xml:space="preserve">enquiry line. </w:t>
      </w:r>
      <w:r w:rsidR="41AC031F" w:rsidRPr="00BD6499">
        <w:t xml:space="preserve">During COVID-19 the issues that were raised by callers to the </w:t>
      </w:r>
      <w:r w:rsidR="007114E9" w:rsidRPr="00BD6499">
        <w:t>Commission</w:t>
      </w:r>
      <w:r w:rsidR="41AC031F" w:rsidRPr="00BD6499">
        <w:t xml:space="preserve"> included restrictions on c</w:t>
      </w:r>
      <w:r w:rsidRPr="00BD6499">
        <w:t>ontact visits with family members,</w:t>
      </w:r>
      <w:r w:rsidR="6474485D" w:rsidRPr="00BD6499">
        <w:t xml:space="preserve"> </w:t>
      </w:r>
      <w:r w:rsidRPr="00BD6499">
        <w:t>and</w:t>
      </w:r>
      <w:r w:rsidR="06552FA0" w:rsidRPr="00BD6499">
        <w:t xml:space="preserve"> insufficient</w:t>
      </w:r>
      <w:r w:rsidRPr="00BD6499">
        <w:t xml:space="preserve"> access to the technology needed to support social connection</w:t>
      </w:r>
      <w:r w:rsidR="00B31155" w:rsidRPr="00BD6499">
        <w:t>,</w:t>
      </w:r>
      <w:r w:rsidRPr="00BD6499">
        <w:t xml:space="preserve"> as well as remote learning </w:t>
      </w:r>
      <w:r w:rsidR="6C36D0AD" w:rsidRPr="00BD6499">
        <w:t xml:space="preserve">for </w:t>
      </w:r>
      <w:r w:rsidRPr="00BD6499">
        <w:t xml:space="preserve">children and young people in care. </w:t>
      </w:r>
    </w:p>
    <w:p w14:paraId="750CE1AB" w14:textId="0EB5873A" w:rsidR="00526338" w:rsidRPr="00444845" w:rsidRDefault="00540EE7" w:rsidP="007114E9">
      <w:pPr>
        <w:pStyle w:val="Numberedparagraph"/>
      </w:pPr>
      <w:r w:rsidRPr="00BD6499">
        <w:t>Following</w:t>
      </w:r>
      <w:r w:rsidR="00991F27" w:rsidRPr="00BD6499">
        <w:t xml:space="preserve"> enquiries and contact from </w:t>
      </w:r>
      <w:r w:rsidR="008F7CA3" w:rsidRPr="00BD6499">
        <w:t xml:space="preserve">concerned </w:t>
      </w:r>
      <w:r w:rsidR="00991F27" w:rsidRPr="00BD6499">
        <w:t>stakeholders, t</w:t>
      </w:r>
      <w:r w:rsidR="00C0303D" w:rsidRPr="00BD6499">
        <w:t xml:space="preserve">he </w:t>
      </w:r>
      <w:r w:rsidR="00B31155" w:rsidRPr="00BD6499">
        <w:t xml:space="preserve">Commission </w:t>
      </w:r>
      <w:r w:rsidR="00C0303D" w:rsidRPr="00BD6499">
        <w:t xml:space="preserve">brought </w:t>
      </w:r>
      <w:r w:rsidR="00526338" w:rsidRPr="00BD6499">
        <w:t>a number</w:t>
      </w:r>
      <w:r w:rsidR="00C0303D" w:rsidRPr="00BD6499">
        <w:t xml:space="preserve"> of these issues to the attention </w:t>
      </w:r>
      <w:r w:rsidR="001C77E2" w:rsidRPr="00BD6499">
        <w:t xml:space="preserve">to </w:t>
      </w:r>
      <w:r w:rsidR="00C0303D" w:rsidRPr="00BD6499">
        <w:t xml:space="preserve">the </w:t>
      </w:r>
      <w:r w:rsidR="001C77E2" w:rsidRPr="00BD6499">
        <w:t xml:space="preserve">Department of Child </w:t>
      </w:r>
      <w:r w:rsidR="00B31155" w:rsidRPr="00BD6499">
        <w:t>S</w:t>
      </w:r>
      <w:r w:rsidR="001C77E2" w:rsidRPr="00BD6499">
        <w:t>afety, Youth and Women</w:t>
      </w:r>
      <w:r w:rsidR="00B31155" w:rsidRPr="00BD6499">
        <w:t xml:space="preserve"> </w:t>
      </w:r>
      <w:r w:rsidR="001C77E2" w:rsidRPr="00BD6499">
        <w:t>(CSYW)</w:t>
      </w:r>
      <w:r w:rsidR="00526338" w:rsidRPr="00BD6499">
        <w:t xml:space="preserve">. </w:t>
      </w:r>
      <w:r w:rsidR="001C77E2" w:rsidRPr="00BD6499">
        <w:t xml:space="preserve">The </w:t>
      </w:r>
      <w:r w:rsidR="00526338" w:rsidRPr="00BD6499">
        <w:t xml:space="preserve">response </w:t>
      </w:r>
      <w:r w:rsidR="001C77E2" w:rsidRPr="00BD6499">
        <w:t xml:space="preserve">indicated </w:t>
      </w:r>
      <w:r w:rsidR="00B31155" w:rsidRPr="00BD6499">
        <w:t>that</w:t>
      </w:r>
      <w:r w:rsidR="00526338" w:rsidRPr="00BD6499">
        <w:t xml:space="preserve"> certain </w:t>
      </w:r>
      <w:r w:rsidR="00353557" w:rsidRPr="00BD6499">
        <w:t xml:space="preserve">actions </w:t>
      </w:r>
      <w:r w:rsidR="00526338" w:rsidRPr="00BD6499">
        <w:t>were taken to address these issues</w:t>
      </w:r>
      <w:r w:rsidR="61235E35" w:rsidRPr="00BD6499">
        <w:t>. In particular</w:t>
      </w:r>
      <w:r w:rsidR="00B31155" w:rsidRPr="00BD6499">
        <w:t>,</w:t>
      </w:r>
      <w:r w:rsidR="61235E35" w:rsidRPr="00BD6499">
        <w:t xml:space="preserve"> </w:t>
      </w:r>
      <w:r w:rsidR="008E6553" w:rsidRPr="00BD6499">
        <w:t>the Commission commends</w:t>
      </w:r>
      <w:r w:rsidR="61235E35" w:rsidRPr="00BD6499">
        <w:t xml:space="preserve"> efforts</w:t>
      </w:r>
      <w:r w:rsidR="004A6EC0" w:rsidRPr="00BD6499">
        <w:t>:</w:t>
      </w:r>
      <w:r w:rsidR="61235E35" w:rsidRPr="00BD6499">
        <w:t xml:space="preserve"> to work</w:t>
      </w:r>
      <w:r w:rsidR="3782BEA5" w:rsidRPr="00BD6499">
        <w:t xml:space="preserve"> in collaboration with Education Queensland to identify and support vulnerable students, </w:t>
      </w:r>
      <w:r w:rsidR="00515C64" w:rsidRPr="00BD6499">
        <w:t>provide</w:t>
      </w:r>
      <w:r w:rsidR="00526338" w:rsidRPr="00BD6499">
        <w:t xml:space="preserve"> financial support</w:t>
      </w:r>
      <w:r w:rsidR="00526338" w:rsidRPr="00444845">
        <w:t xml:space="preserve"> for purchasing devices </w:t>
      </w:r>
      <w:r w:rsidR="00C6291B" w:rsidRPr="00444845">
        <w:t xml:space="preserve">and data </w:t>
      </w:r>
      <w:r w:rsidR="00526338" w:rsidRPr="00444845">
        <w:t>for children in care</w:t>
      </w:r>
      <w:r w:rsidR="4DE63F03" w:rsidRPr="00833D30">
        <w:t>,</w:t>
      </w:r>
      <w:r w:rsidR="00526338" w:rsidRPr="00833D30">
        <w:t xml:space="preserve"> and </w:t>
      </w:r>
      <w:r w:rsidR="2E98398A" w:rsidRPr="00807124">
        <w:t>the extra</w:t>
      </w:r>
      <w:r w:rsidR="00526338" w:rsidRPr="009C1BEA">
        <w:t xml:space="preserve"> funding </w:t>
      </w:r>
      <w:r w:rsidR="15359C5D" w:rsidRPr="009C1BEA">
        <w:t>provided</w:t>
      </w:r>
      <w:r w:rsidR="00526338" w:rsidRPr="00173318">
        <w:t xml:space="preserve"> to </w:t>
      </w:r>
      <w:r w:rsidR="00883533" w:rsidRPr="00444845">
        <w:t>CREATE</w:t>
      </w:r>
      <w:r w:rsidR="00526338" w:rsidRPr="00444845">
        <w:t xml:space="preserve"> Foundation to undertake ‘check-in’ calls</w:t>
      </w:r>
      <w:r w:rsidR="0065086F" w:rsidRPr="00444845">
        <w:t xml:space="preserve"> with young people</w:t>
      </w:r>
      <w:r w:rsidR="00526338" w:rsidRPr="00444845">
        <w:t>.</w:t>
      </w:r>
      <w:r w:rsidR="00353557" w:rsidRPr="00444845">
        <w:t xml:space="preserve"> </w:t>
      </w:r>
      <w:r w:rsidR="001C77E2" w:rsidRPr="00444845">
        <w:t>T</w:t>
      </w:r>
      <w:r w:rsidR="00A32555" w:rsidRPr="00444845">
        <w:t xml:space="preserve">his situation may </w:t>
      </w:r>
      <w:r w:rsidR="00515C64" w:rsidRPr="00444845">
        <w:t xml:space="preserve">provide </w:t>
      </w:r>
      <w:r w:rsidR="00A32555" w:rsidRPr="00444845">
        <w:t xml:space="preserve">an opportunity to ensure that </w:t>
      </w:r>
      <w:r w:rsidR="00515C64" w:rsidRPr="00444845">
        <w:t xml:space="preserve">in future </w:t>
      </w:r>
      <w:r w:rsidR="00A32555" w:rsidRPr="00444845">
        <w:t xml:space="preserve">every child has access to the </w:t>
      </w:r>
      <w:r w:rsidR="004A6EC0" w:rsidRPr="00444845">
        <w:t xml:space="preserve">internet and </w:t>
      </w:r>
      <w:r w:rsidR="00A32555" w:rsidRPr="00444845">
        <w:t xml:space="preserve">technology they need to conduct their schooling and maintain family and other social contacts. </w:t>
      </w:r>
      <w:r w:rsidR="000500B4" w:rsidRPr="00444845">
        <w:t>The Commission</w:t>
      </w:r>
      <w:r w:rsidR="5AE8AF3C" w:rsidRPr="00444845">
        <w:t xml:space="preserve"> trust</w:t>
      </w:r>
      <w:r w:rsidR="000500B4" w:rsidRPr="00444845">
        <w:t>s</w:t>
      </w:r>
      <w:r w:rsidR="5AE8AF3C" w:rsidRPr="00444845">
        <w:t xml:space="preserve"> that with the decrease in </w:t>
      </w:r>
      <w:r w:rsidR="00515C64" w:rsidRPr="00444845">
        <w:t>COVID</w:t>
      </w:r>
      <w:r w:rsidR="00D77A71" w:rsidRPr="00444845">
        <w:t>-19</w:t>
      </w:r>
      <w:r w:rsidR="00515C64" w:rsidRPr="00444845">
        <w:t xml:space="preserve"> </w:t>
      </w:r>
      <w:r w:rsidR="5AE8AF3C" w:rsidRPr="00444845">
        <w:t>restrictions</w:t>
      </w:r>
      <w:r w:rsidR="5217645E" w:rsidRPr="00444845">
        <w:t xml:space="preserve"> </w:t>
      </w:r>
      <w:r w:rsidR="00515C64" w:rsidRPr="00444845">
        <w:t>in</w:t>
      </w:r>
      <w:r w:rsidR="5217645E" w:rsidRPr="00444845">
        <w:t xml:space="preserve"> Queensland, </w:t>
      </w:r>
      <w:r w:rsidR="5AE8AF3C" w:rsidRPr="00444845">
        <w:t>that face</w:t>
      </w:r>
      <w:r w:rsidR="00515C64" w:rsidRPr="00444845">
        <w:t>-</w:t>
      </w:r>
      <w:r w:rsidR="5AE8AF3C" w:rsidRPr="00444845">
        <w:t>to</w:t>
      </w:r>
      <w:r w:rsidR="00515C64" w:rsidRPr="00444845">
        <w:t>-</w:t>
      </w:r>
      <w:r w:rsidR="5AE8AF3C" w:rsidRPr="00444845">
        <w:t xml:space="preserve">face family contact will recommence wherever possible, understanding that video conferencing </w:t>
      </w:r>
      <w:r w:rsidR="2C0E0F51" w:rsidRPr="00444845">
        <w:t>does not provide the same level of meaningful contact, especially for babies and young children.</w:t>
      </w:r>
    </w:p>
    <w:p w14:paraId="7F16A604" w14:textId="40893E5A" w:rsidR="008B0849" w:rsidRPr="00BD6499" w:rsidRDefault="001C6110" w:rsidP="007114E9">
      <w:pPr>
        <w:pStyle w:val="Numberedparagraph"/>
      </w:pPr>
      <w:r w:rsidRPr="00BD6499">
        <w:t>T</w:t>
      </w:r>
      <w:r w:rsidR="007109E5" w:rsidRPr="00BD6499">
        <w:t>he pandemic has highlighted the need for transitional support for 17</w:t>
      </w:r>
      <w:r w:rsidRPr="00BD6499">
        <w:t>-</w:t>
      </w:r>
      <w:r w:rsidR="007109E5" w:rsidRPr="00BD6499">
        <w:t>year</w:t>
      </w:r>
      <w:r w:rsidRPr="00BD6499">
        <w:t>-</w:t>
      </w:r>
      <w:r w:rsidR="007109E5" w:rsidRPr="00BD6499">
        <w:t xml:space="preserve">olds </w:t>
      </w:r>
      <w:r w:rsidR="0034564B" w:rsidRPr="00BD6499">
        <w:t>exiting</w:t>
      </w:r>
      <w:r w:rsidR="007109E5" w:rsidRPr="00BD6499">
        <w:t xml:space="preserve"> the child protection system at a time when </w:t>
      </w:r>
      <w:r w:rsidRPr="00BD6499">
        <w:t xml:space="preserve">finding </w:t>
      </w:r>
      <w:r w:rsidR="007109E5" w:rsidRPr="00BD6499">
        <w:t xml:space="preserve">employment and </w:t>
      </w:r>
      <w:r w:rsidR="006906D9" w:rsidRPr="00BD6499">
        <w:t xml:space="preserve">stable </w:t>
      </w:r>
      <w:r w:rsidR="007109E5" w:rsidRPr="00BD6499">
        <w:t xml:space="preserve">accommodation is </w:t>
      </w:r>
      <w:r w:rsidR="006906D9" w:rsidRPr="00BD6499">
        <w:t>even</w:t>
      </w:r>
      <w:r w:rsidR="007109E5" w:rsidRPr="00BD6499">
        <w:t xml:space="preserve"> more challenging</w:t>
      </w:r>
      <w:r w:rsidR="00590701" w:rsidRPr="00BD6499">
        <w:t xml:space="preserve"> than usual</w:t>
      </w:r>
      <w:r w:rsidR="007109E5" w:rsidRPr="00BD6499">
        <w:t xml:space="preserve">. </w:t>
      </w:r>
      <w:r w:rsidR="005C70E7" w:rsidRPr="00BD6499">
        <w:t xml:space="preserve">The </w:t>
      </w:r>
      <w:r w:rsidR="654ABAB6" w:rsidRPr="00BD6499">
        <w:t>Commission</w:t>
      </w:r>
      <w:r w:rsidR="005C70E7" w:rsidRPr="00BD6499">
        <w:t xml:space="preserve"> </w:t>
      </w:r>
      <w:r w:rsidRPr="00BD6499">
        <w:t xml:space="preserve">supports </w:t>
      </w:r>
      <w:r w:rsidR="00B767AA" w:rsidRPr="00BD6499">
        <w:t>the government</w:t>
      </w:r>
      <w:r w:rsidR="12FF2EFD" w:rsidRPr="00BD6499">
        <w:t xml:space="preserve">’s </w:t>
      </w:r>
      <w:r w:rsidR="7449D2ED" w:rsidRPr="00BD6499">
        <w:t>initiative</w:t>
      </w:r>
      <w:r w:rsidR="12FF2EFD" w:rsidRPr="00BD6499">
        <w:t xml:space="preserve"> to</w:t>
      </w:r>
      <w:r w:rsidR="00B767AA" w:rsidRPr="00BD6499">
        <w:t xml:space="preserve"> prov</w:t>
      </w:r>
      <w:r w:rsidR="5AF74054" w:rsidRPr="00BD6499">
        <w:t>ide</w:t>
      </w:r>
      <w:r w:rsidR="00B767AA" w:rsidRPr="00BD6499">
        <w:t xml:space="preserve"> further funding to carers </w:t>
      </w:r>
      <w:r w:rsidR="008A0432" w:rsidRPr="00BD6499">
        <w:t xml:space="preserve">to support young people </w:t>
      </w:r>
      <w:r w:rsidR="00CA623B" w:rsidRPr="00BD6499">
        <w:t xml:space="preserve">to the age of </w:t>
      </w:r>
      <w:r w:rsidR="007A7FC1">
        <w:t>nineteen</w:t>
      </w:r>
      <w:r w:rsidR="00CA623B" w:rsidRPr="00BD6499">
        <w:t xml:space="preserve"> y</w:t>
      </w:r>
      <w:r w:rsidR="00B767AA" w:rsidRPr="00BD6499">
        <w:t>ears</w:t>
      </w:r>
      <w:r w:rsidR="00CA73CD" w:rsidRPr="00BD6499">
        <w:t xml:space="preserve"> regardless of their education status</w:t>
      </w:r>
      <w:r w:rsidR="00B767AA" w:rsidRPr="00BD6499">
        <w:t>, but urge that this</w:t>
      </w:r>
      <w:r w:rsidR="00C0303D" w:rsidRPr="00BD6499">
        <w:t xml:space="preserve"> funding also</w:t>
      </w:r>
      <w:r w:rsidR="189AC0CF" w:rsidRPr="00BD6499">
        <w:t xml:space="preserve"> be</w:t>
      </w:r>
      <w:r w:rsidR="00C0303D" w:rsidRPr="00BD6499">
        <w:t xml:space="preserve"> extended to young people in residential care</w:t>
      </w:r>
      <w:r w:rsidRPr="00BD6499">
        <w:t>,</w:t>
      </w:r>
      <w:r w:rsidR="00C0303D" w:rsidRPr="00BD6499">
        <w:t xml:space="preserve"> or living independently.</w:t>
      </w:r>
      <w:r w:rsidR="007F3811" w:rsidRPr="00BD6499">
        <w:t xml:space="preserve"> </w:t>
      </w:r>
      <w:r w:rsidR="000E08DF">
        <w:t>The Commission</w:t>
      </w:r>
      <w:r w:rsidR="006C1D30">
        <w:t xml:space="preserve"> is aware of</w:t>
      </w:r>
      <w:r w:rsidR="000E08DF">
        <w:t xml:space="preserve"> ongoing programs </w:t>
      </w:r>
      <w:r w:rsidR="006C1D30">
        <w:t>that support</w:t>
      </w:r>
      <w:r w:rsidR="000E08DF">
        <w:t xml:space="preserve"> young people up to </w:t>
      </w:r>
      <w:r w:rsidR="003E5E42">
        <w:t xml:space="preserve">age </w:t>
      </w:r>
      <w:r w:rsidR="000E08DF">
        <w:t xml:space="preserve">25, and suggests that </w:t>
      </w:r>
      <w:r w:rsidR="006C1D30">
        <w:t xml:space="preserve">adequate </w:t>
      </w:r>
      <w:r w:rsidR="000E08DF">
        <w:t xml:space="preserve">funding </w:t>
      </w:r>
      <w:r w:rsidR="00FF628E">
        <w:t>of</w:t>
      </w:r>
      <w:r w:rsidR="000E08DF">
        <w:t xml:space="preserve"> such programs is </w:t>
      </w:r>
      <w:r w:rsidR="002D1C0E">
        <w:t>critical</w:t>
      </w:r>
      <w:r w:rsidR="004736A3">
        <w:t xml:space="preserve"> at this time</w:t>
      </w:r>
      <w:r w:rsidR="000E08DF">
        <w:t xml:space="preserve">. </w:t>
      </w:r>
      <w:r w:rsidR="007F3811" w:rsidRPr="00BD6499">
        <w:t xml:space="preserve">The consequence of not providing adequate support </w:t>
      </w:r>
      <w:r w:rsidR="00E76816" w:rsidRPr="00BD6499">
        <w:t>might</w:t>
      </w:r>
      <w:r w:rsidR="007F3811" w:rsidRPr="00BD6499">
        <w:t xml:space="preserve"> be that a number of young people exit the system into homelessness, which is a dangerous </w:t>
      </w:r>
      <w:r w:rsidR="00FF4BFF" w:rsidRPr="00BD6499">
        <w:t>prospect</w:t>
      </w:r>
      <w:r w:rsidR="007F3811" w:rsidRPr="00BD6499">
        <w:t xml:space="preserve"> in the time of a pandemic.</w:t>
      </w:r>
    </w:p>
    <w:p w14:paraId="2EF8646D" w14:textId="77777777" w:rsidR="00691DD4" w:rsidRPr="00444845" w:rsidRDefault="00E00BCB" w:rsidP="007114E9">
      <w:pPr>
        <w:pStyle w:val="Numberedparagraph"/>
      </w:pPr>
      <w:r w:rsidRPr="00444845">
        <w:t xml:space="preserve">Finally, it is encouraging to note that human rights considerations form a part of the </w:t>
      </w:r>
      <w:r w:rsidR="001264CF" w:rsidRPr="00444845">
        <w:t xml:space="preserve">CSYW’s </w:t>
      </w:r>
      <w:r w:rsidRPr="00444845">
        <w:rPr>
          <w:i/>
        </w:rPr>
        <w:t>Decision Making Framework during COVID-19</w:t>
      </w:r>
      <w:r w:rsidRPr="00833D30">
        <w:t>.</w:t>
      </w:r>
      <w:r w:rsidR="000779C2" w:rsidRPr="00833D30">
        <w:t xml:space="preserve"> This is an example of where the </w:t>
      </w:r>
      <w:r w:rsidR="000779C2" w:rsidRPr="009C1BEA">
        <w:rPr>
          <w:i/>
        </w:rPr>
        <w:t>Human Rights Act 2019</w:t>
      </w:r>
      <w:r w:rsidR="000779C2" w:rsidRPr="00444845">
        <w:t xml:space="preserve"> framework can aid public servants to make difficult decisions</w:t>
      </w:r>
      <w:r w:rsidR="00D77A71" w:rsidRPr="00444845">
        <w:t>.</w:t>
      </w:r>
    </w:p>
    <w:p w14:paraId="7500B828" w14:textId="6BD5E492" w:rsidR="00707A47" w:rsidRPr="00444845" w:rsidRDefault="006F6761" w:rsidP="006F6761">
      <w:pPr>
        <w:pStyle w:val="Heading2"/>
        <w:rPr>
          <w:rFonts w:cs="Arial"/>
          <w:sz w:val="28"/>
        </w:rPr>
      </w:pPr>
      <w:bookmarkStart w:id="28" w:name="_Toc44943813"/>
      <w:r w:rsidRPr="00444845">
        <w:rPr>
          <w:rFonts w:cs="Arial"/>
          <w:sz w:val="28"/>
        </w:rPr>
        <w:t xml:space="preserve">People </w:t>
      </w:r>
      <w:r w:rsidR="00FD2518">
        <w:rPr>
          <w:rFonts w:cs="Arial"/>
          <w:sz w:val="28"/>
        </w:rPr>
        <w:t xml:space="preserve">experiencing housing instability and </w:t>
      </w:r>
      <w:r w:rsidR="001534F8" w:rsidRPr="00444845">
        <w:rPr>
          <w:rFonts w:cs="Arial"/>
          <w:sz w:val="28"/>
        </w:rPr>
        <w:t>homelessness</w:t>
      </w:r>
      <w:bookmarkEnd w:id="28"/>
    </w:p>
    <w:p w14:paraId="55603B8D" w14:textId="56F3637D" w:rsidR="00A12A5D" w:rsidRPr="00444845" w:rsidRDefault="001C6110" w:rsidP="00AA6076">
      <w:pPr>
        <w:pStyle w:val="Numberedparagraph"/>
      </w:pPr>
      <w:r w:rsidRPr="00444845">
        <w:t xml:space="preserve">The Commission </w:t>
      </w:r>
      <w:r w:rsidR="00A12A5D" w:rsidRPr="00444845">
        <w:t>commend</w:t>
      </w:r>
      <w:r w:rsidRPr="00444845">
        <w:t>s</w:t>
      </w:r>
      <w:r w:rsidR="005841EC" w:rsidRPr="00444845">
        <w:t xml:space="preserve"> the government’s initiative to tackle housing instability during COVID-19 by implementing emergency protections for tenants,</w:t>
      </w:r>
      <w:r w:rsidR="00A12A5D" w:rsidRPr="00444845">
        <w:t xml:space="preserve"> </w:t>
      </w:r>
      <w:r w:rsidR="00CD74AA" w:rsidRPr="00444845">
        <w:t xml:space="preserve">in particular the provisions </w:t>
      </w:r>
      <w:r w:rsidR="00A03FF8" w:rsidRPr="00444845">
        <w:t>that</w:t>
      </w:r>
      <w:r w:rsidR="00CD74AA" w:rsidRPr="00444845">
        <w:t xml:space="preserve"> make it easier for victims of domestic and family violence to leave the premises if </w:t>
      </w:r>
      <w:r w:rsidR="00FB39F6">
        <w:t xml:space="preserve">they are </w:t>
      </w:r>
      <w:r w:rsidR="00CD74AA" w:rsidRPr="00444845">
        <w:t>in an unsafe situation.</w:t>
      </w:r>
      <w:r w:rsidR="007E0EC6" w:rsidRPr="00444845">
        <w:rPr>
          <w:rStyle w:val="FootnoteReference"/>
        </w:rPr>
        <w:footnoteReference w:id="33"/>
      </w:r>
      <w:r w:rsidR="00A03FF8" w:rsidRPr="00444845">
        <w:t xml:space="preserve"> </w:t>
      </w:r>
      <w:r w:rsidR="000453FC" w:rsidRPr="00444845">
        <w:t xml:space="preserve">Consistent with our previous </w:t>
      </w:r>
      <w:r w:rsidR="00783D7D" w:rsidRPr="00FB39F6">
        <w:t>submission to the Renting in Queensland (2019) consultation</w:t>
      </w:r>
      <w:r w:rsidR="00783D7D">
        <w:rPr>
          <w:rStyle w:val="FootnoteReference"/>
        </w:rPr>
        <w:footnoteReference w:id="34"/>
      </w:r>
      <w:r w:rsidR="005121F3" w:rsidRPr="00444845">
        <w:t xml:space="preserve">, </w:t>
      </w:r>
      <w:r w:rsidR="00B56E85" w:rsidRPr="00444845">
        <w:t>the Commission</w:t>
      </w:r>
      <w:r w:rsidR="00A03FF8" w:rsidRPr="00444845">
        <w:t xml:space="preserve"> would urge that </w:t>
      </w:r>
      <w:r w:rsidR="00C06AED" w:rsidRPr="00833D30">
        <w:t>similar</w:t>
      </w:r>
      <w:r w:rsidR="00A03FF8" w:rsidRPr="00833D30">
        <w:t xml:space="preserve"> </w:t>
      </w:r>
      <w:r w:rsidR="005121F3" w:rsidRPr="00444845">
        <w:t>protections</w:t>
      </w:r>
      <w:r w:rsidR="006E214E" w:rsidRPr="00444845">
        <w:t xml:space="preserve"> are enacted permanently.</w:t>
      </w:r>
    </w:p>
    <w:p w14:paraId="7AFD4756" w14:textId="6DE66FB4" w:rsidR="005841EC" w:rsidRPr="00833D30" w:rsidRDefault="00147D92" w:rsidP="007114E9">
      <w:pPr>
        <w:pStyle w:val="Numberedparagraph"/>
      </w:pPr>
      <w:r w:rsidRPr="00833D30">
        <w:t xml:space="preserve">The </w:t>
      </w:r>
      <w:r w:rsidR="00A12A5D" w:rsidRPr="00833D30">
        <w:t>Queensland Government</w:t>
      </w:r>
      <w:r w:rsidR="00D34A78">
        <w:t>’s</w:t>
      </w:r>
      <w:r w:rsidR="00A12A5D" w:rsidRPr="00833D30">
        <w:t xml:space="preserve"> </w:t>
      </w:r>
      <w:r w:rsidR="00AF60D6" w:rsidRPr="00833D30">
        <w:t xml:space="preserve">efforts </w:t>
      </w:r>
      <w:r w:rsidR="00FB1AEA">
        <w:t xml:space="preserve">during the pandemic </w:t>
      </w:r>
      <w:r w:rsidR="00AF60D6" w:rsidRPr="00833D30">
        <w:t xml:space="preserve">to </w:t>
      </w:r>
      <w:r w:rsidR="00D77A71" w:rsidRPr="00833D30">
        <w:t>urgently house many people</w:t>
      </w:r>
      <w:r w:rsidR="005841EC" w:rsidRPr="00833D30">
        <w:t xml:space="preserve"> experiencing</w:t>
      </w:r>
      <w:r w:rsidR="002243C9" w:rsidRPr="00833D30">
        <w:t xml:space="preserve"> </w:t>
      </w:r>
      <w:r w:rsidR="003A6508" w:rsidRPr="00833D30">
        <w:t>or</w:t>
      </w:r>
      <w:r w:rsidR="002243C9" w:rsidRPr="00833D30">
        <w:t xml:space="preserve"> at risk of</w:t>
      </w:r>
      <w:r w:rsidR="00D77A71" w:rsidRPr="00833D30">
        <w:t xml:space="preserve"> homelessness</w:t>
      </w:r>
      <w:r w:rsidR="000170F1" w:rsidRPr="00833D30">
        <w:t xml:space="preserve"> is commendable</w:t>
      </w:r>
      <w:r w:rsidR="00EC4890" w:rsidRPr="00833D30">
        <w:t>.</w:t>
      </w:r>
    </w:p>
    <w:p w14:paraId="40CB2F88" w14:textId="76B6D002" w:rsidR="005F7929" w:rsidRPr="00444845" w:rsidRDefault="000170F1" w:rsidP="007114E9">
      <w:pPr>
        <w:pStyle w:val="Numberedparagraph"/>
      </w:pPr>
      <w:r w:rsidRPr="00833D30">
        <w:t>M</w:t>
      </w:r>
      <w:r w:rsidR="005F7929" w:rsidRPr="00833D30">
        <w:t xml:space="preserve">edia reports </w:t>
      </w:r>
      <w:r w:rsidRPr="00833D30">
        <w:t>indicate</w:t>
      </w:r>
      <w:r w:rsidR="005F7929" w:rsidRPr="00833D30">
        <w:t xml:space="preserve"> that levels of homelessness</w:t>
      </w:r>
      <w:r w:rsidR="797D14DA" w:rsidRPr="00833D30">
        <w:t xml:space="preserve"> have</w:t>
      </w:r>
      <w:r w:rsidR="005F7929" w:rsidRPr="00833D30">
        <w:t xml:space="preserve"> decreased</w:t>
      </w:r>
      <w:r w:rsidR="418BC136" w:rsidRPr="00833D30">
        <w:t xml:space="preserve"> in Queensland</w:t>
      </w:r>
      <w:r w:rsidR="005F7929" w:rsidRPr="009C1BEA">
        <w:t xml:space="preserve"> due to the </w:t>
      </w:r>
      <w:r w:rsidR="00703444" w:rsidRPr="00444845">
        <w:t>large</w:t>
      </w:r>
      <w:r w:rsidR="6C6ECA70" w:rsidRPr="00444845">
        <w:t>-</w:t>
      </w:r>
      <w:r w:rsidR="00703444" w:rsidRPr="00444845">
        <w:t xml:space="preserve">scale </w:t>
      </w:r>
      <w:r w:rsidRPr="00444845">
        <w:t>COVID</w:t>
      </w:r>
      <w:r w:rsidR="00D77A71" w:rsidRPr="00444845">
        <w:t>-19</w:t>
      </w:r>
      <w:r w:rsidRPr="00444845">
        <w:t xml:space="preserve"> </w:t>
      </w:r>
      <w:r w:rsidR="00283B99" w:rsidRPr="00444845">
        <w:t xml:space="preserve">emergency </w:t>
      </w:r>
      <w:r w:rsidR="005F7929" w:rsidRPr="00444845">
        <w:t xml:space="preserve">measures to </w:t>
      </w:r>
      <w:r w:rsidR="00283B99" w:rsidRPr="00444845">
        <w:t xml:space="preserve">move people into </w:t>
      </w:r>
      <w:r w:rsidR="00AF3696" w:rsidRPr="00444845">
        <w:t>hotel, motel</w:t>
      </w:r>
      <w:r w:rsidRPr="00444845">
        <w:t>,</w:t>
      </w:r>
      <w:r w:rsidR="00AF3696" w:rsidRPr="00444845">
        <w:t xml:space="preserve"> and student </w:t>
      </w:r>
      <w:r w:rsidR="00283B99" w:rsidRPr="00444845">
        <w:t>accommodation.</w:t>
      </w:r>
      <w:r w:rsidR="00BD6499">
        <w:rPr>
          <w:rStyle w:val="FootnoteReference"/>
        </w:rPr>
        <w:footnoteReference w:id="35"/>
      </w:r>
      <w:r w:rsidR="005A1014" w:rsidRPr="00444845">
        <w:t xml:space="preserve"> </w:t>
      </w:r>
      <w:r w:rsidRPr="00833D30">
        <w:t xml:space="preserve">This is welcome in the light of </w:t>
      </w:r>
      <w:r w:rsidR="00D77A71" w:rsidRPr="00833D30">
        <w:t>homelessness statistics</w:t>
      </w:r>
      <w:r w:rsidR="00D827A7" w:rsidRPr="00833D30">
        <w:t>.</w:t>
      </w:r>
      <w:r w:rsidR="00D70249" w:rsidRPr="00833D30">
        <w:t xml:space="preserve"> </w:t>
      </w:r>
      <w:r w:rsidR="003C3668" w:rsidRPr="00833D30">
        <w:t>Homelessness is outpacing population growth, with hous</w:t>
      </w:r>
      <w:r w:rsidR="003C3668" w:rsidRPr="00807124">
        <w:t xml:space="preserve">ing demand outstripping supply. </w:t>
      </w:r>
      <w:r w:rsidRPr="009C1BEA">
        <w:t>Between 2011 and 2016</w:t>
      </w:r>
      <w:r w:rsidR="00D70249" w:rsidRPr="00444845">
        <w:t>, Queensland saw a 1</w:t>
      </w:r>
      <w:r w:rsidR="009459C0" w:rsidRPr="00444845">
        <w:t>4</w:t>
      </w:r>
      <w:r w:rsidR="00D70249" w:rsidRPr="00444845">
        <w:t xml:space="preserve">% increase in </w:t>
      </w:r>
      <w:r w:rsidR="009459C0" w:rsidRPr="00444845">
        <w:t>homelessness</w:t>
      </w:r>
      <w:r w:rsidRPr="00444845">
        <w:t xml:space="preserve">, </w:t>
      </w:r>
      <w:r w:rsidR="009917A6" w:rsidRPr="00444845">
        <w:t xml:space="preserve">with </w:t>
      </w:r>
      <w:r w:rsidR="00373612" w:rsidRPr="00444845">
        <w:t>Aboriginal and Torres Strait Islander</w:t>
      </w:r>
      <w:r w:rsidR="009917A6" w:rsidRPr="00444845">
        <w:t xml:space="preserve"> </w:t>
      </w:r>
      <w:r w:rsidRPr="00444845">
        <w:t xml:space="preserve">people </w:t>
      </w:r>
      <w:r w:rsidR="009917A6" w:rsidRPr="00444845">
        <w:t>grossly overrepresented.</w:t>
      </w:r>
      <w:r w:rsidR="00FF30B9" w:rsidRPr="00444845">
        <w:rPr>
          <w:rStyle w:val="FootnoteReference"/>
        </w:rPr>
        <w:footnoteReference w:id="36"/>
      </w:r>
      <w:r w:rsidR="00FF30B9" w:rsidRPr="00444845">
        <w:t xml:space="preserve"> </w:t>
      </w:r>
      <w:r w:rsidR="0018754C" w:rsidRPr="00444845">
        <w:t>Now</w:t>
      </w:r>
      <w:r w:rsidR="00965F3B">
        <w:t xml:space="preserve"> </w:t>
      </w:r>
      <w:r w:rsidR="00833D30">
        <w:t>one</w:t>
      </w:r>
      <w:r w:rsidR="0018754C" w:rsidRPr="00444845">
        <w:t xml:space="preserve"> in 200 </w:t>
      </w:r>
      <w:r w:rsidRPr="00444845">
        <w:t xml:space="preserve">people in </w:t>
      </w:r>
      <w:r w:rsidR="0018754C" w:rsidRPr="00833D30">
        <w:t xml:space="preserve">Queensland </w:t>
      </w:r>
      <w:r w:rsidR="00906AB5" w:rsidRPr="00833D30">
        <w:t>is experiencing</w:t>
      </w:r>
      <w:r w:rsidR="0018754C" w:rsidRPr="00833D30">
        <w:t xml:space="preserve"> homelessness.</w:t>
      </w:r>
      <w:r w:rsidR="0018754C" w:rsidRPr="00444845">
        <w:rPr>
          <w:rStyle w:val="FootnoteReference"/>
        </w:rPr>
        <w:footnoteReference w:id="37"/>
      </w:r>
      <w:r w:rsidR="0018754C" w:rsidRPr="00444845">
        <w:t xml:space="preserve"> </w:t>
      </w:r>
      <w:r w:rsidR="00091992" w:rsidRPr="00444845">
        <w:t>Not only is housing stability an important human rights issue in Queensland</w:t>
      </w:r>
      <w:r w:rsidR="00D77A71" w:rsidRPr="00444845">
        <w:t xml:space="preserve"> as reflected in the right to privacy and home</w:t>
      </w:r>
      <w:r w:rsidR="00091992" w:rsidRPr="00833D30">
        <w:t xml:space="preserve">, homelessness prevention measures may also save money. </w:t>
      </w:r>
      <w:r w:rsidR="00283B99" w:rsidRPr="00833D30">
        <w:t>University of Queensland research indicate</w:t>
      </w:r>
      <w:r w:rsidR="00091992" w:rsidRPr="00833D30">
        <w:t>s</w:t>
      </w:r>
      <w:r w:rsidR="00283B99" w:rsidRPr="00833D30">
        <w:t xml:space="preserve"> that there may be savings of more than $13,000 a year for each homeless person taken off the street, </w:t>
      </w:r>
      <w:r w:rsidR="00373612" w:rsidRPr="00833D30">
        <w:t>because of</w:t>
      </w:r>
      <w:r w:rsidR="00283B99" w:rsidRPr="00833D30">
        <w:t xml:space="preserve"> fewer health concerns and interactions with the justice system.</w:t>
      </w:r>
      <w:r w:rsidR="00EC4890" w:rsidRPr="00444845">
        <w:rPr>
          <w:rStyle w:val="FootnoteReference"/>
        </w:rPr>
        <w:footnoteReference w:id="38"/>
      </w:r>
      <w:r w:rsidR="00283B99" w:rsidRPr="00444845">
        <w:t xml:space="preserve"> </w:t>
      </w:r>
    </w:p>
    <w:p w14:paraId="2E75F9C4" w14:textId="0191402C" w:rsidR="00283B99" w:rsidRPr="00444845" w:rsidRDefault="003C3668" w:rsidP="007114E9">
      <w:pPr>
        <w:pStyle w:val="Numberedparagraph"/>
      </w:pPr>
      <w:r w:rsidRPr="00444845">
        <w:t>Based on public</w:t>
      </w:r>
      <w:r w:rsidR="00283B99" w:rsidRPr="00833D30">
        <w:t xml:space="preserve"> statements by the Queensland Housing Minister,</w:t>
      </w:r>
      <w:r w:rsidR="00F94BC9" w:rsidRPr="00444845">
        <w:rPr>
          <w:rStyle w:val="FootnoteReference"/>
        </w:rPr>
        <w:footnoteReference w:id="39"/>
      </w:r>
      <w:r w:rsidR="00283B99" w:rsidRPr="00444845">
        <w:t xml:space="preserve"> </w:t>
      </w:r>
      <w:r w:rsidRPr="00444845">
        <w:t xml:space="preserve">the </w:t>
      </w:r>
      <w:r w:rsidR="7416321D" w:rsidRPr="00444845">
        <w:t xml:space="preserve">Commission </w:t>
      </w:r>
      <w:r w:rsidR="00283B99" w:rsidRPr="00833D30">
        <w:t>understand</w:t>
      </w:r>
      <w:r w:rsidR="36FD1EEA" w:rsidRPr="00833D30">
        <w:t>s</w:t>
      </w:r>
      <w:r w:rsidR="00283B99" w:rsidRPr="00833D30">
        <w:t xml:space="preserve"> that the Queensland Government </w:t>
      </w:r>
      <w:r w:rsidRPr="00833D30">
        <w:t>view</w:t>
      </w:r>
      <w:r w:rsidR="000D22B0" w:rsidRPr="00833D30">
        <w:t>s</w:t>
      </w:r>
      <w:r w:rsidRPr="00833D30">
        <w:t xml:space="preserve"> th</w:t>
      </w:r>
      <w:r w:rsidR="000D22B0" w:rsidRPr="00833D30">
        <w:t>e</w:t>
      </w:r>
      <w:r w:rsidRPr="00833D30">
        <w:t xml:space="preserve"> </w:t>
      </w:r>
      <w:r w:rsidR="5C5262BB" w:rsidRPr="009C1BEA">
        <w:t>situation</w:t>
      </w:r>
      <w:r w:rsidR="000D22B0" w:rsidRPr="00444845">
        <w:t xml:space="preserve"> occasioned by the</w:t>
      </w:r>
      <w:r w:rsidR="00B018CC" w:rsidRPr="00444845">
        <w:t xml:space="preserve"> </w:t>
      </w:r>
      <w:r w:rsidR="000D22B0" w:rsidRPr="00444845">
        <w:t xml:space="preserve">pandemic </w:t>
      </w:r>
      <w:r w:rsidRPr="00444845">
        <w:t>as a unique</w:t>
      </w:r>
      <w:r w:rsidR="00283B99" w:rsidRPr="00444845">
        <w:t xml:space="preserve"> opportun</w:t>
      </w:r>
      <w:r w:rsidR="00C907BC" w:rsidRPr="00444845">
        <w:t xml:space="preserve">ity to support people into suitable, permanent accommodation. </w:t>
      </w:r>
      <w:r w:rsidR="005B7499" w:rsidRPr="00444845">
        <w:t>The Commission</w:t>
      </w:r>
      <w:r w:rsidR="0061254D" w:rsidRPr="00444845">
        <w:t xml:space="preserve"> strongly urge</w:t>
      </w:r>
      <w:r w:rsidR="005B7499" w:rsidRPr="00444845">
        <w:t>s</w:t>
      </w:r>
      <w:r w:rsidR="0061254D" w:rsidRPr="00444845">
        <w:t xml:space="preserve"> that long-term solutions are identified and implemented to </w:t>
      </w:r>
      <w:r w:rsidR="000E2A81" w:rsidRPr="00444845">
        <w:t>reduce rates of homelessness in the future.</w:t>
      </w:r>
    </w:p>
    <w:p w14:paraId="32500100" w14:textId="77777777" w:rsidR="0045665D" w:rsidRPr="00444845" w:rsidRDefault="0045665D" w:rsidP="0045665D">
      <w:pPr>
        <w:pStyle w:val="Heading1"/>
        <w:rPr>
          <w:rFonts w:cs="Arial"/>
          <w:sz w:val="44"/>
        </w:rPr>
      </w:pPr>
      <w:bookmarkStart w:id="29" w:name="_Toc44943814"/>
      <w:r w:rsidRPr="00444845">
        <w:rPr>
          <w:rFonts w:cs="Arial"/>
          <w:sz w:val="44"/>
        </w:rPr>
        <w:t xml:space="preserve">Emergency </w:t>
      </w:r>
      <w:r w:rsidR="000D22B0" w:rsidRPr="00444845">
        <w:rPr>
          <w:rFonts w:cs="Arial"/>
          <w:sz w:val="44"/>
        </w:rPr>
        <w:t>r</w:t>
      </w:r>
      <w:r w:rsidRPr="00444845">
        <w:rPr>
          <w:rFonts w:cs="Arial"/>
          <w:sz w:val="44"/>
        </w:rPr>
        <w:t>esponse</w:t>
      </w:r>
      <w:bookmarkEnd w:id="29"/>
    </w:p>
    <w:p w14:paraId="2DA09127" w14:textId="497E3FE0" w:rsidR="00712039" w:rsidRPr="0098037E" w:rsidRDefault="002F67FB" w:rsidP="058A322D">
      <w:pPr>
        <w:pStyle w:val="Heading2"/>
        <w:rPr>
          <w:rFonts w:cs="Arial"/>
          <w:sz w:val="28"/>
          <w:szCs w:val="28"/>
        </w:rPr>
      </w:pPr>
      <w:bookmarkStart w:id="30" w:name="_Toc44943815"/>
      <w:r w:rsidRPr="00444845">
        <w:rPr>
          <w:rFonts w:cs="Arial"/>
          <w:sz w:val="28"/>
          <w:szCs w:val="28"/>
        </w:rPr>
        <w:t xml:space="preserve">Public </w:t>
      </w:r>
      <w:r w:rsidR="0098037E">
        <w:rPr>
          <w:rFonts w:cs="Arial"/>
          <w:sz w:val="28"/>
          <w:szCs w:val="28"/>
        </w:rPr>
        <w:t>h</w:t>
      </w:r>
      <w:r w:rsidR="0098037E" w:rsidRPr="0098037E">
        <w:rPr>
          <w:rFonts w:cs="Arial"/>
          <w:sz w:val="28"/>
          <w:szCs w:val="28"/>
        </w:rPr>
        <w:t xml:space="preserve">ealth </w:t>
      </w:r>
      <w:r w:rsidR="0098037E">
        <w:rPr>
          <w:rFonts w:cs="Arial"/>
          <w:sz w:val="28"/>
          <w:szCs w:val="28"/>
        </w:rPr>
        <w:t>d</w:t>
      </w:r>
      <w:r w:rsidR="0098037E" w:rsidRPr="0098037E">
        <w:rPr>
          <w:rFonts w:cs="Arial"/>
          <w:sz w:val="28"/>
          <w:szCs w:val="28"/>
        </w:rPr>
        <w:t>irections</w:t>
      </w:r>
      <w:bookmarkEnd w:id="30"/>
    </w:p>
    <w:p w14:paraId="0FF6BA28" w14:textId="6EA7EDD8" w:rsidR="00C5279A" w:rsidRPr="00444845" w:rsidRDefault="00F771DC" w:rsidP="00F771DC">
      <w:pPr>
        <w:pStyle w:val="Numberedparagraph"/>
      </w:pPr>
      <w:r w:rsidRPr="0098037E">
        <w:t xml:space="preserve">A major response to the pandemic has been the use of </w:t>
      </w:r>
      <w:r w:rsidR="0098037E">
        <w:t>p</w:t>
      </w:r>
      <w:r w:rsidR="0098037E" w:rsidRPr="0098037E">
        <w:t xml:space="preserve">ublic </w:t>
      </w:r>
      <w:r w:rsidR="0098037E">
        <w:t>h</w:t>
      </w:r>
      <w:r w:rsidR="0098037E" w:rsidRPr="0098037E">
        <w:t xml:space="preserve">ealth </w:t>
      </w:r>
      <w:r w:rsidR="0098037E">
        <w:t>d</w:t>
      </w:r>
      <w:r w:rsidR="0098037E" w:rsidRPr="0098037E">
        <w:t xml:space="preserve">irections </w:t>
      </w:r>
      <w:r w:rsidRPr="0098037E">
        <w:t>made by the Chief Health Officer under s</w:t>
      </w:r>
      <w:r w:rsidR="00AF6E8B" w:rsidRPr="0098037E">
        <w:t>ection</w:t>
      </w:r>
      <w:r w:rsidRPr="0098037E">
        <w:t xml:space="preserve"> 362B of the </w:t>
      </w:r>
      <w:r w:rsidRPr="0098037E">
        <w:rPr>
          <w:i/>
        </w:rPr>
        <w:t>Public Health Act 2005.</w:t>
      </w:r>
      <w:r w:rsidRPr="0098037E">
        <w:t xml:space="preserve"> </w:t>
      </w:r>
      <w:r w:rsidR="00935D44" w:rsidRPr="0098037E">
        <w:t xml:space="preserve">The power to make such </w:t>
      </w:r>
      <w:r w:rsidR="3906C363" w:rsidRPr="009C1BEA">
        <w:t>directions</w:t>
      </w:r>
      <w:r w:rsidRPr="00444845">
        <w:t xml:space="preserve"> was inserted by the </w:t>
      </w:r>
      <w:r w:rsidRPr="00444845">
        <w:rPr>
          <w:i/>
        </w:rPr>
        <w:t>Public Health and Other Legislation (Public Health Emergency) Amendment</w:t>
      </w:r>
      <w:r w:rsidRPr="00444845">
        <w:rPr>
          <w:rFonts w:eastAsia="Arial"/>
          <w:i/>
        </w:rPr>
        <w:t xml:space="preserve"> Act 2020</w:t>
      </w:r>
      <w:r w:rsidRPr="00444845">
        <w:rPr>
          <w:rFonts w:eastAsia="Arial"/>
        </w:rPr>
        <w:t>¸</w:t>
      </w:r>
      <w:r w:rsidR="5FD6794B" w:rsidRPr="00444845">
        <w:rPr>
          <w:rFonts w:eastAsia="Arial"/>
        </w:rPr>
        <w:t xml:space="preserve"> </w:t>
      </w:r>
      <w:r w:rsidRPr="00444845">
        <w:rPr>
          <w:rFonts w:eastAsia="Arial"/>
        </w:rPr>
        <w:t>which was passed without consultation.</w:t>
      </w:r>
      <w:r w:rsidRPr="00444845">
        <w:t xml:space="preserve"> It appears these amendments to the </w:t>
      </w:r>
      <w:r w:rsidRPr="00444845">
        <w:rPr>
          <w:i/>
        </w:rPr>
        <w:t>Public Health Act</w:t>
      </w:r>
      <w:r w:rsidRPr="00444845">
        <w:t xml:space="preserve"> do not expire</w:t>
      </w:r>
      <w:r w:rsidR="00C5279A" w:rsidRPr="00444845">
        <w:t xml:space="preserve">. </w:t>
      </w:r>
    </w:p>
    <w:p w14:paraId="3BA06AB7" w14:textId="6C4D8BD7" w:rsidR="00F771DC" w:rsidRPr="00444845" w:rsidRDefault="00C5279A" w:rsidP="00F771DC">
      <w:pPr>
        <w:pStyle w:val="Numberedparagraph"/>
      </w:pPr>
      <w:r w:rsidRPr="00444845">
        <w:t>Unlike other amendments,</w:t>
      </w:r>
      <w:r w:rsidR="00F771DC" w:rsidRPr="00444845">
        <w:t xml:space="preserve"> powers given under new Chapter 8, Part 7A, including the power to make public health directions, </w:t>
      </w:r>
      <w:r w:rsidR="000D22B0" w:rsidRPr="00444845">
        <w:t>are</w:t>
      </w:r>
      <w:r w:rsidR="00F771DC" w:rsidRPr="00444845">
        <w:t xml:space="preserve"> not expressly linked with the declaration of a public health emergency by the Minister under s</w:t>
      </w:r>
      <w:r w:rsidR="00AF6E8B" w:rsidRPr="00444845">
        <w:t>ection</w:t>
      </w:r>
      <w:r w:rsidRPr="00444845">
        <w:t xml:space="preserve"> 319, although these powers are linked to</w:t>
      </w:r>
      <w:r w:rsidR="00F771DC" w:rsidRPr="00444845">
        <w:t xml:space="preserve"> the purpose of containing or responding to the spread of COVID19.</w:t>
      </w:r>
      <w:r w:rsidR="002F67FB" w:rsidRPr="00444845">
        <w:rPr>
          <w:rStyle w:val="FootnoteReference"/>
        </w:rPr>
        <w:footnoteReference w:id="40"/>
      </w:r>
      <w:r w:rsidR="00F771DC" w:rsidRPr="00444845">
        <w:t xml:space="preserve"> </w:t>
      </w:r>
      <w:r w:rsidR="00935D44" w:rsidRPr="00444845">
        <w:t xml:space="preserve">While the directions may be necessary to support a legitimate purpose of protecting public health, there </w:t>
      </w:r>
      <w:r w:rsidR="7E1031E3" w:rsidRPr="00833D30">
        <w:t>must still be limits on this power to be proportionate</w:t>
      </w:r>
      <w:r w:rsidR="3906C363" w:rsidRPr="00833D30">
        <w:t>.</w:t>
      </w:r>
      <w:r w:rsidR="00935D44" w:rsidRPr="00833D30">
        <w:t xml:space="preserve"> </w:t>
      </w:r>
      <w:r w:rsidR="00F771DC" w:rsidRPr="00833D30">
        <w:t>The Commission recommends</w:t>
      </w:r>
      <w:r w:rsidRPr="009C1BEA">
        <w:t xml:space="preserve"> an</w:t>
      </w:r>
      <w:r w:rsidR="00F771DC" w:rsidRPr="00444845">
        <w:t xml:space="preserve"> amendment of the </w:t>
      </w:r>
      <w:r w:rsidR="00F771DC" w:rsidRPr="00444845">
        <w:rPr>
          <w:i/>
        </w:rPr>
        <w:t>Public Health Act</w:t>
      </w:r>
      <w:r w:rsidR="00F771DC" w:rsidRPr="00444845">
        <w:t xml:space="preserve"> </w:t>
      </w:r>
      <w:r w:rsidR="000D22B0" w:rsidRPr="00444845">
        <w:t xml:space="preserve">to </w:t>
      </w:r>
      <w:r w:rsidRPr="00444845">
        <w:t>limit the</w:t>
      </w:r>
      <w:r w:rsidR="00F771DC" w:rsidRPr="00444845">
        <w:t xml:space="preserve"> exercise of</w:t>
      </w:r>
      <w:r w:rsidRPr="00444845">
        <w:t xml:space="preserve"> the</w:t>
      </w:r>
      <w:r w:rsidR="00F771DC" w:rsidRPr="00444845">
        <w:t xml:space="preserve"> powers under Chapter Part 7A </w:t>
      </w:r>
      <w:r w:rsidRPr="00444845">
        <w:t>to only during a</w:t>
      </w:r>
      <w:r w:rsidR="00F771DC" w:rsidRPr="00444845">
        <w:t xml:space="preserve"> d</w:t>
      </w:r>
      <w:r w:rsidRPr="00444845">
        <w:t xml:space="preserve">eclared public health emergency. </w:t>
      </w:r>
    </w:p>
    <w:p w14:paraId="4404A842" w14:textId="77960554" w:rsidR="00F771DC" w:rsidRPr="00444845" w:rsidRDefault="00F771DC" w:rsidP="00B61DBC">
      <w:pPr>
        <w:pStyle w:val="Numberedparagraph"/>
      </w:pPr>
      <w:r w:rsidRPr="00444845">
        <w:t xml:space="preserve">A further safeguard would be </w:t>
      </w:r>
      <w:r w:rsidR="00B221A9" w:rsidRPr="00444845">
        <w:t xml:space="preserve">to </w:t>
      </w:r>
      <w:r w:rsidRPr="00444845">
        <w:t>publi</w:t>
      </w:r>
      <w:r w:rsidR="00B221A9" w:rsidRPr="00444845">
        <w:t>sh</w:t>
      </w:r>
      <w:r w:rsidRPr="00444845">
        <w:t xml:space="preserve"> </w:t>
      </w:r>
      <w:r w:rsidR="00B221A9" w:rsidRPr="00444845">
        <w:t xml:space="preserve">a statement of the purpose, need, data, and other factors </w:t>
      </w:r>
      <w:r w:rsidR="00122475" w:rsidRPr="00444845">
        <w:t xml:space="preserve">that were </w:t>
      </w:r>
      <w:r w:rsidR="00B221A9" w:rsidRPr="00444845">
        <w:t xml:space="preserve">considered in making </w:t>
      </w:r>
      <w:r w:rsidRPr="00444845">
        <w:t xml:space="preserve">each </w:t>
      </w:r>
      <w:r w:rsidR="00D85B08">
        <w:t>p</w:t>
      </w:r>
      <w:r w:rsidR="00D85B08" w:rsidRPr="00D85B08">
        <w:t xml:space="preserve">ublic </w:t>
      </w:r>
      <w:r w:rsidR="00D85B08">
        <w:t>h</w:t>
      </w:r>
      <w:r w:rsidRPr="00D85B08">
        <w:t xml:space="preserve">ealth </w:t>
      </w:r>
      <w:r w:rsidR="00D85B08">
        <w:t>D</w:t>
      </w:r>
      <w:r w:rsidRPr="00D85B08">
        <w:t xml:space="preserve">irection. </w:t>
      </w:r>
      <w:r w:rsidR="000D22B0" w:rsidRPr="00D85B08">
        <w:t xml:space="preserve">Such </w:t>
      </w:r>
      <w:r w:rsidRPr="00D85B08">
        <w:t xml:space="preserve">clarity of purpose would assist in implementation and interpretation of the </w:t>
      </w:r>
      <w:r w:rsidR="00D85B08">
        <w:t>d</w:t>
      </w:r>
      <w:r w:rsidRPr="00D85B08">
        <w:t xml:space="preserve">irection, as well as </w:t>
      </w:r>
      <w:r w:rsidR="00B221A9" w:rsidRPr="00D85B08">
        <w:t>i</w:t>
      </w:r>
      <w:r w:rsidR="00122475" w:rsidRPr="00D85B08">
        <w:t>mproving</w:t>
      </w:r>
      <w:r w:rsidR="00B221A9" w:rsidRPr="00D85B08">
        <w:t xml:space="preserve"> understanding and </w:t>
      </w:r>
      <w:r w:rsidRPr="00D85B08">
        <w:t xml:space="preserve">acceptance of the </w:t>
      </w:r>
      <w:r w:rsidR="00D85B08">
        <w:t>d</w:t>
      </w:r>
      <w:r w:rsidRPr="00D85B08">
        <w:t>irection by the community</w:t>
      </w:r>
      <w:r w:rsidR="008B4260" w:rsidRPr="00D85B08">
        <w:t xml:space="preserve"> in the context of serious </w:t>
      </w:r>
      <w:r w:rsidR="00E77CFC" w:rsidRPr="009C1BEA">
        <w:t>limitations</w:t>
      </w:r>
      <w:r w:rsidRPr="00444845">
        <w:t xml:space="preserve"> on </w:t>
      </w:r>
      <w:r w:rsidR="00E77CFC" w:rsidRPr="00444845">
        <w:t xml:space="preserve">the </w:t>
      </w:r>
      <w:r w:rsidRPr="00444845">
        <w:t xml:space="preserve">rights </w:t>
      </w:r>
      <w:r w:rsidRPr="00444845" w:rsidDel="008B4260">
        <w:t xml:space="preserve">of </w:t>
      </w:r>
      <w:r w:rsidR="008B4260" w:rsidRPr="00444845">
        <w:t>individuals</w:t>
      </w:r>
      <w:r w:rsidRPr="00444845">
        <w:t xml:space="preserve">. </w:t>
      </w:r>
      <w:r w:rsidR="00B221A9" w:rsidRPr="00444845">
        <w:t xml:space="preserve">The </w:t>
      </w:r>
      <w:r w:rsidRPr="00444845">
        <w:t>early confusion abo</w:t>
      </w:r>
      <w:r w:rsidR="00DB008A" w:rsidRPr="00444845">
        <w:t>ut restrictions on visitors to a</w:t>
      </w:r>
      <w:r w:rsidRPr="00444845">
        <w:t xml:space="preserve">ged </w:t>
      </w:r>
      <w:r w:rsidR="00DB008A" w:rsidRPr="00444845">
        <w:t>c</w:t>
      </w:r>
      <w:r w:rsidRPr="00444845">
        <w:t xml:space="preserve">are and mental health </w:t>
      </w:r>
      <w:r w:rsidR="00DB008A" w:rsidRPr="00444845">
        <w:t>facilities</w:t>
      </w:r>
      <w:r w:rsidRPr="00444845">
        <w:t xml:space="preserve">, </w:t>
      </w:r>
      <w:r w:rsidR="00B221A9" w:rsidRPr="00444845">
        <w:t xml:space="preserve">which saw </w:t>
      </w:r>
      <w:r w:rsidRPr="00444845">
        <w:t xml:space="preserve">some facilities banning all visitors </w:t>
      </w:r>
      <w:r w:rsidR="00B221A9" w:rsidRPr="00444845">
        <w:t>(</w:t>
      </w:r>
      <w:r w:rsidRPr="00444845">
        <w:t xml:space="preserve">which was beyond the scope and intent of the </w:t>
      </w:r>
      <w:r w:rsidR="00D85B08">
        <w:t>d</w:t>
      </w:r>
      <w:r w:rsidR="00D85B08" w:rsidRPr="00D85B08">
        <w:t>irection</w:t>
      </w:r>
      <w:r w:rsidR="00B221A9" w:rsidRPr="00D85B08">
        <w:t>)</w:t>
      </w:r>
      <w:r w:rsidR="00122475" w:rsidRPr="00D85B08">
        <w:t>,</w:t>
      </w:r>
      <w:r w:rsidR="00B221A9" w:rsidRPr="00D85B08">
        <w:t xml:space="preserve"> might have been avoided if this information had been provided</w:t>
      </w:r>
      <w:r w:rsidRPr="009C1BEA">
        <w:t>. Simila</w:t>
      </w:r>
      <w:r w:rsidRPr="00444845">
        <w:t>rly, some disability services were ceased over misunderstanding</w:t>
      </w:r>
      <w:r w:rsidR="00B221A9" w:rsidRPr="00444845">
        <w:t>s</w:t>
      </w:r>
      <w:r w:rsidRPr="00444845">
        <w:t xml:space="preserve"> </w:t>
      </w:r>
      <w:r w:rsidR="00B221A9" w:rsidRPr="00444845">
        <w:t>about</w:t>
      </w:r>
      <w:r w:rsidRPr="00444845">
        <w:t xml:space="preserve"> whether disability service providers were an ‘essential business, activity or undertaking’</w:t>
      </w:r>
      <w:r w:rsidR="00122475" w:rsidRPr="00444845">
        <w:t>,</w:t>
      </w:r>
      <w:r w:rsidRPr="00444845">
        <w:t xml:space="preserve"> pursuant to the then in force </w:t>
      </w:r>
      <w:r w:rsidRPr="00444845">
        <w:rPr>
          <w:i/>
        </w:rPr>
        <w:t>Home Confinement, Movement and Gathering Direction</w:t>
      </w:r>
      <w:r w:rsidRPr="00444845">
        <w:t>.</w:t>
      </w:r>
    </w:p>
    <w:p w14:paraId="6256FBE8" w14:textId="77777777" w:rsidR="00F771DC" w:rsidRPr="00444845" w:rsidRDefault="00F771DC" w:rsidP="00F771DC">
      <w:pPr>
        <w:pStyle w:val="Numberedparagraph"/>
      </w:pPr>
      <w:r w:rsidRPr="00444845">
        <w:t xml:space="preserve">While clarity has improved </w:t>
      </w:r>
      <w:r w:rsidR="00122475" w:rsidRPr="00444845">
        <w:t xml:space="preserve">through availability of </w:t>
      </w:r>
      <w:r w:rsidRPr="00444845">
        <w:t xml:space="preserve">various guidance material, frequently asked questions, and infographics, the Commission considers that information is still </w:t>
      </w:r>
      <w:r w:rsidR="00122475" w:rsidRPr="00444845">
        <w:t xml:space="preserve">deficient </w:t>
      </w:r>
      <w:r w:rsidRPr="00444845">
        <w:t>in relation to</w:t>
      </w:r>
      <w:r w:rsidR="00476EF1" w:rsidRPr="00444845">
        <w:t xml:space="preserve"> the</w:t>
      </w:r>
      <w:r w:rsidRPr="00444845">
        <w:t>:</w:t>
      </w:r>
    </w:p>
    <w:p w14:paraId="6CE395A1" w14:textId="1EA08D49" w:rsidR="00F771DC" w:rsidRPr="0098037E" w:rsidRDefault="00122475" w:rsidP="00F771DC">
      <w:pPr>
        <w:pStyle w:val="Bulletedlist"/>
      </w:pPr>
      <w:r w:rsidRPr="00444845">
        <w:t>r</w:t>
      </w:r>
      <w:r w:rsidR="00F771DC" w:rsidRPr="00444845">
        <w:t xml:space="preserve">eview process that can be accessed if a person believes a </w:t>
      </w:r>
      <w:r w:rsidR="0098037E">
        <w:t>d</w:t>
      </w:r>
      <w:r w:rsidR="0098037E" w:rsidRPr="0098037E">
        <w:t xml:space="preserve">irection </w:t>
      </w:r>
      <w:r w:rsidR="00F771DC" w:rsidRPr="0098037E">
        <w:t>has been inappropriately applied to them;</w:t>
      </w:r>
    </w:p>
    <w:p w14:paraId="47A5E146" w14:textId="77777777" w:rsidR="00F771DC" w:rsidRPr="009C1BEA" w:rsidRDefault="00F771DC" w:rsidP="00F771DC">
      <w:pPr>
        <w:pStyle w:val="Bulletedlist"/>
      </w:pPr>
      <w:r w:rsidRPr="009C1BEA">
        <w:t>exemption process and factors taken into account when considering an exemption application;</w:t>
      </w:r>
    </w:p>
    <w:p w14:paraId="3E4328AF" w14:textId="3BDB178B" w:rsidR="00F771DC" w:rsidRPr="00444845" w:rsidRDefault="00F771DC" w:rsidP="00F771DC">
      <w:pPr>
        <w:pStyle w:val="Bulletedlist"/>
      </w:pPr>
      <w:r w:rsidRPr="00444845">
        <w:t xml:space="preserve">entities responsible </w:t>
      </w:r>
      <w:r w:rsidR="00476EF1" w:rsidRPr="00444845">
        <w:t xml:space="preserve">for </w:t>
      </w:r>
      <w:r w:rsidRPr="00444845">
        <w:t xml:space="preserve">implementation of </w:t>
      </w:r>
      <w:r w:rsidR="00D85B08">
        <w:t>d</w:t>
      </w:r>
      <w:r w:rsidR="00D85B08" w:rsidRPr="00D85B08">
        <w:t xml:space="preserve">irections </w:t>
      </w:r>
      <w:r w:rsidRPr="00D85B08">
        <w:t xml:space="preserve">and their complaints processes, </w:t>
      </w:r>
      <w:r w:rsidR="00476EF1" w:rsidRPr="009C1BEA">
        <w:t>e</w:t>
      </w:r>
      <w:r w:rsidR="00E934B9" w:rsidRPr="00444845">
        <w:t>.</w:t>
      </w:r>
      <w:r w:rsidR="00476EF1" w:rsidRPr="00444845">
        <w:t>g</w:t>
      </w:r>
      <w:r w:rsidR="00E934B9" w:rsidRPr="00444845">
        <w:t>.</w:t>
      </w:r>
      <w:r w:rsidRPr="00444845">
        <w:t xml:space="preserve"> </w:t>
      </w:r>
      <w:r w:rsidR="00476EF1" w:rsidRPr="00444845">
        <w:t xml:space="preserve">how to </w:t>
      </w:r>
      <w:r w:rsidRPr="00444845">
        <w:t xml:space="preserve">identify the ‘relevant authority’ responsible for directing a person into quarantine under the </w:t>
      </w:r>
      <w:r w:rsidRPr="00444845">
        <w:rPr>
          <w:i/>
        </w:rPr>
        <w:t>Self-quarantine for Persons Arriving in Queensland From Overseas Direction (No. 3)</w:t>
      </w:r>
      <w:r w:rsidRPr="00444845">
        <w:t>;</w:t>
      </w:r>
    </w:p>
    <w:p w14:paraId="06918ACE" w14:textId="5C49EF83" w:rsidR="00F771DC" w:rsidRPr="00444845" w:rsidRDefault="00B61DBC" w:rsidP="00F771DC">
      <w:pPr>
        <w:pStyle w:val="Bulletedlist"/>
      </w:pPr>
      <w:r w:rsidRPr="00444845">
        <w:t>d</w:t>
      </w:r>
      <w:r w:rsidR="00476EF1" w:rsidRPr="00444845">
        <w:t xml:space="preserve">ate on which </w:t>
      </w:r>
      <w:r w:rsidR="00F771DC" w:rsidRPr="00444845">
        <w:t xml:space="preserve">the </w:t>
      </w:r>
      <w:r w:rsidR="0098037E">
        <w:t>d</w:t>
      </w:r>
      <w:r w:rsidR="0098037E" w:rsidRPr="0098037E">
        <w:t xml:space="preserve">irection </w:t>
      </w:r>
      <w:r w:rsidR="00F771DC" w:rsidRPr="0098037E">
        <w:t xml:space="preserve">will be reviewed, </w:t>
      </w:r>
      <w:r w:rsidR="00476EF1" w:rsidRPr="0098037E">
        <w:t>i</w:t>
      </w:r>
      <w:r w:rsidR="008157A2" w:rsidRPr="0098037E">
        <w:t>.</w:t>
      </w:r>
      <w:r w:rsidR="00476EF1" w:rsidRPr="0098037E">
        <w:t>e</w:t>
      </w:r>
      <w:r w:rsidR="008157A2" w:rsidRPr="0098037E">
        <w:t>.</w:t>
      </w:r>
      <w:r w:rsidR="00476EF1" w:rsidRPr="0098037E">
        <w:t xml:space="preserve"> </w:t>
      </w:r>
      <w:r w:rsidR="00F771DC" w:rsidRPr="0098037E">
        <w:t xml:space="preserve">to ensure that restrictions are responsive </w:t>
      </w:r>
      <w:r w:rsidR="00F771DC" w:rsidRPr="009C1BEA">
        <w:t>and proportionate to the circumstances</w:t>
      </w:r>
      <w:r w:rsidR="00476EF1" w:rsidRPr="00444845">
        <w:t>,</w:t>
      </w:r>
      <w:r w:rsidR="00F771DC" w:rsidRPr="00444845">
        <w:t xml:space="preserve"> and do not continue longer than necessary ‘to assist in containing, or respond to, the spread of COVID-19 within the community’</w:t>
      </w:r>
      <w:r w:rsidR="00476EF1" w:rsidRPr="00444845">
        <w:t>,</w:t>
      </w:r>
      <w:r w:rsidR="00F771DC" w:rsidRPr="00444845">
        <w:t xml:space="preserve"> pursuant to s</w:t>
      </w:r>
      <w:r w:rsidR="00AF6E8B" w:rsidRPr="00444845">
        <w:t>ection</w:t>
      </w:r>
      <w:r w:rsidR="00F771DC" w:rsidRPr="00444845">
        <w:t xml:space="preserve"> 362E</w:t>
      </w:r>
      <w:r w:rsidR="00F6369D" w:rsidRPr="00444845">
        <w:t xml:space="preserve"> of the </w:t>
      </w:r>
      <w:r w:rsidR="00F6369D" w:rsidRPr="00444845">
        <w:rPr>
          <w:i/>
        </w:rPr>
        <w:t>Public Health Act</w:t>
      </w:r>
      <w:r w:rsidR="00F771DC" w:rsidRPr="00444845">
        <w:t>.</w:t>
      </w:r>
    </w:p>
    <w:p w14:paraId="5789A5C9" w14:textId="04F977EE" w:rsidR="00F771DC" w:rsidRPr="00444845" w:rsidRDefault="2B100A14" w:rsidP="00F771DC">
      <w:pPr>
        <w:pStyle w:val="Numberedparagraph"/>
      </w:pPr>
      <w:r w:rsidRPr="00444845">
        <w:t>Several</w:t>
      </w:r>
      <w:r w:rsidR="00F771DC" w:rsidRPr="00444845">
        <w:t xml:space="preserve"> </w:t>
      </w:r>
      <w:r w:rsidR="00D85B08">
        <w:t>p</w:t>
      </w:r>
      <w:r w:rsidR="00D85B08" w:rsidRPr="00D85B08">
        <w:t xml:space="preserve">ublic </w:t>
      </w:r>
      <w:r w:rsidR="00D85B08">
        <w:t>h</w:t>
      </w:r>
      <w:r w:rsidR="00D85B08" w:rsidRPr="00D85B08">
        <w:t xml:space="preserve">ealth </w:t>
      </w:r>
      <w:r w:rsidR="00D85B08">
        <w:t>d</w:t>
      </w:r>
      <w:r w:rsidR="00D85B08" w:rsidRPr="00D85B08">
        <w:t xml:space="preserve">irections </w:t>
      </w:r>
      <w:r w:rsidR="00F771DC" w:rsidRPr="00D85B08">
        <w:t xml:space="preserve">do not </w:t>
      </w:r>
      <w:r w:rsidR="00DB008A" w:rsidRPr="00D85B08">
        <w:t>allow for</w:t>
      </w:r>
      <w:r w:rsidR="00F771DC" w:rsidRPr="00D85B08">
        <w:t xml:space="preserve"> exemptions, although a person will not be fined for non-compliance if they have a reasonable excuse. </w:t>
      </w:r>
      <w:r w:rsidR="002979B9" w:rsidRPr="00D85B08">
        <w:t>Where there is a blanket restriction on rights it might be more difficult to maintain proportionality with human rights, particularly if there is a</w:t>
      </w:r>
      <w:r w:rsidR="00DB008A" w:rsidRPr="00D85B08">
        <w:t xml:space="preserve"> disproportionate </w:t>
      </w:r>
      <w:r w:rsidR="009A299F" w:rsidRPr="00D85B08" w:rsidDel="002979B9">
        <w:t>e</w:t>
      </w:r>
      <w:r w:rsidR="00DB008A" w:rsidRPr="00D85B08" w:rsidDel="002979B9">
        <w:t xml:space="preserve">ffect </w:t>
      </w:r>
      <w:r w:rsidR="002979B9" w:rsidRPr="00D85B08">
        <w:t>on individuals and</w:t>
      </w:r>
      <w:r w:rsidR="00DB008A" w:rsidRPr="00D85B08">
        <w:t xml:space="preserve"> communities</w:t>
      </w:r>
      <w:r w:rsidR="00F771DC" w:rsidRPr="00807124">
        <w:t xml:space="preserve">. At the very least, </w:t>
      </w:r>
      <w:r w:rsidR="0098037E">
        <w:t>d</w:t>
      </w:r>
      <w:r w:rsidR="0098037E" w:rsidRPr="0098037E">
        <w:t xml:space="preserve">irections </w:t>
      </w:r>
      <w:r w:rsidR="00F771DC" w:rsidRPr="0098037E">
        <w:t xml:space="preserve">that do not contain exemptions should be accompanied by an explanation </w:t>
      </w:r>
      <w:r w:rsidR="009A299F" w:rsidRPr="0098037E">
        <w:t xml:space="preserve">of </w:t>
      </w:r>
      <w:r w:rsidR="00F771DC" w:rsidRPr="0098037E">
        <w:t>why the exercise of discretion is inappropriate for those circumstances</w:t>
      </w:r>
      <w:r w:rsidR="009A299F" w:rsidRPr="009C1BEA">
        <w:t>,</w:t>
      </w:r>
      <w:r w:rsidR="00DB008A" w:rsidRPr="00444845">
        <w:t xml:space="preserve"> and how the needs of at risk communities have been considered</w:t>
      </w:r>
      <w:r w:rsidR="00F771DC" w:rsidRPr="00444845">
        <w:t>.</w:t>
      </w:r>
    </w:p>
    <w:p w14:paraId="6670138E" w14:textId="0C960F99" w:rsidR="00F771DC" w:rsidRPr="0098037E" w:rsidRDefault="00F771DC" w:rsidP="00F771DC">
      <w:pPr>
        <w:pStyle w:val="Numberedparagraph"/>
      </w:pPr>
      <w:r w:rsidRPr="00444845">
        <w:t xml:space="preserve">Immediate publication of the </w:t>
      </w:r>
      <w:r w:rsidR="00D85B08">
        <w:t>p</w:t>
      </w:r>
      <w:r w:rsidR="00D85B08" w:rsidRPr="00D85B08">
        <w:t xml:space="preserve">ublic </w:t>
      </w:r>
      <w:r w:rsidR="00D85B08">
        <w:t>h</w:t>
      </w:r>
      <w:r w:rsidR="00D85B08" w:rsidRPr="00D85B08">
        <w:t xml:space="preserve">ealth </w:t>
      </w:r>
      <w:r w:rsidR="00D85B08">
        <w:t>d</w:t>
      </w:r>
      <w:r w:rsidR="00D85B08" w:rsidRPr="00D85B08">
        <w:t xml:space="preserve">irections </w:t>
      </w:r>
      <w:r w:rsidRPr="00D85B08">
        <w:t>on Queensland Health’</w:t>
      </w:r>
      <w:r w:rsidR="00AF6E8B" w:rsidRPr="00D85B08">
        <w:t xml:space="preserve">s website, as provided for by section </w:t>
      </w:r>
      <w:r w:rsidRPr="009C1BEA">
        <w:t>362C, has greatly enhanced transparency. It would further assist if information about how update</w:t>
      </w:r>
      <w:r w:rsidRPr="00444845">
        <w:t>d directions have been amended</w:t>
      </w:r>
      <w:r w:rsidR="009A299F" w:rsidRPr="00444845">
        <w:t xml:space="preserve"> was available.</w:t>
      </w:r>
      <w:r w:rsidRPr="00444845">
        <w:t xml:space="preserve"> </w:t>
      </w:r>
      <w:r w:rsidR="009A299F" w:rsidRPr="00444845">
        <w:t>T</w:t>
      </w:r>
      <w:r w:rsidRPr="00444845">
        <w:t xml:space="preserve">his is now generally provided in the Chief Health Officer </w:t>
      </w:r>
      <w:r w:rsidRPr="00444845">
        <w:rPr>
          <w:i/>
        </w:rPr>
        <w:t>Public Health Directions Update</w:t>
      </w:r>
      <w:r w:rsidRPr="00444845">
        <w:t xml:space="preserve">, an email subscription service, however, this information could also be published with the </w:t>
      </w:r>
      <w:r w:rsidR="0098037E">
        <w:t>d</w:t>
      </w:r>
      <w:r w:rsidR="0098037E" w:rsidRPr="0098037E">
        <w:t>irection</w:t>
      </w:r>
      <w:r w:rsidRPr="0098037E">
        <w:t>.</w:t>
      </w:r>
    </w:p>
    <w:p w14:paraId="1E35DC0B" w14:textId="77777777" w:rsidR="00A56FDF" w:rsidRPr="00444845" w:rsidRDefault="00BF0F7C" w:rsidP="00A56FDF">
      <w:pPr>
        <w:pStyle w:val="Heading2"/>
        <w:rPr>
          <w:rFonts w:cs="Arial"/>
          <w:sz w:val="28"/>
        </w:rPr>
      </w:pPr>
      <w:bookmarkStart w:id="31" w:name="_Toc44943816"/>
      <w:r w:rsidRPr="009C1BEA">
        <w:rPr>
          <w:rFonts w:cs="Arial"/>
          <w:sz w:val="28"/>
        </w:rPr>
        <w:t>Enforcement</w:t>
      </w:r>
      <w:r w:rsidR="00A56FDF" w:rsidRPr="00444845">
        <w:rPr>
          <w:rFonts w:cs="Arial"/>
          <w:sz w:val="28"/>
        </w:rPr>
        <w:t xml:space="preserve"> and </w:t>
      </w:r>
      <w:r w:rsidR="009A299F" w:rsidRPr="00444845">
        <w:rPr>
          <w:rFonts w:cs="Arial"/>
          <w:sz w:val="28"/>
        </w:rPr>
        <w:t>c</w:t>
      </w:r>
      <w:r w:rsidR="00A56FDF" w:rsidRPr="00444845">
        <w:rPr>
          <w:rFonts w:cs="Arial"/>
          <w:sz w:val="28"/>
        </w:rPr>
        <w:t xml:space="preserve">ommunity </w:t>
      </w:r>
      <w:r w:rsidR="009A299F" w:rsidRPr="00444845">
        <w:rPr>
          <w:rFonts w:cs="Arial"/>
          <w:sz w:val="28"/>
        </w:rPr>
        <w:t>p</w:t>
      </w:r>
      <w:r w:rsidR="00A56FDF" w:rsidRPr="00444845">
        <w:rPr>
          <w:rFonts w:cs="Arial"/>
          <w:sz w:val="28"/>
        </w:rPr>
        <w:t>olicing</w:t>
      </w:r>
      <w:bookmarkEnd w:id="31"/>
    </w:p>
    <w:p w14:paraId="775E6642" w14:textId="25F9FF26" w:rsidR="0045170E" w:rsidRPr="00444845" w:rsidRDefault="0045170E" w:rsidP="00B500BE">
      <w:pPr>
        <w:pStyle w:val="Numberedparagraph"/>
      </w:pPr>
      <w:r w:rsidRPr="00444845">
        <w:t xml:space="preserve">The Commission supports the </w:t>
      </w:r>
      <w:r w:rsidR="009A299F" w:rsidRPr="00444845">
        <w:t>g</w:t>
      </w:r>
      <w:r w:rsidRPr="00444845">
        <w:t xml:space="preserve">overnment’s application of a hierarchy of enforcement options when non-compliance with quarantine or </w:t>
      </w:r>
      <w:r w:rsidR="00D85B08">
        <w:t>p</w:t>
      </w:r>
      <w:r w:rsidRPr="00D85B08">
        <w:t xml:space="preserve">ublic </w:t>
      </w:r>
      <w:r w:rsidR="00D85B08">
        <w:t>h</w:t>
      </w:r>
      <w:r w:rsidR="00D85B08" w:rsidRPr="00D85B08">
        <w:t xml:space="preserve">ealth </w:t>
      </w:r>
      <w:r w:rsidR="00D85B08">
        <w:t>d</w:t>
      </w:r>
      <w:r w:rsidR="00D85B08" w:rsidRPr="00D85B08">
        <w:t xml:space="preserve">irections </w:t>
      </w:r>
      <w:r w:rsidR="009A299F" w:rsidRPr="00D85B08">
        <w:t xml:space="preserve">are </w:t>
      </w:r>
      <w:r w:rsidRPr="00D85B08">
        <w:t>identified. The development of an enforcement matrix</w:t>
      </w:r>
      <w:r w:rsidR="007114E9" w:rsidRPr="00D85B08">
        <w:t xml:space="preserve"> by relevant agencies</w:t>
      </w:r>
      <w:r w:rsidRPr="00D85B08">
        <w:t xml:space="preserve"> to promote consistency </w:t>
      </w:r>
      <w:r w:rsidR="0094483F" w:rsidRPr="00D85B08">
        <w:t>wa</w:t>
      </w:r>
      <w:r w:rsidRPr="00D85B08">
        <w:t xml:space="preserve">s a positive step, which </w:t>
      </w:r>
      <w:r w:rsidR="009A299F" w:rsidRPr="009C1BEA">
        <w:t xml:space="preserve">is </w:t>
      </w:r>
      <w:r w:rsidR="0094483F" w:rsidRPr="00444845">
        <w:t xml:space="preserve">likely </w:t>
      </w:r>
      <w:r w:rsidR="009A299F" w:rsidRPr="00444845">
        <w:t xml:space="preserve">to have </w:t>
      </w:r>
      <w:r w:rsidR="0094483F" w:rsidRPr="00444845">
        <w:t>assisted</w:t>
      </w:r>
      <w:r w:rsidRPr="00444845">
        <w:t xml:space="preserve"> all agencies </w:t>
      </w:r>
      <w:r w:rsidR="009A299F" w:rsidRPr="00444845">
        <w:t xml:space="preserve">to </w:t>
      </w:r>
      <w:r w:rsidRPr="00444845">
        <w:t>discharge their obligation to give proper consideration to human rights.</w:t>
      </w:r>
    </w:p>
    <w:p w14:paraId="3AB7D0A2" w14:textId="03785A14" w:rsidR="001D68C3" w:rsidRPr="00833D30" w:rsidRDefault="008229C8" w:rsidP="00EC37DB">
      <w:pPr>
        <w:pStyle w:val="Numberedparagraph"/>
      </w:pPr>
      <w:r w:rsidRPr="00444845">
        <w:t xml:space="preserve">The </w:t>
      </w:r>
      <w:r w:rsidR="00B11F27" w:rsidRPr="00444845">
        <w:t>Queensland Police Service (QPS)</w:t>
      </w:r>
      <w:r w:rsidRPr="00444845">
        <w:t xml:space="preserve"> </w:t>
      </w:r>
      <w:r w:rsidR="009A299F" w:rsidRPr="00444845">
        <w:t>is</w:t>
      </w:r>
      <w:r w:rsidRPr="00444845">
        <w:t xml:space="preserve"> the primary agency responsible for conducting compliance activities and enforcing breaches of health measures</w:t>
      </w:r>
      <w:r w:rsidR="00B11F27" w:rsidRPr="00444845">
        <w:t>.</w:t>
      </w:r>
      <w:r w:rsidRPr="00444845">
        <w:t xml:space="preserve"> </w:t>
      </w:r>
      <w:r w:rsidR="001D68C3" w:rsidRPr="00444845">
        <w:t xml:space="preserve">The Commission </w:t>
      </w:r>
      <w:r w:rsidR="00BC2459" w:rsidRPr="00444845">
        <w:t>supports</w:t>
      </w:r>
      <w:r w:rsidR="001D68C3" w:rsidRPr="00444845">
        <w:t xml:space="preserve"> the QPS’s stated commitment to principles of compassion, communication and compliance which generally appears to be borne out by the reported </w:t>
      </w:r>
      <w:r w:rsidR="00D85B08">
        <w:t>numbers</w:t>
      </w:r>
      <w:r w:rsidR="00D85B08" w:rsidRPr="00D85B08">
        <w:t xml:space="preserve"> </w:t>
      </w:r>
      <w:r w:rsidR="66B80873" w:rsidRPr="00D85B08">
        <w:t xml:space="preserve">of </w:t>
      </w:r>
      <w:r w:rsidR="00833D30">
        <w:t>Penalty</w:t>
      </w:r>
      <w:r w:rsidR="001D68C3" w:rsidRPr="00833D30">
        <w:t xml:space="preserve"> Infringement Notices (PINs)</w:t>
      </w:r>
      <w:r w:rsidR="00D85B08">
        <w:t xml:space="preserve"> relating to public health directions</w:t>
      </w:r>
      <w:r w:rsidR="001D68C3" w:rsidRPr="00833D30">
        <w:t>, for example approximately 11,000 call outs resulted in just over 2</w:t>
      </w:r>
      <w:r w:rsidR="00D85B08">
        <w:t>,</w:t>
      </w:r>
      <w:r w:rsidR="001D68C3" w:rsidRPr="00833D30">
        <w:t xml:space="preserve">000 </w:t>
      </w:r>
      <w:r w:rsidR="00D85B08">
        <w:t>PINs</w:t>
      </w:r>
      <w:r w:rsidR="001D68C3" w:rsidRPr="00833D30">
        <w:t>. A balanced approach will likely have enhanced community trust during a critical time when compliance with unprecedented restrictions on personal freedoms was essential to manage the health risk.</w:t>
      </w:r>
    </w:p>
    <w:p w14:paraId="5A9E2488" w14:textId="79A0677D" w:rsidR="00EC37DB" w:rsidRPr="00D85B08" w:rsidRDefault="0094483F" w:rsidP="00EC37DB">
      <w:pPr>
        <w:pStyle w:val="Numberedparagraph"/>
      </w:pPr>
      <w:r w:rsidRPr="00D85B08">
        <w:t>The Commission also welcomed</w:t>
      </w:r>
      <w:r w:rsidR="00B500BE" w:rsidRPr="00D85B08">
        <w:t xml:space="preserve"> the </w:t>
      </w:r>
      <w:r w:rsidR="637F5B35" w:rsidRPr="00D85B08">
        <w:t>implementation</w:t>
      </w:r>
      <w:r w:rsidR="00B500BE" w:rsidRPr="00D85B08">
        <w:t xml:space="preserve"> of an</w:t>
      </w:r>
      <w:r w:rsidR="637F5B35" w:rsidRPr="00D85B08">
        <w:t xml:space="preserve"> internal review process </w:t>
      </w:r>
      <w:r w:rsidR="00D85B08">
        <w:t>of the PINs issued for</w:t>
      </w:r>
      <w:r w:rsidR="56B8EDAD" w:rsidRPr="00D85B08">
        <w:t xml:space="preserve"> alleged breaches of </w:t>
      </w:r>
      <w:r w:rsidR="00D85B08">
        <w:t>p</w:t>
      </w:r>
      <w:r w:rsidR="00D85B08" w:rsidRPr="00D85B08">
        <w:t xml:space="preserve">ublic </w:t>
      </w:r>
      <w:r w:rsidR="00D85B08">
        <w:t>h</w:t>
      </w:r>
      <w:r w:rsidR="00D85B08" w:rsidRPr="00D85B08">
        <w:t xml:space="preserve">ealth </w:t>
      </w:r>
      <w:r w:rsidR="00D85B08">
        <w:t>d</w:t>
      </w:r>
      <w:r w:rsidR="00D85B08" w:rsidRPr="00D85B08">
        <w:t>irections</w:t>
      </w:r>
      <w:r w:rsidR="64EA6CC2" w:rsidRPr="00D85B08">
        <w:t xml:space="preserve">. </w:t>
      </w:r>
    </w:p>
    <w:p w14:paraId="24E3693D" w14:textId="77777777" w:rsidR="0094483F" w:rsidRPr="00444845" w:rsidRDefault="0094483F" w:rsidP="00EC37DB">
      <w:pPr>
        <w:pStyle w:val="Numberedparagraph"/>
      </w:pPr>
      <w:r w:rsidRPr="00D85B08">
        <w:t>Nonetheless, the Commission is conscious that community concerns remain about aspects of the enforcement response</w:t>
      </w:r>
      <w:r w:rsidR="00F0653E" w:rsidRPr="00D85B08">
        <w:t>,</w:t>
      </w:r>
      <w:r w:rsidRPr="00D85B08">
        <w:t xml:space="preserve"> </w:t>
      </w:r>
      <w:r w:rsidR="00F0653E" w:rsidRPr="00D85B08">
        <w:t>such as</w:t>
      </w:r>
      <w:r w:rsidRPr="00D85B08">
        <w:t xml:space="preserve"> </w:t>
      </w:r>
      <w:r w:rsidR="0063367E" w:rsidRPr="00D85B08">
        <w:t>whether</w:t>
      </w:r>
      <w:r w:rsidRPr="00D85B08">
        <w:t xml:space="preserve"> vulnerable members of the community </w:t>
      </w:r>
      <w:r w:rsidR="0063367E" w:rsidRPr="009C1BEA">
        <w:t>will be able to</w:t>
      </w:r>
      <w:r w:rsidR="0063367E" w:rsidRPr="00444845">
        <w:t xml:space="preserve"> pay fines, particularly at a time of great economic uncertainty. </w:t>
      </w:r>
    </w:p>
    <w:p w14:paraId="67D342A5" w14:textId="0667576D" w:rsidR="00A56FDF" w:rsidRPr="00D85B08" w:rsidRDefault="0094483F" w:rsidP="008229C8">
      <w:pPr>
        <w:pStyle w:val="Numberedparagraph"/>
      </w:pPr>
      <w:r w:rsidRPr="00444845">
        <w:t>T</w:t>
      </w:r>
      <w:r w:rsidR="0063367E" w:rsidRPr="00444845">
        <w:t xml:space="preserve">he Commission suggests </w:t>
      </w:r>
      <w:r w:rsidR="00F0653E" w:rsidRPr="00444845">
        <w:t xml:space="preserve">that, </w:t>
      </w:r>
      <w:r w:rsidRPr="00444845">
        <w:t>t</w:t>
      </w:r>
      <w:r w:rsidR="64EA6CC2" w:rsidRPr="00444845">
        <w:t xml:space="preserve">o further build on </w:t>
      </w:r>
      <w:r w:rsidR="0063367E" w:rsidRPr="00444845">
        <w:t>community confidence in the QPS</w:t>
      </w:r>
      <w:r w:rsidR="00EC37DB" w:rsidRPr="00444845">
        <w:t>’ response to COVID-19</w:t>
      </w:r>
      <w:r w:rsidR="0063367E" w:rsidRPr="00444845">
        <w:t xml:space="preserve">, </w:t>
      </w:r>
      <w:r w:rsidR="00EC37DB" w:rsidRPr="00444845">
        <w:t xml:space="preserve">that </w:t>
      </w:r>
      <w:r w:rsidR="0063367E" w:rsidRPr="00444845">
        <w:t>it</w:t>
      </w:r>
      <w:r w:rsidR="64EA6CC2" w:rsidRPr="00444845">
        <w:t xml:space="preserve"> </w:t>
      </w:r>
      <w:r w:rsidR="00F0653E" w:rsidRPr="00444845">
        <w:t>make publicly available</w:t>
      </w:r>
      <w:r w:rsidR="64EA6CC2" w:rsidRPr="00444845">
        <w:t xml:space="preserve"> </w:t>
      </w:r>
      <w:r w:rsidR="00F0653E" w:rsidRPr="00444845">
        <w:t xml:space="preserve">additional </w:t>
      </w:r>
      <w:r w:rsidR="64EA6CC2" w:rsidRPr="00444845">
        <w:t>data</w:t>
      </w:r>
      <w:r w:rsidRPr="00444845">
        <w:t xml:space="preserve"> about </w:t>
      </w:r>
      <w:r w:rsidR="00F0653E" w:rsidRPr="00444845">
        <w:t xml:space="preserve">recipients of </w:t>
      </w:r>
      <w:r w:rsidR="0063367E" w:rsidRPr="00444845">
        <w:t xml:space="preserve">public health </w:t>
      </w:r>
      <w:r w:rsidR="00D85B08">
        <w:t xml:space="preserve">penalty </w:t>
      </w:r>
      <w:r w:rsidRPr="00D85B08">
        <w:t>infringement notices</w:t>
      </w:r>
      <w:r w:rsidR="00F0653E" w:rsidRPr="00D85B08">
        <w:t xml:space="preserve"> (PINs)</w:t>
      </w:r>
      <w:r w:rsidR="64EA6CC2" w:rsidRPr="00D85B08">
        <w:t xml:space="preserve">, </w:t>
      </w:r>
      <w:r w:rsidR="00F0653E" w:rsidRPr="00D85B08">
        <w:t>including</w:t>
      </w:r>
      <w:r w:rsidR="64EA6CC2" w:rsidRPr="00D85B08">
        <w:t>:</w:t>
      </w:r>
    </w:p>
    <w:p w14:paraId="2EE1B965" w14:textId="77777777" w:rsidR="00A56FDF" w:rsidRPr="00444845" w:rsidRDefault="00F0653E" w:rsidP="0063367E">
      <w:pPr>
        <w:pStyle w:val="Bulletedlist"/>
      </w:pPr>
      <w:r w:rsidRPr="009C1BEA">
        <w:t>a</w:t>
      </w:r>
      <w:r w:rsidR="00A56FDF" w:rsidRPr="00444845">
        <w:t>ge</w:t>
      </w:r>
      <w:r w:rsidRPr="00444845">
        <w:t>;</w:t>
      </w:r>
    </w:p>
    <w:p w14:paraId="56E30D4C" w14:textId="77777777" w:rsidR="00A56FDF" w:rsidRPr="00444845" w:rsidRDefault="00F0653E" w:rsidP="0063367E">
      <w:pPr>
        <w:pStyle w:val="Bulletedlist"/>
      </w:pPr>
      <w:r w:rsidRPr="00444845">
        <w:t>g</w:t>
      </w:r>
      <w:r w:rsidR="00A56FDF" w:rsidRPr="00444845">
        <w:t>ender</w:t>
      </w:r>
      <w:r w:rsidRPr="00444845">
        <w:t>;</w:t>
      </w:r>
    </w:p>
    <w:p w14:paraId="4E893855" w14:textId="77777777" w:rsidR="63D895B8" w:rsidRPr="00444845" w:rsidRDefault="00F0653E" w:rsidP="0063367E">
      <w:pPr>
        <w:pStyle w:val="Bulletedlist"/>
      </w:pPr>
      <w:r w:rsidRPr="00444845">
        <w:t>c</w:t>
      </w:r>
      <w:r w:rsidR="63D895B8" w:rsidRPr="00444845">
        <w:t>ountry of origin</w:t>
      </w:r>
      <w:r w:rsidRPr="00444845">
        <w:t>;</w:t>
      </w:r>
    </w:p>
    <w:p w14:paraId="2A29A7B4" w14:textId="77777777" w:rsidR="63D895B8" w:rsidRPr="00444845" w:rsidRDefault="00F0653E" w:rsidP="0063367E">
      <w:pPr>
        <w:pStyle w:val="Bulletedlist"/>
      </w:pPr>
      <w:r w:rsidRPr="00444845">
        <w:t>p</w:t>
      </w:r>
      <w:r w:rsidR="63D895B8" w:rsidRPr="00444845">
        <w:t>rimary language spoken at home</w:t>
      </w:r>
      <w:r w:rsidRPr="00444845">
        <w:t>;</w:t>
      </w:r>
    </w:p>
    <w:p w14:paraId="4D2CA064" w14:textId="77777777" w:rsidR="00A56FDF" w:rsidRPr="00444845" w:rsidRDefault="00F0653E" w:rsidP="0063367E">
      <w:pPr>
        <w:pStyle w:val="Bulletedlist"/>
      </w:pPr>
      <w:r w:rsidRPr="00444845">
        <w:t xml:space="preserve">precise locality where PIN issued by </w:t>
      </w:r>
      <w:r w:rsidR="00A56FDF" w:rsidRPr="00444845">
        <w:t>suburb or local government area (as has been done in NSW)</w:t>
      </w:r>
      <w:r w:rsidRPr="00444845">
        <w:t>;</w:t>
      </w:r>
    </w:p>
    <w:p w14:paraId="42704B6C" w14:textId="77777777" w:rsidR="008229C8" w:rsidRPr="00444845" w:rsidRDefault="00F0653E" w:rsidP="0063367E">
      <w:pPr>
        <w:pStyle w:val="Bulletedlist"/>
      </w:pPr>
      <w:r w:rsidRPr="00444845">
        <w:t>o</w:t>
      </w:r>
      <w:r w:rsidR="00A56FDF" w:rsidRPr="00444845">
        <w:t>ther demographic details, and in particular Aboriginal or Torres Strait Islander identification.</w:t>
      </w:r>
      <w:r w:rsidR="00912764" w:rsidRPr="00444845">
        <w:rPr>
          <w:rStyle w:val="FootnoteReference"/>
        </w:rPr>
        <w:footnoteReference w:id="41"/>
      </w:r>
    </w:p>
    <w:p w14:paraId="7387E3DA" w14:textId="2946494C" w:rsidR="00A56FDF" w:rsidRPr="00D85B08" w:rsidRDefault="00A56FDF" w:rsidP="004D2662">
      <w:pPr>
        <w:pStyle w:val="Numberedparagraph"/>
      </w:pPr>
      <w:r w:rsidRPr="00444845">
        <w:t xml:space="preserve">In </w:t>
      </w:r>
      <w:r w:rsidR="004D2662" w:rsidRPr="00444845">
        <w:t xml:space="preserve">the Commission’s </w:t>
      </w:r>
      <w:r w:rsidRPr="00833D30">
        <w:t xml:space="preserve">view, it is important to evaluate the </w:t>
      </w:r>
      <w:r w:rsidR="00090FFB" w:rsidRPr="00833D30">
        <w:t xml:space="preserve">impact on </w:t>
      </w:r>
      <w:r w:rsidRPr="00D85B08">
        <w:t>Aboriginal and Torres Strait Islander</w:t>
      </w:r>
      <w:r w:rsidR="00912764" w:rsidRPr="00D85B08">
        <w:t xml:space="preserve"> and CALD</w:t>
      </w:r>
      <w:r w:rsidRPr="00D85B08">
        <w:t xml:space="preserve"> communities </w:t>
      </w:r>
      <w:r w:rsidR="00090FFB" w:rsidRPr="00D85B08">
        <w:t xml:space="preserve">of </w:t>
      </w:r>
      <w:r w:rsidRPr="00D85B08">
        <w:t xml:space="preserve">enforcement of the </w:t>
      </w:r>
      <w:r w:rsidR="00D85B08">
        <w:t>p</w:t>
      </w:r>
      <w:r w:rsidR="00D85B08" w:rsidRPr="00D85B08">
        <w:t xml:space="preserve">ublic </w:t>
      </w:r>
      <w:r w:rsidR="00D85B08">
        <w:t>h</w:t>
      </w:r>
      <w:r w:rsidR="00D85B08" w:rsidRPr="00D85B08">
        <w:t xml:space="preserve">ealth </w:t>
      </w:r>
      <w:r w:rsidR="00D85B08">
        <w:t>d</w:t>
      </w:r>
      <w:r w:rsidR="00D85B08" w:rsidRPr="00D85B08">
        <w:t>irections</w:t>
      </w:r>
      <w:r w:rsidR="00090FFB" w:rsidRPr="00D85B08">
        <w:t>,</w:t>
      </w:r>
      <w:r w:rsidRPr="00D85B08">
        <w:t xml:space="preserve"> and recommend that this data is collected and </w:t>
      </w:r>
      <w:r w:rsidR="00D85B08">
        <w:t xml:space="preserve">publicly </w:t>
      </w:r>
      <w:r w:rsidRPr="00D85B08">
        <w:t>reported.</w:t>
      </w:r>
    </w:p>
    <w:p w14:paraId="1679190F" w14:textId="77777777" w:rsidR="00DB2A4E" w:rsidRPr="00444845" w:rsidRDefault="00365AC1" w:rsidP="007C2238">
      <w:pPr>
        <w:pStyle w:val="Heading2"/>
      </w:pPr>
      <w:bookmarkStart w:id="32" w:name="_Toc44943817"/>
      <w:r w:rsidRPr="009C1BEA">
        <w:t>Parliamentary process</w:t>
      </w:r>
      <w:bookmarkEnd w:id="32"/>
    </w:p>
    <w:p w14:paraId="28711E9F" w14:textId="117C897B" w:rsidR="00633DD2" w:rsidRPr="009C1BEA" w:rsidRDefault="00633DD2" w:rsidP="00905A4A">
      <w:pPr>
        <w:pStyle w:val="Numberedparagraph"/>
      </w:pPr>
      <w:r w:rsidRPr="00444845">
        <w:t xml:space="preserve">In response to the pandemic, a number of legislative amendments were </w:t>
      </w:r>
      <w:r w:rsidR="006C1A49" w:rsidRPr="00444845">
        <w:t>declared urgent and passed</w:t>
      </w:r>
      <w:r w:rsidRPr="00444845">
        <w:t xml:space="preserve"> with little or no parliamentary scrutiny.</w:t>
      </w:r>
      <w:r w:rsidRPr="00444845">
        <w:rPr>
          <w:rStyle w:val="FootnoteReference"/>
        </w:rPr>
        <w:footnoteReference w:id="42"/>
      </w:r>
      <w:r w:rsidRPr="00444845">
        <w:t xml:space="preserve"> </w:t>
      </w:r>
      <w:r w:rsidR="0066247B" w:rsidRPr="00444845">
        <w:t>The Commission</w:t>
      </w:r>
      <w:r w:rsidRPr="00833D30">
        <w:t xml:space="preserve"> appreciate</w:t>
      </w:r>
      <w:r w:rsidR="0066247B" w:rsidRPr="00833D30">
        <w:t>s</w:t>
      </w:r>
      <w:r w:rsidRPr="00D85B08">
        <w:t xml:space="preserve"> that </w:t>
      </w:r>
      <w:r w:rsidR="00502543" w:rsidRPr="00D85B08">
        <w:t xml:space="preserve">while </w:t>
      </w:r>
      <w:r w:rsidR="009B1303" w:rsidRPr="00D85B08">
        <w:t xml:space="preserve">many </w:t>
      </w:r>
      <w:r w:rsidR="00502543" w:rsidRPr="00D85B08">
        <w:t>situation</w:t>
      </w:r>
      <w:r w:rsidR="009B1303" w:rsidRPr="00D85B08">
        <w:t>s</w:t>
      </w:r>
      <w:r w:rsidR="00502543" w:rsidRPr="00D85B08">
        <w:t xml:space="preserve"> required urgent action, </w:t>
      </w:r>
      <w:r w:rsidRPr="009C1BEA">
        <w:t>alternative arrangements could have been made, at least in some cases, for stakeholder consultation and parliamentary scrutiny.</w:t>
      </w:r>
    </w:p>
    <w:p w14:paraId="6D754018" w14:textId="5196F18E" w:rsidR="00633DD2" w:rsidRPr="00444845" w:rsidRDefault="004B358C" w:rsidP="00574E42">
      <w:pPr>
        <w:pStyle w:val="Numberedparagraph"/>
      </w:pPr>
      <w:r w:rsidRPr="00444845">
        <w:t xml:space="preserve">As discussed above, the </w:t>
      </w:r>
      <w:r w:rsidR="00633DD2" w:rsidRPr="00444845">
        <w:t xml:space="preserve">Commission welcomed the opportunity to work with the </w:t>
      </w:r>
      <w:r w:rsidR="00574E42" w:rsidRPr="00444845">
        <w:t xml:space="preserve">Department of Communities, Disability Services and Seniors on a policy arising from amendments in the </w:t>
      </w:r>
      <w:r w:rsidR="00574E42" w:rsidRPr="00444845">
        <w:rPr>
          <w:i/>
        </w:rPr>
        <w:t>Justice and Other Legislation (COVID-19 Emergency Response) Amendment Act 2020</w:t>
      </w:r>
      <w:r w:rsidR="00633DD2" w:rsidRPr="00444845">
        <w:t>.</w:t>
      </w:r>
      <w:r w:rsidR="00574E42" w:rsidRPr="00444845">
        <w:t xml:space="preserve"> </w:t>
      </w:r>
      <w:r w:rsidR="3AF957F4" w:rsidRPr="00444845">
        <w:t xml:space="preserve">Nonetheless, </w:t>
      </w:r>
      <w:r w:rsidR="747AB0C3" w:rsidRPr="00444845">
        <w:t>the process</w:t>
      </w:r>
      <w:r w:rsidR="1E4FDB07" w:rsidRPr="00444845">
        <w:t xml:space="preserve"> would have</w:t>
      </w:r>
      <w:r w:rsidR="431D26BB" w:rsidRPr="00444845">
        <w:t xml:space="preserve"> </w:t>
      </w:r>
      <w:r w:rsidR="1E4FDB07" w:rsidRPr="00444845">
        <w:t>benefited from</w:t>
      </w:r>
      <w:r w:rsidR="3AF957F4" w:rsidRPr="00444845">
        <w:t xml:space="preserve"> greater</w:t>
      </w:r>
      <w:r w:rsidR="1E4FDB07" w:rsidRPr="00444845">
        <w:t xml:space="preserve"> stakeholder </w:t>
      </w:r>
      <w:r w:rsidR="0F306820" w:rsidRPr="00444845">
        <w:t>involvement</w:t>
      </w:r>
      <w:r w:rsidR="1E4FDB07" w:rsidRPr="00444845">
        <w:t xml:space="preserve">. </w:t>
      </w:r>
      <w:r w:rsidR="00574E42" w:rsidRPr="00444845">
        <w:t xml:space="preserve">Wherever possible, </w:t>
      </w:r>
      <w:r w:rsidR="00633DD2" w:rsidRPr="00444845">
        <w:t>early stakeholder engagement</w:t>
      </w:r>
      <w:r w:rsidR="00574E42" w:rsidRPr="00444845">
        <w:t xml:space="preserve"> should be prioritised, even</w:t>
      </w:r>
      <w:r w:rsidR="00633DD2" w:rsidRPr="00444845">
        <w:t xml:space="preserve"> when formal parliamentary scrutiny may not be possible. </w:t>
      </w:r>
      <w:r w:rsidR="00574E42" w:rsidRPr="00444845">
        <w:t xml:space="preserve">Such engagement will improve legislation </w:t>
      </w:r>
      <w:r w:rsidR="00502543" w:rsidRPr="00444845">
        <w:t xml:space="preserve">and produce </w:t>
      </w:r>
      <w:r w:rsidR="00574E42" w:rsidRPr="00444845">
        <w:t xml:space="preserve">better outcomes for the community. </w:t>
      </w:r>
      <w:r w:rsidR="00502543" w:rsidRPr="00444845">
        <w:t xml:space="preserve">Engagement </w:t>
      </w:r>
      <w:r w:rsidR="005D0AB7" w:rsidRPr="00444845">
        <w:t xml:space="preserve">could include early public release of draft </w:t>
      </w:r>
      <w:r w:rsidR="00502543" w:rsidRPr="00444845">
        <w:t>B</w:t>
      </w:r>
      <w:r w:rsidR="005D0AB7" w:rsidRPr="00444845">
        <w:t>ills, explanatory notes</w:t>
      </w:r>
      <w:r w:rsidR="00502543" w:rsidRPr="00444845">
        <w:t>,</w:t>
      </w:r>
      <w:r w:rsidR="005D0AB7" w:rsidRPr="00444845">
        <w:t xml:space="preserve"> and human rights compatibility statements</w:t>
      </w:r>
      <w:r w:rsidR="006C1A49" w:rsidRPr="00444845">
        <w:t xml:space="preserve">, particularly </w:t>
      </w:r>
      <w:r w:rsidR="00502543" w:rsidRPr="00444845">
        <w:t xml:space="preserve">in circumstances in which </w:t>
      </w:r>
      <w:r w:rsidR="006C1A49" w:rsidRPr="00444845">
        <w:t xml:space="preserve">the government is seeking to justify the </w:t>
      </w:r>
      <w:r w:rsidR="00502543" w:rsidRPr="00444845">
        <w:t xml:space="preserve">haste in which </w:t>
      </w:r>
      <w:r w:rsidR="006C1A49" w:rsidRPr="00444845">
        <w:t>changes</w:t>
      </w:r>
      <w:r w:rsidR="00502543" w:rsidRPr="00444845">
        <w:t xml:space="preserve"> are effected</w:t>
      </w:r>
      <w:r w:rsidR="005D0AB7" w:rsidRPr="00444845">
        <w:t>.</w:t>
      </w:r>
    </w:p>
    <w:p w14:paraId="5BA105B1" w14:textId="77777777" w:rsidR="005808D5" w:rsidRPr="00444845" w:rsidRDefault="005808D5" w:rsidP="00905A4A">
      <w:pPr>
        <w:pStyle w:val="Numberedparagraph"/>
      </w:pPr>
      <w:r w:rsidRPr="00444845">
        <w:t xml:space="preserve">It is </w:t>
      </w:r>
      <w:r w:rsidR="00CA416C" w:rsidRPr="00444845">
        <w:t xml:space="preserve">possible </w:t>
      </w:r>
      <w:r w:rsidRPr="00444845">
        <w:t>for parliamentary scrutiny of human rights to be reported even after legislation has passed. For example, the Australian Parliamentary Joint Committee on Human Rights (PJCHR) generally reports on all legislation introduced</w:t>
      </w:r>
      <w:r w:rsidR="00CA416C" w:rsidRPr="00444845">
        <w:t>,</w:t>
      </w:r>
      <w:r w:rsidRPr="00444845">
        <w:t xml:space="preserve"> regardless of its progress</w:t>
      </w:r>
      <w:r w:rsidR="003E7D13" w:rsidRPr="00444845">
        <w:t>:</w:t>
      </w:r>
    </w:p>
    <w:p w14:paraId="71AAD138" w14:textId="77777777" w:rsidR="005808D5" w:rsidRPr="00444845" w:rsidRDefault="005808D5" w:rsidP="00BD6499">
      <w:pPr>
        <w:pStyle w:val="Quote"/>
        <w:spacing w:line="240" w:lineRule="auto"/>
        <w:ind w:right="845"/>
        <w:rPr>
          <w:sz w:val="22"/>
          <w:szCs w:val="22"/>
        </w:rPr>
      </w:pPr>
      <w:r w:rsidRPr="00444845">
        <w:rPr>
          <w:rStyle w:val="QuoteChar"/>
          <w:sz w:val="22"/>
          <w:szCs w:val="22"/>
        </w:rPr>
        <w:t>The committee seeks to conclude and report on its examination of bills while they are still before the Parliament, so that its findings may inform the legislative deliberations of the Parliament. The committee's ability to do so is, however, dependent on the legislative program of the government of the day and the timeliness of ministers' responses to the committee's inquiries. Where a bill is passed before the committee has been able to conclude its examination, the committee nevertheless completes its examination of the legislation and reports its findings to the Parliament</w:t>
      </w:r>
      <w:r w:rsidRPr="00444845">
        <w:rPr>
          <w:sz w:val="22"/>
          <w:szCs w:val="22"/>
        </w:rPr>
        <w:t>.</w:t>
      </w:r>
      <w:r w:rsidRPr="00444845">
        <w:rPr>
          <w:rStyle w:val="FootnoteReference"/>
          <w:sz w:val="22"/>
          <w:szCs w:val="22"/>
        </w:rPr>
        <w:footnoteReference w:id="43"/>
      </w:r>
    </w:p>
    <w:p w14:paraId="3D9119B0" w14:textId="30A77654" w:rsidR="005808D5" w:rsidRPr="009C1BEA" w:rsidRDefault="005808D5" w:rsidP="005808D5">
      <w:pPr>
        <w:pStyle w:val="Numberedparagraph"/>
      </w:pPr>
      <w:r w:rsidRPr="00BD6499">
        <w:t xml:space="preserve">Despite the </w:t>
      </w:r>
      <w:r w:rsidR="00CA416C" w:rsidRPr="00BD6499">
        <w:t xml:space="preserve">urgency dictated by </w:t>
      </w:r>
      <w:r w:rsidRPr="00BD6499">
        <w:t xml:space="preserve">the COVID-19 pandemic, </w:t>
      </w:r>
      <w:r w:rsidR="00B23009" w:rsidRPr="00BD6499">
        <w:t>the Commission</w:t>
      </w:r>
      <w:r w:rsidRPr="00BD6499">
        <w:t xml:space="preserve"> submit</w:t>
      </w:r>
      <w:r w:rsidR="00B23009" w:rsidRPr="00BD6499">
        <w:t>s that</w:t>
      </w:r>
      <w:r w:rsidRPr="00BD6499">
        <w:t xml:space="preserve"> it is still possible for human rights scrutiny to occur. In its</w:t>
      </w:r>
      <w:r w:rsidR="00DA4D05" w:rsidRPr="00BD6499">
        <w:t xml:space="preserve"> fifth</w:t>
      </w:r>
      <w:r w:rsidRPr="00BD6499">
        <w:t xml:space="preserve"> report of 2020, the </w:t>
      </w:r>
      <w:r w:rsidRPr="00444845">
        <w:t>PJCHR</w:t>
      </w:r>
      <w:r w:rsidRPr="00BD6499">
        <w:t xml:space="preserve"> produced a ‘</w:t>
      </w:r>
      <w:r w:rsidRPr="00444845">
        <w:t xml:space="preserve">Human rights scrutiny report of COVID-19 legislation’ </w:t>
      </w:r>
      <w:r w:rsidR="00CA416C" w:rsidRPr="00444845">
        <w:t>which</w:t>
      </w:r>
      <w:r w:rsidRPr="00833D30">
        <w:t xml:space="preserve"> provide</w:t>
      </w:r>
      <w:r w:rsidR="00CA416C" w:rsidRPr="00D85B08">
        <w:t>s</w:t>
      </w:r>
      <w:r w:rsidRPr="00D85B08">
        <w:t xml:space="preserve"> an assessment of the human rights compatibility of legislation made in response to the COVID-19 pandemic, including </w:t>
      </w:r>
      <w:r w:rsidR="00CA416C" w:rsidRPr="00D85B08">
        <w:t>B</w:t>
      </w:r>
      <w:r w:rsidRPr="00D85B08">
        <w:t>ills introduced into the Parliament on 23 March 2020 and 8 April 2020. Some of these, such as the Coronavirus Economic Response Packag</w:t>
      </w:r>
      <w:r w:rsidRPr="009C1BEA">
        <w:t>e Omnibus Bill 2020, were introduced and passed within one day.</w:t>
      </w:r>
    </w:p>
    <w:p w14:paraId="29E298C4" w14:textId="1D5FE821" w:rsidR="00C62C29" w:rsidRPr="00444845" w:rsidRDefault="00633DD2" w:rsidP="00905A4A">
      <w:pPr>
        <w:pStyle w:val="Numberedparagraph"/>
      </w:pPr>
      <w:r w:rsidRPr="00444845">
        <w:t xml:space="preserve">Finally, </w:t>
      </w:r>
      <w:r w:rsidR="00344535" w:rsidRPr="00444845">
        <w:t>the Commission</w:t>
      </w:r>
      <w:r w:rsidRPr="00444845">
        <w:t xml:space="preserve"> </w:t>
      </w:r>
      <w:r w:rsidR="00F21290" w:rsidRPr="00444845">
        <w:t>encourage</w:t>
      </w:r>
      <w:r w:rsidR="00344535" w:rsidRPr="00444845">
        <w:t>s</w:t>
      </w:r>
      <w:r w:rsidR="00F21290" w:rsidRPr="00444845">
        <w:t xml:space="preserve"> the government to exercise </w:t>
      </w:r>
      <w:r w:rsidRPr="00444845">
        <w:t>caution</w:t>
      </w:r>
      <w:r w:rsidR="00F21290" w:rsidRPr="00444845">
        <w:t xml:space="preserve"> so</w:t>
      </w:r>
      <w:r w:rsidRPr="00444845">
        <w:t xml:space="preserve"> that the</w:t>
      </w:r>
      <w:r w:rsidR="006C1A49" w:rsidRPr="00444845">
        <w:t xml:space="preserve"> continued</w:t>
      </w:r>
      <w:r w:rsidR="00CA416C" w:rsidRPr="00444845">
        <w:t>,</w:t>
      </w:r>
      <w:r w:rsidRPr="00444845">
        <w:t xml:space="preserve"> </w:t>
      </w:r>
      <w:r w:rsidR="006C1A49" w:rsidRPr="00444845">
        <w:t xml:space="preserve">urgent </w:t>
      </w:r>
      <w:r w:rsidRPr="00444845">
        <w:t>passing of legislation during a crisis such as this</w:t>
      </w:r>
      <w:r w:rsidR="00F21290" w:rsidRPr="00444845">
        <w:t xml:space="preserve"> does not</w:t>
      </w:r>
      <w:r w:rsidRPr="00444845">
        <w:t xml:space="preserve"> </w:t>
      </w:r>
      <w:r w:rsidR="00F21290" w:rsidRPr="00444845">
        <w:t>lead to a more permanent erosion of parliamentary processes</w:t>
      </w:r>
      <w:r w:rsidR="005D0AB7" w:rsidRPr="00444845">
        <w:t xml:space="preserve">. </w:t>
      </w:r>
      <w:r w:rsidR="00E94F5A" w:rsidRPr="00444845">
        <w:t xml:space="preserve">While not apparently a response to the pandemic, on 17 June </w:t>
      </w:r>
      <w:r w:rsidR="00B01446" w:rsidRPr="00444845">
        <w:t xml:space="preserve">2020 </w:t>
      </w:r>
      <w:r w:rsidR="00E94F5A" w:rsidRPr="00444845">
        <w:t xml:space="preserve">significant amendments were made to the </w:t>
      </w:r>
      <w:r w:rsidR="006C1A49" w:rsidRPr="00444845">
        <w:t>Community Services Industry (Portable Long Service Leave) Bill 2019</w:t>
      </w:r>
      <w:r w:rsidR="00E94F5A" w:rsidRPr="00444845">
        <w:t xml:space="preserve"> on the floor of parliament </w:t>
      </w:r>
      <w:r w:rsidR="00B01446" w:rsidRPr="00444845">
        <w:t xml:space="preserve">that were </w:t>
      </w:r>
      <w:r w:rsidR="00E94F5A" w:rsidRPr="00444845">
        <w:t xml:space="preserve">unrelated to the primary purpose of the </w:t>
      </w:r>
      <w:r w:rsidR="00B01446" w:rsidRPr="00444845">
        <w:t>B</w:t>
      </w:r>
      <w:r w:rsidR="00E94F5A" w:rsidRPr="00444845">
        <w:t>ill. This included significant changes to the assessment of bail for young people</w:t>
      </w:r>
      <w:r w:rsidR="00B01446" w:rsidRPr="00444845">
        <w:t>,</w:t>
      </w:r>
      <w:r w:rsidR="006C1A49" w:rsidRPr="00444845">
        <w:t xml:space="preserve"> </w:t>
      </w:r>
      <w:r w:rsidR="00B01446" w:rsidRPr="00444845">
        <w:t>with t</w:t>
      </w:r>
      <w:r w:rsidR="006C1A49" w:rsidRPr="00444845">
        <w:t>he Bill pass</w:t>
      </w:r>
      <w:r w:rsidR="00B01446" w:rsidRPr="00444845">
        <w:t>ing</w:t>
      </w:r>
      <w:r w:rsidR="006C1A49" w:rsidRPr="00444845">
        <w:t xml:space="preserve"> on the same day as the amendments were made.</w:t>
      </w:r>
      <w:r w:rsidR="00E94F5A" w:rsidRPr="00444845">
        <w:t xml:space="preserve"> It </w:t>
      </w:r>
      <w:r w:rsidR="00B01446" w:rsidRPr="00444845">
        <w:t xml:space="preserve">is </w:t>
      </w:r>
      <w:r w:rsidR="00E94F5A" w:rsidRPr="00444845">
        <w:t xml:space="preserve">not clear to the Commission why such comprehensive changes </w:t>
      </w:r>
      <w:r w:rsidR="00874322">
        <w:t>could not</w:t>
      </w:r>
      <w:r w:rsidR="00E94F5A" w:rsidRPr="00444845">
        <w:t xml:space="preserve"> have been in</w:t>
      </w:r>
      <w:r w:rsidR="006C1A49" w:rsidRPr="00444845">
        <w:t>troduced via</w:t>
      </w:r>
      <w:r w:rsidR="00E94F5A" w:rsidRPr="00444845">
        <w:t xml:space="preserve"> a stand-alone Bill</w:t>
      </w:r>
      <w:r w:rsidR="00B01446" w:rsidRPr="00444845">
        <w:t>,</w:t>
      </w:r>
      <w:r w:rsidR="00E94F5A" w:rsidRPr="00444845">
        <w:t xml:space="preserve"> and </w:t>
      </w:r>
      <w:r w:rsidR="00B01446" w:rsidRPr="00444845">
        <w:t xml:space="preserve">be </w:t>
      </w:r>
      <w:r w:rsidR="00E94F5A" w:rsidRPr="00444845">
        <w:t xml:space="preserve">subject to normal parliamentary scrutiny processes, including the relevant committee </w:t>
      </w:r>
      <w:r w:rsidR="006C1A49" w:rsidRPr="00444845">
        <w:t>reporting on its assessment of the Bill</w:t>
      </w:r>
      <w:r w:rsidR="009F63A4">
        <w:t>, particularly as the government had indicated an intention to amend the laws several weeks earlier</w:t>
      </w:r>
      <w:r w:rsidR="006C1A49" w:rsidRPr="00444845">
        <w:t>. This would have included an assessment of its human rights compatibility, after considering</w:t>
      </w:r>
      <w:r w:rsidR="00E94F5A" w:rsidRPr="00444845">
        <w:t xml:space="preserve"> stakeholder submissions. </w:t>
      </w:r>
    </w:p>
    <w:p w14:paraId="6F18CB14" w14:textId="2D730076" w:rsidR="00DB2A4E" w:rsidRPr="00444845" w:rsidRDefault="00DB2A4E" w:rsidP="00DB2A4E">
      <w:pPr>
        <w:pStyle w:val="Heading1"/>
        <w:rPr>
          <w:rFonts w:cs="Arial"/>
          <w:sz w:val="44"/>
        </w:rPr>
      </w:pPr>
      <w:bookmarkStart w:id="33" w:name="_Toc44943818"/>
      <w:r w:rsidRPr="00444845">
        <w:rPr>
          <w:rFonts w:cs="Arial"/>
          <w:sz w:val="44"/>
        </w:rPr>
        <w:t>Recommendations</w:t>
      </w:r>
      <w:bookmarkEnd w:id="33"/>
    </w:p>
    <w:p w14:paraId="0308FD24" w14:textId="56B0D4E4" w:rsidR="005808D5" w:rsidRPr="00BD6499" w:rsidRDefault="6968B4D6" w:rsidP="005808D5">
      <w:pPr>
        <w:pStyle w:val="Numberedparagraph"/>
      </w:pPr>
      <w:r w:rsidRPr="00BD6499">
        <w:t>This</w:t>
      </w:r>
      <w:r w:rsidR="005808D5" w:rsidRPr="00BD6499">
        <w:t xml:space="preserve"> submission </w:t>
      </w:r>
      <w:r w:rsidR="0063367E" w:rsidRPr="00BD6499">
        <w:t>has highlight</w:t>
      </w:r>
      <w:r w:rsidR="00B01446" w:rsidRPr="00BD6499">
        <w:t>ed</w:t>
      </w:r>
      <w:r w:rsidR="0063367E" w:rsidRPr="00BD6499">
        <w:t xml:space="preserve"> </w:t>
      </w:r>
      <w:r w:rsidR="00F21290" w:rsidRPr="00BD6499">
        <w:t>some of the key</w:t>
      </w:r>
      <w:r w:rsidR="0063367E" w:rsidRPr="00BD6499">
        <w:t xml:space="preserve"> positive and negative outcomes from the Queensland Government’s </w:t>
      </w:r>
      <w:r w:rsidR="00B01446" w:rsidRPr="00BD6499">
        <w:t xml:space="preserve">health </w:t>
      </w:r>
      <w:r w:rsidR="0063367E" w:rsidRPr="00BD6499">
        <w:t xml:space="preserve">response to COVID-19. </w:t>
      </w:r>
      <w:r w:rsidR="00D92FCE" w:rsidRPr="00BD6499">
        <w:t xml:space="preserve">Having now </w:t>
      </w:r>
      <w:r w:rsidR="00021A91" w:rsidRPr="00BD6499">
        <w:t>‘</w:t>
      </w:r>
      <w:r w:rsidR="00D92FCE" w:rsidRPr="00BD6499">
        <w:t>flattened the curve</w:t>
      </w:r>
      <w:r w:rsidR="00021A91" w:rsidRPr="00BD6499">
        <w:t>’</w:t>
      </w:r>
      <w:r w:rsidR="005808D5" w:rsidRPr="00BD6499">
        <w:t xml:space="preserve">, </w:t>
      </w:r>
      <w:r w:rsidR="00A56FD6" w:rsidRPr="00BD6499">
        <w:t>the government has</w:t>
      </w:r>
      <w:r w:rsidR="005808D5" w:rsidRPr="00BD6499">
        <w:t xml:space="preserve"> the opportunity </w:t>
      </w:r>
      <w:r w:rsidR="00437797" w:rsidRPr="00BD6499">
        <w:t xml:space="preserve">to </w:t>
      </w:r>
      <w:r w:rsidR="005808D5" w:rsidRPr="00BD6499">
        <w:t xml:space="preserve">apply </w:t>
      </w:r>
      <w:r w:rsidR="00437797" w:rsidRPr="00BD6499">
        <w:t xml:space="preserve">knowledge gained through this process </w:t>
      </w:r>
      <w:r w:rsidR="005808D5" w:rsidRPr="00BD6499">
        <w:t xml:space="preserve">to plan for future </w:t>
      </w:r>
      <w:r w:rsidR="00D92FCE" w:rsidRPr="00BD6499">
        <w:t>emergencies</w:t>
      </w:r>
      <w:r w:rsidR="005808D5" w:rsidRPr="00BD6499">
        <w:t>, whether that is a second COVID-19 wave, a</w:t>
      </w:r>
      <w:r w:rsidR="001E2FB1" w:rsidRPr="00BD6499">
        <w:t xml:space="preserve"> new virus</w:t>
      </w:r>
      <w:r w:rsidR="00437797" w:rsidRPr="00BD6499">
        <w:t>,</w:t>
      </w:r>
      <w:r w:rsidR="001E2FB1" w:rsidRPr="00BD6499">
        <w:t xml:space="preserve"> or </w:t>
      </w:r>
      <w:r w:rsidR="00437797" w:rsidRPr="00BD6499">
        <w:t>other emergency</w:t>
      </w:r>
      <w:r w:rsidR="001E2FB1" w:rsidRPr="00BD6499">
        <w:t>.</w:t>
      </w:r>
    </w:p>
    <w:p w14:paraId="542FAACF" w14:textId="34444B83" w:rsidR="00287C54" w:rsidRPr="00BD6499" w:rsidRDefault="001E2FB1" w:rsidP="00287C54">
      <w:pPr>
        <w:pStyle w:val="Numberedparagraph"/>
      </w:pPr>
      <w:r w:rsidRPr="00BD6499">
        <w:t xml:space="preserve">While </w:t>
      </w:r>
      <w:r w:rsidR="4F5871B7" w:rsidRPr="00BD6499">
        <w:t xml:space="preserve">the </w:t>
      </w:r>
      <w:r w:rsidRPr="00BD6499">
        <w:t>Queensland</w:t>
      </w:r>
      <w:r w:rsidR="4F5871B7" w:rsidRPr="00BD6499">
        <w:t xml:space="preserve"> Government</w:t>
      </w:r>
      <w:r w:rsidRPr="00BD6499">
        <w:t xml:space="preserve"> </w:t>
      </w:r>
      <w:r w:rsidR="00236FAF">
        <w:t>had planned</w:t>
      </w:r>
      <w:r w:rsidR="5050B784" w:rsidRPr="00BD6499">
        <w:t xml:space="preserve"> for a</w:t>
      </w:r>
      <w:r w:rsidRPr="00BD6499">
        <w:t xml:space="preserve"> pandemic</w:t>
      </w:r>
      <w:r w:rsidR="4F5871B7" w:rsidRPr="00BD6499">
        <w:t xml:space="preserve"> (and other disaster</w:t>
      </w:r>
      <w:r w:rsidR="00236FAF">
        <w:t>s</w:t>
      </w:r>
      <w:r w:rsidR="4F5871B7" w:rsidRPr="00BD6499">
        <w:t>)</w:t>
      </w:r>
      <w:r w:rsidR="5050B784" w:rsidRPr="00BD6499">
        <w:t>, many of the exi</w:t>
      </w:r>
      <w:r w:rsidR="004D1CFA" w:rsidRPr="00BD6499">
        <w:t>s</w:t>
      </w:r>
      <w:r w:rsidR="5050B784" w:rsidRPr="00BD6499">
        <w:t>ting document</w:t>
      </w:r>
      <w:r w:rsidR="004D1CFA" w:rsidRPr="00BD6499">
        <w:t>s</w:t>
      </w:r>
      <w:r w:rsidR="5050B784" w:rsidRPr="00BD6499">
        <w:t xml:space="preserve"> and processes </w:t>
      </w:r>
      <w:r w:rsidR="00940BBD">
        <w:t>will</w:t>
      </w:r>
      <w:r w:rsidR="5050B784" w:rsidRPr="00BD6499">
        <w:t xml:space="preserve"> not have</w:t>
      </w:r>
      <w:r w:rsidRPr="00BD6499">
        <w:t xml:space="preserve"> </w:t>
      </w:r>
      <w:r w:rsidR="00FC7571">
        <w:t>anticipated</w:t>
      </w:r>
      <w:r w:rsidR="00D92FCE" w:rsidRPr="00BD6499">
        <w:t xml:space="preserve"> all</w:t>
      </w:r>
      <w:r w:rsidRPr="00BD6499">
        <w:t xml:space="preserve"> the issues that</w:t>
      </w:r>
      <w:r w:rsidR="00FC7571">
        <w:t xml:space="preserve"> have</w:t>
      </w:r>
      <w:r w:rsidRPr="00BD6499">
        <w:t xml:space="preserve"> emerged from the </w:t>
      </w:r>
      <w:r w:rsidR="5050B784" w:rsidRPr="00BD6499">
        <w:t>COVID-19 pandemic</w:t>
      </w:r>
      <w:r w:rsidRPr="00BD6499">
        <w:t>.</w:t>
      </w:r>
      <w:r w:rsidR="00F21290" w:rsidRPr="00BD6499">
        <w:t xml:space="preserve"> </w:t>
      </w:r>
      <w:r w:rsidR="004D1CFA" w:rsidRPr="00BD6499">
        <w:t>The fact that</w:t>
      </w:r>
      <w:r w:rsidR="5050B784" w:rsidRPr="00BD6499">
        <w:t xml:space="preserve"> the </w:t>
      </w:r>
      <w:r w:rsidR="4F5871B7" w:rsidRPr="00BD6499">
        <w:t>actions</w:t>
      </w:r>
      <w:r w:rsidR="5050B784" w:rsidRPr="00BD6499">
        <w:t xml:space="preserve"> and </w:t>
      </w:r>
      <w:r w:rsidR="00D92FCE" w:rsidRPr="00BD6499">
        <w:t>decisions made</w:t>
      </w:r>
      <w:r w:rsidR="5050B784" w:rsidRPr="00BD6499">
        <w:t xml:space="preserve"> </w:t>
      </w:r>
      <w:r w:rsidR="00D92FCE" w:rsidRPr="00BD6499">
        <w:t>in</w:t>
      </w:r>
      <w:r w:rsidR="5050B784" w:rsidRPr="00BD6499">
        <w:t xml:space="preserve"> respond</w:t>
      </w:r>
      <w:r w:rsidR="00D92FCE" w:rsidRPr="00BD6499">
        <w:t>ing</w:t>
      </w:r>
      <w:r w:rsidR="5050B784" w:rsidRPr="00BD6499">
        <w:t xml:space="preserve"> to the pandemic engaged many human rights</w:t>
      </w:r>
      <w:r w:rsidR="004D1CFA" w:rsidRPr="00BD6499">
        <w:t xml:space="preserve"> is a case in point</w:t>
      </w:r>
      <w:r w:rsidR="5050B784" w:rsidRPr="00BD6499">
        <w:t xml:space="preserve">. </w:t>
      </w:r>
      <w:r w:rsidR="002D7221">
        <w:t>Emergency</w:t>
      </w:r>
      <w:r w:rsidR="00C31613">
        <w:t xml:space="preserve"> and disaster</w:t>
      </w:r>
      <w:r w:rsidR="002D7221">
        <w:t xml:space="preserve"> plans</w:t>
      </w:r>
      <w:r w:rsidR="0063367E" w:rsidRPr="00BD6499">
        <w:t xml:space="preserve"> acknowledge that significant restrictions may be imposed </w:t>
      </w:r>
      <w:r w:rsidR="004D1CFA" w:rsidRPr="00BD6499">
        <w:t>in response</w:t>
      </w:r>
      <w:r w:rsidR="0063367E" w:rsidRPr="00BD6499">
        <w:t xml:space="preserve"> to a pandemic, such as the closure of schools and workplaces</w:t>
      </w:r>
      <w:r w:rsidR="004D1CFA" w:rsidRPr="00BD6499">
        <w:t>,</w:t>
      </w:r>
      <w:r w:rsidR="0063367E" w:rsidRPr="00BD6499">
        <w:t xml:space="preserve"> and the cancellation of mass gatherings. </w:t>
      </w:r>
      <w:r w:rsidR="5050B784" w:rsidRPr="00BD6499">
        <w:t>Yet,</w:t>
      </w:r>
      <w:r w:rsidR="00D92FCE" w:rsidRPr="00BD6499">
        <w:t xml:space="preserve"> </w:t>
      </w:r>
      <w:r w:rsidR="0063367E" w:rsidRPr="00BD6499">
        <w:t xml:space="preserve">despite the significant human rights limitations arising from such decisions, </w:t>
      </w:r>
      <w:r w:rsidR="00D92FCE" w:rsidRPr="00BD6499">
        <w:t xml:space="preserve">it appears </w:t>
      </w:r>
      <w:r w:rsidR="004D1CFA" w:rsidRPr="00BD6499">
        <w:t xml:space="preserve">that </w:t>
      </w:r>
      <w:r w:rsidR="00D92FCE" w:rsidRPr="00BD6499">
        <w:t xml:space="preserve">none of the key pandemic response plans </w:t>
      </w:r>
      <w:r w:rsidR="004D1CFA" w:rsidRPr="00BD6499">
        <w:t xml:space="preserve">refer to </w:t>
      </w:r>
      <w:r w:rsidRPr="00BD6499">
        <w:t xml:space="preserve">the </w:t>
      </w:r>
      <w:r w:rsidRPr="00BD6499">
        <w:rPr>
          <w:i/>
          <w:iCs/>
        </w:rPr>
        <w:t>Human Rights Act 2019</w:t>
      </w:r>
      <w:r w:rsidRPr="00BD6499">
        <w:t>.</w:t>
      </w:r>
      <w:r w:rsidR="00D92FCE" w:rsidRPr="00BD6499">
        <w:rPr>
          <w:rStyle w:val="FootnoteReference"/>
        </w:rPr>
        <w:footnoteReference w:id="44"/>
      </w:r>
      <w:r w:rsidR="5050B784" w:rsidRPr="00BD6499">
        <w:t xml:space="preserve"> </w:t>
      </w:r>
    </w:p>
    <w:p w14:paraId="19108D35" w14:textId="77777777" w:rsidR="004947A4" w:rsidRDefault="00710D76" w:rsidP="00287C54">
      <w:pPr>
        <w:pStyle w:val="Numberedparagraph"/>
      </w:pPr>
      <w:r w:rsidRPr="00BD6499">
        <w:t>The Commission</w:t>
      </w:r>
      <w:r w:rsidR="001E2FB1" w:rsidRPr="00BD6499">
        <w:t xml:space="preserve"> suggest</w:t>
      </w:r>
      <w:r w:rsidRPr="00BD6499">
        <w:t>s</w:t>
      </w:r>
      <w:r w:rsidR="001E2FB1" w:rsidRPr="00BD6499">
        <w:t xml:space="preserve"> </w:t>
      </w:r>
      <w:r w:rsidR="00D92FCE" w:rsidRPr="00BD6499">
        <w:t>the</w:t>
      </w:r>
      <w:r w:rsidR="5050B784" w:rsidRPr="00BD6499">
        <w:t xml:space="preserve"> </w:t>
      </w:r>
      <w:r w:rsidR="004D1CFA" w:rsidRPr="00BD6499">
        <w:t>g</w:t>
      </w:r>
      <w:r w:rsidR="5050B784" w:rsidRPr="00BD6499">
        <w:t>overnment</w:t>
      </w:r>
      <w:r w:rsidR="00D92FCE" w:rsidRPr="00BD6499">
        <w:t xml:space="preserve"> </w:t>
      </w:r>
      <w:r w:rsidR="4B6880F0" w:rsidRPr="00BD6499">
        <w:t>prioritise</w:t>
      </w:r>
      <w:r w:rsidR="00D92FCE" w:rsidRPr="00BD6499">
        <w:t xml:space="preserve"> </w:t>
      </w:r>
      <w:r w:rsidR="004D1CFA" w:rsidRPr="00BD6499">
        <w:t xml:space="preserve">the </w:t>
      </w:r>
      <w:r w:rsidR="00D92FCE" w:rsidRPr="00BD6499">
        <w:t xml:space="preserve">updating </w:t>
      </w:r>
      <w:r w:rsidR="004D1CFA" w:rsidRPr="00BD6499">
        <w:t xml:space="preserve">of </w:t>
      </w:r>
      <w:r w:rsidR="00D92FCE" w:rsidRPr="00BD6499">
        <w:t>pandemic planning documents and processes</w:t>
      </w:r>
      <w:r w:rsidR="004D1CFA" w:rsidRPr="00BD6499">
        <w:t>,</w:t>
      </w:r>
      <w:r w:rsidR="00D92FCE" w:rsidRPr="00BD6499">
        <w:t xml:space="preserve"> </w:t>
      </w:r>
      <w:r w:rsidR="5050B784" w:rsidRPr="00BD6499">
        <w:t xml:space="preserve">based on the experience of this pandemic, including expressly </w:t>
      </w:r>
      <w:r w:rsidR="00764683">
        <w:t>promoting</w:t>
      </w:r>
      <w:r w:rsidR="5050B784" w:rsidRPr="00BD6499">
        <w:t xml:space="preserve"> the need to give proper consideration to human rights in decision</w:t>
      </w:r>
      <w:r w:rsidR="004D1CFA" w:rsidRPr="00BD6499">
        <w:t>-</w:t>
      </w:r>
      <w:r w:rsidR="5050B784" w:rsidRPr="00BD6499">
        <w:t>making</w:t>
      </w:r>
      <w:r w:rsidR="2AFDD12F" w:rsidRPr="00BD6499">
        <w:t>, as well as acting and making decisions that are compatible with human rights</w:t>
      </w:r>
      <w:r w:rsidR="73BB8047" w:rsidRPr="00BD6499">
        <w:t>.</w:t>
      </w:r>
      <w:r w:rsidR="73BB8047" w:rsidRPr="00BD6499">
        <w:rPr>
          <w:rStyle w:val="FootnoteReference"/>
        </w:rPr>
        <w:footnoteReference w:id="45"/>
      </w:r>
      <w:r w:rsidR="00D92FCE" w:rsidRPr="00BD6499">
        <w:t xml:space="preserve"> </w:t>
      </w:r>
      <w:r w:rsidR="00A1706C">
        <w:t>The update process</w:t>
      </w:r>
      <w:r w:rsidR="004D1CFA" w:rsidRPr="00BD6499">
        <w:t xml:space="preserve"> </w:t>
      </w:r>
      <w:r w:rsidR="4B6880F0" w:rsidRPr="00BD6499">
        <w:t>should be informed by</w:t>
      </w:r>
      <w:r w:rsidR="00D92FCE" w:rsidRPr="00BD6499">
        <w:t xml:space="preserve"> the issues highlighted in s</w:t>
      </w:r>
      <w:r w:rsidR="0063367E" w:rsidRPr="00BD6499">
        <w:t>ubmissions made to this Inquiry</w:t>
      </w:r>
      <w:r w:rsidR="004D1CFA" w:rsidRPr="00BD6499">
        <w:t>,</w:t>
      </w:r>
      <w:r w:rsidR="5050B784" w:rsidRPr="00BD6499">
        <w:t xml:space="preserve"> </w:t>
      </w:r>
      <w:r w:rsidR="004D1CFA" w:rsidRPr="00BD6499">
        <w:t>and</w:t>
      </w:r>
      <w:r w:rsidR="4B6880F0" w:rsidRPr="00BD6499">
        <w:t xml:space="preserve"> include further consultation with key stakeholders, </w:t>
      </w:r>
      <w:r w:rsidR="4F5871B7" w:rsidRPr="00BD6499">
        <w:t>such as</w:t>
      </w:r>
      <w:r w:rsidR="4B6880F0" w:rsidRPr="00BD6499">
        <w:t xml:space="preserve"> groups at risk of significant </w:t>
      </w:r>
      <w:r w:rsidR="0063367E" w:rsidRPr="00BD6499">
        <w:t xml:space="preserve">future </w:t>
      </w:r>
      <w:r w:rsidR="4B6880F0" w:rsidRPr="00BD6499">
        <w:t>restrictions</w:t>
      </w:r>
      <w:r w:rsidR="004D1CFA" w:rsidRPr="00BD6499">
        <w:t xml:space="preserve"> and their advocates</w:t>
      </w:r>
      <w:r w:rsidR="4B6880F0" w:rsidRPr="00BD6499">
        <w:t>. This will build upon the work Queensland Health ha</w:t>
      </w:r>
      <w:r w:rsidR="004D1CFA" w:rsidRPr="00BD6499">
        <w:t>s</w:t>
      </w:r>
      <w:r w:rsidR="4B6880F0" w:rsidRPr="00BD6499">
        <w:t xml:space="preserve"> already done in developing the </w:t>
      </w:r>
      <w:r w:rsidR="4B6880F0" w:rsidRPr="00444845">
        <w:rPr>
          <w:i/>
          <w:iCs/>
        </w:rPr>
        <w:t xml:space="preserve">Queensland ethical framework to guide clinical decision making in the COVID-19 pandemic. </w:t>
      </w:r>
      <w:r w:rsidR="4B6880F0" w:rsidRPr="00444845">
        <w:t xml:space="preserve">As this pandemic has demonstrated, many decisions must be made urgently with </w:t>
      </w:r>
      <w:r w:rsidR="0660B333" w:rsidRPr="00444845">
        <w:t>limited</w:t>
      </w:r>
      <w:r w:rsidR="4B6880F0" w:rsidRPr="00833D30">
        <w:t xml:space="preserve"> time for consultation, so it is imperative that the impact of restrictions on key groups is well understood in advance. </w:t>
      </w:r>
    </w:p>
    <w:p w14:paraId="3BDEE285" w14:textId="1513350F" w:rsidR="001E2FB1" w:rsidRPr="00BD6499" w:rsidRDefault="4BE1F4D4" w:rsidP="00287C54">
      <w:pPr>
        <w:pStyle w:val="Numberedparagraph"/>
      </w:pPr>
      <w:r w:rsidRPr="00D85B08">
        <w:t>The Commission makes a number of</w:t>
      </w:r>
      <w:r w:rsidR="00577B1C">
        <w:t xml:space="preserve"> key</w:t>
      </w:r>
      <w:r w:rsidRPr="00D85B08">
        <w:t xml:space="preserve"> recommendations</w:t>
      </w:r>
      <w:r w:rsidR="0B3B7AB3" w:rsidRPr="00D85B08">
        <w:t xml:space="preserve"> </w:t>
      </w:r>
      <w:r w:rsidR="09A603A7" w:rsidRPr="00D85B08">
        <w:t>as follows:</w:t>
      </w:r>
    </w:p>
    <w:p w14:paraId="323A3BBC" w14:textId="4BBFD114" w:rsidR="007E2A9A" w:rsidRPr="00833D30" w:rsidRDefault="74D16B44" w:rsidP="00A06FE2">
      <w:pPr>
        <w:pStyle w:val="Numberedparagraph"/>
        <w:keepNext/>
        <w:keepLines/>
        <w:widowControl w:val="0"/>
        <w:numPr>
          <w:ilvl w:val="0"/>
          <w:numId w:val="0"/>
        </w:numPr>
        <w:spacing w:before="0"/>
      </w:pPr>
      <w:r w:rsidRPr="00444845">
        <w:rPr>
          <w:i/>
          <w:iCs/>
        </w:rPr>
        <w:t xml:space="preserve">General </w:t>
      </w:r>
      <w:r w:rsidR="65F16177" w:rsidRPr="00444845">
        <w:rPr>
          <w:i/>
          <w:iCs/>
        </w:rPr>
        <w:t>r</w:t>
      </w:r>
      <w:r w:rsidRPr="00444845">
        <w:rPr>
          <w:i/>
          <w:iCs/>
        </w:rPr>
        <w:t>ecommendations</w:t>
      </w:r>
    </w:p>
    <w:p w14:paraId="49D10B13" w14:textId="2464244C" w:rsidR="00FA6F1B" w:rsidRDefault="65AE7E6A" w:rsidP="00A27135">
      <w:pPr>
        <w:pStyle w:val="Recs"/>
        <w:rPr>
          <w:lang w:val="en-AU"/>
        </w:rPr>
      </w:pPr>
      <w:r w:rsidRPr="00BD6499">
        <w:rPr>
          <w:lang w:val="en-AU"/>
        </w:rPr>
        <w:t>Embed</w:t>
      </w:r>
      <w:r w:rsidR="007E2A9A" w:rsidRPr="00BD6499">
        <w:rPr>
          <w:lang w:val="en-AU"/>
        </w:rPr>
        <w:t xml:space="preserve"> proper consideration of human rights </w:t>
      </w:r>
      <w:r w:rsidR="173D071A" w:rsidRPr="00BD6499">
        <w:rPr>
          <w:lang w:val="en-AU"/>
        </w:rPr>
        <w:t>and</w:t>
      </w:r>
      <w:r w:rsidR="008E6553" w:rsidRPr="00BD6499">
        <w:rPr>
          <w:lang w:val="en-AU"/>
        </w:rPr>
        <w:t xml:space="preserve"> the obligation to</w:t>
      </w:r>
      <w:r w:rsidR="173D071A" w:rsidRPr="00BD6499">
        <w:rPr>
          <w:lang w:val="en-AU"/>
        </w:rPr>
        <w:t xml:space="preserve"> act </w:t>
      </w:r>
      <w:r w:rsidR="008E6553" w:rsidRPr="00BD6499">
        <w:rPr>
          <w:lang w:val="en-AU"/>
        </w:rPr>
        <w:t xml:space="preserve">and make </w:t>
      </w:r>
      <w:r w:rsidR="173D071A" w:rsidRPr="00BD6499">
        <w:rPr>
          <w:lang w:val="en-AU"/>
        </w:rPr>
        <w:t xml:space="preserve">decisions that are compatible with human rights </w:t>
      </w:r>
      <w:r w:rsidR="007E2A9A" w:rsidRPr="00BD6499">
        <w:rPr>
          <w:lang w:val="en-AU"/>
        </w:rPr>
        <w:t>in all planning documents</w:t>
      </w:r>
      <w:r w:rsidR="000A2D3B" w:rsidRPr="00BD6499">
        <w:rPr>
          <w:lang w:val="en-AU"/>
        </w:rPr>
        <w:t xml:space="preserve"> concerning pandemic </w:t>
      </w:r>
      <w:r w:rsidR="00FB39F6">
        <w:rPr>
          <w:lang w:val="en-AU"/>
        </w:rPr>
        <w:t xml:space="preserve">and other </w:t>
      </w:r>
      <w:r w:rsidR="000A2D3B" w:rsidRPr="00BD6499">
        <w:rPr>
          <w:lang w:val="en-AU"/>
        </w:rPr>
        <w:t>emergencies</w:t>
      </w:r>
      <w:r w:rsidR="1CFB24C7" w:rsidRPr="00BD6499">
        <w:rPr>
          <w:lang w:val="en-AU"/>
        </w:rPr>
        <w:t>.</w:t>
      </w:r>
    </w:p>
    <w:p w14:paraId="1AA9D58B" w14:textId="4BB386C8" w:rsidR="00931C0D" w:rsidRPr="005D799C" w:rsidRDefault="00FA6F1B" w:rsidP="005D799C">
      <w:pPr>
        <w:rPr>
          <w:rFonts w:ascii="Arial" w:hAnsi="Arial" w:cs="Arial"/>
        </w:rPr>
      </w:pPr>
      <w:r>
        <w:br w:type="page"/>
      </w:r>
      <w:bookmarkStart w:id="34" w:name="_GoBack"/>
      <w:bookmarkEnd w:id="34"/>
    </w:p>
    <w:p w14:paraId="6D9C0A65" w14:textId="20C52E4E" w:rsidR="1953EA6A" w:rsidRPr="00BD6499" w:rsidRDefault="4D6E5E2F" w:rsidP="00AF6E8B">
      <w:pPr>
        <w:pStyle w:val="Bulletedlist"/>
        <w:numPr>
          <w:ilvl w:val="0"/>
          <w:numId w:val="0"/>
        </w:numPr>
        <w:spacing w:after="120"/>
        <w:rPr>
          <w:i/>
          <w:iCs/>
        </w:rPr>
      </w:pPr>
      <w:r w:rsidRPr="00BD6499">
        <w:rPr>
          <w:i/>
          <w:iCs/>
        </w:rPr>
        <w:t xml:space="preserve">Recommendations - </w:t>
      </w:r>
      <w:r w:rsidR="22BF5878" w:rsidRPr="00BD6499">
        <w:rPr>
          <w:i/>
          <w:iCs/>
        </w:rPr>
        <w:t>Closed environments</w:t>
      </w:r>
      <w:r w:rsidR="7C1C6F8F" w:rsidRPr="00BD6499">
        <w:rPr>
          <w:i/>
          <w:iCs/>
        </w:rPr>
        <w:t xml:space="preserve"> </w:t>
      </w:r>
    </w:p>
    <w:p w14:paraId="4EFE4319" w14:textId="4938293A" w:rsidR="2D036B2A" w:rsidRPr="00BD6499" w:rsidRDefault="1F2D794B" w:rsidP="000F56AA">
      <w:pPr>
        <w:pStyle w:val="Recs"/>
        <w:rPr>
          <w:lang w:val="en-AU"/>
        </w:rPr>
      </w:pPr>
      <w:r w:rsidRPr="00BD6499">
        <w:rPr>
          <w:lang w:val="en-AU"/>
        </w:rPr>
        <w:t xml:space="preserve">Clarify decision-making </w:t>
      </w:r>
      <w:r w:rsidR="540B6161" w:rsidRPr="00BD6499">
        <w:rPr>
          <w:lang w:val="en-AU"/>
        </w:rPr>
        <w:t xml:space="preserve">lines of </w:t>
      </w:r>
      <w:r w:rsidRPr="00BD6499">
        <w:rPr>
          <w:lang w:val="en-AU"/>
        </w:rPr>
        <w:t xml:space="preserve">authority, ensure </w:t>
      </w:r>
      <w:r w:rsidR="004947A4">
        <w:rPr>
          <w:lang w:val="en-AU"/>
        </w:rPr>
        <w:t>at least minimum standards requiring</w:t>
      </w:r>
      <w:r w:rsidRPr="00BD6499">
        <w:rPr>
          <w:lang w:val="en-AU"/>
        </w:rPr>
        <w:t xml:space="preserve"> access to fresh air and exercise, and </w:t>
      </w:r>
      <w:r w:rsidR="15F054C1" w:rsidRPr="00BD6499">
        <w:rPr>
          <w:lang w:val="en-AU"/>
        </w:rPr>
        <w:t xml:space="preserve">provide </w:t>
      </w:r>
      <w:r w:rsidR="4CA58201" w:rsidRPr="00BD6499">
        <w:rPr>
          <w:lang w:val="en-AU"/>
        </w:rPr>
        <w:t>clear and transparent</w:t>
      </w:r>
      <w:r w:rsidRPr="00BD6499">
        <w:rPr>
          <w:lang w:val="en-AU"/>
        </w:rPr>
        <w:t xml:space="preserve"> </w:t>
      </w:r>
      <w:r w:rsidR="00907448" w:rsidRPr="00BD6499">
        <w:rPr>
          <w:lang w:val="en-AU"/>
        </w:rPr>
        <w:t>exemption</w:t>
      </w:r>
      <w:r w:rsidR="7D9209E4" w:rsidRPr="00BD6499">
        <w:rPr>
          <w:lang w:val="en-AU"/>
        </w:rPr>
        <w:t xml:space="preserve"> and hardship</w:t>
      </w:r>
      <w:r w:rsidR="5C5BE32F" w:rsidRPr="00BD6499">
        <w:rPr>
          <w:lang w:val="en-AU"/>
        </w:rPr>
        <w:t xml:space="preserve"> application</w:t>
      </w:r>
      <w:r w:rsidR="00907448" w:rsidRPr="00BD6499">
        <w:rPr>
          <w:lang w:val="en-AU"/>
        </w:rPr>
        <w:t xml:space="preserve"> </w:t>
      </w:r>
      <w:r w:rsidRPr="00BD6499">
        <w:rPr>
          <w:lang w:val="en-AU"/>
        </w:rPr>
        <w:t>processes</w:t>
      </w:r>
      <w:r w:rsidR="0CD4659E" w:rsidRPr="00BD6499">
        <w:rPr>
          <w:lang w:val="en-AU"/>
        </w:rPr>
        <w:t xml:space="preserve"> </w:t>
      </w:r>
      <w:r w:rsidR="25B974AC" w:rsidRPr="00BD6499">
        <w:rPr>
          <w:lang w:val="en-AU"/>
        </w:rPr>
        <w:t>for</w:t>
      </w:r>
      <w:r w:rsidR="0CD4659E" w:rsidRPr="00BD6499">
        <w:rPr>
          <w:lang w:val="en-AU"/>
        </w:rPr>
        <w:t xml:space="preserve"> those in mandatory quarantine</w:t>
      </w:r>
      <w:r w:rsidR="1BB5B2C7" w:rsidRPr="00BD6499">
        <w:rPr>
          <w:lang w:val="en-AU"/>
        </w:rPr>
        <w:t xml:space="preserve"> in hotels</w:t>
      </w:r>
      <w:r w:rsidRPr="00BD6499">
        <w:rPr>
          <w:lang w:val="en-AU"/>
        </w:rPr>
        <w:t>.</w:t>
      </w:r>
    </w:p>
    <w:p w14:paraId="19CC03B0" w14:textId="07891CF4" w:rsidR="2D036B2A" w:rsidRPr="00BD6499" w:rsidRDefault="2D036B2A" w:rsidP="00AF6E8B">
      <w:pPr>
        <w:pStyle w:val="Bulletedlist"/>
        <w:numPr>
          <w:ilvl w:val="0"/>
          <w:numId w:val="0"/>
        </w:numPr>
        <w:spacing w:after="0"/>
      </w:pPr>
    </w:p>
    <w:p w14:paraId="3B2BEA44" w14:textId="22C2DF2A" w:rsidR="01196DFA" w:rsidRPr="00BD6499" w:rsidRDefault="01196DFA" w:rsidP="00A06FE2">
      <w:pPr>
        <w:pStyle w:val="Recs"/>
        <w:rPr>
          <w:lang w:val="en-AU"/>
        </w:rPr>
      </w:pPr>
      <w:r w:rsidRPr="00BD6499">
        <w:rPr>
          <w:lang w:val="en-AU"/>
        </w:rPr>
        <w:t>Ensure those in closed environments have reasonable ac</w:t>
      </w:r>
      <w:r w:rsidR="00CB7FB6">
        <w:rPr>
          <w:lang w:val="en-AU"/>
        </w:rPr>
        <w:t xml:space="preserve">cess to fresh air and exercise and can engage in meaningful contact </w:t>
      </w:r>
      <w:r w:rsidRPr="00BD6499">
        <w:rPr>
          <w:lang w:val="en-AU"/>
        </w:rPr>
        <w:t xml:space="preserve">with family, </w:t>
      </w:r>
      <w:r w:rsidR="2CF59A96" w:rsidRPr="00BD6499">
        <w:rPr>
          <w:lang w:val="en-AU"/>
        </w:rPr>
        <w:t xml:space="preserve">others in their </w:t>
      </w:r>
      <w:r w:rsidRPr="00BD6499">
        <w:rPr>
          <w:lang w:val="en-AU"/>
        </w:rPr>
        <w:t>community and</w:t>
      </w:r>
      <w:r w:rsidR="00CB7FB6">
        <w:rPr>
          <w:lang w:val="en-AU"/>
        </w:rPr>
        <w:t xml:space="preserve"> their</w:t>
      </w:r>
      <w:r w:rsidRPr="00BD6499">
        <w:rPr>
          <w:lang w:val="en-AU"/>
        </w:rPr>
        <w:t xml:space="preserve"> lawyers. </w:t>
      </w:r>
    </w:p>
    <w:p w14:paraId="5D3AF564" w14:textId="0B1A8A94" w:rsidR="2D036B2A" w:rsidRPr="00BD6499" w:rsidRDefault="2D036B2A" w:rsidP="00AF6E8B">
      <w:pPr>
        <w:pStyle w:val="Bulletedlist"/>
        <w:numPr>
          <w:ilvl w:val="0"/>
          <w:numId w:val="0"/>
        </w:numPr>
        <w:spacing w:after="0"/>
      </w:pPr>
    </w:p>
    <w:p w14:paraId="2A735009" w14:textId="6E290393" w:rsidR="276B9AFF" w:rsidRPr="00BD6499" w:rsidRDefault="008E6553" w:rsidP="00A06FE2">
      <w:pPr>
        <w:pStyle w:val="Recs"/>
        <w:rPr>
          <w:lang w:val="en-AU"/>
        </w:rPr>
      </w:pPr>
      <w:r w:rsidRPr="00BD6499">
        <w:rPr>
          <w:lang w:val="en-AU"/>
        </w:rPr>
        <w:t>Release public information</w:t>
      </w:r>
      <w:r w:rsidR="01196DFA" w:rsidRPr="00BD6499">
        <w:rPr>
          <w:lang w:val="en-AU"/>
        </w:rPr>
        <w:t xml:space="preserve"> about when visits will resume </w:t>
      </w:r>
      <w:r w:rsidR="00B8476F">
        <w:rPr>
          <w:lang w:val="en-AU"/>
        </w:rPr>
        <w:t>to</w:t>
      </w:r>
      <w:r w:rsidR="01196DFA" w:rsidRPr="00BD6499">
        <w:rPr>
          <w:lang w:val="en-AU"/>
        </w:rPr>
        <w:t xml:space="preserve"> all close</w:t>
      </w:r>
      <w:r w:rsidR="33D95478" w:rsidRPr="00BD6499">
        <w:rPr>
          <w:lang w:val="en-AU"/>
        </w:rPr>
        <w:t>d</w:t>
      </w:r>
      <w:r w:rsidR="01196DFA" w:rsidRPr="00BD6499">
        <w:rPr>
          <w:lang w:val="en-AU"/>
        </w:rPr>
        <w:t xml:space="preserve"> environments</w:t>
      </w:r>
      <w:r w:rsidR="26E48DE3" w:rsidRPr="00BD6499">
        <w:rPr>
          <w:lang w:val="en-AU"/>
        </w:rPr>
        <w:t>, and in par</w:t>
      </w:r>
      <w:r w:rsidR="00482F61" w:rsidRPr="00BD6499">
        <w:rPr>
          <w:lang w:val="en-AU"/>
        </w:rPr>
        <w:t>ticular youth detention centres.</w:t>
      </w:r>
    </w:p>
    <w:p w14:paraId="304E3D94" w14:textId="6EC072E6" w:rsidR="2D036B2A" w:rsidRPr="00BD6499" w:rsidRDefault="2D036B2A" w:rsidP="00AF6E8B">
      <w:pPr>
        <w:pStyle w:val="Bulletedlist"/>
        <w:numPr>
          <w:ilvl w:val="0"/>
          <w:numId w:val="0"/>
        </w:numPr>
        <w:spacing w:after="0"/>
      </w:pPr>
    </w:p>
    <w:p w14:paraId="7336ACC7" w14:textId="016A82F9" w:rsidR="75AFCEFF" w:rsidRDefault="75AFCEFF" w:rsidP="00A06FE2">
      <w:pPr>
        <w:pStyle w:val="Recs"/>
        <w:rPr>
          <w:lang w:val="en-AU"/>
        </w:rPr>
      </w:pPr>
      <w:r w:rsidRPr="00BD6499">
        <w:rPr>
          <w:lang w:val="en-AU"/>
        </w:rPr>
        <w:t xml:space="preserve">Maintain and improve independent oversight of closed environments, </w:t>
      </w:r>
      <w:r w:rsidR="005D045C" w:rsidRPr="00BD6499">
        <w:rPr>
          <w:lang w:val="en-AU"/>
        </w:rPr>
        <w:t xml:space="preserve">such as </w:t>
      </w:r>
      <w:r w:rsidR="00466281" w:rsidRPr="00BD6499">
        <w:rPr>
          <w:lang w:val="en-AU"/>
        </w:rPr>
        <w:t xml:space="preserve">by </w:t>
      </w:r>
      <w:r w:rsidR="005D045C" w:rsidRPr="00BD6499">
        <w:rPr>
          <w:lang w:val="en-AU"/>
        </w:rPr>
        <w:t>creating</w:t>
      </w:r>
      <w:r w:rsidRPr="00BD6499">
        <w:rPr>
          <w:lang w:val="en-AU"/>
        </w:rPr>
        <w:t xml:space="preserve"> an independent inspector of prisons.</w:t>
      </w:r>
    </w:p>
    <w:p w14:paraId="014B2830" w14:textId="77777777" w:rsidR="000A156D" w:rsidRDefault="000A156D" w:rsidP="000A156D">
      <w:pPr>
        <w:pStyle w:val="ListParagraph"/>
      </w:pPr>
    </w:p>
    <w:p w14:paraId="6E2F3158" w14:textId="682922B6" w:rsidR="000A156D" w:rsidRPr="00C15DED" w:rsidRDefault="000A156D" w:rsidP="00C15DED">
      <w:pPr>
        <w:pStyle w:val="Recs"/>
        <w:rPr>
          <w:rFonts w:asciiTheme="minorHAnsi" w:hAnsiTheme="minorHAnsi" w:cstheme="minorBidi"/>
        </w:rPr>
      </w:pPr>
      <w:r>
        <w:t xml:space="preserve">Impose a legal obligation on the </w:t>
      </w:r>
      <w:r w:rsidR="00F233BE">
        <w:t xml:space="preserve">Queensland Corrective Services </w:t>
      </w:r>
      <w:r>
        <w:t xml:space="preserve">Commissioner to regularly review emergency declarations made under the </w:t>
      </w:r>
      <w:r>
        <w:rPr>
          <w:i/>
        </w:rPr>
        <w:t>Corrective Services Act 2006</w:t>
      </w:r>
      <w:r>
        <w:t xml:space="preserve"> and </w:t>
      </w:r>
      <w:r w:rsidR="00332876">
        <w:t xml:space="preserve">to </w:t>
      </w:r>
      <w:r>
        <w:t>publish them online.</w:t>
      </w:r>
    </w:p>
    <w:p w14:paraId="4840A329" w14:textId="4485350F" w:rsidR="2D036B2A" w:rsidRPr="00BD6499" w:rsidRDefault="2D036B2A" w:rsidP="2D036B2A">
      <w:pPr>
        <w:pStyle w:val="Bulletedlist"/>
        <w:numPr>
          <w:ilvl w:val="0"/>
          <w:numId w:val="0"/>
        </w:numPr>
      </w:pPr>
    </w:p>
    <w:p w14:paraId="2E3BB8FF" w14:textId="2DB170DE" w:rsidR="22BF5878" w:rsidRPr="00BD6499" w:rsidRDefault="44C6BA9D" w:rsidP="00AF6E8B">
      <w:pPr>
        <w:pStyle w:val="Bulletedlist"/>
        <w:numPr>
          <w:ilvl w:val="0"/>
          <w:numId w:val="0"/>
        </w:numPr>
        <w:spacing w:after="120"/>
        <w:rPr>
          <w:i/>
          <w:iCs/>
        </w:rPr>
      </w:pPr>
      <w:r w:rsidRPr="00BD6499">
        <w:rPr>
          <w:i/>
          <w:iCs/>
        </w:rPr>
        <w:t xml:space="preserve">Recommendations - </w:t>
      </w:r>
      <w:r w:rsidR="22BF5878" w:rsidRPr="00BD6499">
        <w:rPr>
          <w:i/>
          <w:iCs/>
        </w:rPr>
        <w:t>At risk communities</w:t>
      </w:r>
    </w:p>
    <w:p w14:paraId="73EA25D2" w14:textId="781E9ACA" w:rsidR="009E49BE" w:rsidRPr="00BD6499" w:rsidRDefault="006C5E76" w:rsidP="00A06FE2">
      <w:pPr>
        <w:pStyle w:val="Recs"/>
        <w:rPr>
          <w:lang w:val="en-AU"/>
        </w:rPr>
      </w:pPr>
      <w:r w:rsidRPr="00BD6499">
        <w:rPr>
          <w:lang w:val="en-AU"/>
        </w:rPr>
        <w:t>Ensure</w:t>
      </w:r>
      <w:r w:rsidR="14088C5C" w:rsidRPr="00BD6499">
        <w:rPr>
          <w:lang w:val="en-AU"/>
        </w:rPr>
        <w:t xml:space="preserve"> triage frameworks for scare health resources</w:t>
      </w:r>
      <w:r w:rsidR="0016668D" w:rsidRPr="00BD6499">
        <w:rPr>
          <w:lang w:val="en-AU"/>
        </w:rPr>
        <w:t xml:space="preserve"> include a discussion of human rights obligations,</w:t>
      </w:r>
      <w:r w:rsidR="14088C5C" w:rsidRPr="00BD6499">
        <w:rPr>
          <w:lang w:val="en-AU"/>
        </w:rPr>
        <w:t xml:space="preserve"> do not </w:t>
      </w:r>
      <w:r w:rsidR="0016668D" w:rsidRPr="00BD6499">
        <w:rPr>
          <w:lang w:val="en-AU"/>
        </w:rPr>
        <w:t xml:space="preserve">entrench </w:t>
      </w:r>
      <w:r w:rsidR="14088C5C" w:rsidRPr="00BD6499">
        <w:rPr>
          <w:lang w:val="en-AU"/>
        </w:rPr>
        <w:t>unconscious bias, and are publicly available.</w:t>
      </w:r>
    </w:p>
    <w:p w14:paraId="12D9B279" w14:textId="0F20120A" w:rsidR="0016668D" w:rsidRPr="00444845" w:rsidRDefault="0016668D" w:rsidP="00A06FE2"/>
    <w:p w14:paraId="2D560513" w14:textId="57F12832" w:rsidR="17BC3D24" w:rsidRPr="00BD6499" w:rsidRDefault="17BC3D24" w:rsidP="00A06FE2">
      <w:pPr>
        <w:pStyle w:val="Recs"/>
        <w:rPr>
          <w:lang w:val="en-AU"/>
        </w:rPr>
      </w:pPr>
      <w:r w:rsidRPr="00BD6499">
        <w:rPr>
          <w:lang w:val="en-AU"/>
        </w:rPr>
        <w:t xml:space="preserve">Further consider and prepare for the adverse impact on people with a disability should restrictions return, particularly </w:t>
      </w:r>
      <w:r w:rsidR="00569880" w:rsidRPr="00BD6499">
        <w:rPr>
          <w:lang w:val="en-AU"/>
        </w:rPr>
        <w:t xml:space="preserve">in </w:t>
      </w:r>
      <w:r w:rsidRPr="00BD6499">
        <w:rPr>
          <w:lang w:val="en-AU"/>
        </w:rPr>
        <w:t>relation to those who rely on services for care and social contact</w:t>
      </w:r>
      <w:r w:rsidR="7FE6E832" w:rsidRPr="00BD6499">
        <w:rPr>
          <w:lang w:val="en-AU"/>
        </w:rPr>
        <w:t>.</w:t>
      </w:r>
      <w:r w:rsidR="4FB59F65" w:rsidRPr="00BD6499">
        <w:rPr>
          <w:lang w:val="en-AU"/>
        </w:rPr>
        <w:t xml:space="preserve"> Consider infection control training for all disability service and accommodation providers</w:t>
      </w:r>
      <w:r w:rsidR="68511024" w:rsidRPr="00BD6499">
        <w:rPr>
          <w:lang w:val="en-AU"/>
        </w:rPr>
        <w:t xml:space="preserve"> and guidelines for the screening and testing of people with disability and their carers.</w:t>
      </w:r>
    </w:p>
    <w:p w14:paraId="019F3AB1" w14:textId="71F605E4" w:rsidR="2D036B2A" w:rsidRPr="00BD6499" w:rsidRDefault="2D036B2A" w:rsidP="00AF6E8B">
      <w:pPr>
        <w:pStyle w:val="Bulletedlist"/>
        <w:numPr>
          <w:ilvl w:val="0"/>
          <w:numId w:val="0"/>
        </w:numPr>
        <w:spacing w:after="0"/>
      </w:pPr>
    </w:p>
    <w:p w14:paraId="47AD84A4" w14:textId="58DE2D96" w:rsidR="63B3BB85" w:rsidRPr="00C15DED" w:rsidRDefault="00991CD5" w:rsidP="00A06FE2">
      <w:pPr>
        <w:pStyle w:val="Recs"/>
        <w:rPr>
          <w:lang w:val="en-AU"/>
        </w:rPr>
      </w:pPr>
      <w:r w:rsidRPr="00BD6499">
        <w:rPr>
          <w:lang w:val="en-AU"/>
        </w:rPr>
        <w:t xml:space="preserve">Continue to work closely with Aboriginal and Torres Strait Islander community-controlled health services and local disaster management committees </w:t>
      </w:r>
      <w:r w:rsidR="7DD68000" w:rsidRPr="00BD6499">
        <w:rPr>
          <w:lang w:val="en-AU"/>
        </w:rPr>
        <w:t>and where possible provide decision-making autonomy to regional and remote Indigenous communities regarding restrictions</w:t>
      </w:r>
      <w:r w:rsidR="00535E00">
        <w:rPr>
          <w:lang w:val="en-AU"/>
        </w:rPr>
        <w:t xml:space="preserve">. </w:t>
      </w:r>
      <w:r w:rsidR="00535E00">
        <w:rPr>
          <w:lang w:eastAsia="en-AU"/>
        </w:rPr>
        <w:t>Further consult</w:t>
      </w:r>
      <w:r w:rsidR="00535E00" w:rsidRPr="00BD6499">
        <w:rPr>
          <w:lang w:eastAsia="en-AU"/>
        </w:rPr>
        <w:t xml:space="preserve"> with Aboriginal and Torres Strait Islander communities to address the underlying drivers of </w:t>
      </w:r>
      <w:r w:rsidR="00C27F36">
        <w:rPr>
          <w:lang w:eastAsia="en-AU"/>
        </w:rPr>
        <w:t>high pricing in remote areas</w:t>
      </w:r>
      <w:r w:rsidR="00535E00" w:rsidRPr="00BD6499">
        <w:rPr>
          <w:lang w:eastAsia="en-AU"/>
        </w:rPr>
        <w:t>.</w:t>
      </w:r>
    </w:p>
    <w:p w14:paraId="606D875E" w14:textId="6A485BF9" w:rsidR="2D036B2A" w:rsidRPr="00BD6499" w:rsidRDefault="2D036B2A" w:rsidP="00AF6E8B">
      <w:pPr>
        <w:pStyle w:val="Bulletedlist"/>
        <w:numPr>
          <w:ilvl w:val="0"/>
          <w:numId w:val="0"/>
        </w:numPr>
        <w:spacing w:after="0"/>
      </w:pPr>
    </w:p>
    <w:p w14:paraId="71164D29" w14:textId="4FE9811B" w:rsidR="713CEA1C" w:rsidRPr="00BD6499" w:rsidRDefault="00B31EED" w:rsidP="00A06FE2">
      <w:pPr>
        <w:pStyle w:val="Recs"/>
        <w:rPr>
          <w:lang w:val="en-AU"/>
        </w:rPr>
      </w:pPr>
      <w:r>
        <w:rPr>
          <w:lang w:val="en-AU"/>
        </w:rPr>
        <w:t>Ensure</w:t>
      </w:r>
      <w:r w:rsidR="47F378B2" w:rsidRPr="00BD6499">
        <w:rPr>
          <w:lang w:val="en-AU"/>
        </w:rPr>
        <w:t xml:space="preserve"> </w:t>
      </w:r>
      <w:r w:rsidR="0C3292DA" w:rsidRPr="00BD6499">
        <w:rPr>
          <w:lang w:val="en-AU"/>
        </w:rPr>
        <w:t>access to the technology needed to support social connection as well as remote learning for children and young people in out-of-home care, and students unable to attend boarding school due to the restrictions.</w:t>
      </w:r>
    </w:p>
    <w:p w14:paraId="3F397B32" w14:textId="35535ED7" w:rsidR="2D036B2A" w:rsidRPr="00BD6499" w:rsidRDefault="2D036B2A" w:rsidP="00AF6E8B">
      <w:pPr>
        <w:pStyle w:val="Bulletedlist"/>
        <w:numPr>
          <w:ilvl w:val="0"/>
          <w:numId w:val="0"/>
        </w:numPr>
        <w:spacing w:after="0"/>
        <w:ind w:left="720"/>
      </w:pPr>
    </w:p>
    <w:p w14:paraId="1C8D4981" w14:textId="07CB2641" w:rsidR="2D036B2A" w:rsidRDefault="0C3292DA" w:rsidP="00E75CD2">
      <w:pPr>
        <w:pStyle w:val="Recs"/>
        <w:rPr>
          <w:lang w:val="en-AU"/>
        </w:rPr>
      </w:pPr>
      <w:r w:rsidRPr="00BD6499">
        <w:rPr>
          <w:lang w:val="en-AU"/>
        </w:rPr>
        <w:t xml:space="preserve">Ensure </w:t>
      </w:r>
      <w:r w:rsidR="00111FBA">
        <w:rPr>
          <w:lang w:val="en-AU"/>
        </w:rPr>
        <w:t xml:space="preserve">adequate </w:t>
      </w:r>
      <w:r w:rsidRPr="00BD6499">
        <w:rPr>
          <w:lang w:val="en-AU"/>
        </w:rPr>
        <w:t xml:space="preserve">transitional support for young people exiting out-of-home </w:t>
      </w:r>
      <w:r w:rsidR="00111FBA">
        <w:rPr>
          <w:lang w:val="en-AU"/>
        </w:rPr>
        <w:t>care</w:t>
      </w:r>
      <w:r w:rsidR="248AAE34" w:rsidRPr="00BD6499">
        <w:rPr>
          <w:lang w:val="en-AU"/>
        </w:rPr>
        <w:t>.</w:t>
      </w:r>
    </w:p>
    <w:p w14:paraId="5E13757E" w14:textId="350C6033" w:rsidR="00E75CD2" w:rsidRPr="00E75CD2" w:rsidRDefault="00E75CD2" w:rsidP="00E75CD2">
      <w:pPr>
        <w:pStyle w:val="Recs"/>
        <w:numPr>
          <w:ilvl w:val="0"/>
          <w:numId w:val="0"/>
        </w:numPr>
        <w:rPr>
          <w:lang w:val="en-AU"/>
        </w:rPr>
      </w:pPr>
    </w:p>
    <w:p w14:paraId="40A992C4" w14:textId="10A53DBE" w:rsidR="713CEA1C" w:rsidRPr="00BD6499" w:rsidRDefault="713CEA1C" w:rsidP="00A06FE2">
      <w:pPr>
        <w:pStyle w:val="Recs"/>
        <w:rPr>
          <w:lang w:val="en-AU"/>
        </w:rPr>
      </w:pPr>
      <w:r w:rsidRPr="00BD6499">
        <w:rPr>
          <w:lang w:val="en-AU"/>
        </w:rPr>
        <w:t>Continue efforts to address homelessness during the pandemic while investigating and implementing long-term solutions to address housing instability.</w:t>
      </w:r>
    </w:p>
    <w:p w14:paraId="560B901A" w14:textId="199BE10F" w:rsidR="2D036B2A" w:rsidRPr="00BD6499" w:rsidRDefault="2D036B2A" w:rsidP="00AF6E8B">
      <w:pPr>
        <w:pStyle w:val="Bulletedlist"/>
        <w:numPr>
          <w:ilvl w:val="0"/>
          <w:numId w:val="0"/>
        </w:numPr>
        <w:spacing w:after="0"/>
      </w:pPr>
    </w:p>
    <w:p w14:paraId="0F002292" w14:textId="32A7E53C" w:rsidR="713CEA1C" w:rsidRPr="00BD6499" w:rsidRDefault="713CEA1C" w:rsidP="00A06FE2">
      <w:pPr>
        <w:pStyle w:val="Recs"/>
        <w:rPr>
          <w:lang w:val="en-AU"/>
        </w:rPr>
      </w:pPr>
      <w:r w:rsidRPr="00BD6499">
        <w:rPr>
          <w:lang w:val="en-AU"/>
        </w:rPr>
        <w:t xml:space="preserve">Provide </w:t>
      </w:r>
      <w:r w:rsidR="7EFCE163" w:rsidRPr="00BD6499">
        <w:rPr>
          <w:lang w:val="en-AU"/>
        </w:rPr>
        <w:t>permanent</w:t>
      </w:r>
      <w:r w:rsidRPr="00BD6499">
        <w:rPr>
          <w:lang w:val="en-AU"/>
        </w:rPr>
        <w:t xml:space="preserve"> legislative protections for people experiencing domestic violence during their residential tenancy.</w:t>
      </w:r>
    </w:p>
    <w:p w14:paraId="57741373" w14:textId="77777777" w:rsidR="2D036B2A" w:rsidRPr="00BD6499" w:rsidRDefault="2D036B2A" w:rsidP="2D036B2A">
      <w:pPr>
        <w:pStyle w:val="Bulletedlist"/>
        <w:numPr>
          <w:ilvl w:val="0"/>
          <w:numId w:val="0"/>
        </w:numPr>
        <w:ind w:left="720"/>
      </w:pPr>
    </w:p>
    <w:p w14:paraId="49A17E01" w14:textId="7E4563F7" w:rsidR="22BF5878" w:rsidRPr="00BD6499" w:rsidRDefault="4EFA8A83" w:rsidP="2D036B2A">
      <w:pPr>
        <w:pStyle w:val="Bulletedlist"/>
        <w:numPr>
          <w:ilvl w:val="0"/>
          <w:numId w:val="0"/>
        </w:numPr>
      </w:pPr>
      <w:r w:rsidRPr="00BD6499">
        <w:rPr>
          <w:i/>
          <w:iCs/>
        </w:rPr>
        <w:t xml:space="preserve">Recommendations - </w:t>
      </w:r>
      <w:r w:rsidR="22BF5878" w:rsidRPr="00BD6499">
        <w:rPr>
          <w:i/>
          <w:iCs/>
        </w:rPr>
        <w:t>Emergency response</w:t>
      </w:r>
      <w:r w:rsidR="2374CFAF" w:rsidRPr="00BD6499">
        <w:t xml:space="preserve"> </w:t>
      </w:r>
    </w:p>
    <w:p w14:paraId="635717A9" w14:textId="2B6366A8" w:rsidR="0016668D" w:rsidRPr="00BD6499" w:rsidRDefault="0016668D" w:rsidP="00AF6E8B">
      <w:pPr>
        <w:pStyle w:val="Bulletedlist"/>
        <w:numPr>
          <w:ilvl w:val="0"/>
          <w:numId w:val="0"/>
        </w:numPr>
        <w:spacing w:after="0"/>
      </w:pPr>
    </w:p>
    <w:p w14:paraId="3ABC83D3" w14:textId="2DF2713D" w:rsidR="00242E00" w:rsidRDefault="3E55AAAD" w:rsidP="00242E00">
      <w:pPr>
        <w:pStyle w:val="Recs"/>
        <w:rPr>
          <w:lang w:val="en-AU"/>
        </w:rPr>
      </w:pPr>
      <w:r w:rsidRPr="00BD6499">
        <w:rPr>
          <w:lang w:val="en-AU"/>
        </w:rPr>
        <w:t>Amend t</w:t>
      </w:r>
      <w:r w:rsidR="56DD1BF5" w:rsidRPr="00BD6499">
        <w:rPr>
          <w:lang w:val="en-AU"/>
        </w:rPr>
        <w:t xml:space="preserve">he </w:t>
      </w:r>
      <w:r w:rsidRPr="00BD6499">
        <w:rPr>
          <w:i/>
          <w:iCs/>
          <w:lang w:val="en-AU"/>
        </w:rPr>
        <w:t>Public Health Act</w:t>
      </w:r>
      <w:r w:rsidRPr="00BD6499">
        <w:rPr>
          <w:lang w:val="en-AU"/>
        </w:rPr>
        <w:t xml:space="preserve"> </w:t>
      </w:r>
      <w:r w:rsidR="214FFAB2" w:rsidRPr="00BD6499">
        <w:rPr>
          <w:lang w:val="en-AU"/>
        </w:rPr>
        <w:t>to</w:t>
      </w:r>
      <w:r w:rsidRPr="00BD6499">
        <w:rPr>
          <w:lang w:val="en-AU"/>
        </w:rPr>
        <w:t xml:space="preserve"> allow </w:t>
      </w:r>
      <w:r w:rsidR="10C54901" w:rsidRPr="00BD6499">
        <w:rPr>
          <w:lang w:val="en-AU"/>
        </w:rPr>
        <w:t>the</w:t>
      </w:r>
      <w:r w:rsidRPr="00BD6499">
        <w:rPr>
          <w:lang w:val="en-AU"/>
        </w:rPr>
        <w:t xml:space="preserve"> exercise of powers under Chapter Part 7A only as part of a declared public health emergency.</w:t>
      </w:r>
    </w:p>
    <w:p w14:paraId="17FD3F2E" w14:textId="3F49E6BB" w:rsidR="00A536E7" w:rsidRDefault="00A536E7" w:rsidP="00F75D60"/>
    <w:p w14:paraId="6E9DA59A" w14:textId="23BCFCA1" w:rsidR="7C36FA07" w:rsidRPr="00BD6499" w:rsidRDefault="4E3300B9" w:rsidP="00A06FE2">
      <w:pPr>
        <w:pStyle w:val="Recs"/>
        <w:rPr>
          <w:lang w:val="en-AU"/>
        </w:rPr>
      </w:pPr>
      <w:r w:rsidRPr="00BD6499">
        <w:rPr>
          <w:lang w:val="en-AU"/>
        </w:rPr>
        <w:t>Publicly r</w:t>
      </w:r>
      <w:r w:rsidR="7C36FA07" w:rsidRPr="00BD6499">
        <w:rPr>
          <w:lang w:val="en-AU"/>
        </w:rPr>
        <w:t xml:space="preserve">elease de-identified demographic data about recipients of Public Health Infringement Notices in order to evaluate </w:t>
      </w:r>
      <w:r w:rsidR="4CEBB6DE" w:rsidRPr="00BD6499">
        <w:rPr>
          <w:lang w:val="en-AU"/>
        </w:rPr>
        <w:t xml:space="preserve">whether particular communities are </w:t>
      </w:r>
      <w:r w:rsidR="3BE43BBE" w:rsidRPr="00BD6499">
        <w:rPr>
          <w:lang w:val="en-AU"/>
        </w:rPr>
        <w:t xml:space="preserve">being </w:t>
      </w:r>
      <w:r w:rsidR="4CEBB6DE" w:rsidRPr="00BD6499">
        <w:rPr>
          <w:lang w:val="en-AU"/>
        </w:rPr>
        <w:t xml:space="preserve">disproportionately impacted by the enforcement </w:t>
      </w:r>
      <w:r w:rsidR="1E469177" w:rsidRPr="00BD6499">
        <w:rPr>
          <w:lang w:val="en-AU"/>
        </w:rPr>
        <w:t xml:space="preserve">of the </w:t>
      </w:r>
      <w:r w:rsidR="00EB58F8">
        <w:rPr>
          <w:lang w:val="en-AU"/>
        </w:rPr>
        <w:t>Public</w:t>
      </w:r>
      <w:r w:rsidR="00D85B08" w:rsidRPr="00BD6499">
        <w:rPr>
          <w:lang w:val="en-AU"/>
        </w:rPr>
        <w:t xml:space="preserve"> </w:t>
      </w:r>
      <w:r w:rsidR="00EB58F8">
        <w:rPr>
          <w:lang w:val="en-AU"/>
        </w:rPr>
        <w:t>H</w:t>
      </w:r>
      <w:r w:rsidR="00D85B08" w:rsidRPr="00BD6499">
        <w:rPr>
          <w:lang w:val="en-AU"/>
        </w:rPr>
        <w:t xml:space="preserve">ealth </w:t>
      </w:r>
      <w:r w:rsidR="00EB58F8">
        <w:rPr>
          <w:lang w:val="en-AU"/>
        </w:rPr>
        <w:t>D</w:t>
      </w:r>
      <w:r w:rsidR="00D85B08" w:rsidRPr="00BD6499">
        <w:rPr>
          <w:lang w:val="en-AU"/>
        </w:rPr>
        <w:t>irections</w:t>
      </w:r>
      <w:r w:rsidR="4CEBB6DE" w:rsidRPr="00BD6499">
        <w:rPr>
          <w:lang w:val="en-AU"/>
        </w:rPr>
        <w:t>.</w:t>
      </w:r>
    </w:p>
    <w:p w14:paraId="6633781B" w14:textId="2E4D34D5" w:rsidR="1953EA6A" w:rsidRPr="00BD6499" w:rsidRDefault="1953EA6A" w:rsidP="1953EA6A">
      <w:pPr>
        <w:pStyle w:val="Bulletedlist"/>
        <w:numPr>
          <w:ilvl w:val="0"/>
          <w:numId w:val="0"/>
        </w:numPr>
      </w:pPr>
    </w:p>
    <w:p w14:paraId="3333DEBE" w14:textId="0DBE5440" w:rsidR="22BF5878" w:rsidRPr="00BD6499" w:rsidRDefault="6D589DB2" w:rsidP="2D036B2A">
      <w:pPr>
        <w:pStyle w:val="Bulletedlist"/>
        <w:numPr>
          <w:ilvl w:val="0"/>
          <w:numId w:val="0"/>
        </w:numPr>
        <w:rPr>
          <w:i/>
          <w:iCs/>
        </w:rPr>
      </w:pPr>
      <w:r w:rsidRPr="00BD6499">
        <w:rPr>
          <w:i/>
          <w:iCs/>
        </w:rPr>
        <w:t xml:space="preserve">Recommendations - </w:t>
      </w:r>
      <w:r w:rsidR="22BF5878" w:rsidRPr="00BD6499">
        <w:rPr>
          <w:i/>
          <w:iCs/>
        </w:rPr>
        <w:t>Parliamentary process</w:t>
      </w:r>
    </w:p>
    <w:p w14:paraId="2C961A65" w14:textId="384AAD95" w:rsidR="003335B4" w:rsidRPr="00BD6499" w:rsidRDefault="003335B4" w:rsidP="00AF6E8B">
      <w:pPr>
        <w:pStyle w:val="Bulletedlist"/>
        <w:numPr>
          <w:ilvl w:val="0"/>
          <w:numId w:val="0"/>
        </w:numPr>
        <w:spacing w:after="0"/>
      </w:pPr>
    </w:p>
    <w:p w14:paraId="2E725C81" w14:textId="04BEC0E0" w:rsidR="00BF600F" w:rsidRDefault="2048A9A3" w:rsidP="00520999">
      <w:pPr>
        <w:pStyle w:val="Recs"/>
        <w:rPr>
          <w:lang w:val="en-AU"/>
        </w:rPr>
      </w:pPr>
      <w:r w:rsidRPr="00BD6499">
        <w:rPr>
          <w:lang w:val="en-AU"/>
        </w:rPr>
        <w:t xml:space="preserve">Maintain parliamentary scrutiny processes wherever possible along with stakeholder engagement prior to passing </w:t>
      </w:r>
      <w:r w:rsidR="71845DBB" w:rsidRPr="00BD6499">
        <w:rPr>
          <w:lang w:val="en-AU"/>
        </w:rPr>
        <w:t>legislation</w:t>
      </w:r>
      <w:r w:rsidR="73C2E7DD" w:rsidRPr="00BD6499">
        <w:rPr>
          <w:lang w:val="en-AU"/>
        </w:rPr>
        <w:t xml:space="preserve"> and subordinate legislation</w:t>
      </w:r>
      <w:r w:rsidR="67127A41" w:rsidRPr="00BD6499">
        <w:rPr>
          <w:lang w:val="en-AU"/>
        </w:rPr>
        <w:t xml:space="preserve">. </w:t>
      </w:r>
      <w:r w:rsidR="558DF3A6" w:rsidRPr="00BD6499">
        <w:rPr>
          <w:lang w:val="en-AU"/>
        </w:rPr>
        <w:t>Consider whether</w:t>
      </w:r>
      <w:r w:rsidR="3B85B4CA" w:rsidRPr="00BD6499">
        <w:rPr>
          <w:lang w:val="en-AU"/>
        </w:rPr>
        <w:t xml:space="preserve"> legislation that has been passed </w:t>
      </w:r>
      <w:r w:rsidR="74669AA7" w:rsidRPr="00BD6499">
        <w:rPr>
          <w:lang w:val="en-AU"/>
        </w:rPr>
        <w:t xml:space="preserve">without proper scrutiny </w:t>
      </w:r>
      <w:r w:rsidR="3B85B4CA" w:rsidRPr="00BD6499">
        <w:rPr>
          <w:lang w:val="en-AU"/>
        </w:rPr>
        <w:t>should be referred to the relevant committee for retrospective scrutiny</w:t>
      </w:r>
      <w:r w:rsidRPr="00BD6499">
        <w:rPr>
          <w:lang w:val="en-AU"/>
        </w:rPr>
        <w:t>.</w:t>
      </w:r>
    </w:p>
    <w:p w14:paraId="63D62C53" w14:textId="5DD0EB2D" w:rsidR="00520999" w:rsidRPr="00520999" w:rsidRDefault="00520999" w:rsidP="00520999">
      <w:pPr>
        <w:pStyle w:val="Recs"/>
        <w:numPr>
          <w:ilvl w:val="0"/>
          <w:numId w:val="0"/>
        </w:numPr>
        <w:rPr>
          <w:lang w:val="en-AU"/>
        </w:rPr>
      </w:pPr>
    </w:p>
    <w:p w14:paraId="6BB9E253" w14:textId="0612366F" w:rsidR="004418EC" w:rsidRPr="00833D30" w:rsidRDefault="00C31230" w:rsidP="00A06FE2">
      <w:pPr>
        <w:pStyle w:val="Numberedparagraph"/>
      </w:pPr>
      <w:r w:rsidRPr="00806B54">
        <w:t>Thank you for the opportunity to provide this submission.</w:t>
      </w:r>
      <w:r w:rsidR="00806B54" w:rsidRPr="00806B54">
        <w:t xml:space="preserve"> The Commission would be pleased to provide any further assistance to the Committee. </w:t>
      </w:r>
    </w:p>
    <w:sectPr w:rsidR="004418EC" w:rsidRPr="00833D30" w:rsidSect="00CB0BBF">
      <w:headerReference w:type="default" r:id="rId19"/>
      <w:headerReference w:type="first" r:id="rId20"/>
      <w:footerReference w:type="first" r:id="rId21"/>
      <w:pgSz w:w="11900" w:h="16840" w:code="9"/>
      <w:pgMar w:top="1440" w:right="1701" w:bottom="1361" w:left="1701" w:header="709"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6563" w16cex:dateUtc="2020-07-02T03:53:00Z"/>
  <w16cex:commentExtensible w16cex:durableId="4DF70D73" w16cex:dateUtc="2020-07-02T04:35:00Z"/>
  <w16cex:commentExtensible w16cex:durableId="22A87F39" w16cex:dateUtc="2020-07-02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A456B6" w16cid:durableId="2DD3D40D"/>
  <w16cid:commentId w16cid:paraId="04159630" w16cid:durableId="22A86563"/>
  <w16cid:commentId w16cid:paraId="7569BC8E" w16cid:durableId="4DF70D73"/>
  <w16cid:commentId w16cid:paraId="57FD56EF" w16cid:durableId="22A87F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59844" w14:textId="77777777" w:rsidR="004A673A" w:rsidRDefault="004A673A" w:rsidP="0034134D">
      <w:r>
        <w:separator/>
      </w:r>
    </w:p>
  </w:endnote>
  <w:endnote w:type="continuationSeparator" w:id="0">
    <w:p w14:paraId="30EA8D6F" w14:textId="77777777" w:rsidR="004A673A" w:rsidRDefault="004A673A" w:rsidP="0034134D">
      <w:r>
        <w:continuationSeparator/>
      </w:r>
    </w:p>
  </w:endnote>
  <w:endnote w:type="continuationNotice" w:id="1">
    <w:p w14:paraId="18117959" w14:textId="77777777" w:rsidR="004A673A" w:rsidRDefault="004A6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9E56" w14:textId="77777777" w:rsidR="004A673A" w:rsidRDefault="004A6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006E" w14:textId="2841DABA" w:rsidR="004A673A" w:rsidRPr="00260847" w:rsidRDefault="004A673A"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54C40720" wp14:editId="7F524BBC">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16"/>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16"/>
      </w:rPr>
      <w:fldChar w:fldCharType="begin"/>
    </w:r>
    <w:r w:rsidRPr="00260847">
      <w:rPr>
        <w:rFonts w:ascii="Arial" w:hAnsi="Arial" w:cs="Arial"/>
        <w:color w:val="404040" w:themeColor="text1" w:themeTint="BF"/>
        <w:sz w:val="16"/>
        <w:szCs w:val="16"/>
      </w:rPr>
      <w:instrText xml:space="preserve"> PAGE   \* MERGEFORMAT </w:instrText>
    </w:r>
    <w:r w:rsidRPr="00260847">
      <w:rPr>
        <w:rFonts w:ascii="Arial" w:hAnsi="Arial" w:cs="Arial"/>
        <w:color w:val="404040" w:themeColor="text1" w:themeTint="BF"/>
        <w:sz w:val="16"/>
        <w:szCs w:val="16"/>
      </w:rPr>
      <w:fldChar w:fldCharType="separate"/>
    </w:r>
    <w:r w:rsidR="005D799C">
      <w:rPr>
        <w:rFonts w:ascii="Arial" w:hAnsi="Arial" w:cs="Arial"/>
        <w:noProof/>
        <w:color w:val="404040" w:themeColor="text1" w:themeTint="BF"/>
        <w:sz w:val="16"/>
        <w:szCs w:val="16"/>
      </w:rPr>
      <w:t>29</w:t>
    </w:r>
    <w:r w:rsidRPr="00260847">
      <w:rPr>
        <w:rFonts w:ascii="Arial" w:hAnsi="Arial" w:cs="Arial"/>
        <w:noProof/>
        <w:color w:val="404040" w:themeColor="text1" w:themeTint="B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10EB" w14:textId="77777777" w:rsidR="004A673A" w:rsidRDefault="004A67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5D23" w14:textId="77777777" w:rsidR="004A673A" w:rsidRDefault="004A673A" w:rsidP="000731D3">
    <w:pPr>
      <w:pStyle w:val="Footer"/>
      <w:pBdr>
        <w:top w:val="single" w:sz="4" w:space="1" w:color="auto"/>
      </w:pBdr>
      <w:jc w:val="right"/>
      <w:rPr>
        <w:rFonts w:ascii="Arial" w:hAnsi="Arial" w:cs="Arial"/>
        <w:sz w:val="20"/>
        <w:szCs w:val="20"/>
      </w:rPr>
    </w:pPr>
  </w:p>
  <w:p w14:paraId="37E1C4F8" w14:textId="77777777" w:rsidR="004A673A" w:rsidRPr="004A2375" w:rsidRDefault="004A673A"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ADF36" w14:textId="77777777" w:rsidR="004A673A" w:rsidRDefault="004A673A" w:rsidP="0034134D">
      <w:r>
        <w:separator/>
      </w:r>
    </w:p>
  </w:footnote>
  <w:footnote w:type="continuationSeparator" w:id="0">
    <w:p w14:paraId="36D4E26E" w14:textId="77777777" w:rsidR="004A673A" w:rsidRDefault="004A673A" w:rsidP="0034134D">
      <w:r>
        <w:continuationSeparator/>
      </w:r>
    </w:p>
  </w:footnote>
  <w:footnote w:type="continuationNotice" w:id="1">
    <w:p w14:paraId="24DE43BE" w14:textId="77777777" w:rsidR="004A673A" w:rsidRDefault="004A673A"/>
  </w:footnote>
  <w:footnote w:id="2">
    <w:p w14:paraId="2C47D69D" w14:textId="7E903F8D" w:rsidR="004A673A" w:rsidRPr="00585211" w:rsidRDefault="004A673A" w:rsidP="00DE5232">
      <w:pPr>
        <w:pStyle w:val="FootnoteText"/>
        <w:rPr>
          <w:lang w:val="en-US"/>
        </w:rPr>
      </w:pPr>
      <w:r>
        <w:rPr>
          <w:rStyle w:val="FootnoteReference"/>
        </w:rPr>
        <w:footnoteRef/>
      </w:r>
      <w:r>
        <w:t xml:space="preserve"> </w:t>
      </w:r>
      <w:r w:rsidRPr="00585211">
        <w:rPr>
          <w:i/>
        </w:rPr>
        <w:t>COVID-19 Emergency Response Act 2020</w:t>
      </w:r>
      <w:r>
        <w:t>.</w:t>
      </w:r>
    </w:p>
  </w:footnote>
  <w:footnote w:id="3">
    <w:p w14:paraId="6F3CEE12" w14:textId="7F042D5B" w:rsidR="004A673A" w:rsidRPr="00585211" w:rsidRDefault="004A673A" w:rsidP="00DE5232">
      <w:pPr>
        <w:pStyle w:val="FootnoteText"/>
        <w:rPr>
          <w:lang w:val="en-US"/>
        </w:rPr>
      </w:pPr>
      <w:r>
        <w:rPr>
          <w:rStyle w:val="FootnoteReference"/>
        </w:rPr>
        <w:footnoteRef/>
      </w:r>
      <w:r>
        <w:t xml:space="preserve"> </w:t>
      </w:r>
      <w:r>
        <w:rPr>
          <w:i/>
        </w:rPr>
        <w:t xml:space="preserve">Human Rights Act 2019 </w:t>
      </w:r>
      <w:r w:rsidRPr="00DE2733">
        <w:t>s 41</w:t>
      </w:r>
      <w:r>
        <w:t>.</w:t>
      </w:r>
    </w:p>
  </w:footnote>
  <w:footnote w:id="4">
    <w:p w14:paraId="751AAB5A" w14:textId="5E4CFD62" w:rsidR="004A673A" w:rsidRDefault="004A673A" w:rsidP="00DE5232">
      <w:pPr>
        <w:pStyle w:val="FootnoteText"/>
        <w:rPr>
          <w:lang w:val="en-US"/>
        </w:rPr>
      </w:pPr>
      <w:r>
        <w:rPr>
          <w:rStyle w:val="FootnoteReference"/>
        </w:rPr>
        <w:footnoteRef/>
      </w:r>
      <w:r>
        <w:t xml:space="preserve"> </w:t>
      </w:r>
      <w:r>
        <w:rPr>
          <w:i/>
        </w:rPr>
        <w:t>Human Rights Act 2019</w:t>
      </w:r>
      <w:r w:rsidRPr="00DE2733">
        <w:t xml:space="preserve"> s 58</w:t>
      </w:r>
      <w:r>
        <w:t xml:space="preserve">. </w:t>
      </w:r>
    </w:p>
  </w:footnote>
  <w:footnote w:id="5">
    <w:p w14:paraId="1814AFD4" w14:textId="22C035D7" w:rsidR="001A1E45" w:rsidRPr="00DE2733" w:rsidRDefault="001A1E45">
      <w:pPr>
        <w:pStyle w:val="FootnoteText"/>
        <w:rPr>
          <w:lang w:val="en-US"/>
        </w:rPr>
      </w:pPr>
      <w:r>
        <w:rPr>
          <w:rStyle w:val="FootnoteReference"/>
        </w:rPr>
        <w:footnoteRef/>
      </w:r>
      <w:r>
        <w:t xml:space="preserve"> </w:t>
      </w:r>
      <w:r>
        <w:rPr>
          <w:lang w:val="en-US"/>
        </w:rPr>
        <w:t xml:space="preserve">Queensland Human Rights Commission, </w:t>
      </w:r>
      <w:r w:rsidRPr="00DE2733">
        <w:rPr>
          <w:i/>
          <w:lang w:val="en-US"/>
        </w:rPr>
        <w:t>COVID-19 and human rights</w:t>
      </w:r>
      <w:r>
        <w:rPr>
          <w:lang w:val="en-US"/>
        </w:rPr>
        <w:t xml:space="preserve"> (Web page, 1 May 2020) ,&lt;</w:t>
      </w:r>
      <w:r w:rsidRPr="00DE2733">
        <w:t>https://www.qhrc.qld.gov.au/your-rights/covid-19-and-human-rights</w:t>
      </w:r>
      <w:r>
        <w:t>&gt;.</w:t>
      </w:r>
    </w:p>
  </w:footnote>
  <w:footnote w:id="6">
    <w:p w14:paraId="728333AC" w14:textId="4A38E4A5" w:rsidR="004A673A" w:rsidRDefault="004A673A" w:rsidP="36E14592">
      <w:pPr>
        <w:pStyle w:val="FootnoteText"/>
      </w:pPr>
      <w:r w:rsidRPr="36E14592">
        <w:rPr>
          <w:rStyle w:val="FootnoteReference"/>
        </w:rPr>
        <w:footnoteRef/>
      </w:r>
      <w:r>
        <w:t xml:space="preserve"> A person may phone or email the Commission to enquire about an issue. Formal complaints must be made in writing.</w:t>
      </w:r>
    </w:p>
  </w:footnote>
  <w:footnote w:id="7">
    <w:p w14:paraId="49366BAF" w14:textId="262AB762" w:rsidR="001F033F" w:rsidRPr="001F033F" w:rsidRDefault="001F033F">
      <w:pPr>
        <w:pStyle w:val="FootnoteText"/>
        <w:rPr>
          <w:lang w:val="en-US"/>
        </w:rPr>
      </w:pPr>
      <w:r>
        <w:rPr>
          <w:rStyle w:val="FootnoteReference"/>
        </w:rPr>
        <w:footnoteRef/>
      </w:r>
      <w:r>
        <w:t xml:space="preserve"> </w:t>
      </w:r>
      <w:r>
        <w:rPr>
          <w:i/>
        </w:rPr>
        <w:t>Human Rights Act 2019</w:t>
      </w:r>
      <w:r>
        <w:t xml:space="preserve"> s 30.</w:t>
      </w:r>
    </w:p>
  </w:footnote>
  <w:footnote w:id="8">
    <w:p w14:paraId="60D97B67" w14:textId="21017145" w:rsidR="004A673A" w:rsidRPr="008E4C3D" w:rsidRDefault="004A673A" w:rsidP="005808D5">
      <w:pPr>
        <w:pStyle w:val="FootnoteText"/>
        <w:rPr>
          <w:lang w:val="en-US"/>
        </w:rPr>
      </w:pPr>
      <w:r>
        <w:rPr>
          <w:rStyle w:val="FootnoteReference"/>
        </w:rPr>
        <w:footnoteRef/>
      </w:r>
      <w:r>
        <w:t xml:space="preserve"> See</w:t>
      </w:r>
      <w:r w:rsidR="000C30BB">
        <w:t>,</w:t>
      </w:r>
      <w:r>
        <w:t xml:space="preserve"> for example, the post during Law Week: ‘COVID-19 </w:t>
      </w:r>
      <w:r w:rsidR="00F359D2">
        <w:t>-</w:t>
      </w:r>
      <w:r>
        <w:t xml:space="preserve">versus- Human Rights’ </w:t>
      </w:r>
      <w:r w:rsidR="00F359D2" w:rsidRPr="00DE2733">
        <w:rPr>
          <w:i/>
        </w:rPr>
        <w:t>Queensland Corrective Services</w:t>
      </w:r>
      <w:r w:rsidR="00F359D2">
        <w:t xml:space="preserve"> </w:t>
      </w:r>
      <w:r>
        <w:t>(Web Page, 20 May 2020)</w:t>
      </w:r>
      <w:r w:rsidR="00F359D2">
        <w:t xml:space="preserve"> &lt;</w:t>
      </w:r>
      <w:r w:rsidR="00F359D2" w:rsidRPr="00DE2733">
        <w:t>https://corrections.qld.gov.au/covid-19-v</w:t>
      </w:r>
      <w:r w:rsidR="00F359D2" w:rsidRPr="00F359D2">
        <w:t>ersus-human-rights/&gt;.</w:t>
      </w:r>
    </w:p>
  </w:footnote>
  <w:footnote w:id="9">
    <w:p w14:paraId="78E90378" w14:textId="3F9643DE" w:rsidR="004A673A" w:rsidRPr="00EF1754" w:rsidRDefault="004A673A" w:rsidP="005808D5">
      <w:pPr>
        <w:pStyle w:val="FootnoteText"/>
        <w:rPr>
          <w:lang w:val="en-US"/>
        </w:rPr>
      </w:pPr>
      <w:r>
        <w:rPr>
          <w:rStyle w:val="FootnoteReference"/>
        </w:rPr>
        <w:footnoteRef/>
      </w:r>
      <w:r>
        <w:t xml:space="preserve"> </w:t>
      </w:r>
      <w:r w:rsidR="000C30BB">
        <w:t>Queensland Corrective Services, ‘Recovery Commencement Plan</w:t>
      </w:r>
      <w:r w:rsidR="00164C4D">
        <w:t xml:space="preserve">’, </w:t>
      </w:r>
      <w:r w:rsidR="00164C4D" w:rsidRPr="00DE2733">
        <w:rPr>
          <w:i/>
        </w:rPr>
        <w:t>COVID-19 (Coronavirus): Information for stakeholders</w:t>
      </w:r>
      <w:r w:rsidR="00164C4D">
        <w:t xml:space="preserve"> (Web Page, 3 July 2020), &lt;</w:t>
      </w:r>
      <w:r w:rsidR="00164C4D" w:rsidRPr="00DE2733">
        <w:t>https://corrections.qld.gov.au/covid-19-coronavirus-information-for-stakeholders/</w:t>
      </w:r>
      <w:r w:rsidR="00164C4D">
        <w:t xml:space="preserve">&gt;.  </w:t>
      </w:r>
      <w:r w:rsidR="000C30BB">
        <w:t xml:space="preserve"> </w:t>
      </w:r>
    </w:p>
  </w:footnote>
  <w:footnote w:id="10">
    <w:p w14:paraId="49228BC6" w14:textId="77777777" w:rsidR="004A673A" w:rsidRPr="00EF1754" w:rsidRDefault="004A673A" w:rsidP="005808D5">
      <w:pPr>
        <w:pStyle w:val="FootnoteText"/>
        <w:rPr>
          <w:lang w:val="en-US"/>
        </w:rPr>
      </w:pPr>
      <w:r>
        <w:rPr>
          <w:rStyle w:val="FootnoteReference"/>
        </w:rPr>
        <w:footnoteRef/>
      </w:r>
      <w:r>
        <w:t xml:space="preserve"> See the Chief Health Officer’s </w:t>
      </w:r>
      <w:r w:rsidRPr="00B479E8">
        <w:rPr>
          <w:i/>
        </w:rPr>
        <w:t>Corrective Services Facilities Direction (No. 2)</w:t>
      </w:r>
      <w:r>
        <w:t xml:space="preserve"> made under the </w:t>
      </w:r>
      <w:r>
        <w:rPr>
          <w:i/>
        </w:rPr>
        <w:t xml:space="preserve">Public Health Act 2005 </w:t>
      </w:r>
      <w:r>
        <w:t xml:space="preserve">and various </w:t>
      </w:r>
      <w:r>
        <w:rPr>
          <w:i/>
        </w:rPr>
        <w:t xml:space="preserve">COVID-19 Emergency Declaration Directions </w:t>
      </w:r>
      <w:r>
        <w:t xml:space="preserve">made under the </w:t>
      </w:r>
      <w:r>
        <w:rPr>
          <w:i/>
        </w:rPr>
        <w:t xml:space="preserve">Corrective Services Act 2006. </w:t>
      </w:r>
      <w:r>
        <w:t xml:space="preserve"> </w:t>
      </w:r>
      <w:r>
        <w:rPr>
          <w:lang w:val="en-US"/>
        </w:rPr>
        <w:t>It may aid understanding in future if such measures are contained in a single legislative instrument.</w:t>
      </w:r>
    </w:p>
  </w:footnote>
  <w:footnote w:id="11">
    <w:p w14:paraId="5176DE18" w14:textId="31481080" w:rsidR="004A673A" w:rsidRPr="00A97581" w:rsidRDefault="004A673A">
      <w:pPr>
        <w:pStyle w:val="FootnoteText"/>
        <w:rPr>
          <w:lang w:val="en-US"/>
        </w:rPr>
      </w:pPr>
      <w:r>
        <w:rPr>
          <w:rStyle w:val="FootnoteReference"/>
        </w:rPr>
        <w:footnoteRef/>
      </w:r>
      <w:r w:rsidR="006B4A17">
        <w:t xml:space="preserve"> Queensland Corrective Services, ‘How will an isolated prisoner be managed?’, </w:t>
      </w:r>
      <w:r w:rsidR="006B4A17" w:rsidRPr="00FB5D92">
        <w:rPr>
          <w:i/>
        </w:rPr>
        <w:t>COVID-19 (Coronavirus): Information for stakeholders</w:t>
      </w:r>
      <w:r w:rsidR="006B4A17">
        <w:t xml:space="preserve"> (Web Page, 12 June 2020), &lt;</w:t>
      </w:r>
      <w:r w:rsidR="006B4A17" w:rsidRPr="00FB5D92">
        <w:t>https://corrections.qld.gov.au/covid-19-coronavirus-information-for-stakeholders/</w:t>
      </w:r>
      <w:r w:rsidR="006B4A17">
        <w:t>&gt;.</w:t>
      </w:r>
    </w:p>
  </w:footnote>
  <w:footnote w:id="12">
    <w:p w14:paraId="26D01184" w14:textId="709A3A2B" w:rsidR="004A673A" w:rsidRPr="00EF1754" w:rsidRDefault="004A673A" w:rsidP="005808D5">
      <w:pPr>
        <w:pStyle w:val="FootnoteText"/>
        <w:rPr>
          <w:lang w:val="en-US"/>
        </w:rPr>
      </w:pPr>
      <w:r>
        <w:rPr>
          <w:rStyle w:val="FootnoteReference"/>
        </w:rPr>
        <w:footnoteRef/>
      </w:r>
      <w:r>
        <w:t xml:space="preserve"> </w:t>
      </w:r>
      <w:r w:rsidR="00EC36CA" w:rsidRPr="00DE2733">
        <w:rPr>
          <w:i/>
        </w:rPr>
        <w:t xml:space="preserve">United Nations </w:t>
      </w:r>
      <w:r w:rsidRPr="00562C09">
        <w:rPr>
          <w:i/>
        </w:rPr>
        <w:t>Standard Minimum Rules for the Treatment of Prisoners</w:t>
      </w:r>
      <w:r>
        <w:t xml:space="preserve"> (the</w:t>
      </w:r>
      <w:r w:rsidRPr="00562C09">
        <w:t xml:space="preserve"> </w:t>
      </w:r>
      <w:r w:rsidR="00EC36CA">
        <w:t xml:space="preserve">Nelson </w:t>
      </w:r>
      <w:r w:rsidRPr="00562C09">
        <w:t>Mandela Rules</w:t>
      </w:r>
      <w:r>
        <w:t>)</w:t>
      </w:r>
      <w:r w:rsidR="00EC36CA">
        <w:t xml:space="preserve">, GA Res 70/175, </w:t>
      </w:r>
      <w:r>
        <w:t>UN</w:t>
      </w:r>
      <w:r w:rsidR="00EC36CA">
        <w:t xml:space="preserve"> </w:t>
      </w:r>
      <w:r>
        <w:t>D</w:t>
      </w:r>
      <w:r w:rsidR="00EC36CA">
        <w:t>oc</w:t>
      </w:r>
      <w:r>
        <w:t xml:space="preserve"> A/</w:t>
      </w:r>
      <w:r w:rsidR="00EC36CA">
        <w:t>RES</w:t>
      </w:r>
      <w:r>
        <w:t>/70/</w:t>
      </w:r>
      <w:r w:rsidR="00EC36CA">
        <w:t>175</w:t>
      </w:r>
      <w:r>
        <w:t xml:space="preserve"> (</w:t>
      </w:r>
      <w:r w:rsidR="00EC36CA">
        <w:t>17</w:t>
      </w:r>
      <w:r>
        <w:t xml:space="preserve"> </w:t>
      </w:r>
      <w:r w:rsidR="00EC36CA">
        <w:t xml:space="preserve">December </w:t>
      </w:r>
      <w:r>
        <w:t>2015)</w:t>
      </w:r>
      <w:r w:rsidR="00EC36CA">
        <w:t xml:space="preserve"> Rule 44</w:t>
      </w:r>
      <w:r>
        <w:t xml:space="preserve">. </w:t>
      </w:r>
      <w:r w:rsidRPr="00AC71B1">
        <w:rPr>
          <w:rFonts w:cs="Arial"/>
          <w:szCs w:val="18"/>
          <w:lang w:val="en-US"/>
        </w:rPr>
        <w:t>See</w:t>
      </w:r>
      <w:r>
        <w:rPr>
          <w:rFonts w:cs="Arial"/>
          <w:szCs w:val="18"/>
          <w:lang w:val="en-US"/>
        </w:rPr>
        <w:t xml:space="preserve"> also </w:t>
      </w:r>
      <w:r>
        <w:rPr>
          <w:rFonts w:cs="Arial"/>
          <w:i/>
          <w:szCs w:val="18"/>
          <w:lang w:val="en-US"/>
        </w:rPr>
        <w:t>Human Rights Act 2019</w:t>
      </w:r>
      <w:r>
        <w:rPr>
          <w:rFonts w:cs="Arial"/>
          <w:szCs w:val="18"/>
          <w:lang w:val="en-US"/>
        </w:rPr>
        <w:t xml:space="preserve"> </w:t>
      </w:r>
      <w:r w:rsidR="00684EC7">
        <w:rPr>
          <w:rFonts w:cs="Arial"/>
          <w:szCs w:val="18"/>
          <w:lang w:val="en-US"/>
        </w:rPr>
        <w:t>s 30 (H</w:t>
      </w:r>
      <w:r w:rsidR="00684EC7" w:rsidRPr="00EF1754">
        <w:rPr>
          <w:rFonts w:cs="Arial"/>
          <w:szCs w:val="18"/>
          <w:lang w:val="en-US"/>
        </w:rPr>
        <w:t>umane treatment when deprived of liberty</w:t>
      </w:r>
      <w:r w:rsidR="00684EC7">
        <w:rPr>
          <w:rFonts w:cs="Arial"/>
          <w:szCs w:val="18"/>
          <w:lang w:val="en-US"/>
        </w:rPr>
        <w:t>)</w:t>
      </w:r>
      <w:r w:rsidR="00684EC7" w:rsidRPr="00AC71B1">
        <w:rPr>
          <w:rFonts w:cs="Arial"/>
          <w:szCs w:val="18"/>
          <w:lang w:val="en-US"/>
        </w:rPr>
        <w:t xml:space="preserve"> </w:t>
      </w:r>
      <w:r>
        <w:rPr>
          <w:rFonts w:cs="Arial"/>
          <w:szCs w:val="18"/>
          <w:lang w:val="en-US"/>
        </w:rPr>
        <w:t xml:space="preserve">and </w:t>
      </w:r>
      <w:r w:rsidRPr="00AC71B1">
        <w:rPr>
          <w:rFonts w:cs="Arial"/>
          <w:i/>
          <w:szCs w:val="18"/>
          <w:lang w:val="en-US"/>
        </w:rPr>
        <w:t>Corrective Services Regulation 2017</w:t>
      </w:r>
      <w:r w:rsidR="00684EC7">
        <w:rPr>
          <w:rFonts w:cs="Arial"/>
          <w:i/>
          <w:szCs w:val="18"/>
          <w:lang w:val="en-US"/>
        </w:rPr>
        <w:t xml:space="preserve"> </w:t>
      </w:r>
      <w:r w:rsidR="00684EC7" w:rsidRPr="00DE2733">
        <w:rPr>
          <w:rFonts w:cs="Arial"/>
          <w:szCs w:val="18"/>
          <w:lang w:val="en-US"/>
        </w:rPr>
        <w:t>s 4 (Separate confinement)</w:t>
      </w:r>
      <w:r>
        <w:rPr>
          <w:rFonts w:cs="Arial"/>
          <w:szCs w:val="18"/>
          <w:lang w:val="en-US"/>
        </w:rPr>
        <w:t>.</w:t>
      </w:r>
    </w:p>
  </w:footnote>
  <w:footnote w:id="13">
    <w:p w14:paraId="6C9F662C" w14:textId="79B86E89" w:rsidR="004A673A" w:rsidRPr="00573948" w:rsidRDefault="004A673A">
      <w:pPr>
        <w:pStyle w:val="FootnoteText"/>
        <w:rPr>
          <w:lang w:val="en-US"/>
        </w:rPr>
      </w:pPr>
      <w:r>
        <w:rPr>
          <w:rStyle w:val="FootnoteReference"/>
        </w:rPr>
        <w:footnoteRef/>
      </w:r>
      <w:r>
        <w:t xml:space="preserve"> </w:t>
      </w:r>
      <w:r w:rsidRPr="00A06FE2">
        <w:rPr>
          <w:i/>
          <w:lang w:val="en-US"/>
        </w:rPr>
        <w:t>Corrective Services (COVID-19 Emergency Response) Regulation 2020</w:t>
      </w:r>
      <w:r>
        <w:rPr>
          <w:lang w:val="en-US"/>
        </w:rPr>
        <w:t xml:space="preserve"> s 5.</w:t>
      </w:r>
    </w:p>
  </w:footnote>
  <w:footnote w:id="14">
    <w:p w14:paraId="447F154F" w14:textId="33756E8A" w:rsidR="004A673A" w:rsidRPr="00CE0A35" w:rsidRDefault="004A673A">
      <w:pPr>
        <w:pStyle w:val="FootnoteText"/>
        <w:rPr>
          <w:lang w:val="en-US"/>
        </w:rPr>
      </w:pPr>
      <w:r>
        <w:rPr>
          <w:rStyle w:val="FootnoteReference"/>
        </w:rPr>
        <w:footnoteRef/>
      </w:r>
      <w:r>
        <w:t xml:space="preserve"> </w:t>
      </w:r>
      <w:r w:rsidR="00022AED">
        <w:rPr>
          <w:lang w:val="en-US"/>
        </w:rPr>
        <w:t xml:space="preserve">Human Rights Certificate, </w:t>
      </w:r>
      <w:r w:rsidR="00022AED" w:rsidRPr="00DE2733">
        <w:rPr>
          <w:i/>
          <w:lang w:val="en-US"/>
        </w:rPr>
        <w:t>Corrective Services (COVID-19 Emergency Response) Regulation 2020</w:t>
      </w:r>
      <w:r w:rsidR="006F15E5">
        <w:rPr>
          <w:lang w:val="en-US"/>
        </w:rPr>
        <w:t>.</w:t>
      </w:r>
    </w:p>
  </w:footnote>
  <w:footnote w:id="15">
    <w:p w14:paraId="0E387951" w14:textId="07D1BF75" w:rsidR="004A673A" w:rsidRPr="00A06FE2" w:rsidRDefault="004A673A">
      <w:pPr>
        <w:pStyle w:val="FootnoteText"/>
        <w:rPr>
          <w:lang w:val="en-US"/>
        </w:rPr>
      </w:pPr>
      <w:r>
        <w:rPr>
          <w:rStyle w:val="FootnoteReference"/>
        </w:rPr>
        <w:footnoteRef/>
      </w:r>
      <w:r w:rsidR="008776E9">
        <w:t xml:space="preserve"> Department of Youth Justice, ‘Youth Justice Pocket Stats 2018-19’, </w:t>
      </w:r>
      <w:r w:rsidR="008776E9" w:rsidRPr="00DE2733">
        <w:rPr>
          <w:i/>
        </w:rPr>
        <w:t>Resources</w:t>
      </w:r>
      <w:r w:rsidR="008776E9">
        <w:t xml:space="preserve"> (Web page, 15 May 2020) &lt;</w:t>
      </w:r>
      <w:r w:rsidR="008776E9" w:rsidRPr="00DE2733">
        <w:t>https://www.youthjustice.qld.gov.au/resources</w:t>
      </w:r>
      <w:r w:rsidR="008776E9">
        <w:t>&gt;.</w:t>
      </w:r>
      <w:r>
        <w:t xml:space="preserve"> </w:t>
      </w:r>
    </w:p>
  </w:footnote>
  <w:footnote w:id="16">
    <w:p w14:paraId="7CDB1C2D" w14:textId="14AA8ECC" w:rsidR="004A673A" w:rsidRPr="00BD6499" w:rsidRDefault="004A673A">
      <w:pPr>
        <w:pStyle w:val="FootnoteText"/>
        <w:rPr>
          <w:lang w:val="en-US"/>
        </w:rPr>
      </w:pPr>
      <w:r>
        <w:rPr>
          <w:rStyle w:val="FootnoteReference"/>
        </w:rPr>
        <w:footnoteRef/>
      </w:r>
      <w:r>
        <w:t xml:space="preserve"> </w:t>
      </w:r>
      <w:r>
        <w:rPr>
          <w:i/>
          <w:lang w:val="en-US"/>
        </w:rPr>
        <w:t>Human Rights Act 2019</w:t>
      </w:r>
      <w:r w:rsidR="00F85A80">
        <w:rPr>
          <w:i/>
          <w:lang w:val="en-US"/>
        </w:rPr>
        <w:t xml:space="preserve"> </w:t>
      </w:r>
      <w:r w:rsidR="00F85A80" w:rsidRPr="00DE2733">
        <w:rPr>
          <w:lang w:val="en-US"/>
        </w:rPr>
        <w:t>s 28</w:t>
      </w:r>
      <w:r>
        <w:rPr>
          <w:lang w:val="en-US"/>
        </w:rPr>
        <w:t>.</w:t>
      </w:r>
    </w:p>
  </w:footnote>
  <w:footnote w:id="17">
    <w:p w14:paraId="5064BA7C" w14:textId="6E34F0CA" w:rsidR="004A673A" w:rsidRPr="00BD6499" w:rsidRDefault="004A673A">
      <w:pPr>
        <w:pStyle w:val="FootnoteText"/>
        <w:rPr>
          <w:lang w:val="en-US"/>
        </w:rPr>
      </w:pPr>
      <w:r>
        <w:rPr>
          <w:rStyle w:val="FootnoteReference"/>
        </w:rPr>
        <w:footnoteRef/>
      </w:r>
      <w:r>
        <w:t xml:space="preserve"> </w:t>
      </w:r>
      <w:r>
        <w:rPr>
          <w:i/>
          <w:lang w:val="en-US"/>
        </w:rPr>
        <w:t>Human Rights Act 2019</w:t>
      </w:r>
      <w:r w:rsidR="00F85A80">
        <w:rPr>
          <w:i/>
          <w:lang w:val="en-US"/>
        </w:rPr>
        <w:t xml:space="preserve"> </w:t>
      </w:r>
      <w:r w:rsidR="00F85A80" w:rsidRPr="00DE2733">
        <w:rPr>
          <w:lang w:val="en-US"/>
        </w:rPr>
        <w:t>s 26</w:t>
      </w:r>
      <w:r>
        <w:rPr>
          <w:lang w:val="en-US"/>
        </w:rPr>
        <w:t>.</w:t>
      </w:r>
    </w:p>
  </w:footnote>
  <w:footnote w:id="18">
    <w:p w14:paraId="1730A720" w14:textId="0E33C2C9" w:rsidR="004A673A" w:rsidRPr="00A06FE2" w:rsidRDefault="004A673A">
      <w:pPr>
        <w:pStyle w:val="FootnoteText"/>
        <w:rPr>
          <w:lang w:val="en-US"/>
        </w:rPr>
      </w:pPr>
      <w:r>
        <w:rPr>
          <w:rStyle w:val="FootnoteReference"/>
        </w:rPr>
        <w:footnoteRef/>
      </w:r>
      <w:r>
        <w:t xml:space="preserve"> </w:t>
      </w:r>
      <w:r w:rsidRPr="00DF07B9">
        <w:t xml:space="preserve">Queensland Crime and Corruption Commission, </w:t>
      </w:r>
      <w:r w:rsidRPr="00DF07B9">
        <w:rPr>
          <w:i/>
        </w:rPr>
        <w:t>Taskforce Flaxton: An examination of corruption risks and corruption in Queensland Prisons</w:t>
      </w:r>
      <w:r w:rsidRPr="00DF07B9">
        <w:t xml:space="preserve"> (Report, December 2018) </w:t>
      </w:r>
      <w:r>
        <w:t>49</w:t>
      </w:r>
      <w:r w:rsidRPr="00DF07B9">
        <w:t>.</w:t>
      </w:r>
      <w:r>
        <w:t xml:space="preserve"> See also Walter Sofronoff</w:t>
      </w:r>
      <w:r w:rsidR="00D02DC4">
        <w:t xml:space="preserve"> QC</w:t>
      </w:r>
      <w:r>
        <w:t xml:space="preserve">, </w:t>
      </w:r>
      <w:r w:rsidRPr="00A06FE2">
        <w:rPr>
          <w:i/>
          <w:iCs/>
        </w:rPr>
        <w:t>Queensland Parole System Review</w:t>
      </w:r>
      <w:r w:rsidR="00D02DC4">
        <w:rPr>
          <w:i/>
          <w:iCs/>
        </w:rPr>
        <w:t>: Final Report</w:t>
      </w:r>
      <w:r>
        <w:t xml:space="preserve"> (</w:t>
      </w:r>
      <w:r w:rsidR="00D02DC4">
        <w:t>Queensland Government,</w:t>
      </w:r>
      <w:r>
        <w:t xml:space="preserve"> 2016), 248.</w:t>
      </w:r>
    </w:p>
  </w:footnote>
  <w:footnote w:id="19">
    <w:p w14:paraId="63288D1C" w14:textId="77777777" w:rsidR="004A673A" w:rsidRPr="00B909A9" w:rsidRDefault="004A673A" w:rsidP="005808D5">
      <w:pPr>
        <w:pStyle w:val="FootnoteText"/>
        <w:rPr>
          <w:i/>
          <w:lang w:val="en-US"/>
        </w:rPr>
      </w:pPr>
      <w:r>
        <w:rPr>
          <w:rStyle w:val="FootnoteReference"/>
        </w:rPr>
        <w:footnoteRef/>
      </w:r>
      <w:r>
        <w:t xml:space="preserve"> </w:t>
      </w:r>
      <w:r>
        <w:rPr>
          <w:lang w:val="en-US"/>
        </w:rPr>
        <w:t xml:space="preserve">World Health Organisation, </w:t>
      </w:r>
      <w:r w:rsidRPr="00B909A9">
        <w:rPr>
          <w:i/>
          <w:lang w:val="en-US"/>
        </w:rPr>
        <w:t>Preparedness, prevention and control of COVID-19</w:t>
      </w:r>
    </w:p>
    <w:p w14:paraId="0A67FE05" w14:textId="234D4323" w:rsidR="004A673A" w:rsidRPr="004B70D6" w:rsidRDefault="004A673A" w:rsidP="005808D5">
      <w:pPr>
        <w:pStyle w:val="FootnoteText"/>
        <w:rPr>
          <w:lang w:val="en-US"/>
        </w:rPr>
      </w:pPr>
      <w:r w:rsidRPr="00B909A9">
        <w:rPr>
          <w:i/>
          <w:lang w:val="en-US"/>
        </w:rPr>
        <w:t>in prisons and other places of detention: Interim guidance</w:t>
      </w:r>
      <w:r>
        <w:rPr>
          <w:i/>
          <w:lang w:val="en-US"/>
        </w:rPr>
        <w:t xml:space="preserve"> </w:t>
      </w:r>
      <w:r>
        <w:rPr>
          <w:lang w:val="en-US"/>
        </w:rPr>
        <w:t>(</w:t>
      </w:r>
      <w:r w:rsidR="00D02DC4">
        <w:rPr>
          <w:lang w:val="en-US"/>
        </w:rPr>
        <w:t>WHO,</w:t>
      </w:r>
      <w:r>
        <w:rPr>
          <w:lang w:val="en-US"/>
        </w:rPr>
        <w:t xml:space="preserve"> 15 March 2020) 5. See also UN </w:t>
      </w:r>
      <w:r w:rsidRPr="00B909A9">
        <w:rPr>
          <w:lang w:val="en-US"/>
        </w:rPr>
        <w:t>Subcommittee on Prevention of Torture and Other Cruel,</w:t>
      </w:r>
      <w:r>
        <w:rPr>
          <w:lang w:val="en-US"/>
        </w:rPr>
        <w:t xml:space="preserve"> </w:t>
      </w:r>
      <w:r w:rsidRPr="00B909A9">
        <w:rPr>
          <w:lang w:val="en-US"/>
        </w:rPr>
        <w:t>Inhuman or Degrading Treatment or Punishment</w:t>
      </w:r>
      <w:r>
        <w:rPr>
          <w:lang w:val="en-US"/>
        </w:rPr>
        <w:t xml:space="preserve">, </w:t>
      </w:r>
      <w:r w:rsidRPr="00B909A9">
        <w:rPr>
          <w:i/>
          <w:lang w:val="en-US"/>
        </w:rPr>
        <w:t>Advice of the Subcommittee on Prevention of Torture to States Parties and National Preventive Mechanisms relating to the Coronavirus Pandemic</w:t>
      </w:r>
      <w:r>
        <w:rPr>
          <w:i/>
          <w:lang w:val="en-US"/>
        </w:rPr>
        <w:t xml:space="preserve"> </w:t>
      </w:r>
      <w:r w:rsidRPr="00B909A9">
        <w:rPr>
          <w:lang w:val="en-US"/>
        </w:rPr>
        <w:t>(adopted on 25th March 2020)</w:t>
      </w:r>
      <w:r w:rsidR="00D02DC4">
        <w:rPr>
          <w:lang w:val="en-US"/>
        </w:rPr>
        <w:t>,</w:t>
      </w:r>
      <w:r>
        <w:rPr>
          <w:lang w:val="en-US"/>
        </w:rPr>
        <w:t xml:space="preserve"> and </w:t>
      </w:r>
      <w:r w:rsidRPr="00B909A9">
        <w:rPr>
          <w:lang w:val="en-US"/>
        </w:rPr>
        <w:t>Inter-Agency Standing Committee</w:t>
      </w:r>
      <w:r>
        <w:rPr>
          <w:lang w:val="en-US"/>
        </w:rPr>
        <w:t xml:space="preserve"> (OHCHR and WHO), </w:t>
      </w:r>
      <w:r w:rsidRPr="004B70D6">
        <w:rPr>
          <w:i/>
          <w:lang w:val="en-US"/>
        </w:rPr>
        <w:t>COVID-19: Focus on Persons Deprived of their Liberty</w:t>
      </w:r>
      <w:r>
        <w:rPr>
          <w:i/>
          <w:lang w:val="en-US"/>
        </w:rPr>
        <w:t xml:space="preserve"> </w:t>
      </w:r>
      <w:r>
        <w:rPr>
          <w:lang w:val="en-US"/>
        </w:rPr>
        <w:t>(Report, March 2020).</w:t>
      </w:r>
    </w:p>
  </w:footnote>
  <w:footnote w:id="20">
    <w:p w14:paraId="475C7FCC" w14:textId="66156270" w:rsidR="004A673A" w:rsidRPr="00E276BE" w:rsidRDefault="004A673A">
      <w:pPr>
        <w:pStyle w:val="FootnoteText"/>
        <w:rPr>
          <w:lang w:val="en-US"/>
        </w:rPr>
      </w:pPr>
      <w:r>
        <w:rPr>
          <w:rStyle w:val="FootnoteReference"/>
        </w:rPr>
        <w:footnoteRef/>
      </w:r>
      <w:r>
        <w:t xml:space="preserve"> </w:t>
      </w:r>
      <w:r w:rsidR="00945106">
        <w:t xml:space="preserve">Walter Sofronoff QC, </w:t>
      </w:r>
      <w:r w:rsidR="00945106" w:rsidRPr="00A06FE2">
        <w:rPr>
          <w:i/>
          <w:iCs/>
        </w:rPr>
        <w:t>Queensland Parole System Review</w:t>
      </w:r>
      <w:r w:rsidR="00945106">
        <w:rPr>
          <w:i/>
          <w:iCs/>
        </w:rPr>
        <w:t>: Final Report</w:t>
      </w:r>
      <w:r w:rsidR="00945106">
        <w:t xml:space="preserve"> (Queensland Government, 2016).Recommendation No. 88, 248.</w:t>
      </w:r>
    </w:p>
  </w:footnote>
  <w:footnote w:id="21">
    <w:p w14:paraId="201ACEAC" w14:textId="669CA8DF" w:rsidR="004A673A" w:rsidRPr="00AA3551" w:rsidRDefault="004A673A" w:rsidP="005808D5">
      <w:pPr>
        <w:pStyle w:val="FootnoteText"/>
        <w:rPr>
          <w:lang w:val="en-US"/>
        </w:rPr>
      </w:pPr>
      <w:r>
        <w:rPr>
          <w:rStyle w:val="FootnoteReference"/>
        </w:rPr>
        <w:footnoteRef/>
      </w:r>
      <w:r>
        <w:t xml:space="preserve"> Queensland Health, </w:t>
      </w:r>
      <w:r w:rsidRPr="00AA3551">
        <w:rPr>
          <w:i/>
        </w:rPr>
        <w:t>Queensland ethical framework to guide clinical decision making in the COVID-19 pandemic</w:t>
      </w:r>
      <w:r>
        <w:rPr>
          <w:i/>
        </w:rPr>
        <w:t xml:space="preserve"> </w:t>
      </w:r>
      <w:r>
        <w:t>(</w:t>
      </w:r>
      <w:r w:rsidR="00D849A4">
        <w:t xml:space="preserve">28 April </w:t>
      </w:r>
      <w:r>
        <w:t xml:space="preserve">2020) </w:t>
      </w:r>
      <w:r w:rsidR="00D849A4">
        <w:t>&lt;</w:t>
      </w:r>
      <w:r w:rsidR="00D849A4" w:rsidRPr="00DE2733">
        <w:t>https://www.health.qld.gov.au/__data/assets/pdf_file/0025/955303/covid-19-ethical-framework.pdf</w:t>
      </w:r>
      <w:r>
        <w:t>&gt;</w:t>
      </w:r>
      <w:r w:rsidR="00D849A4">
        <w:t>.</w:t>
      </w:r>
    </w:p>
  </w:footnote>
  <w:footnote w:id="22">
    <w:p w14:paraId="0A4EFF8F" w14:textId="0FA606D5" w:rsidR="004A673A" w:rsidRPr="00A06FE2" w:rsidRDefault="004A673A">
      <w:pPr>
        <w:pStyle w:val="FootnoteText"/>
        <w:rPr>
          <w:lang w:val="en-US"/>
        </w:rPr>
      </w:pPr>
      <w:r>
        <w:rPr>
          <w:rStyle w:val="FootnoteReference"/>
        </w:rPr>
        <w:footnoteRef/>
      </w:r>
      <w:r>
        <w:t xml:space="preserve"> Royal Commission into Violence, Abuse, Neglect and Exploitation of People with Disability</w:t>
      </w:r>
      <w:r w:rsidR="00431647">
        <w:t>,</w:t>
      </w:r>
      <w:r>
        <w:t xml:space="preserve"> ‘</w:t>
      </w:r>
      <w:r w:rsidR="00431647">
        <w:t xml:space="preserve">COVID-19 Statement of concern’, </w:t>
      </w:r>
      <w:r w:rsidRPr="00DE2733">
        <w:rPr>
          <w:i/>
          <w:lang w:val="en-US"/>
        </w:rPr>
        <w:t>Statement of concern</w:t>
      </w:r>
      <w:r w:rsidR="00E63408" w:rsidRPr="00DE2733">
        <w:rPr>
          <w:i/>
          <w:lang w:val="en-US"/>
        </w:rPr>
        <w:t xml:space="preserve"> -</w:t>
      </w:r>
      <w:r w:rsidRPr="00DE2733">
        <w:rPr>
          <w:i/>
          <w:lang w:val="en-US"/>
        </w:rPr>
        <w:t xml:space="preserve"> The response to the COVID-19 pandemic for people with disability</w:t>
      </w:r>
      <w:r>
        <w:rPr>
          <w:lang w:val="en-US"/>
        </w:rPr>
        <w:t xml:space="preserve"> (</w:t>
      </w:r>
      <w:r w:rsidR="00431647">
        <w:rPr>
          <w:lang w:val="en-US"/>
        </w:rPr>
        <w:t xml:space="preserve">Web Page, </w:t>
      </w:r>
      <w:r>
        <w:rPr>
          <w:lang w:val="en-US"/>
        </w:rPr>
        <w:t>26</w:t>
      </w:r>
      <w:r w:rsidR="00431647">
        <w:rPr>
          <w:lang w:val="en-US"/>
        </w:rPr>
        <w:t xml:space="preserve"> March </w:t>
      </w:r>
      <w:r>
        <w:rPr>
          <w:lang w:val="en-US"/>
        </w:rPr>
        <w:t xml:space="preserve">2020) </w:t>
      </w:r>
      <w:r w:rsidR="00431647">
        <w:rPr>
          <w:lang w:val="en-US"/>
        </w:rPr>
        <w:t>&lt;</w:t>
      </w:r>
      <w:r w:rsidR="00431647" w:rsidRPr="00DE2733">
        <w:t>https://disability.royalcommission.gov.au/publications/statement-concern-response-covid-19-pandemic-people-disability</w:t>
      </w:r>
      <w:r w:rsidR="00431647">
        <w:rPr>
          <w:noProof/>
        </w:rPr>
        <w:t>&gt;;</w:t>
      </w:r>
      <w:r>
        <w:rPr>
          <w:noProof/>
        </w:rPr>
        <w:t xml:space="preserve"> </w:t>
      </w:r>
      <w:r w:rsidR="00431647">
        <w:rPr>
          <w:noProof/>
        </w:rPr>
        <w:t xml:space="preserve">Inclusion Australia, </w:t>
      </w:r>
      <w:r>
        <w:rPr>
          <w:noProof/>
        </w:rPr>
        <w:t>‘An open letter to the national cabinet: Immediate Actions Required for Australians with Disability in Response to Coronavirus (COVID19)’</w:t>
      </w:r>
      <w:r w:rsidR="00431647">
        <w:rPr>
          <w:noProof/>
        </w:rPr>
        <w:t xml:space="preserve"> </w:t>
      </w:r>
      <w:r w:rsidR="00431647" w:rsidRPr="00DE2733">
        <w:rPr>
          <w:i/>
          <w:noProof/>
        </w:rPr>
        <w:t>News</w:t>
      </w:r>
      <w:r w:rsidR="00431647">
        <w:rPr>
          <w:noProof/>
        </w:rPr>
        <w:t xml:space="preserve"> (Web Page, 3 April 2020)</w:t>
      </w:r>
      <w:r>
        <w:rPr>
          <w:noProof/>
        </w:rPr>
        <w:t xml:space="preserve"> </w:t>
      </w:r>
      <w:r w:rsidR="00431647">
        <w:rPr>
          <w:noProof/>
        </w:rPr>
        <w:t>&lt;</w:t>
      </w:r>
      <w:r w:rsidR="00431647" w:rsidRPr="00DE2733">
        <w:t>https://www.inclusionaustralia.org.au/an-open-letter-to-the-national-cabinet-immediate-actions-required-for-australians-with-disability-in-response-to-coronavirus-covid19/</w:t>
      </w:r>
      <w:r w:rsidR="00431647">
        <w:t>&gt;;</w:t>
      </w:r>
      <w:r>
        <w:t xml:space="preserve"> Centre of Research Excellence in Disability and Health</w:t>
      </w:r>
      <w:r w:rsidR="0021463A">
        <w:t>,</w:t>
      </w:r>
      <w:r>
        <w:t xml:space="preserve"> ‘</w:t>
      </w:r>
      <w:r w:rsidR="0021463A">
        <w:t>An important message about p</w:t>
      </w:r>
      <w:r>
        <w:t xml:space="preserve">eople with </w:t>
      </w:r>
      <w:r w:rsidR="0021463A">
        <w:t>d</w:t>
      </w:r>
      <w:r>
        <w:t xml:space="preserve">isability and </w:t>
      </w:r>
      <w:r w:rsidR="0021463A">
        <w:t xml:space="preserve">the </w:t>
      </w:r>
      <w:r>
        <w:t>COVID-19</w:t>
      </w:r>
      <w:r w:rsidR="0021463A">
        <w:t xml:space="preserve"> response</w:t>
      </w:r>
      <w:r>
        <w:t>’ (</w:t>
      </w:r>
      <w:r w:rsidR="0021463A">
        <w:t xml:space="preserve">Web Page, </w:t>
      </w:r>
      <w:r>
        <w:t>15</w:t>
      </w:r>
      <w:r w:rsidR="0021463A">
        <w:t xml:space="preserve"> March </w:t>
      </w:r>
      <w:r>
        <w:t xml:space="preserve">2020) </w:t>
      </w:r>
      <w:r w:rsidR="0021463A">
        <w:t>&lt;</w:t>
      </w:r>
      <w:r w:rsidR="0021463A" w:rsidRPr="00DE2733">
        <w:t>https://credh.org.au/news-events-archived/covid-19-and-people-with-disabilities</w:t>
      </w:r>
      <w:r w:rsidR="0021463A">
        <w:t>/&gt;</w:t>
      </w:r>
    </w:p>
  </w:footnote>
  <w:footnote w:id="23">
    <w:p w14:paraId="4EB832E0" w14:textId="1C87DC87" w:rsidR="004A673A" w:rsidRDefault="004A673A" w:rsidP="2DEB3D76">
      <w:pPr>
        <w:pStyle w:val="FootnoteText"/>
      </w:pPr>
      <w:r w:rsidRPr="2DEB3D76">
        <w:rPr>
          <w:rStyle w:val="FootnoteReference"/>
        </w:rPr>
        <w:footnoteRef/>
      </w:r>
      <w:r>
        <w:t xml:space="preserve"> Department of the Premier and Cabinet</w:t>
      </w:r>
      <w:r w:rsidR="005721C7">
        <w:t xml:space="preserve">, </w:t>
      </w:r>
      <w:r w:rsidR="005721C7" w:rsidRPr="00DE2733">
        <w:rPr>
          <w:i/>
        </w:rPr>
        <w:t>Briefing paper - Departmental brief</w:t>
      </w:r>
      <w:r w:rsidR="005721C7">
        <w:t>, (15 June 2020)</w:t>
      </w:r>
      <w:r>
        <w:t xml:space="preserve"> 10</w:t>
      </w:r>
      <w:r w:rsidR="005721C7">
        <w:t>, available from Inquiry’s Publications page &lt;</w:t>
      </w:r>
      <w:r w:rsidR="005721C7" w:rsidRPr="00DE2733">
        <w:t>https://www.parliament.qld.gov.au/work-of-committees/committees/HCDSDFVPC/inquiries/current-inquiries/COVID-19</w:t>
      </w:r>
      <w:r w:rsidR="005721C7">
        <w:t xml:space="preserve">&gt; </w:t>
      </w:r>
    </w:p>
  </w:footnote>
  <w:footnote w:id="24">
    <w:p w14:paraId="6113C645" w14:textId="2D3F599E" w:rsidR="004A673A" w:rsidRPr="00A06FE2" w:rsidRDefault="004A673A">
      <w:pPr>
        <w:pStyle w:val="FootnoteText"/>
        <w:rPr>
          <w:lang w:val="en-US"/>
        </w:rPr>
      </w:pPr>
      <w:r>
        <w:rPr>
          <w:rStyle w:val="FootnoteReference"/>
        </w:rPr>
        <w:footnoteRef/>
      </w:r>
      <w:r>
        <w:t xml:space="preserve"> </w:t>
      </w:r>
      <w:r>
        <w:rPr>
          <w:lang w:val="en-US"/>
        </w:rPr>
        <w:t>Ibid.</w:t>
      </w:r>
    </w:p>
  </w:footnote>
  <w:footnote w:id="25">
    <w:p w14:paraId="3D249A28" w14:textId="4452A2E2" w:rsidR="004A673A" w:rsidRPr="00737433" w:rsidRDefault="004A673A">
      <w:pPr>
        <w:pStyle w:val="FootnoteText"/>
        <w:rPr>
          <w:lang w:val="en-US"/>
        </w:rPr>
      </w:pPr>
      <w:r>
        <w:rPr>
          <w:rStyle w:val="FootnoteReference"/>
        </w:rPr>
        <w:footnoteRef/>
      </w:r>
      <w:r w:rsidR="005721C7">
        <w:t xml:space="preserve"> Queensland Government, ‘Information for people with disability’, </w:t>
      </w:r>
      <w:r w:rsidR="005721C7" w:rsidRPr="00DE2733">
        <w:rPr>
          <w:i/>
        </w:rPr>
        <w:t>COVID-19 (coronavirus)</w:t>
      </w:r>
      <w:r w:rsidR="005721C7">
        <w:t xml:space="preserve"> (Web Page, 29 April 2020) &lt;</w:t>
      </w:r>
      <w:r w:rsidR="005721C7" w:rsidRPr="00DE2733">
        <w:t>https://www.qld.gov.au/disability/adults/covid-19-coronavirus</w:t>
      </w:r>
      <w:r w:rsidR="005721C7">
        <w:t xml:space="preserve">&gt;. </w:t>
      </w:r>
    </w:p>
  </w:footnote>
  <w:footnote w:id="26">
    <w:p w14:paraId="5AA32EEC" w14:textId="79F7C0CC" w:rsidR="004A673A" w:rsidRDefault="004A673A" w:rsidP="00CF6E79">
      <w:pPr>
        <w:pStyle w:val="FootnoteText"/>
      </w:pPr>
      <w:r w:rsidRPr="7D2B314D">
        <w:rPr>
          <w:rStyle w:val="FootnoteReference"/>
        </w:rPr>
        <w:footnoteRef/>
      </w:r>
      <w:r>
        <w:t xml:space="preserve"> </w:t>
      </w:r>
      <w:r w:rsidR="00E054F5">
        <w:t xml:space="preserve">Department of Social Services, ‘Disability Information Helpline’ </w:t>
      </w:r>
      <w:r w:rsidR="00E054F5" w:rsidRPr="00FB39F6">
        <w:rPr>
          <w:i/>
        </w:rPr>
        <w:t>Information and referrals for people with disability and their supporters about coronavirus (COVID-19)</w:t>
      </w:r>
      <w:r w:rsidR="00E054F5">
        <w:t xml:space="preserve"> (Web Page, 10 June 2020) &lt;</w:t>
      </w:r>
      <w:r w:rsidR="00E054F5" w:rsidRPr="00FB39F6">
        <w:t>https://www.dss.gov.au/disability-and-carers/information-and-referrals-for-people-with-disability-and-their-supporters-about-coronavirus-covid-19</w:t>
      </w:r>
      <w:r w:rsidR="00E054F5">
        <w:t>&gt;</w:t>
      </w:r>
      <w:r>
        <w:t xml:space="preserve">. </w:t>
      </w:r>
    </w:p>
  </w:footnote>
  <w:footnote w:id="27">
    <w:p w14:paraId="3C4005B3" w14:textId="27AB86F6" w:rsidR="004A673A" w:rsidRPr="00BD6499" w:rsidRDefault="004A673A" w:rsidP="00A06FE2">
      <w:pPr>
        <w:pStyle w:val="FootnoteText"/>
        <w:rPr>
          <w:rFonts w:eastAsia="Calibri" w:cs="Arial"/>
          <w:szCs w:val="20"/>
        </w:rPr>
      </w:pPr>
      <w:r w:rsidRPr="5962B6F8">
        <w:rPr>
          <w:rStyle w:val="FootnoteReference"/>
        </w:rPr>
        <w:footnoteRef/>
      </w:r>
      <w:r>
        <w:t xml:space="preserve"> Meeting of Commonwealth, State and Territory Disability Minsters, </w:t>
      </w:r>
      <w:r w:rsidRPr="00FB39F6">
        <w:rPr>
          <w:i/>
        </w:rPr>
        <w:t>Communique</w:t>
      </w:r>
      <w:r>
        <w:t xml:space="preserve"> </w:t>
      </w:r>
      <w:r w:rsidR="000707C2">
        <w:t>(11 May 2020) &lt;</w:t>
      </w:r>
      <w:r w:rsidR="000707C2" w:rsidRPr="00FB39F6">
        <w:t>https://www.dss.gov.au/sites/default/files/documents/05_2020/dac_communique-disabilit</w:t>
      </w:r>
      <w:r w:rsidR="000707C2" w:rsidRPr="00C414D1">
        <w:rPr>
          <w:rFonts w:cs="Arial"/>
          <w:szCs w:val="20"/>
        </w:rPr>
        <w:t>y-ministers-meeting_20200511.pdf&gt;.</w:t>
      </w:r>
    </w:p>
  </w:footnote>
  <w:footnote w:id="28">
    <w:p w14:paraId="531CCD02" w14:textId="7A65462F" w:rsidR="004A673A" w:rsidRDefault="004A673A" w:rsidP="00A06FE2">
      <w:pPr>
        <w:pStyle w:val="FootnoteText"/>
      </w:pPr>
      <w:r w:rsidRPr="27A51ABB">
        <w:rPr>
          <w:rStyle w:val="FootnoteReference"/>
        </w:rPr>
        <w:footnoteRef/>
      </w:r>
      <w:r>
        <w:t xml:space="preserve"> For example, a Victorian study found that people who experience racism are 2.5 times more likely to experience poor physical health.</w:t>
      </w:r>
      <w:r w:rsidR="00946A76">
        <w:t xml:space="preserve"> See Department of Health and Human Services, </w:t>
      </w:r>
      <w:r w:rsidR="00946A76" w:rsidRPr="00FB39F6">
        <w:rPr>
          <w:i/>
        </w:rPr>
        <w:t>Racism in Victoria and what it means for the health of Victorians</w:t>
      </w:r>
      <w:r w:rsidR="00946A76">
        <w:t xml:space="preserve"> (State Government of Victoria, 2017)</w:t>
      </w:r>
      <w:r>
        <w:t xml:space="preserve"> </w:t>
      </w:r>
      <w:r w:rsidR="00946A76">
        <w:t>&lt;</w:t>
      </w:r>
      <w:r w:rsidR="00946A76" w:rsidRPr="00FB39F6">
        <w:t>https://www2.health.vic.gov.au/public-health/population-health-systems/health-status-of-victorians/survey-data-and-reports/racism-in-victoria</w:t>
      </w:r>
      <w:r w:rsidR="00946A76">
        <w:t>&gt;</w:t>
      </w:r>
      <w:r>
        <w:t xml:space="preserve">. </w:t>
      </w:r>
    </w:p>
  </w:footnote>
  <w:footnote w:id="29">
    <w:p w14:paraId="685A1F7D" w14:textId="59D7F734" w:rsidR="004A673A" w:rsidRPr="008F328F" w:rsidRDefault="004A673A" w:rsidP="008656FE">
      <w:pPr>
        <w:pStyle w:val="FootnoteText"/>
        <w:rPr>
          <w:lang w:val="en-US"/>
        </w:rPr>
      </w:pPr>
      <w:r>
        <w:rPr>
          <w:rStyle w:val="FootnoteReference"/>
        </w:rPr>
        <w:footnoteRef/>
      </w:r>
      <w:r>
        <w:t xml:space="preserve"> </w:t>
      </w:r>
      <w:r w:rsidR="00990BBC">
        <w:t xml:space="preserve">Chin Tan, </w:t>
      </w:r>
      <w:r>
        <w:t>‘</w:t>
      </w:r>
      <w:r w:rsidRPr="0086569A">
        <w:t>COVID-19 has prompted a spike in racist attacks. We need to start tracking them better</w:t>
      </w:r>
      <w:r>
        <w:t xml:space="preserve">’, </w:t>
      </w:r>
      <w:r>
        <w:rPr>
          <w:i/>
        </w:rPr>
        <w:t xml:space="preserve">ABC News Analysis, </w:t>
      </w:r>
      <w:r>
        <w:t>9 May 2020 &lt;</w:t>
      </w:r>
      <w:r w:rsidR="00990BBC" w:rsidRPr="00FB39F6">
        <w:t>https://www.abc.net.au/news/2020-05-09/coronavirus-covid-19-racist-attacks-data-collection-strategy/12229162?nw=0</w:t>
      </w:r>
      <w:r w:rsidR="00990BBC">
        <w:t xml:space="preserve">&gt; </w:t>
      </w:r>
      <w:r w:rsidR="00990BBC">
        <w:rPr>
          <w:rStyle w:val="Hyperlink"/>
        </w:rPr>
        <w:t>.</w:t>
      </w:r>
    </w:p>
  </w:footnote>
  <w:footnote w:id="30">
    <w:p w14:paraId="32534C91" w14:textId="58E35AB1" w:rsidR="004A673A" w:rsidRPr="003B7EB1" w:rsidRDefault="004A673A" w:rsidP="005808D5">
      <w:pPr>
        <w:pStyle w:val="FootnoteText"/>
        <w:rPr>
          <w:lang w:val="en-US"/>
        </w:rPr>
      </w:pPr>
      <w:r>
        <w:rPr>
          <w:rStyle w:val="FootnoteReference"/>
        </w:rPr>
        <w:footnoteRef/>
      </w:r>
      <w:r>
        <w:t xml:space="preserve"> </w:t>
      </w:r>
      <w:r w:rsidRPr="00715BE5">
        <w:rPr>
          <w:i/>
        </w:rPr>
        <w:t>Biosecurity (Human Biosecurity Emergency) (Human Coronavirus with Pandemic Potential) (Emergency Requirements for Remote Communities) Determination 2020</w:t>
      </w:r>
      <w:r>
        <w:rPr>
          <w:i/>
        </w:rPr>
        <w:t xml:space="preserve"> </w:t>
      </w:r>
      <w:r w:rsidRPr="00BD6499">
        <w:t>(Cth</w:t>
      </w:r>
      <w:r>
        <w:rPr>
          <w:i/>
        </w:rPr>
        <w:t>).</w:t>
      </w:r>
    </w:p>
  </w:footnote>
  <w:footnote w:id="31">
    <w:p w14:paraId="4B4A810F" w14:textId="3EE63B71" w:rsidR="004A673A" w:rsidRPr="00715BE5" w:rsidRDefault="004A673A" w:rsidP="005808D5">
      <w:pPr>
        <w:pStyle w:val="FootnoteText"/>
        <w:rPr>
          <w:lang w:val="en-US"/>
        </w:rPr>
      </w:pPr>
      <w:r>
        <w:rPr>
          <w:rStyle w:val="FootnoteReference"/>
        </w:rPr>
        <w:footnoteRef/>
      </w:r>
      <w:r>
        <w:t xml:space="preserve"> </w:t>
      </w:r>
      <w:r w:rsidRPr="00715BE5">
        <w:rPr>
          <w:i/>
        </w:rPr>
        <w:t>Restricted Access to Designated Areas Direction (No.3)</w:t>
      </w:r>
      <w:r>
        <w:t xml:space="preserve"> made under the </w:t>
      </w:r>
      <w:r>
        <w:rPr>
          <w:i/>
        </w:rPr>
        <w:t>Public Health Act 2005</w:t>
      </w:r>
      <w:r>
        <w:t>.</w:t>
      </w:r>
    </w:p>
  </w:footnote>
  <w:footnote w:id="32">
    <w:p w14:paraId="3E8BD701" w14:textId="7E6AA571" w:rsidR="004A673A" w:rsidRPr="007472D5" w:rsidRDefault="004A673A" w:rsidP="005808D5">
      <w:pPr>
        <w:pStyle w:val="FootnoteText"/>
        <w:rPr>
          <w:lang w:val="en-US"/>
        </w:rPr>
      </w:pPr>
      <w:r>
        <w:rPr>
          <w:rStyle w:val="FootnoteReference"/>
        </w:rPr>
        <w:footnoteRef/>
      </w:r>
      <w:r>
        <w:t xml:space="preserve"> </w:t>
      </w:r>
      <w:r w:rsidRPr="002525B7">
        <w:t>Antonia O’Flaherty</w:t>
      </w:r>
      <w:r>
        <w:t>, ‘E</w:t>
      </w:r>
      <w:r w:rsidRPr="002525B7">
        <w:t xml:space="preserve">lite schools in plea to help </w:t>
      </w:r>
      <w:r>
        <w:t>“</w:t>
      </w:r>
      <w:r w:rsidRPr="002525B7">
        <w:t>forgotten students</w:t>
      </w:r>
      <w:r>
        <w:t>”</w:t>
      </w:r>
      <w:r w:rsidRPr="002525B7">
        <w:t xml:space="preserve"> kept away due to boarding restrictions</w:t>
      </w:r>
      <w:r>
        <w:t xml:space="preserve">’ </w:t>
      </w:r>
      <w:r>
        <w:rPr>
          <w:i/>
        </w:rPr>
        <w:t xml:space="preserve">The Courier Mail, </w:t>
      </w:r>
      <w:r>
        <w:t>13 June 2020</w:t>
      </w:r>
      <w:r w:rsidR="00C414D1">
        <w:t>.</w:t>
      </w:r>
    </w:p>
  </w:footnote>
  <w:footnote w:id="33">
    <w:p w14:paraId="6DFB9E20" w14:textId="7CB189BB" w:rsidR="004A673A" w:rsidRPr="00FB39F6" w:rsidRDefault="004A673A" w:rsidP="00AF6E8B">
      <w:pPr>
        <w:pStyle w:val="Heading1"/>
        <w:shd w:val="clear" w:color="auto" w:fill="FFFFFF"/>
        <w:spacing w:before="0" w:after="0"/>
        <w:rPr>
          <w:color w:val="auto"/>
          <w:sz w:val="20"/>
          <w:szCs w:val="20"/>
          <w:lang w:val="en-US"/>
        </w:rPr>
      </w:pPr>
      <w:r w:rsidRPr="00FB39F6">
        <w:rPr>
          <w:rStyle w:val="FootnoteReference"/>
          <w:rFonts w:eastAsiaTheme="minorEastAsia" w:cstheme="minorBidi"/>
          <w:i/>
          <w:color w:val="auto"/>
          <w:sz w:val="20"/>
          <w:szCs w:val="24"/>
        </w:rPr>
        <w:footnoteRef/>
      </w:r>
      <w:r w:rsidRPr="00FB39F6">
        <w:rPr>
          <w:rStyle w:val="FootnoteReference"/>
          <w:rFonts w:eastAsiaTheme="minorEastAsia" w:cstheme="minorBidi"/>
          <w:i/>
          <w:color w:val="auto"/>
          <w:sz w:val="20"/>
          <w:szCs w:val="24"/>
        </w:rPr>
        <w:t xml:space="preserve"> </w:t>
      </w:r>
      <w:r w:rsidRPr="00FB39F6">
        <w:rPr>
          <w:rStyle w:val="FootnoteTextChar"/>
          <w:i/>
          <w:color w:val="auto"/>
          <w:lang w:val="en-US"/>
        </w:rPr>
        <w:t>Residential Tenancies and Rooming Accommodation (COVID-19 Emergency Response) Regulation 2020</w:t>
      </w:r>
      <w:r w:rsidRPr="00AF6E8B">
        <w:rPr>
          <w:rStyle w:val="FootnoteTextChar"/>
          <w:color w:val="auto"/>
          <w:lang w:val="en-US"/>
        </w:rPr>
        <w:t xml:space="preserve">, </w:t>
      </w:r>
      <w:r w:rsidR="00D37DED">
        <w:rPr>
          <w:rStyle w:val="FootnoteTextChar"/>
          <w:color w:val="auto"/>
          <w:lang w:val="en-US"/>
        </w:rPr>
        <w:t>div</w:t>
      </w:r>
      <w:r w:rsidR="00D37DED" w:rsidRPr="00AF6E8B">
        <w:rPr>
          <w:rStyle w:val="FootnoteTextChar"/>
          <w:color w:val="auto"/>
          <w:lang w:val="en-US"/>
        </w:rPr>
        <w:t xml:space="preserve"> </w:t>
      </w:r>
      <w:r w:rsidRPr="00AF6E8B">
        <w:rPr>
          <w:rStyle w:val="FootnoteTextChar"/>
          <w:color w:val="auto"/>
          <w:lang w:val="en-US"/>
        </w:rPr>
        <w:t>7.</w:t>
      </w:r>
    </w:p>
  </w:footnote>
  <w:footnote w:id="34">
    <w:p w14:paraId="77712224" w14:textId="1E7C6580" w:rsidR="00783D7D" w:rsidRPr="00FB39F6" w:rsidRDefault="00783D7D">
      <w:pPr>
        <w:pStyle w:val="FootnoteText"/>
        <w:rPr>
          <w:lang w:val="en-US"/>
        </w:rPr>
      </w:pPr>
      <w:r>
        <w:rPr>
          <w:rStyle w:val="FootnoteReference"/>
        </w:rPr>
        <w:footnoteRef/>
      </w:r>
      <w:r>
        <w:t xml:space="preserve"> </w:t>
      </w:r>
      <w:r>
        <w:rPr>
          <w:lang w:val="en-US"/>
        </w:rPr>
        <w:t xml:space="preserve">Queensland Human Rights Commission, </w:t>
      </w:r>
      <w:r w:rsidRPr="00FB39F6">
        <w:rPr>
          <w:i/>
          <w:lang w:val="en-US"/>
        </w:rPr>
        <w:t>A Better Renting Future – Consultation Regulatory Impact Statement: Submission to Department of Housing and Public Works</w:t>
      </w:r>
      <w:r>
        <w:rPr>
          <w:lang w:val="en-US"/>
        </w:rPr>
        <w:t xml:space="preserve"> (2019) &lt;</w:t>
      </w:r>
      <w:r w:rsidRPr="00783D7D">
        <w:rPr>
          <w:lang w:val="en-US"/>
        </w:rPr>
        <w:t>https://www.qhrc.qld.gov.au/__data/assets/word_doc/0012/24015/2020.01.03-A-better-renting-future-HPW-consultation-Final-web.docx</w:t>
      </w:r>
      <w:r>
        <w:rPr>
          <w:lang w:val="en-US"/>
        </w:rPr>
        <w:t>&gt;.</w:t>
      </w:r>
    </w:p>
  </w:footnote>
  <w:footnote w:id="35">
    <w:p w14:paraId="028900FF" w14:textId="4ED954D2" w:rsidR="004A673A" w:rsidRPr="00BD6499" w:rsidRDefault="004A673A">
      <w:pPr>
        <w:pStyle w:val="FootnoteText"/>
        <w:rPr>
          <w:lang w:val="en-US"/>
        </w:rPr>
      </w:pPr>
      <w:r>
        <w:rPr>
          <w:rStyle w:val="FootnoteReference"/>
        </w:rPr>
        <w:footnoteRef/>
      </w:r>
      <w:r>
        <w:t xml:space="preserve"> </w:t>
      </w:r>
      <w:r>
        <w:rPr>
          <w:lang w:val="en-US"/>
        </w:rPr>
        <w:t>For example</w:t>
      </w:r>
      <w:r w:rsidR="00A36C6D">
        <w:rPr>
          <w:lang w:val="en-US"/>
        </w:rPr>
        <w:t xml:space="preserve">, Ben Knight, ‘Has the coronavirus pandemic proved that homelessness is solvable?’ </w:t>
      </w:r>
      <w:r w:rsidR="00A36C6D" w:rsidRPr="00FB39F6">
        <w:rPr>
          <w:i/>
          <w:lang w:val="en-US"/>
        </w:rPr>
        <w:t>ABC News Online</w:t>
      </w:r>
      <w:r w:rsidR="00A36C6D">
        <w:rPr>
          <w:lang w:val="en-US"/>
        </w:rPr>
        <w:t>, 8 June 2020 &lt;</w:t>
      </w:r>
      <w:r w:rsidR="00A36C6D" w:rsidRPr="00FB39F6">
        <w:t>https://www.abc.net.au/news/2020-06-08/housing-homeless-in-pandemic-has-worked-lets-make-it-permanent/12330442</w:t>
      </w:r>
      <w:r w:rsidR="00A36C6D">
        <w:rPr>
          <w:lang w:val="en-US"/>
        </w:rPr>
        <w:t>&gt;.</w:t>
      </w:r>
    </w:p>
  </w:footnote>
  <w:footnote w:id="36">
    <w:p w14:paraId="3C708CD8" w14:textId="1E2B9272" w:rsidR="004A673A" w:rsidRPr="00D70249" w:rsidRDefault="004A673A" w:rsidP="00FF30B9">
      <w:pPr>
        <w:pStyle w:val="FootnoteText"/>
        <w:rPr>
          <w:lang w:val="en-US"/>
        </w:rPr>
      </w:pPr>
      <w:r>
        <w:rPr>
          <w:rStyle w:val="FootnoteReference"/>
        </w:rPr>
        <w:footnoteRef/>
      </w:r>
      <w:r w:rsidR="00A36C6D">
        <w:t xml:space="preserve"> Homelessness Australia, </w:t>
      </w:r>
      <w:r w:rsidR="00A36C6D" w:rsidRPr="00FB39F6">
        <w:rPr>
          <w:i/>
        </w:rPr>
        <w:t>Homelessness statistics</w:t>
      </w:r>
      <w:r w:rsidR="00A36C6D">
        <w:t xml:space="preserve"> </w:t>
      </w:r>
      <w:r w:rsidR="00EA3156">
        <w:t>(Web page) &lt;</w:t>
      </w:r>
      <w:r w:rsidR="00EA3156" w:rsidRPr="00FB39F6">
        <w:t>https://www.homelessnessaustralia.org.au/about/homelessness-statistics</w:t>
      </w:r>
      <w:r w:rsidR="00EA3156">
        <w:t>&gt;</w:t>
      </w:r>
      <w:r w:rsidR="00EA3156">
        <w:rPr>
          <w:rStyle w:val="Hyperlink"/>
        </w:rPr>
        <w:t>.</w:t>
      </w:r>
    </w:p>
  </w:footnote>
  <w:footnote w:id="37">
    <w:p w14:paraId="5F759C0E" w14:textId="0CB71A1E" w:rsidR="004A673A" w:rsidRPr="0018754C" w:rsidRDefault="004A673A">
      <w:pPr>
        <w:pStyle w:val="FootnoteText"/>
        <w:rPr>
          <w:lang w:val="en-US"/>
        </w:rPr>
      </w:pPr>
      <w:r>
        <w:rPr>
          <w:rStyle w:val="FootnoteReference"/>
        </w:rPr>
        <w:footnoteRef/>
      </w:r>
      <w:r>
        <w:t xml:space="preserve"> </w:t>
      </w:r>
      <w:r w:rsidR="00EA3156">
        <w:t xml:space="preserve">Queensland Government, </w:t>
      </w:r>
      <w:r w:rsidR="00EA3156" w:rsidRPr="00FB39F6">
        <w:rPr>
          <w:i/>
        </w:rPr>
        <w:t>Homelessness prevention</w:t>
      </w:r>
      <w:r w:rsidR="00EA3156">
        <w:t xml:space="preserve"> (Web Page, 10 August 2017) </w:t>
      </w:r>
      <w:r w:rsidR="00711A75">
        <w:t>&lt;</w:t>
      </w:r>
      <w:r w:rsidR="00711A75" w:rsidRPr="00FB39F6">
        <w:t>https://www.qld.gov.au/housing/emergency-temporary-accommodation/homelessness-prevention</w:t>
      </w:r>
      <w:r w:rsidR="00711A75">
        <w:t>&gt;</w:t>
      </w:r>
      <w:r w:rsidR="00EA3156" w:rsidRPr="00FB39F6">
        <w:t>.</w:t>
      </w:r>
    </w:p>
  </w:footnote>
  <w:footnote w:id="38">
    <w:p w14:paraId="5D2BD7DE" w14:textId="1713B60A" w:rsidR="004A673A" w:rsidRPr="00EC4890" w:rsidRDefault="004A673A">
      <w:pPr>
        <w:pStyle w:val="FootnoteText"/>
        <w:rPr>
          <w:lang w:val="en-US"/>
        </w:rPr>
      </w:pPr>
      <w:r>
        <w:rPr>
          <w:rStyle w:val="FootnoteReference"/>
        </w:rPr>
        <w:footnoteRef/>
      </w:r>
      <w:r>
        <w:t xml:space="preserve"> </w:t>
      </w:r>
      <w:r w:rsidR="002A0F02">
        <w:t xml:space="preserve">Institute for Social Science Research, The University of Queensland, </w:t>
      </w:r>
      <w:r w:rsidR="002A0F02" w:rsidRPr="00FB39F6">
        <w:rPr>
          <w:i/>
        </w:rPr>
        <w:t>Brisbane Common Ground Evaluation: Final Report</w:t>
      </w:r>
      <w:r>
        <w:t xml:space="preserve"> (</w:t>
      </w:r>
      <w:r w:rsidR="002A0F02">
        <w:t xml:space="preserve">ISSR, </w:t>
      </w:r>
      <w:r>
        <w:t>2015)</w:t>
      </w:r>
      <w:r w:rsidR="002A0F02">
        <w:t xml:space="preserve"> &lt;</w:t>
      </w:r>
      <w:r w:rsidR="002A0F02" w:rsidRPr="002A0F02">
        <w:t xml:space="preserve"> </w:t>
      </w:r>
      <w:r w:rsidR="002A0F02" w:rsidRPr="00FB39F6">
        <w:t>https://issr.uq.edu.au/brisbane-common-ground-evaluation</w:t>
      </w:r>
      <w:r w:rsidR="002A0F02">
        <w:t>&gt;.</w:t>
      </w:r>
      <w:r>
        <w:t xml:space="preserve"> </w:t>
      </w:r>
    </w:p>
  </w:footnote>
  <w:footnote w:id="39">
    <w:p w14:paraId="571F1B74" w14:textId="6A3B4FC2" w:rsidR="004A673A" w:rsidRPr="00A06FE2" w:rsidRDefault="004A673A">
      <w:pPr>
        <w:pStyle w:val="FootnoteText"/>
        <w:rPr>
          <w:lang w:val="en-US"/>
        </w:rPr>
      </w:pPr>
      <w:r>
        <w:rPr>
          <w:rStyle w:val="FootnoteReference"/>
        </w:rPr>
        <w:footnoteRef/>
      </w:r>
      <w:r>
        <w:t xml:space="preserve"> </w:t>
      </w:r>
      <w:r w:rsidR="00711A75">
        <w:rPr>
          <w:lang w:val="en-US"/>
        </w:rPr>
        <w:t xml:space="preserve">Ben Knight, ‘Has the coronavirus pandemic proved that homelessness is solvable?’ </w:t>
      </w:r>
      <w:r w:rsidR="00711A75" w:rsidRPr="00FB5D92">
        <w:rPr>
          <w:i/>
          <w:lang w:val="en-US"/>
        </w:rPr>
        <w:t>ABC News Online</w:t>
      </w:r>
      <w:r w:rsidR="00711A75">
        <w:rPr>
          <w:lang w:val="en-US"/>
        </w:rPr>
        <w:t>, 8 June 2020 &lt;</w:t>
      </w:r>
      <w:r w:rsidR="00711A75" w:rsidRPr="00FB5D92">
        <w:t>https://www.abc.net.au/news/2020-06-08/housing-homeless-in-pandemic-has-worked-lets-make-it-permanent/12330442</w:t>
      </w:r>
      <w:r w:rsidR="00711A75">
        <w:rPr>
          <w:lang w:val="en-US"/>
        </w:rPr>
        <w:t>&gt;</w:t>
      </w:r>
      <w:r>
        <w:rPr>
          <w:rStyle w:val="Hyperlink"/>
        </w:rPr>
        <w:t>.</w:t>
      </w:r>
    </w:p>
  </w:footnote>
  <w:footnote w:id="40">
    <w:p w14:paraId="6806B397" w14:textId="76DC7F3E" w:rsidR="004A673A" w:rsidRPr="002F67FB" w:rsidRDefault="004A673A">
      <w:pPr>
        <w:pStyle w:val="FootnoteText"/>
        <w:rPr>
          <w:lang w:val="en-US"/>
        </w:rPr>
      </w:pPr>
      <w:r>
        <w:rPr>
          <w:rStyle w:val="FootnoteReference"/>
        </w:rPr>
        <w:footnoteRef/>
      </w:r>
      <w:r>
        <w:t xml:space="preserve"> </w:t>
      </w:r>
      <w:r>
        <w:rPr>
          <w:lang w:val="en-US"/>
        </w:rPr>
        <w:t xml:space="preserve">Similarly, the Chief Health Officer must revoke a public health </w:t>
      </w:r>
      <w:r w:rsidR="00221B5B">
        <w:rPr>
          <w:lang w:val="en-US"/>
        </w:rPr>
        <w:t>D</w:t>
      </w:r>
      <w:r>
        <w:rPr>
          <w:lang w:val="en-US"/>
        </w:rPr>
        <w:t xml:space="preserve">irection as soon as reasonably practicable after she is satisfied the direction is no longer necessary to assist in containing, or to respond to, the spread of COVID-19 within the community: </w:t>
      </w:r>
      <w:r w:rsidRPr="002F67FB">
        <w:rPr>
          <w:i/>
          <w:lang w:val="en-US"/>
        </w:rPr>
        <w:t>Public Health Act</w:t>
      </w:r>
      <w:r w:rsidR="00221B5B">
        <w:rPr>
          <w:i/>
          <w:lang w:val="en-US"/>
        </w:rPr>
        <w:t xml:space="preserve"> </w:t>
      </w:r>
      <w:r w:rsidR="00221B5B" w:rsidRPr="00FB39F6">
        <w:rPr>
          <w:lang w:val="en-US"/>
        </w:rPr>
        <w:t>s 362E</w:t>
      </w:r>
      <w:r>
        <w:rPr>
          <w:i/>
          <w:lang w:val="en-US"/>
        </w:rPr>
        <w:t>.</w:t>
      </w:r>
    </w:p>
  </w:footnote>
  <w:footnote w:id="41">
    <w:p w14:paraId="06A1139A" w14:textId="58A9206A" w:rsidR="004A673A" w:rsidRPr="00A06FE2" w:rsidRDefault="004A673A">
      <w:pPr>
        <w:pStyle w:val="FootnoteText"/>
        <w:rPr>
          <w:lang w:val="en-US"/>
        </w:rPr>
      </w:pPr>
      <w:r>
        <w:rPr>
          <w:rStyle w:val="FootnoteReference"/>
        </w:rPr>
        <w:footnoteRef/>
      </w:r>
      <w:r>
        <w:t xml:space="preserve"> </w:t>
      </w:r>
      <w:r>
        <w:rPr>
          <w:lang w:val="en-US"/>
        </w:rPr>
        <w:t xml:space="preserve">Noting that the current requirement on QPS officers to obtain information on Aboriginal or Torres Strait Islander identification in certain circumstances as reflected in the </w:t>
      </w:r>
      <w:r w:rsidRPr="00FB39F6">
        <w:rPr>
          <w:i/>
          <w:lang w:val="en-US"/>
        </w:rPr>
        <w:t>Operational Procedural Manual</w:t>
      </w:r>
      <w:r>
        <w:rPr>
          <w:lang w:val="en-US"/>
        </w:rPr>
        <w:t xml:space="preserve"> at section 1.11.2.</w:t>
      </w:r>
    </w:p>
  </w:footnote>
  <w:footnote w:id="42">
    <w:p w14:paraId="205E652A" w14:textId="5C59D217" w:rsidR="004A673A" w:rsidRPr="009C1BEA" w:rsidRDefault="004A673A" w:rsidP="00574E42">
      <w:pPr>
        <w:pStyle w:val="FootnoteText"/>
      </w:pPr>
      <w:r>
        <w:rPr>
          <w:rStyle w:val="FootnoteReference"/>
        </w:rPr>
        <w:footnoteRef/>
      </w:r>
      <w:r>
        <w:t xml:space="preserve"> For example</w:t>
      </w:r>
      <w:r w:rsidRPr="00574E42">
        <w:t xml:space="preserve"> </w:t>
      </w:r>
      <w:r w:rsidRPr="00574E42">
        <w:rPr>
          <w:i/>
        </w:rPr>
        <w:t xml:space="preserve">COVID-19 Emergency Response </w:t>
      </w:r>
      <w:r>
        <w:rPr>
          <w:i/>
        </w:rPr>
        <w:t>Act</w:t>
      </w:r>
      <w:r w:rsidRPr="00574E42">
        <w:rPr>
          <w:i/>
        </w:rPr>
        <w:t xml:space="preserve"> 2020</w:t>
      </w:r>
      <w:r>
        <w:rPr>
          <w:i/>
        </w:rPr>
        <w:t xml:space="preserve">, </w:t>
      </w:r>
      <w:r w:rsidRPr="00574E42">
        <w:rPr>
          <w:i/>
        </w:rPr>
        <w:t xml:space="preserve">Public Health and Other Legislation (Public Health Emergency) Amendment </w:t>
      </w:r>
      <w:r>
        <w:rPr>
          <w:i/>
        </w:rPr>
        <w:t>Act</w:t>
      </w:r>
      <w:r w:rsidRPr="00574E42">
        <w:rPr>
          <w:i/>
        </w:rPr>
        <w:t xml:space="preserve"> 2020</w:t>
      </w:r>
      <w:r>
        <w:rPr>
          <w:i/>
        </w:rPr>
        <w:t>,</w:t>
      </w:r>
      <w:r>
        <w:t xml:space="preserve"> </w:t>
      </w:r>
      <w:r w:rsidRPr="00574E42">
        <w:rPr>
          <w:i/>
        </w:rPr>
        <w:t xml:space="preserve">Justice and Other Legislation (COVID-19 Emergency Response) Amendment </w:t>
      </w:r>
      <w:r>
        <w:rPr>
          <w:i/>
        </w:rPr>
        <w:t>Act 2020</w:t>
      </w:r>
      <w:r>
        <w:t>.</w:t>
      </w:r>
    </w:p>
  </w:footnote>
  <w:footnote w:id="43">
    <w:p w14:paraId="09C97BB9" w14:textId="468654B3" w:rsidR="004A673A" w:rsidRPr="00F75C3E" w:rsidRDefault="004A673A" w:rsidP="005808D5">
      <w:pPr>
        <w:pStyle w:val="FootnoteText"/>
        <w:rPr>
          <w:lang w:val="en-US"/>
        </w:rPr>
      </w:pPr>
      <w:r>
        <w:rPr>
          <w:rStyle w:val="FootnoteReference"/>
        </w:rPr>
        <w:footnoteRef/>
      </w:r>
      <w:r>
        <w:t xml:space="preserve"> Parliamentary Joint Committee on Human Rights, Parliament of Australia, </w:t>
      </w:r>
      <w:r w:rsidRPr="00744F5E">
        <w:rPr>
          <w:i/>
          <w:lang w:val="en-US"/>
        </w:rPr>
        <w:t>Annual Report</w:t>
      </w:r>
      <w:r>
        <w:rPr>
          <w:lang w:val="en-US"/>
        </w:rPr>
        <w:t xml:space="preserve"> </w:t>
      </w:r>
      <w:r w:rsidR="00711A75" w:rsidRPr="00FB39F6">
        <w:rPr>
          <w:i/>
          <w:lang w:val="en-US"/>
        </w:rPr>
        <w:t>2018</w:t>
      </w:r>
      <w:r w:rsidR="00711A75">
        <w:rPr>
          <w:lang w:val="en-US"/>
        </w:rPr>
        <w:t xml:space="preserve"> </w:t>
      </w:r>
      <w:r>
        <w:rPr>
          <w:lang w:val="en-US"/>
        </w:rPr>
        <w:t>(tabled 12 February 2019)</w:t>
      </w:r>
      <w:r w:rsidR="00711A75">
        <w:rPr>
          <w:lang w:val="en-US"/>
        </w:rPr>
        <w:t xml:space="preserve"> Ch 2, 5. &lt;</w:t>
      </w:r>
      <w:r w:rsidR="00711A75" w:rsidRPr="00FB39F6">
        <w:t>https://www.aph.gov.au/Parliamentary_Business/Committees/Joint/Human_Rights/Scrutiny_reports/Annual_Reports/Annual_Report_2018</w:t>
      </w:r>
      <w:r w:rsidR="00711A75">
        <w:t>&gt;.</w:t>
      </w:r>
    </w:p>
  </w:footnote>
  <w:footnote w:id="44">
    <w:p w14:paraId="039F5246" w14:textId="0F0F2FE9" w:rsidR="004A673A" w:rsidRPr="00BE7791" w:rsidRDefault="004A673A">
      <w:pPr>
        <w:pStyle w:val="FootnoteText"/>
        <w:rPr>
          <w:lang w:val="en-US"/>
        </w:rPr>
      </w:pPr>
      <w:r>
        <w:rPr>
          <w:rStyle w:val="FootnoteReference"/>
        </w:rPr>
        <w:footnoteRef/>
      </w:r>
      <w:r>
        <w:t xml:space="preserve"> </w:t>
      </w:r>
      <w:r>
        <w:rPr>
          <w:lang w:val="en-US"/>
        </w:rPr>
        <w:t xml:space="preserve">Including the Queensland </w:t>
      </w:r>
      <w:r w:rsidRPr="00287C54">
        <w:rPr>
          <w:i/>
          <w:lang w:val="en-US"/>
        </w:rPr>
        <w:t>Whole of Government Pandemic Plan</w:t>
      </w:r>
      <w:r>
        <w:rPr>
          <w:i/>
          <w:lang w:val="en-US"/>
        </w:rPr>
        <w:t xml:space="preserve"> 2020, </w:t>
      </w:r>
      <w:r w:rsidRPr="006F12D9">
        <w:rPr>
          <w:i/>
          <w:lang w:val="en-US"/>
        </w:rPr>
        <w:t>Queensland State Disaster Management Plan</w:t>
      </w:r>
      <w:r w:rsidR="00711A75">
        <w:rPr>
          <w:lang w:val="en-US"/>
        </w:rPr>
        <w:t>,</w:t>
      </w:r>
      <w:r>
        <w:rPr>
          <w:lang w:val="en-US"/>
        </w:rPr>
        <w:t xml:space="preserve"> and </w:t>
      </w:r>
      <w:r w:rsidRPr="006F12D9">
        <w:rPr>
          <w:i/>
          <w:lang w:val="en-US"/>
        </w:rPr>
        <w:t xml:space="preserve">Queensland Health </w:t>
      </w:r>
      <w:r>
        <w:rPr>
          <w:i/>
          <w:lang w:val="en-US"/>
        </w:rPr>
        <w:t>Disaster and Emergency Incident Plan</w:t>
      </w:r>
      <w:r w:rsidRPr="006F12D9">
        <w:rPr>
          <w:i/>
          <w:lang w:val="en-US"/>
        </w:rPr>
        <w:t xml:space="preserve">. </w:t>
      </w:r>
      <w:r>
        <w:rPr>
          <w:lang w:val="en-US"/>
        </w:rPr>
        <w:t xml:space="preserve">The </w:t>
      </w:r>
      <w:r>
        <w:rPr>
          <w:i/>
          <w:lang w:val="en-US"/>
        </w:rPr>
        <w:t xml:space="preserve">Queensland Health Pandemic Influenza Plan </w:t>
      </w:r>
      <w:r>
        <w:rPr>
          <w:lang w:val="en-US"/>
        </w:rPr>
        <w:t>does include a discussion on ethical decision</w:t>
      </w:r>
      <w:r w:rsidR="00711A75">
        <w:rPr>
          <w:lang w:val="en-US"/>
        </w:rPr>
        <w:t>-</w:t>
      </w:r>
      <w:r>
        <w:rPr>
          <w:lang w:val="en-US"/>
        </w:rPr>
        <w:t>making which cites some civil rights (such as liberty)</w:t>
      </w:r>
      <w:r w:rsidR="00711A75">
        <w:rPr>
          <w:lang w:val="en-US"/>
        </w:rPr>
        <w:t>,</w:t>
      </w:r>
      <w:r>
        <w:rPr>
          <w:lang w:val="en-US"/>
        </w:rPr>
        <w:t xml:space="preserve"> but is not a comprehensive consideration of the obligations in the </w:t>
      </w:r>
      <w:r>
        <w:rPr>
          <w:i/>
          <w:lang w:val="en-US"/>
        </w:rPr>
        <w:t>Human Rights Act.</w:t>
      </w:r>
    </w:p>
  </w:footnote>
  <w:footnote w:id="45">
    <w:p w14:paraId="677B68EC" w14:textId="54ADBA69" w:rsidR="004A673A" w:rsidRPr="009C1BEA" w:rsidRDefault="004A673A" w:rsidP="00A06FE2">
      <w:pPr>
        <w:pStyle w:val="FootnoteText"/>
      </w:pPr>
      <w:r w:rsidRPr="2D036B2A">
        <w:rPr>
          <w:rStyle w:val="FootnoteReference"/>
        </w:rPr>
        <w:footnoteRef/>
      </w:r>
      <w:r>
        <w:t xml:space="preserve"> </w:t>
      </w:r>
      <w:r w:rsidRPr="2D036B2A">
        <w:rPr>
          <w:i/>
          <w:iCs/>
        </w:rPr>
        <w:t>Human Rights Act 2019</w:t>
      </w:r>
      <w:r w:rsidR="00711A75">
        <w:rPr>
          <w:i/>
          <w:iCs/>
        </w:rPr>
        <w:t xml:space="preserve">, </w:t>
      </w:r>
      <w:r w:rsidR="00711A75" w:rsidRPr="00FB39F6">
        <w:rPr>
          <w:iCs/>
        </w:rPr>
        <w:t>s 58</w:t>
      </w:r>
      <w:r>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B4B86" w14:textId="77777777" w:rsidR="004A673A" w:rsidRDefault="004A6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871BC" w14:textId="77777777" w:rsidR="004A673A" w:rsidRDefault="004A6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F5F2" w14:textId="77777777" w:rsidR="004A673A" w:rsidRDefault="004A673A" w:rsidP="00260847">
    <w:pPr>
      <w:pStyle w:val="Header"/>
      <w:tabs>
        <w:tab w:val="clear" w:pos="4513"/>
        <w:tab w:val="clear" w:pos="9026"/>
      </w:tabs>
      <w:spacing w:before="240"/>
    </w:pPr>
  </w:p>
  <w:p w14:paraId="5630AD66" w14:textId="77777777" w:rsidR="004A673A" w:rsidRDefault="004A67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9076" w14:textId="77777777" w:rsidR="004A673A" w:rsidRPr="000731D3" w:rsidRDefault="004A673A" w:rsidP="000731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EB6D" w14:textId="77777777" w:rsidR="004A673A" w:rsidRPr="000731D3" w:rsidRDefault="004A673A" w:rsidP="000731D3">
    <w:pPr>
      <w:pStyle w:val="Header"/>
      <w:rPr>
        <w:rFonts w:ascii="Arial" w:hAnsi="Arial" w:cs="Arial"/>
        <w:color w:val="365F91" w:themeColor="accent1" w:themeShade="BF"/>
      </w:rPr>
    </w:pPr>
    <w:r>
      <w:rPr>
        <w:rFonts w:ascii="Arial" w:hAnsi="Arial" w:cs="Arial"/>
        <w:color w:val="365F91" w:themeColor="accent1" w:themeShade="BF"/>
      </w:rPr>
      <w:t>[title]</w:t>
    </w:r>
  </w:p>
  <w:p w14:paraId="637805D2" w14:textId="77777777" w:rsidR="004A673A" w:rsidRPr="000731D3" w:rsidRDefault="004A673A" w:rsidP="000731D3">
    <w:pPr>
      <w:pStyle w:val="Header"/>
      <w:pBdr>
        <w:bottom w:val="single" w:sz="4" w:space="1" w:color="auto"/>
      </w:pBdr>
      <w:rPr>
        <w:rFonts w:ascii="Arial" w:hAnsi="Arial" w:cs="Arial"/>
        <w:sz w:val="20"/>
        <w:szCs w:val="20"/>
      </w:rPr>
    </w:pPr>
  </w:p>
  <w:p w14:paraId="463F29E8" w14:textId="77777777" w:rsidR="004A673A" w:rsidRPr="000731D3" w:rsidRDefault="004A673A"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07C92"/>
    <w:multiLevelType w:val="multilevel"/>
    <w:tmpl w:val="9424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50E7E"/>
    <w:multiLevelType w:val="multilevel"/>
    <w:tmpl w:val="5366D1A6"/>
    <w:lvl w:ilvl="0">
      <w:start w:val="1"/>
      <w:numFmt w:val="decimal"/>
      <w:pStyle w:val="Numberedparagraph"/>
      <w:lvlText w:val="%1."/>
      <w:lvlJc w:val="left"/>
      <w:pPr>
        <w:ind w:left="567" w:hanging="567"/>
      </w:pPr>
      <w:rPr>
        <w:rFonts w:ascii="Arial" w:hAnsi="Arial" w:cs="Arial" w:hint="default"/>
        <w:strike w:val="0"/>
      </w:rPr>
    </w:lvl>
    <w:lvl w:ilvl="1">
      <w:start w:val="1"/>
      <w:numFmt w:val="lowerLetter"/>
      <w:lvlText w:val="%2."/>
      <w:lvlJc w:val="left"/>
      <w:pPr>
        <w:ind w:left="-5614" w:hanging="283"/>
      </w:pPr>
      <w:rPr>
        <w:rFonts w:hint="default"/>
        <w:b w:val="0"/>
        <w:i w:val="0"/>
        <w:sz w:val="24"/>
      </w:rPr>
    </w:lvl>
    <w:lvl w:ilvl="2">
      <w:start w:val="1"/>
      <w:numFmt w:val="lowerRoman"/>
      <w:lvlText w:val="%3."/>
      <w:lvlJc w:val="right"/>
      <w:pPr>
        <w:ind w:left="-5274" w:hanging="113"/>
      </w:pPr>
      <w:rPr>
        <w:rFonts w:hint="default"/>
      </w:rPr>
    </w:lvl>
    <w:lvl w:ilvl="3">
      <w:start w:val="1"/>
      <w:numFmt w:val="decimal"/>
      <w:lvlText w:val="%4."/>
      <w:lvlJc w:val="left"/>
      <w:pPr>
        <w:ind w:left="-5093" w:hanging="357"/>
      </w:pPr>
      <w:rPr>
        <w:rFonts w:hint="default"/>
      </w:rPr>
    </w:lvl>
    <w:lvl w:ilvl="4">
      <w:start w:val="1"/>
      <w:numFmt w:val="lowerLetter"/>
      <w:lvlText w:val="%5."/>
      <w:lvlJc w:val="left"/>
      <w:pPr>
        <w:ind w:left="-4736" w:hanging="357"/>
      </w:pPr>
      <w:rPr>
        <w:rFonts w:hint="default"/>
      </w:rPr>
    </w:lvl>
    <w:lvl w:ilvl="5">
      <w:start w:val="1"/>
      <w:numFmt w:val="lowerRoman"/>
      <w:lvlText w:val="%6."/>
      <w:lvlJc w:val="right"/>
      <w:pPr>
        <w:ind w:left="-4379" w:hanging="357"/>
      </w:pPr>
      <w:rPr>
        <w:rFonts w:hint="default"/>
      </w:rPr>
    </w:lvl>
    <w:lvl w:ilvl="6">
      <w:start w:val="1"/>
      <w:numFmt w:val="decimal"/>
      <w:lvlText w:val="%7."/>
      <w:lvlJc w:val="left"/>
      <w:pPr>
        <w:ind w:left="-4022" w:hanging="357"/>
      </w:pPr>
      <w:rPr>
        <w:rFonts w:hint="default"/>
      </w:rPr>
    </w:lvl>
    <w:lvl w:ilvl="7">
      <w:start w:val="1"/>
      <w:numFmt w:val="lowerLetter"/>
      <w:lvlText w:val="%8."/>
      <w:lvlJc w:val="left"/>
      <w:pPr>
        <w:ind w:left="-3665" w:hanging="357"/>
      </w:pPr>
      <w:rPr>
        <w:rFonts w:hint="default"/>
      </w:rPr>
    </w:lvl>
    <w:lvl w:ilvl="8">
      <w:start w:val="1"/>
      <w:numFmt w:val="lowerRoman"/>
      <w:lvlText w:val="%9."/>
      <w:lvlJc w:val="right"/>
      <w:pPr>
        <w:ind w:left="-3308" w:hanging="357"/>
      </w:pPr>
      <w:rPr>
        <w:rFonts w:hint="default"/>
      </w:rPr>
    </w:lvl>
  </w:abstractNum>
  <w:abstractNum w:abstractNumId="2" w15:restartNumberingAfterBreak="0">
    <w:nsid w:val="1AA60880"/>
    <w:multiLevelType w:val="hybridMultilevel"/>
    <w:tmpl w:val="8EA26E6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44DC67CE"/>
    <w:multiLevelType w:val="hybridMultilevel"/>
    <w:tmpl w:val="765C20D4"/>
    <w:lvl w:ilvl="0" w:tplc="B8065EC0">
      <w:start w:val="1"/>
      <w:numFmt w:val="decimal"/>
      <w:pStyle w:val="Recs"/>
      <w:lvlText w:val="Recommendation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4" w15:restartNumberingAfterBreak="0">
    <w:nsid w:val="6408517A"/>
    <w:multiLevelType w:val="hybridMultilevel"/>
    <w:tmpl w:val="D220AD1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666A4733"/>
    <w:multiLevelType w:val="multilevel"/>
    <w:tmpl w:val="4B266C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num w:numId="1">
    <w:abstractNumId w:val="6"/>
  </w:num>
  <w:num w:numId="2">
    <w:abstractNumId w:val="5"/>
  </w:num>
  <w:num w:numId="3">
    <w:abstractNumId w:val="2"/>
  </w:num>
  <w:num w:numId="4">
    <w:abstractNumId w:val="1"/>
  </w:num>
  <w:num w:numId="5">
    <w:abstractNumId w:val="3"/>
  </w:num>
  <w:num w:numId="6">
    <w:abstractNumId w:val="4"/>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ttachedTemplate r:id="rId1"/>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53"/>
    <w:rsid w:val="00000151"/>
    <w:rsid w:val="00001F1E"/>
    <w:rsid w:val="00002EF3"/>
    <w:rsid w:val="00002F05"/>
    <w:rsid w:val="000035A5"/>
    <w:rsid w:val="00004654"/>
    <w:rsid w:val="000066A0"/>
    <w:rsid w:val="00006D49"/>
    <w:rsid w:val="00007038"/>
    <w:rsid w:val="00011F28"/>
    <w:rsid w:val="00013135"/>
    <w:rsid w:val="00014C13"/>
    <w:rsid w:val="000170F1"/>
    <w:rsid w:val="00017F3E"/>
    <w:rsid w:val="00021A91"/>
    <w:rsid w:val="00022618"/>
    <w:rsid w:val="00022AED"/>
    <w:rsid w:val="0002351E"/>
    <w:rsid w:val="00025106"/>
    <w:rsid w:val="00025DD3"/>
    <w:rsid w:val="00025F13"/>
    <w:rsid w:val="000270D9"/>
    <w:rsid w:val="00041E58"/>
    <w:rsid w:val="00042E72"/>
    <w:rsid w:val="00042F23"/>
    <w:rsid w:val="00043583"/>
    <w:rsid w:val="00044A7F"/>
    <w:rsid w:val="000453B7"/>
    <w:rsid w:val="000453FC"/>
    <w:rsid w:val="00045B46"/>
    <w:rsid w:val="00047983"/>
    <w:rsid w:val="000500B4"/>
    <w:rsid w:val="0005365C"/>
    <w:rsid w:val="00054120"/>
    <w:rsid w:val="00056960"/>
    <w:rsid w:val="00057023"/>
    <w:rsid w:val="000578AB"/>
    <w:rsid w:val="00057D21"/>
    <w:rsid w:val="00060A3B"/>
    <w:rsid w:val="000637FC"/>
    <w:rsid w:val="00063EDF"/>
    <w:rsid w:val="00066EA7"/>
    <w:rsid w:val="000707C2"/>
    <w:rsid w:val="00071300"/>
    <w:rsid w:val="00071F7A"/>
    <w:rsid w:val="00072CE6"/>
    <w:rsid w:val="000731D3"/>
    <w:rsid w:val="00074DA0"/>
    <w:rsid w:val="00075AB0"/>
    <w:rsid w:val="0007682B"/>
    <w:rsid w:val="000779C2"/>
    <w:rsid w:val="0008027A"/>
    <w:rsid w:val="00084802"/>
    <w:rsid w:val="00090FFB"/>
    <w:rsid w:val="00091992"/>
    <w:rsid w:val="00095FBB"/>
    <w:rsid w:val="000960EA"/>
    <w:rsid w:val="00096517"/>
    <w:rsid w:val="00096D08"/>
    <w:rsid w:val="000973F8"/>
    <w:rsid w:val="00097E60"/>
    <w:rsid w:val="000A0DA2"/>
    <w:rsid w:val="000A156D"/>
    <w:rsid w:val="000A201B"/>
    <w:rsid w:val="000A2D3B"/>
    <w:rsid w:val="000A58C2"/>
    <w:rsid w:val="000A7563"/>
    <w:rsid w:val="000B1186"/>
    <w:rsid w:val="000B169B"/>
    <w:rsid w:val="000B6C72"/>
    <w:rsid w:val="000B794F"/>
    <w:rsid w:val="000B7B74"/>
    <w:rsid w:val="000C216C"/>
    <w:rsid w:val="000C30BB"/>
    <w:rsid w:val="000C59BF"/>
    <w:rsid w:val="000C6646"/>
    <w:rsid w:val="000C6818"/>
    <w:rsid w:val="000C766D"/>
    <w:rsid w:val="000D1CDB"/>
    <w:rsid w:val="000D22B0"/>
    <w:rsid w:val="000D2B73"/>
    <w:rsid w:val="000D49A5"/>
    <w:rsid w:val="000D4DA6"/>
    <w:rsid w:val="000D5560"/>
    <w:rsid w:val="000D5859"/>
    <w:rsid w:val="000D5C57"/>
    <w:rsid w:val="000E08DF"/>
    <w:rsid w:val="000E0925"/>
    <w:rsid w:val="000E1039"/>
    <w:rsid w:val="000E156D"/>
    <w:rsid w:val="000E2A81"/>
    <w:rsid w:val="000E339A"/>
    <w:rsid w:val="000F0BC1"/>
    <w:rsid w:val="000F1207"/>
    <w:rsid w:val="000F12D8"/>
    <w:rsid w:val="000F4098"/>
    <w:rsid w:val="000F4742"/>
    <w:rsid w:val="000F47AA"/>
    <w:rsid w:val="000F56AA"/>
    <w:rsid w:val="001026F3"/>
    <w:rsid w:val="00105217"/>
    <w:rsid w:val="001066BD"/>
    <w:rsid w:val="001102AF"/>
    <w:rsid w:val="00111EF1"/>
    <w:rsid w:val="00111FBA"/>
    <w:rsid w:val="001207FE"/>
    <w:rsid w:val="00121E6F"/>
    <w:rsid w:val="00122475"/>
    <w:rsid w:val="001225F6"/>
    <w:rsid w:val="00124A35"/>
    <w:rsid w:val="001263AF"/>
    <w:rsid w:val="001264CF"/>
    <w:rsid w:val="0012733A"/>
    <w:rsid w:val="001304EE"/>
    <w:rsid w:val="00132E0D"/>
    <w:rsid w:val="001336EC"/>
    <w:rsid w:val="001376E2"/>
    <w:rsid w:val="001405B7"/>
    <w:rsid w:val="00140C61"/>
    <w:rsid w:val="00144D11"/>
    <w:rsid w:val="00145120"/>
    <w:rsid w:val="00147D92"/>
    <w:rsid w:val="00152D59"/>
    <w:rsid w:val="001534F8"/>
    <w:rsid w:val="001601BC"/>
    <w:rsid w:val="001612F8"/>
    <w:rsid w:val="00164C4D"/>
    <w:rsid w:val="001657ED"/>
    <w:rsid w:val="0016668D"/>
    <w:rsid w:val="0017117F"/>
    <w:rsid w:val="00171750"/>
    <w:rsid w:val="00171CF2"/>
    <w:rsid w:val="00173318"/>
    <w:rsid w:val="00174DC0"/>
    <w:rsid w:val="00176FAB"/>
    <w:rsid w:val="001813FA"/>
    <w:rsid w:val="001825CB"/>
    <w:rsid w:val="00182865"/>
    <w:rsid w:val="00182E06"/>
    <w:rsid w:val="001851FA"/>
    <w:rsid w:val="0018754C"/>
    <w:rsid w:val="00187B57"/>
    <w:rsid w:val="001916E4"/>
    <w:rsid w:val="0019203A"/>
    <w:rsid w:val="00192066"/>
    <w:rsid w:val="00195E9F"/>
    <w:rsid w:val="001A0240"/>
    <w:rsid w:val="001A12BD"/>
    <w:rsid w:val="001A1E45"/>
    <w:rsid w:val="001A2850"/>
    <w:rsid w:val="001A484C"/>
    <w:rsid w:val="001A4A20"/>
    <w:rsid w:val="001A4B31"/>
    <w:rsid w:val="001A6DEA"/>
    <w:rsid w:val="001B1A27"/>
    <w:rsid w:val="001B2648"/>
    <w:rsid w:val="001B513D"/>
    <w:rsid w:val="001B5470"/>
    <w:rsid w:val="001B57C6"/>
    <w:rsid w:val="001B58EA"/>
    <w:rsid w:val="001B62DA"/>
    <w:rsid w:val="001B67EA"/>
    <w:rsid w:val="001B6CDD"/>
    <w:rsid w:val="001B6FF8"/>
    <w:rsid w:val="001C01FD"/>
    <w:rsid w:val="001C127F"/>
    <w:rsid w:val="001C1E52"/>
    <w:rsid w:val="001C23EA"/>
    <w:rsid w:val="001C30C1"/>
    <w:rsid w:val="001C312E"/>
    <w:rsid w:val="001C6110"/>
    <w:rsid w:val="001C6DB7"/>
    <w:rsid w:val="001C77E2"/>
    <w:rsid w:val="001D00C1"/>
    <w:rsid w:val="001D3940"/>
    <w:rsid w:val="001D410B"/>
    <w:rsid w:val="001D44AC"/>
    <w:rsid w:val="001D492C"/>
    <w:rsid w:val="001D50C0"/>
    <w:rsid w:val="001D68C0"/>
    <w:rsid w:val="001D68C3"/>
    <w:rsid w:val="001D7758"/>
    <w:rsid w:val="001E0C50"/>
    <w:rsid w:val="001E25B8"/>
    <w:rsid w:val="001E2FB1"/>
    <w:rsid w:val="001E387F"/>
    <w:rsid w:val="001E3A26"/>
    <w:rsid w:val="001E5268"/>
    <w:rsid w:val="001F033F"/>
    <w:rsid w:val="001F3F19"/>
    <w:rsid w:val="001F5708"/>
    <w:rsid w:val="001F5F4B"/>
    <w:rsid w:val="002008EF"/>
    <w:rsid w:val="00201344"/>
    <w:rsid w:val="00202788"/>
    <w:rsid w:val="00210867"/>
    <w:rsid w:val="002110ED"/>
    <w:rsid w:val="00212E4B"/>
    <w:rsid w:val="00213A74"/>
    <w:rsid w:val="0021463A"/>
    <w:rsid w:val="002164C4"/>
    <w:rsid w:val="00217C96"/>
    <w:rsid w:val="002215ED"/>
    <w:rsid w:val="00221B5B"/>
    <w:rsid w:val="00221CB6"/>
    <w:rsid w:val="00222A7E"/>
    <w:rsid w:val="002243C9"/>
    <w:rsid w:val="00225296"/>
    <w:rsid w:val="00225F2D"/>
    <w:rsid w:val="00227178"/>
    <w:rsid w:val="0023127A"/>
    <w:rsid w:val="00231686"/>
    <w:rsid w:val="00233BF9"/>
    <w:rsid w:val="00233C9F"/>
    <w:rsid w:val="00233F52"/>
    <w:rsid w:val="00235527"/>
    <w:rsid w:val="00236FAF"/>
    <w:rsid w:val="00240EF9"/>
    <w:rsid w:val="0024194E"/>
    <w:rsid w:val="00242E00"/>
    <w:rsid w:val="00243575"/>
    <w:rsid w:val="00244172"/>
    <w:rsid w:val="00245D08"/>
    <w:rsid w:val="00245FCD"/>
    <w:rsid w:val="002508FE"/>
    <w:rsid w:val="002525B7"/>
    <w:rsid w:val="00252805"/>
    <w:rsid w:val="00253B42"/>
    <w:rsid w:val="002541FD"/>
    <w:rsid w:val="00260847"/>
    <w:rsid w:val="00260A00"/>
    <w:rsid w:val="00262C42"/>
    <w:rsid w:val="00263A02"/>
    <w:rsid w:val="00264744"/>
    <w:rsid w:val="002670B6"/>
    <w:rsid w:val="002770BE"/>
    <w:rsid w:val="00282E6D"/>
    <w:rsid w:val="00283B44"/>
    <w:rsid w:val="00283B99"/>
    <w:rsid w:val="00283D88"/>
    <w:rsid w:val="00284C47"/>
    <w:rsid w:val="00284FF0"/>
    <w:rsid w:val="00287C54"/>
    <w:rsid w:val="00287E15"/>
    <w:rsid w:val="002922F3"/>
    <w:rsid w:val="002928AA"/>
    <w:rsid w:val="00292C50"/>
    <w:rsid w:val="0029364C"/>
    <w:rsid w:val="0029472A"/>
    <w:rsid w:val="002949E2"/>
    <w:rsid w:val="002979B9"/>
    <w:rsid w:val="002A03AE"/>
    <w:rsid w:val="002A03F1"/>
    <w:rsid w:val="002A0F02"/>
    <w:rsid w:val="002A4E97"/>
    <w:rsid w:val="002A7626"/>
    <w:rsid w:val="002B02CE"/>
    <w:rsid w:val="002B1748"/>
    <w:rsid w:val="002B3DAF"/>
    <w:rsid w:val="002B405E"/>
    <w:rsid w:val="002B4139"/>
    <w:rsid w:val="002B55D2"/>
    <w:rsid w:val="002B65D4"/>
    <w:rsid w:val="002B7599"/>
    <w:rsid w:val="002C0617"/>
    <w:rsid w:val="002C1F62"/>
    <w:rsid w:val="002C7BC5"/>
    <w:rsid w:val="002D12F0"/>
    <w:rsid w:val="002D1C0E"/>
    <w:rsid w:val="002D46A2"/>
    <w:rsid w:val="002D7221"/>
    <w:rsid w:val="002E433B"/>
    <w:rsid w:val="002E458F"/>
    <w:rsid w:val="002E45E3"/>
    <w:rsid w:val="002F5178"/>
    <w:rsid w:val="002F67FB"/>
    <w:rsid w:val="00303B7C"/>
    <w:rsid w:val="0030559A"/>
    <w:rsid w:val="003065F4"/>
    <w:rsid w:val="00307FEC"/>
    <w:rsid w:val="00310CB2"/>
    <w:rsid w:val="00312C2A"/>
    <w:rsid w:val="003204FA"/>
    <w:rsid w:val="00320E51"/>
    <w:rsid w:val="00321445"/>
    <w:rsid w:val="003242D2"/>
    <w:rsid w:val="0032516B"/>
    <w:rsid w:val="003252D3"/>
    <w:rsid w:val="00325D61"/>
    <w:rsid w:val="003263D0"/>
    <w:rsid w:val="00331698"/>
    <w:rsid w:val="0033216F"/>
    <w:rsid w:val="00332876"/>
    <w:rsid w:val="003335B4"/>
    <w:rsid w:val="0034134D"/>
    <w:rsid w:val="00342250"/>
    <w:rsid w:val="003425E1"/>
    <w:rsid w:val="003429B0"/>
    <w:rsid w:val="003430E1"/>
    <w:rsid w:val="00343B57"/>
    <w:rsid w:val="00343F26"/>
    <w:rsid w:val="00344535"/>
    <w:rsid w:val="00344F59"/>
    <w:rsid w:val="0034564B"/>
    <w:rsid w:val="003456B3"/>
    <w:rsid w:val="0034652C"/>
    <w:rsid w:val="003466B0"/>
    <w:rsid w:val="00350D39"/>
    <w:rsid w:val="0035115B"/>
    <w:rsid w:val="003523D7"/>
    <w:rsid w:val="003525A3"/>
    <w:rsid w:val="00353557"/>
    <w:rsid w:val="0035654D"/>
    <w:rsid w:val="00357409"/>
    <w:rsid w:val="00360667"/>
    <w:rsid w:val="0036262E"/>
    <w:rsid w:val="003637D6"/>
    <w:rsid w:val="00365AC1"/>
    <w:rsid w:val="003661EB"/>
    <w:rsid w:val="00370336"/>
    <w:rsid w:val="00370DC9"/>
    <w:rsid w:val="00373612"/>
    <w:rsid w:val="00373CBA"/>
    <w:rsid w:val="003764E4"/>
    <w:rsid w:val="00377811"/>
    <w:rsid w:val="00377AFD"/>
    <w:rsid w:val="003847F0"/>
    <w:rsid w:val="00384D5B"/>
    <w:rsid w:val="00389392"/>
    <w:rsid w:val="00390226"/>
    <w:rsid w:val="00392522"/>
    <w:rsid w:val="003941C4"/>
    <w:rsid w:val="00394AEA"/>
    <w:rsid w:val="00395332"/>
    <w:rsid w:val="003A1032"/>
    <w:rsid w:val="003A28DD"/>
    <w:rsid w:val="003A499E"/>
    <w:rsid w:val="003A4B4D"/>
    <w:rsid w:val="003A5B33"/>
    <w:rsid w:val="003A6508"/>
    <w:rsid w:val="003A666E"/>
    <w:rsid w:val="003A6BF7"/>
    <w:rsid w:val="003B197E"/>
    <w:rsid w:val="003B2078"/>
    <w:rsid w:val="003B23D5"/>
    <w:rsid w:val="003B2C4E"/>
    <w:rsid w:val="003B4590"/>
    <w:rsid w:val="003B4814"/>
    <w:rsid w:val="003B4AB1"/>
    <w:rsid w:val="003B4DA8"/>
    <w:rsid w:val="003B7715"/>
    <w:rsid w:val="003C2701"/>
    <w:rsid w:val="003C2709"/>
    <w:rsid w:val="003C3668"/>
    <w:rsid w:val="003C443B"/>
    <w:rsid w:val="003C4953"/>
    <w:rsid w:val="003C4ED8"/>
    <w:rsid w:val="003C6A61"/>
    <w:rsid w:val="003D0410"/>
    <w:rsid w:val="003D0C7A"/>
    <w:rsid w:val="003D1AFE"/>
    <w:rsid w:val="003D3AAC"/>
    <w:rsid w:val="003D625C"/>
    <w:rsid w:val="003E033F"/>
    <w:rsid w:val="003E21B9"/>
    <w:rsid w:val="003E5E42"/>
    <w:rsid w:val="003E70D6"/>
    <w:rsid w:val="003E7D13"/>
    <w:rsid w:val="003F1BE7"/>
    <w:rsid w:val="003F4768"/>
    <w:rsid w:val="003F619F"/>
    <w:rsid w:val="003F6396"/>
    <w:rsid w:val="003F6F7E"/>
    <w:rsid w:val="003F7192"/>
    <w:rsid w:val="00400015"/>
    <w:rsid w:val="004051F1"/>
    <w:rsid w:val="004054CB"/>
    <w:rsid w:val="00407201"/>
    <w:rsid w:val="00407BC8"/>
    <w:rsid w:val="00410BFF"/>
    <w:rsid w:val="004165EB"/>
    <w:rsid w:val="00421429"/>
    <w:rsid w:val="0042340B"/>
    <w:rsid w:val="00423939"/>
    <w:rsid w:val="00424117"/>
    <w:rsid w:val="00425744"/>
    <w:rsid w:val="00425835"/>
    <w:rsid w:val="00426F8F"/>
    <w:rsid w:val="004277D1"/>
    <w:rsid w:val="00430629"/>
    <w:rsid w:val="00430AB7"/>
    <w:rsid w:val="00431647"/>
    <w:rsid w:val="00431866"/>
    <w:rsid w:val="00431D51"/>
    <w:rsid w:val="0043295E"/>
    <w:rsid w:val="00433123"/>
    <w:rsid w:val="0043342D"/>
    <w:rsid w:val="00434AD3"/>
    <w:rsid w:val="004355D7"/>
    <w:rsid w:val="00436D42"/>
    <w:rsid w:val="00437797"/>
    <w:rsid w:val="004377C5"/>
    <w:rsid w:val="00440AEF"/>
    <w:rsid w:val="004418EC"/>
    <w:rsid w:val="004424F3"/>
    <w:rsid w:val="00444845"/>
    <w:rsid w:val="00444F48"/>
    <w:rsid w:val="00445E49"/>
    <w:rsid w:val="0044668E"/>
    <w:rsid w:val="00451416"/>
    <w:rsid w:val="0045170E"/>
    <w:rsid w:val="00451914"/>
    <w:rsid w:val="004538FC"/>
    <w:rsid w:val="004557C5"/>
    <w:rsid w:val="0045665D"/>
    <w:rsid w:val="0045734C"/>
    <w:rsid w:val="0045765D"/>
    <w:rsid w:val="00460377"/>
    <w:rsid w:val="00461DA2"/>
    <w:rsid w:val="00463BEF"/>
    <w:rsid w:val="00466216"/>
    <w:rsid w:val="00466281"/>
    <w:rsid w:val="00466A7D"/>
    <w:rsid w:val="00466CAD"/>
    <w:rsid w:val="00467FC5"/>
    <w:rsid w:val="004736A3"/>
    <w:rsid w:val="00475036"/>
    <w:rsid w:val="00476EF1"/>
    <w:rsid w:val="00480C83"/>
    <w:rsid w:val="00482F61"/>
    <w:rsid w:val="004839B7"/>
    <w:rsid w:val="00483CF3"/>
    <w:rsid w:val="00484848"/>
    <w:rsid w:val="004876CA"/>
    <w:rsid w:val="00487F3E"/>
    <w:rsid w:val="004947A4"/>
    <w:rsid w:val="004A0B33"/>
    <w:rsid w:val="004A165C"/>
    <w:rsid w:val="004A1BE5"/>
    <w:rsid w:val="004A2375"/>
    <w:rsid w:val="004A3E09"/>
    <w:rsid w:val="004A5082"/>
    <w:rsid w:val="004A6269"/>
    <w:rsid w:val="004A673A"/>
    <w:rsid w:val="004A6B92"/>
    <w:rsid w:val="004A6EC0"/>
    <w:rsid w:val="004A6F71"/>
    <w:rsid w:val="004B0258"/>
    <w:rsid w:val="004B0599"/>
    <w:rsid w:val="004B1617"/>
    <w:rsid w:val="004B358C"/>
    <w:rsid w:val="004B3603"/>
    <w:rsid w:val="004B4099"/>
    <w:rsid w:val="004B4F10"/>
    <w:rsid w:val="004B5381"/>
    <w:rsid w:val="004B71ED"/>
    <w:rsid w:val="004B7FC2"/>
    <w:rsid w:val="004C17FC"/>
    <w:rsid w:val="004C2886"/>
    <w:rsid w:val="004C2C36"/>
    <w:rsid w:val="004C531E"/>
    <w:rsid w:val="004C59B0"/>
    <w:rsid w:val="004C67B5"/>
    <w:rsid w:val="004C6CC3"/>
    <w:rsid w:val="004D1CFA"/>
    <w:rsid w:val="004D2662"/>
    <w:rsid w:val="004D3767"/>
    <w:rsid w:val="004D7808"/>
    <w:rsid w:val="004E147B"/>
    <w:rsid w:val="004E1506"/>
    <w:rsid w:val="004E23BF"/>
    <w:rsid w:val="004E248D"/>
    <w:rsid w:val="004E2BB7"/>
    <w:rsid w:val="004E3D6B"/>
    <w:rsid w:val="004E58C1"/>
    <w:rsid w:val="004E6928"/>
    <w:rsid w:val="004F2CB8"/>
    <w:rsid w:val="004F3068"/>
    <w:rsid w:val="004F4CB1"/>
    <w:rsid w:val="004F5C22"/>
    <w:rsid w:val="005009D5"/>
    <w:rsid w:val="00500B53"/>
    <w:rsid w:val="00502543"/>
    <w:rsid w:val="005028F3"/>
    <w:rsid w:val="00502924"/>
    <w:rsid w:val="00503759"/>
    <w:rsid w:val="0051079C"/>
    <w:rsid w:val="005121F3"/>
    <w:rsid w:val="00515B4C"/>
    <w:rsid w:val="00515C64"/>
    <w:rsid w:val="00515F59"/>
    <w:rsid w:val="00516283"/>
    <w:rsid w:val="005177C8"/>
    <w:rsid w:val="00517D74"/>
    <w:rsid w:val="00520999"/>
    <w:rsid w:val="00525E18"/>
    <w:rsid w:val="00526338"/>
    <w:rsid w:val="00530294"/>
    <w:rsid w:val="005304C2"/>
    <w:rsid w:val="0053520C"/>
    <w:rsid w:val="00535E00"/>
    <w:rsid w:val="00540BE1"/>
    <w:rsid w:val="00540EE7"/>
    <w:rsid w:val="00541900"/>
    <w:rsid w:val="0054385A"/>
    <w:rsid w:val="00544FED"/>
    <w:rsid w:val="00545901"/>
    <w:rsid w:val="00546132"/>
    <w:rsid w:val="00547E73"/>
    <w:rsid w:val="00555CF3"/>
    <w:rsid w:val="00557253"/>
    <w:rsid w:val="005612A3"/>
    <w:rsid w:val="00562462"/>
    <w:rsid w:val="00566950"/>
    <w:rsid w:val="00566FE0"/>
    <w:rsid w:val="00569880"/>
    <w:rsid w:val="0057046C"/>
    <w:rsid w:val="005707C4"/>
    <w:rsid w:val="005721C7"/>
    <w:rsid w:val="00573948"/>
    <w:rsid w:val="00574E42"/>
    <w:rsid w:val="0057511B"/>
    <w:rsid w:val="00577B1C"/>
    <w:rsid w:val="00580083"/>
    <w:rsid w:val="005804C0"/>
    <w:rsid w:val="00580686"/>
    <w:rsid w:val="005808D5"/>
    <w:rsid w:val="005808EE"/>
    <w:rsid w:val="00583E34"/>
    <w:rsid w:val="005841EC"/>
    <w:rsid w:val="00586902"/>
    <w:rsid w:val="00586F37"/>
    <w:rsid w:val="00590701"/>
    <w:rsid w:val="00590F98"/>
    <w:rsid w:val="005916EB"/>
    <w:rsid w:val="0059414F"/>
    <w:rsid w:val="00596B15"/>
    <w:rsid w:val="00597BA7"/>
    <w:rsid w:val="00597F1D"/>
    <w:rsid w:val="005A0A19"/>
    <w:rsid w:val="005A1014"/>
    <w:rsid w:val="005A20A7"/>
    <w:rsid w:val="005A59C7"/>
    <w:rsid w:val="005A6084"/>
    <w:rsid w:val="005A60EC"/>
    <w:rsid w:val="005B3BF1"/>
    <w:rsid w:val="005B404C"/>
    <w:rsid w:val="005B7499"/>
    <w:rsid w:val="005B7E50"/>
    <w:rsid w:val="005C3FB8"/>
    <w:rsid w:val="005C5A03"/>
    <w:rsid w:val="005C5A28"/>
    <w:rsid w:val="005C6DE9"/>
    <w:rsid w:val="005C70E7"/>
    <w:rsid w:val="005C7E26"/>
    <w:rsid w:val="005D045C"/>
    <w:rsid w:val="005D0766"/>
    <w:rsid w:val="005D0AB7"/>
    <w:rsid w:val="005D264C"/>
    <w:rsid w:val="005D5A16"/>
    <w:rsid w:val="005D799C"/>
    <w:rsid w:val="005D7F60"/>
    <w:rsid w:val="005D7FEC"/>
    <w:rsid w:val="005E1E77"/>
    <w:rsid w:val="005E36AD"/>
    <w:rsid w:val="005E39FB"/>
    <w:rsid w:val="005E452A"/>
    <w:rsid w:val="005E5159"/>
    <w:rsid w:val="005E71E3"/>
    <w:rsid w:val="005F0F47"/>
    <w:rsid w:val="005F1F73"/>
    <w:rsid w:val="005F4071"/>
    <w:rsid w:val="005F4ADF"/>
    <w:rsid w:val="005F67E4"/>
    <w:rsid w:val="005F7929"/>
    <w:rsid w:val="00602B53"/>
    <w:rsid w:val="00605747"/>
    <w:rsid w:val="00611014"/>
    <w:rsid w:val="0061126D"/>
    <w:rsid w:val="006117EE"/>
    <w:rsid w:val="0061254D"/>
    <w:rsid w:val="00612F4D"/>
    <w:rsid w:val="00613125"/>
    <w:rsid w:val="00617E4F"/>
    <w:rsid w:val="00620697"/>
    <w:rsid w:val="00622867"/>
    <w:rsid w:val="00622A41"/>
    <w:rsid w:val="00627229"/>
    <w:rsid w:val="00627334"/>
    <w:rsid w:val="00631220"/>
    <w:rsid w:val="00631305"/>
    <w:rsid w:val="00632D71"/>
    <w:rsid w:val="006335BE"/>
    <w:rsid w:val="0063367E"/>
    <w:rsid w:val="00633DD2"/>
    <w:rsid w:val="00640271"/>
    <w:rsid w:val="006418AB"/>
    <w:rsid w:val="00642751"/>
    <w:rsid w:val="00642D52"/>
    <w:rsid w:val="006433F0"/>
    <w:rsid w:val="00644E93"/>
    <w:rsid w:val="006466AD"/>
    <w:rsid w:val="00647E6E"/>
    <w:rsid w:val="0065086F"/>
    <w:rsid w:val="006518D5"/>
    <w:rsid w:val="00651F29"/>
    <w:rsid w:val="00653641"/>
    <w:rsid w:val="006539FE"/>
    <w:rsid w:val="00653C86"/>
    <w:rsid w:val="006545CB"/>
    <w:rsid w:val="00655194"/>
    <w:rsid w:val="00656848"/>
    <w:rsid w:val="0065755B"/>
    <w:rsid w:val="006575AA"/>
    <w:rsid w:val="0066247B"/>
    <w:rsid w:val="00667A19"/>
    <w:rsid w:val="006709E7"/>
    <w:rsid w:val="00670F3F"/>
    <w:rsid w:val="0067253C"/>
    <w:rsid w:val="0067299F"/>
    <w:rsid w:val="006769BF"/>
    <w:rsid w:val="00677DD3"/>
    <w:rsid w:val="0068064E"/>
    <w:rsid w:val="00682260"/>
    <w:rsid w:val="00684EC7"/>
    <w:rsid w:val="006870B9"/>
    <w:rsid w:val="006906D9"/>
    <w:rsid w:val="00691DD4"/>
    <w:rsid w:val="00692B05"/>
    <w:rsid w:val="00693BAF"/>
    <w:rsid w:val="00694221"/>
    <w:rsid w:val="00695421"/>
    <w:rsid w:val="006A39A0"/>
    <w:rsid w:val="006A4E7B"/>
    <w:rsid w:val="006A7B3A"/>
    <w:rsid w:val="006B033A"/>
    <w:rsid w:val="006B35DC"/>
    <w:rsid w:val="006B4A17"/>
    <w:rsid w:val="006B7F64"/>
    <w:rsid w:val="006C1A49"/>
    <w:rsid w:val="006C1D30"/>
    <w:rsid w:val="006C2C01"/>
    <w:rsid w:val="006C5E76"/>
    <w:rsid w:val="006C5FD9"/>
    <w:rsid w:val="006C634E"/>
    <w:rsid w:val="006C7799"/>
    <w:rsid w:val="006D0CD6"/>
    <w:rsid w:val="006D6CFC"/>
    <w:rsid w:val="006D7E0B"/>
    <w:rsid w:val="006E121B"/>
    <w:rsid w:val="006E214E"/>
    <w:rsid w:val="006E3E45"/>
    <w:rsid w:val="006E592A"/>
    <w:rsid w:val="006E75DB"/>
    <w:rsid w:val="006E7ACA"/>
    <w:rsid w:val="006F06F9"/>
    <w:rsid w:val="006F0979"/>
    <w:rsid w:val="006F0BEA"/>
    <w:rsid w:val="006F12D9"/>
    <w:rsid w:val="006F15E5"/>
    <w:rsid w:val="006F1EFD"/>
    <w:rsid w:val="006F1F8D"/>
    <w:rsid w:val="006F22A3"/>
    <w:rsid w:val="006F507D"/>
    <w:rsid w:val="006F5948"/>
    <w:rsid w:val="006F6081"/>
    <w:rsid w:val="006F6761"/>
    <w:rsid w:val="00701BE5"/>
    <w:rsid w:val="00703444"/>
    <w:rsid w:val="0070392F"/>
    <w:rsid w:val="00703CA1"/>
    <w:rsid w:val="00703E1B"/>
    <w:rsid w:val="007069A1"/>
    <w:rsid w:val="00706A05"/>
    <w:rsid w:val="00707A47"/>
    <w:rsid w:val="007109E5"/>
    <w:rsid w:val="00710D76"/>
    <w:rsid w:val="007114E9"/>
    <w:rsid w:val="00711A75"/>
    <w:rsid w:val="00712039"/>
    <w:rsid w:val="007135E2"/>
    <w:rsid w:val="00714377"/>
    <w:rsid w:val="00714CBE"/>
    <w:rsid w:val="00715512"/>
    <w:rsid w:val="00715BE3"/>
    <w:rsid w:val="00721AEC"/>
    <w:rsid w:val="00722E96"/>
    <w:rsid w:val="00724571"/>
    <w:rsid w:val="0072539D"/>
    <w:rsid w:val="0072A6AB"/>
    <w:rsid w:val="00730224"/>
    <w:rsid w:val="007345D6"/>
    <w:rsid w:val="00734A8E"/>
    <w:rsid w:val="00735BA1"/>
    <w:rsid w:val="00737433"/>
    <w:rsid w:val="00740A74"/>
    <w:rsid w:val="00743B08"/>
    <w:rsid w:val="00743DF3"/>
    <w:rsid w:val="00744F5E"/>
    <w:rsid w:val="00747692"/>
    <w:rsid w:val="00751AE0"/>
    <w:rsid w:val="00754DBC"/>
    <w:rsid w:val="00757D6A"/>
    <w:rsid w:val="0076140D"/>
    <w:rsid w:val="007619FB"/>
    <w:rsid w:val="00763604"/>
    <w:rsid w:val="00764683"/>
    <w:rsid w:val="00766B57"/>
    <w:rsid w:val="00777792"/>
    <w:rsid w:val="00777A09"/>
    <w:rsid w:val="0078348B"/>
    <w:rsid w:val="00783D7D"/>
    <w:rsid w:val="0078497D"/>
    <w:rsid w:val="0079434A"/>
    <w:rsid w:val="00794A63"/>
    <w:rsid w:val="00795FA0"/>
    <w:rsid w:val="00796386"/>
    <w:rsid w:val="007A312C"/>
    <w:rsid w:val="007A45D7"/>
    <w:rsid w:val="007A7FC1"/>
    <w:rsid w:val="007B0883"/>
    <w:rsid w:val="007B0DE0"/>
    <w:rsid w:val="007B1126"/>
    <w:rsid w:val="007B2F76"/>
    <w:rsid w:val="007B538A"/>
    <w:rsid w:val="007B74E8"/>
    <w:rsid w:val="007C09B6"/>
    <w:rsid w:val="007C2238"/>
    <w:rsid w:val="007C2687"/>
    <w:rsid w:val="007C47D8"/>
    <w:rsid w:val="007C510E"/>
    <w:rsid w:val="007C62E7"/>
    <w:rsid w:val="007D029D"/>
    <w:rsid w:val="007D0694"/>
    <w:rsid w:val="007D0AF8"/>
    <w:rsid w:val="007D1358"/>
    <w:rsid w:val="007D334F"/>
    <w:rsid w:val="007D39E8"/>
    <w:rsid w:val="007D78CB"/>
    <w:rsid w:val="007E0EC6"/>
    <w:rsid w:val="007E178D"/>
    <w:rsid w:val="007E2A9A"/>
    <w:rsid w:val="007E4277"/>
    <w:rsid w:val="007E4B56"/>
    <w:rsid w:val="007E4CE7"/>
    <w:rsid w:val="007E52A3"/>
    <w:rsid w:val="007F0FDD"/>
    <w:rsid w:val="007F3811"/>
    <w:rsid w:val="007F4F44"/>
    <w:rsid w:val="007F64A9"/>
    <w:rsid w:val="007F7DA8"/>
    <w:rsid w:val="0080290B"/>
    <w:rsid w:val="008037F9"/>
    <w:rsid w:val="00803D87"/>
    <w:rsid w:val="00805768"/>
    <w:rsid w:val="00806B54"/>
    <w:rsid w:val="00807124"/>
    <w:rsid w:val="00807EC1"/>
    <w:rsid w:val="008101EC"/>
    <w:rsid w:val="008102F8"/>
    <w:rsid w:val="008157A2"/>
    <w:rsid w:val="00817018"/>
    <w:rsid w:val="00820B45"/>
    <w:rsid w:val="008229C8"/>
    <w:rsid w:val="00827429"/>
    <w:rsid w:val="0083321A"/>
    <w:rsid w:val="00833D30"/>
    <w:rsid w:val="008343EC"/>
    <w:rsid w:val="00836519"/>
    <w:rsid w:val="0084296A"/>
    <w:rsid w:val="008450CF"/>
    <w:rsid w:val="008468CC"/>
    <w:rsid w:val="008470F3"/>
    <w:rsid w:val="00850155"/>
    <w:rsid w:val="00850EC3"/>
    <w:rsid w:val="008511FA"/>
    <w:rsid w:val="00856D33"/>
    <w:rsid w:val="0085A362"/>
    <w:rsid w:val="0086054A"/>
    <w:rsid w:val="0086439D"/>
    <w:rsid w:val="008656FE"/>
    <w:rsid w:val="00865D8A"/>
    <w:rsid w:val="00867AFD"/>
    <w:rsid w:val="00870AC5"/>
    <w:rsid w:val="00871324"/>
    <w:rsid w:val="008722C0"/>
    <w:rsid w:val="00874322"/>
    <w:rsid w:val="00876C6E"/>
    <w:rsid w:val="008776E9"/>
    <w:rsid w:val="008806FD"/>
    <w:rsid w:val="00881C27"/>
    <w:rsid w:val="008820C0"/>
    <w:rsid w:val="00882372"/>
    <w:rsid w:val="00883533"/>
    <w:rsid w:val="0089208D"/>
    <w:rsid w:val="008930A1"/>
    <w:rsid w:val="0089463F"/>
    <w:rsid w:val="00895026"/>
    <w:rsid w:val="008958AA"/>
    <w:rsid w:val="00896B36"/>
    <w:rsid w:val="008970A8"/>
    <w:rsid w:val="008A0432"/>
    <w:rsid w:val="008A27F7"/>
    <w:rsid w:val="008A2AEB"/>
    <w:rsid w:val="008A3C6C"/>
    <w:rsid w:val="008A4EF8"/>
    <w:rsid w:val="008A5B5E"/>
    <w:rsid w:val="008B0352"/>
    <w:rsid w:val="008B040A"/>
    <w:rsid w:val="008B0849"/>
    <w:rsid w:val="008B2DF8"/>
    <w:rsid w:val="008B3191"/>
    <w:rsid w:val="008B4260"/>
    <w:rsid w:val="008B4D32"/>
    <w:rsid w:val="008C29DB"/>
    <w:rsid w:val="008C2A98"/>
    <w:rsid w:val="008C3D59"/>
    <w:rsid w:val="008C43DA"/>
    <w:rsid w:val="008C4F44"/>
    <w:rsid w:val="008C6189"/>
    <w:rsid w:val="008D29B3"/>
    <w:rsid w:val="008D497D"/>
    <w:rsid w:val="008D4D8D"/>
    <w:rsid w:val="008D59A8"/>
    <w:rsid w:val="008E10D1"/>
    <w:rsid w:val="008E1CFA"/>
    <w:rsid w:val="008E2FB8"/>
    <w:rsid w:val="008E304C"/>
    <w:rsid w:val="008E6553"/>
    <w:rsid w:val="008E6B16"/>
    <w:rsid w:val="008E790B"/>
    <w:rsid w:val="008E792D"/>
    <w:rsid w:val="008F0A5A"/>
    <w:rsid w:val="008F675E"/>
    <w:rsid w:val="008F7CA3"/>
    <w:rsid w:val="00900D59"/>
    <w:rsid w:val="0090102E"/>
    <w:rsid w:val="00903FD1"/>
    <w:rsid w:val="00904FB7"/>
    <w:rsid w:val="009059FB"/>
    <w:rsid w:val="00905A21"/>
    <w:rsid w:val="00905A4A"/>
    <w:rsid w:val="00906677"/>
    <w:rsid w:val="00906AB5"/>
    <w:rsid w:val="00907448"/>
    <w:rsid w:val="009116DC"/>
    <w:rsid w:val="00911FFE"/>
    <w:rsid w:val="00912764"/>
    <w:rsid w:val="00912E7D"/>
    <w:rsid w:val="00913BB0"/>
    <w:rsid w:val="00914828"/>
    <w:rsid w:val="0091616D"/>
    <w:rsid w:val="009215E3"/>
    <w:rsid w:val="00923A66"/>
    <w:rsid w:val="00923DC9"/>
    <w:rsid w:val="00923EF6"/>
    <w:rsid w:val="009241A9"/>
    <w:rsid w:val="00924338"/>
    <w:rsid w:val="00926212"/>
    <w:rsid w:val="00930584"/>
    <w:rsid w:val="00931C0D"/>
    <w:rsid w:val="00932D5E"/>
    <w:rsid w:val="00935D44"/>
    <w:rsid w:val="00940BBD"/>
    <w:rsid w:val="00941A77"/>
    <w:rsid w:val="00943444"/>
    <w:rsid w:val="0094483F"/>
    <w:rsid w:val="00944D47"/>
    <w:rsid w:val="00945106"/>
    <w:rsid w:val="009459C0"/>
    <w:rsid w:val="009467F2"/>
    <w:rsid w:val="00946A76"/>
    <w:rsid w:val="00947DF9"/>
    <w:rsid w:val="00954DCE"/>
    <w:rsid w:val="0095559E"/>
    <w:rsid w:val="00955ED2"/>
    <w:rsid w:val="00956D39"/>
    <w:rsid w:val="009608BF"/>
    <w:rsid w:val="00961C81"/>
    <w:rsid w:val="00963710"/>
    <w:rsid w:val="00965F3B"/>
    <w:rsid w:val="00967F7D"/>
    <w:rsid w:val="00971EFD"/>
    <w:rsid w:val="00972ABA"/>
    <w:rsid w:val="00972F41"/>
    <w:rsid w:val="009736CC"/>
    <w:rsid w:val="009746DD"/>
    <w:rsid w:val="00975DF8"/>
    <w:rsid w:val="0098037E"/>
    <w:rsid w:val="00981504"/>
    <w:rsid w:val="00982560"/>
    <w:rsid w:val="00985201"/>
    <w:rsid w:val="0098525F"/>
    <w:rsid w:val="00985AF2"/>
    <w:rsid w:val="00987057"/>
    <w:rsid w:val="009901D6"/>
    <w:rsid w:val="00990BBC"/>
    <w:rsid w:val="009917A6"/>
    <w:rsid w:val="00991CD5"/>
    <w:rsid w:val="00991F27"/>
    <w:rsid w:val="0099291B"/>
    <w:rsid w:val="00995BC5"/>
    <w:rsid w:val="009967CF"/>
    <w:rsid w:val="009A299F"/>
    <w:rsid w:val="009A556B"/>
    <w:rsid w:val="009B014B"/>
    <w:rsid w:val="009B0BDF"/>
    <w:rsid w:val="009B1303"/>
    <w:rsid w:val="009B2DBE"/>
    <w:rsid w:val="009B50C4"/>
    <w:rsid w:val="009B5509"/>
    <w:rsid w:val="009C1BEA"/>
    <w:rsid w:val="009C223B"/>
    <w:rsid w:val="009C4B5A"/>
    <w:rsid w:val="009C507E"/>
    <w:rsid w:val="009C77FE"/>
    <w:rsid w:val="009D0C89"/>
    <w:rsid w:val="009D3109"/>
    <w:rsid w:val="009D3B40"/>
    <w:rsid w:val="009D42C6"/>
    <w:rsid w:val="009D79CE"/>
    <w:rsid w:val="009E0BC9"/>
    <w:rsid w:val="009E14EB"/>
    <w:rsid w:val="009E16AE"/>
    <w:rsid w:val="009E35D5"/>
    <w:rsid w:val="009E49BE"/>
    <w:rsid w:val="009F2BC9"/>
    <w:rsid w:val="009F3E8A"/>
    <w:rsid w:val="009F437B"/>
    <w:rsid w:val="009F4CC5"/>
    <w:rsid w:val="009F63A4"/>
    <w:rsid w:val="00A0082F"/>
    <w:rsid w:val="00A023C1"/>
    <w:rsid w:val="00A02A13"/>
    <w:rsid w:val="00A03FF8"/>
    <w:rsid w:val="00A06FE2"/>
    <w:rsid w:val="00A07920"/>
    <w:rsid w:val="00A12A5D"/>
    <w:rsid w:val="00A14925"/>
    <w:rsid w:val="00A158B7"/>
    <w:rsid w:val="00A16356"/>
    <w:rsid w:val="00A1706C"/>
    <w:rsid w:val="00A17EB4"/>
    <w:rsid w:val="00A22B40"/>
    <w:rsid w:val="00A22F15"/>
    <w:rsid w:val="00A27135"/>
    <w:rsid w:val="00A300AA"/>
    <w:rsid w:val="00A30198"/>
    <w:rsid w:val="00A30D39"/>
    <w:rsid w:val="00A31BC9"/>
    <w:rsid w:val="00A31CB2"/>
    <w:rsid w:val="00A32252"/>
    <w:rsid w:val="00A32555"/>
    <w:rsid w:val="00A3324D"/>
    <w:rsid w:val="00A35BBA"/>
    <w:rsid w:val="00A35EE9"/>
    <w:rsid w:val="00A36C6D"/>
    <w:rsid w:val="00A40932"/>
    <w:rsid w:val="00A424E8"/>
    <w:rsid w:val="00A42F33"/>
    <w:rsid w:val="00A45369"/>
    <w:rsid w:val="00A466C4"/>
    <w:rsid w:val="00A47EE4"/>
    <w:rsid w:val="00A50E03"/>
    <w:rsid w:val="00A5162B"/>
    <w:rsid w:val="00A53428"/>
    <w:rsid w:val="00A53490"/>
    <w:rsid w:val="00A536E7"/>
    <w:rsid w:val="00A53D1F"/>
    <w:rsid w:val="00A56FD6"/>
    <w:rsid w:val="00A56FDF"/>
    <w:rsid w:val="00A6064C"/>
    <w:rsid w:val="00A62432"/>
    <w:rsid w:val="00A63E93"/>
    <w:rsid w:val="00A6523E"/>
    <w:rsid w:val="00A66AE7"/>
    <w:rsid w:val="00A676C4"/>
    <w:rsid w:val="00A70ACA"/>
    <w:rsid w:val="00A70E36"/>
    <w:rsid w:val="00A72729"/>
    <w:rsid w:val="00A72E36"/>
    <w:rsid w:val="00A738F9"/>
    <w:rsid w:val="00A809EE"/>
    <w:rsid w:val="00A84B38"/>
    <w:rsid w:val="00A90373"/>
    <w:rsid w:val="00A9214B"/>
    <w:rsid w:val="00A93DD5"/>
    <w:rsid w:val="00A9512A"/>
    <w:rsid w:val="00A95B2A"/>
    <w:rsid w:val="00A97581"/>
    <w:rsid w:val="00A97FB7"/>
    <w:rsid w:val="00AA42A0"/>
    <w:rsid w:val="00AA6076"/>
    <w:rsid w:val="00AA6376"/>
    <w:rsid w:val="00AA6E30"/>
    <w:rsid w:val="00AA7BAB"/>
    <w:rsid w:val="00AB2186"/>
    <w:rsid w:val="00AB2A13"/>
    <w:rsid w:val="00AB74C7"/>
    <w:rsid w:val="00AC12CA"/>
    <w:rsid w:val="00AC2AC3"/>
    <w:rsid w:val="00AD2DDC"/>
    <w:rsid w:val="00AD33B1"/>
    <w:rsid w:val="00AD528E"/>
    <w:rsid w:val="00AD589A"/>
    <w:rsid w:val="00AD614B"/>
    <w:rsid w:val="00AE176D"/>
    <w:rsid w:val="00AE3A61"/>
    <w:rsid w:val="00AE61DA"/>
    <w:rsid w:val="00AF0BDD"/>
    <w:rsid w:val="00AF2013"/>
    <w:rsid w:val="00AF3696"/>
    <w:rsid w:val="00AF5443"/>
    <w:rsid w:val="00AF60D6"/>
    <w:rsid w:val="00AF6E8B"/>
    <w:rsid w:val="00B01446"/>
    <w:rsid w:val="00B016AF"/>
    <w:rsid w:val="00B018CC"/>
    <w:rsid w:val="00B03079"/>
    <w:rsid w:val="00B07291"/>
    <w:rsid w:val="00B11F27"/>
    <w:rsid w:val="00B12972"/>
    <w:rsid w:val="00B13437"/>
    <w:rsid w:val="00B156B6"/>
    <w:rsid w:val="00B17245"/>
    <w:rsid w:val="00B20198"/>
    <w:rsid w:val="00B221A9"/>
    <w:rsid w:val="00B23009"/>
    <w:rsid w:val="00B279BE"/>
    <w:rsid w:val="00B30052"/>
    <w:rsid w:val="00B3011A"/>
    <w:rsid w:val="00B3019D"/>
    <w:rsid w:val="00B30798"/>
    <w:rsid w:val="00B30C51"/>
    <w:rsid w:val="00B31155"/>
    <w:rsid w:val="00B3131E"/>
    <w:rsid w:val="00B31EED"/>
    <w:rsid w:val="00B32AC1"/>
    <w:rsid w:val="00B360EA"/>
    <w:rsid w:val="00B41356"/>
    <w:rsid w:val="00B42E71"/>
    <w:rsid w:val="00B439FA"/>
    <w:rsid w:val="00B46BAB"/>
    <w:rsid w:val="00B500BE"/>
    <w:rsid w:val="00B50F63"/>
    <w:rsid w:val="00B50F67"/>
    <w:rsid w:val="00B531A9"/>
    <w:rsid w:val="00B545D2"/>
    <w:rsid w:val="00B567B1"/>
    <w:rsid w:val="00B56C29"/>
    <w:rsid w:val="00B56E85"/>
    <w:rsid w:val="00B60A6C"/>
    <w:rsid w:val="00B61887"/>
    <w:rsid w:val="00B61DBC"/>
    <w:rsid w:val="00B63AD5"/>
    <w:rsid w:val="00B64F1A"/>
    <w:rsid w:val="00B64FAF"/>
    <w:rsid w:val="00B65865"/>
    <w:rsid w:val="00B65FF2"/>
    <w:rsid w:val="00B66C33"/>
    <w:rsid w:val="00B67D09"/>
    <w:rsid w:val="00B67DAE"/>
    <w:rsid w:val="00B67E6E"/>
    <w:rsid w:val="00B75BB1"/>
    <w:rsid w:val="00B767AA"/>
    <w:rsid w:val="00B76DB7"/>
    <w:rsid w:val="00B779DD"/>
    <w:rsid w:val="00B77E12"/>
    <w:rsid w:val="00B8176A"/>
    <w:rsid w:val="00B82CE9"/>
    <w:rsid w:val="00B83AE9"/>
    <w:rsid w:val="00B8476F"/>
    <w:rsid w:val="00B8743D"/>
    <w:rsid w:val="00B87A84"/>
    <w:rsid w:val="00B87FB4"/>
    <w:rsid w:val="00B91248"/>
    <w:rsid w:val="00B91EA6"/>
    <w:rsid w:val="00B92520"/>
    <w:rsid w:val="00B933A9"/>
    <w:rsid w:val="00B936AD"/>
    <w:rsid w:val="00B938ED"/>
    <w:rsid w:val="00B93B12"/>
    <w:rsid w:val="00BA2ACF"/>
    <w:rsid w:val="00BA2CA1"/>
    <w:rsid w:val="00BA544E"/>
    <w:rsid w:val="00BB057E"/>
    <w:rsid w:val="00BB0B80"/>
    <w:rsid w:val="00BB2F50"/>
    <w:rsid w:val="00BC02F9"/>
    <w:rsid w:val="00BC1984"/>
    <w:rsid w:val="00BC2459"/>
    <w:rsid w:val="00BC2734"/>
    <w:rsid w:val="00BC2E7B"/>
    <w:rsid w:val="00BC5119"/>
    <w:rsid w:val="00BC55B8"/>
    <w:rsid w:val="00BC61F3"/>
    <w:rsid w:val="00BC683A"/>
    <w:rsid w:val="00BC7F18"/>
    <w:rsid w:val="00BD46EF"/>
    <w:rsid w:val="00BD6499"/>
    <w:rsid w:val="00BD6B21"/>
    <w:rsid w:val="00BE2EEA"/>
    <w:rsid w:val="00BE3C6C"/>
    <w:rsid w:val="00BE50FD"/>
    <w:rsid w:val="00BE52E9"/>
    <w:rsid w:val="00BE564A"/>
    <w:rsid w:val="00BE7791"/>
    <w:rsid w:val="00BF0729"/>
    <w:rsid w:val="00BF0F7C"/>
    <w:rsid w:val="00BF4C1A"/>
    <w:rsid w:val="00BF4ECA"/>
    <w:rsid w:val="00BF600F"/>
    <w:rsid w:val="00BF7597"/>
    <w:rsid w:val="00C022B6"/>
    <w:rsid w:val="00C0303D"/>
    <w:rsid w:val="00C03EE8"/>
    <w:rsid w:val="00C043CD"/>
    <w:rsid w:val="00C05236"/>
    <w:rsid w:val="00C054D3"/>
    <w:rsid w:val="00C06AED"/>
    <w:rsid w:val="00C07236"/>
    <w:rsid w:val="00C11865"/>
    <w:rsid w:val="00C145F7"/>
    <w:rsid w:val="00C15602"/>
    <w:rsid w:val="00C15DED"/>
    <w:rsid w:val="00C15EFF"/>
    <w:rsid w:val="00C1737B"/>
    <w:rsid w:val="00C20F2B"/>
    <w:rsid w:val="00C24024"/>
    <w:rsid w:val="00C250ED"/>
    <w:rsid w:val="00C255F9"/>
    <w:rsid w:val="00C26EC0"/>
    <w:rsid w:val="00C27E9C"/>
    <w:rsid w:val="00C27F36"/>
    <w:rsid w:val="00C31230"/>
    <w:rsid w:val="00C31613"/>
    <w:rsid w:val="00C33416"/>
    <w:rsid w:val="00C337B8"/>
    <w:rsid w:val="00C35743"/>
    <w:rsid w:val="00C4092A"/>
    <w:rsid w:val="00C4116E"/>
    <w:rsid w:val="00C414D1"/>
    <w:rsid w:val="00C42F65"/>
    <w:rsid w:val="00C442E9"/>
    <w:rsid w:val="00C506F6"/>
    <w:rsid w:val="00C50B63"/>
    <w:rsid w:val="00C526DC"/>
    <w:rsid w:val="00C5279A"/>
    <w:rsid w:val="00C560F8"/>
    <w:rsid w:val="00C568D8"/>
    <w:rsid w:val="00C623E7"/>
    <w:rsid w:val="00C627FD"/>
    <w:rsid w:val="00C6291B"/>
    <w:rsid w:val="00C62C29"/>
    <w:rsid w:val="00C641D7"/>
    <w:rsid w:val="00C66B51"/>
    <w:rsid w:val="00C66E1D"/>
    <w:rsid w:val="00C67C5A"/>
    <w:rsid w:val="00C753D8"/>
    <w:rsid w:val="00C754D6"/>
    <w:rsid w:val="00C77802"/>
    <w:rsid w:val="00C80CCF"/>
    <w:rsid w:val="00C8103C"/>
    <w:rsid w:val="00C85382"/>
    <w:rsid w:val="00C8564F"/>
    <w:rsid w:val="00C8768B"/>
    <w:rsid w:val="00C877F6"/>
    <w:rsid w:val="00C878BF"/>
    <w:rsid w:val="00C8798D"/>
    <w:rsid w:val="00C907BC"/>
    <w:rsid w:val="00C95BBD"/>
    <w:rsid w:val="00C9716F"/>
    <w:rsid w:val="00CA162B"/>
    <w:rsid w:val="00CA23CF"/>
    <w:rsid w:val="00CA416C"/>
    <w:rsid w:val="00CA4879"/>
    <w:rsid w:val="00CA577E"/>
    <w:rsid w:val="00CA5C04"/>
    <w:rsid w:val="00CA623B"/>
    <w:rsid w:val="00CA73CD"/>
    <w:rsid w:val="00CA7FF7"/>
    <w:rsid w:val="00CB03DE"/>
    <w:rsid w:val="00CB0BBF"/>
    <w:rsid w:val="00CB1FFE"/>
    <w:rsid w:val="00CB390B"/>
    <w:rsid w:val="00CB39F9"/>
    <w:rsid w:val="00CB4E83"/>
    <w:rsid w:val="00CB5564"/>
    <w:rsid w:val="00CB7FB6"/>
    <w:rsid w:val="00CC0E27"/>
    <w:rsid w:val="00CC212F"/>
    <w:rsid w:val="00CC2A41"/>
    <w:rsid w:val="00CC2E5C"/>
    <w:rsid w:val="00CC2F94"/>
    <w:rsid w:val="00CC3A24"/>
    <w:rsid w:val="00CC7DFC"/>
    <w:rsid w:val="00CD120F"/>
    <w:rsid w:val="00CD154F"/>
    <w:rsid w:val="00CD1926"/>
    <w:rsid w:val="00CD431D"/>
    <w:rsid w:val="00CD54CA"/>
    <w:rsid w:val="00CD74AA"/>
    <w:rsid w:val="00CD7704"/>
    <w:rsid w:val="00CE0A35"/>
    <w:rsid w:val="00CE0FA4"/>
    <w:rsid w:val="00CE10D0"/>
    <w:rsid w:val="00CE14AA"/>
    <w:rsid w:val="00CE3932"/>
    <w:rsid w:val="00CE4544"/>
    <w:rsid w:val="00CE6F82"/>
    <w:rsid w:val="00CF1911"/>
    <w:rsid w:val="00CF2A5B"/>
    <w:rsid w:val="00CF34E0"/>
    <w:rsid w:val="00CF3EC7"/>
    <w:rsid w:val="00CF4721"/>
    <w:rsid w:val="00CF6E79"/>
    <w:rsid w:val="00CF7193"/>
    <w:rsid w:val="00D00324"/>
    <w:rsid w:val="00D00BC3"/>
    <w:rsid w:val="00D02DC4"/>
    <w:rsid w:val="00D102EC"/>
    <w:rsid w:val="00D109A7"/>
    <w:rsid w:val="00D111B7"/>
    <w:rsid w:val="00D12B57"/>
    <w:rsid w:val="00D1420F"/>
    <w:rsid w:val="00D15506"/>
    <w:rsid w:val="00D17BEF"/>
    <w:rsid w:val="00D17C0F"/>
    <w:rsid w:val="00D21103"/>
    <w:rsid w:val="00D23038"/>
    <w:rsid w:val="00D23954"/>
    <w:rsid w:val="00D2412C"/>
    <w:rsid w:val="00D24722"/>
    <w:rsid w:val="00D26D55"/>
    <w:rsid w:val="00D313AA"/>
    <w:rsid w:val="00D3230D"/>
    <w:rsid w:val="00D33110"/>
    <w:rsid w:val="00D33FEE"/>
    <w:rsid w:val="00D34A78"/>
    <w:rsid w:val="00D35B0E"/>
    <w:rsid w:val="00D36F81"/>
    <w:rsid w:val="00D3700B"/>
    <w:rsid w:val="00D37DED"/>
    <w:rsid w:val="00D406D8"/>
    <w:rsid w:val="00D421F3"/>
    <w:rsid w:val="00D4529C"/>
    <w:rsid w:val="00D466D2"/>
    <w:rsid w:val="00D51BFC"/>
    <w:rsid w:val="00D544D1"/>
    <w:rsid w:val="00D5606E"/>
    <w:rsid w:val="00D573B7"/>
    <w:rsid w:val="00D607A3"/>
    <w:rsid w:val="00D61B81"/>
    <w:rsid w:val="00D6241A"/>
    <w:rsid w:val="00D6364E"/>
    <w:rsid w:val="00D6381A"/>
    <w:rsid w:val="00D63E79"/>
    <w:rsid w:val="00D66E97"/>
    <w:rsid w:val="00D67560"/>
    <w:rsid w:val="00D67C73"/>
    <w:rsid w:val="00D70249"/>
    <w:rsid w:val="00D71FC1"/>
    <w:rsid w:val="00D72C98"/>
    <w:rsid w:val="00D74335"/>
    <w:rsid w:val="00D759BB"/>
    <w:rsid w:val="00D76F2A"/>
    <w:rsid w:val="00D7743C"/>
    <w:rsid w:val="00D777F3"/>
    <w:rsid w:val="00D77A71"/>
    <w:rsid w:val="00D827A7"/>
    <w:rsid w:val="00D849A4"/>
    <w:rsid w:val="00D85B08"/>
    <w:rsid w:val="00D86386"/>
    <w:rsid w:val="00D8DEF0"/>
    <w:rsid w:val="00D9027D"/>
    <w:rsid w:val="00D906E4"/>
    <w:rsid w:val="00D917AA"/>
    <w:rsid w:val="00D91E8A"/>
    <w:rsid w:val="00D92FCE"/>
    <w:rsid w:val="00D937FD"/>
    <w:rsid w:val="00DA1007"/>
    <w:rsid w:val="00DA225C"/>
    <w:rsid w:val="00DA2912"/>
    <w:rsid w:val="00DA4551"/>
    <w:rsid w:val="00DA4D05"/>
    <w:rsid w:val="00DA54E0"/>
    <w:rsid w:val="00DB008A"/>
    <w:rsid w:val="00DB0827"/>
    <w:rsid w:val="00DB2A4E"/>
    <w:rsid w:val="00DB411F"/>
    <w:rsid w:val="00DB4CEA"/>
    <w:rsid w:val="00DB535B"/>
    <w:rsid w:val="00DB61B0"/>
    <w:rsid w:val="00DC017A"/>
    <w:rsid w:val="00DC0A10"/>
    <w:rsid w:val="00DC0EDF"/>
    <w:rsid w:val="00DC353E"/>
    <w:rsid w:val="00DC553C"/>
    <w:rsid w:val="00DC7280"/>
    <w:rsid w:val="00DD1922"/>
    <w:rsid w:val="00DD2998"/>
    <w:rsid w:val="00DD32A4"/>
    <w:rsid w:val="00DD34A5"/>
    <w:rsid w:val="00DD3EF7"/>
    <w:rsid w:val="00DD4168"/>
    <w:rsid w:val="00DD541C"/>
    <w:rsid w:val="00DD5506"/>
    <w:rsid w:val="00DD5B86"/>
    <w:rsid w:val="00DD71B2"/>
    <w:rsid w:val="00DD7883"/>
    <w:rsid w:val="00DD7B8E"/>
    <w:rsid w:val="00DE0AD2"/>
    <w:rsid w:val="00DE2733"/>
    <w:rsid w:val="00DE3058"/>
    <w:rsid w:val="00DE3EDD"/>
    <w:rsid w:val="00DE472E"/>
    <w:rsid w:val="00DE5232"/>
    <w:rsid w:val="00DE55FA"/>
    <w:rsid w:val="00DE56ED"/>
    <w:rsid w:val="00DE62F6"/>
    <w:rsid w:val="00DE69F3"/>
    <w:rsid w:val="00DF216A"/>
    <w:rsid w:val="00DF22E7"/>
    <w:rsid w:val="00DF5AE3"/>
    <w:rsid w:val="00E00BCB"/>
    <w:rsid w:val="00E019DA"/>
    <w:rsid w:val="00E02291"/>
    <w:rsid w:val="00E02517"/>
    <w:rsid w:val="00E02576"/>
    <w:rsid w:val="00E02580"/>
    <w:rsid w:val="00E028C2"/>
    <w:rsid w:val="00E02BF6"/>
    <w:rsid w:val="00E054F5"/>
    <w:rsid w:val="00E104CA"/>
    <w:rsid w:val="00E10937"/>
    <w:rsid w:val="00E12B1A"/>
    <w:rsid w:val="00E132EE"/>
    <w:rsid w:val="00E1559A"/>
    <w:rsid w:val="00E15E88"/>
    <w:rsid w:val="00E1631A"/>
    <w:rsid w:val="00E16611"/>
    <w:rsid w:val="00E25DF3"/>
    <w:rsid w:val="00E26ED8"/>
    <w:rsid w:val="00E276BE"/>
    <w:rsid w:val="00E311F4"/>
    <w:rsid w:val="00E32CBE"/>
    <w:rsid w:val="00E36B4D"/>
    <w:rsid w:val="00E444A1"/>
    <w:rsid w:val="00E46D23"/>
    <w:rsid w:val="00E46DD1"/>
    <w:rsid w:val="00E4704C"/>
    <w:rsid w:val="00E5347F"/>
    <w:rsid w:val="00E54B68"/>
    <w:rsid w:val="00E54C59"/>
    <w:rsid w:val="00E554A1"/>
    <w:rsid w:val="00E5615D"/>
    <w:rsid w:val="00E62D53"/>
    <w:rsid w:val="00E63408"/>
    <w:rsid w:val="00E6546B"/>
    <w:rsid w:val="00E65A75"/>
    <w:rsid w:val="00E6776E"/>
    <w:rsid w:val="00E75CD2"/>
    <w:rsid w:val="00E76816"/>
    <w:rsid w:val="00E7746A"/>
    <w:rsid w:val="00E77CFC"/>
    <w:rsid w:val="00E82F0F"/>
    <w:rsid w:val="00E85B39"/>
    <w:rsid w:val="00E863B4"/>
    <w:rsid w:val="00E86F78"/>
    <w:rsid w:val="00E91A9E"/>
    <w:rsid w:val="00E934B9"/>
    <w:rsid w:val="00E940D7"/>
    <w:rsid w:val="00E94F5A"/>
    <w:rsid w:val="00E95398"/>
    <w:rsid w:val="00E956E9"/>
    <w:rsid w:val="00E968C1"/>
    <w:rsid w:val="00EA0FB4"/>
    <w:rsid w:val="00EA231A"/>
    <w:rsid w:val="00EA3156"/>
    <w:rsid w:val="00EA4066"/>
    <w:rsid w:val="00EA6CA7"/>
    <w:rsid w:val="00EA6D13"/>
    <w:rsid w:val="00EA6F27"/>
    <w:rsid w:val="00EA793B"/>
    <w:rsid w:val="00EB13F9"/>
    <w:rsid w:val="00EB3433"/>
    <w:rsid w:val="00EB4119"/>
    <w:rsid w:val="00EB5211"/>
    <w:rsid w:val="00EB5533"/>
    <w:rsid w:val="00EB58F8"/>
    <w:rsid w:val="00EB6445"/>
    <w:rsid w:val="00EB7E3E"/>
    <w:rsid w:val="00EC36CA"/>
    <w:rsid w:val="00EC37DB"/>
    <w:rsid w:val="00EC4641"/>
    <w:rsid w:val="00EC4890"/>
    <w:rsid w:val="00EC5BE9"/>
    <w:rsid w:val="00ED0709"/>
    <w:rsid w:val="00ED1F48"/>
    <w:rsid w:val="00ED297C"/>
    <w:rsid w:val="00ED426F"/>
    <w:rsid w:val="00ED488A"/>
    <w:rsid w:val="00ED5DC8"/>
    <w:rsid w:val="00ED6006"/>
    <w:rsid w:val="00EE0D62"/>
    <w:rsid w:val="00EE1377"/>
    <w:rsid w:val="00EE20D8"/>
    <w:rsid w:val="00EE2E4A"/>
    <w:rsid w:val="00EE3FAD"/>
    <w:rsid w:val="00EE547B"/>
    <w:rsid w:val="00EE5E78"/>
    <w:rsid w:val="00EF01B0"/>
    <w:rsid w:val="00EF1971"/>
    <w:rsid w:val="00EF2CD3"/>
    <w:rsid w:val="00EF3C55"/>
    <w:rsid w:val="00F0653E"/>
    <w:rsid w:val="00F10EA6"/>
    <w:rsid w:val="00F12660"/>
    <w:rsid w:val="00F15841"/>
    <w:rsid w:val="00F204BE"/>
    <w:rsid w:val="00F21290"/>
    <w:rsid w:val="00F216A0"/>
    <w:rsid w:val="00F233BE"/>
    <w:rsid w:val="00F23DCD"/>
    <w:rsid w:val="00F25489"/>
    <w:rsid w:val="00F2589C"/>
    <w:rsid w:val="00F26F93"/>
    <w:rsid w:val="00F31DBF"/>
    <w:rsid w:val="00F32F25"/>
    <w:rsid w:val="00F3313A"/>
    <w:rsid w:val="00F355FB"/>
    <w:rsid w:val="00F359D2"/>
    <w:rsid w:val="00F364A8"/>
    <w:rsid w:val="00F42540"/>
    <w:rsid w:val="00F430AD"/>
    <w:rsid w:val="00F4420D"/>
    <w:rsid w:val="00F44AE7"/>
    <w:rsid w:val="00F456C8"/>
    <w:rsid w:val="00F473C7"/>
    <w:rsid w:val="00F50924"/>
    <w:rsid w:val="00F54A78"/>
    <w:rsid w:val="00F552D1"/>
    <w:rsid w:val="00F558ED"/>
    <w:rsid w:val="00F55DEB"/>
    <w:rsid w:val="00F57C51"/>
    <w:rsid w:val="00F57CBB"/>
    <w:rsid w:val="00F60089"/>
    <w:rsid w:val="00F60E31"/>
    <w:rsid w:val="00F62F8D"/>
    <w:rsid w:val="00F6369D"/>
    <w:rsid w:val="00F63C2D"/>
    <w:rsid w:val="00F70BB9"/>
    <w:rsid w:val="00F70C9C"/>
    <w:rsid w:val="00F71CC2"/>
    <w:rsid w:val="00F726E2"/>
    <w:rsid w:val="00F72AA0"/>
    <w:rsid w:val="00F73546"/>
    <w:rsid w:val="00F75D60"/>
    <w:rsid w:val="00F771DC"/>
    <w:rsid w:val="00F77DBA"/>
    <w:rsid w:val="00F81D56"/>
    <w:rsid w:val="00F82E53"/>
    <w:rsid w:val="00F85A80"/>
    <w:rsid w:val="00F85C05"/>
    <w:rsid w:val="00F86645"/>
    <w:rsid w:val="00F9000A"/>
    <w:rsid w:val="00F90A16"/>
    <w:rsid w:val="00F91BFE"/>
    <w:rsid w:val="00F94BC9"/>
    <w:rsid w:val="00F951A2"/>
    <w:rsid w:val="00F97E55"/>
    <w:rsid w:val="00FA0712"/>
    <w:rsid w:val="00FA0EC2"/>
    <w:rsid w:val="00FA36C0"/>
    <w:rsid w:val="00FA6F1B"/>
    <w:rsid w:val="00FB1AEA"/>
    <w:rsid w:val="00FB2201"/>
    <w:rsid w:val="00FB39F6"/>
    <w:rsid w:val="00FB4D15"/>
    <w:rsid w:val="00FB62AB"/>
    <w:rsid w:val="00FB67AB"/>
    <w:rsid w:val="00FC0E29"/>
    <w:rsid w:val="00FC0F69"/>
    <w:rsid w:val="00FC5752"/>
    <w:rsid w:val="00FC7571"/>
    <w:rsid w:val="00FC7852"/>
    <w:rsid w:val="00FC7CF0"/>
    <w:rsid w:val="00FD0507"/>
    <w:rsid w:val="00FD1F2D"/>
    <w:rsid w:val="00FD245B"/>
    <w:rsid w:val="00FD2518"/>
    <w:rsid w:val="00FD2585"/>
    <w:rsid w:val="00FD4014"/>
    <w:rsid w:val="00FE0689"/>
    <w:rsid w:val="00FE1529"/>
    <w:rsid w:val="00FE26F9"/>
    <w:rsid w:val="00FE293D"/>
    <w:rsid w:val="00FE5FB9"/>
    <w:rsid w:val="00FE7006"/>
    <w:rsid w:val="00FE781F"/>
    <w:rsid w:val="00FE7FDF"/>
    <w:rsid w:val="00FE7FE2"/>
    <w:rsid w:val="00FF30B9"/>
    <w:rsid w:val="00FF4BFF"/>
    <w:rsid w:val="00FF628E"/>
    <w:rsid w:val="010AE2A9"/>
    <w:rsid w:val="0118C6E7"/>
    <w:rsid w:val="01196DFA"/>
    <w:rsid w:val="01211F09"/>
    <w:rsid w:val="013211AF"/>
    <w:rsid w:val="015766EF"/>
    <w:rsid w:val="015E322D"/>
    <w:rsid w:val="016621FB"/>
    <w:rsid w:val="01751A20"/>
    <w:rsid w:val="0178366F"/>
    <w:rsid w:val="017B299F"/>
    <w:rsid w:val="017B41F5"/>
    <w:rsid w:val="0186FA75"/>
    <w:rsid w:val="019461F7"/>
    <w:rsid w:val="0198340E"/>
    <w:rsid w:val="01A4378F"/>
    <w:rsid w:val="01BC1D19"/>
    <w:rsid w:val="01D98BA3"/>
    <w:rsid w:val="01EBB2A1"/>
    <w:rsid w:val="01FBDA7E"/>
    <w:rsid w:val="01FF8A79"/>
    <w:rsid w:val="0214C40D"/>
    <w:rsid w:val="0217CBA3"/>
    <w:rsid w:val="02258539"/>
    <w:rsid w:val="02374936"/>
    <w:rsid w:val="023F8C6B"/>
    <w:rsid w:val="025DA929"/>
    <w:rsid w:val="02690FFC"/>
    <w:rsid w:val="026F2E98"/>
    <w:rsid w:val="0282767E"/>
    <w:rsid w:val="028CC00C"/>
    <w:rsid w:val="02ABB4D9"/>
    <w:rsid w:val="02AD913D"/>
    <w:rsid w:val="02B35E0E"/>
    <w:rsid w:val="02BB4E81"/>
    <w:rsid w:val="02CB4325"/>
    <w:rsid w:val="02CFBCBF"/>
    <w:rsid w:val="02DBE681"/>
    <w:rsid w:val="02DEC324"/>
    <w:rsid w:val="02FA33FF"/>
    <w:rsid w:val="03167E86"/>
    <w:rsid w:val="03475366"/>
    <w:rsid w:val="03559BDD"/>
    <w:rsid w:val="036521DF"/>
    <w:rsid w:val="036735A0"/>
    <w:rsid w:val="03689602"/>
    <w:rsid w:val="037D2943"/>
    <w:rsid w:val="0385FBCB"/>
    <w:rsid w:val="03A33CDB"/>
    <w:rsid w:val="03A6E11C"/>
    <w:rsid w:val="03BABDBB"/>
    <w:rsid w:val="03BE6C13"/>
    <w:rsid w:val="03E16893"/>
    <w:rsid w:val="03ECF35B"/>
    <w:rsid w:val="03F76A40"/>
    <w:rsid w:val="04034A6F"/>
    <w:rsid w:val="041917F5"/>
    <w:rsid w:val="0428B746"/>
    <w:rsid w:val="0437470F"/>
    <w:rsid w:val="043DC647"/>
    <w:rsid w:val="0441988F"/>
    <w:rsid w:val="045D3FB2"/>
    <w:rsid w:val="0466E9E5"/>
    <w:rsid w:val="047378AB"/>
    <w:rsid w:val="048E30D0"/>
    <w:rsid w:val="04A9E48D"/>
    <w:rsid w:val="04AC03B8"/>
    <w:rsid w:val="04C42861"/>
    <w:rsid w:val="04C84C54"/>
    <w:rsid w:val="04C91CFB"/>
    <w:rsid w:val="04C97EAD"/>
    <w:rsid w:val="04CE8E86"/>
    <w:rsid w:val="04D7F8E8"/>
    <w:rsid w:val="04E69CAC"/>
    <w:rsid w:val="04E8F788"/>
    <w:rsid w:val="0500680F"/>
    <w:rsid w:val="0513255D"/>
    <w:rsid w:val="0514C20B"/>
    <w:rsid w:val="052BE41C"/>
    <w:rsid w:val="0545DABB"/>
    <w:rsid w:val="054FC98D"/>
    <w:rsid w:val="05567EE6"/>
    <w:rsid w:val="0586511B"/>
    <w:rsid w:val="058A322D"/>
    <w:rsid w:val="05918B8C"/>
    <w:rsid w:val="05C6B950"/>
    <w:rsid w:val="05DB3BA8"/>
    <w:rsid w:val="05E15AE6"/>
    <w:rsid w:val="05EB2A0C"/>
    <w:rsid w:val="05F655B5"/>
    <w:rsid w:val="05FEBE90"/>
    <w:rsid w:val="06071CB6"/>
    <w:rsid w:val="0608BC5B"/>
    <w:rsid w:val="0610513C"/>
    <w:rsid w:val="061DC397"/>
    <w:rsid w:val="06229DA7"/>
    <w:rsid w:val="06395925"/>
    <w:rsid w:val="0641C5EE"/>
    <w:rsid w:val="06552FA0"/>
    <w:rsid w:val="065BC4AA"/>
    <w:rsid w:val="0660B333"/>
    <w:rsid w:val="06697DFF"/>
    <w:rsid w:val="066AFBD3"/>
    <w:rsid w:val="066EAC4F"/>
    <w:rsid w:val="06971E70"/>
    <w:rsid w:val="069EB0F9"/>
    <w:rsid w:val="06A39A5B"/>
    <w:rsid w:val="06A6A76F"/>
    <w:rsid w:val="06B45ADA"/>
    <w:rsid w:val="06CD480C"/>
    <w:rsid w:val="06DBF639"/>
    <w:rsid w:val="06E40EE3"/>
    <w:rsid w:val="06F333EF"/>
    <w:rsid w:val="06F6557B"/>
    <w:rsid w:val="06F8576D"/>
    <w:rsid w:val="071F87C0"/>
    <w:rsid w:val="071FA411"/>
    <w:rsid w:val="072F1857"/>
    <w:rsid w:val="07528904"/>
    <w:rsid w:val="07736B61"/>
    <w:rsid w:val="0781E0BC"/>
    <w:rsid w:val="07909F2F"/>
    <w:rsid w:val="079C129C"/>
    <w:rsid w:val="079CAF39"/>
    <w:rsid w:val="07A89F66"/>
    <w:rsid w:val="07BACF55"/>
    <w:rsid w:val="07BF16BB"/>
    <w:rsid w:val="07D0BA33"/>
    <w:rsid w:val="07E74985"/>
    <w:rsid w:val="07F8E678"/>
    <w:rsid w:val="0806FA08"/>
    <w:rsid w:val="0808A52D"/>
    <w:rsid w:val="0813E260"/>
    <w:rsid w:val="0815C661"/>
    <w:rsid w:val="0830791D"/>
    <w:rsid w:val="08372007"/>
    <w:rsid w:val="0837FCEE"/>
    <w:rsid w:val="08467689"/>
    <w:rsid w:val="08508799"/>
    <w:rsid w:val="0850C81B"/>
    <w:rsid w:val="0851122A"/>
    <w:rsid w:val="0851C23C"/>
    <w:rsid w:val="0859D07B"/>
    <w:rsid w:val="085A4BAF"/>
    <w:rsid w:val="08843929"/>
    <w:rsid w:val="08908DAD"/>
    <w:rsid w:val="0897C948"/>
    <w:rsid w:val="08A2C436"/>
    <w:rsid w:val="08A6A9A6"/>
    <w:rsid w:val="08AD6666"/>
    <w:rsid w:val="08AFEF63"/>
    <w:rsid w:val="08DAB8B7"/>
    <w:rsid w:val="08E0FAF7"/>
    <w:rsid w:val="08E9B647"/>
    <w:rsid w:val="08F4599C"/>
    <w:rsid w:val="090B1519"/>
    <w:rsid w:val="0916F1FB"/>
    <w:rsid w:val="091FFC4D"/>
    <w:rsid w:val="0923E36A"/>
    <w:rsid w:val="09249304"/>
    <w:rsid w:val="0928793D"/>
    <w:rsid w:val="092ABCCE"/>
    <w:rsid w:val="093C7E1C"/>
    <w:rsid w:val="093DCBA2"/>
    <w:rsid w:val="093EC4DC"/>
    <w:rsid w:val="093FD418"/>
    <w:rsid w:val="0946478A"/>
    <w:rsid w:val="095944C8"/>
    <w:rsid w:val="095D5A6F"/>
    <w:rsid w:val="0962062F"/>
    <w:rsid w:val="09663557"/>
    <w:rsid w:val="096C6D8E"/>
    <w:rsid w:val="0983EBC9"/>
    <w:rsid w:val="09897B63"/>
    <w:rsid w:val="0995F250"/>
    <w:rsid w:val="099F1E17"/>
    <w:rsid w:val="09A603A7"/>
    <w:rsid w:val="09AEAA59"/>
    <w:rsid w:val="09B058C0"/>
    <w:rsid w:val="09B64435"/>
    <w:rsid w:val="09C31D63"/>
    <w:rsid w:val="09C5D33A"/>
    <w:rsid w:val="09C89BE4"/>
    <w:rsid w:val="09D2B2AB"/>
    <w:rsid w:val="09EEBE41"/>
    <w:rsid w:val="09F41995"/>
    <w:rsid w:val="09F43014"/>
    <w:rsid w:val="09F8714F"/>
    <w:rsid w:val="0A03F8B9"/>
    <w:rsid w:val="0A227CE6"/>
    <w:rsid w:val="0A2E796E"/>
    <w:rsid w:val="0A4341B5"/>
    <w:rsid w:val="0A454B60"/>
    <w:rsid w:val="0A6BAAEA"/>
    <w:rsid w:val="0A7BF292"/>
    <w:rsid w:val="0A82E7C8"/>
    <w:rsid w:val="0AA1B9FD"/>
    <w:rsid w:val="0AA7847E"/>
    <w:rsid w:val="0ABA3A98"/>
    <w:rsid w:val="0AC0E26E"/>
    <w:rsid w:val="0AC88622"/>
    <w:rsid w:val="0AD3E30B"/>
    <w:rsid w:val="0AEA5AE1"/>
    <w:rsid w:val="0AF3F4F6"/>
    <w:rsid w:val="0B01D17D"/>
    <w:rsid w:val="0B09F732"/>
    <w:rsid w:val="0B16114C"/>
    <w:rsid w:val="0B1669E0"/>
    <w:rsid w:val="0B194E9D"/>
    <w:rsid w:val="0B1A43D2"/>
    <w:rsid w:val="0B2DEA7D"/>
    <w:rsid w:val="0B353063"/>
    <w:rsid w:val="0B3B7AB3"/>
    <w:rsid w:val="0B3F7B3A"/>
    <w:rsid w:val="0B566954"/>
    <w:rsid w:val="0B578E3B"/>
    <w:rsid w:val="0B5BA765"/>
    <w:rsid w:val="0B621AF2"/>
    <w:rsid w:val="0B721317"/>
    <w:rsid w:val="0B8FDBC7"/>
    <w:rsid w:val="0B95FDB4"/>
    <w:rsid w:val="0B979D35"/>
    <w:rsid w:val="0B9C2717"/>
    <w:rsid w:val="0BB3063F"/>
    <w:rsid w:val="0BC305EB"/>
    <w:rsid w:val="0BC5565C"/>
    <w:rsid w:val="0BE6CE0C"/>
    <w:rsid w:val="0BEDE95C"/>
    <w:rsid w:val="0BF74F6E"/>
    <w:rsid w:val="0BFE0CA4"/>
    <w:rsid w:val="0C0964E0"/>
    <w:rsid w:val="0C162515"/>
    <w:rsid w:val="0C3195A8"/>
    <w:rsid w:val="0C3292DA"/>
    <w:rsid w:val="0C36BE49"/>
    <w:rsid w:val="0C3F6827"/>
    <w:rsid w:val="0C42F007"/>
    <w:rsid w:val="0C451B69"/>
    <w:rsid w:val="0C48361C"/>
    <w:rsid w:val="0C5273CC"/>
    <w:rsid w:val="0C608EBB"/>
    <w:rsid w:val="0C859263"/>
    <w:rsid w:val="0C9CC98E"/>
    <w:rsid w:val="0CAFC8A3"/>
    <w:rsid w:val="0CB438E5"/>
    <w:rsid w:val="0CBC2140"/>
    <w:rsid w:val="0CC21933"/>
    <w:rsid w:val="0CC7184A"/>
    <w:rsid w:val="0CC9DE2D"/>
    <w:rsid w:val="0CD4659E"/>
    <w:rsid w:val="0CFAA4E6"/>
    <w:rsid w:val="0D0AC8F5"/>
    <w:rsid w:val="0D2D2E8F"/>
    <w:rsid w:val="0D2EDECA"/>
    <w:rsid w:val="0D33C617"/>
    <w:rsid w:val="0D375178"/>
    <w:rsid w:val="0D3CC825"/>
    <w:rsid w:val="0D3DACE9"/>
    <w:rsid w:val="0D458A73"/>
    <w:rsid w:val="0D6B22F5"/>
    <w:rsid w:val="0D6C9683"/>
    <w:rsid w:val="0D7A82C5"/>
    <w:rsid w:val="0D9A7078"/>
    <w:rsid w:val="0D9A8915"/>
    <w:rsid w:val="0DA0DD04"/>
    <w:rsid w:val="0DBA4480"/>
    <w:rsid w:val="0DBCC201"/>
    <w:rsid w:val="0DC80D4A"/>
    <w:rsid w:val="0DE3911A"/>
    <w:rsid w:val="0DEAE71B"/>
    <w:rsid w:val="0DEB14DE"/>
    <w:rsid w:val="0DEC1A1C"/>
    <w:rsid w:val="0E17946E"/>
    <w:rsid w:val="0E26E9A8"/>
    <w:rsid w:val="0E4A7441"/>
    <w:rsid w:val="0E4AC78A"/>
    <w:rsid w:val="0E5DE925"/>
    <w:rsid w:val="0E6AC742"/>
    <w:rsid w:val="0E8480E9"/>
    <w:rsid w:val="0E8EBBA7"/>
    <w:rsid w:val="0E925BF2"/>
    <w:rsid w:val="0EA4BA35"/>
    <w:rsid w:val="0EAA9469"/>
    <w:rsid w:val="0EAECB7B"/>
    <w:rsid w:val="0EAF66E3"/>
    <w:rsid w:val="0EB60A47"/>
    <w:rsid w:val="0ECF0E3F"/>
    <w:rsid w:val="0EDDCE47"/>
    <w:rsid w:val="0EF840D4"/>
    <w:rsid w:val="0F306820"/>
    <w:rsid w:val="0F31E739"/>
    <w:rsid w:val="0F37D42B"/>
    <w:rsid w:val="0F6BE6E0"/>
    <w:rsid w:val="0F8FC1D8"/>
    <w:rsid w:val="0F933D07"/>
    <w:rsid w:val="0FA302DB"/>
    <w:rsid w:val="0FA569B9"/>
    <w:rsid w:val="0FA6E321"/>
    <w:rsid w:val="0FA84F72"/>
    <w:rsid w:val="0FB1A728"/>
    <w:rsid w:val="0FB1BC41"/>
    <w:rsid w:val="0FB27A74"/>
    <w:rsid w:val="0FB747C8"/>
    <w:rsid w:val="0FBC8F2A"/>
    <w:rsid w:val="0FC430A0"/>
    <w:rsid w:val="0FD59DD6"/>
    <w:rsid w:val="0FF2BD30"/>
    <w:rsid w:val="0FF64BFF"/>
    <w:rsid w:val="0FF72771"/>
    <w:rsid w:val="0FF8EE7D"/>
    <w:rsid w:val="0FFF9B57"/>
    <w:rsid w:val="10036B10"/>
    <w:rsid w:val="100F8659"/>
    <w:rsid w:val="101524B1"/>
    <w:rsid w:val="10359805"/>
    <w:rsid w:val="104DCA11"/>
    <w:rsid w:val="10618778"/>
    <w:rsid w:val="10748661"/>
    <w:rsid w:val="107DB756"/>
    <w:rsid w:val="1082DD30"/>
    <w:rsid w:val="10ADDAE9"/>
    <w:rsid w:val="10AFB282"/>
    <w:rsid w:val="10C0C5EC"/>
    <w:rsid w:val="10C54901"/>
    <w:rsid w:val="10C734CD"/>
    <w:rsid w:val="10CAB687"/>
    <w:rsid w:val="10E667AE"/>
    <w:rsid w:val="10F0EA58"/>
    <w:rsid w:val="10F39BC7"/>
    <w:rsid w:val="110012D4"/>
    <w:rsid w:val="110CB4E3"/>
    <w:rsid w:val="1110977A"/>
    <w:rsid w:val="11160B69"/>
    <w:rsid w:val="1137125F"/>
    <w:rsid w:val="113E3F2C"/>
    <w:rsid w:val="11617DE6"/>
    <w:rsid w:val="11621CA6"/>
    <w:rsid w:val="1162B8BC"/>
    <w:rsid w:val="116560C8"/>
    <w:rsid w:val="11665B31"/>
    <w:rsid w:val="11667F3A"/>
    <w:rsid w:val="11763E1B"/>
    <w:rsid w:val="11800C63"/>
    <w:rsid w:val="118960C1"/>
    <w:rsid w:val="11946832"/>
    <w:rsid w:val="11A447ED"/>
    <w:rsid w:val="11A720FB"/>
    <w:rsid w:val="11A7E023"/>
    <w:rsid w:val="11B5B161"/>
    <w:rsid w:val="11C64F9D"/>
    <w:rsid w:val="11D78962"/>
    <w:rsid w:val="11DB07FE"/>
    <w:rsid w:val="11F21394"/>
    <w:rsid w:val="120038B8"/>
    <w:rsid w:val="1203FD5D"/>
    <w:rsid w:val="121E2570"/>
    <w:rsid w:val="1239E1A0"/>
    <w:rsid w:val="123CBA0A"/>
    <w:rsid w:val="124AC4F0"/>
    <w:rsid w:val="12513BE9"/>
    <w:rsid w:val="1267FAB5"/>
    <w:rsid w:val="127F3F38"/>
    <w:rsid w:val="12802A92"/>
    <w:rsid w:val="129C061A"/>
    <w:rsid w:val="129FB845"/>
    <w:rsid w:val="12D03F30"/>
    <w:rsid w:val="12D8E13C"/>
    <w:rsid w:val="12E118B6"/>
    <w:rsid w:val="12F4B686"/>
    <w:rsid w:val="12FF2EFD"/>
    <w:rsid w:val="1318F02E"/>
    <w:rsid w:val="1336D8AB"/>
    <w:rsid w:val="134D9AE4"/>
    <w:rsid w:val="134F81C3"/>
    <w:rsid w:val="135A5420"/>
    <w:rsid w:val="13610753"/>
    <w:rsid w:val="136F314F"/>
    <w:rsid w:val="1376F0A5"/>
    <w:rsid w:val="137B17E5"/>
    <w:rsid w:val="13872D85"/>
    <w:rsid w:val="138AA05D"/>
    <w:rsid w:val="1395C4FC"/>
    <w:rsid w:val="13972CA4"/>
    <w:rsid w:val="139B8F47"/>
    <w:rsid w:val="13AD4E64"/>
    <w:rsid w:val="13B4537B"/>
    <w:rsid w:val="13BC1130"/>
    <w:rsid w:val="13CBFCF3"/>
    <w:rsid w:val="13E60EB5"/>
    <w:rsid w:val="13E9C9BF"/>
    <w:rsid w:val="13F86101"/>
    <w:rsid w:val="14088C5C"/>
    <w:rsid w:val="1409695A"/>
    <w:rsid w:val="142B0D5F"/>
    <w:rsid w:val="145177D3"/>
    <w:rsid w:val="14621D61"/>
    <w:rsid w:val="148945C0"/>
    <w:rsid w:val="1490BAB9"/>
    <w:rsid w:val="14936878"/>
    <w:rsid w:val="14A218DE"/>
    <w:rsid w:val="14E511AB"/>
    <w:rsid w:val="14EF51CA"/>
    <w:rsid w:val="14F105D8"/>
    <w:rsid w:val="15089CCD"/>
    <w:rsid w:val="151B7DF9"/>
    <w:rsid w:val="152FEDA9"/>
    <w:rsid w:val="153043F5"/>
    <w:rsid w:val="15359C5D"/>
    <w:rsid w:val="153C284D"/>
    <w:rsid w:val="1543C9A8"/>
    <w:rsid w:val="15486CE9"/>
    <w:rsid w:val="155F226A"/>
    <w:rsid w:val="15708CBE"/>
    <w:rsid w:val="15827290"/>
    <w:rsid w:val="159666EA"/>
    <w:rsid w:val="15987EF8"/>
    <w:rsid w:val="15CC7BCA"/>
    <w:rsid w:val="15E7245D"/>
    <w:rsid w:val="15F054C1"/>
    <w:rsid w:val="15FEA15A"/>
    <w:rsid w:val="1604DB24"/>
    <w:rsid w:val="160A5531"/>
    <w:rsid w:val="160B982B"/>
    <w:rsid w:val="16262CCB"/>
    <w:rsid w:val="16346F55"/>
    <w:rsid w:val="1636F106"/>
    <w:rsid w:val="1639C57F"/>
    <w:rsid w:val="164052E6"/>
    <w:rsid w:val="1646B7FD"/>
    <w:rsid w:val="164DAC81"/>
    <w:rsid w:val="16837BBB"/>
    <w:rsid w:val="1686F6B5"/>
    <w:rsid w:val="169CEEC2"/>
    <w:rsid w:val="16A8682C"/>
    <w:rsid w:val="16BA0536"/>
    <w:rsid w:val="16C1DE69"/>
    <w:rsid w:val="16CE5C06"/>
    <w:rsid w:val="16CEDEC9"/>
    <w:rsid w:val="16E83D03"/>
    <w:rsid w:val="16F3938D"/>
    <w:rsid w:val="16FDE16B"/>
    <w:rsid w:val="17032E43"/>
    <w:rsid w:val="1707F97C"/>
    <w:rsid w:val="170DDFBA"/>
    <w:rsid w:val="1715A6F2"/>
    <w:rsid w:val="171E5702"/>
    <w:rsid w:val="1734F8FD"/>
    <w:rsid w:val="1736E0CA"/>
    <w:rsid w:val="173C4C18"/>
    <w:rsid w:val="173D071A"/>
    <w:rsid w:val="173E229F"/>
    <w:rsid w:val="17514A7D"/>
    <w:rsid w:val="175372CE"/>
    <w:rsid w:val="1766A298"/>
    <w:rsid w:val="176CB94E"/>
    <w:rsid w:val="1773DBCB"/>
    <w:rsid w:val="177EBFE2"/>
    <w:rsid w:val="1790D196"/>
    <w:rsid w:val="179FCF23"/>
    <w:rsid w:val="17AFC01E"/>
    <w:rsid w:val="17BC3D24"/>
    <w:rsid w:val="17C3D320"/>
    <w:rsid w:val="17CD35BD"/>
    <w:rsid w:val="17EE0976"/>
    <w:rsid w:val="17F686B8"/>
    <w:rsid w:val="1806B17F"/>
    <w:rsid w:val="18105C1D"/>
    <w:rsid w:val="18189EBE"/>
    <w:rsid w:val="1818D336"/>
    <w:rsid w:val="1824A020"/>
    <w:rsid w:val="182A9C52"/>
    <w:rsid w:val="184FCD84"/>
    <w:rsid w:val="185608DD"/>
    <w:rsid w:val="1861D5DF"/>
    <w:rsid w:val="186A6F9D"/>
    <w:rsid w:val="18769858"/>
    <w:rsid w:val="1876C9EA"/>
    <w:rsid w:val="18897614"/>
    <w:rsid w:val="1897987A"/>
    <w:rsid w:val="189AC0CF"/>
    <w:rsid w:val="18B0AF1D"/>
    <w:rsid w:val="18BBBBA4"/>
    <w:rsid w:val="18C0F834"/>
    <w:rsid w:val="18C778D2"/>
    <w:rsid w:val="18CA8D67"/>
    <w:rsid w:val="18DD44E9"/>
    <w:rsid w:val="18E79B44"/>
    <w:rsid w:val="18FD8B64"/>
    <w:rsid w:val="191F2661"/>
    <w:rsid w:val="1953EA6A"/>
    <w:rsid w:val="19560695"/>
    <w:rsid w:val="1956D230"/>
    <w:rsid w:val="1957F5FA"/>
    <w:rsid w:val="197DBE08"/>
    <w:rsid w:val="199DBD3D"/>
    <w:rsid w:val="19A681C1"/>
    <w:rsid w:val="19A78560"/>
    <w:rsid w:val="19AC9ECD"/>
    <w:rsid w:val="19BD990D"/>
    <w:rsid w:val="19EB992B"/>
    <w:rsid w:val="19EE4F27"/>
    <w:rsid w:val="19F32B64"/>
    <w:rsid w:val="1A3282DF"/>
    <w:rsid w:val="1A3B5D5E"/>
    <w:rsid w:val="1A59EAE4"/>
    <w:rsid w:val="1A5BFE40"/>
    <w:rsid w:val="1A5FAC39"/>
    <w:rsid w:val="1A626CF8"/>
    <w:rsid w:val="1A629056"/>
    <w:rsid w:val="1A63FB4C"/>
    <w:rsid w:val="1A756CBB"/>
    <w:rsid w:val="1A82147E"/>
    <w:rsid w:val="1A822617"/>
    <w:rsid w:val="1AA3338F"/>
    <w:rsid w:val="1AA3B20E"/>
    <w:rsid w:val="1AA755E3"/>
    <w:rsid w:val="1AA7FD6E"/>
    <w:rsid w:val="1AA8CFDE"/>
    <w:rsid w:val="1AB26975"/>
    <w:rsid w:val="1AC64088"/>
    <w:rsid w:val="1AE21292"/>
    <w:rsid w:val="1AE7A364"/>
    <w:rsid w:val="1AF9CD1F"/>
    <w:rsid w:val="1B029F5C"/>
    <w:rsid w:val="1B197B38"/>
    <w:rsid w:val="1B1F3173"/>
    <w:rsid w:val="1B2C5D12"/>
    <w:rsid w:val="1B3396F5"/>
    <w:rsid w:val="1B576AB2"/>
    <w:rsid w:val="1B677D0C"/>
    <w:rsid w:val="1B67F0AE"/>
    <w:rsid w:val="1B7956C6"/>
    <w:rsid w:val="1B7D6FFD"/>
    <w:rsid w:val="1B87C61A"/>
    <w:rsid w:val="1B9301D1"/>
    <w:rsid w:val="1B9A1AF8"/>
    <w:rsid w:val="1B9F92BE"/>
    <w:rsid w:val="1B9FFB85"/>
    <w:rsid w:val="1BA6EC9B"/>
    <w:rsid w:val="1BA87906"/>
    <w:rsid w:val="1BB5B2C7"/>
    <w:rsid w:val="1BBCA8AE"/>
    <w:rsid w:val="1BBED5E7"/>
    <w:rsid w:val="1BC3A9CA"/>
    <w:rsid w:val="1BD588C2"/>
    <w:rsid w:val="1BD5DD1F"/>
    <w:rsid w:val="1BE2671E"/>
    <w:rsid w:val="1BE4CFE6"/>
    <w:rsid w:val="1C2332FE"/>
    <w:rsid w:val="1C27056D"/>
    <w:rsid w:val="1C4274FA"/>
    <w:rsid w:val="1C4D0EEF"/>
    <w:rsid w:val="1C4F5AC2"/>
    <w:rsid w:val="1C52CB7E"/>
    <w:rsid w:val="1C618CFE"/>
    <w:rsid w:val="1C793A34"/>
    <w:rsid w:val="1C804348"/>
    <w:rsid w:val="1C80FA8D"/>
    <w:rsid w:val="1C81794D"/>
    <w:rsid w:val="1C82450A"/>
    <w:rsid w:val="1C832965"/>
    <w:rsid w:val="1C8F9BDB"/>
    <w:rsid w:val="1C94A730"/>
    <w:rsid w:val="1C96FD57"/>
    <w:rsid w:val="1CA20AEE"/>
    <w:rsid w:val="1CA22013"/>
    <w:rsid w:val="1CAA0753"/>
    <w:rsid w:val="1CAE1DBE"/>
    <w:rsid w:val="1CB24047"/>
    <w:rsid w:val="1CBB5DF1"/>
    <w:rsid w:val="1CC76DA4"/>
    <w:rsid w:val="1CEB5920"/>
    <w:rsid w:val="1CFA686D"/>
    <w:rsid w:val="1CFB24C7"/>
    <w:rsid w:val="1D0C0826"/>
    <w:rsid w:val="1D0DC1F2"/>
    <w:rsid w:val="1D1192BA"/>
    <w:rsid w:val="1D176CE1"/>
    <w:rsid w:val="1D36F9B3"/>
    <w:rsid w:val="1D373D81"/>
    <w:rsid w:val="1D52323C"/>
    <w:rsid w:val="1D591044"/>
    <w:rsid w:val="1D7629FD"/>
    <w:rsid w:val="1D8F111E"/>
    <w:rsid w:val="1D9B1A6F"/>
    <w:rsid w:val="1DA28324"/>
    <w:rsid w:val="1DA7B3EB"/>
    <w:rsid w:val="1DAFD9BE"/>
    <w:rsid w:val="1DB20B48"/>
    <w:rsid w:val="1DBAAB69"/>
    <w:rsid w:val="1DD2BF1A"/>
    <w:rsid w:val="1DE0DA3C"/>
    <w:rsid w:val="1E029D15"/>
    <w:rsid w:val="1E21FC4E"/>
    <w:rsid w:val="1E27CCFD"/>
    <w:rsid w:val="1E28724D"/>
    <w:rsid w:val="1E2D0D77"/>
    <w:rsid w:val="1E333BF0"/>
    <w:rsid w:val="1E335A83"/>
    <w:rsid w:val="1E4310BC"/>
    <w:rsid w:val="1E469177"/>
    <w:rsid w:val="1E488B57"/>
    <w:rsid w:val="1E4FDB07"/>
    <w:rsid w:val="1E56775A"/>
    <w:rsid w:val="1E66AD07"/>
    <w:rsid w:val="1E6C5220"/>
    <w:rsid w:val="1E812776"/>
    <w:rsid w:val="1E81FD55"/>
    <w:rsid w:val="1E9025B8"/>
    <w:rsid w:val="1E963764"/>
    <w:rsid w:val="1E9D34AB"/>
    <w:rsid w:val="1EA1915E"/>
    <w:rsid w:val="1EA60B34"/>
    <w:rsid w:val="1EB479D9"/>
    <w:rsid w:val="1EB9F24E"/>
    <w:rsid w:val="1ECC1003"/>
    <w:rsid w:val="1ECCF39F"/>
    <w:rsid w:val="1EF17D65"/>
    <w:rsid w:val="1EF6759D"/>
    <w:rsid w:val="1F02EC66"/>
    <w:rsid w:val="1F0605D5"/>
    <w:rsid w:val="1F08E490"/>
    <w:rsid w:val="1F124ED7"/>
    <w:rsid w:val="1F1D25E8"/>
    <w:rsid w:val="1F2D794B"/>
    <w:rsid w:val="1F3D2903"/>
    <w:rsid w:val="1F554BA3"/>
    <w:rsid w:val="1F5A509A"/>
    <w:rsid w:val="1F7A3108"/>
    <w:rsid w:val="1F8CDFFE"/>
    <w:rsid w:val="1F94D5CA"/>
    <w:rsid w:val="1F979E90"/>
    <w:rsid w:val="1FA186A8"/>
    <w:rsid w:val="1FA4E5CC"/>
    <w:rsid w:val="1FB89E3E"/>
    <w:rsid w:val="1FC1AF00"/>
    <w:rsid w:val="1FCE34E8"/>
    <w:rsid w:val="1FF47844"/>
    <w:rsid w:val="201D753B"/>
    <w:rsid w:val="2024AD73"/>
    <w:rsid w:val="2040B22D"/>
    <w:rsid w:val="2048A9A3"/>
    <w:rsid w:val="204F6542"/>
    <w:rsid w:val="2068CA5A"/>
    <w:rsid w:val="206BD3BB"/>
    <w:rsid w:val="20AF2CEA"/>
    <w:rsid w:val="20B1F7FE"/>
    <w:rsid w:val="20C3E72F"/>
    <w:rsid w:val="20CF4A54"/>
    <w:rsid w:val="20D3BBE8"/>
    <w:rsid w:val="20FCCB8B"/>
    <w:rsid w:val="21218790"/>
    <w:rsid w:val="2139F395"/>
    <w:rsid w:val="214FFAB2"/>
    <w:rsid w:val="21670B04"/>
    <w:rsid w:val="2169BDB4"/>
    <w:rsid w:val="216FD725"/>
    <w:rsid w:val="2176E0A0"/>
    <w:rsid w:val="21777C7E"/>
    <w:rsid w:val="217A5822"/>
    <w:rsid w:val="217DB16E"/>
    <w:rsid w:val="2194D3DF"/>
    <w:rsid w:val="219DEAAA"/>
    <w:rsid w:val="21B1752D"/>
    <w:rsid w:val="21B88D67"/>
    <w:rsid w:val="21C20C9F"/>
    <w:rsid w:val="21C61B64"/>
    <w:rsid w:val="21CD808C"/>
    <w:rsid w:val="21DE1867"/>
    <w:rsid w:val="21ED4D78"/>
    <w:rsid w:val="2217C466"/>
    <w:rsid w:val="2220E504"/>
    <w:rsid w:val="223AC934"/>
    <w:rsid w:val="225D12D0"/>
    <w:rsid w:val="22695ED4"/>
    <w:rsid w:val="22753658"/>
    <w:rsid w:val="2284083E"/>
    <w:rsid w:val="228AC901"/>
    <w:rsid w:val="228E5633"/>
    <w:rsid w:val="22AE1E37"/>
    <w:rsid w:val="22B62069"/>
    <w:rsid w:val="22BA2351"/>
    <w:rsid w:val="22BF5878"/>
    <w:rsid w:val="22C9A675"/>
    <w:rsid w:val="22E451F2"/>
    <w:rsid w:val="22F42179"/>
    <w:rsid w:val="22F5022C"/>
    <w:rsid w:val="22FAC235"/>
    <w:rsid w:val="23045A24"/>
    <w:rsid w:val="23105ED5"/>
    <w:rsid w:val="2311AD5B"/>
    <w:rsid w:val="231BA49F"/>
    <w:rsid w:val="231CDC73"/>
    <w:rsid w:val="232E168C"/>
    <w:rsid w:val="233846F2"/>
    <w:rsid w:val="234E2663"/>
    <w:rsid w:val="2360E6C3"/>
    <w:rsid w:val="2367DA88"/>
    <w:rsid w:val="23725B6F"/>
    <w:rsid w:val="2374CFAF"/>
    <w:rsid w:val="23762FEB"/>
    <w:rsid w:val="23767F0D"/>
    <w:rsid w:val="239DA758"/>
    <w:rsid w:val="239E554C"/>
    <w:rsid w:val="23BDE555"/>
    <w:rsid w:val="23BE0E81"/>
    <w:rsid w:val="23C74BF3"/>
    <w:rsid w:val="23D7D763"/>
    <w:rsid w:val="23E0DEE0"/>
    <w:rsid w:val="23EC1C33"/>
    <w:rsid w:val="240058A9"/>
    <w:rsid w:val="24028D26"/>
    <w:rsid w:val="24052997"/>
    <w:rsid w:val="2415139B"/>
    <w:rsid w:val="241E8EFB"/>
    <w:rsid w:val="2438DA8E"/>
    <w:rsid w:val="244014A9"/>
    <w:rsid w:val="24424DE7"/>
    <w:rsid w:val="244A23ED"/>
    <w:rsid w:val="24644DD5"/>
    <w:rsid w:val="2468D17A"/>
    <w:rsid w:val="2475A713"/>
    <w:rsid w:val="247E88A0"/>
    <w:rsid w:val="248AAE34"/>
    <w:rsid w:val="24A533DF"/>
    <w:rsid w:val="24BEF9D0"/>
    <w:rsid w:val="24BFF460"/>
    <w:rsid w:val="24D1830E"/>
    <w:rsid w:val="24E79C6A"/>
    <w:rsid w:val="24F0DE13"/>
    <w:rsid w:val="24F3089A"/>
    <w:rsid w:val="2514AF18"/>
    <w:rsid w:val="251541C4"/>
    <w:rsid w:val="2538056F"/>
    <w:rsid w:val="2542EFFA"/>
    <w:rsid w:val="2548A16B"/>
    <w:rsid w:val="255A30A5"/>
    <w:rsid w:val="256D9237"/>
    <w:rsid w:val="25734ADC"/>
    <w:rsid w:val="2582D106"/>
    <w:rsid w:val="2584453F"/>
    <w:rsid w:val="259C9B61"/>
    <w:rsid w:val="25A7FD7C"/>
    <w:rsid w:val="25ADE9D0"/>
    <w:rsid w:val="25B974AC"/>
    <w:rsid w:val="25C25FA6"/>
    <w:rsid w:val="25D313C4"/>
    <w:rsid w:val="25D86967"/>
    <w:rsid w:val="25DDBB81"/>
    <w:rsid w:val="25E5CE4C"/>
    <w:rsid w:val="260DD3C4"/>
    <w:rsid w:val="260DF7D1"/>
    <w:rsid w:val="2627C5AC"/>
    <w:rsid w:val="262BA5B8"/>
    <w:rsid w:val="26441A42"/>
    <w:rsid w:val="264440E9"/>
    <w:rsid w:val="26485F37"/>
    <w:rsid w:val="266D61F7"/>
    <w:rsid w:val="267B235F"/>
    <w:rsid w:val="268BBE16"/>
    <w:rsid w:val="2691733B"/>
    <w:rsid w:val="269D4CAB"/>
    <w:rsid w:val="26A32704"/>
    <w:rsid w:val="26B2B60D"/>
    <w:rsid w:val="26BC0085"/>
    <w:rsid w:val="26DD06DB"/>
    <w:rsid w:val="26E48DE3"/>
    <w:rsid w:val="26E78AB9"/>
    <w:rsid w:val="26F67648"/>
    <w:rsid w:val="2714A578"/>
    <w:rsid w:val="2726609E"/>
    <w:rsid w:val="273085F8"/>
    <w:rsid w:val="2736CBC8"/>
    <w:rsid w:val="27379DE0"/>
    <w:rsid w:val="274EBCD1"/>
    <w:rsid w:val="274F4060"/>
    <w:rsid w:val="276B9AFF"/>
    <w:rsid w:val="278B06FE"/>
    <w:rsid w:val="278EB408"/>
    <w:rsid w:val="27A51ABB"/>
    <w:rsid w:val="27B4B303"/>
    <w:rsid w:val="27C3F42F"/>
    <w:rsid w:val="27C4F0F7"/>
    <w:rsid w:val="27E104D4"/>
    <w:rsid w:val="27EC292F"/>
    <w:rsid w:val="27F6AB28"/>
    <w:rsid w:val="27FAEC53"/>
    <w:rsid w:val="28117433"/>
    <w:rsid w:val="282BE82C"/>
    <w:rsid w:val="28353B1B"/>
    <w:rsid w:val="2839B9F3"/>
    <w:rsid w:val="284D5C23"/>
    <w:rsid w:val="2860395E"/>
    <w:rsid w:val="2869E4C7"/>
    <w:rsid w:val="286A386F"/>
    <w:rsid w:val="288D81E9"/>
    <w:rsid w:val="289176A5"/>
    <w:rsid w:val="28B5F251"/>
    <w:rsid w:val="28C0C051"/>
    <w:rsid w:val="28C394E5"/>
    <w:rsid w:val="28E40F6F"/>
    <w:rsid w:val="28ECE56F"/>
    <w:rsid w:val="2903C67A"/>
    <w:rsid w:val="29077649"/>
    <w:rsid w:val="2909C1D6"/>
    <w:rsid w:val="2912360A"/>
    <w:rsid w:val="292C7147"/>
    <w:rsid w:val="295D6F1E"/>
    <w:rsid w:val="2982C2A8"/>
    <w:rsid w:val="29895F28"/>
    <w:rsid w:val="298CAD2A"/>
    <w:rsid w:val="29993688"/>
    <w:rsid w:val="29A4EFA8"/>
    <w:rsid w:val="29A7535A"/>
    <w:rsid w:val="29CD2D43"/>
    <w:rsid w:val="29CF84AF"/>
    <w:rsid w:val="29D4C923"/>
    <w:rsid w:val="2A17E90D"/>
    <w:rsid w:val="2A3A1D61"/>
    <w:rsid w:val="2A4E58AB"/>
    <w:rsid w:val="2A5CD591"/>
    <w:rsid w:val="2A5D88B4"/>
    <w:rsid w:val="2A772ACB"/>
    <w:rsid w:val="2A8AE84B"/>
    <w:rsid w:val="2A95E6F4"/>
    <w:rsid w:val="2A96839C"/>
    <w:rsid w:val="2AB95B8F"/>
    <w:rsid w:val="2AC2D735"/>
    <w:rsid w:val="2AC41BD4"/>
    <w:rsid w:val="2ACAEB89"/>
    <w:rsid w:val="2ACCC25E"/>
    <w:rsid w:val="2AD0FEAE"/>
    <w:rsid w:val="2AE4008D"/>
    <w:rsid w:val="2AF8B016"/>
    <w:rsid w:val="2AFCE56F"/>
    <w:rsid w:val="2AFDD12F"/>
    <w:rsid w:val="2AFF897A"/>
    <w:rsid w:val="2B029136"/>
    <w:rsid w:val="2B03D55B"/>
    <w:rsid w:val="2B100A14"/>
    <w:rsid w:val="2B232E0F"/>
    <w:rsid w:val="2B28260C"/>
    <w:rsid w:val="2B39A261"/>
    <w:rsid w:val="2B40F7B9"/>
    <w:rsid w:val="2B4258C2"/>
    <w:rsid w:val="2B42FE60"/>
    <w:rsid w:val="2B461510"/>
    <w:rsid w:val="2B47DBB5"/>
    <w:rsid w:val="2B4F891B"/>
    <w:rsid w:val="2B50486E"/>
    <w:rsid w:val="2B58925D"/>
    <w:rsid w:val="2B77C8EC"/>
    <w:rsid w:val="2B91F6B9"/>
    <w:rsid w:val="2B92B797"/>
    <w:rsid w:val="2BA623D6"/>
    <w:rsid w:val="2BAF1865"/>
    <w:rsid w:val="2BB0B324"/>
    <w:rsid w:val="2BB521DA"/>
    <w:rsid w:val="2BB80534"/>
    <w:rsid w:val="2BBD87F2"/>
    <w:rsid w:val="2BC68783"/>
    <w:rsid w:val="2BFA2DF1"/>
    <w:rsid w:val="2C0E0F51"/>
    <w:rsid w:val="2C1106B8"/>
    <w:rsid w:val="2C28AD30"/>
    <w:rsid w:val="2C2B4005"/>
    <w:rsid w:val="2C2B9316"/>
    <w:rsid w:val="2C314A88"/>
    <w:rsid w:val="2C5F26BF"/>
    <w:rsid w:val="2C6D3144"/>
    <w:rsid w:val="2C6E1E95"/>
    <w:rsid w:val="2C81D23B"/>
    <w:rsid w:val="2C8CF679"/>
    <w:rsid w:val="2C95AB5D"/>
    <w:rsid w:val="2CA56F63"/>
    <w:rsid w:val="2CB2F5D0"/>
    <w:rsid w:val="2CB56E09"/>
    <w:rsid w:val="2CC425D7"/>
    <w:rsid w:val="2CF59A96"/>
    <w:rsid w:val="2CF7DFBF"/>
    <w:rsid w:val="2D036B2A"/>
    <w:rsid w:val="2D10E31A"/>
    <w:rsid w:val="2D15B5C7"/>
    <w:rsid w:val="2D181D70"/>
    <w:rsid w:val="2D26DF8F"/>
    <w:rsid w:val="2D48BFBF"/>
    <w:rsid w:val="2D4BD9DE"/>
    <w:rsid w:val="2D504EBD"/>
    <w:rsid w:val="2D592BDA"/>
    <w:rsid w:val="2D5E886C"/>
    <w:rsid w:val="2D649D23"/>
    <w:rsid w:val="2D788978"/>
    <w:rsid w:val="2D811303"/>
    <w:rsid w:val="2D983321"/>
    <w:rsid w:val="2DBB0675"/>
    <w:rsid w:val="2DCB75F7"/>
    <w:rsid w:val="2DCE1AAC"/>
    <w:rsid w:val="2DDB1EE2"/>
    <w:rsid w:val="2DDD6E2D"/>
    <w:rsid w:val="2DE1B056"/>
    <w:rsid w:val="2DEB3D76"/>
    <w:rsid w:val="2DF4932E"/>
    <w:rsid w:val="2DFE911F"/>
    <w:rsid w:val="2E0D2C95"/>
    <w:rsid w:val="2E103386"/>
    <w:rsid w:val="2E222118"/>
    <w:rsid w:val="2E31AED4"/>
    <w:rsid w:val="2E31C1D5"/>
    <w:rsid w:val="2E32F822"/>
    <w:rsid w:val="2E4436F8"/>
    <w:rsid w:val="2E5C6B11"/>
    <w:rsid w:val="2E7B4AF0"/>
    <w:rsid w:val="2E8125A0"/>
    <w:rsid w:val="2E98398A"/>
    <w:rsid w:val="2EA974B2"/>
    <w:rsid w:val="2EADDE29"/>
    <w:rsid w:val="2EB1A6D4"/>
    <w:rsid w:val="2EB40250"/>
    <w:rsid w:val="2EBDAE92"/>
    <w:rsid w:val="2ED4D9FC"/>
    <w:rsid w:val="2EDBB1F6"/>
    <w:rsid w:val="2EDE2345"/>
    <w:rsid w:val="2EE42A40"/>
    <w:rsid w:val="2EF2C5A9"/>
    <w:rsid w:val="2EFB4D99"/>
    <w:rsid w:val="2EFE0160"/>
    <w:rsid w:val="2F064F41"/>
    <w:rsid w:val="2F0CC77C"/>
    <w:rsid w:val="2F352372"/>
    <w:rsid w:val="2F521BF9"/>
    <w:rsid w:val="2F6BEA2B"/>
    <w:rsid w:val="2F9EED1D"/>
    <w:rsid w:val="2FB509AF"/>
    <w:rsid w:val="2FBE85B1"/>
    <w:rsid w:val="2FBFF5CB"/>
    <w:rsid w:val="2FC6BB1F"/>
    <w:rsid w:val="2FD2C56F"/>
    <w:rsid w:val="2FF19E35"/>
    <w:rsid w:val="2FF7BD00"/>
    <w:rsid w:val="30366AE7"/>
    <w:rsid w:val="304C67E2"/>
    <w:rsid w:val="3052D80D"/>
    <w:rsid w:val="305366FE"/>
    <w:rsid w:val="30574E16"/>
    <w:rsid w:val="306884DF"/>
    <w:rsid w:val="3084C5F3"/>
    <w:rsid w:val="30A8AAC8"/>
    <w:rsid w:val="30ABC181"/>
    <w:rsid w:val="30C2318C"/>
    <w:rsid w:val="30C3B148"/>
    <w:rsid w:val="30D3CBA1"/>
    <w:rsid w:val="30F5A9BD"/>
    <w:rsid w:val="30FD3EE5"/>
    <w:rsid w:val="3112C079"/>
    <w:rsid w:val="31146C36"/>
    <w:rsid w:val="3125D794"/>
    <w:rsid w:val="313031C0"/>
    <w:rsid w:val="3133E21B"/>
    <w:rsid w:val="313C9DC0"/>
    <w:rsid w:val="314095CB"/>
    <w:rsid w:val="317AE4BF"/>
    <w:rsid w:val="318CA306"/>
    <w:rsid w:val="31A2AAA8"/>
    <w:rsid w:val="31A99A1E"/>
    <w:rsid w:val="31B30C6A"/>
    <w:rsid w:val="31B3AF38"/>
    <w:rsid w:val="31B7F5CD"/>
    <w:rsid w:val="31B8392E"/>
    <w:rsid w:val="31B9B139"/>
    <w:rsid w:val="31CD23C4"/>
    <w:rsid w:val="31CEBB62"/>
    <w:rsid w:val="31DEC16A"/>
    <w:rsid w:val="31E0EFD4"/>
    <w:rsid w:val="31EBFCBC"/>
    <w:rsid w:val="31EF10DE"/>
    <w:rsid w:val="320021EA"/>
    <w:rsid w:val="3214B21A"/>
    <w:rsid w:val="322FB6EE"/>
    <w:rsid w:val="323856C0"/>
    <w:rsid w:val="323B98AE"/>
    <w:rsid w:val="32561AD2"/>
    <w:rsid w:val="3259705C"/>
    <w:rsid w:val="32615A7D"/>
    <w:rsid w:val="3269DAC7"/>
    <w:rsid w:val="32758050"/>
    <w:rsid w:val="327CD12A"/>
    <w:rsid w:val="327F9E4A"/>
    <w:rsid w:val="3284888B"/>
    <w:rsid w:val="32BB2A72"/>
    <w:rsid w:val="32C4B614"/>
    <w:rsid w:val="32EBA12E"/>
    <w:rsid w:val="330B2E62"/>
    <w:rsid w:val="330E4983"/>
    <w:rsid w:val="3335B914"/>
    <w:rsid w:val="33398AC7"/>
    <w:rsid w:val="333FD5D4"/>
    <w:rsid w:val="33411854"/>
    <w:rsid w:val="3367E8D8"/>
    <w:rsid w:val="3368CDF0"/>
    <w:rsid w:val="336EC644"/>
    <w:rsid w:val="337908B5"/>
    <w:rsid w:val="3385D653"/>
    <w:rsid w:val="3395AE5A"/>
    <w:rsid w:val="339B961A"/>
    <w:rsid w:val="33C86E50"/>
    <w:rsid w:val="33D71007"/>
    <w:rsid w:val="33D95478"/>
    <w:rsid w:val="33E2E46F"/>
    <w:rsid w:val="341CB9DA"/>
    <w:rsid w:val="344177BC"/>
    <w:rsid w:val="344322B7"/>
    <w:rsid w:val="3444CC33"/>
    <w:rsid w:val="3452B184"/>
    <w:rsid w:val="3464A4D9"/>
    <w:rsid w:val="34675CDC"/>
    <w:rsid w:val="346FBEDE"/>
    <w:rsid w:val="3479553C"/>
    <w:rsid w:val="347E3FBD"/>
    <w:rsid w:val="34822880"/>
    <w:rsid w:val="348EF59E"/>
    <w:rsid w:val="348F3C84"/>
    <w:rsid w:val="348FB581"/>
    <w:rsid w:val="34954E5C"/>
    <w:rsid w:val="349A40BC"/>
    <w:rsid w:val="34A6A6E3"/>
    <w:rsid w:val="34B3E392"/>
    <w:rsid w:val="34B5E31B"/>
    <w:rsid w:val="34CB436C"/>
    <w:rsid w:val="34D26ED8"/>
    <w:rsid w:val="34DCC34A"/>
    <w:rsid w:val="34F8BACD"/>
    <w:rsid w:val="35011421"/>
    <w:rsid w:val="35091C8D"/>
    <w:rsid w:val="350D6B7E"/>
    <w:rsid w:val="35115B36"/>
    <w:rsid w:val="3514373F"/>
    <w:rsid w:val="3518D10E"/>
    <w:rsid w:val="3518FF4E"/>
    <w:rsid w:val="35365F42"/>
    <w:rsid w:val="355F0110"/>
    <w:rsid w:val="359ABB27"/>
    <w:rsid w:val="35A16B2D"/>
    <w:rsid w:val="35C644F6"/>
    <w:rsid w:val="35D5AC29"/>
    <w:rsid w:val="36291A59"/>
    <w:rsid w:val="36327621"/>
    <w:rsid w:val="365BF3F9"/>
    <w:rsid w:val="36644E5B"/>
    <w:rsid w:val="3664FA89"/>
    <w:rsid w:val="366BFBFB"/>
    <w:rsid w:val="36764129"/>
    <w:rsid w:val="36831705"/>
    <w:rsid w:val="368B36FC"/>
    <w:rsid w:val="36A515C1"/>
    <w:rsid w:val="36AF8363"/>
    <w:rsid w:val="36BDECB8"/>
    <w:rsid w:val="36C6CACA"/>
    <w:rsid w:val="36E14592"/>
    <w:rsid w:val="36EAFE2B"/>
    <w:rsid w:val="36F04DA3"/>
    <w:rsid w:val="36FC1521"/>
    <w:rsid w:val="36FD192B"/>
    <w:rsid w:val="36FD1EEA"/>
    <w:rsid w:val="37115132"/>
    <w:rsid w:val="371C8EB4"/>
    <w:rsid w:val="371D54CA"/>
    <w:rsid w:val="37423796"/>
    <w:rsid w:val="3747575E"/>
    <w:rsid w:val="3747B0A1"/>
    <w:rsid w:val="37491A19"/>
    <w:rsid w:val="374D3F4C"/>
    <w:rsid w:val="375799C0"/>
    <w:rsid w:val="375A3913"/>
    <w:rsid w:val="377C7370"/>
    <w:rsid w:val="377EB841"/>
    <w:rsid w:val="3782BEA5"/>
    <w:rsid w:val="3785E983"/>
    <w:rsid w:val="378C910C"/>
    <w:rsid w:val="37D336C9"/>
    <w:rsid w:val="37D5214C"/>
    <w:rsid w:val="37E9CF9B"/>
    <w:rsid w:val="3806A02A"/>
    <w:rsid w:val="3806A5FE"/>
    <w:rsid w:val="3806CA34"/>
    <w:rsid w:val="3817A2A0"/>
    <w:rsid w:val="3848F568"/>
    <w:rsid w:val="3852312C"/>
    <w:rsid w:val="3859A1D9"/>
    <w:rsid w:val="385C1F69"/>
    <w:rsid w:val="3864CEBA"/>
    <w:rsid w:val="386CEBF7"/>
    <w:rsid w:val="386F7333"/>
    <w:rsid w:val="38728D5D"/>
    <w:rsid w:val="388C9A8B"/>
    <w:rsid w:val="3895E20D"/>
    <w:rsid w:val="38B0A282"/>
    <w:rsid w:val="38B660CF"/>
    <w:rsid w:val="38B7E080"/>
    <w:rsid w:val="38D0D758"/>
    <w:rsid w:val="38E07294"/>
    <w:rsid w:val="38F41BCB"/>
    <w:rsid w:val="3906C363"/>
    <w:rsid w:val="39318BF6"/>
    <w:rsid w:val="3931A916"/>
    <w:rsid w:val="39441D9A"/>
    <w:rsid w:val="39501D7E"/>
    <w:rsid w:val="395B7A90"/>
    <w:rsid w:val="3969E20D"/>
    <w:rsid w:val="397327C6"/>
    <w:rsid w:val="398D757D"/>
    <w:rsid w:val="399ED93B"/>
    <w:rsid w:val="39B9A243"/>
    <w:rsid w:val="39DFCBFC"/>
    <w:rsid w:val="39E7DEBE"/>
    <w:rsid w:val="3A00EF6C"/>
    <w:rsid w:val="3A039285"/>
    <w:rsid w:val="3A0F9022"/>
    <w:rsid w:val="3A204023"/>
    <w:rsid w:val="3A34C82A"/>
    <w:rsid w:val="3A48B5DB"/>
    <w:rsid w:val="3A4A1783"/>
    <w:rsid w:val="3A4C00F7"/>
    <w:rsid w:val="3A6F54BA"/>
    <w:rsid w:val="3A905D9E"/>
    <w:rsid w:val="3A9ACCAB"/>
    <w:rsid w:val="3AA43AAA"/>
    <w:rsid w:val="3ABA0EF6"/>
    <w:rsid w:val="3AC59C93"/>
    <w:rsid w:val="3AD1B3C7"/>
    <w:rsid w:val="3AD2D69E"/>
    <w:rsid w:val="3AF957F4"/>
    <w:rsid w:val="3B03CCBA"/>
    <w:rsid w:val="3B0E7AE1"/>
    <w:rsid w:val="3B0F1FDF"/>
    <w:rsid w:val="3B135FE1"/>
    <w:rsid w:val="3B1E3756"/>
    <w:rsid w:val="3B22C0A2"/>
    <w:rsid w:val="3B27628E"/>
    <w:rsid w:val="3B2DAD57"/>
    <w:rsid w:val="3B3AD993"/>
    <w:rsid w:val="3B3CD045"/>
    <w:rsid w:val="3B45436F"/>
    <w:rsid w:val="3B57FDCD"/>
    <w:rsid w:val="3B5AAF13"/>
    <w:rsid w:val="3B5C86AA"/>
    <w:rsid w:val="3B81F80E"/>
    <w:rsid w:val="3B85B4CA"/>
    <w:rsid w:val="3BBDAF36"/>
    <w:rsid w:val="3BD3B7F2"/>
    <w:rsid w:val="3BE0B9F0"/>
    <w:rsid w:val="3BE43BBE"/>
    <w:rsid w:val="3BF8E814"/>
    <w:rsid w:val="3C221D26"/>
    <w:rsid w:val="3C282BA3"/>
    <w:rsid w:val="3C4B55F5"/>
    <w:rsid w:val="3C70302C"/>
    <w:rsid w:val="3C74DE3F"/>
    <w:rsid w:val="3C7827C0"/>
    <w:rsid w:val="3C784FA3"/>
    <w:rsid w:val="3C7DA828"/>
    <w:rsid w:val="3C7F9668"/>
    <w:rsid w:val="3C848A17"/>
    <w:rsid w:val="3C9224F9"/>
    <w:rsid w:val="3C9291DF"/>
    <w:rsid w:val="3C9CB5F4"/>
    <w:rsid w:val="3CA32F84"/>
    <w:rsid w:val="3CB45E79"/>
    <w:rsid w:val="3CB81808"/>
    <w:rsid w:val="3CD139E9"/>
    <w:rsid w:val="3CDB4290"/>
    <w:rsid w:val="3CE0C636"/>
    <w:rsid w:val="3CF38AA8"/>
    <w:rsid w:val="3D08C6E2"/>
    <w:rsid w:val="3D1E8AAB"/>
    <w:rsid w:val="3D3BB408"/>
    <w:rsid w:val="3D4212F2"/>
    <w:rsid w:val="3D441C61"/>
    <w:rsid w:val="3D463E2B"/>
    <w:rsid w:val="3D63FABB"/>
    <w:rsid w:val="3D719A69"/>
    <w:rsid w:val="3D7EFBF0"/>
    <w:rsid w:val="3D8D8654"/>
    <w:rsid w:val="3D9870EA"/>
    <w:rsid w:val="3DAA26B2"/>
    <w:rsid w:val="3DB31D3B"/>
    <w:rsid w:val="3DB5B0A8"/>
    <w:rsid w:val="3DCEF01F"/>
    <w:rsid w:val="3E02B734"/>
    <w:rsid w:val="3E29999C"/>
    <w:rsid w:val="3E397167"/>
    <w:rsid w:val="3E41C8AC"/>
    <w:rsid w:val="3E520886"/>
    <w:rsid w:val="3E52D0CB"/>
    <w:rsid w:val="3E541491"/>
    <w:rsid w:val="3E55AAAD"/>
    <w:rsid w:val="3E60CCB2"/>
    <w:rsid w:val="3E6E2E81"/>
    <w:rsid w:val="3EA34B08"/>
    <w:rsid w:val="3EA59B0D"/>
    <w:rsid w:val="3EB467AF"/>
    <w:rsid w:val="3EB54A7D"/>
    <w:rsid w:val="3EC5B273"/>
    <w:rsid w:val="3ECDA454"/>
    <w:rsid w:val="3ED70A23"/>
    <w:rsid w:val="3EE3A86D"/>
    <w:rsid w:val="3EF224EA"/>
    <w:rsid w:val="3EF4B515"/>
    <w:rsid w:val="3EF7A36D"/>
    <w:rsid w:val="3EFFBDC5"/>
    <w:rsid w:val="3F0809EC"/>
    <w:rsid w:val="3F084A97"/>
    <w:rsid w:val="3F110609"/>
    <w:rsid w:val="3F12087B"/>
    <w:rsid w:val="3F1F2CFC"/>
    <w:rsid w:val="3F3D186A"/>
    <w:rsid w:val="3F5462CE"/>
    <w:rsid w:val="3F572B55"/>
    <w:rsid w:val="3F6C43F7"/>
    <w:rsid w:val="3F7774C4"/>
    <w:rsid w:val="3F8EFAF3"/>
    <w:rsid w:val="3F94B891"/>
    <w:rsid w:val="3FA933A1"/>
    <w:rsid w:val="3FB10D0B"/>
    <w:rsid w:val="3FBBD0B1"/>
    <w:rsid w:val="3FCC68BA"/>
    <w:rsid w:val="3FD6FDB1"/>
    <w:rsid w:val="3FE1279C"/>
    <w:rsid w:val="4004C96F"/>
    <w:rsid w:val="40393F65"/>
    <w:rsid w:val="404122D3"/>
    <w:rsid w:val="405022F4"/>
    <w:rsid w:val="40522ECD"/>
    <w:rsid w:val="4062B373"/>
    <w:rsid w:val="408BF1D6"/>
    <w:rsid w:val="409099E6"/>
    <w:rsid w:val="40972105"/>
    <w:rsid w:val="40AC8AD8"/>
    <w:rsid w:val="40B87F27"/>
    <w:rsid w:val="40BEB2A5"/>
    <w:rsid w:val="40C2BD2E"/>
    <w:rsid w:val="40F7A7A4"/>
    <w:rsid w:val="41014E97"/>
    <w:rsid w:val="410F4CE3"/>
    <w:rsid w:val="4111B9B4"/>
    <w:rsid w:val="41140555"/>
    <w:rsid w:val="411C3FC8"/>
    <w:rsid w:val="4122956E"/>
    <w:rsid w:val="4123D48F"/>
    <w:rsid w:val="414E42FA"/>
    <w:rsid w:val="415AF554"/>
    <w:rsid w:val="4167C8B9"/>
    <w:rsid w:val="417A1BB2"/>
    <w:rsid w:val="41852385"/>
    <w:rsid w:val="418BC136"/>
    <w:rsid w:val="4195E19F"/>
    <w:rsid w:val="41A496D9"/>
    <w:rsid w:val="41AC031F"/>
    <w:rsid w:val="41B6ECA2"/>
    <w:rsid w:val="41BEFAFC"/>
    <w:rsid w:val="41C97EB0"/>
    <w:rsid w:val="41CD1FA3"/>
    <w:rsid w:val="41DE14A9"/>
    <w:rsid w:val="41EEE753"/>
    <w:rsid w:val="41F0291D"/>
    <w:rsid w:val="41F9D059"/>
    <w:rsid w:val="42033B60"/>
    <w:rsid w:val="422AB247"/>
    <w:rsid w:val="4278094B"/>
    <w:rsid w:val="427878A9"/>
    <w:rsid w:val="4289A438"/>
    <w:rsid w:val="4293546A"/>
    <w:rsid w:val="4295B225"/>
    <w:rsid w:val="42982B11"/>
    <w:rsid w:val="42A68BE8"/>
    <w:rsid w:val="42AB04F9"/>
    <w:rsid w:val="42B26883"/>
    <w:rsid w:val="42CA2ABF"/>
    <w:rsid w:val="42E549CF"/>
    <w:rsid w:val="431D26BB"/>
    <w:rsid w:val="4340A6E1"/>
    <w:rsid w:val="434566BE"/>
    <w:rsid w:val="43609334"/>
    <w:rsid w:val="43A40986"/>
    <w:rsid w:val="43AEEB38"/>
    <w:rsid w:val="43B2BA7E"/>
    <w:rsid w:val="43BA511B"/>
    <w:rsid w:val="43BEC294"/>
    <w:rsid w:val="43C2B206"/>
    <w:rsid w:val="43C57C42"/>
    <w:rsid w:val="43F131B3"/>
    <w:rsid w:val="4416E65F"/>
    <w:rsid w:val="441BF7AD"/>
    <w:rsid w:val="441FF22D"/>
    <w:rsid w:val="44230A07"/>
    <w:rsid w:val="4435D3BD"/>
    <w:rsid w:val="4435D848"/>
    <w:rsid w:val="44377945"/>
    <w:rsid w:val="4451D81B"/>
    <w:rsid w:val="445E42B0"/>
    <w:rsid w:val="4464D180"/>
    <w:rsid w:val="4466EC64"/>
    <w:rsid w:val="4466F110"/>
    <w:rsid w:val="446B479A"/>
    <w:rsid w:val="44782555"/>
    <w:rsid w:val="4482F99B"/>
    <w:rsid w:val="448AEB81"/>
    <w:rsid w:val="449239AC"/>
    <w:rsid w:val="44A10925"/>
    <w:rsid w:val="44AE6DE3"/>
    <w:rsid w:val="44C5D2E6"/>
    <w:rsid w:val="44C6BA9D"/>
    <w:rsid w:val="44DB9409"/>
    <w:rsid w:val="44F7ABD8"/>
    <w:rsid w:val="450C7A7F"/>
    <w:rsid w:val="45395160"/>
    <w:rsid w:val="453EBDF8"/>
    <w:rsid w:val="4542BC84"/>
    <w:rsid w:val="45561784"/>
    <w:rsid w:val="4557D354"/>
    <w:rsid w:val="455B8784"/>
    <w:rsid w:val="45672FE6"/>
    <w:rsid w:val="456A3D1B"/>
    <w:rsid w:val="456E7817"/>
    <w:rsid w:val="4572DD91"/>
    <w:rsid w:val="4577DE6F"/>
    <w:rsid w:val="457D7A58"/>
    <w:rsid w:val="459E7E41"/>
    <w:rsid w:val="459EF2F4"/>
    <w:rsid w:val="45A79BF7"/>
    <w:rsid w:val="45C1D33B"/>
    <w:rsid w:val="45C2CC4D"/>
    <w:rsid w:val="45C48AAC"/>
    <w:rsid w:val="45D62C5F"/>
    <w:rsid w:val="45EA8013"/>
    <w:rsid w:val="45F9D3C2"/>
    <w:rsid w:val="460A7DF2"/>
    <w:rsid w:val="461391BD"/>
    <w:rsid w:val="461C4905"/>
    <w:rsid w:val="4628D263"/>
    <w:rsid w:val="462E2FCC"/>
    <w:rsid w:val="4640953F"/>
    <w:rsid w:val="465CE327"/>
    <w:rsid w:val="46696378"/>
    <w:rsid w:val="466B1911"/>
    <w:rsid w:val="4677B60F"/>
    <w:rsid w:val="46836A17"/>
    <w:rsid w:val="46864BE6"/>
    <w:rsid w:val="46B9B71D"/>
    <w:rsid w:val="46C117F8"/>
    <w:rsid w:val="46DC184D"/>
    <w:rsid w:val="46E5E237"/>
    <w:rsid w:val="46ED6B28"/>
    <w:rsid w:val="47144A68"/>
    <w:rsid w:val="47350B07"/>
    <w:rsid w:val="47370715"/>
    <w:rsid w:val="4749BA94"/>
    <w:rsid w:val="474BA6B9"/>
    <w:rsid w:val="474BB97C"/>
    <w:rsid w:val="47619E5C"/>
    <w:rsid w:val="4763A506"/>
    <w:rsid w:val="4765C58C"/>
    <w:rsid w:val="477091F3"/>
    <w:rsid w:val="4795C9DE"/>
    <w:rsid w:val="479F8F10"/>
    <w:rsid w:val="47AFADB2"/>
    <w:rsid w:val="47B2BFC7"/>
    <w:rsid w:val="47CA8C7E"/>
    <w:rsid w:val="47CC7975"/>
    <w:rsid w:val="47CDBF07"/>
    <w:rsid w:val="47E5C5E9"/>
    <w:rsid w:val="47E8F758"/>
    <w:rsid w:val="47F378B2"/>
    <w:rsid w:val="47FA2A9E"/>
    <w:rsid w:val="4806A7E4"/>
    <w:rsid w:val="480D9494"/>
    <w:rsid w:val="4812529F"/>
    <w:rsid w:val="4812AF47"/>
    <w:rsid w:val="482095EA"/>
    <w:rsid w:val="4840324C"/>
    <w:rsid w:val="48428A0F"/>
    <w:rsid w:val="48437B4C"/>
    <w:rsid w:val="48456D07"/>
    <w:rsid w:val="4850CD57"/>
    <w:rsid w:val="4858998A"/>
    <w:rsid w:val="48761BE5"/>
    <w:rsid w:val="4879049C"/>
    <w:rsid w:val="48A8E61D"/>
    <w:rsid w:val="48B7D3BF"/>
    <w:rsid w:val="48CE71E3"/>
    <w:rsid w:val="48D291FE"/>
    <w:rsid w:val="48D51500"/>
    <w:rsid w:val="48E4CAC3"/>
    <w:rsid w:val="48E97A19"/>
    <w:rsid w:val="48EB0B71"/>
    <w:rsid w:val="48F227C6"/>
    <w:rsid w:val="48F4111D"/>
    <w:rsid w:val="48F62042"/>
    <w:rsid w:val="491FB029"/>
    <w:rsid w:val="4923B581"/>
    <w:rsid w:val="4926156E"/>
    <w:rsid w:val="492939D1"/>
    <w:rsid w:val="4936D612"/>
    <w:rsid w:val="494A2C6D"/>
    <w:rsid w:val="4952096E"/>
    <w:rsid w:val="496F6FF5"/>
    <w:rsid w:val="497E070B"/>
    <w:rsid w:val="49863BA5"/>
    <w:rsid w:val="4987A92C"/>
    <w:rsid w:val="498C550C"/>
    <w:rsid w:val="49976A73"/>
    <w:rsid w:val="499ADAB1"/>
    <w:rsid w:val="49A0E285"/>
    <w:rsid w:val="49AB8A41"/>
    <w:rsid w:val="49B519B6"/>
    <w:rsid w:val="49BC9163"/>
    <w:rsid w:val="49BDAD4C"/>
    <w:rsid w:val="49CB8875"/>
    <w:rsid w:val="49DEE1A9"/>
    <w:rsid w:val="49EA1263"/>
    <w:rsid w:val="49FA49DC"/>
    <w:rsid w:val="4A02171A"/>
    <w:rsid w:val="4A232118"/>
    <w:rsid w:val="4A4C2E58"/>
    <w:rsid w:val="4A4DDBCA"/>
    <w:rsid w:val="4A501C4C"/>
    <w:rsid w:val="4A571EE8"/>
    <w:rsid w:val="4A5F8934"/>
    <w:rsid w:val="4A63499C"/>
    <w:rsid w:val="4A6E2BD8"/>
    <w:rsid w:val="4A772E88"/>
    <w:rsid w:val="4A91F885"/>
    <w:rsid w:val="4A9397A7"/>
    <w:rsid w:val="4ABAA212"/>
    <w:rsid w:val="4AD16A8A"/>
    <w:rsid w:val="4AD2D599"/>
    <w:rsid w:val="4AF2BFEF"/>
    <w:rsid w:val="4AF513E7"/>
    <w:rsid w:val="4AFAB9A2"/>
    <w:rsid w:val="4B172AFC"/>
    <w:rsid w:val="4B34F669"/>
    <w:rsid w:val="4B37AD57"/>
    <w:rsid w:val="4B39AE26"/>
    <w:rsid w:val="4B6880F0"/>
    <w:rsid w:val="4B894252"/>
    <w:rsid w:val="4B9164B7"/>
    <w:rsid w:val="4BA550D1"/>
    <w:rsid w:val="4BCF3574"/>
    <w:rsid w:val="4BD7AC90"/>
    <w:rsid w:val="4BD8128A"/>
    <w:rsid w:val="4BE1F4D4"/>
    <w:rsid w:val="4BE282E0"/>
    <w:rsid w:val="4C004553"/>
    <w:rsid w:val="4C00E389"/>
    <w:rsid w:val="4C073137"/>
    <w:rsid w:val="4C0905E2"/>
    <w:rsid w:val="4C202251"/>
    <w:rsid w:val="4C27B268"/>
    <w:rsid w:val="4C376119"/>
    <w:rsid w:val="4C385B0B"/>
    <w:rsid w:val="4C3EFAF5"/>
    <w:rsid w:val="4C48BEC4"/>
    <w:rsid w:val="4C4AF29D"/>
    <w:rsid w:val="4C538CC6"/>
    <w:rsid w:val="4C61D27C"/>
    <w:rsid w:val="4C694ED2"/>
    <w:rsid w:val="4C7164A0"/>
    <w:rsid w:val="4C72B9EA"/>
    <w:rsid w:val="4C7D14A3"/>
    <w:rsid w:val="4C811C16"/>
    <w:rsid w:val="4C86DAC6"/>
    <w:rsid w:val="4CA58201"/>
    <w:rsid w:val="4CAB7D27"/>
    <w:rsid w:val="4CB081DF"/>
    <w:rsid w:val="4CBE358B"/>
    <w:rsid w:val="4CBFD7D4"/>
    <w:rsid w:val="4CC9799E"/>
    <w:rsid w:val="4CDE352C"/>
    <w:rsid w:val="4CDE7091"/>
    <w:rsid w:val="4CEBB6DE"/>
    <w:rsid w:val="4D0272C2"/>
    <w:rsid w:val="4D1B69B2"/>
    <w:rsid w:val="4D301B4F"/>
    <w:rsid w:val="4D3D3EF0"/>
    <w:rsid w:val="4D3DDBEE"/>
    <w:rsid w:val="4D4951A1"/>
    <w:rsid w:val="4D63AD22"/>
    <w:rsid w:val="4D6CF590"/>
    <w:rsid w:val="4D6E5E2F"/>
    <w:rsid w:val="4D8E4E00"/>
    <w:rsid w:val="4D942C07"/>
    <w:rsid w:val="4D9F5992"/>
    <w:rsid w:val="4DA39F30"/>
    <w:rsid w:val="4DA54F68"/>
    <w:rsid w:val="4DA6A5F1"/>
    <w:rsid w:val="4DAD8593"/>
    <w:rsid w:val="4DAFA77D"/>
    <w:rsid w:val="4DB1D4DF"/>
    <w:rsid w:val="4DB79956"/>
    <w:rsid w:val="4DB79C31"/>
    <w:rsid w:val="4DBF631D"/>
    <w:rsid w:val="4DD2FBD1"/>
    <w:rsid w:val="4DE0BFA0"/>
    <w:rsid w:val="4DE15B0B"/>
    <w:rsid w:val="4DE63F03"/>
    <w:rsid w:val="4DE99BF6"/>
    <w:rsid w:val="4DFA061F"/>
    <w:rsid w:val="4E02D00C"/>
    <w:rsid w:val="4E1388BC"/>
    <w:rsid w:val="4E21F5E7"/>
    <w:rsid w:val="4E24EE32"/>
    <w:rsid w:val="4E2C5B94"/>
    <w:rsid w:val="4E317078"/>
    <w:rsid w:val="4E3300B9"/>
    <w:rsid w:val="4E435A0D"/>
    <w:rsid w:val="4E4CC3FA"/>
    <w:rsid w:val="4E608042"/>
    <w:rsid w:val="4E643A5D"/>
    <w:rsid w:val="4E889F9F"/>
    <w:rsid w:val="4E8A65A3"/>
    <w:rsid w:val="4E8F640D"/>
    <w:rsid w:val="4E9D1D34"/>
    <w:rsid w:val="4EA390D8"/>
    <w:rsid w:val="4EAF0CFD"/>
    <w:rsid w:val="4EB3A15E"/>
    <w:rsid w:val="4EC2E8F1"/>
    <w:rsid w:val="4ECA9A31"/>
    <w:rsid w:val="4ECD703F"/>
    <w:rsid w:val="4ECE9ED0"/>
    <w:rsid w:val="4ED854BC"/>
    <w:rsid w:val="4EE6AF75"/>
    <w:rsid w:val="4EE8C5CB"/>
    <w:rsid w:val="4EF49074"/>
    <w:rsid w:val="4EFA8A83"/>
    <w:rsid w:val="4EFC8B7E"/>
    <w:rsid w:val="4F233782"/>
    <w:rsid w:val="4F2BDB6B"/>
    <w:rsid w:val="4F34DBD0"/>
    <w:rsid w:val="4F4635F5"/>
    <w:rsid w:val="4F5871B7"/>
    <w:rsid w:val="4F6AE81C"/>
    <w:rsid w:val="4F6DEEBF"/>
    <w:rsid w:val="4F6EE535"/>
    <w:rsid w:val="4F762958"/>
    <w:rsid w:val="4F8B6D50"/>
    <w:rsid w:val="4F9630B2"/>
    <w:rsid w:val="4FA8FCCC"/>
    <w:rsid w:val="4FB166B6"/>
    <w:rsid w:val="4FB381ED"/>
    <w:rsid w:val="4FB59F65"/>
    <w:rsid w:val="4FB63D0D"/>
    <w:rsid w:val="4FBAB198"/>
    <w:rsid w:val="4FCBEC6F"/>
    <w:rsid w:val="4FCF65C6"/>
    <w:rsid w:val="4FD3B80D"/>
    <w:rsid w:val="4FE327A0"/>
    <w:rsid w:val="4FF23ADF"/>
    <w:rsid w:val="4FFCE5A4"/>
    <w:rsid w:val="500D48F3"/>
    <w:rsid w:val="5014437C"/>
    <w:rsid w:val="50201EC4"/>
    <w:rsid w:val="5033EF00"/>
    <w:rsid w:val="5050B784"/>
    <w:rsid w:val="5051D9C5"/>
    <w:rsid w:val="50673FCC"/>
    <w:rsid w:val="50677C3C"/>
    <w:rsid w:val="506DF570"/>
    <w:rsid w:val="50827C9B"/>
    <w:rsid w:val="509967F1"/>
    <w:rsid w:val="50A2D91B"/>
    <w:rsid w:val="50AB0355"/>
    <w:rsid w:val="50C0CA7F"/>
    <w:rsid w:val="50D477C1"/>
    <w:rsid w:val="50D775FE"/>
    <w:rsid w:val="50DA2629"/>
    <w:rsid w:val="50DA6F64"/>
    <w:rsid w:val="50DB3929"/>
    <w:rsid w:val="50DD7471"/>
    <w:rsid w:val="51029888"/>
    <w:rsid w:val="5111ED4F"/>
    <w:rsid w:val="511665C6"/>
    <w:rsid w:val="511BE7D7"/>
    <w:rsid w:val="51233C7A"/>
    <w:rsid w:val="512D68B3"/>
    <w:rsid w:val="51306B41"/>
    <w:rsid w:val="5134D568"/>
    <w:rsid w:val="513AA98F"/>
    <w:rsid w:val="515514D4"/>
    <w:rsid w:val="5155C118"/>
    <w:rsid w:val="5164B057"/>
    <w:rsid w:val="516FC78F"/>
    <w:rsid w:val="519DE4E1"/>
    <w:rsid w:val="51A59BCF"/>
    <w:rsid w:val="51A7AD91"/>
    <w:rsid w:val="51A9FD1E"/>
    <w:rsid w:val="51BF3448"/>
    <w:rsid w:val="51C15F2D"/>
    <w:rsid w:val="51F23828"/>
    <w:rsid w:val="51F5AC24"/>
    <w:rsid w:val="51F77087"/>
    <w:rsid w:val="52008560"/>
    <w:rsid w:val="5215739D"/>
    <w:rsid w:val="521750D0"/>
    <w:rsid w:val="5217645E"/>
    <w:rsid w:val="52205D7E"/>
    <w:rsid w:val="52215CEA"/>
    <w:rsid w:val="5237DC21"/>
    <w:rsid w:val="523F1AC6"/>
    <w:rsid w:val="5255B9DF"/>
    <w:rsid w:val="5256B5D4"/>
    <w:rsid w:val="5264C1AC"/>
    <w:rsid w:val="52755B6B"/>
    <w:rsid w:val="52811691"/>
    <w:rsid w:val="52841BC6"/>
    <w:rsid w:val="528ED758"/>
    <w:rsid w:val="529CFCE6"/>
    <w:rsid w:val="52B45847"/>
    <w:rsid w:val="52C3983C"/>
    <w:rsid w:val="52CC481E"/>
    <w:rsid w:val="52CE279A"/>
    <w:rsid w:val="52D8A702"/>
    <w:rsid w:val="52E1CA36"/>
    <w:rsid w:val="52F22690"/>
    <w:rsid w:val="5304E5C8"/>
    <w:rsid w:val="53070CC0"/>
    <w:rsid w:val="53083145"/>
    <w:rsid w:val="530899F1"/>
    <w:rsid w:val="531945B8"/>
    <w:rsid w:val="53218B4B"/>
    <w:rsid w:val="53322B1A"/>
    <w:rsid w:val="5335FA7D"/>
    <w:rsid w:val="5337996E"/>
    <w:rsid w:val="534BB4F0"/>
    <w:rsid w:val="536A7CE1"/>
    <w:rsid w:val="537D8893"/>
    <w:rsid w:val="53806CCC"/>
    <w:rsid w:val="538D977B"/>
    <w:rsid w:val="539BA1FF"/>
    <w:rsid w:val="53A49C05"/>
    <w:rsid w:val="53AB6500"/>
    <w:rsid w:val="53B7A256"/>
    <w:rsid w:val="53BB4A75"/>
    <w:rsid w:val="53BDE09C"/>
    <w:rsid w:val="53DF3724"/>
    <w:rsid w:val="53EE4377"/>
    <w:rsid w:val="540B6161"/>
    <w:rsid w:val="5410B886"/>
    <w:rsid w:val="5415BEE8"/>
    <w:rsid w:val="5417392A"/>
    <w:rsid w:val="54355AC2"/>
    <w:rsid w:val="54442081"/>
    <w:rsid w:val="54486C82"/>
    <w:rsid w:val="545E2D77"/>
    <w:rsid w:val="5465F4C6"/>
    <w:rsid w:val="5479FFE8"/>
    <w:rsid w:val="548687A3"/>
    <w:rsid w:val="54A5D1B6"/>
    <w:rsid w:val="54AE79BF"/>
    <w:rsid w:val="54B04C16"/>
    <w:rsid w:val="54B37B0A"/>
    <w:rsid w:val="54BA3075"/>
    <w:rsid w:val="54BAF442"/>
    <w:rsid w:val="54BB15F9"/>
    <w:rsid w:val="54C3BEC8"/>
    <w:rsid w:val="54CFD70F"/>
    <w:rsid w:val="54D3C0D3"/>
    <w:rsid w:val="54E63FDC"/>
    <w:rsid w:val="54EEA932"/>
    <w:rsid w:val="5505B9E6"/>
    <w:rsid w:val="552113D9"/>
    <w:rsid w:val="552B5C05"/>
    <w:rsid w:val="552FE124"/>
    <w:rsid w:val="55302BE9"/>
    <w:rsid w:val="55354BF4"/>
    <w:rsid w:val="5538E83D"/>
    <w:rsid w:val="5544C141"/>
    <w:rsid w:val="5548ECB8"/>
    <w:rsid w:val="554C8D50"/>
    <w:rsid w:val="556C69BB"/>
    <w:rsid w:val="558DF3A6"/>
    <w:rsid w:val="55ABC412"/>
    <w:rsid w:val="55AD1E5D"/>
    <w:rsid w:val="55B5A6A5"/>
    <w:rsid w:val="55C5300D"/>
    <w:rsid w:val="55D5D6A5"/>
    <w:rsid w:val="55E51595"/>
    <w:rsid w:val="55F4F268"/>
    <w:rsid w:val="55FEFCA6"/>
    <w:rsid w:val="5601D2B4"/>
    <w:rsid w:val="560747A0"/>
    <w:rsid w:val="5607A171"/>
    <w:rsid w:val="56346D42"/>
    <w:rsid w:val="5634A681"/>
    <w:rsid w:val="563A30E3"/>
    <w:rsid w:val="564A7C49"/>
    <w:rsid w:val="5658CEAD"/>
    <w:rsid w:val="56594825"/>
    <w:rsid w:val="56682F98"/>
    <w:rsid w:val="566DBEF5"/>
    <w:rsid w:val="566F34D7"/>
    <w:rsid w:val="56A4B8AC"/>
    <w:rsid w:val="56B3192B"/>
    <w:rsid w:val="56B411DC"/>
    <w:rsid w:val="56B8EDAD"/>
    <w:rsid w:val="56BA142C"/>
    <w:rsid w:val="56C75E13"/>
    <w:rsid w:val="56D0D08A"/>
    <w:rsid w:val="56D7321F"/>
    <w:rsid w:val="56DBCA6E"/>
    <w:rsid w:val="56DD1BF5"/>
    <w:rsid w:val="56DF35E7"/>
    <w:rsid w:val="56EEFC93"/>
    <w:rsid w:val="57056C9D"/>
    <w:rsid w:val="5715AC7D"/>
    <w:rsid w:val="5731A37B"/>
    <w:rsid w:val="5732B023"/>
    <w:rsid w:val="573CA1D8"/>
    <w:rsid w:val="575DA72E"/>
    <w:rsid w:val="57663481"/>
    <w:rsid w:val="576F1EED"/>
    <w:rsid w:val="5796C87B"/>
    <w:rsid w:val="57AB2372"/>
    <w:rsid w:val="57C287FC"/>
    <w:rsid w:val="57C7C1E7"/>
    <w:rsid w:val="57C99DF4"/>
    <w:rsid w:val="57D87048"/>
    <w:rsid w:val="581B2D6F"/>
    <w:rsid w:val="5837E77F"/>
    <w:rsid w:val="583EBD5D"/>
    <w:rsid w:val="5852974A"/>
    <w:rsid w:val="58608C7C"/>
    <w:rsid w:val="5881D7F3"/>
    <w:rsid w:val="5891F732"/>
    <w:rsid w:val="5898B48A"/>
    <w:rsid w:val="589E0A1C"/>
    <w:rsid w:val="58A2499E"/>
    <w:rsid w:val="58F7DBE5"/>
    <w:rsid w:val="58F85CB6"/>
    <w:rsid w:val="59099C90"/>
    <w:rsid w:val="59116CBC"/>
    <w:rsid w:val="5924D837"/>
    <w:rsid w:val="592A600B"/>
    <w:rsid w:val="59323895"/>
    <w:rsid w:val="59395D7E"/>
    <w:rsid w:val="59404365"/>
    <w:rsid w:val="594250CA"/>
    <w:rsid w:val="5949EC9A"/>
    <w:rsid w:val="59601655"/>
    <w:rsid w:val="5962B6F8"/>
    <w:rsid w:val="596347B3"/>
    <w:rsid w:val="598503AE"/>
    <w:rsid w:val="59A1A05E"/>
    <w:rsid w:val="59B0C9EC"/>
    <w:rsid w:val="59BDBF47"/>
    <w:rsid w:val="59C9FC50"/>
    <w:rsid w:val="59DACF19"/>
    <w:rsid w:val="59F70BF2"/>
    <w:rsid w:val="5A2669DA"/>
    <w:rsid w:val="5A2CB0F7"/>
    <w:rsid w:val="5A2D1983"/>
    <w:rsid w:val="5A355444"/>
    <w:rsid w:val="5A356A44"/>
    <w:rsid w:val="5A3F59A0"/>
    <w:rsid w:val="5A634A94"/>
    <w:rsid w:val="5A6A099B"/>
    <w:rsid w:val="5A835784"/>
    <w:rsid w:val="5A8E58EA"/>
    <w:rsid w:val="5AA9023D"/>
    <w:rsid w:val="5AC2DC73"/>
    <w:rsid w:val="5AD89DD0"/>
    <w:rsid w:val="5ADA1D04"/>
    <w:rsid w:val="5AE8AF3C"/>
    <w:rsid w:val="5AF74054"/>
    <w:rsid w:val="5AF89ADB"/>
    <w:rsid w:val="5B2F7F2B"/>
    <w:rsid w:val="5B30ECA4"/>
    <w:rsid w:val="5B33925E"/>
    <w:rsid w:val="5B4CF361"/>
    <w:rsid w:val="5B5C2D25"/>
    <w:rsid w:val="5B5E8BA1"/>
    <w:rsid w:val="5B6166D6"/>
    <w:rsid w:val="5B629001"/>
    <w:rsid w:val="5B8646BB"/>
    <w:rsid w:val="5B92F5C3"/>
    <w:rsid w:val="5B975CF2"/>
    <w:rsid w:val="5BA29F19"/>
    <w:rsid w:val="5BA45E4D"/>
    <w:rsid w:val="5BA56279"/>
    <w:rsid w:val="5BB4F953"/>
    <w:rsid w:val="5BBF8C05"/>
    <w:rsid w:val="5BC7E248"/>
    <w:rsid w:val="5BCD02C3"/>
    <w:rsid w:val="5BF107EB"/>
    <w:rsid w:val="5BF20B3A"/>
    <w:rsid w:val="5C0C46D2"/>
    <w:rsid w:val="5C181D8D"/>
    <w:rsid w:val="5C1B168D"/>
    <w:rsid w:val="5C24F3F7"/>
    <w:rsid w:val="5C2A9166"/>
    <w:rsid w:val="5C320F7E"/>
    <w:rsid w:val="5C4D112B"/>
    <w:rsid w:val="5C5262BB"/>
    <w:rsid w:val="5C5BE32F"/>
    <w:rsid w:val="5C727362"/>
    <w:rsid w:val="5C788393"/>
    <w:rsid w:val="5C92081A"/>
    <w:rsid w:val="5C96DDDA"/>
    <w:rsid w:val="5CA12ED9"/>
    <w:rsid w:val="5CB2EC8F"/>
    <w:rsid w:val="5CCCE3CF"/>
    <w:rsid w:val="5CD7AA21"/>
    <w:rsid w:val="5CDD2A58"/>
    <w:rsid w:val="5CEF9DAA"/>
    <w:rsid w:val="5D1799CF"/>
    <w:rsid w:val="5D205B7C"/>
    <w:rsid w:val="5D2FE968"/>
    <w:rsid w:val="5D362C76"/>
    <w:rsid w:val="5D37B899"/>
    <w:rsid w:val="5D386D85"/>
    <w:rsid w:val="5D38AD65"/>
    <w:rsid w:val="5D4663E3"/>
    <w:rsid w:val="5D477EF4"/>
    <w:rsid w:val="5D4DEFAF"/>
    <w:rsid w:val="5D554178"/>
    <w:rsid w:val="5D78BF62"/>
    <w:rsid w:val="5D78D6E2"/>
    <w:rsid w:val="5D8BFEF9"/>
    <w:rsid w:val="5D992F3F"/>
    <w:rsid w:val="5DA92EEE"/>
    <w:rsid w:val="5DCEE279"/>
    <w:rsid w:val="5DDEC077"/>
    <w:rsid w:val="5DE3380E"/>
    <w:rsid w:val="5E2236DA"/>
    <w:rsid w:val="5E24A3E1"/>
    <w:rsid w:val="5E25C051"/>
    <w:rsid w:val="5E264964"/>
    <w:rsid w:val="5E42EE2F"/>
    <w:rsid w:val="5E53C51E"/>
    <w:rsid w:val="5E540E86"/>
    <w:rsid w:val="5E578B55"/>
    <w:rsid w:val="5E57BC5B"/>
    <w:rsid w:val="5E64BB4A"/>
    <w:rsid w:val="5E69011B"/>
    <w:rsid w:val="5E742A83"/>
    <w:rsid w:val="5E76402C"/>
    <w:rsid w:val="5E77CC25"/>
    <w:rsid w:val="5E7BF802"/>
    <w:rsid w:val="5E8C3983"/>
    <w:rsid w:val="5E98940D"/>
    <w:rsid w:val="5EA6AE5B"/>
    <w:rsid w:val="5EC93415"/>
    <w:rsid w:val="5ED2EF2C"/>
    <w:rsid w:val="5ED5DF58"/>
    <w:rsid w:val="5EFA4F5E"/>
    <w:rsid w:val="5F15EFE9"/>
    <w:rsid w:val="5F16D2E3"/>
    <w:rsid w:val="5F18F970"/>
    <w:rsid w:val="5F2048DA"/>
    <w:rsid w:val="5F21A4B7"/>
    <w:rsid w:val="5F2E50E9"/>
    <w:rsid w:val="5F32691B"/>
    <w:rsid w:val="5F3D36BF"/>
    <w:rsid w:val="5F443CEC"/>
    <w:rsid w:val="5F58DBBE"/>
    <w:rsid w:val="5F5CB434"/>
    <w:rsid w:val="5F64E66A"/>
    <w:rsid w:val="5F660B71"/>
    <w:rsid w:val="5F6AAE01"/>
    <w:rsid w:val="5F6BA238"/>
    <w:rsid w:val="5F6C13C8"/>
    <w:rsid w:val="5F7065A1"/>
    <w:rsid w:val="5FAC67F7"/>
    <w:rsid w:val="5FACC97C"/>
    <w:rsid w:val="5FBC0233"/>
    <w:rsid w:val="5FC324B2"/>
    <w:rsid w:val="5FC81880"/>
    <w:rsid w:val="5FC990DC"/>
    <w:rsid w:val="5FD6794B"/>
    <w:rsid w:val="5FFB71DD"/>
    <w:rsid w:val="60151E52"/>
    <w:rsid w:val="6023CEF7"/>
    <w:rsid w:val="6030E026"/>
    <w:rsid w:val="604684C9"/>
    <w:rsid w:val="604A9D4F"/>
    <w:rsid w:val="6050A1E3"/>
    <w:rsid w:val="605583A5"/>
    <w:rsid w:val="6073D1AD"/>
    <w:rsid w:val="60770992"/>
    <w:rsid w:val="608B3995"/>
    <w:rsid w:val="608E2EFF"/>
    <w:rsid w:val="6096D975"/>
    <w:rsid w:val="6099461B"/>
    <w:rsid w:val="609D28CB"/>
    <w:rsid w:val="60A36027"/>
    <w:rsid w:val="60A67BE0"/>
    <w:rsid w:val="60A8A7F2"/>
    <w:rsid w:val="60C27BB8"/>
    <w:rsid w:val="60D6E9DA"/>
    <w:rsid w:val="60E17718"/>
    <w:rsid w:val="60ED03AD"/>
    <w:rsid w:val="60EE72A4"/>
    <w:rsid w:val="6116FF72"/>
    <w:rsid w:val="612013FC"/>
    <w:rsid w:val="61235E35"/>
    <w:rsid w:val="612B8CD2"/>
    <w:rsid w:val="612F5451"/>
    <w:rsid w:val="61361B80"/>
    <w:rsid w:val="613C6BF4"/>
    <w:rsid w:val="615AF8EF"/>
    <w:rsid w:val="61681619"/>
    <w:rsid w:val="616ABE91"/>
    <w:rsid w:val="616CF15B"/>
    <w:rsid w:val="61904992"/>
    <w:rsid w:val="6196F4CE"/>
    <w:rsid w:val="619B059D"/>
    <w:rsid w:val="619CFA6D"/>
    <w:rsid w:val="61B25CBE"/>
    <w:rsid w:val="61B31E59"/>
    <w:rsid w:val="61CBBC82"/>
    <w:rsid w:val="61CF12C3"/>
    <w:rsid w:val="620559EC"/>
    <w:rsid w:val="62153A1F"/>
    <w:rsid w:val="622CE54B"/>
    <w:rsid w:val="622EC05A"/>
    <w:rsid w:val="624C1D73"/>
    <w:rsid w:val="624FA0F8"/>
    <w:rsid w:val="6269E194"/>
    <w:rsid w:val="6288E9FC"/>
    <w:rsid w:val="629478B6"/>
    <w:rsid w:val="6295EB13"/>
    <w:rsid w:val="62B856E6"/>
    <w:rsid w:val="62D75A02"/>
    <w:rsid w:val="62D8EF4C"/>
    <w:rsid w:val="62E810E1"/>
    <w:rsid w:val="62F9030E"/>
    <w:rsid w:val="62FAB0DF"/>
    <w:rsid w:val="63007D11"/>
    <w:rsid w:val="63156714"/>
    <w:rsid w:val="631DF022"/>
    <w:rsid w:val="6334FEF6"/>
    <w:rsid w:val="6343DC1B"/>
    <w:rsid w:val="634D7A18"/>
    <w:rsid w:val="634DCAFC"/>
    <w:rsid w:val="6364CED6"/>
    <w:rsid w:val="637F5B35"/>
    <w:rsid w:val="638B76B8"/>
    <w:rsid w:val="63A3414D"/>
    <w:rsid w:val="63A3439E"/>
    <w:rsid w:val="63A49E47"/>
    <w:rsid w:val="63A4CDFC"/>
    <w:rsid w:val="63B1B469"/>
    <w:rsid w:val="63B3BB85"/>
    <w:rsid w:val="63B400BF"/>
    <w:rsid w:val="63BB33BB"/>
    <w:rsid w:val="63D4B08A"/>
    <w:rsid w:val="63D895B8"/>
    <w:rsid w:val="63E3C829"/>
    <w:rsid w:val="63EBF445"/>
    <w:rsid w:val="63F72FE7"/>
    <w:rsid w:val="63F93082"/>
    <w:rsid w:val="63FC7296"/>
    <w:rsid w:val="64051C52"/>
    <w:rsid w:val="64153AED"/>
    <w:rsid w:val="641A3705"/>
    <w:rsid w:val="6425055B"/>
    <w:rsid w:val="6474485D"/>
    <w:rsid w:val="647FC1A2"/>
    <w:rsid w:val="6494F0DD"/>
    <w:rsid w:val="649C590F"/>
    <w:rsid w:val="64A22F86"/>
    <w:rsid w:val="64BEC897"/>
    <w:rsid w:val="64C057DD"/>
    <w:rsid w:val="64CADFC3"/>
    <w:rsid w:val="64CC3E0B"/>
    <w:rsid w:val="64D10E68"/>
    <w:rsid w:val="64EA6CC2"/>
    <w:rsid w:val="64FADE50"/>
    <w:rsid w:val="651DB8E9"/>
    <w:rsid w:val="652DAD4B"/>
    <w:rsid w:val="652F4F54"/>
    <w:rsid w:val="654ABAB6"/>
    <w:rsid w:val="654D68A0"/>
    <w:rsid w:val="655A03FE"/>
    <w:rsid w:val="655ACBD3"/>
    <w:rsid w:val="655EBA0A"/>
    <w:rsid w:val="65681253"/>
    <w:rsid w:val="657D6F45"/>
    <w:rsid w:val="6588E023"/>
    <w:rsid w:val="658B55E1"/>
    <w:rsid w:val="658DD392"/>
    <w:rsid w:val="659856E5"/>
    <w:rsid w:val="65AE7E6A"/>
    <w:rsid w:val="65B84007"/>
    <w:rsid w:val="65C82E95"/>
    <w:rsid w:val="65CD749A"/>
    <w:rsid w:val="65D11498"/>
    <w:rsid w:val="65DB22DE"/>
    <w:rsid w:val="65DE775B"/>
    <w:rsid w:val="65E21A08"/>
    <w:rsid w:val="65F16177"/>
    <w:rsid w:val="65F3CFC7"/>
    <w:rsid w:val="66011A0E"/>
    <w:rsid w:val="662918CA"/>
    <w:rsid w:val="663420A3"/>
    <w:rsid w:val="663CBED6"/>
    <w:rsid w:val="664B789F"/>
    <w:rsid w:val="664BC8AB"/>
    <w:rsid w:val="6658D0D4"/>
    <w:rsid w:val="6660928F"/>
    <w:rsid w:val="66857CEA"/>
    <w:rsid w:val="668E077E"/>
    <w:rsid w:val="669C0E53"/>
    <w:rsid w:val="66A9F6FD"/>
    <w:rsid w:val="66B80873"/>
    <w:rsid w:val="66BEAAC7"/>
    <w:rsid w:val="66FF4EEA"/>
    <w:rsid w:val="67127A41"/>
    <w:rsid w:val="6717BC80"/>
    <w:rsid w:val="671B1D55"/>
    <w:rsid w:val="673C8438"/>
    <w:rsid w:val="674119D2"/>
    <w:rsid w:val="67441A95"/>
    <w:rsid w:val="674CFB70"/>
    <w:rsid w:val="675509A0"/>
    <w:rsid w:val="675B9029"/>
    <w:rsid w:val="67603182"/>
    <w:rsid w:val="676B776E"/>
    <w:rsid w:val="6786811A"/>
    <w:rsid w:val="678A36B7"/>
    <w:rsid w:val="679F1CC3"/>
    <w:rsid w:val="67A768B3"/>
    <w:rsid w:val="67A93F5B"/>
    <w:rsid w:val="67BAFDEF"/>
    <w:rsid w:val="67EF52DF"/>
    <w:rsid w:val="6815D86C"/>
    <w:rsid w:val="68388502"/>
    <w:rsid w:val="68433C27"/>
    <w:rsid w:val="68511024"/>
    <w:rsid w:val="68544B8F"/>
    <w:rsid w:val="685E28D2"/>
    <w:rsid w:val="68706209"/>
    <w:rsid w:val="68749523"/>
    <w:rsid w:val="687FAC4B"/>
    <w:rsid w:val="68833D32"/>
    <w:rsid w:val="6887AE25"/>
    <w:rsid w:val="68925F6F"/>
    <w:rsid w:val="689FD0D8"/>
    <w:rsid w:val="68A37F08"/>
    <w:rsid w:val="68D0B218"/>
    <w:rsid w:val="68D2A1F8"/>
    <w:rsid w:val="68E04C9F"/>
    <w:rsid w:val="68E6A255"/>
    <w:rsid w:val="68E7A62C"/>
    <w:rsid w:val="690837E1"/>
    <w:rsid w:val="691CFB8A"/>
    <w:rsid w:val="6922207E"/>
    <w:rsid w:val="6947A773"/>
    <w:rsid w:val="694F7E74"/>
    <w:rsid w:val="6957C9C2"/>
    <w:rsid w:val="69595C95"/>
    <w:rsid w:val="6961A9B4"/>
    <w:rsid w:val="6968B4D6"/>
    <w:rsid w:val="6978B883"/>
    <w:rsid w:val="6984894E"/>
    <w:rsid w:val="698E5AD6"/>
    <w:rsid w:val="698EE31C"/>
    <w:rsid w:val="69A50325"/>
    <w:rsid w:val="69AB8948"/>
    <w:rsid w:val="69AD0980"/>
    <w:rsid w:val="69CF2CDA"/>
    <w:rsid w:val="69EB37F2"/>
    <w:rsid w:val="69ED9309"/>
    <w:rsid w:val="69EE240C"/>
    <w:rsid w:val="69F52CB3"/>
    <w:rsid w:val="69F8CD54"/>
    <w:rsid w:val="69FA12E7"/>
    <w:rsid w:val="6A03BEDF"/>
    <w:rsid w:val="6A100A9B"/>
    <w:rsid w:val="6A157C7F"/>
    <w:rsid w:val="6A15F093"/>
    <w:rsid w:val="6A1AD57E"/>
    <w:rsid w:val="6A2F504F"/>
    <w:rsid w:val="6A3E908A"/>
    <w:rsid w:val="6A4ABFB3"/>
    <w:rsid w:val="6A5C9EB1"/>
    <w:rsid w:val="6A5D7A53"/>
    <w:rsid w:val="6A6123EA"/>
    <w:rsid w:val="6A673AE0"/>
    <w:rsid w:val="6A72FCE1"/>
    <w:rsid w:val="6A73E62E"/>
    <w:rsid w:val="6A758914"/>
    <w:rsid w:val="6A7F69C9"/>
    <w:rsid w:val="6A830730"/>
    <w:rsid w:val="6AA7E7E1"/>
    <w:rsid w:val="6AB65290"/>
    <w:rsid w:val="6ABB77E7"/>
    <w:rsid w:val="6ABCF993"/>
    <w:rsid w:val="6AC5464E"/>
    <w:rsid w:val="6AC62CCB"/>
    <w:rsid w:val="6AD762AC"/>
    <w:rsid w:val="6AE72428"/>
    <w:rsid w:val="6B09DFBF"/>
    <w:rsid w:val="6B0C788B"/>
    <w:rsid w:val="6B1C61E7"/>
    <w:rsid w:val="6B219643"/>
    <w:rsid w:val="6B2357C0"/>
    <w:rsid w:val="6B27354F"/>
    <w:rsid w:val="6B2B53B0"/>
    <w:rsid w:val="6B37DB3D"/>
    <w:rsid w:val="6B3880BB"/>
    <w:rsid w:val="6B5A8AD5"/>
    <w:rsid w:val="6B5AFB4E"/>
    <w:rsid w:val="6B80ED53"/>
    <w:rsid w:val="6BA03231"/>
    <w:rsid w:val="6BB6FB3D"/>
    <w:rsid w:val="6BCAAAA8"/>
    <w:rsid w:val="6BEADA0F"/>
    <w:rsid w:val="6BFC076A"/>
    <w:rsid w:val="6C2CC474"/>
    <w:rsid w:val="6C329A2F"/>
    <w:rsid w:val="6C3586E9"/>
    <w:rsid w:val="6C36D0AD"/>
    <w:rsid w:val="6C405EF6"/>
    <w:rsid w:val="6C588124"/>
    <w:rsid w:val="6C69F100"/>
    <w:rsid w:val="6C6C741B"/>
    <w:rsid w:val="6C6ECA70"/>
    <w:rsid w:val="6C7D33F5"/>
    <w:rsid w:val="6C82C801"/>
    <w:rsid w:val="6C87385F"/>
    <w:rsid w:val="6C97670C"/>
    <w:rsid w:val="6C9B11CD"/>
    <w:rsid w:val="6CAB2B17"/>
    <w:rsid w:val="6CCB1C40"/>
    <w:rsid w:val="6CD8CE37"/>
    <w:rsid w:val="6CE86705"/>
    <w:rsid w:val="6D04FA84"/>
    <w:rsid w:val="6D1930BA"/>
    <w:rsid w:val="6D24F860"/>
    <w:rsid w:val="6D34F626"/>
    <w:rsid w:val="6D3E80C2"/>
    <w:rsid w:val="6D531A28"/>
    <w:rsid w:val="6D589DB2"/>
    <w:rsid w:val="6D78039B"/>
    <w:rsid w:val="6D7E06AC"/>
    <w:rsid w:val="6D819EEA"/>
    <w:rsid w:val="6D87B341"/>
    <w:rsid w:val="6D8C7D6C"/>
    <w:rsid w:val="6D9FB2E7"/>
    <w:rsid w:val="6DA935D6"/>
    <w:rsid w:val="6DA9564A"/>
    <w:rsid w:val="6DB7AB1B"/>
    <w:rsid w:val="6DD349F2"/>
    <w:rsid w:val="6E01DDD9"/>
    <w:rsid w:val="6E12B2FA"/>
    <w:rsid w:val="6E2F615E"/>
    <w:rsid w:val="6E37183F"/>
    <w:rsid w:val="6E3D7D76"/>
    <w:rsid w:val="6E49D9A4"/>
    <w:rsid w:val="6E5081E0"/>
    <w:rsid w:val="6E5124C7"/>
    <w:rsid w:val="6E54FA58"/>
    <w:rsid w:val="6E737BD8"/>
    <w:rsid w:val="6E739D8D"/>
    <w:rsid w:val="6E753C2E"/>
    <w:rsid w:val="6E7CEAF7"/>
    <w:rsid w:val="6E8459B3"/>
    <w:rsid w:val="6E8DF11E"/>
    <w:rsid w:val="6E907B02"/>
    <w:rsid w:val="6E9CFDA1"/>
    <w:rsid w:val="6EA2BBC0"/>
    <w:rsid w:val="6EAB5893"/>
    <w:rsid w:val="6EB3A8BE"/>
    <w:rsid w:val="6EB5ACB8"/>
    <w:rsid w:val="6EC0A82F"/>
    <w:rsid w:val="6EFAFB44"/>
    <w:rsid w:val="6F07A305"/>
    <w:rsid w:val="6F164E5E"/>
    <w:rsid w:val="6F17921C"/>
    <w:rsid w:val="6F3DF449"/>
    <w:rsid w:val="6F4082F7"/>
    <w:rsid w:val="6F43D39D"/>
    <w:rsid w:val="6F5DAB43"/>
    <w:rsid w:val="6F611CAA"/>
    <w:rsid w:val="6F6C65FE"/>
    <w:rsid w:val="6F8D3521"/>
    <w:rsid w:val="6F8DC9C1"/>
    <w:rsid w:val="6F903680"/>
    <w:rsid w:val="6F914E4B"/>
    <w:rsid w:val="6F929CF0"/>
    <w:rsid w:val="6FBC15FA"/>
    <w:rsid w:val="6FBFE12F"/>
    <w:rsid w:val="6FD40A84"/>
    <w:rsid w:val="6FF84572"/>
    <w:rsid w:val="7005DDE3"/>
    <w:rsid w:val="700ADB95"/>
    <w:rsid w:val="700E77D0"/>
    <w:rsid w:val="7024DC99"/>
    <w:rsid w:val="70304D8B"/>
    <w:rsid w:val="70398542"/>
    <w:rsid w:val="704F2FAE"/>
    <w:rsid w:val="70571BBE"/>
    <w:rsid w:val="706E8CC1"/>
    <w:rsid w:val="707CDA05"/>
    <w:rsid w:val="708C5C07"/>
    <w:rsid w:val="709C1E64"/>
    <w:rsid w:val="70A64B3A"/>
    <w:rsid w:val="70A6A665"/>
    <w:rsid w:val="70A79FB9"/>
    <w:rsid w:val="70C3EA88"/>
    <w:rsid w:val="70DA2AC6"/>
    <w:rsid w:val="70E6DC99"/>
    <w:rsid w:val="70F27444"/>
    <w:rsid w:val="7100570A"/>
    <w:rsid w:val="71008A34"/>
    <w:rsid w:val="713C631E"/>
    <w:rsid w:val="713CEA1C"/>
    <w:rsid w:val="7169C1C7"/>
    <w:rsid w:val="716C043C"/>
    <w:rsid w:val="717B1C18"/>
    <w:rsid w:val="71845DBB"/>
    <w:rsid w:val="71864C2C"/>
    <w:rsid w:val="71867EAC"/>
    <w:rsid w:val="71A75EA3"/>
    <w:rsid w:val="71A7DB09"/>
    <w:rsid w:val="71ABC409"/>
    <w:rsid w:val="71C96B66"/>
    <w:rsid w:val="72006D48"/>
    <w:rsid w:val="720B9A42"/>
    <w:rsid w:val="724AD556"/>
    <w:rsid w:val="7254CC53"/>
    <w:rsid w:val="725887BD"/>
    <w:rsid w:val="7266D228"/>
    <w:rsid w:val="7269747A"/>
    <w:rsid w:val="726E79BE"/>
    <w:rsid w:val="7279E6EC"/>
    <w:rsid w:val="727A9CB0"/>
    <w:rsid w:val="7284015F"/>
    <w:rsid w:val="729BDEE5"/>
    <w:rsid w:val="729CEBBF"/>
    <w:rsid w:val="729FA121"/>
    <w:rsid w:val="72A1A009"/>
    <w:rsid w:val="72A80D31"/>
    <w:rsid w:val="72AB7405"/>
    <w:rsid w:val="72BC5C4D"/>
    <w:rsid w:val="72C43EB7"/>
    <w:rsid w:val="72C7395F"/>
    <w:rsid w:val="72C86C6E"/>
    <w:rsid w:val="72F490C9"/>
    <w:rsid w:val="7304DE4A"/>
    <w:rsid w:val="730D5625"/>
    <w:rsid w:val="73118C82"/>
    <w:rsid w:val="7364746D"/>
    <w:rsid w:val="736E5F0D"/>
    <w:rsid w:val="738C2FCF"/>
    <w:rsid w:val="739D2A35"/>
    <w:rsid w:val="739F4984"/>
    <w:rsid w:val="73A6D8AF"/>
    <w:rsid w:val="73BB22B9"/>
    <w:rsid w:val="73BB8047"/>
    <w:rsid w:val="73C2E7DD"/>
    <w:rsid w:val="73C5E37E"/>
    <w:rsid w:val="73CDF094"/>
    <w:rsid w:val="73D7E15E"/>
    <w:rsid w:val="73E2AF6F"/>
    <w:rsid w:val="73E998C4"/>
    <w:rsid w:val="73EAD7DC"/>
    <w:rsid w:val="7416321D"/>
    <w:rsid w:val="7430BAE6"/>
    <w:rsid w:val="7439EBB8"/>
    <w:rsid w:val="743B1197"/>
    <w:rsid w:val="7449D2ED"/>
    <w:rsid w:val="744DD11B"/>
    <w:rsid w:val="744FEB2B"/>
    <w:rsid w:val="74544697"/>
    <w:rsid w:val="74669AA7"/>
    <w:rsid w:val="746C8AF0"/>
    <w:rsid w:val="747AB0C3"/>
    <w:rsid w:val="747BB49B"/>
    <w:rsid w:val="748F17AF"/>
    <w:rsid w:val="749805FA"/>
    <w:rsid w:val="74A02A7D"/>
    <w:rsid w:val="74D16B44"/>
    <w:rsid w:val="74D8E657"/>
    <w:rsid w:val="74E26AE1"/>
    <w:rsid w:val="750C47F7"/>
    <w:rsid w:val="75192CCB"/>
    <w:rsid w:val="751D1301"/>
    <w:rsid w:val="75373765"/>
    <w:rsid w:val="7541E3B2"/>
    <w:rsid w:val="7543CBBD"/>
    <w:rsid w:val="75724EFF"/>
    <w:rsid w:val="757C475A"/>
    <w:rsid w:val="758750E4"/>
    <w:rsid w:val="759CB16C"/>
    <w:rsid w:val="75A57C20"/>
    <w:rsid w:val="75AA83A0"/>
    <w:rsid w:val="75AF3158"/>
    <w:rsid w:val="75AFCEFF"/>
    <w:rsid w:val="75BB459B"/>
    <w:rsid w:val="75C5E84B"/>
    <w:rsid w:val="75D3B383"/>
    <w:rsid w:val="75E1B069"/>
    <w:rsid w:val="75EEB25C"/>
    <w:rsid w:val="75FD05FD"/>
    <w:rsid w:val="76079323"/>
    <w:rsid w:val="7612C847"/>
    <w:rsid w:val="762E2342"/>
    <w:rsid w:val="763AD377"/>
    <w:rsid w:val="763FC465"/>
    <w:rsid w:val="76757B8D"/>
    <w:rsid w:val="76A27C5D"/>
    <w:rsid w:val="76A8B4D9"/>
    <w:rsid w:val="76BF9A50"/>
    <w:rsid w:val="76EE1566"/>
    <w:rsid w:val="76FBA3FE"/>
    <w:rsid w:val="7709D557"/>
    <w:rsid w:val="77130014"/>
    <w:rsid w:val="77195260"/>
    <w:rsid w:val="772CBE74"/>
    <w:rsid w:val="772E72D9"/>
    <w:rsid w:val="7736E7B5"/>
    <w:rsid w:val="774FC7B5"/>
    <w:rsid w:val="7752669C"/>
    <w:rsid w:val="7758B777"/>
    <w:rsid w:val="77735A45"/>
    <w:rsid w:val="77795D47"/>
    <w:rsid w:val="777C3546"/>
    <w:rsid w:val="777EB48F"/>
    <w:rsid w:val="778E6365"/>
    <w:rsid w:val="77914EE9"/>
    <w:rsid w:val="77964185"/>
    <w:rsid w:val="779BA0E2"/>
    <w:rsid w:val="77A6D8EE"/>
    <w:rsid w:val="77A994E7"/>
    <w:rsid w:val="77B95618"/>
    <w:rsid w:val="77D1B03C"/>
    <w:rsid w:val="77E0FD59"/>
    <w:rsid w:val="77E4311D"/>
    <w:rsid w:val="78077737"/>
    <w:rsid w:val="7819DAC6"/>
    <w:rsid w:val="7822DEF9"/>
    <w:rsid w:val="78286EA3"/>
    <w:rsid w:val="782D3B40"/>
    <w:rsid w:val="78350BFC"/>
    <w:rsid w:val="7864CBD1"/>
    <w:rsid w:val="786A2478"/>
    <w:rsid w:val="7871EB0B"/>
    <w:rsid w:val="78824358"/>
    <w:rsid w:val="78826200"/>
    <w:rsid w:val="78A5A01F"/>
    <w:rsid w:val="78C2E85B"/>
    <w:rsid w:val="78C70A9D"/>
    <w:rsid w:val="78DB216A"/>
    <w:rsid w:val="78DEF9C7"/>
    <w:rsid w:val="78FD84CA"/>
    <w:rsid w:val="7907FF0D"/>
    <w:rsid w:val="79085BB8"/>
    <w:rsid w:val="790956F2"/>
    <w:rsid w:val="792B9EA2"/>
    <w:rsid w:val="7932435F"/>
    <w:rsid w:val="79602808"/>
    <w:rsid w:val="796BD939"/>
    <w:rsid w:val="796DE3F1"/>
    <w:rsid w:val="797D14DA"/>
    <w:rsid w:val="79821436"/>
    <w:rsid w:val="7984F3BE"/>
    <w:rsid w:val="7997FEF3"/>
    <w:rsid w:val="799D7603"/>
    <w:rsid w:val="79C378B9"/>
    <w:rsid w:val="79C940E7"/>
    <w:rsid w:val="79D07058"/>
    <w:rsid w:val="7A065C90"/>
    <w:rsid w:val="7A0A18A0"/>
    <w:rsid w:val="7A0CA499"/>
    <w:rsid w:val="7A203071"/>
    <w:rsid w:val="7A3094E3"/>
    <w:rsid w:val="7A625CB9"/>
    <w:rsid w:val="7A63EEFF"/>
    <w:rsid w:val="7A732A02"/>
    <w:rsid w:val="7A7AFD6B"/>
    <w:rsid w:val="7A896FC6"/>
    <w:rsid w:val="7AA38D7F"/>
    <w:rsid w:val="7AAA18C0"/>
    <w:rsid w:val="7AB0DE2C"/>
    <w:rsid w:val="7AB15B5C"/>
    <w:rsid w:val="7AB3063D"/>
    <w:rsid w:val="7ABFD128"/>
    <w:rsid w:val="7AC5B877"/>
    <w:rsid w:val="7ACA37C1"/>
    <w:rsid w:val="7AE1D908"/>
    <w:rsid w:val="7AF52D17"/>
    <w:rsid w:val="7AF71F70"/>
    <w:rsid w:val="7B07446D"/>
    <w:rsid w:val="7B1B5A99"/>
    <w:rsid w:val="7B318698"/>
    <w:rsid w:val="7B3A9E2C"/>
    <w:rsid w:val="7B3DD8F5"/>
    <w:rsid w:val="7B46DD89"/>
    <w:rsid w:val="7B52F491"/>
    <w:rsid w:val="7B591568"/>
    <w:rsid w:val="7B657E12"/>
    <w:rsid w:val="7B92EE78"/>
    <w:rsid w:val="7B94874B"/>
    <w:rsid w:val="7BADC588"/>
    <w:rsid w:val="7BD764C4"/>
    <w:rsid w:val="7BF5E386"/>
    <w:rsid w:val="7C09FC54"/>
    <w:rsid w:val="7C17E4B9"/>
    <w:rsid w:val="7C1C6F8F"/>
    <w:rsid w:val="7C1E0434"/>
    <w:rsid w:val="7C2D2DAD"/>
    <w:rsid w:val="7C354AAB"/>
    <w:rsid w:val="7C36FA07"/>
    <w:rsid w:val="7C593DDE"/>
    <w:rsid w:val="7C5A0944"/>
    <w:rsid w:val="7C66782D"/>
    <w:rsid w:val="7C67C96A"/>
    <w:rsid w:val="7C7AC6A7"/>
    <w:rsid w:val="7C7F73F3"/>
    <w:rsid w:val="7C8B06CB"/>
    <w:rsid w:val="7CAD724B"/>
    <w:rsid w:val="7CAD8783"/>
    <w:rsid w:val="7CB9F713"/>
    <w:rsid w:val="7CC6B45E"/>
    <w:rsid w:val="7CCCF39C"/>
    <w:rsid w:val="7CD1E896"/>
    <w:rsid w:val="7CD4C21E"/>
    <w:rsid w:val="7CD997EA"/>
    <w:rsid w:val="7CDAF6BC"/>
    <w:rsid w:val="7CE512F5"/>
    <w:rsid w:val="7D039482"/>
    <w:rsid w:val="7D084748"/>
    <w:rsid w:val="7D0A46D5"/>
    <w:rsid w:val="7D11BC8F"/>
    <w:rsid w:val="7D127024"/>
    <w:rsid w:val="7D1A1CCA"/>
    <w:rsid w:val="7D2B314D"/>
    <w:rsid w:val="7D3A4E94"/>
    <w:rsid w:val="7D604C13"/>
    <w:rsid w:val="7D75134D"/>
    <w:rsid w:val="7D9209E4"/>
    <w:rsid w:val="7D967B74"/>
    <w:rsid w:val="7DBB5D17"/>
    <w:rsid w:val="7DBB99F1"/>
    <w:rsid w:val="7DC4E2B8"/>
    <w:rsid w:val="7DD68000"/>
    <w:rsid w:val="7DD6E70C"/>
    <w:rsid w:val="7DDE2CC1"/>
    <w:rsid w:val="7DE6A947"/>
    <w:rsid w:val="7DFD1BEB"/>
    <w:rsid w:val="7E0FEE2B"/>
    <w:rsid w:val="7E1031E3"/>
    <w:rsid w:val="7E1B2BBE"/>
    <w:rsid w:val="7E1E96F1"/>
    <w:rsid w:val="7E20FC25"/>
    <w:rsid w:val="7E311BBE"/>
    <w:rsid w:val="7E3BDEA6"/>
    <w:rsid w:val="7E3E1A8F"/>
    <w:rsid w:val="7E46108D"/>
    <w:rsid w:val="7E4D9158"/>
    <w:rsid w:val="7E580EEC"/>
    <w:rsid w:val="7E5C0F6A"/>
    <w:rsid w:val="7E725CC1"/>
    <w:rsid w:val="7E9A419F"/>
    <w:rsid w:val="7EAEBDC7"/>
    <w:rsid w:val="7EB39AA8"/>
    <w:rsid w:val="7ECA6DD6"/>
    <w:rsid w:val="7EE28651"/>
    <w:rsid w:val="7EE885AB"/>
    <w:rsid w:val="7EEC0351"/>
    <w:rsid w:val="7EF3B2B9"/>
    <w:rsid w:val="7EF4181B"/>
    <w:rsid w:val="7EF6E93B"/>
    <w:rsid w:val="7EF76500"/>
    <w:rsid w:val="7EFCE163"/>
    <w:rsid w:val="7EFE548F"/>
    <w:rsid w:val="7F06BA17"/>
    <w:rsid w:val="7F241503"/>
    <w:rsid w:val="7F36B227"/>
    <w:rsid w:val="7F50F5F1"/>
    <w:rsid w:val="7F6D35A2"/>
    <w:rsid w:val="7FCDFCE2"/>
    <w:rsid w:val="7FD7D2FF"/>
    <w:rsid w:val="7FE6E832"/>
    <w:rsid w:val="7FE81E37"/>
    <w:rsid w:val="7FFFFE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5F7F9D55"/>
  <w14:defaultImageDpi w14:val="300"/>
  <w15:docId w15:val="{D20EDAF2-E6F9-4274-9D1B-9BA17A1E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nhideWhenUsed/>
    <w:rsid w:val="00C33416"/>
    <w:rPr>
      <w:rFonts w:ascii="Arial" w:hAnsi="Arial"/>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4"/>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
      </w:numPr>
      <w:spacing w:after="240"/>
    </w:pPr>
    <w:rPr>
      <w:rFonts w:ascii="Arial" w:hAnsi="Arial" w:cs="Arial"/>
    </w:rPr>
  </w:style>
  <w:style w:type="paragraph" w:styleId="NormalWeb">
    <w:name w:val="Normal (Web)"/>
    <w:basedOn w:val="Normal"/>
    <w:uiPriority w:val="99"/>
    <w:unhideWhenUsed/>
    <w:rsid w:val="001D00C1"/>
    <w:pPr>
      <w:spacing w:before="100" w:beforeAutospacing="1" w:after="100" w:afterAutospacing="1"/>
      <w:textAlignment w:val="baseline"/>
    </w:pPr>
    <w:rPr>
      <w:rFonts w:ascii="Times New Roman" w:eastAsia="Times New Roman" w:hAnsi="Times New Roman" w:cs="Times New Roman"/>
      <w:lang w:eastAsia="en-AU"/>
    </w:rPr>
  </w:style>
  <w:style w:type="character" w:styleId="Emphasis">
    <w:name w:val="Emphasis"/>
    <w:basedOn w:val="DefaultParagraphFont"/>
    <w:uiPriority w:val="20"/>
    <w:qFormat/>
    <w:rsid w:val="001D00C1"/>
    <w:rPr>
      <w:i/>
      <w:iCs/>
    </w:rPr>
  </w:style>
  <w:style w:type="paragraph" w:customStyle="1" w:styleId="Default">
    <w:name w:val="Default"/>
    <w:rsid w:val="00526338"/>
    <w:pPr>
      <w:autoSpaceDE w:val="0"/>
      <w:autoSpaceDN w:val="0"/>
      <w:adjustRightInd w:val="0"/>
    </w:pPr>
    <w:rPr>
      <w:rFonts w:ascii="Arial" w:hAnsi="Arial" w:cs="Arial"/>
      <w:color w:val="000000"/>
      <w:lang w:val="en-AU"/>
    </w:rPr>
  </w:style>
  <w:style w:type="character" w:styleId="FollowedHyperlink">
    <w:name w:val="FollowedHyperlink"/>
    <w:basedOn w:val="DefaultParagraphFont"/>
    <w:uiPriority w:val="99"/>
    <w:semiHidden/>
    <w:unhideWhenUsed/>
    <w:rsid w:val="002525B7"/>
    <w:rPr>
      <w:color w:val="800080" w:themeColor="followedHyperlink"/>
      <w:u w:val="single"/>
    </w:rPr>
  </w:style>
  <w:style w:type="paragraph" w:styleId="Revision">
    <w:name w:val="Revision"/>
    <w:hidden/>
    <w:uiPriority w:val="99"/>
    <w:semiHidden/>
    <w:rsid w:val="004C6CC3"/>
    <w:rPr>
      <w:lang w:val="en-AU"/>
    </w:rPr>
  </w:style>
  <w:style w:type="character" w:customStyle="1" w:styleId="UnresolvedMention">
    <w:name w:val="Unresolved Mention"/>
    <w:basedOn w:val="DefaultParagraphFont"/>
    <w:uiPriority w:val="99"/>
    <w:semiHidden/>
    <w:unhideWhenUsed/>
    <w:rsid w:val="009C223B"/>
    <w:rPr>
      <w:color w:val="605E5C"/>
      <w:shd w:val="clear" w:color="auto" w:fill="E1DFDD"/>
    </w:rPr>
  </w:style>
  <w:style w:type="paragraph" w:customStyle="1" w:styleId="Recs">
    <w:name w:val="Recs"/>
    <w:basedOn w:val="Normal"/>
    <w:autoRedefine/>
    <w:qFormat/>
    <w:rsid w:val="00A06FE2"/>
    <w:pPr>
      <w:keepNext/>
      <w:keepLines/>
      <w:widowControl w:val="0"/>
      <w:numPr>
        <w:numId w:val="5"/>
      </w:numPr>
      <w:tabs>
        <w:tab w:val="left" w:pos="2552"/>
      </w:tabs>
      <w:ind w:left="0" w:firstLine="0"/>
      <w:contextualSpacing/>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8294">
      <w:bodyDiv w:val="1"/>
      <w:marLeft w:val="0"/>
      <w:marRight w:val="0"/>
      <w:marTop w:val="0"/>
      <w:marBottom w:val="0"/>
      <w:divBdr>
        <w:top w:val="none" w:sz="0" w:space="0" w:color="auto"/>
        <w:left w:val="none" w:sz="0" w:space="0" w:color="auto"/>
        <w:bottom w:val="none" w:sz="0" w:space="0" w:color="auto"/>
        <w:right w:val="none" w:sz="0" w:space="0" w:color="auto"/>
      </w:divBdr>
    </w:div>
    <w:div w:id="212431584">
      <w:bodyDiv w:val="1"/>
      <w:marLeft w:val="0"/>
      <w:marRight w:val="0"/>
      <w:marTop w:val="0"/>
      <w:marBottom w:val="0"/>
      <w:divBdr>
        <w:top w:val="none" w:sz="0" w:space="0" w:color="auto"/>
        <w:left w:val="none" w:sz="0" w:space="0" w:color="auto"/>
        <w:bottom w:val="none" w:sz="0" w:space="0" w:color="auto"/>
        <w:right w:val="none" w:sz="0" w:space="0" w:color="auto"/>
      </w:divBdr>
    </w:div>
    <w:div w:id="398133871">
      <w:bodyDiv w:val="1"/>
      <w:marLeft w:val="0"/>
      <w:marRight w:val="0"/>
      <w:marTop w:val="0"/>
      <w:marBottom w:val="0"/>
      <w:divBdr>
        <w:top w:val="none" w:sz="0" w:space="0" w:color="auto"/>
        <w:left w:val="none" w:sz="0" w:space="0" w:color="auto"/>
        <w:bottom w:val="none" w:sz="0" w:space="0" w:color="auto"/>
        <w:right w:val="none" w:sz="0" w:space="0" w:color="auto"/>
      </w:divBdr>
    </w:div>
    <w:div w:id="738598080">
      <w:bodyDiv w:val="1"/>
      <w:marLeft w:val="0"/>
      <w:marRight w:val="0"/>
      <w:marTop w:val="0"/>
      <w:marBottom w:val="0"/>
      <w:divBdr>
        <w:top w:val="none" w:sz="0" w:space="0" w:color="auto"/>
        <w:left w:val="none" w:sz="0" w:space="0" w:color="auto"/>
        <w:bottom w:val="none" w:sz="0" w:space="0" w:color="auto"/>
        <w:right w:val="none" w:sz="0" w:space="0" w:color="auto"/>
      </w:divBdr>
      <w:divsChild>
        <w:div w:id="1460564964">
          <w:marLeft w:val="0"/>
          <w:marRight w:val="0"/>
          <w:marTop w:val="0"/>
          <w:marBottom w:val="0"/>
          <w:divBdr>
            <w:top w:val="none" w:sz="0" w:space="0" w:color="auto"/>
            <w:left w:val="none" w:sz="0" w:space="0" w:color="auto"/>
            <w:bottom w:val="none" w:sz="0" w:space="0" w:color="auto"/>
            <w:right w:val="none" w:sz="0" w:space="0" w:color="auto"/>
          </w:divBdr>
          <w:divsChild>
            <w:div w:id="572591000">
              <w:marLeft w:val="0"/>
              <w:marRight w:val="0"/>
              <w:marTop w:val="0"/>
              <w:marBottom w:val="0"/>
              <w:divBdr>
                <w:top w:val="none" w:sz="0" w:space="0" w:color="auto"/>
                <w:left w:val="none" w:sz="0" w:space="0" w:color="auto"/>
                <w:bottom w:val="none" w:sz="0" w:space="0" w:color="auto"/>
                <w:right w:val="none" w:sz="0" w:space="0" w:color="auto"/>
              </w:divBdr>
              <w:divsChild>
                <w:div w:id="1355377632">
                  <w:marLeft w:val="0"/>
                  <w:marRight w:val="0"/>
                  <w:marTop w:val="0"/>
                  <w:marBottom w:val="0"/>
                  <w:divBdr>
                    <w:top w:val="none" w:sz="0" w:space="0" w:color="auto"/>
                    <w:left w:val="none" w:sz="0" w:space="0" w:color="auto"/>
                    <w:bottom w:val="none" w:sz="0" w:space="0" w:color="auto"/>
                    <w:right w:val="none" w:sz="0" w:space="0" w:color="auto"/>
                  </w:divBdr>
                  <w:divsChild>
                    <w:div w:id="1095324863">
                      <w:marLeft w:val="0"/>
                      <w:marRight w:val="0"/>
                      <w:marTop w:val="300"/>
                      <w:marBottom w:val="300"/>
                      <w:divBdr>
                        <w:top w:val="none" w:sz="0" w:space="0" w:color="auto"/>
                        <w:left w:val="none" w:sz="0" w:space="0" w:color="auto"/>
                        <w:bottom w:val="none" w:sz="0" w:space="0" w:color="auto"/>
                        <w:right w:val="none" w:sz="0" w:space="0" w:color="auto"/>
                      </w:divBdr>
                      <w:divsChild>
                        <w:div w:id="361517914">
                          <w:marLeft w:val="0"/>
                          <w:marRight w:val="0"/>
                          <w:marTop w:val="0"/>
                          <w:marBottom w:val="0"/>
                          <w:divBdr>
                            <w:top w:val="none" w:sz="0" w:space="0" w:color="auto"/>
                            <w:left w:val="none" w:sz="0" w:space="0" w:color="auto"/>
                            <w:bottom w:val="none" w:sz="0" w:space="0" w:color="auto"/>
                            <w:right w:val="none" w:sz="0" w:space="0" w:color="auto"/>
                          </w:divBdr>
                          <w:divsChild>
                            <w:div w:id="18056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19015">
      <w:bodyDiv w:val="1"/>
      <w:marLeft w:val="0"/>
      <w:marRight w:val="0"/>
      <w:marTop w:val="0"/>
      <w:marBottom w:val="0"/>
      <w:divBdr>
        <w:top w:val="none" w:sz="0" w:space="0" w:color="auto"/>
        <w:left w:val="none" w:sz="0" w:space="0" w:color="auto"/>
        <w:bottom w:val="none" w:sz="0" w:space="0" w:color="auto"/>
        <w:right w:val="none" w:sz="0" w:space="0" w:color="auto"/>
      </w:divBdr>
    </w:div>
    <w:div w:id="1185175026">
      <w:bodyDiv w:val="1"/>
      <w:marLeft w:val="0"/>
      <w:marRight w:val="0"/>
      <w:marTop w:val="0"/>
      <w:marBottom w:val="0"/>
      <w:divBdr>
        <w:top w:val="none" w:sz="0" w:space="0" w:color="auto"/>
        <w:left w:val="none" w:sz="0" w:space="0" w:color="auto"/>
        <w:bottom w:val="none" w:sz="0" w:space="0" w:color="auto"/>
        <w:right w:val="none" w:sz="0" w:space="0" w:color="auto"/>
      </w:divBdr>
    </w:div>
    <w:div w:id="1200170301">
      <w:bodyDiv w:val="1"/>
      <w:marLeft w:val="0"/>
      <w:marRight w:val="0"/>
      <w:marTop w:val="0"/>
      <w:marBottom w:val="0"/>
      <w:divBdr>
        <w:top w:val="none" w:sz="0" w:space="0" w:color="auto"/>
        <w:left w:val="none" w:sz="0" w:space="0" w:color="auto"/>
        <w:bottom w:val="none" w:sz="0" w:space="0" w:color="auto"/>
        <w:right w:val="none" w:sz="0" w:space="0" w:color="auto"/>
      </w:divBdr>
    </w:div>
    <w:div w:id="1311472364">
      <w:bodyDiv w:val="1"/>
      <w:marLeft w:val="0"/>
      <w:marRight w:val="0"/>
      <w:marTop w:val="0"/>
      <w:marBottom w:val="0"/>
      <w:divBdr>
        <w:top w:val="none" w:sz="0" w:space="0" w:color="auto"/>
        <w:left w:val="none" w:sz="0" w:space="0" w:color="auto"/>
        <w:bottom w:val="none" w:sz="0" w:space="0" w:color="auto"/>
        <w:right w:val="none" w:sz="0" w:space="0" w:color="auto"/>
      </w:divBdr>
    </w:div>
    <w:div w:id="1391533879">
      <w:bodyDiv w:val="1"/>
      <w:marLeft w:val="0"/>
      <w:marRight w:val="0"/>
      <w:marTop w:val="0"/>
      <w:marBottom w:val="0"/>
      <w:divBdr>
        <w:top w:val="none" w:sz="0" w:space="0" w:color="auto"/>
        <w:left w:val="none" w:sz="0" w:space="0" w:color="auto"/>
        <w:bottom w:val="none" w:sz="0" w:space="0" w:color="auto"/>
        <w:right w:val="none" w:sz="0" w:space="0" w:color="auto"/>
      </w:divBdr>
    </w:div>
    <w:div w:id="1430812636">
      <w:bodyDiv w:val="1"/>
      <w:marLeft w:val="0"/>
      <w:marRight w:val="0"/>
      <w:marTop w:val="0"/>
      <w:marBottom w:val="0"/>
      <w:divBdr>
        <w:top w:val="none" w:sz="0" w:space="0" w:color="auto"/>
        <w:left w:val="none" w:sz="0" w:space="0" w:color="auto"/>
        <w:bottom w:val="none" w:sz="0" w:space="0" w:color="auto"/>
        <w:right w:val="none" w:sz="0" w:space="0" w:color="auto"/>
      </w:divBdr>
    </w:div>
    <w:div w:id="1635795816">
      <w:bodyDiv w:val="1"/>
      <w:marLeft w:val="0"/>
      <w:marRight w:val="0"/>
      <w:marTop w:val="0"/>
      <w:marBottom w:val="0"/>
      <w:divBdr>
        <w:top w:val="none" w:sz="0" w:space="0" w:color="auto"/>
        <w:left w:val="none" w:sz="0" w:space="0" w:color="auto"/>
        <w:bottom w:val="none" w:sz="0" w:space="0" w:color="auto"/>
        <w:right w:val="none" w:sz="0" w:space="0" w:color="auto"/>
      </w:divBdr>
    </w:div>
    <w:div w:id="1670255064">
      <w:bodyDiv w:val="1"/>
      <w:marLeft w:val="0"/>
      <w:marRight w:val="0"/>
      <w:marTop w:val="0"/>
      <w:marBottom w:val="0"/>
      <w:divBdr>
        <w:top w:val="none" w:sz="0" w:space="0" w:color="auto"/>
        <w:left w:val="none" w:sz="0" w:space="0" w:color="auto"/>
        <w:bottom w:val="none" w:sz="0" w:space="0" w:color="auto"/>
        <w:right w:val="none" w:sz="0" w:space="0" w:color="auto"/>
      </w:divBdr>
    </w:div>
    <w:div w:id="1998728821">
      <w:bodyDiv w:val="1"/>
      <w:marLeft w:val="0"/>
      <w:marRight w:val="0"/>
      <w:marTop w:val="0"/>
      <w:marBottom w:val="0"/>
      <w:divBdr>
        <w:top w:val="none" w:sz="0" w:space="0" w:color="auto"/>
        <w:left w:val="none" w:sz="0" w:space="0" w:color="auto"/>
        <w:bottom w:val="none" w:sz="0" w:space="0" w:color="auto"/>
        <w:right w:val="none" w:sz="0" w:space="0" w:color="auto"/>
      </w:divBdr>
      <w:divsChild>
        <w:div w:id="754205877">
          <w:marLeft w:val="0"/>
          <w:marRight w:val="0"/>
          <w:marTop w:val="0"/>
          <w:marBottom w:val="0"/>
          <w:divBdr>
            <w:top w:val="none" w:sz="0" w:space="0" w:color="auto"/>
            <w:left w:val="none" w:sz="0" w:space="0" w:color="auto"/>
            <w:bottom w:val="none" w:sz="0" w:space="0" w:color="auto"/>
            <w:right w:val="none" w:sz="0" w:space="0" w:color="auto"/>
          </w:divBdr>
          <w:divsChild>
            <w:div w:id="1915435276">
              <w:marLeft w:val="0"/>
              <w:marRight w:val="0"/>
              <w:marTop w:val="0"/>
              <w:marBottom w:val="0"/>
              <w:divBdr>
                <w:top w:val="none" w:sz="0" w:space="0" w:color="auto"/>
                <w:left w:val="none" w:sz="0" w:space="0" w:color="auto"/>
                <w:bottom w:val="none" w:sz="0" w:space="0" w:color="auto"/>
                <w:right w:val="none" w:sz="0" w:space="0" w:color="auto"/>
              </w:divBdr>
              <w:divsChild>
                <w:div w:id="1549757500">
                  <w:marLeft w:val="0"/>
                  <w:marRight w:val="0"/>
                  <w:marTop w:val="0"/>
                  <w:marBottom w:val="0"/>
                  <w:divBdr>
                    <w:top w:val="none" w:sz="0" w:space="0" w:color="auto"/>
                    <w:left w:val="none" w:sz="0" w:space="0" w:color="auto"/>
                    <w:bottom w:val="none" w:sz="0" w:space="0" w:color="auto"/>
                    <w:right w:val="none" w:sz="0" w:space="0" w:color="auto"/>
                  </w:divBdr>
                  <w:divsChild>
                    <w:div w:id="579603029">
                      <w:marLeft w:val="0"/>
                      <w:marRight w:val="0"/>
                      <w:marTop w:val="300"/>
                      <w:marBottom w:val="300"/>
                      <w:divBdr>
                        <w:top w:val="none" w:sz="0" w:space="0" w:color="auto"/>
                        <w:left w:val="none" w:sz="0" w:space="0" w:color="auto"/>
                        <w:bottom w:val="none" w:sz="0" w:space="0" w:color="auto"/>
                        <w:right w:val="none" w:sz="0" w:space="0" w:color="auto"/>
                      </w:divBdr>
                      <w:divsChild>
                        <w:div w:id="1244029269">
                          <w:marLeft w:val="0"/>
                          <w:marRight w:val="0"/>
                          <w:marTop w:val="0"/>
                          <w:marBottom w:val="0"/>
                          <w:divBdr>
                            <w:top w:val="none" w:sz="0" w:space="0" w:color="auto"/>
                            <w:left w:val="none" w:sz="0" w:space="0" w:color="auto"/>
                            <w:bottom w:val="none" w:sz="0" w:space="0" w:color="auto"/>
                            <w:right w:val="none" w:sz="0" w:space="0" w:color="auto"/>
                          </w:divBdr>
                          <w:divsChild>
                            <w:div w:id="15381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 Id="rId35"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3E084C2B5FDE4DAA0444A51E1C7627" ma:contentTypeVersion="7" ma:contentTypeDescription="Create a new document." ma:contentTypeScope="" ma:versionID="532e45f15491eb376c34802a9c8daa80">
  <xsd:schema xmlns:xsd="http://www.w3.org/2001/XMLSchema" xmlns:xs="http://www.w3.org/2001/XMLSchema" xmlns:p="http://schemas.microsoft.com/office/2006/metadata/properties" xmlns:ns3="fe5d69ac-25c9-43c2-bfd9-5081e8fcfe1a" xmlns:ns4="51a76b0b-ee59-461b-91d6-78307dbc35cf" targetNamespace="http://schemas.microsoft.com/office/2006/metadata/properties" ma:root="true" ma:fieldsID="67dacbd42b3535257f26644fd383132b" ns3:_="" ns4:_="">
    <xsd:import namespace="fe5d69ac-25c9-43c2-bfd9-5081e8fcfe1a"/>
    <xsd:import namespace="51a76b0b-ee59-461b-91d6-78307dbc35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d69ac-25c9-43c2-bfd9-5081e8fcf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76b0b-ee59-461b-91d6-78307dbc35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A38459-F55D-42B4-8BC2-7D5809864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d69ac-25c9-43c2-bfd9-5081e8fcfe1a"/>
    <ds:schemaRef ds:uri="51a76b0b-ee59-461b-91d6-78307dbc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7BC3C-C48E-4287-B456-BD1AC907D3B8}">
  <ds:schemaRefs>
    <ds:schemaRef ds:uri="51a76b0b-ee59-461b-91d6-78307dbc35cf"/>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fe5d69ac-25c9-43c2-bfd9-5081e8fcfe1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EF01878-4675-43C3-B329-7779FA8EC223}">
  <ds:schemaRefs>
    <ds:schemaRef ds:uri="http://schemas.microsoft.com/sharepoint/v3/contenttype/forms"/>
  </ds:schemaRefs>
</ds:datastoreItem>
</file>

<file path=customXml/itemProps5.xml><?xml version="1.0" encoding="utf-8"?>
<ds:datastoreItem xmlns:ds="http://schemas.openxmlformats.org/officeDocument/2006/customXml" ds:itemID="{2EC51C53-DA28-45B0-A674-49ED7B9D4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32</TotalTime>
  <Pages>30</Pages>
  <Words>9426</Words>
  <Characters>53733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63033</CharactersWithSpaces>
  <SharedDoc>false</SharedDoc>
  <HLinks>
    <vt:vector size="318" baseType="variant">
      <vt:variant>
        <vt:i4>5570645</vt:i4>
      </vt:variant>
      <vt:variant>
        <vt:i4>201</vt:i4>
      </vt:variant>
      <vt:variant>
        <vt:i4>0</vt:i4>
      </vt:variant>
      <vt:variant>
        <vt:i4>5</vt:i4>
      </vt:variant>
      <vt:variant>
        <vt:lpwstr>http://find.search.qld.gov.au/s/redirect?collection=qld-gov&amp;url=https%3A%2F%2Fwww.qhrc.qld.gov.au%2F__data%2Fassets%2Fword_doc%2F0012%2F24015%2F2020.01.03-A-better-renting-future-HPW-consultation-Final-web.docx&amp;index_url=https%3A%2F%2Fwww.qhrc.qld.gov.au%2F__data%2Fassets%2Fword_doc%2F0012%2F24015%2F2020.01.03-A-better-renting-future-HPW-consultation-Final-web.docx&amp;auth=mp6IJ34hZmyBSCz1nArVEA&amp;profile=adcq&amp;rank=11&amp;query=assistance+dogs</vt:lpwstr>
      </vt:variant>
      <vt:variant>
        <vt:lpwstr/>
      </vt:variant>
      <vt:variant>
        <vt:i4>524365</vt:i4>
      </vt:variant>
      <vt:variant>
        <vt:i4>198</vt:i4>
      </vt:variant>
      <vt:variant>
        <vt:i4>0</vt:i4>
      </vt:variant>
      <vt:variant>
        <vt:i4>5</vt:i4>
      </vt:variant>
      <vt:variant>
        <vt:lpwstr>https://www.qhrc.qld.gov.au/your-rights/covid-19-and-human-rights/laws-and-policies-which-limit-human-rights</vt:lpwstr>
      </vt:variant>
      <vt:variant>
        <vt:lpwstr/>
      </vt:variant>
      <vt:variant>
        <vt:i4>7602274</vt:i4>
      </vt:variant>
      <vt:variant>
        <vt:i4>195</vt:i4>
      </vt:variant>
      <vt:variant>
        <vt:i4>0</vt:i4>
      </vt:variant>
      <vt:variant>
        <vt:i4>5</vt:i4>
      </vt:variant>
      <vt:variant>
        <vt:lpwstr>https://www.qhrc.qld.gov.au/your-rights/covid-19-and-human-rights/covid-19-and-bail</vt:lpwstr>
      </vt:variant>
      <vt:variant>
        <vt:lpwstr/>
      </vt:variant>
      <vt:variant>
        <vt:i4>12</vt:i4>
      </vt:variant>
      <vt:variant>
        <vt:i4>192</vt:i4>
      </vt:variant>
      <vt:variant>
        <vt:i4>0</vt:i4>
      </vt:variant>
      <vt:variant>
        <vt:i4>5</vt:i4>
      </vt:variant>
      <vt:variant>
        <vt:lpwstr>https://www.qhrc.qld.gov.au/your-rights/covid-19-and-human-rights/locked-environments-during-covid-19</vt:lpwstr>
      </vt:variant>
      <vt:variant>
        <vt:lpwstr/>
      </vt:variant>
      <vt:variant>
        <vt:i4>4653150</vt:i4>
      </vt:variant>
      <vt:variant>
        <vt:i4>189</vt:i4>
      </vt:variant>
      <vt:variant>
        <vt:i4>0</vt:i4>
      </vt:variant>
      <vt:variant>
        <vt:i4>5</vt:i4>
      </vt:variant>
      <vt:variant>
        <vt:lpwstr>https://www.qhrc.qld.gov.au/your-rights/covid-19-and-human-rights</vt:lpwstr>
      </vt:variant>
      <vt:variant>
        <vt:lpwstr/>
      </vt:variant>
      <vt:variant>
        <vt:i4>1245238</vt:i4>
      </vt:variant>
      <vt:variant>
        <vt:i4>182</vt:i4>
      </vt:variant>
      <vt:variant>
        <vt:i4>0</vt:i4>
      </vt:variant>
      <vt:variant>
        <vt:i4>5</vt:i4>
      </vt:variant>
      <vt:variant>
        <vt:lpwstr/>
      </vt:variant>
      <vt:variant>
        <vt:lpwstr>_Toc44536714</vt:lpwstr>
      </vt:variant>
      <vt:variant>
        <vt:i4>1310774</vt:i4>
      </vt:variant>
      <vt:variant>
        <vt:i4>176</vt:i4>
      </vt:variant>
      <vt:variant>
        <vt:i4>0</vt:i4>
      </vt:variant>
      <vt:variant>
        <vt:i4>5</vt:i4>
      </vt:variant>
      <vt:variant>
        <vt:lpwstr/>
      </vt:variant>
      <vt:variant>
        <vt:lpwstr>_Toc44536713</vt:lpwstr>
      </vt:variant>
      <vt:variant>
        <vt:i4>1376310</vt:i4>
      </vt:variant>
      <vt:variant>
        <vt:i4>170</vt:i4>
      </vt:variant>
      <vt:variant>
        <vt:i4>0</vt:i4>
      </vt:variant>
      <vt:variant>
        <vt:i4>5</vt:i4>
      </vt:variant>
      <vt:variant>
        <vt:lpwstr/>
      </vt:variant>
      <vt:variant>
        <vt:lpwstr>_Toc44536712</vt:lpwstr>
      </vt:variant>
      <vt:variant>
        <vt:i4>1441846</vt:i4>
      </vt:variant>
      <vt:variant>
        <vt:i4>164</vt:i4>
      </vt:variant>
      <vt:variant>
        <vt:i4>0</vt:i4>
      </vt:variant>
      <vt:variant>
        <vt:i4>5</vt:i4>
      </vt:variant>
      <vt:variant>
        <vt:lpwstr/>
      </vt:variant>
      <vt:variant>
        <vt:lpwstr>_Toc44536711</vt:lpwstr>
      </vt:variant>
      <vt:variant>
        <vt:i4>1507382</vt:i4>
      </vt:variant>
      <vt:variant>
        <vt:i4>158</vt:i4>
      </vt:variant>
      <vt:variant>
        <vt:i4>0</vt:i4>
      </vt:variant>
      <vt:variant>
        <vt:i4>5</vt:i4>
      </vt:variant>
      <vt:variant>
        <vt:lpwstr/>
      </vt:variant>
      <vt:variant>
        <vt:lpwstr>_Toc44536710</vt:lpwstr>
      </vt:variant>
      <vt:variant>
        <vt:i4>1966135</vt:i4>
      </vt:variant>
      <vt:variant>
        <vt:i4>152</vt:i4>
      </vt:variant>
      <vt:variant>
        <vt:i4>0</vt:i4>
      </vt:variant>
      <vt:variant>
        <vt:i4>5</vt:i4>
      </vt:variant>
      <vt:variant>
        <vt:lpwstr/>
      </vt:variant>
      <vt:variant>
        <vt:lpwstr>_Toc44536709</vt:lpwstr>
      </vt:variant>
      <vt:variant>
        <vt:i4>2031671</vt:i4>
      </vt:variant>
      <vt:variant>
        <vt:i4>146</vt:i4>
      </vt:variant>
      <vt:variant>
        <vt:i4>0</vt:i4>
      </vt:variant>
      <vt:variant>
        <vt:i4>5</vt:i4>
      </vt:variant>
      <vt:variant>
        <vt:lpwstr/>
      </vt:variant>
      <vt:variant>
        <vt:lpwstr>_Toc44536708</vt:lpwstr>
      </vt:variant>
      <vt:variant>
        <vt:i4>1048631</vt:i4>
      </vt:variant>
      <vt:variant>
        <vt:i4>140</vt:i4>
      </vt:variant>
      <vt:variant>
        <vt:i4>0</vt:i4>
      </vt:variant>
      <vt:variant>
        <vt:i4>5</vt:i4>
      </vt:variant>
      <vt:variant>
        <vt:lpwstr/>
      </vt:variant>
      <vt:variant>
        <vt:lpwstr>_Toc44536707</vt:lpwstr>
      </vt:variant>
      <vt:variant>
        <vt:i4>1114167</vt:i4>
      </vt:variant>
      <vt:variant>
        <vt:i4>134</vt:i4>
      </vt:variant>
      <vt:variant>
        <vt:i4>0</vt:i4>
      </vt:variant>
      <vt:variant>
        <vt:i4>5</vt:i4>
      </vt:variant>
      <vt:variant>
        <vt:lpwstr/>
      </vt:variant>
      <vt:variant>
        <vt:lpwstr>_Toc44536706</vt:lpwstr>
      </vt:variant>
      <vt:variant>
        <vt:i4>1179703</vt:i4>
      </vt:variant>
      <vt:variant>
        <vt:i4>128</vt:i4>
      </vt:variant>
      <vt:variant>
        <vt:i4>0</vt:i4>
      </vt:variant>
      <vt:variant>
        <vt:i4>5</vt:i4>
      </vt:variant>
      <vt:variant>
        <vt:lpwstr/>
      </vt:variant>
      <vt:variant>
        <vt:lpwstr>_Toc44536705</vt:lpwstr>
      </vt:variant>
      <vt:variant>
        <vt:i4>1245239</vt:i4>
      </vt:variant>
      <vt:variant>
        <vt:i4>122</vt:i4>
      </vt:variant>
      <vt:variant>
        <vt:i4>0</vt:i4>
      </vt:variant>
      <vt:variant>
        <vt:i4>5</vt:i4>
      </vt:variant>
      <vt:variant>
        <vt:lpwstr/>
      </vt:variant>
      <vt:variant>
        <vt:lpwstr>_Toc44536704</vt:lpwstr>
      </vt:variant>
      <vt:variant>
        <vt:i4>1310775</vt:i4>
      </vt:variant>
      <vt:variant>
        <vt:i4>116</vt:i4>
      </vt:variant>
      <vt:variant>
        <vt:i4>0</vt:i4>
      </vt:variant>
      <vt:variant>
        <vt:i4>5</vt:i4>
      </vt:variant>
      <vt:variant>
        <vt:lpwstr/>
      </vt:variant>
      <vt:variant>
        <vt:lpwstr>_Toc44536703</vt:lpwstr>
      </vt:variant>
      <vt:variant>
        <vt:i4>1376311</vt:i4>
      </vt:variant>
      <vt:variant>
        <vt:i4>110</vt:i4>
      </vt:variant>
      <vt:variant>
        <vt:i4>0</vt:i4>
      </vt:variant>
      <vt:variant>
        <vt:i4>5</vt:i4>
      </vt:variant>
      <vt:variant>
        <vt:lpwstr/>
      </vt:variant>
      <vt:variant>
        <vt:lpwstr>_Toc44536702</vt:lpwstr>
      </vt:variant>
      <vt:variant>
        <vt:i4>1441847</vt:i4>
      </vt:variant>
      <vt:variant>
        <vt:i4>104</vt:i4>
      </vt:variant>
      <vt:variant>
        <vt:i4>0</vt:i4>
      </vt:variant>
      <vt:variant>
        <vt:i4>5</vt:i4>
      </vt:variant>
      <vt:variant>
        <vt:lpwstr/>
      </vt:variant>
      <vt:variant>
        <vt:lpwstr>_Toc44536701</vt:lpwstr>
      </vt:variant>
      <vt:variant>
        <vt:i4>1507383</vt:i4>
      </vt:variant>
      <vt:variant>
        <vt:i4>98</vt:i4>
      </vt:variant>
      <vt:variant>
        <vt:i4>0</vt:i4>
      </vt:variant>
      <vt:variant>
        <vt:i4>5</vt:i4>
      </vt:variant>
      <vt:variant>
        <vt:lpwstr/>
      </vt:variant>
      <vt:variant>
        <vt:lpwstr>_Toc44536700</vt:lpwstr>
      </vt:variant>
      <vt:variant>
        <vt:i4>2031678</vt:i4>
      </vt:variant>
      <vt:variant>
        <vt:i4>92</vt:i4>
      </vt:variant>
      <vt:variant>
        <vt:i4>0</vt:i4>
      </vt:variant>
      <vt:variant>
        <vt:i4>5</vt:i4>
      </vt:variant>
      <vt:variant>
        <vt:lpwstr/>
      </vt:variant>
      <vt:variant>
        <vt:lpwstr>_Toc44536699</vt:lpwstr>
      </vt:variant>
      <vt:variant>
        <vt:i4>1966142</vt:i4>
      </vt:variant>
      <vt:variant>
        <vt:i4>86</vt:i4>
      </vt:variant>
      <vt:variant>
        <vt:i4>0</vt:i4>
      </vt:variant>
      <vt:variant>
        <vt:i4>5</vt:i4>
      </vt:variant>
      <vt:variant>
        <vt:lpwstr/>
      </vt:variant>
      <vt:variant>
        <vt:lpwstr>_Toc44536698</vt:lpwstr>
      </vt:variant>
      <vt:variant>
        <vt:i4>1114174</vt:i4>
      </vt:variant>
      <vt:variant>
        <vt:i4>80</vt:i4>
      </vt:variant>
      <vt:variant>
        <vt:i4>0</vt:i4>
      </vt:variant>
      <vt:variant>
        <vt:i4>5</vt:i4>
      </vt:variant>
      <vt:variant>
        <vt:lpwstr/>
      </vt:variant>
      <vt:variant>
        <vt:lpwstr>_Toc44536697</vt:lpwstr>
      </vt:variant>
      <vt:variant>
        <vt:i4>1048638</vt:i4>
      </vt:variant>
      <vt:variant>
        <vt:i4>74</vt:i4>
      </vt:variant>
      <vt:variant>
        <vt:i4>0</vt:i4>
      </vt:variant>
      <vt:variant>
        <vt:i4>5</vt:i4>
      </vt:variant>
      <vt:variant>
        <vt:lpwstr/>
      </vt:variant>
      <vt:variant>
        <vt:lpwstr>_Toc44536696</vt:lpwstr>
      </vt:variant>
      <vt:variant>
        <vt:i4>1245246</vt:i4>
      </vt:variant>
      <vt:variant>
        <vt:i4>68</vt:i4>
      </vt:variant>
      <vt:variant>
        <vt:i4>0</vt:i4>
      </vt:variant>
      <vt:variant>
        <vt:i4>5</vt:i4>
      </vt:variant>
      <vt:variant>
        <vt:lpwstr/>
      </vt:variant>
      <vt:variant>
        <vt:lpwstr>_Toc44536695</vt:lpwstr>
      </vt:variant>
      <vt:variant>
        <vt:i4>1179710</vt:i4>
      </vt:variant>
      <vt:variant>
        <vt:i4>62</vt:i4>
      </vt:variant>
      <vt:variant>
        <vt:i4>0</vt:i4>
      </vt:variant>
      <vt:variant>
        <vt:i4>5</vt:i4>
      </vt:variant>
      <vt:variant>
        <vt:lpwstr/>
      </vt:variant>
      <vt:variant>
        <vt:lpwstr>_Toc44536694</vt:lpwstr>
      </vt:variant>
      <vt:variant>
        <vt:i4>1376318</vt:i4>
      </vt:variant>
      <vt:variant>
        <vt:i4>56</vt:i4>
      </vt:variant>
      <vt:variant>
        <vt:i4>0</vt:i4>
      </vt:variant>
      <vt:variant>
        <vt:i4>5</vt:i4>
      </vt:variant>
      <vt:variant>
        <vt:lpwstr/>
      </vt:variant>
      <vt:variant>
        <vt:lpwstr>_Toc44536693</vt:lpwstr>
      </vt:variant>
      <vt:variant>
        <vt:i4>1310782</vt:i4>
      </vt:variant>
      <vt:variant>
        <vt:i4>50</vt:i4>
      </vt:variant>
      <vt:variant>
        <vt:i4>0</vt:i4>
      </vt:variant>
      <vt:variant>
        <vt:i4>5</vt:i4>
      </vt:variant>
      <vt:variant>
        <vt:lpwstr/>
      </vt:variant>
      <vt:variant>
        <vt:lpwstr>_Toc44536692</vt:lpwstr>
      </vt:variant>
      <vt:variant>
        <vt:i4>1507390</vt:i4>
      </vt:variant>
      <vt:variant>
        <vt:i4>44</vt:i4>
      </vt:variant>
      <vt:variant>
        <vt:i4>0</vt:i4>
      </vt:variant>
      <vt:variant>
        <vt:i4>5</vt:i4>
      </vt:variant>
      <vt:variant>
        <vt:lpwstr/>
      </vt:variant>
      <vt:variant>
        <vt:lpwstr>_Toc44536691</vt:lpwstr>
      </vt:variant>
      <vt:variant>
        <vt:i4>1441854</vt:i4>
      </vt:variant>
      <vt:variant>
        <vt:i4>38</vt:i4>
      </vt:variant>
      <vt:variant>
        <vt:i4>0</vt:i4>
      </vt:variant>
      <vt:variant>
        <vt:i4>5</vt:i4>
      </vt:variant>
      <vt:variant>
        <vt:lpwstr/>
      </vt:variant>
      <vt:variant>
        <vt:lpwstr>_Toc44536690</vt:lpwstr>
      </vt:variant>
      <vt:variant>
        <vt:i4>2031679</vt:i4>
      </vt:variant>
      <vt:variant>
        <vt:i4>32</vt:i4>
      </vt:variant>
      <vt:variant>
        <vt:i4>0</vt:i4>
      </vt:variant>
      <vt:variant>
        <vt:i4>5</vt:i4>
      </vt:variant>
      <vt:variant>
        <vt:lpwstr/>
      </vt:variant>
      <vt:variant>
        <vt:lpwstr>_Toc44536689</vt:lpwstr>
      </vt:variant>
      <vt:variant>
        <vt:i4>1966143</vt:i4>
      </vt:variant>
      <vt:variant>
        <vt:i4>26</vt:i4>
      </vt:variant>
      <vt:variant>
        <vt:i4>0</vt:i4>
      </vt:variant>
      <vt:variant>
        <vt:i4>5</vt:i4>
      </vt:variant>
      <vt:variant>
        <vt:lpwstr/>
      </vt:variant>
      <vt:variant>
        <vt:lpwstr>_Toc44536688</vt:lpwstr>
      </vt:variant>
      <vt:variant>
        <vt:i4>1114175</vt:i4>
      </vt:variant>
      <vt:variant>
        <vt:i4>20</vt:i4>
      </vt:variant>
      <vt:variant>
        <vt:i4>0</vt:i4>
      </vt:variant>
      <vt:variant>
        <vt:i4>5</vt:i4>
      </vt:variant>
      <vt:variant>
        <vt:lpwstr/>
      </vt:variant>
      <vt:variant>
        <vt:lpwstr>_Toc44536687</vt:lpwstr>
      </vt:variant>
      <vt:variant>
        <vt:i4>1048639</vt:i4>
      </vt:variant>
      <vt:variant>
        <vt:i4>14</vt:i4>
      </vt:variant>
      <vt:variant>
        <vt:i4>0</vt:i4>
      </vt:variant>
      <vt:variant>
        <vt:i4>5</vt:i4>
      </vt:variant>
      <vt:variant>
        <vt:lpwstr/>
      </vt:variant>
      <vt:variant>
        <vt:lpwstr>_Toc44536686</vt:lpwstr>
      </vt:variant>
      <vt:variant>
        <vt:i4>1245247</vt:i4>
      </vt:variant>
      <vt:variant>
        <vt:i4>8</vt:i4>
      </vt:variant>
      <vt:variant>
        <vt:i4>0</vt:i4>
      </vt:variant>
      <vt:variant>
        <vt:i4>5</vt:i4>
      </vt:variant>
      <vt:variant>
        <vt:lpwstr/>
      </vt:variant>
      <vt:variant>
        <vt:lpwstr>_Toc44536685</vt:lpwstr>
      </vt:variant>
      <vt:variant>
        <vt:i4>1179711</vt:i4>
      </vt:variant>
      <vt:variant>
        <vt:i4>2</vt:i4>
      </vt:variant>
      <vt:variant>
        <vt:i4>0</vt:i4>
      </vt:variant>
      <vt:variant>
        <vt:i4>5</vt:i4>
      </vt:variant>
      <vt:variant>
        <vt:lpwstr/>
      </vt:variant>
      <vt:variant>
        <vt:lpwstr>_Toc44536684</vt:lpwstr>
      </vt:variant>
      <vt:variant>
        <vt:i4>327806</vt:i4>
      </vt:variant>
      <vt:variant>
        <vt:i4>45</vt:i4>
      </vt:variant>
      <vt:variant>
        <vt:i4>0</vt:i4>
      </vt:variant>
      <vt:variant>
        <vt:i4>5</vt:i4>
      </vt:variant>
      <vt:variant>
        <vt:lpwstr>https://www.aph.gov.au/-/media/Committees/Senate/committee/humanrights_ctte/reports/2019/Annual_Report_2018/c02.pdf?la=en&amp;hash=60A9FA230E76936BDDB0B38659D16ED08342A0A5</vt:lpwstr>
      </vt:variant>
      <vt:variant>
        <vt:lpwstr/>
      </vt:variant>
      <vt:variant>
        <vt:i4>2424931</vt:i4>
      </vt:variant>
      <vt:variant>
        <vt:i4>42</vt:i4>
      </vt:variant>
      <vt:variant>
        <vt:i4>0</vt:i4>
      </vt:variant>
      <vt:variant>
        <vt:i4>5</vt:i4>
      </vt:variant>
      <vt:variant>
        <vt:lpwstr>https://www.abc.net.au/news/2020-06-08/housing-homeless-in-pandemic-has-worked-lets-make-it-permanent/12330442</vt:lpwstr>
      </vt:variant>
      <vt:variant>
        <vt:lpwstr/>
      </vt:variant>
      <vt:variant>
        <vt:i4>1966097</vt:i4>
      </vt:variant>
      <vt:variant>
        <vt:i4>39</vt:i4>
      </vt:variant>
      <vt:variant>
        <vt:i4>0</vt:i4>
      </vt:variant>
      <vt:variant>
        <vt:i4>5</vt:i4>
      </vt:variant>
      <vt:variant>
        <vt:lpwstr>https://issr.uq.edu.au/files/4003/BrisbaneCommonGroundFinalReport.pdf</vt:lpwstr>
      </vt:variant>
      <vt:variant>
        <vt:lpwstr/>
      </vt:variant>
      <vt:variant>
        <vt:i4>3211371</vt:i4>
      </vt:variant>
      <vt:variant>
        <vt:i4>36</vt:i4>
      </vt:variant>
      <vt:variant>
        <vt:i4>0</vt:i4>
      </vt:variant>
      <vt:variant>
        <vt:i4>5</vt:i4>
      </vt:variant>
      <vt:variant>
        <vt:lpwstr>https://www.qld.gov.au/housing/emergency-temporary-accommodation/homelessness-prevention</vt:lpwstr>
      </vt:variant>
      <vt:variant>
        <vt:lpwstr>:~:text=A%20staggering%2020%2C000%20people%20in,temporary%2C%20unstable%20or%20substandard%20accommodation.</vt:lpwstr>
      </vt:variant>
      <vt:variant>
        <vt:i4>7667762</vt:i4>
      </vt:variant>
      <vt:variant>
        <vt:i4>33</vt:i4>
      </vt:variant>
      <vt:variant>
        <vt:i4>0</vt:i4>
      </vt:variant>
      <vt:variant>
        <vt:i4>5</vt:i4>
      </vt:variant>
      <vt:variant>
        <vt:lpwstr>https://www.homelessnessaustralia.org.au/about/homelessness-statistics</vt:lpwstr>
      </vt:variant>
      <vt:variant>
        <vt:lpwstr/>
      </vt:variant>
      <vt:variant>
        <vt:i4>8060962</vt:i4>
      </vt:variant>
      <vt:variant>
        <vt:i4>30</vt:i4>
      </vt:variant>
      <vt:variant>
        <vt:i4>0</vt:i4>
      </vt:variant>
      <vt:variant>
        <vt:i4>5</vt:i4>
      </vt:variant>
      <vt:variant>
        <vt:lpwstr>https://www.couriermail.com.au/coronavirus/coronavirus-qld-elite-schools-in-plea-to-help-forgotten-students-kept-away-due-to-boarding-restrictions/news-story/c74c7d5132078b0af6fbc5030c9e8243</vt:lpwstr>
      </vt:variant>
      <vt:variant>
        <vt:lpwstr/>
      </vt:variant>
      <vt:variant>
        <vt:i4>196680</vt:i4>
      </vt:variant>
      <vt:variant>
        <vt:i4>27</vt:i4>
      </vt:variant>
      <vt:variant>
        <vt:i4>0</vt:i4>
      </vt:variant>
      <vt:variant>
        <vt:i4>5</vt:i4>
      </vt:variant>
      <vt:variant>
        <vt:lpwstr>https://www.abc.net.au/news/2020-05-09/coronavirus-covid-19-racist-attacks-data-collection-strategy/12229162?nw=0</vt:lpwstr>
      </vt:variant>
      <vt:variant>
        <vt:lpwstr/>
      </vt:variant>
      <vt:variant>
        <vt:i4>1507421</vt:i4>
      </vt:variant>
      <vt:variant>
        <vt:i4>24</vt:i4>
      </vt:variant>
      <vt:variant>
        <vt:i4>0</vt:i4>
      </vt:variant>
      <vt:variant>
        <vt:i4>5</vt:i4>
      </vt:variant>
      <vt:variant>
        <vt:lpwstr>https://www.qld.gov.au/disability/adults/covid-19-coronavirus</vt:lpwstr>
      </vt:variant>
      <vt:variant>
        <vt:lpwstr/>
      </vt:variant>
      <vt:variant>
        <vt:i4>3997741</vt:i4>
      </vt:variant>
      <vt:variant>
        <vt:i4>21</vt:i4>
      </vt:variant>
      <vt:variant>
        <vt:i4>0</vt:i4>
      </vt:variant>
      <vt:variant>
        <vt:i4>5</vt:i4>
      </vt:variant>
      <vt:variant>
        <vt:lpwstr>https://www.parliament.qld.gov.au/documents/committees/HCDSDFVPC/2020/COVID-19/bp-16Jun2020.pdf</vt:lpwstr>
      </vt:variant>
      <vt:variant>
        <vt:lpwstr/>
      </vt:variant>
      <vt:variant>
        <vt:i4>1114189</vt:i4>
      </vt:variant>
      <vt:variant>
        <vt:i4>18</vt:i4>
      </vt:variant>
      <vt:variant>
        <vt:i4>0</vt:i4>
      </vt:variant>
      <vt:variant>
        <vt:i4>5</vt:i4>
      </vt:variant>
      <vt:variant>
        <vt:lpwstr>https://credh.org.au/news-events-archived/covid-19-and-people-with-disabilities/</vt:lpwstr>
      </vt:variant>
      <vt:variant>
        <vt:lpwstr/>
      </vt:variant>
      <vt:variant>
        <vt:i4>7340074</vt:i4>
      </vt:variant>
      <vt:variant>
        <vt:i4>15</vt:i4>
      </vt:variant>
      <vt:variant>
        <vt:i4>0</vt:i4>
      </vt:variant>
      <vt:variant>
        <vt:i4>5</vt:i4>
      </vt:variant>
      <vt:variant>
        <vt:lpwstr>https://mcusercontent.com/c75d12b0ea3d513c036636c7d/files/dcfff274-d57b-4f60-89de-6382b7fbb293/An_Open_Letter_to_The_National_Cabinet_Final_small.pdf</vt:lpwstr>
      </vt:variant>
      <vt:variant>
        <vt:lpwstr/>
      </vt:variant>
      <vt:variant>
        <vt:i4>6029325</vt:i4>
      </vt:variant>
      <vt:variant>
        <vt:i4>12</vt:i4>
      </vt:variant>
      <vt:variant>
        <vt:i4>0</vt:i4>
      </vt:variant>
      <vt:variant>
        <vt:i4>5</vt:i4>
      </vt:variant>
      <vt:variant>
        <vt:lpwstr>https://disability.royalcommission.gov.au/publications/statement-concern-response-covid-19-pandemic-people-disability</vt:lpwstr>
      </vt:variant>
      <vt:variant>
        <vt:lpwstr/>
      </vt:variant>
      <vt:variant>
        <vt:i4>3539011</vt:i4>
      </vt:variant>
      <vt:variant>
        <vt:i4>9</vt:i4>
      </vt:variant>
      <vt:variant>
        <vt:i4>0</vt:i4>
      </vt:variant>
      <vt:variant>
        <vt:i4>5</vt:i4>
      </vt:variant>
      <vt:variant>
        <vt:lpwstr>https://www.health.qld.gov.au/__data/assets/pdf_file/0025/955303/covid-19-ethical-framework.pdf</vt:lpwstr>
      </vt:variant>
      <vt:variant>
        <vt:lpwstr/>
      </vt:variant>
      <vt:variant>
        <vt:i4>6357029</vt:i4>
      </vt:variant>
      <vt:variant>
        <vt:i4>6</vt:i4>
      </vt:variant>
      <vt:variant>
        <vt:i4>0</vt:i4>
      </vt:variant>
      <vt:variant>
        <vt:i4>5</vt:i4>
      </vt:variant>
      <vt:variant>
        <vt:lpwstr>https://www.youthjustice.qld.gov.au/resources/youthjustice/resources/pocket-stats-18-19.pdf</vt:lpwstr>
      </vt:variant>
      <vt:variant>
        <vt:lpwstr/>
      </vt:variant>
      <vt:variant>
        <vt:i4>7471207</vt:i4>
      </vt:variant>
      <vt:variant>
        <vt:i4>3</vt:i4>
      </vt:variant>
      <vt:variant>
        <vt:i4>0</vt:i4>
      </vt:variant>
      <vt:variant>
        <vt:i4>5</vt:i4>
      </vt:variant>
      <vt:variant>
        <vt:lpwstr>https://corrections.qld.gov.au/wp-content/uploads/2020/06/Recovery-Plan-poster-v5-20200611.pdf</vt:lpwstr>
      </vt:variant>
      <vt:variant>
        <vt:lpwstr/>
      </vt:variant>
      <vt:variant>
        <vt:i4>1900563</vt:i4>
      </vt:variant>
      <vt:variant>
        <vt:i4>0</vt:i4>
      </vt:variant>
      <vt:variant>
        <vt:i4>0</vt:i4>
      </vt:variant>
      <vt:variant>
        <vt:i4>5</vt:i4>
      </vt:variant>
      <vt:variant>
        <vt:lpwstr>https://corrections.qld.gov.au/covid-19-versus-human-rights/</vt:lpwstr>
      </vt:variant>
      <vt:variant>
        <vt:lpwstr/>
      </vt:variant>
      <vt:variant>
        <vt:i4>5177430</vt:i4>
      </vt:variant>
      <vt:variant>
        <vt:i4>0</vt:i4>
      </vt:variant>
      <vt:variant>
        <vt:i4>0</vt:i4>
      </vt:variant>
      <vt:variant>
        <vt:i4>5</vt:i4>
      </vt:variant>
      <vt:variant>
        <vt:lpwstr>https://www.racp.edu.au/docs/default-source/default-document-library/refugee-and-asylum-seeker-health-position-statement.pdf?sfvrsn=2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Heather Corkhill</dc:creator>
  <cp:keywords/>
  <dc:description/>
  <cp:lastModifiedBy>Heather Corkhill</cp:lastModifiedBy>
  <cp:revision>41</cp:revision>
  <cp:lastPrinted>2020-07-06T06:04:00Z</cp:lastPrinted>
  <dcterms:created xsi:type="dcterms:W3CDTF">2020-07-06T05:33:00Z</dcterms:created>
  <dcterms:modified xsi:type="dcterms:W3CDTF">2020-07-06T06:05:00Z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0x010100403E084C2B5FDE4DAA0444A51E1C7627</vt:lpwstr>
  </property>
</Properties>
</file>