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E4EE9" w14:textId="77777777" w:rsidR="00D94A24" w:rsidRPr="001D4262" w:rsidRDefault="00D94A24" w:rsidP="00D94A24">
      <w:pPr>
        <w:spacing w:after="240" w:line="22" w:lineRule="atLeast"/>
        <w:rPr>
          <w:rFonts w:cs="Arial"/>
          <w:szCs w:val="24"/>
        </w:rPr>
      </w:pPr>
      <w:r w:rsidRPr="001D4262">
        <w:rPr>
          <w:rFonts w:cs="Arial"/>
          <w:szCs w:val="24"/>
        </w:rPr>
        <w:t>Our reference: BNE3417159</w:t>
      </w:r>
    </w:p>
    <w:p w14:paraId="6715F159" w14:textId="7525F081" w:rsidR="00D94A24" w:rsidRPr="001D4262" w:rsidRDefault="008362AF" w:rsidP="00D94A24">
      <w:pPr>
        <w:spacing w:after="0" w:line="22" w:lineRule="atLeast"/>
        <w:rPr>
          <w:rFonts w:cs="Arial"/>
          <w:szCs w:val="24"/>
        </w:rPr>
      </w:pPr>
      <w:r>
        <w:rPr>
          <w:rFonts w:cs="Arial"/>
          <w:szCs w:val="24"/>
        </w:rPr>
        <w:t>25</w:t>
      </w:r>
      <w:r w:rsidR="00EE02D3" w:rsidRPr="001D4262">
        <w:rPr>
          <w:rFonts w:cs="Arial"/>
          <w:szCs w:val="24"/>
        </w:rPr>
        <w:t xml:space="preserve"> </w:t>
      </w:r>
      <w:r w:rsidR="00D94A24" w:rsidRPr="001D4262">
        <w:rPr>
          <w:rFonts w:cs="Arial"/>
          <w:szCs w:val="24"/>
        </w:rPr>
        <w:t>September 2020</w:t>
      </w:r>
    </w:p>
    <w:p w14:paraId="4FD8BFB8" w14:textId="77777777" w:rsidR="00D94A24" w:rsidRPr="001D4262" w:rsidRDefault="00D94A24" w:rsidP="00D94A24">
      <w:pPr>
        <w:spacing w:after="0" w:line="22" w:lineRule="atLeast"/>
        <w:rPr>
          <w:rFonts w:cs="Arial"/>
          <w:szCs w:val="24"/>
        </w:rPr>
      </w:pPr>
    </w:p>
    <w:p w14:paraId="493FCE42" w14:textId="77777777" w:rsidR="00D94A24" w:rsidRPr="001D4262" w:rsidRDefault="00D94A24" w:rsidP="00D94A24">
      <w:pPr>
        <w:spacing w:after="0" w:line="22" w:lineRule="atLeast"/>
        <w:rPr>
          <w:rFonts w:cs="Arial"/>
          <w:szCs w:val="24"/>
        </w:rPr>
      </w:pPr>
      <w:r w:rsidRPr="001D4262">
        <w:rPr>
          <w:rFonts w:cs="Arial"/>
          <w:szCs w:val="24"/>
        </w:rPr>
        <w:t>Chair</w:t>
      </w:r>
    </w:p>
    <w:p w14:paraId="2FD8A0B4" w14:textId="77777777" w:rsidR="00D94A24" w:rsidRPr="001D4262" w:rsidRDefault="00D94A24" w:rsidP="00D94A24">
      <w:pPr>
        <w:spacing w:after="0" w:line="22" w:lineRule="atLeast"/>
        <w:rPr>
          <w:rFonts w:cs="Arial"/>
          <w:szCs w:val="24"/>
        </w:rPr>
      </w:pPr>
      <w:r w:rsidRPr="001D4262">
        <w:rPr>
          <w:rFonts w:cs="Arial"/>
          <w:szCs w:val="24"/>
        </w:rPr>
        <w:t>Legal Affairs and Community Safety Committee</w:t>
      </w:r>
    </w:p>
    <w:p w14:paraId="2499F45B" w14:textId="77777777" w:rsidR="00D94A24" w:rsidRPr="001D4262" w:rsidRDefault="00D94A24" w:rsidP="00D94A24">
      <w:pPr>
        <w:spacing w:after="0" w:line="22" w:lineRule="atLeast"/>
        <w:rPr>
          <w:rFonts w:cs="Arial"/>
          <w:szCs w:val="24"/>
        </w:rPr>
      </w:pPr>
      <w:r w:rsidRPr="001D4262">
        <w:rPr>
          <w:rFonts w:cs="Arial"/>
          <w:szCs w:val="24"/>
        </w:rPr>
        <w:t>Parliament House</w:t>
      </w:r>
    </w:p>
    <w:p w14:paraId="41400E2A" w14:textId="77777777" w:rsidR="00D94A24" w:rsidRPr="001D4262" w:rsidRDefault="00D94A24" w:rsidP="00D94A24">
      <w:pPr>
        <w:spacing w:after="0" w:line="22" w:lineRule="atLeast"/>
        <w:rPr>
          <w:rFonts w:cs="Arial"/>
          <w:szCs w:val="24"/>
        </w:rPr>
      </w:pPr>
      <w:r w:rsidRPr="001D4262">
        <w:rPr>
          <w:rFonts w:cs="Arial"/>
          <w:szCs w:val="24"/>
        </w:rPr>
        <w:t>George Street</w:t>
      </w:r>
    </w:p>
    <w:p w14:paraId="516C498F" w14:textId="77777777" w:rsidR="00D94A24" w:rsidRPr="001D4262" w:rsidRDefault="00D94A24" w:rsidP="00D94A24">
      <w:pPr>
        <w:spacing w:after="0" w:line="22" w:lineRule="atLeast"/>
        <w:rPr>
          <w:rFonts w:cs="Arial"/>
          <w:szCs w:val="24"/>
        </w:rPr>
      </w:pPr>
      <w:r w:rsidRPr="001D4262">
        <w:rPr>
          <w:rFonts w:cs="Arial"/>
          <w:szCs w:val="24"/>
        </w:rPr>
        <w:t>BRISBANE QLD 4000</w:t>
      </w:r>
    </w:p>
    <w:p w14:paraId="424EC6CB" w14:textId="77777777" w:rsidR="00D94A24" w:rsidRPr="001D4262" w:rsidRDefault="00D94A24" w:rsidP="00D94A24">
      <w:pPr>
        <w:spacing w:after="0" w:line="22" w:lineRule="atLeast"/>
        <w:rPr>
          <w:rFonts w:cs="Arial"/>
          <w:szCs w:val="24"/>
        </w:rPr>
      </w:pPr>
    </w:p>
    <w:p w14:paraId="632D3D66" w14:textId="77777777" w:rsidR="00D94A24" w:rsidRPr="001D4262" w:rsidRDefault="00D94A24" w:rsidP="00D94A24">
      <w:pPr>
        <w:spacing w:after="0" w:line="22" w:lineRule="atLeast"/>
        <w:rPr>
          <w:rFonts w:cs="Arial"/>
          <w:b/>
          <w:i/>
          <w:szCs w:val="24"/>
        </w:rPr>
      </w:pPr>
      <w:r w:rsidRPr="001D4262">
        <w:rPr>
          <w:rFonts w:cs="Arial"/>
          <w:b/>
          <w:i/>
          <w:szCs w:val="24"/>
        </w:rPr>
        <w:t xml:space="preserve">By email: </w:t>
      </w:r>
      <w:hyperlink r:id="rId8" w:history="1">
        <w:r w:rsidRPr="001D4262">
          <w:rPr>
            <w:rStyle w:val="Hyperlink"/>
            <w:rFonts w:cs="Arial"/>
            <w:b/>
            <w:i/>
            <w:szCs w:val="24"/>
          </w:rPr>
          <w:t>lacsc@parliament.qld.gov.au</w:t>
        </w:r>
      </w:hyperlink>
      <w:r w:rsidRPr="001D4262">
        <w:rPr>
          <w:rFonts w:cs="Arial"/>
          <w:b/>
          <w:i/>
          <w:szCs w:val="24"/>
        </w:rPr>
        <w:t xml:space="preserve"> </w:t>
      </w:r>
    </w:p>
    <w:p w14:paraId="59996239" w14:textId="77777777" w:rsidR="00D94A24" w:rsidRPr="001D4262" w:rsidRDefault="00D94A24" w:rsidP="00D94A24">
      <w:pPr>
        <w:spacing w:after="0" w:line="22" w:lineRule="atLeast"/>
        <w:rPr>
          <w:rFonts w:cs="Arial"/>
          <w:szCs w:val="24"/>
        </w:rPr>
      </w:pPr>
    </w:p>
    <w:p w14:paraId="6C59FB52" w14:textId="77777777" w:rsidR="00D94A24" w:rsidRPr="001D4262" w:rsidRDefault="00D94A24" w:rsidP="00D94A24">
      <w:pPr>
        <w:spacing w:before="120" w:after="240" w:line="22" w:lineRule="atLeast"/>
        <w:rPr>
          <w:rFonts w:cs="Arial"/>
          <w:szCs w:val="24"/>
        </w:rPr>
      </w:pPr>
      <w:r w:rsidRPr="001D4262">
        <w:rPr>
          <w:rFonts w:cs="Arial"/>
          <w:szCs w:val="24"/>
        </w:rPr>
        <w:t>Dear Chair</w:t>
      </w:r>
    </w:p>
    <w:p w14:paraId="530B7817" w14:textId="77777777" w:rsidR="00D94A24" w:rsidRPr="001D4262" w:rsidRDefault="00D94A24" w:rsidP="00D94A24">
      <w:pPr>
        <w:spacing w:before="120" w:after="240" w:line="22" w:lineRule="atLeast"/>
        <w:rPr>
          <w:rFonts w:cs="Arial"/>
          <w:b/>
          <w:szCs w:val="24"/>
        </w:rPr>
      </w:pPr>
      <w:r w:rsidRPr="001D4262">
        <w:rPr>
          <w:rFonts w:cs="Arial"/>
          <w:b/>
          <w:szCs w:val="24"/>
        </w:rPr>
        <w:t>Criminal Code (Consent and Mistake of Fact) and Other Legislation Amendment Bill 2020</w:t>
      </w:r>
    </w:p>
    <w:p w14:paraId="7A0AFB92" w14:textId="6BE80F23" w:rsidR="00D94A24" w:rsidRPr="001D4262" w:rsidRDefault="00D94A24" w:rsidP="00D94A24">
      <w:pPr>
        <w:rPr>
          <w:rFonts w:cs="Arial"/>
          <w:szCs w:val="24"/>
        </w:rPr>
      </w:pPr>
      <w:r w:rsidRPr="001D4262">
        <w:rPr>
          <w:rFonts w:cs="Arial"/>
          <w:szCs w:val="24"/>
        </w:rPr>
        <w:t>Thank you for the opportunity to provide a submission to the Committee’s consideration of the Criminal Code (Consent and Mistake of Fact) and Other Legislation Amendment Bill 2020</w:t>
      </w:r>
      <w:r w:rsidR="00EC443A">
        <w:rPr>
          <w:rFonts w:cs="Arial"/>
          <w:szCs w:val="24"/>
        </w:rPr>
        <w:t xml:space="preserve"> (the Bill)</w:t>
      </w:r>
      <w:r w:rsidRPr="001D4262">
        <w:rPr>
          <w:rFonts w:cs="Arial"/>
          <w:szCs w:val="24"/>
        </w:rPr>
        <w:t xml:space="preserve">. </w:t>
      </w:r>
    </w:p>
    <w:p w14:paraId="1261FB7D" w14:textId="4F16D7BA" w:rsidR="00D94A24" w:rsidRPr="001D4262" w:rsidRDefault="007A4895" w:rsidP="00D94A24">
      <w:pPr>
        <w:rPr>
          <w:rFonts w:cs="Arial"/>
          <w:b/>
          <w:szCs w:val="24"/>
        </w:rPr>
      </w:pPr>
      <w:r>
        <w:rPr>
          <w:rFonts w:cs="Arial"/>
          <w:b/>
          <w:szCs w:val="24"/>
        </w:rPr>
        <w:t>The Role of the Human Rights Commission</w:t>
      </w:r>
    </w:p>
    <w:p w14:paraId="53F9B02B" w14:textId="3A5EEABD" w:rsidR="00D94A24" w:rsidRPr="001D4262" w:rsidRDefault="00D94A24" w:rsidP="00D94A24">
      <w:pPr>
        <w:rPr>
          <w:rFonts w:cs="Arial"/>
          <w:szCs w:val="24"/>
        </w:rPr>
      </w:pPr>
      <w:r w:rsidRPr="001D4262">
        <w:rPr>
          <w:rFonts w:cs="Arial"/>
          <w:szCs w:val="24"/>
        </w:rPr>
        <w:t xml:space="preserve">The </w:t>
      </w:r>
      <w:r w:rsidR="00486B8F">
        <w:rPr>
          <w:rFonts w:cs="Arial"/>
          <w:szCs w:val="24"/>
        </w:rPr>
        <w:t>Queensland Human Rights Commission (QHRC)</w:t>
      </w:r>
      <w:r w:rsidR="00486B8F" w:rsidRPr="001D4262">
        <w:rPr>
          <w:rFonts w:cs="Arial"/>
          <w:szCs w:val="24"/>
        </w:rPr>
        <w:t xml:space="preserve"> </w:t>
      </w:r>
      <w:r w:rsidRPr="001D4262">
        <w:rPr>
          <w:rFonts w:cs="Arial"/>
          <w:szCs w:val="24"/>
        </w:rPr>
        <w:t xml:space="preserve">has functions under the </w:t>
      </w:r>
      <w:r w:rsidRPr="001D4262">
        <w:rPr>
          <w:rFonts w:cs="Arial"/>
          <w:i/>
          <w:szCs w:val="24"/>
        </w:rPr>
        <w:t>Anti-Discrimination Act 1991</w:t>
      </w:r>
      <w:r w:rsidRPr="001D4262">
        <w:rPr>
          <w:rFonts w:cs="Arial"/>
          <w:szCs w:val="24"/>
        </w:rPr>
        <w:t xml:space="preserve"> (ADA) and the </w:t>
      </w:r>
      <w:r w:rsidRPr="001D4262">
        <w:rPr>
          <w:rFonts w:cs="Arial"/>
          <w:i/>
          <w:szCs w:val="24"/>
        </w:rPr>
        <w:t xml:space="preserve">Human Rights Act 2019 </w:t>
      </w:r>
      <w:r w:rsidRPr="001D4262">
        <w:rPr>
          <w:rFonts w:cs="Arial"/>
          <w:szCs w:val="24"/>
        </w:rPr>
        <w:t>(HRA) to promote an understanding and discussion of human rights in Queensland, and to provide information and educative services about human rights.</w:t>
      </w:r>
    </w:p>
    <w:p w14:paraId="53D6CCC2" w14:textId="13F13F9D" w:rsidR="00681105" w:rsidRDefault="00D94A24" w:rsidP="00D94A24">
      <w:pPr>
        <w:rPr>
          <w:rFonts w:cs="Arial"/>
          <w:szCs w:val="24"/>
        </w:rPr>
      </w:pPr>
      <w:r w:rsidRPr="001D4262">
        <w:rPr>
          <w:rFonts w:cs="Arial"/>
          <w:szCs w:val="24"/>
        </w:rPr>
        <w:t xml:space="preserve">This submission </w:t>
      </w:r>
      <w:r w:rsidR="00681105">
        <w:rPr>
          <w:rFonts w:cs="Arial"/>
          <w:szCs w:val="24"/>
        </w:rPr>
        <w:t>focuses on</w:t>
      </w:r>
      <w:r w:rsidR="00681105" w:rsidRPr="001D4262">
        <w:rPr>
          <w:rFonts w:cs="Arial"/>
          <w:szCs w:val="24"/>
        </w:rPr>
        <w:t xml:space="preserve"> </w:t>
      </w:r>
      <w:r w:rsidRPr="001D4262">
        <w:rPr>
          <w:rFonts w:cs="Arial"/>
          <w:szCs w:val="24"/>
        </w:rPr>
        <w:t xml:space="preserve">the application of the Queensland </w:t>
      </w:r>
      <w:r w:rsidRPr="001D4262">
        <w:rPr>
          <w:rFonts w:cs="Arial"/>
          <w:i/>
          <w:szCs w:val="24"/>
        </w:rPr>
        <w:t xml:space="preserve">Human Rights Act </w:t>
      </w:r>
      <w:r w:rsidR="008362AF" w:rsidRPr="001D4262">
        <w:rPr>
          <w:rFonts w:cs="Arial"/>
          <w:i/>
          <w:szCs w:val="24"/>
        </w:rPr>
        <w:t xml:space="preserve">2019 </w:t>
      </w:r>
      <w:r w:rsidR="008362AF">
        <w:rPr>
          <w:rFonts w:cs="Arial"/>
          <w:szCs w:val="24"/>
        </w:rPr>
        <w:t>to</w:t>
      </w:r>
      <w:r w:rsidR="00FA374F">
        <w:rPr>
          <w:rFonts w:cs="Arial"/>
          <w:szCs w:val="24"/>
        </w:rPr>
        <w:t xml:space="preserve"> the </w:t>
      </w:r>
      <w:r w:rsidR="00FA374F">
        <w:rPr>
          <w:rFonts w:cs="Arial"/>
          <w:i/>
          <w:szCs w:val="24"/>
        </w:rPr>
        <w:t xml:space="preserve">Criminal Code </w:t>
      </w:r>
      <w:r w:rsidR="00F03D05">
        <w:rPr>
          <w:rFonts w:cs="Arial"/>
          <w:szCs w:val="24"/>
        </w:rPr>
        <w:t xml:space="preserve">amendments </w:t>
      </w:r>
      <w:r w:rsidR="00FA374F">
        <w:rPr>
          <w:rFonts w:cs="Arial"/>
          <w:szCs w:val="24"/>
        </w:rPr>
        <w:t>in the Bill</w:t>
      </w:r>
      <w:r w:rsidR="00066B03">
        <w:rPr>
          <w:rFonts w:cs="Arial"/>
          <w:szCs w:val="24"/>
        </w:rPr>
        <w:t>.</w:t>
      </w:r>
      <w:r w:rsidR="00066B03">
        <w:rPr>
          <w:rStyle w:val="FootnoteReference"/>
        </w:rPr>
        <w:footnoteReference w:id="1"/>
      </w:r>
      <w:r w:rsidRPr="001D4262">
        <w:rPr>
          <w:rFonts w:cs="Arial"/>
          <w:szCs w:val="24"/>
        </w:rPr>
        <w:t xml:space="preserve"> </w:t>
      </w:r>
      <w:r w:rsidR="00681105">
        <w:rPr>
          <w:rFonts w:cs="Arial"/>
          <w:szCs w:val="24"/>
        </w:rPr>
        <w:t>The Statement of Compatibility seeks to justify other amendments in the Bill that limit human rights. The QHRC does not provide further comment on those proposals</w:t>
      </w:r>
      <w:r w:rsidR="00681105" w:rsidRPr="001D4262">
        <w:rPr>
          <w:rFonts w:cs="Arial"/>
          <w:szCs w:val="24"/>
        </w:rPr>
        <w:t xml:space="preserve"> </w:t>
      </w:r>
    </w:p>
    <w:p w14:paraId="2CE83F95" w14:textId="046C7C81" w:rsidR="00D94A24" w:rsidRDefault="00D94A24" w:rsidP="00D94A24">
      <w:pPr>
        <w:rPr>
          <w:rFonts w:cs="Arial"/>
          <w:szCs w:val="24"/>
        </w:rPr>
      </w:pPr>
      <w:r w:rsidRPr="001D4262">
        <w:rPr>
          <w:rFonts w:cs="Arial"/>
          <w:szCs w:val="24"/>
        </w:rPr>
        <w:t xml:space="preserve">The HRA provides a framework to balance the rights of </w:t>
      </w:r>
      <w:r w:rsidR="00AE2F9A">
        <w:rPr>
          <w:rFonts w:cs="Arial"/>
          <w:szCs w:val="24"/>
        </w:rPr>
        <w:t>people in Queensland</w:t>
      </w:r>
      <w:r w:rsidR="00280B8C">
        <w:rPr>
          <w:rFonts w:cs="Arial"/>
          <w:szCs w:val="24"/>
        </w:rPr>
        <w:t xml:space="preserve"> with </w:t>
      </w:r>
      <w:r w:rsidR="00AE2F9A">
        <w:rPr>
          <w:rFonts w:cs="Arial"/>
          <w:szCs w:val="24"/>
        </w:rPr>
        <w:t xml:space="preserve">the need to achieve </w:t>
      </w:r>
      <w:r w:rsidR="00280B8C">
        <w:rPr>
          <w:rFonts w:cs="Arial"/>
          <w:szCs w:val="24"/>
        </w:rPr>
        <w:t>community safety</w:t>
      </w:r>
      <w:r w:rsidRPr="001D4262">
        <w:rPr>
          <w:rFonts w:cs="Arial"/>
          <w:szCs w:val="24"/>
        </w:rPr>
        <w:t xml:space="preserve">. The criminal law limits and promotes several rights, most particularly </w:t>
      </w:r>
      <w:r w:rsidR="000F427B">
        <w:rPr>
          <w:rFonts w:cs="Arial"/>
          <w:szCs w:val="24"/>
        </w:rPr>
        <w:t xml:space="preserve">the rights </w:t>
      </w:r>
      <w:r w:rsidRPr="001D4262">
        <w:rPr>
          <w:rFonts w:cs="Arial"/>
          <w:szCs w:val="24"/>
        </w:rPr>
        <w:t>of an accused,</w:t>
      </w:r>
      <w:r w:rsidR="00AE2F9A">
        <w:rPr>
          <w:rFonts w:cs="Arial"/>
          <w:szCs w:val="24"/>
        </w:rPr>
        <w:t xml:space="preserve"> </w:t>
      </w:r>
      <w:r w:rsidR="008362AF">
        <w:rPr>
          <w:rFonts w:cs="Arial"/>
          <w:szCs w:val="24"/>
        </w:rPr>
        <w:t>and the</w:t>
      </w:r>
      <w:r w:rsidR="000F427B">
        <w:rPr>
          <w:rFonts w:cs="Arial"/>
          <w:szCs w:val="24"/>
        </w:rPr>
        <w:t xml:space="preserve"> rights of </w:t>
      </w:r>
      <w:r w:rsidR="00AE2F9A">
        <w:rPr>
          <w:rFonts w:cs="Arial"/>
          <w:szCs w:val="24"/>
        </w:rPr>
        <w:t xml:space="preserve">victims of crime </w:t>
      </w:r>
      <w:r w:rsidRPr="001D4262">
        <w:rPr>
          <w:rFonts w:cs="Arial"/>
          <w:szCs w:val="24"/>
        </w:rPr>
        <w:t xml:space="preserve">as well as the broader </w:t>
      </w:r>
      <w:r w:rsidR="000F427B">
        <w:rPr>
          <w:rFonts w:cs="Arial"/>
          <w:szCs w:val="24"/>
        </w:rPr>
        <w:t>community</w:t>
      </w:r>
      <w:r w:rsidRPr="001D4262">
        <w:rPr>
          <w:rFonts w:cs="Arial"/>
          <w:szCs w:val="24"/>
        </w:rPr>
        <w:t>.</w:t>
      </w:r>
    </w:p>
    <w:p w14:paraId="2F311C3C" w14:textId="4A376E74" w:rsidR="007A4895" w:rsidRDefault="00D81D36" w:rsidP="00D94A24">
      <w:pPr>
        <w:rPr>
          <w:rFonts w:cs="Arial"/>
          <w:szCs w:val="24"/>
        </w:rPr>
        <w:sectPr w:rsidR="007A4895" w:rsidSect="000C13C7">
          <w:headerReference w:type="even" r:id="rId9"/>
          <w:headerReference w:type="default" r:id="rId10"/>
          <w:footerReference w:type="even" r:id="rId11"/>
          <w:footerReference w:type="default" r:id="rId12"/>
          <w:headerReference w:type="first" r:id="rId13"/>
          <w:footerReference w:type="first" r:id="rId14"/>
          <w:pgSz w:w="11906" w:h="16838"/>
          <w:pgMar w:top="2127" w:right="1440" w:bottom="1440" w:left="1134" w:header="708" w:footer="656" w:gutter="0"/>
          <w:cols w:space="708"/>
          <w:titlePg/>
          <w:docGrid w:linePitch="360"/>
        </w:sectPr>
      </w:pPr>
      <w:r>
        <w:rPr>
          <w:rFonts w:cs="Arial"/>
          <w:szCs w:val="24"/>
        </w:rPr>
        <w:t xml:space="preserve">In summary, the QHRC </w:t>
      </w:r>
      <w:r w:rsidR="007A4895">
        <w:rPr>
          <w:rFonts w:cs="Arial"/>
          <w:szCs w:val="24"/>
        </w:rPr>
        <w:t xml:space="preserve">agrees with the Government’s analysis that the legislation is a reasonable limitation on rights. However, consistent with the </w:t>
      </w:r>
      <w:r w:rsidR="00EC2C7C">
        <w:rPr>
          <w:rFonts w:cs="Arial"/>
          <w:szCs w:val="24"/>
        </w:rPr>
        <w:t xml:space="preserve">objects of the HRA to protect and promote the human rights of all individuals, including </w:t>
      </w:r>
      <w:r w:rsidR="007A4895">
        <w:rPr>
          <w:rFonts w:cs="Arial"/>
          <w:szCs w:val="24"/>
        </w:rPr>
        <w:t xml:space="preserve">victims, the Government should </w:t>
      </w:r>
      <w:r w:rsidR="00D813E0">
        <w:rPr>
          <w:rFonts w:cs="Arial"/>
          <w:szCs w:val="24"/>
        </w:rPr>
        <w:t xml:space="preserve">consider </w:t>
      </w:r>
      <w:r w:rsidR="00EC2C7C">
        <w:rPr>
          <w:rFonts w:cs="Arial"/>
          <w:szCs w:val="24"/>
        </w:rPr>
        <w:t>any</w:t>
      </w:r>
      <w:r w:rsidR="00D813E0">
        <w:rPr>
          <w:rFonts w:cs="Arial"/>
          <w:szCs w:val="24"/>
        </w:rPr>
        <w:t xml:space="preserve"> </w:t>
      </w:r>
      <w:r w:rsidR="00EC2C7C">
        <w:rPr>
          <w:rFonts w:cs="Arial"/>
          <w:szCs w:val="24"/>
        </w:rPr>
        <w:t>limits</w:t>
      </w:r>
      <w:r w:rsidR="00D813E0">
        <w:rPr>
          <w:rFonts w:cs="Arial"/>
          <w:szCs w:val="24"/>
        </w:rPr>
        <w:t xml:space="preserve"> on victims’ rights of the </w:t>
      </w:r>
      <w:r w:rsidR="00D813E0">
        <w:rPr>
          <w:rFonts w:cs="Arial"/>
          <w:i/>
          <w:szCs w:val="24"/>
        </w:rPr>
        <w:t xml:space="preserve">Criminal Code </w:t>
      </w:r>
      <w:r w:rsidR="00D813E0">
        <w:rPr>
          <w:rFonts w:cs="Arial"/>
          <w:szCs w:val="24"/>
        </w:rPr>
        <w:t xml:space="preserve">as </w:t>
      </w:r>
      <w:r w:rsidR="00D813E0">
        <w:rPr>
          <w:rFonts w:cs="Arial"/>
          <w:szCs w:val="24"/>
        </w:rPr>
        <w:lastRenderedPageBreak/>
        <w:t xml:space="preserve">amended and </w:t>
      </w:r>
      <w:r w:rsidR="007A4895">
        <w:rPr>
          <w:rFonts w:cs="Arial"/>
          <w:szCs w:val="24"/>
        </w:rPr>
        <w:t xml:space="preserve">closely monitor the impact of these changes to determine if further law reform in this area is necessary. </w:t>
      </w:r>
    </w:p>
    <w:p w14:paraId="64DC086D" w14:textId="13917184" w:rsidR="00D94A24" w:rsidRPr="001D4262" w:rsidRDefault="00D94A24" w:rsidP="007A4895">
      <w:pPr>
        <w:keepNext/>
        <w:keepLines/>
        <w:widowControl w:val="0"/>
        <w:spacing w:line="257" w:lineRule="auto"/>
        <w:rPr>
          <w:rFonts w:cs="Arial"/>
          <w:b/>
          <w:szCs w:val="24"/>
        </w:rPr>
      </w:pPr>
      <w:r w:rsidRPr="001D4262">
        <w:rPr>
          <w:rFonts w:cs="Arial"/>
          <w:b/>
          <w:szCs w:val="24"/>
        </w:rPr>
        <w:t>Changes to Consent</w:t>
      </w:r>
      <w:r w:rsidR="00D4280D">
        <w:rPr>
          <w:rFonts w:cs="Arial"/>
          <w:b/>
          <w:szCs w:val="24"/>
        </w:rPr>
        <w:t xml:space="preserve"> and Mistake of Fact</w:t>
      </w:r>
    </w:p>
    <w:p w14:paraId="683C1A82" w14:textId="260369F9" w:rsidR="0017475D" w:rsidRPr="001D4262" w:rsidRDefault="00BB6351" w:rsidP="007A4895">
      <w:pPr>
        <w:keepNext/>
        <w:keepLines/>
        <w:widowControl w:val="0"/>
        <w:spacing w:line="257" w:lineRule="auto"/>
        <w:rPr>
          <w:rFonts w:cs="Arial"/>
          <w:szCs w:val="24"/>
        </w:rPr>
      </w:pPr>
      <w:r w:rsidRPr="001D4262">
        <w:rPr>
          <w:rFonts w:cs="Arial"/>
          <w:szCs w:val="24"/>
        </w:rPr>
        <w:t xml:space="preserve">The </w:t>
      </w:r>
      <w:r w:rsidR="00E23637" w:rsidRPr="001D4262">
        <w:rPr>
          <w:rFonts w:cs="Arial"/>
          <w:szCs w:val="24"/>
        </w:rPr>
        <w:t>Bill makes</w:t>
      </w:r>
      <w:r w:rsidR="002B5FB6" w:rsidRPr="001D4262">
        <w:rPr>
          <w:rFonts w:cs="Arial"/>
          <w:szCs w:val="24"/>
        </w:rPr>
        <w:t xml:space="preserve"> amendments to the </w:t>
      </w:r>
      <w:r w:rsidR="002B5FB6" w:rsidRPr="001D4262">
        <w:rPr>
          <w:rFonts w:cs="Arial"/>
          <w:i/>
          <w:szCs w:val="24"/>
        </w:rPr>
        <w:t>Criminal Code</w:t>
      </w:r>
      <w:r w:rsidR="00E23637" w:rsidRPr="001D4262">
        <w:rPr>
          <w:rFonts w:cs="Arial"/>
          <w:i/>
          <w:szCs w:val="24"/>
        </w:rPr>
        <w:t xml:space="preserve"> </w:t>
      </w:r>
      <w:r w:rsidR="00E23637" w:rsidRPr="001D4262">
        <w:rPr>
          <w:rFonts w:cs="Arial"/>
          <w:szCs w:val="24"/>
        </w:rPr>
        <w:t>to</w:t>
      </w:r>
      <w:r w:rsidR="002B5FB6" w:rsidRPr="001D4262">
        <w:rPr>
          <w:rFonts w:cs="Arial"/>
          <w:i/>
          <w:szCs w:val="24"/>
        </w:rPr>
        <w:t xml:space="preserve"> </w:t>
      </w:r>
      <w:r w:rsidR="001D4262" w:rsidRPr="001D4262">
        <w:rPr>
          <w:rFonts w:cs="Arial"/>
          <w:szCs w:val="24"/>
        </w:rPr>
        <w:t>implement</w:t>
      </w:r>
      <w:r w:rsidR="002B5FB6" w:rsidRPr="001D4262">
        <w:rPr>
          <w:rFonts w:cs="Arial"/>
          <w:szCs w:val="24"/>
        </w:rPr>
        <w:t xml:space="preserve"> the recommendations </w:t>
      </w:r>
      <w:r w:rsidRPr="001D4262">
        <w:rPr>
          <w:rFonts w:cs="Arial"/>
          <w:szCs w:val="24"/>
        </w:rPr>
        <w:t>of the Queensland Law Reform Commission</w:t>
      </w:r>
      <w:r w:rsidR="00F03D05">
        <w:rPr>
          <w:rFonts w:cs="Arial"/>
          <w:szCs w:val="24"/>
        </w:rPr>
        <w:t>’s</w:t>
      </w:r>
      <w:r w:rsidRPr="001D4262">
        <w:rPr>
          <w:rFonts w:cs="Arial"/>
          <w:szCs w:val="24"/>
        </w:rPr>
        <w:t xml:space="preserve"> (QLRC</w:t>
      </w:r>
      <w:r w:rsidR="00F03D05">
        <w:rPr>
          <w:rFonts w:cs="Arial"/>
          <w:szCs w:val="24"/>
        </w:rPr>
        <w:t>)</w:t>
      </w:r>
      <w:r w:rsidRPr="001D4262">
        <w:rPr>
          <w:rFonts w:cs="Arial"/>
          <w:szCs w:val="24"/>
        </w:rPr>
        <w:t xml:space="preserve"> comprehensive consideration of </w:t>
      </w:r>
      <w:r w:rsidR="00F03D05">
        <w:t>consent laws and the excuse of mistake of fact</w:t>
      </w:r>
      <w:r w:rsidR="00A53268">
        <w:t>.</w:t>
      </w:r>
      <w:r w:rsidR="00681105">
        <w:rPr>
          <w:rStyle w:val="FootnoteReference"/>
        </w:rPr>
        <w:footnoteReference w:id="2"/>
      </w:r>
    </w:p>
    <w:p w14:paraId="6A320919" w14:textId="46E8A3E5" w:rsidR="00451D7E" w:rsidRPr="001D4262" w:rsidRDefault="00451D7E" w:rsidP="004A05BD">
      <w:pPr>
        <w:rPr>
          <w:rFonts w:eastAsiaTheme="minorHAnsi" w:cs="Arial"/>
          <w:color w:val="auto"/>
          <w:szCs w:val="24"/>
          <w:lang w:eastAsia="en-US"/>
        </w:rPr>
      </w:pPr>
      <w:r w:rsidRPr="001D4262">
        <w:rPr>
          <w:rFonts w:eastAsiaTheme="minorHAnsi" w:cs="Arial"/>
          <w:color w:val="auto"/>
          <w:szCs w:val="24"/>
          <w:lang w:eastAsia="en-US"/>
        </w:rPr>
        <w:t xml:space="preserve">In the QLRC’s view, two significant aspects of the current law relating </w:t>
      </w:r>
      <w:r w:rsidR="003577A8" w:rsidRPr="001D4262">
        <w:rPr>
          <w:rFonts w:eastAsiaTheme="minorHAnsi" w:cs="Arial"/>
          <w:color w:val="auto"/>
          <w:szCs w:val="24"/>
          <w:lang w:eastAsia="en-US"/>
        </w:rPr>
        <w:t xml:space="preserve">to </w:t>
      </w:r>
      <w:r w:rsidRPr="001D4262">
        <w:rPr>
          <w:rFonts w:eastAsiaTheme="minorHAnsi" w:cs="Arial"/>
          <w:color w:val="auto"/>
          <w:szCs w:val="24"/>
          <w:lang w:eastAsia="en-US"/>
        </w:rPr>
        <w:t>consent reflect what has been variously described as an affirmative, communicative or positive consent model, namely:</w:t>
      </w:r>
    </w:p>
    <w:p w14:paraId="1C93FF44" w14:textId="444F68B9" w:rsidR="00451D7E" w:rsidRPr="001D4262" w:rsidRDefault="00451D7E" w:rsidP="00451D7E">
      <w:pPr>
        <w:pStyle w:val="ListParagraph"/>
        <w:numPr>
          <w:ilvl w:val="0"/>
          <w:numId w:val="12"/>
        </w:numPr>
        <w:autoSpaceDE w:val="0"/>
        <w:autoSpaceDN w:val="0"/>
        <w:adjustRightInd w:val="0"/>
        <w:spacing w:after="0" w:line="240" w:lineRule="auto"/>
        <w:rPr>
          <w:rFonts w:eastAsiaTheme="minorHAnsi" w:cs="Arial"/>
          <w:color w:val="auto"/>
          <w:szCs w:val="24"/>
          <w:lang w:eastAsia="en-US"/>
        </w:rPr>
      </w:pPr>
      <w:r w:rsidRPr="001D4262">
        <w:rPr>
          <w:rFonts w:eastAsiaTheme="minorHAnsi" w:cs="Arial"/>
          <w:color w:val="auto"/>
          <w:szCs w:val="24"/>
          <w:lang w:eastAsia="en-US"/>
        </w:rPr>
        <w:t>consent is a state of mi</w:t>
      </w:r>
      <w:r w:rsidR="003C14F4">
        <w:rPr>
          <w:rFonts w:eastAsiaTheme="minorHAnsi" w:cs="Arial"/>
          <w:color w:val="auto"/>
          <w:szCs w:val="24"/>
          <w:lang w:eastAsia="en-US"/>
        </w:rPr>
        <w:t xml:space="preserve">nd, but it must also be ‘given’; </w:t>
      </w:r>
      <w:r w:rsidRPr="001D4262">
        <w:rPr>
          <w:rFonts w:eastAsiaTheme="minorHAnsi" w:cs="Arial"/>
          <w:color w:val="auto"/>
          <w:szCs w:val="24"/>
          <w:lang w:eastAsia="en-US"/>
        </w:rPr>
        <w:t>and</w:t>
      </w:r>
    </w:p>
    <w:p w14:paraId="74B49EDA" w14:textId="77777777" w:rsidR="002B5FB6" w:rsidRPr="001D4262" w:rsidRDefault="00451D7E" w:rsidP="00451D7E">
      <w:pPr>
        <w:pStyle w:val="ListParagraph"/>
        <w:numPr>
          <w:ilvl w:val="0"/>
          <w:numId w:val="12"/>
        </w:numPr>
        <w:autoSpaceDE w:val="0"/>
        <w:autoSpaceDN w:val="0"/>
        <w:adjustRightInd w:val="0"/>
        <w:spacing w:after="0" w:line="240" w:lineRule="auto"/>
        <w:rPr>
          <w:rFonts w:eastAsiaTheme="minorHAnsi" w:cs="Arial"/>
          <w:color w:val="auto"/>
          <w:szCs w:val="24"/>
          <w:lang w:eastAsia="en-US"/>
        </w:rPr>
      </w:pPr>
      <w:r w:rsidRPr="001D4262">
        <w:rPr>
          <w:rFonts w:eastAsiaTheme="minorHAnsi" w:cs="Arial"/>
          <w:color w:val="auto"/>
          <w:szCs w:val="24"/>
          <w:lang w:eastAsia="en-US"/>
        </w:rPr>
        <w:t>mere failure to manifest an absence of consent by words or actions is not sufficient to prove that consent was given.</w:t>
      </w:r>
      <w:r w:rsidRPr="001D4262">
        <w:rPr>
          <w:rStyle w:val="FootnoteReference"/>
          <w:rFonts w:eastAsiaTheme="minorHAnsi" w:cs="Arial"/>
          <w:color w:val="auto"/>
          <w:szCs w:val="24"/>
          <w:lang w:eastAsia="en-US"/>
        </w:rPr>
        <w:footnoteReference w:id="3"/>
      </w:r>
    </w:p>
    <w:p w14:paraId="503F1884" w14:textId="77777777" w:rsidR="00451D7E" w:rsidRPr="001D4262" w:rsidRDefault="00451D7E" w:rsidP="00451D7E">
      <w:pPr>
        <w:autoSpaceDE w:val="0"/>
        <w:autoSpaceDN w:val="0"/>
        <w:adjustRightInd w:val="0"/>
        <w:spacing w:after="0" w:line="240" w:lineRule="auto"/>
        <w:rPr>
          <w:rFonts w:eastAsiaTheme="minorHAnsi" w:cs="Arial"/>
          <w:color w:val="auto"/>
          <w:szCs w:val="24"/>
          <w:lang w:eastAsia="en-US"/>
        </w:rPr>
      </w:pPr>
    </w:p>
    <w:p w14:paraId="1F9C5B98" w14:textId="697A6E84" w:rsidR="00563FBC" w:rsidRPr="001D4262" w:rsidRDefault="003577A8" w:rsidP="0035186F">
      <w:pPr>
        <w:autoSpaceDE w:val="0"/>
        <w:autoSpaceDN w:val="0"/>
        <w:adjustRightInd w:val="0"/>
        <w:spacing w:after="0" w:line="240" w:lineRule="auto"/>
        <w:rPr>
          <w:rFonts w:eastAsiaTheme="minorHAnsi" w:cs="Arial"/>
          <w:color w:val="auto"/>
          <w:szCs w:val="24"/>
          <w:lang w:eastAsia="en-US"/>
        </w:rPr>
      </w:pPr>
      <w:r w:rsidRPr="001D4262">
        <w:rPr>
          <w:rFonts w:eastAsiaTheme="minorHAnsi" w:cs="Arial"/>
          <w:color w:val="auto"/>
          <w:szCs w:val="24"/>
          <w:lang w:eastAsia="en-US"/>
        </w:rPr>
        <w:t>Nonetheless, t</w:t>
      </w:r>
      <w:r w:rsidR="00451D7E" w:rsidRPr="001D4262">
        <w:rPr>
          <w:rFonts w:eastAsiaTheme="minorHAnsi" w:cs="Arial"/>
          <w:color w:val="auto"/>
          <w:szCs w:val="24"/>
          <w:lang w:eastAsia="en-US"/>
        </w:rPr>
        <w:t xml:space="preserve">he QLRC </w:t>
      </w:r>
      <w:r w:rsidR="007A4895">
        <w:rPr>
          <w:rFonts w:eastAsiaTheme="minorHAnsi" w:cs="Arial"/>
          <w:color w:val="auto"/>
          <w:szCs w:val="24"/>
          <w:lang w:eastAsia="en-US"/>
        </w:rPr>
        <w:t xml:space="preserve">found </w:t>
      </w:r>
      <w:r w:rsidR="00451D7E" w:rsidRPr="001D4262">
        <w:rPr>
          <w:rFonts w:eastAsiaTheme="minorHAnsi" w:cs="Arial"/>
          <w:color w:val="auto"/>
          <w:szCs w:val="24"/>
          <w:lang w:eastAsia="en-US"/>
        </w:rPr>
        <w:t>the law</w:t>
      </w:r>
      <w:r w:rsidR="007A4895">
        <w:rPr>
          <w:rFonts w:eastAsiaTheme="minorHAnsi" w:cs="Arial"/>
          <w:color w:val="auto"/>
          <w:szCs w:val="24"/>
          <w:lang w:eastAsia="en-US"/>
        </w:rPr>
        <w:t xml:space="preserve"> in this area could be made clearer. In particular, </w:t>
      </w:r>
      <w:r w:rsidR="00681105">
        <w:rPr>
          <w:rFonts w:eastAsiaTheme="minorHAnsi" w:cs="Arial"/>
          <w:color w:val="auto"/>
          <w:szCs w:val="24"/>
          <w:lang w:eastAsia="en-US"/>
        </w:rPr>
        <w:t>t</w:t>
      </w:r>
      <w:r w:rsidR="00F03D05">
        <w:rPr>
          <w:rFonts w:eastAsiaTheme="minorHAnsi" w:cs="Arial"/>
          <w:color w:val="auto"/>
          <w:szCs w:val="24"/>
          <w:lang w:eastAsia="en-US"/>
        </w:rPr>
        <w:t>he QLRC recommended an</w:t>
      </w:r>
      <w:r w:rsidR="00451D7E" w:rsidRPr="001D4262">
        <w:rPr>
          <w:rFonts w:eastAsiaTheme="minorHAnsi" w:cs="Arial"/>
          <w:color w:val="auto"/>
          <w:szCs w:val="24"/>
          <w:lang w:eastAsia="en-US"/>
        </w:rPr>
        <w:t xml:space="preserve"> amendment be made to provide that a person is not taken to give consent to an act only because, at or before the time of the relevant act, the person does not say or do anything to communicate that they do not consent to that act.</w:t>
      </w:r>
      <w:r w:rsidR="00451D7E" w:rsidRPr="001D4262">
        <w:rPr>
          <w:rStyle w:val="FootnoteReference"/>
          <w:rFonts w:eastAsiaTheme="minorHAnsi" w:cs="Arial"/>
          <w:color w:val="auto"/>
          <w:szCs w:val="24"/>
          <w:lang w:eastAsia="en-US"/>
        </w:rPr>
        <w:footnoteReference w:id="4"/>
      </w:r>
      <w:r w:rsidR="0035186F" w:rsidRPr="001D4262">
        <w:rPr>
          <w:rFonts w:eastAsiaTheme="minorHAnsi" w:cs="Arial"/>
          <w:color w:val="auto"/>
          <w:szCs w:val="24"/>
          <w:lang w:eastAsia="en-US"/>
        </w:rPr>
        <w:t xml:space="preserve"> While also arguably part of the current law, the Report further recommended that the </w:t>
      </w:r>
      <w:r w:rsidR="0035186F" w:rsidRPr="001D4262">
        <w:rPr>
          <w:rFonts w:eastAsiaTheme="minorHAnsi" w:cs="Arial"/>
          <w:i/>
          <w:color w:val="auto"/>
          <w:szCs w:val="24"/>
          <w:lang w:eastAsia="en-US"/>
        </w:rPr>
        <w:t>Criminal Code</w:t>
      </w:r>
      <w:r w:rsidR="005C6334">
        <w:rPr>
          <w:rFonts w:eastAsiaTheme="minorHAnsi" w:cs="Arial"/>
          <w:i/>
          <w:color w:val="auto"/>
          <w:szCs w:val="24"/>
          <w:lang w:eastAsia="en-US"/>
        </w:rPr>
        <w:t xml:space="preserve"> </w:t>
      </w:r>
      <w:r w:rsidR="00FA374F">
        <w:rPr>
          <w:rFonts w:eastAsiaTheme="minorHAnsi" w:cs="Arial"/>
          <w:color w:val="auto"/>
          <w:szCs w:val="24"/>
          <w:lang w:eastAsia="en-US"/>
        </w:rPr>
        <w:t>be amended to</w:t>
      </w:r>
      <w:r w:rsidR="0035186F" w:rsidRPr="001D4262">
        <w:rPr>
          <w:rFonts w:eastAsiaTheme="minorHAnsi" w:cs="Arial"/>
          <w:color w:val="auto"/>
          <w:szCs w:val="24"/>
          <w:lang w:eastAsia="en-US"/>
        </w:rPr>
        <w:t xml:space="preserve"> provide that, if an act is done or continues after consent to the act is withdrawn by words or conduct, then the act is done or continues without</w:t>
      </w:r>
      <w:r w:rsidR="00FA374F">
        <w:rPr>
          <w:rFonts w:eastAsiaTheme="minorHAnsi" w:cs="Arial"/>
          <w:color w:val="auto"/>
          <w:szCs w:val="24"/>
          <w:lang w:eastAsia="en-US"/>
        </w:rPr>
        <w:t xml:space="preserve"> </w:t>
      </w:r>
      <w:r w:rsidR="0035186F" w:rsidRPr="001D4262">
        <w:rPr>
          <w:rFonts w:eastAsiaTheme="minorHAnsi" w:cs="Arial"/>
          <w:color w:val="auto"/>
          <w:szCs w:val="24"/>
          <w:lang w:eastAsia="en-US"/>
        </w:rPr>
        <w:t>consent.</w:t>
      </w:r>
    </w:p>
    <w:p w14:paraId="4C728F50" w14:textId="2E5BFBF4" w:rsidR="00563FBC" w:rsidRPr="001D4262" w:rsidRDefault="00563FBC" w:rsidP="003577A8">
      <w:pPr>
        <w:autoSpaceDE w:val="0"/>
        <w:autoSpaceDN w:val="0"/>
        <w:adjustRightInd w:val="0"/>
        <w:spacing w:after="0" w:line="240" w:lineRule="auto"/>
        <w:rPr>
          <w:rFonts w:eastAsiaTheme="minorHAnsi" w:cs="Arial"/>
          <w:i/>
          <w:color w:val="auto"/>
          <w:szCs w:val="24"/>
          <w:lang w:eastAsia="en-US"/>
        </w:rPr>
      </w:pPr>
    </w:p>
    <w:p w14:paraId="61A7EAA5" w14:textId="26089CE2" w:rsidR="005933DE" w:rsidRPr="001D4262" w:rsidRDefault="0098505A" w:rsidP="005933DE">
      <w:pPr>
        <w:autoSpaceDE w:val="0"/>
        <w:autoSpaceDN w:val="0"/>
        <w:adjustRightInd w:val="0"/>
        <w:spacing w:after="0" w:line="240" w:lineRule="auto"/>
        <w:rPr>
          <w:rFonts w:eastAsiaTheme="minorHAnsi" w:cs="Arial"/>
          <w:color w:val="auto"/>
          <w:szCs w:val="24"/>
          <w:lang w:eastAsia="en-US"/>
        </w:rPr>
      </w:pPr>
      <w:r w:rsidRPr="001D4262">
        <w:rPr>
          <w:rFonts w:eastAsiaTheme="minorHAnsi" w:cs="Arial"/>
          <w:color w:val="auto"/>
          <w:szCs w:val="24"/>
          <w:lang w:eastAsia="en-US"/>
        </w:rPr>
        <w:t>The QLRC also recommended</w:t>
      </w:r>
      <w:r w:rsidR="005933DE" w:rsidRPr="001D4262">
        <w:rPr>
          <w:rFonts w:eastAsiaTheme="minorHAnsi" w:cs="Arial"/>
          <w:color w:val="auto"/>
          <w:szCs w:val="24"/>
          <w:lang w:eastAsia="en-US"/>
        </w:rPr>
        <w:t xml:space="preserve"> that</w:t>
      </w:r>
      <w:r w:rsidRPr="001D4262">
        <w:rPr>
          <w:rFonts w:eastAsiaTheme="minorHAnsi" w:cs="Arial"/>
          <w:color w:val="auto"/>
          <w:szCs w:val="24"/>
          <w:lang w:eastAsia="en-US"/>
        </w:rPr>
        <w:t xml:space="preserve"> </w:t>
      </w:r>
      <w:r w:rsidR="005933DE" w:rsidRPr="001D4262">
        <w:rPr>
          <w:rFonts w:eastAsiaTheme="minorHAnsi" w:cs="Arial"/>
          <w:color w:val="auto"/>
          <w:szCs w:val="24"/>
          <w:lang w:eastAsia="en-US"/>
        </w:rPr>
        <w:t xml:space="preserve">the </w:t>
      </w:r>
      <w:r w:rsidR="005933DE" w:rsidRPr="007A4895">
        <w:rPr>
          <w:rFonts w:eastAsiaTheme="minorHAnsi" w:cs="Arial"/>
          <w:i/>
          <w:color w:val="auto"/>
          <w:szCs w:val="24"/>
          <w:lang w:eastAsia="en-US"/>
        </w:rPr>
        <w:t>Criminal Code</w:t>
      </w:r>
      <w:r w:rsidR="00A96744">
        <w:rPr>
          <w:rFonts w:eastAsiaTheme="minorHAnsi" w:cs="Arial"/>
          <w:i/>
          <w:color w:val="auto"/>
          <w:szCs w:val="24"/>
          <w:lang w:eastAsia="en-US"/>
        </w:rPr>
        <w:t xml:space="preserve"> </w:t>
      </w:r>
      <w:r w:rsidR="005933DE" w:rsidRPr="001D4262">
        <w:rPr>
          <w:rFonts w:eastAsiaTheme="minorHAnsi" w:cs="Arial"/>
          <w:color w:val="auto"/>
          <w:szCs w:val="24"/>
          <w:lang w:eastAsia="en-US"/>
        </w:rPr>
        <w:t xml:space="preserve">be amended </w:t>
      </w:r>
      <w:r w:rsidR="00066B03">
        <w:rPr>
          <w:rFonts w:eastAsiaTheme="minorHAnsi" w:cs="Arial"/>
          <w:color w:val="auto"/>
          <w:szCs w:val="24"/>
          <w:lang w:eastAsia="en-US"/>
        </w:rPr>
        <w:t>so that when</w:t>
      </w:r>
      <w:r w:rsidR="005933DE" w:rsidRPr="001D4262">
        <w:rPr>
          <w:rFonts w:eastAsiaTheme="minorHAnsi" w:cs="Arial"/>
          <w:color w:val="auto"/>
          <w:szCs w:val="24"/>
          <w:lang w:eastAsia="en-US"/>
        </w:rPr>
        <w:t xml:space="preserve"> deciding whether a defendant acted under an</w:t>
      </w:r>
      <w:r w:rsidRPr="001D4262">
        <w:rPr>
          <w:rFonts w:eastAsiaTheme="minorHAnsi" w:cs="Arial"/>
          <w:color w:val="auto"/>
          <w:szCs w:val="24"/>
          <w:lang w:eastAsia="en-US"/>
        </w:rPr>
        <w:t xml:space="preserve"> </w:t>
      </w:r>
      <w:r w:rsidR="005933DE" w:rsidRPr="001D4262">
        <w:rPr>
          <w:rFonts w:eastAsiaTheme="minorHAnsi" w:cs="Arial"/>
          <w:color w:val="auto"/>
          <w:szCs w:val="24"/>
          <w:lang w:eastAsia="en-US"/>
        </w:rPr>
        <w:t>honest and reasonable, but mistaken, belief as to consent, regard may be had to</w:t>
      </w:r>
      <w:r w:rsidRPr="001D4262">
        <w:rPr>
          <w:rFonts w:eastAsiaTheme="minorHAnsi" w:cs="Arial"/>
          <w:color w:val="auto"/>
          <w:szCs w:val="24"/>
          <w:lang w:eastAsia="en-US"/>
        </w:rPr>
        <w:t xml:space="preserve"> </w:t>
      </w:r>
      <w:r w:rsidR="005933DE" w:rsidRPr="001D4262">
        <w:rPr>
          <w:rFonts w:eastAsiaTheme="minorHAnsi" w:cs="Arial"/>
          <w:color w:val="auto"/>
          <w:szCs w:val="24"/>
          <w:lang w:eastAsia="en-US"/>
        </w:rPr>
        <w:t>what, if anything, the defendant said or did to ascertain whether the complainant</w:t>
      </w:r>
      <w:r w:rsidRPr="001D4262">
        <w:rPr>
          <w:rFonts w:eastAsiaTheme="minorHAnsi" w:cs="Arial"/>
          <w:color w:val="auto"/>
          <w:szCs w:val="24"/>
          <w:lang w:eastAsia="en-US"/>
        </w:rPr>
        <w:t xml:space="preserve"> </w:t>
      </w:r>
      <w:r w:rsidR="005933DE" w:rsidRPr="001D4262">
        <w:rPr>
          <w:rFonts w:eastAsiaTheme="minorHAnsi" w:cs="Arial"/>
          <w:color w:val="auto"/>
          <w:szCs w:val="24"/>
          <w:lang w:eastAsia="en-US"/>
        </w:rPr>
        <w:t xml:space="preserve">gave consent. The </w:t>
      </w:r>
      <w:r w:rsidR="00053FA6" w:rsidRPr="001D4262">
        <w:rPr>
          <w:rFonts w:eastAsiaTheme="minorHAnsi" w:cs="Arial"/>
          <w:color w:val="auto"/>
          <w:szCs w:val="24"/>
          <w:lang w:eastAsia="en-US"/>
        </w:rPr>
        <w:t>QLRC further</w:t>
      </w:r>
      <w:r w:rsidR="005933DE" w:rsidRPr="001D4262">
        <w:rPr>
          <w:rFonts w:eastAsiaTheme="minorHAnsi" w:cs="Arial"/>
          <w:color w:val="auto"/>
          <w:szCs w:val="24"/>
          <w:lang w:eastAsia="en-US"/>
        </w:rPr>
        <w:t xml:space="preserve"> </w:t>
      </w:r>
      <w:r w:rsidR="001D4262" w:rsidRPr="001D4262">
        <w:rPr>
          <w:rFonts w:eastAsiaTheme="minorHAnsi" w:cs="Arial"/>
          <w:color w:val="auto"/>
          <w:szCs w:val="24"/>
          <w:lang w:eastAsia="en-US"/>
        </w:rPr>
        <w:t>recommended</w:t>
      </w:r>
      <w:r w:rsidR="005933DE" w:rsidRPr="001D4262">
        <w:rPr>
          <w:rFonts w:eastAsiaTheme="minorHAnsi" w:cs="Arial"/>
          <w:color w:val="auto"/>
          <w:szCs w:val="24"/>
          <w:lang w:eastAsia="en-US"/>
        </w:rPr>
        <w:t xml:space="preserve"> </w:t>
      </w:r>
      <w:r w:rsidR="00066B03">
        <w:rPr>
          <w:rFonts w:eastAsiaTheme="minorHAnsi" w:cs="Arial"/>
          <w:color w:val="auto"/>
          <w:szCs w:val="24"/>
          <w:lang w:eastAsia="en-US"/>
        </w:rPr>
        <w:t>that in</w:t>
      </w:r>
      <w:r w:rsidR="005933DE" w:rsidRPr="001D4262">
        <w:rPr>
          <w:rFonts w:eastAsiaTheme="minorHAnsi" w:cs="Arial"/>
          <w:color w:val="auto"/>
          <w:szCs w:val="24"/>
          <w:lang w:eastAsia="en-US"/>
        </w:rPr>
        <w:t xml:space="preserve"> deciding whether a defendant acted under an honest and reasonable, but</w:t>
      </w:r>
      <w:r w:rsidR="00066B03">
        <w:rPr>
          <w:rFonts w:eastAsiaTheme="minorHAnsi" w:cs="Arial"/>
          <w:color w:val="auto"/>
          <w:szCs w:val="24"/>
          <w:lang w:eastAsia="en-US"/>
        </w:rPr>
        <w:t xml:space="preserve"> </w:t>
      </w:r>
      <w:r w:rsidR="005933DE" w:rsidRPr="001D4262">
        <w:rPr>
          <w:rFonts w:eastAsiaTheme="minorHAnsi" w:cs="Arial"/>
          <w:color w:val="auto"/>
          <w:szCs w:val="24"/>
          <w:lang w:eastAsia="en-US"/>
        </w:rPr>
        <w:t xml:space="preserve">mistaken, belief as to consent, regard may </w:t>
      </w:r>
      <w:r w:rsidR="005933DE" w:rsidRPr="00066B03">
        <w:rPr>
          <w:rFonts w:eastAsiaTheme="minorHAnsi" w:cs="Arial"/>
          <w:b/>
          <w:color w:val="auto"/>
          <w:szCs w:val="24"/>
          <w:lang w:eastAsia="en-US"/>
        </w:rPr>
        <w:t>not</w:t>
      </w:r>
      <w:r w:rsidR="005933DE" w:rsidRPr="001D4262">
        <w:rPr>
          <w:rFonts w:eastAsiaTheme="minorHAnsi" w:cs="Arial"/>
          <w:color w:val="auto"/>
          <w:szCs w:val="24"/>
          <w:lang w:eastAsia="en-US"/>
        </w:rPr>
        <w:t xml:space="preserve"> be had to the voluntary intoxication of</w:t>
      </w:r>
      <w:r w:rsidR="005E3CE8">
        <w:rPr>
          <w:rFonts w:eastAsiaTheme="minorHAnsi" w:cs="Arial"/>
          <w:color w:val="auto"/>
          <w:szCs w:val="24"/>
          <w:lang w:eastAsia="en-US"/>
        </w:rPr>
        <w:t xml:space="preserve"> </w:t>
      </w:r>
      <w:r w:rsidR="005933DE" w:rsidRPr="001D4262">
        <w:rPr>
          <w:rFonts w:eastAsiaTheme="minorHAnsi" w:cs="Arial"/>
          <w:color w:val="auto"/>
          <w:szCs w:val="24"/>
          <w:lang w:eastAsia="en-US"/>
        </w:rPr>
        <w:t>the defendant in deciding whether a belief was reasonable.</w:t>
      </w:r>
    </w:p>
    <w:p w14:paraId="1498B1CF" w14:textId="77777777" w:rsidR="001D4262" w:rsidRPr="001D4262" w:rsidRDefault="001D4262" w:rsidP="005933DE">
      <w:pPr>
        <w:autoSpaceDE w:val="0"/>
        <w:autoSpaceDN w:val="0"/>
        <w:adjustRightInd w:val="0"/>
        <w:spacing w:after="0" w:line="240" w:lineRule="auto"/>
        <w:rPr>
          <w:rFonts w:eastAsiaTheme="minorHAnsi" w:cs="Arial"/>
          <w:color w:val="auto"/>
          <w:szCs w:val="24"/>
          <w:lang w:eastAsia="en-US"/>
        </w:rPr>
      </w:pPr>
    </w:p>
    <w:p w14:paraId="08CBD860" w14:textId="52743CD2" w:rsidR="001D700C" w:rsidRPr="001D4262" w:rsidRDefault="001D700C" w:rsidP="00451D7E">
      <w:pPr>
        <w:autoSpaceDE w:val="0"/>
        <w:autoSpaceDN w:val="0"/>
        <w:adjustRightInd w:val="0"/>
        <w:spacing w:after="0" w:line="240" w:lineRule="auto"/>
        <w:rPr>
          <w:rFonts w:eastAsiaTheme="minorHAnsi" w:cs="Arial"/>
          <w:b/>
          <w:color w:val="auto"/>
          <w:szCs w:val="24"/>
          <w:lang w:eastAsia="en-US"/>
        </w:rPr>
      </w:pPr>
      <w:r w:rsidRPr="001D4262">
        <w:rPr>
          <w:rFonts w:eastAsiaTheme="minorHAnsi" w:cs="Arial"/>
          <w:b/>
          <w:color w:val="auto"/>
          <w:szCs w:val="24"/>
          <w:lang w:eastAsia="en-US"/>
        </w:rPr>
        <w:t>Limitation on Rights</w:t>
      </w:r>
    </w:p>
    <w:p w14:paraId="6FDA196E" w14:textId="77777777" w:rsidR="00451D7E" w:rsidRPr="001D4262" w:rsidRDefault="00451D7E" w:rsidP="00451D7E">
      <w:pPr>
        <w:autoSpaceDE w:val="0"/>
        <w:autoSpaceDN w:val="0"/>
        <w:adjustRightInd w:val="0"/>
        <w:spacing w:after="0" w:line="240" w:lineRule="auto"/>
        <w:rPr>
          <w:rFonts w:cs="Arial"/>
          <w:szCs w:val="24"/>
        </w:rPr>
      </w:pPr>
    </w:p>
    <w:p w14:paraId="6B99EA8D" w14:textId="77777777" w:rsidR="008B2317" w:rsidRDefault="00681105" w:rsidP="008B2317">
      <w:pPr>
        <w:rPr>
          <w:rFonts w:cs="Arial"/>
          <w:szCs w:val="24"/>
        </w:rPr>
      </w:pPr>
      <w:r w:rsidRPr="001D4262">
        <w:rPr>
          <w:rFonts w:cs="Arial"/>
          <w:szCs w:val="24"/>
        </w:rPr>
        <w:t xml:space="preserve">The QHRC supports </w:t>
      </w:r>
      <w:r w:rsidR="00EE02D3">
        <w:rPr>
          <w:rFonts w:cs="Arial"/>
          <w:szCs w:val="24"/>
        </w:rPr>
        <w:t xml:space="preserve">the recommendations in the QLRC’s report, as they seek to ensure </w:t>
      </w:r>
      <w:r w:rsidRPr="001D4262">
        <w:rPr>
          <w:rFonts w:cs="Arial"/>
          <w:szCs w:val="24"/>
        </w:rPr>
        <w:t>that consent is freely and voluntarily given</w:t>
      </w:r>
      <w:r>
        <w:rPr>
          <w:rFonts w:cs="Arial"/>
          <w:szCs w:val="24"/>
        </w:rPr>
        <w:t xml:space="preserve">. </w:t>
      </w:r>
      <w:r w:rsidR="00560146" w:rsidRPr="001D4262">
        <w:rPr>
          <w:rFonts w:cs="Arial"/>
          <w:szCs w:val="24"/>
        </w:rPr>
        <w:t>The QHRC agrees with the State</w:t>
      </w:r>
      <w:r w:rsidR="00560146">
        <w:rPr>
          <w:rFonts w:cs="Arial"/>
          <w:szCs w:val="24"/>
        </w:rPr>
        <w:t>ment</w:t>
      </w:r>
      <w:r w:rsidR="00560146" w:rsidRPr="001D4262">
        <w:rPr>
          <w:rFonts w:cs="Arial"/>
          <w:szCs w:val="24"/>
        </w:rPr>
        <w:t xml:space="preserve"> of Compatibility</w:t>
      </w:r>
      <w:r w:rsidR="00560146">
        <w:rPr>
          <w:rFonts w:cs="Arial"/>
          <w:szCs w:val="24"/>
        </w:rPr>
        <w:t xml:space="preserve"> </w:t>
      </w:r>
      <w:r w:rsidR="00560146" w:rsidRPr="001D4262">
        <w:rPr>
          <w:rFonts w:cs="Arial"/>
          <w:szCs w:val="24"/>
        </w:rPr>
        <w:t>that to the extent these amendments limit the right to fair trial, that limit</w:t>
      </w:r>
      <w:r w:rsidR="00560146">
        <w:rPr>
          <w:rFonts w:cs="Arial"/>
          <w:szCs w:val="24"/>
        </w:rPr>
        <w:t>ation</w:t>
      </w:r>
      <w:r w:rsidR="00560146" w:rsidRPr="001D4262">
        <w:rPr>
          <w:rFonts w:cs="Arial"/>
          <w:szCs w:val="24"/>
        </w:rPr>
        <w:t xml:space="preserve"> is reasonable and proportionate</w:t>
      </w:r>
      <w:r w:rsidR="00560146">
        <w:rPr>
          <w:rFonts w:cs="Arial"/>
          <w:szCs w:val="24"/>
        </w:rPr>
        <w:t xml:space="preserve"> given the amendments seek to </w:t>
      </w:r>
      <w:r w:rsidR="00560146">
        <w:rPr>
          <w:rFonts w:cs="Arial"/>
          <w:szCs w:val="24"/>
        </w:rPr>
        <w:lastRenderedPageBreak/>
        <w:t xml:space="preserve">modernise the </w:t>
      </w:r>
      <w:r w:rsidR="00560146">
        <w:rPr>
          <w:rFonts w:cs="Arial"/>
          <w:i/>
          <w:szCs w:val="24"/>
        </w:rPr>
        <w:t xml:space="preserve">Criminal Code </w:t>
      </w:r>
      <w:r w:rsidR="00560146">
        <w:rPr>
          <w:rFonts w:cs="Arial"/>
          <w:szCs w:val="24"/>
        </w:rPr>
        <w:t>by giving effect to contemporary standards about sexual behaviour</w:t>
      </w:r>
      <w:r w:rsidR="00560146" w:rsidRPr="001D4262">
        <w:rPr>
          <w:rFonts w:cs="Arial"/>
          <w:szCs w:val="24"/>
        </w:rPr>
        <w:t>.</w:t>
      </w:r>
      <w:r w:rsidR="00560146">
        <w:rPr>
          <w:rFonts w:cs="Arial"/>
          <w:szCs w:val="24"/>
        </w:rPr>
        <w:t xml:space="preserve"> In doing so, the Statement notes that they reinforce the rights of victims to security of the person.</w:t>
      </w:r>
      <w:r w:rsidR="008B2317" w:rsidRPr="008B2317">
        <w:rPr>
          <w:rFonts w:cs="Arial"/>
          <w:szCs w:val="24"/>
        </w:rPr>
        <w:t xml:space="preserve"> </w:t>
      </w:r>
    </w:p>
    <w:p w14:paraId="6A6523D7" w14:textId="5C570CC4" w:rsidR="005A59E1" w:rsidRDefault="005A59E1" w:rsidP="005A59E1">
      <w:pPr>
        <w:rPr>
          <w:rFonts w:cs="Arial"/>
          <w:szCs w:val="24"/>
        </w:rPr>
      </w:pPr>
      <w:r>
        <w:rPr>
          <w:rFonts w:cs="Arial"/>
          <w:szCs w:val="24"/>
        </w:rPr>
        <w:t>T</w:t>
      </w:r>
      <w:r w:rsidRPr="001D4262">
        <w:rPr>
          <w:rFonts w:cs="Arial"/>
          <w:szCs w:val="24"/>
        </w:rPr>
        <w:t>he QHRC also agrees with the Statement of Compatibility’s analysis that the prohibition against retrospective criminal laws is not engaged because the amendments seek to confirm, no</w:t>
      </w:r>
      <w:r>
        <w:rPr>
          <w:rFonts w:cs="Arial"/>
          <w:szCs w:val="24"/>
        </w:rPr>
        <w:t>t</w:t>
      </w:r>
      <w:r w:rsidRPr="001D4262">
        <w:rPr>
          <w:rFonts w:cs="Arial"/>
          <w:szCs w:val="24"/>
        </w:rPr>
        <w:t xml:space="preserve"> change, the exiting law. Nonetheless, the Statement goes on to justify </w:t>
      </w:r>
      <w:r>
        <w:rPr>
          <w:rFonts w:cs="Arial"/>
          <w:szCs w:val="24"/>
        </w:rPr>
        <w:t>any potential limitation</w:t>
      </w:r>
      <w:r w:rsidRPr="001D4262">
        <w:rPr>
          <w:rFonts w:cs="Arial"/>
          <w:szCs w:val="24"/>
        </w:rPr>
        <w:t xml:space="preserve"> </w:t>
      </w:r>
      <w:r>
        <w:rPr>
          <w:rFonts w:cs="Arial"/>
          <w:szCs w:val="24"/>
        </w:rPr>
        <w:t>because</w:t>
      </w:r>
    </w:p>
    <w:p w14:paraId="451CDE2F" w14:textId="77777777" w:rsidR="005A59E1" w:rsidRPr="003C14F4" w:rsidRDefault="005A59E1" w:rsidP="005A59E1">
      <w:pPr>
        <w:ind w:left="720"/>
        <w:rPr>
          <w:rFonts w:cs="Arial"/>
          <w:sz w:val="22"/>
        </w:rPr>
      </w:pPr>
      <w:r w:rsidRPr="003C14F4">
        <w:rPr>
          <w:sz w:val="22"/>
        </w:rPr>
        <w:t>It may be possible to take a contrary view and argue that there is currently sufficient ambiguity that the law does not meet the requirements of accessibility and foreseeability, and that the amendments resolve that ambiguity. On that basis, the right could be limited by the amendments because the law may not have the required accessibility, foreseeability, certainty and predictability for defendants who would not be subject to the amendments in the Bill when they commit the offence, but would be when charged.</w:t>
      </w:r>
    </w:p>
    <w:p w14:paraId="7F847AF3" w14:textId="77E84084" w:rsidR="005A59E1" w:rsidRDefault="005A59E1" w:rsidP="005A59E1">
      <w:pPr>
        <w:rPr>
          <w:rFonts w:cs="Arial"/>
          <w:szCs w:val="24"/>
        </w:rPr>
      </w:pPr>
      <w:r w:rsidRPr="001D4262">
        <w:rPr>
          <w:rFonts w:cs="Arial"/>
          <w:szCs w:val="24"/>
        </w:rPr>
        <w:t>The QHRC welcomes the commitment of the Government to provide fulsome discussions of rights limitations. However, while the HR Act</w:t>
      </w:r>
      <w:r>
        <w:rPr>
          <w:rFonts w:cs="Arial"/>
          <w:szCs w:val="24"/>
        </w:rPr>
        <w:t xml:space="preserve"> states that all rights may be subject to reasonable limitations under law</w:t>
      </w:r>
      <w:r w:rsidRPr="001D4262">
        <w:rPr>
          <w:rFonts w:cs="Arial"/>
          <w:szCs w:val="24"/>
        </w:rPr>
        <w:t>, the prohibition against retrospective criminal laws</w:t>
      </w:r>
      <w:r>
        <w:rPr>
          <w:rFonts w:cs="Arial"/>
          <w:szCs w:val="24"/>
        </w:rPr>
        <w:t xml:space="preserve"> is considered an absolute </w:t>
      </w:r>
      <w:r w:rsidRPr="001D4262">
        <w:rPr>
          <w:rFonts w:cs="Arial"/>
          <w:szCs w:val="24"/>
        </w:rPr>
        <w:t>right under international law.</w:t>
      </w:r>
      <w:r>
        <w:rPr>
          <w:rStyle w:val="FootnoteReference"/>
          <w:rFonts w:cs="Arial"/>
          <w:szCs w:val="24"/>
        </w:rPr>
        <w:footnoteReference w:id="5"/>
      </w:r>
      <w:r w:rsidRPr="001D4262">
        <w:rPr>
          <w:rFonts w:cs="Arial"/>
          <w:szCs w:val="24"/>
        </w:rPr>
        <w:t xml:space="preserve"> If the Committee forms the view through this Inquiry that the amendments do more than clarify the existing law, and do indeed engage the prohibition against retr</w:t>
      </w:r>
      <w:r>
        <w:rPr>
          <w:rFonts w:cs="Arial"/>
          <w:szCs w:val="24"/>
        </w:rPr>
        <w:t>ospective</w:t>
      </w:r>
      <w:r w:rsidRPr="001D4262">
        <w:rPr>
          <w:rFonts w:cs="Arial"/>
          <w:szCs w:val="24"/>
        </w:rPr>
        <w:t xml:space="preserve"> criminal laws by changing the law, the QHRC suggests that the </w:t>
      </w:r>
      <w:r w:rsidR="00F10A53">
        <w:rPr>
          <w:rFonts w:cs="Arial"/>
          <w:szCs w:val="24"/>
        </w:rPr>
        <w:t>commencement of the amendments should be reconsidered. In particular, these amendments</w:t>
      </w:r>
      <w:r>
        <w:rPr>
          <w:rFonts w:cs="Arial"/>
          <w:szCs w:val="24"/>
        </w:rPr>
        <w:t xml:space="preserve"> </w:t>
      </w:r>
      <w:r w:rsidR="00F10A53">
        <w:rPr>
          <w:rFonts w:cs="Arial"/>
          <w:szCs w:val="24"/>
        </w:rPr>
        <w:t xml:space="preserve">would </w:t>
      </w:r>
      <w:r>
        <w:rPr>
          <w:rFonts w:cs="Arial"/>
          <w:szCs w:val="24"/>
        </w:rPr>
        <w:t>better reflect the protection of this right if they applied</w:t>
      </w:r>
      <w:r w:rsidRPr="001D4262">
        <w:rPr>
          <w:rFonts w:cs="Arial"/>
          <w:szCs w:val="24"/>
        </w:rPr>
        <w:t xml:space="preserve"> to alleged </w:t>
      </w:r>
      <w:r>
        <w:rPr>
          <w:rFonts w:cs="Arial"/>
          <w:szCs w:val="24"/>
        </w:rPr>
        <w:t>conduct that</w:t>
      </w:r>
      <w:r w:rsidRPr="001D4262">
        <w:rPr>
          <w:rFonts w:cs="Arial"/>
          <w:szCs w:val="24"/>
        </w:rPr>
        <w:t xml:space="preserve"> occurs after they commence</w:t>
      </w:r>
      <w:r>
        <w:rPr>
          <w:rFonts w:cs="Arial"/>
          <w:szCs w:val="24"/>
        </w:rPr>
        <w:t xml:space="preserve"> (as opposed to applying at the time a person is charged)</w:t>
      </w:r>
      <w:r w:rsidRPr="001D4262">
        <w:rPr>
          <w:rFonts w:cs="Arial"/>
          <w:szCs w:val="24"/>
        </w:rPr>
        <w:t>.</w:t>
      </w:r>
      <w:r>
        <w:rPr>
          <w:rStyle w:val="FootnoteReference"/>
          <w:rFonts w:cs="Arial"/>
          <w:szCs w:val="24"/>
        </w:rPr>
        <w:footnoteReference w:id="6"/>
      </w:r>
      <w:r>
        <w:t xml:space="preserve"> </w:t>
      </w:r>
    </w:p>
    <w:p w14:paraId="223C6B07" w14:textId="5EC82C6D" w:rsidR="00A337BA" w:rsidRPr="00A337BA" w:rsidRDefault="00A337BA" w:rsidP="005A59E1">
      <w:pPr>
        <w:spacing w:line="240" w:lineRule="auto"/>
        <w:rPr>
          <w:rFonts w:cs="Arial"/>
          <w:b/>
          <w:szCs w:val="24"/>
        </w:rPr>
      </w:pPr>
      <w:r>
        <w:rPr>
          <w:rFonts w:cs="Arial"/>
          <w:b/>
          <w:szCs w:val="24"/>
        </w:rPr>
        <w:t xml:space="preserve">Further reform </w:t>
      </w:r>
    </w:p>
    <w:p w14:paraId="2DBF5D63" w14:textId="3B5A7C63" w:rsidR="00600DF5" w:rsidRDefault="00600DF5" w:rsidP="00600DF5">
      <w:pPr>
        <w:autoSpaceDE w:val="0"/>
        <w:autoSpaceDN w:val="0"/>
        <w:adjustRightInd w:val="0"/>
        <w:spacing w:line="240" w:lineRule="auto"/>
        <w:rPr>
          <w:rFonts w:eastAsiaTheme="minorHAnsi" w:cs="Arial"/>
          <w:color w:val="auto"/>
          <w:szCs w:val="24"/>
          <w:lang w:eastAsia="en-US"/>
        </w:rPr>
      </w:pPr>
      <w:r>
        <w:rPr>
          <w:rFonts w:cs="Arial"/>
          <w:szCs w:val="24"/>
        </w:rPr>
        <w:t xml:space="preserve">Many submissions to the QLRC expressed concern that the present law does not adequately provide for an affirmative model of consent and that the application of the mistake of fact excuse should be further reformed.   </w:t>
      </w:r>
      <w:r w:rsidR="00A337BA">
        <w:rPr>
          <w:rFonts w:cs="Arial"/>
          <w:szCs w:val="24"/>
        </w:rPr>
        <w:t>Section 3(a) of the HRA states the object</w:t>
      </w:r>
      <w:r w:rsidR="008B2317">
        <w:rPr>
          <w:rFonts w:cs="Arial"/>
          <w:szCs w:val="24"/>
        </w:rPr>
        <w:t>s</w:t>
      </w:r>
      <w:r w:rsidR="00A337BA">
        <w:rPr>
          <w:rFonts w:cs="Arial"/>
          <w:szCs w:val="24"/>
        </w:rPr>
        <w:t xml:space="preserve"> of the Act are to protect and promote human rights. </w:t>
      </w:r>
      <w:r w:rsidRPr="001D4262">
        <w:rPr>
          <w:rFonts w:cs="Arial"/>
          <w:szCs w:val="24"/>
        </w:rPr>
        <w:t>Relevant rights</w:t>
      </w:r>
      <w:r w:rsidR="00A337BA">
        <w:rPr>
          <w:rFonts w:cs="Arial"/>
          <w:szCs w:val="24"/>
        </w:rPr>
        <w:t xml:space="preserve"> to be protected</w:t>
      </w:r>
      <w:r w:rsidRPr="001D4262">
        <w:rPr>
          <w:rFonts w:cs="Arial"/>
          <w:szCs w:val="24"/>
        </w:rPr>
        <w:t xml:space="preserve"> for </w:t>
      </w:r>
      <w:r>
        <w:rPr>
          <w:rFonts w:cs="Arial"/>
          <w:szCs w:val="24"/>
        </w:rPr>
        <w:t>victims of</w:t>
      </w:r>
      <w:r w:rsidRPr="001D4262">
        <w:rPr>
          <w:rFonts w:cs="Arial"/>
          <w:szCs w:val="24"/>
        </w:rPr>
        <w:t xml:space="preserve"> sexual </w:t>
      </w:r>
      <w:r>
        <w:rPr>
          <w:rFonts w:cs="Arial"/>
          <w:szCs w:val="24"/>
        </w:rPr>
        <w:t xml:space="preserve">assault include the </w:t>
      </w:r>
      <w:r w:rsidRPr="001D4262">
        <w:rPr>
          <w:rFonts w:cs="Arial"/>
          <w:szCs w:val="24"/>
        </w:rPr>
        <w:t>right to life,</w:t>
      </w:r>
      <w:r w:rsidRPr="001D4262">
        <w:rPr>
          <w:rStyle w:val="FootnoteReference"/>
          <w:rFonts w:cs="Arial"/>
          <w:szCs w:val="24"/>
        </w:rPr>
        <w:footnoteReference w:id="7"/>
      </w:r>
      <w:r w:rsidRPr="001D4262">
        <w:rPr>
          <w:rFonts w:cs="Arial"/>
          <w:szCs w:val="24"/>
        </w:rPr>
        <w:t xml:space="preserve"> </w:t>
      </w:r>
      <w:r>
        <w:rPr>
          <w:rFonts w:cs="Arial"/>
          <w:szCs w:val="24"/>
        </w:rPr>
        <w:t xml:space="preserve">freedom </w:t>
      </w:r>
      <w:r w:rsidRPr="00560146">
        <w:rPr>
          <w:rFonts w:cs="Arial"/>
          <w:szCs w:val="24"/>
          <w:lang w:val="en-GB"/>
        </w:rPr>
        <w:t>from torture and cruel, inhuman or degrading treatment</w:t>
      </w:r>
      <w:r>
        <w:rPr>
          <w:rFonts w:cs="Arial"/>
          <w:szCs w:val="24"/>
          <w:lang w:val="en-GB"/>
        </w:rPr>
        <w:t>,</w:t>
      </w:r>
      <w:r>
        <w:rPr>
          <w:rStyle w:val="FootnoteReference"/>
          <w:rFonts w:cs="Arial"/>
          <w:szCs w:val="24"/>
          <w:lang w:val="en-GB"/>
        </w:rPr>
        <w:footnoteReference w:id="8"/>
      </w:r>
      <w:r w:rsidRPr="00560146">
        <w:rPr>
          <w:rFonts w:cs="Arial"/>
          <w:szCs w:val="24"/>
          <w:lang w:val="en-GB"/>
        </w:rPr>
        <w:t xml:space="preserve"> </w:t>
      </w:r>
      <w:r w:rsidRPr="001D4262">
        <w:rPr>
          <w:rFonts w:cs="Arial"/>
          <w:szCs w:val="24"/>
        </w:rPr>
        <w:t>and the right to equality,</w:t>
      </w:r>
      <w:r w:rsidRPr="001D4262">
        <w:rPr>
          <w:rStyle w:val="FootnoteReference"/>
          <w:rFonts w:cs="Arial"/>
          <w:szCs w:val="24"/>
        </w:rPr>
        <w:footnoteReference w:id="9"/>
      </w:r>
      <w:r w:rsidRPr="001D4262">
        <w:rPr>
          <w:rFonts w:cs="Arial"/>
          <w:szCs w:val="24"/>
        </w:rPr>
        <w:t xml:space="preserve"> noting that victims of sexual assault are predominantly women.</w:t>
      </w:r>
      <w:r>
        <w:rPr>
          <w:rStyle w:val="FootnoteReference"/>
          <w:rFonts w:cs="Arial"/>
          <w:szCs w:val="24"/>
        </w:rPr>
        <w:footnoteReference w:id="10"/>
      </w:r>
      <w:r w:rsidRPr="001D4262">
        <w:rPr>
          <w:rFonts w:cs="Arial"/>
          <w:szCs w:val="24"/>
        </w:rPr>
        <w:t xml:space="preserve"> The QLRC also noted that vulnerable populations tend to experience a higher incidence of sexual violence, including Aboriginal </w:t>
      </w:r>
      <w:r>
        <w:rPr>
          <w:rFonts w:cs="Arial"/>
          <w:szCs w:val="24"/>
        </w:rPr>
        <w:t xml:space="preserve">peoples </w:t>
      </w:r>
      <w:r w:rsidRPr="001D4262">
        <w:rPr>
          <w:rFonts w:cs="Arial"/>
          <w:szCs w:val="24"/>
        </w:rPr>
        <w:t>and Torres Strait Islander people</w:t>
      </w:r>
      <w:r>
        <w:rPr>
          <w:rFonts w:cs="Arial"/>
          <w:szCs w:val="24"/>
        </w:rPr>
        <w:t>s</w:t>
      </w:r>
      <w:r w:rsidRPr="001D4262">
        <w:rPr>
          <w:rFonts w:cs="Arial"/>
          <w:szCs w:val="24"/>
        </w:rPr>
        <w:t>, women with disability, and sex workers</w:t>
      </w:r>
      <w:r w:rsidRPr="001D4262">
        <w:rPr>
          <w:rFonts w:eastAsiaTheme="minorHAnsi" w:cs="Arial"/>
          <w:color w:val="auto"/>
          <w:szCs w:val="24"/>
          <w:lang w:eastAsia="en-US"/>
        </w:rPr>
        <w:t>.</w:t>
      </w:r>
      <w:r w:rsidRPr="001D4262">
        <w:rPr>
          <w:rStyle w:val="FootnoteReference"/>
          <w:rFonts w:eastAsiaTheme="minorHAnsi" w:cs="Arial"/>
          <w:color w:val="auto"/>
          <w:szCs w:val="24"/>
          <w:lang w:eastAsia="en-US"/>
        </w:rPr>
        <w:footnoteReference w:id="11"/>
      </w:r>
    </w:p>
    <w:p w14:paraId="5ACB3CA2" w14:textId="12246248" w:rsidR="00A337BA" w:rsidRPr="001D4262" w:rsidRDefault="00A337BA" w:rsidP="00A337BA">
      <w:pPr>
        <w:rPr>
          <w:rFonts w:cs="Arial"/>
          <w:szCs w:val="24"/>
        </w:rPr>
      </w:pPr>
      <w:r w:rsidRPr="001D4262">
        <w:rPr>
          <w:rFonts w:cs="Arial"/>
          <w:szCs w:val="24"/>
        </w:rPr>
        <w:t>The Victorian Law Reform Commission’s 2016 Report</w:t>
      </w:r>
      <w:r w:rsidR="00F10A53">
        <w:rPr>
          <w:rFonts w:cs="Arial"/>
          <w:szCs w:val="24"/>
        </w:rPr>
        <w:t>,</w:t>
      </w:r>
      <w:r w:rsidRPr="001D4262">
        <w:rPr>
          <w:rFonts w:cs="Arial"/>
          <w:szCs w:val="24"/>
        </w:rPr>
        <w:t xml:space="preserve"> </w:t>
      </w:r>
      <w:r w:rsidR="00F10A53">
        <w:rPr>
          <w:rFonts w:cs="Arial"/>
          <w:i/>
          <w:szCs w:val="24"/>
        </w:rPr>
        <w:t>The</w:t>
      </w:r>
      <w:r w:rsidRPr="001D4262">
        <w:rPr>
          <w:rFonts w:cs="Arial"/>
          <w:szCs w:val="24"/>
        </w:rPr>
        <w:t xml:space="preserve"> </w:t>
      </w:r>
      <w:r w:rsidRPr="001D4262">
        <w:rPr>
          <w:rFonts w:cs="Arial"/>
          <w:i/>
          <w:szCs w:val="24"/>
        </w:rPr>
        <w:t>Role of Victims of Crime in the Criminal Trial Process</w:t>
      </w:r>
      <w:r w:rsidR="00F10A53">
        <w:rPr>
          <w:rFonts w:cs="Arial"/>
          <w:i/>
          <w:szCs w:val="24"/>
        </w:rPr>
        <w:t>,</w:t>
      </w:r>
      <w:r w:rsidRPr="001D4262">
        <w:rPr>
          <w:rFonts w:cs="Arial"/>
          <w:szCs w:val="24"/>
        </w:rPr>
        <w:t xml:space="preserve"> discussed the principles of a fair trial in detail. It noted that the state’s control of all elements of the criminal process has resulted in a focus on how to address the power imbalance and ‘equality of arms’ with the accused. This focus has eclipsed the recognition of the victim’s inherent interest in the response by the criminal justice</w:t>
      </w:r>
      <w:r>
        <w:rPr>
          <w:rFonts w:cs="Arial"/>
          <w:szCs w:val="24"/>
        </w:rPr>
        <w:t xml:space="preserve"> system</w:t>
      </w:r>
      <w:r w:rsidRPr="001D4262">
        <w:rPr>
          <w:rFonts w:cs="Arial"/>
          <w:szCs w:val="24"/>
        </w:rPr>
        <w:t xml:space="preserve"> to the crime. The report notes that the Victorian </w:t>
      </w:r>
      <w:r w:rsidRPr="001D4262">
        <w:rPr>
          <w:rFonts w:cs="Arial"/>
          <w:i/>
          <w:szCs w:val="24"/>
        </w:rPr>
        <w:t>Charter</w:t>
      </w:r>
      <w:r w:rsidRPr="001D4262">
        <w:rPr>
          <w:rFonts w:cs="Arial"/>
          <w:szCs w:val="24"/>
        </w:rPr>
        <w:t xml:space="preserve"> </w:t>
      </w:r>
      <w:r w:rsidRPr="001D4262">
        <w:rPr>
          <w:rFonts w:cs="Arial"/>
          <w:i/>
          <w:szCs w:val="24"/>
        </w:rPr>
        <w:t>of Rights and Responsibilities Act 2006</w:t>
      </w:r>
      <w:r w:rsidRPr="001D4262">
        <w:rPr>
          <w:rFonts w:cs="Arial"/>
          <w:szCs w:val="24"/>
        </w:rPr>
        <w:t>, substantially similar to the HRA, reinforces several rights of the accused relevant to receiving a fair trial. This however does not prevent the interests of the victim being considered</w:t>
      </w:r>
      <w:r>
        <w:rPr>
          <w:rFonts w:cs="Arial"/>
          <w:szCs w:val="24"/>
        </w:rPr>
        <w:t>:</w:t>
      </w:r>
      <w:r w:rsidRPr="001D4262">
        <w:rPr>
          <w:rFonts w:cs="Arial"/>
          <w:szCs w:val="24"/>
        </w:rPr>
        <w:t xml:space="preserve"> </w:t>
      </w:r>
    </w:p>
    <w:p w14:paraId="41E1ED5D" w14:textId="77777777" w:rsidR="00A337BA" w:rsidRPr="001D4262" w:rsidRDefault="00A337BA" w:rsidP="00A337BA">
      <w:pPr>
        <w:pStyle w:val="Quote"/>
        <w:rPr>
          <w:rFonts w:cs="Arial"/>
          <w:szCs w:val="24"/>
        </w:rPr>
      </w:pPr>
      <w:r w:rsidRPr="003C14F4">
        <w:rPr>
          <w:rFonts w:cs="Arial"/>
          <w:i w:val="0"/>
          <w:sz w:val="22"/>
        </w:rPr>
        <w:t>The legitimate rights of the accused should be protected and fulfilled. So too the rights of the community. The legitimate rights of victims, properly understood, do not undermine those of the accused or of the community. The true interrelationship of the three is complementary. There is a public interest in ensuring that trials are fair. This interest can be served not only by safeguarding the rights of the accused and the objectivity of the prosecution but also by acknowledging the victim’s interest</w:t>
      </w:r>
      <w:r w:rsidRPr="001D4262">
        <w:rPr>
          <w:rFonts w:cs="Arial"/>
          <w:szCs w:val="24"/>
        </w:rPr>
        <w:t>.</w:t>
      </w:r>
      <w:r w:rsidRPr="00F03D05">
        <w:rPr>
          <w:rStyle w:val="FootnoteReference"/>
          <w:rFonts w:cs="Arial"/>
          <w:i w:val="0"/>
          <w:szCs w:val="24"/>
        </w:rPr>
        <w:footnoteReference w:id="12"/>
      </w:r>
    </w:p>
    <w:p w14:paraId="3CFBB794" w14:textId="30B21138" w:rsidR="00D94A24" w:rsidRPr="001D4262" w:rsidRDefault="00A337BA" w:rsidP="00A337BA">
      <w:pPr>
        <w:rPr>
          <w:rFonts w:cs="Arial"/>
          <w:szCs w:val="24"/>
        </w:rPr>
      </w:pPr>
      <w:r>
        <w:rPr>
          <w:rFonts w:cs="Arial"/>
          <w:szCs w:val="24"/>
        </w:rPr>
        <w:t>C</w:t>
      </w:r>
      <w:r w:rsidR="00600DF5" w:rsidRPr="001D4262">
        <w:rPr>
          <w:rFonts w:cs="Arial"/>
          <w:szCs w:val="24"/>
        </w:rPr>
        <w:t xml:space="preserve">onsistent </w:t>
      </w:r>
      <w:r w:rsidR="00D94A24" w:rsidRPr="001D4262">
        <w:rPr>
          <w:rFonts w:cs="Arial"/>
          <w:szCs w:val="24"/>
        </w:rPr>
        <w:t xml:space="preserve">with its human rights </w:t>
      </w:r>
      <w:r w:rsidR="001D4262" w:rsidRPr="001D4262">
        <w:rPr>
          <w:rFonts w:cs="Arial"/>
          <w:szCs w:val="24"/>
        </w:rPr>
        <w:t>obligations</w:t>
      </w:r>
      <w:r w:rsidR="00717842">
        <w:rPr>
          <w:rFonts w:cs="Arial"/>
          <w:szCs w:val="24"/>
        </w:rPr>
        <w:t xml:space="preserve"> and </w:t>
      </w:r>
      <w:r w:rsidR="00931D2A">
        <w:rPr>
          <w:rFonts w:cs="Arial"/>
          <w:szCs w:val="24"/>
        </w:rPr>
        <w:t xml:space="preserve">the objects of the </w:t>
      </w:r>
      <w:r w:rsidR="00F10A53">
        <w:rPr>
          <w:rFonts w:cs="Arial"/>
          <w:szCs w:val="24"/>
        </w:rPr>
        <w:t>HRA</w:t>
      </w:r>
      <w:r w:rsidR="00931D2A">
        <w:rPr>
          <w:rFonts w:cs="Arial"/>
          <w:szCs w:val="24"/>
        </w:rPr>
        <w:t xml:space="preserve"> to protect and promote rights</w:t>
      </w:r>
      <w:r w:rsidR="00D94A24" w:rsidRPr="001D4262">
        <w:rPr>
          <w:rFonts w:cs="Arial"/>
          <w:szCs w:val="24"/>
        </w:rPr>
        <w:t>, the Government must</w:t>
      </w:r>
      <w:r w:rsidR="00717842">
        <w:rPr>
          <w:rFonts w:cs="Arial"/>
          <w:szCs w:val="24"/>
        </w:rPr>
        <w:t xml:space="preserve"> also</w:t>
      </w:r>
      <w:r w:rsidR="00D94A24" w:rsidRPr="001D4262">
        <w:rPr>
          <w:rFonts w:cs="Arial"/>
          <w:szCs w:val="24"/>
        </w:rPr>
        <w:t xml:space="preserve"> continue to monitor the law in this area, particularly the impact of these amendments on the rights of victims. </w:t>
      </w:r>
    </w:p>
    <w:p w14:paraId="1FBE6B28" w14:textId="77F4976B" w:rsidR="00D94A24" w:rsidRPr="001D4262" w:rsidRDefault="00D94A24" w:rsidP="00D94A24">
      <w:pPr>
        <w:rPr>
          <w:rFonts w:cs="Arial"/>
          <w:szCs w:val="24"/>
        </w:rPr>
      </w:pPr>
      <w:r w:rsidRPr="001D4262">
        <w:rPr>
          <w:rFonts w:cs="Arial"/>
          <w:szCs w:val="24"/>
        </w:rPr>
        <w:t>As the QLRC noted in its report, th</w:t>
      </w:r>
      <w:r w:rsidR="00F03D05">
        <w:rPr>
          <w:rFonts w:cs="Arial"/>
          <w:szCs w:val="24"/>
        </w:rPr>
        <w:t>e law of consent</w:t>
      </w:r>
      <w:r w:rsidRPr="001D4262">
        <w:rPr>
          <w:rFonts w:cs="Arial"/>
          <w:szCs w:val="24"/>
        </w:rPr>
        <w:t xml:space="preserve"> </w:t>
      </w:r>
      <w:r w:rsidR="00CB1980">
        <w:rPr>
          <w:rFonts w:cs="Arial"/>
          <w:szCs w:val="24"/>
        </w:rPr>
        <w:t xml:space="preserve">has been </w:t>
      </w:r>
      <w:r w:rsidRPr="001D4262">
        <w:rPr>
          <w:rFonts w:cs="Arial"/>
          <w:szCs w:val="24"/>
        </w:rPr>
        <w:t>subject to significant review across Australian jurisdiction</w:t>
      </w:r>
      <w:r w:rsidR="00F03D05">
        <w:rPr>
          <w:rFonts w:cs="Arial"/>
          <w:szCs w:val="24"/>
        </w:rPr>
        <w:t>s</w:t>
      </w:r>
      <w:r w:rsidRPr="001D4262">
        <w:rPr>
          <w:rFonts w:cs="Arial"/>
          <w:szCs w:val="24"/>
        </w:rPr>
        <w:t xml:space="preserve"> in recent years. It is imperative that the Government continue</w:t>
      </w:r>
      <w:r w:rsidR="00F10A53">
        <w:rPr>
          <w:rFonts w:cs="Arial"/>
          <w:szCs w:val="24"/>
        </w:rPr>
        <w:t>s</w:t>
      </w:r>
      <w:r w:rsidRPr="001D4262">
        <w:rPr>
          <w:rFonts w:cs="Arial"/>
          <w:szCs w:val="24"/>
        </w:rPr>
        <w:t xml:space="preserve"> to ensure it is discharging its human rights obligations </w:t>
      </w:r>
      <w:r w:rsidR="00F03D05">
        <w:rPr>
          <w:rFonts w:cs="Arial"/>
          <w:szCs w:val="24"/>
        </w:rPr>
        <w:t>to victims, the accused and the broader community</w:t>
      </w:r>
      <w:r w:rsidRPr="001D4262">
        <w:rPr>
          <w:rFonts w:cs="Arial"/>
          <w:szCs w:val="24"/>
        </w:rPr>
        <w:t xml:space="preserve">. </w:t>
      </w:r>
    </w:p>
    <w:p w14:paraId="10513F53" w14:textId="1250C1C6" w:rsidR="00376C5F" w:rsidRDefault="004A05BD" w:rsidP="004B49F9">
      <w:pPr>
        <w:pStyle w:val="NormalWeb"/>
        <w:shd w:val="clear" w:color="auto" w:fill="FFFFFF"/>
        <w:spacing w:before="0" w:beforeAutospacing="0" w:after="270" w:afterAutospacing="0"/>
        <w:textAlignment w:val="baseline"/>
        <w:rPr>
          <w:rFonts w:ascii="Arial" w:eastAsia="Calibri" w:hAnsi="Arial" w:cs="Arial"/>
        </w:rPr>
      </w:pPr>
      <w:r w:rsidRPr="004B49F9">
        <w:rPr>
          <w:rFonts w:ascii="Arial" w:eastAsia="Calibri" w:hAnsi="Arial" w:cs="Arial"/>
        </w:rPr>
        <w:t xml:space="preserve">Changes that the QLRC </w:t>
      </w:r>
      <w:r w:rsidR="00084420" w:rsidRPr="004B49F9">
        <w:rPr>
          <w:rFonts w:ascii="Arial" w:eastAsia="Calibri" w:hAnsi="Arial" w:cs="Arial"/>
        </w:rPr>
        <w:t>considered but ultimately found not necessary</w:t>
      </w:r>
      <w:r w:rsidR="00CB1980">
        <w:rPr>
          <w:rFonts w:ascii="Arial" w:eastAsia="Calibri" w:hAnsi="Arial" w:cs="Arial"/>
        </w:rPr>
        <w:t xml:space="preserve"> </w:t>
      </w:r>
      <w:r w:rsidRPr="004B49F9">
        <w:rPr>
          <w:rFonts w:ascii="Arial" w:eastAsia="Calibri" w:hAnsi="Arial" w:cs="Arial"/>
        </w:rPr>
        <w:t>may need to</w:t>
      </w:r>
      <w:r w:rsidR="001851C7">
        <w:rPr>
          <w:rFonts w:ascii="Arial" w:eastAsia="Calibri" w:hAnsi="Arial" w:cs="Arial"/>
        </w:rPr>
        <w:t xml:space="preserve"> be</w:t>
      </w:r>
      <w:r w:rsidRPr="004B49F9">
        <w:rPr>
          <w:rFonts w:ascii="Arial" w:eastAsia="Calibri" w:hAnsi="Arial" w:cs="Arial"/>
        </w:rPr>
        <w:t xml:space="preserve"> revisited to ensure the law keeps up with contemporary standards. </w:t>
      </w:r>
      <w:r w:rsidR="00964130">
        <w:rPr>
          <w:rFonts w:ascii="Arial" w:eastAsia="Calibri" w:hAnsi="Arial" w:cs="Arial"/>
        </w:rPr>
        <w:t>These potential changes included</w:t>
      </w:r>
      <w:r w:rsidR="00376C5F">
        <w:rPr>
          <w:rFonts w:ascii="Arial" w:eastAsia="Calibri" w:hAnsi="Arial" w:cs="Arial"/>
        </w:rPr>
        <w:t>:</w:t>
      </w:r>
    </w:p>
    <w:p w14:paraId="0A7521F2" w14:textId="77777777" w:rsidR="00376C5F" w:rsidRDefault="004A05BD" w:rsidP="007A4895">
      <w:pPr>
        <w:pStyle w:val="NormalWeb"/>
        <w:numPr>
          <w:ilvl w:val="0"/>
          <w:numId w:val="12"/>
        </w:numPr>
        <w:shd w:val="clear" w:color="auto" w:fill="FFFFFF"/>
        <w:spacing w:before="0" w:beforeAutospacing="0" w:after="270" w:afterAutospacing="0"/>
        <w:textAlignment w:val="baseline"/>
        <w:rPr>
          <w:rFonts w:ascii="Arial" w:eastAsia="Calibri" w:hAnsi="Arial" w:cs="Arial"/>
        </w:rPr>
      </w:pPr>
      <w:r w:rsidRPr="004B49F9">
        <w:rPr>
          <w:rFonts w:ascii="Arial" w:eastAsia="Calibri" w:hAnsi="Arial" w:cs="Arial"/>
        </w:rPr>
        <w:t xml:space="preserve"> </w:t>
      </w:r>
      <w:r w:rsidR="004B49F9" w:rsidRPr="004B49F9">
        <w:rPr>
          <w:rFonts w:ascii="Arial" w:eastAsia="Calibri" w:hAnsi="Arial" w:cs="Arial"/>
        </w:rPr>
        <w:t xml:space="preserve">a more affirmative model of consent, </w:t>
      </w:r>
    </w:p>
    <w:p w14:paraId="205EB312" w14:textId="3C2A02AB" w:rsidR="00376C5F" w:rsidRDefault="00376C5F" w:rsidP="007A4895">
      <w:pPr>
        <w:pStyle w:val="NormalWeb"/>
        <w:numPr>
          <w:ilvl w:val="0"/>
          <w:numId w:val="12"/>
        </w:numPr>
        <w:shd w:val="clear" w:color="auto" w:fill="FFFFFF"/>
        <w:spacing w:before="0" w:beforeAutospacing="0" w:after="270" w:afterAutospacing="0"/>
        <w:textAlignment w:val="baseline"/>
        <w:rPr>
          <w:rFonts w:ascii="Arial" w:eastAsia="Calibri" w:hAnsi="Arial" w:cs="Arial"/>
        </w:rPr>
      </w:pPr>
      <w:r>
        <w:rPr>
          <w:rFonts w:ascii="Arial" w:eastAsia="Calibri" w:hAnsi="Arial" w:cs="Arial"/>
        </w:rPr>
        <w:t xml:space="preserve">changes to </w:t>
      </w:r>
      <w:r w:rsidR="001D4262" w:rsidRPr="004B49F9">
        <w:rPr>
          <w:rFonts w:ascii="Arial" w:eastAsia="Calibri" w:hAnsi="Arial" w:cs="Arial"/>
        </w:rPr>
        <w:t>the list of circumstances</w:t>
      </w:r>
      <w:r w:rsidR="00A654E8" w:rsidRPr="004B49F9">
        <w:rPr>
          <w:rFonts w:ascii="Arial" w:eastAsia="Calibri" w:hAnsi="Arial" w:cs="Arial"/>
        </w:rPr>
        <w:t xml:space="preserve"> in s 348(2)</w:t>
      </w:r>
      <w:r w:rsidR="008B2317">
        <w:rPr>
          <w:rFonts w:ascii="Arial" w:eastAsia="Calibri" w:hAnsi="Arial" w:cs="Arial"/>
        </w:rPr>
        <w:t xml:space="preserve"> of the </w:t>
      </w:r>
      <w:r w:rsidR="008B2317">
        <w:rPr>
          <w:rFonts w:ascii="Arial" w:eastAsia="Calibri" w:hAnsi="Arial" w:cs="Arial"/>
          <w:i/>
        </w:rPr>
        <w:t>Criminal Code</w:t>
      </w:r>
      <w:r w:rsidR="00A654E8" w:rsidRPr="004B49F9">
        <w:rPr>
          <w:rFonts w:ascii="Arial" w:eastAsia="Calibri" w:hAnsi="Arial" w:cs="Arial"/>
        </w:rPr>
        <w:t xml:space="preserve"> </w:t>
      </w:r>
      <w:r w:rsidR="004A05BD" w:rsidRPr="004B49F9">
        <w:rPr>
          <w:rFonts w:ascii="Arial" w:eastAsia="Calibri" w:hAnsi="Arial" w:cs="Arial"/>
        </w:rPr>
        <w:t xml:space="preserve">in which consent is not freely and voluntarily, and </w:t>
      </w:r>
    </w:p>
    <w:p w14:paraId="547A704C" w14:textId="3CA6FFE5" w:rsidR="004B49F9" w:rsidRPr="004B49F9" w:rsidRDefault="00376C5F" w:rsidP="007A4895">
      <w:pPr>
        <w:pStyle w:val="NormalWeb"/>
        <w:numPr>
          <w:ilvl w:val="0"/>
          <w:numId w:val="12"/>
        </w:numPr>
        <w:shd w:val="clear" w:color="auto" w:fill="FFFFFF"/>
        <w:spacing w:before="0" w:beforeAutospacing="0" w:after="270" w:afterAutospacing="0"/>
        <w:textAlignment w:val="baseline"/>
        <w:rPr>
          <w:rFonts w:ascii="Arial" w:eastAsia="Calibri" w:hAnsi="Arial" w:cs="Arial"/>
        </w:rPr>
      </w:pPr>
      <w:r>
        <w:rPr>
          <w:rFonts w:ascii="Arial" w:eastAsia="Calibri" w:hAnsi="Arial" w:cs="Arial"/>
        </w:rPr>
        <w:t xml:space="preserve">changes to the way that </w:t>
      </w:r>
      <w:r w:rsidR="004A05BD" w:rsidRPr="004B49F9">
        <w:rPr>
          <w:rFonts w:ascii="Arial" w:eastAsia="Calibri" w:hAnsi="Arial" w:cs="Arial"/>
        </w:rPr>
        <w:t xml:space="preserve">the mistake of fact </w:t>
      </w:r>
      <w:r w:rsidR="005933DE" w:rsidRPr="004B49F9">
        <w:rPr>
          <w:rFonts w:ascii="Arial" w:eastAsia="Calibri" w:hAnsi="Arial" w:cs="Arial"/>
        </w:rPr>
        <w:t>excuse</w:t>
      </w:r>
      <w:r w:rsidR="004A05BD" w:rsidRPr="004B49F9">
        <w:rPr>
          <w:rFonts w:ascii="Arial" w:eastAsia="Calibri" w:hAnsi="Arial" w:cs="Arial"/>
        </w:rPr>
        <w:t xml:space="preserve"> </w:t>
      </w:r>
      <w:r>
        <w:rPr>
          <w:rFonts w:ascii="Arial" w:eastAsia="Calibri" w:hAnsi="Arial" w:cs="Arial"/>
        </w:rPr>
        <w:t>applies, and i</w:t>
      </w:r>
      <w:r w:rsidR="004B49F9" w:rsidRPr="004B49F9">
        <w:rPr>
          <w:rFonts w:ascii="Arial" w:eastAsia="Calibri" w:hAnsi="Arial" w:cs="Arial"/>
        </w:rPr>
        <w:t xml:space="preserve">n particular, </w:t>
      </w:r>
      <w:r>
        <w:rPr>
          <w:rFonts w:ascii="Arial" w:eastAsia="Calibri" w:hAnsi="Arial" w:cs="Arial"/>
        </w:rPr>
        <w:t>further amendments to</w:t>
      </w:r>
      <w:r w:rsidR="00931D2A">
        <w:rPr>
          <w:rFonts w:ascii="Arial" w:eastAsia="Calibri" w:hAnsi="Arial" w:cs="Arial"/>
        </w:rPr>
        <w:t xml:space="preserve"> </w:t>
      </w:r>
      <w:r w:rsidR="004B49F9" w:rsidRPr="004B49F9">
        <w:rPr>
          <w:rFonts w:ascii="Arial" w:eastAsia="Calibri" w:hAnsi="Arial" w:cs="Arial"/>
        </w:rPr>
        <w:t>prevent a defendant relying on a mistake of fact excuse if they have done nothing to find out if the other person is consenting</w:t>
      </w:r>
      <w:r w:rsidR="004B49F9">
        <w:rPr>
          <w:rFonts w:ascii="Arial" w:eastAsia="Calibri" w:hAnsi="Arial" w:cs="Arial"/>
        </w:rPr>
        <w:t xml:space="preserve">, or in cases where </w:t>
      </w:r>
      <w:r w:rsidR="004B49F9" w:rsidRPr="004B49F9">
        <w:rPr>
          <w:rFonts w:ascii="Arial" w:eastAsia="Calibri" w:hAnsi="Arial" w:cs="Arial"/>
        </w:rPr>
        <w:t>a victim is asleep, unconscious or heavily intoxicated.</w:t>
      </w:r>
    </w:p>
    <w:p w14:paraId="120A5552" w14:textId="2F6A88C8" w:rsidR="0098505A" w:rsidRDefault="005933DE" w:rsidP="0098505A">
      <w:pPr>
        <w:autoSpaceDE w:val="0"/>
        <w:autoSpaceDN w:val="0"/>
        <w:adjustRightInd w:val="0"/>
        <w:spacing w:after="0" w:line="240" w:lineRule="auto"/>
        <w:rPr>
          <w:rFonts w:eastAsiaTheme="minorHAnsi" w:cs="Arial"/>
          <w:color w:val="auto"/>
          <w:szCs w:val="24"/>
          <w:lang w:eastAsia="en-US"/>
        </w:rPr>
      </w:pPr>
      <w:r w:rsidRPr="001D4262">
        <w:rPr>
          <w:rFonts w:eastAsiaTheme="minorHAnsi" w:cs="Arial"/>
          <w:color w:val="auto"/>
          <w:szCs w:val="24"/>
          <w:lang w:eastAsia="en-US"/>
        </w:rPr>
        <w:t>Further, the QLRC found that some issues were outside the terms of reference for the review, such as the question of the relevance and admissibility of evidence of</w:t>
      </w:r>
      <w:r w:rsidR="00084420">
        <w:rPr>
          <w:rFonts w:eastAsiaTheme="minorHAnsi" w:cs="Arial"/>
          <w:color w:val="auto"/>
          <w:szCs w:val="24"/>
          <w:lang w:eastAsia="en-US"/>
        </w:rPr>
        <w:t xml:space="preserve"> </w:t>
      </w:r>
      <w:r w:rsidRPr="001D4262">
        <w:rPr>
          <w:rFonts w:eastAsiaTheme="minorHAnsi" w:cs="Arial"/>
          <w:color w:val="auto"/>
          <w:szCs w:val="24"/>
          <w:lang w:eastAsia="en-US"/>
        </w:rPr>
        <w:t xml:space="preserve">domestic violence in relation to offences outside Chapter 32 of the </w:t>
      </w:r>
      <w:r w:rsidRPr="00EE02D3">
        <w:rPr>
          <w:rFonts w:eastAsiaTheme="minorHAnsi" w:cs="Arial"/>
          <w:i/>
          <w:color w:val="auto"/>
          <w:szCs w:val="24"/>
          <w:lang w:eastAsia="en-US"/>
        </w:rPr>
        <w:t>Criminal</w:t>
      </w:r>
      <w:r w:rsidR="00084420" w:rsidRPr="00EE02D3">
        <w:rPr>
          <w:rFonts w:eastAsiaTheme="minorHAnsi" w:cs="Arial"/>
          <w:i/>
          <w:color w:val="auto"/>
          <w:szCs w:val="24"/>
          <w:lang w:eastAsia="en-US"/>
        </w:rPr>
        <w:t xml:space="preserve"> </w:t>
      </w:r>
      <w:r w:rsidRPr="00EE02D3">
        <w:rPr>
          <w:rFonts w:eastAsiaTheme="minorHAnsi" w:cs="Arial"/>
          <w:i/>
          <w:color w:val="auto"/>
          <w:szCs w:val="24"/>
          <w:lang w:eastAsia="en-US"/>
        </w:rPr>
        <w:t>Code</w:t>
      </w:r>
      <w:r w:rsidRPr="001D4262">
        <w:rPr>
          <w:rFonts w:eastAsiaTheme="minorHAnsi" w:cs="Arial"/>
          <w:color w:val="auto"/>
          <w:szCs w:val="24"/>
          <w:lang w:eastAsia="en-US"/>
        </w:rPr>
        <w:t xml:space="preserve">. </w:t>
      </w:r>
      <w:r w:rsidR="00F119AF">
        <w:rPr>
          <w:rFonts w:eastAsiaTheme="minorHAnsi" w:cs="Arial"/>
          <w:color w:val="auto"/>
          <w:szCs w:val="24"/>
          <w:lang w:eastAsia="en-US"/>
        </w:rPr>
        <w:t xml:space="preserve">These </w:t>
      </w:r>
      <w:r w:rsidR="008E324F">
        <w:rPr>
          <w:rFonts w:eastAsiaTheme="minorHAnsi" w:cs="Arial"/>
          <w:color w:val="auto"/>
          <w:szCs w:val="24"/>
          <w:lang w:eastAsia="en-US"/>
        </w:rPr>
        <w:t>are</w:t>
      </w:r>
      <w:r w:rsidR="00F119AF">
        <w:rPr>
          <w:rFonts w:eastAsiaTheme="minorHAnsi" w:cs="Arial"/>
          <w:color w:val="auto"/>
          <w:szCs w:val="24"/>
          <w:lang w:eastAsia="en-US"/>
        </w:rPr>
        <w:t xml:space="preserve"> relevant issues that warrant separate consideration.</w:t>
      </w:r>
    </w:p>
    <w:p w14:paraId="10C432AF" w14:textId="51D92237" w:rsidR="004B49F9" w:rsidRDefault="004B49F9" w:rsidP="0098505A">
      <w:pPr>
        <w:autoSpaceDE w:val="0"/>
        <w:autoSpaceDN w:val="0"/>
        <w:adjustRightInd w:val="0"/>
        <w:spacing w:after="0" w:line="240" w:lineRule="auto"/>
        <w:rPr>
          <w:rFonts w:eastAsiaTheme="minorHAnsi" w:cs="Arial"/>
          <w:color w:val="auto"/>
          <w:szCs w:val="24"/>
          <w:lang w:eastAsia="en-US"/>
        </w:rPr>
      </w:pPr>
    </w:p>
    <w:p w14:paraId="12026C21" w14:textId="6A1C0C11" w:rsidR="004B49F9" w:rsidRPr="004B49F9" w:rsidRDefault="003C14F4" w:rsidP="0098505A">
      <w:pPr>
        <w:autoSpaceDE w:val="0"/>
        <w:autoSpaceDN w:val="0"/>
        <w:adjustRightInd w:val="0"/>
        <w:spacing w:after="0" w:line="240" w:lineRule="auto"/>
        <w:rPr>
          <w:rFonts w:eastAsiaTheme="minorHAnsi" w:cs="Arial"/>
          <w:color w:val="auto"/>
          <w:szCs w:val="24"/>
          <w:lang w:eastAsia="en-US"/>
        </w:rPr>
      </w:pPr>
      <w:r>
        <w:rPr>
          <w:rFonts w:eastAsiaTheme="minorHAnsi" w:cs="Arial"/>
          <w:color w:val="auto"/>
          <w:szCs w:val="24"/>
          <w:lang w:eastAsia="en-US"/>
        </w:rPr>
        <w:t>Any inadvertent effect of these amendments</w:t>
      </w:r>
      <w:r w:rsidR="004B49F9">
        <w:rPr>
          <w:rFonts w:eastAsiaTheme="minorHAnsi" w:cs="Arial"/>
          <w:color w:val="auto"/>
          <w:szCs w:val="24"/>
          <w:lang w:eastAsia="en-US"/>
        </w:rPr>
        <w:t xml:space="preserve"> may also need to be considered. For example, </w:t>
      </w:r>
      <w:r>
        <w:rPr>
          <w:rFonts w:eastAsiaTheme="minorHAnsi" w:cs="Arial"/>
          <w:color w:val="auto"/>
          <w:szCs w:val="24"/>
          <w:lang w:eastAsia="en-US"/>
        </w:rPr>
        <w:t>ensuring the amendments negating earlier</w:t>
      </w:r>
      <w:r w:rsidR="004B49F9">
        <w:rPr>
          <w:rFonts w:eastAsiaTheme="minorHAnsi" w:cs="Arial"/>
          <w:color w:val="auto"/>
          <w:szCs w:val="24"/>
          <w:lang w:eastAsia="en-US"/>
        </w:rPr>
        <w:t xml:space="preserve"> consent when it is</w:t>
      </w:r>
      <w:r>
        <w:rPr>
          <w:rFonts w:eastAsiaTheme="minorHAnsi" w:cs="Arial"/>
          <w:color w:val="auto"/>
          <w:szCs w:val="24"/>
          <w:lang w:eastAsia="en-US"/>
        </w:rPr>
        <w:t xml:space="preserve"> later</w:t>
      </w:r>
      <w:r w:rsidR="004B49F9">
        <w:rPr>
          <w:rFonts w:eastAsiaTheme="minorHAnsi" w:cs="Arial"/>
          <w:color w:val="auto"/>
          <w:szCs w:val="24"/>
          <w:lang w:eastAsia="en-US"/>
        </w:rPr>
        <w:t xml:space="preserve"> withdrawn do not </w:t>
      </w:r>
      <w:r w:rsidR="004B49F9" w:rsidRPr="004B49F9">
        <w:rPr>
          <w:rFonts w:eastAsiaTheme="minorHAnsi" w:cs="Arial"/>
          <w:color w:val="auto"/>
          <w:szCs w:val="24"/>
          <w:lang w:eastAsia="en-US"/>
        </w:rPr>
        <w:t>place too great an onus on victims subjected to unwanted sexual acts to withdraw their consent, particularly in situations where</w:t>
      </w:r>
      <w:r>
        <w:rPr>
          <w:rFonts w:eastAsiaTheme="minorHAnsi" w:cs="Arial"/>
          <w:color w:val="auto"/>
          <w:szCs w:val="24"/>
          <w:lang w:eastAsia="en-US"/>
        </w:rPr>
        <w:t xml:space="preserve"> a</w:t>
      </w:r>
      <w:r w:rsidR="004B49F9" w:rsidRPr="004B49F9">
        <w:rPr>
          <w:rFonts w:eastAsiaTheme="minorHAnsi" w:cs="Arial"/>
          <w:color w:val="auto"/>
          <w:szCs w:val="24"/>
          <w:lang w:eastAsia="en-US"/>
        </w:rPr>
        <w:t xml:space="preserve"> previously consensual sexual encounter turns violent or the nature of the activity suddenly changes.</w:t>
      </w:r>
    </w:p>
    <w:p w14:paraId="065BB943" w14:textId="75E0BC90" w:rsidR="004A05BD" w:rsidRPr="001D4262" w:rsidRDefault="004A05BD" w:rsidP="005933DE">
      <w:pPr>
        <w:autoSpaceDE w:val="0"/>
        <w:autoSpaceDN w:val="0"/>
        <w:adjustRightInd w:val="0"/>
        <w:spacing w:after="0" w:line="240" w:lineRule="auto"/>
        <w:rPr>
          <w:rFonts w:eastAsiaTheme="minorHAnsi" w:cs="Arial"/>
          <w:color w:val="auto"/>
          <w:szCs w:val="24"/>
          <w:lang w:eastAsia="en-US"/>
        </w:rPr>
      </w:pPr>
    </w:p>
    <w:p w14:paraId="0945ECC7" w14:textId="45F86EE0" w:rsidR="00BC7248" w:rsidRDefault="00AC097C" w:rsidP="003C14F4">
      <w:pPr>
        <w:autoSpaceDE w:val="0"/>
        <w:autoSpaceDN w:val="0"/>
        <w:adjustRightInd w:val="0"/>
        <w:spacing w:after="0" w:line="240" w:lineRule="auto"/>
        <w:rPr>
          <w:rFonts w:eastAsiaTheme="minorHAnsi" w:cs="Arial"/>
          <w:color w:val="auto"/>
          <w:szCs w:val="24"/>
          <w:lang w:eastAsia="en-US"/>
        </w:rPr>
      </w:pPr>
      <w:r w:rsidRPr="001D4262">
        <w:rPr>
          <w:rFonts w:cs="Arial"/>
          <w:szCs w:val="24"/>
        </w:rPr>
        <w:t xml:space="preserve">As the QLRC noted </w:t>
      </w:r>
      <w:r w:rsidRPr="001D4262">
        <w:rPr>
          <w:rFonts w:eastAsiaTheme="minorHAnsi" w:cs="Arial"/>
          <w:color w:val="auto"/>
          <w:szCs w:val="24"/>
          <w:lang w:eastAsia="en-US"/>
        </w:rPr>
        <w:t>there are limits to what the criminal law is practically and properly</w:t>
      </w:r>
      <w:r w:rsidR="008362AF">
        <w:rPr>
          <w:rFonts w:eastAsiaTheme="minorHAnsi" w:cs="Arial"/>
          <w:color w:val="auto"/>
          <w:szCs w:val="24"/>
          <w:lang w:eastAsia="en-US"/>
        </w:rPr>
        <w:t xml:space="preserve"> </w:t>
      </w:r>
      <w:r w:rsidRPr="001D4262">
        <w:rPr>
          <w:rFonts w:eastAsiaTheme="minorHAnsi" w:cs="Arial"/>
          <w:color w:val="auto"/>
          <w:szCs w:val="24"/>
          <w:lang w:eastAsia="en-US"/>
        </w:rPr>
        <w:t>able to achieve in terms of changing social practices</w:t>
      </w:r>
      <w:r w:rsidR="003C14F4">
        <w:rPr>
          <w:rFonts w:eastAsiaTheme="minorHAnsi" w:cs="Arial"/>
          <w:color w:val="auto"/>
          <w:szCs w:val="24"/>
          <w:lang w:eastAsia="en-US"/>
        </w:rPr>
        <w:t xml:space="preserve"> and</w:t>
      </w:r>
      <w:r w:rsidRPr="001D4262">
        <w:rPr>
          <w:rFonts w:eastAsiaTheme="minorHAnsi" w:cs="Arial"/>
          <w:color w:val="auto"/>
          <w:szCs w:val="24"/>
          <w:lang w:eastAsia="en-US"/>
        </w:rPr>
        <w:t xml:space="preserve"> </w:t>
      </w:r>
      <w:r w:rsidR="003C14F4">
        <w:rPr>
          <w:rFonts w:eastAsiaTheme="minorHAnsi" w:cs="Arial"/>
          <w:color w:val="auto"/>
          <w:szCs w:val="24"/>
          <w:lang w:eastAsia="en-US"/>
        </w:rPr>
        <w:t>l</w:t>
      </w:r>
      <w:r w:rsidRPr="001D4262">
        <w:rPr>
          <w:rFonts w:eastAsiaTheme="minorHAnsi" w:cs="Arial"/>
          <w:color w:val="auto"/>
          <w:szCs w:val="24"/>
          <w:lang w:eastAsia="en-US"/>
        </w:rPr>
        <w:t>egislative amendment is only one means of addressing these issues.</w:t>
      </w:r>
      <w:r w:rsidR="00084420">
        <w:rPr>
          <w:rFonts w:eastAsiaTheme="minorHAnsi" w:cs="Arial"/>
          <w:color w:val="auto"/>
          <w:szCs w:val="24"/>
          <w:lang w:eastAsia="en-US"/>
        </w:rPr>
        <w:t xml:space="preserve"> Consistent with its human rights obligations, the Government must continue to work with key stakeholders, including victims, to ensure beyond law reform</w:t>
      </w:r>
      <w:r w:rsidR="003C14F4">
        <w:rPr>
          <w:rFonts w:eastAsiaTheme="minorHAnsi" w:cs="Arial"/>
          <w:color w:val="auto"/>
          <w:szCs w:val="24"/>
          <w:lang w:eastAsia="en-US"/>
        </w:rPr>
        <w:t xml:space="preserve">, other measures are considered. </w:t>
      </w:r>
    </w:p>
    <w:p w14:paraId="4A5BCCE2" w14:textId="3ECFDF7B" w:rsidR="00084420" w:rsidRDefault="00084420" w:rsidP="00AC097C">
      <w:pPr>
        <w:autoSpaceDE w:val="0"/>
        <w:autoSpaceDN w:val="0"/>
        <w:adjustRightInd w:val="0"/>
        <w:spacing w:after="0" w:line="240" w:lineRule="auto"/>
        <w:rPr>
          <w:rFonts w:eastAsiaTheme="minorHAnsi" w:cs="Arial"/>
          <w:color w:val="auto"/>
          <w:szCs w:val="24"/>
          <w:lang w:eastAsia="en-US"/>
        </w:rPr>
      </w:pPr>
    </w:p>
    <w:p w14:paraId="59A3AB8B" w14:textId="2AE15CA8" w:rsidR="00084420" w:rsidRPr="00084420" w:rsidRDefault="00084420" w:rsidP="00AC097C">
      <w:pPr>
        <w:autoSpaceDE w:val="0"/>
        <w:autoSpaceDN w:val="0"/>
        <w:adjustRightInd w:val="0"/>
        <w:spacing w:after="0" w:line="240" w:lineRule="auto"/>
        <w:rPr>
          <w:rFonts w:eastAsiaTheme="minorHAnsi" w:cs="Arial"/>
          <w:color w:val="auto"/>
          <w:szCs w:val="24"/>
          <w:lang w:eastAsia="en-US"/>
        </w:rPr>
      </w:pPr>
      <w:r>
        <w:rPr>
          <w:rFonts w:eastAsiaTheme="minorHAnsi" w:cs="Arial"/>
          <w:color w:val="auto"/>
          <w:szCs w:val="24"/>
          <w:lang w:eastAsia="en-US"/>
        </w:rPr>
        <w:t>Thank you for the opportunity t</w:t>
      </w:r>
      <w:r w:rsidR="00E725A3">
        <w:rPr>
          <w:rFonts w:eastAsiaTheme="minorHAnsi" w:cs="Arial"/>
          <w:color w:val="auto"/>
          <w:szCs w:val="24"/>
          <w:lang w:eastAsia="en-US"/>
        </w:rPr>
        <w:t xml:space="preserve">o comment on these amendments. </w:t>
      </w:r>
      <w:bookmarkStart w:id="0" w:name="_GoBack"/>
      <w:bookmarkEnd w:id="0"/>
    </w:p>
    <w:sectPr w:rsidR="00084420" w:rsidRPr="00084420" w:rsidSect="00084420">
      <w:footerReference w:type="default" r:id="rId15"/>
      <w:headerReference w:type="first" r:id="rId16"/>
      <w:footerReference w:type="first" r:id="rId17"/>
      <w:type w:val="continuous"/>
      <w:pgSz w:w="11906" w:h="16838"/>
      <w:pgMar w:top="1440" w:right="1440" w:bottom="1440" w:left="113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8409F" w14:textId="77777777" w:rsidR="00D94A24" w:rsidRDefault="00D94A24" w:rsidP="00304408">
      <w:pPr>
        <w:spacing w:after="0" w:line="240" w:lineRule="auto"/>
      </w:pPr>
      <w:r>
        <w:separator/>
      </w:r>
    </w:p>
  </w:endnote>
  <w:endnote w:type="continuationSeparator" w:id="0">
    <w:p w14:paraId="71EFE291" w14:textId="77777777" w:rsidR="00D94A24" w:rsidRDefault="00D94A24"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6DD4" w14:textId="77777777" w:rsidR="007A4895" w:rsidRDefault="007A4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1C679" w14:textId="77777777" w:rsidR="00BC7248" w:rsidRDefault="00BC7248" w:rsidP="00911F7B">
    <w:pPr>
      <w:pStyle w:val="Footer"/>
      <w:tabs>
        <w:tab w:val="clear" w:pos="4513"/>
        <w:tab w:val="clear" w:pos="9026"/>
      </w:tabs>
      <w:jc w:val="center"/>
    </w:pPr>
    <w:r>
      <w:rPr>
        <w:noProof/>
      </w:rPr>
      <w:drawing>
        <wp:inline distT="0" distB="0" distL="0" distR="0" wp14:anchorId="346D6580" wp14:editId="63DBB2BE">
          <wp:extent cx="6032874"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8358" r="7898" b="23386"/>
                  <a:stretch/>
                </pic:blipFill>
                <pic:spPr bwMode="auto">
                  <a:xfrm>
                    <a:off x="0" y="0"/>
                    <a:ext cx="6045727" cy="118361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25CBC" w14:textId="77777777" w:rsidR="00BC7248" w:rsidRDefault="00BC7248" w:rsidP="000C13C7">
    <w:pPr>
      <w:pStyle w:val="Footer"/>
      <w:tabs>
        <w:tab w:val="clear" w:pos="4513"/>
        <w:tab w:val="clear" w:pos="9026"/>
      </w:tabs>
    </w:pPr>
    <w:r>
      <w:rPr>
        <w:noProof/>
      </w:rPr>
      <w:drawing>
        <wp:inline distT="0" distB="0" distL="0" distR="0" wp14:anchorId="4723D8AC" wp14:editId="453C145A">
          <wp:extent cx="5657578" cy="1085182"/>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1F140" w14:textId="4138E515" w:rsidR="00D4280D" w:rsidRDefault="00D4280D" w:rsidP="00911F7B">
    <w:pPr>
      <w:pStyle w:val="Footer"/>
      <w:tabs>
        <w:tab w:val="clear" w:pos="4513"/>
        <w:tab w:val="clear" w:pos="9026"/>
      </w:tabs>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D11BD" w14:textId="76CE1012" w:rsidR="00084420" w:rsidRDefault="00084420" w:rsidP="000C13C7">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1DFED" w14:textId="77777777" w:rsidR="00D94A24" w:rsidRDefault="00D94A24" w:rsidP="00304408">
      <w:pPr>
        <w:spacing w:after="0" w:line="240" w:lineRule="auto"/>
      </w:pPr>
      <w:r>
        <w:separator/>
      </w:r>
    </w:p>
  </w:footnote>
  <w:footnote w:type="continuationSeparator" w:id="0">
    <w:p w14:paraId="25E51178" w14:textId="77777777" w:rsidR="00D94A24" w:rsidRDefault="00D94A24" w:rsidP="00304408">
      <w:pPr>
        <w:spacing w:after="0" w:line="240" w:lineRule="auto"/>
      </w:pPr>
      <w:r>
        <w:continuationSeparator/>
      </w:r>
    </w:p>
  </w:footnote>
  <w:footnote w:id="1">
    <w:p w14:paraId="493943E3" w14:textId="77777777" w:rsidR="00066B03" w:rsidRPr="007A4895" w:rsidRDefault="00066B03" w:rsidP="00066B03">
      <w:pPr>
        <w:pStyle w:val="FootnoteText"/>
        <w:rPr>
          <w:i/>
        </w:rPr>
      </w:pPr>
      <w:r>
        <w:rPr>
          <w:rStyle w:val="FootnoteReference"/>
        </w:rPr>
        <w:footnoteRef/>
      </w:r>
      <w:r>
        <w:t xml:space="preserve"> The Queensland </w:t>
      </w:r>
      <w:r>
        <w:rPr>
          <w:i/>
        </w:rPr>
        <w:t xml:space="preserve">Criminal Code </w:t>
      </w:r>
      <w:r>
        <w:t xml:space="preserve">is Schedule 1 to the </w:t>
      </w:r>
      <w:r>
        <w:rPr>
          <w:i/>
        </w:rPr>
        <w:t>Criminal Code Act 1899</w:t>
      </w:r>
    </w:p>
  </w:footnote>
  <w:footnote w:id="2">
    <w:p w14:paraId="6C053EA9" w14:textId="62A2BFAD" w:rsidR="00681105" w:rsidRPr="00F9767C" w:rsidRDefault="00681105">
      <w:pPr>
        <w:pStyle w:val="FootnoteText"/>
        <w:rPr>
          <w:i/>
        </w:rPr>
      </w:pPr>
      <w:r>
        <w:rPr>
          <w:rStyle w:val="FootnoteReference"/>
        </w:rPr>
        <w:footnoteRef/>
      </w:r>
      <w:r>
        <w:t xml:space="preserve"> Queensland Law Reform Commission, </w:t>
      </w:r>
      <w:r w:rsidR="00EE02D3" w:rsidRPr="00EE02D3">
        <w:rPr>
          <w:i/>
        </w:rPr>
        <w:t>Review of consent laws and the excuse of mistake of fact</w:t>
      </w:r>
      <w:r w:rsidR="00EE02D3">
        <w:t>,</w:t>
      </w:r>
      <w:r w:rsidR="00F9767C">
        <w:t xml:space="preserve"> (Report No 78,</w:t>
      </w:r>
      <w:r w:rsidR="00EE02D3">
        <w:t xml:space="preserve"> June 2020</w:t>
      </w:r>
      <w:r w:rsidR="00F9767C">
        <w:t>)</w:t>
      </w:r>
      <w:r w:rsidR="00F10A53">
        <w:t>, v.</w:t>
      </w:r>
      <w:r w:rsidR="00F9767C">
        <w:t xml:space="preserve"> (</w:t>
      </w:r>
      <w:r w:rsidR="00F9767C">
        <w:rPr>
          <w:i/>
        </w:rPr>
        <w:t>‘QLRC Report’)</w:t>
      </w:r>
    </w:p>
  </w:footnote>
  <w:footnote w:id="3">
    <w:p w14:paraId="106FF76A" w14:textId="19AFF59B" w:rsidR="00451D7E" w:rsidRPr="00451D7E" w:rsidRDefault="00451D7E">
      <w:pPr>
        <w:pStyle w:val="FootnoteText"/>
        <w:rPr>
          <w:lang w:val="en-US"/>
        </w:rPr>
      </w:pPr>
      <w:r>
        <w:rPr>
          <w:rStyle w:val="FootnoteReference"/>
        </w:rPr>
        <w:footnoteRef/>
      </w:r>
      <w:r>
        <w:t xml:space="preserve"> </w:t>
      </w:r>
      <w:r w:rsidR="00F9767C">
        <w:rPr>
          <w:i/>
        </w:rPr>
        <w:t>QLRC Report,</w:t>
      </w:r>
      <w:r w:rsidR="00EE02D3">
        <w:t xml:space="preserve"> </w:t>
      </w:r>
      <w:r>
        <w:t xml:space="preserve">85. </w:t>
      </w:r>
    </w:p>
  </w:footnote>
  <w:footnote w:id="4">
    <w:p w14:paraId="3273472B" w14:textId="6477AD15" w:rsidR="00451D7E" w:rsidRPr="00451D7E" w:rsidRDefault="00451D7E">
      <w:pPr>
        <w:pStyle w:val="FootnoteText"/>
        <w:rPr>
          <w:lang w:val="en-US"/>
        </w:rPr>
      </w:pPr>
      <w:r>
        <w:rPr>
          <w:rStyle w:val="FootnoteReference"/>
        </w:rPr>
        <w:footnoteRef/>
      </w:r>
      <w:r>
        <w:t xml:space="preserve"> </w:t>
      </w:r>
      <w:r w:rsidR="00F9767C">
        <w:rPr>
          <w:i/>
        </w:rPr>
        <w:t>QLRC Report</w:t>
      </w:r>
      <w:r w:rsidR="00EE02D3">
        <w:t xml:space="preserve">, </w:t>
      </w:r>
      <w:r w:rsidR="00F9767C">
        <w:rPr>
          <w:lang w:val="en-US"/>
        </w:rPr>
        <w:t>9</w:t>
      </w:r>
      <w:r w:rsidR="00EE02D3">
        <w:rPr>
          <w:lang w:val="en-US"/>
        </w:rPr>
        <w:t>2</w:t>
      </w:r>
      <w:r w:rsidR="003C14F4">
        <w:rPr>
          <w:lang w:val="en-US"/>
        </w:rPr>
        <w:t>.</w:t>
      </w:r>
    </w:p>
  </w:footnote>
  <w:footnote w:id="5">
    <w:p w14:paraId="186DC03B" w14:textId="77777777" w:rsidR="005A59E1" w:rsidRPr="00FA374F" w:rsidRDefault="005A59E1" w:rsidP="005A59E1">
      <w:pPr>
        <w:pStyle w:val="FootnoteText"/>
        <w:rPr>
          <w:lang w:val="en-US"/>
        </w:rPr>
      </w:pPr>
      <w:r>
        <w:rPr>
          <w:rStyle w:val="FootnoteReference"/>
        </w:rPr>
        <w:footnoteRef/>
      </w:r>
      <w:r>
        <w:t xml:space="preserve"> </w:t>
      </w:r>
      <w:r>
        <w:rPr>
          <w:lang w:val="en-US"/>
        </w:rPr>
        <w:t>Article 15 of the ICCPR</w:t>
      </w:r>
    </w:p>
  </w:footnote>
  <w:footnote w:id="6">
    <w:p w14:paraId="457445F7" w14:textId="59758E44" w:rsidR="005A59E1" w:rsidRPr="00FA374F" w:rsidRDefault="005A59E1" w:rsidP="005A59E1">
      <w:pPr>
        <w:pStyle w:val="FootnoteText"/>
        <w:rPr>
          <w:lang w:val="en-US"/>
        </w:rPr>
      </w:pPr>
      <w:r>
        <w:rPr>
          <w:rStyle w:val="FootnoteReference"/>
        </w:rPr>
        <w:footnoteRef/>
      </w:r>
      <w:r>
        <w:t xml:space="preserve"> Noting that the Statement of Compatibility suggests that approach will not achieve the purpose of clarifying and making the law more accessible as soon as possible.</w:t>
      </w:r>
    </w:p>
  </w:footnote>
  <w:footnote w:id="7">
    <w:p w14:paraId="116AD89D" w14:textId="77777777" w:rsidR="00600DF5" w:rsidRDefault="00600DF5" w:rsidP="00600DF5">
      <w:pPr>
        <w:pStyle w:val="FootnoteText"/>
      </w:pPr>
      <w:r>
        <w:rPr>
          <w:rStyle w:val="FootnoteReference"/>
        </w:rPr>
        <w:footnoteRef/>
      </w:r>
      <w:r>
        <w:t xml:space="preserve"> HRA s 16</w:t>
      </w:r>
    </w:p>
  </w:footnote>
  <w:footnote w:id="8">
    <w:p w14:paraId="4B04AE2A" w14:textId="77777777" w:rsidR="00600DF5" w:rsidRDefault="00600DF5" w:rsidP="00600DF5">
      <w:pPr>
        <w:pStyle w:val="FootnoteText"/>
      </w:pPr>
      <w:r>
        <w:rPr>
          <w:rStyle w:val="FootnoteReference"/>
        </w:rPr>
        <w:footnoteRef/>
      </w:r>
      <w:r>
        <w:t xml:space="preserve"> HRA s 17</w:t>
      </w:r>
    </w:p>
  </w:footnote>
  <w:footnote w:id="9">
    <w:p w14:paraId="0D9A64C4" w14:textId="77777777" w:rsidR="00600DF5" w:rsidRDefault="00600DF5" w:rsidP="00600DF5">
      <w:pPr>
        <w:pStyle w:val="FootnoteText"/>
      </w:pPr>
      <w:r>
        <w:rPr>
          <w:rStyle w:val="FootnoteReference"/>
        </w:rPr>
        <w:footnoteRef/>
      </w:r>
      <w:r>
        <w:t xml:space="preserve"> HRA s 15</w:t>
      </w:r>
    </w:p>
  </w:footnote>
  <w:footnote w:id="10">
    <w:p w14:paraId="77186F11" w14:textId="77777777" w:rsidR="00600DF5" w:rsidRDefault="00600DF5" w:rsidP="00600DF5">
      <w:pPr>
        <w:pStyle w:val="FootnoteText"/>
      </w:pPr>
      <w:r>
        <w:rPr>
          <w:rStyle w:val="FootnoteReference"/>
        </w:rPr>
        <w:footnoteRef/>
      </w:r>
      <w:r>
        <w:t xml:space="preserve"> The Queensland Government’s </w:t>
      </w:r>
      <w:r>
        <w:rPr>
          <w:i/>
        </w:rPr>
        <w:t xml:space="preserve">Prevent. Support. Believe. Queensland’s </w:t>
      </w:r>
      <w:r w:rsidRPr="00115142">
        <w:rPr>
          <w:i/>
        </w:rPr>
        <w:t xml:space="preserve">Framework to </w:t>
      </w:r>
      <w:r>
        <w:rPr>
          <w:i/>
        </w:rPr>
        <w:t>a</w:t>
      </w:r>
      <w:r w:rsidRPr="00115142">
        <w:rPr>
          <w:i/>
        </w:rPr>
        <w:t xml:space="preserve">ddress </w:t>
      </w:r>
      <w:r>
        <w:rPr>
          <w:i/>
        </w:rPr>
        <w:t>S</w:t>
      </w:r>
      <w:r w:rsidRPr="00115142">
        <w:rPr>
          <w:i/>
        </w:rPr>
        <w:t xml:space="preserve">exual </w:t>
      </w:r>
      <w:r>
        <w:rPr>
          <w:i/>
        </w:rPr>
        <w:t>V</w:t>
      </w:r>
      <w:r w:rsidRPr="00115142">
        <w:rPr>
          <w:i/>
        </w:rPr>
        <w:t>iolence</w:t>
      </w:r>
      <w:r>
        <w:t xml:space="preserve"> notes that around 1 in 5 women and 1 in 20 men have experienced sexual violence since the age of 15. In 2018, there were almost six times more female victims of reported sexual assault than male victims in Queensland. In 2017-18, 95.8% of reported perpetrators of sexual offences in Queensland were identified as male. </w:t>
      </w:r>
    </w:p>
  </w:footnote>
  <w:footnote w:id="11">
    <w:p w14:paraId="7F69E465" w14:textId="09FD1AF7" w:rsidR="00600DF5" w:rsidRPr="00E23637" w:rsidRDefault="00600DF5" w:rsidP="00600DF5">
      <w:pPr>
        <w:pStyle w:val="FootnoteText"/>
        <w:rPr>
          <w:lang w:val="en-US"/>
        </w:rPr>
      </w:pPr>
      <w:r>
        <w:rPr>
          <w:rStyle w:val="FootnoteReference"/>
        </w:rPr>
        <w:footnoteRef/>
      </w:r>
      <w:r>
        <w:t xml:space="preserve"> </w:t>
      </w:r>
      <w:r>
        <w:rPr>
          <w:i/>
          <w:lang w:val="en-US"/>
        </w:rPr>
        <w:t xml:space="preserve">QLRC Report, </w:t>
      </w:r>
      <w:r w:rsidR="008362AF" w:rsidRPr="00F9767C">
        <w:rPr>
          <w:lang w:val="en-US"/>
        </w:rPr>
        <w:t>49</w:t>
      </w:r>
      <w:r w:rsidR="008362AF">
        <w:rPr>
          <w:lang w:val="en-US"/>
        </w:rPr>
        <w:t xml:space="preserve">. </w:t>
      </w:r>
    </w:p>
  </w:footnote>
  <w:footnote w:id="12">
    <w:p w14:paraId="135BF2D0" w14:textId="285C8779" w:rsidR="00A337BA" w:rsidRPr="0077637D" w:rsidRDefault="00A337BA" w:rsidP="00A337BA">
      <w:pPr>
        <w:pStyle w:val="FootnoteText"/>
      </w:pPr>
      <w:r>
        <w:rPr>
          <w:rStyle w:val="FootnoteReference"/>
        </w:rPr>
        <w:footnoteRef/>
      </w:r>
      <w:r>
        <w:t xml:space="preserve"> Victorian Law Reform Commission, </w:t>
      </w:r>
      <w:proofErr w:type="gramStart"/>
      <w:r w:rsidR="00F10A53">
        <w:rPr>
          <w:i/>
        </w:rPr>
        <w:t>The</w:t>
      </w:r>
      <w:proofErr w:type="gramEnd"/>
      <w:r w:rsidR="00F10A53">
        <w:rPr>
          <w:i/>
        </w:rPr>
        <w:t xml:space="preserve"> Role of Victims of Crime </w:t>
      </w:r>
      <w:r>
        <w:rPr>
          <w:i/>
        </w:rPr>
        <w:t xml:space="preserve">in the Criminal Trial Process: Report, </w:t>
      </w:r>
      <w:r>
        <w:t xml:space="preserve">August 2016, 29.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71D7" w14:textId="77777777" w:rsidR="007A4895" w:rsidRDefault="007A4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01750" w14:textId="7A870C51" w:rsidR="00BC7248" w:rsidRDefault="00BC7248" w:rsidP="00304408">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03FCA" w14:textId="77777777" w:rsidR="00BC7248" w:rsidRDefault="00705B16" w:rsidP="000C13C7">
    <w:pPr>
      <w:pStyle w:val="Header"/>
      <w:tabs>
        <w:tab w:val="clear" w:pos="4513"/>
        <w:tab w:val="clear" w:pos="9026"/>
      </w:tabs>
    </w:pPr>
    <w:r>
      <w:rPr>
        <w:noProof/>
      </w:rPr>
      <w:drawing>
        <wp:anchor distT="0" distB="0" distL="114300" distR="114300" simplePos="0" relativeHeight="251657216" behindDoc="1" locked="0" layoutInCell="1" allowOverlap="1" wp14:anchorId="7E651BA8" wp14:editId="07E2E6CF">
          <wp:simplePos x="0" y="0"/>
          <wp:positionH relativeFrom="column">
            <wp:posOffset>3238500</wp:posOffset>
          </wp:positionH>
          <wp:positionV relativeFrom="paragraph">
            <wp:posOffset>-1743710</wp:posOffset>
          </wp:positionV>
          <wp:extent cx="5048270" cy="4076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s_colour_cornerpiece.png"/>
                  <pic:cNvPicPr/>
                </pic:nvPicPr>
                <pic:blipFill>
                  <a:blip r:embed="rId1">
                    <a:extLst>
                      <a:ext uri="{28A0092B-C50C-407E-A947-70E740481C1C}">
                        <a14:useLocalDpi xmlns:a14="http://schemas.microsoft.com/office/drawing/2010/main" val="0"/>
                      </a:ext>
                    </a:extLst>
                  </a:blip>
                  <a:stretch>
                    <a:fillRect/>
                  </a:stretch>
                </pic:blipFill>
                <pic:spPr>
                  <a:xfrm>
                    <a:off x="0" y="0"/>
                    <a:ext cx="5048270" cy="4076700"/>
                  </a:xfrm>
                  <a:prstGeom prst="rect">
                    <a:avLst/>
                  </a:prstGeom>
                </pic:spPr>
              </pic:pic>
            </a:graphicData>
          </a:graphic>
          <wp14:sizeRelH relativeFrom="page">
            <wp14:pctWidth>0</wp14:pctWidth>
          </wp14:sizeRelH>
          <wp14:sizeRelV relativeFrom="page">
            <wp14:pctHeight>0</wp14:pctHeight>
          </wp14:sizeRelV>
        </wp:anchor>
      </w:drawing>
    </w:r>
    <w:r w:rsidR="00BC7248">
      <w:rPr>
        <w:noProof/>
      </w:rPr>
      <w:drawing>
        <wp:inline distT="0" distB="0" distL="0" distR="0" wp14:anchorId="26BD4088" wp14:editId="45617720">
          <wp:extent cx="2147504" cy="89598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2">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9F2A" w14:textId="3EC4A565" w:rsidR="00084420" w:rsidRDefault="00084420" w:rsidP="000C13C7">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9B8"/>
    <w:multiLevelType w:val="multilevel"/>
    <w:tmpl w:val="EC0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1A9E5E8C"/>
    <w:multiLevelType w:val="multilevel"/>
    <w:tmpl w:val="C3CE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75442"/>
    <w:multiLevelType w:val="multilevel"/>
    <w:tmpl w:val="579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67FA6"/>
    <w:multiLevelType w:val="multilevel"/>
    <w:tmpl w:val="D10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C024D"/>
    <w:multiLevelType w:val="multilevel"/>
    <w:tmpl w:val="FB020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6732E"/>
    <w:multiLevelType w:val="hybridMultilevel"/>
    <w:tmpl w:val="FA900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147D4C"/>
    <w:multiLevelType w:val="multilevel"/>
    <w:tmpl w:val="23C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D84B5A"/>
    <w:multiLevelType w:val="multilevel"/>
    <w:tmpl w:val="1640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F3C8B"/>
    <w:multiLevelType w:val="multilevel"/>
    <w:tmpl w:val="B05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3A5C6E"/>
    <w:multiLevelType w:val="multilevel"/>
    <w:tmpl w:val="539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0483F"/>
    <w:multiLevelType w:val="multilevel"/>
    <w:tmpl w:val="AA4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0"/>
  </w:num>
  <w:num w:numId="5">
    <w:abstractNumId w:val="5"/>
  </w:num>
  <w:num w:numId="6">
    <w:abstractNumId w:val="9"/>
  </w:num>
  <w:num w:numId="7">
    <w:abstractNumId w:val="4"/>
  </w:num>
  <w:num w:numId="8">
    <w:abstractNumId w:val="7"/>
  </w:num>
  <w:num w:numId="9">
    <w:abstractNumId w:val="11"/>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24"/>
    <w:rsid w:val="00053FA6"/>
    <w:rsid w:val="00057D81"/>
    <w:rsid w:val="00066B03"/>
    <w:rsid w:val="00067A0C"/>
    <w:rsid w:val="00072F6E"/>
    <w:rsid w:val="00084420"/>
    <w:rsid w:val="00093B4F"/>
    <w:rsid w:val="000C13C7"/>
    <w:rsid w:val="000D4725"/>
    <w:rsid w:val="000F31ED"/>
    <w:rsid w:val="000F427B"/>
    <w:rsid w:val="00115142"/>
    <w:rsid w:val="00126FA4"/>
    <w:rsid w:val="00134B6F"/>
    <w:rsid w:val="0017475D"/>
    <w:rsid w:val="001851C7"/>
    <w:rsid w:val="001D4262"/>
    <w:rsid w:val="001D700C"/>
    <w:rsid w:val="0021645D"/>
    <w:rsid w:val="00280B8C"/>
    <w:rsid w:val="002B5FB6"/>
    <w:rsid w:val="002B71D4"/>
    <w:rsid w:val="00304408"/>
    <w:rsid w:val="003128D9"/>
    <w:rsid w:val="0035186F"/>
    <w:rsid w:val="0035283B"/>
    <w:rsid w:val="003577A8"/>
    <w:rsid w:val="00376C5F"/>
    <w:rsid w:val="003A00CB"/>
    <w:rsid w:val="003C14F4"/>
    <w:rsid w:val="00451D7E"/>
    <w:rsid w:val="00486B8F"/>
    <w:rsid w:val="00495CDD"/>
    <w:rsid w:val="004A05BD"/>
    <w:rsid w:val="004B49F9"/>
    <w:rsid w:val="00560146"/>
    <w:rsid w:val="00562ED2"/>
    <w:rsid w:val="00563FBC"/>
    <w:rsid w:val="0058343B"/>
    <w:rsid w:val="005933DE"/>
    <w:rsid w:val="005A59E1"/>
    <w:rsid w:val="005C6334"/>
    <w:rsid w:val="005E3CE8"/>
    <w:rsid w:val="00600DF5"/>
    <w:rsid w:val="006129E9"/>
    <w:rsid w:val="00681105"/>
    <w:rsid w:val="006937D5"/>
    <w:rsid w:val="006F6D3F"/>
    <w:rsid w:val="00705B16"/>
    <w:rsid w:val="00717842"/>
    <w:rsid w:val="007451A8"/>
    <w:rsid w:val="00754C82"/>
    <w:rsid w:val="007710FF"/>
    <w:rsid w:val="007825FC"/>
    <w:rsid w:val="00796A11"/>
    <w:rsid w:val="007A4895"/>
    <w:rsid w:val="007E7C64"/>
    <w:rsid w:val="008362AF"/>
    <w:rsid w:val="008872DC"/>
    <w:rsid w:val="008B2317"/>
    <w:rsid w:val="008E324F"/>
    <w:rsid w:val="008F5DDC"/>
    <w:rsid w:val="00911F7B"/>
    <w:rsid w:val="00931D2A"/>
    <w:rsid w:val="00964130"/>
    <w:rsid w:val="0098505A"/>
    <w:rsid w:val="009E1DDD"/>
    <w:rsid w:val="009F7137"/>
    <w:rsid w:val="00A00F2D"/>
    <w:rsid w:val="00A01CBD"/>
    <w:rsid w:val="00A337BA"/>
    <w:rsid w:val="00A519CD"/>
    <w:rsid w:val="00A53268"/>
    <w:rsid w:val="00A654E8"/>
    <w:rsid w:val="00A820D0"/>
    <w:rsid w:val="00A96744"/>
    <w:rsid w:val="00A97D4F"/>
    <w:rsid w:val="00AB0716"/>
    <w:rsid w:val="00AC097C"/>
    <w:rsid w:val="00AC2C1D"/>
    <w:rsid w:val="00AC77C0"/>
    <w:rsid w:val="00AE2F9A"/>
    <w:rsid w:val="00B2097C"/>
    <w:rsid w:val="00B25AE2"/>
    <w:rsid w:val="00BB6351"/>
    <w:rsid w:val="00BC7248"/>
    <w:rsid w:val="00CB1980"/>
    <w:rsid w:val="00D025F7"/>
    <w:rsid w:val="00D4280D"/>
    <w:rsid w:val="00D72968"/>
    <w:rsid w:val="00D813E0"/>
    <w:rsid w:val="00D81D36"/>
    <w:rsid w:val="00D94A24"/>
    <w:rsid w:val="00DA1FED"/>
    <w:rsid w:val="00DE53D1"/>
    <w:rsid w:val="00E23637"/>
    <w:rsid w:val="00E4626D"/>
    <w:rsid w:val="00E725A3"/>
    <w:rsid w:val="00E77BA9"/>
    <w:rsid w:val="00EC2C7C"/>
    <w:rsid w:val="00EC443A"/>
    <w:rsid w:val="00EE02D3"/>
    <w:rsid w:val="00EF50A7"/>
    <w:rsid w:val="00F03D05"/>
    <w:rsid w:val="00F10A53"/>
    <w:rsid w:val="00F119AF"/>
    <w:rsid w:val="00F67869"/>
    <w:rsid w:val="00F9767C"/>
    <w:rsid w:val="00FA374F"/>
    <w:rsid w:val="00FF7D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9433772"/>
  <w15:chartTrackingRefBased/>
  <w15:docId w15:val="{CD9842E4-312D-448B-A145-2DD71D28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A24"/>
    <w:pPr>
      <w:spacing w:after="160" w:line="256" w:lineRule="auto"/>
    </w:pPr>
    <w:rPr>
      <w:rFonts w:ascii="Arial" w:eastAsia="Calibri" w:hAnsi="Arial" w:cs="Calibri"/>
      <w:color w:val="000000"/>
      <w:sz w:val="24"/>
      <w:lang w:eastAsia="en-AU"/>
    </w:rPr>
  </w:style>
  <w:style w:type="paragraph" w:styleId="Heading1">
    <w:name w:val="heading 1"/>
    <w:basedOn w:val="Normal"/>
    <w:link w:val="Heading1Char"/>
    <w:uiPriority w:val="9"/>
    <w:qFormat/>
    <w:rsid w:val="006937D5"/>
    <w:pPr>
      <w:spacing w:before="100" w:beforeAutospacing="1" w:after="100" w:afterAutospacing="1" w:line="240" w:lineRule="auto"/>
      <w:outlineLvl w:val="0"/>
    </w:pPr>
    <w:rPr>
      <w:rFonts w:eastAsia="Times New Roman" w:cs="Times New Roman"/>
      <w:bCs/>
      <w:color w:val="347B9F"/>
      <w:kern w:val="36"/>
      <w:sz w:val="48"/>
      <w:szCs w:val="48"/>
    </w:rPr>
  </w:style>
  <w:style w:type="paragraph" w:styleId="Heading2">
    <w:name w:val="heading 2"/>
    <w:basedOn w:val="Normal"/>
    <w:link w:val="Heading2Char"/>
    <w:uiPriority w:val="9"/>
    <w:qFormat/>
    <w:rsid w:val="007E7C64"/>
    <w:pPr>
      <w:spacing w:before="100" w:beforeAutospacing="1" w:after="100" w:afterAutospacing="1" w:line="240" w:lineRule="auto"/>
      <w:outlineLvl w:val="1"/>
    </w:pPr>
    <w:rPr>
      <w:rFonts w:eastAsia="Times New Roman" w:cs="Times New Roman"/>
      <w:bCs/>
      <w:color w:val="347B9F"/>
      <w:sz w:val="36"/>
      <w:szCs w:val="36"/>
    </w:rPr>
  </w:style>
  <w:style w:type="paragraph" w:styleId="Heading3">
    <w:name w:val="heading 3"/>
    <w:basedOn w:val="Normal"/>
    <w:next w:val="Normal"/>
    <w:link w:val="Heading3Char"/>
    <w:uiPriority w:val="9"/>
    <w:semiHidden/>
    <w:unhideWhenUsed/>
    <w:qFormat/>
    <w:rsid w:val="007E7C64"/>
    <w:pPr>
      <w:keepNext/>
      <w:keepLines/>
      <w:spacing w:before="40" w:after="0"/>
      <w:outlineLvl w:val="2"/>
    </w:pPr>
    <w:rPr>
      <w:rFonts w:eastAsiaTheme="majorEastAsia" w:cstheme="majorBidi"/>
      <w:color w:val="347B9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qFormat/>
    <w:rsid w:val="006937D5"/>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937D5"/>
    <w:rPr>
      <w:rFonts w:ascii="Arial" w:hAnsi="Arial"/>
      <w:sz w:val="20"/>
    </w:rPr>
  </w:style>
  <w:style w:type="character" w:customStyle="1" w:styleId="Heading1Char">
    <w:name w:val="Heading 1 Char"/>
    <w:basedOn w:val="DefaultParagraphFont"/>
    <w:link w:val="Heading1"/>
    <w:uiPriority w:val="9"/>
    <w:rsid w:val="006937D5"/>
    <w:rPr>
      <w:rFonts w:ascii="Arial" w:eastAsia="Times New Roman" w:hAnsi="Arial" w:cs="Times New Roman"/>
      <w:bCs/>
      <w:color w:val="347B9F"/>
      <w:kern w:val="36"/>
      <w:sz w:val="48"/>
      <w:szCs w:val="48"/>
      <w:lang w:eastAsia="en-AU"/>
    </w:rPr>
  </w:style>
  <w:style w:type="character" w:customStyle="1" w:styleId="Heading2Char">
    <w:name w:val="Heading 2 Char"/>
    <w:basedOn w:val="DefaultParagraphFont"/>
    <w:link w:val="Heading2"/>
    <w:uiPriority w:val="9"/>
    <w:rsid w:val="007E7C64"/>
    <w:rPr>
      <w:rFonts w:ascii="Arial" w:eastAsia="Times New Roman" w:hAnsi="Arial" w:cs="Times New Roman"/>
      <w:bCs/>
      <w:color w:val="347B9F"/>
      <w:sz w:val="36"/>
      <w:szCs w:val="36"/>
      <w:lang w:eastAsia="en-AU"/>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line="240" w:lineRule="auto"/>
    </w:pPr>
    <w:rPr>
      <w:rFonts w:ascii="Times New Roman" w:eastAsia="Times New Roman" w:hAnsi="Times New Roman" w:cs="Times New Roman"/>
      <w:szCs w:val="24"/>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qFormat/>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semiHidden/>
    <w:rsid w:val="007E7C64"/>
    <w:rPr>
      <w:rFonts w:ascii="Arial" w:eastAsiaTheme="majorEastAsia" w:hAnsi="Arial" w:cstheme="majorBidi"/>
      <w:color w:val="347B9F"/>
      <w:sz w:val="28"/>
      <w:szCs w:val="24"/>
    </w:rPr>
  </w:style>
  <w:style w:type="paragraph" w:styleId="Quote">
    <w:name w:val="Quote"/>
    <w:basedOn w:val="Normal"/>
    <w:next w:val="Normal"/>
    <w:link w:val="QuoteChar"/>
    <w:uiPriority w:val="29"/>
    <w:qFormat/>
    <w:rsid w:val="007E7C64"/>
    <w:pPr>
      <w:spacing w:before="200"/>
      <w:ind w:left="864" w:right="864"/>
    </w:pPr>
    <w:rPr>
      <w:i/>
      <w:iCs/>
      <w:color w:val="000000" w:themeColor="text1"/>
    </w:rPr>
  </w:style>
  <w:style w:type="character" w:customStyle="1" w:styleId="QuoteChar">
    <w:name w:val="Quote Char"/>
    <w:basedOn w:val="DefaultParagraphFont"/>
    <w:link w:val="Quote"/>
    <w:uiPriority w:val="29"/>
    <w:rsid w:val="007E7C64"/>
    <w:rPr>
      <w:rFonts w:ascii="Arial" w:hAnsi="Arial"/>
      <w:i/>
      <w:iCs/>
      <w:color w:val="000000" w:themeColor="text1"/>
      <w:sz w:val="24"/>
    </w:rPr>
  </w:style>
  <w:style w:type="paragraph" w:styleId="Title">
    <w:name w:val="Title"/>
    <w:basedOn w:val="Normal"/>
    <w:next w:val="Normal"/>
    <w:link w:val="TitleChar"/>
    <w:uiPriority w:val="10"/>
    <w:rsid w:val="006937D5"/>
    <w:pPr>
      <w:spacing w:after="0" w:line="240" w:lineRule="auto"/>
      <w:contextualSpacing/>
    </w:pPr>
    <w:rPr>
      <w:rFonts w:eastAsiaTheme="majorEastAsia" w:cstheme="majorBidi"/>
      <w:color w:val="000000" w:themeColor="text1"/>
      <w:spacing w:val="-10"/>
      <w:kern w:val="28"/>
      <w:sz w:val="72"/>
      <w:szCs w:val="56"/>
    </w:rPr>
  </w:style>
  <w:style w:type="character" w:customStyle="1" w:styleId="TitleChar">
    <w:name w:val="Title Char"/>
    <w:basedOn w:val="DefaultParagraphFont"/>
    <w:link w:val="Title"/>
    <w:uiPriority w:val="10"/>
    <w:rsid w:val="006937D5"/>
    <w:rPr>
      <w:rFonts w:ascii="Arial" w:eastAsiaTheme="majorEastAsia" w:hAnsi="Arial" w:cstheme="majorBidi"/>
      <w:color w:val="000000" w:themeColor="text1"/>
      <w:spacing w:val="-10"/>
      <w:kern w:val="28"/>
      <w:sz w:val="72"/>
      <w:szCs w:val="56"/>
    </w:rPr>
  </w:style>
  <w:style w:type="paragraph" w:customStyle="1" w:styleId="Heading1black">
    <w:name w:val="Heading 1 (black)"/>
    <w:basedOn w:val="Heading1"/>
    <w:qFormat/>
    <w:rsid w:val="006937D5"/>
    <w:rPr>
      <w:color w:val="000000" w:themeColor="text1"/>
    </w:rPr>
  </w:style>
  <w:style w:type="paragraph" w:customStyle="1" w:styleId="Heading2black">
    <w:name w:val="Heading 2 (black)"/>
    <w:basedOn w:val="Heading1black"/>
    <w:qFormat/>
    <w:rsid w:val="006937D5"/>
    <w:rPr>
      <w:sz w:val="36"/>
    </w:rPr>
  </w:style>
  <w:style w:type="paragraph" w:customStyle="1" w:styleId="Heading3black">
    <w:name w:val="Heading 3 (black)"/>
    <w:basedOn w:val="Heading2black"/>
    <w:qFormat/>
    <w:rsid w:val="006937D5"/>
    <w:rPr>
      <w:sz w:val="28"/>
    </w:rPr>
  </w:style>
  <w:style w:type="paragraph" w:customStyle="1" w:styleId="Heading1darkblue">
    <w:name w:val="Heading 1 (dark blue)"/>
    <w:basedOn w:val="Heading1black"/>
    <w:qFormat/>
    <w:rsid w:val="006937D5"/>
    <w:rPr>
      <w:color w:val="004270"/>
    </w:rPr>
  </w:style>
  <w:style w:type="paragraph" w:customStyle="1" w:styleId="Heading2darkblue">
    <w:name w:val="Heading 2 (dark blue)"/>
    <w:basedOn w:val="Heading1darkblue"/>
    <w:qFormat/>
    <w:rsid w:val="006937D5"/>
    <w:rPr>
      <w:sz w:val="36"/>
    </w:rPr>
  </w:style>
  <w:style w:type="paragraph" w:customStyle="1" w:styleId="Heading3darkblue">
    <w:name w:val="Heading 3 (dark blue)"/>
    <w:basedOn w:val="Heading1darkblue"/>
    <w:qFormat/>
    <w:rsid w:val="006937D5"/>
    <w:rPr>
      <w:sz w:val="28"/>
    </w:rPr>
  </w:style>
  <w:style w:type="paragraph" w:customStyle="1" w:styleId="Numberedparagraph">
    <w:name w:val="Numbered paragraph"/>
    <w:basedOn w:val="ListParagraph"/>
    <w:link w:val="NumberedparagraphChar"/>
    <w:qFormat/>
    <w:rsid w:val="00D94A24"/>
    <w:pPr>
      <w:numPr>
        <w:numId w:val="11"/>
      </w:numPr>
      <w:spacing w:before="120" w:after="240" w:line="276" w:lineRule="auto"/>
      <w:contextualSpacing w:val="0"/>
    </w:pPr>
    <w:rPr>
      <w:rFonts w:eastAsiaTheme="minorEastAsia" w:cs="Arial"/>
      <w:color w:val="auto"/>
      <w:szCs w:val="24"/>
      <w:lang w:eastAsia="en-US"/>
    </w:rPr>
  </w:style>
  <w:style w:type="character" w:customStyle="1" w:styleId="NumberedparagraphChar">
    <w:name w:val="Numbered paragraph Char"/>
    <w:basedOn w:val="DefaultParagraphFont"/>
    <w:link w:val="Numberedparagraph"/>
    <w:rsid w:val="00D94A24"/>
    <w:rPr>
      <w:rFonts w:ascii="Arial" w:eastAsiaTheme="minorEastAsia" w:hAnsi="Arial" w:cs="Arial"/>
      <w:sz w:val="24"/>
      <w:szCs w:val="24"/>
    </w:rPr>
  </w:style>
  <w:style w:type="paragraph" w:styleId="ListParagraph">
    <w:name w:val="List Paragraph"/>
    <w:basedOn w:val="Normal"/>
    <w:uiPriority w:val="34"/>
    <w:rsid w:val="00D94A24"/>
    <w:pPr>
      <w:ind w:left="720"/>
      <w:contextualSpacing/>
    </w:pPr>
  </w:style>
  <w:style w:type="paragraph" w:styleId="FootnoteText">
    <w:name w:val="footnote text"/>
    <w:aliases w:val="5_G"/>
    <w:basedOn w:val="Normal"/>
    <w:link w:val="FootnoteTextChar"/>
    <w:unhideWhenUsed/>
    <w:rsid w:val="00D94A24"/>
    <w:pPr>
      <w:spacing w:after="0" w:line="240" w:lineRule="auto"/>
    </w:pPr>
    <w:rPr>
      <w:rFonts w:eastAsiaTheme="minorEastAsia" w:cstheme="minorBidi"/>
      <w:color w:val="auto"/>
      <w:sz w:val="20"/>
      <w:szCs w:val="24"/>
      <w:lang w:eastAsia="en-US"/>
    </w:rPr>
  </w:style>
  <w:style w:type="character" w:customStyle="1" w:styleId="FootnoteTextChar">
    <w:name w:val="Footnote Text Char"/>
    <w:aliases w:val="5_G Char"/>
    <w:basedOn w:val="DefaultParagraphFont"/>
    <w:link w:val="FootnoteText"/>
    <w:rsid w:val="00D94A24"/>
    <w:rPr>
      <w:rFonts w:ascii="Arial" w:eastAsiaTheme="minorEastAsia" w:hAnsi="Arial"/>
      <w:sz w:val="20"/>
      <w:szCs w:val="24"/>
    </w:rPr>
  </w:style>
  <w:style w:type="character" w:styleId="FootnoteReference">
    <w:name w:val="footnote reference"/>
    <w:aliases w:val="4_G"/>
    <w:basedOn w:val="DefaultParagraphFont"/>
    <w:unhideWhenUsed/>
    <w:rsid w:val="00D94A24"/>
    <w:rPr>
      <w:vertAlign w:val="superscript"/>
    </w:rPr>
  </w:style>
  <w:style w:type="character" w:styleId="CommentReference">
    <w:name w:val="annotation reference"/>
    <w:basedOn w:val="DefaultParagraphFont"/>
    <w:uiPriority w:val="99"/>
    <w:semiHidden/>
    <w:unhideWhenUsed/>
    <w:rsid w:val="003577A8"/>
    <w:rPr>
      <w:sz w:val="16"/>
      <w:szCs w:val="16"/>
    </w:rPr>
  </w:style>
  <w:style w:type="paragraph" w:styleId="CommentText">
    <w:name w:val="annotation text"/>
    <w:basedOn w:val="Normal"/>
    <w:link w:val="CommentTextChar"/>
    <w:uiPriority w:val="99"/>
    <w:semiHidden/>
    <w:unhideWhenUsed/>
    <w:rsid w:val="003577A8"/>
    <w:pPr>
      <w:spacing w:line="240" w:lineRule="auto"/>
    </w:pPr>
    <w:rPr>
      <w:sz w:val="20"/>
      <w:szCs w:val="20"/>
    </w:rPr>
  </w:style>
  <w:style w:type="character" w:customStyle="1" w:styleId="CommentTextChar">
    <w:name w:val="Comment Text Char"/>
    <w:basedOn w:val="DefaultParagraphFont"/>
    <w:link w:val="CommentText"/>
    <w:uiPriority w:val="99"/>
    <w:semiHidden/>
    <w:rsid w:val="003577A8"/>
    <w:rPr>
      <w:rFonts w:ascii="Arial" w:eastAsia="Calibri" w:hAnsi="Arial"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3577A8"/>
    <w:rPr>
      <w:b/>
      <w:bCs/>
    </w:rPr>
  </w:style>
  <w:style w:type="character" w:customStyle="1" w:styleId="CommentSubjectChar">
    <w:name w:val="Comment Subject Char"/>
    <w:basedOn w:val="CommentTextChar"/>
    <w:link w:val="CommentSubject"/>
    <w:uiPriority w:val="99"/>
    <w:semiHidden/>
    <w:rsid w:val="003577A8"/>
    <w:rPr>
      <w:rFonts w:ascii="Arial" w:eastAsia="Calibri" w:hAnsi="Arial" w:cs="Calibri"/>
      <w:b/>
      <w:bCs/>
      <w:color w:val="000000"/>
      <w:sz w:val="20"/>
      <w:szCs w:val="20"/>
      <w:lang w:eastAsia="en-AU"/>
    </w:rPr>
  </w:style>
  <w:style w:type="paragraph" w:styleId="BalloonText">
    <w:name w:val="Balloon Text"/>
    <w:basedOn w:val="Normal"/>
    <w:link w:val="BalloonTextChar"/>
    <w:uiPriority w:val="99"/>
    <w:semiHidden/>
    <w:unhideWhenUsed/>
    <w:rsid w:val="00357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7A8"/>
    <w:rPr>
      <w:rFonts w:ascii="Segoe UI" w:eastAsia="Calibri" w:hAnsi="Segoe UI" w:cs="Segoe UI"/>
      <w:color w:val="000000"/>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519393170">
                  <w:marLeft w:val="375"/>
                  <w:marRight w:val="0"/>
                  <w:marTop w:val="375"/>
                  <w:marBottom w:val="0"/>
                  <w:divBdr>
                    <w:top w:val="none" w:sz="0" w:space="0" w:color="auto"/>
                    <w:left w:val="none" w:sz="0" w:space="0" w:color="auto"/>
                    <w:bottom w:val="none" w:sz="0" w:space="0" w:color="auto"/>
                    <w:right w:val="none" w:sz="0" w:space="0" w:color="auto"/>
                  </w:divBdr>
                </w:div>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sChild>
            </w:div>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1026639023">
      <w:bodyDiv w:val="1"/>
      <w:marLeft w:val="0"/>
      <w:marRight w:val="0"/>
      <w:marTop w:val="0"/>
      <w:marBottom w:val="0"/>
      <w:divBdr>
        <w:top w:val="none" w:sz="0" w:space="0" w:color="auto"/>
        <w:left w:val="none" w:sz="0" w:space="0" w:color="auto"/>
        <w:bottom w:val="none" w:sz="0" w:space="0" w:color="auto"/>
        <w:right w:val="none" w:sz="0" w:space="0" w:color="auto"/>
      </w:divBdr>
    </w:div>
    <w:div w:id="14804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csc@parliament.qld.gov.a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letterhead%20with%20Guided%20Protection%20bran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C33F7-BF72-4D3F-9623-0D28EDED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letterhead with Guided Protection branding</Template>
  <TotalTime>0</TotalTime>
  <Pages>5</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Costello</dc:creator>
  <cp:keywords/>
  <dc:description/>
  <cp:lastModifiedBy>Sean Costello</cp:lastModifiedBy>
  <cp:revision>3</cp:revision>
  <cp:lastPrinted>2020-09-25T05:24:00Z</cp:lastPrinted>
  <dcterms:created xsi:type="dcterms:W3CDTF">2020-09-25T05:25:00Z</dcterms:created>
  <dcterms:modified xsi:type="dcterms:W3CDTF">2020-09-25T05:25:00Z</dcterms:modified>
</cp:coreProperties>
</file>