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4"/>
          <w:szCs w:val="24"/>
          <w:lang w:val="en-AU"/>
        </w:rPr>
        <w:id w:val="2067608509"/>
        <w:docPartObj>
          <w:docPartGallery w:val="Cover Pages"/>
          <w:docPartUnique/>
        </w:docPartObj>
      </w:sdtPr>
      <w:sdtEndPr>
        <w:rPr>
          <w:sz w:val="16"/>
          <w:szCs w:val="16"/>
        </w:rPr>
      </w:sdtEndPr>
      <w:sdtContent>
        <w:tbl>
          <w:tblPr>
            <w:tblW w:w="5000" w:type="pct"/>
            <w:jc w:val="center"/>
            <w:tblBorders>
              <w:bottom w:val="single" w:sz="4" w:space="0" w:color="auto"/>
            </w:tblBorders>
            <w:tblLook w:val="04A0" w:firstRow="1" w:lastRow="0" w:firstColumn="1" w:lastColumn="0" w:noHBand="0" w:noVBand="1"/>
          </w:tblPr>
          <w:tblGrid>
            <w:gridCol w:w="8306"/>
          </w:tblGrid>
          <w:tr w:rsidR="004A2375" w:rsidRPr="00D95D9E" w14:paraId="59115EB1" w14:textId="77777777" w:rsidTr="00260847">
            <w:trPr>
              <w:trHeight w:val="2506"/>
              <w:jc w:val="center"/>
            </w:trPr>
            <w:tc>
              <w:tcPr>
                <w:tcW w:w="5000" w:type="pct"/>
                <w:vAlign w:val="center"/>
              </w:tcPr>
              <w:p w14:paraId="4E74180A" w14:textId="77777777" w:rsidR="00260847" w:rsidRDefault="00260847" w:rsidP="003C443B">
                <w:pPr>
                  <w:pStyle w:val="NoSpacing"/>
                  <w:spacing w:after="240"/>
                </w:pPr>
              </w:p>
              <w:p w14:paraId="56CB07CE" w14:textId="77777777" w:rsidR="00260847" w:rsidRDefault="00260847" w:rsidP="003C443B">
                <w:pPr>
                  <w:pStyle w:val="NoSpacing"/>
                  <w:spacing w:after="240"/>
                </w:pPr>
              </w:p>
              <w:p w14:paraId="45F75150" w14:textId="77777777" w:rsidR="00260847" w:rsidRDefault="00260847" w:rsidP="003C443B">
                <w:pPr>
                  <w:pStyle w:val="NoSpacing"/>
                  <w:spacing w:after="240"/>
                </w:pPr>
              </w:p>
              <w:p w14:paraId="3BF73DFC" w14:textId="77777777" w:rsidR="00260847" w:rsidRDefault="00260847" w:rsidP="003C443B">
                <w:pPr>
                  <w:pStyle w:val="NoSpacing"/>
                  <w:spacing w:after="240"/>
                </w:pPr>
              </w:p>
              <w:p w14:paraId="1711B0CF" w14:textId="77777777" w:rsidR="00260847" w:rsidRDefault="00260847" w:rsidP="003C443B">
                <w:pPr>
                  <w:pStyle w:val="NoSpacing"/>
                  <w:spacing w:after="240"/>
                </w:pPr>
              </w:p>
              <w:p w14:paraId="1CB8BAE3" w14:textId="77777777" w:rsidR="00260847" w:rsidRDefault="00260847" w:rsidP="003C443B">
                <w:pPr>
                  <w:pStyle w:val="NoSpacing"/>
                  <w:spacing w:after="240"/>
                </w:pPr>
              </w:p>
              <w:p w14:paraId="75E64717" w14:textId="77777777" w:rsidR="00260847" w:rsidRDefault="00260847" w:rsidP="003C443B">
                <w:pPr>
                  <w:pStyle w:val="NoSpacing"/>
                  <w:spacing w:after="240"/>
                </w:pPr>
                <w:r w:rsidRPr="00F63848">
                  <w:rPr>
                    <w:noProof/>
                    <w:lang w:val="en-AU" w:eastAsia="en-AU"/>
                  </w:rPr>
                  <w:drawing>
                    <wp:inline distT="0" distB="0" distL="0" distR="0" wp14:anchorId="2316CBE7" wp14:editId="3C99127E">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1E423924" w14:textId="77777777" w:rsidR="00260847" w:rsidRDefault="00260847" w:rsidP="003C443B">
                <w:pPr>
                  <w:pStyle w:val="NoSpacing"/>
                  <w:spacing w:after="240"/>
                </w:pPr>
              </w:p>
              <w:p w14:paraId="6D96D040" w14:textId="77777777" w:rsidR="00260847" w:rsidRDefault="00260847" w:rsidP="003C443B">
                <w:pPr>
                  <w:pStyle w:val="NoSpacing"/>
                  <w:spacing w:after="240"/>
                </w:pPr>
              </w:p>
              <w:p w14:paraId="4DC00D9A" w14:textId="77777777" w:rsidR="00260847" w:rsidRDefault="00260847" w:rsidP="003C443B">
                <w:pPr>
                  <w:pStyle w:val="NoSpacing"/>
                  <w:spacing w:after="240"/>
                </w:pPr>
              </w:p>
              <w:p w14:paraId="5BD6AB94" w14:textId="77777777" w:rsidR="00260847" w:rsidRDefault="00260847" w:rsidP="003C443B">
                <w:pPr>
                  <w:pStyle w:val="NoSpacing"/>
                  <w:spacing w:after="240"/>
                </w:pPr>
              </w:p>
              <w:p w14:paraId="5581366A" w14:textId="2491EFAE" w:rsidR="004A2375" w:rsidRPr="008238D0" w:rsidRDefault="005C1D77" w:rsidP="005C1D77">
                <w:pPr>
                  <w:pStyle w:val="NoSpacing"/>
                  <w:spacing w:after="240"/>
                  <w:rPr>
                    <w:rFonts w:asciiTheme="majorHAnsi" w:eastAsiaTheme="majorEastAsia" w:hAnsiTheme="majorHAnsi" w:cstheme="majorBidi"/>
                    <w:sz w:val="80"/>
                    <w:szCs w:val="80"/>
                  </w:rPr>
                </w:pPr>
                <w:r w:rsidRPr="008238D0">
                  <w:rPr>
                    <w:rFonts w:ascii="Arial" w:eastAsiaTheme="majorEastAsia" w:hAnsi="Arial" w:cs="Arial"/>
                    <w:color w:val="004270"/>
                    <w:sz w:val="44"/>
                    <w:szCs w:val="44"/>
                  </w:rPr>
                  <w:t>Response to the Consultation Regulatory Impact Statement:                        Proposal to include minimum accessibility standards for housing in the National Construction Code</w:t>
                </w:r>
              </w:p>
            </w:tc>
          </w:tr>
        </w:tbl>
        <w:tbl>
          <w:tblPr>
            <w:tblpPr w:leftFromText="187" w:rightFromText="187" w:horzAnchor="margin" w:tblpXSpec="center" w:tblpYSpec="bottom"/>
            <w:tblW w:w="3857" w:type="pct"/>
            <w:tblLook w:val="04A0" w:firstRow="1" w:lastRow="0" w:firstColumn="1" w:lastColumn="0" w:noHBand="0" w:noVBand="1"/>
          </w:tblPr>
          <w:tblGrid>
            <w:gridCol w:w="6407"/>
          </w:tblGrid>
          <w:tr w:rsidR="00A16356" w14:paraId="35832F6A" w14:textId="77777777" w:rsidTr="00260847">
            <w:tc>
              <w:tcPr>
                <w:tcW w:w="6407" w:type="dxa"/>
                <w:tcMar>
                  <w:top w:w="216" w:type="dxa"/>
                  <w:left w:w="115" w:type="dxa"/>
                  <w:bottom w:w="216" w:type="dxa"/>
                  <w:right w:w="115" w:type="dxa"/>
                </w:tcMar>
              </w:tcPr>
              <w:p w14:paraId="0A6A9282" w14:textId="77777777" w:rsidR="00A16356" w:rsidRDefault="00A16356" w:rsidP="00260847">
                <w:pPr>
                  <w:pStyle w:val="NoSpacing"/>
                  <w:jc w:val="center"/>
                  <w:rPr>
                    <w:color w:val="4F81BD" w:themeColor="accent1"/>
                  </w:rPr>
                </w:pPr>
              </w:p>
            </w:tc>
          </w:tr>
        </w:tbl>
        <w:p w14:paraId="04BEB31A" w14:textId="77777777" w:rsidR="000712CE" w:rsidRDefault="000712CE" w:rsidP="00260847">
          <w:pPr>
            <w:pStyle w:val="NoSpacing"/>
            <w:spacing w:before="120" w:after="120"/>
            <w:rPr>
              <w:rFonts w:ascii="Arial" w:hAnsi="Arial" w:cs="Arial"/>
              <w:bCs/>
              <w:sz w:val="32"/>
              <w:szCs w:val="32"/>
            </w:rPr>
          </w:pPr>
        </w:p>
        <w:p w14:paraId="22E9ABC3" w14:textId="77777777" w:rsidR="00260847" w:rsidRPr="008238D0" w:rsidRDefault="00260847" w:rsidP="00260847">
          <w:pPr>
            <w:pStyle w:val="NoSpacing"/>
            <w:spacing w:before="120" w:after="120"/>
            <w:rPr>
              <w:rFonts w:ascii="Arial" w:hAnsi="Arial" w:cs="Arial"/>
              <w:bCs/>
              <w:sz w:val="32"/>
              <w:szCs w:val="32"/>
            </w:rPr>
          </w:pPr>
          <w:r w:rsidRPr="008238D0">
            <w:rPr>
              <w:rFonts w:ascii="Arial" w:hAnsi="Arial" w:cs="Arial"/>
              <w:bCs/>
              <w:sz w:val="32"/>
              <w:szCs w:val="32"/>
            </w:rPr>
            <w:t xml:space="preserve">Submission to </w:t>
          </w:r>
          <w:r w:rsidR="001F191B" w:rsidRPr="008238D0">
            <w:rPr>
              <w:rFonts w:ascii="Arial" w:hAnsi="Arial" w:cs="Arial"/>
              <w:bCs/>
              <w:sz w:val="32"/>
              <w:szCs w:val="32"/>
            </w:rPr>
            <w:t>Australian Building Code</w:t>
          </w:r>
          <w:r w:rsidR="00C07145" w:rsidRPr="008238D0">
            <w:rPr>
              <w:rFonts w:ascii="Arial" w:hAnsi="Arial" w:cs="Arial"/>
              <w:bCs/>
              <w:sz w:val="32"/>
              <w:szCs w:val="32"/>
            </w:rPr>
            <w:t>s</w:t>
          </w:r>
          <w:r w:rsidR="001F191B" w:rsidRPr="008238D0">
            <w:rPr>
              <w:rFonts w:ascii="Arial" w:hAnsi="Arial" w:cs="Arial"/>
              <w:bCs/>
              <w:sz w:val="32"/>
              <w:szCs w:val="32"/>
            </w:rPr>
            <w:t xml:space="preserve"> Board</w:t>
          </w:r>
        </w:p>
        <w:p w14:paraId="796F1DF8" w14:textId="5FA6ADD8" w:rsidR="00260847" w:rsidRDefault="00036205" w:rsidP="00260847">
          <w:pPr>
            <w:pStyle w:val="NoSpacing"/>
            <w:spacing w:before="120" w:after="120"/>
            <w:rPr>
              <w:rFonts w:ascii="Arial" w:hAnsi="Arial" w:cs="Arial"/>
              <w:bCs/>
              <w:sz w:val="28"/>
            </w:rPr>
          </w:pPr>
          <w:r>
            <w:rPr>
              <w:rFonts w:ascii="Arial" w:hAnsi="Arial" w:cs="Arial"/>
              <w:bCs/>
              <w:sz w:val="28"/>
            </w:rPr>
            <w:t>27 August 2020</w:t>
          </w:r>
        </w:p>
        <w:p w14:paraId="36DDB3E5" w14:textId="77777777" w:rsidR="00260847" w:rsidRDefault="00260847">
          <w:pPr>
            <w:rPr>
              <w:rFonts w:ascii="Arial" w:hAnsi="Arial" w:cs="Arial"/>
              <w:bCs/>
              <w:sz w:val="28"/>
              <w:szCs w:val="22"/>
              <w:lang w:val="en-US"/>
            </w:rPr>
          </w:pPr>
          <w:r>
            <w:rPr>
              <w:rFonts w:ascii="Arial" w:hAnsi="Arial" w:cs="Arial"/>
              <w:bCs/>
              <w:sz w:val="28"/>
            </w:rPr>
            <w:br w:type="page"/>
          </w:r>
        </w:p>
        <w:p w14:paraId="724B3B52" w14:textId="77777777" w:rsidR="004A2375" w:rsidRDefault="004A2375" w:rsidP="00260847">
          <w:pPr>
            <w:pStyle w:val="NoSpacing"/>
            <w:spacing w:before="120" w:after="120"/>
          </w:pPr>
        </w:p>
        <w:p w14:paraId="4B2F9E8B" w14:textId="77777777" w:rsidR="00A16356" w:rsidRPr="004A2375" w:rsidRDefault="005B0489">
          <w:pPr>
            <w:rPr>
              <w:rFonts w:ascii="Arial" w:eastAsiaTheme="majorEastAsia" w:hAnsi="Arial" w:cstheme="majorBidi"/>
              <w:b/>
              <w:color w:val="365F91" w:themeColor="accent1" w:themeShade="BF"/>
              <w:sz w:val="16"/>
              <w:szCs w:val="16"/>
            </w:rPr>
          </w:pPr>
        </w:p>
      </w:sdtContent>
    </w:sdt>
    <w:sdt>
      <w:sdtPr>
        <w:rPr>
          <w:rFonts w:ascii="Arial" w:eastAsiaTheme="minorEastAsia" w:hAnsi="Arial" w:cs="Arial"/>
          <w:b w:val="0"/>
          <w:color w:val="auto"/>
          <w:sz w:val="24"/>
          <w:szCs w:val="24"/>
        </w:rPr>
        <w:id w:val="675463879"/>
        <w:docPartObj>
          <w:docPartGallery w:val="Table of Contents"/>
          <w:docPartUnique/>
        </w:docPartObj>
      </w:sdtPr>
      <w:sdtEndPr>
        <w:rPr>
          <w:bCs/>
          <w:noProof/>
        </w:rPr>
      </w:sdtEndPr>
      <w:sdtContent>
        <w:p w14:paraId="28377C0D" w14:textId="7FA5BBC5" w:rsidR="00D05B8E" w:rsidRPr="007D09DD" w:rsidRDefault="00D05B8E">
          <w:pPr>
            <w:pStyle w:val="TOCHeading"/>
            <w:rPr>
              <w:rFonts w:ascii="Arial" w:hAnsi="Arial" w:cs="Arial"/>
            </w:rPr>
          </w:pPr>
          <w:r w:rsidRPr="007D09DD">
            <w:rPr>
              <w:rFonts w:ascii="Arial" w:hAnsi="Arial" w:cs="Arial"/>
            </w:rPr>
            <w:t>Table of Contents</w:t>
          </w:r>
        </w:p>
        <w:p w14:paraId="41595914" w14:textId="0B33952E" w:rsidR="00D05B8E" w:rsidRPr="007D09DD" w:rsidRDefault="00D05B8E" w:rsidP="007D09DD">
          <w:pPr>
            <w:pStyle w:val="TOC1"/>
            <w:tabs>
              <w:tab w:val="right" w:leader="dot" w:pos="8296"/>
            </w:tabs>
            <w:rPr>
              <w:rFonts w:ascii="Arial" w:hAnsi="Arial" w:cs="Arial"/>
              <w:noProof/>
              <w:sz w:val="22"/>
              <w:szCs w:val="22"/>
              <w:lang w:eastAsia="en-AU"/>
            </w:rPr>
          </w:pPr>
          <w:r w:rsidRPr="007D09DD">
            <w:rPr>
              <w:rFonts w:ascii="Arial" w:hAnsi="Arial" w:cs="Arial"/>
            </w:rPr>
            <w:fldChar w:fldCharType="begin"/>
          </w:r>
          <w:r w:rsidRPr="007D09DD">
            <w:rPr>
              <w:rFonts w:ascii="Arial" w:hAnsi="Arial" w:cs="Arial"/>
            </w:rPr>
            <w:instrText xml:space="preserve"> TOC \o "1-3" \h \z \u </w:instrText>
          </w:r>
          <w:r w:rsidRPr="007D09DD">
            <w:rPr>
              <w:rFonts w:ascii="Arial" w:hAnsi="Arial" w:cs="Arial"/>
            </w:rPr>
            <w:fldChar w:fldCharType="separate"/>
          </w:r>
          <w:hyperlink w:anchor="_Toc49173341" w:history="1"/>
          <w:hyperlink w:anchor="_Toc49173342" w:history="1">
            <w:r w:rsidRPr="007D09DD">
              <w:rPr>
                <w:rStyle w:val="Hyperlink"/>
                <w:rFonts w:ascii="Arial" w:hAnsi="Arial" w:cs="Arial"/>
                <w:noProof/>
              </w:rPr>
              <w:t>The role of the Queensland Human Rights Commission</w:t>
            </w:r>
            <w:r w:rsidRPr="007D09DD">
              <w:rPr>
                <w:rFonts w:ascii="Arial" w:hAnsi="Arial" w:cs="Arial"/>
                <w:noProof/>
                <w:webHidden/>
              </w:rPr>
              <w:tab/>
            </w:r>
            <w:r w:rsidRPr="007D09DD">
              <w:rPr>
                <w:rFonts w:ascii="Arial" w:hAnsi="Arial" w:cs="Arial"/>
                <w:noProof/>
                <w:webHidden/>
              </w:rPr>
              <w:fldChar w:fldCharType="begin"/>
            </w:r>
            <w:r w:rsidRPr="007D09DD">
              <w:rPr>
                <w:rFonts w:ascii="Arial" w:hAnsi="Arial" w:cs="Arial"/>
                <w:noProof/>
                <w:webHidden/>
              </w:rPr>
              <w:instrText xml:space="preserve"> PAGEREF _Toc49173342 \h </w:instrText>
            </w:r>
            <w:r w:rsidRPr="007D09DD">
              <w:rPr>
                <w:rFonts w:ascii="Arial" w:hAnsi="Arial" w:cs="Arial"/>
                <w:noProof/>
                <w:webHidden/>
              </w:rPr>
            </w:r>
            <w:r w:rsidRPr="007D09DD">
              <w:rPr>
                <w:rFonts w:ascii="Arial" w:hAnsi="Arial" w:cs="Arial"/>
                <w:noProof/>
                <w:webHidden/>
              </w:rPr>
              <w:fldChar w:fldCharType="separate"/>
            </w:r>
            <w:r w:rsidR="00EA07DB">
              <w:rPr>
                <w:rFonts w:ascii="Arial" w:hAnsi="Arial" w:cs="Arial"/>
                <w:noProof/>
                <w:webHidden/>
              </w:rPr>
              <w:t>2</w:t>
            </w:r>
            <w:r w:rsidRPr="007D09DD">
              <w:rPr>
                <w:rFonts w:ascii="Arial" w:hAnsi="Arial" w:cs="Arial"/>
                <w:noProof/>
                <w:webHidden/>
              </w:rPr>
              <w:fldChar w:fldCharType="end"/>
            </w:r>
          </w:hyperlink>
        </w:p>
        <w:p w14:paraId="1BBB3513" w14:textId="0169D808" w:rsidR="00D05B8E" w:rsidRPr="007D09DD" w:rsidRDefault="005B0489" w:rsidP="00D05B8E">
          <w:pPr>
            <w:pStyle w:val="TOC2"/>
            <w:rPr>
              <w:rFonts w:ascii="Arial" w:hAnsi="Arial" w:cs="Arial"/>
              <w:noProof/>
              <w:sz w:val="22"/>
              <w:szCs w:val="22"/>
              <w:lang w:eastAsia="en-AU"/>
            </w:rPr>
          </w:pPr>
          <w:hyperlink w:anchor="_Toc49173343" w:history="1">
            <w:r w:rsidR="00D05B8E" w:rsidRPr="007D09DD">
              <w:rPr>
                <w:rStyle w:val="Hyperlink"/>
                <w:rFonts w:ascii="Arial" w:hAnsi="Arial" w:cs="Arial"/>
                <w:noProof/>
              </w:rPr>
              <w:t>Background</w:t>
            </w:r>
            <w:r w:rsidR="00D05B8E" w:rsidRPr="007D09DD">
              <w:rPr>
                <w:rFonts w:ascii="Arial" w:hAnsi="Arial" w:cs="Arial"/>
                <w:noProof/>
                <w:webHidden/>
              </w:rPr>
              <w:tab/>
            </w:r>
            <w:r w:rsidR="00D05B8E" w:rsidRPr="007D09DD">
              <w:rPr>
                <w:rFonts w:ascii="Arial" w:hAnsi="Arial" w:cs="Arial"/>
                <w:noProof/>
                <w:webHidden/>
              </w:rPr>
              <w:fldChar w:fldCharType="begin"/>
            </w:r>
            <w:r w:rsidR="00D05B8E" w:rsidRPr="007D09DD">
              <w:rPr>
                <w:rFonts w:ascii="Arial" w:hAnsi="Arial" w:cs="Arial"/>
                <w:noProof/>
                <w:webHidden/>
              </w:rPr>
              <w:instrText xml:space="preserve"> PAGEREF _Toc49173343 \h </w:instrText>
            </w:r>
            <w:r w:rsidR="00D05B8E" w:rsidRPr="007D09DD">
              <w:rPr>
                <w:rFonts w:ascii="Arial" w:hAnsi="Arial" w:cs="Arial"/>
                <w:noProof/>
                <w:webHidden/>
              </w:rPr>
            </w:r>
            <w:r w:rsidR="00D05B8E" w:rsidRPr="007D09DD">
              <w:rPr>
                <w:rFonts w:ascii="Arial" w:hAnsi="Arial" w:cs="Arial"/>
                <w:noProof/>
                <w:webHidden/>
              </w:rPr>
              <w:fldChar w:fldCharType="separate"/>
            </w:r>
            <w:r w:rsidR="00EA07DB">
              <w:rPr>
                <w:rFonts w:ascii="Arial" w:hAnsi="Arial" w:cs="Arial"/>
                <w:noProof/>
                <w:webHidden/>
              </w:rPr>
              <w:t>2</w:t>
            </w:r>
            <w:r w:rsidR="00D05B8E" w:rsidRPr="007D09DD">
              <w:rPr>
                <w:rFonts w:ascii="Arial" w:hAnsi="Arial" w:cs="Arial"/>
                <w:noProof/>
                <w:webHidden/>
              </w:rPr>
              <w:fldChar w:fldCharType="end"/>
            </w:r>
          </w:hyperlink>
        </w:p>
        <w:p w14:paraId="77EFE773" w14:textId="66ADF4FB" w:rsidR="00D05B8E" w:rsidRPr="007D09DD" w:rsidRDefault="005B0489" w:rsidP="00D05B8E">
          <w:pPr>
            <w:pStyle w:val="TOC2"/>
            <w:rPr>
              <w:rFonts w:ascii="Arial" w:hAnsi="Arial" w:cs="Arial"/>
              <w:noProof/>
              <w:sz w:val="22"/>
              <w:szCs w:val="22"/>
              <w:lang w:eastAsia="en-AU"/>
            </w:rPr>
          </w:pPr>
          <w:hyperlink w:anchor="_Toc49173344" w:history="1">
            <w:r w:rsidR="00D05B8E" w:rsidRPr="007D09DD">
              <w:rPr>
                <w:rStyle w:val="Hyperlink"/>
                <w:rFonts w:ascii="Arial" w:hAnsi="Arial" w:cs="Arial"/>
                <w:noProof/>
              </w:rPr>
              <w:t>Australia’s human rights obligations</w:t>
            </w:r>
            <w:r w:rsidR="00D05B8E" w:rsidRPr="007D09DD">
              <w:rPr>
                <w:rFonts w:ascii="Arial" w:hAnsi="Arial" w:cs="Arial"/>
                <w:noProof/>
                <w:webHidden/>
              </w:rPr>
              <w:tab/>
            </w:r>
            <w:r w:rsidR="00D05B8E" w:rsidRPr="007D09DD">
              <w:rPr>
                <w:rFonts w:ascii="Arial" w:hAnsi="Arial" w:cs="Arial"/>
                <w:noProof/>
                <w:webHidden/>
              </w:rPr>
              <w:fldChar w:fldCharType="begin"/>
            </w:r>
            <w:r w:rsidR="00D05B8E" w:rsidRPr="007D09DD">
              <w:rPr>
                <w:rFonts w:ascii="Arial" w:hAnsi="Arial" w:cs="Arial"/>
                <w:noProof/>
                <w:webHidden/>
              </w:rPr>
              <w:instrText xml:space="preserve"> PAGEREF _Toc49173344 \h </w:instrText>
            </w:r>
            <w:r w:rsidR="00D05B8E" w:rsidRPr="007D09DD">
              <w:rPr>
                <w:rFonts w:ascii="Arial" w:hAnsi="Arial" w:cs="Arial"/>
                <w:noProof/>
                <w:webHidden/>
              </w:rPr>
            </w:r>
            <w:r w:rsidR="00D05B8E" w:rsidRPr="007D09DD">
              <w:rPr>
                <w:rFonts w:ascii="Arial" w:hAnsi="Arial" w:cs="Arial"/>
                <w:noProof/>
                <w:webHidden/>
              </w:rPr>
              <w:fldChar w:fldCharType="separate"/>
            </w:r>
            <w:r w:rsidR="00EA07DB">
              <w:rPr>
                <w:rFonts w:ascii="Arial" w:hAnsi="Arial" w:cs="Arial"/>
                <w:noProof/>
                <w:webHidden/>
              </w:rPr>
              <w:t>3</w:t>
            </w:r>
            <w:r w:rsidR="00D05B8E" w:rsidRPr="007D09DD">
              <w:rPr>
                <w:rFonts w:ascii="Arial" w:hAnsi="Arial" w:cs="Arial"/>
                <w:noProof/>
                <w:webHidden/>
              </w:rPr>
              <w:fldChar w:fldCharType="end"/>
            </w:r>
          </w:hyperlink>
        </w:p>
        <w:p w14:paraId="498F26E8" w14:textId="15A53A3D" w:rsidR="00D05B8E" w:rsidRPr="007D09DD" w:rsidRDefault="005B0489" w:rsidP="00D05B8E">
          <w:pPr>
            <w:pStyle w:val="TOC2"/>
            <w:rPr>
              <w:rFonts w:ascii="Arial" w:hAnsi="Arial" w:cs="Arial"/>
              <w:noProof/>
              <w:sz w:val="22"/>
              <w:szCs w:val="22"/>
              <w:lang w:eastAsia="en-AU"/>
            </w:rPr>
          </w:pPr>
          <w:hyperlink w:anchor="_Toc49173345" w:history="1">
            <w:r w:rsidR="00D05B8E" w:rsidRPr="007D09DD">
              <w:rPr>
                <w:rStyle w:val="Hyperlink"/>
                <w:rFonts w:ascii="Arial" w:hAnsi="Arial" w:cs="Arial"/>
                <w:noProof/>
              </w:rPr>
              <w:t>Statement of the problem: A growing demand, an unsustainable supply</w:t>
            </w:r>
            <w:r w:rsidR="00D05B8E" w:rsidRPr="007D09DD">
              <w:rPr>
                <w:rFonts w:ascii="Arial" w:hAnsi="Arial" w:cs="Arial"/>
                <w:noProof/>
                <w:webHidden/>
              </w:rPr>
              <w:tab/>
            </w:r>
            <w:r w:rsidR="00D05B8E" w:rsidRPr="007D09DD">
              <w:rPr>
                <w:rFonts w:ascii="Arial" w:hAnsi="Arial" w:cs="Arial"/>
                <w:noProof/>
                <w:webHidden/>
              </w:rPr>
              <w:fldChar w:fldCharType="begin"/>
            </w:r>
            <w:r w:rsidR="00D05B8E" w:rsidRPr="007D09DD">
              <w:rPr>
                <w:rFonts w:ascii="Arial" w:hAnsi="Arial" w:cs="Arial"/>
                <w:noProof/>
                <w:webHidden/>
              </w:rPr>
              <w:instrText xml:space="preserve"> PAGEREF _Toc49173345 \h </w:instrText>
            </w:r>
            <w:r w:rsidR="00D05B8E" w:rsidRPr="007D09DD">
              <w:rPr>
                <w:rFonts w:ascii="Arial" w:hAnsi="Arial" w:cs="Arial"/>
                <w:noProof/>
                <w:webHidden/>
              </w:rPr>
            </w:r>
            <w:r w:rsidR="00D05B8E" w:rsidRPr="007D09DD">
              <w:rPr>
                <w:rFonts w:ascii="Arial" w:hAnsi="Arial" w:cs="Arial"/>
                <w:noProof/>
                <w:webHidden/>
              </w:rPr>
              <w:fldChar w:fldCharType="separate"/>
            </w:r>
            <w:r w:rsidR="00EA07DB">
              <w:rPr>
                <w:rFonts w:ascii="Arial" w:hAnsi="Arial" w:cs="Arial"/>
                <w:noProof/>
                <w:webHidden/>
              </w:rPr>
              <w:t>4</w:t>
            </w:r>
            <w:r w:rsidR="00D05B8E" w:rsidRPr="007D09DD">
              <w:rPr>
                <w:rFonts w:ascii="Arial" w:hAnsi="Arial" w:cs="Arial"/>
                <w:noProof/>
                <w:webHidden/>
              </w:rPr>
              <w:fldChar w:fldCharType="end"/>
            </w:r>
          </w:hyperlink>
        </w:p>
        <w:p w14:paraId="13D45D23" w14:textId="702088AB" w:rsidR="00D05B8E" w:rsidRPr="007D09DD" w:rsidRDefault="005B0489" w:rsidP="00D05B8E">
          <w:pPr>
            <w:pStyle w:val="TOC2"/>
            <w:rPr>
              <w:rFonts w:ascii="Arial" w:hAnsi="Arial" w:cs="Arial"/>
              <w:noProof/>
              <w:sz w:val="22"/>
              <w:szCs w:val="22"/>
              <w:lang w:eastAsia="en-AU"/>
            </w:rPr>
          </w:pPr>
          <w:hyperlink w:anchor="_Toc49173346" w:history="1">
            <w:r w:rsidR="00D05B8E" w:rsidRPr="007D09DD">
              <w:rPr>
                <w:rStyle w:val="Hyperlink"/>
                <w:rFonts w:ascii="Arial" w:hAnsi="Arial" w:cs="Arial"/>
                <w:noProof/>
              </w:rPr>
              <w:t>Discrimination complaints about inaccessible housing</w:t>
            </w:r>
            <w:r w:rsidR="00D05B8E" w:rsidRPr="007D09DD">
              <w:rPr>
                <w:rFonts w:ascii="Arial" w:hAnsi="Arial" w:cs="Arial"/>
                <w:noProof/>
                <w:webHidden/>
              </w:rPr>
              <w:tab/>
            </w:r>
            <w:r w:rsidR="00D05B8E" w:rsidRPr="007D09DD">
              <w:rPr>
                <w:rFonts w:ascii="Arial" w:hAnsi="Arial" w:cs="Arial"/>
                <w:noProof/>
                <w:webHidden/>
              </w:rPr>
              <w:fldChar w:fldCharType="begin"/>
            </w:r>
            <w:r w:rsidR="00D05B8E" w:rsidRPr="007D09DD">
              <w:rPr>
                <w:rFonts w:ascii="Arial" w:hAnsi="Arial" w:cs="Arial"/>
                <w:noProof/>
                <w:webHidden/>
              </w:rPr>
              <w:instrText xml:space="preserve"> PAGEREF _Toc49173346 \h </w:instrText>
            </w:r>
            <w:r w:rsidR="00D05B8E" w:rsidRPr="007D09DD">
              <w:rPr>
                <w:rFonts w:ascii="Arial" w:hAnsi="Arial" w:cs="Arial"/>
                <w:noProof/>
                <w:webHidden/>
              </w:rPr>
            </w:r>
            <w:r w:rsidR="00D05B8E" w:rsidRPr="007D09DD">
              <w:rPr>
                <w:rFonts w:ascii="Arial" w:hAnsi="Arial" w:cs="Arial"/>
                <w:noProof/>
                <w:webHidden/>
              </w:rPr>
              <w:fldChar w:fldCharType="separate"/>
            </w:r>
            <w:r w:rsidR="00EA07DB">
              <w:rPr>
                <w:rFonts w:ascii="Arial" w:hAnsi="Arial" w:cs="Arial"/>
                <w:noProof/>
                <w:webHidden/>
              </w:rPr>
              <w:t>6</w:t>
            </w:r>
            <w:r w:rsidR="00D05B8E" w:rsidRPr="007D09DD">
              <w:rPr>
                <w:rFonts w:ascii="Arial" w:hAnsi="Arial" w:cs="Arial"/>
                <w:noProof/>
                <w:webHidden/>
              </w:rPr>
              <w:fldChar w:fldCharType="end"/>
            </w:r>
          </w:hyperlink>
        </w:p>
        <w:p w14:paraId="5505CCCC" w14:textId="39A06C3A" w:rsidR="00D05B8E" w:rsidRPr="007D09DD" w:rsidRDefault="005B0489" w:rsidP="00D05B8E">
          <w:pPr>
            <w:pStyle w:val="TOC3"/>
            <w:rPr>
              <w:rFonts w:ascii="Arial" w:hAnsi="Arial" w:cs="Arial"/>
              <w:noProof/>
              <w:sz w:val="22"/>
              <w:szCs w:val="22"/>
              <w:lang w:eastAsia="en-AU"/>
            </w:rPr>
          </w:pPr>
          <w:hyperlink w:anchor="_Toc49173347" w:history="1">
            <w:r w:rsidR="00D05B8E" w:rsidRPr="007D09DD">
              <w:rPr>
                <w:rStyle w:val="Hyperlink"/>
                <w:rFonts w:ascii="Arial" w:hAnsi="Arial" w:cs="Arial"/>
                <w:i/>
                <w:noProof/>
              </w:rPr>
              <w:t>Stigma and discrimination in the private rental market</w:t>
            </w:r>
            <w:r w:rsidR="00D05B8E" w:rsidRPr="007D09DD">
              <w:rPr>
                <w:rFonts w:ascii="Arial" w:hAnsi="Arial" w:cs="Arial"/>
                <w:noProof/>
                <w:webHidden/>
              </w:rPr>
              <w:tab/>
            </w:r>
            <w:r w:rsidR="00D05B8E" w:rsidRPr="007D09DD">
              <w:rPr>
                <w:rFonts w:ascii="Arial" w:hAnsi="Arial" w:cs="Arial"/>
                <w:noProof/>
                <w:webHidden/>
              </w:rPr>
              <w:fldChar w:fldCharType="begin"/>
            </w:r>
            <w:r w:rsidR="00D05B8E" w:rsidRPr="007D09DD">
              <w:rPr>
                <w:rFonts w:ascii="Arial" w:hAnsi="Arial" w:cs="Arial"/>
                <w:noProof/>
                <w:webHidden/>
              </w:rPr>
              <w:instrText xml:space="preserve"> PAGEREF _Toc49173347 \h </w:instrText>
            </w:r>
            <w:r w:rsidR="00D05B8E" w:rsidRPr="007D09DD">
              <w:rPr>
                <w:rFonts w:ascii="Arial" w:hAnsi="Arial" w:cs="Arial"/>
                <w:noProof/>
                <w:webHidden/>
              </w:rPr>
            </w:r>
            <w:r w:rsidR="00D05B8E" w:rsidRPr="007D09DD">
              <w:rPr>
                <w:rFonts w:ascii="Arial" w:hAnsi="Arial" w:cs="Arial"/>
                <w:noProof/>
                <w:webHidden/>
              </w:rPr>
              <w:fldChar w:fldCharType="separate"/>
            </w:r>
            <w:r w:rsidR="00EA07DB">
              <w:rPr>
                <w:rFonts w:ascii="Arial" w:hAnsi="Arial" w:cs="Arial"/>
                <w:noProof/>
                <w:webHidden/>
              </w:rPr>
              <w:t>6</w:t>
            </w:r>
            <w:r w:rsidR="00D05B8E" w:rsidRPr="007D09DD">
              <w:rPr>
                <w:rFonts w:ascii="Arial" w:hAnsi="Arial" w:cs="Arial"/>
                <w:noProof/>
                <w:webHidden/>
              </w:rPr>
              <w:fldChar w:fldCharType="end"/>
            </w:r>
          </w:hyperlink>
        </w:p>
        <w:p w14:paraId="5A8E9A14" w14:textId="67C80376" w:rsidR="00D05B8E" w:rsidRPr="007D09DD" w:rsidRDefault="005B0489" w:rsidP="00D05B8E">
          <w:pPr>
            <w:pStyle w:val="TOC3"/>
            <w:rPr>
              <w:rFonts w:ascii="Arial" w:hAnsi="Arial" w:cs="Arial"/>
              <w:noProof/>
              <w:sz w:val="22"/>
              <w:szCs w:val="22"/>
              <w:lang w:eastAsia="en-AU"/>
            </w:rPr>
          </w:pPr>
          <w:hyperlink w:anchor="_Toc49173348" w:history="1">
            <w:r w:rsidR="00D05B8E" w:rsidRPr="007D09DD">
              <w:rPr>
                <w:rStyle w:val="Hyperlink"/>
                <w:rFonts w:ascii="Arial" w:hAnsi="Arial" w:cs="Arial"/>
                <w:i/>
                <w:noProof/>
              </w:rPr>
              <w:t>The challenges of retrofitting for private and public housing tenants</w:t>
            </w:r>
            <w:r w:rsidR="00D05B8E" w:rsidRPr="007D09DD">
              <w:rPr>
                <w:rFonts w:ascii="Arial" w:hAnsi="Arial" w:cs="Arial"/>
                <w:noProof/>
                <w:webHidden/>
              </w:rPr>
              <w:tab/>
            </w:r>
            <w:r w:rsidR="00D05B8E" w:rsidRPr="007D09DD">
              <w:rPr>
                <w:rFonts w:ascii="Arial" w:hAnsi="Arial" w:cs="Arial"/>
                <w:noProof/>
                <w:webHidden/>
              </w:rPr>
              <w:fldChar w:fldCharType="begin"/>
            </w:r>
            <w:r w:rsidR="00D05B8E" w:rsidRPr="007D09DD">
              <w:rPr>
                <w:rFonts w:ascii="Arial" w:hAnsi="Arial" w:cs="Arial"/>
                <w:noProof/>
                <w:webHidden/>
              </w:rPr>
              <w:instrText xml:space="preserve"> PAGEREF _Toc49173348 \h </w:instrText>
            </w:r>
            <w:r w:rsidR="00D05B8E" w:rsidRPr="007D09DD">
              <w:rPr>
                <w:rFonts w:ascii="Arial" w:hAnsi="Arial" w:cs="Arial"/>
                <w:noProof/>
                <w:webHidden/>
              </w:rPr>
            </w:r>
            <w:r w:rsidR="00D05B8E" w:rsidRPr="007D09DD">
              <w:rPr>
                <w:rFonts w:ascii="Arial" w:hAnsi="Arial" w:cs="Arial"/>
                <w:noProof/>
                <w:webHidden/>
              </w:rPr>
              <w:fldChar w:fldCharType="separate"/>
            </w:r>
            <w:r w:rsidR="00EA07DB">
              <w:rPr>
                <w:rFonts w:ascii="Arial" w:hAnsi="Arial" w:cs="Arial"/>
                <w:noProof/>
                <w:webHidden/>
              </w:rPr>
              <w:t>7</w:t>
            </w:r>
            <w:r w:rsidR="00D05B8E" w:rsidRPr="007D09DD">
              <w:rPr>
                <w:rFonts w:ascii="Arial" w:hAnsi="Arial" w:cs="Arial"/>
                <w:noProof/>
                <w:webHidden/>
              </w:rPr>
              <w:fldChar w:fldCharType="end"/>
            </w:r>
          </w:hyperlink>
        </w:p>
        <w:p w14:paraId="2BB9E7A7" w14:textId="6262C0E5" w:rsidR="00D05B8E" w:rsidRPr="007D09DD" w:rsidRDefault="005B0489" w:rsidP="00D05B8E">
          <w:pPr>
            <w:pStyle w:val="TOC2"/>
            <w:ind w:left="284"/>
            <w:rPr>
              <w:rFonts w:ascii="Arial" w:hAnsi="Arial" w:cs="Arial"/>
              <w:noProof/>
              <w:sz w:val="22"/>
              <w:szCs w:val="22"/>
              <w:lang w:eastAsia="en-AU"/>
            </w:rPr>
          </w:pPr>
          <w:hyperlink w:anchor="_Toc49173349" w:history="1">
            <w:r w:rsidR="00D05B8E" w:rsidRPr="007D09DD">
              <w:rPr>
                <w:rStyle w:val="Hyperlink"/>
                <w:rFonts w:ascii="Arial" w:hAnsi="Arial" w:cs="Arial"/>
                <w:i/>
                <w:noProof/>
              </w:rPr>
              <w:t>Accessibility issues in strata title schemes</w:t>
            </w:r>
            <w:r w:rsidR="00D05B8E" w:rsidRPr="007D09DD">
              <w:rPr>
                <w:rFonts w:ascii="Arial" w:hAnsi="Arial" w:cs="Arial"/>
                <w:noProof/>
                <w:webHidden/>
              </w:rPr>
              <w:tab/>
            </w:r>
            <w:r w:rsidR="00D05B8E" w:rsidRPr="007D09DD">
              <w:rPr>
                <w:rFonts w:ascii="Arial" w:hAnsi="Arial" w:cs="Arial"/>
                <w:noProof/>
                <w:webHidden/>
              </w:rPr>
              <w:fldChar w:fldCharType="begin"/>
            </w:r>
            <w:r w:rsidR="00D05B8E" w:rsidRPr="007D09DD">
              <w:rPr>
                <w:rFonts w:ascii="Arial" w:hAnsi="Arial" w:cs="Arial"/>
                <w:noProof/>
                <w:webHidden/>
              </w:rPr>
              <w:instrText xml:space="preserve"> PAGEREF _Toc49173349 \h </w:instrText>
            </w:r>
            <w:r w:rsidR="00D05B8E" w:rsidRPr="007D09DD">
              <w:rPr>
                <w:rFonts w:ascii="Arial" w:hAnsi="Arial" w:cs="Arial"/>
                <w:noProof/>
                <w:webHidden/>
              </w:rPr>
            </w:r>
            <w:r w:rsidR="00D05B8E" w:rsidRPr="007D09DD">
              <w:rPr>
                <w:rFonts w:ascii="Arial" w:hAnsi="Arial" w:cs="Arial"/>
                <w:noProof/>
                <w:webHidden/>
              </w:rPr>
              <w:fldChar w:fldCharType="separate"/>
            </w:r>
            <w:r w:rsidR="00EA07DB">
              <w:rPr>
                <w:rFonts w:ascii="Arial" w:hAnsi="Arial" w:cs="Arial"/>
                <w:noProof/>
                <w:webHidden/>
              </w:rPr>
              <w:t>9</w:t>
            </w:r>
            <w:r w:rsidR="00D05B8E" w:rsidRPr="007D09DD">
              <w:rPr>
                <w:rFonts w:ascii="Arial" w:hAnsi="Arial" w:cs="Arial"/>
                <w:noProof/>
                <w:webHidden/>
              </w:rPr>
              <w:fldChar w:fldCharType="end"/>
            </w:r>
          </w:hyperlink>
        </w:p>
        <w:p w14:paraId="15F8CB36" w14:textId="6747F09F" w:rsidR="00D05B8E" w:rsidRPr="007D09DD" w:rsidRDefault="005B0489" w:rsidP="00D05B8E">
          <w:pPr>
            <w:pStyle w:val="TOC2"/>
            <w:rPr>
              <w:rFonts w:ascii="Arial" w:hAnsi="Arial" w:cs="Arial"/>
              <w:noProof/>
              <w:sz w:val="22"/>
              <w:szCs w:val="22"/>
              <w:lang w:eastAsia="en-AU"/>
            </w:rPr>
          </w:pPr>
          <w:hyperlink w:anchor="_Toc49173350" w:history="1">
            <w:r w:rsidR="00D05B8E" w:rsidRPr="007D09DD">
              <w:rPr>
                <w:rStyle w:val="Hyperlink"/>
                <w:rFonts w:ascii="Arial" w:hAnsi="Arial" w:cs="Arial"/>
                <w:noProof/>
              </w:rPr>
              <w:t>Estimating the benefits: Housing for all</w:t>
            </w:r>
            <w:r w:rsidR="00D05B8E" w:rsidRPr="007D09DD">
              <w:rPr>
                <w:rFonts w:ascii="Arial" w:hAnsi="Arial" w:cs="Arial"/>
                <w:noProof/>
                <w:webHidden/>
              </w:rPr>
              <w:tab/>
            </w:r>
            <w:r w:rsidR="00D05B8E" w:rsidRPr="007D09DD">
              <w:rPr>
                <w:rFonts w:ascii="Arial" w:hAnsi="Arial" w:cs="Arial"/>
                <w:noProof/>
                <w:webHidden/>
              </w:rPr>
              <w:fldChar w:fldCharType="begin"/>
            </w:r>
            <w:r w:rsidR="00D05B8E" w:rsidRPr="007D09DD">
              <w:rPr>
                <w:rFonts w:ascii="Arial" w:hAnsi="Arial" w:cs="Arial"/>
                <w:noProof/>
                <w:webHidden/>
              </w:rPr>
              <w:instrText xml:space="preserve"> PAGEREF _Toc49173350 \h </w:instrText>
            </w:r>
            <w:r w:rsidR="00D05B8E" w:rsidRPr="007D09DD">
              <w:rPr>
                <w:rFonts w:ascii="Arial" w:hAnsi="Arial" w:cs="Arial"/>
                <w:noProof/>
                <w:webHidden/>
              </w:rPr>
            </w:r>
            <w:r w:rsidR="00D05B8E" w:rsidRPr="007D09DD">
              <w:rPr>
                <w:rFonts w:ascii="Arial" w:hAnsi="Arial" w:cs="Arial"/>
                <w:noProof/>
                <w:webHidden/>
              </w:rPr>
              <w:fldChar w:fldCharType="separate"/>
            </w:r>
            <w:r w:rsidR="00EA07DB">
              <w:rPr>
                <w:rFonts w:ascii="Arial" w:hAnsi="Arial" w:cs="Arial"/>
                <w:noProof/>
                <w:webHidden/>
              </w:rPr>
              <w:t>10</w:t>
            </w:r>
            <w:r w:rsidR="00D05B8E" w:rsidRPr="007D09DD">
              <w:rPr>
                <w:rFonts w:ascii="Arial" w:hAnsi="Arial" w:cs="Arial"/>
                <w:noProof/>
                <w:webHidden/>
              </w:rPr>
              <w:fldChar w:fldCharType="end"/>
            </w:r>
          </w:hyperlink>
        </w:p>
        <w:p w14:paraId="04988C6B" w14:textId="30A18E1D" w:rsidR="00D05B8E" w:rsidRPr="007D09DD" w:rsidRDefault="005B0489">
          <w:pPr>
            <w:pStyle w:val="TOC1"/>
            <w:tabs>
              <w:tab w:val="right" w:leader="dot" w:pos="8296"/>
            </w:tabs>
            <w:rPr>
              <w:rFonts w:ascii="Arial" w:hAnsi="Arial" w:cs="Arial"/>
              <w:noProof/>
              <w:sz w:val="22"/>
              <w:szCs w:val="22"/>
              <w:lang w:eastAsia="en-AU"/>
            </w:rPr>
          </w:pPr>
          <w:hyperlink w:anchor="_Toc49173351" w:history="1">
            <w:r w:rsidR="00D05B8E" w:rsidRPr="007D09DD">
              <w:rPr>
                <w:rStyle w:val="Hyperlink"/>
                <w:rFonts w:ascii="Arial" w:hAnsi="Arial" w:cs="Arial"/>
                <w:noProof/>
              </w:rPr>
              <w:t>Conclusion</w:t>
            </w:r>
            <w:r w:rsidR="00D05B8E" w:rsidRPr="007D09DD">
              <w:rPr>
                <w:rFonts w:ascii="Arial" w:hAnsi="Arial" w:cs="Arial"/>
                <w:noProof/>
                <w:webHidden/>
              </w:rPr>
              <w:tab/>
            </w:r>
            <w:r w:rsidR="00D05B8E" w:rsidRPr="007D09DD">
              <w:rPr>
                <w:rFonts w:ascii="Arial" w:hAnsi="Arial" w:cs="Arial"/>
                <w:noProof/>
                <w:webHidden/>
              </w:rPr>
              <w:fldChar w:fldCharType="begin"/>
            </w:r>
            <w:r w:rsidR="00D05B8E" w:rsidRPr="007D09DD">
              <w:rPr>
                <w:rFonts w:ascii="Arial" w:hAnsi="Arial" w:cs="Arial"/>
                <w:noProof/>
                <w:webHidden/>
              </w:rPr>
              <w:instrText xml:space="preserve"> PAGEREF _Toc49173351 \h </w:instrText>
            </w:r>
            <w:r w:rsidR="00D05B8E" w:rsidRPr="007D09DD">
              <w:rPr>
                <w:rFonts w:ascii="Arial" w:hAnsi="Arial" w:cs="Arial"/>
                <w:noProof/>
                <w:webHidden/>
              </w:rPr>
            </w:r>
            <w:r w:rsidR="00D05B8E" w:rsidRPr="007D09DD">
              <w:rPr>
                <w:rFonts w:ascii="Arial" w:hAnsi="Arial" w:cs="Arial"/>
                <w:noProof/>
                <w:webHidden/>
              </w:rPr>
              <w:fldChar w:fldCharType="separate"/>
            </w:r>
            <w:r w:rsidR="00EA07DB">
              <w:rPr>
                <w:rFonts w:ascii="Arial" w:hAnsi="Arial" w:cs="Arial"/>
                <w:noProof/>
                <w:webHidden/>
              </w:rPr>
              <w:t>13</w:t>
            </w:r>
            <w:r w:rsidR="00D05B8E" w:rsidRPr="007D09DD">
              <w:rPr>
                <w:rFonts w:ascii="Arial" w:hAnsi="Arial" w:cs="Arial"/>
                <w:noProof/>
                <w:webHidden/>
              </w:rPr>
              <w:fldChar w:fldCharType="end"/>
            </w:r>
          </w:hyperlink>
        </w:p>
        <w:p w14:paraId="739ED350" w14:textId="47902344" w:rsidR="00D05B8E" w:rsidRPr="007D09DD" w:rsidRDefault="00D05B8E">
          <w:pPr>
            <w:rPr>
              <w:rFonts w:ascii="Arial" w:hAnsi="Arial" w:cs="Arial"/>
            </w:rPr>
          </w:pPr>
          <w:r w:rsidRPr="007D09DD">
            <w:rPr>
              <w:rFonts w:ascii="Arial" w:hAnsi="Arial" w:cs="Arial"/>
              <w:b/>
              <w:bCs/>
              <w:noProof/>
            </w:rPr>
            <w:fldChar w:fldCharType="end"/>
          </w:r>
        </w:p>
      </w:sdtContent>
    </w:sdt>
    <w:p w14:paraId="2D626596" w14:textId="1F21C1E7" w:rsidR="001C1E6C" w:rsidRDefault="001C1E6C">
      <w:pPr>
        <w:rPr>
          <w:rFonts w:ascii="Arial" w:eastAsiaTheme="majorEastAsia" w:hAnsi="Arial" w:cstheme="majorBidi"/>
          <w:b/>
          <w:color w:val="365F91" w:themeColor="accent1" w:themeShade="BF"/>
          <w:sz w:val="28"/>
          <w:szCs w:val="32"/>
        </w:rPr>
      </w:pPr>
    </w:p>
    <w:p w14:paraId="4E0C1934" w14:textId="77777777" w:rsidR="001C1E6C" w:rsidRPr="001C1E6C" w:rsidRDefault="001C1E6C" w:rsidP="001C1E6C">
      <w:pPr>
        <w:rPr>
          <w:rFonts w:ascii="Arial" w:eastAsiaTheme="majorEastAsia" w:hAnsi="Arial" w:cstheme="majorBidi"/>
          <w:sz w:val="28"/>
          <w:szCs w:val="32"/>
        </w:rPr>
      </w:pPr>
    </w:p>
    <w:p w14:paraId="60569CB2" w14:textId="77777777" w:rsidR="001C1E6C" w:rsidRPr="001C1E6C" w:rsidRDefault="001C1E6C" w:rsidP="001C1E6C">
      <w:pPr>
        <w:rPr>
          <w:rFonts w:ascii="Arial" w:eastAsiaTheme="majorEastAsia" w:hAnsi="Arial" w:cstheme="majorBidi"/>
          <w:sz w:val="28"/>
          <w:szCs w:val="32"/>
        </w:rPr>
      </w:pPr>
    </w:p>
    <w:p w14:paraId="54017D31" w14:textId="77777777" w:rsidR="001C1E6C" w:rsidRPr="001C1E6C" w:rsidRDefault="001C1E6C" w:rsidP="001C1E6C">
      <w:pPr>
        <w:rPr>
          <w:rFonts w:ascii="Arial" w:eastAsiaTheme="majorEastAsia" w:hAnsi="Arial" w:cstheme="majorBidi"/>
          <w:sz w:val="28"/>
          <w:szCs w:val="32"/>
        </w:rPr>
      </w:pPr>
    </w:p>
    <w:p w14:paraId="6D18712A" w14:textId="2C443359" w:rsidR="001C1E6C" w:rsidRDefault="001C1E6C" w:rsidP="001C1E6C">
      <w:pPr>
        <w:tabs>
          <w:tab w:val="left" w:pos="2805"/>
        </w:tabs>
        <w:rPr>
          <w:rFonts w:ascii="Arial" w:eastAsiaTheme="majorEastAsia" w:hAnsi="Arial" w:cstheme="majorBidi"/>
          <w:sz w:val="28"/>
          <w:szCs w:val="32"/>
        </w:rPr>
      </w:pPr>
      <w:r>
        <w:rPr>
          <w:rFonts w:ascii="Arial" w:eastAsiaTheme="majorEastAsia" w:hAnsi="Arial" w:cstheme="majorBidi"/>
          <w:sz w:val="28"/>
          <w:szCs w:val="32"/>
        </w:rPr>
        <w:tab/>
      </w:r>
    </w:p>
    <w:p w14:paraId="517F847D" w14:textId="02DFCA6E" w:rsidR="004A2375" w:rsidRPr="001C1E6C" w:rsidRDefault="001C1E6C" w:rsidP="001C1E6C">
      <w:pPr>
        <w:tabs>
          <w:tab w:val="left" w:pos="2805"/>
        </w:tabs>
        <w:rPr>
          <w:rFonts w:ascii="Arial" w:eastAsiaTheme="majorEastAsia" w:hAnsi="Arial" w:cstheme="majorBidi"/>
          <w:sz w:val="28"/>
          <w:szCs w:val="32"/>
        </w:rPr>
        <w:sectPr w:rsidR="004A2375" w:rsidRPr="001C1E6C" w:rsidSect="00A16356">
          <w:headerReference w:type="even" r:id="rId10"/>
          <w:headerReference w:type="default" r:id="rId11"/>
          <w:footerReference w:type="even" r:id="rId12"/>
          <w:footerReference w:type="default" r:id="rId13"/>
          <w:headerReference w:type="first" r:id="rId14"/>
          <w:footerReference w:type="first" r:id="rId15"/>
          <w:pgSz w:w="11900" w:h="16840" w:code="9"/>
          <w:pgMar w:top="1440" w:right="1797" w:bottom="1440" w:left="1797" w:header="709" w:footer="709" w:gutter="0"/>
          <w:pgNumType w:start="0"/>
          <w:cols w:space="708"/>
          <w:titlePg/>
          <w:docGrid w:linePitch="360"/>
        </w:sectPr>
      </w:pPr>
      <w:r>
        <w:rPr>
          <w:rFonts w:ascii="Arial" w:eastAsiaTheme="majorEastAsia" w:hAnsi="Arial" w:cstheme="majorBidi"/>
          <w:sz w:val="28"/>
          <w:szCs w:val="32"/>
        </w:rPr>
        <w:tab/>
      </w:r>
    </w:p>
    <w:p w14:paraId="32DFF30D" w14:textId="020C402F" w:rsidR="00B82CE9" w:rsidRDefault="00C07145" w:rsidP="007C510E">
      <w:pPr>
        <w:pStyle w:val="Heading1"/>
      </w:pPr>
      <w:bookmarkStart w:id="0" w:name="_Toc49172168"/>
      <w:bookmarkStart w:id="1" w:name="_Toc49173258"/>
      <w:bookmarkStart w:id="2" w:name="_Toc49173341"/>
      <w:r>
        <w:lastRenderedPageBreak/>
        <w:t>Minimum accessibility standards for Australian housing</w:t>
      </w:r>
      <w:bookmarkEnd w:id="0"/>
      <w:bookmarkEnd w:id="1"/>
      <w:bookmarkEnd w:id="2"/>
    </w:p>
    <w:p w14:paraId="5FBC43B8" w14:textId="77777777" w:rsidR="00A7684E" w:rsidRDefault="00A7684E" w:rsidP="00A7684E">
      <w:pPr>
        <w:pStyle w:val="Heading2"/>
      </w:pPr>
      <w:bookmarkStart w:id="3" w:name="_Toc49173342"/>
      <w:r>
        <w:t>The role of the Queensland Human Rights Commission</w:t>
      </w:r>
      <w:bookmarkEnd w:id="3"/>
    </w:p>
    <w:p w14:paraId="547EE0D4" w14:textId="77777777" w:rsidR="00A7684E" w:rsidRDefault="00A7684E" w:rsidP="00A7684E">
      <w:pPr>
        <w:pStyle w:val="Numberedparagraph"/>
        <w:numPr>
          <w:ilvl w:val="0"/>
          <w:numId w:val="17"/>
        </w:numPr>
      </w:pPr>
      <w:r w:rsidRPr="00C36B34">
        <w:t>The Queensland Human Rights Commission (</w:t>
      </w:r>
      <w:r w:rsidRPr="00A7684E">
        <w:rPr>
          <w:b/>
        </w:rPr>
        <w:t>the Commission</w:t>
      </w:r>
      <w:r w:rsidRPr="00C36B34">
        <w:t xml:space="preserve">) has functions under the </w:t>
      </w:r>
      <w:r w:rsidRPr="00C36B34">
        <w:rPr>
          <w:i/>
        </w:rPr>
        <w:t>Anti-Discrimination Act 1991</w:t>
      </w:r>
      <w:r w:rsidRPr="00C36B34">
        <w:t xml:space="preserve"> (</w:t>
      </w:r>
      <w:r w:rsidRPr="00343696">
        <w:rPr>
          <w:b/>
        </w:rPr>
        <w:t>the AD Act</w:t>
      </w:r>
      <w:r w:rsidRPr="00C36B34">
        <w:t>)</w:t>
      </w:r>
      <w:r w:rsidRPr="00C36B34">
        <w:rPr>
          <w:i/>
        </w:rPr>
        <w:t xml:space="preserve"> </w:t>
      </w:r>
      <w:r w:rsidRPr="00C36B34">
        <w:t xml:space="preserve">and the </w:t>
      </w:r>
      <w:r w:rsidRPr="00C36B34">
        <w:rPr>
          <w:i/>
        </w:rPr>
        <w:t xml:space="preserve">Human Rights Act 2019 </w:t>
      </w:r>
      <w:r>
        <w:t>(</w:t>
      </w:r>
      <w:r>
        <w:rPr>
          <w:b/>
        </w:rPr>
        <w:t>the HR Act</w:t>
      </w:r>
      <w:r w:rsidRPr="00C36B34">
        <w:t xml:space="preserve">) to promote </w:t>
      </w:r>
      <w:r>
        <w:t xml:space="preserve">an </w:t>
      </w:r>
      <w:r w:rsidRPr="00C36B34">
        <w:t>understanding</w:t>
      </w:r>
      <w:r>
        <w:t>, acceptance,</w:t>
      </w:r>
      <w:r w:rsidRPr="00C36B34">
        <w:t xml:space="preserve"> and discussion of human rights in Queensland, and to provide information and </w:t>
      </w:r>
      <w:r>
        <w:t>education</w:t>
      </w:r>
      <w:r w:rsidRPr="00C36B34">
        <w:t xml:space="preserve"> about human rights. </w:t>
      </w:r>
    </w:p>
    <w:p w14:paraId="22840FF1" w14:textId="77777777" w:rsidR="00A7684E" w:rsidRDefault="00A7684E" w:rsidP="00A7684E">
      <w:pPr>
        <w:pStyle w:val="Numberedparagraph"/>
        <w:numPr>
          <w:ilvl w:val="0"/>
          <w:numId w:val="17"/>
        </w:numPr>
      </w:pPr>
      <w:r>
        <w:t>A key function of the Commission is to provide a free and impartial conciliation service for anti-discrimination and human rights complaints in Queensland.</w:t>
      </w:r>
    </w:p>
    <w:p w14:paraId="547BFF1B" w14:textId="77777777" w:rsidR="00563FF4" w:rsidRDefault="001E3CEA" w:rsidP="00563FF4">
      <w:pPr>
        <w:pStyle w:val="Heading2"/>
      </w:pPr>
      <w:bookmarkStart w:id="4" w:name="_Toc49173343"/>
      <w:r>
        <w:t>Background</w:t>
      </w:r>
      <w:bookmarkEnd w:id="4"/>
    </w:p>
    <w:p w14:paraId="33F6904B" w14:textId="53B22FED" w:rsidR="00563FF4" w:rsidRDefault="00563FF4" w:rsidP="00563FF4">
      <w:pPr>
        <w:pStyle w:val="Numberedparagraph"/>
        <w:numPr>
          <w:ilvl w:val="0"/>
          <w:numId w:val="17"/>
        </w:numPr>
      </w:pPr>
      <w:r>
        <w:t xml:space="preserve">The Queensland Human Rights Commission </w:t>
      </w:r>
      <w:r w:rsidRPr="00C36B34">
        <w:t xml:space="preserve">welcomes </w:t>
      </w:r>
      <w:r>
        <w:t xml:space="preserve">the opportunity to comment on the </w:t>
      </w:r>
      <w:r w:rsidRPr="008238D0">
        <w:rPr>
          <w:i/>
        </w:rPr>
        <w:t>Consultation Regulatory Impact Statement</w:t>
      </w:r>
      <w:r>
        <w:t xml:space="preserve"> (</w:t>
      </w:r>
      <w:r w:rsidRPr="00563FF4">
        <w:rPr>
          <w:b/>
        </w:rPr>
        <w:t>the RIS</w:t>
      </w:r>
      <w:r>
        <w:t>)</w:t>
      </w:r>
      <w:r w:rsidR="001A00A8">
        <w:t xml:space="preserve"> </w:t>
      </w:r>
      <w:r w:rsidR="007367AF">
        <w:t xml:space="preserve">that considers </w:t>
      </w:r>
      <w:r w:rsidR="001A00A8">
        <w:t>a proposal to include minimum accessibility standards for</w:t>
      </w:r>
      <w:r w:rsidR="00152E72">
        <w:t xml:space="preserve"> new</w:t>
      </w:r>
      <w:r w:rsidR="001A00A8">
        <w:t xml:space="preserve"> housing in the </w:t>
      </w:r>
      <w:r w:rsidR="001A00A8" w:rsidRPr="008238D0">
        <w:rPr>
          <w:i/>
        </w:rPr>
        <w:t>National Construction Code</w:t>
      </w:r>
      <w:r w:rsidR="00037184">
        <w:t xml:space="preserve"> (</w:t>
      </w:r>
      <w:r w:rsidR="00037184" w:rsidRPr="00037184">
        <w:rPr>
          <w:b/>
        </w:rPr>
        <w:t>NCC</w:t>
      </w:r>
      <w:r w:rsidR="00037184">
        <w:t>)</w:t>
      </w:r>
      <w:r w:rsidR="001A00A8">
        <w:t>.</w:t>
      </w:r>
      <w:r w:rsidR="001A00A8" w:rsidRPr="00C36B34">
        <w:t xml:space="preserve"> </w:t>
      </w:r>
    </w:p>
    <w:p w14:paraId="150A4CCA" w14:textId="77777777" w:rsidR="00E02AB9" w:rsidRDefault="00E02AB9" w:rsidP="00563FF4">
      <w:pPr>
        <w:pStyle w:val="Numberedparagraph"/>
        <w:numPr>
          <w:ilvl w:val="0"/>
          <w:numId w:val="17"/>
        </w:numPr>
      </w:pPr>
      <w:r>
        <w:t xml:space="preserve">The preliminary recommendation in the RIS </w:t>
      </w:r>
      <w:r w:rsidR="005A68A4">
        <w:t>is that</w:t>
      </w:r>
      <w:r>
        <w:t>:</w:t>
      </w:r>
    </w:p>
    <w:p w14:paraId="4730960F" w14:textId="77777777" w:rsidR="00E02AB9" w:rsidRPr="008238D0" w:rsidRDefault="00E02AB9" w:rsidP="00E02AB9">
      <w:pPr>
        <w:pStyle w:val="Numberedparagraph"/>
        <w:numPr>
          <w:ilvl w:val="0"/>
          <w:numId w:val="0"/>
        </w:numPr>
        <w:ind w:left="1440"/>
        <w:rPr>
          <w:sz w:val="22"/>
          <w:szCs w:val="22"/>
        </w:rPr>
      </w:pPr>
      <w:r w:rsidRPr="008238D0">
        <w:rPr>
          <w:sz w:val="22"/>
          <w:szCs w:val="22"/>
        </w:rPr>
        <w:t>The costs associated with including an accessible housing standard in the NCC are estimated to outweigh the benefits under the central estimates for all of the Options tested.</w:t>
      </w:r>
      <w:r w:rsidR="00152E72" w:rsidRPr="008238D0">
        <w:rPr>
          <w:rStyle w:val="FootnoteReference"/>
          <w:sz w:val="22"/>
          <w:szCs w:val="22"/>
        </w:rPr>
        <w:footnoteReference w:id="1"/>
      </w:r>
    </w:p>
    <w:p w14:paraId="64850724" w14:textId="0FCF7D5A" w:rsidR="002313FA" w:rsidRPr="009E0AEB" w:rsidRDefault="006C37C0" w:rsidP="00131E97">
      <w:pPr>
        <w:pStyle w:val="ListParagraph"/>
        <w:numPr>
          <w:ilvl w:val="0"/>
          <w:numId w:val="17"/>
        </w:numPr>
        <w:rPr>
          <w:rFonts w:ascii="Arial" w:hAnsi="Arial" w:cs="Arial"/>
          <w:b/>
        </w:rPr>
      </w:pPr>
      <w:r>
        <w:rPr>
          <w:rFonts w:ascii="Arial" w:hAnsi="Arial" w:cs="Arial"/>
        </w:rPr>
        <w:t>The</w:t>
      </w:r>
      <w:r w:rsidR="00037184" w:rsidRPr="00037184">
        <w:rPr>
          <w:rFonts w:ascii="Arial" w:hAnsi="Arial" w:cs="Arial"/>
        </w:rPr>
        <w:t xml:space="preserve"> Commission supports the inclusion of minimum accessibility standards in the NCC. </w:t>
      </w:r>
      <w:r w:rsidR="00037184" w:rsidRPr="00F12AAC">
        <w:rPr>
          <w:rFonts w:ascii="Arial" w:hAnsi="Arial" w:cs="Arial"/>
          <w:b/>
        </w:rPr>
        <w:t>The Commission supports Option 2</w:t>
      </w:r>
      <w:r w:rsidR="003D6BDB" w:rsidRPr="00F12AAC">
        <w:rPr>
          <w:rFonts w:ascii="Arial" w:hAnsi="Arial" w:cs="Arial"/>
          <w:b/>
        </w:rPr>
        <w:t xml:space="preserve"> and consider</w:t>
      </w:r>
      <w:r w:rsidR="00E82694">
        <w:rPr>
          <w:rFonts w:ascii="Arial" w:hAnsi="Arial" w:cs="Arial"/>
          <w:b/>
        </w:rPr>
        <w:t>s</w:t>
      </w:r>
      <w:r w:rsidR="00CB5332">
        <w:rPr>
          <w:rFonts w:ascii="Arial" w:hAnsi="Arial" w:cs="Arial"/>
          <w:b/>
        </w:rPr>
        <w:t xml:space="preserve"> that</w:t>
      </w:r>
      <w:r w:rsidR="003D6BDB" w:rsidRPr="00F12AAC">
        <w:rPr>
          <w:rFonts w:ascii="Arial" w:hAnsi="Arial" w:cs="Arial"/>
          <w:b/>
        </w:rPr>
        <w:t xml:space="preserve"> of the options </w:t>
      </w:r>
      <w:r w:rsidR="005A2A65">
        <w:rPr>
          <w:rFonts w:ascii="Arial" w:hAnsi="Arial" w:cs="Arial"/>
          <w:b/>
        </w:rPr>
        <w:t>considered</w:t>
      </w:r>
      <w:r w:rsidR="00CB5332">
        <w:rPr>
          <w:rFonts w:ascii="Arial" w:hAnsi="Arial" w:cs="Arial"/>
          <w:b/>
        </w:rPr>
        <w:t xml:space="preserve"> </w:t>
      </w:r>
      <w:r w:rsidR="003D6BDB" w:rsidRPr="00F12AAC">
        <w:rPr>
          <w:rFonts w:ascii="Arial" w:hAnsi="Arial" w:cs="Arial"/>
          <w:b/>
        </w:rPr>
        <w:t>it best meets</w:t>
      </w:r>
      <w:r w:rsidR="00037184" w:rsidRPr="00F12AAC">
        <w:rPr>
          <w:rFonts w:ascii="Arial" w:hAnsi="Arial" w:cs="Arial"/>
          <w:b/>
        </w:rPr>
        <w:t xml:space="preserve"> the objectiv</w:t>
      </w:r>
      <w:r w:rsidR="003D6BDB" w:rsidRPr="00F12AAC">
        <w:rPr>
          <w:rFonts w:ascii="Arial" w:hAnsi="Arial" w:cs="Arial"/>
          <w:b/>
        </w:rPr>
        <w:t>e of the RIS in ensuring</w:t>
      </w:r>
      <w:r w:rsidR="00037184" w:rsidRPr="00F12AAC">
        <w:rPr>
          <w:rFonts w:ascii="Arial" w:hAnsi="Arial" w:cs="Arial"/>
          <w:b/>
        </w:rPr>
        <w:t xml:space="preserve"> that new housing is designed to meet the needs of the community. </w:t>
      </w:r>
      <w:r w:rsidR="002313FA" w:rsidRPr="00131E97">
        <w:rPr>
          <w:rFonts w:ascii="Arial" w:hAnsi="Arial" w:cs="Arial"/>
        </w:rPr>
        <w:t>A</w:t>
      </w:r>
      <w:r w:rsidR="00161AE5">
        <w:rPr>
          <w:rFonts w:ascii="Arial" w:hAnsi="Arial" w:cs="Arial"/>
        </w:rPr>
        <w:t>n</w:t>
      </w:r>
      <w:r w:rsidR="002313FA" w:rsidRPr="00131E97">
        <w:rPr>
          <w:rFonts w:ascii="Arial" w:hAnsi="Arial" w:cs="Arial"/>
        </w:rPr>
        <w:t xml:space="preserve"> evaluation of the </w:t>
      </w:r>
      <w:r w:rsidR="00161AE5">
        <w:rPr>
          <w:rFonts w:ascii="Arial" w:hAnsi="Arial" w:cs="Arial"/>
        </w:rPr>
        <w:t>alternative</w:t>
      </w:r>
      <w:r w:rsidR="00161AE5" w:rsidRPr="00131E97">
        <w:rPr>
          <w:rFonts w:ascii="Arial" w:hAnsi="Arial" w:cs="Arial"/>
        </w:rPr>
        <w:t xml:space="preserve"> </w:t>
      </w:r>
      <w:r w:rsidR="002313FA" w:rsidRPr="00131E97">
        <w:rPr>
          <w:rFonts w:ascii="Arial" w:hAnsi="Arial" w:cs="Arial"/>
        </w:rPr>
        <w:t>options is contained in the Conclusion below.</w:t>
      </w:r>
    </w:p>
    <w:p w14:paraId="03F0C2A1" w14:textId="77777777" w:rsidR="009E0AEB" w:rsidRPr="009E0AEB" w:rsidRDefault="009E0AEB" w:rsidP="009E0AEB">
      <w:pPr>
        <w:pStyle w:val="ListParagraph"/>
        <w:rPr>
          <w:rFonts w:ascii="Arial" w:hAnsi="Arial" w:cs="Arial"/>
          <w:b/>
        </w:rPr>
      </w:pPr>
    </w:p>
    <w:p w14:paraId="51A43E3C" w14:textId="2D5E756E" w:rsidR="004B715C" w:rsidRPr="006B0702" w:rsidRDefault="009E0AEB" w:rsidP="006B0702">
      <w:pPr>
        <w:pStyle w:val="ListParagraph"/>
        <w:numPr>
          <w:ilvl w:val="0"/>
          <w:numId w:val="17"/>
        </w:numPr>
        <w:rPr>
          <w:rFonts w:ascii="Arial" w:hAnsi="Arial" w:cs="Arial"/>
          <w:b/>
        </w:rPr>
      </w:pPr>
      <w:r w:rsidRPr="006B0702">
        <w:rPr>
          <w:rFonts w:ascii="Arial" w:hAnsi="Arial" w:cs="Arial"/>
        </w:rPr>
        <w:t xml:space="preserve">This submission will firstly explain </w:t>
      </w:r>
      <w:r w:rsidR="009C6C4C" w:rsidRPr="006B0702">
        <w:rPr>
          <w:rFonts w:ascii="Arial" w:hAnsi="Arial" w:cs="Arial"/>
        </w:rPr>
        <w:t>Australia’s</w:t>
      </w:r>
      <w:r w:rsidRPr="006B0702">
        <w:rPr>
          <w:rFonts w:ascii="Arial" w:hAnsi="Arial" w:cs="Arial"/>
        </w:rPr>
        <w:t xml:space="preserve"> human rights obligations relating to accessible </w:t>
      </w:r>
      <w:r w:rsidR="00AC1F76" w:rsidRPr="006B0702">
        <w:rPr>
          <w:rFonts w:ascii="Arial" w:hAnsi="Arial" w:cs="Arial"/>
        </w:rPr>
        <w:t>housing</w:t>
      </w:r>
      <w:r w:rsidR="006B0702" w:rsidRPr="006B0702">
        <w:rPr>
          <w:rFonts w:ascii="Arial" w:hAnsi="Arial" w:cs="Arial"/>
        </w:rPr>
        <w:t xml:space="preserve">. Secondly, </w:t>
      </w:r>
      <w:r w:rsidR="00A56950">
        <w:rPr>
          <w:rFonts w:ascii="Arial" w:hAnsi="Arial" w:cs="Arial"/>
        </w:rPr>
        <w:t>this</w:t>
      </w:r>
      <w:r w:rsidR="006B0702" w:rsidRPr="006B0702">
        <w:rPr>
          <w:rFonts w:ascii="Arial" w:hAnsi="Arial" w:cs="Arial"/>
        </w:rPr>
        <w:t xml:space="preserve"> </w:t>
      </w:r>
      <w:r w:rsidR="00F23B6C">
        <w:rPr>
          <w:rFonts w:ascii="Arial" w:hAnsi="Arial" w:cs="Arial"/>
        </w:rPr>
        <w:t>submission</w:t>
      </w:r>
      <w:r w:rsidR="006B0702" w:rsidRPr="006B0702">
        <w:rPr>
          <w:rFonts w:ascii="Arial" w:hAnsi="Arial" w:cs="Arial"/>
        </w:rPr>
        <w:t xml:space="preserve"> will </w:t>
      </w:r>
      <w:r w:rsidR="006B0702">
        <w:rPr>
          <w:rFonts w:ascii="Arial" w:hAnsi="Arial" w:cs="Arial"/>
        </w:rPr>
        <w:t>comment</w:t>
      </w:r>
      <w:r w:rsidR="006B0702" w:rsidRPr="006B0702">
        <w:rPr>
          <w:rFonts w:ascii="Arial" w:hAnsi="Arial" w:cs="Arial"/>
        </w:rPr>
        <w:t xml:space="preserve"> </w:t>
      </w:r>
      <w:r w:rsidR="006B0702">
        <w:rPr>
          <w:rFonts w:ascii="Arial" w:hAnsi="Arial" w:cs="Arial"/>
        </w:rPr>
        <w:t xml:space="preserve">on </w:t>
      </w:r>
      <w:r w:rsidR="00D067E9">
        <w:rPr>
          <w:rFonts w:ascii="Arial" w:hAnsi="Arial" w:cs="Arial"/>
        </w:rPr>
        <w:t>particular sections</w:t>
      </w:r>
      <w:r w:rsidR="006B0702">
        <w:rPr>
          <w:rFonts w:ascii="Arial" w:hAnsi="Arial" w:cs="Arial"/>
        </w:rPr>
        <w:t xml:space="preserve"> of</w:t>
      </w:r>
      <w:r w:rsidR="006B0702" w:rsidRPr="006B0702">
        <w:rPr>
          <w:rFonts w:ascii="Arial" w:hAnsi="Arial" w:cs="Arial"/>
        </w:rPr>
        <w:t xml:space="preserve"> the RIS. </w:t>
      </w:r>
      <w:r w:rsidR="00AC1F76" w:rsidRPr="006B0702">
        <w:rPr>
          <w:rFonts w:ascii="Arial" w:hAnsi="Arial" w:cs="Arial"/>
        </w:rPr>
        <w:t>The C</w:t>
      </w:r>
      <w:r w:rsidR="00263EAD" w:rsidRPr="006B0702">
        <w:rPr>
          <w:rFonts w:ascii="Arial" w:hAnsi="Arial" w:cs="Arial"/>
        </w:rPr>
        <w:t xml:space="preserve">ommission </w:t>
      </w:r>
      <w:r w:rsidR="00060AEC" w:rsidRPr="006B0702">
        <w:rPr>
          <w:rFonts w:ascii="Arial" w:hAnsi="Arial" w:cs="Arial"/>
        </w:rPr>
        <w:t xml:space="preserve">will not </w:t>
      </w:r>
      <w:r w:rsidR="00263EAD" w:rsidRPr="006B0702">
        <w:rPr>
          <w:rFonts w:ascii="Arial" w:hAnsi="Arial" w:cs="Arial"/>
        </w:rPr>
        <w:t xml:space="preserve">respond in detail to </w:t>
      </w:r>
      <w:r w:rsidR="008249AA" w:rsidRPr="006B0702">
        <w:rPr>
          <w:rFonts w:ascii="Arial" w:hAnsi="Arial" w:cs="Arial"/>
        </w:rPr>
        <w:t xml:space="preserve">all of the </w:t>
      </w:r>
      <w:r w:rsidR="00BF1C25" w:rsidRPr="006B0702">
        <w:rPr>
          <w:rFonts w:ascii="Arial" w:hAnsi="Arial" w:cs="Arial"/>
        </w:rPr>
        <w:t>consultation</w:t>
      </w:r>
      <w:r w:rsidR="008249AA" w:rsidRPr="006B0702">
        <w:rPr>
          <w:rFonts w:ascii="Arial" w:hAnsi="Arial" w:cs="Arial"/>
        </w:rPr>
        <w:t xml:space="preserve"> questions</w:t>
      </w:r>
      <w:r w:rsidR="00263EAD" w:rsidRPr="006B0702">
        <w:rPr>
          <w:rFonts w:ascii="Arial" w:hAnsi="Arial" w:cs="Arial"/>
        </w:rPr>
        <w:t xml:space="preserve">, but </w:t>
      </w:r>
      <w:r w:rsidR="004B715C" w:rsidRPr="006B0702">
        <w:rPr>
          <w:rFonts w:ascii="Arial" w:hAnsi="Arial" w:cs="Arial"/>
        </w:rPr>
        <w:t xml:space="preserve">will </w:t>
      </w:r>
      <w:r w:rsidR="00D55007" w:rsidRPr="006B0702">
        <w:rPr>
          <w:rFonts w:ascii="Arial" w:hAnsi="Arial" w:cs="Arial"/>
        </w:rPr>
        <w:t>provide information</w:t>
      </w:r>
      <w:r w:rsidR="004B715C" w:rsidRPr="006B0702">
        <w:rPr>
          <w:rFonts w:ascii="Arial" w:hAnsi="Arial" w:cs="Arial"/>
        </w:rPr>
        <w:t xml:space="preserve"> on two </w:t>
      </w:r>
      <w:r w:rsidR="00BF1C25" w:rsidRPr="006B0702">
        <w:rPr>
          <w:rFonts w:ascii="Arial" w:hAnsi="Arial" w:cs="Arial"/>
        </w:rPr>
        <w:t>aspects</w:t>
      </w:r>
      <w:r w:rsidR="004B715C" w:rsidRPr="006B0702">
        <w:rPr>
          <w:rFonts w:ascii="Arial" w:hAnsi="Arial" w:cs="Arial"/>
        </w:rPr>
        <w:t>:</w:t>
      </w:r>
    </w:p>
    <w:p w14:paraId="5B33F84D" w14:textId="0A6A0049" w:rsidR="004B715C" w:rsidRPr="001D4283" w:rsidRDefault="00152C02" w:rsidP="001D4283">
      <w:pPr>
        <w:pStyle w:val="Bulletedlist"/>
      </w:pPr>
      <w:r>
        <w:t xml:space="preserve">Statement of the </w:t>
      </w:r>
      <w:r w:rsidR="00DF5280">
        <w:t>p</w:t>
      </w:r>
      <w:r>
        <w:t>roblem</w:t>
      </w:r>
      <w:r w:rsidR="001D4283" w:rsidRPr="001D4283">
        <w:t xml:space="preserve"> (</w:t>
      </w:r>
      <w:r w:rsidR="0049365C">
        <w:t xml:space="preserve">referring to </w:t>
      </w:r>
      <w:r w:rsidR="001D4283" w:rsidRPr="001D4283">
        <w:t>Chapter 2)</w:t>
      </w:r>
    </w:p>
    <w:p w14:paraId="40BE0E32" w14:textId="10D940DE" w:rsidR="004B715C" w:rsidRPr="001D4283" w:rsidRDefault="004B715C" w:rsidP="001D4283">
      <w:pPr>
        <w:pStyle w:val="Bulletedlist"/>
      </w:pPr>
      <w:r w:rsidRPr="001D4283">
        <w:t>Estimating the benefits</w:t>
      </w:r>
      <w:r w:rsidR="001D4283" w:rsidRPr="001D4283">
        <w:t xml:space="preserve"> (</w:t>
      </w:r>
      <w:r w:rsidR="0049365C">
        <w:t xml:space="preserve">referring to </w:t>
      </w:r>
      <w:r w:rsidR="001D4283" w:rsidRPr="001D4283">
        <w:t>Chapter 6)</w:t>
      </w:r>
    </w:p>
    <w:p w14:paraId="5E6FD036" w14:textId="2D90CA75" w:rsidR="00A175C0" w:rsidRDefault="00EE6018" w:rsidP="00770FD0">
      <w:pPr>
        <w:pStyle w:val="Numberedparagraph"/>
        <w:numPr>
          <w:ilvl w:val="0"/>
          <w:numId w:val="17"/>
        </w:numPr>
      </w:pPr>
      <w:r>
        <w:lastRenderedPageBreak/>
        <w:t xml:space="preserve">In order to assist the </w:t>
      </w:r>
      <w:r w:rsidR="00573256">
        <w:t>Australia Building Code Board (</w:t>
      </w:r>
      <w:r w:rsidR="00573256" w:rsidRPr="00573256">
        <w:rPr>
          <w:b/>
        </w:rPr>
        <w:t>ABCB</w:t>
      </w:r>
      <w:r w:rsidR="00573256">
        <w:t>)</w:t>
      </w:r>
      <w:r>
        <w:t xml:space="preserve"> to understand and quantify the problem, </w:t>
      </w:r>
      <w:r w:rsidR="00952633">
        <w:t>this</w:t>
      </w:r>
      <w:r w:rsidR="00D33B3D">
        <w:t xml:space="preserve"> submission will</w:t>
      </w:r>
      <w:r w:rsidR="00263EAD">
        <w:t xml:space="preserve"> provide </w:t>
      </w:r>
      <w:r w:rsidR="002F5555">
        <w:t xml:space="preserve">de-identified </w:t>
      </w:r>
      <w:r w:rsidR="00263EAD">
        <w:t xml:space="preserve">case studies that serve to demonstrate </w:t>
      </w:r>
      <w:r w:rsidR="00573256">
        <w:t xml:space="preserve">to the </w:t>
      </w:r>
      <w:r w:rsidR="00263EAD" w:rsidRPr="005B0489">
        <w:t>ABCB</w:t>
      </w:r>
      <w:r w:rsidR="00263EAD">
        <w:t xml:space="preserve"> that the lack of accessible housing is a persistent a</w:t>
      </w:r>
      <w:bookmarkStart w:id="5" w:name="_GoBack"/>
      <w:bookmarkEnd w:id="5"/>
      <w:r w:rsidR="00263EAD">
        <w:t xml:space="preserve">nd enduring problem. </w:t>
      </w:r>
    </w:p>
    <w:p w14:paraId="7A54DB1B" w14:textId="26758BD3" w:rsidR="00805552" w:rsidRDefault="006245E7" w:rsidP="00805552">
      <w:pPr>
        <w:pStyle w:val="Numberedparagraph"/>
        <w:numPr>
          <w:ilvl w:val="0"/>
          <w:numId w:val="17"/>
        </w:numPr>
      </w:pPr>
      <w:r>
        <w:t xml:space="preserve">Further, </w:t>
      </w:r>
      <w:r w:rsidR="00060AEC">
        <w:t>this submission will</w:t>
      </w:r>
      <w:r w:rsidR="00263EAD">
        <w:t xml:space="preserve"> highlight the many social and economic benefits that </w:t>
      </w:r>
      <w:r w:rsidR="00104710">
        <w:t>would result</w:t>
      </w:r>
      <w:r w:rsidR="00263EAD">
        <w:t xml:space="preserve"> from taking a new approach to accessible housing in Australia.</w:t>
      </w:r>
    </w:p>
    <w:p w14:paraId="4211624A" w14:textId="42E37C20" w:rsidR="00805552" w:rsidRPr="009C0D81" w:rsidRDefault="00805552" w:rsidP="009C0D81">
      <w:pPr>
        <w:pStyle w:val="Heading2"/>
      </w:pPr>
      <w:bookmarkStart w:id="6" w:name="_Toc49173344"/>
      <w:r>
        <w:t>Australia’s human rights obligations</w:t>
      </w:r>
      <w:bookmarkEnd w:id="6"/>
    </w:p>
    <w:p w14:paraId="043A3E0A" w14:textId="26585A9C" w:rsidR="005A3377" w:rsidRDefault="005A3377" w:rsidP="009C0D81">
      <w:pPr>
        <w:pStyle w:val="ListParagraph"/>
        <w:numPr>
          <w:ilvl w:val="0"/>
          <w:numId w:val="17"/>
        </w:numPr>
        <w:rPr>
          <w:rFonts w:ascii="Arial" w:hAnsi="Arial" w:cs="Arial"/>
        </w:rPr>
      </w:pPr>
      <w:r>
        <w:rPr>
          <w:rFonts w:ascii="Arial" w:hAnsi="Arial" w:cs="Arial"/>
        </w:rPr>
        <w:t xml:space="preserve">The </w:t>
      </w:r>
      <w:r w:rsidRPr="00D067E9">
        <w:rPr>
          <w:rFonts w:ascii="Arial" w:hAnsi="Arial" w:cs="Arial"/>
          <w:i/>
        </w:rPr>
        <w:t xml:space="preserve">International Covenant on Economic, </w:t>
      </w:r>
      <w:r w:rsidR="00D067E9">
        <w:rPr>
          <w:rFonts w:ascii="Arial" w:hAnsi="Arial" w:cs="Arial"/>
          <w:i/>
        </w:rPr>
        <w:t>Social</w:t>
      </w:r>
      <w:r w:rsidRPr="00D067E9">
        <w:rPr>
          <w:rFonts w:ascii="Arial" w:hAnsi="Arial" w:cs="Arial"/>
          <w:i/>
        </w:rPr>
        <w:t xml:space="preserve"> and </w:t>
      </w:r>
      <w:r w:rsidR="00D067E9">
        <w:rPr>
          <w:rFonts w:ascii="Arial" w:hAnsi="Arial" w:cs="Arial"/>
          <w:i/>
        </w:rPr>
        <w:t>Cultural</w:t>
      </w:r>
      <w:r w:rsidRPr="00D067E9">
        <w:rPr>
          <w:rFonts w:ascii="Arial" w:hAnsi="Arial" w:cs="Arial"/>
          <w:i/>
        </w:rPr>
        <w:t xml:space="preserve"> Rights</w:t>
      </w:r>
      <w:r w:rsidR="003E5310">
        <w:rPr>
          <w:rFonts w:ascii="Arial" w:hAnsi="Arial" w:cs="Arial"/>
        </w:rPr>
        <w:t>,</w:t>
      </w:r>
      <w:r>
        <w:rPr>
          <w:rFonts w:ascii="Arial" w:hAnsi="Arial" w:cs="Arial"/>
        </w:rPr>
        <w:t xml:space="preserve"> </w:t>
      </w:r>
      <w:r w:rsidR="00F83AB8">
        <w:rPr>
          <w:rFonts w:ascii="Arial" w:hAnsi="Arial" w:cs="Arial"/>
        </w:rPr>
        <w:t>to which Australia is a signatory</w:t>
      </w:r>
      <w:r w:rsidR="003E5310">
        <w:rPr>
          <w:rFonts w:ascii="Arial" w:hAnsi="Arial" w:cs="Arial"/>
        </w:rPr>
        <w:t>,</w:t>
      </w:r>
      <w:r w:rsidR="00F83AB8">
        <w:rPr>
          <w:rFonts w:ascii="Arial" w:hAnsi="Arial" w:cs="Arial"/>
        </w:rPr>
        <w:t xml:space="preserve"> </w:t>
      </w:r>
      <w:r>
        <w:rPr>
          <w:rFonts w:ascii="Arial" w:hAnsi="Arial" w:cs="Arial"/>
        </w:rPr>
        <w:t xml:space="preserve">contains the </w:t>
      </w:r>
      <w:r w:rsidR="003E724D">
        <w:rPr>
          <w:rFonts w:ascii="Arial" w:hAnsi="Arial" w:cs="Arial"/>
        </w:rPr>
        <w:t>right to an adequate standard of living</w:t>
      </w:r>
      <w:r w:rsidR="003E5310">
        <w:rPr>
          <w:rFonts w:ascii="Arial" w:hAnsi="Arial" w:cs="Arial"/>
        </w:rPr>
        <w:t>.</w:t>
      </w:r>
      <w:r w:rsidR="00723DD7">
        <w:rPr>
          <w:rStyle w:val="FootnoteReference"/>
          <w:rFonts w:ascii="Arial" w:hAnsi="Arial" w:cs="Arial"/>
        </w:rPr>
        <w:footnoteReference w:id="2"/>
      </w:r>
      <w:r w:rsidR="003E5310">
        <w:rPr>
          <w:rFonts w:ascii="Arial" w:hAnsi="Arial" w:cs="Arial"/>
        </w:rPr>
        <w:t xml:space="preserve"> As this right is for every person</w:t>
      </w:r>
      <w:r w:rsidR="00C37CF0">
        <w:rPr>
          <w:rFonts w:ascii="Arial" w:hAnsi="Arial" w:cs="Arial"/>
        </w:rPr>
        <w:t xml:space="preserve"> </w:t>
      </w:r>
      <w:r w:rsidR="005B5694">
        <w:rPr>
          <w:rFonts w:ascii="Arial" w:hAnsi="Arial" w:cs="Arial"/>
        </w:rPr>
        <w:t xml:space="preserve">to enjoy </w:t>
      </w:r>
      <w:r w:rsidR="00C37CF0">
        <w:rPr>
          <w:rFonts w:ascii="Arial" w:hAnsi="Arial" w:cs="Arial"/>
        </w:rPr>
        <w:t>without discrimination</w:t>
      </w:r>
      <w:r w:rsidR="003E5310">
        <w:rPr>
          <w:rFonts w:ascii="Arial" w:hAnsi="Arial" w:cs="Arial"/>
        </w:rPr>
        <w:t>,</w:t>
      </w:r>
      <w:r w:rsidR="00284F1D">
        <w:rPr>
          <w:rStyle w:val="FootnoteReference"/>
          <w:rFonts w:ascii="Arial" w:hAnsi="Arial" w:cs="Arial"/>
        </w:rPr>
        <w:footnoteReference w:id="3"/>
      </w:r>
      <w:r w:rsidR="003E5310">
        <w:rPr>
          <w:rFonts w:ascii="Arial" w:hAnsi="Arial" w:cs="Arial"/>
        </w:rPr>
        <w:t xml:space="preserve"> this</w:t>
      </w:r>
      <w:r w:rsidR="003E724D">
        <w:rPr>
          <w:rFonts w:ascii="Arial" w:hAnsi="Arial" w:cs="Arial"/>
        </w:rPr>
        <w:t xml:space="preserve"> requires state parties </w:t>
      </w:r>
      <w:r w:rsidR="00692AA5">
        <w:rPr>
          <w:rFonts w:ascii="Arial" w:hAnsi="Arial" w:cs="Arial"/>
        </w:rPr>
        <w:t>to give particular consideration to the living standards of disadvantaged groups including</w:t>
      </w:r>
      <w:r w:rsidR="003E724D">
        <w:rPr>
          <w:rFonts w:ascii="Arial" w:hAnsi="Arial" w:cs="Arial"/>
        </w:rPr>
        <w:t xml:space="preserve"> people with disabilities</w:t>
      </w:r>
      <w:r w:rsidR="00692AA5">
        <w:rPr>
          <w:rFonts w:ascii="Arial" w:hAnsi="Arial" w:cs="Arial"/>
        </w:rPr>
        <w:t xml:space="preserve"> and older people.</w:t>
      </w:r>
    </w:p>
    <w:p w14:paraId="15873983" w14:textId="77777777" w:rsidR="003E724D" w:rsidRDefault="003E724D" w:rsidP="003E724D">
      <w:pPr>
        <w:pStyle w:val="ListParagraph"/>
        <w:rPr>
          <w:rFonts w:ascii="Arial" w:hAnsi="Arial" w:cs="Arial"/>
        </w:rPr>
      </w:pPr>
    </w:p>
    <w:p w14:paraId="2FF47FB5" w14:textId="13F04957" w:rsidR="00805552" w:rsidRDefault="00805552" w:rsidP="009C0D81">
      <w:pPr>
        <w:pStyle w:val="ListParagraph"/>
        <w:numPr>
          <w:ilvl w:val="0"/>
          <w:numId w:val="17"/>
        </w:numPr>
        <w:rPr>
          <w:rFonts w:ascii="Arial" w:hAnsi="Arial" w:cs="Arial"/>
        </w:rPr>
      </w:pPr>
      <w:r>
        <w:rPr>
          <w:rFonts w:ascii="Arial" w:hAnsi="Arial" w:cs="Arial"/>
        </w:rPr>
        <w:t>The Committee on the Rights of Persons with a Disability (</w:t>
      </w:r>
      <w:r w:rsidRPr="00653A09">
        <w:rPr>
          <w:rFonts w:ascii="Arial" w:hAnsi="Arial" w:cs="Arial"/>
          <w:b/>
        </w:rPr>
        <w:t>the Committee</w:t>
      </w:r>
      <w:r>
        <w:rPr>
          <w:rFonts w:ascii="Arial" w:hAnsi="Arial" w:cs="Arial"/>
        </w:rPr>
        <w:t>) has stated:</w:t>
      </w:r>
    </w:p>
    <w:p w14:paraId="51D41FE4" w14:textId="77777777" w:rsidR="00805552" w:rsidRDefault="00805552" w:rsidP="00805552">
      <w:pPr>
        <w:pStyle w:val="ListParagraph"/>
        <w:rPr>
          <w:rFonts w:ascii="Arial" w:hAnsi="Arial" w:cs="Arial"/>
        </w:rPr>
      </w:pPr>
    </w:p>
    <w:p w14:paraId="51D83F33" w14:textId="77777777" w:rsidR="00805552" w:rsidRPr="00B501C0" w:rsidRDefault="00805552" w:rsidP="00805552">
      <w:pPr>
        <w:pStyle w:val="ListParagraph"/>
        <w:ind w:left="1440"/>
        <w:rPr>
          <w:rFonts w:ascii="Arial" w:hAnsi="Arial" w:cs="Arial"/>
          <w:sz w:val="22"/>
        </w:rPr>
      </w:pPr>
      <w:r w:rsidRPr="00B501C0">
        <w:rPr>
          <w:rFonts w:ascii="Arial" w:hAnsi="Arial" w:cs="Arial"/>
          <w:sz w:val="22"/>
        </w:rPr>
        <w:t>Accessibility is a pre-condition for persons with disabilities to live independently and participate fully and equally in society.</w:t>
      </w:r>
      <w:r w:rsidRPr="00B501C0">
        <w:rPr>
          <w:rStyle w:val="FootnoteReference"/>
          <w:rFonts w:ascii="Arial" w:hAnsi="Arial" w:cs="Arial"/>
          <w:sz w:val="22"/>
        </w:rPr>
        <w:footnoteReference w:id="4"/>
      </w:r>
    </w:p>
    <w:p w14:paraId="6FFD6B67" w14:textId="77777777" w:rsidR="00805552" w:rsidRDefault="00805552" w:rsidP="00805552">
      <w:pPr>
        <w:pStyle w:val="ListParagraph"/>
        <w:rPr>
          <w:rFonts w:ascii="Arial" w:hAnsi="Arial" w:cs="Arial"/>
        </w:rPr>
      </w:pPr>
      <w:r>
        <w:rPr>
          <w:rFonts w:ascii="Arial" w:hAnsi="Arial" w:cs="Arial"/>
        </w:rPr>
        <w:t xml:space="preserve"> </w:t>
      </w:r>
    </w:p>
    <w:p w14:paraId="680E537D" w14:textId="6920668B" w:rsidR="00805552" w:rsidRPr="00C26BC8" w:rsidRDefault="00F83AB8" w:rsidP="009C0D81">
      <w:pPr>
        <w:pStyle w:val="ListParagraph"/>
        <w:numPr>
          <w:ilvl w:val="0"/>
          <w:numId w:val="17"/>
        </w:numPr>
        <w:rPr>
          <w:rFonts w:ascii="Arial" w:hAnsi="Arial" w:cs="Arial"/>
        </w:rPr>
      </w:pPr>
      <w:r>
        <w:rPr>
          <w:rFonts w:ascii="Arial" w:hAnsi="Arial" w:cs="Arial"/>
        </w:rPr>
        <w:t>Under the</w:t>
      </w:r>
      <w:r w:rsidR="00805552" w:rsidRPr="00C26BC8">
        <w:rPr>
          <w:rFonts w:ascii="Arial" w:hAnsi="Arial" w:cs="Arial"/>
        </w:rPr>
        <w:t xml:space="preserve"> </w:t>
      </w:r>
      <w:r w:rsidR="00805552" w:rsidRPr="00C26BC8">
        <w:rPr>
          <w:rFonts w:ascii="Arial" w:hAnsi="Arial" w:cs="Arial"/>
          <w:i/>
        </w:rPr>
        <w:t xml:space="preserve">UN Convention on the Rights of Persons with Disabilities </w:t>
      </w:r>
      <w:r w:rsidR="00805552" w:rsidRPr="00C26BC8">
        <w:rPr>
          <w:rFonts w:ascii="Arial" w:hAnsi="Arial" w:cs="Arial"/>
        </w:rPr>
        <w:t>(</w:t>
      </w:r>
      <w:r w:rsidR="00805552" w:rsidRPr="00C26BC8">
        <w:rPr>
          <w:rFonts w:ascii="Arial" w:hAnsi="Arial" w:cs="Arial"/>
          <w:b/>
        </w:rPr>
        <w:t>the Convention</w:t>
      </w:r>
      <w:r w:rsidR="00805552" w:rsidRPr="00C26BC8">
        <w:rPr>
          <w:rFonts w:ascii="Arial" w:hAnsi="Arial" w:cs="Arial"/>
        </w:rPr>
        <w:t>) Australia has an obligation to protect, promote</w:t>
      </w:r>
      <w:r w:rsidR="00805552">
        <w:rPr>
          <w:rFonts w:ascii="Arial" w:hAnsi="Arial" w:cs="Arial"/>
        </w:rPr>
        <w:t>,</w:t>
      </w:r>
      <w:r w:rsidR="00805552" w:rsidRPr="00C26BC8">
        <w:rPr>
          <w:rFonts w:ascii="Arial" w:hAnsi="Arial" w:cs="Arial"/>
        </w:rPr>
        <w:t xml:space="preserve"> and uphold the rights of people with disabilities. In the Commission’s view, embedding minimum accessibility standards for housing in the </w:t>
      </w:r>
      <w:r w:rsidR="00805552" w:rsidRPr="00B501C0">
        <w:rPr>
          <w:rFonts w:ascii="Arial" w:hAnsi="Arial" w:cs="Arial"/>
          <w:i/>
        </w:rPr>
        <w:t>National Construction Code</w:t>
      </w:r>
      <w:r w:rsidR="00805552" w:rsidRPr="00C26BC8">
        <w:rPr>
          <w:rFonts w:ascii="Arial" w:hAnsi="Arial" w:cs="Arial"/>
        </w:rPr>
        <w:t xml:space="preserve"> is an important step towards meeting Australia’s obligations.</w:t>
      </w:r>
    </w:p>
    <w:p w14:paraId="08A5D308" w14:textId="77777777" w:rsidR="00805552" w:rsidRDefault="00805552" w:rsidP="00805552">
      <w:pPr>
        <w:pStyle w:val="ListParagraph"/>
        <w:spacing w:after="160" w:line="259" w:lineRule="auto"/>
        <w:rPr>
          <w:rFonts w:ascii="Arial" w:hAnsi="Arial" w:cs="Arial"/>
        </w:rPr>
      </w:pPr>
    </w:p>
    <w:p w14:paraId="5C9D8D9B" w14:textId="12A2C5B4" w:rsidR="00805552" w:rsidRPr="006524D9" w:rsidRDefault="00805552" w:rsidP="009C0D81">
      <w:pPr>
        <w:pStyle w:val="ListParagraph"/>
        <w:numPr>
          <w:ilvl w:val="0"/>
          <w:numId w:val="17"/>
        </w:numPr>
        <w:spacing w:after="160" w:line="259" w:lineRule="auto"/>
        <w:rPr>
          <w:rFonts w:ascii="Arial" w:hAnsi="Arial" w:cs="Arial"/>
        </w:rPr>
      </w:pPr>
      <w:r>
        <w:rPr>
          <w:rFonts w:ascii="Arial" w:hAnsi="Arial" w:cs="Arial"/>
        </w:rPr>
        <w:t xml:space="preserve">The </w:t>
      </w:r>
      <w:r w:rsidRPr="00B501C0">
        <w:rPr>
          <w:rFonts w:ascii="Arial" w:hAnsi="Arial" w:cs="Arial"/>
          <w:i/>
        </w:rPr>
        <w:t>Convention</w:t>
      </w:r>
      <w:r>
        <w:rPr>
          <w:rFonts w:ascii="Arial" w:hAnsi="Arial" w:cs="Arial"/>
        </w:rPr>
        <w:t xml:space="preserve"> requires Australia to take appropriate measures to enable persons with disabilities to live independently and participate fully in all aspects of life. Australia must identify and eliminate obstacles and barriers to accessibility to achieve access ‘on an equal basis with others’.</w:t>
      </w:r>
      <w:r>
        <w:rPr>
          <w:rStyle w:val="FootnoteReference"/>
          <w:rFonts w:ascii="Arial" w:hAnsi="Arial" w:cs="Arial"/>
        </w:rPr>
        <w:footnoteReference w:id="5"/>
      </w:r>
    </w:p>
    <w:p w14:paraId="234E59E3" w14:textId="77777777" w:rsidR="00805552" w:rsidRPr="00904138" w:rsidRDefault="00805552" w:rsidP="00805552">
      <w:pPr>
        <w:pStyle w:val="ListParagraph"/>
        <w:rPr>
          <w:rFonts w:ascii="Arial" w:hAnsi="Arial" w:cs="Arial"/>
        </w:rPr>
      </w:pPr>
    </w:p>
    <w:p w14:paraId="45527591" w14:textId="77777777" w:rsidR="00A94FDE" w:rsidRDefault="00805552" w:rsidP="009C0D81">
      <w:pPr>
        <w:pStyle w:val="ListParagraph"/>
        <w:numPr>
          <w:ilvl w:val="0"/>
          <w:numId w:val="17"/>
        </w:numPr>
        <w:spacing w:after="160" w:line="259" w:lineRule="auto"/>
        <w:rPr>
          <w:rFonts w:ascii="Arial" w:hAnsi="Arial" w:cs="Arial"/>
        </w:rPr>
      </w:pPr>
      <w:r>
        <w:rPr>
          <w:rFonts w:ascii="Arial" w:hAnsi="Arial" w:cs="Arial"/>
        </w:rPr>
        <w:t xml:space="preserve">In their </w:t>
      </w:r>
      <w:r w:rsidR="00265BE2">
        <w:rPr>
          <w:rFonts w:ascii="Arial" w:hAnsi="Arial" w:cs="Arial"/>
        </w:rPr>
        <w:t>recent</w:t>
      </w:r>
      <w:r>
        <w:rPr>
          <w:rFonts w:ascii="Arial" w:hAnsi="Arial" w:cs="Arial"/>
        </w:rPr>
        <w:t xml:space="preserve"> </w:t>
      </w:r>
      <w:r w:rsidRPr="00B501C0">
        <w:rPr>
          <w:rFonts w:ascii="Arial" w:hAnsi="Arial" w:cs="Arial"/>
          <w:i/>
        </w:rPr>
        <w:t>Concluding observations on the combined second and third periodic reports of Australia</w:t>
      </w:r>
      <w:r>
        <w:rPr>
          <w:rFonts w:ascii="Arial" w:hAnsi="Arial" w:cs="Arial"/>
        </w:rPr>
        <w:t xml:space="preserve">, the Committee on the Rights of </w:t>
      </w:r>
    </w:p>
    <w:p w14:paraId="340340E4" w14:textId="77777777" w:rsidR="00A94FDE" w:rsidRDefault="00A94FDE">
      <w:pPr>
        <w:rPr>
          <w:rFonts w:ascii="Arial" w:hAnsi="Arial" w:cs="Arial"/>
        </w:rPr>
      </w:pPr>
      <w:r>
        <w:rPr>
          <w:rFonts w:ascii="Arial" w:hAnsi="Arial" w:cs="Arial"/>
        </w:rPr>
        <w:br w:type="page"/>
      </w:r>
    </w:p>
    <w:p w14:paraId="0FDB267F" w14:textId="0775246E" w:rsidR="00805552" w:rsidRDefault="00805552" w:rsidP="00A94FDE">
      <w:pPr>
        <w:pStyle w:val="ListParagraph"/>
        <w:spacing w:after="160" w:line="259" w:lineRule="auto"/>
        <w:rPr>
          <w:rFonts w:ascii="Arial" w:hAnsi="Arial" w:cs="Arial"/>
        </w:rPr>
      </w:pPr>
      <w:r>
        <w:rPr>
          <w:rFonts w:ascii="Arial" w:hAnsi="Arial" w:cs="Arial"/>
        </w:rPr>
        <w:lastRenderedPageBreak/>
        <w:t>Persons with Disabilities specifically recommend that Australia:</w:t>
      </w:r>
    </w:p>
    <w:p w14:paraId="65607F1F" w14:textId="77777777" w:rsidR="00805552" w:rsidRPr="00904138" w:rsidRDefault="00805552" w:rsidP="00805552">
      <w:pPr>
        <w:pStyle w:val="ListParagraph"/>
        <w:rPr>
          <w:rFonts w:ascii="Arial" w:hAnsi="Arial" w:cs="Arial"/>
          <w:i/>
        </w:rPr>
      </w:pPr>
    </w:p>
    <w:p w14:paraId="41F9AFD0" w14:textId="77777777" w:rsidR="00805552" w:rsidRPr="00B501C0" w:rsidRDefault="00805552" w:rsidP="00805552">
      <w:pPr>
        <w:pStyle w:val="ListParagraph"/>
        <w:spacing w:after="160" w:line="259" w:lineRule="auto"/>
        <w:ind w:left="1440"/>
        <w:rPr>
          <w:rFonts w:ascii="Arial" w:hAnsi="Arial" w:cs="Arial"/>
          <w:sz w:val="22"/>
        </w:rPr>
      </w:pPr>
      <w:r w:rsidRPr="00B501C0">
        <w:rPr>
          <w:rFonts w:ascii="Arial" w:hAnsi="Arial" w:cs="Arial"/>
          <w:sz w:val="22"/>
        </w:rPr>
        <w:t>Amend the Federal law with mandatory rules on access for all new and extensively modified housing.</w:t>
      </w:r>
      <w:r w:rsidRPr="00B501C0">
        <w:rPr>
          <w:rStyle w:val="FootnoteReference"/>
          <w:rFonts w:ascii="Arial" w:hAnsi="Arial" w:cs="Arial"/>
          <w:sz w:val="22"/>
        </w:rPr>
        <w:footnoteReference w:id="6"/>
      </w:r>
    </w:p>
    <w:p w14:paraId="22DA9974" w14:textId="77777777" w:rsidR="00805552" w:rsidRPr="00C26BC8" w:rsidRDefault="00805552" w:rsidP="00805552">
      <w:pPr>
        <w:pStyle w:val="ListParagraph"/>
        <w:rPr>
          <w:rFonts w:ascii="Arial" w:hAnsi="Arial" w:cs="Arial"/>
        </w:rPr>
      </w:pPr>
    </w:p>
    <w:p w14:paraId="55AD0B37" w14:textId="69E0EE2B" w:rsidR="00805552" w:rsidRDefault="00805552" w:rsidP="005A3377">
      <w:pPr>
        <w:pStyle w:val="ListParagraph"/>
        <w:numPr>
          <w:ilvl w:val="0"/>
          <w:numId w:val="17"/>
        </w:numPr>
        <w:spacing w:after="160" w:line="259" w:lineRule="auto"/>
        <w:rPr>
          <w:rFonts w:ascii="Arial" w:hAnsi="Arial" w:cs="Arial"/>
        </w:rPr>
      </w:pPr>
      <w:r>
        <w:rPr>
          <w:rFonts w:ascii="Arial" w:hAnsi="Arial" w:cs="Arial"/>
        </w:rPr>
        <w:t>Housing is not equally available to everyone. People with disabilities and older people, in particular, find that they have a limited say in where and how they live. Ensuring minimum standards in the NCC will go some way towards removing barriers to accessibility and achieving a fairer and more equitable housing market.</w:t>
      </w:r>
    </w:p>
    <w:p w14:paraId="1A7EAB7B" w14:textId="77777777" w:rsidR="005A3377" w:rsidRPr="005A3377" w:rsidRDefault="005A3377" w:rsidP="005A3377">
      <w:pPr>
        <w:pStyle w:val="ListParagraph"/>
        <w:spacing w:after="160" w:line="259" w:lineRule="auto"/>
        <w:rPr>
          <w:rFonts w:ascii="Arial" w:hAnsi="Arial" w:cs="Arial"/>
        </w:rPr>
      </w:pPr>
    </w:p>
    <w:p w14:paraId="6A941073" w14:textId="4A1B7F20" w:rsidR="00805552" w:rsidRDefault="00805552" w:rsidP="009C0D81">
      <w:pPr>
        <w:pStyle w:val="ListParagraph"/>
        <w:numPr>
          <w:ilvl w:val="0"/>
          <w:numId w:val="17"/>
        </w:numPr>
        <w:spacing w:after="160" w:line="259" w:lineRule="auto"/>
        <w:rPr>
          <w:rFonts w:ascii="Arial" w:hAnsi="Arial" w:cs="Arial"/>
        </w:rPr>
      </w:pPr>
      <w:r>
        <w:rPr>
          <w:rFonts w:ascii="Arial" w:hAnsi="Arial" w:cs="Arial"/>
        </w:rPr>
        <w:t>In Queensland, public housing providers have obligations under the HR Act. The right to equality before the law includes protection from unequal treatment and discrimination.</w:t>
      </w:r>
      <w:r>
        <w:rPr>
          <w:rStyle w:val="FootnoteReference"/>
          <w:rFonts w:ascii="Arial" w:hAnsi="Arial" w:cs="Arial"/>
        </w:rPr>
        <w:footnoteReference w:id="7"/>
      </w:r>
      <w:r>
        <w:rPr>
          <w:rFonts w:ascii="Arial" w:hAnsi="Arial" w:cs="Arial"/>
        </w:rPr>
        <w:t xml:space="preserve"> In addition to this right, the right to privacy under the HR Act protects a </w:t>
      </w:r>
      <w:r w:rsidR="00D067E9">
        <w:rPr>
          <w:rFonts w:ascii="Arial" w:hAnsi="Arial" w:cs="Arial"/>
        </w:rPr>
        <w:t>person from arbitrary interference with their</w:t>
      </w:r>
      <w:r>
        <w:rPr>
          <w:rFonts w:ascii="Arial" w:hAnsi="Arial" w:cs="Arial"/>
        </w:rPr>
        <w:t xml:space="preserve"> home.</w:t>
      </w:r>
      <w:r>
        <w:rPr>
          <w:rStyle w:val="FootnoteReference"/>
          <w:rFonts w:ascii="Arial" w:hAnsi="Arial" w:cs="Arial"/>
        </w:rPr>
        <w:footnoteReference w:id="8"/>
      </w:r>
      <w:r w:rsidR="004B012A">
        <w:rPr>
          <w:rFonts w:ascii="Arial" w:hAnsi="Arial" w:cs="Arial"/>
        </w:rPr>
        <w:t xml:space="preserve"> The</w:t>
      </w:r>
      <w:r>
        <w:rPr>
          <w:rFonts w:ascii="Arial" w:hAnsi="Arial" w:cs="Arial"/>
        </w:rPr>
        <w:t xml:space="preserve"> demand for accessible social housing is even greater than in other sectors, because significant numbers of tenants are older, have a disability, or have family members who require accessible features.</w:t>
      </w:r>
    </w:p>
    <w:p w14:paraId="4D47F2F4" w14:textId="77777777" w:rsidR="00805552" w:rsidRPr="00536031" w:rsidRDefault="00805552" w:rsidP="00805552">
      <w:pPr>
        <w:pStyle w:val="ListParagraph"/>
        <w:rPr>
          <w:rFonts w:ascii="Arial" w:hAnsi="Arial" w:cs="Arial"/>
        </w:rPr>
      </w:pPr>
    </w:p>
    <w:p w14:paraId="0681F699" w14:textId="2AD7BDE4" w:rsidR="00805552" w:rsidRPr="00805552" w:rsidRDefault="00805552" w:rsidP="009C0D81">
      <w:pPr>
        <w:pStyle w:val="ListParagraph"/>
        <w:numPr>
          <w:ilvl w:val="0"/>
          <w:numId w:val="17"/>
        </w:numPr>
        <w:spacing w:after="160" w:line="259" w:lineRule="auto"/>
        <w:rPr>
          <w:rFonts w:ascii="Arial" w:hAnsi="Arial" w:cs="Arial"/>
        </w:rPr>
      </w:pPr>
      <w:r>
        <w:rPr>
          <w:rFonts w:ascii="Arial" w:hAnsi="Arial" w:cs="Arial"/>
        </w:rPr>
        <w:t>Overall, the</w:t>
      </w:r>
      <w:r w:rsidRPr="00F31F1F">
        <w:rPr>
          <w:rFonts w:ascii="Arial" w:hAnsi="Arial" w:cs="Arial"/>
        </w:rPr>
        <w:t xml:space="preserve"> approach that is consistent with Australia’s human rights obligations is to take strong and active steps to</w:t>
      </w:r>
      <w:r>
        <w:rPr>
          <w:rFonts w:ascii="Arial" w:hAnsi="Arial" w:cs="Arial"/>
        </w:rPr>
        <w:t xml:space="preserve"> remove structural barriers to housing to </w:t>
      </w:r>
      <w:r w:rsidRPr="00F31F1F">
        <w:rPr>
          <w:rFonts w:ascii="Arial" w:hAnsi="Arial" w:cs="Arial"/>
        </w:rPr>
        <w:t>ensure that no one gets left behind.</w:t>
      </w:r>
    </w:p>
    <w:p w14:paraId="10DFC3E0" w14:textId="7D099472" w:rsidR="00EB259A" w:rsidRDefault="00C4047E" w:rsidP="00EB259A">
      <w:pPr>
        <w:pStyle w:val="Heading2"/>
      </w:pPr>
      <w:bookmarkStart w:id="7" w:name="_Toc49173345"/>
      <w:r>
        <w:t xml:space="preserve">Statement of the problem: </w:t>
      </w:r>
      <w:r w:rsidR="00E83BD8">
        <w:t>A growing demand, an unsustainable supply</w:t>
      </w:r>
      <w:bookmarkEnd w:id="7"/>
    </w:p>
    <w:p w14:paraId="736A237E" w14:textId="2E10547A" w:rsidR="00EB259A" w:rsidRPr="008062B4" w:rsidRDefault="00EB259A" w:rsidP="009C0D81">
      <w:pPr>
        <w:pStyle w:val="Numberedparagraph"/>
        <w:numPr>
          <w:ilvl w:val="0"/>
          <w:numId w:val="17"/>
        </w:numPr>
        <w:rPr>
          <w:sz w:val="22"/>
          <w:szCs w:val="22"/>
        </w:rPr>
      </w:pPr>
      <w:r>
        <w:t xml:space="preserve">The RIS recognises that </w:t>
      </w:r>
      <w:r w:rsidR="00761A2D">
        <w:t>‘</w:t>
      </w:r>
      <w:r>
        <w:t>people with disability and older Australians have trouble finding housing that meets their needs.</w:t>
      </w:r>
      <w:r w:rsidR="00761A2D">
        <w:t>’</w:t>
      </w:r>
      <w:r w:rsidRPr="00F73635">
        <w:rPr>
          <w:rStyle w:val="FootnoteReference"/>
        </w:rPr>
        <w:t xml:space="preserve"> </w:t>
      </w:r>
      <w:r>
        <w:rPr>
          <w:rStyle w:val="FootnoteReference"/>
        </w:rPr>
        <w:footnoteReference w:id="9"/>
      </w:r>
      <w:r>
        <w:t xml:space="preserve"> </w:t>
      </w:r>
      <w:r w:rsidR="00761A2D">
        <w:t xml:space="preserve">People </w:t>
      </w:r>
      <w:r>
        <w:t xml:space="preserve">affected by inaccessible housing are a large cohort whose numbers are rapidly increasing. </w:t>
      </w:r>
    </w:p>
    <w:p w14:paraId="49E07EAD" w14:textId="6A746ED4" w:rsidR="00EB259A" w:rsidRPr="00424752" w:rsidRDefault="00EB259A" w:rsidP="009C0D81">
      <w:pPr>
        <w:pStyle w:val="Numberedparagraph"/>
        <w:numPr>
          <w:ilvl w:val="0"/>
          <w:numId w:val="17"/>
        </w:numPr>
        <w:rPr>
          <w:sz w:val="22"/>
          <w:szCs w:val="22"/>
        </w:rPr>
      </w:pPr>
      <w:r>
        <w:t xml:space="preserve">An estimated </w:t>
      </w:r>
      <w:r w:rsidRPr="00E63933">
        <w:t>2.9 million Australians have a mobility-related disability</w:t>
      </w:r>
      <w:r>
        <w:t>.</w:t>
      </w:r>
      <w:r>
        <w:rPr>
          <w:rStyle w:val="FootnoteReference"/>
        </w:rPr>
        <w:footnoteReference w:id="10"/>
      </w:r>
      <w:r>
        <w:t xml:space="preserve"> In 2009, a report commissioned by the Australian Government urged immediate action because of the predicted rapid increase of the </w:t>
      </w:r>
      <w:r w:rsidR="00E63933">
        <w:t xml:space="preserve">proportion of the </w:t>
      </w:r>
      <w:r>
        <w:t>population with disability.</w:t>
      </w:r>
      <w:r>
        <w:rPr>
          <w:rStyle w:val="FootnoteReference"/>
        </w:rPr>
        <w:footnoteReference w:id="11"/>
      </w:r>
      <w:r>
        <w:t xml:space="preserve"> </w:t>
      </w:r>
      <w:r w:rsidR="00E63933">
        <w:t>A</w:t>
      </w:r>
      <w:r>
        <w:t xml:space="preserve"> three-fold increase in </w:t>
      </w:r>
      <w:r>
        <w:lastRenderedPageBreak/>
        <w:t xml:space="preserve">Australians with severe/profound core activity limitation </w:t>
      </w:r>
      <w:r w:rsidR="00E63933">
        <w:t>has been projected</w:t>
      </w:r>
      <w:r w:rsidR="006E082A">
        <w:t xml:space="preserve"> by 2099</w:t>
      </w:r>
      <w:r>
        <w:t>.</w:t>
      </w:r>
      <w:r>
        <w:rPr>
          <w:rStyle w:val="FootnoteReference"/>
        </w:rPr>
        <w:footnoteReference w:id="12"/>
      </w:r>
    </w:p>
    <w:p w14:paraId="44688DE3" w14:textId="6719F79A" w:rsidR="00EB259A" w:rsidRPr="00E7199B" w:rsidRDefault="00EB259A" w:rsidP="009C0D81">
      <w:pPr>
        <w:pStyle w:val="Numberedparagraph"/>
        <w:numPr>
          <w:ilvl w:val="0"/>
          <w:numId w:val="17"/>
        </w:numPr>
        <w:rPr>
          <w:sz w:val="22"/>
          <w:szCs w:val="22"/>
        </w:rPr>
      </w:pPr>
      <w:r>
        <w:t xml:space="preserve">The Australian population is ageing, with around 16% </w:t>
      </w:r>
      <w:r w:rsidR="006E082A">
        <w:t xml:space="preserve">of people </w:t>
      </w:r>
      <w:r>
        <w:t xml:space="preserve">aged 65 years and </w:t>
      </w:r>
      <w:r w:rsidR="006E082A">
        <w:t>over</w:t>
      </w:r>
      <w:r>
        <w:t xml:space="preserve">, in contrast with only 12% in this age bracket 20 years ago. This </w:t>
      </w:r>
      <w:r w:rsidR="008238D0">
        <w:t>proportion</w:t>
      </w:r>
      <w:r w:rsidR="006E082A">
        <w:t xml:space="preserve"> will </w:t>
      </w:r>
      <w:r>
        <w:t>increase even more</w:t>
      </w:r>
      <w:r w:rsidR="006E082A">
        <w:t>,</w:t>
      </w:r>
      <w:r>
        <w:t xml:space="preserve"> as further cohorts of ‘baby boomers’ (those born 1946-64) turn 65 in the </w:t>
      </w:r>
      <w:r w:rsidR="001C5880">
        <w:t>coming</w:t>
      </w:r>
      <w:r>
        <w:t xml:space="preserve"> years.</w:t>
      </w:r>
      <w:r>
        <w:rPr>
          <w:rStyle w:val="FootnoteReference"/>
        </w:rPr>
        <w:footnoteReference w:id="13"/>
      </w:r>
      <w:r>
        <w:t xml:space="preserve"> </w:t>
      </w:r>
    </w:p>
    <w:p w14:paraId="7A180B89" w14:textId="7E4234DA" w:rsidR="00EB259A" w:rsidRDefault="001C5880" w:rsidP="009C0D81">
      <w:pPr>
        <w:pStyle w:val="ListParagraph"/>
        <w:numPr>
          <w:ilvl w:val="0"/>
          <w:numId w:val="17"/>
        </w:numPr>
        <w:spacing w:after="160" w:line="259" w:lineRule="auto"/>
        <w:rPr>
          <w:rFonts w:ascii="Arial" w:hAnsi="Arial" w:cs="Arial"/>
        </w:rPr>
      </w:pPr>
      <w:r>
        <w:rPr>
          <w:rFonts w:ascii="Arial" w:hAnsi="Arial" w:cs="Arial"/>
        </w:rPr>
        <w:t>The RIS predicts that only</w:t>
      </w:r>
      <w:r w:rsidR="00EB259A">
        <w:rPr>
          <w:rFonts w:ascii="Arial" w:hAnsi="Arial" w:cs="Arial"/>
        </w:rPr>
        <w:t xml:space="preserve"> 5-10% of new housing stock meet</w:t>
      </w:r>
      <w:r w:rsidR="00423F0C">
        <w:rPr>
          <w:rFonts w:ascii="Arial" w:hAnsi="Arial" w:cs="Arial"/>
        </w:rPr>
        <w:t>s</w:t>
      </w:r>
      <w:r w:rsidR="00EB259A">
        <w:rPr>
          <w:rFonts w:ascii="Arial" w:hAnsi="Arial" w:cs="Arial"/>
        </w:rPr>
        <w:t xml:space="preserve"> the </w:t>
      </w:r>
      <w:r w:rsidR="00C81809">
        <w:rPr>
          <w:rFonts w:ascii="Arial" w:hAnsi="Arial" w:cs="Arial"/>
        </w:rPr>
        <w:t>Liveable Housing Design</w:t>
      </w:r>
      <w:r w:rsidR="00EB259A">
        <w:rPr>
          <w:rFonts w:ascii="Arial" w:hAnsi="Arial" w:cs="Arial"/>
        </w:rPr>
        <w:t xml:space="preserve"> silver standard</w:t>
      </w:r>
      <w:r w:rsidR="005D2AAA">
        <w:rPr>
          <w:rFonts w:ascii="Arial" w:hAnsi="Arial" w:cs="Arial"/>
        </w:rPr>
        <w:t>.</w:t>
      </w:r>
      <w:r>
        <w:rPr>
          <w:rStyle w:val="FootnoteReference"/>
          <w:rFonts w:ascii="Arial" w:hAnsi="Arial" w:cs="Arial"/>
        </w:rPr>
        <w:footnoteReference w:id="14"/>
      </w:r>
      <w:r>
        <w:rPr>
          <w:rFonts w:ascii="Arial" w:hAnsi="Arial" w:cs="Arial"/>
        </w:rPr>
        <w:t xml:space="preserve"> The </w:t>
      </w:r>
      <w:r w:rsidR="00EB259A">
        <w:rPr>
          <w:rFonts w:ascii="Arial" w:hAnsi="Arial" w:cs="Arial"/>
        </w:rPr>
        <w:t xml:space="preserve">Commission submits that </w:t>
      </w:r>
      <w:r>
        <w:rPr>
          <w:rFonts w:ascii="Arial" w:hAnsi="Arial" w:cs="Arial"/>
        </w:rPr>
        <w:t>this</w:t>
      </w:r>
      <w:r w:rsidR="00EB259A">
        <w:rPr>
          <w:rFonts w:ascii="Arial" w:hAnsi="Arial" w:cs="Arial"/>
        </w:rPr>
        <w:t xml:space="preserve"> is not sufficient to sustain an equitable housing market either now or into the future.</w:t>
      </w:r>
    </w:p>
    <w:p w14:paraId="077F9151" w14:textId="385ADCC5" w:rsidR="00EB259A" w:rsidRDefault="00EB259A" w:rsidP="009C0D81">
      <w:pPr>
        <w:pStyle w:val="Numberedparagraph"/>
        <w:numPr>
          <w:ilvl w:val="0"/>
          <w:numId w:val="17"/>
        </w:numPr>
      </w:pPr>
      <w:r>
        <w:t>As acknowledged in the RIS, there are growing economic and social costs relating to this issue.</w:t>
      </w:r>
      <w:r>
        <w:rPr>
          <w:rStyle w:val="FootnoteReference"/>
        </w:rPr>
        <w:footnoteReference w:id="15"/>
      </w:r>
      <w:r>
        <w:t xml:space="preserve"> The Commission strongly supports the objective of the regulatory proposal in ensuring that housing is designed to meet the needs of the community, including older Australians and </w:t>
      </w:r>
      <w:r w:rsidR="006E082A">
        <w:t xml:space="preserve">people </w:t>
      </w:r>
      <w:r>
        <w:t>with mobility-related disability.</w:t>
      </w:r>
      <w:r>
        <w:rPr>
          <w:rStyle w:val="FootnoteReference"/>
        </w:rPr>
        <w:footnoteReference w:id="16"/>
      </w:r>
    </w:p>
    <w:p w14:paraId="43F67E5B" w14:textId="380D3D56" w:rsidR="00EB259A" w:rsidRDefault="00EB259A" w:rsidP="009C0D81">
      <w:pPr>
        <w:pStyle w:val="Numberedparagraph"/>
        <w:numPr>
          <w:ilvl w:val="0"/>
          <w:numId w:val="17"/>
        </w:numPr>
      </w:pPr>
      <w:r>
        <w:t>The Commission notes that other beneficiaries of accessible housing include:</w:t>
      </w:r>
    </w:p>
    <w:p w14:paraId="625A5028" w14:textId="6EF6D42C" w:rsidR="00EB259A" w:rsidRDefault="00344F3D" w:rsidP="00EB259A">
      <w:pPr>
        <w:pStyle w:val="Numberedparagraph"/>
        <w:numPr>
          <w:ilvl w:val="0"/>
          <w:numId w:val="18"/>
        </w:numPr>
      </w:pPr>
      <w:r>
        <w:t>p</w:t>
      </w:r>
      <w:r w:rsidR="00EB259A">
        <w:t>eople with disabilities other than mobility-related disabilities;</w:t>
      </w:r>
    </w:p>
    <w:p w14:paraId="3DC20C56" w14:textId="0E368437" w:rsidR="00EB259A" w:rsidRDefault="00EB259A" w:rsidP="00EB259A">
      <w:pPr>
        <w:pStyle w:val="Numberedparagraph"/>
        <w:numPr>
          <w:ilvl w:val="0"/>
          <w:numId w:val="18"/>
        </w:numPr>
      </w:pPr>
      <w:r>
        <w:t>carers and families of older people and people with disabilities;</w:t>
      </w:r>
    </w:p>
    <w:p w14:paraId="5860181B" w14:textId="5C7AD891" w:rsidR="00EB259A" w:rsidRDefault="00344F3D" w:rsidP="00EB259A">
      <w:pPr>
        <w:pStyle w:val="Numberedparagraph"/>
        <w:numPr>
          <w:ilvl w:val="0"/>
          <w:numId w:val="18"/>
        </w:numPr>
      </w:pPr>
      <w:r>
        <w:t>h</w:t>
      </w:r>
      <w:r w:rsidR="00EB259A">
        <w:t>ouseholds with babies and young children; and</w:t>
      </w:r>
    </w:p>
    <w:p w14:paraId="7989ADFB" w14:textId="6FD3216B" w:rsidR="00EB259A" w:rsidRDefault="00344F3D" w:rsidP="00EB259A">
      <w:pPr>
        <w:pStyle w:val="Numberedparagraph"/>
        <w:numPr>
          <w:ilvl w:val="0"/>
          <w:numId w:val="18"/>
        </w:numPr>
      </w:pPr>
      <w:r>
        <w:t>p</w:t>
      </w:r>
      <w:r w:rsidR="00EB259A">
        <w:t>eople with temporary illnesses or injuries that affect their mobility.</w:t>
      </w:r>
    </w:p>
    <w:p w14:paraId="31E45EC9" w14:textId="11B5F18C" w:rsidR="00EB259A" w:rsidRDefault="00EB259A" w:rsidP="009C0D81">
      <w:pPr>
        <w:pStyle w:val="Numberedparagraph"/>
        <w:numPr>
          <w:ilvl w:val="0"/>
          <w:numId w:val="17"/>
        </w:numPr>
      </w:pPr>
      <w:r>
        <w:t xml:space="preserve">The Consultation RIS suggests that there are </w:t>
      </w:r>
      <w:r w:rsidR="001C5880">
        <w:t>already</w:t>
      </w:r>
      <w:r>
        <w:t xml:space="preserve"> policies that ensure people with disability and old</w:t>
      </w:r>
      <w:r w:rsidR="006E082A">
        <w:t>er</w:t>
      </w:r>
      <w:r>
        <w:t xml:space="preserve"> people have access to housing that meets their needs, citing the option of home modifications (including through NDIS support), funding for residential aged care, state government planning policies</w:t>
      </w:r>
      <w:r w:rsidR="006E082A">
        <w:t>,</w:t>
      </w:r>
      <w:r>
        <w:t xml:space="preserve"> and the provision of social and community housing.</w:t>
      </w:r>
      <w:r>
        <w:rPr>
          <w:rStyle w:val="FootnoteReference"/>
        </w:rPr>
        <w:footnoteReference w:id="17"/>
      </w:r>
    </w:p>
    <w:p w14:paraId="21150E60" w14:textId="388F02B8" w:rsidR="00EB259A" w:rsidRPr="00C36B34" w:rsidRDefault="00EB259A" w:rsidP="009C0D81">
      <w:pPr>
        <w:pStyle w:val="Numberedparagraph"/>
        <w:numPr>
          <w:ilvl w:val="0"/>
          <w:numId w:val="17"/>
        </w:numPr>
      </w:pPr>
      <w:r>
        <w:lastRenderedPageBreak/>
        <w:t xml:space="preserve">While this may be so, </w:t>
      </w:r>
      <w:r w:rsidR="001C5880">
        <w:t>in the Commission’s experience</w:t>
      </w:r>
      <w:r>
        <w:t xml:space="preserve">, </w:t>
      </w:r>
      <w:r w:rsidR="001C5880">
        <w:t xml:space="preserve">those existing policies and programs are insufficient to address the needs of many people with disability and older Australians. </w:t>
      </w:r>
    </w:p>
    <w:p w14:paraId="3FD54C0C" w14:textId="526A48D3" w:rsidR="00B31EFE" w:rsidRDefault="007D1DA1" w:rsidP="00B31EFE">
      <w:pPr>
        <w:pStyle w:val="Heading2"/>
      </w:pPr>
      <w:bookmarkStart w:id="8" w:name="_Toc49173346"/>
      <w:r>
        <w:t>Discrimination c</w:t>
      </w:r>
      <w:r w:rsidR="00B31EFE">
        <w:t xml:space="preserve">omplaints about </w:t>
      </w:r>
      <w:r w:rsidR="004F4CFB">
        <w:t>i</w:t>
      </w:r>
      <w:r w:rsidR="0014127B">
        <w:t xml:space="preserve">naccessible </w:t>
      </w:r>
      <w:r w:rsidR="004F4CFB">
        <w:t>h</w:t>
      </w:r>
      <w:r w:rsidR="0014127B">
        <w:t>ousing</w:t>
      </w:r>
      <w:bookmarkEnd w:id="8"/>
    </w:p>
    <w:p w14:paraId="74D333A9" w14:textId="32AB6BF0" w:rsidR="0011526A" w:rsidRDefault="0011526A" w:rsidP="009C0D81">
      <w:pPr>
        <w:pStyle w:val="Numberedparagraph"/>
        <w:numPr>
          <w:ilvl w:val="0"/>
          <w:numId w:val="17"/>
        </w:numPr>
      </w:pPr>
      <w:r>
        <w:t xml:space="preserve">Between 2009 and the present, the Commission received approximately 140 </w:t>
      </w:r>
      <w:r w:rsidR="006E082A">
        <w:t xml:space="preserve">discrimination </w:t>
      </w:r>
      <w:r>
        <w:t xml:space="preserve">complaints about housing accessibility either on the basis of older age or </w:t>
      </w:r>
      <w:r w:rsidRPr="003F74EE">
        <w:t xml:space="preserve">impairment. </w:t>
      </w:r>
    </w:p>
    <w:p w14:paraId="6571C949" w14:textId="77777777" w:rsidR="0011526A" w:rsidRPr="009446CC" w:rsidRDefault="0011526A" w:rsidP="009C0D81">
      <w:pPr>
        <w:pStyle w:val="Numberedparagraph"/>
        <w:numPr>
          <w:ilvl w:val="0"/>
          <w:numId w:val="17"/>
        </w:numPr>
      </w:pPr>
      <w:r>
        <w:t xml:space="preserve"> </w:t>
      </w:r>
      <w:r w:rsidRPr="003F74EE">
        <w:t xml:space="preserve">Some of the key trends </w:t>
      </w:r>
      <w:r>
        <w:t xml:space="preserve">that </w:t>
      </w:r>
      <w:r w:rsidR="0017031D">
        <w:t>emerge</w:t>
      </w:r>
      <w:r>
        <w:t xml:space="preserve"> from</w:t>
      </w:r>
      <w:r w:rsidRPr="003F74EE">
        <w:t xml:space="preserve"> these complaints include</w:t>
      </w:r>
      <w:r>
        <w:t xml:space="preserve"> that</w:t>
      </w:r>
      <w:r w:rsidRPr="003F74EE">
        <w:t>:</w:t>
      </w:r>
    </w:p>
    <w:p w14:paraId="5943EF20" w14:textId="35574D24" w:rsidR="0011526A" w:rsidRDefault="0011526A" w:rsidP="0011526A">
      <w:pPr>
        <w:pStyle w:val="ListParagraph"/>
        <w:numPr>
          <w:ilvl w:val="0"/>
          <w:numId w:val="22"/>
        </w:numPr>
        <w:spacing w:after="160" w:line="259" w:lineRule="auto"/>
        <w:ind w:left="993"/>
        <w:rPr>
          <w:rFonts w:ascii="Arial" w:hAnsi="Arial" w:cs="Arial"/>
        </w:rPr>
      </w:pPr>
      <w:r>
        <w:rPr>
          <w:rFonts w:ascii="Arial" w:hAnsi="Arial" w:cs="Arial"/>
        </w:rPr>
        <w:t>P</w:t>
      </w:r>
      <w:r w:rsidRPr="003F74EE">
        <w:rPr>
          <w:rFonts w:ascii="Arial" w:hAnsi="Arial" w:cs="Arial"/>
        </w:rPr>
        <w:t>eople with disability</w:t>
      </w:r>
      <w:r>
        <w:rPr>
          <w:rFonts w:ascii="Arial" w:hAnsi="Arial" w:cs="Arial"/>
        </w:rPr>
        <w:t xml:space="preserve"> </w:t>
      </w:r>
      <w:r w:rsidRPr="003F74EE">
        <w:rPr>
          <w:rFonts w:ascii="Arial" w:hAnsi="Arial" w:cs="Arial"/>
        </w:rPr>
        <w:t xml:space="preserve">trying to rent through the private rental market </w:t>
      </w:r>
      <w:r>
        <w:rPr>
          <w:rFonts w:ascii="Arial" w:hAnsi="Arial" w:cs="Arial"/>
        </w:rPr>
        <w:t>are</w:t>
      </w:r>
      <w:r w:rsidRPr="003F74EE">
        <w:rPr>
          <w:rFonts w:ascii="Arial" w:hAnsi="Arial" w:cs="Arial"/>
        </w:rPr>
        <w:t xml:space="preserve"> facing stigma and discrimination</w:t>
      </w:r>
      <w:r w:rsidR="0012253C">
        <w:rPr>
          <w:rFonts w:ascii="Arial" w:hAnsi="Arial" w:cs="Arial"/>
        </w:rPr>
        <w:t>,</w:t>
      </w:r>
      <w:r>
        <w:rPr>
          <w:rFonts w:ascii="Arial" w:hAnsi="Arial" w:cs="Arial"/>
        </w:rPr>
        <w:t xml:space="preserve"> which is a significant barrier to </w:t>
      </w:r>
      <w:r w:rsidR="0012253C">
        <w:rPr>
          <w:rFonts w:ascii="Arial" w:hAnsi="Arial" w:cs="Arial"/>
        </w:rPr>
        <w:t>securing</w:t>
      </w:r>
      <w:r>
        <w:rPr>
          <w:rFonts w:ascii="Arial" w:hAnsi="Arial" w:cs="Arial"/>
        </w:rPr>
        <w:t xml:space="preserve"> </w:t>
      </w:r>
      <w:r w:rsidR="00F66B25">
        <w:rPr>
          <w:rFonts w:ascii="Arial" w:hAnsi="Arial" w:cs="Arial"/>
        </w:rPr>
        <w:t xml:space="preserve">appropriate, </w:t>
      </w:r>
      <w:r>
        <w:rPr>
          <w:rFonts w:ascii="Arial" w:hAnsi="Arial" w:cs="Arial"/>
        </w:rPr>
        <w:t>stable housing.</w:t>
      </w:r>
    </w:p>
    <w:p w14:paraId="1E399743" w14:textId="77777777" w:rsidR="0011526A" w:rsidRPr="003F74EE" w:rsidRDefault="0011526A" w:rsidP="0011526A">
      <w:pPr>
        <w:pStyle w:val="ListParagraph"/>
        <w:rPr>
          <w:rFonts w:ascii="Arial" w:hAnsi="Arial" w:cs="Arial"/>
        </w:rPr>
      </w:pPr>
    </w:p>
    <w:p w14:paraId="4AECCAAD" w14:textId="46166A80" w:rsidR="008238D0" w:rsidRDefault="0011526A" w:rsidP="008238D0">
      <w:pPr>
        <w:pStyle w:val="ListParagraph"/>
        <w:numPr>
          <w:ilvl w:val="0"/>
          <w:numId w:val="22"/>
        </w:numPr>
        <w:spacing w:after="160" w:line="259" w:lineRule="auto"/>
        <w:ind w:left="993"/>
        <w:rPr>
          <w:rFonts w:ascii="Arial" w:hAnsi="Arial" w:cs="Arial"/>
        </w:rPr>
      </w:pPr>
      <w:r w:rsidRPr="008238D0">
        <w:rPr>
          <w:rFonts w:ascii="Arial" w:hAnsi="Arial" w:cs="Arial"/>
        </w:rPr>
        <w:t>Older people or people with disabilities living in strata title schemes (as renters or owners) are having difficulty negotiating the process of making modifications to their property or the common property through complex body corporate processes</w:t>
      </w:r>
      <w:r w:rsidR="008238D0" w:rsidRPr="008238D0">
        <w:rPr>
          <w:rFonts w:ascii="Arial" w:hAnsi="Arial" w:cs="Arial"/>
        </w:rPr>
        <w:t>.</w:t>
      </w:r>
      <w:r w:rsidRPr="008238D0">
        <w:rPr>
          <w:rFonts w:ascii="Arial" w:hAnsi="Arial" w:cs="Arial"/>
        </w:rPr>
        <w:t xml:space="preserve"> </w:t>
      </w:r>
    </w:p>
    <w:p w14:paraId="1BA76DF7" w14:textId="77777777" w:rsidR="008238D0" w:rsidRPr="008238D0" w:rsidRDefault="008238D0" w:rsidP="008238D0">
      <w:pPr>
        <w:pStyle w:val="ListParagraph"/>
        <w:rPr>
          <w:rFonts w:ascii="Arial" w:hAnsi="Arial" w:cs="Arial"/>
        </w:rPr>
      </w:pPr>
    </w:p>
    <w:p w14:paraId="7D035142" w14:textId="77777777" w:rsidR="0011526A" w:rsidRPr="0011526A" w:rsidRDefault="0011526A" w:rsidP="0011526A">
      <w:pPr>
        <w:pStyle w:val="ListParagraph"/>
        <w:numPr>
          <w:ilvl w:val="0"/>
          <w:numId w:val="22"/>
        </w:numPr>
        <w:spacing w:after="160" w:line="259" w:lineRule="auto"/>
        <w:ind w:left="993"/>
        <w:rPr>
          <w:rFonts w:ascii="Arial" w:hAnsi="Arial" w:cs="Arial"/>
        </w:rPr>
      </w:pPr>
      <w:r w:rsidRPr="00AA0DB5">
        <w:rPr>
          <w:rFonts w:ascii="Arial" w:hAnsi="Arial" w:cs="Arial"/>
        </w:rPr>
        <w:t xml:space="preserve">Both private and </w:t>
      </w:r>
      <w:r>
        <w:rPr>
          <w:rFonts w:ascii="Arial" w:hAnsi="Arial" w:cs="Arial"/>
        </w:rPr>
        <w:t>public</w:t>
      </w:r>
      <w:r w:rsidRPr="00AA0DB5">
        <w:rPr>
          <w:rFonts w:ascii="Arial" w:hAnsi="Arial" w:cs="Arial"/>
        </w:rPr>
        <w:t xml:space="preserve"> housing tenants </w:t>
      </w:r>
      <w:r>
        <w:rPr>
          <w:rFonts w:ascii="Arial" w:hAnsi="Arial" w:cs="Arial"/>
        </w:rPr>
        <w:t>face</w:t>
      </w:r>
      <w:r w:rsidRPr="00AA0DB5">
        <w:rPr>
          <w:rFonts w:ascii="Arial" w:hAnsi="Arial" w:cs="Arial"/>
        </w:rPr>
        <w:t xml:space="preserve"> difficulty</w:t>
      </w:r>
      <w:r>
        <w:rPr>
          <w:rFonts w:ascii="Arial" w:hAnsi="Arial" w:cs="Arial"/>
        </w:rPr>
        <w:t xml:space="preserve"> making</w:t>
      </w:r>
      <w:r w:rsidRPr="00AA0DB5">
        <w:rPr>
          <w:rFonts w:ascii="Arial" w:hAnsi="Arial" w:cs="Arial"/>
        </w:rPr>
        <w:t xml:space="preserve"> modifications </w:t>
      </w:r>
      <w:r>
        <w:rPr>
          <w:rFonts w:ascii="Arial" w:hAnsi="Arial" w:cs="Arial"/>
        </w:rPr>
        <w:t xml:space="preserve">to </w:t>
      </w:r>
      <w:r w:rsidRPr="00AA0DB5">
        <w:rPr>
          <w:rFonts w:ascii="Arial" w:hAnsi="Arial" w:cs="Arial"/>
        </w:rPr>
        <w:t>properties</w:t>
      </w:r>
      <w:r>
        <w:rPr>
          <w:rFonts w:ascii="Arial" w:hAnsi="Arial" w:cs="Arial"/>
        </w:rPr>
        <w:t xml:space="preserve"> they are currently residing in.</w:t>
      </w:r>
    </w:p>
    <w:p w14:paraId="03514D83" w14:textId="484C4493" w:rsidR="0087677C" w:rsidRDefault="0087677C" w:rsidP="009C0D81">
      <w:pPr>
        <w:pStyle w:val="Numberedparagraph"/>
        <w:numPr>
          <w:ilvl w:val="0"/>
          <w:numId w:val="17"/>
        </w:numPr>
      </w:pPr>
      <w:r>
        <w:t xml:space="preserve">It is important to note that the </w:t>
      </w:r>
      <w:r w:rsidR="00343696">
        <w:t>AD Act</w:t>
      </w:r>
      <w:r>
        <w:t xml:space="preserve"> only </w:t>
      </w:r>
      <w:r w:rsidR="006E082A">
        <w:t xml:space="preserve">captures </w:t>
      </w:r>
      <w:r w:rsidR="006F58FE">
        <w:t>a fraction of the</w:t>
      </w:r>
      <w:r>
        <w:t xml:space="preserve"> issue</w:t>
      </w:r>
      <w:r w:rsidR="006F58FE">
        <w:t xml:space="preserve">s arising </w:t>
      </w:r>
      <w:r w:rsidR="00D53181">
        <w:t>from</w:t>
      </w:r>
      <w:r>
        <w:t xml:space="preserve"> housing inaccessibility. A person with </w:t>
      </w:r>
      <w:r w:rsidR="001C5880">
        <w:t xml:space="preserve">a protected </w:t>
      </w:r>
      <w:r>
        <w:t>attribute</w:t>
      </w:r>
      <w:r w:rsidR="001C5880">
        <w:t xml:space="preserve"> under the AD Act</w:t>
      </w:r>
      <w:r>
        <w:t xml:space="preserve"> (</w:t>
      </w:r>
      <w:r w:rsidR="001C5880">
        <w:t xml:space="preserve">most relevantly </w:t>
      </w:r>
      <w:r>
        <w:t>age or impairment) may</w:t>
      </w:r>
      <w:r w:rsidR="001C5880">
        <w:t xml:space="preserve"> only</w:t>
      </w:r>
      <w:r>
        <w:t xml:space="preserve"> make a complaint to the Commission about discrimination </w:t>
      </w:r>
      <w:r w:rsidR="001C5880">
        <w:t>if</w:t>
      </w:r>
      <w:r>
        <w:t xml:space="preserve"> that complaint falls within an </w:t>
      </w:r>
      <w:r w:rsidR="00B7338B">
        <w:t>‘</w:t>
      </w:r>
      <w:r>
        <w:t>area of activity</w:t>
      </w:r>
      <w:r w:rsidR="00B7338B">
        <w:t>’</w:t>
      </w:r>
      <w:r>
        <w:t xml:space="preserve"> under the </w:t>
      </w:r>
      <w:r w:rsidR="00022B99">
        <w:t xml:space="preserve">AD </w:t>
      </w:r>
      <w:r>
        <w:t xml:space="preserve">Act. </w:t>
      </w:r>
    </w:p>
    <w:p w14:paraId="611749DE" w14:textId="07208AC2" w:rsidR="00B31EFE" w:rsidRDefault="0087677C" w:rsidP="009C0D81">
      <w:pPr>
        <w:pStyle w:val="Numberedparagraph"/>
        <w:numPr>
          <w:ilvl w:val="0"/>
          <w:numId w:val="17"/>
        </w:numPr>
      </w:pPr>
      <w:r>
        <w:t>The area</w:t>
      </w:r>
      <w:r w:rsidR="00B7338B">
        <w:t>s</w:t>
      </w:r>
      <w:r>
        <w:t xml:space="preserve"> of </w:t>
      </w:r>
      <w:r w:rsidR="008D3F45">
        <w:t>‘</w:t>
      </w:r>
      <w:r>
        <w:t>accommodation</w:t>
      </w:r>
      <w:r w:rsidR="008D3F45">
        <w:t>’</w:t>
      </w:r>
      <w:r>
        <w:t xml:space="preserve"> and </w:t>
      </w:r>
      <w:r w:rsidR="008D3F45">
        <w:t>‘</w:t>
      </w:r>
      <w:r>
        <w:t>goods and services</w:t>
      </w:r>
      <w:r w:rsidR="008D3F45">
        <w:t>’</w:t>
      </w:r>
      <w:r>
        <w:t xml:space="preserve"> are the most relevant areas</w:t>
      </w:r>
      <w:r w:rsidR="00B7338B">
        <w:t>,</w:t>
      </w:r>
      <w:r>
        <w:t xml:space="preserve"> but do not cover </w:t>
      </w:r>
      <w:r w:rsidR="002600DA">
        <w:t>all</w:t>
      </w:r>
      <w:r>
        <w:t xml:space="preserve"> situations. </w:t>
      </w:r>
      <w:r w:rsidR="000C7A53">
        <w:t>For example</w:t>
      </w:r>
      <w:r w:rsidR="001069EB">
        <w:t>,</w:t>
      </w:r>
      <w:r w:rsidR="001C5880">
        <w:t xml:space="preserve"> the protection of the AD Act </w:t>
      </w:r>
      <w:r w:rsidR="001069EB">
        <w:t>does</w:t>
      </w:r>
      <w:r w:rsidR="001C5880">
        <w:t xml:space="preserve"> </w:t>
      </w:r>
      <w:r w:rsidR="004655FA">
        <w:t xml:space="preserve">not </w:t>
      </w:r>
      <w:r w:rsidR="001C5880">
        <w:t xml:space="preserve">extend to </w:t>
      </w:r>
      <w:r w:rsidR="00372348">
        <w:t>purchasers</w:t>
      </w:r>
      <w:r w:rsidR="008238D0">
        <w:t xml:space="preserve"> of new properties</w:t>
      </w:r>
      <w:r w:rsidR="004655FA">
        <w:t xml:space="preserve"> that are not accessible</w:t>
      </w:r>
      <w:r w:rsidR="008238D0">
        <w:t>.</w:t>
      </w:r>
    </w:p>
    <w:p w14:paraId="5579BB17" w14:textId="77777777" w:rsidR="00AB1DC6" w:rsidRPr="008D1514" w:rsidRDefault="00AB1DC6" w:rsidP="008D1514">
      <w:pPr>
        <w:pStyle w:val="Heading3"/>
        <w:rPr>
          <w:i/>
          <w:sz w:val="28"/>
        </w:rPr>
      </w:pPr>
      <w:bookmarkStart w:id="9" w:name="_Toc49173347"/>
      <w:r w:rsidRPr="008D1514">
        <w:rPr>
          <w:i/>
          <w:sz w:val="28"/>
        </w:rPr>
        <w:t xml:space="preserve">Stigma and </w:t>
      </w:r>
      <w:r w:rsidR="00BE0262" w:rsidRPr="008D1514">
        <w:rPr>
          <w:i/>
          <w:sz w:val="28"/>
        </w:rPr>
        <w:t>d</w:t>
      </w:r>
      <w:r w:rsidRPr="008D1514">
        <w:rPr>
          <w:i/>
          <w:sz w:val="28"/>
        </w:rPr>
        <w:t xml:space="preserve">iscrimination in the </w:t>
      </w:r>
      <w:r w:rsidR="00BE0262" w:rsidRPr="008D1514">
        <w:rPr>
          <w:i/>
          <w:sz w:val="28"/>
        </w:rPr>
        <w:t>p</w:t>
      </w:r>
      <w:r w:rsidRPr="008D1514">
        <w:rPr>
          <w:i/>
          <w:sz w:val="28"/>
        </w:rPr>
        <w:t xml:space="preserve">rivate </w:t>
      </w:r>
      <w:r w:rsidR="00BE0262" w:rsidRPr="008D1514">
        <w:rPr>
          <w:i/>
          <w:sz w:val="28"/>
        </w:rPr>
        <w:t>r</w:t>
      </w:r>
      <w:r w:rsidRPr="008D1514">
        <w:rPr>
          <w:i/>
          <w:sz w:val="28"/>
        </w:rPr>
        <w:t xml:space="preserve">ental </w:t>
      </w:r>
      <w:r w:rsidR="00BE0262" w:rsidRPr="008D1514">
        <w:rPr>
          <w:i/>
          <w:sz w:val="28"/>
        </w:rPr>
        <w:t>m</w:t>
      </w:r>
      <w:r w:rsidRPr="008D1514">
        <w:rPr>
          <w:i/>
          <w:sz w:val="28"/>
        </w:rPr>
        <w:t>arket</w:t>
      </w:r>
      <w:bookmarkEnd w:id="9"/>
    </w:p>
    <w:p w14:paraId="3A0B5259" w14:textId="2C09D30E" w:rsidR="00FA18C3" w:rsidRDefault="00AA0DB5" w:rsidP="009C0D81">
      <w:pPr>
        <w:pStyle w:val="ListParagraph"/>
        <w:numPr>
          <w:ilvl w:val="0"/>
          <w:numId w:val="17"/>
        </w:numPr>
        <w:rPr>
          <w:rFonts w:ascii="Arial" w:hAnsi="Arial" w:cs="Arial"/>
        </w:rPr>
      </w:pPr>
      <w:r w:rsidRPr="0079110B">
        <w:rPr>
          <w:rFonts w:ascii="Arial" w:hAnsi="Arial" w:cs="Arial"/>
        </w:rPr>
        <w:t xml:space="preserve">The Commission </w:t>
      </w:r>
      <w:r w:rsidR="00AC79BD">
        <w:rPr>
          <w:rFonts w:ascii="Arial" w:hAnsi="Arial" w:cs="Arial"/>
        </w:rPr>
        <w:t>receives</w:t>
      </w:r>
      <w:r w:rsidRPr="0079110B">
        <w:rPr>
          <w:rFonts w:ascii="Arial" w:hAnsi="Arial" w:cs="Arial"/>
        </w:rPr>
        <w:t xml:space="preserve"> complaints </w:t>
      </w:r>
      <w:r w:rsidR="00B7338B">
        <w:rPr>
          <w:rFonts w:ascii="Arial" w:hAnsi="Arial" w:cs="Arial"/>
        </w:rPr>
        <w:t>from</w:t>
      </w:r>
      <w:r w:rsidR="00B7338B" w:rsidRPr="0079110B">
        <w:rPr>
          <w:rFonts w:ascii="Arial" w:hAnsi="Arial" w:cs="Arial"/>
        </w:rPr>
        <w:t xml:space="preserve"> </w:t>
      </w:r>
      <w:r w:rsidR="009E3037" w:rsidRPr="0079110B">
        <w:rPr>
          <w:rFonts w:ascii="Arial" w:hAnsi="Arial" w:cs="Arial"/>
        </w:rPr>
        <w:t xml:space="preserve">people </w:t>
      </w:r>
      <w:r w:rsidRPr="0079110B">
        <w:rPr>
          <w:rFonts w:ascii="Arial" w:hAnsi="Arial" w:cs="Arial"/>
        </w:rPr>
        <w:t>facing discrimination in the private rental market</w:t>
      </w:r>
      <w:r w:rsidR="0017031D">
        <w:rPr>
          <w:rFonts w:ascii="Arial" w:hAnsi="Arial" w:cs="Arial"/>
        </w:rPr>
        <w:t xml:space="preserve">. </w:t>
      </w:r>
      <w:r w:rsidR="00670FFA">
        <w:rPr>
          <w:rFonts w:ascii="Arial" w:hAnsi="Arial" w:cs="Arial"/>
        </w:rPr>
        <w:t xml:space="preserve">We </w:t>
      </w:r>
      <w:r w:rsidR="00B7338B">
        <w:rPr>
          <w:rFonts w:ascii="Arial" w:hAnsi="Arial" w:cs="Arial"/>
        </w:rPr>
        <w:t xml:space="preserve">often </w:t>
      </w:r>
      <w:r w:rsidR="00670FFA">
        <w:rPr>
          <w:rFonts w:ascii="Arial" w:hAnsi="Arial" w:cs="Arial"/>
        </w:rPr>
        <w:t>hear from</w:t>
      </w:r>
      <w:r w:rsidR="0017031D">
        <w:rPr>
          <w:rFonts w:ascii="Arial" w:hAnsi="Arial" w:cs="Arial"/>
        </w:rPr>
        <w:t xml:space="preserve"> people with disabilities </w:t>
      </w:r>
      <w:r w:rsidR="00B7338B">
        <w:rPr>
          <w:rFonts w:ascii="Arial" w:hAnsi="Arial" w:cs="Arial"/>
        </w:rPr>
        <w:t>who feel</w:t>
      </w:r>
      <w:r w:rsidR="0017031D">
        <w:rPr>
          <w:rFonts w:ascii="Arial" w:hAnsi="Arial" w:cs="Arial"/>
        </w:rPr>
        <w:t xml:space="preserve"> ‘shut out’ of the private rental market </w:t>
      </w:r>
      <w:r w:rsidR="00E64180">
        <w:rPr>
          <w:rFonts w:ascii="Arial" w:hAnsi="Arial" w:cs="Arial"/>
        </w:rPr>
        <w:t xml:space="preserve">because of </w:t>
      </w:r>
      <w:r w:rsidR="0017031D">
        <w:rPr>
          <w:rFonts w:ascii="Arial" w:hAnsi="Arial" w:cs="Arial"/>
        </w:rPr>
        <w:t>the application and approval process.</w:t>
      </w:r>
      <w:r w:rsidR="00263657">
        <w:rPr>
          <w:rFonts w:ascii="Arial" w:hAnsi="Arial" w:cs="Arial"/>
        </w:rPr>
        <w:t xml:space="preserve"> While </w:t>
      </w:r>
      <w:r w:rsidR="0079110B" w:rsidRPr="0079110B">
        <w:rPr>
          <w:rFonts w:ascii="Arial" w:hAnsi="Arial" w:cs="Arial"/>
        </w:rPr>
        <w:t xml:space="preserve">more </w:t>
      </w:r>
      <w:r w:rsidR="00263657" w:rsidRPr="0079110B">
        <w:rPr>
          <w:rFonts w:ascii="Arial" w:hAnsi="Arial" w:cs="Arial"/>
        </w:rPr>
        <w:t>flagrant</w:t>
      </w:r>
      <w:r w:rsidR="00AC79BD">
        <w:rPr>
          <w:rFonts w:ascii="Arial" w:hAnsi="Arial" w:cs="Arial"/>
        </w:rPr>
        <w:t xml:space="preserve"> examples</w:t>
      </w:r>
      <w:r w:rsidR="00B7338B">
        <w:rPr>
          <w:rFonts w:ascii="Arial" w:hAnsi="Arial" w:cs="Arial"/>
        </w:rPr>
        <w:t xml:space="preserve"> are given below</w:t>
      </w:r>
      <w:r w:rsidR="0079110B" w:rsidRPr="0079110B">
        <w:rPr>
          <w:rFonts w:ascii="Arial" w:hAnsi="Arial" w:cs="Arial"/>
        </w:rPr>
        <w:t xml:space="preserve">, in </w:t>
      </w:r>
      <w:r w:rsidR="00624740">
        <w:rPr>
          <w:rFonts w:ascii="Arial" w:hAnsi="Arial" w:cs="Arial"/>
        </w:rPr>
        <w:t>many</w:t>
      </w:r>
      <w:r w:rsidR="0079110B" w:rsidRPr="0079110B">
        <w:rPr>
          <w:rFonts w:ascii="Arial" w:hAnsi="Arial" w:cs="Arial"/>
        </w:rPr>
        <w:t xml:space="preserve"> cases</w:t>
      </w:r>
      <w:r w:rsidR="001F7B9C" w:rsidRPr="0079110B">
        <w:rPr>
          <w:rFonts w:ascii="Arial" w:hAnsi="Arial" w:cs="Arial"/>
        </w:rPr>
        <w:t xml:space="preserve"> </w:t>
      </w:r>
      <w:r w:rsidR="0079110B" w:rsidRPr="0079110B">
        <w:rPr>
          <w:rFonts w:ascii="Arial" w:hAnsi="Arial" w:cs="Arial"/>
        </w:rPr>
        <w:t xml:space="preserve">discrimination is hard to prove </w:t>
      </w:r>
      <w:r w:rsidR="00B7338B">
        <w:rPr>
          <w:rFonts w:ascii="Arial" w:hAnsi="Arial" w:cs="Arial"/>
        </w:rPr>
        <w:t>because</w:t>
      </w:r>
      <w:r w:rsidR="00B7338B" w:rsidRPr="0079110B">
        <w:rPr>
          <w:rFonts w:ascii="Arial" w:hAnsi="Arial" w:cs="Arial"/>
        </w:rPr>
        <w:t xml:space="preserve"> </w:t>
      </w:r>
      <w:r w:rsidR="00F04464">
        <w:rPr>
          <w:rFonts w:ascii="Arial" w:hAnsi="Arial" w:cs="Arial"/>
        </w:rPr>
        <w:t>a</w:t>
      </w:r>
      <w:r w:rsidR="001D7634">
        <w:rPr>
          <w:rFonts w:ascii="Arial" w:hAnsi="Arial" w:cs="Arial"/>
        </w:rPr>
        <w:t xml:space="preserve"> property manager</w:t>
      </w:r>
      <w:r w:rsidR="0017031D">
        <w:rPr>
          <w:rFonts w:ascii="Arial" w:hAnsi="Arial" w:cs="Arial"/>
        </w:rPr>
        <w:t xml:space="preserve"> does not generally </w:t>
      </w:r>
      <w:r w:rsidR="00263657">
        <w:rPr>
          <w:rFonts w:ascii="Arial" w:hAnsi="Arial" w:cs="Arial"/>
        </w:rPr>
        <w:t xml:space="preserve">explain the reasons </w:t>
      </w:r>
      <w:r w:rsidR="00B7338B">
        <w:rPr>
          <w:rFonts w:ascii="Arial" w:hAnsi="Arial" w:cs="Arial"/>
        </w:rPr>
        <w:t xml:space="preserve">why </w:t>
      </w:r>
      <w:r w:rsidR="0017031D">
        <w:rPr>
          <w:rFonts w:ascii="Arial" w:hAnsi="Arial" w:cs="Arial"/>
        </w:rPr>
        <w:t>a person has</w:t>
      </w:r>
      <w:r w:rsidR="00263657">
        <w:rPr>
          <w:rFonts w:ascii="Arial" w:hAnsi="Arial" w:cs="Arial"/>
        </w:rPr>
        <w:t xml:space="preserve"> not been the successful applicant.</w:t>
      </w:r>
    </w:p>
    <w:p w14:paraId="5F62F6DF" w14:textId="77777777" w:rsidR="0079110B" w:rsidRDefault="0079110B" w:rsidP="006C740C">
      <w:pPr>
        <w:ind w:left="360"/>
        <w:rPr>
          <w:rFonts w:ascii="Arial" w:hAnsi="Arial" w:cs="Arial"/>
        </w:rPr>
      </w:pPr>
    </w:p>
    <w:p w14:paraId="72A5C158" w14:textId="77777777" w:rsidR="006C740C" w:rsidRDefault="006C740C" w:rsidP="00070DF5">
      <w:pPr>
        <w:ind w:left="720"/>
        <w:rPr>
          <w:rFonts w:ascii="Arial" w:hAnsi="Arial" w:cs="Arial"/>
          <w:b/>
          <w:i/>
        </w:rPr>
      </w:pPr>
      <w:r w:rsidRPr="00F25ABF">
        <w:rPr>
          <w:rFonts w:ascii="Arial" w:hAnsi="Arial" w:cs="Arial"/>
          <w:b/>
          <w:i/>
        </w:rPr>
        <w:t>Case Study 1:</w:t>
      </w:r>
      <w:r w:rsidRPr="00F25ABF">
        <w:rPr>
          <w:rFonts w:ascii="Arial" w:hAnsi="Arial" w:cs="Arial"/>
          <w:b/>
          <w:i/>
        </w:rPr>
        <w:tab/>
      </w:r>
      <w:r w:rsidR="00F25ABF">
        <w:rPr>
          <w:rFonts w:ascii="Arial" w:hAnsi="Arial" w:cs="Arial"/>
          <w:b/>
          <w:i/>
        </w:rPr>
        <w:t xml:space="preserve"> </w:t>
      </w:r>
    </w:p>
    <w:p w14:paraId="5BF7423B" w14:textId="77777777" w:rsidR="00F25ABF" w:rsidRPr="00F25ABF" w:rsidRDefault="00F25ABF" w:rsidP="00070DF5">
      <w:pPr>
        <w:ind w:left="720"/>
        <w:rPr>
          <w:rFonts w:ascii="Arial" w:hAnsi="Arial" w:cs="Arial"/>
          <w:i/>
        </w:rPr>
      </w:pPr>
    </w:p>
    <w:p w14:paraId="37B4B59D" w14:textId="5AB3C191" w:rsidR="006052E1" w:rsidRDefault="006C740C" w:rsidP="00070DF5">
      <w:pPr>
        <w:ind w:left="720"/>
        <w:rPr>
          <w:rFonts w:ascii="Arial" w:hAnsi="Arial" w:cs="Arial"/>
          <w:i/>
        </w:rPr>
      </w:pPr>
      <w:r w:rsidRPr="00F25ABF">
        <w:rPr>
          <w:rFonts w:ascii="Arial" w:hAnsi="Arial" w:cs="Arial"/>
          <w:i/>
        </w:rPr>
        <w:t>Max says he was informed by the receptionist at a real estate agency that they have houses available for rent</w:t>
      </w:r>
      <w:r w:rsidR="00B7338B">
        <w:rPr>
          <w:rFonts w:ascii="Arial" w:hAnsi="Arial" w:cs="Arial"/>
          <w:i/>
        </w:rPr>
        <w:t>,</w:t>
      </w:r>
      <w:r w:rsidRPr="00F25ABF">
        <w:rPr>
          <w:rFonts w:ascii="Arial" w:hAnsi="Arial" w:cs="Arial"/>
          <w:i/>
        </w:rPr>
        <w:t xml:space="preserve"> but they are not suitable for </w:t>
      </w:r>
      <w:r w:rsidRPr="00F25ABF">
        <w:rPr>
          <w:rFonts w:ascii="Arial" w:hAnsi="Arial" w:cs="Arial"/>
          <w:i/>
        </w:rPr>
        <w:lastRenderedPageBreak/>
        <w:t xml:space="preserve">wheelchairs. The receptionist said that </w:t>
      </w:r>
      <w:r w:rsidR="00B7338B">
        <w:rPr>
          <w:rFonts w:ascii="Arial" w:hAnsi="Arial" w:cs="Arial"/>
          <w:i/>
        </w:rPr>
        <w:t>‘</w:t>
      </w:r>
      <w:r w:rsidRPr="00F25ABF">
        <w:rPr>
          <w:rFonts w:ascii="Arial" w:hAnsi="Arial" w:cs="Arial"/>
          <w:i/>
        </w:rPr>
        <w:t>owners do not want wheelchairs in their houses as they cause damage to door frames or walls of the house.</w:t>
      </w:r>
      <w:r w:rsidR="00B7338B">
        <w:rPr>
          <w:rFonts w:ascii="Arial" w:hAnsi="Arial" w:cs="Arial"/>
          <w:i/>
        </w:rPr>
        <w:t>’</w:t>
      </w:r>
      <w:r w:rsidRPr="00F25ABF">
        <w:rPr>
          <w:rFonts w:ascii="Arial" w:hAnsi="Arial" w:cs="Arial"/>
          <w:i/>
        </w:rPr>
        <w:t xml:space="preserve"> Although Max explained</w:t>
      </w:r>
      <w:r w:rsidR="00B7338B">
        <w:rPr>
          <w:rFonts w:ascii="Arial" w:hAnsi="Arial" w:cs="Arial"/>
          <w:i/>
        </w:rPr>
        <w:t xml:space="preserve"> that</w:t>
      </w:r>
      <w:r w:rsidRPr="00F25ABF">
        <w:rPr>
          <w:rFonts w:ascii="Arial" w:hAnsi="Arial" w:cs="Arial"/>
          <w:i/>
        </w:rPr>
        <w:t xml:space="preserve"> the wheelchair folds down, the receptionist apologised and said </w:t>
      </w:r>
      <w:r w:rsidR="00B7338B">
        <w:rPr>
          <w:rFonts w:ascii="Arial" w:hAnsi="Arial" w:cs="Arial"/>
          <w:i/>
        </w:rPr>
        <w:t xml:space="preserve">that </w:t>
      </w:r>
      <w:r w:rsidRPr="00F25ABF">
        <w:rPr>
          <w:rFonts w:ascii="Arial" w:hAnsi="Arial" w:cs="Arial"/>
          <w:i/>
        </w:rPr>
        <w:t>they don’t want wheelchairs and he’ll have to look elsewhere.</w:t>
      </w:r>
    </w:p>
    <w:p w14:paraId="2AA81C42" w14:textId="77777777" w:rsidR="009E4910" w:rsidRDefault="009E4910" w:rsidP="00070DF5">
      <w:pPr>
        <w:ind w:left="720"/>
        <w:rPr>
          <w:rFonts w:ascii="Arial" w:hAnsi="Arial" w:cs="Arial"/>
          <w:i/>
        </w:rPr>
      </w:pPr>
    </w:p>
    <w:p w14:paraId="0E50C9C0" w14:textId="77777777" w:rsidR="009E4910" w:rsidRPr="006052E1" w:rsidRDefault="009E4910" w:rsidP="00070DF5">
      <w:pPr>
        <w:ind w:left="720"/>
        <w:rPr>
          <w:rFonts w:ascii="Arial" w:hAnsi="Arial" w:cs="Arial"/>
          <w:b/>
          <w:i/>
        </w:rPr>
      </w:pPr>
      <w:r w:rsidRPr="006052E1">
        <w:rPr>
          <w:rFonts w:ascii="Arial" w:hAnsi="Arial" w:cs="Arial"/>
          <w:b/>
          <w:i/>
        </w:rPr>
        <w:t>Case Study 2:</w:t>
      </w:r>
    </w:p>
    <w:p w14:paraId="4C587FF3" w14:textId="77777777" w:rsidR="00BD059C" w:rsidRPr="006052E1" w:rsidRDefault="00BD059C" w:rsidP="00070DF5">
      <w:pPr>
        <w:ind w:left="720"/>
        <w:rPr>
          <w:rFonts w:ascii="Arial" w:hAnsi="Arial" w:cs="Arial"/>
          <w:b/>
          <w:i/>
        </w:rPr>
      </w:pPr>
    </w:p>
    <w:p w14:paraId="5419FDE6" w14:textId="12796441" w:rsidR="00D76AE5" w:rsidRDefault="00BD059C" w:rsidP="00070DF5">
      <w:pPr>
        <w:ind w:left="720"/>
        <w:rPr>
          <w:rFonts w:ascii="Arial" w:hAnsi="Arial" w:cs="Arial"/>
          <w:i/>
        </w:rPr>
      </w:pPr>
      <w:r w:rsidRPr="006052E1">
        <w:rPr>
          <w:rFonts w:ascii="Arial" w:hAnsi="Arial" w:cs="Arial"/>
          <w:i/>
        </w:rPr>
        <w:t>Jessie applied to rent a property. At the inspection the property manager said he was worried that Jessie’s wheelchair would cause damage to the carpet, doors, floors</w:t>
      </w:r>
      <w:r w:rsidR="00B7338B">
        <w:rPr>
          <w:rFonts w:ascii="Arial" w:hAnsi="Arial" w:cs="Arial"/>
          <w:i/>
        </w:rPr>
        <w:t>,</w:t>
      </w:r>
      <w:r w:rsidRPr="006052E1">
        <w:rPr>
          <w:rFonts w:ascii="Arial" w:hAnsi="Arial" w:cs="Arial"/>
          <w:i/>
        </w:rPr>
        <w:t xml:space="preserve"> and walls.</w:t>
      </w:r>
      <w:r w:rsidR="00B7338B">
        <w:rPr>
          <w:rFonts w:ascii="Arial" w:hAnsi="Arial" w:cs="Arial"/>
          <w:i/>
        </w:rPr>
        <w:t xml:space="preserve"> Also, h</w:t>
      </w:r>
      <w:r w:rsidRPr="006052E1">
        <w:rPr>
          <w:rFonts w:ascii="Arial" w:hAnsi="Arial" w:cs="Arial"/>
          <w:i/>
        </w:rPr>
        <w:t>e questioned how Jessie could possibly go about cleaning the property if he is in a wheelchair. He said he would offer him the property</w:t>
      </w:r>
      <w:r w:rsidR="00B7338B">
        <w:rPr>
          <w:rFonts w:ascii="Arial" w:hAnsi="Arial" w:cs="Arial"/>
          <w:i/>
        </w:rPr>
        <w:t>,</w:t>
      </w:r>
      <w:r w:rsidRPr="006052E1">
        <w:rPr>
          <w:rFonts w:ascii="Arial" w:hAnsi="Arial" w:cs="Arial"/>
          <w:i/>
        </w:rPr>
        <w:t xml:space="preserve"> but only on the condition he sign a statutory declaration saying he would pay for any damage caused by the use of his wheelchair.</w:t>
      </w:r>
    </w:p>
    <w:p w14:paraId="042E3767" w14:textId="77777777" w:rsidR="00D76AE5" w:rsidRPr="008D1514" w:rsidRDefault="00D76AE5" w:rsidP="008D1514">
      <w:pPr>
        <w:pStyle w:val="Heading3"/>
        <w:rPr>
          <w:i/>
          <w:sz w:val="28"/>
        </w:rPr>
      </w:pPr>
      <w:bookmarkStart w:id="10" w:name="_Toc49173348"/>
      <w:r w:rsidRPr="008D1514">
        <w:rPr>
          <w:i/>
          <w:sz w:val="28"/>
        </w:rPr>
        <w:t xml:space="preserve">The </w:t>
      </w:r>
      <w:r w:rsidR="008C744E" w:rsidRPr="008D1514">
        <w:rPr>
          <w:i/>
          <w:sz w:val="28"/>
        </w:rPr>
        <w:t>challenge</w:t>
      </w:r>
      <w:r w:rsidR="001E1F70" w:rsidRPr="008D1514">
        <w:rPr>
          <w:i/>
          <w:sz w:val="28"/>
        </w:rPr>
        <w:t>s</w:t>
      </w:r>
      <w:r w:rsidR="008C744E" w:rsidRPr="008D1514">
        <w:rPr>
          <w:i/>
          <w:sz w:val="28"/>
        </w:rPr>
        <w:t xml:space="preserve"> of retrofitting</w:t>
      </w:r>
      <w:r w:rsidR="00A51587" w:rsidRPr="008D1514">
        <w:rPr>
          <w:i/>
          <w:sz w:val="28"/>
        </w:rPr>
        <w:t xml:space="preserve"> </w:t>
      </w:r>
      <w:r w:rsidR="00E50D1A" w:rsidRPr="008D1514">
        <w:rPr>
          <w:i/>
          <w:sz w:val="28"/>
        </w:rPr>
        <w:t>for private and public housing tenants</w:t>
      </w:r>
      <w:bookmarkEnd w:id="10"/>
    </w:p>
    <w:p w14:paraId="7C100B88" w14:textId="32CF8DD5" w:rsidR="008D4D46" w:rsidRDefault="00B839C5" w:rsidP="009C0D81">
      <w:pPr>
        <w:pStyle w:val="ListParagraph"/>
        <w:numPr>
          <w:ilvl w:val="0"/>
          <w:numId w:val="17"/>
        </w:numPr>
        <w:rPr>
          <w:rFonts w:ascii="Arial" w:hAnsi="Arial" w:cs="Arial"/>
        </w:rPr>
      </w:pPr>
      <w:r>
        <w:rPr>
          <w:rFonts w:ascii="Arial" w:hAnsi="Arial" w:cs="Arial"/>
        </w:rPr>
        <w:t xml:space="preserve">The following case studies demonstrate the challenges </w:t>
      </w:r>
      <w:r w:rsidR="00F22A3D">
        <w:rPr>
          <w:rFonts w:ascii="Arial" w:hAnsi="Arial" w:cs="Arial"/>
        </w:rPr>
        <w:t>of trying to retrofit a person’s home to make it accessible</w:t>
      </w:r>
      <w:r>
        <w:rPr>
          <w:rFonts w:ascii="Arial" w:hAnsi="Arial" w:cs="Arial"/>
        </w:rPr>
        <w:t>.</w:t>
      </w:r>
      <w:r w:rsidR="00051468">
        <w:rPr>
          <w:rFonts w:ascii="Arial" w:hAnsi="Arial" w:cs="Arial"/>
        </w:rPr>
        <w:t xml:space="preserve"> </w:t>
      </w:r>
      <w:r w:rsidR="003A1024">
        <w:rPr>
          <w:rFonts w:ascii="Arial" w:hAnsi="Arial" w:cs="Arial"/>
        </w:rPr>
        <w:t>Modifications are complex, time consuming</w:t>
      </w:r>
      <w:r w:rsidR="00B7338B">
        <w:rPr>
          <w:rFonts w:ascii="Arial" w:hAnsi="Arial" w:cs="Arial"/>
        </w:rPr>
        <w:t>,</w:t>
      </w:r>
      <w:r w:rsidR="003A1024">
        <w:rPr>
          <w:rFonts w:ascii="Arial" w:hAnsi="Arial" w:cs="Arial"/>
        </w:rPr>
        <w:t xml:space="preserve"> and expensive. </w:t>
      </w:r>
      <w:r w:rsidR="008D4D46">
        <w:rPr>
          <w:rFonts w:ascii="Arial" w:hAnsi="Arial" w:cs="Arial"/>
        </w:rPr>
        <w:t>In the Commission’s experience, these issues can arise in both the public and private housing sectors.</w:t>
      </w:r>
    </w:p>
    <w:p w14:paraId="1191D745" w14:textId="0C05062B" w:rsidR="00B839C5" w:rsidRDefault="00B839C5" w:rsidP="00221B64">
      <w:pPr>
        <w:rPr>
          <w:rFonts w:ascii="Arial" w:hAnsi="Arial" w:cs="Arial"/>
        </w:rPr>
      </w:pPr>
    </w:p>
    <w:p w14:paraId="22FC2625" w14:textId="77777777" w:rsidR="00221B64" w:rsidRPr="0001217B" w:rsidRDefault="00221B64" w:rsidP="00070DF5">
      <w:pPr>
        <w:ind w:left="720"/>
        <w:rPr>
          <w:rFonts w:ascii="Arial" w:hAnsi="Arial" w:cs="Arial"/>
          <w:b/>
          <w:i/>
        </w:rPr>
      </w:pPr>
      <w:r w:rsidRPr="0001217B">
        <w:rPr>
          <w:rFonts w:ascii="Arial" w:hAnsi="Arial" w:cs="Arial"/>
          <w:b/>
          <w:i/>
        </w:rPr>
        <w:t>Case Study 3:</w:t>
      </w:r>
    </w:p>
    <w:p w14:paraId="3E501622" w14:textId="77777777" w:rsidR="00221B64" w:rsidRPr="0001217B" w:rsidRDefault="00221B64" w:rsidP="00070DF5">
      <w:pPr>
        <w:ind w:left="720"/>
        <w:rPr>
          <w:rFonts w:ascii="Arial" w:hAnsi="Arial" w:cs="Arial"/>
          <w:i/>
        </w:rPr>
      </w:pPr>
    </w:p>
    <w:p w14:paraId="216DF523" w14:textId="2ADCC31F" w:rsidR="00221B64" w:rsidRPr="0001217B" w:rsidRDefault="00923BA6" w:rsidP="00070DF5">
      <w:pPr>
        <w:ind w:left="720"/>
        <w:rPr>
          <w:rFonts w:ascii="Arial" w:hAnsi="Arial" w:cs="Arial"/>
          <w:i/>
        </w:rPr>
      </w:pPr>
      <w:proofErr w:type="spellStart"/>
      <w:r>
        <w:rPr>
          <w:rFonts w:ascii="Arial" w:hAnsi="Arial" w:cs="Arial"/>
          <w:i/>
        </w:rPr>
        <w:t>Yash</w:t>
      </w:r>
      <w:proofErr w:type="spellEnd"/>
      <w:r w:rsidR="00221B64" w:rsidRPr="0001217B">
        <w:rPr>
          <w:rFonts w:ascii="Arial" w:hAnsi="Arial" w:cs="Arial"/>
          <w:i/>
        </w:rPr>
        <w:t xml:space="preserve"> </w:t>
      </w:r>
      <w:r w:rsidR="005875CA">
        <w:rPr>
          <w:rFonts w:ascii="Arial" w:hAnsi="Arial" w:cs="Arial"/>
          <w:i/>
        </w:rPr>
        <w:t xml:space="preserve">had a disability that restricted </w:t>
      </w:r>
      <w:r>
        <w:rPr>
          <w:rFonts w:ascii="Arial" w:hAnsi="Arial" w:cs="Arial"/>
          <w:i/>
        </w:rPr>
        <w:t>his</w:t>
      </w:r>
      <w:r w:rsidR="005875CA">
        <w:rPr>
          <w:rFonts w:ascii="Arial" w:hAnsi="Arial" w:cs="Arial"/>
          <w:i/>
        </w:rPr>
        <w:t xml:space="preserve"> mobility. </w:t>
      </w:r>
      <w:r>
        <w:rPr>
          <w:rFonts w:ascii="Arial" w:hAnsi="Arial" w:cs="Arial"/>
          <w:i/>
        </w:rPr>
        <w:t>He</w:t>
      </w:r>
      <w:r w:rsidR="005875CA">
        <w:rPr>
          <w:rFonts w:ascii="Arial" w:hAnsi="Arial" w:cs="Arial"/>
          <w:i/>
        </w:rPr>
        <w:t xml:space="preserve"> </w:t>
      </w:r>
      <w:r w:rsidR="00221B64" w:rsidRPr="0001217B">
        <w:rPr>
          <w:rFonts w:ascii="Arial" w:hAnsi="Arial" w:cs="Arial"/>
          <w:i/>
        </w:rPr>
        <w:t xml:space="preserve">was approved for a rental property and was ready to move in. </w:t>
      </w:r>
      <w:r>
        <w:rPr>
          <w:rFonts w:ascii="Arial" w:hAnsi="Arial" w:cs="Arial"/>
          <w:i/>
        </w:rPr>
        <w:t>He</w:t>
      </w:r>
      <w:r w:rsidR="00221B64" w:rsidRPr="0001217B">
        <w:rPr>
          <w:rFonts w:ascii="Arial" w:hAnsi="Arial" w:cs="Arial"/>
          <w:i/>
        </w:rPr>
        <w:t xml:space="preserve"> requested to have adjustments to the bathroom for better access to the shower. I</w:t>
      </w:r>
      <w:r w:rsidR="00FD61B4">
        <w:rPr>
          <w:rFonts w:ascii="Arial" w:hAnsi="Arial" w:cs="Arial"/>
          <w:i/>
        </w:rPr>
        <w:t xml:space="preserve">n particular, </w:t>
      </w:r>
      <w:r>
        <w:rPr>
          <w:rFonts w:ascii="Arial" w:hAnsi="Arial" w:cs="Arial"/>
          <w:i/>
        </w:rPr>
        <w:t>he</w:t>
      </w:r>
      <w:r w:rsidR="00FD61B4">
        <w:rPr>
          <w:rFonts w:ascii="Arial" w:hAnsi="Arial" w:cs="Arial"/>
          <w:i/>
        </w:rPr>
        <w:t xml:space="preserve"> requested to </w:t>
      </w:r>
      <w:r w:rsidR="00221B64" w:rsidRPr="0001217B">
        <w:rPr>
          <w:rFonts w:ascii="Arial" w:hAnsi="Arial" w:cs="Arial"/>
          <w:i/>
        </w:rPr>
        <w:t xml:space="preserve">remove the shower door on the proviso that </w:t>
      </w:r>
      <w:r>
        <w:rPr>
          <w:rFonts w:ascii="Arial" w:hAnsi="Arial" w:cs="Arial"/>
          <w:i/>
        </w:rPr>
        <w:t>he</w:t>
      </w:r>
      <w:r w:rsidR="00221B64" w:rsidRPr="0001217B">
        <w:rPr>
          <w:rFonts w:ascii="Arial" w:hAnsi="Arial" w:cs="Arial"/>
          <w:i/>
        </w:rPr>
        <w:t xml:space="preserve"> would reinstall it on leaving the property. The owner of the property denied this request</w:t>
      </w:r>
      <w:r w:rsidR="0001217B">
        <w:rPr>
          <w:rFonts w:ascii="Arial" w:hAnsi="Arial" w:cs="Arial"/>
          <w:i/>
        </w:rPr>
        <w:t xml:space="preserve"> </w:t>
      </w:r>
      <w:r w:rsidR="00A12ACB">
        <w:rPr>
          <w:rFonts w:ascii="Arial" w:hAnsi="Arial" w:cs="Arial"/>
          <w:i/>
        </w:rPr>
        <w:t xml:space="preserve">resulting in the property being inaccessible for </w:t>
      </w:r>
      <w:proofErr w:type="spellStart"/>
      <w:r>
        <w:rPr>
          <w:rFonts w:ascii="Arial" w:hAnsi="Arial" w:cs="Arial"/>
          <w:i/>
        </w:rPr>
        <w:t>Yash</w:t>
      </w:r>
      <w:proofErr w:type="spellEnd"/>
      <w:r w:rsidR="00A12ACB">
        <w:rPr>
          <w:rFonts w:ascii="Arial" w:hAnsi="Arial" w:cs="Arial"/>
          <w:i/>
        </w:rPr>
        <w:t>.</w:t>
      </w:r>
      <w:r w:rsidR="00221B64" w:rsidRPr="0001217B">
        <w:rPr>
          <w:rFonts w:ascii="Arial" w:hAnsi="Arial" w:cs="Arial"/>
          <w:i/>
        </w:rPr>
        <w:t xml:space="preserve"> </w:t>
      </w:r>
    </w:p>
    <w:p w14:paraId="126210F1" w14:textId="77777777" w:rsidR="006C740C" w:rsidRPr="00ED69C9" w:rsidRDefault="006C740C" w:rsidP="00070DF5">
      <w:pPr>
        <w:ind w:left="360"/>
        <w:rPr>
          <w:rFonts w:ascii="Arial" w:hAnsi="Arial" w:cs="Arial"/>
          <w:i/>
        </w:rPr>
      </w:pPr>
    </w:p>
    <w:p w14:paraId="57309D21" w14:textId="77777777" w:rsidR="00D76AE5" w:rsidRPr="00ED69C9" w:rsidRDefault="00F25ABF" w:rsidP="00070DF5">
      <w:pPr>
        <w:ind w:left="720"/>
        <w:rPr>
          <w:rFonts w:ascii="Arial" w:hAnsi="Arial" w:cs="Arial"/>
          <w:b/>
          <w:i/>
        </w:rPr>
      </w:pPr>
      <w:r w:rsidRPr="00ED69C9">
        <w:rPr>
          <w:rFonts w:ascii="Arial" w:hAnsi="Arial" w:cs="Arial"/>
          <w:b/>
          <w:i/>
        </w:rPr>
        <w:t xml:space="preserve">Case Study </w:t>
      </w:r>
      <w:r w:rsidR="00ED69C9">
        <w:rPr>
          <w:rFonts w:ascii="Arial" w:hAnsi="Arial" w:cs="Arial"/>
          <w:b/>
          <w:i/>
        </w:rPr>
        <w:t>4</w:t>
      </w:r>
      <w:r w:rsidRPr="00ED69C9">
        <w:rPr>
          <w:rFonts w:ascii="Arial" w:hAnsi="Arial" w:cs="Arial"/>
          <w:b/>
          <w:i/>
        </w:rPr>
        <w:t xml:space="preserve">: </w:t>
      </w:r>
    </w:p>
    <w:p w14:paraId="7F08E1F0" w14:textId="77777777" w:rsidR="00D76AE5" w:rsidRPr="00ED69C9" w:rsidRDefault="00D76AE5" w:rsidP="00070DF5">
      <w:pPr>
        <w:ind w:left="1080"/>
        <w:rPr>
          <w:rFonts w:ascii="Arial" w:hAnsi="Arial" w:cs="Arial"/>
          <w:b/>
          <w:i/>
        </w:rPr>
      </w:pPr>
    </w:p>
    <w:p w14:paraId="12D0A40F" w14:textId="77777777" w:rsidR="00D76AE5" w:rsidRPr="008D1514" w:rsidRDefault="00D76AE5" w:rsidP="00070DF5">
      <w:pPr>
        <w:ind w:left="720"/>
        <w:rPr>
          <w:rFonts w:ascii="Arial" w:hAnsi="Arial" w:cs="Arial"/>
          <w:i/>
        </w:rPr>
      </w:pPr>
      <w:r w:rsidRPr="008D1514">
        <w:rPr>
          <w:rFonts w:ascii="Arial" w:hAnsi="Arial" w:cs="Arial"/>
          <w:i/>
        </w:rPr>
        <w:t xml:space="preserve">Sophia had a disability which required her to use a wheelchair. She approached a housing association which offered her a unit for rent. The unit needed modifications to make it safe, which a consultant reported to the housing association. </w:t>
      </w:r>
      <w:r w:rsidR="00137708" w:rsidRPr="008D1514">
        <w:rPr>
          <w:rFonts w:ascii="Arial" w:hAnsi="Arial" w:cs="Arial"/>
          <w:i/>
        </w:rPr>
        <w:t>Sophia</w:t>
      </w:r>
      <w:r w:rsidRPr="008D1514">
        <w:rPr>
          <w:rFonts w:ascii="Arial" w:hAnsi="Arial" w:cs="Arial"/>
          <w:i/>
        </w:rPr>
        <w:t xml:space="preserve"> agreed to move in while the modifications were being carried out and started to sell her possessions in anticipation of moving to a smaller residence. The housing association then decided that the modifications were too expensive and rented the unit to a person who did not require them.</w:t>
      </w:r>
    </w:p>
    <w:p w14:paraId="0CBC7CEB" w14:textId="77777777" w:rsidR="008D1514" w:rsidRDefault="008D1514" w:rsidP="00070DF5">
      <w:pPr>
        <w:ind w:left="720"/>
        <w:rPr>
          <w:rFonts w:ascii="Arial" w:hAnsi="Arial" w:cs="Arial"/>
          <w:i/>
        </w:rPr>
      </w:pPr>
    </w:p>
    <w:p w14:paraId="504AB9C1" w14:textId="33F658E1" w:rsidR="008D1514" w:rsidRPr="008D1514" w:rsidRDefault="00D76AE5" w:rsidP="00070DF5">
      <w:pPr>
        <w:ind w:left="720"/>
        <w:rPr>
          <w:rFonts w:ascii="Arial" w:hAnsi="Arial" w:cs="Arial"/>
          <w:i/>
        </w:rPr>
      </w:pPr>
      <w:r w:rsidRPr="008D1514">
        <w:rPr>
          <w:rFonts w:ascii="Arial" w:hAnsi="Arial" w:cs="Arial"/>
          <w:i/>
        </w:rPr>
        <w:t>At conciliation, the housing association argued</w:t>
      </w:r>
      <w:r w:rsidR="00477BAE" w:rsidRPr="008D1514">
        <w:rPr>
          <w:rFonts w:ascii="Arial" w:hAnsi="Arial" w:cs="Arial"/>
          <w:i/>
        </w:rPr>
        <w:t xml:space="preserve"> they could not make the modifications </w:t>
      </w:r>
      <w:r w:rsidR="002937F8" w:rsidRPr="008D1514">
        <w:rPr>
          <w:rFonts w:ascii="Arial" w:hAnsi="Arial" w:cs="Arial"/>
          <w:i/>
        </w:rPr>
        <w:t>because it would cause them</w:t>
      </w:r>
      <w:r w:rsidRPr="008D1514">
        <w:rPr>
          <w:rFonts w:ascii="Arial" w:hAnsi="Arial" w:cs="Arial"/>
          <w:i/>
        </w:rPr>
        <w:t xml:space="preserve"> unjustifiable hardship, but conceded that they did not get quotes for the cost of the modifications. They apologised for not communicating with the complainant in a timely and effective way</w:t>
      </w:r>
      <w:r w:rsidR="002937F8" w:rsidRPr="008D1514">
        <w:rPr>
          <w:rFonts w:ascii="Arial" w:hAnsi="Arial" w:cs="Arial"/>
          <w:i/>
        </w:rPr>
        <w:t>,</w:t>
      </w:r>
      <w:r w:rsidRPr="008D1514">
        <w:rPr>
          <w:rFonts w:ascii="Arial" w:hAnsi="Arial" w:cs="Arial"/>
          <w:i/>
        </w:rPr>
        <w:t xml:space="preserve"> and agreed to pay compensation and have their staff trained to better understand how to manage this situation in future.</w:t>
      </w:r>
    </w:p>
    <w:p w14:paraId="4154A843" w14:textId="24D452B4" w:rsidR="00E60FC4" w:rsidRDefault="00E60FC4">
      <w:pPr>
        <w:rPr>
          <w:i/>
        </w:rPr>
      </w:pPr>
      <w:r>
        <w:rPr>
          <w:i/>
        </w:rPr>
        <w:br w:type="page"/>
      </w:r>
    </w:p>
    <w:p w14:paraId="007576B9" w14:textId="77777777" w:rsidR="008D1514" w:rsidRDefault="008D1514" w:rsidP="00070DF5">
      <w:pPr>
        <w:ind w:left="360"/>
        <w:rPr>
          <w:i/>
        </w:rPr>
      </w:pPr>
    </w:p>
    <w:p w14:paraId="2881DE26" w14:textId="1D68320C" w:rsidR="00FC79C2" w:rsidRPr="00923BA6" w:rsidRDefault="00923BA6" w:rsidP="00070DF5">
      <w:pPr>
        <w:ind w:left="720"/>
        <w:rPr>
          <w:rFonts w:ascii="Arial" w:hAnsi="Arial" w:cs="Arial"/>
          <w:b/>
          <w:i/>
        </w:rPr>
      </w:pPr>
      <w:r w:rsidRPr="00923BA6">
        <w:rPr>
          <w:rFonts w:ascii="Arial" w:hAnsi="Arial" w:cs="Arial"/>
          <w:b/>
          <w:i/>
        </w:rPr>
        <w:t>Case Study 5</w:t>
      </w:r>
      <w:r w:rsidR="00FC79C2" w:rsidRPr="00923BA6">
        <w:rPr>
          <w:rFonts w:ascii="Arial" w:hAnsi="Arial" w:cs="Arial"/>
          <w:b/>
          <w:i/>
        </w:rPr>
        <w:t>:</w:t>
      </w:r>
    </w:p>
    <w:p w14:paraId="193429A1" w14:textId="4A773F82" w:rsidR="00AE01F3" w:rsidRDefault="00A37BED" w:rsidP="00070DF5">
      <w:pPr>
        <w:pStyle w:val="CaseStudy"/>
        <w:ind w:left="720" w:right="-7"/>
        <w:rPr>
          <w:rFonts w:eastAsia="Times New Roman"/>
          <w:i/>
        </w:rPr>
      </w:pPr>
      <w:r>
        <w:rPr>
          <w:rFonts w:eastAsia="Times New Roman"/>
          <w:i/>
        </w:rPr>
        <w:t>Rochelle</w:t>
      </w:r>
      <w:r w:rsidR="00FC79C2">
        <w:rPr>
          <w:rFonts w:eastAsia="Times New Roman"/>
          <w:i/>
        </w:rPr>
        <w:t xml:space="preserve"> moved into social housing</w:t>
      </w:r>
      <w:r w:rsidR="004E1E7C">
        <w:rPr>
          <w:rFonts w:eastAsia="Times New Roman"/>
          <w:i/>
        </w:rPr>
        <w:t xml:space="preserve"> with her children</w:t>
      </w:r>
      <w:r w:rsidR="00FC79C2">
        <w:rPr>
          <w:rFonts w:eastAsia="Times New Roman"/>
          <w:i/>
        </w:rPr>
        <w:t>.</w:t>
      </w:r>
      <w:r w:rsidR="004E1E7C">
        <w:rPr>
          <w:rFonts w:eastAsia="Times New Roman"/>
          <w:i/>
        </w:rPr>
        <w:t xml:space="preserve"> </w:t>
      </w:r>
      <w:r w:rsidR="004509C9">
        <w:rPr>
          <w:rFonts w:eastAsia="Times New Roman"/>
          <w:i/>
        </w:rPr>
        <w:t>Rochelle ha</w:t>
      </w:r>
      <w:r w:rsidR="002937F8">
        <w:rPr>
          <w:rFonts w:eastAsia="Times New Roman"/>
          <w:i/>
        </w:rPr>
        <w:t>s</w:t>
      </w:r>
      <w:r w:rsidR="004509C9">
        <w:rPr>
          <w:rFonts w:eastAsia="Times New Roman"/>
          <w:i/>
        </w:rPr>
        <w:t xml:space="preserve"> mobility issues </w:t>
      </w:r>
      <w:r w:rsidR="004E1E7C">
        <w:rPr>
          <w:rFonts w:eastAsia="Times New Roman"/>
          <w:i/>
        </w:rPr>
        <w:t>and one of her children ha</w:t>
      </w:r>
      <w:r w:rsidR="002937F8">
        <w:rPr>
          <w:rFonts w:eastAsia="Times New Roman"/>
          <w:i/>
        </w:rPr>
        <w:t>s</w:t>
      </w:r>
      <w:r w:rsidR="004E1E7C">
        <w:rPr>
          <w:rFonts w:eastAsia="Times New Roman"/>
          <w:i/>
        </w:rPr>
        <w:t xml:space="preserve"> </w:t>
      </w:r>
      <w:r w:rsidR="004509C9">
        <w:rPr>
          <w:rFonts w:eastAsia="Times New Roman"/>
          <w:i/>
        </w:rPr>
        <w:t>autism</w:t>
      </w:r>
      <w:r w:rsidR="004E1E7C">
        <w:rPr>
          <w:rFonts w:eastAsia="Times New Roman"/>
          <w:i/>
        </w:rPr>
        <w:t>.</w:t>
      </w:r>
      <w:r w:rsidR="00FC79C2">
        <w:rPr>
          <w:rFonts w:eastAsia="Times New Roman"/>
          <w:i/>
        </w:rPr>
        <w:t xml:space="preserve"> She had an OT assessment completed and was approved for modifications.</w:t>
      </w:r>
      <w:r w:rsidR="004E1E7C">
        <w:rPr>
          <w:rFonts w:eastAsia="Times New Roman"/>
          <w:i/>
        </w:rPr>
        <w:t xml:space="preserve"> Several months passed </w:t>
      </w:r>
      <w:r w:rsidR="002937F8">
        <w:rPr>
          <w:rFonts w:eastAsia="Times New Roman"/>
          <w:i/>
        </w:rPr>
        <w:t>but</w:t>
      </w:r>
      <w:r w:rsidR="004E1E7C">
        <w:rPr>
          <w:rFonts w:eastAsia="Times New Roman"/>
          <w:i/>
        </w:rPr>
        <w:t xml:space="preserve"> no progress was made on implementing the modifications.</w:t>
      </w:r>
      <w:r w:rsidR="00FC79C2">
        <w:rPr>
          <w:rFonts w:eastAsia="Times New Roman"/>
          <w:i/>
        </w:rPr>
        <w:t xml:space="preserve"> Both the kitchen and bathroom had accessibility issues</w:t>
      </w:r>
      <w:r w:rsidR="004509C9">
        <w:rPr>
          <w:rFonts w:eastAsia="Times New Roman"/>
          <w:i/>
        </w:rPr>
        <w:t xml:space="preserve"> and the property </w:t>
      </w:r>
      <w:r w:rsidR="00322AC0">
        <w:rPr>
          <w:rFonts w:eastAsia="Times New Roman"/>
          <w:i/>
        </w:rPr>
        <w:t>needed better safety features to keep her child with autism safe.</w:t>
      </w:r>
      <w:r w:rsidR="004509C9">
        <w:rPr>
          <w:rFonts w:eastAsia="Times New Roman"/>
          <w:i/>
        </w:rPr>
        <w:t xml:space="preserve"> </w:t>
      </w:r>
      <w:r w:rsidR="003204E9">
        <w:rPr>
          <w:rFonts w:eastAsia="Times New Roman"/>
          <w:i/>
        </w:rPr>
        <w:t xml:space="preserve">After </w:t>
      </w:r>
      <w:r>
        <w:rPr>
          <w:rFonts w:eastAsia="Times New Roman"/>
          <w:i/>
        </w:rPr>
        <w:t>Rochelle</w:t>
      </w:r>
      <w:r w:rsidR="00FC79C2">
        <w:rPr>
          <w:rFonts w:eastAsia="Times New Roman"/>
          <w:i/>
        </w:rPr>
        <w:t xml:space="preserve"> had multiple falls </w:t>
      </w:r>
      <w:r w:rsidR="003204E9">
        <w:rPr>
          <w:rFonts w:eastAsia="Times New Roman"/>
          <w:i/>
        </w:rPr>
        <w:t xml:space="preserve">she </w:t>
      </w:r>
      <w:r w:rsidR="00F113B0">
        <w:rPr>
          <w:rFonts w:eastAsia="Times New Roman"/>
          <w:i/>
        </w:rPr>
        <w:t>started to</w:t>
      </w:r>
      <w:r w:rsidR="00FC79C2">
        <w:rPr>
          <w:rFonts w:eastAsia="Times New Roman"/>
          <w:i/>
        </w:rPr>
        <w:t xml:space="preserve"> shower at </w:t>
      </w:r>
      <w:r w:rsidR="00F113B0">
        <w:rPr>
          <w:rFonts w:eastAsia="Times New Roman"/>
          <w:i/>
        </w:rPr>
        <w:t>a friend’s</w:t>
      </w:r>
      <w:r w:rsidR="00FC79C2">
        <w:rPr>
          <w:rFonts w:eastAsia="Times New Roman"/>
          <w:i/>
        </w:rPr>
        <w:t xml:space="preserve"> house</w:t>
      </w:r>
      <w:r w:rsidR="00F113B0">
        <w:rPr>
          <w:rFonts w:eastAsia="Times New Roman"/>
          <w:i/>
        </w:rPr>
        <w:t xml:space="preserve"> instead</w:t>
      </w:r>
      <w:r w:rsidR="00FC79C2">
        <w:rPr>
          <w:rFonts w:eastAsia="Times New Roman"/>
          <w:i/>
        </w:rPr>
        <w:t>.</w:t>
      </w:r>
      <w:r w:rsidR="004E1E7C">
        <w:rPr>
          <w:rFonts w:eastAsia="Times New Roman"/>
          <w:i/>
        </w:rPr>
        <w:t xml:space="preserve"> During conciliation, the social housing provider </w:t>
      </w:r>
      <w:proofErr w:type="spellStart"/>
      <w:r w:rsidR="004E1E7C">
        <w:rPr>
          <w:rFonts w:eastAsia="Times New Roman"/>
          <w:i/>
        </w:rPr>
        <w:t>apologi</w:t>
      </w:r>
      <w:r w:rsidR="002937F8">
        <w:rPr>
          <w:rFonts w:eastAsia="Times New Roman"/>
          <w:i/>
        </w:rPr>
        <w:t>s</w:t>
      </w:r>
      <w:r w:rsidR="004E1E7C">
        <w:rPr>
          <w:rFonts w:eastAsia="Times New Roman"/>
          <w:i/>
        </w:rPr>
        <w:t>ed</w:t>
      </w:r>
      <w:proofErr w:type="spellEnd"/>
      <w:r w:rsidR="004E1E7C">
        <w:rPr>
          <w:rFonts w:eastAsia="Times New Roman"/>
          <w:i/>
        </w:rPr>
        <w:t xml:space="preserve"> and agreed to pay her financial compensation</w:t>
      </w:r>
      <w:r w:rsidR="00923BA6">
        <w:rPr>
          <w:rFonts w:eastAsia="Times New Roman"/>
          <w:i/>
        </w:rPr>
        <w:t>.</w:t>
      </w:r>
    </w:p>
    <w:p w14:paraId="61149620" w14:textId="36A0471E" w:rsidR="000F5898" w:rsidRPr="000F5898" w:rsidRDefault="000F5898" w:rsidP="00070DF5">
      <w:pPr>
        <w:pStyle w:val="CaseStudy"/>
        <w:ind w:left="720"/>
        <w:rPr>
          <w:rFonts w:eastAsia="Times New Roman"/>
          <w:b/>
          <w:i/>
        </w:rPr>
      </w:pPr>
      <w:r w:rsidRPr="000F5898">
        <w:rPr>
          <w:rFonts w:eastAsia="Times New Roman"/>
          <w:b/>
          <w:i/>
        </w:rPr>
        <w:t xml:space="preserve">Case Study </w:t>
      </w:r>
      <w:r w:rsidR="00923BA6">
        <w:rPr>
          <w:rFonts w:eastAsia="Times New Roman"/>
          <w:b/>
          <w:i/>
        </w:rPr>
        <w:t>6</w:t>
      </w:r>
      <w:r w:rsidRPr="000F5898">
        <w:rPr>
          <w:rFonts w:eastAsia="Times New Roman"/>
          <w:b/>
          <w:i/>
        </w:rPr>
        <w:t>:</w:t>
      </w:r>
    </w:p>
    <w:p w14:paraId="6DD04062" w14:textId="7B698A5E" w:rsidR="003B6AE5" w:rsidRPr="00005853" w:rsidRDefault="00304D01" w:rsidP="00070DF5">
      <w:pPr>
        <w:pStyle w:val="CaseStudy"/>
        <w:ind w:left="720" w:right="-7"/>
        <w:rPr>
          <w:rFonts w:eastAsia="Times New Roman"/>
          <w:i/>
        </w:rPr>
      </w:pPr>
      <w:r>
        <w:rPr>
          <w:rFonts w:eastAsia="Times New Roman"/>
          <w:i/>
        </w:rPr>
        <w:t xml:space="preserve">After a spinal injury </w:t>
      </w:r>
      <w:r w:rsidR="000F5898">
        <w:rPr>
          <w:rFonts w:eastAsia="Times New Roman"/>
          <w:i/>
        </w:rPr>
        <w:t>Clara moved in with her mother</w:t>
      </w:r>
      <w:r w:rsidR="00A956B1">
        <w:rPr>
          <w:rFonts w:eastAsia="Times New Roman"/>
          <w:i/>
        </w:rPr>
        <w:t>,</w:t>
      </w:r>
      <w:r w:rsidR="000F5898">
        <w:rPr>
          <w:rFonts w:eastAsia="Times New Roman"/>
          <w:i/>
        </w:rPr>
        <w:t xml:space="preserve"> </w:t>
      </w:r>
      <w:r w:rsidR="008A20A5">
        <w:rPr>
          <w:rFonts w:eastAsia="Times New Roman"/>
          <w:i/>
        </w:rPr>
        <w:t xml:space="preserve">who resided in </w:t>
      </w:r>
      <w:r w:rsidR="000F5898">
        <w:rPr>
          <w:rFonts w:eastAsia="Times New Roman"/>
          <w:i/>
        </w:rPr>
        <w:t xml:space="preserve">a social housing property. Clara was told by the social housing provider that it might take </w:t>
      </w:r>
      <w:r>
        <w:rPr>
          <w:rFonts w:eastAsia="Times New Roman"/>
          <w:i/>
        </w:rPr>
        <w:t xml:space="preserve">several </w:t>
      </w:r>
      <w:r w:rsidR="000F5898">
        <w:rPr>
          <w:rFonts w:eastAsia="Times New Roman"/>
          <w:i/>
        </w:rPr>
        <w:t>years to get her own</w:t>
      </w:r>
      <w:r w:rsidR="003B6AE5">
        <w:rPr>
          <w:rFonts w:eastAsia="Times New Roman"/>
          <w:i/>
        </w:rPr>
        <w:t xml:space="preserve"> place due to the long wait</w:t>
      </w:r>
      <w:r w:rsidR="002937F8">
        <w:rPr>
          <w:rFonts w:eastAsia="Times New Roman"/>
          <w:i/>
        </w:rPr>
        <w:t>ing</w:t>
      </w:r>
      <w:r w:rsidR="003B6AE5">
        <w:rPr>
          <w:rFonts w:eastAsia="Times New Roman"/>
          <w:i/>
        </w:rPr>
        <w:t xml:space="preserve"> list</w:t>
      </w:r>
      <w:r w:rsidR="000F5898">
        <w:rPr>
          <w:rFonts w:eastAsia="Times New Roman"/>
          <w:i/>
        </w:rPr>
        <w:t xml:space="preserve">. </w:t>
      </w:r>
      <w:r w:rsidR="003B6AE5">
        <w:rPr>
          <w:rFonts w:eastAsia="Times New Roman"/>
          <w:i/>
        </w:rPr>
        <w:t>Her mother’s unit</w:t>
      </w:r>
      <w:r w:rsidR="000F5898">
        <w:rPr>
          <w:rFonts w:eastAsia="Times New Roman"/>
          <w:i/>
        </w:rPr>
        <w:t xml:space="preserve"> </w:t>
      </w:r>
      <w:r w:rsidR="008657A2">
        <w:rPr>
          <w:rFonts w:eastAsia="Times New Roman"/>
          <w:i/>
        </w:rPr>
        <w:t xml:space="preserve">only </w:t>
      </w:r>
      <w:r w:rsidR="000F5898">
        <w:rPr>
          <w:rFonts w:eastAsia="Times New Roman"/>
          <w:i/>
        </w:rPr>
        <w:t xml:space="preserve">had access by stairs. Clara’s mother had to </w:t>
      </w:r>
      <w:r w:rsidR="008657A2">
        <w:rPr>
          <w:rFonts w:eastAsia="Times New Roman"/>
          <w:i/>
        </w:rPr>
        <w:t xml:space="preserve">carry </w:t>
      </w:r>
      <w:r w:rsidR="000F5898">
        <w:rPr>
          <w:rFonts w:eastAsia="Times New Roman"/>
          <w:i/>
        </w:rPr>
        <w:t>her wheelchair down the stairs and Clara crawled down the stairs to her wheelchair. Clara’s mother had arthritis in her hands and carrying the wheelchair caus</w:t>
      </w:r>
      <w:r w:rsidR="00271E44">
        <w:rPr>
          <w:rFonts w:eastAsia="Times New Roman"/>
          <w:i/>
        </w:rPr>
        <w:t>ed</w:t>
      </w:r>
      <w:r w:rsidR="000F5898">
        <w:rPr>
          <w:rFonts w:eastAsia="Times New Roman"/>
          <w:i/>
        </w:rPr>
        <w:t xml:space="preserve"> her pain. Clara and her mother asked if they could install a ramp with a suitable gate and pathway. </w:t>
      </w:r>
      <w:r w:rsidR="00E33042">
        <w:rPr>
          <w:rFonts w:eastAsia="Times New Roman"/>
          <w:i/>
        </w:rPr>
        <w:t xml:space="preserve">This request was denied. </w:t>
      </w:r>
      <w:r w:rsidR="000F5898">
        <w:rPr>
          <w:rFonts w:eastAsia="Times New Roman"/>
          <w:i/>
        </w:rPr>
        <w:t>Clara says she was tol</w:t>
      </w:r>
      <w:r w:rsidR="004E275E">
        <w:rPr>
          <w:rFonts w:eastAsia="Times New Roman"/>
          <w:i/>
        </w:rPr>
        <w:t xml:space="preserve">d that if she </w:t>
      </w:r>
      <w:r w:rsidR="008657A2">
        <w:rPr>
          <w:rFonts w:eastAsia="Times New Roman"/>
          <w:i/>
        </w:rPr>
        <w:t>‘</w:t>
      </w:r>
      <w:r w:rsidR="004E275E">
        <w:rPr>
          <w:rFonts w:eastAsia="Times New Roman"/>
          <w:i/>
        </w:rPr>
        <w:t>pushed the matte</w:t>
      </w:r>
      <w:r w:rsidR="00EC3FF6">
        <w:rPr>
          <w:rFonts w:eastAsia="Times New Roman"/>
          <w:i/>
        </w:rPr>
        <w:t>r</w:t>
      </w:r>
      <w:r w:rsidR="00D96C1F">
        <w:rPr>
          <w:rFonts w:eastAsia="Times New Roman"/>
          <w:i/>
        </w:rPr>
        <w:t>’ her own housing application may be refused</w:t>
      </w:r>
      <w:r w:rsidR="000F5898">
        <w:rPr>
          <w:rFonts w:eastAsia="Times New Roman"/>
          <w:i/>
        </w:rPr>
        <w:t xml:space="preserve">. </w:t>
      </w:r>
    </w:p>
    <w:p w14:paraId="6942EBFB" w14:textId="3F35AD02" w:rsidR="00D76AE5" w:rsidRPr="00FE2C22" w:rsidRDefault="00761B81" w:rsidP="00070DF5">
      <w:pPr>
        <w:ind w:left="720"/>
        <w:rPr>
          <w:rFonts w:ascii="Arial" w:hAnsi="Arial" w:cs="Arial"/>
          <w:b/>
          <w:i/>
        </w:rPr>
      </w:pPr>
      <w:r w:rsidRPr="00FE2C22">
        <w:rPr>
          <w:rFonts w:ascii="Arial" w:hAnsi="Arial" w:cs="Arial"/>
          <w:b/>
          <w:i/>
        </w:rPr>
        <w:t xml:space="preserve">Case Study </w:t>
      </w:r>
      <w:r w:rsidR="00923BA6">
        <w:rPr>
          <w:rFonts w:ascii="Arial" w:hAnsi="Arial" w:cs="Arial"/>
          <w:b/>
          <w:i/>
        </w:rPr>
        <w:t>7</w:t>
      </w:r>
      <w:r w:rsidRPr="00FE2C22">
        <w:rPr>
          <w:rFonts w:ascii="Arial" w:hAnsi="Arial" w:cs="Arial"/>
          <w:b/>
          <w:i/>
        </w:rPr>
        <w:t>:</w:t>
      </w:r>
    </w:p>
    <w:p w14:paraId="4763EA1A" w14:textId="77777777" w:rsidR="00761B81" w:rsidRDefault="00761B81" w:rsidP="00070DF5">
      <w:pPr>
        <w:ind w:left="720"/>
        <w:rPr>
          <w:rFonts w:ascii="Arial" w:hAnsi="Arial" w:cs="Arial"/>
          <w:i/>
        </w:rPr>
      </w:pPr>
    </w:p>
    <w:p w14:paraId="5F18D331" w14:textId="6747FFF1" w:rsidR="00D37185" w:rsidRDefault="00761B81" w:rsidP="00070DF5">
      <w:pPr>
        <w:ind w:left="720"/>
        <w:rPr>
          <w:rFonts w:ascii="Arial" w:hAnsi="Arial" w:cs="Arial"/>
          <w:i/>
        </w:rPr>
      </w:pPr>
      <w:r>
        <w:rPr>
          <w:rFonts w:ascii="Arial" w:hAnsi="Arial" w:cs="Arial"/>
          <w:i/>
        </w:rPr>
        <w:t xml:space="preserve">Olivia </w:t>
      </w:r>
      <w:r w:rsidR="00FE2C22">
        <w:rPr>
          <w:rFonts w:ascii="Arial" w:hAnsi="Arial" w:cs="Arial"/>
          <w:i/>
        </w:rPr>
        <w:t>was over 60 and living in an independent living unit as part of a retirement and nursing home complex</w:t>
      </w:r>
      <w:r w:rsidR="00FE18A1">
        <w:rPr>
          <w:rFonts w:ascii="Arial" w:hAnsi="Arial" w:cs="Arial"/>
          <w:i/>
        </w:rPr>
        <w:t xml:space="preserve">, managed as </w:t>
      </w:r>
      <w:r w:rsidR="008657A2">
        <w:rPr>
          <w:rFonts w:ascii="Arial" w:hAnsi="Arial" w:cs="Arial"/>
          <w:i/>
        </w:rPr>
        <w:t xml:space="preserve">a </w:t>
      </w:r>
      <w:r w:rsidR="00FE18A1">
        <w:rPr>
          <w:rFonts w:ascii="Arial" w:hAnsi="Arial" w:cs="Arial"/>
          <w:i/>
        </w:rPr>
        <w:t>residential tenancy</w:t>
      </w:r>
      <w:r w:rsidR="00DC26EC">
        <w:rPr>
          <w:rFonts w:ascii="Arial" w:hAnsi="Arial" w:cs="Arial"/>
          <w:i/>
        </w:rPr>
        <w:t xml:space="preserve"> lease</w:t>
      </w:r>
      <w:r w:rsidR="00FE18A1">
        <w:rPr>
          <w:rFonts w:ascii="Arial" w:hAnsi="Arial" w:cs="Arial"/>
          <w:i/>
        </w:rPr>
        <w:t xml:space="preserve"> through a real estate agent</w:t>
      </w:r>
      <w:r w:rsidR="00FE2C22">
        <w:rPr>
          <w:rFonts w:ascii="Arial" w:hAnsi="Arial" w:cs="Arial"/>
          <w:i/>
        </w:rPr>
        <w:t xml:space="preserve">. Olivia had a chronic condition that </w:t>
      </w:r>
      <w:r w:rsidR="00FE18A1">
        <w:rPr>
          <w:rFonts w:ascii="Arial" w:hAnsi="Arial" w:cs="Arial"/>
          <w:i/>
        </w:rPr>
        <w:t xml:space="preserve">she says the real estate </w:t>
      </w:r>
      <w:r w:rsidR="00FE2C22">
        <w:rPr>
          <w:rFonts w:ascii="Arial" w:hAnsi="Arial" w:cs="Arial"/>
          <w:i/>
        </w:rPr>
        <w:t xml:space="preserve">was aware of when she moved in. Her health deteriorated over the course of four years at which point she asked that a ramp be installed. </w:t>
      </w:r>
      <w:r w:rsidR="008E527F">
        <w:rPr>
          <w:rFonts w:ascii="Arial" w:hAnsi="Arial" w:cs="Arial"/>
          <w:i/>
        </w:rPr>
        <w:t>Olivia could access her property</w:t>
      </w:r>
      <w:r w:rsidR="008657A2">
        <w:rPr>
          <w:rFonts w:ascii="Arial" w:hAnsi="Arial" w:cs="Arial"/>
          <w:i/>
        </w:rPr>
        <w:t>,</w:t>
      </w:r>
      <w:r w:rsidR="008E527F">
        <w:rPr>
          <w:rFonts w:ascii="Arial" w:hAnsi="Arial" w:cs="Arial"/>
          <w:i/>
        </w:rPr>
        <w:t xml:space="preserve"> but only </w:t>
      </w:r>
      <w:r w:rsidR="008657A2">
        <w:rPr>
          <w:rFonts w:ascii="Arial" w:hAnsi="Arial" w:cs="Arial"/>
          <w:i/>
        </w:rPr>
        <w:t xml:space="preserve">by going </w:t>
      </w:r>
      <w:r w:rsidR="008E527F">
        <w:rPr>
          <w:rFonts w:ascii="Arial" w:hAnsi="Arial" w:cs="Arial"/>
          <w:i/>
        </w:rPr>
        <w:t>through the nursing home</w:t>
      </w:r>
      <w:r w:rsidR="008657A2">
        <w:rPr>
          <w:rFonts w:ascii="Arial" w:hAnsi="Arial" w:cs="Arial"/>
          <w:i/>
        </w:rPr>
        <w:t>. When doing this she</w:t>
      </w:r>
      <w:r w:rsidR="008E527F">
        <w:rPr>
          <w:rFonts w:ascii="Arial" w:hAnsi="Arial" w:cs="Arial"/>
          <w:i/>
        </w:rPr>
        <w:t xml:space="preserve"> was</w:t>
      </w:r>
      <w:r w:rsidR="006D2652">
        <w:rPr>
          <w:rFonts w:ascii="Arial" w:hAnsi="Arial" w:cs="Arial"/>
          <w:i/>
        </w:rPr>
        <w:t xml:space="preserve"> frequently</w:t>
      </w:r>
      <w:r w:rsidR="008E527F">
        <w:rPr>
          <w:rFonts w:ascii="Arial" w:hAnsi="Arial" w:cs="Arial"/>
          <w:i/>
        </w:rPr>
        <w:t xml:space="preserve"> </w:t>
      </w:r>
      <w:r w:rsidR="008657A2">
        <w:rPr>
          <w:rFonts w:ascii="Arial" w:hAnsi="Arial" w:cs="Arial"/>
          <w:i/>
        </w:rPr>
        <w:t>rebuked</w:t>
      </w:r>
      <w:r w:rsidR="00C92F75">
        <w:rPr>
          <w:rFonts w:ascii="Arial" w:hAnsi="Arial" w:cs="Arial"/>
          <w:i/>
        </w:rPr>
        <w:t xml:space="preserve"> by staff</w:t>
      </w:r>
      <w:r w:rsidR="008E527F">
        <w:rPr>
          <w:rFonts w:ascii="Arial" w:hAnsi="Arial" w:cs="Arial"/>
          <w:i/>
        </w:rPr>
        <w:t>.</w:t>
      </w:r>
    </w:p>
    <w:p w14:paraId="566AE048" w14:textId="77777777" w:rsidR="00D37185" w:rsidRDefault="00D37185" w:rsidP="00070DF5">
      <w:pPr>
        <w:ind w:left="720"/>
        <w:rPr>
          <w:rFonts w:ascii="Arial" w:hAnsi="Arial" w:cs="Arial"/>
          <w:i/>
        </w:rPr>
      </w:pPr>
    </w:p>
    <w:p w14:paraId="5D2B100F" w14:textId="44A40D3B" w:rsidR="006E2598" w:rsidRDefault="00FE2C22" w:rsidP="00070DF5">
      <w:pPr>
        <w:ind w:left="720"/>
        <w:rPr>
          <w:rFonts w:ascii="Arial" w:hAnsi="Arial" w:cs="Arial"/>
          <w:i/>
        </w:rPr>
      </w:pPr>
      <w:r>
        <w:rPr>
          <w:rFonts w:ascii="Arial" w:hAnsi="Arial" w:cs="Arial"/>
          <w:i/>
        </w:rPr>
        <w:t>Olivia was prepared to pay for the modifications herself</w:t>
      </w:r>
      <w:r w:rsidR="008657A2">
        <w:rPr>
          <w:rFonts w:ascii="Arial" w:hAnsi="Arial" w:cs="Arial"/>
          <w:i/>
        </w:rPr>
        <w:t>, but her</w:t>
      </w:r>
      <w:r>
        <w:rPr>
          <w:rFonts w:ascii="Arial" w:hAnsi="Arial" w:cs="Arial"/>
          <w:i/>
        </w:rPr>
        <w:t xml:space="preserve"> request was refused on ‘health and safety’ grounds.</w:t>
      </w:r>
      <w:r w:rsidR="00FE18A1">
        <w:rPr>
          <w:rFonts w:ascii="Arial" w:hAnsi="Arial" w:cs="Arial"/>
          <w:i/>
        </w:rPr>
        <w:t xml:space="preserve"> After she </w:t>
      </w:r>
      <w:r w:rsidR="003430C1">
        <w:rPr>
          <w:rFonts w:ascii="Arial" w:hAnsi="Arial" w:cs="Arial"/>
          <w:i/>
        </w:rPr>
        <w:t>escalated the matter to the</w:t>
      </w:r>
      <w:r w:rsidR="00FE18A1">
        <w:rPr>
          <w:rFonts w:ascii="Arial" w:hAnsi="Arial" w:cs="Arial"/>
          <w:i/>
        </w:rPr>
        <w:t xml:space="preserve"> head office, she was issued a Notice to Leave with the </w:t>
      </w:r>
      <w:r w:rsidR="008657A2">
        <w:rPr>
          <w:rFonts w:ascii="Arial" w:hAnsi="Arial" w:cs="Arial"/>
          <w:i/>
        </w:rPr>
        <w:t xml:space="preserve">stated </w:t>
      </w:r>
      <w:r w:rsidR="00FE18A1">
        <w:rPr>
          <w:rFonts w:ascii="Arial" w:hAnsi="Arial" w:cs="Arial"/>
          <w:i/>
        </w:rPr>
        <w:t xml:space="preserve">reason </w:t>
      </w:r>
      <w:r w:rsidR="008657A2">
        <w:rPr>
          <w:rFonts w:ascii="Arial" w:hAnsi="Arial" w:cs="Arial"/>
          <w:i/>
        </w:rPr>
        <w:t xml:space="preserve">being </w:t>
      </w:r>
      <w:r w:rsidR="00FE18A1">
        <w:rPr>
          <w:rFonts w:ascii="Arial" w:hAnsi="Arial" w:cs="Arial"/>
          <w:i/>
        </w:rPr>
        <w:t xml:space="preserve">that she was </w:t>
      </w:r>
      <w:r w:rsidR="008657A2">
        <w:rPr>
          <w:rFonts w:ascii="Arial" w:hAnsi="Arial" w:cs="Arial"/>
          <w:i/>
        </w:rPr>
        <w:t>‘</w:t>
      </w:r>
      <w:r w:rsidR="00FE18A1">
        <w:rPr>
          <w:rFonts w:ascii="Arial" w:hAnsi="Arial" w:cs="Arial"/>
          <w:i/>
        </w:rPr>
        <w:t>no longer able to live independently</w:t>
      </w:r>
      <w:r w:rsidR="008657A2">
        <w:rPr>
          <w:rFonts w:ascii="Arial" w:hAnsi="Arial" w:cs="Arial"/>
          <w:i/>
        </w:rPr>
        <w:t>’</w:t>
      </w:r>
      <w:r w:rsidR="00FE18A1">
        <w:rPr>
          <w:rFonts w:ascii="Arial" w:hAnsi="Arial" w:cs="Arial"/>
          <w:i/>
        </w:rPr>
        <w:t xml:space="preserve">. </w:t>
      </w:r>
      <w:r w:rsidR="008657A2">
        <w:rPr>
          <w:rFonts w:ascii="Arial" w:hAnsi="Arial" w:cs="Arial"/>
          <w:i/>
        </w:rPr>
        <w:t xml:space="preserve">Olivia </w:t>
      </w:r>
      <w:r w:rsidR="00FE18A1">
        <w:rPr>
          <w:rFonts w:ascii="Arial" w:hAnsi="Arial" w:cs="Arial"/>
          <w:i/>
        </w:rPr>
        <w:t xml:space="preserve">disputed this </w:t>
      </w:r>
      <w:r w:rsidR="00482727">
        <w:rPr>
          <w:rFonts w:ascii="Arial" w:hAnsi="Arial" w:cs="Arial"/>
          <w:i/>
        </w:rPr>
        <w:t>notice</w:t>
      </w:r>
      <w:r w:rsidR="00FE18A1">
        <w:rPr>
          <w:rFonts w:ascii="Arial" w:hAnsi="Arial" w:cs="Arial"/>
          <w:i/>
        </w:rPr>
        <w:t xml:space="preserve"> saying that she was very independent but needed reasonable adjustments </w:t>
      </w:r>
      <w:r w:rsidR="008657A2">
        <w:rPr>
          <w:rFonts w:ascii="Arial" w:hAnsi="Arial" w:cs="Arial"/>
          <w:i/>
        </w:rPr>
        <w:t>to</w:t>
      </w:r>
      <w:r w:rsidR="00FE18A1">
        <w:rPr>
          <w:rFonts w:ascii="Arial" w:hAnsi="Arial" w:cs="Arial"/>
          <w:i/>
        </w:rPr>
        <w:t xml:space="preserve"> access the premises. </w:t>
      </w:r>
      <w:r w:rsidR="00D41326">
        <w:rPr>
          <w:rFonts w:ascii="Arial" w:hAnsi="Arial" w:cs="Arial"/>
          <w:i/>
        </w:rPr>
        <w:t xml:space="preserve">Through conciliation, the real estate </w:t>
      </w:r>
      <w:r w:rsidR="008657A2">
        <w:rPr>
          <w:rFonts w:ascii="Arial" w:hAnsi="Arial" w:cs="Arial"/>
          <w:i/>
        </w:rPr>
        <w:t xml:space="preserve">agent </w:t>
      </w:r>
      <w:r w:rsidR="00D41326">
        <w:rPr>
          <w:rFonts w:ascii="Arial" w:hAnsi="Arial" w:cs="Arial"/>
          <w:i/>
        </w:rPr>
        <w:t>agreed to let her temporarily access her home through the nursing home. She was</w:t>
      </w:r>
      <w:r w:rsidR="00744594">
        <w:rPr>
          <w:rFonts w:ascii="Arial" w:hAnsi="Arial" w:cs="Arial"/>
          <w:i/>
        </w:rPr>
        <w:t xml:space="preserve"> eventually</w:t>
      </w:r>
      <w:r w:rsidR="00D41326">
        <w:rPr>
          <w:rFonts w:ascii="Arial" w:hAnsi="Arial" w:cs="Arial"/>
          <w:i/>
        </w:rPr>
        <w:t xml:space="preserve"> approved for social housing and moved out.</w:t>
      </w:r>
    </w:p>
    <w:p w14:paraId="0F178B7D" w14:textId="1352E6E0" w:rsidR="006E2598" w:rsidRPr="009E0AEB" w:rsidRDefault="006E2598" w:rsidP="009E0AEB">
      <w:pPr>
        <w:pStyle w:val="Heading2"/>
        <w:rPr>
          <w:i/>
          <w:sz w:val="28"/>
        </w:rPr>
      </w:pPr>
      <w:bookmarkStart w:id="11" w:name="_Toc49173349"/>
      <w:r w:rsidRPr="009E0AEB">
        <w:rPr>
          <w:i/>
          <w:sz w:val="28"/>
        </w:rPr>
        <w:lastRenderedPageBreak/>
        <w:t>Accessibility issues in strata title schemes</w:t>
      </w:r>
      <w:bookmarkEnd w:id="11"/>
    </w:p>
    <w:p w14:paraId="154EF83B" w14:textId="43D9F736" w:rsidR="00753727" w:rsidRDefault="00753727" w:rsidP="009C0D81">
      <w:pPr>
        <w:pStyle w:val="ListParagraph"/>
        <w:numPr>
          <w:ilvl w:val="0"/>
          <w:numId w:val="17"/>
        </w:numPr>
        <w:rPr>
          <w:rFonts w:ascii="Arial" w:hAnsi="Arial" w:cs="Arial"/>
        </w:rPr>
      </w:pPr>
      <w:r>
        <w:rPr>
          <w:rFonts w:ascii="Arial" w:hAnsi="Arial" w:cs="Arial"/>
        </w:rPr>
        <w:t>T</w:t>
      </w:r>
      <w:r w:rsidRPr="00753727">
        <w:rPr>
          <w:rFonts w:ascii="Arial" w:hAnsi="Arial" w:cs="Arial"/>
        </w:rPr>
        <w:t xml:space="preserve">he Commission has identified a troubling trend of decisions about </w:t>
      </w:r>
      <w:r w:rsidR="00AF47FA">
        <w:rPr>
          <w:rFonts w:ascii="Arial" w:hAnsi="Arial" w:cs="Arial"/>
        </w:rPr>
        <w:t>the installation of accessibility features</w:t>
      </w:r>
      <w:r w:rsidRPr="00753727">
        <w:rPr>
          <w:rFonts w:ascii="Arial" w:hAnsi="Arial" w:cs="Arial"/>
        </w:rPr>
        <w:t xml:space="preserve"> being </w:t>
      </w:r>
      <w:r w:rsidR="001C5880">
        <w:rPr>
          <w:rFonts w:ascii="Arial" w:hAnsi="Arial" w:cs="Arial"/>
        </w:rPr>
        <w:t xml:space="preserve">made by </w:t>
      </w:r>
      <w:r w:rsidR="000E699D">
        <w:rPr>
          <w:rFonts w:ascii="Arial" w:hAnsi="Arial" w:cs="Arial"/>
        </w:rPr>
        <w:t>body corporate committees</w:t>
      </w:r>
      <w:r w:rsidR="001C5880">
        <w:rPr>
          <w:rFonts w:ascii="Arial" w:hAnsi="Arial" w:cs="Arial"/>
        </w:rPr>
        <w:t xml:space="preserve">, </w:t>
      </w:r>
      <w:r w:rsidR="000E699D">
        <w:rPr>
          <w:rFonts w:ascii="Arial" w:hAnsi="Arial" w:cs="Arial"/>
        </w:rPr>
        <w:t>and</w:t>
      </w:r>
      <w:r w:rsidRPr="00753727">
        <w:rPr>
          <w:rFonts w:ascii="Arial" w:hAnsi="Arial" w:cs="Arial"/>
        </w:rPr>
        <w:t xml:space="preserve"> lot owners</w:t>
      </w:r>
      <w:r w:rsidR="001C5880">
        <w:rPr>
          <w:rFonts w:ascii="Arial" w:hAnsi="Arial" w:cs="Arial"/>
        </w:rPr>
        <w:t>, who often do not have the necessary experience or expertise</w:t>
      </w:r>
      <w:r w:rsidRPr="00753727">
        <w:rPr>
          <w:rFonts w:ascii="Arial" w:hAnsi="Arial" w:cs="Arial"/>
        </w:rPr>
        <w:t>.</w:t>
      </w:r>
    </w:p>
    <w:p w14:paraId="11959D4B" w14:textId="77777777" w:rsidR="00753727" w:rsidRDefault="00753727" w:rsidP="00753727">
      <w:pPr>
        <w:pStyle w:val="ListParagraph"/>
        <w:rPr>
          <w:rFonts w:ascii="Arial" w:hAnsi="Arial" w:cs="Arial"/>
        </w:rPr>
      </w:pPr>
    </w:p>
    <w:p w14:paraId="33C00004" w14:textId="6B89BB13" w:rsidR="00753727" w:rsidRDefault="00D37185" w:rsidP="009C0D81">
      <w:pPr>
        <w:pStyle w:val="ListParagraph"/>
        <w:numPr>
          <w:ilvl w:val="0"/>
          <w:numId w:val="17"/>
        </w:numPr>
        <w:rPr>
          <w:rFonts w:ascii="Arial" w:hAnsi="Arial" w:cs="Arial"/>
        </w:rPr>
      </w:pPr>
      <w:r>
        <w:rPr>
          <w:rFonts w:ascii="Arial" w:hAnsi="Arial" w:cs="Arial"/>
        </w:rPr>
        <w:t xml:space="preserve">From our recent discussions </w:t>
      </w:r>
      <w:r w:rsidR="00753727">
        <w:rPr>
          <w:rFonts w:ascii="Arial" w:hAnsi="Arial" w:cs="Arial"/>
        </w:rPr>
        <w:t xml:space="preserve">with </w:t>
      </w:r>
      <w:r w:rsidR="001C5880">
        <w:rPr>
          <w:rFonts w:ascii="Arial" w:hAnsi="Arial" w:cs="Arial"/>
        </w:rPr>
        <w:t xml:space="preserve">Queensland </w:t>
      </w:r>
      <w:r w:rsidR="00753727">
        <w:rPr>
          <w:rFonts w:ascii="Arial" w:hAnsi="Arial" w:cs="Arial"/>
        </w:rPr>
        <w:t>Body Corporate and Community Management (BCCM)</w:t>
      </w:r>
      <w:r>
        <w:rPr>
          <w:rFonts w:ascii="Arial" w:hAnsi="Arial" w:cs="Arial"/>
        </w:rPr>
        <w:t>,</w:t>
      </w:r>
      <w:r w:rsidR="00753727">
        <w:rPr>
          <w:rFonts w:ascii="Arial" w:hAnsi="Arial" w:cs="Arial"/>
        </w:rPr>
        <w:t xml:space="preserve"> who</w:t>
      </w:r>
      <w:r>
        <w:rPr>
          <w:rFonts w:ascii="Arial" w:hAnsi="Arial" w:cs="Arial"/>
        </w:rPr>
        <w:t xml:space="preserve"> provide a </w:t>
      </w:r>
      <w:r w:rsidR="00753727">
        <w:rPr>
          <w:rFonts w:ascii="Arial" w:hAnsi="Arial" w:cs="Arial"/>
        </w:rPr>
        <w:t xml:space="preserve">conciliation process for body corporate disputes, it </w:t>
      </w:r>
      <w:r>
        <w:rPr>
          <w:rFonts w:ascii="Arial" w:hAnsi="Arial" w:cs="Arial"/>
        </w:rPr>
        <w:t>is</w:t>
      </w:r>
      <w:r w:rsidR="00753727">
        <w:rPr>
          <w:rFonts w:ascii="Arial" w:hAnsi="Arial" w:cs="Arial"/>
        </w:rPr>
        <w:t xml:space="preserve"> apparent that many </w:t>
      </w:r>
      <w:r w:rsidR="00271E44">
        <w:rPr>
          <w:rFonts w:ascii="Arial" w:hAnsi="Arial" w:cs="Arial"/>
        </w:rPr>
        <w:t>accessibility</w:t>
      </w:r>
      <w:r w:rsidR="00753727">
        <w:rPr>
          <w:rFonts w:ascii="Arial" w:hAnsi="Arial" w:cs="Arial"/>
        </w:rPr>
        <w:t xml:space="preserve"> complaints are also </w:t>
      </w:r>
      <w:r w:rsidR="001215BB">
        <w:rPr>
          <w:rFonts w:ascii="Arial" w:hAnsi="Arial" w:cs="Arial"/>
        </w:rPr>
        <w:t>being conciliated by that service</w:t>
      </w:r>
      <w:r w:rsidR="00753727">
        <w:rPr>
          <w:rFonts w:ascii="Arial" w:hAnsi="Arial" w:cs="Arial"/>
        </w:rPr>
        <w:t>.</w:t>
      </w:r>
    </w:p>
    <w:p w14:paraId="67CD7503" w14:textId="77777777" w:rsidR="00753727" w:rsidRPr="00753727" w:rsidRDefault="00753727" w:rsidP="00753727">
      <w:pPr>
        <w:pStyle w:val="ListParagraph"/>
        <w:rPr>
          <w:rFonts w:ascii="Arial" w:hAnsi="Arial" w:cs="Arial"/>
        </w:rPr>
      </w:pPr>
    </w:p>
    <w:p w14:paraId="500EF2F1" w14:textId="1665B2A7" w:rsidR="00753727" w:rsidRPr="00245BB2" w:rsidRDefault="00753727" w:rsidP="009C0D81">
      <w:pPr>
        <w:pStyle w:val="ListParagraph"/>
        <w:numPr>
          <w:ilvl w:val="0"/>
          <w:numId w:val="17"/>
        </w:numPr>
        <w:rPr>
          <w:rFonts w:ascii="Arial" w:hAnsi="Arial" w:cs="Arial"/>
        </w:rPr>
      </w:pPr>
      <w:r w:rsidRPr="00245BB2">
        <w:rPr>
          <w:rFonts w:ascii="Arial" w:hAnsi="Arial" w:cs="Arial"/>
        </w:rPr>
        <w:t xml:space="preserve">Modifications to common property on body corporate premises can be costly. As these decisions go to vote and decisions are largely based on the economic interests of the collective lot owners, the decisions often do not go in the favour of a person who needs adjustments </w:t>
      </w:r>
      <w:r w:rsidR="00C17A45">
        <w:rPr>
          <w:rFonts w:ascii="Arial" w:hAnsi="Arial" w:cs="Arial"/>
        </w:rPr>
        <w:t>because</w:t>
      </w:r>
      <w:r w:rsidRPr="00245BB2">
        <w:rPr>
          <w:rFonts w:ascii="Arial" w:hAnsi="Arial" w:cs="Arial"/>
        </w:rPr>
        <w:t xml:space="preserve"> of their ag</w:t>
      </w:r>
      <w:r w:rsidR="00B308D7" w:rsidRPr="00245BB2">
        <w:rPr>
          <w:rFonts w:ascii="Arial" w:hAnsi="Arial" w:cs="Arial"/>
        </w:rPr>
        <w:t>e or disability. Body corporate committees and managers</w:t>
      </w:r>
      <w:r w:rsidRPr="00245BB2">
        <w:rPr>
          <w:rFonts w:ascii="Arial" w:hAnsi="Arial" w:cs="Arial"/>
        </w:rPr>
        <w:t xml:space="preserve"> are poorly educated on their obligations not to d</w:t>
      </w:r>
      <w:r w:rsidR="00D15560" w:rsidRPr="00245BB2">
        <w:rPr>
          <w:rFonts w:ascii="Arial" w:hAnsi="Arial" w:cs="Arial"/>
        </w:rPr>
        <w:t>iscriminate against a lot owner. This is despite there being</w:t>
      </w:r>
      <w:r w:rsidRPr="00245BB2">
        <w:rPr>
          <w:rFonts w:ascii="Arial" w:hAnsi="Arial" w:cs="Arial"/>
        </w:rPr>
        <w:t xml:space="preserve"> a clear l</w:t>
      </w:r>
      <w:r w:rsidR="00245BB2">
        <w:rPr>
          <w:rFonts w:ascii="Arial" w:hAnsi="Arial" w:cs="Arial"/>
        </w:rPr>
        <w:t xml:space="preserve">egal precedent in the </w:t>
      </w:r>
      <w:r w:rsidR="00FC34BC">
        <w:rPr>
          <w:rFonts w:ascii="Arial" w:hAnsi="Arial" w:cs="Arial"/>
        </w:rPr>
        <w:t>case</w:t>
      </w:r>
      <w:r w:rsidR="00245BB2">
        <w:rPr>
          <w:rFonts w:ascii="Arial" w:hAnsi="Arial" w:cs="Arial"/>
        </w:rPr>
        <w:t xml:space="preserve"> of </w:t>
      </w:r>
      <w:r w:rsidR="00245BB2" w:rsidRPr="00FC34BC">
        <w:rPr>
          <w:rFonts w:ascii="Arial" w:hAnsi="Arial" w:cs="Arial"/>
          <w:i/>
        </w:rPr>
        <w:t xml:space="preserve">C v </w:t>
      </w:r>
      <w:r w:rsidR="00D15560" w:rsidRPr="00FC34BC">
        <w:rPr>
          <w:rFonts w:ascii="Arial" w:hAnsi="Arial" w:cs="Arial"/>
          <w:i/>
          <w:shd w:val="clear" w:color="auto" w:fill="FFFFFF"/>
        </w:rPr>
        <w:t xml:space="preserve">A </w:t>
      </w:r>
      <w:r w:rsidR="00D15560" w:rsidRPr="00FC34BC">
        <w:rPr>
          <w:rFonts w:ascii="Arial" w:hAnsi="Arial" w:cs="Arial"/>
          <w:shd w:val="clear" w:color="auto" w:fill="FFFFFF"/>
        </w:rPr>
        <w:t>[2005] QADT 14, which found</w:t>
      </w:r>
      <w:r w:rsidR="004F5992" w:rsidRPr="00FC34BC">
        <w:rPr>
          <w:rFonts w:ascii="Arial" w:hAnsi="Arial" w:cs="Arial"/>
        </w:rPr>
        <w:t xml:space="preserve"> that the </w:t>
      </w:r>
      <w:r w:rsidR="004F5992">
        <w:rPr>
          <w:rFonts w:ascii="Arial" w:hAnsi="Arial" w:cs="Arial"/>
        </w:rPr>
        <w:t xml:space="preserve">AD Act </w:t>
      </w:r>
      <w:r w:rsidR="00D15560" w:rsidRPr="00245BB2">
        <w:rPr>
          <w:rFonts w:ascii="Arial" w:hAnsi="Arial" w:cs="Arial"/>
        </w:rPr>
        <w:t xml:space="preserve">applies to </w:t>
      </w:r>
      <w:r w:rsidR="00AF47FA">
        <w:rPr>
          <w:rFonts w:ascii="Arial" w:hAnsi="Arial" w:cs="Arial"/>
        </w:rPr>
        <w:t>bodies corporate</w:t>
      </w:r>
      <w:r w:rsidR="00245BB2" w:rsidRPr="00245BB2">
        <w:rPr>
          <w:rFonts w:ascii="Arial" w:hAnsi="Arial" w:cs="Arial"/>
        </w:rPr>
        <w:t xml:space="preserve"> and awarded $25,000 in compensation to a lot owner because of the adverse impact of not having access to common property.</w:t>
      </w:r>
    </w:p>
    <w:p w14:paraId="688AF53E" w14:textId="77777777" w:rsidR="00762F3F" w:rsidRPr="00762F3F" w:rsidRDefault="00762F3F" w:rsidP="00762F3F">
      <w:pPr>
        <w:pStyle w:val="ListParagraph"/>
        <w:rPr>
          <w:rFonts w:ascii="Arial" w:hAnsi="Arial" w:cs="Arial"/>
        </w:rPr>
      </w:pPr>
    </w:p>
    <w:p w14:paraId="35EF48BB" w14:textId="7EEEF5C6" w:rsidR="00762F3F" w:rsidRDefault="002A5AA6" w:rsidP="009C0D81">
      <w:pPr>
        <w:pStyle w:val="ListParagraph"/>
        <w:numPr>
          <w:ilvl w:val="0"/>
          <w:numId w:val="17"/>
        </w:numPr>
        <w:rPr>
          <w:rFonts w:ascii="Arial" w:hAnsi="Arial" w:cs="Arial"/>
        </w:rPr>
      </w:pPr>
      <w:r>
        <w:rPr>
          <w:rFonts w:ascii="Arial" w:hAnsi="Arial" w:cs="Arial"/>
        </w:rPr>
        <w:t>With the traditional stand-alone home being out of reach for many Australians, a</w:t>
      </w:r>
      <w:r w:rsidR="00762F3F">
        <w:rPr>
          <w:rFonts w:ascii="Arial" w:hAnsi="Arial" w:cs="Arial"/>
        </w:rPr>
        <w:t xml:space="preserve">n increasing number </w:t>
      </w:r>
      <w:r>
        <w:rPr>
          <w:rFonts w:ascii="Arial" w:hAnsi="Arial" w:cs="Arial"/>
        </w:rPr>
        <w:t>people</w:t>
      </w:r>
      <w:r w:rsidR="00762F3F">
        <w:rPr>
          <w:rFonts w:ascii="Arial" w:hAnsi="Arial" w:cs="Arial"/>
        </w:rPr>
        <w:t xml:space="preserve"> are l</w:t>
      </w:r>
      <w:r>
        <w:rPr>
          <w:rFonts w:ascii="Arial" w:hAnsi="Arial" w:cs="Arial"/>
        </w:rPr>
        <w:t>iving in strata title schemes</w:t>
      </w:r>
      <w:r w:rsidR="00EC0A48">
        <w:rPr>
          <w:rFonts w:ascii="Arial" w:hAnsi="Arial" w:cs="Arial"/>
        </w:rPr>
        <w:t>,</w:t>
      </w:r>
      <w:r w:rsidR="00640449">
        <w:rPr>
          <w:rFonts w:ascii="Arial" w:hAnsi="Arial" w:cs="Arial"/>
        </w:rPr>
        <w:t xml:space="preserve"> and t</w:t>
      </w:r>
      <w:r w:rsidR="00762F3F">
        <w:rPr>
          <w:rFonts w:ascii="Arial" w:hAnsi="Arial" w:cs="Arial"/>
        </w:rPr>
        <w:t>hese issues are likely to become more prevalent</w:t>
      </w:r>
      <w:r w:rsidR="00640449">
        <w:rPr>
          <w:rFonts w:ascii="Arial" w:hAnsi="Arial" w:cs="Arial"/>
        </w:rPr>
        <w:t xml:space="preserve"> over time</w:t>
      </w:r>
      <w:r w:rsidR="00762F3F">
        <w:rPr>
          <w:rFonts w:ascii="Arial" w:hAnsi="Arial" w:cs="Arial"/>
        </w:rPr>
        <w:t>.</w:t>
      </w:r>
    </w:p>
    <w:p w14:paraId="37C5F56A" w14:textId="77777777" w:rsidR="00753727" w:rsidRPr="001D553B" w:rsidRDefault="00753727" w:rsidP="001D553B">
      <w:pPr>
        <w:rPr>
          <w:rFonts w:ascii="Arial" w:hAnsi="Arial" w:cs="Arial"/>
        </w:rPr>
      </w:pPr>
    </w:p>
    <w:p w14:paraId="4064C849" w14:textId="67796247" w:rsidR="006B3C32" w:rsidRPr="005F14FF" w:rsidRDefault="00C17A45" w:rsidP="009C0D81">
      <w:pPr>
        <w:pStyle w:val="ListParagraph"/>
        <w:numPr>
          <w:ilvl w:val="0"/>
          <w:numId w:val="17"/>
        </w:numPr>
        <w:rPr>
          <w:rFonts w:ascii="Arial" w:hAnsi="Arial" w:cs="Arial"/>
        </w:rPr>
      </w:pPr>
      <w:r>
        <w:rPr>
          <w:rFonts w:ascii="Arial" w:hAnsi="Arial" w:cs="Arial"/>
        </w:rPr>
        <w:t xml:space="preserve">The following </w:t>
      </w:r>
      <w:r w:rsidR="00753727">
        <w:rPr>
          <w:rFonts w:ascii="Arial" w:hAnsi="Arial" w:cs="Arial"/>
        </w:rPr>
        <w:t>case studies illustrate these issues in more detail</w:t>
      </w:r>
      <w:r w:rsidR="00AF47FA">
        <w:rPr>
          <w:rFonts w:ascii="Arial" w:hAnsi="Arial" w:cs="Arial"/>
        </w:rPr>
        <w:t>.</w:t>
      </w:r>
    </w:p>
    <w:p w14:paraId="75647E1F" w14:textId="77777777" w:rsidR="006B3C32" w:rsidRDefault="006B3C32" w:rsidP="006B3C32">
      <w:pPr>
        <w:rPr>
          <w:rFonts w:ascii="Arial" w:hAnsi="Arial" w:cs="Arial"/>
          <w:b/>
          <w:i/>
        </w:rPr>
      </w:pPr>
    </w:p>
    <w:p w14:paraId="2B4750CB" w14:textId="668B106A" w:rsidR="006B3C32" w:rsidRPr="001472FD" w:rsidRDefault="00AF47FA" w:rsidP="00C2258D">
      <w:pPr>
        <w:ind w:left="720"/>
        <w:rPr>
          <w:rFonts w:ascii="Arial" w:hAnsi="Arial" w:cs="Arial"/>
          <w:b/>
          <w:i/>
        </w:rPr>
      </w:pPr>
      <w:r>
        <w:rPr>
          <w:rFonts w:ascii="Arial" w:hAnsi="Arial" w:cs="Arial"/>
          <w:b/>
          <w:i/>
        </w:rPr>
        <w:t xml:space="preserve">Case Study </w:t>
      </w:r>
      <w:r w:rsidR="006575B0">
        <w:rPr>
          <w:rFonts w:ascii="Arial" w:hAnsi="Arial" w:cs="Arial"/>
          <w:b/>
          <w:i/>
        </w:rPr>
        <w:t>8</w:t>
      </w:r>
      <w:r w:rsidR="00C57ECE">
        <w:rPr>
          <w:rFonts w:ascii="Arial" w:hAnsi="Arial" w:cs="Arial"/>
          <w:b/>
          <w:i/>
        </w:rPr>
        <w:t>:</w:t>
      </w:r>
    </w:p>
    <w:p w14:paraId="69F33404" w14:textId="77777777" w:rsidR="006B3C32" w:rsidRDefault="006B3C32" w:rsidP="00C2258D">
      <w:pPr>
        <w:ind w:left="720"/>
        <w:rPr>
          <w:rFonts w:ascii="Arial" w:hAnsi="Arial" w:cs="Arial"/>
          <w:i/>
        </w:rPr>
      </w:pPr>
    </w:p>
    <w:p w14:paraId="321F671A" w14:textId="257FA544" w:rsidR="006B3C32" w:rsidRDefault="006B3C32" w:rsidP="00C2258D">
      <w:pPr>
        <w:ind w:left="720"/>
        <w:rPr>
          <w:rFonts w:ascii="Arial" w:hAnsi="Arial" w:cs="Arial"/>
          <w:i/>
        </w:rPr>
      </w:pPr>
      <w:r>
        <w:rPr>
          <w:rFonts w:ascii="Arial" w:hAnsi="Arial" w:cs="Arial"/>
          <w:i/>
        </w:rPr>
        <w:t xml:space="preserve">Mandy had been living in </w:t>
      </w:r>
      <w:r w:rsidR="006A1FB4">
        <w:rPr>
          <w:rFonts w:ascii="Arial" w:hAnsi="Arial" w:cs="Arial"/>
          <w:i/>
        </w:rPr>
        <w:t>a large</w:t>
      </w:r>
      <w:r>
        <w:rPr>
          <w:rFonts w:ascii="Arial" w:hAnsi="Arial" w:cs="Arial"/>
          <w:i/>
        </w:rPr>
        <w:t xml:space="preserve"> apartment complex with her husband for some time. </w:t>
      </w:r>
      <w:r w:rsidR="007158E0">
        <w:rPr>
          <w:rFonts w:ascii="Arial" w:hAnsi="Arial" w:cs="Arial"/>
          <w:i/>
        </w:rPr>
        <w:t>After having a stroke</w:t>
      </w:r>
      <w:r w:rsidR="006B66FC">
        <w:rPr>
          <w:rFonts w:ascii="Arial" w:hAnsi="Arial" w:cs="Arial"/>
          <w:i/>
        </w:rPr>
        <w:t>,</w:t>
      </w:r>
      <w:r w:rsidR="007158E0">
        <w:rPr>
          <w:rFonts w:ascii="Arial" w:hAnsi="Arial" w:cs="Arial"/>
          <w:i/>
        </w:rPr>
        <w:t xml:space="preserve"> she</w:t>
      </w:r>
      <w:r w:rsidR="006B66FC">
        <w:rPr>
          <w:rFonts w:ascii="Arial" w:hAnsi="Arial" w:cs="Arial"/>
          <w:i/>
        </w:rPr>
        <w:t xml:space="preserve"> returned from hospital in</w:t>
      </w:r>
      <w:r>
        <w:rPr>
          <w:rFonts w:ascii="Arial" w:hAnsi="Arial" w:cs="Arial"/>
          <w:i/>
        </w:rPr>
        <w:t xml:space="preserve"> a wheelchair. As the front entrance to the building had steps</w:t>
      </w:r>
      <w:r w:rsidR="00F83F94">
        <w:rPr>
          <w:rFonts w:ascii="Arial" w:hAnsi="Arial" w:cs="Arial"/>
          <w:i/>
        </w:rPr>
        <w:t>,</w:t>
      </w:r>
      <w:r>
        <w:rPr>
          <w:rFonts w:ascii="Arial" w:hAnsi="Arial" w:cs="Arial"/>
          <w:i/>
        </w:rPr>
        <w:t xml:space="preserve"> she found that she was no longer able to </w:t>
      </w:r>
      <w:r w:rsidR="005122CE">
        <w:rPr>
          <w:rFonts w:ascii="Arial" w:hAnsi="Arial" w:cs="Arial"/>
          <w:i/>
        </w:rPr>
        <w:t xml:space="preserve">independently </w:t>
      </w:r>
      <w:r>
        <w:rPr>
          <w:rFonts w:ascii="Arial" w:hAnsi="Arial" w:cs="Arial"/>
          <w:i/>
        </w:rPr>
        <w:t xml:space="preserve">enter or exit her home. This left her feeling socially isolated and depressed. Although the body corporate </w:t>
      </w:r>
      <w:r w:rsidR="00BD7E15">
        <w:rPr>
          <w:rFonts w:ascii="Arial" w:hAnsi="Arial" w:cs="Arial"/>
          <w:i/>
        </w:rPr>
        <w:t xml:space="preserve">committee </w:t>
      </w:r>
      <w:r>
        <w:rPr>
          <w:rFonts w:ascii="Arial" w:hAnsi="Arial" w:cs="Arial"/>
          <w:i/>
        </w:rPr>
        <w:t>initially agreed</w:t>
      </w:r>
      <w:r w:rsidR="006A1FB4">
        <w:rPr>
          <w:rFonts w:ascii="Arial" w:hAnsi="Arial" w:cs="Arial"/>
          <w:i/>
        </w:rPr>
        <w:t xml:space="preserve"> in writing</w:t>
      </w:r>
      <w:r>
        <w:rPr>
          <w:rFonts w:ascii="Arial" w:hAnsi="Arial" w:cs="Arial"/>
          <w:i/>
        </w:rPr>
        <w:t xml:space="preserve"> to make the foyer</w:t>
      </w:r>
      <w:r w:rsidR="00804517">
        <w:rPr>
          <w:rFonts w:ascii="Arial" w:hAnsi="Arial" w:cs="Arial"/>
          <w:i/>
        </w:rPr>
        <w:t xml:space="preserve"> entrance</w:t>
      </w:r>
      <w:r>
        <w:rPr>
          <w:rFonts w:ascii="Arial" w:hAnsi="Arial" w:cs="Arial"/>
          <w:i/>
        </w:rPr>
        <w:t xml:space="preserve"> and pool accessible, </w:t>
      </w:r>
      <w:r w:rsidR="00D03254">
        <w:rPr>
          <w:rFonts w:ascii="Arial" w:hAnsi="Arial" w:cs="Arial"/>
          <w:i/>
        </w:rPr>
        <w:t>after a year had passed no changes had been made</w:t>
      </w:r>
      <w:r>
        <w:rPr>
          <w:rFonts w:ascii="Arial" w:hAnsi="Arial" w:cs="Arial"/>
          <w:i/>
        </w:rPr>
        <w:t>.</w:t>
      </w:r>
      <w:r w:rsidR="006A1FB4">
        <w:rPr>
          <w:rFonts w:ascii="Arial" w:hAnsi="Arial" w:cs="Arial"/>
          <w:i/>
        </w:rPr>
        <w:t xml:space="preserve"> Once the quotes</w:t>
      </w:r>
      <w:r w:rsidR="002C7DA2">
        <w:rPr>
          <w:rFonts w:ascii="Arial" w:hAnsi="Arial" w:cs="Arial"/>
          <w:i/>
        </w:rPr>
        <w:t xml:space="preserve"> for the work</w:t>
      </w:r>
      <w:r w:rsidR="006A1FB4">
        <w:rPr>
          <w:rFonts w:ascii="Arial" w:hAnsi="Arial" w:cs="Arial"/>
          <w:i/>
        </w:rPr>
        <w:t xml:space="preserve"> were put t</w:t>
      </w:r>
      <w:r w:rsidR="00B76F6B">
        <w:rPr>
          <w:rFonts w:ascii="Arial" w:hAnsi="Arial" w:cs="Arial"/>
          <w:i/>
        </w:rPr>
        <w:t>o the lot owners they were voted</w:t>
      </w:r>
      <w:r w:rsidR="006A1FB4">
        <w:rPr>
          <w:rFonts w:ascii="Arial" w:hAnsi="Arial" w:cs="Arial"/>
          <w:i/>
        </w:rPr>
        <w:t xml:space="preserve"> </w:t>
      </w:r>
      <w:r w:rsidR="00B76F6B">
        <w:rPr>
          <w:rFonts w:ascii="Arial" w:hAnsi="Arial" w:cs="Arial"/>
          <w:i/>
        </w:rPr>
        <w:t>d</w:t>
      </w:r>
      <w:r w:rsidR="001B4654">
        <w:rPr>
          <w:rFonts w:ascii="Arial" w:hAnsi="Arial" w:cs="Arial"/>
          <w:i/>
        </w:rPr>
        <w:t xml:space="preserve">own. </w:t>
      </w:r>
      <w:r w:rsidR="002C7DA2">
        <w:rPr>
          <w:rFonts w:ascii="Arial" w:hAnsi="Arial" w:cs="Arial"/>
          <w:i/>
        </w:rPr>
        <w:t>Through the</w:t>
      </w:r>
      <w:r w:rsidR="00973033">
        <w:rPr>
          <w:rFonts w:ascii="Arial" w:hAnsi="Arial" w:cs="Arial"/>
          <w:i/>
        </w:rPr>
        <w:t xml:space="preserve"> body corporate voting</w:t>
      </w:r>
      <w:r w:rsidR="002C7DA2">
        <w:rPr>
          <w:rFonts w:ascii="Arial" w:hAnsi="Arial" w:cs="Arial"/>
          <w:i/>
        </w:rPr>
        <w:t xml:space="preserve"> process, lot owners are </w:t>
      </w:r>
      <w:r w:rsidR="00FC34BC">
        <w:rPr>
          <w:rFonts w:ascii="Arial" w:hAnsi="Arial" w:cs="Arial"/>
          <w:i/>
        </w:rPr>
        <w:t>entitled</w:t>
      </w:r>
      <w:r w:rsidR="002C7DA2">
        <w:rPr>
          <w:rFonts w:ascii="Arial" w:hAnsi="Arial" w:cs="Arial"/>
          <w:i/>
        </w:rPr>
        <w:t xml:space="preserve"> to vote without giving</w:t>
      </w:r>
      <w:r w:rsidR="001B4654">
        <w:rPr>
          <w:rFonts w:ascii="Arial" w:hAnsi="Arial" w:cs="Arial"/>
          <w:i/>
        </w:rPr>
        <w:t xml:space="preserve"> reasons</w:t>
      </w:r>
      <w:r w:rsidR="002C7DA2">
        <w:rPr>
          <w:rFonts w:ascii="Arial" w:hAnsi="Arial" w:cs="Arial"/>
          <w:i/>
        </w:rPr>
        <w:t xml:space="preserve"> for their decisions</w:t>
      </w:r>
      <w:r w:rsidR="001B4654">
        <w:rPr>
          <w:rFonts w:ascii="Arial" w:hAnsi="Arial" w:cs="Arial"/>
          <w:i/>
        </w:rPr>
        <w:t xml:space="preserve">. </w:t>
      </w:r>
      <w:r w:rsidR="00814EFA">
        <w:rPr>
          <w:rFonts w:ascii="Arial" w:hAnsi="Arial" w:cs="Arial"/>
          <w:i/>
        </w:rPr>
        <w:t xml:space="preserve">Without being able to secure a majority vote, </w:t>
      </w:r>
      <w:r w:rsidR="001B4654">
        <w:rPr>
          <w:rFonts w:ascii="Arial" w:hAnsi="Arial" w:cs="Arial"/>
          <w:i/>
        </w:rPr>
        <w:t>the body corporate comm</w:t>
      </w:r>
      <w:r w:rsidR="00814EFA">
        <w:rPr>
          <w:rFonts w:ascii="Arial" w:hAnsi="Arial" w:cs="Arial"/>
          <w:i/>
        </w:rPr>
        <w:t xml:space="preserve">ittee </w:t>
      </w:r>
      <w:r w:rsidR="0065599C">
        <w:rPr>
          <w:rFonts w:ascii="Arial" w:hAnsi="Arial" w:cs="Arial"/>
          <w:i/>
        </w:rPr>
        <w:t xml:space="preserve">had their hands tied. This matter has proceeded to the Tribunal awaiting </w:t>
      </w:r>
      <w:r w:rsidR="008A1A94">
        <w:rPr>
          <w:rFonts w:ascii="Arial" w:hAnsi="Arial" w:cs="Arial"/>
          <w:i/>
        </w:rPr>
        <w:t>a determination</w:t>
      </w:r>
      <w:r w:rsidR="0065599C">
        <w:rPr>
          <w:rFonts w:ascii="Arial" w:hAnsi="Arial" w:cs="Arial"/>
          <w:i/>
        </w:rPr>
        <w:t>.</w:t>
      </w:r>
    </w:p>
    <w:p w14:paraId="79C32EA1" w14:textId="77777777" w:rsidR="006A1FB4" w:rsidRDefault="006A1FB4" w:rsidP="00C2258D">
      <w:pPr>
        <w:ind w:left="360"/>
        <w:rPr>
          <w:rFonts w:ascii="Arial" w:hAnsi="Arial" w:cs="Arial"/>
          <w:b/>
          <w:i/>
        </w:rPr>
      </w:pPr>
    </w:p>
    <w:p w14:paraId="4FE0BCB1" w14:textId="781A6D93" w:rsidR="00C57ECE" w:rsidRPr="001F6DC8" w:rsidRDefault="00C57ECE" w:rsidP="00C2258D">
      <w:pPr>
        <w:ind w:left="720"/>
        <w:rPr>
          <w:rFonts w:ascii="Arial" w:hAnsi="Arial" w:cs="Arial"/>
          <w:b/>
          <w:i/>
        </w:rPr>
      </w:pPr>
      <w:r w:rsidRPr="001F6DC8">
        <w:rPr>
          <w:rFonts w:ascii="Arial" w:hAnsi="Arial" w:cs="Arial"/>
          <w:b/>
          <w:i/>
        </w:rPr>
        <w:t xml:space="preserve">Case Study </w:t>
      </w:r>
      <w:r w:rsidR="006575B0">
        <w:rPr>
          <w:rFonts w:ascii="Arial" w:hAnsi="Arial" w:cs="Arial"/>
          <w:b/>
          <w:i/>
        </w:rPr>
        <w:t>9</w:t>
      </w:r>
      <w:r w:rsidRPr="001F6DC8">
        <w:rPr>
          <w:rFonts w:ascii="Arial" w:hAnsi="Arial" w:cs="Arial"/>
          <w:b/>
          <w:i/>
        </w:rPr>
        <w:t>:</w:t>
      </w:r>
    </w:p>
    <w:p w14:paraId="7BB3A2D8" w14:textId="77777777" w:rsidR="00C57ECE" w:rsidRDefault="00C57ECE" w:rsidP="00C2258D">
      <w:pPr>
        <w:ind w:left="720"/>
        <w:rPr>
          <w:rFonts w:ascii="Arial" w:hAnsi="Arial" w:cs="Arial"/>
          <w:i/>
        </w:rPr>
      </w:pPr>
    </w:p>
    <w:p w14:paraId="357B42CA" w14:textId="0DD190E3" w:rsidR="0041041E" w:rsidRDefault="00332167" w:rsidP="00C2258D">
      <w:pPr>
        <w:ind w:left="720"/>
        <w:rPr>
          <w:rFonts w:ascii="Arial" w:hAnsi="Arial" w:cs="Arial"/>
          <w:i/>
        </w:rPr>
      </w:pPr>
      <w:r>
        <w:rPr>
          <w:rFonts w:ascii="Arial" w:hAnsi="Arial" w:cs="Arial"/>
          <w:i/>
        </w:rPr>
        <w:t xml:space="preserve">Alvaro was an </w:t>
      </w:r>
      <w:r w:rsidR="00E3344D">
        <w:rPr>
          <w:rFonts w:ascii="Arial" w:hAnsi="Arial" w:cs="Arial"/>
          <w:i/>
        </w:rPr>
        <w:t>older</w:t>
      </w:r>
      <w:r>
        <w:rPr>
          <w:rFonts w:ascii="Arial" w:hAnsi="Arial" w:cs="Arial"/>
          <w:i/>
        </w:rPr>
        <w:t xml:space="preserve"> man who used</w:t>
      </w:r>
      <w:r w:rsidR="00C57ECE">
        <w:rPr>
          <w:rFonts w:ascii="Arial" w:hAnsi="Arial" w:cs="Arial"/>
          <w:i/>
        </w:rPr>
        <w:t xml:space="preserve"> a walker or a wheelchair</w:t>
      </w:r>
      <w:r w:rsidR="00F83F94">
        <w:rPr>
          <w:rFonts w:ascii="Arial" w:hAnsi="Arial" w:cs="Arial"/>
          <w:i/>
        </w:rPr>
        <w:t>,</w:t>
      </w:r>
      <w:r w:rsidR="00C57ECE">
        <w:rPr>
          <w:rFonts w:ascii="Arial" w:hAnsi="Arial" w:cs="Arial"/>
          <w:i/>
        </w:rPr>
        <w:t xml:space="preserve"> depending on his mobility on a</w:t>
      </w:r>
      <w:r w:rsidR="00F83F94">
        <w:rPr>
          <w:rFonts w:ascii="Arial" w:hAnsi="Arial" w:cs="Arial"/>
          <w:i/>
        </w:rPr>
        <w:t>ny</w:t>
      </w:r>
      <w:r w:rsidR="00C57ECE">
        <w:rPr>
          <w:rFonts w:ascii="Arial" w:hAnsi="Arial" w:cs="Arial"/>
          <w:i/>
        </w:rPr>
        <w:t xml:space="preserve"> particular day. After a fall he went into hospital, but made a good recovery. He wanted to return to his own home in a unit </w:t>
      </w:r>
      <w:r w:rsidR="00C57ECE">
        <w:rPr>
          <w:rFonts w:ascii="Arial" w:hAnsi="Arial" w:cs="Arial"/>
          <w:i/>
        </w:rPr>
        <w:lastRenderedPageBreak/>
        <w:t xml:space="preserve">complex. </w:t>
      </w:r>
      <w:r w:rsidR="000038F3">
        <w:rPr>
          <w:rFonts w:ascii="Arial" w:hAnsi="Arial" w:cs="Arial"/>
          <w:i/>
        </w:rPr>
        <w:t>To make it accessible h</w:t>
      </w:r>
      <w:r w:rsidR="00C57ECE">
        <w:rPr>
          <w:rFonts w:ascii="Arial" w:hAnsi="Arial" w:cs="Arial"/>
          <w:i/>
        </w:rPr>
        <w:t>e needed to change the outward appearance of his unit</w:t>
      </w:r>
      <w:r w:rsidR="00174004">
        <w:rPr>
          <w:rFonts w:ascii="Arial" w:hAnsi="Arial" w:cs="Arial"/>
          <w:i/>
        </w:rPr>
        <w:t xml:space="preserve"> (contrary to the by-laws)</w:t>
      </w:r>
      <w:r w:rsidR="001F6DC8">
        <w:rPr>
          <w:rFonts w:ascii="Arial" w:hAnsi="Arial" w:cs="Arial"/>
          <w:i/>
        </w:rPr>
        <w:t xml:space="preserve"> and so he made an application to the body corporate manager. The body corporate manager suggest</w:t>
      </w:r>
      <w:r w:rsidR="00FD1E6E">
        <w:rPr>
          <w:rFonts w:ascii="Arial" w:hAnsi="Arial" w:cs="Arial"/>
          <w:i/>
        </w:rPr>
        <w:t>ed</w:t>
      </w:r>
      <w:r w:rsidR="001F6DC8">
        <w:rPr>
          <w:rFonts w:ascii="Arial" w:hAnsi="Arial" w:cs="Arial"/>
          <w:i/>
        </w:rPr>
        <w:t xml:space="preserve"> he r</w:t>
      </w:r>
      <w:r w:rsidR="00FD1E6E">
        <w:rPr>
          <w:rFonts w:ascii="Arial" w:hAnsi="Arial" w:cs="Arial"/>
          <w:i/>
        </w:rPr>
        <w:t>aise a</w:t>
      </w:r>
      <w:r w:rsidR="001F6DC8">
        <w:rPr>
          <w:rFonts w:ascii="Arial" w:hAnsi="Arial" w:cs="Arial"/>
          <w:i/>
        </w:rPr>
        <w:t xml:space="preserve"> motion</w:t>
      </w:r>
      <w:r w:rsidR="00FD1E6E">
        <w:rPr>
          <w:rFonts w:ascii="Arial" w:hAnsi="Arial" w:cs="Arial"/>
          <w:i/>
        </w:rPr>
        <w:t xml:space="preserve"> with the lot owners</w:t>
      </w:r>
      <w:r w:rsidR="001F6DC8">
        <w:rPr>
          <w:rFonts w:ascii="Arial" w:hAnsi="Arial" w:cs="Arial"/>
          <w:i/>
        </w:rPr>
        <w:t xml:space="preserve">. </w:t>
      </w:r>
      <w:r w:rsidR="00CF771D">
        <w:rPr>
          <w:rFonts w:ascii="Arial" w:hAnsi="Arial" w:cs="Arial"/>
          <w:i/>
        </w:rPr>
        <w:t>He</w:t>
      </w:r>
      <w:r w:rsidR="001F6DC8">
        <w:rPr>
          <w:rFonts w:ascii="Arial" w:hAnsi="Arial" w:cs="Arial"/>
          <w:i/>
        </w:rPr>
        <w:t xml:space="preserve"> did not propose that the body corporate take on any part of the costs. Unfortunately, </w:t>
      </w:r>
      <w:r w:rsidR="0041041E">
        <w:rPr>
          <w:rFonts w:ascii="Arial" w:hAnsi="Arial" w:cs="Arial"/>
          <w:i/>
        </w:rPr>
        <w:t xml:space="preserve">the majority of the lot owners voted against his proposal and </w:t>
      </w:r>
      <w:r w:rsidR="001D7FCC">
        <w:rPr>
          <w:rFonts w:ascii="Arial" w:hAnsi="Arial" w:cs="Arial"/>
          <w:i/>
        </w:rPr>
        <w:t>he was unable to proceed to modify his home to meet his needs.</w:t>
      </w:r>
    </w:p>
    <w:p w14:paraId="54BDFED9" w14:textId="77777777" w:rsidR="00C57ECE" w:rsidRPr="00C57ECE" w:rsidRDefault="0041041E" w:rsidP="00C2258D">
      <w:pPr>
        <w:ind w:left="720"/>
        <w:rPr>
          <w:rFonts w:ascii="Arial" w:hAnsi="Arial" w:cs="Arial"/>
          <w:i/>
        </w:rPr>
      </w:pPr>
      <w:r w:rsidRPr="00C57ECE">
        <w:rPr>
          <w:rFonts w:ascii="Arial" w:hAnsi="Arial" w:cs="Arial"/>
          <w:i/>
        </w:rPr>
        <w:t xml:space="preserve"> </w:t>
      </w:r>
    </w:p>
    <w:p w14:paraId="17E69EE8" w14:textId="3FAE0CDD" w:rsidR="00753727" w:rsidRPr="000B73C0" w:rsidRDefault="00753727" w:rsidP="00C2258D">
      <w:pPr>
        <w:ind w:left="720"/>
        <w:rPr>
          <w:rFonts w:ascii="Arial" w:hAnsi="Arial" w:cs="Arial"/>
          <w:b/>
          <w:i/>
        </w:rPr>
      </w:pPr>
      <w:r w:rsidRPr="000B73C0">
        <w:rPr>
          <w:rFonts w:ascii="Arial" w:hAnsi="Arial" w:cs="Arial"/>
          <w:b/>
          <w:i/>
        </w:rPr>
        <w:t xml:space="preserve">Case Study </w:t>
      </w:r>
      <w:r w:rsidR="006575B0">
        <w:rPr>
          <w:rFonts w:ascii="Arial" w:hAnsi="Arial" w:cs="Arial"/>
          <w:b/>
          <w:i/>
        </w:rPr>
        <w:t>10</w:t>
      </w:r>
      <w:r w:rsidRPr="000B73C0">
        <w:rPr>
          <w:rFonts w:ascii="Arial" w:hAnsi="Arial" w:cs="Arial"/>
          <w:b/>
          <w:i/>
        </w:rPr>
        <w:t>:</w:t>
      </w:r>
    </w:p>
    <w:p w14:paraId="056AD61E" w14:textId="77777777" w:rsidR="00753727" w:rsidRPr="000B73C0" w:rsidRDefault="00753727" w:rsidP="00C2258D">
      <w:pPr>
        <w:ind w:left="720"/>
        <w:rPr>
          <w:rFonts w:ascii="Arial" w:hAnsi="Arial" w:cs="Arial"/>
          <w:b/>
          <w:i/>
        </w:rPr>
      </w:pPr>
    </w:p>
    <w:p w14:paraId="6EA4FA56" w14:textId="32EB1860" w:rsidR="00753727" w:rsidRPr="001D553B" w:rsidRDefault="00753727" w:rsidP="00C2258D">
      <w:pPr>
        <w:ind w:left="720"/>
        <w:rPr>
          <w:rFonts w:ascii="Arial" w:hAnsi="Arial" w:cs="Arial"/>
          <w:i/>
        </w:rPr>
      </w:pPr>
      <w:r w:rsidRPr="001D553B">
        <w:rPr>
          <w:rFonts w:ascii="Arial" w:hAnsi="Arial" w:cs="Arial"/>
          <w:i/>
        </w:rPr>
        <w:t xml:space="preserve">John </w:t>
      </w:r>
      <w:r w:rsidR="00640BA0">
        <w:rPr>
          <w:rFonts w:ascii="Arial" w:hAnsi="Arial" w:cs="Arial"/>
          <w:i/>
        </w:rPr>
        <w:t xml:space="preserve">was an older man who </w:t>
      </w:r>
      <w:r w:rsidRPr="001D553B">
        <w:rPr>
          <w:rFonts w:ascii="Arial" w:hAnsi="Arial" w:cs="Arial"/>
          <w:i/>
        </w:rPr>
        <w:t xml:space="preserve">purchased a unit off the plan in a </w:t>
      </w:r>
      <w:r w:rsidR="00C57ECE">
        <w:rPr>
          <w:rFonts w:ascii="Arial" w:hAnsi="Arial" w:cs="Arial"/>
          <w:i/>
        </w:rPr>
        <w:t>four</w:t>
      </w:r>
      <w:r w:rsidRPr="001D553B">
        <w:rPr>
          <w:rFonts w:ascii="Arial" w:hAnsi="Arial" w:cs="Arial"/>
          <w:i/>
        </w:rPr>
        <w:t xml:space="preserve"> tower residential complex. The developer boasted access to the waterfront, gym</w:t>
      </w:r>
      <w:r w:rsidR="00F83F94">
        <w:rPr>
          <w:rFonts w:ascii="Arial" w:hAnsi="Arial" w:cs="Arial"/>
          <w:i/>
        </w:rPr>
        <w:t>,</w:t>
      </w:r>
      <w:r w:rsidRPr="001D553B">
        <w:rPr>
          <w:rFonts w:ascii="Arial" w:hAnsi="Arial" w:cs="Arial"/>
          <w:i/>
        </w:rPr>
        <w:t xml:space="preserve"> and pool facilities as key attractions of the residences. However, once John and his wife moved in it became clear that those facilities were not accessible to everyone. There was no ramp provided for residents who use motori</w:t>
      </w:r>
      <w:r w:rsidR="003D6423">
        <w:rPr>
          <w:rFonts w:ascii="Arial" w:hAnsi="Arial" w:cs="Arial"/>
          <w:i/>
        </w:rPr>
        <w:t>s</w:t>
      </w:r>
      <w:r w:rsidRPr="001D553B">
        <w:rPr>
          <w:rFonts w:ascii="Arial" w:hAnsi="Arial" w:cs="Arial"/>
          <w:i/>
        </w:rPr>
        <w:t>ed scooters or wheelchairs to access the common boardwalk</w:t>
      </w:r>
      <w:r w:rsidR="00F83F94">
        <w:rPr>
          <w:rFonts w:ascii="Arial" w:hAnsi="Arial" w:cs="Arial"/>
          <w:i/>
        </w:rPr>
        <w:t>,</w:t>
      </w:r>
      <w:r w:rsidRPr="001D553B">
        <w:rPr>
          <w:rFonts w:ascii="Arial" w:hAnsi="Arial" w:cs="Arial"/>
          <w:i/>
        </w:rPr>
        <w:t xml:space="preserve"> despite many </w:t>
      </w:r>
      <w:r w:rsidR="002460D9">
        <w:rPr>
          <w:rFonts w:ascii="Arial" w:hAnsi="Arial" w:cs="Arial"/>
          <w:i/>
        </w:rPr>
        <w:t>residents</w:t>
      </w:r>
      <w:r w:rsidRPr="001D553B">
        <w:rPr>
          <w:rFonts w:ascii="Arial" w:hAnsi="Arial" w:cs="Arial"/>
          <w:i/>
        </w:rPr>
        <w:t xml:space="preserve"> being older people.</w:t>
      </w:r>
    </w:p>
    <w:p w14:paraId="4A24B359" w14:textId="77777777" w:rsidR="00753727" w:rsidRPr="001D553B" w:rsidRDefault="00753727" w:rsidP="00C2258D">
      <w:pPr>
        <w:ind w:left="720"/>
        <w:rPr>
          <w:rFonts w:ascii="Arial" w:hAnsi="Arial" w:cs="Arial"/>
          <w:i/>
        </w:rPr>
      </w:pPr>
    </w:p>
    <w:p w14:paraId="02B80441" w14:textId="47D32FDE" w:rsidR="00FC41C8" w:rsidRPr="00805552" w:rsidRDefault="00753727" w:rsidP="00C2258D">
      <w:pPr>
        <w:ind w:left="720"/>
        <w:rPr>
          <w:rFonts w:ascii="Arial" w:hAnsi="Arial" w:cs="Arial"/>
          <w:i/>
        </w:rPr>
      </w:pPr>
      <w:r w:rsidRPr="001D553B">
        <w:rPr>
          <w:rFonts w:ascii="Arial" w:hAnsi="Arial" w:cs="Arial"/>
          <w:i/>
        </w:rPr>
        <w:t>John also found that he could not access the front gate in his motori</w:t>
      </w:r>
      <w:r w:rsidR="003D6423">
        <w:rPr>
          <w:rFonts w:ascii="Arial" w:hAnsi="Arial" w:cs="Arial"/>
          <w:i/>
        </w:rPr>
        <w:t>s</w:t>
      </w:r>
      <w:r w:rsidRPr="001D553B">
        <w:rPr>
          <w:rFonts w:ascii="Arial" w:hAnsi="Arial" w:cs="Arial"/>
          <w:i/>
        </w:rPr>
        <w:t>ed scooter</w:t>
      </w:r>
      <w:r w:rsidR="00F83F94">
        <w:rPr>
          <w:rFonts w:ascii="Arial" w:hAnsi="Arial" w:cs="Arial"/>
          <w:i/>
        </w:rPr>
        <w:t>,</w:t>
      </w:r>
      <w:r w:rsidRPr="001D553B">
        <w:rPr>
          <w:rFonts w:ascii="Arial" w:hAnsi="Arial" w:cs="Arial"/>
          <w:i/>
        </w:rPr>
        <w:t xml:space="preserve"> or the pool area. </w:t>
      </w:r>
      <w:r w:rsidR="00F83F94">
        <w:rPr>
          <w:rFonts w:ascii="Arial" w:hAnsi="Arial" w:cs="Arial"/>
          <w:i/>
        </w:rPr>
        <w:t>H</w:t>
      </w:r>
      <w:r w:rsidRPr="001D553B">
        <w:rPr>
          <w:rFonts w:ascii="Arial" w:hAnsi="Arial" w:cs="Arial"/>
          <w:i/>
        </w:rPr>
        <w:t xml:space="preserve">is condition deteriorated and he became more dependent on his scooter, </w:t>
      </w:r>
      <w:r w:rsidR="00F83F94">
        <w:rPr>
          <w:rFonts w:ascii="Arial" w:hAnsi="Arial" w:cs="Arial"/>
          <w:i/>
        </w:rPr>
        <w:t xml:space="preserve">but </w:t>
      </w:r>
      <w:r w:rsidRPr="001D553B">
        <w:rPr>
          <w:rFonts w:ascii="Arial" w:hAnsi="Arial" w:cs="Arial"/>
          <w:i/>
        </w:rPr>
        <w:t>the body corporate and developer delayed dealing with the issue for many months. After making a complaint to the Commission</w:t>
      </w:r>
      <w:r w:rsidR="00F83F94">
        <w:rPr>
          <w:rFonts w:ascii="Arial" w:hAnsi="Arial" w:cs="Arial"/>
          <w:i/>
        </w:rPr>
        <w:t>,</w:t>
      </w:r>
      <w:r w:rsidRPr="001D553B">
        <w:rPr>
          <w:rFonts w:ascii="Arial" w:hAnsi="Arial" w:cs="Arial"/>
          <w:i/>
        </w:rPr>
        <w:t xml:space="preserve"> and in response to the conciliation process, the </w:t>
      </w:r>
      <w:r w:rsidR="00565B91">
        <w:rPr>
          <w:rFonts w:ascii="Arial" w:hAnsi="Arial" w:cs="Arial"/>
          <w:i/>
        </w:rPr>
        <w:t>body corporate</w:t>
      </w:r>
      <w:r w:rsidRPr="001D553B">
        <w:rPr>
          <w:rFonts w:ascii="Arial" w:hAnsi="Arial" w:cs="Arial"/>
          <w:i/>
        </w:rPr>
        <w:t xml:space="preserve"> brought in an access consultant who helped to resolve the gate access issues, </w:t>
      </w:r>
      <w:r w:rsidR="00565B91">
        <w:rPr>
          <w:rFonts w:ascii="Arial" w:hAnsi="Arial" w:cs="Arial"/>
          <w:i/>
        </w:rPr>
        <w:t>and the developer committed to the</w:t>
      </w:r>
      <w:r w:rsidRPr="001D553B">
        <w:rPr>
          <w:rFonts w:ascii="Arial" w:hAnsi="Arial" w:cs="Arial"/>
          <w:i/>
        </w:rPr>
        <w:t xml:space="preserve"> installation of </w:t>
      </w:r>
      <w:r w:rsidR="006B40D9">
        <w:rPr>
          <w:rFonts w:ascii="Arial" w:hAnsi="Arial" w:cs="Arial"/>
          <w:i/>
        </w:rPr>
        <w:t>a</w:t>
      </w:r>
      <w:r w:rsidRPr="001D553B">
        <w:rPr>
          <w:rFonts w:ascii="Arial" w:hAnsi="Arial" w:cs="Arial"/>
          <w:i/>
        </w:rPr>
        <w:t xml:space="preserve"> ramp to the boardwalk. </w:t>
      </w:r>
    </w:p>
    <w:p w14:paraId="6887D9FF" w14:textId="2D0733D3" w:rsidR="00BB5E67" w:rsidRDefault="00267A14" w:rsidP="00FB1163">
      <w:pPr>
        <w:pStyle w:val="Heading2"/>
      </w:pPr>
      <w:bookmarkStart w:id="12" w:name="_Toc49173350"/>
      <w:r>
        <w:t>Estimating the benefits: Housing for all</w:t>
      </w:r>
      <w:bookmarkEnd w:id="12"/>
    </w:p>
    <w:p w14:paraId="4EB635FE" w14:textId="61C4DC76" w:rsidR="008C3A9A" w:rsidRDefault="00263818" w:rsidP="00155BBE">
      <w:pPr>
        <w:pStyle w:val="Numberedparagraph"/>
        <w:numPr>
          <w:ilvl w:val="0"/>
          <w:numId w:val="17"/>
        </w:numPr>
      </w:pPr>
      <w:r>
        <w:t>The RIS acknowledges some of the benefits of unive</w:t>
      </w:r>
      <w:r w:rsidR="00155BBE">
        <w:t xml:space="preserve">rsal housing including that the stock of accessible housing would increase over time, giving </w:t>
      </w:r>
      <w:r w:rsidR="00BF664B">
        <w:t>buyers</w:t>
      </w:r>
      <w:r w:rsidR="00155BBE">
        <w:t xml:space="preserve"> greater choice of dwellings </w:t>
      </w:r>
      <w:r w:rsidR="00BF664B">
        <w:t>to meet their needs in future,</w:t>
      </w:r>
      <w:r w:rsidR="00155BBE">
        <w:rPr>
          <w:rStyle w:val="FootnoteReference"/>
        </w:rPr>
        <w:footnoteReference w:id="18"/>
      </w:r>
      <w:r w:rsidR="00BF664B">
        <w:t xml:space="preserve"> and this benefit may</w:t>
      </w:r>
      <w:r w:rsidR="0086402F">
        <w:t xml:space="preserve"> also</w:t>
      </w:r>
      <w:r w:rsidR="00BF664B">
        <w:t xml:space="preserve"> flow to renters.</w:t>
      </w:r>
      <w:r w:rsidR="0086402F">
        <w:rPr>
          <w:rStyle w:val="FootnoteReference"/>
        </w:rPr>
        <w:footnoteReference w:id="19"/>
      </w:r>
      <w:r w:rsidR="006E6E39">
        <w:t xml:space="preserve"> </w:t>
      </w:r>
    </w:p>
    <w:p w14:paraId="3EC3082C" w14:textId="3238E359" w:rsidR="00967D3C" w:rsidRDefault="00967D3C" w:rsidP="009C0D81">
      <w:pPr>
        <w:pStyle w:val="Numberedparagraph"/>
        <w:numPr>
          <w:ilvl w:val="0"/>
          <w:numId w:val="17"/>
        </w:numPr>
      </w:pPr>
      <w:r>
        <w:t xml:space="preserve">The Commission submits that the </w:t>
      </w:r>
      <w:r w:rsidR="00986D4F">
        <w:t xml:space="preserve">societal and economic </w:t>
      </w:r>
      <w:r>
        <w:t xml:space="preserve">benefits of </w:t>
      </w:r>
      <w:r w:rsidR="00F975E6">
        <w:t>embedding</w:t>
      </w:r>
      <w:r>
        <w:t xml:space="preserve"> minimum standards for accessibility in the NCC</w:t>
      </w:r>
      <w:r w:rsidR="003A2825">
        <w:t xml:space="preserve"> for new housing</w:t>
      </w:r>
      <w:r>
        <w:t xml:space="preserve"> </w:t>
      </w:r>
      <w:r w:rsidR="008C3A9A">
        <w:t xml:space="preserve">are vast, and </w:t>
      </w:r>
      <w:r>
        <w:t>would include:</w:t>
      </w:r>
    </w:p>
    <w:p w14:paraId="5B1D461E" w14:textId="24A8C7C1" w:rsidR="00967D3C" w:rsidRDefault="00355206" w:rsidP="00F975E6">
      <w:pPr>
        <w:pStyle w:val="Numberedparagraph"/>
        <w:numPr>
          <w:ilvl w:val="1"/>
          <w:numId w:val="30"/>
        </w:numPr>
      </w:pPr>
      <w:r>
        <w:t>i</w:t>
      </w:r>
      <w:r w:rsidR="00967D3C">
        <w:t>mproved quality of life, wellbeing</w:t>
      </w:r>
      <w:r>
        <w:t>,</w:t>
      </w:r>
      <w:r w:rsidR="00967D3C">
        <w:t xml:space="preserve"> and mental health of</w:t>
      </w:r>
      <w:r w:rsidR="00E5290A">
        <w:t xml:space="preserve"> individuals, and in particular</w:t>
      </w:r>
      <w:r w:rsidR="00967D3C">
        <w:t xml:space="preserve"> older Australi</w:t>
      </w:r>
      <w:r w:rsidR="00F975E6">
        <w:t xml:space="preserve">ans, </w:t>
      </w:r>
      <w:r w:rsidR="00967D3C">
        <w:t>people with disability</w:t>
      </w:r>
      <w:r>
        <w:t>,</w:t>
      </w:r>
      <w:r w:rsidR="00967D3C">
        <w:t xml:space="preserve"> their families and carers</w:t>
      </w:r>
      <w:r>
        <w:t>;</w:t>
      </w:r>
    </w:p>
    <w:p w14:paraId="0D17C757" w14:textId="03FACCA4" w:rsidR="00967D3C" w:rsidRDefault="00355206" w:rsidP="00F975E6">
      <w:pPr>
        <w:pStyle w:val="Numberedparagraph"/>
        <w:numPr>
          <w:ilvl w:val="1"/>
          <w:numId w:val="30"/>
        </w:numPr>
      </w:pPr>
      <w:r>
        <w:t>b</w:t>
      </w:r>
      <w:r w:rsidR="00635663">
        <w:t>etter</w:t>
      </w:r>
      <w:r w:rsidR="00967D3C">
        <w:t xml:space="preserve"> community inclusion</w:t>
      </w:r>
      <w:r w:rsidR="0016622A">
        <w:t>, work opportunities</w:t>
      </w:r>
      <w:r>
        <w:t>,</w:t>
      </w:r>
      <w:r w:rsidR="00967D3C">
        <w:t xml:space="preserve"> and </w:t>
      </w:r>
      <w:r w:rsidR="0016622A">
        <w:t xml:space="preserve">full </w:t>
      </w:r>
      <w:r w:rsidR="00E5290A">
        <w:t>participation for individuals</w:t>
      </w:r>
      <w:r>
        <w:t>;</w:t>
      </w:r>
    </w:p>
    <w:p w14:paraId="6447114C" w14:textId="7F2DC4C9" w:rsidR="00664564" w:rsidRDefault="00355206" w:rsidP="00F975E6">
      <w:pPr>
        <w:pStyle w:val="Numberedparagraph"/>
        <w:numPr>
          <w:ilvl w:val="1"/>
          <w:numId w:val="30"/>
        </w:numPr>
      </w:pPr>
      <w:r>
        <w:lastRenderedPageBreak/>
        <w:t>i</w:t>
      </w:r>
      <w:r w:rsidR="00A20599">
        <w:t>mproved dignity,</w:t>
      </w:r>
      <w:r w:rsidR="00B72F3E">
        <w:t xml:space="preserve"> </w:t>
      </w:r>
      <w:r w:rsidR="00664564">
        <w:t>personal autonomy</w:t>
      </w:r>
      <w:r>
        <w:t>,</w:t>
      </w:r>
      <w:r w:rsidR="00664564">
        <w:t xml:space="preserve"> and empowerment for individuals</w:t>
      </w:r>
      <w:r>
        <w:t>;</w:t>
      </w:r>
    </w:p>
    <w:p w14:paraId="156F6F66" w14:textId="408F485E" w:rsidR="00674E53" w:rsidRDefault="00355206" w:rsidP="00F975E6">
      <w:pPr>
        <w:pStyle w:val="Numberedparagraph"/>
        <w:numPr>
          <w:ilvl w:val="1"/>
          <w:numId w:val="30"/>
        </w:numPr>
      </w:pPr>
      <w:r>
        <w:t>c</w:t>
      </w:r>
      <w:r w:rsidR="00674E53">
        <w:t>ost savings to individuals and families by avoiding the expense of home modifications</w:t>
      </w:r>
      <w:r>
        <w:t>;</w:t>
      </w:r>
    </w:p>
    <w:p w14:paraId="6F1146E9" w14:textId="257AD524" w:rsidR="00967D3C" w:rsidRDefault="00355206" w:rsidP="00F975E6">
      <w:pPr>
        <w:pStyle w:val="Numberedparagraph"/>
        <w:numPr>
          <w:ilvl w:val="1"/>
          <w:numId w:val="30"/>
        </w:numPr>
      </w:pPr>
      <w:r>
        <w:t>r</w:t>
      </w:r>
      <w:r w:rsidR="00967D3C">
        <w:t xml:space="preserve">educed </w:t>
      </w:r>
      <w:r w:rsidR="00367AED">
        <w:t>pressure</w:t>
      </w:r>
      <w:r w:rsidR="00967D3C">
        <w:t xml:space="preserve"> on social housing (for which there are currently </w:t>
      </w:r>
      <w:r w:rsidR="00513C57">
        <w:t>long</w:t>
      </w:r>
      <w:r w:rsidR="00967D3C">
        <w:t xml:space="preserve"> wait</w:t>
      </w:r>
      <w:r w:rsidR="005506FB">
        <w:t>ing</w:t>
      </w:r>
      <w:r w:rsidR="00967D3C">
        <w:t xml:space="preserve"> lists)</w:t>
      </w:r>
      <w:r w:rsidR="00396DA3">
        <w:t xml:space="preserve"> and reduced costs for housing modifications for the</w:t>
      </w:r>
      <w:r w:rsidR="0016333D">
        <w:t xml:space="preserve"> government-funded</w:t>
      </w:r>
      <w:r w:rsidR="00396DA3">
        <w:t xml:space="preserve"> </w:t>
      </w:r>
      <w:r w:rsidR="00E10E9F">
        <w:t>social</w:t>
      </w:r>
      <w:r w:rsidR="00396DA3">
        <w:t xml:space="preserve"> housing sector</w:t>
      </w:r>
      <w:r w:rsidR="0009696A">
        <w:t>;</w:t>
      </w:r>
    </w:p>
    <w:p w14:paraId="04DA54F4" w14:textId="3613FD05" w:rsidR="00396DA3" w:rsidRDefault="0009696A" w:rsidP="00F975E6">
      <w:pPr>
        <w:pStyle w:val="Numberedparagraph"/>
        <w:numPr>
          <w:ilvl w:val="1"/>
          <w:numId w:val="30"/>
        </w:numPr>
      </w:pPr>
      <w:r>
        <w:t>r</w:t>
      </w:r>
      <w:r w:rsidR="00396DA3">
        <w:t xml:space="preserve">educed costs to </w:t>
      </w:r>
      <w:r>
        <w:t>f</w:t>
      </w:r>
      <w:r w:rsidR="00D05489">
        <w:t xml:space="preserve">ederal and </w:t>
      </w:r>
      <w:r>
        <w:t>s</w:t>
      </w:r>
      <w:r w:rsidR="00D05489">
        <w:t>tate governments</w:t>
      </w:r>
      <w:r w:rsidR="00396DA3">
        <w:t xml:space="preserve"> through </w:t>
      </w:r>
      <w:r>
        <w:t xml:space="preserve">not </w:t>
      </w:r>
      <w:r w:rsidR="00396DA3">
        <w:t>having to fund costly modifications through</w:t>
      </w:r>
      <w:r w:rsidR="00E03E86">
        <w:t xml:space="preserve"> the</w:t>
      </w:r>
      <w:r w:rsidR="00396DA3">
        <w:t xml:space="preserve"> </w:t>
      </w:r>
      <w:r w:rsidR="002C6692">
        <w:t>National Disability Insurance Scheme (</w:t>
      </w:r>
      <w:r w:rsidR="002C6692" w:rsidRPr="002C6692">
        <w:rPr>
          <w:b/>
        </w:rPr>
        <w:t>NDIS</w:t>
      </w:r>
      <w:r w:rsidR="002C6692">
        <w:t>)</w:t>
      </w:r>
      <w:r w:rsidR="001E1786">
        <w:t xml:space="preserve"> or aged care packages</w:t>
      </w:r>
      <w:r>
        <w:t>;</w:t>
      </w:r>
    </w:p>
    <w:p w14:paraId="46F9D54E" w14:textId="3DF41E75" w:rsidR="00396DA3" w:rsidRDefault="0009696A" w:rsidP="00F975E6">
      <w:pPr>
        <w:pStyle w:val="Numberedparagraph"/>
        <w:numPr>
          <w:ilvl w:val="1"/>
          <w:numId w:val="30"/>
        </w:numPr>
      </w:pPr>
      <w:r>
        <w:t>r</w:t>
      </w:r>
      <w:r w:rsidR="00396DA3">
        <w:t xml:space="preserve">educed costs to the </w:t>
      </w:r>
      <w:r w:rsidR="005506FB">
        <w:t>f</w:t>
      </w:r>
      <w:r w:rsidR="00396DA3">
        <w:t xml:space="preserve">ederal </w:t>
      </w:r>
      <w:r w:rsidR="005506FB">
        <w:t>g</w:t>
      </w:r>
      <w:r w:rsidR="00396DA3">
        <w:t xml:space="preserve">overnment </w:t>
      </w:r>
      <w:r w:rsidR="00581ED1">
        <w:t xml:space="preserve">through </w:t>
      </w:r>
      <w:r w:rsidR="00B72F3E">
        <w:t>fewer people entering</w:t>
      </w:r>
      <w:r w:rsidR="00581ED1">
        <w:t xml:space="preserve"> </w:t>
      </w:r>
      <w:r w:rsidR="00396DA3">
        <w:t>residential aged care</w:t>
      </w:r>
      <w:r w:rsidR="00581ED1">
        <w:t>.</w:t>
      </w:r>
    </w:p>
    <w:p w14:paraId="7978E1CE" w14:textId="693FBED4" w:rsidR="00E851E6" w:rsidRDefault="00A35F66" w:rsidP="009C0D81">
      <w:pPr>
        <w:pStyle w:val="Numberedparagraph"/>
        <w:numPr>
          <w:ilvl w:val="0"/>
          <w:numId w:val="17"/>
        </w:numPr>
      </w:pPr>
      <w:r>
        <w:t xml:space="preserve">The Consultation RIS considers that a change in the NCC would add </w:t>
      </w:r>
      <w:r w:rsidR="00DD1B6C">
        <w:t>limited</w:t>
      </w:r>
      <w:r>
        <w:t xml:space="preserve"> value for first own</w:t>
      </w:r>
      <w:r w:rsidR="00056D7E">
        <w:t>ers of newly constructed housing</w:t>
      </w:r>
      <w:r>
        <w:t>,</w:t>
      </w:r>
      <w:r w:rsidR="002323C4">
        <w:rPr>
          <w:rStyle w:val="FootnoteReference"/>
        </w:rPr>
        <w:footnoteReference w:id="20"/>
      </w:r>
      <w:r>
        <w:t xml:space="preserve"> however the Commission respectfully disagrees.</w:t>
      </w:r>
      <w:r w:rsidR="002323C4">
        <w:t xml:space="preserve"> It may not be correct to assume that the first owner</w:t>
      </w:r>
      <w:r w:rsidR="00A73217">
        <w:t xml:space="preserve"> </w:t>
      </w:r>
      <w:r w:rsidR="002323C4">
        <w:t xml:space="preserve">has control over the features of their home, particularly if they have purchased </w:t>
      </w:r>
      <w:r w:rsidR="0009696A">
        <w:t>‘</w:t>
      </w:r>
      <w:r w:rsidR="002323C4">
        <w:t>off the plan</w:t>
      </w:r>
      <w:r w:rsidR="0009696A">
        <w:t>’</w:t>
      </w:r>
      <w:r w:rsidR="002323C4">
        <w:t>, and it is not possible</w:t>
      </w:r>
      <w:r w:rsidR="00B501C0">
        <w:t xml:space="preserve"> for </w:t>
      </w:r>
      <w:r w:rsidR="00D17FE4">
        <w:t>builders</w:t>
      </w:r>
      <w:r w:rsidR="002323C4">
        <w:t xml:space="preserve"> to deviate from the plan</w:t>
      </w:r>
      <w:r w:rsidR="000A1FC5">
        <w:t xml:space="preserve"> set out</w:t>
      </w:r>
      <w:r w:rsidR="002323C4">
        <w:t xml:space="preserve"> in the development approval.</w:t>
      </w:r>
      <w:r w:rsidR="00D97A32">
        <w:t xml:space="preserve"> </w:t>
      </w:r>
      <w:r>
        <w:t>In many cases buyers do not anticipate that they will need an ac</w:t>
      </w:r>
      <w:r w:rsidR="00935011">
        <w:t xml:space="preserve">cessible property in the future. Many of these first owners </w:t>
      </w:r>
      <w:r w:rsidR="002323C4">
        <w:t>may find themselves</w:t>
      </w:r>
      <w:r w:rsidR="002E039A">
        <w:t xml:space="preserve"> or a family member</w:t>
      </w:r>
      <w:r w:rsidR="002323C4">
        <w:t xml:space="preserve"> benefiting from accessible features </w:t>
      </w:r>
      <w:r w:rsidR="00C13AD7">
        <w:t>at a later stage</w:t>
      </w:r>
      <w:r w:rsidR="002323C4">
        <w:t>.</w:t>
      </w:r>
      <w:r w:rsidR="002C61D5">
        <w:t xml:space="preserve"> </w:t>
      </w:r>
    </w:p>
    <w:p w14:paraId="2D7B9F30" w14:textId="423D5723" w:rsidR="007B5D8D" w:rsidRDefault="002D2899" w:rsidP="009C0D81">
      <w:pPr>
        <w:pStyle w:val="Numberedparagraph"/>
        <w:numPr>
          <w:ilvl w:val="0"/>
          <w:numId w:val="17"/>
        </w:numPr>
      </w:pPr>
      <w:r>
        <w:t>As illustrated in</w:t>
      </w:r>
      <w:r w:rsidR="00A35F66">
        <w:t xml:space="preserve"> Case Study </w:t>
      </w:r>
      <w:r w:rsidR="00AA4930">
        <w:t>8</w:t>
      </w:r>
      <w:r w:rsidR="00A35F66">
        <w:t xml:space="preserve">, a person may have an accident or a stroke at any time in their lives </w:t>
      </w:r>
      <w:r w:rsidR="00C13AD7">
        <w:t>resulting in</w:t>
      </w:r>
      <w:r w:rsidR="00A35F66">
        <w:t xml:space="preserve"> immediate needs that cannot be met in their own home. </w:t>
      </w:r>
      <w:r w:rsidR="007B5D8D">
        <w:t>In many</w:t>
      </w:r>
      <w:r w:rsidR="004A7BE2">
        <w:t xml:space="preserve"> cases the person canno</w:t>
      </w:r>
      <w:r w:rsidR="00144E4A">
        <w:t>t afford</w:t>
      </w:r>
      <w:r w:rsidR="00E16C4D">
        <w:t xml:space="preserve"> to retrofit their home</w:t>
      </w:r>
      <w:r w:rsidR="0009696A">
        <w:t>, and</w:t>
      </w:r>
      <w:r w:rsidR="000019CF">
        <w:t xml:space="preserve"> </w:t>
      </w:r>
      <w:r w:rsidR="0009696A">
        <w:t>t</w:t>
      </w:r>
      <w:r w:rsidR="007B5D8D">
        <w:t xml:space="preserve">his </w:t>
      </w:r>
      <w:r w:rsidR="0009696A">
        <w:t xml:space="preserve">may </w:t>
      </w:r>
      <w:r w:rsidR="00C13AD7">
        <w:t>lead to</w:t>
      </w:r>
      <w:r w:rsidR="007B5D8D">
        <w:t xml:space="preserve"> an extended stay in hospital or rehabilitation, causing strain on the health system.</w:t>
      </w:r>
    </w:p>
    <w:p w14:paraId="7A96B7F2" w14:textId="29FD96DA" w:rsidR="007B5D8D" w:rsidRPr="005A655C" w:rsidRDefault="007B5D8D" w:rsidP="009C0D81">
      <w:pPr>
        <w:pStyle w:val="Numberedparagraph"/>
        <w:numPr>
          <w:ilvl w:val="0"/>
          <w:numId w:val="17"/>
        </w:numPr>
        <w:rPr>
          <w:sz w:val="22"/>
          <w:szCs w:val="22"/>
        </w:rPr>
      </w:pPr>
      <w:r>
        <w:t xml:space="preserve">Inadequate housing options for people with disability and older people </w:t>
      </w:r>
      <w:r w:rsidR="005015E7">
        <w:t xml:space="preserve">also </w:t>
      </w:r>
      <w:r>
        <w:t xml:space="preserve">result in people </w:t>
      </w:r>
      <w:r w:rsidR="00202629">
        <w:t>moving into</w:t>
      </w:r>
      <w:r>
        <w:t xml:space="preserve"> group homes, </w:t>
      </w:r>
      <w:r w:rsidR="0026059F">
        <w:t>residential aged care</w:t>
      </w:r>
      <w:r>
        <w:t>, or other shared housing arrangements, which increase their vulnerability to abuse, neglect</w:t>
      </w:r>
      <w:r w:rsidR="0009696A">
        <w:t>,</w:t>
      </w:r>
      <w:r>
        <w:t xml:space="preserve"> and social isolation.</w:t>
      </w:r>
      <w:r w:rsidR="00010623">
        <w:t xml:space="preserve"> The Disability Royal Commission is currently considering some of the issues arising in institutional settings.</w:t>
      </w:r>
      <w:r w:rsidR="00E84256">
        <w:rPr>
          <w:rStyle w:val="FootnoteReference"/>
        </w:rPr>
        <w:footnoteReference w:id="21"/>
      </w:r>
    </w:p>
    <w:p w14:paraId="031BB202" w14:textId="4993C2C0" w:rsidR="00144E4A" w:rsidRDefault="00FF54B4" w:rsidP="009C0D81">
      <w:pPr>
        <w:pStyle w:val="Numberedparagraph"/>
        <w:numPr>
          <w:ilvl w:val="0"/>
          <w:numId w:val="17"/>
        </w:numPr>
      </w:pPr>
      <w:r>
        <w:t xml:space="preserve">As demonstrated by the </w:t>
      </w:r>
      <w:r w:rsidR="00C13AD7">
        <w:t xml:space="preserve">real life </w:t>
      </w:r>
      <w:r>
        <w:t>case studies</w:t>
      </w:r>
      <w:r w:rsidR="00C13AD7">
        <w:t xml:space="preserve"> already </w:t>
      </w:r>
      <w:r w:rsidR="00EE7D12">
        <w:t>provided</w:t>
      </w:r>
      <w:r>
        <w:t>, i</w:t>
      </w:r>
      <w:r w:rsidR="00E16C4D">
        <w:t xml:space="preserve">f </w:t>
      </w:r>
      <w:r w:rsidR="0009696A">
        <w:t xml:space="preserve">a </w:t>
      </w:r>
      <w:r w:rsidR="00E16C4D">
        <w:t>person</w:t>
      </w:r>
      <w:r w:rsidR="00144E4A">
        <w:t xml:space="preserve"> </w:t>
      </w:r>
      <w:r w:rsidR="00C13AD7">
        <w:t xml:space="preserve">lives </w:t>
      </w:r>
      <w:r w:rsidR="00703D1F">
        <w:t xml:space="preserve">in a rental property </w:t>
      </w:r>
      <w:r w:rsidR="00144E4A">
        <w:t>or a community title scheme</w:t>
      </w:r>
      <w:r w:rsidR="00DF0021">
        <w:t>,</w:t>
      </w:r>
      <w:r w:rsidR="004A7BE2">
        <w:t xml:space="preserve"> </w:t>
      </w:r>
      <w:r w:rsidR="00144E4A">
        <w:t xml:space="preserve">they </w:t>
      </w:r>
      <w:r w:rsidR="0009696A">
        <w:t xml:space="preserve">may </w:t>
      </w:r>
      <w:r w:rsidR="002D2899">
        <w:t>be faced with</w:t>
      </w:r>
      <w:r w:rsidR="00EC0A93">
        <w:t xml:space="preserve"> </w:t>
      </w:r>
      <w:r w:rsidR="00F309BA">
        <w:t>insurmountable</w:t>
      </w:r>
      <w:r w:rsidR="00144E4A">
        <w:t xml:space="preserve"> barriers to getting their home modified</w:t>
      </w:r>
      <w:r w:rsidR="004A7BE2">
        <w:t>.</w:t>
      </w:r>
      <w:r w:rsidR="004C20DB">
        <w:t xml:space="preserve"> </w:t>
      </w:r>
      <w:r w:rsidR="00DF0021">
        <w:t xml:space="preserve">In </w:t>
      </w:r>
      <w:r w:rsidR="00DF0021">
        <w:lastRenderedPageBreak/>
        <w:t>many cases, t</w:t>
      </w:r>
      <w:r w:rsidR="00104397">
        <w:t>he</w:t>
      </w:r>
      <w:r w:rsidR="00144E4A">
        <w:t xml:space="preserve"> high cost </w:t>
      </w:r>
      <w:r w:rsidR="002A6F46">
        <w:t xml:space="preserve">of modifying a property </w:t>
      </w:r>
      <w:r w:rsidR="00DF0021">
        <w:t>may fall to</w:t>
      </w:r>
      <w:r w:rsidR="00144E4A">
        <w:t xml:space="preserve"> </w:t>
      </w:r>
      <w:r w:rsidR="00130E8E">
        <w:t xml:space="preserve">the </w:t>
      </w:r>
      <w:r w:rsidR="00DF0021">
        <w:t>f</w:t>
      </w:r>
      <w:r w:rsidR="00130E8E">
        <w:t xml:space="preserve">ederal </w:t>
      </w:r>
      <w:r w:rsidR="00144E4A">
        <w:t>government through the NDIS</w:t>
      </w:r>
      <w:r w:rsidR="00DF625C">
        <w:rPr>
          <w:rStyle w:val="FootnoteReference"/>
        </w:rPr>
        <w:footnoteReference w:id="22"/>
      </w:r>
      <w:r w:rsidR="00DE4ED7">
        <w:t xml:space="preserve"> or aged care packages</w:t>
      </w:r>
      <w:r w:rsidR="00144E4A">
        <w:t>.</w:t>
      </w:r>
      <w:r w:rsidR="006C27ED">
        <w:rPr>
          <w:rStyle w:val="FootnoteReference"/>
        </w:rPr>
        <w:footnoteReference w:id="23"/>
      </w:r>
      <w:r w:rsidR="00144E4A">
        <w:t xml:space="preserve"> </w:t>
      </w:r>
    </w:p>
    <w:p w14:paraId="5888AA33" w14:textId="234186F1" w:rsidR="005674B0" w:rsidRDefault="005B5122" w:rsidP="009C0D81">
      <w:pPr>
        <w:pStyle w:val="Numberedparagraph"/>
        <w:numPr>
          <w:ilvl w:val="0"/>
          <w:numId w:val="17"/>
        </w:numPr>
      </w:pPr>
      <w:r>
        <w:t xml:space="preserve"> </w:t>
      </w:r>
      <w:r w:rsidR="00C46A00">
        <w:t>Physical environments that are age</w:t>
      </w:r>
      <w:r w:rsidR="002B0E41">
        <w:t>-</w:t>
      </w:r>
      <w:r w:rsidR="00C46A00">
        <w:t>friendly can make the difference for an old</w:t>
      </w:r>
      <w:r w:rsidR="008A37C3">
        <w:t>er</w:t>
      </w:r>
      <w:r w:rsidR="00C46A00">
        <w:t xml:space="preserve"> person between independence and </w:t>
      </w:r>
      <w:r w:rsidR="002B47D7">
        <w:t>dependence</w:t>
      </w:r>
      <w:r w:rsidR="00C46A00">
        <w:t xml:space="preserve"> on others.</w:t>
      </w:r>
      <w:r w:rsidR="00330275">
        <w:t xml:space="preserve"> An inaccessible </w:t>
      </w:r>
      <w:r w:rsidR="002B0E41">
        <w:t>home</w:t>
      </w:r>
      <w:r w:rsidR="00330275">
        <w:t xml:space="preserve"> </w:t>
      </w:r>
      <w:r w:rsidR="00992E04">
        <w:t>means</w:t>
      </w:r>
      <w:r w:rsidR="00C46A00">
        <w:t xml:space="preserve"> that </w:t>
      </w:r>
      <w:r w:rsidR="00992E04">
        <w:t xml:space="preserve">an </w:t>
      </w:r>
      <w:r w:rsidR="00C46A00">
        <w:t xml:space="preserve">older </w:t>
      </w:r>
      <w:r w:rsidR="00992E04">
        <w:t>person is</w:t>
      </w:r>
      <w:r w:rsidR="00C46A00">
        <w:t xml:space="preserve"> less likely to get out in the community</w:t>
      </w:r>
      <w:r w:rsidR="002B47D7">
        <w:t xml:space="preserve"> and more likely to become socially-isolated, depressed and unfit.</w:t>
      </w:r>
      <w:r w:rsidR="008A37C3">
        <w:rPr>
          <w:rStyle w:val="FootnoteReference"/>
        </w:rPr>
        <w:footnoteReference w:id="24"/>
      </w:r>
      <w:r w:rsidR="00C46A00">
        <w:t xml:space="preserve"> </w:t>
      </w:r>
      <w:r>
        <w:t xml:space="preserve">For older Australians, </w:t>
      </w:r>
      <w:r w:rsidR="00DF02B6">
        <w:t>around 80%</w:t>
      </w:r>
      <w:r>
        <w:t xml:space="preserve"> </w:t>
      </w:r>
      <w:r w:rsidR="00DF0021">
        <w:t xml:space="preserve">of people </w:t>
      </w:r>
      <w:r>
        <w:t>would prefer to ‘age in place’</w:t>
      </w:r>
      <w:r w:rsidR="00513C57">
        <w:t xml:space="preserve"> rather than </w:t>
      </w:r>
      <w:r w:rsidR="007F4C0D">
        <w:t>move into</w:t>
      </w:r>
      <w:r w:rsidR="00513C57">
        <w:t xml:space="preserve"> residential aged care</w:t>
      </w:r>
      <w:r>
        <w:t>.</w:t>
      </w:r>
      <w:r w:rsidR="00DF02B6">
        <w:rPr>
          <w:rStyle w:val="FootnoteReference"/>
        </w:rPr>
        <w:footnoteReference w:id="25"/>
      </w:r>
      <w:r>
        <w:t xml:space="preserve"> </w:t>
      </w:r>
      <w:r w:rsidR="0003004F">
        <w:t>An important aspect of ag</w:t>
      </w:r>
      <w:r w:rsidR="008C1C1E">
        <w:t>e</w:t>
      </w:r>
      <w:r w:rsidR="0003004F">
        <w:t xml:space="preserve">ing with dignity is having the </w:t>
      </w:r>
      <w:r w:rsidR="00C10614">
        <w:t>choice of</w:t>
      </w:r>
      <w:r w:rsidR="0003004F">
        <w:t xml:space="preserve"> where to </w:t>
      </w:r>
      <w:r w:rsidR="00D931AF">
        <w:t>live</w:t>
      </w:r>
      <w:r w:rsidR="0003004F">
        <w:t xml:space="preserve">. </w:t>
      </w:r>
      <w:r w:rsidR="00D931AF">
        <w:t>Ag</w:t>
      </w:r>
      <w:r w:rsidR="00D11DC3">
        <w:t>e</w:t>
      </w:r>
      <w:r w:rsidR="00D931AF">
        <w:t>ing in place</w:t>
      </w:r>
      <w:r>
        <w:t xml:space="preserve"> </w:t>
      </w:r>
      <w:r w:rsidR="00DF0021">
        <w:t>aligns</w:t>
      </w:r>
      <w:r w:rsidR="00295A12">
        <w:t xml:space="preserve"> with the </w:t>
      </w:r>
      <w:r w:rsidR="005C42F9">
        <w:t>preference</w:t>
      </w:r>
      <w:r w:rsidR="00A51A3C">
        <w:t xml:space="preserve">s of older Australians and </w:t>
      </w:r>
      <w:r w:rsidR="00295A12">
        <w:t xml:space="preserve">has benefits </w:t>
      </w:r>
      <w:r>
        <w:t>for health and wellbeing</w:t>
      </w:r>
      <w:r w:rsidR="00DF0021">
        <w:t>,</w:t>
      </w:r>
      <w:r>
        <w:t xml:space="preserve"> </w:t>
      </w:r>
      <w:r w:rsidR="00295A12">
        <w:t>while</w:t>
      </w:r>
      <w:r>
        <w:t xml:space="preserve"> </w:t>
      </w:r>
      <w:r w:rsidR="0023519A">
        <w:t>reducing</w:t>
      </w:r>
      <w:r>
        <w:t xml:space="preserve"> the cost of funding residential</w:t>
      </w:r>
      <w:r w:rsidR="00A05C2D">
        <w:t xml:space="preserve"> aged care for the government. </w:t>
      </w:r>
      <w:r w:rsidR="00295A12">
        <w:t xml:space="preserve">Home care is </w:t>
      </w:r>
      <w:r w:rsidR="00D646FD">
        <w:t xml:space="preserve">currently </w:t>
      </w:r>
      <w:r w:rsidR="00295A12">
        <w:t>provided by the government at approximately one</w:t>
      </w:r>
      <w:r w:rsidR="00DF0021">
        <w:t>-</w:t>
      </w:r>
      <w:r w:rsidR="00295A12">
        <w:t>third of the cost of residential aged care.</w:t>
      </w:r>
      <w:r w:rsidR="00295A12">
        <w:rPr>
          <w:rStyle w:val="FootnoteReference"/>
        </w:rPr>
        <w:footnoteReference w:id="26"/>
      </w:r>
      <w:r w:rsidR="00D92E28">
        <w:t xml:space="preserve"> These costs </w:t>
      </w:r>
      <w:r w:rsidR="00DF0021">
        <w:t>w</w:t>
      </w:r>
      <w:r w:rsidR="00D92E28">
        <w:t xml:space="preserve">ould be further reduced </w:t>
      </w:r>
      <w:r w:rsidR="00DF0021">
        <w:t xml:space="preserve">if </w:t>
      </w:r>
      <w:r w:rsidR="00AA7C38">
        <w:t>home</w:t>
      </w:r>
      <w:r w:rsidR="00D92E28">
        <w:t xml:space="preserve"> modifications </w:t>
      </w:r>
      <w:r w:rsidR="00DF0021">
        <w:t xml:space="preserve">were </w:t>
      </w:r>
      <w:r w:rsidR="00D92E28">
        <w:t>not required as part of the home care package.</w:t>
      </w:r>
    </w:p>
    <w:p w14:paraId="0DF65E91" w14:textId="396B4C34" w:rsidR="004E4599" w:rsidRDefault="00844F5B" w:rsidP="009C0D81">
      <w:pPr>
        <w:pStyle w:val="Numberedparagraph"/>
        <w:numPr>
          <w:ilvl w:val="0"/>
          <w:numId w:val="17"/>
        </w:numPr>
      </w:pPr>
      <w:r>
        <w:t xml:space="preserve">Another factor to consider is </w:t>
      </w:r>
      <w:r w:rsidR="00613E3D">
        <w:t>the</w:t>
      </w:r>
      <w:r w:rsidR="00EE7D12">
        <w:t xml:space="preserve"> protracted</w:t>
      </w:r>
      <w:r w:rsidR="00613E3D">
        <w:t xml:space="preserve"> length of time taken to approve and complete home </w:t>
      </w:r>
      <w:r>
        <w:t xml:space="preserve">modifications through </w:t>
      </w:r>
      <w:r w:rsidR="005674B0">
        <w:t xml:space="preserve">the NDIS or </w:t>
      </w:r>
      <w:r>
        <w:t>a home care package</w:t>
      </w:r>
      <w:r w:rsidR="00613E3D">
        <w:t>.</w:t>
      </w:r>
      <w:r>
        <w:t xml:space="preserve"> </w:t>
      </w:r>
      <w:r w:rsidR="00613E3D">
        <w:t>The</w:t>
      </w:r>
      <w:r>
        <w:t xml:space="preserve"> person may feel they have no choice but to enter </w:t>
      </w:r>
      <w:r w:rsidR="00613E3D">
        <w:t>a</w:t>
      </w:r>
      <w:r>
        <w:t xml:space="preserve"> care</w:t>
      </w:r>
      <w:r w:rsidR="00613E3D">
        <w:t xml:space="preserve"> facility</w:t>
      </w:r>
      <w:r>
        <w:t>.</w:t>
      </w:r>
      <w:r w:rsidR="005674B0">
        <w:t xml:space="preserve"> Some older people or people with disability, particularly those who are socially isolated, may also have difficulty navigating the systems under the NDIS or My Aged Care.</w:t>
      </w:r>
    </w:p>
    <w:p w14:paraId="3F96AAB5" w14:textId="26FBC4A5" w:rsidR="009F3037" w:rsidRDefault="00F0604F" w:rsidP="009C0D81">
      <w:pPr>
        <w:pStyle w:val="Numberedparagraph"/>
        <w:numPr>
          <w:ilvl w:val="0"/>
          <w:numId w:val="17"/>
        </w:numPr>
      </w:pPr>
      <w:r>
        <w:t xml:space="preserve"> </w:t>
      </w:r>
      <w:r w:rsidR="009F3037">
        <w:t xml:space="preserve">A further group that </w:t>
      </w:r>
      <w:r w:rsidR="00613E3D">
        <w:t>w</w:t>
      </w:r>
      <w:r w:rsidR="009F3037">
        <w:t>ould greatly benefit from creating minimu</w:t>
      </w:r>
      <w:r>
        <w:t xml:space="preserve">m </w:t>
      </w:r>
      <w:r w:rsidR="009F3037">
        <w:t>standards are the carers, families</w:t>
      </w:r>
      <w:r w:rsidR="00613E3D">
        <w:t>,</w:t>
      </w:r>
      <w:r w:rsidR="009F3037">
        <w:t xml:space="preserve"> and broader networks of older people and people with a disability. </w:t>
      </w:r>
      <w:r>
        <w:t>In particular, c</w:t>
      </w:r>
      <w:r w:rsidR="009F3037">
        <w:t xml:space="preserve">arers </w:t>
      </w:r>
      <w:r w:rsidR="00BF3A89">
        <w:t xml:space="preserve">and family members </w:t>
      </w:r>
      <w:r w:rsidR="009F3037">
        <w:t xml:space="preserve">may miss out on work opportunities </w:t>
      </w:r>
      <w:r>
        <w:t>when caring for a person in a home that is not accessible.</w:t>
      </w:r>
    </w:p>
    <w:p w14:paraId="121FA6EA" w14:textId="6D6FCF55" w:rsidR="00FB1163" w:rsidRDefault="00613E3D" w:rsidP="009C0D81">
      <w:pPr>
        <w:pStyle w:val="Numberedparagraph"/>
        <w:numPr>
          <w:ilvl w:val="0"/>
          <w:numId w:val="17"/>
        </w:numPr>
      </w:pPr>
      <w:r>
        <w:t>People who temporarily or intermittently require accessible housing features will</w:t>
      </w:r>
      <w:r w:rsidR="00FB1163">
        <w:t xml:space="preserve"> also benefit from </w:t>
      </w:r>
      <w:r w:rsidR="00E811BE">
        <w:t xml:space="preserve">inclusive </w:t>
      </w:r>
      <w:r w:rsidR="00FB1163">
        <w:t>housing</w:t>
      </w:r>
      <w:r w:rsidR="00E97E79">
        <w:t>. This include</w:t>
      </w:r>
      <w:r>
        <w:t>s</w:t>
      </w:r>
      <w:r w:rsidR="00E97E79">
        <w:t xml:space="preserve"> </w:t>
      </w:r>
      <w:r w:rsidR="00FB1163">
        <w:t>people with short-term illness</w:t>
      </w:r>
      <w:r w:rsidR="00E811BE">
        <w:t>,</w:t>
      </w:r>
      <w:r w:rsidR="00FB1163">
        <w:t xml:space="preserve"> injuries</w:t>
      </w:r>
      <w:r w:rsidR="00C64B3C">
        <w:t xml:space="preserve"> or illnesses</w:t>
      </w:r>
      <w:r w:rsidR="00FB1163">
        <w:t xml:space="preserve"> affecting mobility, </w:t>
      </w:r>
      <w:r w:rsidR="00EC0A93">
        <w:t>and</w:t>
      </w:r>
      <w:r w:rsidR="00FB1163">
        <w:t xml:space="preserve"> people </w:t>
      </w:r>
      <w:r w:rsidR="00FB1163">
        <w:lastRenderedPageBreak/>
        <w:t xml:space="preserve">who have young babies and children </w:t>
      </w:r>
      <w:r w:rsidR="00E97E79">
        <w:t>who</w:t>
      </w:r>
      <w:r w:rsidR="00FB1163">
        <w:t xml:space="preserve"> require stroller access.</w:t>
      </w:r>
      <w:r w:rsidR="009303E6">
        <w:t xml:space="preserve"> </w:t>
      </w:r>
      <w:r w:rsidR="00E811BE">
        <w:t xml:space="preserve">Most </w:t>
      </w:r>
      <w:r w:rsidR="009303E6">
        <w:t>household</w:t>
      </w:r>
      <w:r w:rsidR="00E811BE">
        <w:t>s</w:t>
      </w:r>
      <w:r w:rsidR="009303E6">
        <w:t xml:space="preserve"> in Australia will need </w:t>
      </w:r>
      <w:r w:rsidR="00EE7D12">
        <w:t xml:space="preserve">accessible </w:t>
      </w:r>
      <w:r w:rsidR="009303E6">
        <w:t>features in their home</w:t>
      </w:r>
      <w:r w:rsidR="00E811BE">
        <w:t xml:space="preserve"> at some stage</w:t>
      </w:r>
      <w:r w:rsidR="009303E6">
        <w:t>.</w:t>
      </w:r>
    </w:p>
    <w:p w14:paraId="63532B95" w14:textId="6D29582A" w:rsidR="00967D3C" w:rsidRPr="008C1C1E" w:rsidRDefault="00CC4097" w:rsidP="009C0D81">
      <w:pPr>
        <w:pStyle w:val="Numberedparagraph"/>
        <w:numPr>
          <w:ilvl w:val="0"/>
          <w:numId w:val="17"/>
        </w:numPr>
        <w:rPr>
          <w:sz w:val="22"/>
          <w:szCs w:val="22"/>
        </w:rPr>
      </w:pPr>
      <w:r>
        <w:t>In summary,</w:t>
      </w:r>
      <w:r w:rsidR="008C1C1E">
        <w:t xml:space="preserve"> </w:t>
      </w:r>
      <w:r w:rsidR="007754BB">
        <w:t xml:space="preserve">the health, </w:t>
      </w:r>
      <w:r w:rsidR="005A655C">
        <w:t>social</w:t>
      </w:r>
      <w:r w:rsidR="00E811BE">
        <w:t>,</w:t>
      </w:r>
      <w:r w:rsidR="005A655C">
        <w:t xml:space="preserve"> and economic outcomes</w:t>
      </w:r>
      <w:r>
        <w:t xml:space="preserve"> for people with disabilities, older Australians</w:t>
      </w:r>
      <w:r w:rsidR="00E811BE">
        <w:t>,</w:t>
      </w:r>
      <w:r>
        <w:t xml:space="preserve"> and </w:t>
      </w:r>
      <w:r w:rsidR="00324AE3">
        <w:t>the broader community</w:t>
      </w:r>
      <w:r>
        <w:t xml:space="preserve"> </w:t>
      </w:r>
      <w:r w:rsidR="00E811BE">
        <w:t>w</w:t>
      </w:r>
      <w:r w:rsidR="005A655C">
        <w:t xml:space="preserve">ould be </w:t>
      </w:r>
      <w:r w:rsidR="00C467E6">
        <w:t xml:space="preserve">significantly </w:t>
      </w:r>
      <w:r w:rsidR="008C1C1E">
        <w:t>improved</w:t>
      </w:r>
      <w:r w:rsidR="005A655C">
        <w:t xml:space="preserve"> by </w:t>
      </w:r>
      <w:r w:rsidR="00EC0A93">
        <w:t xml:space="preserve">implementing </w:t>
      </w:r>
      <w:r w:rsidR="005A655C">
        <w:t xml:space="preserve">minimum accessibility standards </w:t>
      </w:r>
      <w:r w:rsidR="00E811BE">
        <w:t>for new buildings</w:t>
      </w:r>
      <w:r w:rsidR="005A655C">
        <w:t>.</w:t>
      </w:r>
      <w:r w:rsidR="00051114">
        <w:t xml:space="preserve"> </w:t>
      </w:r>
    </w:p>
    <w:p w14:paraId="08BBE566" w14:textId="77777777" w:rsidR="004418EC" w:rsidRDefault="00BF22DD" w:rsidP="007C510E">
      <w:pPr>
        <w:pStyle w:val="Heading1"/>
      </w:pPr>
      <w:bookmarkStart w:id="13" w:name="_Toc49173351"/>
      <w:r>
        <w:t>Conclusion</w:t>
      </w:r>
      <w:bookmarkEnd w:id="13"/>
    </w:p>
    <w:p w14:paraId="2B5C2D9B" w14:textId="0123426A" w:rsidR="00A46B5A" w:rsidRDefault="00BF2316" w:rsidP="009C0D81">
      <w:pPr>
        <w:pStyle w:val="ListParagraph"/>
        <w:numPr>
          <w:ilvl w:val="0"/>
          <w:numId w:val="17"/>
        </w:numPr>
        <w:rPr>
          <w:rFonts w:ascii="Arial" w:hAnsi="Arial" w:cs="Arial"/>
        </w:rPr>
      </w:pPr>
      <w:r>
        <w:rPr>
          <w:rFonts w:ascii="Arial" w:hAnsi="Arial" w:cs="Arial"/>
        </w:rPr>
        <w:t>The</w:t>
      </w:r>
      <w:r w:rsidR="006638E4" w:rsidRPr="006638E4">
        <w:rPr>
          <w:rFonts w:ascii="Arial" w:hAnsi="Arial" w:cs="Arial"/>
        </w:rPr>
        <w:t xml:space="preserve"> Commission strongly supports the inclusion of minimum acc</w:t>
      </w:r>
      <w:r w:rsidR="00C324F5">
        <w:rPr>
          <w:rFonts w:ascii="Arial" w:hAnsi="Arial" w:cs="Arial"/>
        </w:rPr>
        <w:t>essibility standards in the NCC and is of the view that Option 2 is the best option.</w:t>
      </w:r>
    </w:p>
    <w:p w14:paraId="0A4E6BF4" w14:textId="77777777" w:rsidR="003527D9" w:rsidRDefault="003527D9" w:rsidP="003527D9">
      <w:pPr>
        <w:pStyle w:val="ListParagraph"/>
        <w:rPr>
          <w:rFonts w:ascii="Arial" w:hAnsi="Arial" w:cs="Arial"/>
        </w:rPr>
      </w:pPr>
    </w:p>
    <w:p w14:paraId="7D901E8B" w14:textId="77777777" w:rsidR="003527D9" w:rsidRDefault="003527D9" w:rsidP="009C0D81">
      <w:pPr>
        <w:pStyle w:val="ListParagraph"/>
        <w:numPr>
          <w:ilvl w:val="0"/>
          <w:numId w:val="17"/>
        </w:numPr>
        <w:rPr>
          <w:rFonts w:ascii="Arial" w:hAnsi="Arial" w:cs="Arial"/>
        </w:rPr>
      </w:pPr>
      <w:r>
        <w:rPr>
          <w:rFonts w:ascii="Arial" w:hAnsi="Arial" w:cs="Arial"/>
        </w:rPr>
        <w:t xml:space="preserve"> The options presented in the RIS are as follows:</w:t>
      </w:r>
    </w:p>
    <w:p w14:paraId="1CF0AF76" w14:textId="77777777" w:rsidR="003527D9" w:rsidRPr="003527D9" w:rsidRDefault="003527D9" w:rsidP="003527D9">
      <w:pPr>
        <w:pStyle w:val="ListParagraph"/>
        <w:rPr>
          <w:rFonts w:ascii="Arial" w:hAnsi="Arial" w:cs="Arial"/>
        </w:rPr>
      </w:pPr>
    </w:p>
    <w:p w14:paraId="58880A2C" w14:textId="77777777" w:rsidR="003527D9" w:rsidRPr="003527D9" w:rsidRDefault="003527D9" w:rsidP="003527D9">
      <w:pPr>
        <w:pStyle w:val="ListParagraph"/>
        <w:numPr>
          <w:ilvl w:val="0"/>
          <w:numId w:val="33"/>
        </w:numPr>
        <w:shd w:val="clear" w:color="auto" w:fill="FFFFFF"/>
        <w:spacing w:before="100" w:beforeAutospacing="1" w:after="100" w:afterAutospacing="1"/>
        <w:rPr>
          <w:rFonts w:ascii="Arial" w:eastAsia="Times New Roman" w:hAnsi="Arial" w:cs="Arial"/>
          <w:i/>
          <w:color w:val="000000"/>
          <w:sz w:val="22"/>
          <w:szCs w:val="22"/>
          <w:lang w:eastAsia="en-AU"/>
        </w:rPr>
      </w:pPr>
      <w:r w:rsidRPr="003527D9">
        <w:rPr>
          <w:rFonts w:ascii="Arial" w:eastAsia="Times New Roman" w:hAnsi="Arial" w:cs="Arial"/>
          <w:b/>
          <w:bCs/>
          <w:i/>
          <w:color w:val="000000"/>
          <w:sz w:val="22"/>
          <w:szCs w:val="22"/>
          <w:lang w:eastAsia="en-AU"/>
        </w:rPr>
        <w:t>Status quo</w:t>
      </w:r>
    </w:p>
    <w:p w14:paraId="75FB1EAF" w14:textId="77777777" w:rsidR="003527D9" w:rsidRPr="003527D9" w:rsidRDefault="003527D9" w:rsidP="003527D9">
      <w:pPr>
        <w:pStyle w:val="ListParagraph"/>
        <w:numPr>
          <w:ilvl w:val="0"/>
          <w:numId w:val="33"/>
        </w:numPr>
        <w:shd w:val="clear" w:color="auto" w:fill="FFFFFF"/>
        <w:spacing w:before="100" w:beforeAutospacing="1" w:after="100" w:afterAutospacing="1"/>
        <w:rPr>
          <w:rFonts w:ascii="Arial" w:eastAsia="Times New Roman" w:hAnsi="Arial" w:cs="Arial"/>
          <w:i/>
          <w:color w:val="000000"/>
          <w:sz w:val="22"/>
          <w:szCs w:val="22"/>
          <w:lang w:eastAsia="en-AU"/>
        </w:rPr>
      </w:pPr>
      <w:r w:rsidRPr="003527D9">
        <w:rPr>
          <w:rFonts w:ascii="Arial" w:eastAsia="Times New Roman" w:hAnsi="Arial" w:cs="Arial"/>
          <w:b/>
          <w:bCs/>
          <w:i/>
          <w:color w:val="000000"/>
          <w:sz w:val="22"/>
          <w:szCs w:val="22"/>
          <w:lang w:eastAsia="en-AU"/>
        </w:rPr>
        <w:t>Option 1:</w:t>
      </w:r>
      <w:r w:rsidRPr="003527D9">
        <w:rPr>
          <w:rFonts w:ascii="Arial" w:eastAsia="Times New Roman" w:hAnsi="Arial" w:cs="Arial"/>
          <w:i/>
          <w:color w:val="000000"/>
          <w:sz w:val="22"/>
          <w:szCs w:val="22"/>
          <w:lang w:eastAsia="en-AU"/>
        </w:rPr>
        <w:t> Accessibility standard, broadly reflecting LHDG silver standard, in the NCC applying to all new Class 1a and Class 2 buildings.</w:t>
      </w:r>
    </w:p>
    <w:p w14:paraId="3DD52493" w14:textId="77777777" w:rsidR="003527D9" w:rsidRPr="003527D9" w:rsidRDefault="003527D9" w:rsidP="003527D9">
      <w:pPr>
        <w:pStyle w:val="ListParagraph"/>
        <w:numPr>
          <w:ilvl w:val="0"/>
          <w:numId w:val="33"/>
        </w:numPr>
        <w:shd w:val="clear" w:color="auto" w:fill="FFFFFF"/>
        <w:spacing w:before="100" w:beforeAutospacing="1" w:after="100" w:afterAutospacing="1"/>
        <w:rPr>
          <w:rFonts w:ascii="Arial" w:eastAsia="Times New Roman" w:hAnsi="Arial" w:cs="Arial"/>
          <w:i/>
          <w:color w:val="000000"/>
          <w:sz w:val="22"/>
          <w:szCs w:val="22"/>
          <w:lang w:eastAsia="en-AU"/>
        </w:rPr>
      </w:pPr>
      <w:r w:rsidRPr="003527D9">
        <w:rPr>
          <w:rFonts w:ascii="Arial" w:eastAsia="Times New Roman" w:hAnsi="Arial" w:cs="Arial"/>
          <w:b/>
          <w:bCs/>
          <w:i/>
          <w:color w:val="000000"/>
          <w:sz w:val="22"/>
          <w:szCs w:val="22"/>
          <w:lang w:eastAsia="en-AU"/>
        </w:rPr>
        <w:t>Option 2:</w:t>
      </w:r>
      <w:r w:rsidRPr="003527D9">
        <w:rPr>
          <w:rFonts w:ascii="Arial" w:eastAsia="Times New Roman" w:hAnsi="Arial" w:cs="Arial"/>
          <w:i/>
          <w:color w:val="000000"/>
          <w:sz w:val="22"/>
          <w:szCs w:val="22"/>
          <w:lang w:eastAsia="en-AU"/>
        </w:rPr>
        <w:t> Accessibility standard, broadly reflecting LHDG gold standard, in the NCC applying to all new Class 1a and Class 2 buildings.</w:t>
      </w:r>
    </w:p>
    <w:p w14:paraId="34E8DEC4" w14:textId="77777777" w:rsidR="003527D9" w:rsidRPr="003527D9" w:rsidRDefault="003527D9" w:rsidP="003527D9">
      <w:pPr>
        <w:pStyle w:val="ListParagraph"/>
        <w:numPr>
          <w:ilvl w:val="0"/>
          <w:numId w:val="33"/>
        </w:numPr>
        <w:shd w:val="clear" w:color="auto" w:fill="FFFFFF"/>
        <w:spacing w:before="100" w:beforeAutospacing="1" w:after="100" w:afterAutospacing="1"/>
        <w:rPr>
          <w:rFonts w:ascii="Arial" w:eastAsia="Times New Roman" w:hAnsi="Arial" w:cs="Arial"/>
          <w:i/>
          <w:color w:val="000000"/>
          <w:sz w:val="22"/>
          <w:szCs w:val="22"/>
          <w:lang w:eastAsia="en-AU"/>
        </w:rPr>
      </w:pPr>
      <w:r w:rsidRPr="003527D9">
        <w:rPr>
          <w:rFonts w:ascii="Arial" w:eastAsia="Times New Roman" w:hAnsi="Arial" w:cs="Arial"/>
          <w:b/>
          <w:bCs/>
          <w:i/>
          <w:color w:val="000000"/>
          <w:sz w:val="22"/>
          <w:szCs w:val="22"/>
          <w:lang w:eastAsia="en-AU"/>
        </w:rPr>
        <w:t>Option 3:</w:t>
      </w:r>
      <w:r w:rsidRPr="003527D9">
        <w:rPr>
          <w:rFonts w:ascii="Arial" w:eastAsia="Times New Roman" w:hAnsi="Arial" w:cs="Arial"/>
          <w:i/>
          <w:color w:val="000000"/>
          <w:sz w:val="22"/>
          <w:szCs w:val="22"/>
          <w:lang w:eastAsia="en-AU"/>
        </w:rPr>
        <w:t> Accessibility standard, broadly reflecting LHDG gold standard (plus some platinum features), in the NCC applying to all new Class 1a and Class 2 buildings.</w:t>
      </w:r>
    </w:p>
    <w:p w14:paraId="64B6C3FE" w14:textId="77777777" w:rsidR="003527D9" w:rsidRPr="003527D9" w:rsidRDefault="003527D9" w:rsidP="003527D9">
      <w:pPr>
        <w:pStyle w:val="ListParagraph"/>
        <w:numPr>
          <w:ilvl w:val="0"/>
          <w:numId w:val="33"/>
        </w:numPr>
        <w:shd w:val="clear" w:color="auto" w:fill="FFFFFF"/>
        <w:spacing w:before="100" w:beforeAutospacing="1" w:after="100" w:afterAutospacing="1"/>
        <w:rPr>
          <w:rFonts w:ascii="Arial" w:eastAsia="Times New Roman" w:hAnsi="Arial" w:cs="Arial"/>
          <w:i/>
          <w:color w:val="000000"/>
          <w:sz w:val="22"/>
          <w:szCs w:val="22"/>
          <w:lang w:eastAsia="en-AU"/>
        </w:rPr>
      </w:pPr>
      <w:r w:rsidRPr="003527D9">
        <w:rPr>
          <w:rFonts w:ascii="Arial" w:eastAsia="Times New Roman" w:hAnsi="Arial" w:cs="Arial"/>
          <w:b/>
          <w:bCs/>
          <w:i/>
          <w:color w:val="000000"/>
          <w:sz w:val="22"/>
          <w:szCs w:val="22"/>
          <w:lang w:eastAsia="en-AU"/>
        </w:rPr>
        <w:t>Option 4:</w:t>
      </w:r>
      <w:r w:rsidRPr="003527D9">
        <w:rPr>
          <w:rFonts w:ascii="Arial" w:eastAsia="Times New Roman" w:hAnsi="Arial" w:cs="Arial"/>
          <w:i/>
          <w:color w:val="000000"/>
          <w:sz w:val="22"/>
          <w:szCs w:val="22"/>
          <w:lang w:eastAsia="en-AU"/>
        </w:rPr>
        <w:t> Accessibility standard, broadly reflecting LHDG gold standard, in the NCC applying to all new Class 2 buildings.</w:t>
      </w:r>
    </w:p>
    <w:p w14:paraId="5289C95B" w14:textId="77777777" w:rsidR="003527D9" w:rsidRPr="003527D9" w:rsidRDefault="003527D9" w:rsidP="003527D9">
      <w:pPr>
        <w:pStyle w:val="ListParagraph"/>
        <w:numPr>
          <w:ilvl w:val="0"/>
          <w:numId w:val="33"/>
        </w:numPr>
        <w:shd w:val="clear" w:color="auto" w:fill="FFFFFF"/>
        <w:spacing w:before="100" w:beforeAutospacing="1" w:after="100" w:afterAutospacing="1"/>
        <w:rPr>
          <w:rFonts w:ascii="Arial" w:eastAsia="Times New Roman" w:hAnsi="Arial" w:cs="Arial"/>
          <w:i/>
          <w:color w:val="000000"/>
          <w:sz w:val="22"/>
          <w:szCs w:val="22"/>
          <w:lang w:eastAsia="en-AU"/>
        </w:rPr>
      </w:pPr>
      <w:r w:rsidRPr="003527D9">
        <w:rPr>
          <w:rFonts w:ascii="Arial" w:eastAsia="Times New Roman" w:hAnsi="Arial" w:cs="Arial"/>
          <w:b/>
          <w:bCs/>
          <w:i/>
          <w:color w:val="000000"/>
          <w:sz w:val="22"/>
          <w:szCs w:val="22"/>
          <w:lang w:eastAsia="en-AU"/>
        </w:rPr>
        <w:t>Option 5:</w:t>
      </w:r>
      <w:r w:rsidRPr="003527D9">
        <w:rPr>
          <w:rFonts w:ascii="Arial" w:eastAsia="Times New Roman" w:hAnsi="Arial" w:cs="Arial"/>
          <w:i/>
          <w:color w:val="000000"/>
          <w:sz w:val="22"/>
          <w:szCs w:val="22"/>
          <w:lang w:eastAsia="en-AU"/>
        </w:rPr>
        <w:t> A subsidy program to encourage additional availability of accessible rental properties to LHDG Gold standard.</w:t>
      </w:r>
    </w:p>
    <w:p w14:paraId="0AFE78FC" w14:textId="77777777" w:rsidR="003527D9" w:rsidRPr="003527D9" w:rsidRDefault="003527D9" w:rsidP="003527D9">
      <w:pPr>
        <w:pStyle w:val="ListParagraph"/>
        <w:numPr>
          <w:ilvl w:val="0"/>
          <w:numId w:val="33"/>
        </w:numPr>
        <w:shd w:val="clear" w:color="auto" w:fill="FFFFFF"/>
        <w:spacing w:before="100" w:beforeAutospacing="1" w:after="100" w:afterAutospacing="1"/>
        <w:rPr>
          <w:rFonts w:ascii="Arial" w:eastAsia="Times New Roman" w:hAnsi="Arial" w:cs="Arial"/>
          <w:i/>
          <w:color w:val="000000"/>
          <w:sz w:val="22"/>
          <w:szCs w:val="22"/>
          <w:lang w:eastAsia="en-AU"/>
        </w:rPr>
      </w:pPr>
      <w:r w:rsidRPr="003527D9">
        <w:rPr>
          <w:rFonts w:ascii="Arial" w:eastAsia="Times New Roman" w:hAnsi="Arial" w:cs="Arial"/>
          <w:b/>
          <w:bCs/>
          <w:i/>
          <w:color w:val="000000"/>
          <w:sz w:val="22"/>
          <w:szCs w:val="22"/>
          <w:lang w:eastAsia="en-AU"/>
        </w:rPr>
        <w:t>Option 6:</w:t>
      </w:r>
      <w:r w:rsidRPr="003527D9">
        <w:rPr>
          <w:rFonts w:ascii="Arial" w:eastAsia="Times New Roman" w:hAnsi="Arial" w:cs="Arial"/>
          <w:i/>
          <w:color w:val="000000"/>
          <w:sz w:val="22"/>
          <w:szCs w:val="22"/>
          <w:lang w:eastAsia="en-AU"/>
        </w:rPr>
        <w:t> An enhanced approach to voluntary guidance, including:</w:t>
      </w:r>
    </w:p>
    <w:p w14:paraId="5F74159D" w14:textId="77777777" w:rsidR="003527D9" w:rsidRPr="003527D9" w:rsidRDefault="003527D9" w:rsidP="003527D9">
      <w:pPr>
        <w:numPr>
          <w:ilvl w:val="2"/>
          <w:numId w:val="34"/>
        </w:numPr>
        <w:shd w:val="clear" w:color="auto" w:fill="FFFFFF"/>
        <w:spacing w:before="100" w:beforeAutospacing="1" w:after="100" w:afterAutospacing="1"/>
        <w:rPr>
          <w:rFonts w:ascii="Arial" w:eastAsia="Times New Roman" w:hAnsi="Arial" w:cs="Arial"/>
          <w:color w:val="000000"/>
          <w:sz w:val="22"/>
          <w:szCs w:val="22"/>
          <w:lang w:eastAsia="en-AU"/>
        </w:rPr>
      </w:pPr>
      <w:r w:rsidRPr="003527D9">
        <w:rPr>
          <w:rFonts w:ascii="Arial" w:eastAsia="Times New Roman" w:hAnsi="Arial" w:cs="Arial"/>
          <w:color w:val="000000"/>
          <w:sz w:val="22"/>
          <w:szCs w:val="22"/>
          <w:lang w:eastAsia="en-AU"/>
        </w:rPr>
        <w:t>a non-regulatory ABCB handbook</w:t>
      </w:r>
    </w:p>
    <w:p w14:paraId="036E1F7A" w14:textId="77777777" w:rsidR="003527D9" w:rsidRPr="003527D9" w:rsidRDefault="003527D9" w:rsidP="003527D9">
      <w:pPr>
        <w:numPr>
          <w:ilvl w:val="2"/>
          <w:numId w:val="34"/>
        </w:numPr>
        <w:shd w:val="clear" w:color="auto" w:fill="FFFFFF"/>
        <w:spacing w:before="100" w:beforeAutospacing="1" w:after="100" w:afterAutospacing="1"/>
        <w:rPr>
          <w:rFonts w:ascii="Arial" w:eastAsia="Times New Roman" w:hAnsi="Arial" w:cs="Arial"/>
          <w:color w:val="000000"/>
          <w:sz w:val="22"/>
          <w:szCs w:val="22"/>
          <w:lang w:eastAsia="en-AU"/>
        </w:rPr>
      </w:pPr>
      <w:r w:rsidRPr="003527D9">
        <w:rPr>
          <w:rFonts w:ascii="Arial" w:eastAsia="Times New Roman" w:hAnsi="Arial" w:cs="Arial"/>
          <w:color w:val="000000"/>
          <w:sz w:val="22"/>
          <w:szCs w:val="22"/>
          <w:lang w:eastAsia="en-AU"/>
        </w:rPr>
        <w:t>information provision at the point of sale</w:t>
      </w:r>
    </w:p>
    <w:p w14:paraId="32BA2CF7" w14:textId="77777777" w:rsidR="00BF2316" w:rsidRPr="005D0791" w:rsidRDefault="003527D9" w:rsidP="005D0791">
      <w:pPr>
        <w:numPr>
          <w:ilvl w:val="2"/>
          <w:numId w:val="34"/>
        </w:numPr>
        <w:shd w:val="clear" w:color="auto" w:fill="FFFFFF"/>
        <w:spacing w:before="100" w:beforeAutospacing="1" w:after="100" w:afterAutospacing="1"/>
        <w:rPr>
          <w:rFonts w:ascii="Arial" w:eastAsia="Times New Roman" w:hAnsi="Arial" w:cs="Arial"/>
          <w:color w:val="000000"/>
          <w:sz w:val="22"/>
          <w:szCs w:val="22"/>
          <w:lang w:eastAsia="en-AU"/>
        </w:rPr>
      </w:pPr>
      <w:r w:rsidRPr="003527D9">
        <w:rPr>
          <w:rFonts w:ascii="Arial" w:eastAsia="Times New Roman" w:hAnsi="Arial" w:cs="Arial"/>
          <w:color w:val="000000"/>
          <w:sz w:val="22"/>
          <w:szCs w:val="22"/>
          <w:lang w:eastAsia="en-AU"/>
        </w:rPr>
        <w:t>better matching services.</w:t>
      </w:r>
    </w:p>
    <w:p w14:paraId="2B5BC890" w14:textId="463AE05F" w:rsidR="00BF2316" w:rsidRDefault="00BF2316" w:rsidP="009C0D81">
      <w:pPr>
        <w:pStyle w:val="ListParagraph"/>
        <w:numPr>
          <w:ilvl w:val="0"/>
          <w:numId w:val="17"/>
        </w:numPr>
        <w:rPr>
          <w:rFonts w:ascii="Arial" w:hAnsi="Arial" w:cs="Arial"/>
        </w:rPr>
      </w:pPr>
      <w:r>
        <w:rPr>
          <w:rFonts w:ascii="Arial" w:hAnsi="Arial" w:cs="Arial"/>
        </w:rPr>
        <w:t>The Commission does not support maintaining the status quo.</w:t>
      </w:r>
      <w:r w:rsidR="003231CD">
        <w:rPr>
          <w:rFonts w:ascii="Arial" w:hAnsi="Arial" w:cs="Arial"/>
        </w:rPr>
        <w:t xml:space="preserve"> </w:t>
      </w:r>
      <w:r w:rsidR="00DF27C8">
        <w:rPr>
          <w:rFonts w:ascii="Arial" w:hAnsi="Arial" w:cs="Arial"/>
        </w:rPr>
        <w:t>T</w:t>
      </w:r>
      <w:r w:rsidR="003231CD">
        <w:rPr>
          <w:rFonts w:ascii="Arial" w:hAnsi="Arial" w:cs="Arial"/>
        </w:rPr>
        <w:t xml:space="preserve">his </w:t>
      </w:r>
      <w:r w:rsidR="00DF27C8">
        <w:rPr>
          <w:rFonts w:ascii="Arial" w:hAnsi="Arial" w:cs="Arial"/>
        </w:rPr>
        <w:t xml:space="preserve">position </w:t>
      </w:r>
      <w:r w:rsidR="003231CD">
        <w:rPr>
          <w:rFonts w:ascii="Arial" w:hAnsi="Arial" w:cs="Arial"/>
        </w:rPr>
        <w:t xml:space="preserve">will not </w:t>
      </w:r>
      <w:r w:rsidR="005D0791">
        <w:rPr>
          <w:rFonts w:ascii="Arial" w:hAnsi="Arial" w:cs="Arial"/>
        </w:rPr>
        <w:t>result in</w:t>
      </w:r>
      <w:r w:rsidR="003231CD">
        <w:rPr>
          <w:rFonts w:ascii="Arial" w:hAnsi="Arial" w:cs="Arial"/>
        </w:rPr>
        <w:t xml:space="preserve"> an equitable housing market as required by Australia’</w:t>
      </w:r>
      <w:r w:rsidR="005D0791">
        <w:rPr>
          <w:rFonts w:ascii="Arial" w:hAnsi="Arial" w:cs="Arial"/>
        </w:rPr>
        <w:t xml:space="preserve">s human rights </w:t>
      </w:r>
      <w:r w:rsidR="00E811BE">
        <w:rPr>
          <w:rFonts w:ascii="Arial" w:hAnsi="Arial" w:cs="Arial"/>
        </w:rPr>
        <w:t xml:space="preserve">laws and </w:t>
      </w:r>
      <w:r w:rsidR="005D0791">
        <w:rPr>
          <w:rFonts w:ascii="Arial" w:hAnsi="Arial" w:cs="Arial"/>
        </w:rPr>
        <w:t>obligations. D</w:t>
      </w:r>
      <w:r w:rsidR="003231CD">
        <w:rPr>
          <w:rFonts w:ascii="Arial" w:hAnsi="Arial" w:cs="Arial"/>
        </w:rPr>
        <w:t xml:space="preserve">emand </w:t>
      </w:r>
      <w:r w:rsidR="005D0791">
        <w:rPr>
          <w:rFonts w:ascii="Arial" w:hAnsi="Arial" w:cs="Arial"/>
        </w:rPr>
        <w:t xml:space="preserve">for accessible housing will increase </w:t>
      </w:r>
      <w:r w:rsidR="003231CD">
        <w:rPr>
          <w:rFonts w:ascii="Arial" w:hAnsi="Arial" w:cs="Arial"/>
        </w:rPr>
        <w:t xml:space="preserve">due to </w:t>
      </w:r>
      <w:r w:rsidR="00276BF3">
        <w:rPr>
          <w:rFonts w:ascii="Arial" w:hAnsi="Arial" w:cs="Arial"/>
        </w:rPr>
        <w:t>Australia’s</w:t>
      </w:r>
      <w:r w:rsidR="003231CD">
        <w:rPr>
          <w:rFonts w:ascii="Arial" w:hAnsi="Arial" w:cs="Arial"/>
        </w:rPr>
        <w:t xml:space="preserve"> ageing population </w:t>
      </w:r>
      <w:r w:rsidR="00276BF3">
        <w:rPr>
          <w:rFonts w:ascii="Arial" w:hAnsi="Arial" w:cs="Arial"/>
        </w:rPr>
        <w:t xml:space="preserve">and </w:t>
      </w:r>
      <w:r w:rsidR="003231CD">
        <w:rPr>
          <w:rFonts w:ascii="Arial" w:hAnsi="Arial" w:cs="Arial"/>
        </w:rPr>
        <w:t xml:space="preserve">the situation will </w:t>
      </w:r>
      <w:r w:rsidR="009455A3">
        <w:rPr>
          <w:rFonts w:ascii="Arial" w:hAnsi="Arial" w:cs="Arial"/>
        </w:rPr>
        <w:t xml:space="preserve">only </w:t>
      </w:r>
      <w:r w:rsidR="00DF27C8">
        <w:rPr>
          <w:rFonts w:ascii="Arial" w:hAnsi="Arial" w:cs="Arial"/>
        </w:rPr>
        <w:t xml:space="preserve">become more acute over </w:t>
      </w:r>
      <w:r w:rsidR="003231CD">
        <w:rPr>
          <w:rFonts w:ascii="Arial" w:hAnsi="Arial" w:cs="Arial"/>
        </w:rPr>
        <w:t>time.</w:t>
      </w:r>
    </w:p>
    <w:p w14:paraId="7B2A0511" w14:textId="77777777" w:rsidR="003231CD" w:rsidRPr="003231CD" w:rsidRDefault="003231CD" w:rsidP="003231CD">
      <w:pPr>
        <w:pStyle w:val="ListParagraph"/>
        <w:rPr>
          <w:rFonts w:ascii="Arial" w:hAnsi="Arial" w:cs="Arial"/>
        </w:rPr>
      </w:pPr>
    </w:p>
    <w:p w14:paraId="16114554" w14:textId="4A3064F3" w:rsidR="004E0E33" w:rsidRDefault="0088230D" w:rsidP="009C0D81">
      <w:pPr>
        <w:pStyle w:val="ListParagraph"/>
        <w:numPr>
          <w:ilvl w:val="0"/>
          <w:numId w:val="17"/>
        </w:numPr>
        <w:rPr>
          <w:rFonts w:ascii="Arial" w:hAnsi="Arial" w:cs="Arial"/>
        </w:rPr>
      </w:pPr>
      <w:r>
        <w:rPr>
          <w:rFonts w:ascii="Arial" w:hAnsi="Arial" w:cs="Arial"/>
        </w:rPr>
        <w:t>The</w:t>
      </w:r>
      <w:r w:rsidR="00735B79">
        <w:rPr>
          <w:rFonts w:ascii="Arial" w:hAnsi="Arial" w:cs="Arial"/>
        </w:rPr>
        <w:t xml:space="preserve"> Commission</w:t>
      </w:r>
      <w:r w:rsidR="004A6E5D">
        <w:rPr>
          <w:rFonts w:ascii="Arial" w:hAnsi="Arial" w:cs="Arial"/>
        </w:rPr>
        <w:t xml:space="preserve"> considers that the </w:t>
      </w:r>
      <w:r w:rsidR="00014487">
        <w:rPr>
          <w:rFonts w:ascii="Arial" w:hAnsi="Arial" w:cs="Arial"/>
        </w:rPr>
        <w:t>best</w:t>
      </w:r>
      <w:r w:rsidR="004A6E5D">
        <w:rPr>
          <w:rFonts w:ascii="Arial" w:hAnsi="Arial" w:cs="Arial"/>
        </w:rPr>
        <w:t xml:space="preserve"> option is Option 2</w:t>
      </w:r>
      <w:r w:rsidR="00DF27C8">
        <w:rPr>
          <w:rFonts w:ascii="Arial" w:hAnsi="Arial" w:cs="Arial"/>
        </w:rPr>
        <w:t>,</w:t>
      </w:r>
      <w:r w:rsidR="004E0E33">
        <w:rPr>
          <w:rFonts w:ascii="Arial" w:hAnsi="Arial" w:cs="Arial"/>
        </w:rPr>
        <w:t xml:space="preserve"> as</w:t>
      </w:r>
      <w:r w:rsidR="00C21C4F">
        <w:rPr>
          <w:rFonts w:ascii="Arial" w:hAnsi="Arial" w:cs="Arial"/>
        </w:rPr>
        <w:t xml:space="preserve"> it is</w:t>
      </w:r>
      <w:r w:rsidR="004E0E33">
        <w:rPr>
          <w:rFonts w:ascii="Arial" w:hAnsi="Arial" w:cs="Arial"/>
        </w:rPr>
        <w:t xml:space="preserve"> most likely to meet the objective of ensuring that housing is designed to meet the needs of the community</w:t>
      </w:r>
      <w:r w:rsidR="004A6E5D">
        <w:rPr>
          <w:rFonts w:ascii="Arial" w:hAnsi="Arial" w:cs="Arial"/>
        </w:rPr>
        <w:t>.</w:t>
      </w:r>
    </w:p>
    <w:p w14:paraId="2F9D6D93" w14:textId="77777777" w:rsidR="004E0E33" w:rsidRPr="004E0E33" w:rsidRDefault="004E0E33" w:rsidP="004E0E33">
      <w:pPr>
        <w:pStyle w:val="ListParagraph"/>
        <w:rPr>
          <w:rFonts w:ascii="Arial" w:hAnsi="Arial" w:cs="Arial"/>
        </w:rPr>
      </w:pPr>
    </w:p>
    <w:p w14:paraId="458173DF" w14:textId="7700F09C" w:rsidR="003231CD" w:rsidRDefault="004A6E5D" w:rsidP="009C0D81">
      <w:pPr>
        <w:pStyle w:val="ListParagraph"/>
        <w:numPr>
          <w:ilvl w:val="0"/>
          <w:numId w:val="17"/>
        </w:numPr>
        <w:rPr>
          <w:rFonts w:ascii="Arial" w:hAnsi="Arial" w:cs="Arial"/>
        </w:rPr>
      </w:pPr>
      <w:r>
        <w:rPr>
          <w:rFonts w:ascii="Arial" w:hAnsi="Arial" w:cs="Arial"/>
        </w:rPr>
        <w:t xml:space="preserve">Option </w:t>
      </w:r>
      <w:r w:rsidR="00361BCC">
        <w:rPr>
          <w:rFonts w:ascii="Arial" w:hAnsi="Arial" w:cs="Arial"/>
        </w:rPr>
        <w:t>1</w:t>
      </w:r>
      <w:r w:rsidR="004E0E33">
        <w:rPr>
          <w:rFonts w:ascii="Arial" w:hAnsi="Arial" w:cs="Arial"/>
        </w:rPr>
        <w:t xml:space="preserve"> is the Commission’s second preference, as it</w:t>
      </w:r>
      <w:r w:rsidR="00C4415F">
        <w:rPr>
          <w:rFonts w:ascii="Arial" w:hAnsi="Arial" w:cs="Arial"/>
        </w:rPr>
        <w:t xml:space="preserve"> </w:t>
      </w:r>
      <w:r w:rsidR="00991A4A">
        <w:rPr>
          <w:rFonts w:ascii="Arial" w:hAnsi="Arial" w:cs="Arial"/>
        </w:rPr>
        <w:t>is</w:t>
      </w:r>
      <w:r w:rsidR="00C4415F">
        <w:rPr>
          <w:rFonts w:ascii="Arial" w:hAnsi="Arial" w:cs="Arial"/>
        </w:rPr>
        <w:t xml:space="preserve"> also a feasible option and would achieve a significant improvement to housing accessibility in Australia.</w:t>
      </w:r>
      <w:r w:rsidR="000C2A7D">
        <w:rPr>
          <w:rFonts w:ascii="Arial" w:hAnsi="Arial" w:cs="Arial"/>
        </w:rPr>
        <w:t xml:space="preserve"> However, it is not </w:t>
      </w:r>
      <w:r w:rsidR="002545A9">
        <w:rPr>
          <w:rFonts w:ascii="Arial" w:hAnsi="Arial" w:cs="Arial"/>
        </w:rPr>
        <w:t>a</w:t>
      </w:r>
      <w:r w:rsidR="000C2A7D">
        <w:rPr>
          <w:rFonts w:ascii="Arial" w:hAnsi="Arial" w:cs="Arial"/>
        </w:rPr>
        <w:t xml:space="preserve"> </w:t>
      </w:r>
      <w:r w:rsidR="009A5EFA">
        <w:rPr>
          <w:rFonts w:ascii="Arial" w:hAnsi="Arial" w:cs="Arial"/>
        </w:rPr>
        <w:t>universal</w:t>
      </w:r>
      <w:r w:rsidR="000C2A7D">
        <w:rPr>
          <w:rFonts w:ascii="Arial" w:hAnsi="Arial" w:cs="Arial"/>
        </w:rPr>
        <w:t xml:space="preserve"> </w:t>
      </w:r>
      <w:r w:rsidR="002545A9">
        <w:rPr>
          <w:rFonts w:ascii="Arial" w:hAnsi="Arial" w:cs="Arial"/>
        </w:rPr>
        <w:t xml:space="preserve">housing </w:t>
      </w:r>
      <w:r w:rsidR="000C2A7D">
        <w:rPr>
          <w:rFonts w:ascii="Arial" w:hAnsi="Arial" w:cs="Arial"/>
        </w:rPr>
        <w:t xml:space="preserve">option </w:t>
      </w:r>
      <w:r w:rsidR="002545A9">
        <w:rPr>
          <w:rFonts w:ascii="Arial" w:hAnsi="Arial" w:cs="Arial"/>
        </w:rPr>
        <w:t>with the</w:t>
      </w:r>
      <w:r w:rsidR="001930E4">
        <w:rPr>
          <w:rFonts w:ascii="Arial" w:hAnsi="Arial" w:cs="Arial"/>
        </w:rPr>
        <w:t xml:space="preserve"> wider</w:t>
      </w:r>
      <w:r w:rsidR="002545A9">
        <w:rPr>
          <w:rFonts w:ascii="Arial" w:hAnsi="Arial" w:cs="Arial"/>
        </w:rPr>
        <w:t xml:space="preserve"> benefits of</w:t>
      </w:r>
      <w:r w:rsidR="000C2A7D">
        <w:rPr>
          <w:rFonts w:ascii="Arial" w:hAnsi="Arial" w:cs="Arial"/>
        </w:rPr>
        <w:t xml:space="preserve"> Option </w:t>
      </w:r>
      <w:r w:rsidR="00260A4D">
        <w:rPr>
          <w:rFonts w:ascii="Arial" w:hAnsi="Arial" w:cs="Arial"/>
        </w:rPr>
        <w:t>2</w:t>
      </w:r>
      <w:r w:rsidR="000C2A7D">
        <w:rPr>
          <w:rFonts w:ascii="Arial" w:hAnsi="Arial" w:cs="Arial"/>
        </w:rPr>
        <w:t xml:space="preserve">, particularly because </w:t>
      </w:r>
      <w:r w:rsidR="000C7B4B">
        <w:rPr>
          <w:rFonts w:ascii="Arial" w:hAnsi="Arial" w:cs="Arial"/>
        </w:rPr>
        <w:t>s</w:t>
      </w:r>
      <w:r w:rsidR="009B4EE3">
        <w:rPr>
          <w:rFonts w:ascii="Arial" w:hAnsi="Arial" w:cs="Arial"/>
        </w:rPr>
        <w:t xml:space="preserve">ilver standard </w:t>
      </w:r>
      <w:r w:rsidR="000C2A7D">
        <w:rPr>
          <w:rFonts w:ascii="Arial" w:hAnsi="Arial" w:cs="Arial"/>
        </w:rPr>
        <w:t xml:space="preserve">properties </w:t>
      </w:r>
      <w:r w:rsidR="00E8737C">
        <w:rPr>
          <w:rFonts w:ascii="Arial" w:hAnsi="Arial" w:cs="Arial"/>
        </w:rPr>
        <w:t>will</w:t>
      </w:r>
      <w:r w:rsidR="000C2A7D">
        <w:rPr>
          <w:rFonts w:ascii="Arial" w:hAnsi="Arial" w:cs="Arial"/>
        </w:rPr>
        <w:t xml:space="preserve"> require retrofitting for wheelchair use.</w:t>
      </w:r>
    </w:p>
    <w:p w14:paraId="12471931" w14:textId="77777777" w:rsidR="00191D39" w:rsidRPr="00191D39" w:rsidRDefault="00191D39" w:rsidP="00191D39">
      <w:pPr>
        <w:pStyle w:val="ListParagraph"/>
        <w:rPr>
          <w:rFonts w:ascii="Arial" w:hAnsi="Arial" w:cs="Arial"/>
        </w:rPr>
      </w:pPr>
    </w:p>
    <w:p w14:paraId="4C9E24D9" w14:textId="77777777" w:rsidR="00191D39" w:rsidRDefault="00C07C74" w:rsidP="009C0D81">
      <w:pPr>
        <w:pStyle w:val="ListParagraph"/>
        <w:numPr>
          <w:ilvl w:val="0"/>
          <w:numId w:val="17"/>
        </w:numPr>
        <w:rPr>
          <w:rFonts w:ascii="Arial" w:hAnsi="Arial" w:cs="Arial"/>
        </w:rPr>
      </w:pPr>
      <w:r>
        <w:rPr>
          <w:rFonts w:ascii="Arial" w:hAnsi="Arial" w:cs="Arial"/>
        </w:rPr>
        <w:lastRenderedPageBreak/>
        <w:t>Option 3 does not provide any signi</w:t>
      </w:r>
      <w:r w:rsidR="00EB4733">
        <w:rPr>
          <w:rFonts w:ascii="Arial" w:hAnsi="Arial" w:cs="Arial"/>
        </w:rPr>
        <w:t>ficant benefits beyond Option 2. P</w:t>
      </w:r>
      <w:r w:rsidR="001D3190">
        <w:rPr>
          <w:rFonts w:ascii="Arial" w:hAnsi="Arial" w:cs="Arial"/>
        </w:rPr>
        <w:t xml:space="preserve">latinum </w:t>
      </w:r>
      <w:r w:rsidR="00491BC8">
        <w:rPr>
          <w:rFonts w:ascii="Arial" w:hAnsi="Arial" w:cs="Arial"/>
        </w:rPr>
        <w:t xml:space="preserve">features </w:t>
      </w:r>
      <w:r w:rsidR="00EB4733">
        <w:rPr>
          <w:rFonts w:ascii="Arial" w:hAnsi="Arial" w:cs="Arial"/>
        </w:rPr>
        <w:t>need not be a requirement</w:t>
      </w:r>
      <w:r w:rsidR="001D3190">
        <w:rPr>
          <w:rFonts w:ascii="Arial" w:hAnsi="Arial" w:cs="Arial"/>
        </w:rPr>
        <w:t xml:space="preserve"> </w:t>
      </w:r>
      <w:r>
        <w:rPr>
          <w:rFonts w:ascii="Arial" w:hAnsi="Arial" w:cs="Arial"/>
        </w:rPr>
        <w:t xml:space="preserve">as a </w:t>
      </w:r>
      <w:r w:rsidRPr="001D3190">
        <w:rPr>
          <w:rFonts w:ascii="Arial" w:hAnsi="Arial" w:cs="Arial"/>
          <w:i/>
        </w:rPr>
        <w:t>minimum</w:t>
      </w:r>
      <w:r>
        <w:rPr>
          <w:rFonts w:ascii="Arial" w:hAnsi="Arial" w:cs="Arial"/>
        </w:rPr>
        <w:t xml:space="preserve"> standard.</w:t>
      </w:r>
    </w:p>
    <w:p w14:paraId="69F86D93" w14:textId="77777777" w:rsidR="00D72961" w:rsidRPr="00D72961" w:rsidRDefault="00D72961" w:rsidP="00D72961">
      <w:pPr>
        <w:pStyle w:val="ListParagraph"/>
        <w:rPr>
          <w:rFonts w:ascii="Arial" w:hAnsi="Arial" w:cs="Arial"/>
        </w:rPr>
      </w:pPr>
    </w:p>
    <w:p w14:paraId="7A908AF2" w14:textId="185A323B" w:rsidR="00D72961" w:rsidRDefault="00D72961" w:rsidP="009C0D81">
      <w:pPr>
        <w:pStyle w:val="ListParagraph"/>
        <w:numPr>
          <w:ilvl w:val="0"/>
          <w:numId w:val="17"/>
        </w:numPr>
        <w:rPr>
          <w:rFonts w:ascii="Arial" w:hAnsi="Arial" w:cs="Arial"/>
        </w:rPr>
      </w:pPr>
      <w:r>
        <w:rPr>
          <w:rFonts w:ascii="Arial" w:hAnsi="Arial" w:cs="Arial"/>
        </w:rPr>
        <w:t>Option 4 is not feasible because it only applies to Class 2 buildings</w:t>
      </w:r>
      <w:r w:rsidR="006807C9">
        <w:rPr>
          <w:rFonts w:ascii="Arial" w:hAnsi="Arial" w:cs="Arial"/>
        </w:rPr>
        <w:t xml:space="preserve"> (apartments)</w:t>
      </w:r>
      <w:r>
        <w:rPr>
          <w:rFonts w:ascii="Arial" w:hAnsi="Arial" w:cs="Arial"/>
        </w:rPr>
        <w:t>.</w:t>
      </w:r>
      <w:r w:rsidR="00653B38">
        <w:rPr>
          <w:rFonts w:ascii="Arial" w:hAnsi="Arial" w:cs="Arial"/>
        </w:rPr>
        <w:t xml:space="preserve"> The minimum standards must </w:t>
      </w:r>
      <w:r w:rsidR="00141D8E">
        <w:rPr>
          <w:rFonts w:ascii="Arial" w:hAnsi="Arial" w:cs="Arial"/>
        </w:rPr>
        <w:t xml:space="preserve">also apply to Class 1a </w:t>
      </w:r>
      <w:r w:rsidR="00AA7FD4">
        <w:rPr>
          <w:rFonts w:ascii="Arial" w:hAnsi="Arial" w:cs="Arial"/>
        </w:rPr>
        <w:t xml:space="preserve">buildings </w:t>
      </w:r>
      <w:r w:rsidR="00141D8E">
        <w:rPr>
          <w:rFonts w:ascii="Arial" w:hAnsi="Arial" w:cs="Arial"/>
        </w:rPr>
        <w:t>(</w:t>
      </w:r>
      <w:r w:rsidR="002346BC">
        <w:rPr>
          <w:rFonts w:ascii="Arial" w:hAnsi="Arial" w:cs="Arial"/>
        </w:rPr>
        <w:t>houses) to ensure that a range of options</w:t>
      </w:r>
      <w:r w:rsidR="00141D8E">
        <w:rPr>
          <w:rFonts w:ascii="Arial" w:hAnsi="Arial" w:cs="Arial"/>
        </w:rPr>
        <w:t xml:space="preserve"> </w:t>
      </w:r>
      <w:r w:rsidR="0084745C">
        <w:rPr>
          <w:rFonts w:ascii="Arial" w:hAnsi="Arial" w:cs="Arial"/>
        </w:rPr>
        <w:t xml:space="preserve">is available </w:t>
      </w:r>
      <w:r w:rsidR="00141D8E">
        <w:rPr>
          <w:rFonts w:ascii="Arial" w:hAnsi="Arial" w:cs="Arial"/>
        </w:rPr>
        <w:t xml:space="preserve">for people </w:t>
      </w:r>
      <w:r w:rsidR="002346BC">
        <w:rPr>
          <w:rFonts w:ascii="Arial" w:hAnsi="Arial" w:cs="Arial"/>
        </w:rPr>
        <w:t>who need accessible homes</w:t>
      </w:r>
      <w:r w:rsidR="00141D8E">
        <w:rPr>
          <w:rFonts w:ascii="Arial" w:hAnsi="Arial" w:cs="Arial"/>
        </w:rPr>
        <w:t>. Houses are a preferred option</w:t>
      </w:r>
      <w:r w:rsidR="00AB3BC6">
        <w:rPr>
          <w:rFonts w:ascii="Arial" w:hAnsi="Arial" w:cs="Arial"/>
        </w:rPr>
        <w:t xml:space="preserve"> for ma</w:t>
      </w:r>
      <w:r w:rsidR="00D52C58">
        <w:rPr>
          <w:rFonts w:ascii="Arial" w:hAnsi="Arial" w:cs="Arial"/>
        </w:rPr>
        <w:t>ny people, including people with assistance animals</w:t>
      </w:r>
      <w:r w:rsidR="001439AC">
        <w:rPr>
          <w:rFonts w:ascii="Arial" w:hAnsi="Arial" w:cs="Arial"/>
        </w:rPr>
        <w:t xml:space="preserve"> who require yard space</w:t>
      </w:r>
      <w:r w:rsidR="00BB0FA8">
        <w:rPr>
          <w:rFonts w:ascii="Arial" w:hAnsi="Arial" w:cs="Arial"/>
        </w:rPr>
        <w:t xml:space="preserve">, </w:t>
      </w:r>
      <w:r w:rsidR="00362AEE">
        <w:rPr>
          <w:rFonts w:ascii="Arial" w:hAnsi="Arial" w:cs="Arial"/>
        </w:rPr>
        <w:t>as well as</w:t>
      </w:r>
      <w:r w:rsidR="00BB0FA8">
        <w:rPr>
          <w:rFonts w:ascii="Arial" w:hAnsi="Arial" w:cs="Arial"/>
        </w:rPr>
        <w:t xml:space="preserve"> young families</w:t>
      </w:r>
      <w:r w:rsidR="00FB51BA">
        <w:rPr>
          <w:rFonts w:ascii="Arial" w:hAnsi="Arial" w:cs="Arial"/>
        </w:rPr>
        <w:t xml:space="preserve">. Regional areas also have fewer Class 2 buildings and </w:t>
      </w:r>
      <w:r w:rsidR="0061787F">
        <w:rPr>
          <w:rFonts w:ascii="Arial" w:hAnsi="Arial" w:cs="Arial"/>
        </w:rPr>
        <w:t>this approach</w:t>
      </w:r>
      <w:r w:rsidR="00FB51BA">
        <w:rPr>
          <w:rFonts w:ascii="Arial" w:hAnsi="Arial" w:cs="Arial"/>
        </w:rPr>
        <w:t xml:space="preserve"> may create inequity based on geographic location.</w:t>
      </w:r>
    </w:p>
    <w:p w14:paraId="162F715C" w14:textId="77777777" w:rsidR="004040DF" w:rsidRPr="004040DF" w:rsidRDefault="004040DF" w:rsidP="004040DF">
      <w:pPr>
        <w:pStyle w:val="ListParagraph"/>
        <w:rPr>
          <w:rFonts w:ascii="Arial" w:hAnsi="Arial" w:cs="Arial"/>
        </w:rPr>
      </w:pPr>
    </w:p>
    <w:p w14:paraId="351C8B3F" w14:textId="3CA130BD" w:rsidR="004040DF" w:rsidRPr="006638E4" w:rsidRDefault="004040DF" w:rsidP="009C0D81">
      <w:pPr>
        <w:pStyle w:val="ListParagraph"/>
        <w:numPr>
          <w:ilvl w:val="0"/>
          <w:numId w:val="17"/>
        </w:numPr>
        <w:rPr>
          <w:rFonts w:ascii="Arial" w:hAnsi="Arial" w:cs="Arial"/>
        </w:rPr>
      </w:pPr>
      <w:r>
        <w:rPr>
          <w:rFonts w:ascii="Arial" w:hAnsi="Arial" w:cs="Arial"/>
        </w:rPr>
        <w:t>Options 5 and 6</w:t>
      </w:r>
      <w:r w:rsidR="009242E5">
        <w:rPr>
          <w:rFonts w:ascii="Arial" w:hAnsi="Arial" w:cs="Arial"/>
        </w:rPr>
        <w:t>, if implemented on their own</w:t>
      </w:r>
      <w:r w:rsidR="00883382">
        <w:rPr>
          <w:rFonts w:ascii="Arial" w:hAnsi="Arial" w:cs="Arial"/>
        </w:rPr>
        <w:t>,</w:t>
      </w:r>
      <w:r w:rsidR="009242E5">
        <w:rPr>
          <w:rFonts w:ascii="Arial" w:hAnsi="Arial" w:cs="Arial"/>
        </w:rPr>
        <w:t xml:space="preserve"> are not feasible and </w:t>
      </w:r>
      <w:r w:rsidR="00BE1D8F">
        <w:rPr>
          <w:rFonts w:ascii="Arial" w:hAnsi="Arial" w:cs="Arial"/>
        </w:rPr>
        <w:t>are highly unlikely to meet the stated objective</w:t>
      </w:r>
      <w:r>
        <w:rPr>
          <w:rFonts w:ascii="Arial" w:hAnsi="Arial" w:cs="Arial"/>
        </w:rPr>
        <w:t>. Incentives</w:t>
      </w:r>
      <w:r w:rsidR="00CE0458">
        <w:rPr>
          <w:rFonts w:ascii="Arial" w:hAnsi="Arial" w:cs="Arial"/>
        </w:rPr>
        <w:t xml:space="preserve"> and guidance</w:t>
      </w:r>
      <w:r>
        <w:rPr>
          <w:rFonts w:ascii="Arial" w:hAnsi="Arial" w:cs="Arial"/>
        </w:rPr>
        <w:t xml:space="preserve"> for the industry to develop accessible housing have failed in the last 20 years</w:t>
      </w:r>
      <w:r w:rsidR="0084745C">
        <w:rPr>
          <w:rFonts w:ascii="Arial" w:hAnsi="Arial" w:cs="Arial"/>
        </w:rPr>
        <w:t>,</w:t>
      </w:r>
      <w:r w:rsidR="000644BF">
        <w:rPr>
          <w:rFonts w:ascii="Arial" w:hAnsi="Arial" w:cs="Arial"/>
        </w:rPr>
        <w:t xml:space="preserve"> and the Commission is of the view that these Options alone will not create an equitable housing market.</w:t>
      </w:r>
      <w:r w:rsidR="00C957D2">
        <w:rPr>
          <w:rFonts w:ascii="Arial" w:hAnsi="Arial" w:cs="Arial"/>
        </w:rPr>
        <w:t xml:space="preserve"> However, the Commission would support these options if implemented in addition to Option 2.</w:t>
      </w:r>
    </w:p>
    <w:sectPr w:rsidR="004040DF" w:rsidRPr="006638E4" w:rsidSect="00CB0BBF">
      <w:headerReference w:type="default" r:id="rId16"/>
      <w:headerReference w:type="first" r:id="rId17"/>
      <w:footerReference w:type="first" r:id="rId18"/>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9460A" w14:textId="77777777" w:rsidR="00FD32D6" w:rsidRDefault="00FD32D6" w:rsidP="0034134D">
      <w:r>
        <w:separator/>
      </w:r>
    </w:p>
  </w:endnote>
  <w:endnote w:type="continuationSeparator" w:id="0">
    <w:p w14:paraId="4F150CDB" w14:textId="77777777" w:rsidR="00FD32D6" w:rsidRDefault="00FD32D6"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B3432" w14:textId="77777777" w:rsidR="00FD32D6" w:rsidRDefault="00FD3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D3C47" w14:textId="335E9D36" w:rsidR="00FD32D6" w:rsidRPr="00260847" w:rsidRDefault="00FD32D6" w:rsidP="006D0CD6">
    <w:pPr>
      <w:pStyle w:val="Footer"/>
      <w:jc w:val="right"/>
      <w:rPr>
        <w:rFonts w:ascii="Arial" w:hAnsi="Arial" w:cs="Arial"/>
        <w:color w:val="404040" w:themeColor="text1" w:themeTint="BF"/>
        <w:sz w:val="16"/>
        <w:szCs w:val="20"/>
      </w:rPr>
    </w:pPr>
    <w:r w:rsidRPr="00260847">
      <w:rPr>
        <w:rFonts w:ascii="Arial" w:hAnsi="Arial" w:cs="Arial"/>
        <w:noProof/>
        <w:sz w:val="20"/>
        <w:szCs w:val="20"/>
        <w:vertAlign w:val="subscript"/>
        <w:lang w:eastAsia="en-AU"/>
      </w:rPr>
      <w:drawing>
        <wp:inline distT="0" distB="0" distL="0" distR="0" wp14:anchorId="307417E8" wp14:editId="70C5FCB7">
          <wp:extent cx="5296278" cy="465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60847">
      <w:rPr>
        <w:rFonts w:ascii="Arial" w:hAnsi="Arial" w:cs="Arial"/>
        <w:color w:val="404040" w:themeColor="text1" w:themeTint="BF"/>
        <w:sz w:val="16"/>
        <w:szCs w:val="20"/>
      </w:rPr>
      <w:t>Queensland Human Rights Commission | www.qhrc.qld.gov.au</w:t>
    </w:r>
    <w:r>
      <w:rPr>
        <w:rFonts w:ascii="Arial" w:hAnsi="Arial" w:cs="Arial"/>
        <w:color w:val="404040" w:themeColor="text1" w:themeTint="BF"/>
        <w:sz w:val="16"/>
        <w:szCs w:val="20"/>
      </w:rPr>
      <w:tab/>
    </w:r>
    <w:r w:rsidRPr="00260847">
      <w:rPr>
        <w:rFonts w:ascii="Arial" w:hAnsi="Arial" w:cs="Arial"/>
        <w:color w:val="404040" w:themeColor="text1" w:themeTint="BF"/>
        <w:sz w:val="16"/>
        <w:szCs w:val="20"/>
      </w:rPr>
      <w:tab/>
    </w:r>
    <w:r w:rsidRPr="00260847">
      <w:rPr>
        <w:rFonts w:ascii="Arial" w:hAnsi="Arial" w:cs="Arial"/>
        <w:color w:val="404040" w:themeColor="text1" w:themeTint="BF"/>
        <w:sz w:val="16"/>
        <w:szCs w:val="20"/>
      </w:rPr>
      <w:fldChar w:fldCharType="begin"/>
    </w:r>
    <w:r w:rsidRPr="00260847">
      <w:rPr>
        <w:rFonts w:ascii="Arial" w:hAnsi="Arial" w:cs="Arial"/>
        <w:color w:val="404040" w:themeColor="text1" w:themeTint="BF"/>
        <w:sz w:val="16"/>
        <w:szCs w:val="20"/>
      </w:rPr>
      <w:instrText xml:space="preserve"> PAGE   \* MERGEFORMAT </w:instrText>
    </w:r>
    <w:r w:rsidRPr="00260847">
      <w:rPr>
        <w:rFonts w:ascii="Arial" w:hAnsi="Arial" w:cs="Arial"/>
        <w:color w:val="404040" w:themeColor="text1" w:themeTint="BF"/>
        <w:sz w:val="16"/>
        <w:szCs w:val="20"/>
      </w:rPr>
      <w:fldChar w:fldCharType="separate"/>
    </w:r>
    <w:r w:rsidR="005B0489">
      <w:rPr>
        <w:rFonts w:ascii="Arial" w:hAnsi="Arial" w:cs="Arial"/>
        <w:noProof/>
        <w:color w:val="404040" w:themeColor="text1" w:themeTint="BF"/>
        <w:sz w:val="16"/>
        <w:szCs w:val="20"/>
      </w:rPr>
      <w:t>3</w:t>
    </w:r>
    <w:r w:rsidRPr="00260847">
      <w:rPr>
        <w:rFonts w:ascii="Arial" w:hAnsi="Arial" w:cs="Arial"/>
        <w:noProof/>
        <w:color w:val="404040" w:themeColor="text1" w:themeTint="BF"/>
        <w:sz w:val="16"/>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9BDC2" w14:textId="77777777" w:rsidR="00FD32D6" w:rsidRDefault="00FD32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34747" w14:textId="77777777" w:rsidR="00FD32D6" w:rsidRDefault="00FD32D6" w:rsidP="000731D3">
    <w:pPr>
      <w:pStyle w:val="Footer"/>
      <w:pBdr>
        <w:top w:val="single" w:sz="4" w:space="1" w:color="auto"/>
      </w:pBdr>
      <w:jc w:val="right"/>
      <w:rPr>
        <w:rFonts w:ascii="Arial" w:hAnsi="Arial" w:cs="Arial"/>
        <w:sz w:val="20"/>
        <w:szCs w:val="20"/>
      </w:rPr>
    </w:pPr>
  </w:p>
  <w:p w14:paraId="1EE23168" w14:textId="77777777" w:rsidR="00FD32D6" w:rsidRPr="004A2375" w:rsidRDefault="00FD32D6" w:rsidP="00E7746A">
    <w:pPr>
      <w:pStyle w:val="Footer"/>
      <w:tabs>
        <w:tab w:val="left" w:pos="1905"/>
        <w:tab w:val="right" w:pos="849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Pr>
        <w:rFonts w:ascii="Arial" w:hAnsi="Arial" w:cs="Arial"/>
        <w:noProof/>
        <w:sz w:val="20"/>
        <w:szCs w:val="20"/>
      </w:rPr>
      <w:t>3</w:t>
    </w:r>
    <w:r w:rsidRPr="004A237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0DB0B" w14:textId="77777777" w:rsidR="00FD32D6" w:rsidRDefault="00FD32D6" w:rsidP="0034134D">
      <w:r>
        <w:separator/>
      </w:r>
    </w:p>
  </w:footnote>
  <w:footnote w:type="continuationSeparator" w:id="0">
    <w:p w14:paraId="58321AA2" w14:textId="77777777" w:rsidR="00FD32D6" w:rsidRDefault="00FD32D6" w:rsidP="0034134D">
      <w:r>
        <w:continuationSeparator/>
      </w:r>
    </w:p>
  </w:footnote>
  <w:footnote w:id="1">
    <w:p w14:paraId="767CE5B9" w14:textId="17293CBC" w:rsidR="00FD32D6" w:rsidRPr="000712CE" w:rsidRDefault="00FD32D6">
      <w:pPr>
        <w:pStyle w:val="FootnoteText"/>
        <w:rPr>
          <w:lang w:val="en-US"/>
        </w:rPr>
      </w:pPr>
      <w:r w:rsidRPr="000712CE">
        <w:rPr>
          <w:rStyle w:val="FootnoteReference"/>
        </w:rPr>
        <w:footnoteRef/>
      </w:r>
      <w:r w:rsidRPr="000712CE">
        <w:t xml:space="preserve"> </w:t>
      </w:r>
      <w:r>
        <w:t>The Centre for International Economics, ‘Proposal to include minimum accessibility standards for housing in the National Construction Code’ (Consultation Regulation Impact Statement, July 2020) 1</w:t>
      </w:r>
      <w:r w:rsidRPr="000712CE">
        <w:t>1</w:t>
      </w:r>
      <w:r>
        <w:t>.</w:t>
      </w:r>
    </w:p>
  </w:footnote>
  <w:footnote w:id="2">
    <w:p w14:paraId="3EA9B9B7" w14:textId="68ED4B3B" w:rsidR="00723DD7" w:rsidRPr="00A82147" w:rsidRDefault="00723DD7" w:rsidP="00723DD7">
      <w:pPr>
        <w:pStyle w:val="FootnoteText"/>
        <w:rPr>
          <w:lang w:val="en-US"/>
        </w:rPr>
      </w:pPr>
      <w:r>
        <w:rPr>
          <w:rStyle w:val="FootnoteReference"/>
        </w:rPr>
        <w:footnoteRef/>
      </w:r>
      <w:r>
        <w:t xml:space="preserve"> </w:t>
      </w:r>
      <w:r w:rsidRPr="00D067E9">
        <w:rPr>
          <w:rFonts w:ascii="Helvetica" w:hAnsi="Helvetica"/>
          <w:i/>
          <w:iCs/>
          <w:sz w:val="19"/>
          <w:szCs w:val="19"/>
        </w:rPr>
        <w:t>International Covenant on Economic, Social and Cultural Rights</w:t>
      </w:r>
      <w:r w:rsidRPr="00D067E9">
        <w:rPr>
          <w:rFonts w:ascii="Helvetica" w:hAnsi="Helvetica"/>
          <w:sz w:val="19"/>
          <w:szCs w:val="19"/>
        </w:rPr>
        <w:t xml:space="preserve">, </w:t>
      </w:r>
      <w:r w:rsidR="00A82147">
        <w:rPr>
          <w:rFonts w:ascii="Helvetica" w:hAnsi="Helvetica"/>
          <w:sz w:val="19"/>
          <w:szCs w:val="19"/>
        </w:rPr>
        <w:t>A/RES/2200(XXI) (</w:t>
      </w:r>
      <w:r w:rsidRPr="00D067E9">
        <w:rPr>
          <w:rFonts w:ascii="Helvetica" w:hAnsi="Helvetica"/>
          <w:sz w:val="19"/>
          <w:szCs w:val="19"/>
        </w:rPr>
        <w:t>16 December 1966</w:t>
      </w:r>
      <w:r w:rsidR="00A82147">
        <w:rPr>
          <w:rFonts w:ascii="Helvetica" w:hAnsi="Helvetica"/>
          <w:sz w:val="19"/>
          <w:szCs w:val="19"/>
        </w:rPr>
        <w:t>)</w:t>
      </w:r>
      <w:r w:rsidRPr="00A82147">
        <w:rPr>
          <w:lang w:val="en-US"/>
        </w:rPr>
        <w:t xml:space="preserve"> Article 11. </w:t>
      </w:r>
    </w:p>
  </w:footnote>
  <w:footnote w:id="3">
    <w:p w14:paraId="59CBCA86" w14:textId="08196090" w:rsidR="00284F1D" w:rsidRPr="00A82147" w:rsidRDefault="00284F1D">
      <w:pPr>
        <w:pStyle w:val="FootnoteText"/>
        <w:rPr>
          <w:lang w:val="en-US"/>
        </w:rPr>
      </w:pPr>
      <w:r w:rsidRPr="00A82147">
        <w:rPr>
          <w:rStyle w:val="FootnoteReference"/>
        </w:rPr>
        <w:footnoteRef/>
      </w:r>
      <w:r w:rsidRPr="00A82147">
        <w:t xml:space="preserve"> </w:t>
      </w:r>
      <w:r w:rsidR="00A82147">
        <w:rPr>
          <w:rFonts w:ascii="Helvetica" w:hAnsi="Helvetica"/>
          <w:sz w:val="19"/>
          <w:szCs w:val="19"/>
        </w:rPr>
        <w:t>Ibid</w:t>
      </w:r>
      <w:r w:rsidR="00512659" w:rsidRPr="00A82147">
        <w:rPr>
          <w:lang w:val="en-US"/>
        </w:rPr>
        <w:t xml:space="preserve">, Article </w:t>
      </w:r>
      <w:r w:rsidR="00A82147">
        <w:rPr>
          <w:lang w:val="en-US"/>
        </w:rPr>
        <w:t>2</w:t>
      </w:r>
      <w:r w:rsidRPr="00A82147">
        <w:rPr>
          <w:lang w:val="en-US"/>
        </w:rPr>
        <w:t>.</w:t>
      </w:r>
    </w:p>
  </w:footnote>
  <w:footnote w:id="4">
    <w:p w14:paraId="2BA51C78" w14:textId="77777777" w:rsidR="00805552" w:rsidRPr="006524D9" w:rsidRDefault="00805552" w:rsidP="00805552">
      <w:pPr>
        <w:pStyle w:val="FootnoteText"/>
        <w:rPr>
          <w:lang w:val="en-US"/>
        </w:rPr>
      </w:pPr>
      <w:r>
        <w:rPr>
          <w:rStyle w:val="FootnoteReference"/>
        </w:rPr>
        <w:footnoteRef/>
      </w:r>
      <w:r>
        <w:t xml:space="preserve"> Committee on the Rights of Persons with Disabilities, </w:t>
      </w:r>
      <w:r w:rsidRPr="00EE7D12">
        <w:rPr>
          <w:i/>
        </w:rPr>
        <w:t>General Comment No 2 (2014): Article 9: Accessibility</w:t>
      </w:r>
      <w:r>
        <w:rPr>
          <w:i/>
        </w:rPr>
        <w:t>, UN Doc</w:t>
      </w:r>
      <w:r>
        <w:t xml:space="preserve"> </w:t>
      </w:r>
      <w:r>
        <w:rPr>
          <w:lang w:val="en"/>
        </w:rPr>
        <w:t>CRPD/C/GC/2, [1].</w:t>
      </w:r>
    </w:p>
  </w:footnote>
  <w:footnote w:id="5">
    <w:p w14:paraId="7841EBC6" w14:textId="77777777" w:rsidR="00805552" w:rsidRPr="005D6AD8" w:rsidRDefault="00805552" w:rsidP="00805552">
      <w:pPr>
        <w:pStyle w:val="FootnoteText"/>
        <w:rPr>
          <w:lang w:val="en-US"/>
        </w:rPr>
      </w:pPr>
      <w:r>
        <w:rPr>
          <w:rStyle w:val="FootnoteReference"/>
        </w:rPr>
        <w:footnoteRef/>
      </w:r>
      <w:r>
        <w:t xml:space="preserve"> Ibid [13].</w:t>
      </w:r>
      <w:r w:rsidDel="00D51E73">
        <w:rPr>
          <w:lang w:val="en-US"/>
        </w:rPr>
        <w:t xml:space="preserve"> </w:t>
      </w:r>
    </w:p>
  </w:footnote>
  <w:footnote w:id="6">
    <w:p w14:paraId="3C0A15B3" w14:textId="0E8A60B4" w:rsidR="00805552" w:rsidRPr="00F04C4F" w:rsidRDefault="00805552" w:rsidP="00805552">
      <w:pPr>
        <w:pStyle w:val="FootnoteText"/>
        <w:rPr>
          <w:lang w:val="en-US"/>
        </w:rPr>
      </w:pPr>
      <w:r>
        <w:rPr>
          <w:rStyle w:val="FootnoteReference"/>
        </w:rPr>
        <w:footnoteRef/>
      </w:r>
      <w:r>
        <w:t xml:space="preserve"> Committee on the Rights of Persons with Disabilities, </w:t>
      </w:r>
      <w:r w:rsidRPr="00EE7D12">
        <w:rPr>
          <w:i/>
        </w:rPr>
        <w:t>Concluding observations on the combined second and third periodic reports of Australia</w:t>
      </w:r>
      <w:r>
        <w:t>, UN CRPD, UN Doc C/AUS/CO/2-3 (15 October 2019) 18.(b).</w:t>
      </w:r>
    </w:p>
  </w:footnote>
  <w:footnote w:id="7">
    <w:p w14:paraId="69EF5009" w14:textId="77777777" w:rsidR="00805552" w:rsidRPr="001E0C4F" w:rsidRDefault="00805552" w:rsidP="00805552">
      <w:pPr>
        <w:pStyle w:val="FootnoteText"/>
        <w:rPr>
          <w:lang w:val="en-US"/>
        </w:rPr>
      </w:pPr>
      <w:r>
        <w:rPr>
          <w:rStyle w:val="FootnoteReference"/>
        </w:rPr>
        <w:footnoteRef/>
      </w:r>
      <w:r>
        <w:t xml:space="preserve"> </w:t>
      </w:r>
      <w:r>
        <w:rPr>
          <w:i/>
          <w:lang w:val="en-US"/>
        </w:rPr>
        <w:t xml:space="preserve">Human Rights Act 2019 </w:t>
      </w:r>
      <w:r>
        <w:rPr>
          <w:lang w:val="en-US"/>
        </w:rPr>
        <w:t>s 15.</w:t>
      </w:r>
    </w:p>
  </w:footnote>
  <w:footnote w:id="8">
    <w:p w14:paraId="1CDE6B93" w14:textId="77777777" w:rsidR="00805552" w:rsidRPr="001E0C4F" w:rsidRDefault="00805552" w:rsidP="00805552">
      <w:pPr>
        <w:pStyle w:val="FootnoteText"/>
        <w:rPr>
          <w:lang w:val="en-US"/>
        </w:rPr>
      </w:pPr>
      <w:r>
        <w:rPr>
          <w:rStyle w:val="FootnoteReference"/>
        </w:rPr>
        <w:footnoteRef/>
      </w:r>
      <w:r>
        <w:t xml:space="preserve"> </w:t>
      </w:r>
      <w:r>
        <w:rPr>
          <w:i/>
          <w:lang w:val="en-US"/>
        </w:rPr>
        <w:t xml:space="preserve">Human Rights Act 2019 </w:t>
      </w:r>
      <w:r>
        <w:rPr>
          <w:lang w:val="en-US"/>
        </w:rPr>
        <w:t>s 25.</w:t>
      </w:r>
    </w:p>
  </w:footnote>
  <w:footnote w:id="9">
    <w:p w14:paraId="3085E41E" w14:textId="106F29A5" w:rsidR="00FD32D6" w:rsidRPr="00C53F63" w:rsidRDefault="00FD32D6" w:rsidP="00EB259A">
      <w:pPr>
        <w:pStyle w:val="FootnoteText"/>
        <w:rPr>
          <w:lang w:val="en-US"/>
        </w:rPr>
      </w:pPr>
      <w:r>
        <w:rPr>
          <w:rStyle w:val="FootnoteReference"/>
        </w:rPr>
        <w:footnoteRef/>
      </w:r>
      <w:r>
        <w:t xml:space="preserve"> </w:t>
      </w:r>
      <w:r w:rsidR="006B2253">
        <w:t>The Centre for International Economics</w:t>
      </w:r>
      <w:r w:rsidR="006B2253">
        <w:rPr>
          <w:lang w:val="en-US"/>
        </w:rPr>
        <w:t xml:space="preserve"> (n 1) 121.  </w:t>
      </w:r>
      <w:r>
        <w:rPr>
          <w:lang w:val="en-US"/>
        </w:rPr>
        <w:t>.</w:t>
      </w:r>
    </w:p>
  </w:footnote>
  <w:footnote w:id="10">
    <w:p w14:paraId="1B8D1AC2" w14:textId="248290D3" w:rsidR="00FD32D6" w:rsidRPr="00C53F63" w:rsidRDefault="00FD32D6" w:rsidP="00EB259A">
      <w:pPr>
        <w:pStyle w:val="FootnoteText"/>
        <w:rPr>
          <w:lang w:val="en-US"/>
        </w:rPr>
      </w:pPr>
      <w:r>
        <w:rPr>
          <w:rStyle w:val="FootnoteReference"/>
        </w:rPr>
        <w:footnoteRef/>
      </w:r>
      <w:r>
        <w:t xml:space="preserve"> Australian Bureau of Statistics, </w:t>
      </w:r>
      <w:r w:rsidRPr="008238D0">
        <w:rPr>
          <w:i/>
        </w:rPr>
        <w:t>Disability, Ageing and Carers, Australia: Summary of Findings, 2018</w:t>
      </w:r>
      <w:r>
        <w:t xml:space="preserve"> (Catalogue No 4430.0, 24 October 2019).</w:t>
      </w:r>
    </w:p>
  </w:footnote>
  <w:footnote w:id="11">
    <w:p w14:paraId="0F483F60" w14:textId="51963C91" w:rsidR="00FD32D6" w:rsidRPr="00780AA3" w:rsidRDefault="00FD32D6" w:rsidP="00EB259A">
      <w:pPr>
        <w:pStyle w:val="FootnoteText"/>
        <w:rPr>
          <w:lang w:val="en-US"/>
        </w:rPr>
      </w:pPr>
      <w:r>
        <w:rPr>
          <w:rStyle w:val="FootnoteReference"/>
        </w:rPr>
        <w:footnoteRef/>
      </w:r>
      <w:r>
        <w:t xml:space="preserve"> </w:t>
      </w:r>
      <w:r>
        <w:rPr>
          <w:lang w:val="en-US"/>
        </w:rPr>
        <w:t xml:space="preserve">Disability Investment Group, </w:t>
      </w:r>
      <w:r w:rsidRPr="008238D0">
        <w:rPr>
          <w:i/>
          <w:lang w:val="en-US"/>
        </w:rPr>
        <w:t>The Way Forward: A New Disability Policy Framework for Australia</w:t>
      </w:r>
      <w:r>
        <w:rPr>
          <w:lang w:val="en-US"/>
        </w:rPr>
        <w:t xml:space="preserve"> (Report, 2009). </w:t>
      </w:r>
    </w:p>
  </w:footnote>
  <w:footnote w:id="12">
    <w:p w14:paraId="61B3F082" w14:textId="55DB1A45" w:rsidR="00FD32D6" w:rsidRPr="001B0112" w:rsidRDefault="00FD32D6" w:rsidP="00EB259A">
      <w:pPr>
        <w:pStyle w:val="FootnoteText"/>
        <w:rPr>
          <w:lang w:val="en-US"/>
        </w:rPr>
      </w:pPr>
      <w:r>
        <w:rPr>
          <w:rStyle w:val="FootnoteReference"/>
        </w:rPr>
        <w:footnoteRef/>
      </w:r>
      <w:r>
        <w:t xml:space="preserve"> </w:t>
      </w:r>
      <w:r>
        <w:rPr>
          <w:lang w:val="en-US"/>
        </w:rPr>
        <w:t xml:space="preserve">PwC, </w:t>
      </w:r>
      <w:r w:rsidRPr="008238D0">
        <w:rPr>
          <w:i/>
          <w:lang w:val="en-US"/>
        </w:rPr>
        <w:t>Disability Expectations: Investing in a better life, a stronger Australia</w:t>
      </w:r>
      <w:r>
        <w:rPr>
          <w:lang w:val="en-US"/>
        </w:rPr>
        <w:t xml:space="preserve"> (November 2011) 9.</w:t>
      </w:r>
    </w:p>
  </w:footnote>
  <w:footnote w:id="13">
    <w:p w14:paraId="4F1E92A1" w14:textId="518BB70F" w:rsidR="00FD32D6" w:rsidRPr="00032E5D" w:rsidRDefault="00FD32D6" w:rsidP="00EB259A">
      <w:pPr>
        <w:pStyle w:val="FootnoteText"/>
        <w:rPr>
          <w:lang w:val="en-US"/>
        </w:rPr>
      </w:pPr>
      <w:r>
        <w:rPr>
          <w:rStyle w:val="FootnoteReference"/>
        </w:rPr>
        <w:footnoteRef/>
      </w:r>
      <w:r>
        <w:t xml:space="preserve"> Australian Bureau of Statistics, </w:t>
      </w:r>
      <w:r w:rsidRPr="00AE2BFE">
        <w:rPr>
          <w:i/>
        </w:rPr>
        <w:t>Australia</w:t>
      </w:r>
      <w:r>
        <w:rPr>
          <w:i/>
        </w:rPr>
        <w:t>n Demographic Statistics, Jun 2019</w:t>
      </w:r>
      <w:r>
        <w:t xml:space="preserve"> (Catalogue No 3101.0, 19 December 2019.)</w:t>
      </w:r>
      <w:r w:rsidDel="009A18A3">
        <w:t xml:space="preserve"> </w:t>
      </w:r>
    </w:p>
  </w:footnote>
  <w:footnote w:id="14">
    <w:p w14:paraId="1180726F" w14:textId="77FAAD29" w:rsidR="00FD32D6" w:rsidRPr="005F6FE8" w:rsidRDefault="00FD32D6" w:rsidP="00EB259A">
      <w:pPr>
        <w:pStyle w:val="FootnoteText"/>
        <w:rPr>
          <w:lang w:val="en-US"/>
        </w:rPr>
      </w:pPr>
      <w:r>
        <w:rPr>
          <w:rStyle w:val="FootnoteReference"/>
        </w:rPr>
        <w:footnoteRef/>
      </w:r>
      <w:r>
        <w:t xml:space="preserve"> The Centre for International Economics</w:t>
      </w:r>
      <w:r>
        <w:rPr>
          <w:lang w:val="en-US"/>
        </w:rPr>
        <w:t xml:space="preserve"> (n 1) 94.</w:t>
      </w:r>
    </w:p>
  </w:footnote>
  <w:footnote w:id="15">
    <w:p w14:paraId="07B2D1A3" w14:textId="69E7B41A" w:rsidR="00FD32D6" w:rsidRPr="00243D71" w:rsidRDefault="00FD32D6" w:rsidP="00EB259A">
      <w:pPr>
        <w:pStyle w:val="FootnoteText"/>
        <w:rPr>
          <w:lang w:val="en-US"/>
        </w:rPr>
      </w:pPr>
      <w:r>
        <w:rPr>
          <w:rStyle w:val="FootnoteReference"/>
        </w:rPr>
        <w:footnoteRef/>
      </w:r>
      <w:r>
        <w:t xml:space="preserve"> Ibid</w:t>
      </w:r>
      <w:r>
        <w:rPr>
          <w:lang w:val="en-US"/>
        </w:rPr>
        <w:t xml:space="preserve"> 2–3.</w:t>
      </w:r>
    </w:p>
  </w:footnote>
  <w:footnote w:id="16">
    <w:p w14:paraId="72210E5D" w14:textId="756F3093" w:rsidR="00FD32D6" w:rsidRPr="00D10C64" w:rsidRDefault="00FD32D6" w:rsidP="00EB259A">
      <w:pPr>
        <w:pStyle w:val="FootnoteText"/>
        <w:rPr>
          <w:lang w:val="en-US"/>
        </w:rPr>
      </w:pPr>
      <w:r>
        <w:rPr>
          <w:rStyle w:val="FootnoteReference"/>
        </w:rPr>
        <w:footnoteRef/>
      </w:r>
      <w:r>
        <w:t xml:space="preserve"> Ibid</w:t>
      </w:r>
      <w:r>
        <w:rPr>
          <w:lang w:val="en-US"/>
        </w:rPr>
        <w:t xml:space="preserve"> 3.</w:t>
      </w:r>
    </w:p>
  </w:footnote>
  <w:footnote w:id="17">
    <w:p w14:paraId="7930EFCE" w14:textId="4C06C8AD" w:rsidR="00FD32D6" w:rsidRPr="00832989" w:rsidRDefault="00FD32D6" w:rsidP="00EB259A">
      <w:pPr>
        <w:pStyle w:val="FootnoteText"/>
        <w:rPr>
          <w:lang w:val="en-US"/>
        </w:rPr>
      </w:pPr>
      <w:r>
        <w:rPr>
          <w:rStyle w:val="FootnoteReference"/>
        </w:rPr>
        <w:footnoteRef/>
      </w:r>
      <w:r>
        <w:t xml:space="preserve"> </w:t>
      </w:r>
      <w:r>
        <w:rPr>
          <w:lang w:val="en-US"/>
        </w:rPr>
        <w:t>Ibid 2.</w:t>
      </w:r>
    </w:p>
  </w:footnote>
  <w:footnote w:id="18">
    <w:p w14:paraId="15CB2CDE" w14:textId="0C53FDBD" w:rsidR="00155BBE" w:rsidRPr="00155BBE" w:rsidRDefault="00155BBE">
      <w:pPr>
        <w:pStyle w:val="FootnoteText"/>
        <w:rPr>
          <w:lang w:val="en-US"/>
        </w:rPr>
      </w:pPr>
      <w:r>
        <w:rPr>
          <w:rStyle w:val="FootnoteReference"/>
        </w:rPr>
        <w:footnoteRef/>
      </w:r>
      <w:r>
        <w:t xml:space="preserve"> </w:t>
      </w:r>
      <w:r w:rsidR="00B74F5F">
        <w:t>The Centre for International Economics</w:t>
      </w:r>
      <w:r w:rsidR="00B74F5F">
        <w:rPr>
          <w:lang w:val="en-US"/>
        </w:rPr>
        <w:t xml:space="preserve"> (n 1) 90.</w:t>
      </w:r>
    </w:p>
  </w:footnote>
  <w:footnote w:id="19">
    <w:p w14:paraId="36B6344B" w14:textId="050339DC" w:rsidR="0086402F" w:rsidRPr="0086402F" w:rsidRDefault="0086402F">
      <w:pPr>
        <w:pStyle w:val="FootnoteText"/>
        <w:rPr>
          <w:lang w:val="en-US"/>
        </w:rPr>
      </w:pPr>
      <w:r>
        <w:rPr>
          <w:rStyle w:val="FootnoteReference"/>
        </w:rPr>
        <w:footnoteRef/>
      </w:r>
      <w:r>
        <w:t xml:space="preserve"> The Centre for International Economics</w:t>
      </w:r>
      <w:r>
        <w:rPr>
          <w:lang w:val="en-US"/>
        </w:rPr>
        <w:t xml:space="preserve"> (n 1) 93.</w:t>
      </w:r>
    </w:p>
  </w:footnote>
  <w:footnote w:id="20">
    <w:p w14:paraId="6C7FAF0F" w14:textId="6E25CEBD" w:rsidR="00FD32D6" w:rsidRPr="002323C4" w:rsidRDefault="00FD32D6">
      <w:pPr>
        <w:pStyle w:val="FootnoteText"/>
        <w:rPr>
          <w:lang w:val="en-US"/>
        </w:rPr>
      </w:pPr>
      <w:r>
        <w:rPr>
          <w:rStyle w:val="FootnoteReference"/>
        </w:rPr>
        <w:footnoteRef/>
      </w:r>
      <w:r>
        <w:t xml:space="preserve"> The Centre for International Economics</w:t>
      </w:r>
      <w:r>
        <w:rPr>
          <w:lang w:val="en-US"/>
        </w:rPr>
        <w:t xml:space="preserve"> (n 1) </w:t>
      </w:r>
      <w:r w:rsidR="00155BBE">
        <w:rPr>
          <w:lang w:val="en-US"/>
        </w:rPr>
        <w:t>90.</w:t>
      </w:r>
    </w:p>
  </w:footnote>
  <w:footnote w:id="21">
    <w:p w14:paraId="796BC78F" w14:textId="17FD1BE7" w:rsidR="00FD32D6" w:rsidRPr="00E84256" w:rsidRDefault="00FD32D6">
      <w:pPr>
        <w:pStyle w:val="FootnoteText"/>
        <w:rPr>
          <w:lang w:val="en-US"/>
        </w:rPr>
      </w:pPr>
      <w:r>
        <w:rPr>
          <w:rStyle w:val="FootnoteReference"/>
        </w:rPr>
        <w:footnoteRef/>
      </w:r>
      <w:r>
        <w:t xml:space="preserve"> </w:t>
      </w:r>
      <w:r w:rsidRPr="00EE7D12">
        <w:rPr>
          <w:i/>
        </w:rPr>
        <w:t>Royal Commission into Violence, Abuse, Neglect and Exploitation of People with Disability</w:t>
      </w:r>
      <w:r>
        <w:t xml:space="preserve">, (First Progress Report, 20 December 2019). </w:t>
      </w:r>
    </w:p>
  </w:footnote>
  <w:footnote w:id="22">
    <w:p w14:paraId="36D3B58E" w14:textId="64243E10" w:rsidR="00FD32D6" w:rsidRPr="00EE7D12" w:rsidRDefault="00FD32D6">
      <w:pPr>
        <w:pStyle w:val="FootnoteText"/>
        <w:rPr>
          <w:rFonts w:asciiTheme="minorHAnsi" w:hAnsiTheme="minorHAnsi"/>
          <w:sz w:val="24"/>
        </w:rPr>
      </w:pPr>
      <w:r>
        <w:rPr>
          <w:rStyle w:val="FootnoteReference"/>
        </w:rPr>
        <w:footnoteRef/>
      </w:r>
      <w:r>
        <w:t xml:space="preserve"> ‘Home modifications explained’, </w:t>
      </w:r>
      <w:proofErr w:type="spellStart"/>
      <w:r w:rsidRPr="00EE7D12">
        <w:rPr>
          <w:i/>
        </w:rPr>
        <w:t>ndis</w:t>
      </w:r>
      <w:proofErr w:type="spellEnd"/>
      <w:r>
        <w:t xml:space="preserve"> (Web Page, 11 February 2020) &lt;</w:t>
      </w:r>
      <w:hyperlink r:id="rId1" w:history="1">
        <w:r w:rsidRPr="00EE7D12">
          <w:rPr>
            <w:rStyle w:val="Hyperlink"/>
            <w:rFonts w:cs="Arial"/>
            <w:szCs w:val="20"/>
          </w:rPr>
          <w:t>https://www.ndis.gov.au/participants/home-equipment-and-supports/home-modifications-explained</w:t>
        </w:r>
      </w:hyperlink>
      <w:r w:rsidRPr="00EE7D12">
        <w:rPr>
          <w:rFonts w:cs="Arial"/>
          <w:szCs w:val="20"/>
        </w:rPr>
        <w:t>&gt;</w:t>
      </w:r>
      <w:r>
        <w:rPr>
          <w:rFonts w:cs="Arial"/>
          <w:szCs w:val="20"/>
        </w:rPr>
        <w:t>.</w:t>
      </w:r>
    </w:p>
  </w:footnote>
  <w:footnote w:id="23">
    <w:p w14:paraId="72E8E51F" w14:textId="5D6DE126" w:rsidR="00FD32D6" w:rsidRPr="00C17C1B" w:rsidRDefault="00FD32D6">
      <w:pPr>
        <w:pStyle w:val="FootnoteText"/>
        <w:rPr>
          <w:rFonts w:cs="Arial"/>
          <w:szCs w:val="20"/>
          <w:lang w:val="en-US"/>
        </w:rPr>
      </w:pPr>
      <w:r>
        <w:rPr>
          <w:rStyle w:val="FootnoteReference"/>
        </w:rPr>
        <w:footnoteRef/>
      </w:r>
      <w:r>
        <w:t xml:space="preserve"> ‘Home Care Packages’, </w:t>
      </w:r>
      <w:proofErr w:type="spellStart"/>
      <w:r w:rsidRPr="00EE7D12">
        <w:rPr>
          <w:i/>
        </w:rPr>
        <w:t>myagedcare</w:t>
      </w:r>
      <w:proofErr w:type="spellEnd"/>
      <w:r>
        <w:t xml:space="preserve"> (Web Page) </w:t>
      </w:r>
      <w:r w:rsidRPr="00C17C1B">
        <w:rPr>
          <w:rFonts w:cs="Arial"/>
          <w:szCs w:val="20"/>
        </w:rPr>
        <w:t>&lt;</w:t>
      </w:r>
      <w:hyperlink r:id="rId2" w:history="1">
        <w:r w:rsidRPr="00EE7D12">
          <w:rPr>
            <w:rFonts w:cs="Arial"/>
            <w:color w:val="0000FF"/>
            <w:szCs w:val="20"/>
            <w:u w:val="single"/>
          </w:rPr>
          <w:t>https://www.myagedcare.gov.au/help-at-home/home-care-packages</w:t>
        </w:r>
      </w:hyperlink>
      <w:r w:rsidRPr="00EE7D12">
        <w:rPr>
          <w:rFonts w:cs="Arial"/>
          <w:color w:val="0000FF"/>
          <w:szCs w:val="20"/>
          <w:u w:val="single"/>
        </w:rPr>
        <w:t>&gt;</w:t>
      </w:r>
      <w:r>
        <w:rPr>
          <w:rFonts w:cs="Arial"/>
          <w:color w:val="0000FF"/>
          <w:szCs w:val="20"/>
          <w:u w:val="single"/>
        </w:rPr>
        <w:t>.</w:t>
      </w:r>
    </w:p>
  </w:footnote>
  <w:footnote w:id="24">
    <w:p w14:paraId="357C1A7F" w14:textId="53CB51DF" w:rsidR="008A37C3" w:rsidRDefault="008A37C3">
      <w:pPr>
        <w:pStyle w:val="FootnoteText"/>
        <w:rPr>
          <w:lang w:val="en-US"/>
        </w:rPr>
      </w:pPr>
      <w:r>
        <w:rPr>
          <w:rStyle w:val="FootnoteReference"/>
        </w:rPr>
        <w:footnoteRef/>
      </w:r>
      <w:r>
        <w:t xml:space="preserve"> </w:t>
      </w:r>
      <w:r>
        <w:rPr>
          <w:lang w:val="en-US"/>
        </w:rPr>
        <w:t xml:space="preserve">World Health Organization, </w:t>
      </w:r>
      <w:r>
        <w:rPr>
          <w:i/>
          <w:lang w:val="en-US"/>
        </w:rPr>
        <w:t>Active Ageing: A Policy Framework</w:t>
      </w:r>
      <w:r>
        <w:rPr>
          <w:lang w:val="en-US"/>
        </w:rPr>
        <w:t xml:space="preserve"> (Web Page, 2002) at page 27.</w:t>
      </w:r>
    </w:p>
    <w:p w14:paraId="3A10AAF5" w14:textId="4BB4663C" w:rsidR="008A37C3" w:rsidRPr="008A37C3" w:rsidRDefault="008752C6">
      <w:pPr>
        <w:pStyle w:val="FootnoteText"/>
        <w:rPr>
          <w:lang w:val="en-US"/>
        </w:rPr>
      </w:pPr>
      <w:r>
        <w:rPr>
          <w:lang w:val="en-US"/>
        </w:rPr>
        <w:t>&lt;</w:t>
      </w:r>
      <w:hyperlink r:id="rId3" w:history="1">
        <w:r>
          <w:rPr>
            <w:rStyle w:val="Hyperlink"/>
          </w:rPr>
          <w:t>https://apps.who.int/iris/bitstream/handle/10665/67215/WHO_NMH_NPH_02.8.pdf;jsessionid=78A3639F168F95BBFAC379F9B40EB3E3?sequence=1</w:t>
        </w:r>
      </w:hyperlink>
      <w:r>
        <w:t>&gt;</w:t>
      </w:r>
    </w:p>
  </w:footnote>
  <w:footnote w:id="25">
    <w:p w14:paraId="6BAABC9D" w14:textId="5B6359E0" w:rsidR="00FD32D6" w:rsidRPr="00DF02B6" w:rsidRDefault="00FD32D6">
      <w:pPr>
        <w:pStyle w:val="FootnoteText"/>
        <w:rPr>
          <w:lang w:val="en-US"/>
        </w:rPr>
      </w:pPr>
      <w:r>
        <w:rPr>
          <w:rStyle w:val="FootnoteReference"/>
        </w:rPr>
        <w:footnoteRef/>
      </w:r>
      <w:r>
        <w:t xml:space="preserve"> ‘What’s needed to make “ageing in place” work for older Australians’, </w:t>
      </w:r>
      <w:r w:rsidRPr="00EE7D12">
        <w:rPr>
          <w:i/>
        </w:rPr>
        <w:t>Australian Housing and Urban Research Institute</w:t>
      </w:r>
      <w:r>
        <w:t xml:space="preserve"> (Web Page, 10 December 2019) &lt;</w:t>
      </w:r>
      <w:hyperlink r:id="rId4" w:history="1">
        <w:r w:rsidRPr="006D37A1">
          <w:rPr>
            <w:rStyle w:val="Hyperlink"/>
          </w:rPr>
          <w:t>https://www.ahuri.edu.au/research/ahuri-briefs/whats-needed-to-make-ageing-in-place-work-for-older-australians</w:t>
        </w:r>
      </w:hyperlink>
      <w:r>
        <w:t xml:space="preserve">&gt;. </w:t>
      </w:r>
    </w:p>
  </w:footnote>
  <w:footnote w:id="26">
    <w:p w14:paraId="2ADD01A0" w14:textId="0627D663" w:rsidR="00FD32D6" w:rsidRPr="00930849" w:rsidRDefault="00FD32D6">
      <w:pPr>
        <w:pStyle w:val="FootnoteText"/>
        <w:rPr>
          <w:lang w:val="en-US"/>
        </w:rPr>
      </w:pPr>
      <w:r>
        <w:rPr>
          <w:rStyle w:val="FootnoteReference"/>
        </w:rPr>
        <w:footnoteRef/>
      </w:r>
      <w:r>
        <w:t xml:space="preserve"> Productivity Commission (</w:t>
      </w:r>
      <w:proofErr w:type="spellStart"/>
      <w:r>
        <w:t>Cth</w:t>
      </w:r>
      <w:proofErr w:type="spellEnd"/>
      <w:r>
        <w:t xml:space="preserve">), </w:t>
      </w:r>
      <w:r w:rsidRPr="00EE7D12">
        <w:rPr>
          <w:i/>
          <w:lang w:val="en-US"/>
        </w:rPr>
        <w:t>Housing Decisions of Older Australians</w:t>
      </w:r>
      <w:r>
        <w:rPr>
          <w:lang w:val="en-US"/>
        </w:rPr>
        <w:t xml:space="preserve"> (Productivity Commission Research Paper, December 2015) 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832A8" w14:textId="77777777" w:rsidR="00FD32D6" w:rsidRDefault="00FD3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47C0E" w14:textId="77777777" w:rsidR="00FD32D6" w:rsidRDefault="00FD32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FBC9" w14:textId="77777777" w:rsidR="00FD32D6" w:rsidRDefault="00FD32D6" w:rsidP="00260847">
    <w:pPr>
      <w:pStyle w:val="Header"/>
      <w:tabs>
        <w:tab w:val="clear" w:pos="4513"/>
        <w:tab w:val="clear" w:pos="9026"/>
      </w:tabs>
      <w:spacing w:before="240"/>
    </w:pPr>
  </w:p>
  <w:p w14:paraId="707A2CA7" w14:textId="77777777" w:rsidR="00FD32D6" w:rsidRDefault="00FD32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B08DB" w14:textId="77777777" w:rsidR="00FD32D6" w:rsidRPr="000731D3" w:rsidRDefault="00FD32D6" w:rsidP="000731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11902" w14:textId="77777777" w:rsidR="00FD32D6" w:rsidRPr="000731D3" w:rsidRDefault="00FD32D6" w:rsidP="000731D3">
    <w:pPr>
      <w:pStyle w:val="Header"/>
      <w:rPr>
        <w:rFonts w:ascii="Arial" w:hAnsi="Arial" w:cs="Arial"/>
        <w:color w:val="365F91" w:themeColor="accent1" w:themeShade="BF"/>
      </w:rPr>
    </w:pPr>
    <w:r>
      <w:rPr>
        <w:rFonts w:ascii="Arial" w:hAnsi="Arial" w:cs="Arial"/>
        <w:color w:val="365F91" w:themeColor="accent1" w:themeShade="BF"/>
      </w:rPr>
      <w:t>[title]</w:t>
    </w:r>
  </w:p>
  <w:p w14:paraId="39D921A4" w14:textId="77777777" w:rsidR="00FD32D6" w:rsidRPr="000731D3" w:rsidRDefault="00FD32D6" w:rsidP="000731D3">
    <w:pPr>
      <w:pStyle w:val="Header"/>
      <w:pBdr>
        <w:bottom w:val="single" w:sz="4" w:space="1" w:color="auto"/>
      </w:pBdr>
      <w:rPr>
        <w:rFonts w:ascii="Arial" w:hAnsi="Arial" w:cs="Arial"/>
        <w:sz w:val="20"/>
        <w:szCs w:val="20"/>
      </w:rPr>
    </w:pPr>
  </w:p>
  <w:p w14:paraId="59EC6818" w14:textId="77777777" w:rsidR="00FD32D6" w:rsidRPr="000731D3" w:rsidRDefault="00FD32D6" w:rsidP="000731D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23B1"/>
    <w:multiLevelType w:val="hybridMultilevel"/>
    <w:tmpl w:val="0D7EE04C"/>
    <w:lvl w:ilvl="0" w:tplc="4E2ED1BA">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6365CF"/>
    <w:multiLevelType w:val="hybridMultilevel"/>
    <w:tmpl w:val="E90881C2"/>
    <w:lvl w:ilvl="0" w:tplc="4E2ED1BA">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18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 w15:restartNumberingAfterBreak="0">
    <w:nsid w:val="113373C1"/>
    <w:multiLevelType w:val="hybridMultilevel"/>
    <w:tmpl w:val="F4F4BE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A24DEF"/>
    <w:multiLevelType w:val="hybridMultilevel"/>
    <w:tmpl w:val="5E9E375C"/>
    <w:lvl w:ilvl="0" w:tplc="4E2ED1BA">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A544FD"/>
    <w:multiLevelType w:val="hybridMultilevel"/>
    <w:tmpl w:val="178A54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702C39"/>
    <w:multiLevelType w:val="hybridMultilevel"/>
    <w:tmpl w:val="BBD8F67E"/>
    <w:lvl w:ilvl="0" w:tplc="4E2ED1BA">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D1524D"/>
    <w:multiLevelType w:val="hybridMultilevel"/>
    <w:tmpl w:val="BE8EF2F4"/>
    <w:lvl w:ilvl="0" w:tplc="4E2ED1BA">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E15A07"/>
    <w:multiLevelType w:val="hybridMultilevel"/>
    <w:tmpl w:val="E94EF6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1F1ACA"/>
    <w:multiLevelType w:val="hybridMultilevel"/>
    <w:tmpl w:val="C3A2D582"/>
    <w:lvl w:ilvl="0" w:tplc="4E2ED1BA">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DB5A57"/>
    <w:multiLevelType w:val="hybridMultilevel"/>
    <w:tmpl w:val="488C840E"/>
    <w:lvl w:ilvl="0" w:tplc="F59AB8C0">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006C08"/>
    <w:multiLevelType w:val="multilevel"/>
    <w:tmpl w:val="149034BA"/>
    <w:styleLink w:val="KeyPointBullets"/>
    <w:lvl w:ilvl="0">
      <w:start w:val="1"/>
      <w:numFmt w:val="bullet"/>
      <w:pStyle w:val="KeyPoint"/>
      <w:lvlText w:val="■"/>
      <w:lvlJc w:val="left"/>
      <w:pPr>
        <w:tabs>
          <w:tab w:val="num" w:pos="284"/>
        </w:tabs>
        <w:ind w:left="284" w:hanging="284"/>
      </w:pPr>
      <w:rPr>
        <w:rFonts w:ascii="Franklin Gothic Demi" w:hAnsi="Franklin Gothic Demi" w:hint="default"/>
        <w:color w:val="C0504D" w:themeColor="accent2"/>
      </w:rPr>
    </w:lvl>
    <w:lvl w:ilvl="1">
      <w:start w:val="1"/>
      <w:numFmt w:val="bullet"/>
      <w:pStyle w:val="KeyPoint2"/>
      <w:lvlText w:val="–"/>
      <w:lvlJc w:val="left"/>
      <w:pPr>
        <w:tabs>
          <w:tab w:val="num" w:pos="567"/>
        </w:tabs>
        <w:ind w:left="567" w:hanging="283"/>
      </w:pPr>
      <w:rPr>
        <w:rFonts w:ascii="Franklin Gothic Demi" w:hAnsi="Franklin Gothic Demi" w:hint="default"/>
        <w:color w:val="C0504D" w:themeColor="accent2"/>
        <w:position w:val="2"/>
      </w:rPr>
    </w:lvl>
    <w:lvl w:ilvl="2">
      <w:start w:val="1"/>
      <w:numFmt w:val="bullet"/>
      <w:pStyle w:val="KeyPoint3"/>
      <w:lvlText w:val="…"/>
      <w:lvlJc w:val="left"/>
      <w:pPr>
        <w:tabs>
          <w:tab w:val="num" w:pos="992"/>
        </w:tabs>
        <w:ind w:left="992" w:hanging="425"/>
      </w:pPr>
      <w:rPr>
        <w:rFonts w:ascii="Franklin Gothic Demi" w:hAnsi="Franklin Gothic Demi" w:hint="default"/>
        <w:color w:val="C0504D" w:themeColor="accen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4" w15:restartNumberingAfterBreak="0">
    <w:nsid w:val="322E4CF9"/>
    <w:multiLevelType w:val="hybridMultilevel"/>
    <w:tmpl w:val="445A7D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6255AAB"/>
    <w:multiLevelType w:val="hybridMultilevel"/>
    <w:tmpl w:val="44FA86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6F0CCA"/>
    <w:multiLevelType w:val="hybridMultilevel"/>
    <w:tmpl w:val="95BE39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56634C"/>
    <w:multiLevelType w:val="multilevel"/>
    <w:tmpl w:val="6DA82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C51FE8"/>
    <w:multiLevelType w:val="hybridMultilevel"/>
    <w:tmpl w:val="8AE052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FF85DDD"/>
    <w:multiLevelType w:val="hybridMultilevel"/>
    <w:tmpl w:val="BF4C56AC"/>
    <w:lvl w:ilvl="0" w:tplc="A300E9BE">
      <w:numFmt w:val="bullet"/>
      <w:lvlText w:val=""/>
      <w:lvlJc w:val="left"/>
      <w:pPr>
        <w:ind w:left="1080" w:hanging="360"/>
      </w:pPr>
      <w:rPr>
        <w:rFonts w:ascii="Symbol" w:eastAsiaTheme="minorEastAsia" w:hAnsi="Symbol" w:cs="Arial" w:hint="default"/>
        <w:color w:val="1F497D"/>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0067363"/>
    <w:multiLevelType w:val="hybridMultilevel"/>
    <w:tmpl w:val="2BE67B26"/>
    <w:lvl w:ilvl="0" w:tplc="67300B34">
      <w:start w:val="1"/>
      <w:numFmt w:val="bullet"/>
      <w:lvlText w:val=""/>
      <w:lvlJc w:val="left"/>
      <w:pPr>
        <w:ind w:left="1080" w:hanging="360"/>
      </w:pPr>
      <w:rPr>
        <w:rFonts w:ascii="Symbol" w:eastAsiaTheme="minorEastAsia"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650320C"/>
    <w:multiLevelType w:val="hybridMultilevel"/>
    <w:tmpl w:val="E30E3C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BA68B8"/>
    <w:multiLevelType w:val="hybridMultilevel"/>
    <w:tmpl w:val="731422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5" w15:restartNumberingAfterBreak="0">
    <w:nsid w:val="4E3E75E8"/>
    <w:multiLevelType w:val="multilevel"/>
    <w:tmpl w:val="49B2C914"/>
    <w:styleLink w:val="HeadingNumbers"/>
    <w:lvl w:ilvl="0">
      <w:start w:val="1"/>
      <w:numFmt w:val="decimal"/>
      <w:lvlText w:val="%1"/>
      <w:lvlJc w:val="left"/>
      <w:pPr>
        <w:tabs>
          <w:tab w:val="num" w:pos="567"/>
        </w:tabs>
        <w:ind w:left="567" w:hanging="567"/>
      </w:pPr>
      <w:rPr>
        <w:rFonts w:hint="default"/>
        <w:b w:val="0"/>
        <w:i/>
        <w:color w:val="auto"/>
        <w:sz w:val="36"/>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upperLetter"/>
      <w:lvlRestart w:val="0"/>
      <w:lvlText w:val="%6"/>
      <w:lvlJc w:val="left"/>
      <w:pPr>
        <w:tabs>
          <w:tab w:val="num" w:pos="567"/>
        </w:tabs>
        <w:ind w:left="567" w:hanging="567"/>
      </w:pPr>
      <w:rPr>
        <w:rFonts w:hint="default"/>
        <w:b w:val="0"/>
        <w:i/>
        <w:caps w:val="0"/>
        <w:sz w:val="36"/>
        <w:szCs w:val="28"/>
      </w:rPr>
    </w:lvl>
    <w:lvl w:ilvl="6">
      <w:start w:val="1"/>
      <w:numFmt w:val="none"/>
      <w:lvlRestart w:val="0"/>
      <w:suff w:val="nothing"/>
      <w:lvlText w:val=""/>
      <w:lvlJc w:val="left"/>
      <w:pPr>
        <w:ind w:left="0" w:firstLine="0"/>
      </w:pPr>
      <w:rPr>
        <w:rFonts w:hint="default"/>
        <w:caps/>
        <w:sz w:val="22"/>
        <w:szCs w:val="22"/>
      </w:rPr>
    </w:lvl>
    <w:lvl w:ilvl="7">
      <w:start w:val="1"/>
      <w:numFmt w:val="none"/>
      <w:lvlRestart w:val="0"/>
      <w:suff w:val="nothing"/>
      <w:lvlText w:val=""/>
      <w:lvlJc w:val="left"/>
      <w:pPr>
        <w:ind w:left="0" w:firstLine="0"/>
      </w:pPr>
      <w:rPr>
        <w:rFonts w:asciiTheme="majorHAnsi" w:hAnsiTheme="majorHAnsi" w:hint="default"/>
      </w:rPr>
    </w:lvl>
    <w:lvl w:ilvl="8">
      <w:start w:val="1"/>
      <w:numFmt w:val="none"/>
      <w:lvlRestart w:val="0"/>
      <w:suff w:val="nothing"/>
      <w:lvlText w:val=""/>
      <w:lvlJc w:val="left"/>
      <w:pPr>
        <w:ind w:left="0" w:firstLine="0"/>
      </w:pPr>
      <w:rPr>
        <w:rFonts w:asciiTheme="majorHAnsi" w:hAnsiTheme="majorHAnsi" w:hint="default"/>
      </w:rPr>
    </w:lvl>
  </w:abstractNum>
  <w:abstractNum w:abstractNumId="26"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8"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556560"/>
    <w:multiLevelType w:val="hybridMultilevel"/>
    <w:tmpl w:val="A8427324"/>
    <w:lvl w:ilvl="0" w:tplc="0C090001">
      <w:start w:val="1"/>
      <w:numFmt w:val="bullet"/>
      <w:lvlText w:val=""/>
      <w:lvlJc w:val="left"/>
      <w:pPr>
        <w:ind w:left="1080" w:hanging="360"/>
      </w:pPr>
      <w:rPr>
        <w:rFonts w:ascii="Symbol" w:hAnsi="Symbol" w:hint="default"/>
        <w:color w:val="1F497D"/>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B0DDF"/>
    <w:multiLevelType w:val="hybridMultilevel"/>
    <w:tmpl w:val="9BE886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35"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6" w15:restartNumberingAfterBreak="0">
    <w:nsid w:val="6AEA5E0A"/>
    <w:multiLevelType w:val="hybridMultilevel"/>
    <w:tmpl w:val="FFDEA35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7"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38"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30"/>
  </w:num>
  <w:num w:numId="2">
    <w:abstractNumId w:val="23"/>
  </w:num>
  <w:num w:numId="3">
    <w:abstractNumId w:val="37"/>
  </w:num>
  <w:num w:numId="4">
    <w:abstractNumId w:val="24"/>
  </w:num>
  <w:num w:numId="5">
    <w:abstractNumId w:val="28"/>
  </w:num>
  <w:num w:numId="6">
    <w:abstractNumId w:val="32"/>
  </w:num>
  <w:num w:numId="7">
    <w:abstractNumId w:val="1"/>
  </w:num>
  <w:num w:numId="8">
    <w:abstractNumId w:val="26"/>
  </w:num>
  <w:num w:numId="9">
    <w:abstractNumId w:val="35"/>
  </w:num>
  <w:num w:numId="10">
    <w:abstractNumId w:val="38"/>
  </w:num>
  <w:num w:numId="11">
    <w:abstractNumId w:val="33"/>
  </w:num>
  <w:num w:numId="12">
    <w:abstractNumId w:val="27"/>
  </w:num>
  <w:num w:numId="13">
    <w:abstractNumId w:val="3"/>
  </w:num>
  <w:num w:numId="14">
    <w:abstractNumId w:val="13"/>
  </w:num>
  <w:num w:numId="15">
    <w:abstractNumId w:val="24"/>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34"/>
  </w:num>
  <w:num w:numId="17">
    <w:abstractNumId w:val="7"/>
  </w:num>
  <w:num w:numId="18">
    <w:abstractNumId w:val="20"/>
  </w:num>
  <w:num w:numId="19">
    <w:abstractNumId w:val="22"/>
  </w:num>
  <w:num w:numId="20">
    <w:abstractNumId w:val="14"/>
  </w:num>
  <w:num w:numId="21">
    <w:abstractNumId w:val="9"/>
  </w:num>
  <w:num w:numId="22">
    <w:abstractNumId w:val="11"/>
  </w:num>
  <w:num w:numId="23">
    <w:abstractNumId w:val="15"/>
  </w:num>
  <w:num w:numId="24">
    <w:abstractNumId w:val="21"/>
  </w:num>
  <w:num w:numId="25">
    <w:abstractNumId w:val="16"/>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4"/>
  </w:num>
  <w:num w:numId="29">
    <w:abstractNumId w:val="31"/>
  </w:num>
  <w:num w:numId="30">
    <w:abstractNumId w:val="10"/>
  </w:num>
  <w:num w:numId="31">
    <w:abstractNumId w:val="17"/>
  </w:num>
  <w:num w:numId="32">
    <w:abstractNumId w:val="0"/>
  </w:num>
  <w:num w:numId="33">
    <w:abstractNumId w:val="18"/>
  </w:num>
  <w:num w:numId="34">
    <w:abstractNumId w:val="2"/>
  </w:num>
  <w:num w:numId="35">
    <w:abstractNumId w:val="25"/>
  </w:num>
  <w:num w:numId="36">
    <w:abstractNumId w:val="12"/>
  </w:num>
  <w:num w:numId="37">
    <w:abstractNumId w:val="5"/>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29"/>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91B"/>
    <w:rsid w:val="000019CF"/>
    <w:rsid w:val="00002F05"/>
    <w:rsid w:val="000038F3"/>
    <w:rsid w:val="00004C48"/>
    <w:rsid w:val="00005853"/>
    <w:rsid w:val="0000644B"/>
    <w:rsid w:val="00010623"/>
    <w:rsid w:val="000116E2"/>
    <w:rsid w:val="0001217B"/>
    <w:rsid w:val="00012C60"/>
    <w:rsid w:val="00014487"/>
    <w:rsid w:val="00017438"/>
    <w:rsid w:val="00021D26"/>
    <w:rsid w:val="00022B99"/>
    <w:rsid w:val="0002351E"/>
    <w:rsid w:val="0003004F"/>
    <w:rsid w:val="000305D8"/>
    <w:rsid w:val="00032E5D"/>
    <w:rsid w:val="00035851"/>
    <w:rsid w:val="00036205"/>
    <w:rsid w:val="00037184"/>
    <w:rsid w:val="00041E58"/>
    <w:rsid w:val="00044A7F"/>
    <w:rsid w:val="00045B46"/>
    <w:rsid w:val="00047983"/>
    <w:rsid w:val="00051114"/>
    <w:rsid w:val="0005130D"/>
    <w:rsid w:val="00051468"/>
    <w:rsid w:val="00052BE5"/>
    <w:rsid w:val="000535FF"/>
    <w:rsid w:val="00054120"/>
    <w:rsid w:val="00054409"/>
    <w:rsid w:val="00056960"/>
    <w:rsid w:val="00056D7E"/>
    <w:rsid w:val="00057023"/>
    <w:rsid w:val="00057D21"/>
    <w:rsid w:val="00060215"/>
    <w:rsid w:val="00060AEC"/>
    <w:rsid w:val="00062FB4"/>
    <w:rsid w:val="00063A60"/>
    <w:rsid w:val="00063EDF"/>
    <w:rsid w:val="000644BF"/>
    <w:rsid w:val="000668E3"/>
    <w:rsid w:val="0006724B"/>
    <w:rsid w:val="00070DF5"/>
    <w:rsid w:val="000712CE"/>
    <w:rsid w:val="00072CE6"/>
    <w:rsid w:val="000731D3"/>
    <w:rsid w:val="00074BD8"/>
    <w:rsid w:val="00075AB0"/>
    <w:rsid w:val="0007682B"/>
    <w:rsid w:val="00080B0A"/>
    <w:rsid w:val="000810FB"/>
    <w:rsid w:val="00084E29"/>
    <w:rsid w:val="000925E8"/>
    <w:rsid w:val="000946AC"/>
    <w:rsid w:val="00095FBB"/>
    <w:rsid w:val="00096517"/>
    <w:rsid w:val="0009696A"/>
    <w:rsid w:val="000A1FC5"/>
    <w:rsid w:val="000A201B"/>
    <w:rsid w:val="000B6C72"/>
    <w:rsid w:val="000B73C0"/>
    <w:rsid w:val="000B794F"/>
    <w:rsid w:val="000C2A7D"/>
    <w:rsid w:val="000C382F"/>
    <w:rsid w:val="000C7A53"/>
    <w:rsid w:val="000C7B4B"/>
    <w:rsid w:val="000D22C3"/>
    <w:rsid w:val="000D49A5"/>
    <w:rsid w:val="000D6C65"/>
    <w:rsid w:val="000E1039"/>
    <w:rsid w:val="000E4FC0"/>
    <w:rsid w:val="000E699D"/>
    <w:rsid w:val="000F0BC1"/>
    <w:rsid w:val="000F4098"/>
    <w:rsid w:val="000F42D0"/>
    <w:rsid w:val="000F5898"/>
    <w:rsid w:val="00104397"/>
    <w:rsid w:val="00104710"/>
    <w:rsid w:val="00105217"/>
    <w:rsid w:val="001066BD"/>
    <w:rsid w:val="001069EB"/>
    <w:rsid w:val="00107321"/>
    <w:rsid w:val="00111926"/>
    <w:rsid w:val="00111D32"/>
    <w:rsid w:val="0011526A"/>
    <w:rsid w:val="001215BB"/>
    <w:rsid w:val="00121E6F"/>
    <w:rsid w:val="0012253C"/>
    <w:rsid w:val="00123965"/>
    <w:rsid w:val="00124A35"/>
    <w:rsid w:val="001304EE"/>
    <w:rsid w:val="00130E8E"/>
    <w:rsid w:val="00131E97"/>
    <w:rsid w:val="00132EC1"/>
    <w:rsid w:val="00137045"/>
    <w:rsid w:val="00137708"/>
    <w:rsid w:val="0014127B"/>
    <w:rsid w:val="00141D8E"/>
    <w:rsid w:val="001437CB"/>
    <w:rsid w:val="001439AC"/>
    <w:rsid w:val="0014428A"/>
    <w:rsid w:val="00144E4A"/>
    <w:rsid w:val="001472FD"/>
    <w:rsid w:val="0015235E"/>
    <w:rsid w:val="00152C02"/>
    <w:rsid w:val="00152E72"/>
    <w:rsid w:val="00155BBE"/>
    <w:rsid w:val="0015682E"/>
    <w:rsid w:val="00161AE5"/>
    <w:rsid w:val="0016333D"/>
    <w:rsid w:val="001638DE"/>
    <w:rsid w:val="0016622A"/>
    <w:rsid w:val="00167031"/>
    <w:rsid w:val="0017031D"/>
    <w:rsid w:val="00170BE1"/>
    <w:rsid w:val="00174004"/>
    <w:rsid w:val="0017743D"/>
    <w:rsid w:val="001810A3"/>
    <w:rsid w:val="001825CB"/>
    <w:rsid w:val="00182865"/>
    <w:rsid w:val="00182E06"/>
    <w:rsid w:val="001916E4"/>
    <w:rsid w:val="00191D39"/>
    <w:rsid w:val="0019203A"/>
    <w:rsid w:val="001930E4"/>
    <w:rsid w:val="001957B4"/>
    <w:rsid w:val="00195E9F"/>
    <w:rsid w:val="00195F6C"/>
    <w:rsid w:val="001A00A8"/>
    <w:rsid w:val="001A12BD"/>
    <w:rsid w:val="001A6B53"/>
    <w:rsid w:val="001B0112"/>
    <w:rsid w:val="001B1A27"/>
    <w:rsid w:val="001B4654"/>
    <w:rsid w:val="001B5470"/>
    <w:rsid w:val="001B57C6"/>
    <w:rsid w:val="001C01FD"/>
    <w:rsid w:val="001C127F"/>
    <w:rsid w:val="001C1E6C"/>
    <w:rsid w:val="001C5880"/>
    <w:rsid w:val="001C79AB"/>
    <w:rsid w:val="001D3190"/>
    <w:rsid w:val="001D4283"/>
    <w:rsid w:val="001D50C0"/>
    <w:rsid w:val="001D553B"/>
    <w:rsid w:val="001D7634"/>
    <w:rsid w:val="001D7758"/>
    <w:rsid w:val="001D7FCC"/>
    <w:rsid w:val="001E0C4F"/>
    <w:rsid w:val="001E1786"/>
    <w:rsid w:val="001E1F70"/>
    <w:rsid w:val="001E26AB"/>
    <w:rsid w:val="001E3A26"/>
    <w:rsid w:val="001E3CEA"/>
    <w:rsid w:val="001F191B"/>
    <w:rsid w:val="001F3F19"/>
    <w:rsid w:val="001F5F4B"/>
    <w:rsid w:val="001F6DC8"/>
    <w:rsid w:val="001F7B9C"/>
    <w:rsid w:val="00202629"/>
    <w:rsid w:val="00212F6D"/>
    <w:rsid w:val="00221B64"/>
    <w:rsid w:val="00227178"/>
    <w:rsid w:val="002313FA"/>
    <w:rsid w:val="002323C4"/>
    <w:rsid w:val="00233F52"/>
    <w:rsid w:val="002346BC"/>
    <w:rsid w:val="0023519A"/>
    <w:rsid w:val="00235527"/>
    <w:rsid w:val="00240EF9"/>
    <w:rsid w:val="00241252"/>
    <w:rsid w:val="0024194E"/>
    <w:rsid w:val="00243212"/>
    <w:rsid w:val="00243D71"/>
    <w:rsid w:val="00244CC7"/>
    <w:rsid w:val="00245BB2"/>
    <w:rsid w:val="002460D9"/>
    <w:rsid w:val="00251489"/>
    <w:rsid w:val="00251C3C"/>
    <w:rsid w:val="00253B42"/>
    <w:rsid w:val="002545A9"/>
    <w:rsid w:val="002600DA"/>
    <w:rsid w:val="0026059F"/>
    <w:rsid w:val="00260847"/>
    <w:rsid w:val="00260A4D"/>
    <w:rsid w:val="00263657"/>
    <w:rsid w:val="00263818"/>
    <w:rsid w:val="002638E7"/>
    <w:rsid w:val="00263EAD"/>
    <w:rsid w:val="00265BE2"/>
    <w:rsid w:val="00267A14"/>
    <w:rsid w:val="00271E44"/>
    <w:rsid w:val="00276BF3"/>
    <w:rsid w:val="00283D88"/>
    <w:rsid w:val="00284F1D"/>
    <w:rsid w:val="00284FF0"/>
    <w:rsid w:val="00286045"/>
    <w:rsid w:val="002874A7"/>
    <w:rsid w:val="002902B1"/>
    <w:rsid w:val="00290BEE"/>
    <w:rsid w:val="00292C50"/>
    <w:rsid w:val="002937F8"/>
    <w:rsid w:val="00294625"/>
    <w:rsid w:val="00295A12"/>
    <w:rsid w:val="002A03F1"/>
    <w:rsid w:val="002A10D1"/>
    <w:rsid w:val="002A463D"/>
    <w:rsid w:val="002A5AA6"/>
    <w:rsid w:val="002A6F46"/>
    <w:rsid w:val="002A7ACF"/>
    <w:rsid w:val="002B0E41"/>
    <w:rsid w:val="002B2737"/>
    <w:rsid w:val="002B4588"/>
    <w:rsid w:val="002B47D7"/>
    <w:rsid w:val="002B4C22"/>
    <w:rsid w:val="002B4DDC"/>
    <w:rsid w:val="002B65D4"/>
    <w:rsid w:val="002C61D5"/>
    <w:rsid w:val="002C6692"/>
    <w:rsid w:val="002C76AF"/>
    <w:rsid w:val="002C7DA2"/>
    <w:rsid w:val="002D2899"/>
    <w:rsid w:val="002D46A2"/>
    <w:rsid w:val="002D4EA3"/>
    <w:rsid w:val="002D58F0"/>
    <w:rsid w:val="002D6CB4"/>
    <w:rsid w:val="002E039A"/>
    <w:rsid w:val="002E433B"/>
    <w:rsid w:val="002E6844"/>
    <w:rsid w:val="002F126E"/>
    <w:rsid w:val="002F3C85"/>
    <w:rsid w:val="002F5555"/>
    <w:rsid w:val="002F6AE1"/>
    <w:rsid w:val="003005AF"/>
    <w:rsid w:val="00304D01"/>
    <w:rsid w:val="00310CB2"/>
    <w:rsid w:val="00312C2A"/>
    <w:rsid w:val="003152DE"/>
    <w:rsid w:val="0031540A"/>
    <w:rsid w:val="003204E9"/>
    <w:rsid w:val="003204FA"/>
    <w:rsid w:val="00321445"/>
    <w:rsid w:val="00322AC0"/>
    <w:rsid w:val="003231CD"/>
    <w:rsid w:val="00324574"/>
    <w:rsid w:val="00324AE3"/>
    <w:rsid w:val="0032516B"/>
    <w:rsid w:val="00330275"/>
    <w:rsid w:val="00332167"/>
    <w:rsid w:val="0033216F"/>
    <w:rsid w:val="00332872"/>
    <w:rsid w:val="00333701"/>
    <w:rsid w:val="0034134D"/>
    <w:rsid w:val="003430C1"/>
    <w:rsid w:val="00343696"/>
    <w:rsid w:val="00344F3D"/>
    <w:rsid w:val="00344F59"/>
    <w:rsid w:val="00345F96"/>
    <w:rsid w:val="00350D39"/>
    <w:rsid w:val="003527D9"/>
    <w:rsid w:val="003531BD"/>
    <w:rsid w:val="00355206"/>
    <w:rsid w:val="0035654D"/>
    <w:rsid w:val="00357DFD"/>
    <w:rsid w:val="00361BCC"/>
    <w:rsid w:val="00362354"/>
    <w:rsid w:val="00362AEE"/>
    <w:rsid w:val="00367AED"/>
    <w:rsid w:val="00370336"/>
    <w:rsid w:val="00372348"/>
    <w:rsid w:val="0038136B"/>
    <w:rsid w:val="00382382"/>
    <w:rsid w:val="003847F0"/>
    <w:rsid w:val="0039169C"/>
    <w:rsid w:val="003918C9"/>
    <w:rsid w:val="00392522"/>
    <w:rsid w:val="003928D9"/>
    <w:rsid w:val="00392FAA"/>
    <w:rsid w:val="00395332"/>
    <w:rsid w:val="00396DA3"/>
    <w:rsid w:val="00396DC2"/>
    <w:rsid w:val="0039745E"/>
    <w:rsid w:val="00397591"/>
    <w:rsid w:val="003A03B2"/>
    <w:rsid w:val="003A0975"/>
    <w:rsid w:val="003A1024"/>
    <w:rsid w:val="003A2825"/>
    <w:rsid w:val="003A56B6"/>
    <w:rsid w:val="003A666E"/>
    <w:rsid w:val="003B197E"/>
    <w:rsid w:val="003B6AE5"/>
    <w:rsid w:val="003C2709"/>
    <w:rsid w:val="003C3E8C"/>
    <w:rsid w:val="003C443B"/>
    <w:rsid w:val="003C496E"/>
    <w:rsid w:val="003C6A61"/>
    <w:rsid w:val="003D3AAC"/>
    <w:rsid w:val="003D625C"/>
    <w:rsid w:val="003D6423"/>
    <w:rsid w:val="003D6BDB"/>
    <w:rsid w:val="003E11F4"/>
    <w:rsid w:val="003E36DA"/>
    <w:rsid w:val="003E5100"/>
    <w:rsid w:val="003E5310"/>
    <w:rsid w:val="003E724D"/>
    <w:rsid w:val="003F0537"/>
    <w:rsid w:val="003F3297"/>
    <w:rsid w:val="003F4FC7"/>
    <w:rsid w:val="003F6A85"/>
    <w:rsid w:val="003F6F7E"/>
    <w:rsid w:val="003F74EE"/>
    <w:rsid w:val="003F77A8"/>
    <w:rsid w:val="004040DF"/>
    <w:rsid w:val="00407B2A"/>
    <w:rsid w:val="00407B92"/>
    <w:rsid w:val="00407DD9"/>
    <w:rsid w:val="0041041E"/>
    <w:rsid w:val="00421429"/>
    <w:rsid w:val="0042175F"/>
    <w:rsid w:val="00422ECD"/>
    <w:rsid w:val="00423F0C"/>
    <w:rsid w:val="00424752"/>
    <w:rsid w:val="00431D51"/>
    <w:rsid w:val="00435BA2"/>
    <w:rsid w:val="00436719"/>
    <w:rsid w:val="00436A6B"/>
    <w:rsid w:val="004418EC"/>
    <w:rsid w:val="004419A2"/>
    <w:rsid w:val="004424F3"/>
    <w:rsid w:val="00445D06"/>
    <w:rsid w:val="004509C9"/>
    <w:rsid w:val="00451416"/>
    <w:rsid w:val="004538FC"/>
    <w:rsid w:val="0045765D"/>
    <w:rsid w:val="0046377C"/>
    <w:rsid w:val="00463BEF"/>
    <w:rsid w:val="004655FA"/>
    <w:rsid w:val="00465CE2"/>
    <w:rsid w:val="00466216"/>
    <w:rsid w:val="00467665"/>
    <w:rsid w:val="00476963"/>
    <w:rsid w:val="00477402"/>
    <w:rsid w:val="00477BAE"/>
    <w:rsid w:val="00482727"/>
    <w:rsid w:val="00491BC8"/>
    <w:rsid w:val="004927E5"/>
    <w:rsid w:val="0049365C"/>
    <w:rsid w:val="004A2375"/>
    <w:rsid w:val="004A3F6A"/>
    <w:rsid w:val="004A481F"/>
    <w:rsid w:val="004A6E5D"/>
    <w:rsid w:val="004A6F71"/>
    <w:rsid w:val="004A7BE2"/>
    <w:rsid w:val="004B012A"/>
    <w:rsid w:val="004B0599"/>
    <w:rsid w:val="004B253B"/>
    <w:rsid w:val="004B3A71"/>
    <w:rsid w:val="004B715C"/>
    <w:rsid w:val="004B71ED"/>
    <w:rsid w:val="004C17FC"/>
    <w:rsid w:val="004C20DB"/>
    <w:rsid w:val="004C2886"/>
    <w:rsid w:val="004E0E33"/>
    <w:rsid w:val="004E1E7C"/>
    <w:rsid w:val="004E275E"/>
    <w:rsid w:val="004E2828"/>
    <w:rsid w:val="004E3D6B"/>
    <w:rsid w:val="004E4599"/>
    <w:rsid w:val="004E58C1"/>
    <w:rsid w:val="004E648D"/>
    <w:rsid w:val="004F0462"/>
    <w:rsid w:val="004F2CB8"/>
    <w:rsid w:val="004F4CB1"/>
    <w:rsid w:val="004F4CFB"/>
    <w:rsid w:val="004F5992"/>
    <w:rsid w:val="004F6234"/>
    <w:rsid w:val="005009D5"/>
    <w:rsid w:val="005015E7"/>
    <w:rsid w:val="00502924"/>
    <w:rsid w:val="005067E1"/>
    <w:rsid w:val="00510359"/>
    <w:rsid w:val="005122CE"/>
    <w:rsid w:val="00512659"/>
    <w:rsid w:val="005139B7"/>
    <w:rsid w:val="00513C57"/>
    <w:rsid w:val="00513D97"/>
    <w:rsid w:val="005142FF"/>
    <w:rsid w:val="00516283"/>
    <w:rsid w:val="00517D74"/>
    <w:rsid w:val="00520F44"/>
    <w:rsid w:val="00532DB5"/>
    <w:rsid w:val="00534757"/>
    <w:rsid w:val="00536031"/>
    <w:rsid w:val="005451CD"/>
    <w:rsid w:val="005506FB"/>
    <w:rsid w:val="0055592F"/>
    <w:rsid w:val="00557F53"/>
    <w:rsid w:val="00563FF4"/>
    <w:rsid w:val="00565B91"/>
    <w:rsid w:val="005674B0"/>
    <w:rsid w:val="00573256"/>
    <w:rsid w:val="00574CF1"/>
    <w:rsid w:val="00580083"/>
    <w:rsid w:val="00581ED1"/>
    <w:rsid w:val="00584DCE"/>
    <w:rsid w:val="00585CEA"/>
    <w:rsid w:val="005875CA"/>
    <w:rsid w:val="005916EB"/>
    <w:rsid w:val="00592F78"/>
    <w:rsid w:val="00595301"/>
    <w:rsid w:val="00596884"/>
    <w:rsid w:val="005A2A65"/>
    <w:rsid w:val="005A3377"/>
    <w:rsid w:val="005A4951"/>
    <w:rsid w:val="005A655C"/>
    <w:rsid w:val="005A68A4"/>
    <w:rsid w:val="005B0489"/>
    <w:rsid w:val="005B1DE4"/>
    <w:rsid w:val="005B404C"/>
    <w:rsid w:val="005B5122"/>
    <w:rsid w:val="005B5694"/>
    <w:rsid w:val="005B7E50"/>
    <w:rsid w:val="005C1D77"/>
    <w:rsid w:val="005C2631"/>
    <w:rsid w:val="005C279F"/>
    <w:rsid w:val="005C3FB8"/>
    <w:rsid w:val="005C42F9"/>
    <w:rsid w:val="005C46A0"/>
    <w:rsid w:val="005C524C"/>
    <w:rsid w:val="005C7A79"/>
    <w:rsid w:val="005D0791"/>
    <w:rsid w:val="005D2AAA"/>
    <w:rsid w:val="005D34F2"/>
    <w:rsid w:val="005D5A16"/>
    <w:rsid w:val="005D6AD8"/>
    <w:rsid w:val="005D6BC5"/>
    <w:rsid w:val="005E452A"/>
    <w:rsid w:val="005E5159"/>
    <w:rsid w:val="005E7ECD"/>
    <w:rsid w:val="005F0F47"/>
    <w:rsid w:val="005F14FF"/>
    <w:rsid w:val="005F6561"/>
    <w:rsid w:val="005F6FE8"/>
    <w:rsid w:val="005F7B50"/>
    <w:rsid w:val="006052E1"/>
    <w:rsid w:val="00607349"/>
    <w:rsid w:val="00613E3D"/>
    <w:rsid w:val="0061787F"/>
    <w:rsid w:val="00617E4F"/>
    <w:rsid w:val="006245E7"/>
    <w:rsid w:val="00624740"/>
    <w:rsid w:val="00626B2E"/>
    <w:rsid w:val="00627334"/>
    <w:rsid w:val="0063102E"/>
    <w:rsid w:val="0063133A"/>
    <w:rsid w:val="00632370"/>
    <w:rsid w:val="00632550"/>
    <w:rsid w:val="006335BE"/>
    <w:rsid w:val="00635663"/>
    <w:rsid w:val="00640449"/>
    <w:rsid w:val="00640BA0"/>
    <w:rsid w:val="00644E93"/>
    <w:rsid w:val="006466AD"/>
    <w:rsid w:val="006524D9"/>
    <w:rsid w:val="00653A09"/>
    <w:rsid w:val="00653B38"/>
    <w:rsid w:val="0065599C"/>
    <w:rsid w:val="006575B0"/>
    <w:rsid w:val="006638E4"/>
    <w:rsid w:val="0066433C"/>
    <w:rsid w:val="00664564"/>
    <w:rsid w:val="00670FFA"/>
    <w:rsid w:val="00673892"/>
    <w:rsid w:val="00674E53"/>
    <w:rsid w:val="006769BF"/>
    <w:rsid w:val="006807C9"/>
    <w:rsid w:val="00687279"/>
    <w:rsid w:val="006907D9"/>
    <w:rsid w:val="00692AA5"/>
    <w:rsid w:val="00694221"/>
    <w:rsid w:val="00697243"/>
    <w:rsid w:val="006A0EC5"/>
    <w:rsid w:val="006A1FB4"/>
    <w:rsid w:val="006A39A0"/>
    <w:rsid w:val="006A7B3A"/>
    <w:rsid w:val="006B0702"/>
    <w:rsid w:val="006B2253"/>
    <w:rsid w:val="006B3C32"/>
    <w:rsid w:val="006B40D9"/>
    <w:rsid w:val="006B66FC"/>
    <w:rsid w:val="006C27ED"/>
    <w:rsid w:val="006C29A6"/>
    <w:rsid w:val="006C37C0"/>
    <w:rsid w:val="006C740C"/>
    <w:rsid w:val="006D0CD6"/>
    <w:rsid w:val="006D2652"/>
    <w:rsid w:val="006E082A"/>
    <w:rsid w:val="006E2598"/>
    <w:rsid w:val="006E6E39"/>
    <w:rsid w:val="006E7ACA"/>
    <w:rsid w:val="006F0979"/>
    <w:rsid w:val="006F1EFD"/>
    <w:rsid w:val="006F1F4B"/>
    <w:rsid w:val="006F1F8D"/>
    <w:rsid w:val="006F58FE"/>
    <w:rsid w:val="006F7901"/>
    <w:rsid w:val="0070060D"/>
    <w:rsid w:val="00701BE5"/>
    <w:rsid w:val="00703D1F"/>
    <w:rsid w:val="007069A1"/>
    <w:rsid w:val="00706A05"/>
    <w:rsid w:val="00714E32"/>
    <w:rsid w:val="00714F63"/>
    <w:rsid w:val="007158E0"/>
    <w:rsid w:val="007214CA"/>
    <w:rsid w:val="00723DD7"/>
    <w:rsid w:val="00726FA1"/>
    <w:rsid w:val="007276F3"/>
    <w:rsid w:val="00727BB7"/>
    <w:rsid w:val="00730224"/>
    <w:rsid w:val="00735B79"/>
    <w:rsid w:val="00735BA1"/>
    <w:rsid w:val="007367AF"/>
    <w:rsid w:val="00737146"/>
    <w:rsid w:val="00737740"/>
    <w:rsid w:val="007413C2"/>
    <w:rsid w:val="00743D11"/>
    <w:rsid w:val="00743F4B"/>
    <w:rsid w:val="00744594"/>
    <w:rsid w:val="00751AE0"/>
    <w:rsid w:val="00753727"/>
    <w:rsid w:val="00756648"/>
    <w:rsid w:val="007619FB"/>
    <w:rsid w:val="00761A2D"/>
    <w:rsid w:val="00761B81"/>
    <w:rsid w:val="0076234B"/>
    <w:rsid w:val="00762F3F"/>
    <w:rsid w:val="00763604"/>
    <w:rsid w:val="00765C0F"/>
    <w:rsid w:val="00765F9E"/>
    <w:rsid w:val="00767EAD"/>
    <w:rsid w:val="00770FD0"/>
    <w:rsid w:val="007725EF"/>
    <w:rsid w:val="007747D3"/>
    <w:rsid w:val="007754BB"/>
    <w:rsid w:val="00776BC0"/>
    <w:rsid w:val="00780AA3"/>
    <w:rsid w:val="00780C09"/>
    <w:rsid w:val="00782A2A"/>
    <w:rsid w:val="0079101D"/>
    <w:rsid w:val="0079110B"/>
    <w:rsid w:val="00792402"/>
    <w:rsid w:val="00793EE9"/>
    <w:rsid w:val="0079577F"/>
    <w:rsid w:val="007A450A"/>
    <w:rsid w:val="007A45D7"/>
    <w:rsid w:val="007B18E4"/>
    <w:rsid w:val="007B538A"/>
    <w:rsid w:val="007B5D8D"/>
    <w:rsid w:val="007C4209"/>
    <w:rsid w:val="007C47D8"/>
    <w:rsid w:val="007C510E"/>
    <w:rsid w:val="007C62E7"/>
    <w:rsid w:val="007C6E09"/>
    <w:rsid w:val="007C7595"/>
    <w:rsid w:val="007D0694"/>
    <w:rsid w:val="007D09DD"/>
    <w:rsid w:val="007D0AF8"/>
    <w:rsid w:val="007D1DA1"/>
    <w:rsid w:val="007D78BB"/>
    <w:rsid w:val="007E77A3"/>
    <w:rsid w:val="007F02B5"/>
    <w:rsid w:val="007F4C0D"/>
    <w:rsid w:val="007F4F44"/>
    <w:rsid w:val="0080290B"/>
    <w:rsid w:val="008037F9"/>
    <w:rsid w:val="00804517"/>
    <w:rsid w:val="00805552"/>
    <w:rsid w:val="00805768"/>
    <w:rsid w:val="008062B4"/>
    <w:rsid w:val="008101EC"/>
    <w:rsid w:val="008101F3"/>
    <w:rsid w:val="008128AC"/>
    <w:rsid w:val="00814EFA"/>
    <w:rsid w:val="00815288"/>
    <w:rsid w:val="0082202F"/>
    <w:rsid w:val="008238D0"/>
    <w:rsid w:val="0082481E"/>
    <w:rsid w:val="008249AA"/>
    <w:rsid w:val="00827429"/>
    <w:rsid w:val="00827943"/>
    <w:rsid w:val="00832989"/>
    <w:rsid w:val="00837CCB"/>
    <w:rsid w:val="008409F0"/>
    <w:rsid w:val="00840DD5"/>
    <w:rsid w:val="00844F5B"/>
    <w:rsid w:val="008470F3"/>
    <w:rsid w:val="0084745C"/>
    <w:rsid w:val="00850155"/>
    <w:rsid w:val="008612D5"/>
    <w:rsid w:val="008637AF"/>
    <w:rsid w:val="0086402F"/>
    <w:rsid w:val="0086439D"/>
    <w:rsid w:val="008657A2"/>
    <w:rsid w:val="00866438"/>
    <w:rsid w:val="0086691E"/>
    <w:rsid w:val="00867AFD"/>
    <w:rsid w:val="00871324"/>
    <w:rsid w:val="00874EAB"/>
    <w:rsid w:val="008752C6"/>
    <w:rsid w:val="008752C8"/>
    <w:rsid w:val="0087677C"/>
    <w:rsid w:val="0088230D"/>
    <w:rsid w:val="00883382"/>
    <w:rsid w:val="008849FA"/>
    <w:rsid w:val="00884DD8"/>
    <w:rsid w:val="0089208D"/>
    <w:rsid w:val="008930A1"/>
    <w:rsid w:val="008954AE"/>
    <w:rsid w:val="008970A8"/>
    <w:rsid w:val="008A0C00"/>
    <w:rsid w:val="008A1A94"/>
    <w:rsid w:val="008A20A5"/>
    <w:rsid w:val="008A37C3"/>
    <w:rsid w:val="008B0352"/>
    <w:rsid w:val="008B3191"/>
    <w:rsid w:val="008C1C1E"/>
    <w:rsid w:val="008C3A9A"/>
    <w:rsid w:val="008C3D59"/>
    <w:rsid w:val="008C6189"/>
    <w:rsid w:val="008C744E"/>
    <w:rsid w:val="008D1514"/>
    <w:rsid w:val="008D29B3"/>
    <w:rsid w:val="008D3F45"/>
    <w:rsid w:val="008D4995"/>
    <w:rsid w:val="008D4D46"/>
    <w:rsid w:val="008D4D8D"/>
    <w:rsid w:val="008E2FB8"/>
    <w:rsid w:val="008E304C"/>
    <w:rsid w:val="008E527F"/>
    <w:rsid w:val="008E792D"/>
    <w:rsid w:val="008F3B07"/>
    <w:rsid w:val="008F3FBA"/>
    <w:rsid w:val="008F6FC6"/>
    <w:rsid w:val="008F7EC4"/>
    <w:rsid w:val="0090023B"/>
    <w:rsid w:val="0090102E"/>
    <w:rsid w:val="00904138"/>
    <w:rsid w:val="00905A21"/>
    <w:rsid w:val="00905DB3"/>
    <w:rsid w:val="009066EA"/>
    <w:rsid w:val="009116DC"/>
    <w:rsid w:val="00912E7D"/>
    <w:rsid w:val="00914828"/>
    <w:rsid w:val="0092087D"/>
    <w:rsid w:val="00922D40"/>
    <w:rsid w:val="00923BA6"/>
    <w:rsid w:val="009242E5"/>
    <w:rsid w:val="00927362"/>
    <w:rsid w:val="00927AA2"/>
    <w:rsid w:val="009303E6"/>
    <w:rsid w:val="00930849"/>
    <w:rsid w:val="00935011"/>
    <w:rsid w:val="00937497"/>
    <w:rsid w:val="00942226"/>
    <w:rsid w:val="009446CC"/>
    <w:rsid w:val="009455A3"/>
    <w:rsid w:val="0094638A"/>
    <w:rsid w:val="00952633"/>
    <w:rsid w:val="00953078"/>
    <w:rsid w:val="00955375"/>
    <w:rsid w:val="00960FA0"/>
    <w:rsid w:val="00964671"/>
    <w:rsid w:val="00967D3C"/>
    <w:rsid w:val="00973033"/>
    <w:rsid w:val="009746DD"/>
    <w:rsid w:val="00986D4F"/>
    <w:rsid w:val="00987057"/>
    <w:rsid w:val="0098794C"/>
    <w:rsid w:val="00991A4A"/>
    <w:rsid w:val="00992E04"/>
    <w:rsid w:val="009A18A3"/>
    <w:rsid w:val="009A556B"/>
    <w:rsid w:val="009A5EFA"/>
    <w:rsid w:val="009A6694"/>
    <w:rsid w:val="009B4EE3"/>
    <w:rsid w:val="009B51CB"/>
    <w:rsid w:val="009B6194"/>
    <w:rsid w:val="009B6DE3"/>
    <w:rsid w:val="009C0D81"/>
    <w:rsid w:val="009C6C4C"/>
    <w:rsid w:val="009D2794"/>
    <w:rsid w:val="009D3109"/>
    <w:rsid w:val="009D3B40"/>
    <w:rsid w:val="009E0AEB"/>
    <w:rsid w:val="009E1408"/>
    <w:rsid w:val="009E3037"/>
    <w:rsid w:val="009E4910"/>
    <w:rsid w:val="009E4A85"/>
    <w:rsid w:val="009E7A85"/>
    <w:rsid w:val="009F2A16"/>
    <w:rsid w:val="009F3037"/>
    <w:rsid w:val="009F3E8A"/>
    <w:rsid w:val="00A0082F"/>
    <w:rsid w:val="00A01C00"/>
    <w:rsid w:val="00A023C1"/>
    <w:rsid w:val="00A02C60"/>
    <w:rsid w:val="00A05C2D"/>
    <w:rsid w:val="00A05F24"/>
    <w:rsid w:val="00A12ACB"/>
    <w:rsid w:val="00A13B96"/>
    <w:rsid w:val="00A16356"/>
    <w:rsid w:val="00A175C0"/>
    <w:rsid w:val="00A20599"/>
    <w:rsid w:val="00A23A56"/>
    <w:rsid w:val="00A30198"/>
    <w:rsid w:val="00A35BBA"/>
    <w:rsid w:val="00A35F66"/>
    <w:rsid w:val="00A37BED"/>
    <w:rsid w:val="00A42A88"/>
    <w:rsid w:val="00A44291"/>
    <w:rsid w:val="00A45369"/>
    <w:rsid w:val="00A46B5A"/>
    <w:rsid w:val="00A514AA"/>
    <w:rsid w:val="00A51587"/>
    <w:rsid w:val="00A51A3C"/>
    <w:rsid w:val="00A53D1F"/>
    <w:rsid w:val="00A56950"/>
    <w:rsid w:val="00A64223"/>
    <w:rsid w:val="00A70E36"/>
    <w:rsid w:val="00A73217"/>
    <w:rsid w:val="00A7396A"/>
    <w:rsid w:val="00A7684E"/>
    <w:rsid w:val="00A82147"/>
    <w:rsid w:val="00A9010F"/>
    <w:rsid w:val="00A90373"/>
    <w:rsid w:val="00A92CA1"/>
    <w:rsid w:val="00A94FDE"/>
    <w:rsid w:val="00A956B1"/>
    <w:rsid w:val="00AA0DB5"/>
    <w:rsid w:val="00AA3484"/>
    <w:rsid w:val="00AA3AAF"/>
    <w:rsid w:val="00AA4930"/>
    <w:rsid w:val="00AA7C38"/>
    <w:rsid w:val="00AA7FD4"/>
    <w:rsid w:val="00AB1DC6"/>
    <w:rsid w:val="00AB355C"/>
    <w:rsid w:val="00AB3BC6"/>
    <w:rsid w:val="00AB4BF2"/>
    <w:rsid w:val="00AC1F76"/>
    <w:rsid w:val="00AC79BD"/>
    <w:rsid w:val="00AD046D"/>
    <w:rsid w:val="00AD6ECB"/>
    <w:rsid w:val="00AE01F3"/>
    <w:rsid w:val="00AE176D"/>
    <w:rsid w:val="00AE3A61"/>
    <w:rsid w:val="00AE7737"/>
    <w:rsid w:val="00AF0BDD"/>
    <w:rsid w:val="00AF47FA"/>
    <w:rsid w:val="00B03079"/>
    <w:rsid w:val="00B06D98"/>
    <w:rsid w:val="00B15CAF"/>
    <w:rsid w:val="00B275AC"/>
    <w:rsid w:val="00B279A9"/>
    <w:rsid w:val="00B27FBD"/>
    <w:rsid w:val="00B308D7"/>
    <w:rsid w:val="00B31EFE"/>
    <w:rsid w:val="00B360EA"/>
    <w:rsid w:val="00B406F5"/>
    <w:rsid w:val="00B40C8D"/>
    <w:rsid w:val="00B41356"/>
    <w:rsid w:val="00B44B83"/>
    <w:rsid w:val="00B46BAB"/>
    <w:rsid w:val="00B501C0"/>
    <w:rsid w:val="00B50F67"/>
    <w:rsid w:val="00B55CB2"/>
    <w:rsid w:val="00B64234"/>
    <w:rsid w:val="00B67E6E"/>
    <w:rsid w:val="00B72F3E"/>
    <w:rsid w:val="00B7338B"/>
    <w:rsid w:val="00B74D15"/>
    <w:rsid w:val="00B74F5F"/>
    <w:rsid w:val="00B76F6B"/>
    <w:rsid w:val="00B81780"/>
    <w:rsid w:val="00B82CE9"/>
    <w:rsid w:val="00B839C5"/>
    <w:rsid w:val="00B83AE9"/>
    <w:rsid w:val="00B8743D"/>
    <w:rsid w:val="00B87FB4"/>
    <w:rsid w:val="00B91EA6"/>
    <w:rsid w:val="00B933A9"/>
    <w:rsid w:val="00B96DA1"/>
    <w:rsid w:val="00BA46D8"/>
    <w:rsid w:val="00BA653F"/>
    <w:rsid w:val="00BB0B80"/>
    <w:rsid w:val="00BB0FA8"/>
    <w:rsid w:val="00BB2F50"/>
    <w:rsid w:val="00BB5E67"/>
    <w:rsid w:val="00BB60D3"/>
    <w:rsid w:val="00BC656A"/>
    <w:rsid w:val="00BC6987"/>
    <w:rsid w:val="00BD059C"/>
    <w:rsid w:val="00BD08EB"/>
    <w:rsid w:val="00BD703D"/>
    <w:rsid w:val="00BD7E15"/>
    <w:rsid w:val="00BE0262"/>
    <w:rsid w:val="00BE1D8F"/>
    <w:rsid w:val="00BE2C8C"/>
    <w:rsid w:val="00BE7030"/>
    <w:rsid w:val="00BF1C25"/>
    <w:rsid w:val="00BF22DD"/>
    <w:rsid w:val="00BF2316"/>
    <w:rsid w:val="00BF3A89"/>
    <w:rsid w:val="00BF664B"/>
    <w:rsid w:val="00C07145"/>
    <w:rsid w:val="00C07C74"/>
    <w:rsid w:val="00C10614"/>
    <w:rsid w:val="00C10B90"/>
    <w:rsid w:val="00C1391D"/>
    <w:rsid w:val="00C13AD7"/>
    <w:rsid w:val="00C13C4B"/>
    <w:rsid w:val="00C17A45"/>
    <w:rsid w:val="00C17C1B"/>
    <w:rsid w:val="00C20658"/>
    <w:rsid w:val="00C21C4F"/>
    <w:rsid w:val="00C2258D"/>
    <w:rsid w:val="00C22E13"/>
    <w:rsid w:val="00C2412A"/>
    <w:rsid w:val="00C255F9"/>
    <w:rsid w:val="00C26BC8"/>
    <w:rsid w:val="00C26D07"/>
    <w:rsid w:val="00C31431"/>
    <w:rsid w:val="00C318EC"/>
    <w:rsid w:val="00C324F5"/>
    <w:rsid w:val="00C33416"/>
    <w:rsid w:val="00C3443E"/>
    <w:rsid w:val="00C34D95"/>
    <w:rsid w:val="00C35743"/>
    <w:rsid w:val="00C37CF0"/>
    <w:rsid w:val="00C4047E"/>
    <w:rsid w:val="00C40D76"/>
    <w:rsid w:val="00C4102E"/>
    <w:rsid w:val="00C4116E"/>
    <w:rsid w:val="00C4415F"/>
    <w:rsid w:val="00C467E6"/>
    <w:rsid w:val="00C46A00"/>
    <w:rsid w:val="00C46A33"/>
    <w:rsid w:val="00C5172F"/>
    <w:rsid w:val="00C51ADE"/>
    <w:rsid w:val="00C526DC"/>
    <w:rsid w:val="00C53F63"/>
    <w:rsid w:val="00C57ECE"/>
    <w:rsid w:val="00C627FD"/>
    <w:rsid w:val="00C6286C"/>
    <w:rsid w:val="00C641D7"/>
    <w:rsid w:val="00C64B3C"/>
    <w:rsid w:val="00C66E1D"/>
    <w:rsid w:val="00C71177"/>
    <w:rsid w:val="00C7139D"/>
    <w:rsid w:val="00C738B8"/>
    <w:rsid w:val="00C80859"/>
    <w:rsid w:val="00C81809"/>
    <w:rsid w:val="00C83750"/>
    <w:rsid w:val="00C85389"/>
    <w:rsid w:val="00C8564F"/>
    <w:rsid w:val="00C92F75"/>
    <w:rsid w:val="00C93635"/>
    <w:rsid w:val="00C957D2"/>
    <w:rsid w:val="00C9716F"/>
    <w:rsid w:val="00CA162B"/>
    <w:rsid w:val="00CA23CF"/>
    <w:rsid w:val="00CA4879"/>
    <w:rsid w:val="00CA6490"/>
    <w:rsid w:val="00CA776E"/>
    <w:rsid w:val="00CA7B52"/>
    <w:rsid w:val="00CB086E"/>
    <w:rsid w:val="00CB0BBF"/>
    <w:rsid w:val="00CB5332"/>
    <w:rsid w:val="00CC2E5C"/>
    <w:rsid w:val="00CC4097"/>
    <w:rsid w:val="00CD1C14"/>
    <w:rsid w:val="00CD76E4"/>
    <w:rsid w:val="00CD7704"/>
    <w:rsid w:val="00CE0458"/>
    <w:rsid w:val="00CE14AA"/>
    <w:rsid w:val="00CE22ED"/>
    <w:rsid w:val="00CE4544"/>
    <w:rsid w:val="00CF1294"/>
    <w:rsid w:val="00CF771D"/>
    <w:rsid w:val="00D00AC8"/>
    <w:rsid w:val="00D01DA5"/>
    <w:rsid w:val="00D03254"/>
    <w:rsid w:val="00D05489"/>
    <w:rsid w:val="00D054F0"/>
    <w:rsid w:val="00D056FA"/>
    <w:rsid w:val="00D05B8E"/>
    <w:rsid w:val="00D067E9"/>
    <w:rsid w:val="00D102EC"/>
    <w:rsid w:val="00D10C64"/>
    <w:rsid w:val="00D11DC3"/>
    <w:rsid w:val="00D15560"/>
    <w:rsid w:val="00D17FE4"/>
    <w:rsid w:val="00D21103"/>
    <w:rsid w:val="00D24649"/>
    <w:rsid w:val="00D274DE"/>
    <w:rsid w:val="00D33110"/>
    <w:rsid w:val="00D33B3D"/>
    <w:rsid w:val="00D33FEE"/>
    <w:rsid w:val="00D35B0E"/>
    <w:rsid w:val="00D37185"/>
    <w:rsid w:val="00D41326"/>
    <w:rsid w:val="00D437BF"/>
    <w:rsid w:val="00D460EA"/>
    <w:rsid w:val="00D5152B"/>
    <w:rsid w:val="00D51CF3"/>
    <w:rsid w:val="00D51E07"/>
    <w:rsid w:val="00D51E73"/>
    <w:rsid w:val="00D52C58"/>
    <w:rsid w:val="00D53181"/>
    <w:rsid w:val="00D55007"/>
    <w:rsid w:val="00D56C68"/>
    <w:rsid w:val="00D61B81"/>
    <w:rsid w:val="00D6241A"/>
    <w:rsid w:val="00D646FD"/>
    <w:rsid w:val="00D709C4"/>
    <w:rsid w:val="00D72961"/>
    <w:rsid w:val="00D74335"/>
    <w:rsid w:val="00D74FC4"/>
    <w:rsid w:val="00D76AE5"/>
    <w:rsid w:val="00D76BA2"/>
    <w:rsid w:val="00D76F2A"/>
    <w:rsid w:val="00D80030"/>
    <w:rsid w:val="00D8020B"/>
    <w:rsid w:val="00D81470"/>
    <w:rsid w:val="00D84421"/>
    <w:rsid w:val="00D86386"/>
    <w:rsid w:val="00D92E28"/>
    <w:rsid w:val="00D931AF"/>
    <w:rsid w:val="00D95D0D"/>
    <w:rsid w:val="00D96C1F"/>
    <w:rsid w:val="00D97A32"/>
    <w:rsid w:val="00DA448C"/>
    <w:rsid w:val="00DC0A10"/>
    <w:rsid w:val="00DC0EDF"/>
    <w:rsid w:val="00DC2421"/>
    <w:rsid w:val="00DC26EC"/>
    <w:rsid w:val="00DC553C"/>
    <w:rsid w:val="00DC7280"/>
    <w:rsid w:val="00DD1B6C"/>
    <w:rsid w:val="00DD2998"/>
    <w:rsid w:val="00DD4168"/>
    <w:rsid w:val="00DD5B86"/>
    <w:rsid w:val="00DD72BD"/>
    <w:rsid w:val="00DD7883"/>
    <w:rsid w:val="00DE04E3"/>
    <w:rsid w:val="00DE4ED7"/>
    <w:rsid w:val="00DE62F6"/>
    <w:rsid w:val="00DF0021"/>
    <w:rsid w:val="00DF02B6"/>
    <w:rsid w:val="00DF27C8"/>
    <w:rsid w:val="00DF5280"/>
    <w:rsid w:val="00DF5AE3"/>
    <w:rsid w:val="00DF625C"/>
    <w:rsid w:val="00DF7DB6"/>
    <w:rsid w:val="00E02AB9"/>
    <w:rsid w:val="00E02BF6"/>
    <w:rsid w:val="00E033AD"/>
    <w:rsid w:val="00E03E86"/>
    <w:rsid w:val="00E05AE3"/>
    <w:rsid w:val="00E10E9F"/>
    <w:rsid w:val="00E12C49"/>
    <w:rsid w:val="00E151A3"/>
    <w:rsid w:val="00E15E88"/>
    <w:rsid w:val="00E15F41"/>
    <w:rsid w:val="00E1631A"/>
    <w:rsid w:val="00E16C4D"/>
    <w:rsid w:val="00E2139C"/>
    <w:rsid w:val="00E26982"/>
    <w:rsid w:val="00E32A3F"/>
    <w:rsid w:val="00E32D23"/>
    <w:rsid w:val="00E33042"/>
    <w:rsid w:val="00E3344D"/>
    <w:rsid w:val="00E3466D"/>
    <w:rsid w:val="00E355F8"/>
    <w:rsid w:val="00E37B94"/>
    <w:rsid w:val="00E40CA2"/>
    <w:rsid w:val="00E465A9"/>
    <w:rsid w:val="00E50D1A"/>
    <w:rsid w:val="00E5290A"/>
    <w:rsid w:val="00E54B68"/>
    <w:rsid w:val="00E60FC4"/>
    <w:rsid w:val="00E6383A"/>
    <w:rsid w:val="00E63933"/>
    <w:rsid w:val="00E64180"/>
    <w:rsid w:val="00E6776E"/>
    <w:rsid w:val="00E7199B"/>
    <w:rsid w:val="00E7275E"/>
    <w:rsid w:val="00E74F47"/>
    <w:rsid w:val="00E74FA8"/>
    <w:rsid w:val="00E76E63"/>
    <w:rsid w:val="00E7746A"/>
    <w:rsid w:val="00E811BE"/>
    <w:rsid w:val="00E82694"/>
    <w:rsid w:val="00E83BD8"/>
    <w:rsid w:val="00E83C56"/>
    <w:rsid w:val="00E84256"/>
    <w:rsid w:val="00E851E6"/>
    <w:rsid w:val="00E8737C"/>
    <w:rsid w:val="00E91A9E"/>
    <w:rsid w:val="00E940D7"/>
    <w:rsid w:val="00E96775"/>
    <w:rsid w:val="00E97E79"/>
    <w:rsid w:val="00EA07DB"/>
    <w:rsid w:val="00EA0EA4"/>
    <w:rsid w:val="00EA0FB4"/>
    <w:rsid w:val="00EA1FA3"/>
    <w:rsid w:val="00EA1FE6"/>
    <w:rsid w:val="00EA2548"/>
    <w:rsid w:val="00EA4066"/>
    <w:rsid w:val="00EA5828"/>
    <w:rsid w:val="00EA74BF"/>
    <w:rsid w:val="00EB259A"/>
    <w:rsid w:val="00EB3433"/>
    <w:rsid w:val="00EB4733"/>
    <w:rsid w:val="00EB5211"/>
    <w:rsid w:val="00EB6445"/>
    <w:rsid w:val="00EB7E3E"/>
    <w:rsid w:val="00EC0A48"/>
    <w:rsid w:val="00EC0A93"/>
    <w:rsid w:val="00EC3FF6"/>
    <w:rsid w:val="00EC4641"/>
    <w:rsid w:val="00ED04AC"/>
    <w:rsid w:val="00ED0709"/>
    <w:rsid w:val="00ED0761"/>
    <w:rsid w:val="00ED18FA"/>
    <w:rsid w:val="00ED3BDD"/>
    <w:rsid w:val="00ED426F"/>
    <w:rsid w:val="00ED53B1"/>
    <w:rsid w:val="00ED6006"/>
    <w:rsid w:val="00ED69C9"/>
    <w:rsid w:val="00EE20D8"/>
    <w:rsid w:val="00EE6018"/>
    <w:rsid w:val="00EE7D12"/>
    <w:rsid w:val="00EF2CD3"/>
    <w:rsid w:val="00EF3283"/>
    <w:rsid w:val="00EF3376"/>
    <w:rsid w:val="00EF7535"/>
    <w:rsid w:val="00F00F6D"/>
    <w:rsid w:val="00F02E8E"/>
    <w:rsid w:val="00F04464"/>
    <w:rsid w:val="00F04C4F"/>
    <w:rsid w:val="00F0604F"/>
    <w:rsid w:val="00F07094"/>
    <w:rsid w:val="00F10718"/>
    <w:rsid w:val="00F113B0"/>
    <w:rsid w:val="00F12660"/>
    <w:rsid w:val="00F12AAC"/>
    <w:rsid w:val="00F206E6"/>
    <w:rsid w:val="00F22A3D"/>
    <w:rsid w:val="00F23B6C"/>
    <w:rsid w:val="00F25ABF"/>
    <w:rsid w:val="00F309BA"/>
    <w:rsid w:val="00F31958"/>
    <w:rsid w:val="00F31F1F"/>
    <w:rsid w:val="00F4420D"/>
    <w:rsid w:val="00F46D7D"/>
    <w:rsid w:val="00F5133B"/>
    <w:rsid w:val="00F552D1"/>
    <w:rsid w:val="00F558ED"/>
    <w:rsid w:val="00F55DEB"/>
    <w:rsid w:val="00F6214D"/>
    <w:rsid w:val="00F62632"/>
    <w:rsid w:val="00F66B25"/>
    <w:rsid w:val="00F675CE"/>
    <w:rsid w:val="00F702F4"/>
    <w:rsid w:val="00F7255A"/>
    <w:rsid w:val="00F73546"/>
    <w:rsid w:val="00F73635"/>
    <w:rsid w:val="00F808FE"/>
    <w:rsid w:val="00F83AB8"/>
    <w:rsid w:val="00F83F94"/>
    <w:rsid w:val="00F95BAA"/>
    <w:rsid w:val="00F975E6"/>
    <w:rsid w:val="00FA18C3"/>
    <w:rsid w:val="00FA4AE7"/>
    <w:rsid w:val="00FB112D"/>
    <w:rsid w:val="00FB1163"/>
    <w:rsid w:val="00FB4D15"/>
    <w:rsid w:val="00FB51BA"/>
    <w:rsid w:val="00FC34BC"/>
    <w:rsid w:val="00FC362B"/>
    <w:rsid w:val="00FC41C8"/>
    <w:rsid w:val="00FC79C2"/>
    <w:rsid w:val="00FD1E6E"/>
    <w:rsid w:val="00FD20AD"/>
    <w:rsid w:val="00FD32D6"/>
    <w:rsid w:val="00FD4014"/>
    <w:rsid w:val="00FD61B4"/>
    <w:rsid w:val="00FE0C34"/>
    <w:rsid w:val="00FE18A1"/>
    <w:rsid w:val="00FE2C22"/>
    <w:rsid w:val="00FE79C0"/>
    <w:rsid w:val="00FE7FE2"/>
    <w:rsid w:val="00FF5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62B1F8FB"/>
  <w14:defaultImageDpi w14:val="300"/>
  <w15:docId w15:val="{4A9673EC-D06A-49FE-92B1-ECC39477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aliases w:val="h1,EOI - Heading 1 (Low),Heading 1 (low),Para1,h11,h12,ChapterHeadingNumber,Top 1,ParaLevel1,Level 1 Para,Level 1 Para1,Level 1 Para2,Level 1 Para3,Level 1 Para4,Level 1 Para11,Level 1 Para21,Level 1 Para31,Level 1 Para5,Level 1 Para12,L1,1,RF"/>
    <w:basedOn w:val="Normal"/>
    <w:next w:val="Normal"/>
    <w:link w:val="Heading1Char"/>
    <w:qFormat/>
    <w:rsid w:val="00260847"/>
    <w:pPr>
      <w:keepNext/>
      <w:keepLines/>
      <w:spacing w:before="240" w:after="240"/>
      <w:outlineLvl w:val="0"/>
    </w:pPr>
    <w:rPr>
      <w:rFonts w:ascii="Arial" w:eastAsiaTheme="majorEastAsia" w:hAnsi="Arial" w:cstheme="majorBidi"/>
      <w:color w:val="004270"/>
      <w:sz w:val="48"/>
      <w:szCs w:val="32"/>
    </w:rPr>
  </w:style>
  <w:style w:type="paragraph" w:styleId="Heading2">
    <w:name w:val="heading 2"/>
    <w:aliases w:val="Para2,h2,BT-Legal Numbering,Head hdbk,Top 2,H2,h2 main heading,B Sub/Bold,B Sub/Bold1,B Sub/Bold2,B Sub/Bold11,h2 main heading1,h2 main heading2,B Sub/Bold3,B Sub/Bold12,h2 main heading3,B Sub/Bold4,B Sub/Bold13,SubPara,Para 2,2,new heading tw"/>
    <w:basedOn w:val="Normal"/>
    <w:next w:val="Normal"/>
    <w:link w:val="Heading2Char"/>
    <w:unhideWhenUsed/>
    <w:qFormat/>
    <w:rsid w:val="00260847"/>
    <w:pPr>
      <w:keepNext/>
      <w:keepLines/>
      <w:spacing w:before="240" w:after="120"/>
      <w:outlineLvl w:val="1"/>
    </w:pPr>
    <w:rPr>
      <w:rFonts w:ascii="Arial" w:eastAsiaTheme="majorEastAsia" w:hAnsi="Arial" w:cstheme="majorBidi"/>
      <w:color w:val="004270"/>
      <w:sz w:val="32"/>
    </w:rPr>
  </w:style>
  <w:style w:type="paragraph" w:styleId="Heading3">
    <w:name w:val="heading 3"/>
    <w:aliases w:val="Normal + num,Level 1 - 2,h3,EOI - Heading 3,h3 sub heading,Para3,Paragraph (heading 3),BTL Numbered,L3,3,Level 1 - 1,Report Heading 3,d,Tempo Heading 3,H3,C Sub-Sub/Italic,Head 3,Head 31,Head 32,C Sub-Sub/Italic1,Sub2Para,BOD 1,BOD 0,h31,h32,H"/>
    <w:basedOn w:val="Normal"/>
    <w:next w:val="Normal"/>
    <w:link w:val="Heading3Char"/>
    <w:unhideWhenUsed/>
    <w:qFormat/>
    <w:rsid w:val="00260847"/>
    <w:pPr>
      <w:keepNext/>
      <w:keepLines/>
      <w:spacing w:before="240" w:after="120"/>
      <w:outlineLvl w:val="2"/>
    </w:pPr>
    <w:rPr>
      <w:rFonts w:ascii="Arial" w:eastAsiaTheme="majorEastAsia" w:hAnsi="Arial" w:cstheme="majorBidi"/>
      <w:color w:val="004270"/>
    </w:rPr>
  </w:style>
  <w:style w:type="paragraph" w:styleId="Heading4">
    <w:name w:val="heading 4"/>
    <w:aliases w:val="h4,L4,Level 2 - a,sd,Standard H3,h41,Titre 4,1.1.1.1,bullet,bl,bb,h4 sub sub heading,Level 2 - (a),4,Org Heading 2,Sub3Para,proj4,proj41,proj42,proj43,proj44,proj45,proj46,proj47,proj48,proj49,proj410,proj411,proj412,proj421,proj431,proj441,41"/>
    <w:basedOn w:val="Heading3"/>
    <w:next w:val="BodyText"/>
    <w:link w:val="Heading4Char"/>
    <w:qFormat/>
    <w:rsid w:val="00E02AB9"/>
    <w:pPr>
      <w:keepLines w:val="0"/>
      <w:spacing w:before="400" w:after="0" w:line="260" w:lineRule="atLeast"/>
      <w:outlineLvl w:val="3"/>
    </w:pPr>
    <w:rPr>
      <w:rFonts w:ascii="Calisto MT" w:eastAsia="Times New Roman" w:hAnsi="Calisto MT" w:cs="Times New Roman"/>
      <w:b/>
      <w:i/>
      <w:color w:val="1F497D" w:themeColor="text2"/>
      <w:kern w:val="28"/>
      <w:sz w:val="21"/>
      <w:szCs w:val="22"/>
      <w:lang w:eastAsia="en-AU"/>
    </w:rPr>
  </w:style>
  <w:style w:type="paragraph" w:styleId="Heading5">
    <w:name w:val="heading 5"/>
    <w:aliases w:val="h5,L5,Level 3 - i,L51,Para5,i.,H1,subsubpara,1.1.1.1.1,H11,3rd sub-clause,h51,h52,5,H111,VS5,remove 5,-25.,DO NOT USE 5,Further Points,Further Points1,Further Points2,Further Points3,Further Points4,Further Points5,Further Points6,Appendix"/>
    <w:basedOn w:val="Heading4"/>
    <w:next w:val="BodyText"/>
    <w:link w:val="Heading5Char"/>
    <w:qFormat/>
    <w:rsid w:val="00E02AB9"/>
    <w:pPr>
      <w:outlineLvl w:val="4"/>
    </w:pPr>
    <w:rPr>
      <w:rFonts w:asciiTheme="minorHAnsi" w:hAnsiTheme="minorHAnsi"/>
      <w:b w:val="0"/>
    </w:rPr>
  </w:style>
  <w:style w:type="paragraph" w:styleId="Heading6">
    <w:name w:val="heading 6"/>
    <w:aliases w:val="Square Bullet list,Sub5Para,L1 PIP,a,b,H6,Heading 6(unused),Heading 6(unused)1,VS6,Main,DO NOT USE 6,Points in Text,Points in Text1,Points in Text2,Points in Text3,Points in Text4,Points in Text5,Points in Text6,Points in Text7,not Kinhill,I"/>
    <w:basedOn w:val="Heading1"/>
    <w:next w:val="BodyText"/>
    <w:link w:val="Heading6Char"/>
    <w:qFormat/>
    <w:rsid w:val="00E02AB9"/>
    <w:pPr>
      <w:keepLines w:val="0"/>
      <w:pageBreakBefore/>
      <w:tabs>
        <w:tab w:val="num" w:pos="567"/>
      </w:tabs>
      <w:spacing w:before="0" w:after="1560" w:line="440" w:lineRule="atLeast"/>
      <w:ind w:left="567" w:hanging="567"/>
      <w:outlineLvl w:val="5"/>
    </w:pPr>
    <w:rPr>
      <w:rFonts w:asciiTheme="majorHAnsi" w:eastAsia="Times New Roman" w:hAnsiTheme="majorHAnsi" w:cs="Times New Roman"/>
      <w:bCs/>
      <w:i/>
      <w:color w:val="auto"/>
      <w:kern w:val="28"/>
      <w:sz w:val="36"/>
      <w:lang w:eastAsia="en-AU"/>
    </w:rPr>
  </w:style>
  <w:style w:type="paragraph" w:styleId="Heading7">
    <w:name w:val="heading 7"/>
    <w:aliases w:val="Indented hyphen,L2 PIP,H7,Heading 7(unused),Heading 7(unused)1,DO NOT USE 7,Legal Level 1.1.,not Kinhill1"/>
    <w:basedOn w:val="Heading2"/>
    <w:next w:val="BodyText"/>
    <w:link w:val="Heading7Char"/>
    <w:qFormat/>
    <w:rsid w:val="00E02AB9"/>
    <w:pPr>
      <w:keepLines w:val="0"/>
      <w:spacing w:before="560" w:after="0" w:line="340" w:lineRule="atLeast"/>
      <w:outlineLvl w:val="6"/>
    </w:pPr>
    <w:rPr>
      <w:rFonts w:ascii="Calisto MT" w:eastAsia="Times New Roman" w:hAnsi="Calisto MT" w:cs="Times New Roman"/>
      <w:b/>
      <w:i/>
      <w:color w:val="C0504D" w:themeColor="accent2"/>
      <w:kern w:val="28"/>
      <w:sz w:val="30"/>
      <w:szCs w:val="26"/>
      <w:lang w:eastAsia="en-AU"/>
    </w:rPr>
  </w:style>
  <w:style w:type="paragraph" w:styleId="Heading8">
    <w:name w:val="heading 8"/>
    <w:aliases w:val="L3 PIP,H8,Heading 8(unused),Heading 8(unused)1,DO NOT USE,DO NOT USE 8,Legal Level 1.1.1."/>
    <w:basedOn w:val="Heading3"/>
    <w:next w:val="BodyText"/>
    <w:link w:val="Heading8Char"/>
    <w:qFormat/>
    <w:rsid w:val="00E02AB9"/>
    <w:pPr>
      <w:keepLines w:val="0"/>
      <w:spacing w:before="440" w:after="0" w:line="280" w:lineRule="atLeast"/>
      <w:outlineLvl w:val="7"/>
    </w:pPr>
    <w:rPr>
      <w:rFonts w:ascii="Calisto MT" w:eastAsia="Times New Roman" w:hAnsi="Calisto MT" w:cs="Times New Roman"/>
      <w:b/>
      <w:i/>
      <w:color w:val="auto"/>
      <w:kern w:val="28"/>
      <w:sz w:val="25"/>
      <w:szCs w:val="22"/>
      <w:lang w:eastAsia="en-AU"/>
    </w:rPr>
  </w:style>
  <w:style w:type="paragraph" w:styleId="Heading9">
    <w:name w:val="heading 9"/>
    <w:aliases w:val="Spare5,H9,Heading 9(unused),Heading 9(unused)1,DO NOT USE 9,Legal Level 1.1.1.1."/>
    <w:basedOn w:val="Heading4"/>
    <w:next w:val="BodyText"/>
    <w:link w:val="Heading9Char"/>
    <w:qFormat/>
    <w:rsid w:val="00E02AB9"/>
    <w:pPr>
      <w:outlineLvl w:val="8"/>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5_G"/>
    <w:basedOn w:val="Normal"/>
    <w:link w:val="FootnoteTextChar"/>
    <w:unhideWhenUsed/>
    <w:rsid w:val="00C33416"/>
    <w:rPr>
      <w:rFonts w:ascii="Arial" w:hAnsi="Arial"/>
      <w:sz w:val="20"/>
    </w:rPr>
  </w:style>
  <w:style w:type="character" w:customStyle="1" w:styleId="FootnoteTextChar">
    <w:name w:val="Footnote Text Char"/>
    <w:aliases w:val="5_G Char"/>
    <w:basedOn w:val="DefaultParagraphFont"/>
    <w:link w:val="FootnoteText"/>
    <w:rsid w:val="00C33416"/>
    <w:rPr>
      <w:rFonts w:ascii="Arial" w:hAnsi="Arial"/>
      <w:sz w:val="20"/>
    </w:rPr>
  </w:style>
  <w:style w:type="character" w:styleId="FootnoteReference">
    <w:name w:val="footnote reference"/>
    <w:aliases w:val="4_G"/>
    <w:basedOn w:val="DefaultParagraphFont"/>
    <w:unhideWhenUsed/>
    <w:rsid w:val="0034134D"/>
    <w:rPr>
      <w:vertAlign w:val="superscript"/>
    </w:rPr>
  </w:style>
  <w:style w:type="character" w:customStyle="1" w:styleId="Heading1Char">
    <w:name w:val="Heading 1 Char"/>
    <w:aliases w:val="h1 Char,EOI - Heading 1 (Low) Char,Heading 1 (low) Char,Para1 Char,h11 Char,h12 Char,ChapterHeadingNumber Char,Top 1 Char,ParaLevel1 Char,Level 1 Para Char,Level 1 Para1 Char,Level 1 Para2 Char,Level 1 Para3 Char,Level 1 Para4 Char,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aliases w:val="Para2 Char,h2 Char,BT-Legal Numbering Char,Head hdbk Char,Top 2 Char,H2 Char,h2 main heading Char,B Sub/Bold Char,B Sub/Bold1 Char,B Sub/Bold2 Char,B Sub/Bold11 Char,h2 main heading1 Char,h2 main heading2 Char,B Sub/Bold3 Char,Para 2 Char"/>
    <w:basedOn w:val="DefaultParagraphFont"/>
    <w:link w:val="Heading2"/>
    <w:uiPriority w:val="9"/>
    <w:rsid w:val="00260847"/>
    <w:rPr>
      <w:rFonts w:ascii="Arial" w:eastAsiaTheme="majorEastAsia" w:hAnsi="Arial" w:cstheme="majorBidi"/>
      <w:color w:val="004270"/>
      <w:sz w:val="32"/>
      <w:lang w:val="en-AU"/>
    </w:rPr>
  </w:style>
  <w:style w:type="paragraph" w:styleId="TOC2">
    <w:name w:val="toc 2"/>
    <w:basedOn w:val="Normal"/>
    <w:next w:val="Normal"/>
    <w:autoRedefine/>
    <w:uiPriority w:val="39"/>
    <w:unhideWhenUsed/>
    <w:rsid w:val="00D05B8E"/>
    <w:pPr>
      <w:tabs>
        <w:tab w:val="right" w:leader="dot" w:pos="8296"/>
      </w:tabs>
      <w:spacing w:before="120" w:after="120"/>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aliases w:val="Normal + num Char,Level 1 - 2 Char,h3 Char,EOI - Heading 3 Char,h3 sub heading Char,Para3 Char,Paragraph (heading 3) Char,BTL Numbered Char,L3 Char,3 Char,Level 1 - 1 Char,Report Heading 3 Char,d Char,Tempo Heading 3 Char,H3 Char,h31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D05B8E"/>
    <w:pPr>
      <w:tabs>
        <w:tab w:val="right" w:leader="dot" w:pos="8296"/>
      </w:tabs>
      <w:spacing w:after="100"/>
      <w:ind w:left="284"/>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ascii="Arial" w:hAnsi="Arial" w:cs="Arial"/>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16"/>
      </w:numPr>
      <w:spacing w:after="240"/>
    </w:pPr>
    <w:rPr>
      <w:rFonts w:ascii="Arial" w:hAnsi="Arial" w:cs="Arial"/>
    </w:rPr>
  </w:style>
  <w:style w:type="character" w:customStyle="1" w:styleId="CaseStudyChar">
    <w:name w:val="CaseStudy Char"/>
    <w:basedOn w:val="DefaultParagraphFont"/>
    <w:link w:val="CaseStudy"/>
    <w:locked/>
    <w:rsid w:val="00D76AE5"/>
    <w:rPr>
      <w:rFonts w:ascii="Arial" w:hAnsi="Arial" w:cs="Arial"/>
    </w:rPr>
  </w:style>
  <w:style w:type="paragraph" w:customStyle="1" w:styleId="CaseStudy">
    <w:name w:val="CaseStudy"/>
    <w:basedOn w:val="Normal"/>
    <w:link w:val="CaseStudyChar"/>
    <w:rsid w:val="00D76AE5"/>
    <w:pPr>
      <w:spacing w:before="240" w:after="240" w:line="276" w:lineRule="auto"/>
      <w:ind w:left="851" w:right="1134"/>
    </w:pPr>
    <w:rPr>
      <w:rFonts w:ascii="Arial" w:hAnsi="Arial" w:cs="Arial"/>
      <w:lang w:val="en-US"/>
    </w:rPr>
  </w:style>
  <w:style w:type="character" w:customStyle="1" w:styleId="highlight">
    <w:name w:val="highlight"/>
    <w:basedOn w:val="DefaultParagraphFont"/>
    <w:rsid w:val="00195F6C"/>
  </w:style>
  <w:style w:type="paragraph" w:styleId="NormalWeb">
    <w:name w:val="Normal (Web)"/>
    <w:basedOn w:val="Normal"/>
    <w:uiPriority w:val="99"/>
    <w:semiHidden/>
    <w:unhideWhenUsed/>
    <w:rsid w:val="00F04C4F"/>
    <w:pPr>
      <w:spacing w:before="100" w:beforeAutospacing="1" w:after="100" w:afterAutospacing="1"/>
    </w:pPr>
    <w:rPr>
      <w:rFonts w:ascii="Times New Roman" w:eastAsia="Times New Roman" w:hAnsi="Times New Roman" w:cs="Times New Roman"/>
      <w:lang w:eastAsia="en-AU"/>
    </w:rPr>
  </w:style>
  <w:style w:type="character" w:customStyle="1" w:styleId="Heading4Char">
    <w:name w:val="Heading 4 Char"/>
    <w:aliases w:val="h4 Char,L4 Char,Level 2 - a Char,sd Char,Standard H3 Char,h41 Char,Titre 4 Char,1.1.1.1 Char,bullet Char,bl Char,bb Char,h4 sub sub heading Char,Level 2 - (a) Char,4 Char,Org Heading 2 Char,Sub3Para Char,proj4 Char,proj41 Char,proj42 Char"/>
    <w:basedOn w:val="DefaultParagraphFont"/>
    <w:link w:val="Heading4"/>
    <w:rsid w:val="00E02AB9"/>
    <w:rPr>
      <w:rFonts w:ascii="Calisto MT" w:eastAsia="Times New Roman" w:hAnsi="Calisto MT" w:cs="Times New Roman"/>
      <w:b/>
      <w:i/>
      <w:color w:val="1F497D" w:themeColor="text2"/>
      <w:kern w:val="28"/>
      <w:sz w:val="21"/>
      <w:szCs w:val="22"/>
      <w:lang w:val="en-AU" w:eastAsia="en-AU"/>
    </w:rPr>
  </w:style>
  <w:style w:type="character" w:customStyle="1" w:styleId="Heading5Char">
    <w:name w:val="Heading 5 Char"/>
    <w:aliases w:val="h5 Char,L5 Char,Level 3 - i Char,L51 Char,Para5 Char,i. Char,H1 Char,subsubpara Char,1.1.1.1.1 Char,H11 Char,3rd sub-clause Char,h51 Char,h52 Char,5 Char,H111 Char,VS5 Char,remove 5 Char,-25. Char,DO NOT USE 5 Char,Further Points Char"/>
    <w:basedOn w:val="DefaultParagraphFont"/>
    <w:link w:val="Heading5"/>
    <w:rsid w:val="00E02AB9"/>
    <w:rPr>
      <w:rFonts w:eastAsia="Times New Roman" w:cs="Times New Roman"/>
      <w:i/>
      <w:color w:val="1F497D" w:themeColor="text2"/>
      <w:kern w:val="28"/>
      <w:sz w:val="21"/>
      <w:szCs w:val="22"/>
      <w:lang w:val="en-AU" w:eastAsia="en-AU"/>
    </w:rPr>
  </w:style>
  <w:style w:type="character" w:customStyle="1" w:styleId="Heading6Char">
    <w:name w:val="Heading 6 Char"/>
    <w:aliases w:val="Square Bullet list Char,Sub5Para Char,L1 PIP Char,a Char,b Char,H6 Char,Heading 6(unused) Char,Heading 6(unused)1 Char,VS6 Char,Main Char,DO NOT USE 6 Char,Points in Text Char,Points in Text1 Char,Points in Text2 Char,Points in Text3 Char"/>
    <w:basedOn w:val="DefaultParagraphFont"/>
    <w:link w:val="Heading6"/>
    <w:rsid w:val="00E02AB9"/>
    <w:rPr>
      <w:rFonts w:asciiTheme="majorHAnsi" w:eastAsia="Times New Roman" w:hAnsiTheme="majorHAnsi" w:cs="Times New Roman"/>
      <w:bCs/>
      <w:i/>
      <w:kern w:val="28"/>
      <w:sz w:val="36"/>
      <w:szCs w:val="32"/>
      <w:lang w:val="en-AU" w:eastAsia="en-AU"/>
    </w:rPr>
  </w:style>
  <w:style w:type="character" w:customStyle="1" w:styleId="Heading7Char">
    <w:name w:val="Heading 7 Char"/>
    <w:aliases w:val="Indented hyphen Char,L2 PIP Char,H7 Char,Heading 7(unused) Char,Heading 7(unused)1 Char,DO NOT USE 7 Char,Legal Level 1.1. Char,not Kinhill1 Char"/>
    <w:basedOn w:val="DefaultParagraphFont"/>
    <w:link w:val="Heading7"/>
    <w:rsid w:val="00E02AB9"/>
    <w:rPr>
      <w:rFonts w:ascii="Calisto MT" w:eastAsia="Times New Roman" w:hAnsi="Calisto MT" w:cs="Times New Roman"/>
      <w:b/>
      <w:i/>
      <w:color w:val="C0504D" w:themeColor="accent2"/>
      <w:kern w:val="28"/>
      <w:sz w:val="30"/>
      <w:szCs w:val="26"/>
      <w:lang w:val="en-AU" w:eastAsia="en-AU"/>
    </w:rPr>
  </w:style>
  <w:style w:type="character" w:customStyle="1" w:styleId="Heading8Char">
    <w:name w:val="Heading 8 Char"/>
    <w:aliases w:val="L3 PIP Char,H8 Char,Heading 8(unused) Char,Heading 8(unused)1 Char,DO NOT USE Char,DO NOT USE 8 Char,Legal Level 1.1.1. Char"/>
    <w:basedOn w:val="DefaultParagraphFont"/>
    <w:link w:val="Heading8"/>
    <w:rsid w:val="00E02AB9"/>
    <w:rPr>
      <w:rFonts w:ascii="Calisto MT" w:eastAsia="Times New Roman" w:hAnsi="Calisto MT" w:cs="Times New Roman"/>
      <w:b/>
      <w:i/>
      <w:kern w:val="28"/>
      <w:sz w:val="25"/>
      <w:szCs w:val="22"/>
      <w:lang w:val="en-AU" w:eastAsia="en-AU"/>
    </w:rPr>
  </w:style>
  <w:style w:type="character" w:customStyle="1" w:styleId="Heading9Char">
    <w:name w:val="Heading 9 Char"/>
    <w:aliases w:val="Spare5 Char,H9 Char,Heading 9(unused) Char,Heading 9(unused)1 Char,DO NOT USE 9 Char,Legal Level 1.1.1.1. Char"/>
    <w:basedOn w:val="DefaultParagraphFont"/>
    <w:link w:val="Heading9"/>
    <w:rsid w:val="00E02AB9"/>
    <w:rPr>
      <w:rFonts w:ascii="Calisto MT" w:eastAsia="Times New Roman" w:hAnsi="Calisto MT" w:cs="Times New Roman"/>
      <w:b/>
      <w:i/>
      <w:kern w:val="28"/>
      <w:sz w:val="21"/>
      <w:szCs w:val="22"/>
      <w:lang w:val="en-AU" w:eastAsia="en-AU"/>
    </w:rPr>
  </w:style>
  <w:style w:type="numbering" w:customStyle="1" w:styleId="HeadingNumbers">
    <w:name w:val="HeadingNumbers"/>
    <w:uiPriority w:val="99"/>
    <w:rsid w:val="00E02AB9"/>
    <w:pPr>
      <w:numPr>
        <w:numId w:val="35"/>
      </w:numPr>
    </w:pPr>
  </w:style>
  <w:style w:type="paragraph" w:customStyle="1" w:styleId="KeyPoint">
    <w:name w:val="Key Point"/>
    <w:basedOn w:val="BodyText"/>
    <w:uiPriority w:val="1"/>
    <w:rsid w:val="00E02AB9"/>
    <w:pPr>
      <w:numPr>
        <w:numId w:val="36"/>
      </w:numPr>
      <w:tabs>
        <w:tab w:val="clear" w:pos="284"/>
      </w:tabs>
      <w:spacing w:before="140" w:after="0" w:line="280" w:lineRule="atLeast"/>
      <w:ind w:left="1080" w:hanging="360"/>
    </w:pPr>
    <w:rPr>
      <w:rFonts w:ascii="Franklin Gothic Demi" w:eastAsia="Times New Roman" w:hAnsi="Franklin Gothic Demi" w:cs="Times New Roman"/>
      <w:color w:val="1F497D" w:themeColor="text2"/>
      <w:sz w:val="21"/>
      <w:szCs w:val="20"/>
    </w:rPr>
  </w:style>
  <w:style w:type="paragraph" w:customStyle="1" w:styleId="KeyPoint2">
    <w:name w:val="Key Point 2"/>
    <w:basedOn w:val="KeyPoint"/>
    <w:next w:val="BodyText"/>
    <w:uiPriority w:val="1"/>
    <w:rsid w:val="00E02AB9"/>
    <w:pPr>
      <w:numPr>
        <w:ilvl w:val="1"/>
      </w:numPr>
      <w:tabs>
        <w:tab w:val="clear" w:pos="567"/>
      </w:tabs>
      <w:spacing w:before="80"/>
      <w:ind w:left="1800" w:hanging="360"/>
    </w:pPr>
  </w:style>
  <w:style w:type="paragraph" w:customStyle="1" w:styleId="KeyPoint3">
    <w:name w:val="Key Point 3"/>
    <w:basedOn w:val="KeyPoint2"/>
    <w:next w:val="BodyText"/>
    <w:uiPriority w:val="1"/>
    <w:rsid w:val="00E02AB9"/>
    <w:pPr>
      <w:numPr>
        <w:ilvl w:val="2"/>
      </w:numPr>
      <w:tabs>
        <w:tab w:val="clear" w:pos="992"/>
      </w:tabs>
      <w:spacing w:before="60"/>
      <w:ind w:left="2520" w:hanging="180"/>
    </w:pPr>
  </w:style>
  <w:style w:type="numbering" w:customStyle="1" w:styleId="KeyPointBullets">
    <w:name w:val="KeyPointBullets"/>
    <w:basedOn w:val="NoList"/>
    <w:uiPriority w:val="99"/>
    <w:rsid w:val="00E02AB9"/>
    <w:pPr>
      <w:numPr>
        <w:numId w:val="36"/>
      </w:numPr>
    </w:pPr>
  </w:style>
  <w:style w:type="paragraph" w:styleId="BodyText">
    <w:name w:val="Body Text"/>
    <w:basedOn w:val="Normal"/>
    <w:link w:val="BodyTextChar"/>
    <w:uiPriority w:val="99"/>
    <w:semiHidden/>
    <w:unhideWhenUsed/>
    <w:rsid w:val="00E02AB9"/>
    <w:pPr>
      <w:spacing w:after="120"/>
    </w:pPr>
  </w:style>
  <w:style w:type="character" w:customStyle="1" w:styleId="BodyTextChar">
    <w:name w:val="Body Text Char"/>
    <w:basedOn w:val="DefaultParagraphFont"/>
    <w:link w:val="BodyText"/>
    <w:uiPriority w:val="99"/>
    <w:semiHidden/>
    <w:rsid w:val="00E02AB9"/>
    <w:rPr>
      <w:lang w:val="en-AU"/>
    </w:rPr>
  </w:style>
  <w:style w:type="paragraph" w:styleId="Revision">
    <w:name w:val="Revision"/>
    <w:hidden/>
    <w:uiPriority w:val="99"/>
    <w:semiHidden/>
    <w:rsid w:val="00E83C56"/>
    <w:rPr>
      <w:lang w:val="en-AU"/>
    </w:rPr>
  </w:style>
  <w:style w:type="character" w:styleId="FollowedHyperlink">
    <w:name w:val="FollowedHyperlink"/>
    <w:basedOn w:val="DefaultParagraphFont"/>
    <w:uiPriority w:val="99"/>
    <w:semiHidden/>
    <w:unhideWhenUsed/>
    <w:rsid w:val="003813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463959">
      <w:bodyDiv w:val="1"/>
      <w:marLeft w:val="0"/>
      <w:marRight w:val="0"/>
      <w:marTop w:val="0"/>
      <w:marBottom w:val="0"/>
      <w:divBdr>
        <w:top w:val="none" w:sz="0" w:space="0" w:color="auto"/>
        <w:left w:val="none" w:sz="0" w:space="0" w:color="auto"/>
        <w:bottom w:val="none" w:sz="0" w:space="0" w:color="auto"/>
        <w:right w:val="none" w:sz="0" w:space="0" w:color="auto"/>
      </w:divBdr>
    </w:div>
    <w:div w:id="449981143">
      <w:bodyDiv w:val="1"/>
      <w:marLeft w:val="0"/>
      <w:marRight w:val="0"/>
      <w:marTop w:val="0"/>
      <w:marBottom w:val="0"/>
      <w:divBdr>
        <w:top w:val="none" w:sz="0" w:space="0" w:color="auto"/>
        <w:left w:val="none" w:sz="0" w:space="0" w:color="auto"/>
        <w:bottom w:val="none" w:sz="0" w:space="0" w:color="auto"/>
        <w:right w:val="none" w:sz="0" w:space="0" w:color="auto"/>
      </w:divBdr>
    </w:div>
    <w:div w:id="1194810733">
      <w:bodyDiv w:val="1"/>
      <w:marLeft w:val="0"/>
      <w:marRight w:val="0"/>
      <w:marTop w:val="0"/>
      <w:marBottom w:val="0"/>
      <w:divBdr>
        <w:top w:val="none" w:sz="0" w:space="0" w:color="auto"/>
        <w:left w:val="none" w:sz="0" w:space="0" w:color="auto"/>
        <w:bottom w:val="none" w:sz="0" w:space="0" w:color="auto"/>
        <w:right w:val="none" w:sz="0" w:space="0" w:color="auto"/>
      </w:divBdr>
    </w:div>
    <w:div w:id="1504738852">
      <w:bodyDiv w:val="1"/>
      <w:marLeft w:val="0"/>
      <w:marRight w:val="0"/>
      <w:marTop w:val="0"/>
      <w:marBottom w:val="0"/>
      <w:divBdr>
        <w:top w:val="none" w:sz="0" w:space="0" w:color="auto"/>
        <w:left w:val="none" w:sz="0" w:space="0" w:color="auto"/>
        <w:bottom w:val="none" w:sz="0" w:space="0" w:color="auto"/>
        <w:right w:val="none" w:sz="0" w:space="0" w:color="auto"/>
      </w:divBdr>
      <w:divsChild>
        <w:div w:id="523592114">
          <w:marLeft w:val="0"/>
          <w:marRight w:val="0"/>
          <w:marTop w:val="0"/>
          <w:marBottom w:val="0"/>
          <w:divBdr>
            <w:top w:val="none" w:sz="0" w:space="0" w:color="auto"/>
            <w:left w:val="none" w:sz="0" w:space="0" w:color="auto"/>
            <w:bottom w:val="none" w:sz="0" w:space="0" w:color="auto"/>
            <w:right w:val="none" w:sz="0" w:space="0" w:color="auto"/>
          </w:divBdr>
        </w:div>
      </w:divsChild>
    </w:div>
    <w:div w:id="1516457687">
      <w:bodyDiv w:val="1"/>
      <w:marLeft w:val="0"/>
      <w:marRight w:val="0"/>
      <w:marTop w:val="0"/>
      <w:marBottom w:val="0"/>
      <w:divBdr>
        <w:top w:val="none" w:sz="0" w:space="0" w:color="auto"/>
        <w:left w:val="none" w:sz="0" w:space="0" w:color="auto"/>
        <w:bottom w:val="none" w:sz="0" w:space="0" w:color="auto"/>
        <w:right w:val="none" w:sz="0" w:space="0" w:color="auto"/>
      </w:divBdr>
    </w:div>
    <w:div w:id="1630547710">
      <w:bodyDiv w:val="1"/>
      <w:marLeft w:val="0"/>
      <w:marRight w:val="0"/>
      <w:marTop w:val="0"/>
      <w:marBottom w:val="0"/>
      <w:divBdr>
        <w:top w:val="none" w:sz="0" w:space="0" w:color="auto"/>
        <w:left w:val="none" w:sz="0" w:space="0" w:color="auto"/>
        <w:bottom w:val="none" w:sz="0" w:space="0" w:color="auto"/>
        <w:right w:val="none" w:sz="0" w:space="0" w:color="auto"/>
      </w:divBdr>
    </w:div>
    <w:div w:id="1814641025">
      <w:bodyDiv w:val="1"/>
      <w:marLeft w:val="0"/>
      <w:marRight w:val="0"/>
      <w:marTop w:val="0"/>
      <w:marBottom w:val="0"/>
      <w:divBdr>
        <w:top w:val="none" w:sz="0" w:space="0" w:color="auto"/>
        <w:left w:val="none" w:sz="0" w:space="0" w:color="auto"/>
        <w:bottom w:val="none" w:sz="0" w:space="0" w:color="auto"/>
        <w:right w:val="none" w:sz="0" w:space="0" w:color="auto"/>
      </w:divBdr>
      <w:divsChild>
        <w:div w:id="1047140682">
          <w:marLeft w:val="0"/>
          <w:marRight w:val="0"/>
          <w:marTop w:val="0"/>
          <w:marBottom w:val="0"/>
          <w:divBdr>
            <w:top w:val="none" w:sz="0" w:space="0" w:color="auto"/>
            <w:left w:val="none" w:sz="0" w:space="0" w:color="auto"/>
            <w:bottom w:val="none" w:sz="0" w:space="0" w:color="auto"/>
            <w:right w:val="none" w:sz="0" w:space="0" w:color="auto"/>
          </w:divBdr>
        </w:div>
      </w:divsChild>
    </w:div>
    <w:div w:id="2028169004">
      <w:bodyDiv w:val="1"/>
      <w:marLeft w:val="0"/>
      <w:marRight w:val="0"/>
      <w:marTop w:val="0"/>
      <w:marBottom w:val="0"/>
      <w:divBdr>
        <w:top w:val="none" w:sz="0" w:space="0" w:color="auto"/>
        <w:left w:val="none" w:sz="0" w:space="0" w:color="auto"/>
        <w:bottom w:val="none" w:sz="0" w:space="0" w:color="auto"/>
        <w:right w:val="none" w:sz="0" w:space="0" w:color="auto"/>
      </w:divBdr>
      <w:divsChild>
        <w:div w:id="528229071">
          <w:marLeft w:val="0"/>
          <w:marRight w:val="0"/>
          <w:marTop w:val="0"/>
          <w:marBottom w:val="0"/>
          <w:divBdr>
            <w:top w:val="none" w:sz="0" w:space="0" w:color="auto"/>
            <w:left w:val="none" w:sz="0" w:space="0" w:color="auto"/>
            <w:bottom w:val="none" w:sz="0" w:space="0" w:color="auto"/>
            <w:right w:val="none" w:sz="0" w:space="0" w:color="auto"/>
          </w:divBdr>
        </w:div>
      </w:divsChild>
    </w:div>
    <w:div w:id="21387147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apps.who.int/iris/bitstream/handle/10665/67215/WHO_NMH_NPH_02.8.pdf;jsessionid=78A3639F168F95BBFAC379F9B40EB3E3?sequence=1" TargetMode="External"/><Relationship Id="rId2" Type="http://schemas.openxmlformats.org/officeDocument/2006/relationships/hyperlink" Target="https://www.myagedcare.gov.au/help-at-home/home-care-packages" TargetMode="External"/><Relationship Id="rId1" Type="http://schemas.openxmlformats.org/officeDocument/2006/relationships/hyperlink" Target="https://www.ndis.gov.au/participants/home-equipment-and-supports/home-modifications-explained" TargetMode="External"/><Relationship Id="rId4" Type="http://schemas.openxmlformats.org/officeDocument/2006/relationships/hyperlink" Target="https://www.ahuri.edu.au/research/ahuri-briefs/whats-needed-to-make-ageing-in-place-work-for-older-australi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20long%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D796D3-2A3F-4FBF-A8C8-677380A5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 long submission template</Template>
  <TotalTime>2</TotalTime>
  <Pages>15</Pages>
  <Words>4175</Words>
  <Characters>23803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esponse to the Consultation Regulatory Impact Statement:                        Proposal to include minimum accessibility standards for housing in the National Construction Cod</vt:lpstr>
    </vt:vector>
  </TitlesOfParts>
  <Company/>
  <LinksUpToDate>false</LinksUpToDate>
  <CharactersWithSpaces>27923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esponse to the Consultation Regulatory Impact Statement:                        Proposal to include minimum accessibility standards for housing in the National Construction Cod</dc:title>
  <dc:subject/>
  <dc:creator>Heather Corkhill</dc:creator>
  <cp:keywords/>
  <dc:description/>
  <cp:lastModifiedBy>Heather Corkhill</cp:lastModifiedBy>
  <cp:revision>5</cp:revision>
  <cp:lastPrinted>2020-08-26T21:59:00Z</cp:lastPrinted>
  <dcterms:created xsi:type="dcterms:W3CDTF">2020-08-26T22:17:00Z</dcterms:created>
  <dcterms:modified xsi:type="dcterms:W3CDTF">2020-08-26T22:25:00Z</dcterms:modified>
</cp:coreProperties>
</file>