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rPr>
      </w:sdtEndPr>
      <w:sdtContent>
        <w:p w14:paraId="2FED991D" w14:textId="77777777"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2E9952F2" w14:textId="77777777" w:rsidTr="004A2375">
            <w:trPr>
              <w:trHeight w:val="360"/>
              <w:jc w:val="center"/>
            </w:trPr>
            <w:tc>
              <w:tcPr>
                <w:tcW w:w="5000" w:type="pct"/>
                <w:tcBorders>
                  <w:top w:val="thinThickSmallGap" w:sz="24" w:space="0" w:color="1F497D" w:themeColor="text2"/>
                </w:tcBorders>
                <w:vAlign w:val="center"/>
              </w:tcPr>
              <w:p w14:paraId="4917BC22" w14:textId="77777777" w:rsidR="004A2375" w:rsidRPr="00D95D9E" w:rsidRDefault="004A2375" w:rsidP="004A2375">
                <w:pPr>
                  <w:pStyle w:val="NoSpacing"/>
                  <w:spacing w:before="720" w:after="240"/>
                  <w:jc w:val="center"/>
                  <w:rPr>
                    <w:b/>
                    <w:bCs/>
                    <w:sz w:val="28"/>
                  </w:rPr>
                </w:pPr>
              </w:p>
            </w:tc>
          </w:tr>
          <w:tr w:rsidR="004A2375" w:rsidRPr="00D95D9E" w14:paraId="3CD02210"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4B0FEBA6" w14:textId="40AE1015" w:rsidR="004A2375" w:rsidRPr="00D95D9E" w:rsidRDefault="00797F99" w:rsidP="00797F99">
                    <w:pPr>
                      <w:pStyle w:val="NoSpacing"/>
                      <w:spacing w:after="240"/>
                      <w:rPr>
                        <w:rFonts w:asciiTheme="majorHAnsi" w:eastAsiaTheme="majorEastAsia" w:hAnsiTheme="majorHAnsi" w:cstheme="majorBidi"/>
                        <w:sz w:val="80"/>
                        <w:szCs w:val="80"/>
                      </w:rPr>
                    </w:pPr>
                    <w:r>
                      <w:rPr>
                        <w:rFonts w:asciiTheme="majorHAnsi" w:eastAsiaTheme="majorEastAsia" w:hAnsiTheme="majorHAnsi" w:cstheme="majorBidi"/>
                        <w:color w:val="1F497D" w:themeColor="text2"/>
                        <w:sz w:val="60"/>
                        <w:szCs w:val="60"/>
                      </w:rPr>
                      <w:t>2021 Independent Review of Banking Code of Practice</w:t>
                    </w:r>
                  </w:p>
                </w:tc>
              </w:sdtContent>
            </w:sdt>
          </w:tr>
          <w:tr w:rsidR="004A2375" w:rsidRPr="00D95D9E" w14:paraId="761ED4E9" w14:textId="77777777" w:rsidTr="004A2375">
            <w:trPr>
              <w:trHeight w:val="360"/>
              <w:jc w:val="center"/>
            </w:trPr>
            <w:tc>
              <w:tcPr>
                <w:tcW w:w="5000" w:type="pct"/>
                <w:vAlign w:val="center"/>
              </w:tcPr>
              <w:p w14:paraId="17B782BA" w14:textId="77777777" w:rsidR="004A2375" w:rsidRPr="00D95D9E" w:rsidRDefault="004A2375" w:rsidP="004A2375">
                <w:pPr>
                  <w:pStyle w:val="NoSpacing"/>
                  <w:spacing w:after="240"/>
                  <w:jc w:val="center"/>
                  <w:rPr>
                    <w:b/>
                    <w:bCs/>
                    <w:sz w:val="28"/>
                  </w:rPr>
                </w:pPr>
              </w:p>
            </w:tc>
          </w:tr>
          <w:tr w:rsidR="004A2375" w:rsidRPr="00D95D9E" w14:paraId="75DA5A7D" w14:textId="77777777" w:rsidTr="004A2375">
            <w:trPr>
              <w:trHeight w:val="360"/>
              <w:jc w:val="center"/>
            </w:trPr>
            <w:tc>
              <w:tcPr>
                <w:tcW w:w="5000" w:type="pct"/>
                <w:tcBorders>
                  <w:bottom w:val="thickThinSmallGap" w:sz="24" w:space="0" w:color="1F497D" w:themeColor="text2"/>
                </w:tcBorders>
                <w:vAlign w:val="center"/>
              </w:tcPr>
              <w:p w14:paraId="17DAE974"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Submission</w:t>
                </w:r>
              </w:p>
              <w:p w14:paraId="443AD5E4"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to</w:t>
                </w:r>
              </w:p>
              <w:p w14:paraId="202C61FF" w14:textId="592B2A15" w:rsidR="004A2375" w:rsidRDefault="001C2F29" w:rsidP="009746DD">
                <w:pPr>
                  <w:pStyle w:val="NoSpacing"/>
                  <w:spacing w:before="120" w:after="120"/>
                  <w:jc w:val="right"/>
                  <w:rPr>
                    <w:rFonts w:ascii="Arial" w:hAnsi="Arial" w:cs="Arial"/>
                    <w:b/>
                    <w:bCs/>
                    <w:sz w:val="28"/>
                  </w:rPr>
                </w:pPr>
                <w:r>
                  <w:rPr>
                    <w:rFonts w:ascii="Arial" w:hAnsi="Arial" w:cs="Arial"/>
                    <w:b/>
                    <w:bCs/>
                    <w:sz w:val="28"/>
                  </w:rPr>
                  <w:t>The Banking Code Review</w:t>
                </w:r>
              </w:p>
              <w:p w14:paraId="61B84921" w14:textId="77777777" w:rsidR="00240EF9" w:rsidRPr="00D95D9E" w:rsidRDefault="00240EF9" w:rsidP="009746DD">
                <w:pPr>
                  <w:pStyle w:val="NoSpacing"/>
                  <w:spacing w:before="120" w:after="120"/>
                  <w:jc w:val="right"/>
                  <w:rPr>
                    <w:b/>
                    <w:bCs/>
                    <w:sz w:val="28"/>
                  </w:rPr>
                </w:pPr>
              </w:p>
            </w:tc>
          </w:tr>
        </w:tbl>
        <w:p w14:paraId="54CE7601"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57E88844" w14:textId="77777777" w:rsidTr="00392522">
            <w:tc>
              <w:tcPr>
                <w:tcW w:w="6585" w:type="dxa"/>
                <w:tcMar>
                  <w:top w:w="216" w:type="dxa"/>
                  <w:left w:w="115" w:type="dxa"/>
                  <w:bottom w:w="216" w:type="dxa"/>
                  <w:right w:w="115" w:type="dxa"/>
                </w:tcMar>
              </w:tcPr>
              <w:p w14:paraId="0F91E34D" w14:textId="37BB5B77" w:rsidR="00A16356" w:rsidRPr="00A16356" w:rsidRDefault="00797F99"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6 August 2021</w:t>
                </w:r>
              </w:p>
              <w:p w14:paraId="6AC9B9C4" w14:textId="77777777" w:rsidR="00A16356" w:rsidRDefault="00A16356">
                <w:pPr>
                  <w:pStyle w:val="NoSpacing"/>
                  <w:rPr>
                    <w:color w:val="4F81BD" w:themeColor="accent1"/>
                  </w:rPr>
                </w:pPr>
              </w:p>
            </w:tc>
          </w:tr>
        </w:tbl>
        <w:p w14:paraId="0EC0807B" w14:textId="77777777" w:rsidR="004A2375" w:rsidRDefault="00A16356">
          <w:r>
            <w:br w:type="page"/>
          </w:r>
        </w:p>
        <w:p w14:paraId="0A0DB81E" w14:textId="44A3B409" w:rsidR="00A16356" w:rsidRPr="004A2375" w:rsidRDefault="006A3997">
          <w:pPr>
            <w:rPr>
              <w:rFonts w:eastAsiaTheme="majorEastAsia" w:cstheme="majorBidi"/>
              <w:b/>
              <w:color w:val="365F91" w:themeColor="accent1" w:themeShade="BF"/>
              <w:sz w:val="16"/>
              <w:szCs w:val="16"/>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4B5D0AAC" w14:textId="77777777" w:rsidR="00A16356" w:rsidRPr="00183FA4" w:rsidRDefault="00A16356" w:rsidP="0022037D">
          <w:pPr>
            <w:pStyle w:val="TOCHeading"/>
            <w:spacing w:before="120" w:after="120"/>
            <w:rPr>
              <w:rFonts w:ascii="Arial" w:hAnsi="Arial" w:cs="Arial"/>
              <w:b/>
            </w:rPr>
          </w:pPr>
          <w:r w:rsidRPr="00183FA4">
            <w:rPr>
              <w:rFonts w:ascii="Arial" w:hAnsi="Arial" w:cs="Arial"/>
              <w:b/>
            </w:rPr>
            <w:t>Table of Contents</w:t>
          </w:r>
        </w:p>
        <w:p w14:paraId="6FC47206" w14:textId="1DFD0F45" w:rsidR="00FE67FA" w:rsidRDefault="00A16356">
          <w:pPr>
            <w:pStyle w:val="TOC1"/>
            <w:rPr>
              <w:rFonts w:asciiTheme="minorHAnsi" w:hAnsiTheme="minorHAnsi"/>
              <w:noProof/>
              <w:sz w:val="22"/>
              <w:szCs w:val="22"/>
              <w:lang w:eastAsia="en-AU"/>
            </w:rPr>
          </w:pPr>
          <w:r w:rsidRPr="00857062">
            <w:rPr>
              <w:rFonts w:cs="Arial"/>
              <w:b/>
              <w:bCs/>
              <w:noProof/>
            </w:rPr>
            <w:fldChar w:fldCharType="begin"/>
          </w:r>
          <w:r w:rsidRPr="00857062">
            <w:rPr>
              <w:rFonts w:cs="Arial"/>
              <w:b/>
              <w:bCs/>
              <w:noProof/>
            </w:rPr>
            <w:instrText xml:space="preserve"> TOC \o "1-3" \h \z \u </w:instrText>
          </w:r>
          <w:r w:rsidRPr="00857062">
            <w:rPr>
              <w:rFonts w:cs="Arial"/>
              <w:b/>
              <w:bCs/>
              <w:noProof/>
            </w:rPr>
            <w:fldChar w:fldCharType="separate"/>
          </w:r>
          <w:hyperlink w:anchor="_Toc79097800" w:history="1">
            <w:r w:rsidR="00FE67FA" w:rsidRPr="00507473">
              <w:rPr>
                <w:rStyle w:val="Hyperlink"/>
                <w:noProof/>
              </w:rPr>
              <w:t>Introduction</w:t>
            </w:r>
            <w:r w:rsidR="00FE67FA">
              <w:rPr>
                <w:noProof/>
                <w:webHidden/>
              </w:rPr>
              <w:tab/>
            </w:r>
            <w:r w:rsidR="00FE67FA">
              <w:rPr>
                <w:noProof/>
                <w:webHidden/>
              </w:rPr>
              <w:fldChar w:fldCharType="begin"/>
            </w:r>
            <w:r w:rsidR="00FE67FA">
              <w:rPr>
                <w:noProof/>
                <w:webHidden/>
              </w:rPr>
              <w:instrText xml:space="preserve"> PAGEREF _Toc79097800 \h </w:instrText>
            </w:r>
            <w:r w:rsidR="00FE67FA">
              <w:rPr>
                <w:noProof/>
                <w:webHidden/>
              </w:rPr>
            </w:r>
            <w:r w:rsidR="00FE67FA">
              <w:rPr>
                <w:noProof/>
                <w:webHidden/>
              </w:rPr>
              <w:fldChar w:fldCharType="separate"/>
            </w:r>
            <w:r w:rsidR="006A3997">
              <w:rPr>
                <w:noProof/>
                <w:webHidden/>
              </w:rPr>
              <w:t>2</w:t>
            </w:r>
            <w:r w:rsidR="00FE67FA">
              <w:rPr>
                <w:noProof/>
                <w:webHidden/>
              </w:rPr>
              <w:fldChar w:fldCharType="end"/>
            </w:r>
          </w:hyperlink>
        </w:p>
        <w:p w14:paraId="5E57473D" w14:textId="6383BD33" w:rsidR="00FE67FA" w:rsidRDefault="00FE67FA">
          <w:pPr>
            <w:pStyle w:val="TOC1"/>
            <w:rPr>
              <w:rFonts w:asciiTheme="minorHAnsi" w:hAnsiTheme="minorHAnsi"/>
              <w:noProof/>
              <w:sz w:val="22"/>
              <w:szCs w:val="22"/>
              <w:lang w:eastAsia="en-AU"/>
            </w:rPr>
          </w:pPr>
          <w:hyperlink w:anchor="_Toc79097801" w:history="1">
            <w:r w:rsidRPr="00507473">
              <w:rPr>
                <w:rStyle w:val="Hyperlink"/>
                <w:noProof/>
              </w:rPr>
              <w:t>About the Commission</w:t>
            </w:r>
            <w:r>
              <w:rPr>
                <w:noProof/>
                <w:webHidden/>
              </w:rPr>
              <w:tab/>
            </w:r>
            <w:r>
              <w:rPr>
                <w:noProof/>
                <w:webHidden/>
              </w:rPr>
              <w:fldChar w:fldCharType="begin"/>
            </w:r>
            <w:r>
              <w:rPr>
                <w:noProof/>
                <w:webHidden/>
              </w:rPr>
              <w:instrText xml:space="preserve"> PAGEREF _Toc79097801 \h </w:instrText>
            </w:r>
            <w:r>
              <w:rPr>
                <w:noProof/>
                <w:webHidden/>
              </w:rPr>
            </w:r>
            <w:r>
              <w:rPr>
                <w:noProof/>
                <w:webHidden/>
              </w:rPr>
              <w:fldChar w:fldCharType="separate"/>
            </w:r>
            <w:r w:rsidR="006A3997">
              <w:rPr>
                <w:noProof/>
                <w:webHidden/>
              </w:rPr>
              <w:t>2</w:t>
            </w:r>
            <w:r>
              <w:rPr>
                <w:noProof/>
                <w:webHidden/>
              </w:rPr>
              <w:fldChar w:fldCharType="end"/>
            </w:r>
          </w:hyperlink>
        </w:p>
        <w:p w14:paraId="5554E120" w14:textId="673E5008" w:rsidR="00FE67FA" w:rsidRDefault="00FE67FA">
          <w:pPr>
            <w:pStyle w:val="TOC1"/>
            <w:rPr>
              <w:rFonts w:asciiTheme="minorHAnsi" w:hAnsiTheme="minorHAnsi"/>
              <w:noProof/>
              <w:sz w:val="22"/>
              <w:szCs w:val="22"/>
              <w:lang w:eastAsia="en-AU"/>
            </w:rPr>
          </w:pPr>
          <w:hyperlink w:anchor="_Toc79097802" w:history="1">
            <w:r w:rsidRPr="00507473">
              <w:rPr>
                <w:rStyle w:val="Hyperlink"/>
                <w:noProof/>
              </w:rPr>
              <w:t>COVID-19</w:t>
            </w:r>
            <w:r>
              <w:rPr>
                <w:noProof/>
                <w:webHidden/>
              </w:rPr>
              <w:tab/>
            </w:r>
            <w:r>
              <w:rPr>
                <w:noProof/>
                <w:webHidden/>
              </w:rPr>
              <w:fldChar w:fldCharType="begin"/>
            </w:r>
            <w:r>
              <w:rPr>
                <w:noProof/>
                <w:webHidden/>
              </w:rPr>
              <w:instrText xml:space="preserve"> PAGEREF _Toc79097802 \h </w:instrText>
            </w:r>
            <w:r>
              <w:rPr>
                <w:noProof/>
                <w:webHidden/>
              </w:rPr>
            </w:r>
            <w:r>
              <w:rPr>
                <w:noProof/>
                <w:webHidden/>
              </w:rPr>
              <w:fldChar w:fldCharType="separate"/>
            </w:r>
            <w:r w:rsidR="006A3997">
              <w:rPr>
                <w:noProof/>
                <w:webHidden/>
              </w:rPr>
              <w:t>3</w:t>
            </w:r>
            <w:r>
              <w:rPr>
                <w:noProof/>
                <w:webHidden/>
              </w:rPr>
              <w:fldChar w:fldCharType="end"/>
            </w:r>
          </w:hyperlink>
        </w:p>
        <w:p w14:paraId="344D6D08" w14:textId="468FB6FB" w:rsidR="00FE67FA" w:rsidRDefault="00FE67FA">
          <w:pPr>
            <w:pStyle w:val="TOC1"/>
            <w:rPr>
              <w:rFonts w:asciiTheme="minorHAnsi" w:hAnsiTheme="minorHAnsi"/>
              <w:noProof/>
              <w:sz w:val="22"/>
              <w:szCs w:val="22"/>
              <w:lang w:eastAsia="en-AU"/>
            </w:rPr>
          </w:pPr>
          <w:hyperlink w:anchor="_Toc79097803" w:history="1">
            <w:r w:rsidRPr="00507473">
              <w:rPr>
                <w:rStyle w:val="Hyperlink"/>
                <w:noProof/>
              </w:rPr>
              <w:t>Inclusive and accessible services</w:t>
            </w:r>
            <w:r>
              <w:rPr>
                <w:noProof/>
                <w:webHidden/>
              </w:rPr>
              <w:tab/>
            </w:r>
            <w:r>
              <w:rPr>
                <w:noProof/>
                <w:webHidden/>
              </w:rPr>
              <w:fldChar w:fldCharType="begin"/>
            </w:r>
            <w:r>
              <w:rPr>
                <w:noProof/>
                <w:webHidden/>
              </w:rPr>
              <w:instrText xml:space="preserve"> PAGEREF _Toc79097803 \h </w:instrText>
            </w:r>
            <w:r>
              <w:rPr>
                <w:noProof/>
                <w:webHidden/>
              </w:rPr>
            </w:r>
            <w:r>
              <w:rPr>
                <w:noProof/>
                <w:webHidden/>
              </w:rPr>
              <w:fldChar w:fldCharType="separate"/>
            </w:r>
            <w:r w:rsidR="006A3997">
              <w:rPr>
                <w:noProof/>
                <w:webHidden/>
              </w:rPr>
              <w:t>4</w:t>
            </w:r>
            <w:r>
              <w:rPr>
                <w:noProof/>
                <w:webHidden/>
              </w:rPr>
              <w:fldChar w:fldCharType="end"/>
            </w:r>
          </w:hyperlink>
        </w:p>
        <w:p w14:paraId="195C8EAC" w14:textId="43E7BCDC" w:rsidR="00FE67FA" w:rsidRDefault="00FE67FA">
          <w:pPr>
            <w:pStyle w:val="TOC2"/>
            <w:rPr>
              <w:rFonts w:asciiTheme="minorHAnsi" w:hAnsiTheme="minorHAnsi"/>
              <w:noProof/>
              <w:sz w:val="22"/>
              <w:szCs w:val="22"/>
              <w:lang w:eastAsia="en-AU"/>
            </w:rPr>
          </w:pPr>
          <w:hyperlink w:anchor="_Toc79097804" w:history="1">
            <w:r w:rsidRPr="00507473">
              <w:rPr>
                <w:rStyle w:val="Hyperlink"/>
                <w:noProof/>
              </w:rPr>
              <w:t>Intellectual and cognitive disability</w:t>
            </w:r>
            <w:r>
              <w:rPr>
                <w:noProof/>
                <w:webHidden/>
              </w:rPr>
              <w:tab/>
            </w:r>
            <w:r>
              <w:rPr>
                <w:noProof/>
                <w:webHidden/>
              </w:rPr>
              <w:fldChar w:fldCharType="begin"/>
            </w:r>
            <w:r>
              <w:rPr>
                <w:noProof/>
                <w:webHidden/>
              </w:rPr>
              <w:instrText xml:space="preserve"> PAGEREF _Toc79097804 \h </w:instrText>
            </w:r>
            <w:r>
              <w:rPr>
                <w:noProof/>
                <w:webHidden/>
              </w:rPr>
            </w:r>
            <w:r>
              <w:rPr>
                <w:noProof/>
                <w:webHidden/>
              </w:rPr>
              <w:fldChar w:fldCharType="separate"/>
            </w:r>
            <w:r w:rsidR="006A3997">
              <w:rPr>
                <w:noProof/>
                <w:webHidden/>
              </w:rPr>
              <w:t>5</w:t>
            </w:r>
            <w:r>
              <w:rPr>
                <w:noProof/>
                <w:webHidden/>
              </w:rPr>
              <w:fldChar w:fldCharType="end"/>
            </w:r>
          </w:hyperlink>
        </w:p>
        <w:p w14:paraId="0EDA09E5" w14:textId="74681E6E" w:rsidR="00FE67FA" w:rsidRDefault="00FE67FA">
          <w:pPr>
            <w:pStyle w:val="TOC2"/>
            <w:rPr>
              <w:rFonts w:asciiTheme="minorHAnsi" w:hAnsiTheme="minorHAnsi"/>
              <w:noProof/>
              <w:sz w:val="22"/>
              <w:szCs w:val="22"/>
              <w:lang w:eastAsia="en-AU"/>
            </w:rPr>
          </w:pPr>
          <w:hyperlink w:anchor="_Toc79097805" w:history="1">
            <w:r w:rsidRPr="00507473">
              <w:rPr>
                <w:rStyle w:val="Hyperlink"/>
                <w:noProof/>
              </w:rPr>
              <w:t>Gender identity</w:t>
            </w:r>
            <w:r>
              <w:rPr>
                <w:noProof/>
                <w:webHidden/>
              </w:rPr>
              <w:tab/>
            </w:r>
            <w:r>
              <w:rPr>
                <w:noProof/>
                <w:webHidden/>
              </w:rPr>
              <w:fldChar w:fldCharType="begin"/>
            </w:r>
            <w:r>
              <w:rPr>
                <w:noProof/>
                <w:webHidden/>
              </w:rPr>
              <w:instrText xml:space="preserve"> PAGEREF _Toc79097805 \h </w:instrText>
            </w:r>
            <w:r>
              <w:rPr>
                <w:noProof/>
                <w:webHidden/>
              </w:rPr>
            </w:r>
            <w:r>
              <w:rPr>
                <w:noProof/>
                <w:webHidden/>
              </w:rPr>
              <w:fldChar w:fldCharType="separate"/>
            </w:r>
            <w:r w:rsidR="006A3997">
              <w:rPr>
                <w:noProof/>
                <w:webHidden/>
              </w:rPr>
              <w:t>7</w:t>
            </w:r>
            <w:r>
              <w:rPr>
                <w:noProof/>
                <w:webHidden/>
              </w:rPr>
              <w:fldChar w:fldCharType="end"/>
            </w:r>
          </w:hyperlink>
        </w:p>
        <w:p w14:paraId="5DBA4C83" w14:textId="78173975" w:rsidR="00FE67FA" w:rsidRDefault="00FE67FA">
          <w:pPr>
            <w:pStyle w:val="TOC2"/>
            <w:rPr>
              <w:rFonts w:asciiTheme="minorHAnsi" w:hAnsiTheme="minorHAnsi"/>
              <w:noProof/>
              <w:sz w:val="22"/>
              <w:szCs w:val="22"/>
              <w:lang w:eastAsia="en-AU"/>
            </w:rPr>
          </w:pPr>
          <w:hyperlink w:anchor="_Toc79097806" w:history="1">
            <w:r w:rsidRPr="00507473">
              <w:rPr>
                <w:rStyle w:val="Hyperlink"/>
                <w:noProof/>
              </w:rPr>
              <w:t>Identification requirements</w:t>
            </w:r>
            <w:r>
              <w:rPr>
                <w:noProof/>
                <w:webHidden/>
              </w:rPr>
              <w:tab/>
            </w:r>
            <w:r>
              <w:rPr>
                <w:noProof/>
                <w:webHidden/>
              </w:rPr>
              <w:fldChar w:fldCharType="begin"/>
            </w:r>
            <w:r>
              <w:rPr>
                <w:noProof/>
                <w:webHidden/>
              </w:rPr>
              <w:instrText xml:space="preserve"> PAGEREF _Toc79097806 \h </w:instrText>
            </w:r>
            <w:r>
              <w:rPr>
                <w:noProof/>
                <w:webHidden/>
              </w:rPr>
            </w:r>
            <w:r>
              <w:rPr>
                <w:noProof/>
                <w:webHidden/>
              </w:rPr>
              <w:fldChar w:fldCharType="separate"/>
            </w:r>
            <w:r w:rsidR="006A3997">
              <w:rPr>
                <w:noProof/>
                <w:webHidden/>
              </w:rPr>
              <w:t>8</w:t>
            </w:r>
            <w:r>
              <w:rPr>
                <w:noProof/>
                <w:webHidden/>
              </w:rPr>
              <w:fldChar w:fldCharType="end"/>
            </w:r>
          </w:hyperlink>
        </w:p>
        <w:p w14:paraId="4F1631E1" w14:textId="71DA506E" w:rsidR="00FE67FA" w:rsidRDefault="00FE67FA">
          <w:pPr>
            <w:pStyle w:val="TOC2"/>
            <w:rPr>
              <w:rFonts w:asciiTheme="minorHAnsi" w:hAnsiTheme="minorHAnsi"/>
              <w:noProof/>
              <w:sz w:val="22"/>
              <w:szCs w:val="22"/>
              <w:lang w:eastAsia="en-AU"/>
            </w:rPr>
          </w:pPr>
          <w:hyperlink w:anchor="_Toc79097807" w:history="1">
            <w:r w:rsidRPr="00507473">
              <w:rPr>
                <w:rStyle w:val="Hyperlink"/>
                <w:noProof/>
              </w:rPr>
              <w:t>Positive measures for inclusion and accessibility</w:t>
            </w:r>
            <w:r>
              <w:rPr>
                <w:noProof/>
                <w:webHidden/>
              </w:rPr>
              <w:tab/>
            </w:r>
            <w:r>
              <w:rPr>
                <w:noProof/>
                <w:webHidden/>
              </w:rPr>
              <w:fldChar w:fldCharType="begin"/>
            </w:r>
            <w:r>
              <w:rPr>
                <w:noProof/>
                <w:webHidden/>
              </w:rPr>
              <w:instrText xml:space="preserve"> PAGEREF _Toc79097807 \h </w:instrText>
            </w:r>
            <w:r>
              <w:rPr>
                <w:noProof/>
                <w:webHidden/>
              </w:rPr>
            </w:r>
            <w:r>
              <w:rPr>
                <w:noProof/>
                <w:webHidden/>
              </w:rPr>
              <w:fldChar w:fldCharType="separate"/>
            </w:r>
            <w:r w:rsidR="006A3997">
              <w:rPr>
                <w:noProof/>
                <w:webHidden/>
              </w:rPr>
              <w:t>8</w:t>
            </w:r>
            <w:r>
              <w:rPr>
                <w:noProof/>
                <w:webHidden/>
              </w:rPr>
              <w:fldChar w:fldCharType="end"/>
            </w:r>
          </w:hyperlink>
        </w:p>
        <w:p w14:paraId="21845AFC" w14:textId="13D2B9CD" w:rsidR="00FE67FA" w:rsidRDefault="00FE67FA">
          <w:pPr>
            <w:pStyle w:val="TOC2"/>
            <w:rPr>
              <w:rFonts w:asciiTheme="minorHAnsi" w:hAnsiTheme="minorHAnsi"/>
              <w:noProof/>
              <w:sz w:val="22"/>
              <w:szCs w:val="22"/>
              <w:lang w:eastAsia="en-AU"/>
            </w:rPr>
          </w:pPr>
          <w:hyperlink w:anchor="_Toc79097808" w:history="1">
            <w:r w:rsidRPr="00507473">
              <w:rPr>
                <w:rStyle w:val="Hyperlink"/>
                <w:noProof/>
              </w:rPr>
              <w:t>Complaints processes</w:t>
            </w:r>
            <w:r>
              <w:rPr>
                <w:noProof/>
                <w:webHidden/>
              </w:rPr>
              <w:tab/>
            </w:r>
            <w:r>
              <w:rPr>
                <w:noProof/>
                <w:webHidden/>
              </w:rPr>
              <w:fldChar w:fldCharType="begin"/>
            </w:r>
            <w:r>
              <w:rPr>
                <w:noProof/>
                <w:webHidden/>
              </w:rPr>
              <w:instrText xml:space="preserve"> PAGEREF _Toc79097808 \h </w:instrText>
            </w:r>
            <w:r>
              <w:rPr>
                <w:noProof/>
                <w:webHidden/>
              </w:rPr>
            </w:r>
            <w:r>
              <w:rPr>
                <w:noProof/>
                <w:webHidden/>
              </w:rPr>
              <w:fldChar w:fldCharType="separate"/>
            </w:r>
            <w:r w:rsidR="006A3997">
              <w:rPr>
                <w:noProof/>
                <w:webHidden/>
              </w:rPr>
              <w:t>9</w:t>
            </w:r>
            <w:r>
              <w:rPr>
                <w:noProof/>
                <w:webHidden/>
              </w:rPr>
              <w:fldChar w:fldCharType="end"/>
            </w:r>
          </w:hyperlink>
        </w:p>
        <w:p w14:paraId="6DA32BA5" w14:textId="18EC58E8" w:rsidR="00FE67FA" w:rsidRDefault="00FE67FA">
          <w:pPr>
            <w:pStyle w:val="TOC1"/>
            <w:rPr>
              <w:rFonts w:asciiTheme="minorHAnsi" w:hAnsiTheme="minorHAnsi"/>
              <w:noProof/>
              <w:sz w:val="22"/>
              <w:szCs w:val="22"/>
              <w:lang w:eastAsia="en-AU"/>
            </w:rPr>
          </w:pPr>
          <w:hyperlink w:anchor="_Toc79097809" w:history="1">
            <w:r w:rsidRPr="00507473">
              <w:rPr>
                <w:rStyle w:val="Hyperlink"/>
                <w:noProof/>
              </w:rPr>
              <w:t>Summary of recommendations</w:t>
            </w:r>
            <w:r>
              <w:rPr>
                <w:noProof/>
                <w:webHidden/>
              </w:rPr>
              <w:tab/>
            </w:r>
            <w:r>
              <w:rPr>
                <w:noProof/>
                <w:webHidden/>
              </w:rPr>
              <w:fldChar w:fldCharType="begin"/>
            </w:r>
            <w:r>
              <w:rPr>
                <w:noProof/>
                <w:webHidden/>
              </w:rPr>
              <w:instrText xml:space="preserve"> PAGEREF _Toc79097809 \h </w:instrText>
            </w:r>
            <w:r>
              <w:rPr>
                <w:noProof/>
                <w:webHidden/>
              </w:rPr>
            </w:r>
            <w:r>
              <w:rPr>
                <w:noProof/>
                <w:webHidden/>
              </w:rPr>
              <w:fldChar w:fldCharType="separate"/>
            </w:r>
            <w:r w:rsidR="006A3997">
              <w:rPr>
                <w:noProof/>
                <w:webHidden/>
              </w:rPr>
              <w:t>10</w:t>
            </w:r>
            <w:r>
              <w:rPr>
                <w:noProof/>
                <w:webHidden/>
              </w:rPr>
              <w:fldChar w:fldCharType="end"/>
            </w:r>
          </w:hyperlink>
        </w:p>
        <w:p w14:paraId="3D3F6708" w14:textId="1B24D9CE" w:rsidR="00A16356" w:rsidRPr="00041E58" w:rsidRDefault="00A16356" w:rsidP="0022037D">
          <w:pPr>
            <w:spacing w:before="120" w:after="120"/>
            <w:rPr>
              <w:rFonts w:cs="Arial"/>
            </w:rPr>
          </w:pPr>
          <w:r w:rsidRPr="00857062">
            <w:rPr>
              <w:rFonts w:cs="Arial"/>
              <w:b/>
              <w:bCs/>
              <w:noProof/>
            </w:rPr>
            <w:fldChar w:fldCharType="end"/>
          </w:r>
        </w:p>
      </w:sdtContent>
    </w:sdt>
    <w:p w14:paraId="44607B91" w14:textId="52FD1011" w:rsidR="002379F0" w:rsidRDefault="002379F0" w:rsidP="002379F0">
      <w:pPr>
        <w:jc w:val="center"/>
        <w:rPr>
          <w:rFonts w:eastAsiaTheme="majorEastAsia" w:cstheme="majorBidi"/>
          <w:b/>
          <w:color w:val="365F91" w:themeColor="accent1" w:themeShade="BF"/>
          <w:sz w:val="28"/>
          <w:szCs w:val="32"/>
        </w:rPr>
      </w:pPr>
    </w:p>
    <w:p w14:paraId="515E4C7E" w14:textId="264EBCFA" w:rsidR="004A2375" w:rsidRPr="002379F0" w:rsidRDefault="002379F0" w:rsidP="002379F0">
      <w:pPr>
        <w:tabs>
          <w:tab w:val="center" w:pos="4153"/>
        </w:tabs>
        <w:rPr>
          <w:rFonts w:eastAsiaTheme="majorEastAsia" w:cstheme="majorBidi"/>
          <w:sz w:val="28"/>
          <w:szCs w:val="32"/>
        </w:rPr>
        <w:sectPr w:rsidR="004A2375" w:rsidRPr="002379F0" w:rsidSect="006C75BC">
          <w:footerReference w:type="default" r:id="rId9"/>
          <w:headerReference w:type="first" r:id="rId10"/>
          <w:pgSz w:w="11900" w:h="16840" w:code="9"/>
          <w:pgMar w:top="993" w:right="1797" w:bottom="1440" w:left="1797" w:header="709" w:footer="709" w:gutter="0"/>
          <w:pgNumType w:start="0"/>
          <w:cols w:space="708"/>
          <w:titlePg/>
          <w:docGrid w:linePitch="360"/>
        </w:sectPr>
      </w:pPr>
      <w:r>
        <w:rPr>
          <w:rFonts w:eastAsiaTheme="majorEastAsia" w:cstheme="majorBidi"/>
          <w:sz w:val="28"/>
          <w:szCs w:val="32"/>
        </w:rPr>
        <w:tab/>
      </w:r>
      <w:bookmarkStart w:id="0" w:name="_GoBack"/>
      <w:bookmarkEnd w:id="0"/>
    </w:p>
    <w:p w14:paraId="749E4276" w14:textId="77777777" w:rsidR="00797F99" w:rsidRDefault="00797F99" w:rsidP="00797F99">
      <w:pPr>
        <w:pStyle w:val="Heading1"/>
      </w:pPr>
      <w:bookmarkStart w:id="1" w:name="_Toc78976609"/>
      <w:bookmarkStart w:id="2" w:name="_Toc79097800"/>
      <w:r>
        <w:lastRenderedPageBreak/>
        <w:t>Introduction</w:t>
      </w:r>
      <w:bookmarkEnd w:id="1"/>
      <w:bookmarkEnd w:id="2"/>
    </w:p>
    <w:p w14:paraId="76689044" w14:textId="77777777" w:rsidR="00797F99" w:rsidRDefault="00797F99" w:rsidP="001F2667">
      <w:pPr>
        <w:spacing w:after="240"/>
      </w:pPr>
      <w:r>
        <w:t xml:space="preserve">The Banking Code of Practice 2021 (the Code) sets out national, enforceable standards and protections to complement the law when providing banking services to customers. The Code was first introduced in 1993 and is </w:t>
      </w:r>
      <w:r w:rsidRPr="006F3103">
        <w:rPr>
          <w:rStyle w:val="Normal1Char"/>
        </w:rPr>
        <w:t>independently reviewed every 3 years.</w:t>
      </w:r>
      <w:r>
        <w:t xml:space="preserve"> </w:t>
      </w:r>
    </w:p>
    <w:p w14:paraId="24737405" w14:textId="77777777" w:rsidR="00797F99" w:rsidRDefault="00797F99" w:rsidP="006F3103">
      <w:pPr>
        <w:pStyle w:val="Normal1"/>
      </w:pPr>
      <w:r>
        <w:t>The terms of reference for the 2021 review of the Code (the Review) includes in its objectives that:</w:t>
      </w:r>
    </w:p>
    <w:p w14:paraId="7C36AC45" w14:textId="77777777" w:rsidR="00797F99" w:rsidRDefault="00797F99" w:rsidP="006F3103">
      <w:pPr>
        <w:pStyle w:val="ListParagraph"/>
        <w:numPr>
          <w:ilvl w:val="0"/>
          <w:numId w:val="3"/>
        </w:numPr>
        <w:spacing w:after="160" w:line="259" w:lineRule="auto"/>
      </w:pPr>
      <w:r>
        <w:t>The code respond appropriately to the contemporary environment; and</w:t>
      </w:r>
    </w:p>
    <w:p w14:paraId="587BC5B5" w14:textId="77777777" w:rsidR="00797F99" w:rsidRDefault="00797F99" w:rsidP="006F3103">
      <w:pPr>
        <w:pStyle w:val="ListParagraph"/>
        <w:numPr>
          <w:ilvl w:val="0"/>
          <w:numId w:val="3"/>
        </w:numPr>
        <w:spacing w:after="160" w:line="259" w:lineRule="auto"/>
      </w:pPr>
      <w:r>
        <w:t xml:space="preserve">Banks and consumers are clear about their rights and responsibilities. </w:t>
      </w:r>
    </w:p>
    <w:p w14:paraId="1F5C874C" w14:textId="77777777" w:rsidR="00797F99" w:rsidRDefault="00797F99" w:rsidP="006F3103">
      <w:pPr>
        <w:pStyle w:val="Normal1"/>
      </w:pPr>
      <w:r>
        <w:t>It goes on to provide that specific attention will be given to:</w:t>
      </w:r>
    </w:p>
    <w:p w14:paraId="3BBF4095" w14:textId="02BCECEF" w:rsidR="00797F99" w:rsidRDefault="00797F99" w:rsidP="006F3103">
      <w:pPr>
        <w:pStyle w:val="ListParagraph"/>
        <w:numPr>
          <w:ilvl w:val="0"/>
          <w:numId w:val="3"/>
        </w:numPr>
        <w:spacing w:after="160" w:line="259" w:lineRule="auto"/>
      </w:pPr>
      <w:r>
        <w:t>the extent to which the Code contributes to banking services being inclusive and accessible for all customers;</w:t>
      </w:r>
      <w:r w:rsidR="00A13053">
        <w:t xml:space="preserve"> and</w:t>
      </w:r>
    </w:p>
    <w:p w14:paraId="331D6308" w14:textId="77777777" w:rsidR="00797F99" w:rsidRDefault="00797F99" w:rsidP="006F3103">
      <w:pPr>
        <w:pStyle w:val="ListParagraph"/>
        <w:numPr>
          <w:ilvl w:val="0"/>
          <w:numId w:val="3"/>
        </w:numPr>
        <w:spacing w:after="160" w:line="259" w:lineRule="auto"/>
      </w:pPr>
      <w:r>
        <w:t xml:space="preserve">the effectiveness of provisions of the Code for banks to act in a fair, reasonable and ethical manner, support customers during crises such as the COVID19 pandemic, and support customers experiencing vulnerability. </w:t>
      </w:r>
    </w:p>
    <w:p w14:paraId="096CE7A7" w14:textId="77777777" w:rsidR="00797F99" w:rsidRDefault="00797F99" w:rsidP="006F3103">
      <w:pPr>
        <w:pStyle w:val="Normal1"/>
      </w:pPr>
      <w:r>
        <w:t xml:space="preserve">The Queensland Human Rights Commission (the Commission) has a role in receiving complaints under the </w:t>
      </w:r>
      <w:r w:rsidRPr="00380E79">
        <w:rPr>
          <w:i/>
        </w:rPr>
        <w:t>Anti-Discrimination Act 1991</w:t>
      </w:r>
      <w:r>
        <w:t xml:space="preserve"> (Qld) (AD Act), including in relation to banks in the provision of goods and services.</w:t>
      </w:r>
    </w:p>
    <w:p w14:paraId="31FF988F" w14:textId="77777777" w:rsidR="00797F99" w:rsidRDefault="00797F99" w:rsidP="00A13053">
      <w:pPr>
        <w:pStyle w:val="Normal1"/>
      </w:pPr>
      <w:r>
        <w:t xml:space="preserve">On 1 January 2020, the </w:t>
      </w:r>
      <w:r w:rsidRPr="00380E79">
        <w:rPr>
          <w:i/>
        </w:rPr>
        <w:t>Human Rights Act 2019</w:t>
      </w:r>
      <w:r>
        <w:t xml:space="preserve"> (Qld) (HR Act) commenced operation in Queensland, the third jurisdiction in Australia to have human rights protections enshrined in legislation. While banks are not ‘public entities’ upon which the HR Act imposes obligations, a human rights approach assists in an assessment of the Code and whether it meets the needs of consumers, particularly those consumers who are </w:t>
      </w:r>
      <w:r w:rsidRPr="00624EAC">
        <w:t>more vulnerable to abuse or neglect.</w:t>
      </w:r>
      <w:r>
        <w:rPr>
          <w:rStyle w:val="FootnoteReference"/>
        </w:rPr>
        <w:footnoteReference w:id="1"/>
      </w:r>
      <w:r>
        <w:t xml:space="preserve"> </w:t>
      </w:r>
    </w:p>
    <w:p w14:paraId="358C63D7" w14:textId="77777777" w:rsidR="00797F99" w:rsidRDefault="00797F99" w:rsidP="00A13053">
      <w:pPr>
        <w:pStyle w:val="Normal1"/>
      </w:pPr>
      <w:r w:rsidRPr="00624EAC">
        <w:t xml:space="preserve">This submission draws </w:t>
      </w:r>
      <w:r>
        <w:t xml:space="preserve">on </w:t>
      </w:r>
      <w:r w:rsidRPr="00624EAC">
        <w:t xml:space="preserve">the Commission’s experience with </w:t>
      </w:r>
      <w:r>
        <w:t xml:space="preserve">handling discrimination and human rights </w:t>
      </w:r>
      <w:r w:rsidRPr="00624EAC">
        <w:t xml:space="preserve">complaints to </w:t>
      </w:r>
      <w:r>
        <w:t>address</w:t>
      </w:r>
      <w:r w:rsidRPr="00624EAC">
        <w:t xml:space="preserve"> the </w:t>
      </w:r>
      <w:r>
        <w:t>R</w:t>
      </w:r>
      <w:r w:rsidRPr="00624EAC">
        <w:t>eview’s terms of reference outlined above.</w:t>
      </w:r>
    </w:p>
    <w:p w14:paraId="65DF0A4B" w14:textId="3B31A1FF" w:rsidR="00797F99" w:rsidRPr="000C778D" w:rsidRDefault="00797F99" w:rsidP="00797F99">
      <w:pPr>
        <w:pStyle w:val="Heading1"/>
      </w:pPr>
      <w:bookmarkStart w:id="3" w:name="_Toc78976610"/>
      <w:bookmarkStart w:id="4" w:name="_Toc79097801"/>
      <w:r w:rsidRPr="000C778D">
        <w:t>About the Commission</w:t>
      </w:r>
      <w:bookmarkEnd w:id="3"/>
      <w:bookmarkEnd w:id="4"/>
    </w:p>
    <w:p w14:paraId="389ABB42" w14:textId="77777777" w:rsidR="00797F99" w:rsidRPr="00624EAC" w:rsidRDefault="00797F99" w:rsidP="006F3103">
      <w:pPr>
        <w:pStyle w:val="Normal1"/>
      </w:pPr>
      <w:r w:rsidRPr="00624EAC">
        <w:t xml:space="preserve">The Commission is a statutory authority established under the Queensland </w:t>
      </w:r>
      <w:r w:rsidRPr="006E5050">
        <w:rPr>
          <w:iCs/>
        </w:rPr>
        <w:t>AD Act</w:t>
      </w:r>
      <w:r w:rsidRPr="00624EAC">
        <w:rPr>
          <w:i/>
          <w:iCs/>
        </w:rPr>
        <w:t xml:space="preserve">. </w:t>
      </w:r>
    </w:p>
    <w:p w14:paraId="230EAEEA" w14:textId="77777777" w:rsidR="00797F99" w:rsidRPr="00624EAC" w:rsidRDefault="00797F99" w:rsidP="006F3103">
      <w:pPr>
        <w:pStyle w:val="Normal1"/>
      </w:pPr>
      <w:r w:rsidRPr="00624EAC">
        <w:lastRenderedPageBreak/>
        <w:t xml:space="preserve">The Commission has functions under the </w:t>
      </w:r>
      <w:r w:rsidRPr="006E5050">
        <w:rPr>
          <w:iCs/>
        </w:rPr>
        <w:t>AD Act</w:t>
      </w:r>
      <w:r>
        <w:rPr>
          <w:i/>
          <w:iCs/>
        </w:rPr>
        <w:t xml:space="preserve"> </w:t>
      </w:r>
      <w:r w:rsidRPr="00624EAC">
        <w:t xml:space="preserve">and the </w:t>
      </w:r>
      <w:r w:rsidRPr="006E5050">
        <w:rPr>
          <w:iCs/>
        </w:rPr>
        <w:t>HR Act</w:t>
      </w:r>
      <w:r>
        <w:rPr>
          <w:i/>
          <w:iCs/>
        </w:rPr>
        <w:t xml:space="preserve"> </w:t>
      </w:r>
      <w:r w:rsidRPr="00624EAC">
        <w:t xml:space="preserve">to promote an understanding and public discussion of human rights in Queensland, and to provide information and education about human rights. </w:t>
      </w:r>
    </w:p>
    <w:p w14:paraId="05591BFB" w14:textId="77777777" w:rsidR="00797F99" w:rsidRPr="00624EAC" w:rsidRDefault="00797F99" w:rsidP="006F3103">
      <w:pPr>
        <w:pStyle w:val="Normal1"/>
      </w:pPr>
      <w:r w:rsidRPr="00624EAC">
        <w:t>The Commission also deals with complaints of discrimination, vilification</w:t>
      </w:r>
      <w:r>
        <w:t>,</w:t>
      </w:r>
      <w:r w:rsidRPr="00624EAC">
        <w:t xml:space="preserve"> and other objectionable conduct under the </w:t>
      </w:r>
      <w:r>
        <w:rPr>
          <w:iCs/>
        </w:rPr>
        <w:t>AD Act</w:t>
      </w:r>
      <w:r w:rsidRPr="00624EAC">
        <w:rPr>
          <w:i/>
          <w:iCs/>
        </w:rPr>
        <w:t xml:space="preserve">, </w:t>
      </w:r>
      <w:r w:rsidRPr="00624EAC">
        <w:t xml:space="preserve">reprisal under the </w:t>
      </w:r>
      <w:r w:rsidRPr="00624EAC">
        <w:rPr>
          <w:i/>
          <w:iCs/>
        </w:rPr>
        <w:t>Public Interest Disclosure Act 2009</w:t>
      </w:r>
      <w:r>
        <w:rPr>
          <w:i/>
          <w:iCs/>
        </w:rPr>
        <w:t xml:space="preserve"> </w:t>
      </w:r>
      <w:r>
        <w:rPr>
          <w:iCs/>
        </w:rPr>
        <w:t>(Qld)</w:t>
      </w:r>
      <w:r w:rsidRPr="00624EAC">
        <w:t xml:space="preserve">, and human rights complaints under the </w:t>
      </w:r>
      <w:r w:rsidRPr="006E5050">
        <w:rPr>
          <w:iCs/>
        </w:rPr>
        <w:t>HR Act</w:t>
      </w:r>
      <w:r w:rsidRPr="00624EAC">
        <w:rPr>
          <w:i/>
          <w:iCs/>
        </w:rPr>
        <w:t>.</w:t>
      </w:r>
    </w:p>
    <w:p w14:paraId="1515A95D" w14:textId="34FB29F3" w:rsidR="00797F99" w:rsidRPr="00380E79" w:rsidRDefault="00797F99" w:rsidP="00797F99">
      <w:pPr>
        <w:pStyle w:val="Heading1"/>
      </w:pPr>
      <w:bookmarkStart w:id="5" w:name="_Toc78976611"/>
      <w:bookmarkStart w:id="6" w:name="_Toc79097802"/>
      <w:r w:rsidRPr="00380E79">
        <w:t>COVID</w:t>
      </w:r>
      <w:r>
        <w:t>-</w:t>
      </w:r>
      <w:r w:rsidRPr="00380E79">
        <w:t>19</w:t>
      </w:r>
      <w:bookmarkEnd w:id="5"/>
      <w:bookmarkEnd w:id="6"/>
    </w:p>
    <w:p w14:paraId="7B0F0AA8" w14:textId="77777777" w:rsidR="00797F99" w:rsidRDefault="00797F99" w:rsidP="006F3103">
      <w:pPr>
        <w:pStyle w:val="Normal1"/>
      </w:pPr>
      <w:r>
        <w:t xml:space="preserve">As stated in the </w:t>
      </w:r>
      <w:r w:rsidRPr="00B15BF2">
        <w:rPr>
          <w:i/>
        </w:rPr>
        <w:t>Consultation Note</w:t>
      </w:r>
      <w:r>
        <w:t xml:space="preserve"> for the Review</w:t>
      </w:r>
      <w:r>
        <w:rPr>
          <w:rStyle w:val="FootnoteReference"/>
        </w:rPr>
        <w:footnoteReference w:id="2"/>
      </w:r>
      <w:r>
        <w:t xml:space="preserve"> (the </w:t>
      </w:r>
      <w:r w:rsidRPr="00A13053">
        <w:rPr>
          <w:i/>
        </w:rPr>
        <w:t>Consultation Note</w:t>
      </w:r>
      <w:r>
        <w:t>), COVID-19 resulted in the temporary closure or reduced hours for branches, and a significantly greater use of digital channels for communication and financial transactions.</w:t>
      </w:r>
      <w:r>
        <w:rPr>
          <w:rStyle w:val="FootnoteReference"/>
        </w:rPr>
        <w:footnoteReference w:id="3"/>
      </w:r>
      <w:r>
        <w:t xml:space="preserve"> Another impact was the increased reliance on ‘tap and go’ technologies by vendors, who in some cases refused cash altogether.</w:t>
      </w:r>
    </w:p>
    <w:p w14:paraId="0B18BFE0" w14:textId="77777777" w:rsidR="00797F99" w:rsidRDefault="00797F99" w:rsidP="006F3103">
      <w:pPr>
        <w:pStyle w:val="Normal1"/>
      </w:pPr>
      <w:r>
        <w:t>The Commission became aware that some people with disability in Queensland do not have banking transaction cards due to not meeting the banks’ requirements, including the capacity to remember and operate a Personal Identification Number. As a result, the person was:</w:t>
      </w:r>
    </w:p>
    <w:p w14:paraId="4F85BD21" w14:textId="77777777" w:rsidR="00797F99" w:rsidRDefault="00797F99" w:rsidP="006F3103">
      <w:pPr>
        <w:pStyle w:val="ListParagraph"/>
        <w:numPr>
          <w:ilvl w:val="0"/>
          <w:numId w:val="3"/>
        </w:numPr>
        <w:spacing w:after="160" w:line="259" w:lineRule="auto"/>
      </w:pPr>
      <w:r>
        <w:t>unable to access their money due to the closure of bank branches;</w:t>
      </w:r>
    </w:p>
    <w:p w14:paraId="58B58323" w14:textId="77777777" w:rsidR="00797F99" w:rsidRDefault="00797F99" w:rsidP="006F3103">
      <w:pPr>
        <w:pStyle w:val="ListParagraph"/>
        <w:numPr>
          <w:ilvl w:val="0"/>
          <w:numId w:val="3"/>
        </w:numPr>
        <w:spacing w:after="160" w:line="259" w:lineRule="auto"/>
      </w:pPr>
      <w:r>
        <w:t>unable to make purchases through ‘tap and go’;</w:t>
      </w:r>
    </w:p>
    <w:p w14:paraId="4674C1FC" w14:textId="77777777" w:rsidR="00797F99" w:rsidRDefault="00797F99" w:rsidP="006F3103">
      <w:pPr>
        <w:pStyle w:val="ListParagraph"/>
        <w:numPr>
          <w:ilvl w:val="0"/>
          <w:numId w:val="3"/>
        </w:numPr>
        <w:spacing w:after="160" w:line="259" w:lineRule="auto"/>
      </w:pPr>
      <w:r>
        <w:t xml:space="preserve">potentially put at more risk of COVID-19 transmission by having to deal in person and in cash.  </w:t>
      </w:r>
    </w:p>
    <w:p w14:paraId="0842CC73" w14:textId="77777777" w:rsidR="00797F99" w:rsidRDefault="00797F99" w:rsidP="006F3103">
      <w:pPr>
        <w:pStyle w:val="Normal1"/>
      </w:pPr>
      <w:r>
        <w:t>As it has done in other areas, the pandemic has highlighted the disadvantages faced by people with disability and inequalities in access to basic services. As technologies have evolved, the benefits enjoyed by most consumers, such as ease of access and greater transactional accountability, have not been passed to people who need additional support to access those technologies. Many of the current barriers to access, justified as ‘safeguards’, were put in place at a time when cash transactions were more common place and based on outdated concepts of capacity and disability. These safeguards are no longer appropriate and must be reconsidered in light of current community standards and expectations</w:t>
      </w:r>
      <w:r w:rsidRPr="00B11171">
        <w:t>, and involve targeted consultation with people with disability, their families, and other supports.</w:t>
      </w:r>
      <w:r>
        <w:t xml:space="preserve"> </w:t>
      </w:r>
    </w:p>
    <w:p w14:paraId="05A9FA79" w14:textId="77777777" w:rsidR="00797F99" w:rsidRDefault="00797F99" w:rsidP="006F3103">
      <w:pPr>
        <w:pStyle w:val="Normal1"/>
      </w:pPr>
      <w:r w:rsidRPr="00B11171">
        <w:t xml:space="preserve">Further, responses to emergencies, such as closure of branches, must plan for the impact </w:t>
      </w:r>
      <w:r>
        <w:t xml:space="preserve">that </w:t>
      </w:r>
      <w:r w:rsidRPr="00B11171">
        <w:t xml:space="preserve">changes in service delivery will have on people most at risk </w:t>
      </w:r>
      <w:r>
        <w:t>from</w:t>
      </w:r>
      <w:r w:rsidRPr="00B11171">
        <w:t xml:space="preserve"> those changes.</w:t>
      </w:r>
      <w:r>
        <w:t xml:space="preserve"> Shortfalls in the Code in this regard are acknowledged at page 16 of the </w:t>
      </w:r>
      <w:r w:rsidRPr="001D7795">
        <w:rPr>
          <w:i/>
        </w:rPr>
        <w:t>Consultation Note</w:t>
      </w:r>
      <w:r>
        <w:t xml:space="preserve">. </w:t>
      </w:r>
    </w:p>
    <w:p w14:paraId="64FAAB41" w14:textId="77777777" w:rsidR="00797F99" w:rsidRDefault="00797F99" w:rsidP="00797F99">
      <w:r>
        <w:t xml:space="preserve">More discussion regarding discrimination on the basis of disability is outlined below. </w:t>
      </w:r>
    </w:p>
    <w:p w14:paraId="75716E6B" w14:textId="77777777" w:rsidR="002379F0" w:rsidRDefault="002379F0">
      <w:pPr>
        <w:rPr>
          <w:rFonts w:eastAsiaTheme="majorEastAsia" w:cstheme="majorBidi"/>
          <w:b/>
          <w:color w:val="365F91" w:themeColor="accent1" w:themeShade="BF"/>
          <w:sz w:val="28"/>
          <w:szCs w:val="32"/>
        </w:rPr>
      </w:pPr>
      <w:bookmarkStart w:id="7" w:name="_Toc78976612"/>
      <w:r>
        <w:br w:type="page"/>
      </w:r>
    </w:p>
    <w:p w14:paraId="7F88B866" w14:textId="55FA112A" w:rsidR="00797F99" w:rsidRDefault="00797F99" w:rsidP="00797F99">
      <w:pPr>
        <w:pStyle w:val="Heading1"/>
      </w:pPr>
      <w:bookmarkStart w:id="8" w:name="_Toc79097803"/>
      <w:r>
        <w:lastRenderedPageBreak/>
        <w:t>Inclusive and accessible services</w:t>
      </w:r>
      <w:bookmarkEnd w:id="7"/>
      <w:bookmarkEnd w:id="8"/>
    </w:p>
    <w:p w14:paraId="3B170E73" w14:textId="77777777" w:rsidR="00797F99" w:rsidRDefault="00797F99" w:rsidP="006F3103">
      <w:pPr>
        <w:pStyle w:val="Normal1"/>
      </w:pPr>
      <w:r>
        <w:t>Relevantly, the AD Act makes it unlawful to:</w:t>
      </w:r>
    </w:p>
    <w:p w14:paraId="7E92331B" w14:textId="77777777" w:rsidR="00797F99" w:rsidRDefault="00797F99" w:rsidP="006F3103">
      <w:pPr>
        <w:pStyle w:val="ListParagraph"/>
        <w:numPr>
          <w:ilvl w:val="0"/>
          <w:numId w:val="3"/>
        </w:numPr>
        <w:spacing w:after="160" w:line="259" w:lineRule="auto"/>
      </w:pPr>
      <w:r>
        <w:t>treat a person with an attribute less favourably than a person without the attribute (</w:t>
      </w:r>
      <w:r w:rsidRPr="00A13053">
        <w:t>direct discrimination</w:t>
      </w:r>
      <w:r>
        <w:t>);</w:t>
      </w:r>
    </w:p>
    <w:p w14:paraId="49BF9123" w14:textId="77777777" w:rsidR="00797F99" w:rsidRDefault="00797F99" w:rsidP="006F3103">
      <w:pPr>
        <w:pStyle w:val="ListParagraph"/>
        <w:numPr>
          <w:ilvl w:val="0"/>
          <w:numId w:val="3"/>
        </w:numPr>
        <w:spacing w:after="160" w:line="259" w:lineRule="auto"/>
      </w:pPr>
      <w:r>
        <w:t>impose an unreasonable term, with which a person with an attribute is unable to comply, but which a person without the attribute is able to comply (</w:t>
      </w:r>
      <w:r w:rsidRPr="00A13053">
        <w:t>indirect discrimination</w:t>
      </w:r>
      <w:r>
        <w:t>);</w:t>
      </w:r>
    </w:p>
    <w:p w14:paraId="552FCF25" w14:textId="77777777" w:rsidR="00797F99" w:rsidRDefault="00797F99" w:rsidP="006F3103">
      <w:pPr>
        <w:pStyle w:val="ListParagraph"/>
        <w:numPr>
          <w:ilvl w:val="0"/>
          <w:numId w:val="3"/>
        </w:numPr>
        <w:spacing w:after="160" w:line="259" w:lineRule="auto"/>
      </w:pPr>
      <w:r>
        <w:t>sexually harass someone;</w:t>
      </w:r>
    </w:p>
    <w:p w14:paraId="262A99B5" w14:textId="6737D945" w:rsidR="00797F99" w:rsidRDefault="00797F99" w:rsidP="006F3103">
      <w:pPr>
        <w:pStyle w:val="ListParagraph"/>
        <w:numPr>
          <w:ilvl w:val="0"/>
          <w:numId w:val="3"/>
        </w:numPr>
        <w:spacing w:after="160" w:line="259" w:lineRule="auto"/>
      </w:pPr>
      <w:r>
        <w:t>treat someone to their detriment because they refuse to do something that would contravene the AD Act, made a complaint under the AD Act, or were involved in another person’s complaint under the AD Act (</w:t>
      </w:r>
      <w:r w:rsidRPr="00A13053">
        <w:t>victimisation</w:t>
      </w:r>
      <w:r>
        <w:t>)</w:t>
      </w:r>
      <w:r w:rsidR="00A13053">
        <w:t>;</w:t>
      </w:r>
    </w:p>
    <w:p w14:paraId="4B57715F" w14:textId="77777777" w:rsidR="00797F99" w:rsidRDefault="00797F99" w:rsidP="006F3103">
      <w:pPr>
        <w:pStyle w:val="ListParagraph"/>
        <w:numPr>
          <w:ilvl w:val="0"/>
          <w:numId w:val="3"/>
        </w:numPr>
        <w:spacing w:after="160" w:line="259" w:lineRule="auto"/>
      </w:pPr>
      <w:r>
        <w:t>ask for information which could be used to discriminate against a person, unless the information is genuinely required for a non-discriminatory reason (</w:t>
      </w:r>
      <w:r w:rsidRPr="00A13053">
        <w:t>unnecessary information</w:t>
      </w:r>
      <w:r>
        <w:t xml:space="preserve">). </w:t>
      </w:r>
    </w:p>
    <w:p w14:paraId="74A52153" w14:textId="77777777" w:rsidR="00797F99" w:rsidRDefault="00797F99" w:rsidP="006F3103">
      <w:pPr>
        <w:pStyle w:val="Normal1"/>
      </w:pPr>
      <w:r>
        <w:t>Discrimination must be on the basis of an attribute listed in the AD Act</w:t>
      </w:r>
      <w:r>
        <w:rPr>
          <w:rStyle w:val="FootnoteReference"/>
        </w:rPr>
        <w:footnoteReference w:id="4"/>
      </w:r>
      <w:r>
        <w:t>. The list includes discrimination on the basis of age, race (which includes language as a characteristic of race), and impairment. It does not include geographical location.</w:t>
      </w:r>
      <w:r>
        <w:rPr>
          <w:rStyle w:val="FootnoteReference"/>
        </w:rPr>
        <w:footnoteReference w:id="5"/>
      </w:r>
      <w:r>
        <w:t xml:space="preserve"> </w:t>
      </w:r>
    </w:p>
    <w:p w14:paraId="7DFC68DB" w14:textId="77777777" w:rsidR="00797F99" w:rsidRDefault="00797F99" w:rsidP="006F3103">
      <w:pPr>
        <w:pStyle w:val="Normal1"/>
      </w:pPr>
      <w:r>
        <w:t>Between 1 January 2010 and 31 December 2021, the Commission recorded approximately 69 complaints made by consumers against respondent banks under the AD Act.</w:t>
      </w:r>
      <w:r>
        <w:rPr>
          <w:rStyle w:val="FootnoteReference"/>
        </w:rPr>
        <w:footnoteReference w:id="6"/>
      </w:r>
      <w:r>
        <w:t xml:space="preserve"> Table 1 shows the number of complaints received by year. Of the 38 complaints accepted for conciliation, most cases (30) were conciliated, three were referred to QCAT for determination, and five were either not resolved and not referred, or withdrawn.  </w:t>
      </w:r>
    </w:p>
    <w:p w14:paraId="574F9590" w14:textId="32120CAC" w:rsidR="00797F99" w:rsidRDefault="00797F99" w:rsidP="00797F99">
      <w:r>
        <w:t xml:space="preserve">The grounds on which accepted discrimination </w:t>
      </w:r>
      <w:r w:rsidR="003134D5">
        <w:t xml:space="preserve">complaints </w:t>
      </w:r>
      <w:r>
        <w:t xml:space="preserve">were made </w:t>
      </w:r>
      <w:r w:rsidR="003134D5">
        <w:t xml:space="preserve">are </w:t>
      </w:r>
      <w:r>
        <w:t xml:space="preserve">set out in Table 2. </w:t>
      </w:r>
    </w:p>
    <w:p w14:paraId="0FF1F3FA" w14:textId="2A3932E4" w:rsidR="00797F99" w:rsidRDefault="00797F99" w:rsidP="002379F0">
      <w:pPr>
        <w:spacing w:before="120" w:after="360"/>
        <w:ind w:firstLine="720"/>
        <w:rPr>
          <w:rFonts w:eastAsia="Times New Roman" w:cs="Arial"/>
          <w:b/>
          <w:sz w:val="22"/>
          <w:szCs w:val="22"/>
          <w:lang w:eastAsia="en-AU"/>
        </w:rPr>
      </w:pPr>
      <w:r>
        <w:rPr>
          <w:noProof/>
          <w:lang w:eastAsia="en-AU"/>
        </w:rPr>
        <w:lastRenderedPageBreak/>
        <w:drawing>
          <wp:anchor distT="0" distB="0" distL="114300" distR="114300" simplePos="0" relativeHeight="251658240" behindDoc="0" locked="0" layoutInCell="1" allowOverlap="1" wp14:anchorId="3B5F76F0" wp14:editId="0DECD51C">
            <wp:simplePos x="0" y="0"/>
            <wp:positionH relativeFrom="column">
              <wp:posOffset>377190</wp:posOffset>
            </wp:positionH>
            <wp:positionV relativeFrom="paragraph">
              <wp:posOffset>0</wp:posOffset>
            </wp:positionV>
            <wp:extent cx="5010150" cy="314325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rFonts w:eastAsia="Times New Roman" w:cs="Arial"/>
          <w:b/>
          <w:sz w:val="22"/>
          <w:szCs w:val="22"/>
          <w:lang w:eastAsia="en-AU"/>
        </w:rPr>
        <w:t xml:space="preserve">Table 1: Complaints received by year </w:t>
      </w:r>
    </w:p>
    <w:tbl>
      <w:tblPr>
        <w:tblW w:w="5320" w:type="dxa"/>
        <w:tblInd w:w="607" w:type="dxa"/>
        <w:tblLook w:val="04A0" w:firstRow="1" w:lastRow="0" w:firstColumn="1" w:lastColumn="0" w:noHBand="0" w:noVBand="1"/>
      </w:tblPr>
      <w:tblGrid>
        <w:gridCol w:w="2780"/>
        <w:gridCol w:w="2540"/>
      </w:tblGrid>
      <w:tr w:rsidR="00797F99" w:rsidRPr="003F14C4" w14:paraId="5CC4B724" w14:textId="77777777" w:rsidTr="00CC77B4">
        <w:trPr>
          <w:trHeight w:val="600"/>
        </w:trPr>
        <w:tc>
          <w:tcPr>
            <w:tcW w:w="2780" w:type="dxa"/>
            <w:tcBorders>
              <w:top w:val="single" w:sz="8" w:space="0" w:color="808080"/>
              <w:left w:val="single" w:sz="4" w:space="0" w:color="000000"/>
              <w:bottom w:val="single" w:sz="4" w:space="0" w:color="000000"/>
              <w:right w:val="nil"/>
            </w:tcBorders>
            <w:shd w:val="clear" w:color="808080" w:fill="808080"/>
            <w:hideMark/>
          </w:tcPr>
          <w:p w14:paraId="502972F2" w14:textId="77777777" w:rsidR="00797F99" w:rsidRPr="003F14C4" w:rsidRDefault="00797F99" w:rsidP="00CC77B4">
            <w:pPr>
              <w:rPr>
                <w:rFonts w:eastAsia="Times New Roman" w:cs="Arial"/>
                <w:b/>
                <w:bCs/>
                <w:color w:val="FFFFFF"/>
                <w:sz w:val="22"/>
                <w:szCs w:val="22"/>
                <w:lang w:eastAsia="en-AU"/>
              </w:rPr>
            </w:pPr>
            <w:r w:rsidRPr="003F14C4">
              <w:rPr>
                <w:rFonts w:eastAsia="Times New Roman" w:cs="Arial"/>
                <w:b/>
                <w:bCs/>
                <w:color w:val="FFFFFF"/>
                <w:sz w:val="22"/>
                <w:szCs w:val="22"/>
                <w:lang w:eastAsia="en-AU"/>
              </w:rPr>
              <w:t>Attribute</w:t>
            </w:r>
          </w:p>
        </w:tc>
        <w:tc>
          <w:tcPr>
            <w:tcW w:w="2540" w:type="dxa"/>
            <w:tcBorders>
              <w:top w:val="single" w:sz="8" w:space="0" w:color="808080"/>
              <w:left w:val="nil"/>
              <w:bottom w:val="single" w:sz="4" w:space="0" w:color="000000"/>
              <w:right w:val="single" w:sz="4" w:space="0" w:color="000000"/>
            </w:tcBorders>
            <w:shd w:val="clear" w:color="808080" w:fill="808080"/>
            <w:hideMark/>
          </w:tcPr>
          <w:p w14:paraId="612B7F6F" w14:textId="77777777" w:rsidR="00797F99" w:rsidRPr="003F14C4" w:rsidRDefault="00797F99" w:rsidP="00CC77B4">
            <w:pPr>
              <w:rPr>
                <w:rFonts w:eastAsia="Times New Roman" w:cs="Arial"/>
                <w:b/>
                <w:bCs/>
                <w:color w:val="FFFFFF"/>
                <w:sz w:val="22"/>
                <w:szCs w:val="22"/>
                <w:lang w:eastAsia="en-AU"/>
              </w:rPr>
            </w:pPr>
            <w:r w:rsidRPr="003F14C4">
              <w:rPr>
                <w:rFonts w:eastAsia="Times New Roman" w:cs="Arial"/>
                <w:b/>
                <w:bCs/>
                <w:color w:val="FFFFFF"/>
                <w:sz w:val="22"/>
                <w:szCs w:val="22"/>
                <w:lang w:eastAsia="en-AU"/>
              </w:rPr>
              <w:t>Accepted complaints</w:t>
            </w:r>
          </w:p>
        </w:tc>
      </w:tr>
      <w:tr w:rsidR="00797F99" w:rsidRPr="003F14C4" w14:paraId="095F6850" w14:textId="77777777" w:rsidTr="00CC77B4">
        <w:trPr>
          <w:trHeight w:val="300"/>
        </w:trPr>
        <w:tc>
          <w:tcPr>
            <w:tcW w:w="2780" w:type="dxa"/>
            <w:tcBorders>
              <w:top w:val="single" w:sz="4" w:space="0" w:color="000000"/>
              <w:left w:val="single" w:sz="4" w:space="0" w:color="000000"/>
              <w:bottom w:val="single" w:sz="4" w:space="0" w:color="000000"/>
              <w:right w:val="nil"/>
            </w:tcBorders>
            <w:shd w:val="clear" w:color="auto" w:fill="auto"/>
            <w:hideMark/>
          </w:tcPr>
          <w:p w14:paraId="01B2B68D" w14:textId="77777777" w:rsidR="00797F99" w:rsidRPr="003F14C4" w:rsidRDefault="00797F99" w:rsidP="00CC77B4">
            <w:pPr>
              <w:rPr>
                <w:rFonts w:eastAsia="Times New Roman" w:cs="Arial"/>
                <w:color w:val="000000"/>
                <w:sz w:val="22"/>
                <w:szCs w:val="22"/>
                <w:lang w:eastAsia="en-AU"/>
              </w:rPr>
            </w:pPr>
            <w:r w:rsidRPr="003F14C4">
              <w:rPr>
                <w:rFonts w:eastAsia="Times New Roman" w:cs="Arial"/>
                <w:color w:val="000000"/>
                <w:sz w:val="22"/>
                <w:szCs w:val="22"/>
                <w:lang w:eastAsia="en-AU"/>
              </w:rPr>
              <w:t>Impairment</w:t>
            </w:r>
          </w:p>
        </w:tc>
        <w:tc>
          <w:tcPr>
            <w:tcW w:w="2540" w:type="dxa"/>
            <w:tcBorders>
              <w:top w:val="single" w:sz="4" w:space="0" w:color="000000"/>
              <w:left w:val="nil"/>
              <w:bottom w:val="single" w:sz="4" w:space="0" w:color="000000"/>
              <w:right w:val="single" w:sz="4" w:space="0" w:color="000000"/>
            </w:tcBorders>
            <w:shd w:val="clear" w:color="auto" w:fill="auto"/>
            <w:hideMark/>
          </w:tcPr>
          <w:p w14:paraId="4011E3DD" w14:textId="77777777" w:rsidR="00797F99" w:rsidRPr="003F14C4" w:rsidRDefault="00797F99" w:rsidP="00CC77B4">
            <w:pPr>
              <w:jc w:val="right"/>
              <w:rPr>
                <w:rFonts w:eastAsia="Times New Roman" w:cs="Arial"/>
                <w:color w:val="000000"/>
                <w:sz w:val="22"/>
                <w:szCs w:val="22"/>
                <w:lang w:eastAsia="en-AU"/>
              </w:rPr>
            </w:pPr>
            <w:r w:rsidRPr="003F14C4">
              <w:rPr>
                <w:rFonts w:eastAsia="Times New Roman" w:cs="Arial"/>
                <w:color w:val="000000"/>
                <w:sz w:val="22"/>
                <w:szCs w:val="22"/>
                <w:lang w:eastAsia="en-AU"/>
              </w:rPr>
              <w:t>13</w:t>
            </w:r>
          </w:p>
        </w:tc>
      </w:tr>
      <w:tr w:rsidR="00797F99" w:rsidRPr="003F14C4" w14:paraId="3D8BE135" w14:textId="77777777" w:rsidTr="00CC77B4">
        <w:trPr>
          <w:trHeight w:val="300"/>
        </w:trPr>
        <w:tc>
          <w:tcPr>
            <w:tcW w:w="2780" w:type="dxa"/>
            <w:tcBorders>
              <w:top w:val="single" w:sz="4" w:space="0" w:color="000000"/>
              <w:left w:val="single" w:sz="4" w:space="0" w:color="000000"/>
              <w:bottom w:val="single" w:sz="4" w:space="0" w:color="000000"/>
              <w:right w:val="nil"/>
            </w:tcBorders>
            <w:shd w:val="clear" w:color="auto" w:fill="auto"/>
            <w:hideMark/>
          </w:tcPr>
          <w:p w14:paraId="2C317312" w14:textId="77777777" w:rsidR="00797F99" w:rsidRPr="003F14C4" w:rsidRDefault="00797F99" w:rsidP="00CC77B4">
            <w:pPr>
              <w:rPr>
                <w:rFonts w:eastAsia="Times New Roman" w:cs="Arial"/>
                <w:color w:val="000000"/>
                <w:sz w:val="22"/>
                <w:szCs w:val="22"/>
                <w:lang w:eastAsia="en-AU"/>
              </w:rPr>
            </w:pPr>
            <w:r w:rsidRPr="003F14C4">
              <w:rPr>
                <w:rFonts w:eastAsia="Times New Roman" w:cs="Arial"/>
                <w:color w:val="000000"/>
                <w:sz w:val="22"/>
                <w:szCs w:val="22"/>
                <w:lang w:eastAsia="en-AU"/>
              </w:rPr>
              <w:t>Age</w:t>
            </w:r>
          </w:p>
        </w:tc>
        <w:tc>
          <w:tcPr>
            <w:tcW w:w="2540" w:type="dxa"/>
            <w:tcBorders>
              <w:top w:val="single" w:sz="4" w:space="0" w:color="000000"/>
              <w:left w:val="nil"/>
              <w:bottom w:val="single" w:sz="4" w:space="0" w:color="000000"/>
              <w:right w:val="single" w:sz="4" w:space="0" w:color="000000"/>
            </w:tcBorders>
            <w:shd w:val="clear" w:color="auto" w:fill="auto"/>
            <w:hideMark/>
          </w:tcPr>
          <w:p w14:paraId="00184140" w14:textId="77777777" w:rsidR="00797F99" w:rsidRPr="003F14C4" w:rsidRDefault="00797F99" w:rsidP="00CC77B4">
            <w:pPr>
              <w:jc w:val="right"/>
              <w:rPr>
                <w:rFonts w:eastAsia="Times New Roman" w:cs="Arial"/>
                <w:color w:val="000000"/>
                <w:sz w:val="22"/>
                <w:szCs w:val="22"/>
                <w:lang w:eastAsia="en-AU"/>
              </w:rPr>
            </w:pPr>
            <w:r w:rsidRPr="003F14C4">
              <w:rPr>
                <w:rFonts w:eastAsia="Times New Roman" w:cs="Arial"/>
                <w:color w:val="000000"/>
                <w:sz w:val="22"/>
                <w:szCs w:val="22"/>
                <w:lang w:eastAsia="en-AU"/>
              </w:rPr>
              <w:t>8</w:t>
            </w:r>
          </w:p>
        </w:tc>
      </w:tr>
      <w:tr w:rsidR="00797F99" w:rsidRPr="003F14C4" w14:paraId="705BF90D" w14:textId="77777777" w:rsidTr="00CC77B4">
        <w:trPr>
          <w:trHeight w:val="300"/>
        </w:trPr>
        <w:tc>
          <w:tcPr>
            <w:tcW w:w="2780" w:type="dxa"/>
            <w:tcBorders>
              <w:top w:val="single" w:sz="4" w:space="0" w:color="000000"/>
              <w:left w:val="single" w:sz="4" w:space="0" w:color="000000"/>
              <w:bottom w:val="single" w:sz="4" w:space="0" w:color="000000"/>
              <w:right w:val="nil"/>
            </w:tcBorders>
            <w:shd w:val="clear" w:color="auto" w:fill="auto"/>
            <w:hideMark/>
          </w:tcPr>
          <w:p w14:paraId="3A4B877F" w14:textId="77777777" w:rsidR="00797F99" w:rsidRPr="003F14C4" w:rsidRDefault="00797F99" w:rsidP="00CC77B4">
            <w:pPr>
              <w:rPr>
                <w:rFonts w:eastAsia="Times New Roman" w:cs="Arial"/>
                <w:color w:val="000000"/>
                <w:sz w:val="22"/>
                <w:szCs w:val="22"/>
                <w:lang w:eastAsia="en-AU"/>
              </w:rPr>
            </w:pPr>
            <w:r w:rsidRPr="003F14C4">
              <w:rPr>
                <w:rFonts w:eastAsia="Times New Roman" w:cs="Arial"/>
                <w:color w:val="000000"/>
                <w:sz w:val="22"/>
                <w:szCs w:val="22"/>
                <w:lang w:eastAsia="en-AU"/>
              </w:rPr>
              <w:t>Gender identity</w:t>
            </w:r>
          </w:p>
        </w:tc>
        <w:tc>
          <w:tcPr>
            <w:tcW w:w="2540" w:type="dxa"/>
            <w:tcBorders>
              <w:top w:val="single" w:sz="4" w:space="0" w:color="000000"/>
              <w:left w:val="nil"/>
              <w:bottom w:val="single" w:sz="4" w:space="0" w:color="000000"/>
              <w:right w:val="single" w:sz="4" w:space="0" w:color="000000"/>
            </w:tcBorders>
            <w:shd w:val="clear" w:color="auto" w:fill="auto"/>
            <w:hideMark/>
          </w:tcPr>
          <w:p w14:paraId="7E99E10F" w14:textId="77777777" w:rsidR="00797F99" w:rsidRPr="003F14C4" w:rsidRDefault="00797F99" w:rsidP="00CC77B4">
            <w:pPr>
              <w:jc w:val="right"/>
              <w:rPr>
                <w:rFonts w:eastAsia="Times New Roman" w:cs="Arial"/>
                <w:color w:val="000000"/>
                <w:sz w:val="22"/>
                <w:szCs w:val="22"/>
                <w:lang w:eastAsia="en-AU"/>
              </w:rPr>
            </w:pPr>
            <w:r w:rsidRPr="003F14C4">
              <w:rPr>
                <w:rFonts w:eastAsia="Times New Roman" w:cs="Arial"/>
                <w:color w:val="000000"/>
                <w:sz w:val="22"/>
                <w:szCs w:val="22"/>
                <w:lang w:eastAsia="en-AU"/>
              </w:rPr>
              <w:t>5</w:t>
            </w:r>
          </w:p>
        </w:tc>
      </w:tr>
      <w:tr w:rsidR="00797F99" w:rsidRPr="003F14C4" w14:paraId="46FAE2E4" w14:textId="77777777" w:rsidTr="00CC77B4">
        <w:trPr>
          <w:trHeight w:val="300"/>
        </w:trPr>
        <w:tc>
          <w:tcPr>
            <w:tcW w:w="2780" w:type="dxa"/>
            <w:tcBorders>
              <w:top w:val="single" w:sz="4" w:space="0" w:color="000000"/>
              <w:left w:val="single" w:sz="4" w:space="0" w:color="000000"/>
              <w:bottom w:val="single" w:sz="4" w:space="0" w:color="000000"/>
              <w:right w:val="nil"/>
            </w:tcBorders>
            <w:shd w:val="clear" w:color="auto" w:fill="auto"/>
            <w:hideMark/>
          </w:tcPr>
          <w:p w14:paraId="136E6AA0" w14:textId="77777777" w:rsidR="00797F99" w:rsidRPr="003F14C4" w:rsidRDefault="00797F99" w:rsidP="00CC77B4">
            <w:pPr>
              <w:rPr>
                <w:rFonts w:eastAsia="Times New Roman" w:cs="Arial"/>
                <w:color w:val="000000"/>
                <w:sz w:val="22"/>
                <w:szCs w:val="22"/>
                <w:lang w:eastAsia="en-AU"/>
              </w:rPr>
            </w:pPr>
            <w:r w:rsidRPr="003F14C4">
              <w:rPr>
                <w:rFonts w:eastAsia="Times New Roman" w:cs="Arial"/>
                <w:color w:val="000000"/>
                <w:sz w:val="22"/>
                <w:szCs w:val="22"/>
                <w:lang w:eastAsia="en-AU"/>
              </w:rPr>
              <w:t>Relationship status</w:t>
            </w:r>
          </w:p>
        </w:tc>
        <w:tc>
          <w:tcPr>
            <w:tcW w:w="2540" w:type="dxa"/>
            <w:tcBorders>
              <w:top w:val="single" w:sz="4" w:space="0" w:color="000000"/>
              <w:left w:val="nil"/>
              <w:bottom w:val="single" w:sz="4" w:space="0" w:color="000000"/>
              <w:right w:val="single" w:sz="4" w:space="0" w:color="000000"/>
            </w:tcBorders>
            <w:shd w:val="clear" w:color="auto" w:fill="auto"/>
            <w:hideMark/>
          </w:tcPr>
          <w:p w14:paraId="0DFD3C31" w14:textId="77777777" w:rsidR="00797F99" w:rsidRPr="003F14C4" w:rsidRDefault="00797F99" w:rsidP="00CC77B4">
            <w:pPr>
              <w:jc w:val="right"/>
              <w:rPr>
                <w:rFonts w:eastAsia="Times New Roman" w:cs="Arial"/>
                <w:color w:val="000000"/>
                <w:sz w:val="22"/>
                <w:szCs w:val="22"/>
                <w:lang w:eastAsia="en-AU"/>
              </w:rPr>
            </w:pPr>
            <w:r w:rsidRPr="003F14C4">
              <w:rPr>
                <w:rFonts w:eastAsia="Times New Roman" w:cs="Arial"/>
                <w:color w:val="000000"/>
                <w:sz w:val="22"/>
                <w:szCs w:val="22"/>
                <w:lang w:eastAsia="en-AU"/>
              </w:rPr>
              <w:t>3</w:t>
            </w:r>
          </w:p>
        </w:tc>
      </w:tr>
      <w:tr w:rsidR="00797F99" w:rsidRPr="003F14C4" w14:paraId="73FC776A" w14:textId="77777777" w:rsidTr="00CC77B4">
        <w:trPr>
          <w:trHeight w:val="300"/>
        </w:trPr>
        <w:tc>
          <w:tcPr>
            <w:tcW w:w="2780" w:type="dxa"/>
            <w:tcBorders>
              <w:top w:val="single" w:sz="4" w:space="0" w:color="000000"/>
              <w:left w:val="single" w:sz="4" w:space="0" w:color="000000"/>
              <w:bottom w:val="single" w:sz="4" w:space="0" w:color="000000"/>
              <w:right w:val="nil"/>
            </w:tcBorders>
            <w:shd w:val="clear" w:color="auto" w:fill="auto"/>
            <w:hideMark/>
          </w:tcPr>
          <w:p w14:paraId="21DF1C6C" w14:textId="77777777" w:rsidR="00797F99" w:rsidRPr="003F14C4" w:rsidRDefault="00797F99" w:rsidP="00CC77B4">
            <w:pPr>
              <w:rPr>
                <w:rFonts w:eastAsia="Times New Roman" w:cs="Arial"/>
                <w:color w:val="000000"/>
                <w:sz w:val="22"/>
                <w:szCs w:val="22"/>
                <w:lang w:eastAsia="en-AU"/>
              </w:rPr>
            </w:pPr>
            <w:r w:rsidRPr="003F14C4">
              <w:rPr>
                <w:rFonts w:eastAsia="Times New Roman" w:cs="Arial"/>
                <w:color w:val="000000"/>
                <w:sz w:val="22"/>
                <w:szCs w:val="22"/>
                <w:lang w:eastAsia="en-AU"/>
              </w:rPr>
              <w:t>Race</w:t>
            </w:r>
          </w:p>
        </w:tc>
        <w:tc>
          <w:tcPr>
            <w:tcW w:w="2540" w:type="dxa"/>
            <w:tcBorders>
              <w:top w:val="single" w:sz="4" w:space="0" w:color="000000"/>
              <w:left w:val="nil"/>
              <w:bottom w:val="single" w:sz="4" w:space="0" w:color="000000"/>
              <w:right w:val="single" w:sz="4" w:space="0" w:color="000000"/>
            </w:tcBorders>
            <w:shd w:val="clear" w:color="auto" w:fill="auto"/>
            <w:hideMark/>
          </w:tcPr>
          <w:p w14:paraId="07521BAD" w14:textId="77777777" w:rsidR="00797F99" w:rsidRPr="003F14C4" w:rsidRDefault="00797F99" w:rsidP="00CC77B4">
            <w:pPr>
              <w:jc w:val="right"/>
              <w:rPr>
                <w:rFonts w:eastAsia="Times New Roman" w:cs="Arial"/>
                <w:color w:val="000000"/>
                <w:sz w:val="22"/>
                <w:szCs w:val="22"/>
                <w:lang w:eastAsia="en-AU"/>
              </w:rPr>
            </w:pPr>
            <w:r w:rsidRPr="003F14C4">
              <w:rPr>
                <w:rFonts w:eastAsia="Times New Roman" w:cs="Arial"/>
                <w:color w:val="000000"/>
                <w:sz w:val="22"/>
                <w:szCs w:val="22"/>
                <w:lang w:eastAsia="en-AU"/>
              </w:rPr>
              <w:t>2</w:t>
            </w:r>
          </w:p>
        </w:tc>
      </w:tr>
      <w:tr w:rsidR="00797F99" w:rsidRPr="003F14C4" w14:paraId="5AB4D5DC" w14:textId="77777777" w:rsidTr="00CC77B4">
        <w:trPr>
          <w:trHeight w:val="300"/>
        </w:trPr>
        <w:tc>
          <w:tcPr>
            <w:tcW w:w="2780" w:type="dxa"/>
            <w:tcBorders>
              <w:top w:val="single" w:sz="4" w:space="0" w:color="000000"/>
              <w:left w:val="single" w:sz="4" w:space="0" w:color="000000"/>
              <w:bottom w:val="single" w:sz="4" w:space="0" w:color="000000"/>
              <w:right w:val="nil"/>
            </w:tcBorders>
            <w:shd w:val="clear" w:color="auto" w:fill="auto"/>
            <w:hideMark/>
          </w:tcPr>
          <w:p w14:paraId="377E06DC" w14:textId="77777777" w:rsidR="00797F99" w:rsidRPr="003F14C4" w:rsidRDefault="00797F99" w:rsidP="00CC77B4">
            <w:pPr>
              <w:rPr>
                <w:rFonts w:eastAsia="Times New Roman" w:cs="Arial"/>
                <w:color w:val="000000"/>
                <w:sz w:val="22"/>
                <w:szCs w:val="22"/>
                <w:lang w:eastAsia="en-AU"/>
              </w:rPr>
            </w:pPr>
            <w:r w:rsidRPr="003F14C4">
              <w:rPr>
                <w:rFonts w:eastAsia="Times New Roman" w:cs="Arial"/>
                <w:color w:val="000000"/>
                <w:sz w:val="22"/>
                <w:szCs w:val="22"/>
                <w:lang w:eastAsia="en-AU"/>
              </w:rPr>
              <w:t>Lawful sexual activity</w:t>
            </w:r>
          </w:p>
        </w:tc>
        <w:tc>
          <w:tcPr>
            <w:tcW w:w="2540" w:type="dxa"/>
            <w:tcBorders>
              <w:top w:val="single" w:sz="4" w:space="0" w:color="000000"/>
              <w:left w:val="nil"/>
              <w:bottom w:val="single" w:sz="4" w:space="0" w:color="000000"/>
              <w:right w:val="single" w:sz="4" w:space="0" w:color="000000"/>
            </w:tcBorders>
            <w:shd w:val="clear" w:color="auto" w:fill="auto"/>
            <w:hideMark/>
          </w:tcPr>
          <w:p w14:paraId="78D9E861" w14:textId="77777777" w:rsidR="00797F99" w:rsidRPr="003F14C4" w:rsidRDefault="00797F99" w:rsidP="00CC77B4">
            <w:pPr>
              <w:jc w:val="right"/>
              <w:rPr>
                <w:rFonts w:eastAsia="Times New Roman" w:cs="Arial"/>
                <w:color w:val="000000"/>
                <w:sz w:val="22"/>
                <w:szCs w:val="22"/>
                <w:lang w:eastAsia="en-AU"/>
              </w:rPr>
            </w:pPr>
            <w:r w:rsidRPr="003F14C4">
              <w:rPr>
                <w:rFonts w:eastAsia="Times New Roman" w:cs="Arial"/>
                <w:color w:val="000000"/>
                <w:sz w:val="22"/>
                <w:szCs w:val="22"/>
                <w:lang w:eastAsia="en-AU"/>
              </w:rPr>
              <w:t>2</w:t>
            </w:r>
          </w:p>
        </w:tc>
      </w:tr>
      <w:tr w:rsidR="00797F99" w:rsidRPr="003F14C4" w14:paraId="6A9BEA8D" w14:textId="77777777" w:rsidTr="00CC77B4">
        <w:trPr>
          <w:trHeight w:val="300"/>
        </w:trPr>
        <w:tc>
          <w:tcPr>
            <w:tcW w:w="2780" w:type="dxa"/>
            <w:tcBorders>
              <w:top w:val="single" w:sz="4" w:space="0" w:color="000000"/>
              <w:left w:val="single" w:sz="4" w:space="0" w:color="000000"/>
              <w:bottom w:val="single" w:sz="4" w:space="0" w:color="000000"/>
              <w:right w:val="nil"/>
            </w:tcBorders>
            <w:shd w:val="clear" w:color="auto" w:fill="auto"/>
            <w:hideMark/>
          </w:tcPr>
          <w:p w14:paraId="667D463D" w14:textId="77777777" w:rsidR="00797F99" w:rsidRPr="003F14C4" w:rsidRDefault="00797F99" w:rsidP="00CC77B4">
            <w:pPr>
              <w:rPr>
                <w:rFonts w:eastAsia="Times New Roman" w:cs="Arial"/>
                <w:color w:val="000000"/>
                <w:sz w:val="22"/>
                <w:szCs w:val="22"/>
                <w:lang w:eastAsia="en-AU"/>
              </w:rPr>
            </w:pPr>
            <w:r w:rsidRPr="003F14C4">
              <w:rPr>
                <w:rFonts w:eastAsia="Times New Roman" w:cs="Arial"/>
                <w:color w:val="000000"/>
                <w:sz w:val="22"/>
                <w:szCs w:val="22"/>
                <w:lang w:eastAsia="en-AU"/>
              </w:rPr>
              <w:t>Parental status</w:t>
            </w:r>
          </w:p>
        </w:tc>
        <w:tc>
          <w:tcPr>
            <w:tcW w:w="2540" w:type="dxa"/>
            <w:tcBorders>
              <w:top w:val="single" w:sz="4" w:space="0" w:color="000000"/>
              <w:left w:val="nil"/>
              <w:bottom w:val="single" w:sz="4" w:space="0" w:color="000000"/>
              <w:right w:val="single" w:sz="4" w:space="0" w:color="000000"/>
            </w:tcBorders>
            <w:shd w:val="clear" w:color="auto" w:fill="auto"/>
            <w:hideMark/>
          </w:tcPr>
          <w:p w14:paraId="6EFC92E2" w14:textId="77777777" w:rsidR="00797F99" w:rsidRPr="003F14C4" w:rsidRDefault="00797F99" w:rsidP="00CC77B4">
            <w:pPr>
              <w:jc w:val="right"/>
              <w:rPr>
                <w:rFonts w:eastAsia="Times New Roman" w:cs="Arial"/>
                <w:color w:val="000000"/>
                <w:sz w:val="22"/>
                <w:szCs w:val="22"/>
                <w:lang w:eastAsia="en-AU"/>
              </w:rPr>
            </w:pPr>
            <w:r w:rsidRPr="003F14C4">
              <w:rPr>
                <w:rFonts w:eastAsia="Times New Roman" w:cs="Arial"/>
                <w:color w:val="000000"/>
                <w:sz w:val="22"/>
                <w:szCs w:val="22"/>
                <w:lang w:eastAsia="en-AU"/>
              </w:rPr>
              <w:t>2</w:t>
            </w:r>
          </w:p>
        </w:tc>
      </w:tr>
      <w:tr w:rsidR="00797F99" w:rsidRPr="003F14C4" w14:paraId="2A378519" w14:textId="77777777" w:rsidTr="00CC77B4">
        <w:trPr>
          <w:trHeight w:val="300"/>
        </w:trPr>
        <w:tc>
          <w:tcPr>
            <w:tcW w:w="2780" w:type="dxa"/>
            <w:tcBorders>
              <w:top w:val="single" w:sz="4" w:space="0" w:color="000000"/>
              <w:left w:val="single" w:sz="4" w:space="0" w:color="000000"/>
              <w:bottom w:val="single" w:sz="4" w:space="0" w:color="000000"/>
              <w:right w:val="nil"/>
            </w:tcBorders>
            <w:shd w:val="clear" w:color="auto" w:fill="auto"/>
            <w:hideMark/>
          </w:tcPr>
          <w:p w14:paraId="7A820633" w14:textId="77777777" w:rsidR="00797F99" w:rsidRPr="003F14C4" w:rsidRDefault="00797F99" w:rsidP="00CC77B4">
            <w:pPr>
              <w:rPr>
                <w:rFonts w:eastAsia="Times New Roman" w:cs="Arial"/>
                <w:color w:val="000000"/>
                <w:sz w:val="22"/>
                <w:szCs w:val="22"/>
                <w:lang w:eastAsia="en-AU"/>
              </w:rPr>
            </w:pPr>
            <w:r w:rsidRPr="003F14C4">
              <w:rPr>
                <w:rFonts w:eastAsia="Times New Roman" w:cs="Arial"/>
                <w:color w:val="000000"/>
                <w:sz w:val="22"/>
                <w:szCs w:val="22"/>
                <w:lang w:eastAsia="en-AU"/>
              </w:rPr>
              <w:t>Religion</w:t>
            </w:r>
          </w:p>
        </w:tc>
        <w:tc>
          <w:tcPr>
            <w:tcW w:w="2540" w:type="dxa"/>
            <w:tcBorders>
              <w:top w:val="single" w:sz="4" w:space="0" w:color="000000"/>
              <w:left w:val="nil"/>
              <w:bottom w:val="single" w:sz="4" w:space="0" w:color="000000"/>
              <w:right w:val="single" w:sz="4" w:space="0" w:color="000000"/>
            </w:tcBorders>
            <w:shd w:val="clear" w:color="auto" w:fill="auto"/>
            <w:hideMark/>
          </w:tcPr>
          <w:p w14:paraId="6934D0B4" w14:textId="77777777" w:rsidR="00797F99" w:rsidRPr="003F14C4" w:rsidRDefault="00797F99" w:rsidP="00CC77B4">
            <w:pPr>
              <w:jc w:val="right"/>
              <w:rPr>
                <w:rFonts w:eastAsia="Times New Roman" w:cs="Arial"/>
                <w:color w:val="000000"/>
                <w:sz w:val="22"/>
                <w:szCs w:val="22"/>
                <w:lang w:eastAsia="en-AU"/>
              </w:rPr>
            </w:pPr>
            <w:r w:rsidRPr="003F14C4">
              <w:rPr>
                <w:rFonts w:eastAsia="Times New Roman" w:cs="Arial"/>
                <w:color w:val="000000"/>
                <w:sz w:val="22"/>
                <w:szCs w:val="22"/>
                <w:lang w:eastAsia="en-AU"/>
              </w:rPr>
              <w:t>1</w:t>
            </w:r>
          </w:p>
        </w:tc>
      </w:tr>
      <w:tr w:rsidR="00797F99" w:rsidRPr="003F14C4" w14:paraId="4F26DF67" w14:textId="77777777" w:rsidTr="00CC77B4">
        <w:trPr>
          <w:trHeight w:val="300"/>
        </w:trPr>
        <w:tc>
          <w:tcPr>
            <w:tcW w:w="2780" w:type="dxa"/>
            <w:tcBorders>
              <w:top w:val="single" w:sz="4" w:space="0" w:color="000000"/>
              <w:left w:val="single" w:sz="4" w:space="0" w:color="000000"/>
              <w:bottom w:val="single" w:sz="4" w:space="0" w:color="000000"/>
              <w:right w:val="nil"/>
            </w:tcBorders>
            <w:shd w:val="clear" w:color="auto" w:fill="auto"/>
            <w:hideMark/>
          </w:tcPr>
          <w:p w14:paraId="2EF9E5A7" w14:textId="77777777" w:rsidR="00797F99" w:rsidRPr="003F14C4" w:rsidRDefault="00797F99" w:rsidP="00CC77B4">
            <w:pPr>
              <w:rPr>
                <w:rFonts w:eastAsia="Times New Roman" w:cs="Arial"/>
                <w:color w:val="000000"/>
                <w:sz w:val="22"/>
                <w:szCs w:val="22"/>
                <w:lang w:eastAsia="en-AU"/>
              </w:rPr>
            </w:pPr>
            <w:r w:rsidRPr="003F14C4">
              <w:rPr>
                <w:rFonts w:eastAsia="Times New Roman" w:cs="Arial"/>
                <w:color w:val="000000"/>
                <w:sz w:val="22"/>
                <w:szCs w:val="22"/>
                <w:lang w:eastAsia="en-AU"/>
              </w:rPr>
              <w:t>Victimisation</w:t>
            </w:r>
          </w:p>
        </w:tc>
        <w:tc>
          <w:tcPr>
            <w:tcW w:w="2540" w:type="dxa"/>
            <w:tcBorders>
              <w:top w:val="single" w:sz="4" w:space="0" w:color="000000"/>
              <w:left w:val="nil"/>
              <w:bottom w:val="single" w:sz="4" w:space="0" w:color="000000"/>
              <w:right w:val="single" w:sz="4" w:space="0" w:color="000000"/>
            </w:tcBorders>
            <w:shd w:val="clear" w:color="auto" w:fill="auto"/>
            <w:hideMark/>
          </w:tcPr>
          <w:p w14:paraId="43EBFBC7" w14:textId="77777777" w:rsidR="00797F99" w:rsidRPr="003F14C4" w:rsidRDefault="00797F99" w:rsidP="00CC77B4">
            <w:pPr>
              <w:jc w:val="right"/>
              <w:rPr>
                <w:rFonts w:eastAsia="Times New Roman" w:cs="Arial"/>
                <w:color w:val="000000"/>
                <w:sz w:val="22"/>
                <w:szCs w:val="22"/>
                <w:lang w:eastAsia="en-AU"/>
              </w:rPr>
            </w:pPr>
            <w:r w:rsidRPr="003F14C4">
              <w:rPr>
                <w:rFonts w:eastAsia="Times New Roman" w:cs="Arial"/>
                <w:color w:val="000000"/>
                <w:sz w:val="22"/>
                <w:szCs w:val="22"/>
                <w:lang w:eastAsia="en-AU"/>
              </w:rPr>
              <w:t>1</w:t>
            </w:r>
          </w:p>
        </w:tc>
      </w:tr>
      <w:tr w:rsidR="00797F99" w:rsidRPr="003F14C4" w14:paraId="2E25EED3" w14:textId="77777777" w:rsidTr="00CC77B4">
        <w:trPr>
          <w:trHeight w:val="300"/>
        </w:trPr>
        <w:tc>
          <w:tcPr>
            <w:tcW w:w="2780" w:type="dxa"/>
            <w:tcBorders>
              <w:top w:val="single" w:sz="4" w:space="0" w:color="000000"/>
              <w:left w:val="single" w:sz="4" w:space="0" w:color="000000"/>
              <w:bottom w:val="single" w:sz="4" w:space="0" w:color="000000"/>
              <w:right w:val="nil"/>
            </w:tcBorders>
            <w:shd w:val="clear" w:color="auto" w:fill="auto"/>
            <w:hideMark/>
          </w:tcPr>
          <w:p w14:paraId="215551A7" w14:textId="77777777" w:rsidR="00797F99" w:rsidRPr="003F14C4" w:rsidRDefault="00797F99" w:rsidP="00CC77B4">
            <w:pPr>
              <w:rPr>
                <w:rFonts w:eastAsia="Times New Roman" w:cs="Arial"/>
                <w:color w:val="000000"/>
                <w:sz w:val="22"/>
                <w:szCs w:val="22"/>
                <w:lang w:eastAsia="en-AU"/>
              </w:rPr>
            </w:pPr>
            <w:r w:rsidRPr="003F14C4">
              <w:rPr>
                <w:rFonts w:eastAsia="Times New Roman" w:cs="Arial"/>
                <w:color w:val="000000"/>
                <w:sz w:val="22"/>
                <w:szCs w:val="22"/>
                <w:lang w:eastAsia="en-AU"/>
              </w:rPr>
              <w:t>Sexuality</w:t>
            </w:r>
          </w:p>
        </w:tc>
        <w:tc>
          <w:tcPr>
            <w:tcW w:w="2540" w:type="dxa"/>
            <w:tcBorders>
              <w:top w:val="single" w:sz="4" w:space="0" w:color="000000"/>
              <w:left w:val="nil"/>
              <w:bottom w:val="single" w:sz="4" w:space="0" w:color="000000"/>
              <w:right w:val="single" w:sz="4" w:space="0" w:color="000000"/>
            </w:tcBorders>
            <w:shd w:val="clear" w:color="auto" w:fill="auto"/>
            <w:hideMark/>
          </w:tcPr>
          <w:p w14:paraId="612A4856" w14:textId="77777777" w:rsidR="00797F99" w:rsidRPr="003F14C4" w:rsidRDefault="00797F99" w:rsidP="00CC77B4">
            <w:pPr>
              <w:jc w:val="right"/>
              <w:rPr>
                <w:rFonts w:eastAsia="Times New Roman" w:cs="Arial"/>
                <w:color w:val="000000"/>
                <w:sz w:val="22"/>
                <w:szCs w:val="22"/>
                <w:lang w:eastAsia="en-AU"/>
              </w:rPr>
            </w:pPr>
            <w:r w:rsidRPr="003F14C4">
              <w:rPr>
                <w:rFonts w:eastAsia="Times New Roman" w:cs="Arial"/>
                <w:color w:val="000000"/>
                <w:sz w:val="22"/>
                <w:szCs w:val="22"/>
                <w:lang w:eastAsia="en-AU"/>
              </w:rPr>
              <w:t>1</w:t>
            </w:r>
          </w:p>
        </w:tc>
      </w:tr>
      <w:tr w:rsidR="00797F99" w:rsidRPr="003F14C4" w14:paraId="50F2D75F" w14:textId="77777777" w:rsidTr="00CC77B4">
        <w:trPr>
          <w:trHeight w:val="300"/>
        </w:trPr>
        <w:tc>
          <w:tcPr>
            <w:tcW w:w="2780" w:type="dxa"/>
            <w:tcBorders>
              <w:top w:val="single" w:sz="4" w:space="0" w:color="000000"/>
              <w:left w:val="single" w:sz="4" w:space="0" w:color="000000"/>
              <w:bottom w:val="single" w:sz="8" w:space="0" w:color="808080"/>
              <w:right w:val="nil"/>
            </w:tcBorders>
            <w:shd w:val="clear" w:color="auto" w:fill="auto"/>
            <w:hideMark/>
          </w:tcPr>
          <w:p w14:paraId="0047D77E" w14:textId="77777777" w:rsidR="00797F99" w:rsidRPr="003F14C4" w:rsidRDefault="00797F99" w:rsidP="00CC77B4">
            <w:pPr>
              <w:rPr>
                <w:rFonts w:eastAsia="Times New Roman" w:cs="Arial"/>
                <w:b/>
                <w:bCs/>
                <w:color w:val="000000"/>
                <w:sz w:val="22"/>
                <w:szCs w:val="22"/>
                <w:lang w:eastAsia="en-AU"/>
              </w:rPr>
            </w:pPr>
            <w:r w:rsidRPr="003F14C4">
              <w:rPr>
                <w:rFonts w:eastAsia="Times New Roman" w:cs="Arial"/>
                <w:b/>
                <w:bCs/>
                <w:color w:val="000000"/>
                <w:sz w:val="22"/>
                <w:szCs w:val="22"/>
                <w:lang w:eastAsia="en-AU"/>
              </w:rPr>
              <w:t>Total</w:t>
            </w:r>
          </w:p>
        </w:tc>
        <w:tc>
          <w:tcPr>
            <w:tcW w:w="2540" w:type="dxa"/>
            <w:tcBorders>
              <w:top w:val="single" w:sz="4" w:space="0" w:color="000000"/>
              <w:left w:val="nil"/>
              <w:bottom w:val="single" w:sz="8" w:space="0" w:color="808080"/>
              <w:right w:val="single" w:sz="4" w:space="0" w:color="000000"/>
            </w:tcBorders>
            <w:shd w:val="clear" w:color="auto" w:fill="auto"/>
            <w:hideMark/>
          </w:tcPr>
          <w:p w14:paraId="5F22B126" w14:textId="77777777" w:rsidR="00797F99" w:rsidRPr="003F14C4" w:rsidRDefault="00797F99" w:rsidP="00CC77B4">
            <w:pPr>
              <w:jc w:val="right"/>
              <w:rPr>
                <w:rFonts w:eastAsia="Times New Roman" w:cs="Arial"/>
                <w:b/>
                <w:bCs/>
                <w:color w:val="000000"/>
                <w:sz w:val="22"/>
                <w:szCs w:val="22"/>
                <w:lang w:eastAsia="en-AU"/>
              </w:rPr>
            </w:pPr>
            <w:r w:rsidRPr="003F14C4">
              <w:rPr>
                <w:rFonts w:eastAsia="Times New Roman" w:cs="Arial"/>
                <w:b/>
                <w:bCs/>
                <w:color w:val="000000"/>
                <w:sz w:val="22"/>
                <w:szCs w:val="22"/>
                <w:lang w:eastAsia="en-AU"/>
              </w:rPr>
              <w:t>38</w:t>
            </w:r>
          </w:p>
        </w:tc>
      </w:tr>
    </w:tbl>
    <w:p w14:paraId="0F3D3434" w14:textId="77777777" w:rsidR="00797F99" w:rsidRDefault="00797F99" w:rsidP="00797F99">
      <w:pPr>
        <w:spacing w:before="120" w:after="360"/>
        <w:ind w:left="720"/>
        <w:rPr>
          <w:rFonts w:eastAsia="Times New Roman" w:cs="Arial"/>
          <w:b/>
          <w:sz w:val="22"/>
          <w:szCs w:val="22"/>
          <w:lang w:eastAsia="en-AU"/>
        </w:rPr>
      </w:pPr>
      <w:r>
        <w:rPr>
          <w:rFonts w:eastAsia="Times New Roman" w:cs="Arial"/>
          <w:b/>
          <w:sz w:val="22"/>
          <w:szCs w:val="22"/>
          <w:lang w:eastAsia="en-AU"/>
        </w:rPr>
        <w:t>Table 2: Attributes for accepted complaints</w:t>
      </w:r>
    </w:p>
    <w:p w14:paraId="3A085674" w14:textId="5B4B721C" w:rsidR="00797F99" w:rsidRPr="000C778D" w:rsidRDefault="00797F99" w:rsidP="00797F99">
      <w:pPr>
        <w:pStyle w:val="Heading2"/>
      </w:pPr>
      <w:bookmarkStart w:id="9" w:name="_Toc78976613"/>
      <w:bookmarkStart w:id="10" w:name="_Toc79097804"/>
      <w:r w:rsidRPr="000C778D">
        <w:t>Intellectual and cognitive disability</w:t>
      </w:r>
      <w:bookmarkEnd w:id="9"/>
      <w:bookmarkEnd w:id="10"/>
    </w:p>
    <w:p w14:paraId="6CE97661" w14:textId="77777777" w:rsidR="00797F99" w:rsidRDefault="00797F99" w:rsidP="006F3103">
      <w:pPr>
        <w:pStyle w:val="Normal1"/>
      </w:pPr>
      <w:r>
        <w:t>The Commission has received a number of complaints from people with intellectual or cognitive disability who have found it difficult to access banking services. For example:</w:t>
      </w:r>
    </w:p>
    <w:p w14:paraId="536F6A10" w14:textId="77777777" w:rsidR="00797F99" w:rsidRDefault="00797F99" w:rsidP="006F3103">
      <w:pPr>
        <w:pStyle w:val="ListParagraph"/>
        <w:numPr>
          <w:ilvl w:val="0"/>
          <w:numId w:val="3"/>
        </w:numPr>
        <w:spacing w:after="160" w:line="259" w:lineRule="auto"/>
      </w:pPr>
      <w:r>
        <w:t>A formally appointed administrator was unable to open an online bank account for their principal due to a bank policy that did not allow a third party to access or operate an online account.</w:t>
      </w:r>
    </w:p>
    <w:p w14:paraId="7444C758" w14:textId="3360CEBD" w:rsidR="00797F99" w:rsidRDefault="00797F99" w:rsidP="006F3103">
      <w:pPr>
        <w:pStyle w:val="ListParagraph"/>
        <w:numPr>
          <w:ilvl w:val="0"/>
          <w:numId w:val="3"/>
        </w:numPr>
        <w:spacing w:after="160" w:line="259" w:lineRule="auto"/>
      </w:pPr>
      <w:r>
        <w:t xml:space="preserve">A bank refused to deal with a customer following the appointment of an administrator for the customer, despite the administrator giving authority </w:t>
      </w:r>
      <w:r>
        <w:lastRenderedPageBreak/>
        <w:t>to the customer to make their o</w:t>
      </w:r>
      <w:r w:rsidR="006F3103">
        <w:t>wn financial transactions (see C</w:t>
      </w:r>
      <w:r>
        <w:t xml:space="preserve">ase study </w:t>
      </w:r>
      <w:r w:rsidR="006F3103">
        <w:t>1</w:t>
      </w:r>
      <w:r>
        <w:t>).</w:t>
      </w:r>
    </w:p>
    <w:p w14:paraId="0DA06B84" w14:textId="77777777" w:rsidR="00797F99" w:rsidRDefault="00797F99" w:rsidP="006F3103">
      <w:pPr>
        <w:pStyle w:val="ListParagraph"/>
        <w:numPr>
          <w:ilvl w:val="0"/>
          <w:numId w:val="3"/>
        </w:numPr>
        <w:spacing w:after="160" w:line="259" w:lineRule="auto"/>
      </w:pPr>
      <w:r>
        <w:t>A bank required a ‘power of attorney’ before parents could open a bank account for their 12-year-old child who had autism and intellectual disability.</w:t>
      </w:r>
    </w:p>
    <w:p w14:paraId="5E4953D5" w14:textId="77777777" w:rsidR="00797F99" w:rsidRDefault="00797F99" w:rsidP="006F3103">
      <w:pPr>
        <w:pStyle w:val="Normal1"/>
      </w:pPr>
      <w:r>
        <w:t>Both the AD Act</w:t>
      </w:r>
      <w:r>
        <w:rPr>
          <w:rStyle w:val="FootnoteReference"/>
        </w:rPr>
        <w:footnoteReference w:id="7"/>
      </w:r>
      <w:r>
        <w:t xml:space="preserve"> and the HR Act</w:t>
      </w:r>
      <w:r>
        <w:rPr>
          <w:rStyle w:val="FootnoteReference"/>
        </w:rPr>
        <w:footnoteReference w:id="8"/>
      </w:r>
      <w:r>
        <w:t xml:space="preserve"> acknowledge every person’s right to equal recognition and protection before the law, reflecting a number of international human rights instruments that Australia has ratified. Paragraph 6(c) of the preamble to the AD Act provides that ‘the quality of democratic life is improved by an educated community appreciative and respectful of the dignity and worth of everyone’.</w:t>
      </w:r>
    </w:p>
    <w:p w14:paraId="3E220B04" w14:textId="77777777" w:rsidR="00797F99" w:rsidRDefault="00797F99" w:rsidP="006F3103">
      <w:pPr>
        <w:pStyle w:val="Normal1"/>
      </w:pPr>
      <w:r>
        <w:t xml:space="preserve">The </w:t>
      </w:r>
      <w:r w:rsidRPr="00B4045A">
        <w:t>United Nations</w:t>
      </w:r>
      <w:r w:rsidRPr="006E5050">
        <w:rPr>
          <w:i/>
        </w:rPr>
        <w:t xml:space="preserve"> Convention on the Rights of Persons with Disabilities</w:t>
      </w:r>
      <w:r>
        <w:t xml:space="preserve"> articulates existing international human rights obligations for application to people with disability. In particular, Article 12 provides:</w:t>
      </w:r>
    </w:p>
    <w:p w14:paraId="3B0D5CDD" w14:textId="77777777" w:rsidR="00797F99" w:rsidRPr="006E5050" w:rsidRDefault="00797F99" w:rsidP="006F3103">
      <w:pPr>
        <w:spacing w:after="240"/>
        <w:ind w:left="720" w:right="805"/>
        <w:rPr>
          <w:sz w:val="22"/>
          <w:szCs w:val="22"/>
        </w:rPr>
      </w:pPr>
      <w:r w:rsidRPr="006E5050">
        <w:rPr>
          <w:sz w:val="22"/>
          <w:szCs w:val="22"/>
        </w:rPr>
        <w:t xml:space="preserve">1. States Parties reaffirm that persons with disabilities have the right to recognition everywhere as persons before the law. </w:t>
      </w:r>
    </w:p>
    <w:p w14:paraId="0AB05DE9" w14:textId="77777777" w:rsidR="00797F99" w:rsidRPr="006E5050" w:rsidRDefault="00797F99" w:rsidP="006F3103">
      <w:pPr>
        <w:spacing w:after="240"/>
        <w:ind w:left="720" w:right="805"/>
        <w:rPr>
          <w:sz w:val="22"/>
          <w:szCs w:val="22"/>
        </w:rPr>
      </w:pPr>
      <w:r w:rsidRPr="006E5050">
        <w:rPr>
          <w:sz w:val="22"/>
          <w:szCs w:val="22"/>
        </w:rPr>
        <w:t xml:space="preserve">2. States Parties shall recognize that persons with disabilities enjoy legal capacity on an equal basis with others in all aspects of life. </w:t>
      </w:r>
    </w:p>
    <w:p w14:paraId="2B0F5C08" w14:textId="77777777" w:rsidR="00797F99" w:rsidRPr="006E5050" w:rsidRDefault="00797F99" w:rsidP="006F3103">
      <w:pPr>
        <w:spacing w:after="240"/>
        <w:ind w:left="720" w:right="805"/>
        <w:rPr>
          <w:sz w:val="22"/>
          <w:szCs w:val="22"/>
        </w:rPr>
      </w:pPr>
      <w:r w:rsidRPr="006E5050">
        <w:rPr>
          <w:sz w:val="22"/>
          <w:szCs w:val="22"/>
        </w:rPr>
        <w:t xml:space="preserve">3. States Parties shall take appropriate measures to provide access by persons with disabilities to the support they may require in exercising their legal capacity. </w:t>
      </w:r>
    </w:p>
    <w:p w14:paraId="074A7514" w14:textId="77777777" w:rsidR="00797F99" w:rsidRPr="006E5050" w:rsidRDefault="00797F99" w:rsidP="006F3103">
      <w:pPr>
        <w:spacing w:after="240"/>
        <w:ind w:left="720" w:right="805"/>
        <w:rPr>
          <w:sz w:val="22"/>
          <w:szCs w:val="22"/>
        </w:rPr>
      </w:pPr>
      <w:r w:rsidRPr="006E5050">
        <w:rPr>
          <w:sz w:val="22"/>
          <w:szCs w:val="22"/>
        </w:rPr>
        <w:t>…</w:t>
      </w:r>
    </w:p>
    <w:p w14:paraId="4E7A2F65" w14:textId="77777777" w:rsidR="00797F99" w:rsidRPr="006E5050" w:rsidRDefault="00797F99" w:rsidP="006F3103">
      <w:pPr>
        <w:spacing w:after="240"/>
        <w:ind w:left="720" w:right="805"/>
        <w:rPr>
          <w:sz w:val="22"/>
          <w:szCs w:val="22"/>
        </w:rPr>
      </w:pPr>
      <w:r w:rsidRPr="006E5050">
        <w:rPr>
          <w:sz w:val="22"/>
          <w:szCs w:val="22"/>
        </w:rPr>
        <w:t>5. Subject to the provisions of this article, States Parties shall take all appropriate and effective measures to ensure the equal right of persons with disabilities to own or inherit property, to control their own financial affairs and to have equal access to bank loans, mortgages and other forms of financial credit, and shall ensure that persons with disabilities are not arbitrarily deprived of their property.</w:t>
      </w:r>
      <w:r>
        <w:rPr>
          <w:rStyle w:val="FootnoteReference"/>
          <w:sz w:val="22"/>
          <w:szCs w:val="22"/>
        </w:rPr>
        <w:footnoteReference w:id="9"/>
      </w:r>
    </w:p>
    <w:p w14:paraId="40791932" w14:textId="77777777" w:rsidR="00797F99" w:rsidRDefault="00797F99" w:rsidP="006F3103">
      <w:pPr>
        <w:pStyle w:val="Normal1"/>
      </w:pPr>
      <w:r>
        <w:t>While recognising the current legal regimes that exist for substitute decision making</w:t>
      </w:r>
      <w:r>
        <w:rPr>
          <w:rStyle w:val="FootnoteReference"/>
        </w:rPr>
        <w:footnoteReference w:id="10"/>
      </w:r>
      <w:r>
        <w:t xml:space="preserve"> and the need to safeguard people’s property, banks could do more to recognise the rights of individuals with intellectual and cognitive disability, including by:</w:t>
      </w:r>
    </w:p>
    <w:p w14:paraId="00C87566" w14:textId="77777777" w:rsidR="00797F99" w:rsidRPr="00465981" w:rsidRDefault="00797F99" w:rsidP="006F3103">
      <w:pPr>
        <w:pStyle w:val="ListParagraph"/>
        <w:numPr>
          <w:ilvl w:val="0"/>
          <w:numId w:val="3"/>
        </w:numPr>
        <w:spacing w:after="160" w:line="259" w:lineRule="auto"/>
      </w:pPr>
      <w:r>
        <w:t xml:space="preserve">acknowledging </w:t>
      </w:r>
      <w:r w:rsidRPr="00465981">
        <w:t>the role and validity of supported decision making so that all people, as far as possible, can make their own decisions;</w:t>
      </w:r>
    </w:p>
    <w:p w14:paraId="254C828D" w14:textId="77777777" w:rsidR="00797F99" w:rsidRPr="00465981" w:rsidRDefault="00797F99" w:rsidP="006F3103">
      <w:pPr>
        <w:pStyle w:val="ListParagraph"/>
        <w:numPr>
          <w:ilvl w:val="0"/>
          <w:numId w:val="3"/>
        </w:numPr>
        <w:spacing w:after="160" w:line="259" w:lineRule="auto"/>
      </w:pPr>
      <w:r w:rsidRPr="00465981">
        <w:lastRenderedPageBreak/>
        <w:t xml:space="preserve">considering the impact </w:t>
      </w:r>
      <w:r>
        <w:t xml:space="preserve">that </w:t>
      </w:r>
      <w:r w:rsidRPr="00465981">
        <w:t xml:space="preserve">services (including the reduction of services) and service </w:t>
      </w:r>
      <w:r>
        <w:t>delivery</w:t>
      </w:r>
      <w:r w:rsidRPr="00465981">
        <w:t xml:space="preserve"> have on people who need assistance to access those services;</w:t>
      </w:r>
    </w:p>
    <w:p w14:paraId="0339336B" w14:textId="77777777" w:rsidR="00797F99" w:rsidRPr="00465981" w:rsidRDefault="00797F99" w:rsidP="006F3103">
      <w:pPr>
        <w:pStyle w:val="ListParagraph"/>
        <w:numPr>
          <w:ilvl w:val="0"/>
          <w:numId w:val="3"/>
        </w:numPr>
        <w:spacing w:after="160" w:line="259" w:lineRule="auto"/>
      </w:pPr>
      <w:r w:rsidRPr="00465981">
        <w:t>having ways for the person to still participate in decisions about their financial matters should they wish</w:t>
      </w:r>
      <w:r>
        <w:t xml:space="preserve">, </w:t>
      </w:r>
      <w:r w:rsidRPr="00465981">
        <w:t>even where there is a formally appo</w:t>
      </w:r>
      <w:r>
        <w:t>inted administrator or attorney;</w:t>
      </w:r>
      <w:r w:rsidRPr="00465981">
        <w:t xml:space="preserve"> </w:t>
      </w:r>
    </w:p>
    <w:p w14:paraId="088828FF" w14:textId="46751E2C" w:rsidR="00797F99" w:rsidRDefault="00797F99" w:rsidP="00BB05A8">
      <w:pPr>
        <w:pStyle w:val="ListParagraph"/>
        <w:numPr>
          <w:ilvl w:val="0"/>
          <w:numId w:val="3"/>
        </w:numPr>
        <w:spacing w:after="160" w:line="259" w:lineRule="auto"/>
      </w:pPr>
      <w:r w:rsidRPr="008D611B">
        <w:t xml:space="preserve">training staff </w:t>
      </w:r>
      <w:r>
        <w:t>about</w:t>
      </w:r>
      <w:r w:rsidRPr="008D611B">
        <w:t xml:space="preserve"> disability and legal capacity, including that capacity is matter and time specific, </w:t>
      </w:r>
      <w:r w:rsidR="00BB05A8">
        <w:t xml:space="preserve">and does not equate with </w:t>
      </w:r>
      <w:r w:rsidRPr="008D611B">
        <w:t>appearance</w:t>
      </w:r>
      <w:r w:rsidR="00BB05A8">
        <w:t>,</w:t>
      </w:r>
      <w:r w:rsidRPr="008D611B">
        <w:t xml:space="preserve"> diagnosis, </w:t>
      </w:r>
      <w:r w:rsidR="00BB05A8">
        <w:t xml:space="preserve">or </w:t>
      </w:r>
      <w:r w:rsidRPr="008D611B">
        <w:t>making the best or wise</w:t>
      </w:r>
      <w:r>
        <w:t>st</w:t>
      </w:r>
      <w:r w:rsidRPr="008D611B">
        <w:t xml:space="preserve"> decision.</w:t>
      </w:r>
    </w:p>
    <w:p w14:paraId="6A9975A2" w14:textId="77777777" w:rsidR="00797F99" w:rsidRPr="006F3103" w:rsidRDefault="00797F99" w:rsidP="00797F99">
      <w:pPr>
        <w:pStyle w:val="CaseStudy"/>
        <w:rPr>
          <w:b/>
          <w:i/>
        </w:rPr>
      </w:pPr>
      <w:r w:rsidRPr="006F3103">
        <w:rPr>
          <w:b/>
          <w:i/>
        </w:rPr>
        <w:t>Case study 1 – impairment discrimination</w:t>
      </w:r>
    </w:p>
    <w:p w14:paraId="1C42AE22" w14:textId="77777777" w:rsidR="00797F99" w:rsidRDefault="00797F99" w:rsidP="00797F99">
      <w:pPr>
        <w:pStyle w:val="CaseStudy"/>
        <w:keepNext/>
        <w:ind w:right="1128"/>
      </w:pPr>
      <w:r w:rsidRPr="001703E8">
        <w:t>B and C were siblings</w:t>
      </w:r>
      <w:r>
        <w:t>, each</w:t>
      </w:r>
      <w:r w:rsidRPr="001703E8">
        <w:t xml:space="preserve"> with intellectual disability. Their mother was appointed by </w:t>
      </w:r>
      <w:r>
        <w:t xml:space="preserve">the Queensland Civil and Administrative Tribunal </w:t>
      </w:r>
      <w:r w:rsidRPr="001703E8">
        <w:t xml:space="preserve">as guardian and administrator. After the appointment, B and C received a letter from their bank to say that now </w:t>
      </w:r>
      <w:r>
        <w:t>that</w:t>
      </w:r>
      <w:r w:rsidRPr="001703E8">
        <w:t xml:space="preserve"> an administrator </w:t>
      </w:r>
      <w:r>
        <w:t xml:space="preserve">had been appointed, </w:t>
      </w:r>
      <w:r w:rsidRPr="001703E8">
        <w:t>they had no powers to transact, open or close an account</w:t>
      </w:r>
      <w:r>
        <w:t>,</w:t>
      </w:r>
      <w:r w:rsidRPr="001703E8">
        <w:t xml:space="preserve"> or obtain account</w:t>
      </w:r>
      <w:r>
        <w:t>-</w:t>
      </w:r>
      <w:r w:rsidRPr="001703E8">
        <w:t>related information</w:t>
      </w:r>
      <w:r>
        <w:t xml:space="preserve">, even though their mother had indicated that they were able to continue to make their own financial transactions. </w:t>
      </w:r>
    </w:p>
    <w:p w14:paraId="451EFF81" w14:textId="77777777" w:rsidR="00797F99" w:rsidRPr="001703E8" w:rsidRDefault="00797F99" w:rsidP="00797F99">
      <w:pPr>
        <w:pStyle w:val="CaseStudy"/>
        <w:keepNext/>
        <w:ind w:right="1128"/>
      </w:pPr>
      <w:r w:rsidRPr="001703E8">
        <w:t xml:space="preserve">B lost her wallet containing her </w:t>
      </w:r>
      <w:r>
        <w:t xml:space="preserve">debit </w:t>
      </w:r>
      <w:r w:rsidRPr="001703E8">
        <w:t>card. The card was cancelled but the bank refused to issue B a new card, despite B using the card for many years without incident. Subsequently</w:t>
      </w:r>
      <w:r>
        <w:t>,</w:t>
      </w:r>
      <w:r w:rsidRPr="001703E8">
        <w:t xml:space="preserve"> C’s card was also cancelled. There had been no issues with his use of the card either. </w:t>
      </w:r>
    </w:p>
    <w:p w14:paraId="513CD7B2" w14:textId="77777777" w:rsidR="00797F99" w:rsidRPr="00F101BB" w:rsidRDefault="00797F99" w:rsidP="00797F99">
      <w:pPr>
        <w:pStyle w:val="CaseStudy"/>
        <w:rPr>
          <w:b/>
        </w:rPr>
      </w:pPr>
      <w:r w:rsidRPr="001703E8">
        <w:t xml:space="preserve">B and C made a discrimination complaint against the bank. Their mother also claimed discrimination by association. The matter was conciliated with </w:t>
      </w:r>
      <w:r>
        <w:t xml:space="preserve">B, C, and their mother, </w:t>
      </w:r>
      <w:r w:rsidRPr="001703E8">
        <w:t xml:space="preserve">each receiving </w:t>
      </w:r>
      <w:r>
        <w:t xml:space="preserve">monetary </w:t>
      </w:r>
      <w:r w:rsidRPr="001703E8">
        <w:t>compensation</w:t>
      </w:r>
      <w:r>
        <w:t>.</w:t>
      </w:r>
    </w:p>
    <w:p w14:paraId="262BADB8" w14:textId="256A9902" w:rsidR="00797F99" w:rsidRDefault="00797F99" w:rsidP="00797F99">
      <w:pPr>
        <w:pStyle w:val="Heading2"/>
      </w:pPr>
      <w:bookmarkStart w:id="11" w:name="_Toc78976614"/>
      <w:bookmarkStart w:id="12" w:name="_Toc79097805"/>
      <w:r>
        <w:t>Gender identity</w:t>
      </w:r>
      <w:bookmarkEnd w:id="11"/>
      <w:bookmarkEnd w:id="12"/>
    </w:p>
    <w:p w14:paraId="74B42E74" w14:textId="77777777" w:rsidR="00797F99" w:rsidRDefault="00797F99" w:rsidP="006F3103">
      <w:pPr>
        <w:pStyle w:val="Normal1"/>
      </w:pPr>
      <w:r>
        <w:t xml:space="preserve">There have been a handful of accepted complaints regarding gender identity, although none since 2018. </w:t>
      </w:r>
    </w:p>
    <w:p w14:paraId="3F670456" w14:textId="77777777" w:rsidR="00797F99" w:rsidRDefault="00797F99" w:rsidP="006F3103">
      <w:pPr>
        <w:pStyle w:val="Normal1"/>
      </w:pPr>
      <w:r>
        <w:t xml:space="preserve">In two cases, the bank allegedly refused to call the customer by their legal name or identified title, and in one case requested a copy of the complainant’s birth certificate. </w:t>
      </w:r>
    </w:p>
    <w:p w14:paraId="6E1E3C2B" w14:textId="77777777" w:rsidR="00797F99" w:rsidRDefault="00797F99" w:rsidP="006F3103">
      <w:pPr>
        <w:pStyle w:val="Normal1"/>
      </w:pPr>
      <w:r>
        <w:t xml:space="preserve">One case involved a customer trying to change her gender on an insurance policy, and was allegedly asked questions about the specifics of her transition. </w:t>
      </w:r>
    </w:p>
    <w:p w14:paraId="18F7312A" w14:textId="77777777" w:rsidR="00797F99" w:rsidRDefault="00797F99" w:rsidP="006F3103">
      <w:pPr>
        <w:pStyle w:val="Normal1"/>
      </w:pPr>
      <w:r>
        <w:t xml:space="preserve">In another case the customer’s account was locked as her voice did not match her name, despite having answered the security questions correctly. The customer was required to attend the branch to prove her identity and reinstate access to her accounts. </w:t>
      </w:r>
    </w:p>
    <w:p w14:paraId="5E25CF54" w14:textId="77777777" w:rsidR="00797F99" w:rsidRDefault="00797F99" w:rsidP="006F3103">
      <w:pPr>
        <w:pStyle w:val="Normal1"/>
      </w:pPr>
      <w:r>
        <w:lastRenderedPageBreak/>
        <w:t xml:space="preserve">The Code does not currently refer to gender identity in relation to the commitment to inclusive banking services. </w:t>
      </w:r>
    </w:p>
    <w:p w14:paraId="6B8FB6C2" w14:textId="46D9EB39" w:rsidR="00797F99" w:rsidRDefault="00797F99" w:rsidP="00797F99">
      <w:pPr>
        <w:pStyle w:val="Heading2"/>
      </w:pPr>
      <w:bookmarkStart w:id="13" w:name="_Toc78976615"/>
      <w:bookmarkStart w:id="14" w:name="_Toc79097806"/>
      <w:r>
        <w:t>Identification requirements</w:t>
      </w:r>
      <w:bookmarkEnd w:id="13"/>
      <w:bookmarkEnd w:id="14"/>
    </w:p>
    <w:p w14:paraId="03632A3D" w14:textId="77777777" w:rsidR="00797F99" w:rsidRDefault="00797F99" w:rsidP="006F3103">
      <w:pPr>
        <w:pStyle w:val="Normal1"/>
      </w:pPr>
      <w:r>
        <w:t xml:space="preserve">The </w:t>
      </w:r>
      <w:r w:rsidRPr="006E5050">
        <w:rPr>
          <w:i/>
        </w:rPr>
        <w:t>Consultation Note</w:t>
      </w:r>
      <w:r>
        <w:t xml:space="preserve"> refers to Clause 35 of the Code and the obligation on banks to help Aboriginal and Torres Strait Islander customers meet any identification requirements by following AUSTRAC’s guidance.</w:t>
      </w:r>
      <w:r>
        <w:rPr>
          <w:rStyle w:val="FootnoteReference"/>
        </w:rPr>
        <w:footnoteReference w:id="11"/>
      </w:r>
      <w:r>
        <w:t xml:space="preserve"> </w:t>
      </w:r>
    </w:p>
    <w:p w14:paraId="0E582015" w14:textId="77777777" w:rsidR="00797F99" w:rsidRDefault="00797F99" w:rsidP="006F3103">
      <w:pPr>
        <w:pStyle w:val="Normal1"/>
      </w:pPr>
      <w:r>
        <w:t>AUSTRAC recommends a flexible approach, being mindful of social and cultural sensitives, and may include using ‘reliable and independent’ means of alternative identification. While specifically important for Aboriginal and Torres Strait Islander customers, the guidance also extends expressly to customers experiencing family and domestic violence, and to any persons who do not have a conventional identification.</w:t>
      </w:r>
      <w:r>
        <w:rPr>
          <w:rStyle w:val="FootnoteReference"/>
        </w:rPr>
        <w:footnoteReference w:id="12"/>
      </w:r>
      <w:r>
        <w:t xml:space="preserve"> </w:t>
      </w:r>
    </w:p>
    <w:p w14:paraId="65D388C3" w14:textId="66F51291" w:rsidR="00797F99" w:rsidRDefault="00797F99" w:rsidP="00797F99">
      <w:r>
        <w:t xml:space="preserve">The need for this is demonstrated by </w:t>
      </w:r>
      <w:r w:rsidR="006F3103">
        <w:t>C</w:t>
      </w:r>
      <w:r>
        <w:t xml:space="preserve">ase study </w:t>
      </w:r>
      <w:r w:rsidR="006F3103">
        <w:t>2</w:t>
      </w:r>
      <w:r>
        <w:t>.</w:t>
      </w:r>
    </w:p>
    <w:p w14:paraId="7F329773" w14:textId="77777777" w:rsidR="00797F99" w:rsidRPr="006F3103" w:rsidRDefault="00797F99" w:rsidP="00797F99">
      <w:pPr>
        <w:pStyle w:val="CaseStudy"/>
        <w:rPr>
          <w:b/>
          <w:i/>
        </w:rPr>
      </w:pPr>
      <w:r w:rsidRPr="006F3103">
        <w:rPr>
          <w:b/>
          <w:i/>
        </w:rPr>
        <w:t>Case study 2 – identification requirements</w:t>
      </w:r>
    </w:p>
    <w:p w14:paraId="52E90539" w14:textId="77777777" w:rsidR="00797F99" w:rsidRDefault="00797F99" w:rsidP="00797F99">
      <w:pPr>
        <w:pStyle w:val="CaseStudy"/>
      </w:pPr>
      <w:r>
        <w:t>In this 2019 case, a man sought to open an account with a bank, and was referred to the bank’s online system. The online system required proof of identity with only three choices: passport, driver licence, or proof of age card. The man did not have any of these forms of ID as he was in his 70s, legally blind, and with no current need for a passport. He did however have other forms of photographic ID.</w:t>
      </w:r>
    </w:p>
    <w:p w14:paraId="507A2BA8" w14:textId="77777777" w:rsidR="00797F99" w:rsidRDefault="00797F99" w:rsidP="00797F99">
      <w:pPr>
        <w:pStyle w:val="CaseStudy"/>
      </w:pPr>
      <w:r>
        <w:t xml:space="preserve">The bank told the man to attend a branch; however, the nearest branch was far away. </w:t>
      </w:r>
    </w:p>
    <w:p w14:paraId="79E99E99" w14:textId="77777777" w:rsidR="00797F99" w:rsidRDefault="00797F99" w:rsidP="00797F99">
      <w:pPr>
        <w:pStyle w:val="CaseStudy"/>
      </w:pPr>
      <w:r>
        <w:t xml:space="preserve">The complaint was ultimately withdrawn following agreement reached between the parties. </w:t>
      </w:r>
    </w:p>
    <w:p w14:paraId="12765A3B" w14:textId="313F6369" w:rsidR="00797F99" w:rsidRPr="0046751A" w:rsidRDefault="00797F99" w:rsidP="00797F99">
      <w:pPr>
        <w:pStyle w:val="Heading2"/>
      </w:pPr>
      <w:bookmarkStart w:id="15" w:name="_Toc78976616"/>
      <w:bookmarkStart w:id="16" w:name="_Toc79097807"/>
      <w:r>
        <w:t>Positive measures for inclusion and accessibility</w:t>
      </w:r>
      <w:bookmarkEnd w:id="15"/>
      <w:bookmarkEnd w:id="16"/>
      <w:r>
        <w:t xml:space="preserve"> </w:t>
      </w:r>
    </w:p>
    <w:p w14:paraId="61704CA4" w14:textId="77777777" w:rsidR="00797F99" w:rsidRDefault="00797F99" w:rsidP="006F3103">
      <w:pPr>
        <w:pStyle w:val="Normal1"/>
        <w:rPr>
          <w:highlight w:val="yellow"/>
        </w:rPr>
      </w:pPr>
      <w:r>
        <w:t>Clause 34 of the Code obliges banks to take ‘reasonable measures’ to enhance access to services by people with disability, older customers, and people with limited English. The Code also requires the giving of assistance to customers in remote communities</w:t>
      </w:r>
      <w:r>
        <w:rPr>
          <w:rStyle w:val="FootnoteReference"/>
        </w:rPr>
        <w:footnoteReference w:id="13"/>
      </w:r>
      <w:r>
        <w:t>, taking ‘extra care’ with customers experiencing vulnerability</w:t>
      </w:r>
      <w:r w:rsidRPr="00F06018">
        <w:rPr>
          <w:rStyle w:val="FootnoteReference"/>
        </w:rPr>
        <w:footnoteReference w:id="14"/>
      </w:r>
      <w:r w:rsidRPr="00F06018">
        <w:t>, and training for staff in</w:t>
      </w:r>
      <w:r>
        <w:t xml:space="preserve"> diversity, cultural awareness and vulnerability</w:t>
      </w:r>
      <w:r>
        <w:rPr>
          <w:rStyle w:val="FootnoteReference"/>
        </w:rPr>
        <w:footnoteReference w:id="15"/>
      </w:r>
      <w:r>
        <w:t xml:space="preserve">. </w:t>
      </w:r>
      <w:r w:rsidRPr="00F06018">
        <w:t xml:space="preserve">These ‘positive obligations’ are an important complement to anti-discrimination laws, </w:t>
      </w:r>
      <w:r>
        <w:t>aim</w:t>
      </w:r>
      <w:r w:rsidRPr="00F06018">
        <w:t xml:space="preserve"> to </w:t>
      </w:r>
      <w:r>
        <w:t>avoid</w:t>
      </w:r>
      <w:r w:rsidRPr="00F06018">
        <w:t xml:space="preserve"> problems before they arise, and reduce the burden on individuals having to enforce their rights through complaint </w:t>
      </w:r>
      <w:r w:rsidRPr="00F06018">
        <w:lastRenderedPageBreak/>
        <w:t xml:space="preserve">mechanisms. They are particularly important for customers in remote areas as, at least in Queensland, geographical location is not a protected attribute under the AD Act. </w:t>
      </w:r>
    </w:p>
    <w:p w14:paraId="2C392D29" w14:textId="77777777" w:rsidR="00797F99" w:rsidRDefault="00797F99" w:rsidP="006F3103">
      <w:pPr>
        <w:pStyle w:val="Normal1"/>
      </w:pPr>
      <w:r>
        <w:t xml:space="preserve">As highlighted by the </w:t>
      </w:r>
      <w:r w:rsidRPr="00084E27">
        <w:rPr>
          <w:i/>
        </w:rPr>
        <w:t>Consultation Note</w:t>
      </w:r>
      <w:r>
        <w:t xml:space="preserve">, these commitments are given in general terms, rather than having specific requirements or examples that can be measured, reported, and monitored. The Commission supports the </w:t>
      </w:r>
      <w:r w:rsidRPr="00084E27">
        <w:rPr>
          <w:i/>
        </w:rPr>
        <w:t>Consultation Note’s</w:t>
      </w:r>
      <w:r>
        <w:t xml:space="preserve"> suggestion that other codes of conduct be considered for ideas on how support for vulnerable customers can be enhanced in the Code.</w:t>
      </w:r>
      <w:r>
        <w:rPr>
          <w:rStyle w:val="FootnoteReference"/>
        </w:rPr>
        <w:footnoteReference w:id="16"/>
      </w:r>
      <w:r>
        <w:t xml:space="preserve">  </w:t>
      </w:r>
      <w:r w:rsidRPr="00F06018">
        <w:t>The Commission also supports consultation with relevant individuals and groups who</w:t>
      </w:r>
      <w:r>
        <w:t xml:space="preserve"> would be directly impacted by the measures. </w:t>
      </w:r>
    </w:p>
    <w:p w14:paraId="288641DB" w14:textId="7243266B" w:rsidR="00797F99" w:rsidRDefault="00797F99" w:rsidP="006F3103">
      <w:pPr>
        <w:pStyle w:val="Normal1"/>
      </w:pPr>
      <w:r>
        <w:t>Guidance on the meaning of ‘reasonable measures’, and other access and inclusion obligations on banks under the Code</w:t>
      </w:r>
      <w:r w:rsidR="00BA48A9">
        <w:t>,</w:t>
      </w:r>
      <w:r>
        <w:t xml:space="preserve"> could start with definitions found in anti-discrimination legislation. Indirect discrimination does not occur if the term imposed is ‘</w:t>
      </w:r>
      <w:r w:rsidRPr="006F3103">
        <w:t>reasonable’</w:t>
      </w:r>
      <w:r>
        <w:t xml:space="preserve">. Under section 11(2) of the AD Act, whether a term ‘reasonable’ depends on all the relevant circumstances of the case, including, for example – </w:t>
      </w:r>
    </w:p>
    <w:p w14:paraId="41993EBB" w14:textId="77777777" w:rsidR="00797F99" w:rsidRPr="006F3103" w:rsidRDefault="00797F99" w:rsidP="006F3103">
      <w:pPr>
        <w:pStyle w:val="ListParagraph"/>
        <w:numPr>
          <w:ilvl w:val="0"/>
          <w:numId w:val="4"/>
        </w:numPr>
        <w:spacing w:after="160" w:line="259" w:lineRule="auto"/>
        <w:rPr>
          <w:sz w:val="22"/>
          <w:szCs w:val="22"/>
        </w:rPr>
      </w:pPr>
      <w:r w:rsidRPr="006F3103">
        <w:rPr>
          <w:sz w:val="22"/>
          <w:szCs w:val="22"/>
        </w:rPr>
        <w:t>the consequences of failure to comply with the term; and</w:t>
      </w:r>
    </w:p>
    <w:p w14:paraId="2F087369" w14:textId="77777777" w:rsidR="00797F99" w:rsidRPr="006F3103" w:rsidRDefault="00797F99" w:rsidP="006F3103">
      <w:pPr>
        <w:pStyle w:val="ListParagraph"/>
        <w:numPr>
          <w:ilvl w:val="0"/>
          <w:numId w:val="4"/>
        </w:numPr>
        <w:spacing w:after="160" w:line="259" w:lineRule="auto"/>
        <w:rPr>
          <w:sz w:val="22"/>
          <w:szCs w:val="22"/>
        </w:rPr>
      </w:pPr>
      <w:r w:rsidRPr="006F3103">
        <w:rPr>
          <w:sz w:val="22"/>
          <w:szCs w:val="22"/>
        </w:rPr>
        <w:t>the cost of alternative terms; and</w:t>
      </w:r>
    </w:p>
    <w:p w14:paraId="72405710" w14:textId="77777777" w:rsidR="00797F99" w:rsidRPr="006F3103" w:rsidRDefault="00797F99" w:rsidP="006F3103">
      <w:pPr>
        <w:pStyle w:val="ListParagraph"/>
        <w:numPr>
          <w:ilvl w:val="0"/>
          <w:numId w:val="4"/>
        </w:numPr>
        <w:spacing w:after="160" w:line="259" w:lineRule="auto"/>
        <w:rPr>
          <w:sz w:val="22"/>
          <w:szCs w:val="22"/>
        </w:rPr>
      </w:pPr>
      <w:r w:rsidRPr="006F3103">
        <w:rPr>
          <w:sz w:val="22"/>
          <w:szCs w:val="22"/>
        </w:rPr>
        <w:t xml:space="preserve">the financial circumstances of the person who imposes, or proposes to impose, the terms. </w:t>
      </w:r>
    </w:p>
    <w:p w14:paraId="2958EB70" w14:textId="0F0BFF72" w:rsidR="00797F99" w:rsidRDefault="00797F99" w:rsidP="006F3103">
      <w:pPr>
        <w:pStyle w:val="Normal1"/>
      </w:pPr>
      <w:r>
        <w:t>Similarly, there are a number of exemptions to discrimination on the basis of impairment where the supply of special services or facilities would impose ‘unjustifiable hardship’ on the person supplying goods or services.  Whether there is unjustifiable hardship depends on all the relevant circumstances of the case, including, for example:</w:t>
      </w:r>
    </w:p>
    <w:p w14:paraId="534CED72" w14:textId="77777777" w:rsidR="00797F99" w:rsidRPr="006F3103" w:rsidRDefault="00797F99" w:rsidP="006F3103">
      <w:pPr>
        <w:pStyle w:val="ListParagraph"/>
        <w:numPr>
          <w:ilvl w:val="0"/>
          <w:numId w:val="5"/>
        </w:numPr>
        <w:spacing w:after="160" w:line="259" w:lineRule="auto"/>
        <w:rPr>
          <w:sz w:val="22"/>
          <w:szCs w:val="22"/>
        </w:rPr>
      </w:pPr>
      <w:r w:rsidRPr="006F3103">
        <w:rPr>
          <w:sz w:val="22"/>
          <w:szCs w:val="22"/>
        </w:rPr>
        <w:t>the nature of the special services or facilities; and</w:t>
      </w:r>
    </w:p>
    <w:p w14:paraId="493E0C60" w14:textId="77777777" w:rsidR="00797F99" w:rsidRPr="006F3103" w:rsidRDefault="00797F99" w:rsidP="006F3103">
      <w:pPr>
        <w:pStyle w:val="ListParagraph"/>
        <w:numPr>
          <w:ilvl w:val="0"/>
          <w:numId w:val="5"/>
        </w:numPr>
        <w:spacing w:after="160" w:line="259" w:lineRule="auto"/>
        <w:rPr>
          <w:sz w:val="22"/>
          <w:szCs w:val="22"/>
        </w:rPr>
      </w:pPr>
      <w:r w:rsidRPr="006F3103">
        <w:rPr>
          <w:sz w:val="22"/>
          <w:szCs w:val="22"/>
        </w:rPr>
        <w:t>the cost of supplying the special services or facilities and the number of people who would benefit or be disadvantaged; and</w:t>
      </w:r>
    </w:p>
    <w:p w14:paraId="6C6D902B" w14:textId="77777777" w:rsidR="00797F99" w:rsidRPr="006F3103" w:rsidRDefault="00797F99" w:rsidP="006F3103">
      <w:pPr>
        <w:pStyle w:val="ListParagraph"/>
        <w:numPr>
          <w:ilvl w:val="0"/>
          <w:numId w:val="5"/>
        </w:numPr>
        <w:spacing w:after="160" w:line="259" w:lineRule="auto"/>
        <w:rPr>
          <w:sz w:val="22"/>
          <w:szCs w:val="22"/>
        </w:rPr>
      </w:pPr>
      <w:r w:rsidRPr="006F3103">
        <w:rPr>
          <w:sz w:val="22"/>
          <w:szCs w:val="22"/>
        </w:rPr>
        <w:t xml:space="preserve">the financial circumstances of the person; and </w:t>
      </w:r>
    </w:p>
    <w:p w14:paraId="4240C4E5" w14:textId="77777777" w:rsidR="00797F99" w:rsidRPr="006F3103" w:rsidRDefault="00797F99" w:rsidP="006F3103">
      <w:pPr>
        <w:pStyle w:val="ListParagraph"/>
        <w:numPr>
          <w:ilvl w:val="0"/>
          <w:numId w:val="5"/>
        </w:numPr>
        <w:spacing w:after="160" w:line="259" w:lineRule="auto"/>
        <w:rPr>
          <w:sz w:val="22"/>
          <w:szCs w:val="22"/>
        </w:rPr>
      </w:pPr>
      <w:r w:rsidRPr="006F3103">
        <w:rPr>
          <w:sz w:val="22"/>
          <w:szCs w:val="22"/>
        </w:rPr>
        <w:t xml:space="preserve">the disruption that supplying the special services or facilities might cause; and  </w:t>
      </w:r>
    </w:p>
    <w:p w14:paraId="49CE6806" w14:textId="77777777" w:rsidR="00797F99" w:rsidRDefault="00797F99" w:rsidP="006F3103">
      <w:pPr>
        <w:pStyle w:val="ListParagraph"/>
        <w:numPr>
          <w:ilvl w:val="0"/>
          <w:numId w:val="5"/>
        </w:numPr>
        <w:spacing w:after="160" w:line="259" w:lineRule="auto"/>
      </w:pPr>
      <w:r w:rsidRPr="006F3103">
        <w:rPr>
          <w:sz w:val="22"/>
          <w:szCs w:val="22"/>
        </w:rPr>
        <w:t>the nature of any benefit or detriment to all people concerned</w:t>
      </w:r>
      <w:r>
        <w:t>.</w:t>
      </w:r>
      <w:r>
        <w:rPr>
          <w:rStyle w:val="FootnoteReference"/>
        </w:rPr>
        <w:footnoteReference w:id="17"/>
      </w:r>
    </w:p>
    <w:p w14:paraId="0E797810" w14:textId="77777777" w:rsidR="00797F99" w:rsidRDefault="00797F99" w:rsidP="006F3103">
      <w:pPr>
        <w:pStyle w:val="Normal1"/>
      </w:pPr>
      <w:r w:rsidRPr="00F06018">
        <w:t xml:space="preserve">A </w:t>
      </w:r>
      <w:r>
        <w:t xml:space="preserve">rights-based </w:t>
      </w:r>
      <w:r w:rsidRPr="00F06018">
        <w:t xml:space="preserve">approach to the content of inclusion and accessibility obligations </w:t>
      </w:r>
      <w:r>
        <w:t>would require that</w:t>
      </w:r>
      <w:r w:rsidRPr="00F06018">
        <w:t xml:space="preserve">, </w:t>
      </w:r>
      <w:r>
        <w:t xml:space="preserve">where a person is unable to access services on an equal basis with others, the limitation of their rights must be justified. Whether a limitation is justified includes having regard to </w:t>
      </w:r>
      <w:r w:rsidRPr="00F06018">
        <w:t xml:space="preserve">the impact </w:t>
      </w:r>
      <w:r>
        <w:t xml:space="preserve">of the limit </w:t>
      </w:r>
      <w:r w:rsidRPr="00F06018">
        <w:t xml:space="preserve">on the individual, the purpose of the limitation, and whether there are less restrictive ways </w:t>
      </w:r>
      <w:r>
        <w:t xml:space="preserve">to achieve </w:t>
      </w:r>
      <w:r w:rsidRPr="00F06018">
        <w:t>the same outcome.</w:t>
      </w:r>
      <w:r>
        <w:t xml:space="preserve"> </w:t>
      </w:r>
    </w:p>
    <w:p w14:paraId="5BDCCF1A" w14:textId="518532F4" w:rsidR="007E5C53" w:rsidRDefault="00BA48A9" w:rsidP="0041265A">
      <w:pPr>
        <w:pStyle w:val="Heading2"/>
      </w:pPr>
      <w:bookmarkStart w:id="17" w:name="_Toc79097808"/>
      <w:r>
        <w:t>Complaints processes</w:t>
      </w:r>
      <w:bookmarkEnd w:id="17"/>
    </w:p>
    <w:p w14:paraId="2FAE68B0" w14:textId="3559D170" w:rsidR="007E5C53" w:rsidRDefault="00797F99" w:rsidP="006F3103">
      <w:pPr>
        <w:pStyle w:val="Normal1"/>
      </w:pPr>
      <w:r>
        <w:t xml:space="preserve">Finally, for rights under the Code to be realised, there needs to be an effective complaints process for the people it aims to protect. This includes </w:t>
      </w:r>
      <w:r w:rsidR="00BA48A9">
        <w:t xml:space="preserve">provision of </w:t>
      </w:r>
      <w:r>
        <w:t>an accessible process and necessary support for people in positions of vulnerability wishing to make a complaint.</w:t>
      </w:r>
      <w:r w:rsidR="00713D97">
        <w:t xml:space="preserve"> </w:t>
      </w:r>
    </w:p>
    <w:p w14:paraId="4FB71729" w14:textId="18FF5264" w:rsidR="00C66A75" w:rsidRDefault="0080173B" w:rsidP="006F3103">
      <w:pPr>
        <w:pStyle w:val="Normal1"/>
      </w:pPr>
      <w:r>
        <w:t xml:space="preserve">In 2016, bank members of the Australian Banking Association committed to introducing </w:t>
      </w:r>
      <w:r w:rsidR="00713D97">
        <w:t xml:space="preserve">a Customer Advocate </w:t>
      </w:r>
      <w:r w:rsidR="007E5C53">
        <w:t>position within banks</w:t>
      </w:r>
      <w:r>
        <w:t>, which was added to the Code in 2018</w:t>
      </w:r>
      <w:r w:rsidR="00713D97">
        <w:t>.</w:t>
      </w:r>
      <w:r>
        <w:rPr>
          <w:rStyle w:val="FootnoteReference"/>
        </w:rPr>
        <w:footnoteReference w:id="18"/>
      </w:r>
      <w:r w:rsidR="007E5C53">
        <w:t xml:space="preserve"> </w:t>
      </w:r>
      <w:r w:rsidR="00C66A75">
        <w:t xml:space="preserve">The 2019 review of </w:t>
      </w:r>
      <w:r w:rsidR="00BA48A9">
        <w:t xml:space="preserve">the </w:t>
      </w:r>
      <w:r w:rsidR="00C66A75">
        <w:t>implementation</w:t>
      </w:r>
      <w:r w:rsidR="00BA48A9">
        <w:t xml:space="preserve"> of Customer Advocates</w:t>
      </w:r>
      <w:r w:rsidR="00C66A75">
        <w:t xml:space="preserve"> considered </w:t>
      </w:r>
      <w:r w:rsidR="00BA48A9">
        <w:t xml:space="preserve">their </w:t>
      </w:r>
      <w:r w:rsidR="00C66A75">
        <w:t>impact on vulnerable customers.</w:t>
      </w:r>
      <w:r w:rsidR="001C7077">
        <w:rPr>
          <w:rStyle w:val="FootnoteReference"/>
        </w:rPr>
        <w:footnoteReference w:id="19"/>
      </w:r>
      <w:r w:rsidR="00C66A75">
        <w:t xml:space="preserve"> It noted that:</w:t>
      </w:r>
    </w:p>
    <w:p w14:paraId="1634FC22" w14:textId="19C8D555" w:rsidR="00C66A75" w:rsidRDefault="00C66A75" w:rsidP="00C66A75">
      <w:pPr>
        <w:pStyle w:val="Normal1"/>
        <w:numPr>
          <w:ilvl w:val="0"/>
          <w:numId w:val="3"/>
        </w:numPr>
      </w:pPr>
      <w:r>
        <w:t xml:space="preserve">Not all Customer Advocate positions reviewed had accountability for vulnerable customers. </w:t>
      </w:r>
    </w:p>
    <w:p w14:paraId="4DF3CE69" w14:textId="609ED68D" w:rsidR="00A02757" w:rsidRDefault="00A02757" w:rsidP="0041265A">
      <w:pPr>
        <w:pStyle w:val="Normal1"/>
        <w:numPr>
          <w:ilvl w:val="0"/>
          <w:numId w:val="3"/>
        </w:numPr>
      </w:pPr>
      <w:r>
        <w:t>Customer Advocates in smaller banks faced resourcing constraints</w:t>
      </w:r>
      <w:r w:rsidR="000B5B75">
        <w:t xml:space="preserve"> and did not proactively identify vulnerable customers or tailor their approach</w:t>
      </w:r>
      <w:r>
        <w:t>.</w:t>
      </w:r>
    </w:p>
    <w:p w14:paraId="46F24A13" w14:textId="4522A2C7" w:rsidR="00C66A75" w:rsidRDefault="00A02757" w:rsidP="0041265A">
      <w:pPr>
        <w:pStyle w:val="Normal1"/>
        <w:numPr>
          <w:ilvl w:val="0"/>
          <w:numId w:val="3"/>
        </w:numPr>
      </w:pPr>
      <w:r>
        <w:t>Banks used different definitions of ‘vulnerable customers’, if at all. For some smaller banks, vulnerable customer was limited to customers in financial hardship.</w:t>
      </w:r>
    </w:p>
    <w:p w14:paraId="00454E25" w14:textId="6C648719" w:rsidR="00A02757" w:rsidRDefault="000B5B75" w:rsidP="0041265A">
      <w:pPr>
        <w:pStyle w:val="Normal1"/>
        <w:numPr>
          <w:ilvl w:val="0"/>
          <w:numId w:val="3"/>
        </w:numPr>
      </w:pPr>
      <w:r>
        <w:t xml:space="preserve">There were examples of Customer Advocates engaging in activities such </w:t>
      </w:r>
      <w:r w:rsidR="004218DC">
        <w:t xml:space="preserve">as consulting with Consumer Groups, identifying and </w:t>
      </w:r>
      <w:r w:rsidR="00F54247">
        <w:t xml:space="preserve">responding </w:t>
      </w:r>
      <w:r w:rsidR="004218DC">
        <w:t xml:space="preserve">to </w:t>
      </w:r>
      <w:r w:rsidR="00F54247">
        <w:t xml:space="preserve">systemic problems </w:t>
      </w:r>
      <w:r w:rsidR="004218DC">
        <w:t>with targeted programs</w:t>
      </w:r>
      <w:r w:rsidR="00F54247">
        <w:t xml:space="preserve">, staff training, and </w:t>
      </w:r>
      <w:r w:rsidR="004218DC">
        <w:t xml:space="preserve">referring </w:t>
      </w:r>
      <w:r w:rsidR="00F54247">
        <w:t>customers for financial counselling, legal advice and other support.</w:t>
      </w:r>
      <w:r w:rsidR="001C7077">
        <w:rPr>
          <w:rStyle w:val="FootnoteReference"/>
        </w:rPr>
        <w:footnoteReference w:id="20"/>
      </w:r>
      <w:r w:rsidR="00F54247">
        <w:t xml:space="preserve">  </w:t>
      </w:r>
    </w:p>
    <w:p w14:paraId="65B23DEF" w14:textId="3209ADDD" w:rsidR="00A02757" w:rsidRDefault="00F54247" w:rsidP="00A02757">
      <w:pPr>
        <w:pStyle w:val="Normal1"/>
      </w:pPr>
      <w:r>
        <w:t xml:space="preserve">Under </w:t>
      </w:r>
      <w:r w:rsidR="00FF4572">
        <w:t xml:space="preserve">clause 193 of </w:t>
      </w:r>
      <w:r>
        <w:t>the Code, the purpose of the Customer Advocate is to ‘facilitate fair customer outcomes and minimise the likelihood of future problems</w:t>
      </w:r>
      <w:r w:rsidR="004218DC">
        <w:t>’</w:t>
      </w:r>
      <w:r>
        <w:t xml:space="preserve">. The </w:t>
      </w:r>
      <w:r w:rsidR="00615BA0">
        <w:t xml:space="preserve">recently updated </w:t>
      </w:r>
      <w:r w:rsidR="00615BA0">
        <w:rPr>
          <w:i/>
        </w:rPr>
        <w:t xml:space="preserve">Customer Advocate Guiding Principles </w:t>
      </w:r>
      <w:r w:rsidR="00615BA0">
        <w:t xml:space="preserve">has clarified and strengthened the </w:t>
      </w:r>
      <w:r w:rsidR="007E6080">
        <w:t xml:space="preserve">purpose, role and responsibilities of </w:t>
      </w:r>
      <w:r w:rsidR="00615BA0">
        <w:t xml:space="preserve">Customer Advocates, </w:t>
      </w:r>
      <w:r w:rsidR="007E6080">
        <w:t>however, banks are still free to construct the role differently to respond to their needs and their community</w:t>
      </w:r>
      <w:r w:rsidR="004218DC">
        <w:t>.</w:t>
      </w:r>
      <w:r w:rsidR="004218DC">
        <w:rPr>
          <w:rStyle w:val="FootnoteReference"/>
        </w:rPr>
        <w:footnoteReference w:id="21"/>
      </w:r>
      <w:r w:rsidR="00FF4572">
        <w:t xml:space="preserve"> </w:t>
      </w:r>
    </w:p>
    <w:p w14:paraId="4A09698A" w14:textId="411DA664" w:rsidR="00BA48A9" w:rsidRDefault="007E6080" w:rsidP="00BA48A9">
      <w:pPr>
        <w:pStyle w:val="Normal1"/>
      </w:pPr>
      <w:r>
        <w:t>T</w:t>
      </w:r>
      <w:r w:rsidR="004218DC">
        <w:t xml:space="preserve">he Commission recommends that the purpose and responsibilities of the Consumer Advocate be more specifically defined in the Code, and in particular their responsibilities to </w:t>
      </w:r>
      <w:r w:rsidR="00720D23">
        <w:t xml:space="preserve">people </w:t>
      </w:r>
      <w:r w:rsidR="004218DC">
        <w:t xml:space="preserve">requiring support to access </w:t>
      </w:r>
      <w:r w:rsidR="001C7077">
        <w:t>complaint mechanisms</w:t>
      </w:r>
      <w:r w:rsidR="004218DC">
        <w:t xml:space="preserve">. </w:t>
      </w:r>
      <w:r w:rsidR="001C7077">
        <w:t>At a minimum</w:t>
      </w:r>
      <w:r w:rsidR="00FF4572">
        <w:t>,</w:t>
      </w:r>
      <w:r w:rsidR="001C7077">
        <w:t xml:space="preserve"> banks should </w:t>
      </w:r>
      <w:r w:rsidR="00FA3ECC">
        <w:t xml:space="preserve">refer </w:t>
      </w:r>
      <w:r w:rsidR="001C7077">
        <w:t xml:space="preserve">customers </w:t>
      </w:r>
      <w:r w:rsidR="00FF4572" w:rsidRPr="00BA48A9">
        <w:t>needing</w:t>
      </w:r>
      <w:r w:rsidR="00FF4572">
        <w:t xml:space="preserve"> assistance </w:t>
      </w:r>
      <w:r w:rsidR="001C7077">
        <w:t xml:space="preserve">to relevant independent advocacy supports. </w:t>
      </w:r>
      <w:bookmarkStart w:id="18" w:name="_Toc78976617"/>
    </w:p>
    <w:p w14:paraId="40D0EF17" w14:textId="69C873A5" w:rsidR="00797F99" w:rsidRDefault="00797F99" w:rsidP="00BA48A9">
      <w:pPr>
        <w:pStyle w:val="Heading1"/>
      </w:pPr>
      <w:bookmarkStart w:id="19" w:name="_Toc79097809"/>
      <w:r>
        <w:t>Summary of recommendations</w:t>
      </w:r>
      <w:bookmarkEnd w:id="18"/>
      <w:bookmarkEnd w:id="19"/>
    </w:p>
    <w:p w14:paraId="2A711083" w14:textId="77777777" w:rsidR="00797F99" w:rsidRPr="008D611B" w:rsidRDefault="00797F99" w:rsidP="006F3103">
      <w:pPr>
        <w:pStyle w:val="Normal1"/>
      </w:pPr>
      <w:r>
        <w:t xml:space="preserve">The Commission recommends that the Review of the Code: </w:t>
      </w:r>
    </w:p>
    <w:p w14:paraId="4E932C2F" w14:textId="77777777" w:rsidR="00797F99" w:rsidRDefault="00797F99" w:rsidP="006F3103">
      <w:pPr>
        <w:pStyle w:val="ListParagraph"/>
        <w:numPr>
          <w:ilvl w:val="0"/>
          <w:numId w:val="6"/>
        </w:numPr>
        <w:spacing w:after="160" w:line="259" w:lineRule="auto"/>
      </w:pPr>
      <w:r>
        <w:t xml:space="preserve">Reflect on the impact COVID-19 has had on banking services for people with disability, particularly people who require in person branch services, </w:t>
      </w:r>
      <w:r>
        <w:lastRenderedPageBreak/>
        <w:t xml:space="preserve">and people who are presently ineligible to hold a banking transaction card, and whether amendment of the Code is needed to address this. </w:t>
      </w:r>
    </w:p>
    <w:p w14:paraId="7F12E28F" w14:textId="77777777" w:rsidR="00797F99" w:rsidRDefault="00797F99" w:rsidP="00797F99">
      <w:pPr>
        <w:pStyle w:val="ListParagraph"/>
      </w:pPr>
    </w:p>
    <w:p w14:paraId="128A7FD6" w14:textId="77777777" w:rsidR="00797F99" w:rsidRDefault="00797F99" w:rsidP="006F3103">
      <w:pPr>
        <w:pStyle w:val="ListParagraph"/>
        <w:numPr>
          <w:ilvl w:val="0"/>
          <w:numId w:val="6"/>
        </w:numPr>
        <w:spacing w:after="160" w:line="259" w:lineRule="auto"/>
      </w:pPr>
      <w:r>
        <w:t xml:space="preserve">Consider whether the obligations in Chapter 13 of the Code on inclusion and accessibility should be more specific and measurable, particularly for customers in remote areas, including by: </w:t>
      </w:r>
    </w:p>
    <w:p w14:paraId="66570031" w14:textId="77777777" w:rsidR="00797F99" w:rsidRDefault="00797F99" w:rsidP="00797F99">
      <w:pPr>
        <w:pStyle w:val="ListParagraph"/>
      </w:pPr>
    </w:p>
    <w:p w14:paraId="32AF54A2" w14:textId="77777777" w:rsidR="00797F99" w:rsidRDefault="00797F99" w:rsidP="006F3103">
      <w:pPr>
        <w:pStyle w:val="ListParagraph"/>
        <w:numPr>
          <w:ilvl w:val="1"/>
          <w:numId w:val="6"/>
        </w:numPr>
        <w:spacing w:after="160" w:line="259" w:lineRule="auto"/>
      </w:pPr>
      <w:r>
        <w:t>referring to other codes of conduct;</w:t>
      </w:r>
    </w:p>
    <w:p w14:paraId="0B4E95DC" w14:textId="77777777" w:rsidR="00797F99" w:rsidRDefault="00797F99" w:rsidP="006F3103">
      <w:pPr>
        <w:pStyle w:val="ListParagraph"/>
        <w:numPr>
          <w:ilvl w:val="1"/>
          <w:numId w:val="6"/>
        </w:numPr>
        <w:spacing w:after="160" w:line="259" w:lineRule="auto"/>
      </w:pPr>
      <w:r>
        <w:t>considering definitions of ‘reasonable’ and ‘unjustifiable hardship’ under anti-discrimination laws, and a rights-based approach to obligations imposed by the Code;</w:t>
      </w:r>
    </w:p>
    <w:p w14:paraId="60D7C594" w14:textId="77777777" w:rsidR="00797F99" w:rsidRDefault="00797F99" w:rsidP="006F3103">
      <w:pPr>
        <w:pStyle w:val="ListParagraph"/>
        <w:numPr>
          <w:ilvl w:val="1"/>
          <w:numId w:val="6"/>
        </w:numPr>
        <w:spacing w:after="160" w:line="259" w:lineRule="auto"/>
      </w:pPr>
      <w:r>
        <w:t xml:space="preserve">consulting with impacted groups, their families, and other supports. </w:t>
      </w:r>
    </w:p>
    <w:p w14:paraId="50C3A27F" w14:textId="77777777" w:rsidR="00797F99" w:rsidRDefault="00797F99" w:rsidP="00797F99">
      <w:pPr>
        <w:pStyle w:val="ListParagraph"/>
        <w:ind w:left="1440"/>
      </w:pPr>
    </w:p>
    <w:p w14:paraId="7C3DB2E8" w14:textId="77777777" w:rsidR="00797F99" w:rsidRDefault="00797F99" w:rsidP="006F3103">
      <w:pPr>
        <w:pStyle w:val="ListParagraph"/>
        <w:numPr>
          <w:ilvl w:val="0"/>
          <w:numId w:val="6"/>
        </w:numPr>
        <w:spacing w:after="160" w:line="259" w:lineRule="auto"/>
      </w:pPr>
      <w:r>
        <w:t>In relation to disability, some examples of more specific obligations may be:</w:t>
      </w:r>
    </w:p>
    <w:p w14:paraId="66056723" w14:textId="77777777" w:rsidR="00797F99" w:rsidRDefault="00797F99" w:rsidP="00797F99">
      <w:pPr>
        <w:pStyle w:val="ListParagraph"/>
      </w:pPr>
    </w:p>
    <w:p w14:paraId="7852A977" w14:textId="77777777" w:rsidR="00797F99" w:rsidRPr="00465981" w:rsidRDefault="00797F99" w:rsidP="006F3103">
      <w:pPr>
        <w:pStyle w:val="ListParagraph"/>
        <w:numPr>
          <w:ilvl w:val="1"/>
          <w:numId w:val="6"/>
        </w:numPr>
        <w:spacing w:after="160" w:line="259" w:lineRule="auto"/>
      </w:pPr>
      <w:r>
        <w:t xml:space="preserve">acknowledging </w:t>
      </w:r>
      <w:r w:rsidRPr="00465981">
        <w:t>the role and validity of supported decision</w:t>
      </w:r>
      <w:r>
        <w:t>-</w:t>
      </w:r>
      <w:r w:rsidRPr="00465981">
        <w:t>making so that all people, as far as possible, can make their own decisions;</w:t>
      </w:r>
    </w:p>
    <w:p w14:paraId="163C2ED2" w14:textId="77777777" w:rsidR="00797F99" w:rsidRPr="00465981" w:rsidRDefault="00797F99" w:rsidP="006F3103">
      <w:pPr>
        <w:pStyle w:val="ListParagraph"/>
        <w:numPr>
          <w:ilvl w:val="1"/>
          <w:numId w:val="6"/>
        </w:numPr>
        <w:spacing w:after="160" w:line="259" w:lineRule="auto"/>
      </w:pPr>
      <w:r w:rsidRPr="00465981">
        <w:t xml:space="preserve">considering the impact </w:t>
      </w:r>
      <w:r>
        <w:t xml:space="preserve">that </w:t>
      </w:r>
      <w:r w:rsidRPr="00465981">
        <w:t xml:space="preserve">services (including the reduction of services) and service </w:t>
      </w:r>
      <w:r>
        <w:t>delivery</w:t>
      </w:r>
      <w:r w:rsidRPr="00465981">
        <w:t xml:space="preserve"> have on people who need assistance to access those services;</w:t>
      </w:r>
    </w:p>
    <w:p w14:paraId="1DDCFA0B" w14:textId="77777777" w:rsidR="00797F99" w:rsidRPr="00465981" w:rsidRDefault="00797F99" w:rsidP="006F3103">
      <w:pPr>
        <w:pStyle w:val="ListParagraph"/>
        <w:numPr>
          <w:ilvl w:val="1"/>
          <w:numId w:val="6"/>
        </w:numPr>
        <w:spacing w:after="160" w:line="259" w:lineRule="auto"/>
      </w:pPr>
      <w:r w:rsidRPr="00465981">
        <w:t xml:space="preserve">having ways for </w:t>
      </w:r>
      <w:r>
        <w:t>a</w:t>
      </w:r>
      <w:r w:rsidRPr="00465981">
        <w:t xml:space="preserve"> person to participate in decisions about their financial matters</w:t>
      </w:r>
      <w:r>
        <w:t>,</w:t>
      </w:r>
      <w:r w:rsidRPr="00465981">
        <w:t xml:space="preserve"> should they wish</w:t>
      </w:r>
      <w:r>
        <w:t xml:space="preserve">, </w:t>
      </w:r>
      <w:r w:rsidRPr="00465981">
        <w:t>even where a</w:t>
      </w:r>
      <w:r>
        <w:t>n</w:t>
      </w:r>
      <w:r w:rsidRPr="00465981">
        <w:t xml:space="preserve"> </w:t>
      </w:r>
      <w:r>
        <w:t xml:space="preserve">administrator or attorney has been </w:t>
      </w:r>
      <w:r w:rsidRPr="00465981">
        <w:t>formally appo</w:t>
      </w:r>
      <w:r>
        <w:t>inted</w:t>
      </w:r>
      <w:r w:rsidRPr="00465981">
        <w:t xml:space="preserve">; </w:t>
      </w:r>
    </w:p>
    <w:p w14:paraId="417143F9" w14:textId="1A762ACD" w:rsidR="00797F99" w:rsidRPr="003A69BB" w:rsidRDefault="00797F99" w:rsidP="006F3103">
      <w:pPr>
        <w:pStyle w:val="ListParagraph"/>
        <w:numPr>
          <w:ilvl w:val="1"/>
          <w:numId w:val="6"/>
        </w:numPr>
        <w:spacing w:after="160" w:line="259" w:lineRule="auto"/>
      </w:pPr>
      <w:r w:rsidRPr="003A69BB">
        <w:t xml:space="preserve">training staff </w:t>
      </w:r>
      <w:r>
        <w:t>about</w:t>
      </w:r>
      <w:r w:rsidRPr="003A69BB">
        <w:t xml:space="preserve"> disability and legal capacity, including that capaci</w:t>
      </w:r>
      <w:r w:rsidR="00BA48A9">
        <w:t>ty is matter and time specific,</w:t>
      </w:r>
      <w:r w:rsidRPr="003A69BB">
        <w:t xml:space="preserve"> and does not equate with </w:t>
      </w:r>
      <w:r w:rsidR="00BA48A9">
        <w:t xml:space="preserve">appearance, diagnosis or </w:t>
      </w:r>
      <w:r w:rsidRPr="003A69BB">
        <w:t>making the best or wise</w:t>
      </w:r>
      <w:r>
        <w:t>st</w:t>
      </w:r>
      <w:r w:rsidRPr="003A69BB">
        <w:t xml:space="preserve"> decision.</w:t>
      </w:r>
    </w:p>
    <w:p w14:paraId="31498857" w14:textId="77777777" w:rsidR="00797F99" w:rsidRPr="00A346F9" w:rsidRDefault="00797F99" w:rsidP="00797F99">
      <w:pPr>
        <w:pStyle w:val="ListParagraph"/>
        <w:ind w:left="1440"/>
        <w:rPr>
          <w:highlight w:val="yellow"/>
        </w:rPr>
      </w:pPr>
    </w:p>
    <w:p w14:paraId="6D00461F" w14:textId="77777777" w:rsidR="00797F99" w:rsidRDefault="00797F99" w:rsidP="006F3103">
      <w:pPr>
        <w:pStyle w:val="ListParagraph"/>
        <w:numPr>
          <w:ilvl w:val="0"/>
          <w:numId w:val="6"/>
        </w:numPr>
        <w:spacing w:after="160" w:line="259" w:lineRule="auto"/>
      </w:pPr>
      <w:r>
        <w:t>Consider whether the Code should reflect sensitivities around gender diversity.</w:t>
      </w:r>
    </w:p>
    <w:p w14:paraId="3E8F0F45" w14:textId="77777777" w:rsidR="00797F99" w:rsidRDefault="00797F99" w:rsidP="00797F99">
      <w:pPr>
        <w:pStyle w:val="ListParagraph"/>
      </w:pPr>
    </w:p>
    <w:p w14:paraId="11499539" w14:textId="77777777" w:rsidR="00797F99" w:rsidRDefault="00797F99" w:rsidP="006F3103">
      <w:pPr>
        <w:pStyle w:val="ListParagraph"/>
        <w:numPr>
          <w:ilvl w:val="0"/>
          <w:numId w:val="6"/>
        </w:numPr>
        <w:spacing w:after="160" w:line="259" w:lineRule="auto"/>
      </w:pPr>
      <w:r>
        <w:t>Clarify obligations under the Code regarding identification requirements for all people who may not have access to conventional means of identification.</w:t>
      </w:r>
    </w:p>
    <w:p w14:paraId="4EEE664D" w14:textId="77777777" w:rsidR="00797F99" w:rsidRDefault="00797F99" w:rsidP="00797F99">
      <w:pPr>
        <w:pStyle w:val="ListParagraph"/>
      </w:pPr>
    </w:p>
    <w:p w14:paraId="2E65CF1F" w14:textId="31C1E20C" w:rsidR="00FE5D11" w:rsidRPr="00FE5D11" w:rsidRDefault="007C5AC1" w:rsidP="007C5AC1">
      <w:pPr>
        <w:pStyle w:val="ListParagraph"/>
        <w:numPr>
          <w:ilvl w:val="0"/>
          <w:numId w:val="6"/>
        </w:numPr>
        <w:spacing w:after="160" w:line="276" w:lineRule="auto"/>
      </w:pPr>
      <w:r>
        <w:t xml:space="preserve">Include a commitment to </w:t>
      </w:r>
      <w:r w:rsidR="00720D23">
        <w:t xml:space="preserve">accessible </w:t>
      </w:r>
      <w:r>
        <w:t>complaints process</w:t>
      </w:r>
      <w:r w:rsidR="00720D23">
        <w:t>es</w:t>
      </w:r>
      <w:r>
        <w:t xml:space="preserve">, and more specifically define the purpose, role and responsibilities of the Consumer Advocate in the Code. At a minimum, banks should </w:t>
      </w:r>
      <w:r w:rsidR="00720D23">
        <w:t xml:space="preserve">commit </w:t>
      </w:r>
      <w:r>
        <w:t>to refer</w:t>
      </w:r>
      <w:r w:rsidR="00720D23">
        <w:t>ring</w:t>
      </w:r>
      <w:r>
        <w:t xml:space="preserve"> customers needing assistance</w:t>
      </w:r>
      <w:r w:rsidR="00720D23">
        <w:t xml:space="preserve"> to complain</w:t>
      </w:r>
      <w:r>
        <w:t xml:space="preserve"> to relevant independent advocacy supports.  </w:t>
      </w:r>
    </w:p>
    <w:sectPr w:rsidR="00FE5D11" w:rsidRPr="00FE5D11" w:rsidSect="00797F99">
      <w:headerReference w:type="default" r:id="rId12"/>
      <w:pgSz w:w="11900" w:h="16840" w:code="9"/>
      <w:pgMar w:top="1134" w:right="1701" w:bottom="1134" w:left="1701"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BA826" w14:textId="77777777" w:rsidR="0019639B" w:rsidRDefault="0019639B" w:rsidP="0034134D">
      <w:r>
        <w:separator/>
      </w:r>
    </w:p>
    <w:p w14:paraId="56F87B0D" w14:textId="77777777" w:rsidR="00DB22C1" w:rsidRDefault="00DB22C1"/>
  </w:endnote>
  <w:endnote w:type="continuationSeparator" w:id="0">
    <w:p w14:paraId="79A9C1D0" w14:textId="77777777" w:rsidR="0019639B" w:rsidRDefault="0019639B" w:rsidP="0034134D">
      <w:r>
        <w:continuationSeparator/>
      </w:r>
    </w:p>
    <w:p w14:paraId="5DD3C212" w14:textId="77777777" w:rsidR="00DB22C1" w:rsidRDefault="00DB2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0F37" w14:textId="7A2D9BD5" w:rsidR="0019639B" w:rsidRDefault="0019639B" w:rsidP="006F3103">
    <w:pPr>
      <w:pStyle w:val="Footer"/>
      <w:jc w:val="right"/>
      <w:rPr>
        <w:rFonts w:cs="Arial"/>
        <w:sz w:val="20"/>
        <w:szCs w:val="20"/>
      </w:rPr>
    </w:pPr>
  </w:p>
  <w:p w14:paraId="42C045E5" w14:textId="77777777" w:rsidR="006F3103" w:rsidRDefault="006F3103" w:rsidP="006F3103">
    <w:pPr>
      <w:pStyle w:val="Footer"/>
      <w:pBdr>
        <w:top w:val="single" w:sz="4" w:space="1" w:color="auto"/>
      </w:pBdr>
      <w:jc w:val="right"/>
      <w:rPr>
        <w:rFonts w:cs="Arial"/>
        <w:sz w:val="20"/>
        <w:szCs w:val="20"/>
      </w:rPr>
    </w:pPr>
  </w:p>
  <w:p w14:paraId="10688C65" w14:textId="202A36B9" w:rsidR="0019639B" w:rsidRPr="006D0CD6" w:rsidRDefault="0019639B" w:rsidP="006D0CD6">
    <w:pPr>
      <w:pStyle w:val="Footer"/>
      <w:jc w:val="right"/>
      <w:rPr>
        <w:rFonts w:cs="Arial"/>
        <w:sz w:val="20"/>
        <w:szCs w:val="20"/>
      </w:rPr>
    </w:pP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6A3997">
      <w:rPr>
        <w:rFonts w:cs="Arial"/>
        <w:noProof/>
        <w:sz w:val="20"/>
        <w:szCs w:val="20"/>
      </w:rPr>
      <w:t>1</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96688" w14:textId="77777777" w:rsidR="0019639B" w:rsidRDefault="0019639B" w:rsidP="0034134D">
      <w:r>
        <w:separator/>
      </w:r>
    </w:p>
  </w:footnote>
  <w:footnote w:type="continuationSeparator" w:id="0">
    <w:p w14:paraId="51B26118" w14:textId="77777777" w:rsidR="0019639B" w:rsidRDefault="0019639B" w:rsidP="0034134D">
      <w:r>
        <w:continuationSeparator/>
      </w:r>
    </w:p>
    <w:p w14:paraId="187BA731" w14:textId="77777777" w:rsidR="00DB22C1" w:rsidRDefault="00DB22C1"/>
  </w:footnote>
  <w:footnote w:id="1">
    <w:p w14:paraId="22949241" w14:textId="2FA269FC" w:rsidR="00797F99" w:rsidRPr="00B15BF2" w:rsidRDefault="00797F99" w:rsidP="00797F99">
      <w:pPr>
        <w:pStyle w:val="FootnoteText"/>
        <w:rPr>
          <w:lang w:val="en-US"/>
        </w:rPr>
      </w:pPr>
      <w:r>
        <w:rPr>
          <w:rStyle w:val="FootnoteReference"/>
        </w:rPr>
        <w:footnoteRef/>
      </w:r>
      <w:r>
        <w:t xml:space="preserve"> </w:t>
      </w:r>
      <w:r>
        <w:rPr>
          <w:lang w:val="en-US"/>
        </w:rPr>
        <w:t xml:space="preserve">The Australian Human Rights Commission has identified that integrating human rights considerations are vital for managing business risks and creating opportunities in the financial sector and has produced guidance for Australian financial companies: </w:t>
      </w:r>
      <w:r w:rsidR="001C2F29" w:rsidRPr="001C2F29">
        <w:rPr>
          <w:lang w:val="en-US"/>
        </w:rPr>
        <w:t xml:space="preserve">Australian Human Rights Commission, </w:t>
      </w:r>
      <w:r w:rsidR="001C2F29" w:rsidRPr="001C2F29">
        <w:rPr>
          <w:i/>
          <w:lang w:val="en-US"/>
        </w:rPr>
        <w:t>The Australian finance sector and human rights</w:t>
      </w:r>
      <w:r w:rsidR="001C2F29" w:rsidRPr="001C2F29">
        <w:rPr>
          <w:lang w:val="en-US"/>
        </w:rPr>
        <w:t xml:space="preserve"> (Web Page, November 2014) &lt;</w:t>
      </w:r>
      <w:hyperlink r:id="rId1" w:history="1">
        <w:r w:rsidR="001C2F29" w:rsidRPr="00FE727F">
          <w:rPr>
            <w:rStyle w:val="Hyperlink"/>
            <w:lang w:val="en-US"/>
          </w:rPr>
          <w:t>https://humanrights.gov.au/our-work/employers/australian-finance-sector-and-human-rights</w:t>
        </w:r>
      </w:hyperlink>
      <w:r w:rsidR="001C2F29" w:rsidRPr="001C2F29">
        <w:rPr>
          <w:lang w:val="en-US"/>
        </w:rPr>
        <w:t>&gt;.</w:t>
      </w:r>
    </w:p>
  </w:footnote>
  <w:footnote w:id="2">
    <w:p w14:paraId="38BB7CE3" w14:textId="77777777" w:rsidR="00797F99" w:rsidRPr="00624EAC" w:rsidRDefault="00797F99" w:rsidP="00797F99">
      <w:pPr>
        <w:pStyle w:val="FootnoteText"/>
        <w:rPr>
          <w:lang w:val="en-US"/>
        </w:rPr>
      </w:pPr>
      <w:r>
        <w:rPr>
          <w:rStyle w:val="FootnoteReference"/>
        </w:rPr>
        <w:footnoteRef/>
      </w:r>
      <w:r>
        <w:t xml:space="preserve"> </w:t>
      </w:r>
      <w:r>
        <w:rPr>
          <w:lang w:val="en-US"/>
        </w:rPr>
        <w:t xml:space="preserve">Independent Review of Banking Code of Practice, </w:t>
      </w:r>
      <w:r w:rsidRPr="00B15BF2">
        <w:rPr>
          <w:i/>
          <w:lang w:val="en-US"/>
        </w:rPr>
        <w:t>Consultation Note</w:t>
      </w:r>
      <w:r>
        <w:rPr>
          <w:lang w:val="en-US"/>
        </w:rPr>
        <w:t xml:space="preserve"> (July 2021) (</w:t>
      </w:r>
      <w:r w:rsidRPr="00537099">
        <w:rPr>
          <w:i/>
          <w:lang w:val="en-US"/>
        </w:rPr>
        <w:t>Consultation Note</w:t>
      </w:r>
      <w:r>
        <w:rPr>
          <w:lang w:val="en-US"/>
        </w:rPr>
        <w:t>).</w:t>
      </w:r>
    </w:p>
  </w:footnote>
  <w:footnote w:id="3">
    <w:p w14:paraId="0BB2EFED" w14:textId="77777777" w:rsidR="00797F99" w:rsidRPr="00F21378" w:rsidRDefault="00797F99" w:rsidP="00797F99">
      <w:pPr>
        <w:pStyle w:val="FootnoteText"/>
        <w:rPr>
          <w:lang w:val="en-US"/>
        </w:rPr>
      </w:pPr>
      <w:r>
        <w:rPr>
          <w:rStyle w:val="FootnoteReference"/>
        </w:rPr>
        <w:footnoteRef/>
      </w:r>
      <w:r>
        <w:t xml:space="preserve"> </w:t>
      </w:r>
      <w:r w:rsidRPr="00B15BF2">
        <w:rPr>
          <w:i/>
          <w:lang w:val="en-US"/>
        </w:rPr>
        <w:t xml:space="preserve">Consultation </w:t>
      </w:r>
      <w:r>
        <w:rPr>
          <w:i/>
          <w:lang w:val="en-US"/>
        </w:rPr>
        <w:t>N</w:t>
      </w:r>
      <w:r w:rsidRPr="00B15BF2">
        <w:rPr>
          <w:i/>
          <w:lang w:val="en-US"/>
        </w:rPr>
        <w:t>ote</w:t>
      </w:r>
      <w:r>
        <w:rPr>
          <w:lang w:val="en-US"/>
        </w:rPr>
        <w:t xml:space="preserve"> 16.</w:t>
      </w:r>
    </w:p>
  </w:footnote>
  <w:footnote w:id="4">
    <w:p w14:paraId="6AAB1A4E" w14:textId="77777777" w:rsidR="00797F99" w:rsidRPr="00C962D7" w:rsidRDefault="00797F99" w:rsidP="00797F99">
      <w:pPr>
        <w:pStyle w:val="FootnoteText"/>
        <w:rPr>
          <w:lang w:val="en-US"/>
        </w:rPr>
      </w:pPr>
      <w:r>
        <w:rPr>
          <w:rStyle w:val="FootnoteReference"/>
        </w:rPr>
        <w:footnoteRef/>
      </w:r>
      <w:r>
        <w:t xml:space="preserve"> </w:t>
      </w:r>
      <w:r w:rsidRPr="00C962D7">
        <w:rPr>
          <w:i/>
          <w:lang w:val="en-US"/>
        </w:rPr>
        <w:t>Anti</w:t>
      </w:r>
      <w:r>
        <w:rPr>
          <w:i/>
          <w:lang w:val="en-US"/>
        </w:rPr>
        <w:t>-</w:t>
      </w:r>
      <w:r w:rsidRPr="00C962D7">
        <w:rPr>
          <w:i/>
          <w:lang w:val="en-US"/>
        </w:rPr>
        <w:t>Discrimination Act 1991</w:t>
      </w:r>
      <w:r>
        <w:rPr>
          <w:lang w:val="en-US"/>
        </w:rPr>
        <w:t xml:space="preserve"> (</w:t>
      </w:r>
      <w:proofErr w:type="spellStart"/>
      <w:r>
        <w:rPr>
          <w:lang w:val="en-US"/>
        </w:rPr>
        <w:t>Qld</w:t>
      </w:r>
      <w:proofErr w:type="spellEnd"/>
      <w:r>
        <w:rPr>
          <w:lang w:val="en-US"/>
        </w:rPr>
        <w:t>) s 7.</w:t>
      </w:r>
    </w:p>
  </w:footnote>
  <w:footnote w:id="5">
    <w:p w14:paraId="411D1FEA" w14:textId="77777777" w:rsidR="00797F99" w:rsidRPr="00542C74" w:rsidRDefault="00797F99" w:rsidP="00797F99">
      <w:pPr>
        <w:pStyle w:val="FootnoteText"/>
        <w:rPr>
          <w:lang w:val="en-US"/>
        </w:rPr>
      </w:pPr>
      <w:r w:rsidRPr="00542C74">
        <w:rPr>
          <w:rStyle w:val="FootnoteReference"/>
        </w:rPr>
        <w:footnoteRef/>
      </w:r>
      <w:r w:rsidRPr="00542C74">
        <w:t xml:space="preserve"> </w:t>
      </w:r>
      <w:r w:rsidRPr="00542C74">
        <w:rPr>
          <w:lang w:val="en-US"/>
        </w:rPr>
        <w:t xml:space="preserve">Although, </w:t>
      </w:r>
      <w:r w:rsidRPr="00542C74">
        <w:t xml:space="preserve">the right to recognition and equality before the law without discrimination, protected under section 15 of the </w:t>
      </w:r>
      <w:r w:rsidRPr="00542C74">
        <w:rPr>
          <w:i/>
        </w:rPr>
        <w:t>Human Rights Act 2019</w:t>
      </w:r>
      <w:r w:rsidRPr="00542C74">
        <w:t xml:space="preserve"> (Qld), is not limited in this way.  </w:t>
      </w:r>
    </w:p>
  </w:footnote>
  <w:footnote w:id="6">
    <w:p w14:paraId="155E3E56" w14:textId="77777777" w:rsidR="00797F99" w:rsidRPr="00AE28EA" w:rsidRDefault="00797F99" w:rsidP="00797F99">
      <w:pPr>
        <w:pStyle w:val="FootnoteText"/>
        <w:rPr>
          <w:lang w:val="en-US"/>
        </w:rPr>
      </w:pPr>
      <w:r>
        <w:rPr>
          <w:rStyle w:val="FootnoteReference"/>
        </w:rPr>
        <w:footnoteRef/>
      </w:r>
      <w:r>
        <w:t xml:space="preserve"> The statistics gathered are based on a search for the word ‘bank’ in the respondent names. </w:t>
      </w:r>
    </w:p>
  </w:footnote>
  <w:footnote w:id="7">
    <w:p w14:paraId="5B8A130D" w14:textId="4DB95B4B" w:rsidR="00797F99" w:rsidRPr="00D750E4" w:rsidRDefault="00797F99" w:rsidP="00797F99">
      <w:pPr>
        <w:pStyle w:val="FootnoteText"/>
        <w:rPr>
          <w:lang w:val="en-US"/>
        </w:rPr>
      </w:pPr>
      <w:r>
        <w:rPr>
          <w:rStyle w:val="FootnoteReference"/>
        </w:rPr>
        <w:footnoteRef/>
      </w:r>
      <w:r>
        <w:t xml:space="preserve"> </w:t>
      </w:r>
      <w:r w:rsidRPr="00D750E4">
        <w:rPr>
          <w:i/>
        </w:rPr>
        <w:t>Anti-Discrimination Act 1991</w:t>
      </w:r>
      <w:r>
        <w:t xml:space="preserve"> </w:t>
      </w:r>
      <w:r w:rsidR="002379F0">
        <w:t>(Qld) p</w:t>
      </w:r>
      <w:r>
        <w:t>reamble, paragraph 6(a).</w:t>
      </w:r>
    </w:p>
  </w:footnote>
  <w:footnote w:id="8">
    <w:p w14:paraId="5B09C133" w14:textId="48AC8BF3" w:rsidR="00797F99" w:rsidRPr="00D750E4" w:rsidRDefault="00797F99" w:rsidP="00797F99">
      <w:pPr>
        <w:pStyle w:val="FootnoteText"/>
        <w:rPr>
          <w:lang w:val="en-US"/>
        </w:rPr>
      </w:pPr>
      <w:r>
        <w:rPr>
          <w:rStyle w:val="FootnoteReference"/>
        </w:rPr>
        <w:footnoteRef/>
      </w:r>
      <w:r>
        <w:t xml:space="preserve"> </w:t>
      </w:r>
      <w:r w:rsidRPr="00D750E4">
        <w:rPr>
          <w:i/>
          <w:lang w:val="en-US"/>
        </w:rPr>
        <w:t>Human Rights Act 201</w:t>
      </w:r>
      <w:r>
        <w:rPr>
          <w:i/>
          <w:lang w:val="en-US"/>
        </w:rPr>
        <w:t>9</w:t>
      </w:r>
      <w:r w:rsidR="002379F0">
        <w:rPr>
          <w:lang w:val="en-US"/>
        </w:rPr>
        <w:t xml:space="preserve"> (</w:t>
      </w:r>
      <w:proofErr w:type="spellStart"/>
      <w:r w:rsidR="002379F0">
        <w:rPr>
          <w:lang w:val="en-US"/>
        </w:rPr>
        <w:t>Qld</w:t>
      </w:r>
      <w:proofErr w:type="spellEnd"/>
      <w:r w:rsidR="002379F0">
        <w:rPr>
          <w:lang w:val="en-US"/>
        </w:rPr>
        <w:t>)</w:t>
      </w:r>
      <w:r>
        <w:rPr>
          <w:lang w:val="en-US"/>
        </w:rPr>
        <w:t xml:space="preserve"> s 15.</w:t>
      </w:r>
    </w:p>
  </w:footnote>
  <w:footnote w:id="9">
    <w:p w14:paraId="20459573" w14:textId="6A8E7B60" w:rsidR="00797F99" w:rsidRPr="008B53A9" w:rsidRDefault="00797F99" w:rsidP="00797F99">
      <w:pPr>
        <w:pStyle w:val="FootnoteText"/>
        <w:rPr>
          <w:lang w:val="en-US"/>
        </w:rPr>
      </w:pPr>
      <w:r>
        <w:rPr>
          <w:rStyle w:val="FootnoteReference"/>
        </w:rPr>
        <w:footnoteRef/>
      </w:r>
      <w:r>
        <w:t xml:space="preserve"> For more explanation on the content of this right, see: </w:t>
      </w:r>
      <w:r w:rsidR="001C2F29" w:rsidRPr="001C2F29">
        <w:t xml:space="preserve">United Nations, Committee on the Rights of Persons with Disabilities, </w:t>
      </w:r>
      <w:r w:rsidR="001C2F29" w:rsidRPr="001C2F29">
        <w:rPr>
          <w:i/>
        </w:rPr>
        <w:t>General Comment No. 1 (2014):  Article 12: Equal recognition before the law</w:t>
      </w:r>
      <w:r w:rsidR="001C2F29" w:rsidRPr="001C2F29">
        <w:t>, UN Doc CRPD/C/GC/1 (19 May 2014).</w:t>
      </w:r>
    </w:p>
  </w:footnote>
  <w:footnote w:id="10">
    <w:p w14:paraId="2883210A" w14:textId="0E6F0478" w:rsidR="00797F99" w:rsidRDefault="00797F99" w:rsidP="00797F99">
      <w:pPr>
        <w:pStyle w:val="FootnoteText"/>
      </w:pPr>
      <w:r>
        <w:rPr>
          <w:rStyle w:val="FootnoteReference"/>
        </w:rPr>
        <w:footnoteRef/>
      </w:r>
      <w:r>
        <w:t xml:space="preserve"> Including the exemption in s 112 of the </w:t>
      </w:r>
      <w:r w:rsidR="00615BA0" w:rsidRPr="00D750E4">
        <w:rPr>
          <w:i/>
        </w:rPr>
        <w:t>Anti-Discrimination Act 1991</w:t>
      </w:r>
      <w:r w:rsidR="00615BA0">
        <w:t xml:space="preserve"> (Qld) </w:t>
      </w:r>
      <w:r>
        <w:t xml:space="preserve">which provides: ‘A person may discriminate against another person because the other person is subject to a legal incapacity if the incapacity is relevant to the transaction in which they are involved’. </w:t>
      </w:r>
    </w:p>
  </w:footnote>
  <w:footnote w:id="11">
    <w:p w14:paraId="49974251" w14:textId="77777777" w:rsidR="00797F99" w:rsidRPr="00403D7B" w:rsidRDefault="00797F99" w:rsidP="00797F99">
      <w:pPr>
        <w:pStyle w:val="FootnoteText"/>
        <w:rPr>
          <w:lang w:val="en-US"/>
        </w:rPr>
      </w:pPr>
      <w:r>
        <w:rPr>
          <w:rStyle w:val="FootnoteReference"/>
        </w:rPr>
        <w:footnoteRef/>
      </w:r>
      <w:r>
        <w:t xml:space="preserve"> </w:t>
      </w:r>
      <w:r w:rsidRPr="00537099">
        <w:rPr>
          <w:i/>
        </w:rPr>
        <w:t>Consultation Note</w:t>
      </w:r>
      <w:r>
        <w:rPr>
          <w:i/>
        </w:rPr>
        <w:t xml:space="preserve"> </w:t>
      </w:r>
      <w:r w:rsidRPr="00537099">
        <w:t>18.</w:t>
      </w:r>
      <w:r>
        <w:t xml:space="preserve"> </w:t>
      </w:r>
    </w:p>
  </w:footnote>
  <w:footnote w:id="12">
    <w:p w14:paraId="4AD7F46B" w14:textId="44D6E8B9" w:rsidR="00797F99" w:rsidRPr="00537099" w:rsidRDefault="00797F99" w:rsidP="00797F99">
      <w:pPr>
        <w:pStyle w:val="FootnoteText"/>
        <w:rPr>
          <w:lang w:val="en-US"/>
        </w:rPr>
      </w:pPr>
      <w:r>
        <w:rPr>
          <w:rStyle w:val="FootnoteReference"/>
        </w:rPr>
        <w:footnoteRef/>
      </w:r>
      <w:r>
        <w:t xml:space="preserve"> </w:t>
      </w:r>
      <w:r w:rsidR="001C2F29" w:rsidRPr="001C2F29">
        <w:t xml:space="preserve">AUSTRAC, </w:t>
      </w:r>
      <w:r w:rsidR="001C2F29" w:rsidRPr="001C2F29">
        <w:rPr>
          <w:i/>
        </w:rPr>
        <w:t>Identifying customers who don’t have conventional forms of ID</w:t>
      </w:r>
      <w:r w:rsidR="001C2F29" w:rsidRPr="001C2F29">
        <w:t xml:space="preserve"> (Web Page, 14 August 2020) &lt; </w:t>
      </w:r>
      <w:hyperlink r:id="rId2" w:history="1">
        <w:r w:rsidR="00713D97" w:rsidRPr="00FE727F">
          <w:rPr>
            <w:rStyle w:val="Hyperlink"/>
          </w:rPr>
          <w:t>https://www.austrac.gov.au/business/how-comply-and-report-guidance-and-resources/customer-identification-and-verification/identifying-customers-who-dont-have-conventional-forms-id</w:t>
        </w:r>
      </w:hyperlink>
      <w:r w:rsidR="001C2F29" w:rsidRPr="001C2F29">
        <w:t>&gt;.</w:t>
      </w:r>
    </w:p>
  </w:footnote>
  <w:footnote w:id="13">
    <w:p w14:paraId="59C8824A" w14:textId="3B0DE747" w:rsidR="00797F99" w:rsidRDefault="00797F99" w:rsidP="00797F99">
      <w:pPr>
        <w:pStyle w:val="FootnoteText"/>
      </w:pPr>
      <w:r>
        <w:rPr>
          <w:rStyle w:val="FootnoteReference"/>
        </w:rPr>
        <w:footnoteRef/>
      </w:r>
      <w:r>
        <w:t xml:space="preserve"> Banking Code of Practice </w:t>
      </w:r>
      <w:r w:rsidR="0080173B">
        <w:t>(1 March 2020)</w:t>
      </w:r>
      <w:r>
        <w:t xml:space="preserve"> cl 36.</w:t>
      </w:r>
    </w:p>
  </w:footnote>
  <w:footnote w:id="14">
    <w:p w14:paraId="7C3B2D6A" w14:textId="67EAC125" w:rsidR="00797F99" w:rsidRDefault="00797F99" w:rsidP="00797F99">
      <w:pPr>
        <w:pStyle w:val="FootnoteText"/>
      </w:pPr>
      <w:r>
        <w:rPr>
          <w:rStyle w:val="FootnoteReference"/>
        </w:rPr>
        <w:footnoteRef/>
      </w:r>
      <w:r>
        <w:t xml:space="preserve"> </w:t>
      </w:r>
      <w:r w:rsidR="0080173B" w:rsidRPr="00615BA0">
        <w:t>Ibid</w:t>
      </w:r>
      <w:r w:rsidR="0080173B">
        <w:t xml:space="preserve"> </w:t>
      </w:r>
      <w:r>
        <w:t>cl 38.</w:t>
      </w:r>
    </w:p>
  </w:footnote>
  <w:footnote w:id="15">
    <w:p w14:paraId="054A483A" w14:textId="47BEA257" w:rsidR="00797F99" w:rsidRDefault="00797F99" w:rsidP="00797F99">
      <w:pPr>
        <w:pStyle w:val="FootnoteText"/>
      </w:pPr>
      <w:r>
        <w:rPr>
          <w:rStyle w:val="FootnoteReference"/>
        </w:rPr>
        <w:footnoteRef/>
      </w:r>
      <w:r>
        <w:t xml:space="preserve"> </w:t>
      </w:r>
      <w:r w:rsidR="0080173B" w:rsidRPr="00615BA0">
        <w:t>Ibid</w:t>
      </w:r>
      <w:r w:rsidR="0080173B">
        <w:t xml:space="preserve"> </w:t>
      </w:r>
      <w:r>
        <w:t>cl 33, 37, 39.</w:t>
      </w:r>
    </w:p>
  </w:footnote>
  <w:footnote w:id="16">
    <w:p w14:paraId="0DC19158" w14:textId="77777777" w:rsidR="00797F99" w:rsidRDefault="00797F99" w:rsidP="00797F99">
      <w:pPr>
        <w:pStyle w:val="FootnoteText"/>
      </w:pPr>
      <w:r>
        <w:rPr>
          <w:rStyle w:val="FootnoteReference"/>
        </w:rPr>
        <w:footnoteRef/>
      </w:r>
      <w:r>
        <w:t xml:space="preserve"> </w:t>
      </w:r>
      <w:r w:rsidRPr="008B53A9">
        <w:rPr>
          <w:i/>
        </w:rPr>
        <w:t>Consultation Note</w:t>
      </w:r>
      <w:r>
        <w:t xml:space="preserve"> 19.</w:t>
      </w:r>
    </w:p>
  </w:footnote>
  <w:footnote w:id="17">
    <w:p w14:paraId="55F1A041" w14:textId="77777777" w:rsidR="00797F99" w:rsidRDefault="00797F99" w:rsidP="00797F99">
      <w:pPr>
        <w:pStyle w:val="FootnoteText"/>
      </w:pPr>
      <w:r>
        <w:rPr>
          <w:rStyle w:val="FootnoteReference"/>
        </w:rPr>
        <w:footnoteRef/>
      </w:r>
      <w:r>
        <w:t xml:space="preserve"> </w:t>
      </w:r>
      <w:r w:rsidRPr="00DA6586">
        <w:rPr>
          <w:i/>
        </w:rPr>
        <w:t>Anti-Discrimination Act 1991</w:t>
      </w:r>
      <w:r>
        <w:t xml:space="preserve"> (Qld) s 5.</w:t>
      </w:r>
    </w:p>
  </w:footnote>
  <w:footnote w:id="18">
    <w:p w14:paraId="21AC6D56" w14:textId="13254D28" w:rsidR="0080173B" w:rsidRDefault="0080173B">
      <w:pPr>
        <w:pStyle w:val="FootnoteText"/>
      </w:pPr>
      <w:r>
        <w:rPr>
          <w:rStyle w:val="FootnoteReference"/>
        </w:rPr>
        <w:footnoteRef/>
      </w:r>
      <w:r>
        <w:t xml:space="preserve"> </w:t>
      </w:r>
      <w:r w:rsidR="00615BA0">
        <w:t xml:space="preserve">Banking Code of Practice (1 March 2020) </w:t>
      </w:r>
      <w:r>
        <w:t xml:space="preserve">cl </w:t>
      </w:r>
      <w:r>
        <w:t>193.</w:t>
      </w:r>
    </w:p>
  </w:footnote>
  <w:footnote w:id="19">
    <w:p w14:paraId="4AB844A7" w14:textId="0518CC49" w:rsidR="001C7077" w:rsidRPr="00CC032B" w:rsidRDefault="001C7077" w:rsidP="001C7077">
      <w:pPr>
        <w:pStyle w:val="FootnoteText"/>
        <w:rPr>
          <w:lang w:val="en-US"/>
        </w:rPr>
      </w:pPr>
      <w:r>
        <w:rPr>
          <w:rStyle w:val="FootnoteReference"/>
        </w:rPr>
        <w:footnoteRef/>
      </w:r>
      <w:r>
        <w:t xml:space="preserve"> Deloitte, </w:t>
      </w:r>
      <w:r w:rsidRPr="00CC032B">
        <w:rPr>
          <w:i/>
        </w:rPr>
        <w:t>Customer Advocate Initiative: Post Implementation Review</w:t>
      </w:r>
      <w:r>
        <w:t>, Report commissioned by the Australian Banking Association (May 2019).</w:t>
      </w:r>
    </w:p>
  </w:footnote>
  <w:footnote w:id="20">
    <w:p w14:paraId="1C779642" w14:textId="268108FB" w:rsidR="001C7077" w:rsidRPr="00CC032B" w:rsidRDefault="001C7077" w:rsidP="001C7077">
      <w:pPr>
        <w:pStyle w:val="FootnoteText"/>
        <w:rPr>
          <w:lang w:val="en-US"/>
        </w:rPr>
      </w:pPr>
      <w:r>
        <w:rPr>
          <w:rStyle w:val="FootnoteReference"/>
        </w:rPr>
        <w:footnoteRef/>
      </w:r>
      <w:r>
        <w:t xml:space="preserve"> </w:t>
      </w:r>
      <w:r w:rsidRPr="00CC032B">
        <w:rPr>
          <w:i/>
        </w:rPr>
        <w:t>Ibid</w:t>
      </w:r>
      <w:r>
        <w:t xml:space="preserve"> 50-52</w:t>
      </w:r>
    </w:p>
  </w:footnote>
  <w:footnote w:id="21">
    <w:p w14:paraId="08B6E8BF" w14:textId="7D6E1CAA" w:rsidR="004218DC" w:rsidRPr="0041265A" w:rsidRDefault="004218DC">
      <w:pPr>
        <w:pStyle w:val="FootnoteText"/>
        <w:rPr>
          <w:lang w:val="en-US"/>
        </w:rPr>
      </w:pPr>
      <w:r>
        <w:rPr>
          <w:rStyle w:val="FootnoteReference"/>
        </w:rPr>
        <w:footnoteRef/>
      </w:r>
      <w:r>
        <w:t xml:space="preserve"> </w:t>
      </w:r>
      <w:r w:rsidR="00FF4572">
        <w:t xml:space="preserve">Australian Banking Association, </w:t>
      </w:r>
      <w:r w:rsidR="00615BA0">
        <w:rPr>
          <w:i/>
        </w:rPr>
        <w:t>Customer Advocate Guiding Principles</w:t>
      </w:r>
      <w:r w:rsidR="00FF4572">
        <w:rPr>
          <w:i/>
        </w:rPr>
        <w:t xml:space="preserve"> </w:t>
      </w:r>
      <w:r w:rsidR="00FF4572" w:rsidRPr="0041265A">
        <w:t>(</w:t>
      </w:r>
      <w:r w:rsidR="007E6080">
        <w:t>1 July 2021</w:t>
      </w:r>
      <w:r w:rsidR="00FF4572" w:rsidRPr="0041265A">
        <w:t>)</w:t>
      </w:r>
      <w:r w:rsidR="007E6080">
        <w:t>.</w:t>
      </w:r>
      <w:r w:rsidR="00FF457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4577" w14:textId="77777777" w:rsidR="0019639B" w:rsidRDefault="0019639B" w:rsidP="000731D3">
    <w:pPr>
      <w:pStyle w:val="Header"/>
      <w:tabs>
        <w:tab w:val="clear" w:pos="4513"/>
        <w:tab w:val="clear" w:pos="9026"/>
      </w:tabs>
      <w:spacing w:before="240"/>
      <w:jc w:val="center"/>
    </w:pPr>
    <w:r w:rsidRPr="00F63848">
      <w:rPr>
        <w:noProof/>
        <w:lang w:eastAsia="en-AU"/>
      </w:rPr>
      <w:drawing>
        <wp:inline distT="0" distB="0" distL="0" distR="0" wp14:anchorId="0660BB33" wp14:editId="47FA547D">
          <wp:extent cx="4095750" cy="1635396"/>
          <wp:effectExtent l="0" t="0" r="0" b="0"/>
          <wp:docPr id="2" name="Picture 2"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5D0495F5" w14:textId="77777777" w:rsidR="0019639B" w:rsidRDefault="00196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7020" w14:textId="2A58D627" w:rsidR="0019639B" w:rsidRDefault="0019639B" w:rsidP="00B50D7B">
    <w:pPr>
      <w:pStyle w:val="Header"/>
    </w:pPr>
  </w:p>
  <w:p w14:paraId="2D1C6BD0" w14:textId="77777777" w:rsidR="006F3103" w:rsidRDefault="006F3103" w:rsidP="00B50D7B">
    <w:pPr>
      <w:pStyle w:val="Header"/>
    </w:pPr>
  </w:p>
  <w:p w14:paraId="3E4C14BC" w14:textId="77777777" w:rsidR="006F3103" w:rsidRDefault="006F3103" w:rsidP="00CD5881">
    <w:pPr>
      <w:pStyle w:val="Header"/>
      <w:spacing w:after="80"/>
      <w:rPr>
        <w:rFonts w:cs="Arial"/>
        <w:color w:val="365F91" w:themeColor="accent1" w:themeShade="BF"/>
        <w:sz w:val="22"/>
        <w:szCs w:val="22"/>
      </w:rPr>
    </w:pPr>
    <w:r>
      <w:rPr>
        <w:rFonts w:cs="Arial"/>
        <w:color w:val="365F91" w:themeColor="accent1" w:themeShade="BF"/>
        <w:sz w:val="22"/>
        <w:szCs w:val="22"/>
      </w:rPr>
      <w:t>2021 Independent Review of Banking Code of Practice</w:t>
    </w:r>
  </w:p>
  <w:p w14:paraId="2612533F" w14:textId="77777777" w:rsidR="006F3103" w:rsidRPr="00B50D7B" w:rsidRDefault="006F3103" w:rsidP="00CD5881">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CCF"/>
    <w:multiLevelType w:val="hybridMultilevel"/>
    <w:tmpl w:val="077C9B3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5E437668"/>
    <w:multiLevelType w:val="hybridMultilevel"/>
    <w:tmpl w:val="293E8890"/>
    <w:lvl w:ilvl="0" w:tplc="296A1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4" w15:restartNumberingAfterBreak="0">
    <w:nsid w:val="68EC7D68"/>
    <w:multiLevelType w:val="hybridMultilevel"/>
    <w:tmpl w:val="4F667AA0"/>
    <w:lvl w:ilvl="0" w:tplc="87368E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62EBB"/>
    <w:multiLevelType w:val="hybridMultilevel"/>
    <w:tmpl w:val="FFE2138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542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2B"/>
    <w:rsid w:val="00002F05"/>
    <w:rsid w:val="000030ED"/>
    <w:rsid w:val="00003D20"/>
    <w:rsid w:val="00005BD1"/>
    <w:rsid w:val="00007FD2"/>
    <w:rsid w:val="00010976"/>
    <w:rsid w:val="000120E1"/>
    <w:rsid w:val="00012B56"/>
    <w:rsid w:val="00013764"/>
    <w:rsid w:val="000149D7"/>
    <w:rsid w:val="0002325A"/>
    <w:rsid w:val="0002351E"/>
    <w:rsid w:val="00034B87"/>
    <w:rsid w:val="00034C83"/>
    <w:rsid w:val="00037E68"/>
    <w:rsid w:val="00041E58"/>
    <w:rsid w:val="00043A6F"/>
    <w:rsid w:val="00044A7F"/>
    <w:rsid w:val="0004571C"/>
    <w:rsid w:val="00045B46"/>
    <w:rsid w:val="000464D9"/>
    <w:rsid w:val="00047983"/>
    <w:rsid w:val="00051170"/>
    <w:rsid w:val="00054120"/>
    <w:rsid w:val="00054EDF"/>
    <w:rsid w:val="0005503C"/>
    <w:rsid w:val="00055693"/>
    <w:rsid w:val="00056960"/>
    <w:rsid w:val="00057023"/>
    <w:rsid w:val="00057D21"/>
    <w:rsid w:val="00057EA3"/>
    <w:rsid w:val="0006155A"/>
    <w:rsid w:val="00061B2B"/>
    <w:rsid w:val="00062A9F"/>
    <w:rsid w:val="00063563"/>
    <w:rsid w:val="00063E15"/>
    <w:rsid w:val="00063EDF"/>
    <w:rsid w:val="0006439D"/>
    <w:rsid w:val="00071CD9"/>
    <w:rsid w:val="00072CE6"/>
    <w:rsid w:val="000731D3"/>
    <w:rsid w:val="00074147"/>
    <w:rsid w:val="00075AB0"/>
    <w:rsid w:val="0007682B"/>
    <w:rsid w:val="00081B92"/>
    <w:rsid w:val="0008388F"/>
    <w:rsid w:val="00087B6E"/>
    <w:rsid w:val="00091C5C"/>
    <w:rsid w:val="00092207"/>
    <w:rsid w:val="000936BA"/>
    <w:rsid w:val="00095FBB"/>
    <w:rsid w:val="00096517"/>
    <w:rsid w:val="000A201B"/>
    <w:rsid w:val="000A56A0"/>
    <w:rsid w:val="000B0669"/>
    <w:rsid w:val="000B395E"/>
    <w:rsid w:val="000B5B75"/>
    <w:rsid w:val="000B6C72"/>
    <w:rsid w:val="000B72A0"/>
    <w:rsid w:val="000B794F"/>
    <w:rsid w:val="000C585D"/>
    <w:rsid w:val="000D1519"/>
    <w:rsid w:val="000D175F"/>
    <w:rsid w:val="000D49A5"/>
    <w:rsid w:val="000E1039"/>
    <w:rsid w:val="000E1B5B"/>
    <w:rsid w:val="000E352B"/>
    <w:rsid w:val="000E3A3C"/>
    <w:rsid w:val="000E3A7A"/>
    <w:rsid w:val="000F0BC1"/>
    <w:rsid w:val="000F3A55"/>
    <w:rsid w:val="000F4098"/>
    <w:rsid w:val="000F4FAA"/>
    <w:rsid w:val="001012F4"/>
    <w:rsid w:val="00102887"/>
    <w:rsid w:val="001047F1"/>
    <w:rsid w:val="00105217"/>
    <w:rsid w:val="001066BD"/>
    <w:rsid w:val="00114587"/>
    <w:rsid w:val="00120064"/>
    <w:rsid w:val="001205F8"/>
    <w:rsid w:val="00121BD8"/>
    <w:rsid w:val="00121E6F"/>
    <w:rsid w:val="001248F7"/>
    <w:rsid w:val="00124A35"/>
    <w:rsid w:val="001304EE"/>
    <w:rsid w:val="001308C4"/>
    <w:rsid w:val="00133770"/>
    <w:rsid w:val="001338FD"/>
    <w:rsid w:val="00137C8D"/>
    <w:rsid w:val="00143D93"/>
    <w:rsid w:val="00144FC3"/>
    <w:rsid w:val="00152FA3"/>
    <w:rsid w:val="00153139"/>
    <w:rsid w:val="0015534D"/>
    <w:rsid w:val="00155B6A"/>
    <w:rsid w:val="00155E24"/>
    <w:rsid w:val="00157209"/>
    <w:rsid w:val="001627CC"/>
    <w:rsid w:val="00166F3C"/>
    <w:rsid w:val="001719DF"/>
    <w:rsid w:val="00180CAE"/>
    <w:rsid w:val="001825CB"/>
    <w:rsid w:val="00182865"/>
    <w:rsid w:val="00182E06"/>
    <w:rsid w:val="00183C3B"/>
    <w:rsid w:val="00183FA4"/>
    <w:rsid w:val="001900B6"/>
    <w:rsid w:val="001916E4"/>
    <w:rsid w:val="0019203A"/>
    <w:rsid w:val="001950D2"/>
    <w:rsid w:val="00195E9F"/>
    <w:rsid w:val="0019639B"/>
    <w:rsid w:val="0019775E"/>
    <w:rsid w:val="00197E86"/>
    <w:rsid w:val="001A03C9"/>
    <w:rsid w:val="001A12BD"/>
    <w:rsid w:val="001A416E"/>
    <w:rsid w:val="001A4926"/>
    <w:rsid w:val="001A575E"/>
    <w:rsid w:val="001A5B03"/>
    <w:rsid w:val="001A6B0A"/>
    <w:rsid w:val="001B1A27"/>
    <w:rsid w:val="001B3831"/>
    <w:rsid w:val="001B5470"/>
    <w:rsid w:val="001B57C6"/>
    <w:rsid w:val="001B5957"/>
    <w:rsid w:val="001B5C85"/>
    <w:rsid w:val="001B6249"/>
    <w:rsid w:val="001B7806"/>
    <w:rsid w:val="001C01FD"/>
    <w:rsid w:val="001C127F"/>
    <w:rsid w:val="001C2F29"/>
    <w:rsid w:val="001C56D3"/>
    <w:rsid w:val="001C6492"/>
    <w:rsid w:val="001C68DC"/>
    <w:rsid w:val="001C7077"/>
    <w:rsid w:val="001D07BA"/>
    <w:rsid w:val="001D50C0"/>
    <w:rsid w:val="001D7758"/>
    <w:rsid w:val="001D7A1B"/>
    <w:rsid w:val="001E2395"/>
    <w:rsid w:val="001E3A26"/>
    <w:rsid w:val="001E6640"/>
    <w:rsid w:val="001F2667"/>
    <w:rsid w:val="001F3F19"/>
    <w:rsid w:val="001F5F4B"/>
    <w:rsid w:val="00201706"/>
    <w:rsid w:val="002019BF"/>
    <w:rsid w:val="002058A9"/>
    <w:rsid w:val="00212C2B"/>
    <w:rsid w:val="00214B45"/>
    <w:rsid w:val="00215450"/>
    <w:rsid w:val="0022037D"/>
    <w:rsid w:val="002264E2"/>
    <w:rsid w:val="0022657D"/>
    <w:rsid w:val="00226686"/>
    <w:rsid w:val="0022696F"/>
    <w:rsid w:val="00227178"/>
    <w:rsid w:val="00230151"/>
    <w:rsid w:val="00232763"/>
    <w:rsid w:val="0023306E"/>
    <w:rsid w:val="00233F52"/>
    <w:rsid w:val="0023451F"/>
    <w:rsid w:val="00235527"/>
    <w:rsid w:val="00236C04"/>
    <w:rsid w:val="002375F3"/>
    <w:rsid w:val="002379F0"/>
    <w:rsid w:val="00237C78"/>
    <w:rsid w:val="00237E48"/>
    <w:rsid w:val="00240EF9"/>
    <w:rsid w:val="0024194E"/>
    <w:rsid w:val="00245A89"/>
    <w:rsid w:val="002479A8"/>
    <w:rsid w:val="00253B42"/>
    <w:rsid w:val="00262529"/>
    <w:rsid w:val="0026322D"/>
    <w:rsid w:val="00277FA4"/>
    <w:rsid w:val="00280494"/>
    <w:rsid w:val="00283A26"/>
    <w:rsid w:val="00283D88"/>
    <w:rsid w:val="00284FF0"/>
    <w:rsid w:val="00290574"/>
    <w:rsid w:val="00292C50"/>
    <w:rsid w:val="0029315E"/>
    <w:rsid w:val="002931EF"/>
    <w:rsid w:val="00295757"/>
    <w:rsid w:val="002A03F1"/>
    <w:rsid w:val="002A408C"/>
    <w:rsid w:val="002A512A"/>
    <w:rsid w:val="002B05B5"/>
    <w:rsid w:val="002B0F1E"/>
    <w:rsid w:val="002B1729"/>
    <w:rsid w:val="002B39F8"/>
    <w:rsid w:val="002B65D4"/>
    <w:rsid w:val="002C1019"/>
    <w:rsid w:val="002D0A46"/>
    <w:rsid w:val="002D1B6C"/>
    <w:rsid w:val="002D42F2"/>
    <w:rsid w:val="002D46A2"/>
    <w:rsid w:val="002D4BC3"/>
    <w:rsid w:val="002E24AC"/>
    <w:rsid w:val="002E2C7E"/>
    <w:rsid w:val="002E433B"/>
    <w:rsid w:val="002E461C"/>
    <w:rsid w:val="002E6BBE"/>
    <w:rsid w:val="002F03E1"/>
    <w:rsid w:val="002F238A"/>
    <w:rsid w:val="002F2D6C"/>
    <w:rsid w:val="002F4AB4"/>
    <w:rsid w:val="002F7053"/>
    <w:rsid w:val="0030199A"/>
    <w:rsid w:val="00301FFE"/>
    <w:rsid w:val="00303936"/>
    <w:rsid w:val="00306DD0"/>
    <w:rsid w:val="00310CB2"/>
    <w:rsid w:val="00312C2A"/>
    <w:rsid w:val="003134D5"/>
    <w:rsid w:val="003144B5"/>
    <w:rsid w:val="0031657C"/>
    <w:rsid w:val="003204FA"/>
    <w:rsid w:val="00321445"/>
    <w:rsid w:val="00321EE0"/>
    <w:rsid w:val="003241CC"/>
    <w:rsid w:val="0032516B"/>
    <w:rsid w:val="0033216F"/>
    <w:rsid w:val="00334C0E"/>
    <w:rsid w:val="0034134D"/>
    <w:rsid w:val="00342ECA"/>
    <w:rsid w:val="00343FDD"/>
    <w:rsid w:val="00344F59"/>
    <w:rsid w:val="003455E8"/>
    <w:rsid w:val="003469CC"/>
    <w:rsid w:val="00350D39"/>
    <w:rsid w:val="00350F49"/>
    <w:rsid w:val="00351595"/>
    <w:rsid w:val="0035654D"/>
    <w:rsid w:val="0036592A"/>
    <w:rsid w:val="00370336"/>
    <w:rsid w:val="003738C4"/>
    <w:rsid w:val="00373A94"/>
    <w:rsid w:val="003747BE"/>
    <w:rsid w:val="00374B1E"/>
    <w:rsid w:val="00376232"/>
    <w:rsid w:val="0038014E"/>
    <w:rsid w:val="00380598"/>
    <w:rsid w:val="00383588"/>
    <w:rsid w:val="003847F0"/>
    <w:rsid w:val="00385125"/>
    <w:rsid w:val="003910D1"/>
    <w:rsid w:val="00392522"/>
    <w:rsid w:val="00395332"/>
    <w:rsid w:val="003965D7"/>
    <w:rsid w:val="003977F4"/>
    <w:rsid w:val="00397835"/>
    <w:rsid w:val="003A0786"/>
    <w:rsid w:val="003A3887"/>
    <w:rsid w:val="003A666E"/>
    <w:rsid w:val="003B197E"/>
    <w:rsid w:val="003B4F2B"/>
    <w:rsid w:val="003B5A28"/>
    <w:rsid w:val="003C22AF"/>
    <w:rsid w:val="003C2709"/>
    <w:rsid w:val="003C6A61"/>
    <w:rsid w:val="003D0373"/>
    <w:rsid w:val="003D1B39"/>
    <w:rsid w:val="003D263B"/>
    <w:rsid w:val="003D29D2"/>
    <w:rsid w:val="003D3AAC"/>
    <w:rsid w:val="003D4F3D"/>
    <w:rsid w:val="003D625C"/>
    <w:rsid w:val="003E01C9"/>
    <w:rsid w:val="003E054B"/>
    <w:rsid w:val="003E17F8"/>
    <w:rsid w:val="003E3672"/>
    <w:rsid w:val="003F370E"/>
    <w:rsid w:val="003F6F7E"/>
    <w:rsid w:val="003F741D"/>
    <w:rsid w:val="00400445"/>
    <w:rsid w:val="00407CE3"/>
    <w:rsid w:val="0041039B"/>
    <w:rsid w:val="0041265A"/>
    <w:rsid w:val="00413015"/>
    <w:rsid w:val="004140C3"/>
    <w:rsid w:val="0041574C"/>
    <w:rsid w:val="004174D2"/>
    <w:rsid w:val="00420BFC"/>
    <w:rsid w:val="00421429"/>
    <w:rsid w:val="004218DC"/>
    <w:rsid w:val="00422D04"/>
    <w:rsid w:val="00431D51"/>
    <w:rsid w:val="004328B6"/>
    <w:rsid w:val="00435A37"/>
    <w:rsid w:val="00437F35"/>
    <w:rsid w:val="0044029F"/>
    <w:rsid w:val="004418EC"/>
    <w:rsid w:val="00441C21"/>
    <w:rsid w:val="004424F3"/>
    <w:rsid w:val="00444D7E"/>
    <w:rsid w:val="00451416"/>
    <w:rsid w:val="00451AB9"/>
    <w:rsid w:val="004538FC"/>
    <w:rsid w:val="00454E95"/>
    <w:rsid w:val="00455885"/>
    <w:rsid w:val="00455917"/>
    <w:rsid w:val="0045765D"/>
    <w:rsid w:val="00462D8B"/>
    <w:rsid w:val="00463BEF"/>
    <w:rsid w:val="00466216"/>
    <w:rsid w:val="00473F47"/>
    <w:rsid w:val="00474AB4"/>
    <w:rsid w:val="004804F0"/>
    <w:rsid w:val="0048281A"/>
    <w:rsid w:val="00483E8F"/>
    <w:rsid w:val="00490073"/>
    <w:rsid w:val="00495766"/>
    <w:rsid w:val="004A2375"/>
    <w:rsid w:val="004A6F71"/>
    <w:rsid w:val="004A78D2"/>
    <w:rsid w:val="004A7C45"/>
    <w:rsid w:val="004B0599"/>
    <w:rsid w:val="004B0EE0"/>
    <w:rsid w:val="004B3141"/>
    <w:rsid w:val="004B586B"/>
    <w:rsid w:val="004B6FB1"/>
    <w:rsid w:val="004B71ED"/>
    <w:rsid w:val="004C0FBA"/>
    <w:rsid w:val="004C17FC"/>
    <w:rsid w:val="004C2886"/>
    <w:rsid w:val="004C36C1"/>
    <w:rsid w:val="004C4065"/>
    <w:rsid w:val="004C4B87"/>
    <w:rsid w:val="004C5F91"/>
    <w:rsid w:val="004C74C7"/>
    <w:rsid w:val="004D1763"/>
    <w:rsid w:val="004E021B"/>
    <w:rsid w:val="004E278F"/>
    <w:rsid w:val="004E3D6B"/>
    <w:rsid w:val="004E5378"/>
    <w:rsid w:val="004E55B8"/>
    <w:rsid w:val="004E58C1"/>
    <w:rsid w:val="004F2CB8"/>
    <w:rsid w:val="004F4CB1"/>
    <w:rsid w:val="005009D5"/>
    <w:rsid w:val="00502924"/>
    <w:rsid w:val="00504818"/>
    <w:rsid w:val="00511C03"/>
    <w:rsid w:val="00514765"/>
    <w:rsid w:val="00516283"/>
    <w:rsid w:val="00517D74"/>
    <w:rsid w:val="00520946"/>
    <w:rsid w:val="005345DE"/>
    <w:rsid w:val="005379F1"/>
    <w:rsid w:val="00541441"/>
    <w:rsid w:val="00543597"/>
    <w:rsid w:val="005463FE"/>
    <w:rsid w:val="00546F24"/>
    <w:rsid w:val="005557EC"/>
    <w:rsid w:val="005620BF"/>
    <w:rsid w:val="00562219"/>
    <w:rsid w:val="0056244F"/>
    <w:rsid w:val="00571028"/>
    <w:rsid w:val="00571DE0"/>
    <w:rsid w:val="00572989"/>
    <w:rsid w:val="005739B5"/>
    <w:rsid w:val="00575A2B"/>
    <w:rsid w:val="00580083"/>
    <w:rsid w:val="00583DA9"/>
    <w:rsid w:val="00584422"/>
    <w:rsid w:val="00584A22"/>
    <w:rsid w:val="00584ABA"/>
    <w:rsid w:val="005916EB"/>
    <w:rsid w:val="00591C59"/>
    <w:rsid w:val="00592493"/>
    <w:rsid w:val="00592597"/>
    <w:rsid w:val="005957A9"/>
    <w:rsid w:val="00596E0C"/>
    <w:rsid w:val="005A1137"/>
    <w:rsid w:val="005A1ACF"/>
    <w:rsid w:val="005A2730"/>
    <w:rsid w:val="005B404C"/>
    <w:rsid w:val="005B6B4B"/>
    <w:rsid w:val="005B7E50"/>
    <w:rsid w:val="005B7F7A"/>
    <w:rsid w:val="005C1954"/>
    <w:rsid w:val="005C2385"/>
    <w:rsid w:val="005C2605"/>
    <w:rsid w:val="005C26C9"/>
    <w:rsid w:val="005C3FB8"/>
    <w:rsid w:val="005C551D"/>
    <w:rsid w:val="005D0F98"/>
    <w:rsid w:val="005D5A16"/>
    <w:rsid w:val="005D5EDC"/>
    <w:rsid w:val="005D741D"/>
    <w:rsid w:val="005E2036"/>
    <w:rsid w:val="005E210F"/>
    <w:rsid w:val="005E3526"/>
    <w:rsid w:val="005E452A"/>
    <w:rsid w:val="005E5159"/>
    <w:rsid w:val="005F0F47"/>
    <w:rsid w:val="005F11F7"/>
    <w:rsid w:val="005F47EE"/>
    <w:rsid w:val="005F4E56"/>
    <w:rsid w:val="00603FB1"/>
    <w:rsid w:val="006044B0"/>
    <w:rsid w:val="00605305"/>
    <w:rsid w:val="0061048B"/>
    <w:rsid w:val="006109D6"/>
    <w:rsid w:val="00613183"/>
    <w:rsid w:val="006150F0"/>
    <w:rsid w:val="00615BA0"/>
    <w:rsid w:val="00617E4F"/>
    <w:rsid w:val="00626F14"/>
    <w:rsid w:val="00627334"/>
    <w:rsid w:val="006335BE"/>
    <w:rsid w:val="006369AF"/>
    <w:rsid w:val="00637283"/>
    <w:rsid w:val="00644CAE"/>
    <w:rsid w:val="00644E93"/>
    <w:rsid w:val="006466AD"/>
    <w:rsid w:val="00652D40"/>
    <w:rsid w:val="006530FA"/>
    <w:rsid w:val="00653483"/>
    <w:rsid w:val="006551F5"/>
    <w:rsid w:val="006573E0"/>
    <w:rsid w:val="00661663"/>
    <w:rsid w:val="006715BB"/>
    <w:rsid w:val="006769BF"/>
    <w:rsid w:val="00680A8A"/>
    <w:rsid w:val="0068205C"/>
    <w:rsid w:val="0068224C"/>
    <w:rsid w:val="006833C4"/>
    <w:rsid w:val="00683E98"/>
    <w:rsid w:val="00685647"/>
    <w:rsid w:val="00687941"/>
    <w:rsid w:val="00694221"/>
    <w:rsid w:val="006A3997"/>
    <w:rsid w:val="006A39A0"/>
    <w:rsid w:val="006A5837"/>
    <w:rsid w:val="006A6906"/>
    <w:rsid w:val="006A7B3A"/>
    <w:rsid w:val="006B2F9E"/>
    <w:rsid w:val="006C1C71"/>
    <w:rsid w:val="006C3C27"/>
    <w:rsid w:val="006C3C9A"/>
    <w:rsid w:val="006C613F"/>
    <w:rsid w:val="006C75BC"/>
    <w:rsid w:val="006D0CD6"/>
    <w:rsid w:val="006D0D8E"/>
    <w:rsid w:val="006D1FAF"/>
    <w:rsid w:val="006D31E5"/>
    <w:rsid w:val="006D46BA"/>
    <w:rsid w:val="006D6572"/>
    <w:rsid w:val="006D6A8A"/>
    <w:rsid w:val="006E2167"/>
    <w:rsid w:val="006E2878"/>
    <w:rsid w:val="006E3B88"/>
    <w:rsid w:val="006E3C00"/>
    <w:rsid w:val="006E4D86"/>
    <w:rsid w:val="006E7ACA"/>
    <w:rsid w:val="006F0979"/>
    <w:rsid w:val="006F0E93"/>
    <w:rsid w:val="006F1B9D"/>
    <w:rsid w:val="006F1EFD"/>
    <w:rsid w:val="006F1F8D"/>
    <w:rsid w:val="006F3103"/>
    <w:rsid w:val="006F6F29"/>
    <w:rsid w:val="006F7971"/>
    <w:rsid w:val="0070042E"/>
    <w:rsid w:val="00700740"/>
    <w:rsid w:val="00701BE5"/>
    <w:rsid w:val="00705873"/>
    <w:rsid w:val="0070656F"/>
    <w:rsid w:val="007069A1"/>
    <w:rsid w:val="00706A05"/>
    <w:rsid w:val="0071227F"/>
    <w:rsid w:val="0071335F"/>
    <w:rsid w:val="00713D97"/>
    <w:rsid w:val="00715BCF"/>
    <w:rsid w:val="00715F6C"/>
    <w:rsid w:val="00717049"/>
    <w:rsid w:val="00720D23"/>
    <w:rsid w:val="00730224"/>
    <w:rsid w:val="00732EB8"/>
    <w:rsid w:val="00735BA1"/>
    <w:rsid w:val="00742B71"/>
    <w:rsid w:val="00743B55"/>
    <w:rsid w:val="00751AE0"/>
    <w:rsid w:val="00751B12"/>
    <w:rsid w:val="00752BB6"/>
    <w:rsid w:val="00755289"/>
    <w:rsid w:val="00755C84"/>
    <w:rsid w:val="00755CAF"/>
    <w:rsid w:val="00756C87"/>
    <w:rsid w:val="0075733E"/>
    <w:rsid w:val="00757B20"/>
    <w:rsid w:val="00761970"/>
    <w:rsid w:val="007619FB"/>
    <w:rsid w:val="007635BE"/>
    <w:rsid w:val="00763604"/>
    <w:rsid w:val="00765C4F"/>
    <w:rsid w:val="00772CF8"/>
    <w:rsid w:val="00773792"/>
    <w:rsid w:val="00774AA2"/>
    <w:rsid w:val="007817EC"/>
    <w:rsid w:val="00781CA8"/>
    <w:rsid w:val="007826E7"/>
    <w:rsid w:val="007844A3"/>
    <w:rsid w:val="00784C50"/>
    <w:rsid w:val="00787618"/>
    <w:rsid w:val="00797F99"/>
    <w:rsid w:val="007A00B6"/>
    <w:rsid w:val="007A24A6"/>
    <w:rsid w:val="007A2C0D"/>
    <w:rsid w:val="007A45D7"/>
    <w:rsid w:val="007A7CD2"/>
    <w:rsid w:val="007B0F89"/>
    <w:rsid w:val="007B16AE"/>
    <w:rsid w:val="007B538A"/>
    <w:rsid w:val="007B589F"/>
    <w:rsid w:val="007B674F"/>
    <w:rsid w:val="007B6AAF"/>
    <w:rsid w:val="007C0BDC"/>
    <w:rsid w:val="007C192D"/>
    <w:rsid w:val="007C29E5"/>
    <w:rsid w:val="007C2EA5"/>
    <w:rsid w:val="007C3139"/>
    <w:rsid w:val="007C47D8"/>
    <w:rsid w:val="007C510E"/>
    <w:rsid w:val="007C5206"/>
    <w:rsid w:val="007C5AC1"/>
    <w:rsid w:val="007C62E7"/>
    <w:rsid w:val="007C6727"/>
    <w:rsid w:val="007D0694"/>
    <w:rsid w:val="007D0AF8"/>
    <w:rsid w:val="007D381A"/>
    <w:rsid w:val="007D461F"/>
    <w:rsid w:val="007E5C53"/>
    <w:rsid w:val="007E6080"/>
    <w:rsid w:val="007E7857"/>
    <w:rsid w:val="007E7E27"/>
    <w:rsid w:val="007F46E9"/>
    <w:rsid w:val="007F4F44"/>
    <w:rsid w:val="007F67EF"/>
    <w:rsid w:val="0080173B"/>
    <w:rsid w:val="0080290B"/>
    <w:rsid w:val="00803505"/>
    <w:rsid w:val="008037F9"/>
    <w:rsid w:val="00804C3F"/>
    <w:rsid w:val="00805768"/>
    <w:rsid w:val="00806003"/>
    <w:rsid w:val="00807711"/>
    <w:rsid w:val="00807B4F"/>
    <w:rsid w:val="008101EC"/>
    <w:rsid w:val="00810D74"/>
    <w:rsid w:val="008148FC"/>
    <w:rsid w:val="00820270"/>
    <w:rsid w:val="00820769"/>
    <w:rsid w:val="00821712"/>
    <w:rsid w:val="0082330C"/>
    <w:rsid w:val="00827429"/>
    <w:rsid w:val="00827E90"/>
    <w:rsid w:val="008355C0"/>
    <w:rsid w:val="00835E0F"/>
    <w:rsid w:val="00840515"/>
    <w:rsid w:val="00843B4B"/>
    <w:rsid w:val="008449A2"/>
    <w:rsid w:val="00844E9D"/>
    <w:rsid w:val="008470F3"/>
    <w:rsid w:val="00850155"/>
    <w:rsid w:val="008514B0"/>
    <w:rsid w:val="00855C5C"/>
    <w:rsid w:val="00856C7A"/>
    <w:rsid w:val="00857062"/>
    <w:rsid w:val="008601EF"/>
    <w:rsid w:val="0086439D"/>
    <w:rsid w:val="00867AFD"/>
    <w:rsid w:val="00871324"/>
    <w:rsid w:val="008743D1"/>
    <w:rsid w:val="00876CA1"/>
    <w:rsid w:val="00877B6B"/>
    <w:rsid w:val="008852AA"/>
    <w:rsid w:val="0088607A"/>
    <w:rsid w:val="008918D5"/>
    <w:rsid w:val="0089208D"/>
    <w:rsid w:val="008930A1"/>
    <w:rsid w:val="008942AB"/>
    <w:rsid w:val="008961FC"/>
    <w:rsid w:val="00896225"/>
    <w:rsid w:val="008970A8"/>
    <w:rsid w:val="008A2479"/>
    <w:rsid w:val="008A6291"/>
    <w:rsid w:val="008A756A"/>
    <w:rsid w:val="008B0352"/>
    <w:rsid w:val="008B3191"/>
    <w:rsid w:val="008C37D3"/>
    <w:rsid w:val="008C3D59"/>
    <w:rsid w:val="008C4979"/>
    <w:rsid w:val="008C6189"/>
    <w:rsid w:val="008C7C06"/>
    <w:rsid w:val="008D0CE2"/>
    <w:rsid w:val="008D29B3"/>
    <w:rsid w:val="008D48FD"/>
    <w:rsid w:val="008D4D8D"/>
    <w:rsid w:val="008D53EE"/>
    <w:rsid w:val="008E2FB8"/>
    <w:rsid w:val="008E304C"/>
    <w:rsid w:val="008E4BEE"/>
    <w:rsid w:val="008E792D"/>
    <w:rsid w:val="008F06B2"/>
    <w:rsid w:val="008F132C"/>
    <w:rsid w:val="008F19CE"/>
    <w:rsid w:val="008F1D4D"/>
    <w:rsid w:val="008F1D57"/>
    <w:rsid w:val="008F5474"/>
    <w:rsid w:val="0090102E"/>
    <w:rsid w:val="00905A21"/>
    <w:rsid w:val="009063DB"/>
    <w:rsid w:val="009077A4"/>
    <w:rsid w:val="009116DC"/>
    <w:rsid w:val="00912E7D"/>
    <w:rsid w:val="00914828"/>
    <w:rsid w:val="00914CDD"/>
    <w:rsid w:val="00927432"/>
    <w:rsid w:val="00931EAF"/>
    <w:rsid w:val="00934B1C"/>
    <w:rsid w:val="009367A8"/>
    <w:rsid w:val="00946534"/>
    <w:rsid w:val="00947F73"/>
    <w:rsid w:val="00952971"/>
    <w:rsid w:val="0096351D"/>
    <w:rsid w:val="00964EBC"/>
    <w:rsid w:val="009653A7"/>
    <w:rsid w:val="00965429"/>
    <w:rsid w:val="0096620A"/>
    <w:rsid w:val="009746DD"/>
    <w:rsid w:val="00975687"/>
    <w:rsid w:val="009812F7"/>
    <w:rsid w:val="009815F6"/>
    <w:rsid w:val="00987057"/>
    <w:rsid w:val="00987DCA"/>
    <w:rsid w:val="00987F1C"/>
    <w:rsid w:val="009921B7"/>
    <w:rsid w:val="00996424"/>
    <w:rsid w:val="009A25FD"/>
    <w:rsid w:val="009A3D36"/>
    <w:rsid w:val="009A556B"/>
    <w:rsid w:val="009A6225"/>
    <w:rsid w:val="009A6807"/>
    <w:rsid w:val="009A6CEA"/>
    <w:rsid w:val="009A7A4E"/>
    <w:rsid w:val="009A7A7F"/>
    <w:rsid w:val="009A7E66"/>
    <w:rsid w:val="009B1902"/>
    <w:rsid w:val="009B630C"/>
    <w:rsid w:val="009C2862"/>
    <w:rsid w:val="009C2D0B"/>
    <w:rsid w:val="009C4A02"/>
    <w:rsid w:val="009C528E"/>
    <w:rsid w:val="009C59DB"/>
    <w:rsid w:val="009C75B2"/>
    <w:rsid w:val="009D26AF"/>
    <w:rsid w:val="009D3109"/>
    <w:rsid w:val="009D3B40"/>
    <w:rsid w:val="009D71EE"/>
    <w:rsid w:val="009E1332"/>
    <w:rsid w:val="009F0D21"/>
    <w:rsid w:val="009F0E11"/>
    <w:rsid w:val="009F3E8A"/>
    <w:rsid w:val="009F4BAD"/>
    <w:rsid w:val="009F5082"/>
    <w:rsid w:val="00A0082F"/>
    <w:rsid w:val="00A023C1"/>
    <w:rsid w:val="00A02757"/>
    <w:rsid w:val="00A12A3C"/>
    <w:rsid w:val="00A13053"/>
    <w:rsid w:val="00A15800"/>
    <w:rsid w:val="00A16356"/>
    <w:rsid w:val="00A201F5"/>
    <w:rsid w:val="00A2218B"/>
    <w:rsid w:val="00A222AC"/>
    <w:rsid w:val="00A2275D"/>
    <w:rsid w:val="00A26794"/>
    <w:rsid w:val="00A30198"/>
    <w:rsid w:val="00A33DE7"/>
    <w:rsid w:val="00A33ED9"/>
    <w:rsid w:val="00A35BBA"/>
    <w:rsid w:val="00A3604A"/>
    <w:rsid w:val="00A45369"/>
    <w:rsid w:val="00A469DD"/>
    <w:rsid w:val="00A47A65"/>
    <w:rsid w:val="00A509AE"/>
    <w:rsid w:val="00A520C6"/>
    <w:rsid w:val="00A53A33"/>
    <w:rsid w:val="00A53D1F"/>
    <w:rsid w:val="00A70E36"/>
    <w:rsid w:val="00A76116"/>
    <w:rsid w:val="00A76CD8"/>
    <w:rsid w:val="00A817F8"/>
    <w:rsid w:val="00A90373"/>
    <w:rsid w:val="00A92D3E"/>
    <w:rsid w:val="00A93A6E"/>
    <w:rsid w:val="00AA5E30"/>
    <w:rsid w:val="00AA7716"/>
    <w:rsid w:val="00AB02E9"/>
    <w:rsid w:val="00AB06E6"/>
    <w:rsid w:val="00AB0900"/>
    <w:rsid w:val="00AB2514"/>
    <w:rsid w:val="00AB6D72"/>
    <w:rsid w:val="00AB7C0D"/>
    <w:rsid w:val="00AC16B9"/>
    <w:rsid w:val="00AD667A"/>
    <w:rsid w:val="00AE176D"/>
    <w:rsid w:val="00AE2165"/>
    <w:rsid w:val="00AE3A61"/>
    <w:rsid w:val="00AE3D5C"/>
    <w:rsid w:val="00AF0BDD"/>
    <w:rsid w:val="00AF1035"/>
    <w:rsid w:val="00AF4B7C"/>
    <w:rsid w:val="00B03079"/>
    <w:rsid w:val="00B04F6F"/>
    <w:rsid w:val="00B07DC9"/>
    <w:rsid w:val="00B12919"/>
    <w:rsid w:val="00B14BA0"/>
    <w:rsid w:val="00B15778"/>
    <w:rsid w:val="00B16D65"/>
    <w:rsid w:val="00B17261"/>
    <w:rsid w:val="00B22A3E"/>
    <w:rsid w:val="00B24CC6"/>
    <w:rsid w:val="00B27A4D"/>
    <w:rsid w:val="00B33C06"/>
    <w:rsid w:val="00B360EA"/>
    <w:rsid w:val="00B41356"/>
    <w:rsid w:val="00B414BB"/>
    <w:rsid w:val="00B416A9"/>
    <w:rsid w:val="00B46BAB"/>
    <w:rsid w:val="00B50D05"/>
    <w:rsid w:val="00B50D7B"/>
    <w:rsid w:val="00B50F67"/>
    <w:rsid w:val="00B54D50"/>
    <w:rsid w:val="00B55E3F"/>
    <w:rsid w:val="00B56A49"/>
    <w:rsid w:val="00B63EC1"/>
    <w:rsid w:val="00B666A3"/>
    <w:rsid w:val="00B67E6E"/>
    <w:rsid w:val="00B80D77"/>
    <w:rsid w:val="00B82CE9"/>
    <w:rsid w:val="00B83AE9"/>
    <w:rsid w:val="00B84EDD"/>
    <w:rsid w:val="00B86FDC"/>
    <w:rsid w:val="00B8743D"/>
    <w:rsid w:val="00B87FB4"/>
    <w:rsid w:val="00B9187A"/>
    <w:rsid w:val="00B91EA6"/>
    <w:rsid w:val="00B933A9"/>
    <w:rsid w:val="00B96989"/>
    <w:rsid w:val="00B972B2"/>
    <w:rsid w:val="00BA1742"/>
    <w:rsid w:val="00BA1856"/>
    <w:rsid w:val="00BA48A9"/>
    <w:rsid w:val="00BA50E0"/>
    <w:rsid w:val="00BA60BF"/>
    <w:rsid w:val="00BA6E38"/>
    <w:rsid w:val="00BB0330"/>
    <w:rsid w:val="00BB05A8"/>
    <w:rsid w:val="00BB0B80"/>
    <w:rsid w:val="00BB1932"/>
    <w:rsid w:val="00BB238A"/>
    <w:rsid w:val="00BB2D66"/>
    <w:rsid w:val="00BB2F50"/>
    <w:rsid w:val="00BC2D69"/>
    <w:rsid w:val="00BC6724"/>
    <w:rsid w:val="00BC7187"/>
    <w:rsid w:val="00BD241F"/>
    <w:rsid w:val="00BD2707"/>
    <w:rsid w:val="00BD34DC"/>
    <w:rsid w:val="00BD3BFB"/>
    <w:rsid w:val="00BE0F7A"/>
    <w:rsid w:val="00BE34DD"/>
    <w:rsid w:val="00BE7F5B"/>
    <w:rsid w:val="00BF016F"/>
    <w:rsid w:val="00BF4BAD"/>
    <w:rsid w:val="00BF5BE6"/>
    <w:rsid w:val="00BF6002"/>
    <w:rsid w:val="00BF7864"/>
    <w:rsid w:val="00C00E52"/>
    <w:rsid w:val="00C03B64"/>
    <w:rsid w:val="00C064A5"/>
    <w:rsid w:val="00C07E20"/>
    <w:rsid w:val="00C10F8B"/>
    <w:rsid w:val="00C15283"/>
    <w:rsid w:val="00C15CCD"/>
    <w:rsid w:val="00C24A0F"/>
    <w:rsid w:val="00C255F9"/>
    <w:rsid w:val="00C3049E"/>
    <w:rsid w:val="00C31053"/>
    <w:rsid w:val="00C321C0"/>
    <w:rsid w:val="00C33416"/>
    <w:rsid w:val="00C34E53"/>
    <w:rsid w:val="00C35743"/>
    <w:rsid w:val="00C373B5"/>
    <w:rsid w:val="00C37E14"/>
    <w:rsid w:val="00C4116E"/>
    <w:rsid w:val="00C43A49"/>
    <w:rsid w:val="00C50AFF"/>
    <w:rsid w:val="00C51895"/>
    <w:rsid w:val="00C526DC"/>
    <w:rsid w:val="00C546E5"/>
    <w:rsid w:val="00C54D67"/>
    <w:rsid w:val="00C6264C"/>
    <w:rsid w:val="00C627FD"/>
    <w:rsid w:val="00C641D7"/>
    <w:rsid w:val="00C65ECE"/>
    <w:rsid w:val="00C66A75"/>
    <w:rsid w:val="00C66E1D"/>
    <w:rsid w:val="00C83C9F"/>
    <w:rsid w:val="00C8564F"/>
    <w:rsid w:val="00C87082"/>
    <w:rsid w:val="00C9262C"/>
    <w:rsid w:val="00C9568E"/>
    <w:rsid w:val="00C9716F"/>
    <w:rsid w:val="00CA0FAA"/>
    <w:rsid w:val="00CA162B"/>
    <w:rsid w:val="00CA23CF"/>
    <w:rsid w:val="00CA2CE5"/>
    <w:rsid w:val="00CA306B"/>
    <w:rsid w:val="00CA4879"/>
    <w:rsid w:val="00CA77F5"/>
    <w:rsid w:val="00CB0BBF"/>
    <w:rsid w:val="00CB4063"/>
    <w:rsid w:val="00CB52D3"/>
    <w:rsid w:val="00CC1B42"/>
    <w:rsid w:val="00CC2930"/>
    <w:rsid w:val="00CC2E5C"/>
    <w:rsid w:val="00CC3FF1"/>
    <w:rsid w:val="00CD36AE"/>
    <w:rsid w:val="00CD3CD3"/>
    <w:rsid w:val="00CD4FA1"/>
    <w:rsid w:val="00CD5881"/>
    <w:rsid w:val="00CD76F9"/>
    <w:rsid w:val="00CD7704"/>
    <w:rsid w:val="00CE14AA"/>
    <w:rsid w:val="00CE1D50"/>
    <w:rsid w:val="00CE1D81"/>
    <w:rsid w:val="00CE403B"/>
    <w:rsid w:val="00CE4544"/>
    <w:rsid w:val="00CE5E4D"/>
    <w:rsid w:val="00CF1625"/>
    <w:rsid w:val="00CF1902"/>
    <w:rsid w:val="00CF44EA"/>
    <w:rsid w:val="00CF69AE"/>
    <w:rsid w:val="00D00254"/>
    <w:rsid w:val="00D00D62"/>
    <w:rsid w:val="00D05102"/>
    <w:rsid w:val="00D102EC"/>
    <w:rsid w:val="00D11F6F"/>
    <w:rsid w:val="00D14304"/>
    <w:rsid w:val="00D1551A"/>
    <w:rsid w:val="00D1577C"/>
    <w:rsid w:val="00D17866"/>
    <w:rsid w:val="00D21103"/>
    <w:rsid w:val="00D3128D"/>
    <w:rsid w:val="00D32789"/>
    <w:rsid w:val="00D33110"/>
    <w:rsid w:val="00D33FEE"/>
    <w:rsid w:val="00D35AB9"/>
    <w:rsid w:val="00D35B0E"/>
    <w:rsid w:val="00D426EB"/>
    <w:rsid w:val="00D42939"/>
    <w:rsid w:val="00D46260"/>
    <w:rsid w:val="00D46CFC"/>
    <w:rsid w:val="00D50215"/>
    <w:rsid w:val="00D52636"/>
    <w:rsid w:val="00D53BC3"/>
    <w:rsid w:val="00D55238"/>
    <w:rsid w:val="00D55580"/>
    <w:rsid w:val="00D57675"/>
    <w:rsid w:val="00D60384"/>
    <w:rsid w:val="00D61B81"/>
    <w:rsid w:val="00D61DB4"/>
    <w:rsid w:val="00D6241A"/>
    <w:rsid w:val="00D65752"/>
    <w:rsid w:val="00D70E21"/>
    <w:rsid w:val="00D71324"/>
    <w:rsid w:val="00D73DF9"/>
    <w:rsid w:val="00D73FE0"/>
    <w:rsid w:val="00D74335"/>
    <w:rsid w:val="00D74372"/>
    <w:rsid w:val="00D76F2A"/>
    <w:rsid w:val="00D8484F"/>
    <w:rsid w:val="00D86187"/>
    <w:rsid w:val="00D86386"/>
    <w:rsid w:val="00D87A14"/>
    <w:rsid w:val="00D92201"/>
    <w:rsid w:val="00D927B9"/>
    <w:rsid w:val="00D92E1C"/>
    <w:rsid w:val="00D93C4A"/>
    <w:rsid w:val="00D941EB"/>
    <w:rsid w:val="00D9481C"/>
    <w:rsid w:val="00D96185"/>
    <w:rsid w:val="00DA0B29"/>
    <w:rsid w:val="00DA27DB"/>
    <w:rsid w:val="00DA3A48"/>
    <w:rsid w:val="00DB22C1"/>
    <w:rsid w:val="00DB3646"/>
    <w:rsid w:val="00DB527C"/>
    <w:rsid w:val="00DC0A10"/>
    <w:rsid w:val="00DC0EDF"/>
    <w:rsid w:val="00DC1BAC"/>
    <w:rsid w:val="00DC553C"/>
    <w:rsid w:val="00DC7280"/>
    <w:rsid w:val="00DD0CF7"/>
    <w:rsid w:val="00DD2998"/>
    <w:rsid w:val="00DD4168"/>
    <w:rsid w:val="00DD5B86"/>
    <w:rsid w:val="00DD698D"/>
    <w:rsid w:val="00DD7883"/>
    <w:rsid w:val="00DE3B63"/>
    <w:rsid w:val="00DE568F"/>
    <w:rsid w:val="00DE62F6"/>
    <w:rsid w:val="00DF098A"/>
    <w:rsid w:val="00DF50CE"/>
    <w:rsid w:val="00DF5AE3"/>
    <w:rsid w:val="00E02A42"/>
    <w:rsid w:val="00E02BF6"/>
    <w:rsid w:val="00E10D8C"/>
    <w:rsid w:val="00E15E88"/>
    <w:rsid w:val="00E1631A"/>
    <w:rsid w:val="00E17E1B"/>
    <w:rsid w:val="00E3092A"/>
    <w:rsid w:val="00E32982"/>
    <w:rsid w:val="00E3745C"/>
    <w:rsid w:val="00E45E08"/>
    <w:rsid w:val="00E54B68"/>
    <w:rsid w:val="00E55DFB"/>
    <w:rsid w:val="00E569BB"/>
    <w:rsid w:val="00E57628"/>
    <w:rsid w:val="00E57DA8"/>
    <w:rsid w:val="00E60AB2"/>
    <w:rsid w:val="00E64195"/>
    <w:rsid w:val="00E65EF2"/>
    <w:rsid w:val="00E6776E"/>
    <w:rsid w:val="00E72537"/>
    <w:rsid w:val="00E73D68"/>
    <w:rsid w:val="00E7746A"/>
    <w:rsid w:val="00E80841"/>
    <w:rsid w:val="00E83035"/>
    <w:rsid w:val="00E84955"/>
    <w:rsid w:val="00E87D92"/>
    <w:rsid w:val="00E91A9E"/>
    <w:rsid w:val="00E940D7"/>
    <w:rsid w:val="00EA0FB4"/>
    <w:rsid w:val="00EA15FB"/>
    <w:rsid w:val="00EA2E9D"/>
    <w:rsid w:val="00EA4066"/>
    <w:rsid w:val="00EA4BD7"/>
    <w:rsid w:val="00EA56A7"/>
    <w:rsid w:val="00EB2D50"/>
    <w:rsid w:val="00EB3433"/>
    <w:rsid w:val="00EB43F3"/>
    <w:rsid w:val="00EB5211"/>
    <w:rsid w:val="00EB6445"/>
    <w:rsid w:val="00EB7E3E"/>
    <w:rsid w:val="00EC0BEF"/>
    <w:rsid w:val="00EC4278"/>
    <w:rsid w:val="00EC4641"/>
    <w:rsid w:val="00EC4E7E"/>
    <w:rsid w:val="00EC71A2"/>
    <w:rsid w:val="00EC7EBD"/>
    <w:rsid w:val="00ED0709"/>
    <w:rsid w:val="00ED13DD"/>
    <w:rsid w:val="00ED3A08"/>
    <w:rsid w:val="00ED426F"/>
    <w:rsid w:val="00ED4E77"/>
    <w:rsid w:val="00ED6006"/>
    <w:rsid w:val="00ED6ADD"/>
    <w:rsid w:val="00ED723C"/>
    <w:rsid w:val="00EE20D8"/>
    <w:rsid w:val="00EE47D6"/>
    <w:rsid w:val="00EE4810"/>
    <w:rsid w:val="00EE5677"/>
    <w:rsid w:val="00EE707A"/>
    <w:rsid w:val="00EF27B1"/>
    <w:rsid w:val="00EF2CD3"/>
    <w:rsid w:val="00EF34D1"/>
    <w:rsid w:val="00F01DA4"/>
    <w:rsid w:val="00F03603"/>
    <w:rsid w:val="00F05076"/>
    <w:rsid w:val="00F055A6"/>
    <w:rsid w:val="00F12660"/>
    <w:rsid w:val="00F2270B"/>
    <w:rsid w:val="00F23A23"/>
    <w:rsid w:val="00F23A6C"/>
    <w:rsid w:val="00F26FB2"/>
    <w:rsid w:val="00F30CE2"/>
    <w:rsid w:val="00F310A1"/>
    <w:rsid w:val="00F3595C"/>
    <w:rsid w:val="00F37F4E"/>
    <w:rsid w:val="00F41D27"/>
    <w:rsid w:val="00F425E4"/>
    <w:rsid w:val="00F42A99"/>
    <w:rsid w:val="00F4420D"/>
    <w:rsid w:val="00F51A83"/>
    <w:rsid w:val="00F54247"/>
    <w:rsid w:val="00F552D1"/>
    <w:rsid w:val="00F558ED"/>
    <w:rsid w:val="00F55DEB"/>
    <w:rsid w:val="00F57AF4"/>
    <w:rsid w:val="00F63407"/>
    <w:rsid w:val="00F656F5"/>
    <w:rsid w:val="00F70469"/>
    <w:rsid w:val="00F7098D"/>
    <w:rsid w:val="00F73260"/>
    <w:rsid w:val="00F734EB"/>
    <w:rsid w:val="00F73546"/>
    <w:rsid w:val="00F76EDD"/>
    <w:rsid w:val="00F801B3"/>
    <w:rsid w:val="00F817A1"/>
    <w:rsid w:val="00F82647"/>
    <w:rsid w:val="00F82A95"/>
    <w:rsid w:val="00F83AEB"/>
    <w:rsid w:val="00F84112"/>
    <w:rsid w:val="00F857EC"/>
    <w:rsid w:val="00F94696"/>
    <w:rsid w:val="00FA016B"/>
    <w:rsid w:val="00FA24FA"/>
    <w:rsid w:val="00FA3ECC"/>
    <w:rsid w:val="00FA4A39"/>
    <w:rsid w:val="00FA551C"/>
    <w:rsid w:val="00FA583C"/>
    <w:rsid w:val="00FB4D15"/>
    <w:rsid w:val="00FB681C"/>
    <w:rsid w:val="00FC7606"/>
    <w:rsid w:val="00FD09CE"/>
    <w:rsid w:val="00FD4014"/>
    <w:rsid w:val="00FD6271"/>
    <w:rsid w:val="00FD6B90"/>
    <w:rsid w:val="00FE5D11"/>
    <w:rsid w:val="00FE67FA"/>
    <w:rsid w:val="00FE7FE2"/>
    <w:rsid w:val="00FF091D"/>
    <w:rsid w:val="00FF2BC8"/>
    <w:rsid w:val="00FF4572"/>
    <w:rsid w:val="00FF4CD2"/>
    <w:rsid w:val="00FF7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3"/>
    <o:shapelayout v:ext="edit">
      <o:idmap v:ext="edit" data="1"/>
    </o:shapelayout>
  </w:shapeDefaults>
  <w:decimalSymbol w:val="."/>
  <w:listSeparator w:val=","/>
  <w14:docId w14:val="4246F3B7"/>
  <w14:defaultImageDpi w14:val="300"/>
  <w15:docId w15:val="{2E283501-A12F-49E6-8810-2DECED1D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12A"/>
    <w:rPr>
      <w:rFonts w:ascii="Arial" w:hAnsi="Arial"/>
      <w:lang w:val="en-AU"/>
    </w:rPr>
  </w:style>
  <w:style w:type="paragraph" w:styleId="Heading1">
    <w:name w:val="heading 1"/>
    <w:basedOn w:val="Normal"/>
    <w:next w:val="Normal"/>
    <w:link w:val="Heading1Char"/>
    <w:uiPriority w:val="9"/>
    <w:qFormat/>
    <w:rsid w:val="007C510E"/>
    <w:pPr>
      <w:keepNext/>
      <w:keepLines/>
      <w:spacing w:before="240" w:after="24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eastAsiaTheme="majorEastAsia" w:cstheme="majorBidi"/>
      <w:b/>
      <w:color w:val="365F91" w:themeColor="accent1" w:themeShade="BF"/>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nhideWhenUsed/>
    <w:rsid w:val="00C33416"/>
    <w:rPr>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basedOn w:val="DefaultParagraphFont"/>
    <w:unhideWhenUsed/>
    <w:rsid w:val="0034134D"/>
    <w:rPr>
      <w:vertAlign w:val="superscript"/>
    </w:rPr>
  </w:style>
  <w:style w:type="character" w:customStyle="1" w:styleId="Heading1Char">
    <w:name w:val="Heading 1 Char"/>
    <w:basedOn w:val="DefaultParagraphFont"/>
    <w:link w:val="Heading1"/>
    <w:uiPriority w:val="1"/>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FE5D11"/>
    <w:pPr>
      <w:tabs>
        <w:tab w:val="right" w:leader="dot" w:pos="8296"/>
      </w:tabs>
      <w:spacing w:before="120" w:after="12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uiPriority w:val="3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2"/>
      </w:numPr>
      <w:spacing w:after="240"/>
    </w:pPr>
    <w:rPr>
      <w:rFonts w:cs="Arial"/>
    </w:rPr>
  </w:style>
  <w:style w:type="paragraph" w:styleId="NormalWeb">
    <w:name w:val="Normal (Web)"/>
    <w:basedOn w:val="Normal"/>
    <w:uiPriority w:val="99"/>
    <w:unhideWhenUsed/>
    <w:rsid w:val="008C37D3"/>
    <w:pPr>
      <w:spacing w:before="100" w:beforeAutospacing="1" w:after="100" w:afterAutospacing="1"/>
    </w:pPr>
    <w:rPr>
      <w:rFonts w:ascii="Times New Roman" w:eastAsia="Times New Roman" w:hAnsi="Times New Roman" w:cs="Times New Roman"/>
      <w:lang w:eastAsia="en-AU"/>
    </w:rPr>
  </w:style>
  <w:style w:type="character" w:customStyle="1" w:styleId="content-elementreference">
    <w:name w:val="content-element__reference"/>
    <w:basedOn w:val="DefaultParagraphFont"/>
    <w:rsid w:val="008C37D3"/>
  </w:style>
  <w:style w:type="character" w:styleId="Emphasis">
    <w:name w:val="Emphasis"/>
    <w:basedOn w:val="DefaultParagraphFont"/>
    <w:uiPriority w:val="20"/>
    <w:qFormat/>
    <w:rsid w:val="008C37D3"/>
    <w:rPr>
      <w:i/>
      <w:iCs/>
    </w:rPr>
  </w:style>
  <w:style w:type="paragraph" w:customStyle="1" w:styleId="Pa2">
    <w:name w:val="Pa2"/>
    <w:basedOn w:val="Normal"/>
    <w:uiPriority w:val="99"/>
    <w:rsid w:val="000D1519"/>
    <w:pPr>
      <w:autoSpaceDE w:val="0"/>
      <w:autoSpaceDN w:val="0"/>
      <w:spacing w:line="221" w:lineRule="atLeast"/>
    </w:pPr>
    <w:rPr>
      <w:rFonts w:ascii="Myriad Pro" w:eastAsiaTheme="minorHAnsi" w:hAnsi="Myriad Pro" w:cs="Times New Roman"/>
      <w:lang w:eastAsia="en-AU"/>
    </w:rPr>
  </w:style>
  <w:style w:type="paragraph" w:customStyle="1" w:styleId="Pa7">
    <w:name w:val="Pa7"/>
    <w:basedOn w:val="Normal"/>
    <w:uiPriority w:val="99"/>
    <w:rsid w:val="000D1519"/>
    <w:pPr>
      <w:autoSpaceDE w:val="0"/>
      <w:autoSpaceDN w:val="0"/>
      <w:spacing w:line="281" w:lineRule="atLeast"/>
    </w:pPr>
    <w:rPr>
      <w:rFonts w:ascii="Myriad Pro" w:eastAsiaTheme="minorHAnsi" w:hAnsi="Myriad Pro" w:cs="Times New Roman"/>
      <w:lang w:eastAsia="en-AU"/>
    </w:rPr>
  </w:style>
  <w:style w:type="paragraph" w:customStyle="1" w:styleId="Pa3">
    <w:name w:val="Pa3"/>
    <w:basedOn w:val="Normal"/>
    <w:uiPriority w:val="99"/>
    <w:rsid w:val="000D1519"/>
    <w:pPr>
      <w:autoSpaceDE w:val="0"/>
      <w:autoSpaceDN w:val="0"/>
      <w:spacing w:line="221" w:lineRule="atLeast"/>
    </w:pPr>
    <w:rPr>
      <w:rFonts w:ascii="Myriad Pro" w:eastAsiaTheme="minorHAnsi" w:hAnsi="Myriad Pro" w:cs="Times New Roman"/>
      <w:lang w:eastAsia="en-AU"/>
    </w:rPr>
  </w:style>
  <w:style w:type="character" w:customStyle="1" w:styleId="A15">
    <w:name w:val="A15"/>
    <w:basedOn w:val="DefaultParagraphFont"/>
    <w:uiPriority w:val="99"/>
    <w:rsid w:val="000D1519"/>
    <w:rPr>
      <w:rFonts w:ascii="Myriad Pro" w:hAnsi="Myriad Pro" w:hint="default"/>
      <w:color w:val="000000"/>
    </w:rPr>
  </w:style>
  <w:style w:type="character" w:customStyle="1" w:styleId="A7">
    <w:name w:val="A7"/>
    <w:basedOn w:val="DefaultParagraphFont"/>
    <w:uiPriority w:val="99"/>
    <w:rsid w:val="000D1519"/>
    <w:rPr>
      <w:rFonts w:ascii="Myriad Pro" w:hAnsi="Myriad Pro" w:hint="default"/>
      <w:color w:val="000000"/>
      <w:u w:val="single"/>
    </w:rPr>
  </w:style>
  <w:style w:type="paragraph" w:styleId="Revision">
    <w:name w:val="Revision"/>
    <w:hidden/>
    <w:uiPriority w:val="99"/>
    <w:semiHidden/>
    <w:rsid w:val="00D11F6F"/>
    <w:rPr>
      <w:lang w:val="en-AU"/>
    </w:rPr>
  </w:style>
  <w:style w:type="character" w:styleId="FollowedHyperlink">
    <w:name w:val="FollowedHyperlink"/>
    <w:basedOn w:val="DefaultParagraphFont"/>
    <w:uiPriority w:val="99"/>
    <w:semiHidden/>
    <w:unhideWhenUsed/>
    <w:rsid w:val="00520946"/>
    <w:rPr>
      <w:color w:val="800080" w:themeColor="followedHyperlink"/>
      <w:u w:val="single"/>
    </w:rPr>
  </w:style>
  <w:style w:type="paragraph" w:customStyle="1" w:styleId="Default">
    <w:name w:val="Default"/>
    <w:rsid w:val="00F2270B"/>
    <w:pPr>
      <w:autoSpaceDE w:val="0"/>
      <w:autoSpaceDN w:val="0"/>
      <w:adjustRightInd w:val="0"/>
    </w:pPr>
    <w:rPr>
      <w:rFonts w:ascii="Verdana" w:hAnsi="Verdana" w:cs="Verdana"/>
      <w:color w:val="000000"/>
      <w:lang w:val="en-AU"/>
    </w:rPr>
  </w:style>
  <w:style w:type="paragraph" w:customStyle="1" w:styleId="CaseStudy">
    <w:name w:val="CaseStudy"/>
    <w:basedOn w:val="Quote"/>
    <w:link w:val="CaseStudyChar"/>
    <w:qFormat/>
    <w:rsid w:val="00797F99"/>
    <w:pPr>
      <w:ind w:left="851" w:right="1134"/>
    </w:pPr>
    <w:rPr>
      <w:sz w:val="22"/>
    </w:rPr>
  </w:style>
  <w:style w:type="character" w:customStyle="1" w:styleId="CaseStudyChar">
    <w:name w:val="CaseStudy Char"/>
    <w:basedOn w:val="DefaultParagraphFont"/>
    <w:link w:val="CaseStudy"/>
    <w:rsid w:val="00797F99"/>
    <w:rPr>
      <w:rFonts w:ascii="Arial" w:hAnsi="Arial" w:cs="Arial"/>
      <w:sz w:val="22"/>
      <w:szCs w:val="20"/>
      <w:lang w:val="en-AU"/>
    </w:rPr>
  </w:style>
  <w:style w:type="paragraph" w:customStyle="1" w:styleId="Normal1">
    <w:name w:val="Normal1"/>
    <w:basedOn w:val="Normal"/>
    <w:link w:val="Normal1Char"/>
    <w:qFormat/>
    <w:rsid w:val="006F3103"/>
    <w:pPr>
      <w:spacing w:after="240"/>
    </w:pPr>
  </w:style>
  <w:style w:type="character" w:customStyle="1" w:styleId="Normal1Char">
    <w:name w:val="Normal1 Char"/>
    <w:basedOn w:val="DefaultParagraphFont"/>
    <w:link w:val="Normal1"/>
    <w:rsid w:val="006F3103"/>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60016">
      <w:bodyDiv w:val="1"/>
      <w:marLeft w:val="0"/>
      <w:marRight w:val="0"/>
      <w:marTop w:val="0"/>
      <w:marBottom w:val="0"/>
      <w:divBdr>
        <w:top w:val="none" w:sz="0" w:space="0" w:color="auto"/>
        <w:left w:val="none" w:sz="0" w:space="0" w:color="auto"/>
        <w:bottom w:val="none" w:sz="0" w:space="0" w:color="auto"/>
        <w:right w:val="none" w:sz="0" w:space="0" w:color="auto"/>
      </w:divBdr>
    </w:div>
    <w:div w:id="1506018456">
      <w:bodyDiv w:val="1"/>
      <w:marLeft w:val="0"/>
      <w:marRight w:val="0"/>
      <w:marTop w:val="0"/>
      <w:marBottom w:val="0"/>
      <w:divBdr>
        <w:top w:val="none" w:sz="0" w:space="0" w:color="auto"/>
        <w:left w:val="none" w:sz="0" w:space="0" w:color="auto"/>
        <w:bottom w:val="none" w:sz="0" w:space="0" w:color="auto"/>
        <w:right w:val="none" w:sz="0" w:space="0" w:color="auto"/>
      </w:divBdr>
    </w:div>
    <w:div w:id="1905333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ustrac.gov.au/business/how-comply-and-report-guidance-and-resources/customer-identification-and-verification/identifying-customers-who-dont-have-conventional-forms-id" TargetMode="External"/><Relationship Id="rId1" Type="http://schemas.openxmlformats.org/officeDocument/2006/relationships/hyperlink" Target="https://humanrights.gov.au/our-work/employers/australian-finance-sector-and-human-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adcq-file01\Data\Shared\LEGAL%20RESEARCH%20&amp;%20POLICY%20(Team)\Sandpit\Rebekah\Banking%20Code%20Review\complaints%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Sheet2!$B$20</c:f>
              <c:strCache>
                <c:ptCount val="1"/>
                <c:pt idx="0">
                  <c:v>Accepted</c:v>
                </c:pt>
              </c:strCache>
            </c:strRef>
          </c:tx>
          <c:spPr>
            <a:solidFill>
              <a:schemeClr val="accent1"/>
            </a:solidFill>
            <a:ln>
              <a:noFill/>
            </a:ln>
            <a:effectLst/>
          </c:spPr>
          <c:invertIfNegative val="0"/>
          <c:cat>
            <c:strRef>
              <c:f>Sheet2!$A$21:$A$31</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Sheet2!$B$21:$B$31</c:f>
              <c:numCache>
                <c:formatCode>General</c:formatCode>
                <c:ptCount val="11"/>
                <c:pt idx="0">
                  <c:v>1</c:v>
                </c:pt>
                <c:pt idx="1">
                  <c:v>2</c:v>
                </c:pt>
                <c:pt idx="2">
                  <c:v>3</c:v>
                </c:pt>
                <c:pt idx="3">
                  <c:v>3</c:v>
                </c:pt>
                <c:pt idx="4">
                  <c:v>5</c:v>
                </c:pt>
                <c:pt idx="6">
                  <c:v>7</c:v>
                </c:pt>
                <c:pt idx="7">
                  <c:v>7</c:v>
                </c:pt>
                <c:pt idx="8">
                  <c:v>2</c:v>
                </c:pt>
                <c:pt idx="9">
                  <c:v>5</c:v>
                </c:pt>
                <c:pt idx="10">
                  <c:v>3</c:v>
                </c:pt>
              </c:numCache>
            </c:numRef>
          </c:val>
          <c:extLst>
            <c:ext xmlns:c16="http://schemas.microsoft.com/office/drawing/2014/chart" uri="{C3380CC4-5D6E-409C-BE32-E72D297353CC}">
              <c16:uniqueId val="{00000000-A642-4370-8F38-4C84C8FCED0B}"/>
            </c:ext>
          </c:extLst>
        </c:ser>
        <c:ser>
          <c:idx val="1"/>
          <c:order val="1"/>
          <c:tx>
            <c:strRef>
              <c:f>Sheet2!$C$20</c:f>
              <c:strCache>
                <c:ptCount val="1"/>
                <c:pt idx="0">
                  <c:v>Not Under Act</c:v>
                </c:pt>
              </c:strCache>
            </c:strRef>
          </c:tx>
          <c:spPr>
            <a:solidFill>
              <a:schemeClr val="accent2"/>
            </a:solidFill>
            <a:ln>
              <a:noFill/>
            </a:ln>
            <a:effectLst/>
          </c:spPr>
          <c:invertIfNegative val="0"/>
          <c:cat>
            <c:strRef>
              <c:f>Sheet2!$A$21:$A$31</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Sheet2!$C$21:$C$31</c:f>
              <c:numCache>
                <c:formatCode>General</c:formatCode>
                <c:ptCount val="11"/>
                <c:pt idx="0">
                  <c:v>1</c:v>
                </c:pt>
                <c:pt idx="1">
                  <c:v>2</c:v>
                </c:pt>
                <c:pt idx="2">
                  <c:v>5</c:v>
                </c:pt>
                <c:pt idx="3">
                  <c:v>1</c:v>
                </c:pt>
                <c:pt idx="4">
                  <c:v>0</c:v>
                </c:pt>
                <c:pt idx="5">
                  <c:v>5</c:v>
                </c:pt>
                <c:pt idx="6">
                  <c:v>2</c:v>
                </c:pt>
                <c:pt idx="7">
                  <c:v>3</c:v>
                </c:pt>
                <c:pt idx="8">
                  <c:v>2</c:v>
                </c:pt>
                <c:pt idx="9">
                  <c:v>4</c:v>
                </c:pt>
                <c:pt idx="10">
                  <c:v>5</c:v>
                </c:pt>
              </c:numCache>
            </c:numRef>
          </c:val>
          <c:extLst>
            <c:ext xmlns:c16="http://schemas.microsoft.com/office/drawing/2014/chart" uri="{C3380CC4-5D6E-409C-BE32-E72D297353CC}">
              <c16:uniqueId val="{00000001-A642-4370-8F38-4C84C8FCED0B}"/>
            </c:ext>
          </c:extLst>
        </c:ser>
        <c:ser>
          <c:idx val="2"/>
          <c:order val="2"/>
          <c:tx>
            <c:strRef>
              <c:f>Sheet2!$D$20</c:f>
              <c:strCache>
                <c:ptCount val="1"/>
                <c:pt idx="0">
                  <c:v>Unassessed</c:v>
                </c:pt>
              </c:strCache>
            </c:strRef>
          </c:tx>
          <c:spPr>
            <a:solidFill>
              <a:schemeClr val="accent3"/>
            </a:solidFill>
            <a:ln>
              <a:noFill/>
            </a:ln>
            <a:effectLst/>
          </c:spPr>
          <c:invertIfNegative val="0"/>
          <c:cat>
            <c:strRef>
              <c:f>Sheet2!$A$21:$A$31</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Sheet2!$D$21:$D$31</c:f>
              <c:numCache>
                <c:formatCode>General</c:formatCode>
                <c:ptCount val="11"/>
                <c:pt idx="3">
                  <c:v>1</c:v>
                </c:pt>
              </c:numCache>
            </c:numRef>
          </c:val>
          <c:extLst>
            <c:ext xmlns:c16="http://schemas.microsoft.com/office/drawing/2014/chart" uri="{C3380CC4-5D6E-409C-BE32-E72D297353CC}">
              <c16:uniqueId val="{00000002-A642-4370-8F38-4C84C8FCED0B}"/>
            </c:ext>
          </c:extLst>
        </c:ser>
        <c:dLbls>
          <c:showLegendKey val="0"/>
          <c:showVal val="0"/>
          <c:showCatName val="0"/>
          <c:showSerName val="0"/>
          <c:showPercent val="0"/>
          <c:showBubbleSize val="0"/>
        </c:dLbls>
        <c:gapWidth val="150"/>
        <c:overlap val="100"/>
        <c:axId val="563235240"/>
        <c:axId val="563235568"/>
      </c:barChart>
      <c:catAx>
        <c:axId val="563235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235568"/>
        <c:crosses val="autoZero"/>
        <c:auto val="1"/>
        <c:lblAlgn val="ctr"/>
        <c:lblOffset val="100"/>
        <c:noMultiLvlLbl val="0"/>
      </c:catAx>
      <c:valAx>
        <c:axId val="56323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235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B43A00-09B9-4C7D-B5C7-3AECA97D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2021 Independent Review of Banking Code of Practice</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Independent Review of Banking Code of Practice</dc:title>
  <dc:subject/>
  <dc:creator>Julie Ball</dc:creator>
  <cp:keywords/>
  <dc:description/>
  <cp:lastModifiedBy>Rebekah Leong</cp:lastModifiedBy>
  <cp:revision>11</cp:revision>
  <cp:lastPrinted>2021-08-05T13:16:00Z</cp:lastPrinted>
  <dcterms:created xsi:type="dcterms:W3CDTF">2021-08-04T04:09:00Z</dcterms:created>
  <dcterms:modified xsi:type="dcterms:W3CDTF">2021-08-05T13:16:00Z</dcterms:modified>
</cp:coreProperties>
</file>