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rPr>
      </w:sdtEndPr>
      <w:sdtContent>
        <w:p w14:paraId="2FED991D"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2E9952F2" w14:textId="77777777" w:rsidTr="004A2375">
            <w:trPr>
              <w:trHeight w:val="360"/>
              <w:jc w:val="center"/>
            </w:trPr>
            <w:tc>
              <w:tcPr>
                <w:tcW w:w="5000" w:type="pct"/>
                <w:tcBorders>
                  <w:top w:val="thinThickSmallGap" w:sz="24" w:space="0" w:color="1F497D" w:themeColor="text2"/>
                </w:tcBorders>
                <w:vAlign w:val="center"/>
              </w:tcPr>
              <w:p w14:paraId="4917BC22" w14:textId="77777777" w:rsidR="004A2375" w:rsidRPr="00D95D9E" w:rsidRDefault="004A2375" w:rsidP="004A2375">
                <w:pPr>
                  <w:pStyle w:val="NoSpacing"/>
                  <w:spacing w:before="720" w:after="240"/>
                  <w:jc w:val="center"/>
                  <w:rPr>
                    <w:b/>
                    <w:bCs/>
                    <w:sz w:val="28"/>
                  </w:rPr>
                </w:pPr>
              </w:p>
            </w:tc>
          </w:tr>
          <w:tr w:rsidR="004A2375" w:rsidRPr="00D95D9E" w14:paraId="3CD02210"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4B0FEBA6" w14:textId="69ECB307" w:rsidR="004A2375" w:rsidRPr="00D95D9E" w:rsidRDefault="00C87082" w:rsidP="00FE5D11">
                    <w:pPr>
                      <w:pStyle w:val="NoSpacing"/>
                      <w:spacing w:after="240"/>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Inquiry into serious vilification and hate crimes</w:t>
                    </w:r>
                  </w:p>
                </w:tc>
              </w:sdtContent>
            </w:sdt>
          </w:tr>
          <w:tr w:rsidR="004A2375" w:rsidRPr="00D95D9E" w14:paraId="761ED4E9" w14:textId="77777777" w:rsidTr="004A2375">
            <w:trPr>
              <w:trHeight w:val="360"/>
              <w:jc w:val="center"/>
            </w:trPr>
            <w:tc>
              <w:tcPr>
                <w:tcW w:w="5000" w:type="pct"/>
                <w:vAlign w:val="center"/>
              </w:tcPr>
              <w:p w14:paraId="17B782BA" w14:textId="77777777" w:rsidR="004A2375" w:rsidRPr="00D95D9E" w:rsidRDefault="004A2375" w:rsidP="004A2375">
                <w:pPr>
                  <w:pStyle w:val="NoSpacing"/>
                  <w:spacing w:after="240"/>
                  <w:jc w:val="center"/>
                  <w:rPr>
                    <w:b/>
                    <w:bCs/>
                    <w:sz w:val="28"/>
                  </w:rPr>
                </w:pPr>
              </w:p>
            </w:tc>
          </w:tr>
          <w:tr w:rsidR="004A2375" w:rsidRPr="00D95D9E" w14:paraId="75DA5A7D" w14:textId="77777777" w:rsidTr="004A2375">
            <w:trPr>
              <w:trHeight w:val="360"/>
              <w:jc w:val="center"/>
            </w:trPr>
            <w:tc>
              <w:tcPr>
                <w:tcW w:w="5000" w:type="pct"/>
                <w:tcBorders>
                  <w:bottom w:val="thickThinSmallGap" w:sz="24" w:space="0" w:color="1F497D" w:themeColor="text2"/>
                </w:tcBorders>
                <w:vAlign w:val="center"/>
              </w:tcPr>
              <w:p w14:paraId="17DAE97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443AD5E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202C61FF" w14:textId="5D22F4A0" w:rsidR="004A2375" w:rsidRDefault="00592493" w:rsidP="009746DD">
                <w:pPr>
                  <w:pStyle w:val="NoSpacing"/>
                  <w:spacing w:before="120" w:after="120"/>
                  <w:jc w:val="right"/>
                  <w:rPr>
                    <w:rFonts w:ascii="Arial" w:hAnsi="Arial" w:cs="Arial"/>
                    <w:b/>
                    <w:bCs/>
                    <w:sz w:val="28"/>
                  </w:rPr>
                </w:pPr>
                <w:r>
                  <w:rPr>
                    <w:rFonts w:ascii="Arial" w:hAnsi="Arial" w:cs="Arial"/>
                    <w:b/>
                    <w:bCs/>
                    <w:sz w:val="28"/>
                  </w:rPr>
                  <w:t>Legal Affairs and Safety Committee</w:t>
                </w:r>
              </w:p>
              <w:p w14:paraId="61B84921" w14:textId="77777777" w:rsidR="00240EF9" w:rsidRPr="00D95D9E" w:rsidRDefault="00240EF9" w:rsidP="009746DD">
                <w:pPr>
                  <w:pStyle w:val="NoSpacing"/>
                  <w:spacing w:before="120" w:after="120"/>
                  <w:jc w:val="right"/>
                  <w:rPr>
                    <w:b/>
                    <w:bCs/>
                    <w:sz w:val="28"/>
                  </w:rPr>
                </w:pPr>
              </w:p>
            </w:tc>
          </w:tr>
        </w:tbl>
        <w:p w14:paraId="54CE7601"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57E88844" w14:textId="77777777" w:rsidTr="00392522">
            <w:tc>
              <w:tcPr>
                <w:tcW w:w="6585" w:type="dxa"/>
                <w:tcMar>
                  <w:top w:w="216" w:type="dxa"/>
                  <w:left w:w="115" w:type="dxa"/>
                  <w:bottom w:w="216" w:type="dxa"/>
                  <w:right w:w="115" w:type="dxa"/>
                </w:tcMar>
              </w:tcPr>
              <w:p w14:paraId="0F91E34D" w14:textId="749EAAD5" w:rsidR="00A16356" w:rsidRPr="00A16356" w:rsidRDefault="00444D7E"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 xml:space="preserve">12 </w:t>
                </w:r>
                <w:r w:rsidR="00592493">
                  <w:rPr>
                    <w:rFonts w:ascii="Arial" w:hAnsi="Arial" w:cs="Arial"/>
                    <w:color w:val="4F81BD" w:themeColor="accent1"/>
                    <w:sz w:val="28"/>
                    <w:szCs w:val="28"/>
                  </w:rPr>
                  <w:t>July</w:t>
                </w:r>
                <w:r>
                  <w:rPr>
                    <w:rFonts w:ascii="Arial" w:hAnsi="Arial" w:cs="Arial"/>
                    <w:color w:val="4F81BD" w:themeColor="accent1"/>
                    <w:sz w:val="28"/>
                    <w:szCs w:val="28"/>
                  </w:rPr>
                  <w:t xml:space="preserve"> 2021</w:t>
                </w:r>
              </w:p>
              <w:p w14:paraId="6AC9B9C4" w14:textId="77777777" w:rsidR="00A16356" w:rsidRDefault="00A16356">
                <w:pPr>
                  <w:pStyle w:val="NoSpacing"/>
                  <w:rPr>
                    <w:color w:val="4F81BD" w:themeColor="accent1"/>
                  </w:rPr>
                </w:pPr>
              </w:p>
            </w:tc>
          </w:tr>
        </w:tbl>
        <w:p w14:paraId="0EC0807B" w14:textId="77777777" w:rsidR="004A2375" w:rsidRDefault="00A16356">
          <w:r>
            <w:br w:type="page"/>
          </w:r>
        </w:p>
        <w:p w14:paraId="0A0DB81E" w14:textId="44A3B409" w:rsidR="00A16356" w:rsidRPr="004A2375" w:rsidRDefault="0019639B">
          <w:pPr>
            <w:rPr>
              <w:rFonts w:eastAsiaTheme="majorEastAsia"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4B5D0AAC" w14:textId="77777777" w:rsidR="00A16356" w:rsidRPr="00183FA4" w:rsidRDefault="00A16356" w:rsidP="0022037D">
          <w:pPr>
            <w:pStyle w:val="TOCHeading"/>
            <w:spacing w:before="120" w:after="120"/>
            <w:rPr>
              <w:rFonts w:ascii="Arial" w:hAnsi="Arial" w:cs="Arial"/>
              <w:b/>
            </w:rPr>
          </w:pPr>
          <w:r w:rsidRPr="00183FA4">
            <w:rPr>
              <w:rFonts w:ascii="Arial" w:hAnsi="Arial" w:cs="Arial"/>
              <w:b/>
            </w:rPr>
            <w:t>Table of Contents</w:t>
          </w:r>
        </w:p>
        <w:p w14:paraId="30CA233C" w14:textId="47D2EB21" w:rsidR="00E65EF2" w:rsidRDefault="00A16356">
          <w:pPr>
            <w:pStyle w:val="TOC1"/>
            <w:rPr>
              <w:rFonts w:asciiTheme="minorHAnsi" w:hAnsiTheme="minorHAnsi"/>
              <w:noProof/>
              <w:sz w:val="22"/>
              <w:szCs w:val="22"/>
              <w:lang w:eastAsia="en-AU"/>
            </w:rPr>
          </w:pPr>
          <w:r w:rsidRPr="00857062">
            <w:rPr>
              <w:rFonts w:cs="Arial"/>
              <w:b/>
              <w:bCs/>
              <w:noProof/>
            </w:rPr>
            <w:fldChar w:fldCharType="begin"/>
          </w:r>
          <w:r w:rsidRPr="00857062">
            <w:rPr>
              <w:rFonts w:cs="Arial"/>
              <w:b/>
              <w:bCs/>
              <w:noProof/>
            </w:rPr>
            <w:instrText xml:space="preserve"> TOC \o "1-3" \h \z \u </w:instrText>
          </w:r>
          <w:r w:rsidRPr="00857062">
            <w:rPr>
              <w:rFonts w:cs="Arial"/>
              <w:b/>
              <w:bCs/>
              <w:noProof/>
            </w:rPr>
            <w:fldChar w:fldCharType="separate"/>
          </w:r>
          <w:hyperlink w:anchor="_Toc76730679" w:history="1">
            <w:r w:rsidR="00E65EF2" w:rsidRPr="00DB139B">
              <w:rPr>
                <w:rStyle w:val="Hyperlink"/>
                <w:noProof/>
              </w:rPr>
              <w:t>Summary</w:t>
            </w:r>
            <w:r w:rsidR="00E65EF2">
              <w:rPr>
                <w:noProof/>
                <w:webHidden/>
              </w:rPr>
              <w:tab/>
            </w:r>
            <w:r w:rsidR="00E65EF2">
              <w:rPr>
                <w:noProof/>
                <w:webHidden/>
              </w:rPr>
              <w:fldChar w:fldCharType="begin"/>
            </w:r>
            <w:r w:rsidR="00E65EF2">
              <w:rPr>
                <w:noProof/>
                <w:webHidden/>
              </w:rPr>
              <w:instrText xml:space="preserve"> PAGEREF _Toc76730679 \h </w:instrText>
            </w:r>
            <w:r w:rsidR="00E65EF2">
              <w:rPr>
                <w:noProof/>
                <w:webHidden/>
              </w:rPr>
            </w:r>
            <w:r w:rsidR="00E65EF2">
              <w:rPr>
                <w:noProof/>
                <w:webHidden/>
              </w:rPr>
              <w:fldChar w:fldCharType="separate"/>
            </w:r>
            <w:r w:rsidR="00236C04">
              <w:rPr>
                <w:noProof/>
                <w:webHidden/>
              </w:rPr>
              <w:t>3</w:t>
            </w:r>
            <w:r w:rsidR="00E65EF2">
              <w:rPr>
                <w:noProof/>
                <w:webHidden/>
              </w:rPr>
              <w:fldChar w:fldCharType="end"/>
            </w:r>
          </w:hyperlink>
        </w:p>
        <w:p w14:paraId="55B6905C" w14:textId="199F9D23" w:rsidR="00E65EF2" w:rsidRDefault="0019639B">
          <w:pPr>
            <w:pStyle w:val="TOC1"/>
            <w:rPr>
              <w:rFonts w:asciiTheme="minorHAnsi" w:hAnsiTheme="minorHAnsi"/>
              <w:noProof/>
              <w:sz w:val="22"/>
              <w:szCs w:val="22"/>
              <w:lang w:eastAsia="en-AU"/>
            </w:rPr>
          </w:pPr>
          <w:hyperlink w:anchor="_Toc76730680" w:history="1">
            <w:r w:rsidR="00E65EF2" w:rsidRPr="00DB139B">
              <w:rPr>
                <w:rStyle w:val="Hyperlink"/>
                <w:noProof/>
              </w:rPr>
              <w:t>Recommendations</w:t>
            </w:r>
            <w:r w:rsidR="00E65EF2">
              <w:rPr>
                <w:noProof/>
                <w:webHidden/>
              </w:rPr>
              <w:tab/>
            </w:r>
            <w:r w:rsidR="00E65EF2">
              <w:rPr>
                <w:noProof/>
                <w:webHidden/>
              </w:rPr>
              <w:fldChar w:fldCharType="begin"/>
            </w:r>
            <w:r w:rsidR="00E65EF2">
              <w:rPr>
                <w:noProof/>
                <w:webHidden/>
              </w:rPr>
              <w:instrText xml:space="preserve"> PAGEREF _Toc76730680 \h </w:instrText>
            </w:r>
            <w:r w:rsidR="00E65EF2">
              <w:rPr>
                <w:noProof/>
                <w:webHidden/>
              </w:rPr>
            </w:r>
            <w:r w:rsidR="00E65EF2">
              <w:rPr>
                <w:noProof/>
                <w:webHidden/>
              </w:rPr>
              <w:fldChar w:fldCharType="separate"/>
            </w:r>
            <w:r w:rsidR="00236C04">
              <w:rPr>
                <w:noProof/>
                <w:webHidden/>
              </w:rPr>
              <w:t>3</w:t>
            </w:r>
            <w:r w:rsidR="00E65EF2">
              <w:rPr>
                <w:noProof/>
                <w:webHidden/>
              </w:rPr>
              <w:fldChar w:fldCharType="end"/>
            </w:r>
          </w:hyperlink>
        </w:p>
        <w:p w14:paraId="57CCF1E9" w14:textId="3244BE09" w:rsidR="00E65EF2" w:rsidRDefault="0019639B">
          <w:pPr>
            <w:pStyle w:val="TOC1"/>
            <w:rPr>
              <w:rFonts w:asciiTheme="minorHAnsi" w:hAnsiTheme="minorHAnsi"/>
              <w:noProof/>
              <w:sz w:val="22"/>
              <w:szCs w:val="22"/>
              <w:lang w:eastAsia="en-AU"/>
            </w:rPr>
          </w:pPr>
          <w:hyperlink w:anchor="_Toc76730681" w:history="1">
            <w:r w:rsidR="00E65EF2" w:rsidRPr="00DB139B">
              <w:rPr>
                <w:rStyle w:val="Hyperlink"/>
                <w:noProof/>
              </w:rPr>
              <w:t>Introduction</w:t>
            </w:r>
            <w:r w:rsidR="00E65EF2">
              <w:rPr>
                <w:noProof/>
                <w:webHidden/>
              </w:rPr>
              <w:tab/>
            </w:r>
            <w:r w:rsidR="00E65EF2">
              <w:rPr>
                <w:noProof/>
                <w:webHidden/>
              </w:rPr>
              <w:fldChar w:fldCharType="begin"/>
            </w:r>
            <w:r w:rsidR="00E65EF2">
              <w:rPr>
                <w:noProof/>
                <w:webHidden/>
              </w:rPr>
              <w:instrText xml:space="preserve"> PAGEREF _Toc76730681 \h </w:instrText>
            </w:r>
            <w:r w:rsidR="00E65EF2">
              <w:rPr>
                <w:noProof/>
                <w:webHidden/>
              </w:rPr>
            </w:r>
            <w:r w:rsidR="00E65EF2">
              <w:rPr>
                <w:noProof/>
                <w:webHidden/>
              </w:rPr>
              <w:fldChar w:fldCharType="separate"/>
            </w:r>
            <w:r w:rsidR="00236C04">
              <w:rPr>
                <w:noProof/>
                <w:webHidden/>
              </w:rPr>
              <w:t>5</w:t>
            </w:r>
            <w:r w:rsidR="00E65EF2">
              <w:rPr>
                <w:noProof/>
                <w:webHidden/>
              </w:rPr>
              <w:fldChar w:fldCharType="end"/>
            </w:r>
          </w:hyperlink>
        </w:p>
        <w:p w14:paraId="6C696556" w14:textId="02C8F2D8" w:rsidR="00E65EF2" w:rsidRDefault="0019639B">
          <w:pPr>
            <w:pStyle w:val="TOC1"/>
            <w:rPr>
              <w:rFonts w:asciiTheme="minorHAnsi" w:hAnsiTheme="minorHAnsi"/>
              <w:noProof/>
              <w:sz w:val="22"/>
              <w:szCs w:val="22"/>
              <w:lang w:eastAsia="en-AU"/>
            </w:rPr>
          </w:pPr>
          <w:hyperlink w:anchor="_Toc76730682" w:history="1">
            <w:r w:rsidR="00E65EF2" w:rsidRPr="00DB139B">
              <w:rPr>
                <w:rStyle w:val="Hyperlink"/>
                <w:noProof/>
              </w:rPr>
              <w:t>Hate speech and hate crime</w:t>
            </w:r>
            <w:r w:rsidR="00E65EF2">
              <w:rPr>
                <w:noProof/>
                <w:webHidden/>
              </w:rPr>
              <w:tab/>
            </w:r>
            <w:r w:rsidR="00E65EF2">
              <w:rPr>
                <w:noProof/>
                <w:webHidden/>
              </w:rPr>
              <w:fldChar w:fldCharType="begin"/>
            </w:r>
            <w:r w:rsidR="00E65EF2">
              <w:rPr>
                <w:noProof/>
                <w:webHidden/>
              </w:rPr>
              <w:instrText xml:space="preserve"> PAGEREF _Toc76730682 \h </w:instrText>
            </w:r>
            <w:r w:rsidR="00E65EF2">
              <w:rPr>
                <w:noProof/>
                <w:webHidden/>
              </w:rPr>
            </w:r>
            <w:r w:rsidR="00E65EF2">
              <w:rPr>
                <w:noProof/>
                <w:webHidden/>
              </w:rPr>
              <w:fldChar w:fldCharType="separate"/>
            </w:r>
            <w:r w:rsidR="00236C04">
              <w:rPr>
                <w:noProof/>
                <w:webHidden/>
              </w:rPr>
              <w:t>6</w:t>
            </w:r>
            <w:r w:rsidR="00E65EF2">
              <w:rPr>
                <w:noProof/>
                <w:webHidden/>
              </w:rPr>
              <w:fldChar w:fldCharType="end"/>
            </w:r>
          </w:hyperlink>
        </w:p>
        <w:p w14:paraId="22619173" w14:textId="411C4065" w:rsidR="00E65EF2" w:rsidRDefault="0019639B">
          <w:pPr>
            <w:pStyle w:val="TOC1"/>
            <w:rPr>
              <w:rFonts w:asciiTheme="minorHAnsi" w:hAnsiTheme="minorHAnsi"/>
              <w:noProof/>
              <w:sz w:val="22"/>
              <w:szCs w:val="22"/>
              <w:lang w:eastAsia="en-AU"/>
            </w:rPr>
          </w:pPr>
          <w:hyperlink w:anchor="_Toc76730683" w:history="1">
            <w:r w:rsidR="00E65EF2" w:rsidRPr="00DB139B">
              <w:rPr>
                <w:rStyle w:val="Hyperlink"/>
                <w:noProof/>
              </w:rPr>
              <w:t>Gaps in existing hate crime laws</w:t>
            </w:r>
            <w:r w:rsidR="00E65EF2">
              <w:rPr>
                <w:noProof/>
                <w:webHidden/>
              </w:rPr>
              <w:tab/>
            </w:r>
            <w:r w:rsidR="00E65EF2">
              <w:rPr>
                <w:noProof/>
                <w:webHidden/>
              </w:rPr>
              <w:fldChar w:fldCharType="begin"/>
            </w:r>
            <w:r w:rsidR="00E65EF2">
              <w:rPr>
                <w:noProof/>
                <w:webHidden/>
              </w:rPr>
              <w:instrText xml:space="preserve"> PAGEREF _Toc76730683 \h </w:instrText>
            </w:r>
            <w:r w:rsidR="00E65EF2">
              <w:rPr>
                <w:noProof/>
                <w:webHidden/>
              </w:rPr>
            </w:r>
            <w:r w:rsidR="00E65EF2">
              <w:rPr>
                <w:noProof/>
                <w:webHidden/>
              </w:rPr>
              <w:fldChar w:fldCharType="separate"/>
            </w:r>
            <w:r w:rsidR="00236C04">
              <w:rPr>
                <w:noProof/>
                <w:webHidden/>
              </w:rPr>
              <w:t>11</w:t>
            </w:r>
            <w:r w:rsidR="00E65EF2">
              <w:rPr>
                <w:noProof/>
                <w:webHidden/>
              </w:rPr>
              <w:fldChar w:fldCharType="end"/>
            </w:r>
          </w:hyperlink>
        </w:p>
        <w:p w14:paraId="1415B056" w14:textId="54505407" w:rsidR="00E65EF2" w:rsidRDefault="0019639B">
          <w:pPr>
            <w:pStyle w:val="TOC1"/>
            <w:rPr>
              <w:rFonts w:asciiTheme="minorHAnsi" w:hAnsiTheme="minorHAnsi"/>
              <w:noProof/>
              <w:sz w:val="22"/>
              <w:szCs w:val="22"/>
              <w:lang w:eastAsia="en-AU"/>
            </w:rPr>
          </w:pPr>
          <w:hyperlink w:anchor="_Toc76730684" w:history="1">
            <w:r w:rsidR="00E65EF2" w:rsidRPr="00DB139B">
              <w:rPr>
                <w:rStyle w:val="Hyperlink"/>
                <w:noProof/>
              </w:rPr>
              <w:t>Serious vilification (criminal offence)</w:t>
            </w:r>
            <w:r w:rsidR="00E65EF2">
              <w:rPr>
                <w:noProof/>
                <w:webHidden/>
              </w:rPr>
              <w:tab/>
            </w:r>
            <w:r w:rsidR="00E65EF2">
              <w:rPr>
                <w:noProof/>
                <w:webHidden/>
              </w:rPr>
              <w:fldChar w:fldCharType="begin"/>
            </w:r>
            <w:r w:rsidR="00E65EF2">
              <w:rPr>
                <w:noProof/>
                <w:webHidden/>
              </w:rPr>
              <w:instrText xml:space="preserve"> PAGEREF _Toc76730684 \h </w:instrText>
            </w:r>
            <w:r w:rsidR="00E65EF2">
              <w:rPr>
                <w:noProof/>
                <w:webHidden/>
              </w:rPr>
            </w:r>
            <w:r w:rsidR="00E65EF2">
              <w:rPr>
                <w:noProof/>
                <w:webHidden/>
              </w:rPr>
              <w:fldChar w:fldCharType="separate"/>
            </w:r>
            <w:r w:rsidR="00236C04">
              <w:rPr>
                <w:noProof/>
                <w:webHidden/>
              </w:rPr>
              <w:t>12</w:t>
            </w:r>
            <w:r w:rsidR="00E65EF2">
              <w:rPr>
                <w:noProof/>
                <w:webHidden/>
              </w:rPr>
              <w:fldChar w:fldCharType="end"/>
            </w:r>
          </w:hyperlink>
        </w:p>
        <w:p w14:paraId="1F1A98A1" w14:textId="2EA0E969" w:rsidR="00E65EF2" w:rsidRDefault="0019639B">
          <w:pPr>
            <w:pStyle w:val="TOC2"/>
            <w:rPr>
              <w:rFonts w:asciiTheme="minorHAnsi" w:hAnsiTheme="minorHAnsi"/>
              <w:noProof/>
              <w:sz w:val="22"/>
              <w:szCs w:val="22"/>
              <w:lang w:eastAsia="en-AU"/>
            </w:rPr>
          </w:pPr>
          <w:hyperlink w:anchor="_Toc76730685" w:history="1">
            <w:r w:rsidR="00E65EF2" w:rsidRPr="00DB139B">
              <w:rPr>
                <w:rStyle w:val="Hyperlink"/>
                <w:noProof/>
              </w:rPr>
              <w:t>Deficiencies with the serious vilification offence</w:t>
            </w:r>
            <w:r w:rsidR="00E65EF2">
              <w:rPr>
                <w:noProof/>
                <w:webHidden/>
              </w:rPr>
              <w:tab/>
            </w:r>
            <w:r w:rsidR="00E65EF2">
              <w:rPr>
                <w:noProof/>
                <w:webHidden/>
              </w:rPr>
              <w:fldChar w:fldCharType="begin"/>
            </w:r>
            <w:r w:rsidR="00E65EF2">
              <w:rPr>
                <w:noProof/>
                <w:webHidden/>
              </w:rPr>
              <w:instrText xml:space="preserve"> PAGEREF _Toc76730685 \h </w:instrText>
            </w:r>
            <w:r w:rsidR="00E65EF2">
              <w:rPr>
                <w:noProof/>
                <w:webHidden/>
              </w:rPr>
            </w:r>
            <w:r w:rsidR="00E65EF2">
              <w:rPr>
                <w:noProof/>
                <w:webHidden/>
              </w:rPr>
              <w:fldChar w:fldCharType="separate"/>
            </w:r>
            <w:r w:rsidR="00236C04">
              <w:rPr>
                <w:noProof/>
                <w:webHidden/>
              </w:rPr>
              <w:t>13</w:t>
            </w:r>
            <w:r w:rsidR="00E65EF2">
              <w:rPr>
                <w:noProof/>
                <w:webHidden/>
              </w:rPr>
              <w:fldChar w:fldCharType="end"/>
            </w:r>
          </w:hyperlink>
        </w:p>
        <w:p w14:paraId="5A5E139B" w14:textId="6F348811" w:rsidR="00E65EF2" w:rsidRDefault="0019639B">
          <w:pPr>
            <w:pStyle w:val="TOC3"/>
            <w:tabs>
              <w:tab w:val="right" w:leader="dot" w:pos="8296"/>
            </w:tabs>
            <w:rPr>
              <w:rFonts w:asciiTheme="minorHAnsi" w:hAnsiTheme="minorHAnsi"/>
              <w:noProof/>
              <w:sz w:val="22"/>
              <w:szCs w:val="22"/>
              <w:lang w:eastAsia="en-AU"/>
            </w:rPr>
          </w:pPr>
          <w:hyperlink w:anchor="_Toc76730686" w:history="1">
            <w:r w:rsidR="00E65EF2" w:rsidRPr="00DB139B">
              <w:rPr>
                <w:rStyle w:val="Hyperlink"/>
                <w:noProof/>
              </w:rPr>
              <w:t>Penalty</w:t>
            </w:r>
            <w:r w:rsidR="00E65EF2">
              <w:rPr>
                <w:noProof/>
                <w:webHidden/>
              </w:rPr>
              <w:tab/>
            </w:r>
            <w:r w:rsidR="00E65EF2">
              <w:rPr>
                <w:noProof/>
                <w:webHidden/>
              </w:rPr>
              <w:fldChar w:fldCharType="begin"/>
            </w:r>
            <w:r w:rsidR="00E65EF2">
              <w:rPr>
                <w:noProof/>
                <w:webHidden/>
              </w:rPr>
              <w:instrText xml:space="preserve"> PAGEREF _Toc76730686 \h </w:instrText>
            </w:r>
            <w:r w:rsidR="00E65EF2">
              <w:rPr>
                <w:noProof/>
                <w:webHidden/>
              </w:rPr>
            </w:r>
            <w:r w:rsidR="00E65EF2">
              <w:rPr>
                <w:noProof/>
                <w:webHidden/>
              </w:rPr>
              <w:fldChar w:fldCharType="separate"/>
            </w:r>
            <w:r w:rsidR="00236C04">
              <w:rPr>
                <w:noProof/>
                <w:webHidden/>
              </w:rPr>
              <w:t>14</w:t>
            </w:r>
            <w:r w:rsidR="00E65EF2">
              <w:rPr>
                <w:noProof/>
                <w:webHidden/>
              </w:rPr>
              <w:fldChar w:fldCharType="end"/>
            </w:r>
          </w:hyperlink>
        </w:p>
        <w:p w14:paraId="66230736" w14:textId="4B02AF18" w:rsidR="00E65EF2" w:rsidRDefault="0019639B">
          <w:pPr>
            <w:pStyle w:val="TOC3"/>
            <w:tabs>
              <w:tab w:val="right" w:leader="dot" w:pos="8296"/>
            </w:tabs>
            <w:rPr>
              <w:rFonts w:asciiTheme="minorHAnsi" w:hAnsiTheme="minorHAnsi"/>
              <w:noProof/>
              <w:sz w:val="22"/>
              <w:szCs w:val="22"/>
              <w:lang w:eastAsia="en-AU"/>
            </w:rPr>
          </w:pPr>
          <w:hyperlink w:anchor="_Toc76730687" w:history="1">
            <w:r w:rsidR="00E65EF2" w:rsidRPr="00DB139B">
              <w:rPr>
                <w:rStyle w:val="Hyperlink"/>
                <w:noProof/>
              </w:rPr>
              <w:t>Approval to prosecute</w:t>
            </w:r>
            <w:r w:rsidR="00E65EF2">
              <w:rPr>
                <w:noProof/>
                <w:webHidden/>
              </w:rPr>
              <w:tab/>
            </w:r>
            <w:r w:rsidR="00E65EF2">
              <w:rPr>
                <w:noProof/>
                <w:webHidden/>
              </w:rPr>
              <w:fldChar w:fldCharType="begin"/>
            </w:r>
            <w:r w:rsidR="00E65EF2">
              <w:rPr>
                <w:noProof/>
                <w:webHidden/>
              </w:rPr>
              <w:instrText xml:space="preserve"> PAGEREF _Toc76730687 \h </w:instrText>
            </w:r>
            <w:r w:rsidR="00E65EF2">
              <w:rPr>
                <w:noProof/>
                <w:webHidden/>
              </w:rPr>
            </w:r>
            <w:r w:rsidR="00E65EF2">
              <w:rPr>
                <w:noProof/>
                <w:webHidden/>
              </w:rPr>
              <w:fldChar w:fldCharType="separate"/>
            </w:r>
            <w:r w:rsidR="00236C04">
              <w:rPr>
                <w:noProof/>
                <w:webHidden/>
              </w:rPr>
              <w:t>15</w:t>
            </w:r>
            <w:r w:rsidR="00E65EF2">
              <w:rPr>
                <w:noProof/>
                <w:webHidden/>
              </w:rPr>
              <w:fldChar w:fldCharType="end"/>
            </w:r>
          </w:hyperlink>
        </w:p>
        <w:p w14:paraId="68D87DA7" w14:textId="5316A7F5" w:rsidR="00E65EF2" w:rsidRDefault="0019639B">
          <w:pPr>
            <w:pStyle w:val="TOC3"/>
            <w:tabs>
              <w:tab w:val="right" w:leader="dot" w:pos="8296"/>
            </w:tabs>
            <w:rPr>
              <w:rFonts w:asciiTheme="minorHAnsi" w:hAnsiTheme="minorHAnsi"/>
              <w:noProof/>
              <w:sz w:val="22"/>
              <w:szCs w:val="22"/>
              <w:lang w:eastAsia="en-AU"/>
            </w:rPr>
          </w:pPr>
          <w:hyperlink w:anchor="_Toc76730688" w:history="1">
            <w:r w:rsidR="00E65EF2" w:rsidRPr="00DB139B">
              <w:rPr>
                <w:rStyle w:val="Hyperlink"/>
                <w:noProof/>
              </w:rPr>
              <w:t>Complexity of offence</w:t>
            </w:r>
            <w:r w:rsidR="00E65EF2">
              <w:rPr>
                <w:noProof/>
                <w:webHidden/>
              </w:rPr>
              <w:tab/>
            </w:r>
            <w:r w:rsidR="00E65EF2">
              <w:rPr>
                <w:noProof/>
                <w:webHidden/>
              </w:rPr>
              <w:fldChar w:fldCharType="begin"/>
            </w:r>
            <w:r w:rsidR="00E65EF2">
              <w:rPr>
                <w:noProof/>
                <w:webHidden/>
              </w:rPr>
              <w:instrText xml:space="preserve"> PAGEREF _Toc76730688 \h </w:instrText>
            </w:r>
            <w:r w:rsidR="00E65EF2">
              <w:rPr>
                <w:noProof/>
                <w:webHidden/>
              </w:rPr>
            </w:r>
            <w:r w:rsidR="00E65EF2">
              <w:rPr>
                <w:noProof/>
                <w:webHidden/>
              </w:rPr>
              <w:fldChar w:fldCharType="separate"/>
            </w:r>
            <w:r w:rsidR="00236C04">
              <w:rPr>
                <w:noProof/>
                <w:webHidden/>
              </w:rPr>
              <w:t>16</w:t>
            </w:r>
            <w:r w:rsidR="00E65EF2">
              <w:rPr>
                <w:noProof/>
                <w:webHidden/>
              </w:rPr>
              <w:fldChar w:fldCharType="end"/>
            </w:r>
          </w:hyperlink>
        </w:p>
        <w:p w14:paraId="5459641B" w14:textId="656F0CFA" w:rsidR="00E65EF2" w:rsidRDefault="0019639B">
          <w:pPr>
            <w:pStyle w:val="TOC3"/>
            <w:tabs>
              <w:tab w:val="right" w:leader="dot" w:pos="8296"/>
            </w:tabs>
            <w:rPr>
              <w:rFonts w:asciiTheme="minorHAnsi" w:hAnsiTheme="minorHAnsi"/>
              <w:noProof/>
              <w:sz w:val="22"/>
              <w:szCs w:val="22"/>
              <w:lang w:eastAsia="en-AU"/>
            </w:rPr>
          </w:pPr>
          <w:hyperlink w:anchor="_Toc76730689" w:history="1">
            <w:r w:rsidR="00E65EF2" w:rsidRPr="00DB139B">
              <w:rPr>
                <w:rStyle w:val="Hyperlink"/>
                <w:noProof/>
              </w:rPr>
              <w:t>Location of offence</w:t>
            </w:r>
            <w:r w:rsidR="00E65EF2">
              <w:rPr>
                <w:noProof/>
                <w:webHidden/>
              </w:rPr>
              <w:tab/>
            </w:r>
            <w:r w:rsidR="00E65EF2">
              <w:rPr>
                <w:noProof/>
                <w:webHidden/>
              </w:rPr>
              <w:fldChar w:fldCharType="begin"/>
            </w:r>
            <w:r w:rsidR="00E65EF2">
              <w:rPr>
                <w:noProof/>
                <w:webHidden/>
              </w:rPr>
              <w:instrText xml:space="preserve"> PAGEREF _Toc76730689 \h </w:instrText>
            </w:r>
            <w:r w:rsidR="00E65EF2">
              <w:rPr>
                <w:noProof/>
                <w:webHidden/>
              </w:rPr>
            </w:r>
            <w:r w:rsidR="00E65EF2">
              <w:rPr>
                <w:noProof/>
                <w:webHidden/>
              </w:rPr>
              <w:fldChar w:fldCharType="separate"/>
            </w:r>
            <w:r w:rsidR="00236C04">
              <w:rPr>
                <w:noProof/>
                <w:webHidden/>
              </w:rPr>
              <w:t>16</w:t>
            </w:r>
            <w:r w:rsidR="00E65EF2">
              <w:rPr>
                <w:noProof/>
                <w:webHidden/>
              </w:rPr>
              <w:fldChar w:fldCharType="end"/>
            </w:r>
          </w:hyperlink>
        </w:p>
        <w:p w14:paraId="046243FE" w14:textId="0B1FA120" w:rsidR="00E65EF2" w:rsidRDefault="0019639B">
          <w:pPr>
            <w:pStyle w:val="TOC1"/>
            <w:rPr>
              <w:rFonts w:asciiTheme="minorHAnsi" w:hAnsiTheme="minorHAnsi"/>
              <w:noProof/>
              <w:sz w:val="22"/>
              <w:szCs w:val="22"/>
              <w:lang w:eastAsia="en-AU"/>
            </w:rPr>
          </w:pPr>
          <w:hyperlink w:anchor="_Toc76730690" w:history="1">
            <w:r w:rsidR="00E65EF2" w:rsidRPr="00DB139B">
              <w:rPr>
                <w:rStyle w:val="Hyperlink"/>
                <w:noProof/>
              </w:rPr>
              <w:t>Other offences</w:t>
            </w:r>
            <w:r w:rsidR="00E65EF2">
              <w:rPr>
                <w:noProof/>
                <w:webHidden/>
              </w:rPr>
              <w:tab/>
            </w:r>
            <w:r w:rsidR="00E65EF2">
              <w:rPr>
                <w:noProof/>
                <w:webHidden/>
              </w:rPr>
              <w:fldChar w:fldCharType="begin"/>
            </w:r>
            <w:r w:rsidR="00E65EF2">
              <w:rPr>
                <w:noProof/>
                <w:webHidden/>
              </w:rPr>
              <w:instrText xml:space="preserve"> PAGEREF _Toc76730690 \h </w:instrText>
            </w:r>
            <w:r w:rsidR="00E65EF2">
              <w:rPr>
                <w:noProof/>
                <w:webHidden/>
              </w:rPr>
            </w:r>
            <w:r w:rsidR="00E65EF2">
              <w:rPr>
                <w:noProof/>
                <w:webHidden/>
              </w:rPr>
              <w:fldChar w:fldCharType="separate"/>
            </w:r>
            <w:r w:rsidR="00236C04">
              <w:rPr>
                <w:noProof/>
                <w:webHidden/>
              </w:rPr>
              <w:t>19</w:t>
            </w:r>
            <w:r w:rsidR="00E65EF2">
              <w:rPr>
                <w:noProof/>
                <w:webHidden/>
              </w:rPr>
              <w:fldChar w:fldCharType="end"/>
            </w:r>
          </w:hyperlink>
        </w:p>
        <w:p w14:paraId="48D71521" w14:textId="4098E4DB" w:rsidR="00E65EF2" w:rsidRDefault="0019639B">
          <w:pPr>
            <w:pStyle w:val="TOC1"/>
            <w:rPr>
              <w:rFonts w:asciiTheme="minorHAnsi" w:hAnsiTheme="minorHAnsi"/>
              <w:noProof/>
              <w:sz w:val="22"/>
              <w:szCs w:val="22"/>
              <w:lang w:eastAsia="en-AU"/>
            </w:rPr>
          </w:pPr>
          <w:hyperlink w:anchor="_Toc76730691" w:history="1">
            <w:r w:rsidR="00E65EF2" w:rsidRPr="00DB139B">
              <w:rPr>
                <w:rStyle w:val="Hyperlink"/>
                <w:noProof/>
              </w:rPr>
              <w:t>Existing federal offences</w:t>
            </w:r>
            <w:r w:rsidR="00E65EF2">
              <w:rPr>
                <w:noProof/>
                <w:webHidden/>
              </w:rPr>
              <w:tab/>
            </w:r>
            <w:r w:rsidR="00E65EF2">
              <w:rPr>
                <w:noProof/>
                <w:webHidden/>
              </w:rPr>
              <w:fldChar w:fldCharType="begin"/>
            </w:r>
            <w:r w:rsidR="00E65EF2">
              <w:rPr>
                <w:noProof/>
                <w:webHidden/>
              </w:rPr>
              <w:instrText xml:space="preserve"> PAGEREF _Toc76730691 \h </w:instrText>
            </w:r>
            <w:r w:rsidR="00E65EF2">
              <w:rPr>
                <w:noProof/>
                <w:webHidden/>
              </w:rPr>
            </w:r>
            <w:r w:rsidR="00E65EF2">
              <w:rPr>
                <w:noProof/>
                <w:webHidden/>
              </w:rPr>
              <w:fldChar w:fldCharType="separate"/>
            </w:r>
            <w:r w:rsidR="00236C04">
              <w:rPr>
                <w:noProof/>
                <w:webHidden/>
              </w:rPr>
              <w:t>20</w:t>
            </w:r>
            <w:r w:rsidR="00E65EF2">
              <w:rPr>
                <w:noProof/>
                <w:webHidden/>
              </w:rPr>
              <w:fldChar w:fldCharType="end"/>
            </w:r>
          </w:hyperlink>
        </w:p>
        <w:p w14:paraId="7E52731E" w14:textId="7599C78D" w:rsidR="00E65EF2" w:rsidRDefault="0019639B">
          <w:pPr>
            <w:pStyle w:val="TOC2"/>
            <w:rPr>
              <w:rFonts w:asciiTheme="minorHAnsi" w:hAnsiTheme="minorHAnsi"/>
              <w:noProof/>
              <w:sz w:val="22"/>
              <w:szCs w:val="22"/>
              <w:lang w:eastAsia="en-AU"/>
            </w:rPr>
          </w:pPr>
          <w:hyperlink w:anchor="_Toc76730692" w:history="1">
            <w:r w:rsidR="00E65EF2" w:rsidRPr="00DB139B">
              <w:rPr>
                <w:rStyle w:val="Hyperlink"/>
                <w:noProof/>
              </w:rPr>
              <w:t>Telecommunication offences</w:t>
            </w:r>
            <w:r w:rsidR="00E65EF2">
              <w:rPr>
                <w:noProof/>
                <w:webHidden/>
              </w:rPr>
              <w:tab/>
            </w:r>
            <w:r w:rsidR="00E65EF2">
              <w:rPr>
                <w:noProof/>
                <w:webHidden/>
              </w:rPr>
              <w:fldChar w:fldCharType="begin"/>
            </w:r>
            <w:r w:rsidR="00E65EF2">
              <w:rPr>
                <w:noProof/>
                <w:webHidden/>
              </w:rPr>
              <w:instrText xml:space="preserve"> PAGEREF _Toc76730692 \h </w:instrText>
            </w:r>
            <w:r w:rsidR="00E65EF2">
              <w:rPr>
                <w:noProof/>
                <w:webHidden/>
              </w:rPr>
            </w:r>
            <w:r w:rsidR="00E65EF2">
              <w:rPr>
                <w:noProof/>
                <w:webHidden/>
              </w:rPr>
              <w:fldChar w:fldCharType="separate"/>
            </w:r>
            <w:r w:rsidR="00236C04">
              <w:rPr>
                <w:noProof/>
                <w:webHidden/>
              </w:rPr>
              <w:t>20</w:t>
            </w:r>
            <w:r w:rsidR="00E65EF2">
              <w:rPr>
                <w:noProof/>
                <w:webHidden/>
              </w:rPr>
              <w:fldChar w:fldCharType="end"/>
            </w:r>
          </w:hyperlink>
        </w:p>
        <w:p w14:paraId="3C1747D3" w14:textId="5EF19941" w:rsidR="00E65EF2" w:rsidRDefault="0019639B">
          <w:pPr>
            <w:pStyle w:val="TOC2"/>
            <w:rPr>
              <w:rFonts w:asciiTheme="minorHAnsi" w:hAnsiTheme="minorHAnsi"/>
              <w:noProof/>
              <w:sz w:val="22"/>
              <w:szCs w:val="22"/>
              <w:lang w:eastAsia="en-AU"/>
            </w:rPr>
          </w:pPr>
          <w:hyperlink w:anchor="_Toc76730693" w:history="1">
            <w:r w:rsidR="00E65EF2" w:rsidRPr="00DB139B">
              <w:rPr>
                <w:rStyle w:val="Hyperlink"/>
                <w:noProof/>
              </w:rPr>
              <w:t>Urging violence offences</w:t>
            </w:r>
            <w:r w:rsidR="00E65EF2">
              <w:rPr>
                <w:noProof/>
                <w:webHidden/>
              </w:rPr>
              <w:tab/>
            </w:r>
            <w:r w:rsidR="00E65EF2">
              <w:rPr>
                <w:noProof/>
                <w:webHidden/>
              </w:rPr>
              <w:fldChar w:fldCharType="begin"/>
            </w:r>
            <w:r w:rsidR="00E65EF2">
              <w:rPr>
                <w:noProof/>
                <w:webHidden/>
              </w:rPr>
              <w:instrText xml:space="preserve"> PAGEREF _Toc76730693 \h </w:instrText>
            </w:r>
            <w:r w:rsidR="00E65EF2">
              <w:rPr>
                <w:noProof/>
                <w:webHidden/>
              </w:rPr>
            </w:r>
            <w:r w:rsidR="00E65EF2">
              <w:rPr>
                <w:noProof/>
                <w:webHidden/>
              </w:rPr>
              <w:fldChar w:fldCharType="separate"/>
            </w:r>
            <w:r w:rsidR="00236C04">
              <w:rPr>
                <w:noProof/>
                <w:webHidden/>
              </w:rPr>
              <w:t>20</w:t>
            </w:r>
            <w:r w:rsidR="00E65EF2">
              <w:rPr>
                <w:noProof/>
                <w:webHidden/>
              </w:rPr>
              <w:fldChar w:fldCharType="end"/>
            </w:r>
          </w:hyperlink>
        </w:p>
        <w:p w14:paraId="642B424A" w14:textId="61EF5B6F" w:rsidR="00E65EF2" w:rsidRDefault="0019639B">
          <w:pPr>
            <w:pStyle w:val="TOC2"/>
            <w:rPr>
              <w:rFonts w:asciiTheme="minorHAnsi" w:hAnsiTheme="minorHAnsi"/>
              <w:noProof/>
              <w:sz w:val="22"/>
              <w:szCs w:val="22"/>
              <w:lang w:eastAsia="en-AU"/>
            </w:rPr>
          </w:pPr>
          <w:hyperlink w:anchor="_Toc76730694" w:history="1">
            <w:r w:rsidR="00E65EF2" w:rsidRPr="00DB139B">
              <w:rPr>
                <w:rStyle w:val="Hyperlink"/>
                <w:noProof/>
              </w:rPr>
              <w:t>Abhorrent violent material offences</w:t>
            </w:r>
            <w:r w:rsidR="00E65EF2">
              <w:rPr>
                <w:noProof/>
                <w:webHidden/>
              </w:rPr>
              <w:tab/>
            </w:r>
            <w:r w:rsidR="00E65EF2">
              <w:rPr>
                <w:noProof/>
                <w:webHidden/>
              </w:rPr>
              <w:fldChar w:fldCharType="begin"/>
            </w:r>
            <w:r w:rsidR="00E65EF2">
              <w:rPr>
                <w:noProof/>
                <w:webHidden/>
              </w:rPr>
              <w:instrText xml:space="preserve"> PAGEREF _Toc76730694 \h </w:instrText>
            </w:r>
            <w:r w:rsidR="00E65EF2">
              <w:rPr>
                <w:noProof/>
                <w:webHidden/>
              </w:rPr>
            </w:r>
            <w:r w:rsidR="00E65EF2">
              <w:rPr>
                <w:noProof/>
                <w:webHidden/>
              </w:rPr>
              <w:fldChar w:fldCharType="separate"/>
            </w:r>
            <w:r w:rsidR="00236C04">
              <w:rPr>
                <w:noProof/>
                <w:webHidden/>
              </w:rPr>
              <w:t>21</w:t>
            </w:r>
            <w:r w:rsidR="00E65EF2">
              <w:rPr>
                <w:noProof/>
                <w:webHidden/>
              </w:rPr>
              <w:fldChar w:fldCharType="end"/>
            </w:r>
          </w:hyperlink>
        </w:p>
        <w:p w14:paraId="6A9B0C83" w14:textId="58177BDB" w:rsidR="00E65EF2" w:rsidRDefault="0019639B">
          <w:pPr>
            <w:pStyle w:val="TOC1"/>
            <w:rPr>
              <w:rFonts w:asciiTheme="minorHAnsi" w:hAnsiTheme="minorHAnsi"/>
              <w:noProof/>
              <w:sz w:val="22"/>
              <w:szCs w:val="22"/>
              <w:lang w:eastAsia="en-AU"/>
            </w:rPr>
          </w:pPr>
          <w:hyperlink w:anchor="_Toc76730695" w:history="1">
            <w:r w:rsidR="00E65EF2" w:rsidRPr="00DB139B">
              <w:rPr>
                <w:rStyle w:val="Hyperlink"/>
                <w:noProof/>
              </w:rPr>
              <w:t>Options for reform of Queensland criminal laws</w:t>
            </w:r>
            <w:r w:rsidR="00E65EF2">
              <w:rPr>
                <w:noProof/>
                <w:webHidden/>
              </w:rPr>
              <w:tab/>
            </w:r>
            <w:r w:rsidR="00E65EF2">
              <w:rPr>
                <w:noProof/>
                <w:webHidden/>
              </w:rPr>
              <w:fldChar w:fldCharType="begin"/>
            </w:r>
            <w:r w:rsidR="00E65EF2">
              <w:rPr>
                <w:noProof/>
                <w:webHidden/>
              </w:rPr>
              <w:instrText xml:space="preserve"> PAGEREF _Toc76730695 \h </w:instrText>
            </w:r>
            <w:r w:rsidR="00E65EF2">
              <w:rPr>
                <w:noProof/>
                <w:webHidden/>
              </w:rPr>
            </w:r>
            <w:r w:rsidR="00E65EF2">
              <w:rPr>
                <w:noProof/>
                <w:webHidden/>
              </w:rPr>
              <w:fldChar w:fldCharType="separate"/>
            </w:r>
            <w:r w:rsidR="00236C04">
              <w:rPr>
                <w:noProof/>
                <w:webHidden/>
              </w:rPr>
              <w:t>22</w:t>
            </w:r>
            <w:r w:rsidR="00E65EF2">
              <w:rPr>
                <w:noProof/>
                <w:webHidden/>
              </w:rPr>
              <w:fldChar w:fldCharType="end"/>
            </w:r>
          </w:hyperlink>
        </w:p>
        <w:p w14:paraId="593BF28D" w14:textId="095375B6" w:rsidR="00E65EF2" w:rsidRDefault="0019639B">
          <w:pPr>
            <w:pStyle w:val="TOC2"/>
            <w:rPr>
              <w:rFonts w:asciiTheme="minorHAnsi" w:hAnsiTheme="minorHAnsi"/>
              <w:noProof/>
              <w:sz w:val="22"/>
              <w:szCs w:val="22"/>
              <w:lang w:eastAsia="en-AU"/>
            </w:rPr>
          </w:pPr>
          <w:hyperlink w:anchor="_Toc76730696" w:history="1">
            <w:r w:rsidR="00E65EF2" w:rsidRPr="00DB139B">
              <w:rPr>
                <w:rStyle w:val="Hyperlink"/>
                <w:noProof/>
              </w:rPr>
              <w:t>Serious vilification</w:t>
            </w:r>
            <w:r w:rsidR="00E65EF2">
              <w:rPr>
                <w:noProof/>
                <w:webHidden/>
              </w:rPr>
              <w:tab/>
            </w:r>
            <w:r w:rsidR="00E65EF2">
              <w:rPr>
                <w:noProof/>
                <w:webHidden/>
              </w:rPr>
              <w:fldChar w:fldCharType="begin"/>
            </w:r>
            <w:r w:rsidR="00E65EF2">
              <w:rPr>
                <w:noProof/>
                <w:webHidden/>
              </w:rPr>
              <w:instrText xml:space="preserve"> PAGEREF _Toc76730696 \h </w:instrText>
            </w:r>
            <w:r w:rsidR="00E65EF2">
              <w:rPr>
                <w:noProof/>
                <w:webHidden/>
              </w:rPr>
            </w:r>
            <w:r w:rsidR="00E65EF2">
              <w:rPr>
                <w:noProof/>
                <w:webHidden/>
              </w:rPr>
              <w:fldChar w:fldCharType="separate"/>
            </w:r>
            <w:r w:rsidR="00236C04">
              <w:rPr>
                <w:noProof/>
                <w:webHidden/>
              </w:rPr>
              <w:t>22</w:t>
            </w:r>
            <w:r w:rsidR="00E65EF2">
              <w:rPr>
                <w:noProof/>
                <w:webHidden/>
              </w:rPr>
              <w:fldChar w:fldCharType="end"/>
            </w:r>
          </w:hyperlink>
        </w:p>
        <w:p w14:paraId="6BD4F9D1" w14:textId="21C373B0" w:rsidR="00E65EF2" w:rsidRDefault="0019639B">
          <w:pPr>
            <w:pStyle w:val="TOC3"/>
            <w:tabs>
              <w:tab w:val="right" w:leader="dot" w:pos="8296"/>
            </w:tabs>
            <w:rPr>
              <w:rFonts w:asciiTheme="minorHAnsi" w:hAnsiTheme="minorHAnsi"/>
              <w:noProof/>
              <w:sz w:val="22"/>
              <w:szCs w:val="22"/>
              <w:lang w:eastAsia="en-AU"/>
            </w:rPr>
          </w:pPr>
          <w:hyperlink w:anchor="_Toc76730697" w:history="1">
            <w:r w:rsidR="00E65EF2" w:rsidRPr="00DB139B">
              <w:rPr>
                <w:rStyle w:val="Hyperlink"/>
                <w:noProof/>
              </w:rPr>
              <w:t>Remove approval requirement</w:t>
            </w:r>
            <w:r w:rsidR="00E65EF2">
              <w:rPr>
                <w:noProof/>
                <w:webHidden/>
              </w:rPr>
              <w:tab/>
            </w:r>
            <w:r w:rsidR="00E65EF2">
              <w:rPr>
                <w:noProof/>
                <w:webHidden/>
              </w:rPr>
              <w:fldChar w:fldCharType="begin"/>
            </w:r>
            <w:r w:rsidR="00E65EF2">
              <w:rPr>
                <w:noProof/>
                <w:webHidden/>
              </w:rPr>
              <w:instrText xml:space="preserve"> PAGEREF _Toc76730697 \h </w:instrText>
            </w:r>
            <w:r w:rsidR="00E65EF2">
              <w:rPr>
                <w:noProof/>
                <w:webHidden/>
              </w:rPr>
            </w:r>
            <w:r w:rsidR="00E65EF2">
              <w:rPr>
                <w:noProof/>
                <w:webHidden/>
              </w:rPr>
              <w:fldChar w:fldCharType="separate"/>
            </w:r>
            <w:r w:rsidR="00236C04">
              <w:rPr>
                <w:noProof/>
                <w:webHidden/>
              </w:rPr>
              <w:t>22</w:t>
            </w:r>
            <w:r w:rsidR="00E65EF2">
              <w:rPr>
                <w:noProof/>
                <w:webHidden/>
              </w:rPr>
              <w:fldChar w:fldCharType="end"/>
            </w:r>
          </w:hyperlink>
        </w:p>
        <w:p w14:paraId="6480A4A9" w14:textId="622C12C7" w:rsidR="00E65EF2" w:rsidRDefault="0019639B">
          <w:pPr>
            <w:pStyle w:val="TOC3"/>
            <w:tabs>
              <w:tab w:val="right" w:leader="dot" w:pos="8296"/>
            </w:tabs>
            <w:rPr>
              <w:rFonts w:asciiTheme="minorHAnsi" w:hAnsiTheme="minorHAnsi"/>
              <w:noProof/>
              <w:sz w:val="22"/>
              <w:szCs w:val="22"/>
              <w:lang w:eastAsia="en-AU"/>
            </w:rPr>
          </w:pPr>
          <w:hyperlink w:anchor="_Toc76730698" w:history="1">
            <w:r w:rsidR="00E65EF2" w:rsidRPr="00DB139B">
              <w:rPr>
                <w:rStyle w:val="Hyperlink"/>
                <w:noProof/>
              </w:rPr>
              <w:t>Increase the penalty</w:t>
            </w:r>
            <w:r w:rsidR="00E65EF2">
              <w:rPr>
                <w:noProof/>
                <w:webHidden/>
              </w:rPr>
              <w:tab/>
            </w:r>
            <w:r w:rsidR="00E65EF2">
              <w:rPr>
                <w:noProof/>
                <w:webHidden/>
              </w:rPr>
              <w:fldChar w:fldCharType="begin"/>
            </w:r>
            <w:r w:rsidR="00E65EF2">
              <w:rPr>
                <w:noProof/>
                <w:webHidden/>
              </w:rPr>
              <w:instrText xml:space="preserve"> PAGEREF _Toc76730698 \h </w:instrText>
            </w:r>
            <w:r w:rsidR="00E65EF2">
              <w:rPr>
                <w:noProof/>
                <w:webHidden/>
              </w:rPr>
            </w:r>
            <w:r w:rsidR="00E65EF2">
              <w:rPr>
                <w:noProof/>
                <w:webHidden/>
              </w:rPr>
              <w:fldChar w:fldCharType="separate"/>
            </w:r>
            <w:r w:rsidR="00236C04">
              <w:rPr>
                <w:noProof/>
                <w:webHidden/>
              </w:rPr>
              <w:t>23</w:t>
            </w:r>
            <w:r w:rsidR="00E65EF2">
              <w:rPr>
                <w:noProof/>
                <w:webHidden/>
              </w:rPr>
              <w:fldChar w:fldCharType="end"/>
            </w:r>
          </w:hyperlink>
        </w:p>
        <w:p w14:paraId="3639CA3A" w14:textId="60064E15" w:rsidR="00E65EF2" w:rsidRDefault="0019639B">
          <w:pPr>
            <w:pStyle w:val="TOC3"/>
            <w:tabs>
              <w:tab w:val="right" w:leader="dot" w:pos="8296"/>
            </w:tabs>
            <w:rPr>
              <w:rFonts w:asciiTheme="minorHAnsi" w:hAnsiTheme="minorHAnsi"/>
              <w:noProof/>
              <w:sz w:val="22"/>
              <w:szCs w:val="22"/>
              <w:lang w:eastAsia="en-AU"/>
            </w:rPr>
          </w:pPr>
          <w:hyperlink w:anchor="_Toc76730699" w:history="1">
            <w:r w:rsidR="00E65EF2" w:rsidRPr="00DB139B">
              <w:rPr>
                <w:rStyle w:val="Hyperlink"/>
                <w:noProof/>
              </w:rPr>
              <w:t>Meaning of incite</w:t>
            </w:r>
            <w:r w:rsidR="00E65EF2">
              <w:rPr>
                <w:noProof/>
                <w:webHidden/>
              </w:rPr>
              <w:tab/>
            </w:r>
            <w:r w:rsidR="00E65EF2">
              <w:rPr>
                <w:noProof/>
                <w:webHidden/>
              </w:rPr>
              <w:fldChar w:fldCharType="begin"/>
            </w:r>
            <w:r w:rsidR="00E65EF2">
              <w:rPr>
                <w:noProof/>
                <w:webHidden/>
              </w:rPr>
              <w:instrText xml:space="preserve"> PAGEREF _Toc76730699 \h </w:instrText>
            </w:r>
            <w:r w:rsidR="00E65EF2">
              <w:rPr>
                <w:noProof/>
                <w:webHidden/>
              </w:rPr>
            </w:r>
            <w:r w:rsidR="00E65EF2">
              <w:rPr>
                <w:noProof/>
                <w:webHidden/>
              </w:rPr>
              <w:fldChar w:fldCharType="separate"/>
            </w:r>
            <w:r w:rsidR="00236C04">
              <w:rPr>
                <w:noProof/>
                <w:webHidden/>
              </w:rPr>
              <w:t>23</w:t>
            </w:r>
            <w:r w:rsidR="00E65EF2">
              <w:rPr>
                <w:noProof/>
                <w:webHidden/>
              </w:rPr>
              <w:fldChar w:fldCharType="end"/>
            </w:r>
          </w:hyperlink>
        </w:p>
        <w:p w14:paraId="620FDCF3" w14:textId="1348351B" w:rsidR="00E65EF2" w:rsidRDefault="0019639B">
          <w:pPr>
            <w:pStyle w:val="TOC3"/>
            <w:tabs>
              <w:tab w:val="right" w:leader="dot" w:pos="8296"/>
            </w:tabs>
            <w:rPr>
              <w:rFonts w:asciiTheme="minorHAnsi" w:hAnsiTheme="minorHAnsi"/>
              <w:noProof/>
              <w:sz w:val="22"/>
              <w:szCs w:val="22"/>
              <w:lang w:eastAsia="en-AU"/>
            </w:rPr>
          </w:pPr>
          <w:hyperlink w:anchor="_Toc76730700" w:history="1">
            <w:r w:rsidR="00E65EF2" w:rsidRPr="00DB139B">
              <w:rPr>
                <w:rStyle w:val="Hyperlink"/>
                <w:noProof/>
              </w:rPr>
              <w:t>NSW provision as a model</w:t>
            </w:r>
            <w:r w:rsidR="00E65EF2">
              <w:rPr>
                <w:noProof/>
                <w:webHidden/>
              </w:rPr>
              <w:tab/>
            </w:r>
            <w:r w:rsidR="00E65EF2">
              <w:rPr>
                <w:noProof/>
                <w:webHidden/>
              </w:rPr>
              <w:fldChar w:fldCharType="begin"/>
            </w:r>
            <w:r w:rsidR="00E65EF2">
              <w:rPr>
                <w:noProof/>
                <w:webHidden/>
              </w:rPr>
              <w:instrText xml:space="preserve"> PAGEREF _Toc76730700 \h </w:instrText>
            </w:r>
            <w:r w:rsidR="00E65EF2">
              <w:rPr>
                <w:noProof/>
                <w:webHidden/>
              </w:rPr>
            </w:r>
            <w:r w:rsidR="00E65EF2">
              <w:rPr>
                <w:noProof/>
                <w:webHidden/>
              </w:rPr>
              <w:fldChar w:fldCharType="separate"/>
            </w:r>
            <w:r w:rsidR="00236C04">
              <w:rPr>
                <w:noProof/>
                <w:webHidden/>
              </w:rPr>
              <w:t>24</w:t>
            </w:r>
            <w:r w:rsidR="00E65EF2">
              <w:rPr>
                <w:noProof/>
                <w:webHidden/>
              </w:rPr>
              <w:fldChar w:fldCharType="end"/>
            </w:r>
          </w:hyperlink>
        </w:p>
        <w:p w14:paraId="159C33DE" w14:textId="6D452090" w:rsidR="00E65EF2" w:rsidRDefault="0019639B">
          <w:pPr>
            <w:pStyle w:val="TOC3"/>
            <w:tabs>
              <w:tab w:val="right" w:leader="dot" w:pos="8296"/>
            </w:tabs>
            <w:rPr>
              <w:rFonts w:asciiTheme="minorHAnsi" w:hAnsiTheme="minorHAnsi"/>
              <w:noProof/>
              <w:sz w:val="22"/>
              <w:szCs w:val="22"/>
              <w:lang w:eastAsia="en-AU"/>
            </w:rPr>
          </w:pPr>
          <w:hyperlink w:anchor="_Toc76730701" w:history="1">
            <w:r w:rsidR="00E65EF2" w:rsidRPr="00DB139B">
              <w:rPr>
                <w:rStyle w:val="Hyperlink"/>
                <w:noProof/>
              </w:rPr>
              <w:t>Expand the attributes protected</w:t>
            </w:r>
            <w:r w:rsidR="00E65EF2">
              <w:rPr>
                <w:noProof/>
                <w:webHidden/>
              </w:rPr>
              <w:tab/>
            </w:r>
            <w:r w:rsidR="00E65EF2">
              <w:rPr>
                <w:noProof/>
                <w:webHidden/>
              </w:rPr>
              <w:fldChar w:fldCharType="begin"/>
            </w:r>
            <w:r w:rsidR="00E65EF2">
              <w:rPr>
                <w:noProof/>
                <w:webHidden/>
              </w:rPr>
              <w:instrText xml:space="preserve"> PAGEREF _Toc76730701 \h </w:instrText>
            </w:r>
            <w:r w:rsidR="00E65EF2">
              <w:rPr>
                <w:noProof/>
                <w:webHidden/>
              </w:rPr>
            </w:r>
            <w:r w:rsidR="00E65EF2">
              <w:rPr>
                <w:noProof/>
                <w:webHidden/>
              </w:rPr>
              <w:fldChar w:fldCharType="separate"/>
            </w:r>
            <w:r w:rsidR="00236C04">
              <w:rPr>
                <w:noProof/>
                <w:webHidden/>
              </w:rPr>
              <w:t>24</w:t>
            </w:r>
            <w:r w:rsidR="00E65EF2">
              <w:rPr>
                <w:noProof/>
                <w:webHidden/>
              </w:rPr>
              <w:fldChar w:fldCharType="end"/>
            </w:r>
          </w:hyperlink>
        </w:p>
        <w:p w14:paraId="247E7A1B" w14:textId="4CE4B9D2" w:rsidR="00E65EF2" w:rsidRDefault="0019639B">
          <w:pPr>
            <w:pStyle w:val="TOC2"/>
            <w:rPr>
              <w:rFonts w:asciiTheme="minorHAnsi" w:hAnsiTheme="minorHAnsi"/>
              <w:noProof/>
              <w:sz w:val="22"/>
              <w:szCs w:val="22"/>
              <w:lang w:eastAsia="en-AU"/>
            </w:rPr>
          </w:pPr>
          <w:hyperlink w:anchor="_Toc76730702" w:history="1">
            <w:r w:rsidR="00E65EF2" w:rsidRPr="00DB139B">
              <w:rPr>
                <w:rStyle w:val="Hyperlink"/>
                <w:noProof/>
              </w:rPr>
              <w:t>Other offences</w:t>
            </w:r>
            <w:r w:rsidR="00E65EF2">
              <w:rPr>
                <w:noProof/>
                <w:webHidden/>
              </w:rPr>
              <w:tab/>
            </w:r>
            <w:r w:rsidR="00E65EF2">
              <w:rPr>
                <w:noProof/>
                <w:webHidden/>
              </w:rPr>
              <w:fldChar w:fldCharType="begin"/>
            </w:r>
            <w:r w:rsidR="00E65EF2">
              <w:rPr>
                <w:noProof/>
                <w:webHidden/>
              </w:rPr>
              <w:instrText xml:space="preserve"> PAGEREF _Toc76730702 \h </w:instrText>
            </w:r>
            <w:r w:rsidR="00E65EF2">
              <w:rPr>
                <w:noProof/>
                <w:webHidden/>
              </w:rPr>
            </w:r>
            <w:r w:rsidR="00E65EF2">
              <w:rPr>
                <w:noProof/>
                <w:webHidden/>
              </w:rPr>
              <w:fldChar w:fldCharType="separate"/>
            </w:r>
            <w:r w:rsidR="00236C04">
              <w:rPr>
                <w:noProof/>
                <w:webHidden/>
              </w:rPr>
              <w:t>27</w:t>
            </w:r>
            <w:r w:rsidR="00E65EF2">
              <w:rPr>
                <w:noProof/>
                <w:webHidden/>
              </w:rPr>
              <w:fldChar w:fldCharType="end"/>
            </w:r>
          </w:hyperlink>
        </w:p>
        <w:p w14:paraId="231F28F7" w14:textId="51343227" w:rsidR="00E65EF2" w:rsidRDefault="0019639B">
          <w:pPr>
            <w:pStyle w:val="TOC3"/>
            <w:tabs>
              <w:tab w:val="right" w:leader="dot" w:pos="8296"/>
            </w:tabs>
            <w:rPr>
              <w:rFonts w:asciiTheme="minorHAnsi" w:hAnsiTheme="minorHAnsi"/>
              <w:noProof/>
              <w:sz w:val="22"/>
              <w:szCs w:val="22"/>
              <w:lang w:eastAsia="en-AU"/>
            </w:rPr>
          </w:pPr>
          <w:hyperlink w:anchor="_Toc76730703" w:history="1">
            <w:r w:rsidR="00E65EF2" w:rsidRPr="00DB139B">
              <w:rPr>
                <w:rStyle w:val="Hyperlink"/>
                <w:noProof/>
              </w:rPr>
              <w:t>Aggravated public nuisance</w:t>
            </w:r>
            <w:r w:rsidR="00E65EF2">
              <w:rPr>
                <w:noProof/>
                <w:webHidden/>
              </w:rPr>
              <w:tab/>
            </w:r>
            <w:r w:rsidR="00E65EF2">
              <w:rPr>
                <w:noProof/>
                <w:webHidden/>
              </w:rPr>
              <w:fldChar w:fldCharType="begin"/>
            </w:r>
            <w:r w:rsidR="00E65EF2">
              <w:rPr>
                <w:noProof/>
                <w:webHidden/>
              </w:rPr>
              <w:instrText xml:space="preserve"> PAGEREF _Toc76730703 \h </w:instrText>
            </w:r>
            <w:r w:rsidR="00E65EF2">
              <w:rPr>
                <w:noProof/>
                <w:webHidden/>
              </w:rPr>
            </w:r>
            <w:r w:rsidR="00E65EF2">
              <w:rPr>
                <w:noProof/>
                <w:webHidden/>
              </w:rPr>
              <w:fldChar w:fldCharType="separate"/>
            </w:r>
            <w:r w:rsidR="00236C04">
              <w:rPr>
                <w:noProof/>
                <w:webHidden/>
              </w:rPr>
              <w:t>27</w:t>
            </w:r>
            <w:r w:rsidR="00E65EF2">
              <w:rPr>
                <w:noProof/>
                <w:webHidden/>
              </w:rPr>
              <w:fldChar w:fldCharType="end"/>
            </w:r>
          </w:hyperlink>
        </w:p>
        <w:p w14:paraId="7D734652" w14:textId="4F8811A4" w:rsidR="00E65EF2" w:rsidRDefault="0019639B">
          <w:pPr>
            <w:pStyle w:val="TOC3"/>
            <w:tabs>
              <w:tab w:val="right" w:leader="dot" w:pos="8296"/>
            </w:tabs>
            <w:rPr>
              <w:rFonts w:asciiTheme="minorHAnsi" w:hAnsiTheme="minorHAnsi"/>
              <w:noProof/>
              <w:sz w:val="22"/>
              <w:szCs w:val="22"/>
              <w:lang w:eastAsia="en-AU"/>
            </w:rPr>
          </w:pPr>
          <w:hyperlink w:anchor="_Toc76730704" w:history="1">
            <w:r w:rsidR="00E65EF2" w:rsidRPr="00DB139B">
              <w:rPr>
                <w:rStyle w:val="Hyperlink"/>
                <w:noProof/>
              </w:rPr>
              <w:t>Conviction for base offence</w:t>
            </w:r>
            <w:r w:rsidR="00E65EF2">
              <w:rPr>
                <w:noProof/>
                <w:webHidden/>
              </w:rPr>
              <w:tab/>
            </w:r>
            <w:r w:rsidR="00E65EF2">
              <w:rPr>
                <w:noProof/>
                <w:webHidden/>
              </w:rPr>
              <w:fldChar w:fldCharType="begin"/>
            </w:r>
            <w:r w:rsidR="00E65EF2">
              <w:rPr>
                <w:noProof/>
                <w:webHidden/>
              </w:rPr>
              <w:instrText xml:space="preserve"> PAGEREF _Toc76730704 \h </w:instrText>
            </w:r>
            <w:r w:rsidR="00E65EF2">
              <w:rPr>
                <w:noProof/>
                <w:webHidden/>
              </w:rPr>
            </w:r>
            <w:r w:rsidR="00E65EF2">
              <w:rPr>
                <w:noProof/>
                <w:webHidden/>
              </w:rPr>
              <w:fldChar w:fldCharType="separate"/>
            </w:r>
            <w:r w:rsidR="00236C04">
              <w:rPr>
                <w:noProof/>
                <w:webHidden/>
              </w:rPr>
              <w:t>28</w:t>
            </w:r>
            <w:r w:rsidR="00E65EF2">
              <w:rPr>
                <w:noProof/>
                <w:webHidden/>
              </w:rPr>
              <w:fldChar w:fldCharType="end"/>
            </w:r>
          </w:hyperlink>
        </w:p>
        <w:p w14:paraId="4A5DB9A4" w14:textId="1B4B8C49" w:rsidR="00E65EF2" w:rsidRDefault="0019639B">
          <w:pPr>
            <w:pStyle w:val="TOC2"/>
            <w:rPr>
              <w:rFonts w:asciiTheme="minorHAnsi" w:hAnsiTheme="minorHAnsi"/>
              <w:noProof/>
              <w:sz w:val="22"/>
              <w:szCs w:val="22"/>
              <w:lang w:eastAsia="en-AU"/>
            </w:rPr>
          </w:pPr>
          <w:hyperlink w:anchor="_Toc76730705" w:history="1">
            <w:r w:rsidR="00E65EF2" w:rsidRPr="00DB139B">
              <w:rPr>
                <w:rStyle w:val="Hyperlink"/>
                <w:noProof/>
              </w:rPr>
              <w:t>Penalties and sentencing</w:t>
            </w:r>
            <w:r w:rsidR="00E65EF2">
              <w:rPr>
                <w:noProof/>
                <w:webHidden/>
              </w:rPr>
              <w:tab/>
            </w:r>
            <w:r w:rsidR="00E65EF2">
              <w:rPr>
                <w:noProof/>
                <w:webHidden/>
              </w:rPr>
              <w:fldChar w:fldCharType="begin"/>
            </w:r>
            <w:r w:rsidR="00E65EF2">
              <w:rPr>
                <w:noProof/>
                <w:webHidden/>
              </w:rPr>
              <w:instrText xml:space="preserve"> PAGEREF _Toc76730705 \h </w:instrText>
            </w:r>
            <w:r w:rsidR="00E65EF2">
              <w:rPr>
                <w:noProof/>
                <w:webHidden/>
              </w:rPr>
            </w:r>
            <w:r w:rsidR="00E65EF2">
              <w:rPr>
                <w:noProof/>
                <w:webHidden/>
              </w:rPr>
              <w:fldChar w:fldCharType="separate"/>
            </w:r>
            <w:r w:rsidR="00236C04">
              <w:rPr>
                <w:noProof/>
                <w:webHidden/>
              </w:rPr>
              <w:t>29</w:t>
            </w:r>
            <w:r w:rsidR="00E65EF2">
              <w:rPr>
                <w:noProof/>
                <w:webHidden/>
              </w:rPr>
              <w:fldChar w:fldCharType="end"/>
            </w:r>
          </w:hyperlink>
        </w:p>
        <w:p w14:paraId="08A79A2E" w14:textId="221A7819" w:rsidR="00E65EF2" w:rsidRDefault="0019639B">
          <w:pPr>
            <w:pStyle w:val="TOC2"/>
            <w:rPr>
              <w:rFonts w:asciiTheme="minorHAnsi" w:hAnsiTheme="minorHAnsi"/>
              <w:noProof/>
              <w:sz w:val="22"/>
              <w:szCs w:val="22"/>
              <w:lang w:eastAsia="en-AU"/>
            </w:rPr>
          </w:pPr>
          <w:hyperlink w:anchor="_Toc76730706" w:history="1">
            <w:r w:rsidR="00E65EF2" w:rsidRPr="00DB139B">
              <w:rPr>
                <w:rStyle w:val="Hyperlink"/>
                <w:noProof/>
              </w:rPr>
              <w:t>Display or possession of symbols and insignia</w:t>
            </w:r>
            <w:r w:rsidR="00E65EF2">
              <w:rPr>
                <w:noProof/>
                <w:webHidden/>
              </w:rPr>
              <w:tab/>
            </w:r>
            <w:r w:rsidR="00E65EF2">
              <w:rPr>
                <w:noProof/>
                <w:webHidden/>
              </w:rPr>
              <w:fldChar w:fldCharType="begin"/>
            </w:r>
            <w:r w:rsidR="00E65EF2">
              <w:rPr>
                <w:noProof/>
                <w:webHidden/>
              </w:rPr>
              <w:instrText xml:space="preserve"> PAGEREF _Toc76730706 \h </w:instrText>
            </w:r>
            <w:r w:rsidR="00E65EF2">
              <w:rPr>
                <w:noProof/>
                <w:webHidden/>
              </w:rPr>
            </w:r>
            <w:r w:rsidR="00E65EF2">
              <w:rPr>
                <w:noProof/>
                <w:webHidden/>
              </w:rPr>
              <w:fldChar w:fldCharType="separate"/>
            </w:r>
            <w:r w:rsidR="00236C04">
              <w:rPr>
                <w:noProof/>
                <w:webHidden/>
              </w:rPr>
              <w:t>31</w:t>
            </w:r>
            <w:r w:rsidR="00E65EF2">
              <w:rPr>
                <w:noProof/>
                <w:webHidden/>
              </w:rPr>
              <w:fldChar w:fldCharType="end"/>
            </w:r>
          </w:hyperlink>
        </w:p>
        <w:p w14:paraId="20D282C5" w14:textId="3CFD03E0" w:rsidR="00E65EF2" w:rsidRDefault="0019639B">
          <w:pPr>
            <w:pStyle w:val="TOC1"/>
            <w:rPr>
              <w:rFonts w:asciiTheme="minorHAnsi" w:hAnsiTheme="minorHAnsi"/>
              <w:noProof/>
              <w:sz w:val="22"/>
              <w:szCs w:val="22"/>
              <w:lang w:eastAsia="en-AU"/>
            </w:rPr>
          </w:pPr>
          <w:hyperlink w:anchor="_Toc76730707" w:history="1">
            <w:r w:rsidR="00E65EF2" w:rsidRPr="00DB139B">
              <w:rPr>
                <w:rStyle w:val="Hyperlink"/>
                <w:noProof/>
              </w:rPr>
              <w:t>Vilification (civil complaint)</w:t>
            </w:r>
            <w:r w:rsidR="00E65EF2">
              <w:rPr>
                <w:noProof/>
                <w:webHidden/>
              </w:rPr>
              <w:tab/>
            </w:r>
            <w:r w:rsidR="00E65EF2">
              <w:rPr>
                <w:noProof/>
                <w:webHidden/>
              </w:rPr>
              <w:fldChar w:fldCharType="begin"/>
            </w:r>
            <w:r w:rsidR="00E65EF2">
              <w:rPr>
                <w:noProof/>
                <w:webHidden/>
              </w:rPr>
              <w:instrText xml:space="preserve"> PAGEREF _Toc76730707 \h </w:instrText>
            </w:r>
            <w:r w:rsidR="00E65EF2">
              <w:rPr>
                <w:noProof/>
                <w:webHidden/>
              </w:rPr>
            </w:r>
            <w:r w:rsidR="00E65EF2">
              <w:rPr>
                <w:noProof/>
                <w:webHidden/>
              </w:rPr>
              <w:fldChar w:fldCharType="separate"/>
            </w:r>
            <w:r w:rsidR="00236C04">
              <w:rPr>
                <w:noProof/>
                <w:webHidden/>
              </w:rPr>
              <w:t>35</w:t>
            </w:r>
            <w:r w:rsidR="00E65EF2">
              <w:rPr>
                <w:noProof/>
                <w:webHidden/>
              </w:rPr>
              <w:fldChar w:fldCharType="end"/>
            </w:r>
          </w:hyperlink>
        </w:p>
        <w:p w14:paraId="46EF91EA" w14:textId="4B503707" w:rsidR="00E65EF2" w:rsidRDefault="0019639B">
          <w:pPr>
            <w:pStyle w:val="TOC2"/>
            <w:rPr>
              <w:rFonts w:asciiTheme="minorHAnsi" w:hAnsiTheme="minorHAnsi"/>
              <w:noProof/>
              <w:sz w:val="22"/>
              <w:szCs w:val="22"/>
              <w:lang w:eastAsia="en-AU"/>
            </w:rPr>
          </w:pPr>
          <w:hyperlink w:anchor="_Toc76730708" w:history="1">
            <w:r w:rsidR="00E65EF2" w:rsidRPr="00DB139B">
              <w:rPr>
                <w:rStyle w:val="Hyperlink"/>
                <w:noProof/>
              </w:rPr>
              <w:t>Vilification complaints at the Commission stage</w:t>
            </w:r>
            <w:r w:rsidR="00E65EF2">
              <w:rPr>
                <w:noProof/>
                <w:webHidden/>
              </w:rPr>
              <w:tab/>
            </w:r>
            <w:r w:rsidR="00E65EF2">
              <w:rPr>
                <w:noProof/>
                <w:webHidden/>
              </w:rPr>
              <w:fldChar w:fldCharType="begin"/>
            </w:r>
            <w:r w:rsidR="00E65EF2">
              <w:rPr>
                <w:noProof/>
                <w:webHidden/>
              </w:rPr>
              <w:instrText xml:space="preserve"> PAGEREF _Toc76730708 \h </w:instrText>
            </w:r>
            <w:r w:rsidR="00E65EF2">
              <w:rPr>
                <w:noProof/>
                <w:webHidden/>
              </w:rPr>
            </w:r>
            <w:r w:rsidR="00E65EF2">
              <w:rPr>
                <w:noProof/>
                <w:webHidden/>
              </w:rPr>
              <w:fldChar w:fldCharType="separate"/>
            </w:r>
            <w:r w:rsidR="00236C04">
              <w:rPr>
                <w:noProof/>
                <w:webHidden/>
              </w:rPr>
              <w:t>36</w:t>
            </w:r>
            <w:r w:rsidR="00E65EF2">
              <w:rPr>
                <w:noProof/>
                <w:webHidden/>
              </w:rPr>
              <w:fldChar w:fldCharType="end"/>
            </w:r>
          </w:hyperlink>
        </w:p>
        <w:p w14:paraId="6FBD8962" w14:textId="65DEDBDF" w:rsidR="00E65EF2" w:rsidRDefault="0019639B">
          <w:pPr>
            <w:pStyle w:val="TOC2"/>
            <w:rPr>
              <w:rFonts w:asciiTheme="minorHAnsi" w:hAnsiTheme="minorHAnsi"/>
              <w:noProof/>
              <w:sz w:val="22"/>
              <w:szCs w:val="22"/>
              <w:lang w:eastAsia="en-AU"/>
            </w:rPr>
          </w:pPr>
          <w:hyperlink w:anchor="_Toc76730709" w:history="1">
            <w:r w:rsidR="00E65EF2" w:rsidRPr="00DB139B">
              <w:rPr>
                <w:rStyle w:val="Hyperlink"/>
                <w:noProof/>
              </w:rPr>
              <w:t>How the law has been applied in Queensland</w:t>
            </w:r>
            <w:r w:rsidR="00E65EF2">
              <w:rPr>
                <w:noProof/>
                <w:webHidden/>
              </w:rPr>
              <w:tab/>
            </w:r>
            <w:r w:rsidR="00E65EF2">
              <w:rPr>
                <w:noProof/>
                <w:webHidden/>
              </w:rPr>
              <w:fldChar w:fldCharType="begin"/>
            </w:r>
            <w:r w:rsidR="00E65EF2">
              <w:rPr>
                <w:noProof/>
                <w:webHidden/>
              </w:rPr>
              <w:instrText xml:space="preserve"> PAGEREF _Toc76730709 \h </w:instrText>
            </w:r>
            <w:r w:rsidR="00E65EF2">
              <w:rPr>
                <w:noProof/>
                <w:webHidden/>
              </w:rPr>
            </w:r>
            <w:r w:rsidR="00E65EF2">
              <w:rPr>
                <w:noProof/>
                <w:webHidden/>
              </w:rPr>
              <w:fldChar w:fldCharType="separate"/>
            </w:r>
            <w:r w:rsidR="00236C04">
              <w:rPr>
                <w:noProof/>
                <w:webHidden/>
              </w:rPr>
              <w:t>37</w:t>
            </w:r>
            <w:r w:rsidR="00E65EF2">
              <w:rPr>
                <w:noProof/>
                <w:webHidden/>
              </w:rPr>
              <w:fldChar w:fldCharType="end"/>
            </w:r>
          </w:hyperlink>
        </w:p>
        <w:p w14:paraId="554C6A76" w14:textId="441E8873" w:rsidR="00E65EF2" w:rsidRDefault="0019639B">
          <w:pPr>
            <w:pStyle w:val="TOC2"/>
            <w:rPr>
              <w:rFonts w:asciiTheme="minorHAnsi" w:hAnsiTheme="minorHAnsi"/>
              <w:noProof/>
              <w:sz w:val="22"/>
              <w:szCs w:val="22"/>
              <w:lang w:eastAsia="en-AU"/>
            </w:rPr>
          </w:pPr>
          <w:hyperlink w:anchor="_Toc76730710" w:history="1">
            <w:r w:rsidR="00E65EF2" w:rsidRPr="00DB139B">
              <w:rPr>
                <w:rStyle w:val="Hyperlink"/>
                <w:noProof/>
              </w:rPr>
              <w:t>Options to improve the civil prohibition and framework</w:t>
            </w:r>
            <w:r w:rsidR="00E65EF2">
              <w:rPr>
                <w:noProof/>
                <w:webHidden/>
              </w:rPr>
              <w:tab/>
            </w:r>
            <w:r w:rsidR="00E65EF2">
              <w:rPr>
                <w:noProof/>
                <w:webHidden/>
              </w:rPr>
              <w:fldChar w:fldCharType="begin"/>
            </w:r>
            <w:r w:rsidR="00E65EF2">
              <w:rPr>
                <w:noProof/>
                <w:webHidden/>
              </w:rPr>
              <w:instrText xml:space="preserve"> PAGEREF _Toc76730710 \h </w:instrText>
            </w:r>
            <w:r w:rsidR="00E65EF2">
              <w:rPr>
                <w:noProof/>
                <w:webHidden/>
              </w:rPr>
            </w:r>
            <w:r w:rsidR="00E65EF2">
              <w:rPr>
                <w:noProof/>
                <w:webHidden/>
              </w:rPr>
              <w:fldChar w:fldCharType="separate"/>
            </w:r>
            <w:r w:rsidR="00236C04">
              <w:rPr>
                <w:noProof/>
                <w:webHidden/>
              </w:rPr>
              <w:t>39</w:t>
            </w:r>
            <w:r w:rsidR="00E65EF2">
              <w:rPr>
                <w:noProof/>
                <w:webHidden/>
              </w:rPr>
              <w:fldChar w:fldCharType="end"/>
            </w:r>
          </w:hyperlink>
        </w:p>
        <w:p w14:paraId="6F9D266D" w14:textId="6BCD19D8" w:rsidR="00E65EF2" w:rsidRDefault="0019639B">
          <w:pPr>
            <w:pStyle w:val="TOC3"/>
            <w:tabs>
              <w:tab w:val="right" w:leader="dot" w:pos="8296"/>
            </w:tabs>
            <w:rPr>
              <w:rFonts w:asciiTheme="minorHAnsi" w:hAnsiTheme="minorHAnsi"/>
              <w:noProof/>
              <w:sz w:val="22"/>
              <w:szCs w:val="22"/>
              <w:lang w:eastAsia="en-AU"/>
            </w:rPr>
          </w:pPr>
          <w:hyperlink w:anchor="_Toc76730711" w:history="1">
            <w:r w:rsidR="00E65EF2" w:rsidRPr="00DB139B">
              <w:rPr>
                <w:rStyle w:val="Hyperlink"/>
                <w:noProof/>
              </w:rPr>
              <w:t>Meaning of incite</w:t>
            </w:r>
            <w:r w:rsidR="00E65EF2">
              <w:rPr>
                <w:noProof/>
                <w:webHidden/>
              </w:rPr>
              <w:tab/>
            </w:r>
            <w:r w:rsidR="00E65EF2">
              <w:rPr>
                <w:noProof/>
                <w:webHidden/>
              </w:rPr>
              <w:fldChar w:fldCharType="begin"/>
            </w:r>
            <w:r w:rsidR="00E65EF2">
              <w:rPr>
                <w:noProof/>
                <w:webHidden/>
              </w:rPr>
              <w:instrText xml:space="preserve"> PAGEREF _Toc76730711 \h </w:instrText>
            </w:r>
            <w:r w:rsidR="00E65EF2">
              <w:rPr>
                <w:noProof/>
                <w:webHidden/>
              </w:rPr>
            </w:r>
            <w:r w:rsidR="00E65EF2">
              <w:rPr>
                <w:noProof/>
                <w:webHidden/>
              </w:rPr>
              <w:fldChar w:fldCharType="separate"/>
            </w:r>
            <w:r w:rsidR="00236C04">
              <w:rPr>
                <w:noProof/>
                <w:webHidden/>
              </w:rPr>
              <w:t>39</w:t>
            </w:r>
            <w:r w:rsidR="00E65EF2">
              <w:rPr>
                <w:noProof/>
                <w:webHidden/>
              </w:rPr>
              <w:fldChar w:fldCharType="end"/>
            </w:r>
          </w:hyperlink>
        </w:p>
        <w:p w14:paraId="7AD82392" w14:textId="68509610" w:rsidR="00E65EF2" w:rsidRDefault="0019639B">
          <w:pPr>
            <w:pStyle w:val="TOC3"/>
            <w:tabs>
              <w:tab w:val="right" w:leader="dot" w:pos="8296"/>
            </w:tabs>
            <w:rPr>
              <w:rFonts w:asciiTheme="minorHAnsi" w:hAnsiTheme="minorHAnsi"/>
              <w:noProof/>
              <w:sz w:val="22"/>
              <w:szCs w:val="22"/>
              <w:lang w:eastAsia="en-AU"/>
            </w:rPr>
          </w:pPr>
          <w:hyperlink w:anchor="_Toc76730712" w:history="1">
            <w:r w:rsidR="00E65EF2" w:rsidRPr="00DB139B">
              <w:rPr>
                <w:rStyle w:val="Hyperlink"/>
                <w:noProof/>
              </w:rPr>
              <w:t>Workplaces etc. as part of the public</w:t>
            </w:r>
            <w:r w:rsidR="00E65EF2">
              <w:rPr>
                <w:noProof/>
                <w:webHidden/>
              </w:rPr>
              <w:tab/>
            </w:r>
            <w:r w:rsidR="00E65EF2">
              <w:rPr>
                <w:noProof/>
                <w:webHidden/>
              </w:rPr>
              <w:fldChar w:fldCharType="begin"/>
            </w:r>
            <w:r w:rsidR="00E65EF2">
              <w:rPr>
                <w:noProof/>
                <w:webHidden/>
              </w:rPr>
              <w:instrText xml:space="preserve"> PAGEREF _Toc76730712 \h </w:instrText>
            </w:r>
            <w:r w:rsidR="00E65EF2">
              <w:rPr>
                <w:noProof/>
                <w:webHidden/>
              </w:rPr>
            </w:r>
            <w:r w:rsidR="00E65EF2">
              <w:rPr>
                <w:noProof/>
                <w:webHidden/>
              </w:rPr>
              <w:fldChar w:fldCharType="separate"/>
            </w:r>
            <w:r w:rsidR="00236C04">
              <w:rPr>
                <w:noProof/>
                <w:webHidden/>
              </w:rPr>
              <w:t>40</w:t>
            </w:r>
            <w:r w:rsidR="00E65EF2">
              <w:rPr>
                <w:noProof/>
                <w:webHidden/>
              </w:rPr>
              <w:fldChar w:fldCharType="end"/>
            </w:r>
          </w:hyperlink>
        </w:p>
        <w:p w14:paraId="50D9A188" w14:textId="072C71E2" w:rsidR="00E65EF2" w:rsidRDefault="0019639B">
          <w:pPr>
            <w:pStyle w:val="TOC3"/>
            <w:tabs>
              <w:tab w:val="right" w:leader="dot" w:pos="8296"/>
            </w:tabs>
            <w:rPr>
              <w:rFonts w:asciiTheme="minorHAnsi" w:hAnsiTheme="minorHAnsi"/>
              <w:noProof/>
              <w:sz w:val="22"/>
              <w:szCs w:val="22"/>
              <w:lang w:eastAsia="en-AU"/>
            </w:rPr>
          </w:pPr>
          <w:hyperlink w:anchor="_Toc76730713" w:history="1">
            <w:r w:rsidR="00E65EF2" w:rsidRPr="00DB139B">
              <w:rPr>
                <w:rStyle w:val="Hyperlink"/>
                <w:noProof/>
              </w:rPr>
              <w:t>Extending protections to other attributes</w:t>
            </w:r>
            <w:r w:rsidR="00E65EF2">
              <w:rPr>
                <w:noProof/>
                <w:webHidden/>
              </w:rPr>
              <w:tab/>
            </w:r>
            <w:r w:rsidR="00E65EF2">
              <w:rPr>
                <w:noProof/>
                <w:webHidden/>
              </w:rPr>
              <w:fldChar w:fldCharType="begin"/>
            </w:r>
            <w:r w:rsidR="00E65EF2">
              <w:rPr>
                <w:noProof/>
                <w:webHidden/>
              </w:rPr>
              <w:instrText xml:space="preserve"> PAGEREF _Toc76730713 \h </w:instrText>
            </w:r>
            <w:r w:rsidR="00E65EF2">
              <w:rPr>
                <w:noProof/>
                <w:webHidden/>
              </w:rPr>
            </w:r>
            <w:r w:rsidR="00E65EF2">
              <w:rPr>
                <w:noProof/>
                <w:webHidden/>
              </w:rPr>
              <w:fldChar w:fldCharType="separate"/>
            </w:r>
            <w:r w:rsidR="00236C04">
              <w:rPr>
                <w:noProof/>
                <w:webHidden/>
              </w:rPr>
              <w:t>40</w:t>
            </w:r>
            <w:r w:rsidR="00E65EF2">
              <w:rPr>
                <w:noProof/>
                <w:webHidden/>
              </w:rPr>
              <w:fldChar w:fldCharType="end"/>
            </w:r>
          </w:hyperlink>
        </w:p>
        <w:p w14:paraId="4816C43C" w14:textId="22674226" w:rsidR="00E65EF2" w:rsidRDefault="0019639B">
          <w:pPr>
            <w:pStyle w:val="TOC3"/>
            <w:tabs>
              <w:tab w:val="right" w:leader="dot" w:pos="8296"/>
            </w:tabs>
            <w:rPr>
              <w:rFonts w:asciiTheme="minorHAnsi" w:hAnsiTheme="minorHAnsi"/>
              <w:noProof/>
              <w:sz w:val="22"/>
              <w:szCs w:val="22"/>
              <w:lang w:eastAsia="en-AU"/>
            </w:rPr>
          </w:pPr>
          <w:hyperlink w:anchor="_Toc76730714" w:history="1">
            <w:r w:rsidR="00E65EF2" w:rsidRPr="00DB139B">
              <w:rPr>
                <w:rStyle w:val="Hyperlink"/>
                <w:noProof/>
              </w:rPr>
              <w:t>Harm-based prohibition</w:t>
            </w:r>
            <w:r w:rsidR="00E65EF2">
              <w:rPr>
                <w:noProof/>
                <w:webHidden/>
              </w:rPr>
              <w:tab/>
            </w:r>
            <w:r w:rsidR="00E65EF2">
              <w:rPr>
                <w:noProof/>
                <w:webHidden/>
              </w:rPr>
              <w:fldChar w:fldCharType="begin"/>
            </w:r>
            <w:r w:rsidR="00E65EF2">
              <w:rPr>
                <w:noProof/>
                <w:webHidden/>
              </w:rPr>
              <w:instrText xml:space="preserve"> PAGEREF _Toc76730714 \h </w:instrText>
            </w:r>
            <w:r w:rsidR="00E65EF2">
              <w:rPr>
                <w:noProof/>
                <w:webHidden/>
              </w:rPr>
            </w:r>
            <w:r w:rsidR="00E65EF2">
              <w:rPr>
                <w:noProof/>
                <w:webHidden/>
              </w:rPr>
              <w:fldChar w:fldCharType="separate"/>
            </w:r>
            <w:r w:rsidR="00236C04">
              <w:rPr>
                <w:noProof/>
                <w:webHidden/>
              </w:rPr>
              <w:t>40</w:t>
            </w:r>
            <w:r w:rsidR="00E65EF2">
              <w:rPr>
                <w:noProof/>
                <w:webHidden/>
              </w:rPr>
              <w:fldChar w:fldCharType="end"/>
            </w:r>
          </w:hyperlink>
        </w:p>
        <w:p w14:paraId="2C7305DE" w14:textId="2D5F677A" w:rsidR="00E65EF2" w:rsidRDefault="0019639B">
          <w:pPr>
            <w:pStyle w:val="TOC3"/>
            <w:tabs>
              <w:tab w:val="right" w:leader="dot" w:pos="8296"/>
            </w:tabs>
            <w:rPr>
              <w:rFonts w:asciiTheme="minorHAnsi" w:hAnsiTheme="minorHAnsi"/>
              <w:noProof/>
              <w:sz w:val="22"/>
              <w:szCs w:val="22"/>
              <w:lang w:eastAsia="en-AU"/>
            </w:rPr>
          </w:pPr>
          <w:hyperlink w:anchor="_Toc76730715" w:history="1">
            <w:r w:rsidR="00E65EF2" w:rsidRPr="00DB139B">
              <w:rPr>
                <w:rStyle w:val="Hyperlink"/>
                <w:noProof/>
              </w:rPr>
              <w:t>Introduce a positive duty to eliminate vilification</w:t>
            </w:r>
            <w:r w:rsidR="00E65EF2">
              <w:rPr>
                <w:noProof/>
                <w:webHidden/>
              </w:rPr>
              <w:tab/>
            </w:r>
            <w:r w:rsidR="00E65EF2">
              <w:rPr>
                <w:noProof/>
                <w:webHidden/>
              </w:rPr>
              <w:fldChar w:fldCharType="begin"/>
            </w:r>
            <w:r w:rsidR="00E65EF2">
              <w:rPr>
                <w:noProof/>
                <w:webHidden/>
              </w:rPr>
              <w:instrText xml:space="preserve"> PAGEREF _Toc76730715 \h </w:instrText>
            </w:r>
            <w:r w:rsidR="00E65EF2">
              <w:rPr>
                <w:noProof/>
                <w:webHidden/>
              </w:rPr>
            </w:r>
            <w:r w:rsidR="00E65EF2">
              <w:rPr>
                <w:noProof/>
                <w:webHidden/>
              </w:rPr>
              <w:fldChar w:fldCharType="separate"/>
            </w:r>
            <w:r w:rsidR="00236C04">
              <w:rPr>
                <w:noProof/>
                <w:webHidden/>
              </w:rPr>
              <w:t>41</w:t>
            </w:r>
            <w:r w:rsidR="00E65EF2">
              <w:rPr>
                <w:noProof/>
                <w:webHidden/>
              </w:rPr>
              <w:fldChar w:fldCharType="end"/>
            </w:r>
          </w:hyperlink>
        </w:p>
        <w:p w14:paraId="53B4E7D8" w14:textId="7C782E87" w:rsidR="00E65EF2" w:rsidRDefault="0019639B">
          <w:pPr>
            <w:pStyle w:val="TOC3"/>
            <w:tabs>
              <w:tab w:val="right" w:leader="dot" w:pos="8296"/>
            </w:tabs>
            <w:rPr>
              <w:rFonts w:asciiTheme="minorHAnsi" w:hAnsiTheme="minorHAnsi"/>
              <w:noProof/>
              <w:sz w:val="22"/>
              <w:szCs w:val="22"/>
              <w:lang w:eastAsia="en-AU"/>
            </w:rPr>
          </w:pPr>
          <w:hyperlink w:anchor="_Toc76730716" w:history="1">
            <w:r w:rsidR="00E65EF2" w:rsidRPr="00DB139B">
              <w:rPr>
                <w:rStyle w:val="Hyperlink"/>
                <w:noProof/>
              </w:rPr>
              <w:t>Provide for the making of a ‘vilification order’</w:t>
            </w:r>
            <w:r w:rsidR="00E65EF2">
              <w:rPr>
                <w:noProof/>
                <w:webHidden/>
              </w:rPr>
              <w:tab/>
            </w:r>
            <w:r w:rsidR="00E65EF2">
              <w:rPr>
                <w:noProof/>
                <w:webHidden/>
              </w:rPr>
              <w:fldChar w:fldCharType="begin"/>
            </w:r>
            <w:r w:rsidR="00E65EF2">
              <w:rPr>
                <w:noProof/>
                <w:webHidden/>
              </w:rPr>
              <w:instrText xml:space="preserve"> PAGEREF _Toc76730716 \h </w:instrText>
            </w:r>
            <w:r w:rsidR="00E65EF2">
              <w:rPr>
                <w:noProof/>
                <w:webHidden/>
              </w:rPr>
            </w:r>
            <w:r w:rsidR="00E65EF2">
              <w:rPr>
                <w:noProof/>
                <w:webHidden/>
              </w:rPr>
              <w:fldChar w:fldCharType="separate"/>
            </w:r>
            <w:r w:rsidR="00236C04">
              <w:rPr>
                <w:noProof/>
                <w:webHidden/>
              </w:rPr>
              <w:t>43</w:t>
            </w:r>
            <w:r w:rsidR="00E65EF2">
              <w:rPr>
                <w:noProof/>
                <w:webHidden/>
              </w:rPr>
              <w:fldChar w:fldCharType="end"/>
            </w:r>
          </w:hyperlink>
        </w:p>
        <w:p w14:paraId="5E2F2D46" w14:textId="2BFA8719" w:rsidR="00E65EF2" w:rsidRDefault="0019639B">
          <w:pPr>
            <w:pStyle w:val="TOC1"/>
            <w:rPr>
              <w:rFonts w:asciiTheme="minorHAnsi" w:hAnsiTheme="minorHAnsi"/>
              <w:noProof/>
              <w:sz w:val="22"/>
              <w:szCs w:val="22"/>
              <w:lang w:eastAsia="en-AU"/>
            </w:rPr>
          </w:pPr>
          <w:hyperlink w:anchor="_Toc76730717" w:history="1">
            <w:r w:rsidR="00E65EF2" w:rsidRPr="00DB139B">
              <w:rPr>
                <w:rStyle w:val="Hyperlink"/>
                <w:noProof/>
              </w:rPr>
              <w:t>Human rights and constitutionality</w:t>
            </w:r>
            <w:r w:rsidR="00E65EF2">
              <w:rPr>
                <w:noProof/>
                <w:webHidden/>
              </w:rPr>
              <w:tab/>
            </w:r>
            <w:r w:rsidR="00E65EF2">
              <w:rPr>
                <w:noProof/>
                <w:webHidden/>
              </w:rPr>
              <w:fldChar w:fldCharType="begin"/>
            </w:r>
            <w:r w:rsidR="00E65EF2">
              <w:rPr>
                <w:noProof/>
                <w:webHidden/>
              </w:rPr>
              <w:instrText xml:space="preserve"> PAGEREF _Toc76730717 \h </w:instrText>
            </w:r>
            <w:r w:rsidR="00E65EF2">
              <w:rPr>
                <w:noProof/>
                <w:webHidden/>
              </w:rPr>
            </w:r>
            <w:r w:rsidR="00E65EF2">
              <w:rPr>
                <w:noProof/>
                <w:webHidden/>
              </w:rPr>
              <w:fldChar w:fldCharType="separate"/>
            </w:r>
            <w:r w:rsidR="00236C04">
              <w:rPr>
                <w:noProof/>
                <w:webHidden/>
              </w:rPr>
              <w:t>45</w:t>
            </w:r>
            <w:r w:rsidR="00E65EF2">
              <w:rPr>
                <w:noProof/>
                <w:webHidden/>
              </w:rPr>
              <w:fldChar w:fldCharType="end"/>
            </w:r>
          </w:hyperlink>
        </w:p>
        <w:p w14:paraId="52E8AE2B" w14:textId="1D9C411B" w:rsidR="00E65EF2" w:rsidRDefault="0019639B">
          <w:pPr>
            <w:pStyle w:val="TOC2"/>
            <w:rPr>
              <w:rFonts w:asciiTheme="minorHAnsi" w:hAnsiTheme="minorHAnsi"/>
              <w:noProof/>
              <w:sz w:val="22"/>
              <w:szCs w:val="22"/>
              <w:lang w:eastAsia="en-AU"/>
            </w:rPr>
          </w:pPr>
          <w:hyperlink w:anchor="_Toc76730718" w:history="1">
            <w:r w:rsidR="00E65EF2" w:rsidRPr="00DB139B">
              <w:rPr>
                <w:rStyle w:val="Hyperlink"/>
                <w:noProof/>
              </w:rPr>
              <w:t>Constitutionality</w:t>
            </w:r>
            <w:r w:rsidR="00E65EF2">
              <w:rPr>
                <w:noProof/>
                <w:webHidden/>
              </w:rPr>
              <w:tab/>
            </w:r>
            <w:r w:rsidR="00E65EF2">
              <w:rPr>
                <w:noProof/>
                <w:webHidden/>
              </w:rPr>
              <w:fldChar w:fldCharType="begin"/>
            </w:r>
            <w:r w:rsidR="00E65EF2">
              <w:rPr>
                <w:noProof/>
                <w:webHidden/>
              </w:rPr>
              <w:instrText xml:space="preserve"> PAGEREF _Toc76730718 \h </w:instrText>
            </w:r>
            <w:r w:rsidR="00E65EF2">
              <w:rPr>
                <w:noProof/>
                <w:webHidden/>
              </w:rPr>
            </w:r>
            <w:r w:rsidR="00E65EF2">
              <w:rPr>
                <w:noProof/>
                <w:webHidden/>
              </w:rPr>
              <w:fldChar w:fldCharType="separate"/>
            </w:r>
            <w:r w:rsidR="00236C04">
              <w:rPr>
                <w:noProof/>
                <w:webHidden/>
              </w:rPr>
              <w:t>45</w:t>
            </w:r>
            <w:r w:rsidR="00E65EF2">
              <w:rPr>
                <w:noProof/>
                <w:webHidden/>
              </w:rPr>
              <w:fldChar w:fldCharType="end"/>
            </w:r>
          </w:hyperlink>
        </w:p>
        <w:p w14:paraId="436E9C5C" w14:textId="0A8EA787" w:rsidR="00E65EF2" w:rsidRDefault="0019639B">
          <w:pPr>
            <w:pStyle w:val="TOC2"/>
            <w:rPr>
              <w:rFonts w:asciiTheme="minorHAnsi" w:hAnsiTheme="minorHAnsi"/>
              <w:noProof/>
              <w:sz w:val="22"/>
              <w:szCs w:val="22"/>
              <w:lang w:eastAsia="en-AU"/>
            </w:rPr>
          </w:pPr>
          <w:hyperlink w:anchor="_Toc76730719" w:history="1">
            <w:r w:rsidR="00E65EF2" w:rsidRPr="00DB139B">
              <w:rPr>
                <w:rStyle w:val="Hyperlink"/>
                <w:i/>
                <w:noProof/>
              </w:rPr>
              <w:t>Human Rights Act 2019</w:t>
            </w:r>
            <w:r w:rsidR="00E65EF2">
              <w:rPr>
                <w:noProof/>
                <w:webHidden/>
              </w:rPr>
              <w:tab/>
            </w:r>
            <w:r w:rsidR="00E65EF2">
              <w:rPr>
                <w:noProof/>
                <w:webHidden/>
              </w:rPr>
              <w:fldChar w:fldCharType="begin"/>
            </w:r>
            <w:r w:rsidR="00E65EF2">
              <w:rPr>
                <w:noProof/>
                <w:webHidden/>
              </w:rPr>
              <w:instrText xml:space="preserve"> PAGEREF _Toc76730719 \h </w:instrText>
            </w:r>
            <w:r w:rsidR="00E65EF2">
              <w:rPr>
                <w:noProof/>
                <w:webHidden/>
              </w:rPr>
            </w:r>
            <w:r w:rsidR="00E65EF2">
              <w:rPr>
                <w:noProof/>
                <w:webHidden/>
              </w:rPr>
              <w:fldChar w:fldCharType="separate"/>
            </w:r>
            <w:r w:rsidR="00236C04">
              <w:rPr>
                <w:noProof/>
                <w:webHidden/>
              </w:rPr>
              <w:t>45</w:t>
            </w:r>
            <w:r w:rsidR="00E65EF2">
              <w:rPr>
                <w:noProof/>
                <w:webHidden/>
              </w:rPr>
              <w:fldChar w:fldCharType="end"/>
            </w:r>
          </w:hyperlink>
        </w:p>
        <w:p w14:paraId="05714F1D" w14:textId="0CF6BDA8" w:rsidR="00E65EF2" w:rsidRDefault="0019639B">
          <w:pPr>
            <w:pStyle w:val="TOC1"/>
            <w:rPr>
              <w:rFonts w:asciiTheme="minorHAnsi" w:hAnsiTheme="minorHAnsi"/>
              <w:noProof/>
              <w:sz w:val="22"/>
              <w:szCs w:val="22"/>
              <w:lang w:eastAsia="en-AU"/>
            </w:rPr>
          </w:pPr>
          <w:hyperlink w:anchor="_Toc76730720" w:history="1">
            <w:r w:rsidR="00E65EF2" w:rsidRPr="00DB139B">
              <w:rPr>
                <w:rStyle w:val="Hyperlink"/>
                <w:noProof/>
              </w:rPr>
              <w:t>Reviews and inquiries in other jurisdictions</w:t>
            </w:r>
            <w:r w:rsidR="00E65EF2">
              <w:rPr>
                <w:noProof/>
                <w:webHidden/>
              </w:rPr>
              <w:tab/>
            </w:r>
            <w:r w:rsidR="00E65EF2">
              <w:rPr>
                <w:noProof/>
                <w:webHidden/>
              </w:rPr>
              <w:fldChar w:fldCharType="begin"/>
            </w:r>
            <w:r w:rsidR="00E65EF2">
              <w:rPr>
                <w:noProof/>
                <w:webHidden/>
              </w:rPr>
              <w:instrText xml:space="preserve"> PAGEREF _Toc76730720 \h </w:instrText>
            </w:r>
            <w:r w:rsidR="00E65EF2">
              <w:rPr>
                <w:noProof/>
                <w:webHidden/>
              </w:rPr>
            </w:r>
            <w:r w:rsidR="00E65EF2">
              <w:rPr>
                <w:noProof/>
                <w:webHidden/>
              </w:rPr>
              <w:fldChar w:fldCharType="separate"/>
            </w:r>
            <w:r w:rsidR="00236C04">
              <w:rPr>
                <w:noProof/>
                <w:webHidden/>
              </w:rPr>
              <w:t>48</w:t>
            </w:r>
            <w:r w:rsidR="00E65EF2">
              <w:rPr>
                <w:noProof/>
                <w:webHidden/>
              </w:rPr>
              <w:fldChar w:fldCharType="end"/>
            </w:r>
          </w:hyperlink>
        </w:p>
        <w:p w14:paraId="66F4CF45" w14:textId="7277259C" w:rsidR="00E65EF2" w:rsidRDefault="0019639B">
          <w:pPr>
            <w:pStyle w:val="TOC1"/>
            <w:rPr>
              <w:rFonts w:asciiTheme="minorHAnsi" w:hAnsiTheme="minorHAnsi"/>
              <w:noProof/>
              <w:sz w:val="22"/>
              <w:szCs w:val="22"/>
              <w:lang w:eastAsia="en-AU"/>
            </w:rPr>
          </w:pPr>
          <w:hyperlink w:anchor="_Toc76730721" w:history="1">
            <w:r w:rsidR="00E65EF2" w:rsidRPr="00DB139B">
              <w:rPr>
                <w:rStyle w:val="Hyperlink"/>
                <w:noProof/>
              </w:rPr>
              <w:t>Conclusion</w:t>
            </w:r>
            <w:r w:rsidR="00E65EF2">
              <w:rPr>
                <w:noProof/>
                <w:webHidden/>
              </w:rPr>
              <w:tab/>
            </w:r>
            <w:r w:rsidR="00E65EF2">
              <w:rPr>
                <w:noProof/>
                <w:webHidden/>
              </w:rPr>
              <w:fldChar w:fldCharType="begin"/>
            </w:r>
            <w:r w:rsidR="00E65EF2">
              <w:rPr>
                <w:noProof/>
                <w:webHidden/>
              </w:rPr>
              <w:instrText xml:space="preserve"> PAGEREF _Toc76730721 \h </w:instrText>
            </w:r>
            <w:r w:rsidR="00E65EF2">
              <w:rPr>
                <w:noProof/>
                <w:webHidden/>
              </w:rPr>
            </w:r>
            <w:r w:rsidR="00E65EF2">
              <w:rPr>
                <w:noProof/>
                <w:webHidden/>
              </w:rPr>
              <w:fldChar w:fldCharType="separate"/>
            </w:r>
            <w:r w:rsidR="00236C04">
              <w:rPr>
                <w:noProof/>
                <w:webHidden/>
              </w:rPr>
              <w:t>49</w:t>
            </w:r>
            <w:r w:rsidR="00E65EF2">
              <w:rPr>
                <w:noProof/>
                <w:webHidden/>
              </w:rPr>
              <w:fldChar w:fldCharType="end"/>
            </w:r>
          </w:hyperlink>
        </w:p>
        <w:p w14:paraId="58C06BB2" w14:textId="4D461E59" w:rsidR="00E65EF2" w:rsidRDefault="0019639B">
          <w:pPr>
            <w:pStyle w:val="TOC1"/>
            <w:rPr>
              <w:rFonts w:asciiTheme="minorHAnsi" w:hAnsiTheme="minorHAnsi"/>
              <w:noProof/>
              <w:sz w:val="22"/>
              <w:szCs w:val="22"/>
              <w:lang w:eastAsia="en-AU"/>
            </w:rPr>
          </w:pPr>
          <w:hyperlink w:anchor="_Toc76730722" w:history="1">
            <w:r w:rsidR="00E65EF2" w:rsidRPr="00DB139B">
              <w:rPr>
                <w:rStyle w:val="Hyperlink"/>
                <w:noProof/>
              </w:rPr>
              <w:t>Appendix 1 – ‘Report racism’ examples</w:t>
            </w:r>
            <w:r w:rsidR="00E65EF2">
              <w:rPr>
                <w:noProof/>
                <w:webHidden/>
              </w:rPr>
              <w:tab/>
            </w:r>
            <w:r w:rsidR="00E65EF2">
              <w:rPr>
                <w:noProof/>
                <w:webHidden/>
              </w:rPr>
              <w:fldChar w:fldCharType="begin"/>
            </w:r>
            <w:r w:rsidR="00E65EF2">
              <w:rPr>
                <w:noProof/>
                <w:webHidden/>
              </w:rPr>
              <w:instrText xml:space="preserve"> PAGEREF _Toc76730722 \h </w:instrText>
            </w:r>
            <w:r w:rsidR="00E65EF2">
              <w:rPr>
                <w:noProof/>
                <w:webHidden/>
              </w:rPr>
            </w:r>
            <w:r w:rsidR="00E65EF2">
              <w:rPr>
                <w:noProof/>
                <w:webHidden/>
              </w:rPr>
              <w:fldChar w:fldCharType="separate"/>
            </w:r>
            <w:r w:rsidR="00236C04">
              <w:rPr>
                <w:noProof/>
                <w:webHidden/>
              </w:rPr>
              <w:t>51</w:t>
            </w:r>
            <w:r w:rsidR="00E65EF2">
              <w:rPr>
                <w:noProof/>
                <w:webHidden/>
              </w:rPr>
              <w:fldChar w:fldCharType="end"/>
            </w:r>
          </w:hyperlink>
        </w:p>
        <w:p w14:paraId="68F07F80" w14:textId="28D64890" w:rsidR="00E65EF2" w:rsidRDefault="0019639B">
          <w:pPr>
            <w:pStyle w:val="TOC1"/>
            <w:rPr>
              <w:rFonts w:asciiTheme="minorHAnsi" w:hAnsiTheme="minorHAnsi"/>
              <w:noProof/>
              <w:sz w:val="22"/>
              <w:szCs w:val="22"/>
              <w:lang w:eastAsia="en-AU"/>
            </w:rPr>
          </w:pPr>
          <w:hyperlink w:anchor="_Toc76730723" w:history="1">
            <w:r w:rsidR="00E65EF2" w:rsidRPr="00DB139B">
              <w:rPr>
                <w:rStyle w:val="Hyperlink"/>
                <w:noProof/>
              </w:rPr>
              <w:t>Appendix 2 – Offences and penalties</w:t>
            </w:r>
            <w:r w:rsidR="00E65EF2">
              <w:rPr>
                <w:noProof/>
                <w:webHidden/>
              </w:rPr>
              <w:tab/>
            </w:r>
            <w:r w:rsidR="00E65EF2">
              <w:rPr>
                <w:noProof/>
                <w:webHidden/>
              </w:rPr>
              <w:fldChar w:fldCharType="begin"/>
            </w:r>
            <w:r w:rsidR="00E65EF2">
              <w:rPr>
                <w:noProof/>
                <w:webHidden/>
              </w:rPr>
              <w:instrText xml:space="preserve"> PAGEREF _Toc76730723 \h </w:instrText>
            </w:r>
            <w:r w:rsidR="00E65EF2">
              <w:rPr>
                <w:noProof/>
                <w:webHidden/>
              </w:rPr>
            </w:r>
            <w:r w:rsidR="00E65EF2">
              <w:rPr>
                <w:noProof/>
                <w:webHidden/>
              </w:rPr>
              <w:fldChar w:fldCharType="separate"/>
            </w:r>
            <w:r w:rsidR="00236C04">
              <w:rPr>
                <w:noProof/>
                <w:webHidden/>
              </w:rPr>
              <w:t>52</w:t>
            </w:r>
            <w:r w:rsidR="00E65EF2">
              <w:rPr>
                <w:noProof/>
                <w:webHidden/>
              </w:rPr>
              <w:fldChar w:fldCharType="end"/>
            </w:r>
          </w:hyperlink>
        </w:p>
        <w:p w14:paraId="6D584AA8" w14:textId="0CD0D90B" w:rsidR="00E65EF2" w:rsidRDefault="0019639B">
          <w:pPr>
            <w:pStyle w:val="TOC1"/>
            <w:rPr>
              <w:rFonts w:asciiTheme="minorHAnsi" w:hAnsiTheme="minorHAnsi"/>
              <w:noProof/>
              <w:sz w:val="22"/>
              <w:szCs w:val="22"/>
              <w:lang w:eastAsia="en-AU"/>
            </w:rPr>
          </w:pPr>
          <w:hyperlink w:anchor="_Toc76730724" w:history="1">
            <w:r w:rsidR="00E65EF2" w:rsidRPr="00DB139B">
              <w:rPr>
                <w:rStyle w:val="Hyperlink"/>
                <w:noProof/>
              </w:rPr>
              <w:t>Appendix 3 – Examples of online hate speech and vilification</w:t>
            </w:r>
            <w:r w:rsidR="00E65EF2">
              <w:rPr>
                <w:noProof/>
                <w:webHidden/>
              </w:rPr>
              <w:tab/>
            </w:r>
            <w:r w:rsidR="00E65EF2">
              <w:rPr>
                <w:noProof/>
                <w:webHidden/>
              </w:rPr>
              <w:fldChar w:fldCharType="begin"/>
            </w:r>
            <w:r w:rsidR="00E65EF2">
              <w:rPr>
                <w:noProof/>
                <w:webHidden/>
              </w:rPr>
              <w:instrText xml:space="preserve"> PAGEREF _Toc76730724 \h </w:instrText>
            </w:r>
            <w:r w:rsidR="00E65EF2">
              <w:rPr>
                <w:noProof/>
                <w:webHidden/>
              </w:rPr>
            </w:r>
            <w:r w:rsidR="00E65EF2">
              <w:rPr>
                <w:noProof/>
                <w:webHidden/>
              </w:rPr>
              <w:fldChar w:fldCharType="separate"/>
            </w:r>
            <w:r w:rsidR="00236C04">
              <w:rPr>
                <w:noProof/>
                <w:webHidden/>
              </w:rPr>
              <w:t>53</w:t>
            </w:r>
            <w:r w:rsidR="00E65EF2">
              <w:rPr>
                <w:noProof/>
                <w:webHidden/>
              </w:rPr>
              <w:fldChar w:fldCharType="end"/>
            </w:r>
          </w:hyperlink>
        </w:p>
        <w:p w14:paraId="6F350437" w14:textId="394FF765" w:rsidR="00E65EF2" w:rsidRDefault="0019639B">
          <w:pPr>
            <w:pStyle w:val="TOC1"/>
            <w:rPr>
              <w:rFonts w:asciiTheme="minorHAnsi" w:hAnsiTheme="minorHAnsi"/>
              <w:noProof/>
              <w:sz w:val="22"/>
              <w:szCs w:val="22"/>
              <w:lang w:eastAsia="en-AU"/>
            </w:rPr>
          </w:pPr>
          <w:hyperlink w:anchor="_Toc76730725" w:history="1">
            <w:r w:rsidR="00E65EF2" w:rsidRPr="00DB139B">
              <w:rPr>
                <w:rStyle w:val="Hyperlink"/>
                <w:noProof/>
              </w:rPr>
              <w:t>Appendix 4 – Statistics (vilification complaints)</w:t>
            </w:r>
            <w:r w:rsidR="00E65EF2">
              <w:rPr>
                <w:noProof/>
                <w:webHidden/>
              </w:rPr>
              <w:tab/>
            </w:r>
            <w:r w:rsidR="00E65EF2">
              <w:rPr>
                <w:noProof/>
                <w:webHidden/>
              </w:rPr>
              <w:fldChar w:fldCharType="begin"/>
            </w:r>
            <w:r w:rsidR="00E65EF2">
              <w:rPr>
                <w:noProof/>
                <w:webHidden/>
              </w:rPr>
              <w:instrText xml:space="preserve"> PAGEREF _Toc76730725 \h </w:instrText>
            </w:r>
            <w:r w:rsidR="00E65EF2">
              <w:rPr>
                <w:noProof/>
                <w:webHidden/>
              </w:rPr>
            </w:r>
            <w:r w:rsidR="00E65EF2">
              <w:rPr>
                <w:noProof/>
                <w:webHidden/>
              </w:rPr>
              <w:fldChar w:fldCharType="separate"/>
            </w:r>
            <w:r w:rsidR="00236C04">
              <w:rPr>
                <w:noProof/>
                <w:webHidden/>
              </w:rPr>
              <w:t>55</w:t>
            </w:r>
            <w:r w:rsidR="00E65EF2">
              <w:rPr>
                <w:noProof/>
                <w:webHidden/>
              </w:rPr>
              <w:fldChar w:fldCharType="end"/>
            </w:r>
          </w:hyperlink>
        </w:p>
        <w:p w14:paraId="5FEFB57A" w14:textId="6CEED88D" w:rsidR="00E65EF2" w:rsidRDefault="0019639B">
          <w:pPr>
            <w:pStyle w:val="TOC1"/>
            <w:rPr>
              <w:rFonts w:asciiTheme="minorHAnsi" w:hAnsiTheme="minorHAnsi"/>
              <w:noProof/>
              <w:sz w:val="22"/>
              <w:szCs w:val="22"/>
              <w:lang w:eastAsia="en-AU"/>
            </w:rPr>
          </w:pPr>
          <w:hyperlink w:anchor="_Toc76730726" w:history="1">
            <w:r w:rsidR="00E65EF2" w:rsidRPr="00DB139B">
              <w:rPr>
                <w:rStyle w:val="Hyperlink"/>
                <w:noProof/>
              </w:rPr>
              <w:t>Appendix 5 – Queensland vilification decisions – where complaint succeeded</w:t>
            </w:r>
            <w:r w:rsidR="00E65EF2">
              <w:rPr>
                <w:noProof/>
                <w:webHidden/>
              </w:rPr>
              <w:tab/>
            </w:r>
            <w:r w:rsidR="00E65EF2">
              <w:rPr>
                <w:noProof/>
                <w:webHidden/>
              </w:rPr>
              <w:fldChar w:fldCharType="begin"/>
            </w:r>
            <w:r w:rsidR="00E65EF2">
              <w:rPr>
                <w:noProof/>
                <w:webHidden/>
              </w:rPr>
              <w:instrText xml:space="preserve"> PAGEREF _Toc76730726 \h </w:instrText>
            </w:r>
            <w:r w:rsidR="00E65EF2">
              <w:rPr>
                <w:noProof/>
                <w:webHidden/>
              </w:rPr>
            </w:r>
            <w:r w:rsidR="00E65EF2">
              <w:rPr>
                <w:noProof/>
                <w:webHidden/>
              </w:rPr>
              <w:fldChar w:fldCharType="separate"/>
            </w:r>
            <w:r w:rsidR="00236C04">
              <w:rPr>
                <w:noProof/>
                <w:webHidden/>
              </w:rPr>
              <w:t>56</w:t>
            </w:r>
            <w:r w:rsidR="00E65EF2">
              <w:rPr>
                <w:noProof/>
                <w:webHidden/>
              </w:rPr>
              <w:fldChar w:fldCharType="end"/>
            </w:r>
          </w:hyperlink>
        </w:p>
        <w:p w14:paraId="0A120122" w14:textId="0A9FB0D6" w:rsidR="00E65EF2" w:rsidRDefault="0019639B">
          <w:pPr>
            <w:pStyle w:val="TOC1"/>
            <w:rPr>
              <w:rFonts w:asciiTheme="minorHAnsi" w:hAnsiTheme="minorHAnsi"/>
              <w:noProof/>
              <w:sz w:val="22"/>
              <w:szCs w:val="22"/>
              <w:lang w:eastAsia="en-AU"/>
            </w:rPr>
          </w:pPr>
          <w:hyperlink w:anchor="_Toc76730727" w:history="1">
            <w:r w:rsidR="00E65EF2" w:rsidRPr="00DB139B">
              <w:rPr>
                <w:rStyle w:val="Hyperlink"/>
                <w:noProof/>
              </w:rPr>
              <w:t>Appendix 6 – Queensland vilification decisions – where complaint dismissed</w:t>
            </w:r>
            <w:r w:rsidR="00E65EF2">
              <w:rPr>
                <w:noProof/>
                <w:webHidden/>
              </w:rPr>
              <w:tab/>
            </w:r>
            <w:r w:rsidR="00E65EF2">
              <w:rPr>
                <w:noProof/>
                <w:webHidden/>
              </w:rPr>
              <w:fldChar w:fldCharType="begin"/>
            </w:r>
            <w:r w:rsidR="00E65EF2">
              <w:rPr>
                <w:noProof/>
                <w:webHidden/>
              </w:rPr>
              <w:instrText xml:space="preserve"> PAGEREF _Toc76730727 \h </w:instrText>
            </w:r>
            <w:r w:rsidR="00E65EF2">
              <w:rPr>
                <w:noProof/>
                <w:webHidden/>
              </w:rPr>
            </w:r>
            <w:r w:rsidR="00E65EF2">
              <w:rPr>
                <w:noProof/>
                <w:webHidden/>
              </w:rPr>
              <w:fldChar w:fldCharType="separate"/>
            </w:r>
            <w:r w:rsidR="00236C04">
              <w:rPr>
                <w:noProof/>
                <w:webHidden/>
              </w:rPr>
              <w:t>57</w:t>
            </w:r>
            <w:r w:rsidR="00E65EF2">
              <w:rPr>
                <w:noProof/>
                <w:webHidden/>
              </w:rPr>
              <w:fldChar w:fldCharType="end"/>
            </w:r>
          </w:hyperlink>
        </w:p>
        <w:p w14:paraId="3D3F6708" w14:textId="18E8A9E3" w:rsidR="00A16356" w:rsidRPr="00041E58" w:rsidRDefault="00A16356" w:rsidP="0022037D">
          <w:pPr>
            <w:spacing w:before="120" w:after="120"/>
            <w:rPr>
              <w:rFonts w:cs="Arial"/>
            </w:rPr>
          </w:pPr>
          <w:r w:rsidRPr="00857062">
            <w:rPr>
              <w:rFonts w:cs="Arial"/>
              <w:b/>
              <w:bCs/>
              <w:noProof/>
            </w:rPr>
            <w:fldChar w:fldCharType="end"/>
          </w:r>
        </w:p>
      </w:sdtContent>
    </w:sdt>
    <w:p w14:paraId="44607B91" w14:textId="77777777" w:rsidR="004A2375" w:rsidRDefault="004A2375">
      <w:pPr>
        <w:rPr>
          <w:rFonts w:eastAsiaTheme="majorEastAsia" w:cstheme="majorBidi"/>
          <w:b/>
          <w:color w:val="365F91" w:themeColor="accent1" w:themeShade="BF"/>
          <w:sz w:val="28"/>
          <w:szCs w:val="32"/>
        </w:rPr>
        <w:sectPr w:rsidR="004A2375" w:rsidSect="006C75BC">
          <w:footerReference w:type="default" r:id="rId9"/>
          <w:headerReference w:type="first" r:id="rId10"/>
          <w:pgSz w:w="11900" w:h="16840" w:code="9"/>
          <w:pgMar w:top="993" w:right="1797" w:bottom="1440" w:left="1797" w:header="709" w:footer="709" w:gutter="0"/>
          <w:pgNumType w:start="0"/>
          <w:cols w:space="708"/>
          <w:titlePg/>
          <w:docGrid w:linePitch="360"/>
        </w:sectPr>
      </w:pPr>
    </w:p>
    <w:p w14:paraId="4DC78501" w14:textId="16AF00E6" w:rsidR="00C064A5" w:rsidRDefault="00C064A5" w:rsidP="00CC2930">
      <w:pPr>
        <w:pStyle w:val="Heading1"/>
        <w:spacing w:before="0"/>
      </w:pPr>
      <w:bookmarkStart w:id="0" w:name="_Toc76730679"/>
      <w:r w:rsidRPr="00987F1C">
        <w:lastRenderedPageBreak/>
        <w:t>Summary</w:t>
      </w:r>
      <w:bookmarkEnd w:id="0"/>
    </w:p>
    <w:p w14:paraId="52C23392" w14:textId="6C2132D5" w:rsidR="00C064A5" w:rsidRDefault="00C07E20" w:rsidP="00C064A5">
      <w:pPr>
        <w:spacing w:before="120" w:after="240"/>
        <w:rPr>
          <w:rFonts w:cs="Arial"/>
        </w:rPr>
      </w:pPr>
      <w:r w:rsidRPr="00C35743">
        <w:rPr>
          <w:rFonts w:cs="Arial"/>
        </w:rPr>
        <w:t xml:space="preserve">The </w:t>
      </w:r>
      <w:r>
        <w:rPr>
          <w:rFonts w:cs="Arial"/>
        </w:rPr>
        <w:t>Queensland Human Rights</w:t>
      </w:r>
      <w:r w:rsidRPr="00C35743">
        <w:rPr>
          <w:rFonts w:cs="Arial"/>
        </w:rPr>
        <w:t xml:space="preserve"> Commission </w:t>
      </w:r>
      <w:r>
        <w:rPr>
          <w:rFonts w:cs="Arial"/>
        </w:rPr>
        <w:t xml:space="preserve">(the </w:t>
      </w:r>
      <w:r w:rsidRPr="00F70469">
        <w:rPr>
          <w:rFonts w:cs="Arial"/>
          <w:b/>
        </w:rPr>
        <w:t>Commission</w:t>
      </w:r>
      <w:r>
        <w:rPr>
          <w:rFonts w:cs="Arial"/>
        </w:rPr>
        <w:t>) welcomes this inquiry into serious vilification and hate crimes, and supports the reform of Queensland’s vilification and hate crime laws.</w:t>
      </w:r>
    </w:p>
    <w:p w14:paraId="50A7F3DD" w14:textId="43F01CE5" w:rsidR="00C07E20" w:rsidRDefault="00C07E20" w:rsidP="00C064A5">
      <w:pPr>
        <w:spacing w:before="120" w:after="240"/>
        <w:rPr>
          <w:rFonts w:cs="Arial"/>
        </w:rPr>
      </w:pPr>
      <w:r>
        <w:rPr>
          <w:rFonts w:cs="Arial"/>
        </w:rPr>
        <w:t xml:space="preserve">Vilification is unlawful under section 124A of the </w:t>
      </w:r>
      <w:r w:rsidRPr="00C35743">
        <w:rPr>
          <w:rFonts w:cs="Arial"/>
          <w:i/>
        </w:rPr>
        <w:t>Anti-Discrimination Act 1991</w:t>
      </w:r>
      <w:r w:rsidR="00637283">
        <w:rPr>
          <w:rFonts w:cs="Arial"/>
          <w:i/>
        </w:rPr>
        <w:t xml:space="preserve"> </w:t>
      </w:r>
      <w:r w:rsidR="00637283" w:rsidRPr="00637283">
        <w:rPr>
          <w:rFonts w:cs="Arial"/>
        </w:rPr>
        <w:t>(with civil sanctions)</w:t>
      </w:r>
      <w:r>
        <w:rPr>
          <w:rFonts w:cs="Arial"/>
          <w:i/>
        </w:rPr>
        <w:t xml:space="preserve">, </w:t>
      </w:r>
      <w:r>
        <w:rPr>
          <w:rFonts w:cs="Arial"/>
        </w:rPr>
        <w:t>and a criminal offence of serious vilification is provided for in section 131A.</w:t>
      </w:r>
    </w:p>
    <w:p w14:paraId="46B14DA6" w14:textId="46129371" w:rsidR="008D48FD" w:rsidRDefault="008D48FD" w:rsidP="00C064A5">
      <w:pPr>
        <w:spacing w:before="120" w:after="240"/>
        <w:rPr>
          <w:rFonts w:cs="Arial"/>
        </w:rPr>
      </w:pPr>
      <w:r>
        <w:rPr>
          <w:rFonts w:cs="Arial"/>
        </w:rPr>
        <w:t xml:space="preserve">Both of these sections are specifically excluded from the terms of reference for the current review of the </w:t>
      </w:r>
      <w:r w:rsidRPr="00C35743">
        <w:rPr>
          <w:rFonts w:cs="Arial"/>
          <w:i/>
        </w:rPr>
        <w:t>Anti-Discrimination Act 1991</w:t>
      </w:r>
      <w:r>
        <w:rPr>
          <w:rFonts w:cs="Arial"/>
          <w:i/>
        </w:rPr>
        <w:t xml:space="preserve"> </w:t>
      </w:r>
      <w:r>
        <w:rPr>
          <w:rFonts w:cs="Arial"/>
        </w:rPr>
        <w:t>that the Attorney-General has asked the Commission to undertake.</w:t>
      </w:r>
      <w:r>
        <w:rPr>
          <w:rStyle w:val="FootnoteReference"/>
          <w:rFonts w:cs="Arial"/>
        </w:rPr>
        <w:footnoteReference w:id="1"/>
      </w:r>
      <w:r>
        <w:rPr>
          <w:rFonts w:cs="Arial"/>
        </w:rPr>
        <w:t xml:space="preserve">  A report on </w:t>
      </w:r>
      <w:r w:rsidR="00637283">
        <w:rPr>
          <w:rFonts w:cs="Arial"/>
        </w:rPr>
        <w:t>that</w:t>
      </w:r>
      <w:r>
        <w:rPr>
          <w:rFonts w:cs="Arial"/>
        </w:rPr>
        <w:t xml:space="preserve"> review is to be provided by 30 June 2022.  </w:t>
      </w:r>
    </w:p>
    <w:p w14:paraId="47B8548B" w14:textId="1C008D7E" w:rsidR="00DE568F" w:rsidRDefault="00755CAF" w:rsidP="00C064A5">
      <w:pPr>
        <w:spacing w:before="120" w:after="240"/>
        <w:rPr>
          <w:rFonts w:cs="Arial"/>
        </w:rPr>
      </w:pPr>
      <w:r>
        <w:rPr>
          <w:rFonts w:cs="Arial"/>
        </w:rPr>
        <w:t>T</w:t>
      </w:r>
      <w:r w:rsidR="00DE568F">
        <w:rPr>
          <w:rFonts w:cs="Arial"/>
        </w:rPr>
        <w:t xml:space="preserve">he Commission </w:t>
      </w:r>
      <w:r>
        <w:rPr>
          <w:rFonts w:cs="Arial"/>
        </w:rPr>
        <w:t>submits</w:t>
      </w:r>
      <w:r w:rsidR="00DE568F">
        <w:rPr>
          <w:rFonts w:cs="Arial"/>
        </w:rPr>
        <w:t xml:space="preserve"> the Committee </w:t>
      </w:r>
      <w:r>
        <w:rPr>
          <w:rFonts w:cs="Arial"/>
        </w:rPr>
        <w:t xml:space="preserve">is able </w:t>
      </w:r>
      <w:r w:rsidR="00DE568F">
        <w:rPr>
          <w:rFonts w:cs="Arial"/>
        </w:rPr>
        <w:t xml:space="preserve">to </w:t>
      </w:r>
      <w:r w:rsidR="00F425E4">
        <w:rPr>
          <w:rFonts w:cs="Arial"/>
        </w:rPr>
        <w:t xml:space="preserve">consider the overall effectiveness of section 124A </w:t>
      </w:r>
      <w:r>
        <w:rPr>
          <w:rFonts w:cs="Arial"/>
        </w:rPr>
        <w:t xml:space="preserve">under the broader terms of reference that requires the Committee to consider the current legal framework, </w:t>
      </w:r>
      <w:r w:rsidR="00F425E4">
        <w:rPr>
          <w:rFonts w:cs="Arial"/>
        </w:rPr>
        <w:t xml:space="preserve">rather than confining its consideration of section 124A to the appropriateness of the conciliation-based anti-discrimination </w:t>
      </w:r>
      <w:r w:rsidR="00BA1856">
        <w:rPr>
          <w:rFonts w:cs="Arial"/>
        </w:rPr>
        <w:t xml:space="preserve">framework </w:t>
      </w:r>
      <w:r>
        <w:rPr>
          <w:rFonts w:cs="Arial"/>
        </w:rPr>
        <w:t>in clause 2(f) of the referral.</w:t>
      </w:r>
    </w:p>
    <w:p w14:paraId="1E780468" w14:textId="6204F1B2" w:rsidR="007C29E5" w:rsidRDefault="001B6249" w:rsidP="00C064A5">
      <w:pPr>
        <w:spacing w:before="120" w:after="240"/>
        <w:rPr>
          <w:rFonts w:cs="Arial"/>
        </w:rPr>
      </w:pPr>
      <w:r>
        <w:rPr>
          <w:rFonts w:cs="Arial"/>
        </w:rPr>
        <w:t xml:space="preserve">While the civil prohibition of vilification in section 124A has worked well, there is opportunity to improve its operation by making aspects of the provision clearer.  Some recent decisions have </w:t>
      </w:r>
      <w:r w:rsidR="00230151">
        <w:rPr>
          <w:rFonts w:cs="Arial"/>
        </w:rPr>
        <w:t>departed from the intended meaning of ‘incite’ and have restricted the meaning of ‘public act’.</w:t>
      </w:r>
    </w:p>
    <w:p w14:paraId="72B916CC" w14:textId="610D3344" w:rsidR="004804F0" w:rsidRDefault="004804F0" w:rsidP="00C064A5">
      <w:pPr>
        <w:spacing w:before="120" w:after="240"/>
        <w:rPr>
          <w:rFonts w:cs="Arial"/>
        </w:rPr>
      </w:pPr>
      <w:r>
        <w:rPr>
          <w:rFonts w:cs="Arial"/>
        </w:rPr>
        <w:t xml:space="preserve">Conversely, the criminal offence of serious vilification in section 131A has </w:t>
      </w:r>
      <w:r w:rsidR="00804C3F">
        <w:rPr>
          <w:rFonts w:cs="Arial"/>
        </w:rPr>
        <w:t>been used rarely, as it presents a number operational difficulties for police.  When offenders are charged with alternate offences, people impacted by the conduct are often left feeling that justice has not been done.</w:t>
      </w:r>
    </w:p>
    <w:p w14:paraId="49A0D9D4" w14:textId="67EA90D6" w:rsidR="001B5C85" w:rsidRDefault="001B5C85" w:rsidP="00C064A5">
      <w:pPr>
        <w:spacing w:before="120" w:after="240"/>
        <w:rPr>
          <w:rFonts w:cs="Arial"/>
        </w:rPr>
      </w:pPr>
      <w:r>
        <w:rPr>
          <w:rFonts w:cs="Arial"/>
        </w:rPr>
        <w:t xml:space="preserve">In this submission, the Commission discusses the current legislative framework, identifying </w:t>
      </w:r>
      <w:r w:rsidRPr="00755CAF">
        <w:rPr>
          <w:rFonts w:cs="Arial"/>
        </w:rPr>
        <w:t xml:space="preserve">gaps and </w:t>
      </w:r>
      <w:r w:rsidR="009F4BAD">
        <w:rPr>
          <w:rFonts w:cs="Arial"/>
        </w:rPr>
        <w:t>limitations</w:t>
      </w:r>
      <w:r>
        <w:rPr>
          <w:rFonts w:cs="Arial"/>
        </w:rPr>
        <w:t xml:space="preserve"> in the legislation, and makes recommendations </w:t>
      </w:r>
      <w:r w:rsidR="00637283">
        <w:rPr>
          <w:rFonts w:cs="Arial"/>
        </w:rPr>
        <w:t xml:space="preserve">for reform </w:t>
      </w:r>
      <w:r>
        <w:rPr>
          <w:rFonts w:cs="Arial"/>
        </w:rPr>
        <w:t>and suggestions for consideration.</w:t>
      </w:r>
    </w:p>
    <w:p w14:paraId="1FA8C6BC" w14:textId="7C6195BC" w:rsidR="001B5C85" w:rsidRDefault="001B5C85" w:rsidP="00EF34D1">
      <w:pPr>
        <w:pStyle w:val="Heading1"/>
        <w:spacing w:before="360" w:after="120"/>
      </w:pPr>
      <w:bookmarkStart w:id="1" w:name="_Toc76730680"/>
      <w:r w:rsidRPr="003F741D">
        <w:t>Recommendations</w:t>
      </w:r>
      <w:bookmarkEnd w:id="1"/>
    </w:p>
    <w:p w14:paraId="799C392A" w14:textId="307ACC1D" w:rsidR="00FB681C" w:rsidRPr="00685647" w:rsidRDefault="00FB681C" w:rsidP="00685647">
      <w:pPr>
        <w:spacing w:before="120" w:after="120"/>
        <w:rPr>
          <w:b/>
        </w:rPr>
      </w:pPr>
      <w:r w:rsidRPr="00685647">
        <w:rPr>
          <w:b/>
        </w:rPr>
        <w:t>Serious vilification (offence)</w:t>
      </w:r>
    </w:p>
    <w:p w14:paraId="46BA41CF" w14:textId="6570F455" w:rsidR="001B5C85" w:rsidRDefault="00787618" w:rsidP="00FB681C">
      <w:pPr>
        <w:pStyle w:val="ListParagraph"/>
        <w:numPr>
          <w:ilvl w:val="0"/>
          <w:numId w:val="39"/>
        </w:numPr>
        <w:spacing w:before="120" w:after="240"/>
        <w:ind w:left="992" w:hanging="635"/>
        <w:contextualSpacing w:val="0"/>
      </w:pPr>
      <w:r>
        <w:t xml:space="preserve">Remove the requirement of the prior consent of the Director of Public Prosecutions or the Attorney-General for a charge under section 131A of the </w:t>
      </w:r>
      <w:r>
        <w:rPr>
          <w:rFonts w:cs="Arial"/>
          <w:i/>
        </w:rPr>
        <w:t>Anti-Discrimination Act 199</w:t>
      </w:r>
      <w:r w:rsidR="009F4BAD">
        <w:rPr>
          <w:rFonts w:cs="Arial"/>
          <w:i/>
        </w:rPr>
        <w:t>1</w:t>
      </w:r>
      <w:r>
        <w:rPr>
          <w:rFonts w:cs="Arial"/>
          <w:i/>
        </w:rPr>
        <w:t>.</w:t>
      </w:r>
    </w:p>
    <w:p w14:paraId="51BF9816" w14:textId="13AD246D" w:rsidR="00FB681C" w:rsidRDefault="00787618" w:rsidP="00FB681C">
      <w:pPr>
        <w:pStyle w:val="ListParagraph"/>
        <w:numPr>
          <w:ilvl w:val="0"/>
          <w:numId w:val="39"/>
        </w:numPr>
        <w:spacing w:before="120" w:after="240"/>
        <w:ind w:left="992" w:hanging="635"/>
        <w:contextualSpacing w:val="0"/>
      </w:pPr>
      <w:r>
        <w:t xml:space="preserve">Increase the maximum penalty for imprisonment to at least three years.  This will enable police to secure a warrant </w:t>
      </w:r>
      <w:r w:rsidR="004174D2">
        <w:t xml:space="preserve">to </w:t>
      </w:r>
      <w:r>
        <w:t>preserve evidence (particularly in relation to online vilification) as well as to reflect the seriousness of the offence and to better act as deterrence.</w:t>
      </w:r>
    </w:p>
    <w:p w14:paraId="745B241D" w14:textId="11CADFE4" w:rsidR="004174D2" w:rsidRDefault="004174D2" w:rsidP="00FB681C">
      <w:pPr>
        <w:pStyle w:val="ListParagraph"/>
        <w:numPr>
          <w:ilvl w:val="0"/>
          <w:numId w:val="39"/>
        </w:numPr>
        <w:spacing w:before="120" w:after="240"/>
        <w:ind w:left="992" w:hanging="635"/>
        <w:contextualSpacing w:val="0"/>
      </w:pPr>
      <w:r>
        <w:t>Clarify the meaning of ‘incite’, or replace it with ‘urge’.</w:t>
      </w:r>
    </w:p>
    <w:p w14:paraId="2EFBEB58" w14:textId="17CB4472" w:rsidR="004174D2" w:rsidRDefault="004174D2" w:rsidP="00FB681C">
      <w:pPr>
        <w:pStyle w:val="ListParagraph"/>
        <w:numPr>
          <w:ilvl w:val="0"/>
          <w:numId w:val="39"/>
        </w:numPr>
        <w:spacing w:before="120" w:after="240"/>
        <w:ind w:left="992" w:hanging="635"/>
        <w:contextualSpacing w:val="0"/>
      </w:pPr>
      <w:r>
        <w:lastRenderedPageBreak/>
        <w:t>Clarify the meaning of ‘public’ and the extent to which the prohibition applies.</w:t>
      </w:r>
    </w:p>
    <w:p w14:paraId="6C0D7C4A" w14:textId="750CFAB8" w:rsidR="004174D2" w:rsidRPr="004174D2" w:rsidRDefault="004174D2" w:rsidP="00FB681C">
      <w:pPr>
        <w:pStyle w:val="ListParagraph"/>
        <w:numPr>
          <w:ilvl w:val="0"/>
          <w:numId w:val="39"/>
        </w:numPr>
        <w:spacing w:before="120" w:after="240"/>
        <w:ind w:left="992" w:hanging="635"/>
        <w:contextualSpacing w:val="0"/>
      </w:pPr>
      <w:r>
        <w:t xml:space="preserve">Consider removing the offence from the </w:t>
      </w:r>
      <w:r w:rsidRPr="00C35743">
        <w:rPr>
          <w:rFonts w:cs="Arial"/>
          <w:i/>
        </w:rPr>
        <w:t>Anti-Discrimination Act 1991</w:t>
      </w:r>
      <w:r>
        <w:rPr>
          <w:rFonts w:cs="Arial"/>
          <w:i/>
        </w:rPr>
        <w:t xml:space="preserve"> </w:t>
      </w:r>
      <w:r>
        <w:rPr>
          <w:rFonts w:cs="Arial"/>
        </w:rPr>
        <w:t xml:space="preserve">to the </w:t>
      </w:r>
      <w:r>
        <w:rPr>
          <w:rFonts w:cs="Arial"/>
          <w:i/>
        </w:rPr>
        <w:t xml:space="preserve">Criminal Code </w:t>
      </w:r>
      <w:r>
        <w:rPr>
          <w:rFonts w:cs="Arial"/>
        </w:rPr>
        <w:t>(Qld).</w:t>
      </w:r>
    </w:p>
    <w:p w14:paraId="0DFB6D5E" w14:textId="721D97FA" w:rsidR="004174D2" w:rsidRDefault="004174D2" w:rsidP="00FB681C">
      <w:pPr>
        <w:pStyle w:val="ListParagraph"/>
        <w:numPr>
          <w:ilvl w:val="0"/>
          <w:numId w:val="39"/>
        </w:numPr>
        <w:spacing w:before="120" w:after="240"/>
        <w:ind w:left="992" w:hanging="635"/>
        <w:contextualSpacing w:val="0"/>
      </w:pPr>
      <w:r>
        <w:rPr>
          <w:rFonts w:cs="Arial"/>
        </w:rPr>
        <w:t xml:space="preserve">Consider modelling amendments on the offence of </w:t>
      </w:r>
      <w:r w:rsidR="00BD34DC">
        <w:rPr>
          <w:rFonts w:cs="Arial"/>
        </w:rPr>
        <w:t>publicly thr</w:t>
      </w:r>
      <w:r w:rsidR="009F4BAD">
        <w:rPr>
          <w:rFonts w:cs="Arial"/>
        </w:rPr>
        <w:t>eatening or inciting violence on</w:t>
      </w:r>
      <w:r w:rsidR="00BD34DC">
        <w:rPr>
          <w:rFonts w:cs="Arial"/>
        </w:rPr>
        <w:t xml:space="preserve"> various grounds in the </w:t>
      </w:r>
      <w:r w:rsidR="00BD34DC">
        <w:rPr>
          <w:rFonts w:cs="Arial"/>
          <w:i/>
        </w:rPr>
        <w:t xml:space="preserve">Crimes Act 1900 </w:t>
      </w:r>
      <w:r w:rsidR="00BD34DC">
        <w:rPr>
          <w:rFonts w:cs="Arial"/>
        </w:rPr>
        <w:t>(NSW)</w:t>
      </w:r>
      <w:r w:rsidR="009F4BAD">
        <w:rPr>
          <w:rFonts w:cs="Arial"/>
        </w:rPr>
        <w:t xml:space="preserve"> section 93Z</w:t>
      </w:r>
      <w:r w:rsidR="00BD34DC">
        <w:rPr>
          <w:rFonts w:cs="Arial"/>
        </w:rPr>
        <w:t>.</w:t>
      </w:r>
    </w:p>
    <w:p w14:paraId="75CE5DAE" w14:textId="63C30FC9" w:rsidR="00C15CCD" w:rsidRDefault="00C15CCD" w:rsidP="00FB681C">
      <w:pPr>
        <w:pStyle w:val="ListParagraph"/>
        <w:numPr>
          <w:ilvl w:val="0"/>
          <w:numId w:val="39"/>
        </w:numPr>
        <w:spacing w:before="120" w:after="240"/>
        <w:ind w:left="992" w:hanging="635"/>
        <w:contextualSpacing w:val="0"/>
      </w:pPr>
      <w:r>
        <w:t xml:space="preserve">Consider whether other attributes should be also be protected, </w:t>
      </w:r>
      <w:r w:rsidR="00074147">
        <w:t>and consult</w:t>
      </w:r>
      <w:r>
        <w:t xml:space="preserve"> with relevant groups and peak bodies.</w:t>
      </w:r>
    </w:p>
    <w:p w14:paraId="785942BA" w14:textId="03CE3778" w:rsidR="00FB681C" w:rsidRPr="00685647" w:rsidRDefault="00FB681C" w:rsidP="00685647">
      <w:pPr>
        <w:rPr>
          <w:b/>
        </w:rPr>
      </w:pPr>
      <w:r w:rsidRPr="00685647">
        <w:rPr>
          <w:b/>
        </w:rPr>
        <w:t>Aggravated offences</w:t>
      </w:r>
    </w:p>
    <w:p w14:paraId="5D966BBB" w14:textId="164948D3" w:rsidR="00FB681C" w:rsidRDefault="00661663" w:rsidP="00FB681C">
      <w:pPr>
        <w:pStyle w:val="ListParagraph"/>
        <w:numPr>
          <w:ilvl w:val="0"/>
          <w:numId w:val="39"/>
        </w:numPr>
        <w:spacing w:before="120" w:after="240"/>
        <w:ind w:left="992" w:hanging="635"/>
        <w:contextualSpacing w:val="0"/>
      </w:pPr>
      <w:r>
        <w:t>Create separate aggravated offences for offending based on hostility towards an individual or group based a protected attribute, with penalties that are higher than the base offences.</w:t>
      </w:r>
    </w:p>
    <w:p w14:paraId="13D5EDD2" w14:textId="41CB44E2" w:rsidR="00FB681C" w:rsidRPr="00685647" w:rsidRDefault="00FB681C" w:rsidP="00685647">
      <w:pPr>
        <w:rPr>
          <w:b/>
        </w:rPr>
      </w:pPr>
      <w:r w:rsidRPr="00685647">
        <w:rPr>
          <w:b/>
        </w:rPr>
        <w:t>Penalties and sentencing</w:t>
      </w:r>
    </w:p>
    <w:p w14:paraId="37D5D0E7" w14:textId="78FF3C4E" w:rsidR="00FB681C" w:rsidRDefault="00661663" w:rsidP="00FB681C">
      <w:pPr>
        <w:pStyle w:val="ListParagraph"/>
        <w:numPr>
          <w:ilvl w:val="0"/>
          <w:numId w:val="39"/>
        </w:numPr>
        <w:spacing w:before="120" w:after="240"/>
        <w:ind w:left="992" w:hanging="635"/>
        <w:contextualSpacing w:val="0"/>
      </w:pPr>
      <w:r>
        <w:t xml:space="preserve">Provide for hostility towards an individual or group based a protected attribute as a circumstance of aggravation for the imposition of higher penalties. </w:t>
      </w:r>
    </w:p>
    <w:p w14:paraId="286CC543" w14:textId="4B9E751F" w:rsidR="00FB681C" w:rsidRPr="00685647" w:rsidRDefault="00FB681C" w:rsidP="00685647">
      <w:pPr>
        <w:rPr>
          <w:b/>
        </w:rPr>
      </w:pPr>
      <w:r w:rsidRPr="00685647">
        <w:rPr>
          <w:b/>
        </w:rPr>
        <w:t>Offences relating to display or possession of certain material</w:t>
      </w:r>
    </w:p>
    <w:p w14:paraId="7ACECC0A" w14:textId="41BA44E3" w:rsidR="00FB681C" w:rsidRDefault="00EC71A2" w:rsidP="00FB681C">
      <w:pPr>
        <w:pStyle w:val="ListParagraph"/>
        <w:numPr>
          <w:ilvl w:val="0"/>
          <w:numId w:val="39"/>
        </w:numPr>
        <w:spacing w:before="120" w:after="240"/>
        <w:ind w:left="992" w:hanging="635"/>
        <w:contextualSpacing w:val="0"/>
      </w:pPr>
      <w:r>
        <w:t>Consider options to address the display and possession of harmful</w:t>
      </w:r>
      <w:r w:rsidR="00214B45">
        <w:t xml:space="preserve"> material</w:t>
      </w:r>
      <w:r>
        <w:t>, including possible criminal offences and/or powers to search, seize, and dispose.</w:t>
      </w:r>
    </w:p>
    <w:p w14:paraId="6CFF15ED" w14:textId="08F05B15" w:rsidR="00FB681C" w:rsidRPr="00685647" w:rsidRDefault="00FB681C" w:rsidP="00685647">
      <w:pPr>
        <w:rPr>
          <w:b/>
        </w:rPr>
      </w:pPr>
      <w:r w:rsidRPr="00685647">
        <w:rPr>
          <w:b/>
        </w:rPr>
        <w:t>Vilification (</w:t>
      </w:r>
      <w:r w:rsidR="00155E24">
        <w:rPr>
          <w:b/>
        </w:rPr>
        <w:t xml:space="preserve">civil </w:t>
      </w:r>
      <w:r w:rsidRPr="00685647">
        <w:rPr>
          <w:b/>
        </w:rPr>
        <w:t>complaint)</w:t>
      </w:r>
    </w:p>
    <w:p w14:paraId="1458A007" w14:textId="6BF8B64A" w:rsidR="00FB681C" w:rsidRDefault="004174D2" w:rsidP="00FB681C">
      <w:pPr>
        <w:pStyle w:val="ListParagraph"/>
        <w:numPr>
          <w:ilvl w:val="0"/>
          <w:numId w:val="39"/>
        </w:numPr>
        <w:spacing w:before="120" w:after="240"/>
        <w:ind w:left="992" w:hanging="635"/>
        <w:contextualSpacing w:val="0"/>
      </w:pPr>
      <w:r>
        <w:t xml:space="preserve">Clarify the meaning of ‘incite’, or </w:t>
      </w:r>
      <w:r w:rsidR="00BD34DC">
        <w:t>replace it with</w:t>
      </w:r>
      <w:r>
        <w:t xml:space="preserve"> ‘urge’.</w:t>
      </w:r>
    </w:p>
    <w:p w14:paraId="20D50EF5" w14:textId="0D58958A" w:rsidR="004174D2" w:rsidRDefault="00BD34DC" w:rsidP="00FB681C">
      <w:pPr>
        <w:pStyle w:val="ListParagraph"/>
        <w:numPr>
          <w:ilvl w:val="0"/>
          <w:numId w:val="39"/>
        </w:numPr>
        <w:spacing w:before="120" w:after="240"/>
        <w:ind w:left="992" w:hanging="635"/>
        <w:contextualSpacing w:val="0"/>
      </w:pPr>
      <w:r>
        <w:t>Clarify the meaning of ‘public’ and the extent to which the prohibition applies, such as workplaces, places of education, private land.</w:t>
      </w:r>
    </w:p>
    <w:p w14:paraId="1A6D7E31" w14:textId="7929A6B6" w:rsidR="002B05B5" w:rsidRPr="00EC71A2" w:rsidRDefault="002B05B5" w:rsidP="00FB681C">
      <w:pPr>
        <w:pStyle w:val="ListParagraph"/>
        <w:numPr>
          <w:ilvl w:val="0"/>
          <w:numId w:val="39"/>
        </w:numPr>
        <w:spacing w:before="120" w:after="240"/>
        <w:ind w:left="992" w:hanging="635"/>
        <w:contextualSpacing w:val="0"/>
      </w:pPr>
      <w:r w:rsidRPr="00EC71A2">
        <w:t xml:space="preserve">Create a </w:t>
      </w:r>
      <w:r w:rsidR="00EC71A2" w:rsidRPr="00EC71A2">
        <w:t xml:space="preserve">new </w:t>
      </w:r>
      <w:r w:rsidRPr="00EC71A2">
        <w:t xml:space="preserve">harm-based prohibition </w:t>
      </w:r>
      <w:r w:rsidR="00237C78">
        <w:t>of conduct that a reasonable person would consider hateful, seriously contemptuous, or reviling or seriously ridiculing of a person or a class of persons</w:t>
      </w:r>
      <w:r w:rsidR="00EC71A2" w:rsidRPr="00EC71A2">
        <w:t>.</w:t>
      </w:r>
    </w:p>
    <w:p w14:paraId="14097E67" w14:textId="76092AAC" w:rsidR="007C29E5" w:rsidRDefault="007C29E5" w:rsidP="00FB681C">
      <w:pPr>
        <w:pStyle w:val="ListParagraph"/>
        <w:numPr>
          <w:ilvl w:val="0"/>
          <w:numId w:val="39"/>
        </w:numPr>
        <w:spacing w:before="120" w:after="240"/>
        <w:ind w:left="992" w:hanging="635"/>
        <w:contextualSpacing w:val="0"/>
      </w:pPr>
      <w:r>
        <w:t xml:space="preserve">Introduce a positive obligation on </w:t>
      </w:r>
      <w:r w:rsidR="00F817A1">
        <w:t xml:space="preserve">duty holders (for example, </w:t>
      </w:r>
      <w:r w:rsidRPr="00755CAF">
        <w:t>employers, service providers, and sporting bodies</w:t>
      </w:r>
      <w:r w:rsidR="00F817A1">
        <w:t>)</w:t>
      </w:r>
      <w:r>
        <w:t xml:space="preserve"> to </w:t>
      </w:r>
      <w:r w:rsidR="00F817A1">
        <w:t xml:space="preserve">take reasonable and proportionate measures to </w:t>
      </w:r>
      <w:r>
        <w:t>eliminate vil</w:t>
      </w:r>
      <w:r w:rsidR="00F817A1">
        <w:t>i</w:t>
      </w:r>
      <w:r>
        <w:t>fication</w:t>
      </w:r>
      <w:r w:rsidR="00F817A1">
        <w:t xml:space="preserve"> as far as possible.</w:t>
      </w:r>
    </w:p>
    <w:p w14:paraId="46717B8B" w14:textId="22F7D0D0" w:rsidR="00137C8D" w:rsidRDefault="00137C8D" w:rsidP="00FB681C">
      <w:pPr>
        <w:pStyle w:val="ListParagraph"/>
        <w:numPr>
          <w:ilvl w:val="0"/>
          <w:numId w:val="39"/>
        </w:numPr>
        <w:spacing w:before="120" w:after="240"/>
        <w:ind w:left="992" w:hanging="635"/>
        <w:contextualSpacing w:val="0"/>
      </w:pPr>
      <w:r>
        <w:t>Consider an option for the tribunal to make a ‘vilification order’ in the nature of a domestic violence order.</w:t>
      </w:r>
    </w:p>
    <w:p w14:paraId="44714577" w14:textId="7139B451" w:rsidR="00B82CE9" w:rsidRDefault="00575A2B" w:rsidP="005A1137">
      <w:pPr>
        <w:pStyle w:val="Heading1"/>
        <w:pageBreakBefore/>
        <w:spacing w:before="0"/>
      </w:pPr>
      <w:bookmarkStart w:id="2" w:name="_Toc76730681"/>
      <w:r>
        <w:lastRenderedPageBreak/>
        <w:t>Introduction</w:t>
      </w:r>
      <w:bookmarkEnd w:id="2"/>
    </w:p>
    <w:p w14:paraId="4882AD43" w14:textId="6EEC22DB" w:rsidR="00303936" w:rsidRDefault="00C07E20" w:rsidP="00810D74">
      <w:pPr>
        <w:pStyle w:val="ListParagraph"/>
        <w:numPr>
          <w:ilvl w:val="0"/>
          <w:numId w:val="4"/>
        </w:numPr>
        <w:spacing w:before="120" w:after="240" w:line="276" w:lineRule="auto"/>
        <w:ind w:left="567" w:hanging="567"/>
        <w:contextualSpacing w:val="0"/>
        <w:rPr>
          <w:rFonts w:cs="Arial"/>
        </w:rPr>
      </w:pPr>
      <w:r>
        <w:rPr>
          <w:rFonts w:cs="Arial"/>
        </w:rPr>
        <w:t xml:space="preserve">The Commission </w:t>
      </w:r>
      <w:r w:rsidR="00303936" w:rsidRPr="00C35743">
        <w:rPr>
          <w:rFonts w:cs="Arial"/>
        </w:rPr>
        <w:t xml:space="preserve">is a statutory authority established under the </w:t>
      </w:r>
      <w:r w:rsidR="00303936">
        <w:rPr>
          <w:rFonts w:cs="Arial"/>
        </w:rPr>
        <w:t xml:space="preserve">Queensland </w:t>
      </w:r>
      <w:r w:rsidR="00303936" w:rsidRPr="00C35743">
        <w:rPr>
          <w:rFonts w:cs="Arial"/>
          <w:i/>
        </w:rPr>
        <w:t>Anti-Discrimination Act 1991</w:t>
      </w:r>
      <w:r w:rsidR="00407CE3">
        <w:rPr>
          <w:rFonts w:cs="Arial"/>
          <w:i/>
        </w:rPr>
        <w:t>.</w:t>
      </w:r>
    </w:p>
    <w:p w14:paraId="12AC05C7" w14:textId="77777777" w:rsidR="00592493" w:rsidRPr="00592493" w:rsidRDefault="00303936" w:rsidP="00810D74">
      <w:pPr>
        <w:pStyle w:val="ListParagraph"/>
        <w:numPr>
          <w:ilvl w:val="0"/>
          <w:numId w:val="4"/>
        </w:numPr>
        <w:spacing w:before="120" w:after="240" w:line="276" w:lineRule="auto"/>
        <w:ind w:left="567" w:hanging="567"/>
        <w:contextualSpacing w:val="0"/>
        <w:rPr>
          <w:rFonts w:cs="Arial"/>
        </w:rPr>
      </w:pPr>
      <w:r w:rsidRPr="00A97DE1">
        <w:rPr>
          <w:rFonts w:cs="Arial"/>
          <w:color w:val="000000"/>
        </w:rPr>
        <w:t xml:space="preserve">The </w:t>
      </w:r>
      <w:r w:rsidRPr="00810D74">
        <w:rPr>
          <w:rFonts w:cs="Arial"/>
        </w:rPr>
        <w:t>Commission</w:t>
      </w:r>
      <w:r w:rsidRPr="00A97DE1">
        <w:rPr>
          <w:rFonts w:cs="Arial"/>
          <w:color w:val="000000"/>
        </w:rPr>
        <w:t xml:space="preserve"> </w:t>
      </w:r>
      <w:r>
        <w:rPr>
          <w:rFonts w:cs="Arial"/>
          <w:color w:val="000000"/>
        </w:rPr>
        <w:t xml:space="preserve">has </w:t>
      </w:r>
      <w:r w:rsidR="00BC2D69">
        <w:rPr>
          <w:rFonts w:cs="Arial"/>
          <w:color w:val="000000"/>
        </w:rPr>
        <w:t xml:space="preserve">functions under the </w:t>
      </w:r>
      <w:r w:rsidR="00BC2D69">
        <w:rPr>
          <w:rFonts w:cs="Arial"/>
        </w:rPr>
        <w:t xml:space="preserve">Queensland </w:t>
      </w:r>
      <w:r w:rsidR="00BC2D69" w:rsidRPr="00C35743">
        <w:rPr>
          <w:rFonts w:cs="Arial"/>
          <w:i/>
        </w:rPr>
        <w:t xml:space="preserve">Anti-Discrimination Act </w:t>
      </w:r>
      <w:r w:rsidR="00BC2D69" w:rsidRPr="004E278F">
        <w:rPr>
          <w:rFonts w:cs="Arial"/>
          <w:i/>
        </w:rPr>
        <w:t>1991</w:t>
      </w:r>
      <w:r w:rsidR="005957A9">
        <w:rPr>
          <w:rFonts w:cs="Arial"/>
        </w:rPr>
        <w:t xml:space="preserve"> and</w:t>
      </w:r>
      <w:r w:rsidR="00BC2D69">
        <w:rPr>
          <w:rFonts w:cs="Arial"/>
        </w:rPr>
        <w:t xml:space="preserve"> the </w:t>
      </w:r>
      <w:r w:rsidR="00BC2D69">
        <w:rPr>
          <w:rFonts w:cs="Arial"/>
          <w:i/>
        </w:rPr>
        <w:t xml:space="preserve">Human Rights Act 2019 </w:t>
      </w:r>
      <w:r w:rsidR="00BC2D69">
        <w:rPr>
          <w:rFonts w:cs="Arial"/>
        </w:rPr>
        <w:t xml:space="preserve">to </w:t>
      </w:r>
      <w:r w:rsidR="00BC2D69">
        <w:rPr>
          <w:rFonts w:cs="Arial"/>
          <w:color w:val="000000"/>
        </w:rPr>
        <w:t>promote</w:t>
      </w:r>
      <w:r w:rsidRPr="00A97DE1">
        <w:rPr>
          <w:rFonts w:cs="Arial"/>
          <w:color w:val="000000"/>
        </w:rPr>
        <w:t xml:space="preserve"> an understanding</w:t>
      </w:r>
      <w:r w:rsidR="00BC2D69">
        <w:rPr>
          <w:rFonts w:cs="Arial"/>
          <w:color w:val="000000"/>
        </w:rPr>
        <w:t xml:space="preserve"> </w:t>
      </w:r>
      <w:r w:rsidRPr="00A97DE1">
        <w:rPr>
          <w:rFonts w:cs="Arial"/>
          <w:color w:val="000000"/>
        </w:rPr>
        <w:t>and public discussion of human rights in Queensla</w:t>
      </w:r>
      <w:r>
        <w:rPr>
          <w:rFonts w:cs="Arial"/>
          <w:color w:val="000000"/>
        </w:rPr>
        <w:t xml:space="preserve">nd, and </w:t>
      </w:r>
      <w:r w:rsidR="00BC2D69">
        <w:rPr>
          <w:rFonts w:cs="Arial"/>
          <w:color w:val="000000"/>
        </w:rPr>
        <w:t xml:space="preserve">to provide information and education about human rights.  </w:t>
      </w:r>
    </w:p>
    <w:p w14:paraId="583DC4AC" w14:textId="6C3540AE" w:rsidR="00303936" w:rsidRPr="00227178" w:rsidRDefault="00BC2D69" w:rsidP="00810D74">
      <w:pPr>
        <w:pStyle w:val="ListParagraph"/>
        <w:numPr>
          <w:ilvl w:val="0"/>
          <w:numId w:val="4"/>
        </w:numPr>
        <w:spacing w:before="120" w:after="240" w:line="276" w:lineRule="auto"/>
        <w:ind w:left="567" w:hanging="567"/>
        <w:contextualSpacing w:val="0"/>
        <w:rPr>
          <w:rFonts w:cs="Arial"/>
        </w:rPr>
      </w:pPr>
      <w:r>
        <w:rPr>
          <w:rFonts w:cs="Arial"/>
          <w:color w:val="000000"/>
        </w:rPr>
        <w:t xml:space="preserve">The Commission also deals with complaints of discrimination, vilification and other objectionable conduct under the </w:t>
      </w:r>
      <w:r w:rsidRPr="00C35743">
        <w:rPr>
          <w:rFonts w:cs="Arial"/>
          <w:i/>
        </w:rPr>
        <w:t xml:space="preserve">Anti-Discrimination Act </w:t>
      </w:r>
      <w:r w:rsidRPr="00BC2D69">
        <w:rPr>
          <w:rFonts w:cs="Arial"/>
          <w:i/>
        </w:rPr>
        <w:t>1991</w:t>
      </w:r>
      <w:r w:rsidR="00BB0330">
        <w:rPr>
          <w:rFonts w:cs="Arial"/>
          <w:i/>
        </w:rPr>
        <w:t>,</w:t>
      </w:r>
      <w:r w:rsidR="00592493">
        <w:rPr>
          <w:rFonts w:cs="Arial"/>
          <w:i/>
        </w:rPr>
        <w:t xml:space="preserve"> </w:t>
      </w:r>
      <w:r>
        <w:rPr>
          <w:rFonts w:cs="Arial"/>
        </w:rPr>
        <w:t xml:space="preserve">reprisal under the </w:t>
      </w:r>
      <w:r>
        <w:rPr>
          <w:rFonts w:cs="Arial"/>
          <w:i/>
        </w:rPr>
        <w:t xml:space="preserve">Public Interest Disclosure Act </w:t>
      </w:r>
      <w:r w:rsidRPr="009F4BAD">
        <w:rPr>
          <w:rFonts w:cs="Arial"/>
          <w:i/>
        </w:rPr>
        <w:t>2009</w:t>
      </w:r>
      <w:r>
        <w:rPr>
          <w:rFonts w:cs="Arial"/>
        </w:rPr>
        <w:t xml:space="preserve">, and human rights </w:t>
      </w:r>
      <w:r w:rsidR="00592493">
        <w:rPr>
          <w:rFonts w:cs="Arial"/>
        </w:rPr>
        <w:t xml:space="preserve">complaints </w:t>
      </w:r>
      <w:r>
        <w:rPr>
          <w:rFonts w:cs="Arial"/>
        </w:rPr>
        <w:t xml:space="preserve">under the </w:t>
      </w:r>
      <w:r>
        <w:rPr>
          <w:rFonts w:cs="Arial"/>
          <w:i/>
        </w:rPr>
        <w:t>Human Rights Act 2019.</w:t>
      </w:r>
    </w:p>
    <w:p w14:paraId="68A157F9" w14:textId="244AB9D9" w:rsidR="00BC2D69" w:rsidRDefault="00303936" w:rsidP="00810D74">
      <w:pPr>
        <w:pStyle w:val="ListParagraph"/>
        <w:numPr>
          <w:ilvl w:val="0"/>
          <w:numId w:val="4"/>
        </w:numPr>
        <w:spacing w:before="120" w:after="240" w:line="276" w:lineRule="auto"/>
        <w:ind w:left="567" w:hanging="567"/>
        <w:contextualSpacing w:val="0"/>
        <w:rPr>
          <w:rFonts w:cs="Arial"/>
        </w:rPr>
      </w:pPr>
      <w:r>
        <w:rPr>
          <w:rFonts w:cs="Arial"/>
        </w:rPr>
        <w:t xml:space="preserve">The </w:t>
      </w:r>
      <w:r w:rsidRPr="00350D39">
        <w:rPr>
          <w:rFonts w:cs="Arial"/>
          <w:i/>
        </w:rPr>
        <w:t>Anti-Discrimination Act 1991</w:t>
      </w:r>
      <w:r>
        <w:rPr>
          <w:rFonts w:cs="Arial"/>
        </w:rPr>
        <w:t xml:space="preserve"> prohibits </w:t>
      </w:r>
      <w:r w:rsidR="00BC2D69">
        <w:rPr>
          <w:rFonts w:cs="Arial"/>
        </w:rPr>
        <w:t>v</w:t>
      </w:r>
      <w:r>
        <w:rPr>
          <w:rFonts w:cs="Arial"/>
        </w:rPr>
        <w:t xml:space="preserve">ilification on the grounds of </w:t>
      </w:r>
      <w:r w:rsidR="00BC2D69">
        <w:rPr>
          <w:rFonts w:cs="Arial"/>
        </w:rPr>
        <w:t xml:space="preserve">race, </w:t>
      </w:r>
      <w:r>
        <w:rPr>
          <w:rFonts w:cs="Arial"/>
        </w:rPr>
        <w:t>religion</w:t>
      </w:r>
      <w:r w:rsidR="00BC2D69">
        <w:rPr>
          <w:rFonts w:cs="Arial"/>
        </w:rPr>
        <w:t>, sexuality and gender identity</w:t>
      </w:r>
      <w:r>
        <w:rPr>
          <w:rFonts w:cs="Arial"/>
        </w:rPr>
        <w:t>.</w:t>
      </w:r>
      <w:r w:rsidR="00BC2D69">
        <w:rPr>
          <w:rFonts w:cs="Arial"/>
        </w:rPr>
        <w:t xml:space="preserve">  It also provides for a criminal offence of serious vilification.</w:t>
      </w:r>
    </w:p>
    <w:p w14:paraId="580EA65F" w14:textId="6C0A0214" w:rsidR="00306DD0" w:rsidRDefault="00BC2D69" w:rsidP="00EC4278">
      <w:pPr>
        <w:pStyle w:val="ListParagraph"/>
        <w:numPr>
          <w:ilvl w:val="0"/>
          <w:numId w:val="4"/>
        </w:numPr>
        <w:spacing w:before="120" w:after="120" w:line="276" w:lineRule="auto"/>
        <w:ind w:left="567" w:hanging="567"/>
        <w:contextualSpacing w:val="0"/>
        <w:rPr>
          <w:rFonts w:cs="Arial"/>
        </w:rPr>
      </w:pPr>
      <w:r>
        <w:rPr>
          <w:rFonts w:cs="Arial"/>
        </w:rPr>
        <w:t xml:space="preserve">Over recent years, the Commission has </w:t>
      </w:r>
      <w:r w:rsidR="00306DD0">
        <w:rPr>
          <w:rFonts w:cs="Arial"/>
        </w:rPr>
        <w:t>consulted</w:t>
      </w:r>
      <w:r>
        <w:rPr>
          <w:rFonts w:cs="Arial"/>
        </w:rPr>
        <w:t xml:space="preserve"> with community representatives and other stakeholders about the effectiveness of current laws in addressing </w:t>
      </w:r>
      <w:r w:rsidR="00E83035">
        <w:rPr>
          <w:rFonts w:cs="Arial"/>
        </w:rPr>
        <w:t>serious vilification</w:t>
      </w:r>
      <w:r w:rsidR="00592493">
        <w:rPr>
          <w:rFonts w:cs="Arial"/>
        </w:rPr>
        <w:t xml:space="preserve"> and</w:t>
      </w:r>
      <w:r w:rsidR="00E83035">
        <w:rPr>
          <w:rFonts w:cs="Arial"/>
        </w:rPr>
        <w:t xml:space="preserve"> </w:t>
      </w:r>
      <w:r>
        <w:rPr>
          <w:rFonts w:cs="Arial"/>
        </w:rPr>
        <w:t>hate crimes.</w:t>
      </w:r>
      <w:r w:rsidR="00306DD0">
        <w:rPr>
          <w:rFonts w:cs="Arial"/>
        </w:rPr>
        <w:t xml:space="preserve">  This has included:</w:t>
      </w:r>
    </w:p>
    <w:p w14:paraId="4964EFC1" w14:textId="77777777" w:rsidR="00592493" w:rsidRDefault="00306DD0" w:rsidP="00EC4278">
      <w:pPr>
        <w:pStyle w:val="ListParagraph"/>
        <w:numPr>
          <w:ilvl w:val="1"/>
          <w:numId w:val="4"/>
        </w:numPr>
        <w:spacing w:before="120" w:after="120" w:line="276" w:lineRule="auto"/>
        <w:ind w:left="1417" w:hanging="425"/>
        <w:contextualSpacing w:val="0"/>
        <w:rPr>
          <w:rFonts w:cs="Arial"/>
        </w:rPr>
      </w:pPr>
      <w:r>
        <w:rPr>
          <w:rFonts w:cs="Arial"/>
        </w:rPr>
        <w:t>In 2015</w:t>
      </w:r>
      <w:r w:rsidR="00D86187">
        <w:rPr>
          <w:rFonts w:cs="Arial"/>
        </w:rPr>
        <w:t>,</w:t>
      </w:r>
      <w:r>
        <w:rPr>
          <w:rFonts w:cs="Arial"/>
        </w:rPr>
        <w:t xml:space="preserve"> holding a seminar of academics, police, and Commission officers about the effectiveness of </w:t>
      </w:r>
      <w:r w:rsidR="00D86187">
        <w:rPr>
          <w:rFonts w:cs="Arial"/>
        </w:rPr>
        <w:t xml:space="preserve">vilification laws; </w:t>
      </w:r>
    </w:p>
    <w:p w14:paraId="0777546F" w14:textId="49F35E58" w:rsidR="00306DD0" w:rsidRDefault="00773792" w:rsidP="00EC4278">
      <w:pPr>
        <w:pStyle w:val="ListParagraph"/>
        <w:numPr>
          <w:ilvl w:val="1"/>
          <w:numId w:val="4"/>
        </w:numPr>
        <w:spacing w:before="120" w:after="120" w:line="276" w:lineRule="auto"/>
        <w:ind w:left="1417" w:hanging="425"/>
        <w:contextualSpacing w:val="0"/>
        <w:rPr>
          <w:rFonts w:cs="Arial"/>
        </w:rPr>
      </w:pPr>
      <w:r>
        <w:rPr>
          <w:rFonts w:cs="Arial"/>
        </w:rPr>
        <w:t>In 2016, c</w:t>
      </w:r>
      <w:r w:rsidR="00592493">
        <w:rPr>
          <w:rFonts w:cs="Arial"/>
        </w:rPr>
        <w:t>onsulting with Translink</w:t>
      </w:r>
      <w:r>
        <w:rPr>
          <w:rFonts w:cs="Arial"/>
        </w:rPr>
        <w:t xml:space="preserve"> and the Queensland Police Service to improve the transport service experiences of groups subjected to v</w:t>
      </w:r>
      <w:r w:rsidR="00BB0330">
        <w:rPr>
          <w:rFonts w:cs="Arial"/>
        </w:rPr>
        <w:t>ilification.  Outcomes included</w:t>
      </w:r>
      <w:r>
        <w:rPr>
          <w:rFonts w:cs="Arial"/>
        </w:rPr>
        <w:t xml:space="preserve"> the Commission </w:t>
      </w:r>
      <w:r w:rsidR="00592493">
        <w:rPr>
          <w:rFonts w:cs="Arial"/>
        </w:rPr>
        <w:t xml:space="preserve"> developing and delivering tailored training for bus operators; </w:t>
      </w:r>
      <w:r w:rsidR="00D86187">
        <w:rPr>
          <w:rFonts w:cs="Arial"/>
        </w:rPr>
        <w:t>and</w:t>
      </w:r>
    </w:p>
    <w:p w14:paraId="54AED273" w14:textId="16366D77" w:rsidR="00303936" w:rsidRDefault="00D86187" w:rsidP="00306DD0">
      <w:pPr>
        <w:pStyle w:val="ListParagraph"/>
        <w:numPr>
          <w:ilvl w:val="1"/>
          <w:numId w:val="4"/>
        </w:numPr>
        <w:spacing w:before="120" w:after="240" w:line="276" w:lineRule="auto"/>
        <w:ind w:left="1418" w:hanging="425"/>
        <w:contextualSpacing w:val="0"/>
        <w:rPr>
          <w:rFonts w:cs="Arial"/>
        </w:rPr>
      </w:pPr>
      <w:r>
        <w:rPr>
          <w:rFonts w:cs="Arial"/>
        </w:rPr>
        <w:t>In 2020, facilitating t</w:t>
      </w:r>
      <w:r w:rsidR="00592493">
        <w:rPr>
          <w:rFonts w:cs="Arial"/>
        </w:rPr>
        <w:t>he development and advocacy of th</w:t>
      </w:r>
      <w:r w:rsidR="00773792">
        <w:rPr>
          <w:rFonts w:cs="Arial"/>
        </w:rPr>
        <w:t>e</w:t>
      </w:r>
      <w:r>
        <w:rPr>
          <w:rFonts w:cs="Arial"/>
        </w:rPr>
        <w:t xml:space="preserve"> community representative group, the Cohesive Communities Coalition.</w:t>
      </w:r>
    </w:p>
    <w:p w14:paraId="199B5D9C" w14:textId="16818E7E" w:rsidR="00D86187" w:rsidRDefault="00D86187" w:rsidP="00D86187">
      <w:pPr>
        <w:pStyle w:val="ListParagraph"/>
        <w:numPr>
          <w:ilvl w:val="0"/>
          <w:numId w:val="4"/>
        </w:numPr>
        <w:spacing w:before="120" w:after="240" w:line="276" w:lineRule="auto"/>
        <w:ind w:left="567" w:hanging="567"/>
        <w:contextualSpacing w:val="0"/>
        <w:rPr>
          <w:rFonts w:cs="Arial"/>
        </w:rPr>
      </w:pPr>
      <w:r>
        <w:rPr>
          <w:rFonts w:cs="Arial"/>
        </w:rPr>
        <w:t xml:space="preserve">The </w:t>
      </w:r>
      <w:r w:rsidR="00B54D50">
        <w:rPr>
          <w:rFonts w:cs="Arial"/>
        </w:rPr>
        <w:t xml:space="preserve">Commission has assisted the </w:t>
      </w:r>
      <w:r>
        <w:rPr>
          <w:rFonts w:cs="Arial"/>
        </w:rPr>
        <w:t xml:space="preserve">Cohesive Communities Coalition </w:t>
      </w:r>
      <w:r w:rsidR="00B54D50">
        <w:rPr>
          <w:rFonts w:cs="Arial"/>
        </w:rPr>
        <w:t xml:space="preserve">to develop </w:t>
      </w:r>
      <w:r w:rsidR="00592493">
        <w:rPr>
          <w:rFonts w:cs="Arial"/>
        </w:rPr>
        <w:t>the</w:t>
      </w:r>
      <w:r>
        <w:rPr>
          <w:rFonts w:cs="Arial"/>
        </w:rPr>
        <w:t xml:space="preserve"> Options Paper, </w:t>
      </w:r>
      <w:r>
        <w:rPr>
          <w:rFonts w:cs="Arial"/>
          <w:i/>
        </w:rPr>
        <w:t xml:space="preserve">Serious vilification and hate </w:t>
      </w:r>
      <w:r w:rsidR="00DA3A48">
        <w:rPr>
          <w:rFonts w:cs="Arial"/>
          <w:i/>
        </w:rPr>
        <w:t>c</w:t>
      </w:r>
      <w:r>
        <w:rPr>
          <w:rFonts w:cs="Arial"/>
          <w:i/>
        </w:rPr>
        <w:t>rime: The need for legislative law</w:t>
      </w:r>
      <w:r>
        <w:rPr>
          <w:rFonts w:cs="Arial"/>
        </w:rPr>
        <w:t xml:space="preserve"> </w:t>
      </w:r>
      <w:r>
        <w:rPr>
          <w:rFonts w:cs="Arial"/>
          <w:i/>
        </w:rPr>
        <w:t>reform</w:t>
      </w:r>
      <w:r w:rsidR="00380598">
        <w:rPr>
          <w:rFonts w:cs="Arial"/>
        </w:rPr>
        <w:t xml:space="preserve"> (the </w:t>
      </w:r>
      <w:r w:rsidR="00380598" w:rsidRPr="00F70469">
        <w:rPr>
          <w:rFonts w:cs="Arial"/>
          <w:b/>
        </w:rPr>
        <w:t>Options Paper</w:t>
      </w:r>
      <w:r w:rsidR="00380598">
        <w:rPr>
          <w:rFonts w:cs="Arial"/>
        </w:rPr>
        <w:t>)</w:t>
      </w:r>
      <w:r w:rsidR="00C546E5">
        <w:rPr>
          <w:rFonts w:cs="Arial"/>
        </w:rPr>
        <w:t xml:space="preserve"> that the group has published</w:t>
      </w:r>
      <w:r>
        <w:rPr>
          <w:rFonts w:cs="Arial"/>
        </w:rPr>
        <w:t xml:space="preserve">, and </w:t>
      </w:r>
      <w:r w:rsidR="00B54D50">
        <w:rPr>
          <w:rFonts w:cs="Arial"/>
        </w:rPr>
        <w:t xml:space="preserve">the group has </w:t>
      </w:r>
      <w:r>
        <w:rPr>
          <w:rFonts w:cs="Arial"/>
        </w:rPr>
        <w:t>formed a campaign known as Better Laws 4 Safe Queensland.</w:t>
      </w:r>
      <w:r>
        <w:rPr>
          <w:rStyle w:val="FootnoteReference"/>
          <w:rFonts w:cs="Arial"/>
        </w:rPr>
        <w:footnoteReference w:id="2"/>
      </w:r>
      <w:r w:rsidR="00773792">
        <w:rPr>
          <w:rFonts w:cs="Arial"/>
        </w:rPr>
        <w:t xml:space="preserve">  The terms of reference of this inquiry require the Committee to consider the Options Paper.</w:t>
      </w:r>
    </w:p>
    <w:p w14:paraId="50B06A00" w14:textId="7C72C87D" w:rsidR="0096351D" w:rsidRDefault="0096351D" w:rsidP="00D86187">
      <w:pPr>
        <w:pStyle w:val="ListParagraph"/>
        <w:numPr>
          <w:ilvl w:val="0"/>
          <w:numId w:val="4"/>
        </w:numPr>
        <w:spacing w:before="120" w:after="240" w:line="276" w:lineRule="auto"/>
        <w:ind w:left="567" w:hanging="567"/>
        <w:contextualSpacing w:val="0"/>
        <w:rPr>
          <w:rFonts w:cs="Arial"/>
        </w:rPr>
      </w:pPr>
      <w:r>
        <w:rPr>
          <w:rFonts w:cs="Arial"/>
        </w:rPr>
        <w:t xml:space="preserve">The Options Paper includes examples </w:t>
      </w:r>
      <w:r w:rsidR="00B16D65">
        <w:rPr>
          <w:rFonts w:cs="Arial"/>
        </w:rPr>
        <w:t xml:space="preserve">of crimes and vilification to which members of the communities have been subjected, and </w:t>
      </w:r>
      <w:r w:rsidR="00857062">
        <w:rPr>
          <w:rFonts w:cs="Arial"/>
        </w:rPr>
        <w:t xml:space="preserve">highlights some of </w:t>
      </w:r>
      <w:r w:rsidR="00B16D65">
        <w:rPr>
          <w:rFonts w:cs="Arial"/>
        </w:rPr>
        <w:t>the inadequacies of current protections.</w:t>
      </w:r>
    </w:p>
    <w:p w14:paraId="547C1619" w14:textId="64632452" w:rsidR="00CC2930" w:rsidRPr="00CC2930" w:rsidRDefault="00592493" w:rsidP="00B414BB">
      <w:pPr>
        <w:pStyle w:val="Heading1"/>
        <w:spacing w:before="0"/>
      </w:pPr>
      <w:bookmarkStart w:id="3" w:name="_Toc76730682"/>
      <w:r>
        <w:lastRenderedPageBreak/>
        <w:t>H</w:t>
      </w:r>
      <w:r w:rsidR="00E83035">
        <w:t>ate speech</w:t>
      </w:r>
      <w:r>
        <w:t xml:space="preserve"> and hate crime</w:t>
      </w:r>
      <w:bookmarkEnd w:id="3"/>
    </w:p>
    <w:p w14:paraId="0A054716" w14:textId="614AC8A2" w:rsidR="005557EC" w:rsidRDefault="005557EC" w:rsidP="0004571C">
      <w:pPr>
        <w:pStyle w:val="ListParagraph"/>
        <w:numPr>
          <w:ilvl w:val="0"/>
          <w:numId w:val="4"/>
        </w:numPr>
        <w:spacing w:before="120" w:after="240" w:line="276" w:lineRule="auto"/>
        <w:ind w:left="567" w:hanging="567"/>
        <w:contextualSpacing w:val="0"/>
        <w:rPr>
          <w:rFonts w:cs="Arial"/>
          <w:color w:val="000000"/>
        </w:rPr>
      </w:pPr>
      <w:r>
        <w:rPr>
          <w:rFonts w:cs="Arial"/>
          <w:color w:val="000000"/>
        </w:rPr>
        <w:t>The</w:t>
      </w:r>
      <w:r w:rsidR="00CD4FA1">
        <w:rPr>
          <w:rFonts w:cs="Arial"/>
          <w:color w:val="000000"/>
        </w:rPr>
        <w:t>re is no</w:t>
      </w:r>
      <w:r>
        <w:rPr>
          <w:rFonts w:cs="Arial"/>
          <w:color w:val="000000"/>
        </w:rPr>
        <w:t xml:space="preserve"> </w:t>
      </w:r>
      <w:r w:rsidR="00CD4FA1">
        <w:rPr>
          <w:rFonts w:cs="Arial"/>
          <w:color w:val="000000"/>
        </w:rPr>
        <w:t xml:space="preserve">universally accepted meaning of the </w:t>
      </w:r>
      <w:r>
        <w:rPr>
          <w:rFonts w:cs="Arial"/>
          <w:color w:val="000000"/>
        </w:rPr>
        <w:t>term ‘hate speech’</w:t>
      </w:r>
      <w:r w:rsidR="00CD4FA1">
        <w:rPr>
          <w:rFonts w:cs="Arial"/>
          <w:color w:val="000000"/>
        </w:rPr>
        <w:t>, however it</w:t>
      </w:r>
      <w:r>
        <w:rPr>
          <w:rFonts w:cs="Arial"/>
          <w:color w:val="000000"/>
        </w:rPr>
        <w:t xml:space="preserve"> is generally understood </w:t>
      </w:r>
      <w:r w:rsidR="00856C7A">
        <w:rPr>
          <w:rFonts w:cs="Arial"/>
          <w:color w:val="000000"/>
        </w:rPr>
        <w:t>as</w:t>
      </w:r>
      <w:r w:rsidR="00B54D50">
        <w:rPr>
          <w:rFonts w:cs="Arial"/>
          <w:color w:val="000000"/>
        </w:rPr>
        <w:t xml:space="preserve"> any means of communication</w:t>
      </w:r>
      <w:r>
        <w:rPr>
          <w:rFonts w:cs="Arial"/>
          <w:color w:val="000000"/>
        </w:rPr>
        <w:t xml:space="preserve"> that expresses hostility towards, or contempt for, a person or group on the basis of common characteristics, such as race and/or religion.</w:t>
      </w:r>
    </w:p>
    <w:p w14:paraId="0E387AEF" w14:textId="64AC3D67" w:rsidR="00592493" w:rsidRDefault="005B6B4B" w:rsidP="0004571C">
      <w:pPr>
        <w:pStyle w:val="ListParagraph"/>
        <w:numPr>
          <w:ilvl w:val="0"/>
          <w:numId w:val="4"/>
        </w:numPr>
        <w:spacing w:before="120" w:after="240" w:line="276" w:lineRule="auto"/>
        <w:ind w:left="567" w:hanging="567"/>
        <w:contextualSpacing w:val="0"/>
        <w:rPr>
          <w:rFonts w:cs="Arial"/>
          <w:color w:val="000000"/>
        </w:rPr>
      </w:pPr>
      <w:r w:rsidRPr="00435A37">
        <w:rPr>
          <w:rFonts w:cs="Arial"/>
          <w:color w:val="000000"/>
        </w:rPr>
        <w:t xml:space="preserve">Hate crime is offending that is motivated by hatred or contempt, and </w:t>
      </w:r>
      <w:r w:rsidR="002B0F1E">
        <w:rPr>
          <w:rFonts w:cs="Arial"/>
          <w:color w:val="000000"/>
        </w:rPr>
        <w:t xml:space="preserve">happens in in all types of criminal </w:t>
      </w:r>
      <w:r w:rsidRPr="00435A37">
        <w:rPr>
          <w:rFonts w:cs="Arial"/>
          <w:color w:val="000000"/>
        </w:rPr>
        <w:t xml:space="preserve">offences </w:t>
      </w:r>
      <w:r w:rsidR="002B0F1E">
        <w:rPr>
          <w:rFonts w:cs="Arial"/>
          <w:color w:val="000000"/>
        </w:rPr>
        <w:t>including</w:t>
      </w:r>
      <w:r w:rsidRPr="00435A37">
        <w:rPr>
          <w:rFonts w:cs="Arial"/>
          <w:color w:val="000000"/>
        </w:rPr>
        <w:t xml:space="preserve"> assault, nuisance, and wilful damage.  The </w:t>
      </w:r>
      <w:r w:rsidR="002B0F1E">
        <w:rPr>
          <w:rFonts w:cs="Arial"/>
          <w:color w:val="000000"/>
        </w:rPr>
        <w:t>ethos</w:t>
      </w:r>
      <w:r w:rsidRPr="00435A37">
        <w:rPr>
          <w:rFonts w:cs="Arial"/>
          <w:color w:val="000000"/>
        </w:rPr>
        <w:t xml:space="preserve"> of hate is most commonly based on race and/or religion, </w:t>
      </w:r>
      <w:r w:rsidR="001A416E">
        <w:rPr>
          <w:rFonts w:cs="Arial"/>
          <w:color w:val="000000"/>
        </w:rPr>
        <w:t xml:space="preserve">sexuality, or gender identity, </w:t>
      </w:r>
      <w:r w:rsidRPr="00435A37">
        <w:rPr>
          <w:rFonts w:cs="Arial"/>
          <w:color w:val="000000"/>
        </w:rPr>
        <w:t>although women and other groups are also the target of hate speech and hate crime.</w:t>
      </w:r>
      <w:r>
        <w:rPr>
          <w:rStyle w:val="FootnoteReference"/>
          <w:rFonts w:cs="Arial"/>
          <w:color w:val="000000"/>
        </w:rPr>
        <w:footnoteReference w:id="3"/>
      </w:r>
    </w:p>
    <w:p w14:paraId="5E0C1868" w14:textId="77777777" w:rsidR="005B6B4B" w:rsidRDefault="005B6B4B" w:rsidP="005B6B4B">
      <w:pPr>
        <w:pStyle w:val="ListParagraph"/>
        <w:numPr>
          <w:ilvl w:val="0"/>
          <w:numId w:val="4"/>
        </w:numPr>
        <w:spacing w:before="120" w:after="240" w:line="276" w:lineRule="auto"/>
        <w:ind w:left="567" w:hanging="567"/>
        <w:contextualSpacing w:val="0"/>
        <w:rPr>
          <w:rFonts w:cs="Arial"/>
          <w:color w:val="000000"/>
        </w:rPr>
      </w:pPr>
      <w:r w:rsidRPr="003977F4">
        <w:rPr>
          <w:rFonts w:cs="Arial"/>
          <w:color w:val="000000"/>
        </w:rPr>
        <w:t>Extremist and hate groups are on the rise in Australia and around the world, leading to increase in hate speech, which in turn leads to an increase in hate crime.</w:t>
      </w:r>
      <w:r w:rsidRPr="003977F4">
        <w:rPr>
          <w:rStyle w:val="FootnoteReference"/>
          <w:rFonts w:cs="Arial"/>
          <w:color w:val="000000"/>
        </w:rPr>
        <w:footnoteReference w:id="4"/>
      </w:r>
      <w:r w:rsidRPr="00435A37">
        <w:rPr>
          <w:rFonts w:cs="Arial"/>
          <w:color w:val="000000"/>
        </w:rPr>
        <w:t xml:space="preserve">  </w:t>
      </w:r>
      <w:r>
        <w:rPr>
          <w:rFonts w:cs="Arial"/>
          <w:color w:val="000000"/>
        </w:rPr>
        <w:t>The Royal Commission of Inquiry into the terrorist attack on Christchurch mosques on 15 March 2019 reported (citations omitted)</w:t>
      </w:r>
      <w:r>
        <w:rPr>
          <w:rStyle w:val="FootnoteReference"/>
          <w:rFonts w:cs="Arial"/>
          <w:color w:val="000000"/>
        </w:rPr>
        <w:footnoteReference w:id="5"/>
      </w:r>
      <w:r>
        <w:rPr>
          <w:rFonts w:cs="Arial"/>
          <w:color w:val="000000"/>
        </w:rPr>
        <w:t>:</w:t>
      </w:r>
    </w:p>
    <w:p w14:paraId="111146CB" w14:textId="77777777" w:rsidR="005B6B4B" w:rsidRPr="008C37D3" w:rsidRDefault="005B6B4B" w:rsidP="003F741D">
      <w:pPr>
        <w:pStyle w:val="NormalWeb"/>
        <w:shd w:val="clear" w:color="auto" w:fill="FFFFFF"/>
        <w:spacing w:before="120" w:beforeAutospacing="0" w:after="120" w:afterAutospacing="0"/>
        <w:ind w:left="1134" w:right="561" w:hanging="420"/>
        <w:rPr>
          <w:rFonts w:ascii="Arial" w:hAnsi="Arial" w:cs="Arial"/>
          <w:color w:val="1A1A1A"/>
          <w:spacing w:val="4"/>
          <w:sz w:val="22"/>
          <w:szCs w:val="22"/>
        </w:rPr>
      </w:pPr>
      <w:r w:rsidRPr="008C37D3">
        <w:rPr>
          <w:rStyle w:val="content-elementreference"/>
          <w:rFonts w:ascii="Arial" w:hAnsi="Arial" w:cs="Arial"/>
          <w:color w:val="1A1A1A"/>
          <w:spacing w:val="4"/>
          <w:sz w:val="22"/>
          <w:szCs w:val="22"/>
        </w:rPr>
        <w:t>13</w:t>
      </w:r>
      <w:r w:rsidRPr="008C37D3">
        <w:rPr>
          <w:rFonts w:ascii="Arial" w:hAnsi="Arial" w:cs="Arial"/>
          <w:color w:val="1A1A1A"/>
          <w:spacing w:val="4"/>
          <w:sz w:val="22"/>
          <w:szCs w:val="22"/>
        </w:rPr>
        <w:t>.  Research shows that there is a link between hate speech and hate crime. A recent study investigated whether there is a link between hate speech online and hate crime offline. Researchers collected Twitter and Police-recorded hate crime data over an eight-month period in London and built a series of statistical models to identify whether there is a significant association.</w:t>
      </w:r>
      <w:r>
        <w:rPr>
          <w:rFonts w:ascii="Arial" w:hAnsi="Arial" w:cs="Arial"/>
          <w:color w:val="1A1A1A"/>
          <w:spacing w:val="4"/>
          <w:sz w:val="22"/>
          <w:szCs w:val="22"/>
        </w:rPr>
        <w:t xml:space="preserve">  </w:t>
      </w:r>
      <w:r w:rsidRPr="008C37D3">
        <w:rPr>
          <w:rFonts w:ascii="Arial" w:hAnsi="Arial" w:cs="Arial"/>
          <w:color w:val="1A1A1A"/>
          <w:spacing w:val="4"/>
          <w:sz w:val="22"/>
          <w:szCs w:val="22"/>
        </w:rPr>
        <w:t xml:space="preserve">The </w:t>
      </w:r>
      <w:r>
        <w:rPr>
          <w:rFonts w:ascii="Arial" w:hAnsi="Arial" w:cs="Arial"/>
          <w:color w:val="1A1A1A"/>
          <w:spacing w:val="4"/>
          <w:sz w:val="22"/>
          <w:szCs w:val="22"/>
        </w:rPr>
        <w:t>results of the study indicated ‘</w:t>
      </w:r>
      <w:r w:rsidRPr="008C37D3">
        <w:rPr>
          <w:rFonts w:ascii="Arial" w:hAnsi="Arial" w:cs="Arial"/>
          <w:color w:val="1A1A1A"/>
          <w:spacing w:val="4"/>
          <w:sz w:val="22"/>
          <w:szCs w:val="22"/>
        </w:rPr>
        <w:t>a consistent positive association between Twitter hate speech targeting race and religion and offline racially and religiousl</w:t>
      </w:r>
      <w:r>
        <w:rPr>
          <w:rFonts w:ascii="Arial" w:hAnsi="Arial" w:cs="Arial"/>
          <w:color w:val="1A1A1A"/>
          <w:spacing w:val="4"/>
          <w:sz w:val="22"/>
          <w:szCs w:val="22"/>
        </w:rPr>
        <w:t>y aggravated offences in London’</w:t>
      </w:r>
      <w:r w:rsidRPr="008C37D3">
        <w:rPr>
          <w:rFonts w:ascii="Arial" w:hAnsi="Arial" w:cs="Arial"/>
          <w:color w:val="1A1A1A"/>
          <w:spacing w:val="4"/>
          <w:sz w:val="22"/>
          <w:szCs w:val="22"/>
        </w:rPr>
        <w:t>. What thi</w:t>
      </w:r>
      <w:r>
        <w:rPr>
          <w:rFonts w:ascii="Arial" w:hAnsi="Arial" w:cs="Arial"/>
          <w:color w:val="1A1A1A"/>
          <w:spacing w:val="4"/>
          <w:sz w:val="22"/>
          <w:szCs w:val="22"/>
        </w:rPr>
        <w:t>s demonstrates is that ‘</w:t>
      </w:r>
      <w:r w:rsidRPr="008C37D3">
        <w:rPr>
          <w:rFonts w:ascii="Arial" w:hAnsi="Arial" w:cs="Arial"/>
          <w:color w:val="1A1A1A"/>
          <w:spacing w:val="4"/>
          <w:sz w:val="22"/>
          <w:szCs w:val="22"/>
        </w:rPr>
        <w:t>online hate victimisation is part of a wider process of harm that can begin on social media and the</w:t>
      </w:r>
      <w:r>
        <w:rPr>
          <w:rFonts w:ascii="Arial" w:hAnsi="Arial" w:cs="Arial"/>
          <w:color w:val="1A1A1A"/>
          <w:spacing w:val="4"/>
          <w:sz w:val="22"/>
          <w:szCs w:val="22"/>
        </w:rPr>
        <w:t>n migrate to the physical world’</w:t>
      </w:r>
      <w:r w:rsidRPr="008C37D3">
        <w:rPr>
          <w:rFonts w:ascii="Arial" w:hAnsi="Arial" w:cs="Arial"/>
          <w:color w:val="1A1A1A"/>
          <w:spacing w:val="4"/>
          <w:sz w:val="22"/>
          <w:szCs w:val="22"/>
        </w:rPr>
        <w:t>.</w:t>
      </w:r>
      <w:r>
        <w:rPr>
          <w:rFonts w:ascii="Arial" w:hAnsi="Arial" w:cs="Arial"/>
          <w:color w:val="1A1A1A"/>
          <w:spacing w:val="4"/>
          <w:sz w:val="22"/>
          <w:szCs w:val="22"/>
        </w:rPr>
        <w:t xml:space="preserve">  The study notes that if ‘</w:t>
      </w:r>
      <w:r w:rsidRPr="008C37D3">
        <w:rPr>
          <w:rFonts w:ascii="Arial" w:hAnsi="Arial" w:cs="Arial"/>
          <w:color w:val="1A1A1A"/>
          <w:spacing w:val="4"/>
          <w:sz w:val="22"/>
          <w:szCs w:val="22"/>
        </w:rPr>
        <w:t xml:space="preserve">we are to explain hate crime as a process and not a discrete act, with victimisation ranging from hate speech through to violent victimisation, social media must </w:t>
      </w:r>
      <w:r>
        <w:rPr>
          <w:rFonts w:ascii="Arial" w:hAnsi="Arial" w:cs="Arial"/>
          <w:color w:val="1A1A1A"/>
          <w:spacing w:val="4"/>
          <w:sz w:val="22"/>
          <w:szCs w:val="22"/>
        </w:rPr>
        <w:t>form part of that understanding’</w:t>
      </w:r>
      <w:r w:rsidRPr="008C37D3">
        <w:rPr>
          <w:rFonts w:ascii="Arial" w:hAnsi="Arial" w:cs="Arial"/>
          <w:color w:val="1A1A1A"/>
          <w:spacing w:val="4"/>
          <w:sz w:val="22"/>
          <w:szCs w:val="22"/>
        </w:rPr>
        <w:t>.</w:t>
      </w:r>
      <w:r>
        <w:rPr>
          <w:rFonts w:ascii="Arial" w:hAnsi="Arial" w:cs="Arial"/>
          <w:color w:val="1A1A1A"/>
          <w:spacing w:val="4"/>
          <w:sz w:val="22"/>
          <w:szCs w:val="22"/>
        </w:rPr>
        <w:t xml:space="preserve">  </w:t>
      </w:r>
      <w:r w:rsidRPr="008C37D3">
        <w:rPr>
          <w:rFonts w:ascii="Arial" w:hAnsi="Arial" w:cs="Arial"/>
          <w:color w:val="1A1A1A"/>
          <w:spacing w:val="4"/>
          <w:sz w:val="22"/>
          <w:szCs w:val="22"/>
        </w:rPr>
        <w:t>There is value therefore in seeking to reduce hate speech online and offline, not only to prevent the direct harm it causes but also to limit escalation of hate speech to hate crime.</w:t>
      </w:r>
    </w:p>
    <w:p w14:paraId="5ED59AA2" w14:textId="7C2C0FC1" w:rsidR="005B6B4B" w:rsidRDefault="005B6B4B" w:rsidP="005B6B4B">
      <w:pPr>
        <w:pStyle w:val="NormalWeb"/>
        <w:shd w:val="clear" w:color="auto" w:fill="FFFFFF"/>
        <w:spacing w:before="120" w:beforeAutospacing="0" w:after="120" w:afterAutospacing="0"/>
        <w:ind w:left="1134" w:right="561" w:hanging="420"/>
        <w:rPr>
          <w:rFonts w:ascii="Arial" w:hAnsi="Arial" w:cs="Arial"/>
          <w:color w:val="1A1A1A"/>
          <w:spacing w:val="4"/>
          <w:sz w:val="22"/>
          <w:szCs w:val="22"/>
        </w:rPr>
      </w:pPr>
      <w:r w:rsidRPr="008C37D3">
        <w:rPr>
          <w:rStyle w:val="content-elementreference"/>
          <w:rFonts w:ascii="Arial" w:hAnsi="Arial" w:cs="Arial"/>
          <w:color w:val="1A1A1A"/>
          <w:spacing w:val="4"/>
          <w:sz w:val="22"/>
          <w:szCs w:val="22"/>
        </w:rPr>
        <w:lastRenderedPageBreak/>
        <w:t>14.</w:t>
      </w:r>
      <w:r>
        <w:rPr>
          <w:rStyle w:val="content-elementreference"/>
          <w:rFonts w:cs="Arial"/>
          <w:color w:val="1A1A1A"/>
          <w:spacing w:val="4"/>
          <w:sz w:val="22"/>
          <w:szCs w:val="22"/>
        </w:rPr>
        <w:t xml:space="preserve">  </w:t>
      </w:r>
      <w:r w:rsidRPr="008C37D3">
        <w:rPr>
          <w:rFonts w:ascii="Arial" w:hAnsi="Arial" w:cs="Arial"/>
          <w:color w:val="1A1A1A"/>
          <w:spacing w:val="4"/>
          <w:sz w:val="22"/>
          <w:szCs w:val="22"/>
        </w:rPr>
        <w:t xml:space="preserve">It is also plausible to see a link between hate crime and terrorism. </w:t>
      </w:r>
      <w:r>
        <w:rPr>
          <w:rFonts w:ascii="Arial" w:hAnsi="Arial" w:cs="Arial"/>
          <w:color w:val="1A1A1A"/>
          <w:spacing w:val="4"/>
          <w:sz w:val="22"/>
          <w:szCs w:val="22"/>
        </w:rPr>
        <w:t xml:space="preserve"> </w:t>
      </w:r>
      <w:r w:rsidRPr="008C37D3">
        <w:rPr>
          <w:rFonts w:ascii="Arial" w:hAnsi="Arial" w:cs="Arial"/>
          <w:color w:val="1A1A1A"/>
          <w:spacing w:val="4"/>
          <w:sz w:val="22"/>
          <w:szCs w:val="22"/>
        </w:rPr>
        <w:t>Another recent study concluded:</w:t>
      </w:r>
    </w:p>
    <w:p w14:paraId="1F409C84" w14:textId="77777777" w:rsidR="005B6B4B" w:rsidRPr="008C37D3" w:rsidRDefault="005B6B4B" w:rsidP="003F741D">
      <w:pPr>
        <w:pStyle w:val="NormalWeb"/>
        <w:shd w:val="clear" w:color="auto" w:fill="FFFFFF"/>
        <w:spacing w:before="0" w:beforeAutospacing="0" w:after="240" w:afterAutospacing="0"/>
        <w:ind w:left="1440" w:right="987"/>
        <w:rPr>
          <w:rFonts w:ascii="Arial" w:hAnsi="Arial" w:cs="Arial"/>
          <w:color w:val="1A1A1A"/>
          <w:spacing w:val="4"/>
          <w:sz w:val="20"/>
          <w:szCs w:val="20"/>
        </w:rPr>
      </w:pPr>
      <w:r w:rsidRPr="008C37D3">
        <w:rPr>
          <w:rStyle w:val="Emphasis"/>
          <w:rFonts w:ascii="Arial" w:hAnsi="Arial" w:cs="Arial"/>
          <w:color w:val="1A1A1A"/>
          <w:spacing w:val="4"/>
          <w:sz w:val="20"/>
          <w:szCs w:val="20"/>
        </w:rPr>
        <w:t>Through the use of multiple data sources, this study uncovers the positive associations between hate crime and terrorism. In the context of intergroup conflict, there appears to be a continuum between the bias-motivated actions of non-extremists to the hate crimes and terrorist acts committed by far-rightists, with the presence of one type of activity seeing an escalation in the next type. As a result, it appears that hate crime and terrorism may be more akin to close cousins than distant relatives.</w:t>
      </w:r>
    </w:p>
    <w:p w14:paraId="0202E05E" w14:textId="21DC8D91" w:rsidR="00592493" w:rsidRDefault="005B6B4B" w:rsidP="0004571C">
      <w:pPr>
        <w:pStyle w:val="ListParagraph"/>
        <w:numPr>
          <w:ilvl w:val="0"/>
          <w:numId w:val="4"/>
        </w:numPr>
        <w:spacing w:before="120" w:after="240" w:line="276" w:lineRule="auto"/>
        <w:ind w:left="567" w:hanging="567"/>
        <w:contextualSpacing w:val="0"/>
        <w:rPr>
          <w:rFonts w:cs="Arial"/>
          <w:color w:val="000000"/>
        </w:rPr>
      </w:pPr>
      <w:r>
        <w:rPr>
          <w:rFonts w:cs="Arial"/>
          <w:color w:val="1A1A1A"/>
          <w:spacing w:val="4"/>
          <w:shd w:val="clear" w:color="auto" w:fill="FFFFFF"/>
        </w:rPr>
        <w:t xml:space="preserve">Reports indicate that </w:t>
      </w:r>
      <w:r w:rsidRPr="00FF4CD2">
        <w:rPr>
          <w:rFonts w:cs="Arial"/>
          <w:color w:val="1A1A1A"/>
          <w:spacing w:val="4"/>
          <w:shd w:val="clear" w:color="auto" w:fill="FFFFFF"/>
        </w:rPr>
        <w:t>racially based vilification and discrimination has significantly increased in Australia with the onset of COVID-19.</w:t>
      </w:r>
    </w:p>
    <w:p w14:paraId="4225E99E" w14:textId="026C15ED" w:rsidR="00514765" w:rsidRDefault="00514765" w:rsidP="00514765">
      <w:pPr>
        <w:pStyle w:val="ListParagraph"/>
        <w:numPr>
          <w:ilvl w:val="0"/>
          <w:numId w:val="4"/>
        </w:numPr>
        <w:spacing w:before="120" w:after="240" w:line="276" w:lineRule="auto"/>
        <w:ind w:left="567" w:hanging="567"/>
        <w:contextualSpacing w:val="0"/>
        <w:rPr>
          <w:rFonts w:cs="Arial"/>
          <w:color w:val="1A1A1A"/>
          <w:spacing w:val="4"/>
        </w:rPr>
      </w:pPr>
      <w:r>
        <w:rPr>
          <w:rFonts w:cs="Arial"/>
          <w:color w:val="1A1A1A"/>
          <w:spacing w:val="4"/>
        </w:rPr>
        <w:t>The</w:t>
      </w:r>
      <w:r w:rsidRPr="00FF4CD2">
        <w:rPr>
          <w:rFonts w:cs="Arial"/>
          <w:color w:val="1A1A1A"/>
          <w:spacing w:val="4"/>
        </w:rPr>
        <w:t xml:space="preserve"> threat assessment </w:t>
      </w:r>
      <w:r>
        <w:rPr>
          <w:rFonts w:cs="Arial"/>
          <w:color w:val="1A1A1A"/>
          <w:spacing w:val="4"/>
        </w:rPr>
        <w:t xml:space="preserve">by the Australian Security Intelligence Organisation (ASIO) </w:t>
      </w:r>
      <w:r w:rsidRPr="00FF4CD2">
        <w:rPr>
          <w:rFonts w:cs="Arial"/>
          <w:color w:val="1A1A1A"/>
          <w:spacing w:val="4"/>
        </w:rPr>
        <w:t>in February 2020 was that the terrorism threat in Australia now includes a growing and more organised right-wing extremist threat from groups who use Nazi symbols and meet regularly to train in combat.</w:t>
      </w:r>
      <w:r w:rsidRPr="00FF4CD2">
        <w:rPr>
          <w:rStyle w:val="FootnoteReference"/>
          <w:rFonts w:cs="Arial"/>
          <w:color w:val="1A1A1A"/>
          <w:spacing w:val="4"/>
        </w:rPr>
        <w:footnoteReference w:id="6"/>
      </w:r>
      <w:r w:rsidRPr="00FF4CD2">
        <w:rPr>
          <w:rFonts w:cs="Arial"/>
          <w:color w:val="1A1A1A"/>
          <w:spacing w:val="4"/>
        </w:rPr>
        <w:t xml:space="preserve"> </w:t>
      </w:r>
      <w:r>
        <w:rPr>
          <w:rFonts w:cs="Arial"/>
          <w:color w:val="1A1A1A"/>
          <w:spacing w:val="4"/>
        </w:rPr>
        <w:t xml:space="preserve"> </w:t>
      </w:r>
      <w:r w:rsidRPr="00FF4CD2">
        <w:rPr>
          <w:rFonts w:cs="Arial"/>
          <w:color w:val="1A1A1A"/>
          <w:spacing w:val="4"/>
        </w:rPr>
        <w:t xml:space="preserve">Commenting on this assessment, the Australian Strategic Policy Institute suggests that in Australia this has been driven ‘by the normalisation and mainstreaming of extreme right and racist discourse in public life’ over the last decade. </w:t>
      </w:r>
      <w:r>
        <w:rPr>
          <w:rFonts w:cs="Arial"/>
          <w:color w:val="1A1A1A"/>
          <w:spacing w:val="4"/>
        </w:rPr>
        <w:t xml:space="preserve"> </w:t>
      </w:r>
      <w:r w:rsidRPr="00FF4CD2">
        <w:rPr>
          <w:rFonts w:cs="Arial"/>
          <w:color w:val="1A1A1A"/>
          <w:spacing w:val="4"/>
        </w:rPr>
        <w:t>It also suggests that social media has ‘emboldened the expression of right-wing extremist views and perspectives…’ and enabled extremists to share views and encourage ‘real-world violence’</w:t>
      </w:r>
      <w:r w:rsidRPr="00FF4CD2">
        <w:rPr>
          <w:rStyle w:val="FootnoteReference"/>
          <w:rFonts w:cs="Arial"/>
          <w:color w:val="1A1A1A"/>
          <w:spacing w:val="4"/>
        </w:rPr>
        <w:footnoteReference w:id="7"/>
      </w:r>
      <w:r w:rsidR="001627CC">
        <w:rPr>
          <w:rFonts w:cs="Arial"/>
          <w:color w:val="1A1A1A"/>
          <w:spacing w:val="4"/>
        </w:rPr>
        <w:t>.</w:t>
      </w:r>
      <w:r>
        <w:rPr>
          <w:rFonts w:cs="Arial"/>
          <w:color w:val="1A1A1A"/>
          <w:spacing w:val="4"/>
        </w:rPr>
        <w:t xml:space="preserve"> </w:t>
      </w:r>
    </w:p>
    <w:p w14:paraId="39C95330" w14:textId="0E718A77" w:rsidR="000B395E" w:rsidRPr="001627CC" w:rsidRDefault="001627CC" w:rsidP="00514765">
      <w:pPr>
        <w:pStyle w:val="ListParagraph"/>
        <w:numPr>
          <w:ilvl w:val="0"/>
          <w:numId w:val="4"/>
        </w:numPr>
        <w:spacing w:before="120" w:after="240" w:line="276" w:lineRule="auto"/>
        <w:ind w:left="567" w:hanging="567"/>
        <w:contextualSpacing w:val="0"/>
        <w:rPr>
          <w:rFonts w:cs="Arial"/>
          <w:color w:val="1A1A1A"/>
          <w:spacing w:val="4"/>
        </w:rPr>
      </w:pPr>
      <w:r w:rsidRPr="001627CC">
        <w:rPr>
          <w:rFonts w:cs="Arial"/>
          <w:color w:val="1A1A1A"/>
          <w:spacing w:val="4"/>
        </w:rPr>
        <w:t>In its submission to the Parliamentary Joint Committee on Intelligence and Security, Inquiry into extremist movements and radicalism in Australia, ASIO advised that Australians as young as 13 and 14 are involved in onshore terrorism, and the threat from extreme right-wing groups and individuals in Australia has increased.  ASIO continues to see more people drawn to and adopting extreme right-wing ideologies.</w:t>
      </w:r>
    </w:p>
    <w:p w14:paraId="3F935264" w14:textId="6909F725" w:rsidR="00514765" w:rsidRPr="00CE1D50" w:rsidRDefault="00514765" w:rsidP="00514765">
      <w:pPr>
        <w:pStyle w:val="ListParagraph"/>
        <w:numPr>
          <w:ilvl w:val="0"/>
          <w:numId w:val="4"/>
        </w:numPr>
        <w:spacing w:before="120" w:after="240" w:line="276" w:lineRule="auto"/>
        <w:ind w:left="567" w:hanging="567"/>
        <w:contextualSpacing w:val="0"/>
        <w:rPr>
          <w:rFonts w:cs="Arial"/>
          <w:color w:val="1A1A1A"/>
          <w:spacing w:val="4"/>
        </w:rPr>
      </w:pPr>
      <w:r w:rsidRPr="00FF4CD2">
        <w:rPr>
          <w:rFonts w:cs="Arial"/>
          <w:color w:val="1A1A1A"/>
          <w:spacing w:val="4"/>
        </w:rPr>
        <w:t>The United Nations warns that globally there is a ‘disturbing groundswell of xenophobia, racism and intolerance’ with ‘Public discourse being weaponised for political gain with incendiary rhetoric that stigmatizes and dehumanises’ many vulnerable groups, and the result that ‘Hate is moving into the mainstream – in liberal democracies and authoritarian systems alike.’</w:t>
      </w:r>
      <w:r w:rsidRPr="00FF4CD2">
        <w:rPr>
          <w:rStyle w:val="FootnoteReference"/>
          <w:rFonts w:cs="Arial"/>
          <w:color w:val="1A1A1A"/>
          <w:spacing w:val="4"/>
        </w:rPr>
        <w:footnoteReference w:id="8"/>
      </w:r>
      <w:r w:rsidRPr="00FF4CD2">
        <w:rPr>
          <w:rFonts w:cs="Arial"/>
          <w:color w:val="1A1A1A"/>
          <w:spacing w:val="4"/>
        </w:rPr>
        <w:t xml:space="preserve"> </w:t>
      </w:r>
      <w:r>
        <w:rPr>
          <w:rFonts w:cs="Arial"/>
          <w:color w:val="1A1A1A"/>
          <w:spacing w:val="4"/>
        </w:rPr>
        <w:t xml:space="preserve"> </w:t>
      </w:r>
      <w:r w:rsidRPr="00FF4CD2">
        <w:rPr>
          <w:rFonts w:cs="Arial"/>
          <w:color w:val="1A1A1A"/>
          <w:spacing w:val="4"/>
        </w:rPr>
        <w:t xml:space="preserve">In July 2020, the UN Security Council Counter-Terrorism Committee </w:t>
      </w:r>
      <w:r w:rsidRPr="00FF4CD2">
        <w:rPr>
          <w:rFonts w:cs="Arial"/>
        </w:rPr>
        <w:t xml:space="preserve">Executive Directorate (CTED) published a ‘Trends Alert’ that noted that ‘extreme right-wing terrorists are using </w:t>
      </w:r>
      <w:r w:rsidRPr="00FF4CD2">
        <w:rPr>
          <w:rFonts w:cs="Arial"/>
        </w:rPr>
        <w:lastRenderedPageBreak/>
        <w:t>COVID-19-related conspiracy theories and disinformation to radicalize, recruit and fundraise, as well as seeking to inspire plots and attacks.’</w:t>
      </w:r>
      <w:r w:rsidRPr="00FF4CD2">
        <w:rPr>
          <w:rStyle w:val="FootnoteReference"/>
          <w:rFonts w:cs="Arial"/>
        </w:rPr>
        <w:footnoteReference w:id="9"/>
      </w:r>
      <w:r w:rsidRPr="00FF4CD2">
        <w:rPr>
          <w:rFonts w:cs="Arial"/>
        </w:rPr>
        <w:t xml:space="preserve">   </w:t>
      </w:r>
    </w:p>
    <w:p w14:paraId="3E5B39FB" w14:textId="4CC84D3D" w:rsidR="00CE1D50" w:rsidRDefault="00CE1D50" w:rsidP="00514765">
      <w:pPr>
        <w:pStyle w:val="ListParagraph"/>
        <w:numPr>
          <w:ilvl w:val="0"/>
          <w:numId w:val="4"/>
        </w:numPr>
        <w:spacing w:before="120" w:after="240" w:line="276" w:lineRule="auto"/>
        <w:ind w:left="567" w:hanging="567"/>
        <w:contextualSpacing w:val="0"/>
        <w:rPr>
          <w:rFonts w:cs="Arial"/>
          <w:color w:val="1A1A1A"/>
          <w:spacing w:val="4"/>
        </w:rPr>
      </w:pPr>
      <w:r>
        <w:rPr>
          <w:rFonts w:cs="Arial"/>
          <w:color w:val="1A1A1A"/>
          <w:spacing w:val="4"/>
        </w:rPr>
        <w:t>The United Nations Special Rapporteur on minority issues has reported that ‘minorities are overwhelmingly the main victims of hate and incitement to violence and discrimination’, and available data on hate speech in social media or on hate crimes show</w:t>
      </w:r>
      <w:r w:rsidR="005A1137">
        <w:rPr>
          <w:rFonts w:cs="Arial"/>
          <w:color w:val="1A1A1A"/>
          <w:spacing w:val="4"/>
        </w:rPr>
        <w:t>s</w:t>
      </w:r>
      <w:r>
        <w:rPr>
          <w:rFonts w:cs="Arial"/>
          <w:color w:val="1A1A1A"/>
          <w:spacing w:val="4"/>
        </w:rPr>
        <w:t xml:space="preserve"> that 70% of those targeted belong to minorities.</w:t>
      </w:r>
      <w:r>
        <w:rPr>
          <w:rStyle w:val="FootnoteReference"/>
          <w:rFonts w:cs="Arial"/>
          <w:color w:val="1A1A1A"/>
          <w:spacing w:val="4"/>
        </w:rPr>
        <w:footnoteReference w:id="10"/>
      </w:r>
    </w:p>
    <w:p w14:paraId="3B480623" w14:textId="6D2EB47C" w:rsidR="00054EDF" w:rsidRPr="00FF4CD2" w:rsidRDefault="00054EDF" w:rsidP="00514765">
      <w:pPr>
        <w:pStyle w:val="ListParagraph"/>
        <w:numPr>
          <w:ilvl w:val="0"/>
          <w:numId w:val="4"/>
        </w:numPr>
        <w:spacing w:before="120" w:after="240" w:line="276" w:lineRule="auto"/>
        <w:ind w:left="567" w:hanging="567"/>
        <w:contextualSpacing w:val="0"/>
        <w:rPr>
          <w:rFonts w:cs="Arial"/>
          <w:color w:val="1A1A1A"/>
          <w:spacing w:val="4"/>
        </w:rPr>
      </w:pPr>
      <w:r>
        <w:rPr>
          <w:rFonts w:cs="Arial"/>
          <w:color w:val="1A1A1A"/>
          <w:spacing w:val="4"/>
        </w:rPr>
        <w:t>The Special Rapporteur (above) expressed concerns that dehumanising language normalises violence against the minority groups to which it is directed, and makes their persecution and elimination acceptable.  He considered that individuals can become enmeshed in confirmation bias in social media, which is an incubating environment conducive to the expression, strengthening, and confirmation of racist, intolerant, and violent viewpoints against certain scapegoated minorities.</w:t>
      </w:r>
      <w:r>
        <w:rPr>
          <w:rStyle w:val="FootnoteReference"/>
          <w:rFonts w:cs="Arial"/>
          <w:color w:val="1A1A1A"/>
          <w:spacing w:val="4"/>
        </w:rPr>
        <w:footnoteReference w:id="11"/>
      </w:r>
    </w:p>
    <w:p w14:paraId="36319CD6" w14:textId="481B3869" w:rsidR="00514765" w:rsidRPr="00543597" w:rsidRDefault="00514765" w:rsidP="00514765">
      <w:pPr>
        <w:pStyle w:val="ListParagraph"/>
        <w:numPr>
          <w:ilvl w:val="0"/>
          <w:numId w:val="4"/>
        </w:numPr>
        <w:spacing w:before="120" w:after="240" w:line="276" w:lineRule="auto"/>
        <w:ind w:left="567" w:hanging="567"/>
        <w:contextualSpacing w:val="0"/>
        <w:rPr>
          <w:rFonts w:cs="Arial"/>
          <w:color w:val="000000"/>
        </w:rPr>
      </w:pPr>
      <w:r w:rsidRPr="006369AF">
        <w:rPr>
          <w:rFonts w:cs="Arial"/>
        </w:rPr>
        <w:t xml:space="preserve">Research shows that anti-crime Facebook groups in Australia ‘have the effect of legitimating racial vilification, vigilantism and violence against racialized ‘others’ and that the current regulation of online racism and racial vilification appears to be profoundly inadequate for addressing these concerns’.  It includes examples of direct links between Facebook groups and incidence of violence, and </w:t>
      </w:r>
      <w:r w:rsidR="002D4BC3">
        <w:rPr>
          <w:rFonts w:cs="Arial"/>
        </w:rPr>
        <w:t>states</w:t>
      </w:r>
      <w:r w:rsidRPr="006369AF">
        <w:rPr>
          <w:rFonts w:cs="Arial"/>
        </w:rPr>
        <w:t xml:space="preserve"> that the constant reinforcement of racist violence is most troubling.</w:t>
      </w:r>
      <w:r>
        <w:rPr>
          <w:rStyle w:val="FootnoteReference"/>
          <w:rFonts w:cs="Arial"/>
        </w:rPr>
        <w:footnoteReference w:id="12"/>
      </w:r>
    </w:p>
    <w:p w14:paraId="034161F0" w14:textId="601B8CFF" w:rsidR="00C373B5" w:rsidRPr="00FA583C" w:rsidRDefault="00FA583C" w:rsidP="0004571C">
      <w:pPr>
        <w:pStyle w:val="ListParagraph"/>
        <w:numPr>
          <w:ilvl w:val="0"/>
          <w:numId w:val="4"/>
        </w:numPr>
        <w:spacing w:before="120" w:after="240" w:line="276" w:lineRule="auto"/>
        <w:ind w:left="567" w:hanging="567"/>
        <w:contextualSpacing w:val="0"/>
        <w:rPr>
          <w:rFonts w:cs="Arial"/>
          <w:color w:val="000000"/>
        </w:rPr>
      </w:pPr>
      <w:r w:rsidRPr="00FA583C">
        <w:rPr>
          <w:rFonts w:cs="Arial"/>
          <w:color w:val="000000"/>
        </w:rPr>
        <w:t xml:space="preserve">Anti-discrimination legislation has an important role in setting standards of behaviour that are expected in a free and democratic society, and in providing avenues for redress for unacceptable conduct.  </w:t>
      </w:r>
    </w:p>
    <w:p w14:paraId="12748982" w14:textId="7772C1EE" w:rsidR="002A512A" w:rsidRDefault="009A3D36" w:rsidP="0004571C">
      <w:pPr>
        <w:pStyle w:val="ListParagraph"/>
        <w:numPr>
          <w:ilvl w:val="0"/>
          <w:numId w:val="4"/>
        </w:numPr>
        <w:spacing w:before="120" w:after="240" w:line="276" w:lineRule="auto"/>
        <w:ind w:left="567" w:hanging="567"/>
        <w:contextualSpacing w:val="0"/>
        <w:rPr>
          <w:rFonts w:cs="Arial"/>
          <w:color w:val="000000"/>
        </w:rPr>
      </w:pPr>
      <w:r>
        <w:rPr>
          <w:rFonts w:cs="Arial"/>
          <w:color w:val="000000"/>
        </w:rPr>
        <w:t>Vilification that is prohibited under the</w:t>
      </w:r>
      <w:r w:rsidR="00005BD1">
        <w:rPr>
          <w:rFonts w:cs="Arial"/>
          <w:color w:val="000000"/>
        </w:rPr>
        <w:t xml:space="preserve"> </w:t>
      </w:r>
      <w:r w:rsidR="002A512A" w:rsidRPr="00C6264C">
        <w:rPr>
          <w:rFonts w:cs="Arial"/>
          <w:i/>
          <w:color w:val="000000"/>
        </w:rPr>
        <w:t>Anti-Discrimination Act 1991</w:t>
      </w:r>
      <w:r w:rsidR="002A512A">
        <w:rPr>
          <w:rFonts w:cs="Arial"/>
          <w:color w:val="000000"/>
        </w:rPr>
        <w:t xml:space="preserve"> </w:t>
      </w:r>
      <w:r>
        <w:rPr>
          <w:rFonts w:cs="Arial"/>
          <w:color w:val="000000"/>
        </w:rPr>
        <w:t>is a public act that incites hatred towards, serious contempt for, or severe ridicule of a person or persons on the ground of race, religion, sexuality or gender identity</w:t>
      </w:r>
      <w:r w:rsidR="00005BD1">
        <w:rPr>
          <w:rFonts w:cs="Arial"/>
          <w:color w:val="000000"/>
        </w:rPr>
        <w:t>.</w:t>
      </w:r>
      <w:r w:rsidR="00005BD1">
        <w:rPr>
          <w:rStyle w:val="FootnoteReference"/>
          <w:rFonts w:cs="Arial"/>
          <w:color w:val="000000"/>
        </w:rPr>
        <w:footnoteReference w:id="13"/>
      </w:r>
      <w:r>
        <w:rPr>
          <w:rFonts w:cs="Arial"/>
          <w:color w:val="000000"/>
        </w:rPr>
        <w:t xml:space="preserve"> </w:t>
      </w:r>
      <w:r w:rsidR="00005BD1">
        <w:rPr>
          <w:rFonts w:cs="Arial"/>
          <w:color w:val="000000"/>
        </w:rPr>
        <w:t xml:space="preserve">  </w:t>
      </w:r>
      <w:r w:rsidR="00FA583C">
        <w:rPr>
          <w:rFonts w:cs="Arial"/>
          <w:color w:val="000000"/>
        </w:rPr>
        <w:t xml:space="preserve">A civil remedy is provided for a contravention of this prohibition, which is commenced by a complaint to the Commission that may be referred to a tribunal for hearing and determination.  </w:t>
      </w:r>
      <w:r w:rsidR="00BF6002">
        <w:rPr>
          <w:rFonts w:cs="Arial"/>
          <w:color w:val="000000"/>
        </w:rPr>
        <w:t xml:space="preserve">However, </w:t>
      </w:r>
      <w:r w:rsidR="00FA583C" w:rsidRPr="00FA583C">
        <w:rPr>
          <w:rFonts w:cs="Arial"/>
          <w:color w:val="000000"/>
        </w:rPr>
        <w:lastRenderedPageBreak/>
        <w:t>complaints</w:t>
      </w:r>
      <w:r w:rsidR="002D4BC3">
        <w:rPr>
          <w:rFonts w:cs="Arial"/>
          <w:color w:val="000000"/>
        </w:rPr>
        <w:t>-</w:t>
      </w:r>
      <w:r w:rsidR="00FA583C" w:rsidRPr="00FA583C">
        <w:rPr>
          <w:rFonts w:cs="Arial"/>
          <w:color w:val="000000"/>
        </w:rPr>
        <w:t>based civil remedies have limited, if any, effect in deterring</w:t>
      </w:r>
      <w:r w:rsidR="00FA583C">
        <w:rPr>
          <w:rFonts w:cs="Arial"/>
          <w:color w:val="000000"/>
        </w:rPr>
        <w:t xml:space="preserve"> more egregious hate speech and incitement that can lead to serious harm and extremism.</w:t>
      </w:r>
    </w:p>
    <w:p w14:paraId="331ADFC7" w14:textId="61EC71E4" w:rsidR="00005BD1" w:rsidRDefault="00334C0E" w:rsidP="0004571C">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The </w:t>
      </w:r>
      <w:r w:rsidR="002A512A">
        <w:rPr>
          <w:rFonts w:cs="Arial"/>
          <w:color w:val="000000"/>
        </w:rPr>
        <w:t>criminal offence of serious vilification</w:t>
      </w:r>
      <w:r w:rsidR="009A3D36">
        <w:rPr>
          <w:rFonts w:cs="Arial"/>
          <w:color w:val="000000"/>
        </w:rPr>
        <w:t xml:space="preserve"> is where a person knowingly or recklessly vilifies a person or group in a way that includes threatening physical harm to person or property, or inciting others to threaten physical harm to person or property</w:t>
      </w:r>
      <w:r w:rsidR="002A512A">
        <w:rPr>
          <w:rFonts w:cs="Arial"/>
          <w:color w:val="000000"/>
        </w:rPr>
        <w:t>.</w:t>
      </w:r>
      <w:r w:rsidR="002A512A">
        <w:rPr>
          <w:rStyle w:val="FootnoteReference"/>
          <w:rFonts w:cs="Arial"/>
          <w:color w:val="000000"/>
        </w:rPr>
        <w:footnoteReference w:id="14"/>
      </w:r>
      <w:r w:rsidR="009A3D36">
        <w:rPr>
          <w:rFonts w:cs="Arial"/>
          <w:color w:val="000000"/>
        </w:rPr>
        <w:t xml:space="preserve"> </w:t>
      </w:r>
    </w:p>
    <w:p w14:paraId="143F8857" w14:textId="23E66A8A" w:rsidR="00C6264C" w:rsidRPr="00AB6D72" w:rsidRDefault="00AB6D72" w:rsidP="0004571C">
      <w:pPr>
        <w:pStyle w:val="ListParagraph"/>
        <w:numPr>
          <w:ilvl w:val="0"/>
          <w:numId w:val="4"/>
        </w:numPr>
        <w:spacing w:before="120" w:after="240" w:line="276" w:lineRule="auto"/>
        <w:ind w:left="567" w:hanging="567"/>
        <w:contextualSpacing w:val="0"/>
        <w:rPr>
          <w:rFonts w:cs="Arial"/>
          <w:color w:val="000000"/>
        </w:rPr>
      </w:pPr>
      <w:r w:rsidRPr="00AB6D72">
        <w:rPr>
          <w:rFonts w:cs="Arial"/>
          <w:color w:val="000000"/>
        </w:rPr>
        <w:t>Queensland’s prohibitions on racial and religious vilification</w:t>
      </w:r>
      <w:r w:rsidR="00C6264C" w:rsidRPr="00AB6D72">
        <w:rPr>
          <w:rFonts w:cs="Arial"/>
          <w:color w:val="000000"/>
        </w:rPr>
        <w:t xml:space="preserve"> commenced on 7 June 2001,</w:t>
      </w:r>
      <w:r w:rsidR="00C6264C" w:rsidRPr="00AB6D72">
        <w:rPr>
          <w:rStyle w:val="FootnoteReference"/>
          <w:rFonts w:cs="Arial"/>
          <w:color w:val="000000"/>
        </w:rPr>
        <w:footnoteReference w:id="15"/>
      </w:r>
      <w:r w:rsidR="00C6264C" w:rsidRPr="00AB6D72">
        <w:rPr>
          <w:rFonts w:cs="Arial"/>
          <w:color w:val="000000"/>
        </w:rPr>
        <w:t xml:space="preserve"> before the </w:t>
      </w:r>
      <w:r w:rsidR="001A416E" w:rsidRPr="00AB6D72">
        <w:rPr>
          <w:rFonts w:cs="Arial"/>
          <w:color w:val="000000"/>
        </w:rPr>
        <w:t xml:space="preserve">rise </w:t>
      </w:r>
      <w:r w:rsidRPr="00AB6D72">
        <w:rPr>
          <w:rFonts w:cs="Arial"/>
          <w:color w:val="000000"/>
        </w:rPr>
        <w:t xml:space="preserve">of </w:t>
      </w:r>
      <w:r w:rsidR="00C6264C" w:rsidRPr="00AB6D72">
        <w:rPr>
          <w:rFonts w:cs="Arial"/>
          <w:color w:val="000000"/>
        </w:rPr>
        <w:t>online hate speech.</w:t>
      </w:r>
    </w:p>
    <w:p w14:paraId="6E8979E0" w14:textId="0E0458A9" w:rsidR="0005503C" w:rsidRDefault="00AB6D72" w:rsidP="00FE5D11">
      <w:pPr>
        <w:pStyle w:val="ListParagraph"/>
        <w:numPr>
          <w:ilvl w:val="0"/>
          <w:numId w:val="4"/>
        </w:numPr>
        <w:spacing w:before="120" w:after="240" w:line="276" w:lineRule="auto"/>
        <w:ind w:left="567" w:hanging="567"/>
        <w:contextualSpacing w:val="0"/>
        <w:rPr>
          <w:rFonts w:cs="Arial"/>
          <w:color w:val="000000"/>
        </w:rPr>
      </w:pPr>
      <w:r>
        <w:rPr>
          <w:rFonts w:cs="Arial"/>
          <w:color w:val="000000"/>
        </w:rPr>
        <w:t>L</w:t>
      </w:r>
      <w:r w:rsidR="002A512A">
        <w:rPr>
          <w:rFonts w:cs="Arial"/>
          <w:color w:val="000000"/>
        </w:rPr>
        <w:t xml:space="preserve">aws at the federal level </w:t>
      </w:r>
      <w:r>
        <w:rPr>
          <w:rFonts w:cs="Arial"/>
          <w:color w:val="000000"/>
        </w:rPr>
        <w:t>also</w:t>
      </w:r>
      <w:r w:rsidR="002A512A">
        <w:rPr>
          <w:rFonts w:cs="Arial"/>
          <w:color w:val="000000"/>
        </w:rPr>
        <w:t xml:space="preserve"> provide criminal offences for </w:t>
      </w:r>
      <w:r>
        <w:rPr>
          <w:rFonts w:cs="Arial"/>
          <w:color w:val="000000"/>
        </w:rPr>
        <w:t xml:space="preserve">certain </w:t>
      </w:r>
      <w:r w:rsidR="002A512A">
        <w:rPr>
          <w:rFonts w:cs="Arial"/>
          <w:color w:val="000000"/>
        </w:rPr>
        <w:t>hate crimes.</w:t>
      </w:r>
      <w:r w:rsidR="007B0F89">
        <w:rPr>
          <w:rFonts w:cs="Arial"/>
          <w:color w:val="000000"/>
        </w:rPr>
        <w:t xml:space="preserve">  These are discussed later in this submission.</w:t>
      </w:r>
    </w:p>
    <w:p w14:paraId="185C4DE4" w14:textId="007D807B" w:rsidR="001308C4" w:rsidRDefault="001308C4" w:rsidP="00FE5D11">
      <w:pPr>
        <w:pStyle w:val="ListParagraph"/>
        <w:numPr>
          <w:ilvl w:val="0"/>
          <w:numId w:val="4"/>
        </w:numPr>
        <w:spacing w:before="120" w:after="240" w:line="276" w:lineRule="auto"/>
        <w:ind w:left="567" w:hanging="567"/>
        <w:contextualSpacing w:val="0"/>
        <w:rPr>
          <w:rFonts w:cs="Arial"/>
          <w:color w:val="000000"/>
        </w:rPr>
      </w:pPr>
      <w:r>
        <w:rPr>
          <w:rFonts w:cs="Arial"/>
          <w:color w:val="000000"/>
        </w:rPr>
        <w:t>Evidence before the Special Rapporteur on minority issues suggested that minorities hesitate to complain of hate speech for a number of reasons, including that authorities will not intervene, there will be no consequences for those who breach the legislation, or that the use of complaint mechanisms for social media is unlikely to remedy the situation.</w:t>
      </w:r>
      <w:r>
        <w:rPr>
          <w:rStyle w:val="FootnoteReference"/>
          <w:rFonts w:cs="Arial"/>
          <w:color w:val="000000"/>
        </w:rPr>
        <w:footnoteReference w:id="16"/>
      </w:r>
    </w:p>
    <w:p w14:paraId="4C365FB2" w14:textId="785BF6F7" w:rsidR="001308C4" w:rsidRDefault="001308C4" w:rsidP="00FE5D11">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In the Commission’s experience, these concerns </w:t>
      </w:r>
      <w:r w:rsidR="00A2218B">
        <w:rPr>
          <w:rFonts w:cs="Arial"/>
          <w:color w:val="000000"/>
        </w:rPr>
        <w:t xml:space="preserve">about reporting or complaining </w:t>
      </w:r>
      <w:r w:rsidR="000149D7">
        <w:rPr>
          <w:rFonts w:cs="Arial"/>
          <w:color w:val="000000"/>
        </w:rPr>
        <w:t>also apply</w:t>
      </w:r>
      <w:r>
        <w:rPr>
          <w:rFonts w:cs="Arial"/>
          <w:color w:val="000000"/>
        </w:rPr>
        <w:t xml:space="preserve"> to </w:t>
      </w:r>
      <w:r w:rsidR="000149D7">
        <w:rPr>
          <w:rFonts w:cs="Arial"/>
          <w:color w:val="000000"/>
        </w:rPr>
        <w:t xml:space="preserve">people who experience </w:t>
      </w:r>
      <w:r>
        <w:rPr>
          <w:rFonts w:cs="Arial"/>
          <w:color w:val="000000"/>
        </w:rPr>
        <w:t>other forms of vilification, hate speech, and hate crimes.</w:t>
      </w:r>
    </w:p>
    <w:p w14:paraId="10B53390" w14:textId="77777777" w:rsidR="00843B4B" w:rsidRDefault="00843B4B" w:rsidP="00843B4B">
      <w:pPr>
        <w:pStyle w:val="ListParagraph"/>
        <w:numPr>
          <w:ilvl w:val="0"/>
          <w:numId w:val="4"/>
        </w:numPr>
        <w:spacing w:before="120" w:after="240" w:line="276" w:lineRule="auto"/>
        <w:ind w:left="567" w:hanging="567"/>
        <w:contextualSpacing w:val="0"/>
        <w:rPr>
          <w:rFonts w:cs="Arial"/>
        </w:rPr>
      </w:pPr>
      <w:r>
        <w:rPr>
          <w:rFonts w:cs="Arial"/>
        </w:rPr>
        <w:t>In the Commission’s experience, the extent of hateful conduct that occurs in the community is not reflected in the number of complaints made to bodies such as the Commission or police.  In order to develop a better understanding of racism in the community, on 9 June 2020 the Commission launched and promoted an online form for people wanting to report racism without making a complaint.  The form can be accessed from the home page of the Commission’s website by clicking on a tile called ‘Report racism’.  A report can be made anonymously, and the website makes it clear that de-identified information may be used in the Commission’s work, including submissions, advocacy, and for statistical purposes.</w:t>
      </w:r>
    </w:p>
    <w:p w14:paraId="1287CD5E" w14:textId="77777777" w:rsidR="00843B4B" w:rsidRDefault="00843B4B" w:rsidP="00843B4B">
      <w:pPr>
        <w:pStyle w:val="ListParagraph"/>
        <w:numPr>
          <w:ilvl w:val="0"/>
          <w:numId w:val="4"/>
        </w:numPr>
        <w:spacing w:before="120" w:after="120" w:line="276" w:lineRule="auto"/>
        <w:ind w:left="567" w:hanging="567"/>
        <w:contextualSpacing w:val="0"/>
        <w:rPr>
          <w:rFonts w:cs="Arial"/>
        </w:rPr>
      </w:pPr>
      <w:r>
        <w:rPr>
          <w:rFonts w:cs="Arial"/>
        </w:rPr>
        <w:t xml:space="preserve">In the period from 9 June 2020 to 30 June 2021, there were 68 reports to the Commission, however seven of those were about things that </w:t>
      </w:r>
      <w:r>
        <w:rPr>
          <w:rFonts w:cs="Arial"/>
        </w:rPr>
        <w:lastRenderedPageBreak/>
        <w:t>happened outside Queensland.  Of the 61 reported incidents in Queensland:</w:t>
      </w:r>
    </w:p>
    <w:p w14:paraId="7EDE4F82"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In 13 reports, the target was an Aboriginal or Torres Strait Islander person or people;</w:t>
      </w:r>
    </w:p>
    <w:p w14:paraId="319D2F8E"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In 19 reports, the target was an Asian person or people;</w:t>
      </w:r>
    </w:p>
    <w:p w14:paraId="763621D7"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Of the 19 reports targeting an Asian person or people, six were related to COVID;</w:t>
      </w:r>
    </w:p>
    <w:p w14:paraId="15BD2B58"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Other targets included Jewish people and Indian people;</w:t>
      </w:r>
    </w:p>
    <w:p w14:paraId="15349AB9"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Five reports were about online incidents – three about the same website and the other two on social media;</w:t>
      </w:r>
    </w:p>
    <w:p w14:paraId="1E207730"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The majority of in-person incidents occurred in South-East Queensland.  Smaller numbers were reported in the regions of Cairns (seven), Gladstone (one), South-West Queensland (one) and Central Highlands (one);</w:t>
      </w:r>
    </w:p>
    <w:p w14:paraId="5E8926F4"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13 reports were by witnesses, and not something that had affected them directly;</w:t>
      </w:r>
    </w:p>
    <w:p w14:paraId="4EA85986" w14:textId="77777777" w:rsidR="00843B4B" w:rsidRDefault="00843B4B" w:rsidP="00843B4B">
      <w:pPr>
        <w:pStyle w:val="ListParagraph"/>
        <w:numPr>
          <w:ilvl w:val="1"/>
          <w:numId w:val="4"/>
        </w:numPr>
        <w:spacing w:before="120" w:after="120" w:line="276" w:lineRule="auto"/>
        <w:ind w:left="1276" w:hanging="425"/>
        <w:contextualSpacing w:val="0"/>
        <w:rPr>
          <w:rFonts w:cs="Arial"/>
        </w:rPr>
      </w:pPr>
      <w:r>
        <w:rPr>
          <w:rFonts w:cs="Arial"/>
        </w:rPr>
        <w:t>30 reports were anonymous, and a further seven included only a name or email address (but not both); and</w:t>
      </w:r>
    </w:p>
    <w:p w14:paraId="2B7F3F53" w14:textId="77777777" w:rsidR="00843B4B" w:rsidRDefault="00843B4B" w:rsidP="00843B4B">
      <w:pPr>
        <w:pStyle w:val="ListParagraph"/>
        <w:numPr>
          <w:ilvl w:val="1"/>
          <w:numId w:val="4"/>
        </w:numPr>
        <w:spacing w:before="120" w:after="240" w:line="276" w:lineRule="auto"/>
        <w:ind w:left="1276" w:hanging="425"/>
        <w:contextualSpacing w:val="0"/>
        <w:rPr>
          <w:rFonts w:cs="Arial"/>
        </w:rPr>
      </w:pPr>
      <w:r>
        <w:rPr>
          <w:rFonts w:cs="Arial"/>
        </w:rPr>
        <w:t>None of the reports asked for more information about making a formal complaint.</w:t>
      </w:r>
    </w:p>
    <w:p w14:paraId="4BAD1E3B" w14:textId="77777777" w:rsidR="00843B4B" w:rsidRPr="002E6BBE" w:rsidRDefault="00843B4B" w:rsidP="00843B4B">
      <w:pPr>
        <w:pStyle w:val="ListParagraph"/>
        <w:numPr>
          <w:ilvl w:val="0"/>
          <w:numId w:val="4"/>
        </w:numPr>
        <w:spacing w:before="120" w:after="240" w:line="276" w:lineRule="auto"/>
        <w:ind w:left="567" w:hanging="567"/>
        <w:contextualSpacing w:val="0"/>
        <w:rPr>
          <w:rFonts w:cs="Arial"/>
        </w:rPr>
      </w:pPr>
      <w:r>
        <w:rPr>
          <w:rFonts w:cs="Arial"/>
        </w:rPr>
        <w:t>Some</w:t>
      </w:r>
      <w:r w:rsidRPr="002E6BBE">
        <w:rPr>
          <w:rFonts w:cs="Arial"/>
        </w:rPr>
        <w:t xml:space="preserve"> of </w:t>
      </w:r>
      <w:r>
        <w:rPr>
          <w:rFonts w:cs="Arial"/>
        </w:rPr>
        <w:t xml:space="preserve">the </w:t>
      </w:r>
      <w:r w:rsidRPr="002E6BBE">
        <w:rPr>
          <w:rFonts w:cs="Arial"/>
        </w:rPr>
        <w:t xml:space="preserve">incidents </w:t>
      </w:r>
      <w:r>
        <w:rPr>
          <w:rFonts w:cs="Arial"/>
        </w:rPr>
        <w:t xml:space="preserve">reported to the Commission in response to the ‘Report racism’ campaign </w:t>
      </w:r>
      <w:r w:rsidRPr="002E6BBE">
        <w:rPr>
          <w:rFonts w:cs="Arial"/>
        </w:rPr>
        <w:t xml:space="preserve">are in </w:t>
      </w:r>
      <w:r>
        <w:rPr>
          <w:rFonts w:cs="Arial"/>
        </w:rPr>
        <w:t xml:space="preserve">set out </w:t>
      </w:r>
      <w:r w:rsidRPr="003F741D">
        <w:rPr>
          <w:rFonts w:cs="Arial"/>
          <w:b/>
        </w:rPr>
        <w:t>Appendix 1</w:t>
      </w:r>
      <w:r w:rsidRPr="002E6BBE">
        <w:rPr>
          <w:rFonts w:cs="Arial"/>
        </w:rPr>
        <w:t>.</w:t>
      </w:r>
    </w:p>
    <w:p w14:paraId="3718BD56" w14:textId="4EBECD79" w:rsidR="00C064A5" w:rsidRDefault="00C064A5" w:rsidP="00A26794">
      <w:pPr>
        <w:pStyle w:val="Heading1"/>
        <w:pageBreakBefore/>
      </w:pPr>
      <w:bookmarkStart w:id="4" w:name="_Toc76730683"/>
      <w:r>
        <w:lastRenderedPageBreak/>
        <w:t xml:space="preserve">Gaps in existing </w:t>
      </w:r>
      <w:r w:rsidR="00342ECA">
        <w:t>hate crime</w:t>
      </w:r>
      <w:r>
        <w:t xml:space="preserve"> laws</w:t>
      </w:r>
      <w:bookmarkEnd w:id="4"/>
    </w:p>
    <w:p w14:paraId="045869D8" w14:textId="3003CE09" w:rsidR="00C064A5" w:rsidRDefault="00277FA4" w:rsidP="00C064A5">
      <w:pPr>
        <w:pStyle w:val="ListParagraph"/>
        <w:numPr>
          <w:ilvl w:val="0"/>
          <w:numId w:val="4"/>
        </w:numPr>
        <w:spacing w:before="120" w:after="240" w:line="276" w:lineRule="auto"/>
        <w:ind w:left="567" w:hanging="567"/>
        <w:contextualSpacing w:val="0"/>
      </w:pPr>
      <w:r>
        <w:t xml:space="preserve">While Queensland has protections under </w:t>
      </w:r>
      <w:r w:rsidR="00E569BB">
        <w:t xml:space="preserve">various </w:t>
      </w:r>
      <w:r>
        <w:t xml:space="preserve">criminal laws at both the State and federal levels, there are gaps in the coverage of existing </w:t>
      </w:r>
      <w:r w:rsidR="00E569BB">
        <w:t>criminal laws relating to vilification and hate crimes.</w:t>
      </w:r>
    </w:p>
    <w:p w14:paraId="1D03F781" w14:textId="46FD81F7" w:rsidR="00E55DFB" w:rsidRDefault="00E55DFB" w:rsidP="00C064A5">
      <w:pPr>
        <w:pStyle w:val="ListParagraph"/>
        <w:numPr>
          <w:ilvl w:val="0"/>
          <w:numId w:val="4"/>
        </w:numPr>
        <w:spacing w:before="120" w:after="240" w:line="276" w:lineRule="auto"/>
        <w:ind w:left="567" w:hanging="567"/>
        <w:contextualSpacing w:val="0"/>
      </w:pPr>
      <w:r>
        <w:t>Vilification and hate crimes attack the human dignity of the targeted person or group. Targets are attacked for being who they are, impacting their sense of self, and often resulting in fear and withdrawal from society.</w:t>
      </w:r>
    </w:p>
    <w:p w14:paraId="2A96C838" w14:textId="2EBAAF77" w:rsidR="00E569BB" w:rsidRDefault="000030ED" w:rsidP="00E569BB">
      <w:pPr>
        <w:pStyle w:val="ListParagraph"/>
        <w:numPr>
          <w:ilvl w:val="0"/>
          <w:numId w:val="4"/>
        </w:numPr>
        <w:spacing w:before="120" w:after="120" w:line="276" w:lineRule="auto"/>
        <w:ind w:left="567" w:hanging="567"/>
        <w:contextualSpacing w:val="0"/>
      </w:pPr>
      <w:r>
        <w:t>The Options Paper identifies some of the g</w:t>
      </w:r>
      <w:r w:rsidR="00EA15FB">
        <w:t xml:space="preserve">aps in </w:t>
      </w:r>
      <w:r>
        <w:t xml:space="preserve">the </w:t>
      </w:r>
      <w:r w:rsidR="00EA15FB">
        <w:t xml:space="preserve">coverage </w:t>
      </w:r>
      <w:r>
        <w:t>of existing criminal laws</w:t>
      </w:r>
      <w:r w:rsidR="006C1C71">
        <w:t>.  The following is a summary of the gaps in existing criminal laws that are discussed in this submission</w:t>
      </w:r>
      <w:r w:rsidR="0071227F">
        <w:t>:</w:t>
      </w:r>
    </w:p>
    <w:p w14:paraId="72C7C136" w14:textId="4D3DE37F" w:rsidR="00E569BB" w:rsidRDefault="00E569BB" w:rsidP="00E569BB">
      <w:pPr>
        <w:pStyle w:val="ListParagraph"/>
        <w:numPr>
          <w:ilvl w:val="1"/>
          <w:numId w:val="4"/>
        </w:numPr>
        <w:spacing w:before="120" w:after="120" w:line="276" w:lineRule="auto"/>
        <w:ind w:left="1418" w:hanging="567"/>
        <w:contextualSpacing w:val="0"/>
      </w:pPr>
      <w:r>
        <w:t>The offence of serious vilification is rarely used.</w:t>
      </w:r>
    </w:p>
    <w:p w14:paraId="5A4D67F6" w14:textId="3F0B6DDC" w:rsidR="00E569BB" w:rsidRDefault="00E569BB" w:rsidP="00E569BB">
      <w:pPr>
        <w:pStyle w:val="ListParagraph"/>
        <w:numPr>
          <w:ilvl w:val="1"/>
          <w:numId w:val="4"/>
        </w:numPr>
        <w:spacing w:before="120" w:after="120" w:line="276" w:lineRule="auto"/>
        <w:ind w:left="1418" w:hanging="567"/>
        <w:contextualSpacing w:val="0"/>
      </w:pPr>
      <w:r>
        <w:t xml:space="preserve">Other offences </w:t>
      </w:r>
      <w:r w:rsidR="002D4BC3">
        <w:t xml:space="preserve">available </w:t>
      </w:r>
      <w:r>
        <w:t xml:space="preserve">under the </w:t>
      </w:r>
      <w:r w:rsidRPr="000030ED">
        <w:rPr>
          <w:i/>
        </w:rPr>
        <w:t>Summary Offences Act 2006</w:t>
      </w:r>
      <w:r>
        <w:t xml:space="preserve"> and the </w:t>
      </w:r>
      <w:r w:rsidRPr="003B4F2B">
        <w:rPr>
          <w:i/>
        </w:rPr>
        <w:t>Criminal Code</w:t>
      </w:r>
      <w:r>
        <w:t xml:space="preserve"> of Queensland, do not necessarily reflect the serious impact of vilificati</w:t>
      </w:r>
      <w:r w:rsidR="000030ED">
        <w:t>on and hate crimes</w:t>
      </w:r>
      <w:r>
        <w:t>, and do not act as a deterrent.</w:t>
      </w:r>
    </w:p>
    <w:p w14:paraId="7A3BFCA3" w14:textId="5B39DA36" w:rsidR="00E569BB" w:rsidRDefault="00E569BB" w:rsidP="00E569BB">
      <w:pPr>
        <w:pStyle w:val="ListParagraph"/>
        <w:numPr>
          <w:ilvl w:val="1"/>
          <w:numId w:val="4"/>
        </w:numPr>
        <w:spacing w:before="120" w:after="120" w:line="276" w:lineRule="auto"/>
        <w:ind w:left="1418" w:hanging="567"/>
        <w:contextualSpacing w:val="0"/>
      </w:pPr>
      <w:r>
        <w:t xml:space="preserve">The penalty for serious vilification is insufficient for police to obtain a warrant for the </w:t>
      </w:r>
      <w:r w:rsidR="00637283">
        <w:t xml:space="preserve">investigation of online vilification and </w:t>
      </w:r>
      <w:r w:rsidR="00EB2D50">
        <w:t xml:space="preserve">the </w:t>
      </w:r>
      <w:r>
        <w:t>preservation of evidence.</w:t>
      </w:r>
    </w:p>
    <w:p w14:paraId="061483DE" w14:textId="4CEC6F13" w:rsidR="0071227F" w:rsidRDefault="0071227F" w:rsidP="00E569BB">
      <w:pPr>
        <w:pStyle w:val="ListParagraph"/>
        <w:numPr>
          <w:ilvl w:val="1"/>
          <w:numId w:val="4"/>
        </w:numPr>
        <w:spacing w:before="120" w:after="120" w:line="276" w:lineRule="auto"/>
        <w:ind w:left="1418" w:hanging="567"/>
        <w:contextualSpacing w:val="0"/>
      </w:pPr>
      <w:r>
        <w:t>Law enforcement agencies are unable to pursue individuals who possess or disseminate abhorrent or violent material that is not instructional, or where other thresholds such as connection to a terrorist act or intent to threaten or incite harm are not met.  This means that law enforcement agencies are unable to disrupt individuals and small groups at an early stage.</w:t>
      </w:r>
      <w:r>
        <w:rPr>
          <w:rStyle w:val="FootnoteReference"/>
        </w:rPr>
        <w:footnoteReference w:id="17"/>
      </w:r>
    </w:p>
    <w:p w14:paraId="74DB90E7" w14:textId="7A591376" w:rsidR="00E569BB" w:rsidRDefault="00E569BB" w:rsidP="00E569BB">
      <w:pPr>
        <w:pStyle w:val="ListParagraph"/>
        <w:numPr>
          <w:ilvl w:val="1"/>
          <w:numId w:val="4"/>
        </w:numPr>
        <w:spacing w:before="120" w:after="120" w:line="276" w:lineRule="auto"/>
        <w:ind w:left="1418" w:hanging="567"/>
        <w:contextualSpacing w:val="0"/>
      </w:pPr>
      <w:r>
        <w:t xml:space="preserve">The display </w:t>
      </w:r>
      <w:r w:rsidR="00063563">
        <w:t>or</w:t>
      </w:r>
      <w:r>
        <w:t xml:space="preserve"> possession of </w:t>
      </w:r>
      <w:r w:rsidR="000030ED">
        <w:t>symbols and insignia</w:t>
      </w:r>
      <w:r>
        <w:t xml:space="preserve">, such as </w:t>
      </w:r>
      <w:r w:rsidR="000030ED">
        <w:t>the Nazi symbol</w:t>
      </w:r>
      <w:r w:rsidR="00063563">
        <w:t>, are not criminal</w:t>
      </w:r>
      <w:r>
        <w:t xml:space="preserve"> offence</w:t>
      </w:r>
      <w:r w:rsidR="00063563">
        <w:t>s</w:t>
      </w:r>
      <w:r>
        <w:t>.</w:t>
      </w:r>
    </w:p>
    <w:p w14:paraId="5DB3365F" w14:textId="214096D3" w:rsidR="00E569BB" w:rsidRPr="00C064A5" w:rsidRDefault="00EA15FB" w:rsidP="00E569BB">
      <w:pPr>
        <w:pStyle w:val="ListParagraph"/>
        <w:numPr>
          <w:ilvl w:val="1"/>
          <w:numId w:val="4"/>
        </w:numPr>
        <w:spacing w:before="120" w:after="240" w:line="276" w:lineRule="auto"/>
        <w:ind w:left="1418" w:hanging="567"/>
        <w:contextualSpacing w:val="0"/>
      </w:pPr>
      <w:r>
        <w:t xml:space="preserve">There is no mandatory recording of hate crimes, and </w:t>
      </w:r>
      <w:r w:rsidR="00D00D62">
        <w:t xml:space="preserve">thus </w:t>
      </w:r>
      <w:r w:rsidR="003B4F2B">
        <w:t>any data about the ext</w:t>
      </w:r>
      <w:r w:rsidR="00637283">
        <w:t xml:space="preserve">ent of hate-based offending is </w:t>
      </w:r>
      <w:r w:rsidR="003B4F2B">
        <w:t xml:space="preserve">not </w:t>
      </w:r>
      <w:r>
        <w:t>reliable.</w:t>
      </w:r>
    </w:p>
    <w:p w14:paraId="025EF06E" w14:textId="0DC58CDF" w:rsidR="00DA27DB" w:rsidRDefault="002A512A" w:rsidP="00C373B5">
      <w:pPr>
        <w:pStyle w:val="Heading1"/>
        <w:pageBreakBefore/>
        <w:spacing w:before="360"/>
      </w:pPr>
      <w:bookmarkStart w:id="5" w:name="_Toc76730684"/>
      <w:r>
        <w:lastRenderedPageBreak/>
        <w:t>Serious vilification (</w:t>
      </w:r>
      <w:r w:rsidR="008F132C">
        <w:t xml:space="preserve">criminal </w:t>
      </w:r>
      <w:r>
        <w:t>offence)</w:t>
      </w:r>
      <w:bookmarkEnd w:id="5"/>
    </w:p>
    <w:p w14:paraId="26DC75C5" w14:textId="72264914" w:rsidR="00752BB6" w:rsidRDefault="00752BB6" w:rsidP="00653483">
      <w:pPr>
        <w:pStyle w:val="ListParagraph"/>
        <w:numPr>
          <w:ilvl w:val="0"/>
          <w:numId w:val="4"/>
        </w:numPr>
        <w:spacing w:before="120" w:after="120" w:line="276" w:lineRule="auto"/>
        <w:ind w:left="567" w:hanging="567"/>
        <w:contextualSpacing w:val="0"/>
      </w:pPr>
      <w:r w:rsidRPr="00752BB6">
        <w:rPr>
          <w:rFonts w:cs="Arial"/>
          <w:color w:val="000000"/>
        </w:rPr>
        <w:t>The</w:t>
      </w:r>
      <w:r>
        <w:t xml:space="preserve"> criminal offence of serious vilification is provided for in section 131A of the </w:t>
      </w:r>
      <w:r w:rsidR="005463FE" w:rsidRPr="00C6264C">
        <w:rPr>
          <w:rFonts w:cs="Arial"/>
          <w:i/>
          <w:color w:val="000000"/>
        </w:rPr>
        <w:t>Anti-Discrimination Act 1991</w:t>
      </w:r>
      <w:r>
        <w:t>.  Section 131A was inserted in 2001, and currently provides:</w:t>
      </w:r>
    </w:p>
    <w:p w14:paraId="729ED0BE" w14:textId="77777777" w:rsidR="00752BB6" w:rsidRPr="00C3289B" w:rsidRDefault="00752BB6" w:rsidP="00BF7864">
      <w:pPr>
        <w:autoSpaceDE w:val="0"/>
        <w:autoSpaceDN w:val="0"/>
        <w:adjustRightInd w:val="0"/>
        <w:spacing w:before="120" w:after="120"/>
        <w:ind w:left="851" w:right="805"/>
        <w:rPr>
          <w:rFonts w:cs="Arial"/>
          <w:b/>
          <w:bCs/>
          <w:sz w:val="22"/>
          <w:szCs w:val="22"/>
        </w:rPr>
      </w:pPr>
      <w:r w:rsidRPr="00C3289B">
        <w:rPr>
          <w:rFonts w:cs="Arial"/>
          <w:b/>
          <w:bCs/>
          <w:sz w:val="22"/>
          <w:szCs w:val="22"/>
        </w:rPr>
        <w:t>131A  Offence of serious racial, religious, sexuality or gender identity vilification</w:t>
      </w:r>
    </w:p>
    <w:p w14:paraId="51BB0DFC" w14:textId="77777777" w:rsidR="00752BB6" w:rsidRPr="00C3289B" w:rsidRDefault="00752BB6" w:rsidP="00BF7864">
      <w:pPr>
        <w:pStyle w:val="ListParagraph"/>
        <w:numPr>
          <w:ilvl w:val="0"/>
          <w:numId w:val="11"/>
        </w:numPr>
        <w:autoSpaceDE w:val="0"/>
        <w:autoSpaceDN w:val="0"/>
        <w:adjustRightInd w:val="0"/>
        <w:spacing w:before="120" w:after="120"/>
        <w:ind w:left="1276" w:right="805" w:hanging="425"/>
        <w:contextualSpacing w:val="0"/>
        <w:rPr>
          <w:rFonts w:cs="Arial"/>
          <w:sz w:val="22"/>
          <w:szCs w:val="22"/>
        </w:rPr>
      </w:pPr>
      <w:r w:rsidRPr="00C3289B">
        <w:rPr>
          <w:rFonts w:cs="Arial"/>
          <w:sz w:val="22"/>
          <w:szCs w:val="22"/>
        </w:rPr>
        <w:t>A person must not, by a public act, knowingly or recklessly incite hatred towards, serious contempt for, or severe ridicule of, a person or group of persons on the ground of the race, religion, sexuality or gender identity of the person or members of the group in a way that includes —</w:t>
      </w:r>
    </w:p>
    <w:p w14:paraId="10144FA5" w14:textId="77777777" w:rsidR="00752BB6" w:rsidRPr="00C3289B" w:rsidRDefault="00752BB6" w:rsidP="00BF7864">
      <w:pPr>
        <w:pStyle w:val="ListParagraph"/>
        <w:numPr>
          <w:ilvl w:val="0"/>
          <w:numId w:val="12"/>
        </w:numPr>
        <w:autoSpaceDE w:val="0"/>
        <w:autoSpaceDN w:val="0"/>
        <w:adjustRightInd w:val="0"/>
        <w:spacing w:before="120" w:after="120"/>
        <w:ind w:left="1843" w:right="805" w:hanging="425"/>
        <w:contextualSpacing w:val="0"/>
        <w:rPr>
          <w:rFonts w:cs="Arial"/>
          <w:sz w:val="22"/>
          <w:szCs w:val="22"/>
        </w:rPr>
      </w:pPr>
      <w:r w:rsidRPr="00C3289B">
        <w:rPr>
          <w:rFonts w:cs="Arial"/>
          <w:sz w:val="22"/>
          <w:szCs w:val="22"/>
        </w:rPr>
        <w:t>threatening physical harm towards, or towards any property of, the person or group of persons; or</w:t>
      </w:r>
    </w:p>
    <w:p w14:paraId="76403146" w14:textId="77777777" w:rsidR="00752BB6" w:rsidRPr="00C3289B" w:rsidRDefault="00752BB6" w:rsidP="00BF7864">
      <w:pPr>
        <w:pStyle w:val="ListParagraph"/>
        <w:numPr>
          <w:ilvl w:val="0"/>
          <w:numId w:val="12"/>
        </w:numPr>
        <w:autoSpaceDE w:val="0"/>
        <w:autoSpaceDN w:val="0"/>
        <w:adjustRightInd w:val="0"/>
        <w:spacing w:before="120" w:after="120"/>
        <w:ind w:left="1843" w:right="805" w:hanging="425"/>
        <w:contextualSpacing w:val="0"/>
        <w:rPr>
          <w:rFonts w:cs="Arial"/>
          <w:sz w:val="22"/>
          <w:szCs w:val="22"/>
        </w:rPr>
      </w:pPr>
      <w:r w:rsidRPr="00C3289B">
        <w:rPr>
          <w:rFonts w:cs="Arial"/>
          <w:sz w:val="22"/>
          <w:szCs w:val="22"/>
        </w:rPr>
        <w:t>inciting others to threaten physical harm towards, or towards any property of, the person or group of persons.</w:t>
      </w:r>
    </w:p>
    <w:p w14:paraId="17AF3D73" w14:textId="77777777" w:rsidR="00752BB6" w:rsidRPr="00C3289B" w:rsidRDefault="00752BB6" w:rsidP="00BF7864">
      <w:pPr>
        <w:autoSpaceDE w:val="0"/>
        <w:autoSpaceDN w:val="0"/>
        <w:adjustRightInd w:val="0"/>
        <w:spacing w:before="120" w:after="120"/>
        <w:ind w:left="2138" w:right="805" w:hanging="720"/>
        <w:rPr>
          <w:rFonts w:cs="Arial"/>
          <w:sz w:val="22"/>
          <w:szCs w:val="22"/>
        </w:rPr>
      </w:pPr>
      <w:r w:rsidRPr="00C3289B">
        <w:rPr>
          <w:rFonts w:cs="Arial"/>
          <w:sz w:val="22"/>
          <w:szCs w:val="22"/>
        </w:rPr>
        <w:t>Maximum penalty —</w:t>
      </w:r>
    </w:p>
    <w:p w14:paraId="38D5115C" w14:textId="77777777" w:rsidR="00752BB6" w:rsidRPr="00C3289B" w:rsidRDefault="00752BB6" w:rsidP="00BF7864">
      <w:pPr>
        <w:pStyle w:val="ListParagraph"/>
        <w:numPr>
          <w:ilvl w:val="0"/>
          <w:numId w:val="38"/>
        </w:numPr>
        <w:autoSpaceDE w:val="0"/>
        <w:autoSpaceDN w:val="0"/>
        <w:adjustRightInd w:val="0"/>
        <w:spacing w:before="120" w:after="120"/>
        <w:ind w:left="2268" w:right="805" w:hanging="425"/>
        <w:contextualSpacing w:val="0"/>
        <w:rPr>
          <w:rFonts w:cs="Arial"/>
          <w:sz w:val="22"/>
          <w:szCs w:val="22"/>
        </w:rPr>
      </w:pPr>
      <w:r w:rsidRPr="00C3289B">
        <w:rPr>
          <w:rFonts w:cs="Arial"/>
          <w:sz w:val="22"/>
          <w:szCs w:val="22"/>
        </w:rPr>
        <w:t xml:space="preserve">for an individual — 70 penalty units or 6 months imprisonment; or </w:t>
      </w:r>
    </w:p>
    <w:p w14:paraId="6107D32E" w14:textId="77777777" w:rsidR="00752BB6" w:rsidRPr="00C3289B" w:rsidRDefault="00752BB6" w:rsidP="00BF7864">
      <w:pPr>
        <w:pStyle w:val="ListParagraph"/>
        <w:numPr>
          <w:ilvl w:val="0"/>
          <w:numId w:val="38"/>
        </w:numPr>
        <w:autoSpaceDE w:val="0"/>
        <w:autoSpaceDN w:val="0"/>
        <w:adjustRightInd w:val="0"/>
        <w:spacing w:before="120" w:after="120"/>
        <w:ind w:left="2268" w:right="805" w:hanging="425"/>
        <w:contextualSpacing w:val="0"/>
        <w:rPr>
          <w:rFonts w:cs="Arial"/>
          <w:sz w:val="22"/>
          <w:szCs w:val="22"/>
        </w:rPr>
      </w:pPr>
      <w:r w:rsidRPr="00C3289B">
        <w:rPr>
          <w:rFonts w:cs="Arial"/>
          <w:sz w:val="22"/>
          <w:szCs w:val="22"/>
        </w:rPr>
        <w:t>for a corporation — 350 penalty units.</w:t>
      </w:r>
    </w:p>
    <w:p w14:paraId="043D86F9" w14:textId="77777777" w:rsidR="00752BB6" w:rsidRPr="00C3289B" w:rsidRDefault="00752BB6" w:rsidP="00BF7864">
      <w:pPr>
        <w:pStyle w:val="ListParagraph"/>
        <w:numPr>
          <w:ilvl w:val="0"/>
          <w:numId w:val="11"/>
        </w:numPr>
        <w:autoSpaceDE w:val="0"/>
        <w:autoSpaceDN w:val="0"/>
        <w:adjustRightInd w:val="0"/>
        <w:spacing w:before="120" w:after="120"/>
        <w:ind w:left="1418" w:right="805" w:hanging="567"/>
        <w:contextualSpacing w:val="0"/>
        <w:rPr>
          <w:rFonts w:cs="Arial"/>
          <w:sz w:val="22"/>
          <w:szCs w:val="22"/>
        </w:rPr>
      </w:pPr>
      <w:r w:rsidRPr="00C3289B">
        <w:rPr>
          <w:rFonts w:cs="Arial"/>
          <w:sz w:val="22"/>
          <w:szCs w:val="22"/>
        </w:rPr>
        <w:t xml:space="preserve">A Crown Law Officer’s written consent must be obtained before a proceeding is started by complaint under the </w:t>
      </w:r>
      <w:r w:rsidRPr="00C3289B">
        <w:rPr>
          <w:rFonts w:cs="Arial"/>
          <w:i/>
          <w:sz w:val="22"/>
          <w:szCs w:val="22"/>
        </w:rPr>
        <w:t>Justices Act 1886</w:t>
      </w:r>
      <w:r w:rsidRPr="00C3289B">
        <w:rPr>
          <w:rFonts w:cs="Arial"/>
          <w:sz w:val="22"/>
          <w:szCs w:val="22"/>
        </w:rPr>
        <w:t xml:space="preserve"> in relation to an offence under subsection (1).</w:t>
      </w:r>
    </w:p>
    <w:p w14:paraId="476FAA37" w14:textId="77777777" w:rsidR="00752BB6" w:rsidRPr="00C3289B" w:rsidRDefault="00752BB6" w:rsidP="00BF7864">
      <w:pPr>
        <w:pStyle w:val="ListParagraph"/>
        <w:numPr>
          <w:ilvl w:val="0"/>
          <w:numId w:val="11"/>
        </w:numPr>
        <w:autoSpaceDE w:val="0"/>
        <w:autoSpaceDN w:val="0"/>
        <w:adjustRightInd w:val="0"/>
        <w:spacing w:before="120" w:after="120"/>
        <w:ind w:left="1418" w:right="805" w:hanging="567"/>
        <w:contextualSpacing w:val="0"/>
        <w:rPr>
          <w:rFonts w:cs="Arial"/>
          <w:sz w:val="22"/>
          <w:szCs w:val="22"/>
        </w:rPr>
      </w:pPr>
      <w:r w:rsidRPr="00C3289B">
        <w:rPr>
          <w:rFonts w:cs="Arial"/>
          <w:sz w:val="22"/>
          <w:szCs w:val="22"/>
        </w:rPr>
        <w:t>An offence under subsection (1) is not an offence for section 155(2) or 226.</w:t>
      </w:r>
    </w:p>
    <w:p w14:paraId="21E1DCD2" w14:textId="77777777" w:rsidR="00752BB6" w:rsidRPr="00C3289B" w:rsidRDefault="00752BB6" w:rsidP="00BF7864">
      <w:pPr>
        <w:pStyle w:val="ListParagraph"/>
        <w:numPr>
          <w:ilvl w:val="0"/>
          <w:numId w:val="11"/>
        </w:numPr>
        <w:autoSpaceDE w:val="0"/>
        <w:autoSpaceDN w:val="0"/>
        <w:adjustRightInd w:val="0"/>
        <w:spacing w:before="120" w:after="120"/>
        <w:ind w:left="1418" w:right="805" w:hanging="567"/>
        <w:contextualSpacing w:val="0"/>
        <w:rPr>
          <w:rFonts w:cs="Arial"/>
          <w:sz w:val="22"/>
          <w:szCs w:val="22"/>
        </w:rPr>
      </w:pPr>
      <w:r w:rsidRPr="00C3289B">
        <w:rPr>
          <w:rFonts w:cs="Arial"/>
          <w:sz w:val="22"/>
          <w:szCs w:val="22"/>
        </w:rPr>
        <w:t>In this section—</w:t>
      </w:r>
    </w:p>
    <w:p w14:paraId="70E119C9" w14:textId="77777777" w:rsidR="00752BB6" w:rsidRPr="005119E2" w:rsidRDefault="00752BB6" w:rsidP="00BF7864">
      <w:pPr>
        <w:autoSpaceDE w:val="0"/>
        <w:autoSpaceDN w:val="0"/>
        <w:adjustRightInd w:val="0"/>
        <w:spacing w:before="120" w:after="240"/>
        <w:ind w:left="1418" w:right="805"/>
        <w:rPr>
          <w:rFonts w:cs="Arial"/>
        </w:rPr>
      </w:pPr>
      <w:r w:rsidRPr="00C3289B">
        <w:rPr>
          <w:rFonts w:cs="Arial"/>
          <w:b/>
          <w:bCs/>
          <w:i/>
          <w:iCs/>
          <w:sz w:val="22"/>
          <w:szCs w:val="22"/>
        </w:rPr>
        <w:t xml:space="preserve">Crown Law Officer </w:t>
      </w:r>
      <w:r w:rsidRPr="00C3289B">
        <w:rPr>
          <w:rFonts w:cs="Arial"/>
          <w:sz w:val="22"/>
          <w:szCs w:val="22"/>
        </w:rPr>
        <w:t>means the Attorney-General or Director of Public Prosecutions.</w:t>
      </w:r>
    </w:p>
    <w:p w14:paraId="1DC6B3CA" w14:textId="7805398B" w:rsidR="000B395E" w:rsidRPr="000B395E" w:rsidRDefault="000B395E" w:rsidP="00752BB6">
      <w:pPr>
        <w:pStyle w:val="ListParagraph"/>
        <w:numPr>
          <w:ilvl w:val="0"/>
          <w:numId w:val="4"/>
        </w:numPr>
        <w:spacing w:before="120" w:after="240" w:line="276" w:lineRule="auto"/>
        <w:ind w:left="567" w:hanging="567"/>
        <w:contextualSpacing w:val="0"/>
      </w:pPr>
      <w:r>
        <w:t xml:space="preserve">‘Public act’ is defined in section 4A of the </w:t>
      </w:r>
      <w:r w:rsidRPr="00C6264C">
        <w:rPr>
          <w:rFonts w:cs="Arial"/>
          <w:i/>
          <w:color w:val="000000"/>
        </w:rPr>
        <w:t>Anti-Discrimination Act 1991</w:t>
      </w:r>
      <w:r>
        <w:rPr>
          <w:rFonts w:cs="Arial"/>
          <w:color w:val="000000"/>
        </w:rPr>
        <w:t xml:space="preserve">, and the attributes of race, sexuality, and gender identity are defined in Schedule 1, Dictionary, of the Act.  </w:t>
      </w:r>
      <w:r w:rsidR="001A6B0A">
        <w:rPr>
          <w:rFonts w:cs="Arial"/>
          <w:color w:val="000000"/>
        </w:rPr>
        <w:t xml:space="preserve">Religious belief and religious activity are </w:t>
      </w:r>
      <w:r>
        <w:rPr>
          <w:rFonts w:cs="Arial"/>
          <w:color w:val="000000"/>
        </w:rPr>
        <w:t xml:space="preserve">also </w:t>
      </w:r>
      <w:r w:rsidR="001A6B0A">
        <w:rPr>
          <w:rFonts w:cs="Arial"/>
          <w:color w:val="000000"/>
        </w:rPr>
        <w:t xml:space="preserve">defined </w:t>
      </w:r>
      <w:r>
        <w:rPr>
          <w:rFonts w:cs="Arial"/>
          <w:color w:val="000000"/>
        </w:rPr>
        <w:t xml:space="preserve">in </w:t>
      </w:r>
      <w:r w:rsidR="001A6B0A">
        <w:rPr>
          <w:rFonts w:cs="Arial"/>
          <w:color w:val="000000"/>
        </w:rPr>
        <w:t xml:space="preserve">the </w:t>
      </w:r>
      <w:r>
        <w:rPr>
          <w:rFonts w:cs="Arial"/>
          <w:color w:val="000000"/>
        </w:rPr>
        <w:t>Schedule</w:t>
      </w:r>
      <w:r w:rsidR="001A6B0A">
        <w:rPr>
          <w:rFonts w:cs="Arial"/>
          <w:color w:val="000000"/>
        </w:rPr>
        <w:t xml:space="preserve"> 1, Dictionary</w:t>
      </w:r>
      <w:r>
        <w:rPr>
          <w:rFonts w:cs="Arial"/>
          <w:color w:val="000000"/>
        </w:rPr>
        <w:t>.</w:t>
      </w:r>
    </w:p>
    <w:p w14:paraId="06A72863" w14:textId="1FE48B74" w:rsidR="00752BB6" w:rsidRDefault="00752BB6" w:rsidP="00752BB6">
      <w:pPr>
        <w:pStyle w:val="ListParagraph"/>
        <w:numPr>
          <w:ilvl w:val="0"/>
          <w:numId w:val="4"/>
        </w:numPr>
        <w:spacing w:before="120" w:after="240" w:line="276" w:lineRule="auto"/>
        <w:ind w:left="567" w:hanging="567"/>
        <w:contextualSpacing w:val="0"/>
      </w:pPr>
      <w:r w:rsidRPr="00752BB6">
        <w:rPr>
          <w:rFonts w:cs="Arial"/>
          <w:color w:val="000000"/>
        </w:rPr>
        <w:t>The</w:t>
      </w:r>
      <w:r>
        <w:t xml:space="preserve"> effect of subsection (3) is that the Human Rights Commissioner is not able to initiate an investigation into an offence of serious vilification, and is not able to prosecute the offence.</w:t>
      </w:r>
    </w:p>
    <w:p w14:paraId="55C514E3" w14:textId="77777777" w:rsidR="00752BB6" w:rsidRDefault="00752BB6" w:rsidP="00752BB6">
      <w:pPr>
        <w:pStyle w:val="ListParagraph"/>
        <w:numPr>
          <w:ilvl w:val="0"/>
          <w:numId w:val="4"/>
        </w:numPr>
        <w:spacing w:before="120" w:after="240" w:line="276" w:lineRule="auto"/>
        <w:ind w:left="567" w:hanging="567"/>
        <w:contextualSpacing w:val="0"/>
      </w:pPr>
      <w:r>
        <w:t xml:space="preserve">A </w:t>
      </w:r>
      <w:r w:rsidRPr="00752BB6">
        <w:rPr>
          <w:rFonts w:cs="Arial"/>
          <w:color w:val="000000"/>
        </w:rPr>
        <w:t>person</w:t>
      </w:r>
      <w:r>
        <w:t xml:space="preserve"> may however make a complaint under section 124A, as a civil claim.  An example of this is the decided case of </w:t>
      </w:r>
      <w:r>
        <w:rPr>
          <w:i/>
        </w:rPr>
        <w:t>Brosnahan v Ronoff</w:t>
      </w:r>
      <w:r>
        <w:t>.</w:t>
      </w:r>
      <w:r>
        <w:rPr>
          <w:rStyle w:val="FootnoteReference"/>
        </w:rPr>
        <w:footnoteReference w:id="18"/>
      </w:r>
      <w:r>
        <w:t xml:space="preserve">  A transgender woman was woken late one night by yelling of abuse at her from the footpath, and a neighbour wrenched a wooden paling from the fence calling out for a match so the group could burn her place down.  The tribunal described the behaviour as gang-style violence, and noted that as </w:t>
      </w:r>
      <w:r>
        <w:lastRenderedPageBreak/>
        <w:t>well as amounting to sexual harassment and gender identity vilification, it also constituted the offence of serious vilification.</w:t>
      </w:r>
    </w:p>
    <w:p w14:paraId="04BF27C7" w14:textId="619FEC87" w:rsidR="00752BB6" w:rsidRDefault="009A3D36" w:rsidP="00752BB6">
      <w:pPr>
        <w:pStyle w:val="ListParagraph"/>
        <w:numPr>
          <w:ilvl w:val="0"/>
          <w:numId w:val="4"/>
        </w:numPr>
        <w:spacing w:before="120" w:after="240" w:line="276" w:lineRule="auto"/>
        <w:ind w:left="567" w:hanging="567"/>
        <w:contextualSpacing w:val="0"/>
      </w:pPr>
      <w:r>
        <w:t xml:space="preserve">The </w:t>
      </w:r>
      <w:r w:rsidR="005463FE">
        <w:t>Department of Justice and Attorney-General</w:t>
      </w:r>
      <w:r>
        <w:t xml:space="preserve"> has informed the Committee that as at 30 April 2021, there </w:t>
      </w:r>
      <w:r w:rsidR="005463FE">
        <w:t>have been</w:t>
      </w:r>
      <w:r w:rsidR="00752BB6">
        <w:t xml:space="preserve"> </w:t>
      </w:r>
      <w:r>
        <w:t xml:space="preserve">five charges and three convictions </w:t>
      </w:r>
      <w:r w:rsidR="00752BB6">
        <w:t xml:space="preserve">under section 131A of the </w:t>
      </w:r>
      <w:r w:rsidR="005463FE" w:rsidRPr="00C6264C">
        <w:rPr>
          <w:rFonts w:cs="Arial"/>
          <w:i/>
          <w:color w:val="000000"/>
        </w:rPr>
        <w:t>Anti-Discrimination Act 1991</w:t>
      </w:r>
      <w:r w:rsidR="00752BB6">
        <w:t xml:space="preserve">.  The first </w:t>
      </w:r>
      <w:r>
        <w:t>conviction</w:t>
      </w:r>
      <w:r w:rsidR="00752BB6">
        <w:t xml:space="preserve"> related to serious racial vilification of a guard on a train in Brisbane in late 2014, and the person was convicted on a plea of guilty in September 2015.  The offender was sentenced to two months imprisonment, wholly suspended for 12 months.</w:t>
      </w:r>
    </w:p>
    <w:p w14:paraId="3465B291" w14:textId="71E1BD3A" w:rsidR="00752BB6" w:rsidRDefault="005463FE" w:rsidP="00752BB6">
      <w:pPr>
        <w:pStyle w:val="ListParagraph"/>
        <w:numPr>
          <w:ilvl w:val="0"/>
          <w:numId w:val="4"/>
        </w:numPr>
        <w:spacing w:before="120" w:after="240" w:line="276" w:lineRule="auto"/>
        <w:ind w:left="567" w:hanging="567"/>
        <w:contextualSpacing w:val="0"/>
      </w:pPr>
      <w:r>
        <w:t>Another</w:t>
      </w:r>
      <w:r w:rsidR="00752BB6">
        <w:t xml:space="preserve"> </w:t>
      </w:r>
      <w:r w:rsidR="009A3D36">
        <w:t>conviction</w:t>
      </w:r>
      <w:r w:rsidR="00752BB6">
        <w:t xml:space="preserve"> known to the Commission was a charge of serious gender identity vilification in Townsville, where the offender was convicted on a plea of guilty, and sentenced on 11 April 2018 to 40 hours of community service.</w:t>
      </w:r>
      <w:r>
        <w:t xml:space="preserve">  </w:t>
      </w:r>
      <w:r w:rsidR="002D4BC3">
        <w:t>Details of t</w:t>
      </w:r>
      <w:r>
        <w:t xml:space="preserve">he third </w:t>
      </w:r>
      <w:r w:rsidR="009A3D36">
        <w:t>conviction</w:t>
      </w:r>
      <w:r w:rsidR="008D0CE2">
        <w:t>, or whether the two other charges were withdrawn or dismissed,</w:t>
      </w:r>
      <w:r>
        <w:t xml:space="preserve"> </w:t>
      </w:r>
      <w:r w:rsidR="002D4BC3">
        <w:t>are</w:t>
      </w:r>
      <w:r>
        <w:t xml:space="preserve"> unknown to the Commission.</w:t>
      </w:r>
    </w:p>
    <w:p w14:paraId="5A980139" w14:textId="2CB5D499" w:rsidR="00752BB6" w:rsidRDefault="00752BB6" w:rsidP="00752BB6">
      <w:pPr>
        <w:pStyle w:val="Heading2"/>
      </w:pPr>
      <w:bookmarkStart w:id="6" w:name="_Toc76730685"/>
      <w:r>
        <w:t>Deficiencies with the serious vilification offence</w:t>
      </w:r>
      <w:bookmarkEnd w:id="6"/>
    </w:p>
    <w:p w14:paraId="545F9FE8" w14:textId="0F799028" w:rsidR="00DA0B29" w:rsidRDefault="009A3D36" w:rsidP="007635BE">
      <w:pPr>
        <w:pStyle w:val="ListParagraph"/>
        <w:numPr>
          <w:ilvl w:val="0"/>
          <w:numId w:val="4"/>
        </w:numPr>
        <w:spacing w:before="120" w:after="120" w:line="276" w:lineRule="auto"/>
        <w:ind w:left="567" w:hanging="567"/>
        <w:contextualSpacing w:val="0"/>
      </w:pPr>
      <w:r>
        <w:t xml:space="preserve">Five charges </w:t>
      </w:r>
      <w:r w:rsidR="00B24CC6">
        <w:t>of serious vilification</w:t>
      </w:r>
      <w:r>
        <w:t xml:space="preserve"> in </w:t>
      </w:r>
      <w:r w:rsidR="00D32789">
        <w:t>twenty</w:t>
      </w:r>
      <w:r>
        <w:t xml:space="preserve"> years</w:t>
      </w:r>
      <w:r w:rsidR="00B24CC6">
        <w:t xml:space="preserve"> does not </w:t>
      </w:r>
      <w:r w:rsidR="002D4BC3">
        <w:t>reflect</w:t>
      </w:r>
      <w:r w:rsidR="00B24CC6">
        <w:t xml:space="preserve"> the extent of </w:t>
      </w:r>
      <w:r w:rsidR="002D4BC3">
        <w:t>relevant</w:t>
      </w:r>
      <w:r w:rsidR="00B24CC6">
        <w:t xml:space="preserve"> conduct that occurs in the community.  In some cases, the offender is charged with other offences, such as </w:t>
      </w:r>
      <w:r w:rsidR="006573E0">
        <w:t xml:space="preserve">public </w:t>
      </w:r>
      <w:r w:rsidR="00B24CC6">
        <w:t>nuisance</w:t>
      </w:r>
      <w:r w:rsidR="006573E0">
        <w:t xml:space="preserve"> or trespass.  For example, </w:t>
      </w:r>
      <w:r w:rsidR="00DA0B29">
        <w:t>reports</w:t>
      </w:r>
      <w:r w:rsidR="006573E0">
        <w:t xml:space="preserve"> </w:t>
      </w:r>
      <w:r w:rsidR="00DA0B29">
        <w:t>in the media include:</w:t>
      </w:r>
    </w:p>
    <w:p w14:paraId="56A9B7DD" w14:textId="31F82823" w:rsidR="00752BB6" w:rsidRDefault="00DA0B29" w:rsidP="00DA0B29">
      <w:pPr>
        <w:pStyle w:val="ListParagraph"/>
        <w:numPr>
          <w:ilvl w:val="1"/>
          <w:numId w:val="4"/>
        </w:numPr>
        <w:spacing w:before="120" w:after="120" w:line="276" w:lineRule="auto"/>
        <w:ind w:left="1559" w:hanging="567"/>
        <w:contextualSpacing w:val="0"/>
      </w:pPr>
      <w:r>
        <w:t xml:space="preserve">A </w:t>
      </w:r>
      <w:r w:rsidR="006573E0">
        <w:t xml:space="preserve">man who yelled obscenities while gesturing with Nazi salutes, and verbally abusing </w:t>
      </w:r>
      <w:r>
        <w:t xml:space="preserve">and attempting to assault </w:t>
      </w:r>
      <w:r w:rsidR="006573E0">
        <w:t xml:space="preserve">a man leaving </w:t>
      </w:r>
      <w:r>
        <w:t>the Brisbane Synagogue in early 2021, was charged with public nuisance.</w:t>
      </w:r>
      <w:r w:rsidR="0070656F">
        <w:rPr>
          <w:rStyle w:val="FootnoteReference"/>
        </w:rPr>
        <w:footnoteReference w:id="19"/>
      </w:r>
    </w:p>
    <w:p w14:paraId="53BCCD74" w14:textId="2E8688D1" w:rsidR="00DA0B29" w:rsidRDefault="00DA0B29" w:rsidP="00DA0B29">
      <w:pPr>
        <w:pStyle w:val="ListParagraph"/>
        <w:numPr>
          <w:ilvl w:val="1"/>
          <w:numId w:val="4"/>
        </w:numPr>
        <w:spacing w:before="120" w:after="120" w:line="276" w:lineRule="auto"/>
        <w:ind w:left="1559" w:hanging="567"/>
        <w:contextualSpacing w:val="0"/>
      </w:pPr>
      <w:r>
        <w:t>A man who racially abused a woman sitting in her car</w:t>
      </w:r>
      <w:r w:rsidR="00462D8B">
        <w:t xml:space="preserve"> (in public) and then pulled down his pants and turned his naked buttocks to her, was charged with public nuisance</w:t>
      </w:r>
      <w:r w:rsidR="007E7E27">
        <w:t xml:space="preserve"> and wilful exposure</w:t>
      </w:r>
      <w:r w:rsidR="00462D8B">
        <w:t>.</w:t>
      </w:r>
      <w:r w:rsidR="007E7E27">
        <w:rPr>
          <w:rStyle w:val="FootnoteReference"/>
        </w:rPr>
        <w:footnoteReference w:id="20"/>
      </w:r>
    </w:p>
    <w:p w14:paraId="01094B47" w14:textId="026DF5A4" w:rsidR="00462D8B" w:rsidRDefault="00462D8B" w:rsidP="00DA0B29">
      <w:pPr>
        <w:pStyle w:val="ListParagraph"/>
        <w:numPr>
          <w:ilvl w:val="1"/>
          <w:numId w:val="4"/>
        </w:numPr>
        <w:spacing w:before="120" w:after="120" w:line="276" w:lineRule="auto"/>
        <w:ind w:left="1559" w:hanging="567"/>
        <w:contextualSpacing w:val="0"/>
      </w:pPr>
      <w:r>
        <w:t>Two men who verbally abused an</w:t>
      </w:r>
      <w:r w:rsidR="001A5B03">
        <w:t>d</w:t>
      </w:r>
      <w:r>
        <w:t xml:space="preserve"> physically attacked a female store owner in Cairns because she was Muslim, were charge</w:t>
      </w:r>
      <w:r w:rsidR="001A5B03">
        <w:t>d</w:t>
      </w:r>
      <w:r>
        <w:t xml:space="preserve"> with public nuisance.</w:t>
      </w:r>
      <w:r w:rsidR="00B55E3F">
        <w:rPr>
          <w:rStyle w:val="FootnoteReference"/>
        </w:rPr>
        <w:footnoteReference w:id="21"/>
      </w:r>
    </w:p>
    <w:p w14:paraId="1D59EC07" w14:textId="58449B55" w:rsidR="00462D8B" w:rsidRDefault="00183C3B" w:rsidP="00DA0B29">
      <w:pPr>
        <w:pStyle w:val="ListParagraph"/>
        <w:numPr>
          <w:ilvl w:val="1"/>
          <w:numId w:val="4"/>
        </w:numPr>
        <w:spacing w:before="120" w:after="120" w:line="276" w:lineRule="auto"/>
        <w:ind w:left="1559" w:hanging="567"/>
        <w:contextualSpacing w:val="0"/>
      </w:pPr>
      <w:r>
        <w:lastRenderedPageBreak/>
        <w:t>A man who grabbed the head-</w:t>
      </w:r>
      <w:r w:rsidR="00462D8B">
        <w:t>scarf of a woman on the street and then attempted to set it on fire, was charged with common assault.</w:t>
      </w:r>
      <w:r w:rsidR="00F94696">
        <w:rPr>
          <w:rStyle w:val="FootnoteReference"/>
        </w:rPr>
        <w:footnoteReference w:id="22"/>
      </w:r>
    </w:p>
    <w:p w14:paraId="3054A212" w14:textId="42CD483B" w:rsidR="00DA0B29" w:rsidRDefault="002B05B5" w:rsidP="00752BB6">
      <w:pPr>
        <w:pStyle w:val="ListParagraph"/>
        <w:numPr>
          <w:ilvl w:val="0"/>
          <w:numId w:val="4"/>
        </w:numPr>
        <w:spacing w:before="120" w:after="240" w:line="276" w:lineRule="auto"/>
        <w:ind w:left="567" w:hanging="567"/>
        <w:contextualSpacing w:val="0"/>
      </w:pPr>
      <w:r>
        <w:t>H</w:t>
      </w:r>
      <w:r w:rsidR="00820270">
        <w:t xml:space="preserve">ate-based vilification and other crimes </w:t>
      </w:r>
      <w:r>
        <w:t>cause harm to the individuals who are immediately impacted,</w:t>
      </w:r>
      <w:r w:rsidR="00F7098D">
        <w:t xml:space="preserve"> and also have consequential harms to the broader community.  </w:t>
      </w:r>
      <w:r w:rsidR="00820270">
        <w:t>When charges are laid</w:t>
      </w:r>
      <w:r w:rsidR="00840515">
        <w:t xml:space="preserve"> against a perpetrator</w:t>
      </w:r>
      <w:r w:rsidR="00820270">
        <w:t xml:space="preserve">, the communities often consider </w:t>
      </w:r>
      <w:r w:rsidR="003E054B">
        <w:t xml:space="preserve">the charge does not reflect that the crime was based on hatred and that </w:t>
      </w:r>
      <w:r w:rsidR="00820270">
        <w:t>the consequences are inadequate.</w:t>
      </w:r>
    </w:p>
    <w:p w14:paraId="58583879" w14:textId="77777777" w:rsidR="00843B4B" w:rsidRDefault="00843B4B" w:rsidP="00843B4B">
      <w:pPr>
        <w:pStyle w:val="ListParagraph"/>
        <w:numPr>
          <w:ilvl w:val="0"/>
          <w:numId w:val="4"/>
        </w:numPr>
        <w:spacing w:before="120" w:after="120" w:line="276" w:lineRule="auto"/>
        <w:ind w:left="567" w:hanging="567"/>
        <w:contextualSpacing w:val="0"/>
      </w:pPr>
      <w:r>
        <w:t>The Commission understands that the current serious vilification offence poses a number of barriers for police, namely:</w:t>
      </w:r>
    </w:p>
    <w:p w14:paraId="4B7B5E6F" w14:textId="77777777" w:rsidR="00843B4B" w:rsidRDefault="00843B4B" w:rsidP="00843B4B">
      <w:pPr>
        <w:pStyle w:val="ListParagraph"/>
        <w:numPr>
          <w:ilvl w:val="1"/>
          <w:numId w:val="4"/>
        </w:numPr>
        <w:spacing w:before="120" w:after="120" w:line="276" w:lineRule="auto"/>
        <w:ind w:left="1418" w:hanging="567"/>
        <w:contextualSpacing w:val="0"/>
      </w:pPr>
      <w:r>
        <w:t>The requirement to first obtain the consent of the DPP means there is a significant delay between the offence and laying charges.  A more immediate response reduces the risk of the same type of reoffending, pending a hearing.</w:t>
      </w:r>
    </w:p>
    <w:p w14:paraId="56E2B86A" w14:textId="77777777" w:rsidR="00843B4B" w:rsidRDefault="00843B4B" w:rsidP="00843B4B">
      <w:pPr>
        <w:pStyle w:val="ListParagraph"/>
        <w:numPr>
          <w:ilvl w:val="1"/>
          <w:numId w:val="4"/>
        </w:numPr>
        <w:spacing w:before="120" w:after="120" w:line="276" w:lineRule="auto"/>
        <w:ind w:left="1418" w:hanging="567"/>
        <w:contextualSpacing w:val="0"/>
      </w:pPr>
      <w:r>
        <w:t>The maximum penalty is low and a charge with a higher penalty might be preferable in the circumstances of the offence.  If the offence is online, police are unable to secure the necessary warrant to establish the author of the conduct and to preserve evidence.</w:t>
      </w:r>
    </w:p>
    <w:p w14:paraId="52C9B085" w14:textId="3BA9AE87" w:rsidR="00843B4B" w:rsidRDefault="00843B4B" w:rsidP="00843B4B">
      <w:pPr>
        <w:pStyle w:val="ListParagraph"/>
        <w:numPr>
          <w:ilvl w:val="1"/>
          <w:numId w:val="4"/>
        </w:numPr>
        <w:spacing w:before="120" w:after="240" w:line="276" w:lineRule="auto"/>
        <w:ind w:left="1418" w:hanging="567"/>
        <w:contextualSpacing w:val="0"/>
      </w:pPr>
      <w:r>
        <w:t>The number of elements to the offence make it more difficult to substantiate the offence.</w:t>
      </w:r>
    </w:p>
    <w:p w14:paraId="77994D47" w14:textId="6AA84666" w:rsidR="00843B4B" w:rsidRDefault="00843B4B" w:rsidP="00843B4B">
      <w:pPr>
        <w:pStyle w:val="ListParagraph"/>
        <w:numPr>
          <w:ilvl w:val="1"/>
          <w:numId w:val="4"/>
        </w:numPr>
        <w:spacing w:before="120" w:after="240" w:line="276" w:lineRule="auto"/>
        <w:ind w:left="1418" w:hanging="567"/>
        <w:contextualSpacing w:val="0"/>
      </w:pPr>
      <w:r>
        <w:t xml:space="preserve">The location of the offence in the </w:t>
      </w:r>
      <w:r>
        <w:rPr>
          <w:i/>
        </w:rPr>
        <w:t xml:space="preserve">Anti-Discrimination Act 1991 </w:t>
      </w:r>
      <w:r>
        <w:t xml:space="preserve">rather than in the </w:t>
      </w:r>
      <w:r w:rsidRPr="00843B4B">
        <w:rPr>
          <w:i/>
        </w:rPr>
        <w:t>Criminal Code</w:t>
      </w:r>
      <w:r>
        <w:t>.</w:t>
      </w:r>
    </w:p>
    <w:p w14:paraId="54F9C708" w14:textId="62E052DA" w:rsidR="00843B4B" w:rsidRDefault="00843B4B" w:rsidP="00843B4B">
      <w:pPr>
        <w:pStyle w:val="Heading3"/>
      </w:pPr>
      <w:bookmarkStart w:id="7" w:name="_Toc76730686"/>
      <w:r>
        <w:t>Penalty</w:t>
      </w:r>
      <w:bookmarkEnd w:id="7"/>
    </w:p>
    <w:p w14:paraId="5FECAE3F" w14:textId="2107A562" w:rsidR="00ED13DD" w:rsidRDefault="00ED13DD" w:rsidP="00752BB6">
      <w:pPr>
        <w:pStyle w:val="ListParagraph"/>
        <w:numPr>
          <w:ilvl w:val="0"/>
          <w:numId w:val="4"/>
        </w:numPr>
        <w:spacing w:before="120" w:after="240" w:line="276" w:lineRule="auto"/>
        <w:ind w:left="567" w:hanging="567"/>
        <w:contextualSpacing w:val="0"/>
      </w:pPr>
      <w:r>
        <w:t xml:space="preserve">The </w:t>
      </w:r>
      <w:r w:rsidR="00B07DC9">
        <w:t>maximum penalty</w:t>
      </w:r>
      <w:r>
        <w:t xml:space="preserve"> for serious vilification do</w:t>
      </w:r>
      <w:r w:rsidR="00B07DC9">
        <w:t>es</w:t>
      </w:r>
      <w:r>
        <w:t xml:space="preserve"> not reflect the seriousness and the harm done by the conduct, and </w:t>
      </w:r>
      <w:r w:rsidR="001338FD">
        <w:t xml:space="preserve">is </w:t>
      </w:r>
      <w:r w:rsidR="001C6492">
        <w:t xml:space="preserve">not an </w:t>
      </w:r>
      <w:r w:rsidR="001338FD">
        <w:t>adequate deterrent, particularly given the under</w:t>
      </w:r>
      <w:r w:rsidR="002D4BC3">
        <w:t>-</w:t>
      </w:r>
      <w:r w:rsidR="001338FD">
        <w:t>utilisation of the offence.</w:t>
      </w:r>
    </w:p>
    <w:p w14:paraId="42C4852A" w14:textId="6D090222" w:rsidR="001C6492" w:rsidRDefault="00B07DC9" w:rsidP="00752BB6">
      <w:pPr>
        <w:pStyle w:val="ListParagraph"/>
        <w:numPr>
          <w:ilvl w:val="0"/>
          <w:numId w:val="4"/>
        </w:numPr>
        <w:spacing w:before="120" w:after="240" w:line="276" w:lineRule="auto"/>
        <w:ind w:left="567" w:hanging="567"/>
        <w:contextualSpacing w:val="0"/>
      </w:pPr>
      <w:r>
        <w:t>The low maximum penalty of six months imprisonment also poses difficulties for police in investigating and laying charges under section 131A.  Where the conduct involves the use of telecommunications (for example, Facebook, Twitter) the Crown must prove beyond reasonable doubt the person who was responsible for the communication.  Six mon</w:t>
      </w:r>
      <w:r w:rsidR="002D4BC3">
        <w:t>th</w:t>
      </w:r>
      <w:r>
        <w:t xml:space="preserve"> imprisonment offences do not meet the threshold for Facebook preservation requests, stored communication </w:t>
      </w:r>
      <w:r w:rsidR="00EB43F3">
        <w:t>requests</w:t>
      </w:r>
      <w:r>
        <w:t xml:space="preserve">, and the </w:t>
      </w:r>
      <w:r w:rsidR="002D4BC3">
        <w:t xml:space="preserve">issuing of a </w:t>
      </w:r>
      <w:r>
        <w:t>warrant required to secure digital evidence fo</w:t>
      </w:r>
      <w:r w:rsidR="00EC0BEF">
        <w:t xml:space="preserve">r court proceedings.  For online offences, police need to access communications held by a carrier to </w:t>
      </w:r>
      <w:r w:rsidR="00EC0BEF">
        <w:lastRenderedPageBreak/>
        <w:t>establish who is responsible for the communication.  A stored communication warrant is necessary for police to access and preserve communications</w:t>
      </w:r>
      <w:r>
        <w:t>.</w:t>
      </w:r>
      <w:r w:rsidR="00EC0BEF">
        <w:t xml:space="preserve">  A stored communications warrant is issued under the </w:t>
      </w:r>
      <w:r w:rsidR="00EC0BEF">
        <w:rPr>
          <w:i/>
        </w:rPr>
        <w:t xml:space="preserve">Telecommunications (Interception and Access) Act 1979 </w:t>
      </w:r>
      <w:r w:rsidR="00EC0BEF">
        <w:t>(Cth), and is only available for the investigation of a serious contravention.</w:t>
      </w:r>
      <w:r w:rsidR="006E4D86">
        <w:rPr>
          <w:rStyle w:val="FootnoteReference"/>
        </w:rPr>
        <w:footnoteReference w:id="23"/>
      </w:r>
      <w:r w:rsidR="00EC0BEF">
        <w:t xml:space="preserve">  In general, the offence</w:t>
      </w:r>
      <w:r w:rsidR="006E4D86">
        <w:t xml:space="preserve"> must be a serious offence, or an offence punishable for a maximum period of three years.</w:t>
      </w:r>
      <w:r w:rsidR="006E4D86">
        <w:rPr>
          <w:rStyle w:val="FootnoteReference"/>
        </w:rPr>
        <w:footnoteReference w:id="24"/>
      </w:r>
    </w:p>
    <w:p w14:paraId="724950BF" w14:textId="15F39202" w:rsidR="00B07DC9" w:rsidRDefault="00B07DC9" w:rsidP="00752BB6">
      <w:pPr>
        <w:pStyle w:val="ListParagraph"/>
        <w:numPr>
          <w:ilvl w:val="0"/>
          <w:numId w:val="4"/>
        </w:numPr>
        <w:spacing w:before="120" w:after="240" w:line="276" w:lineRule="auto"/>
        <w:ind w:left="567" w:hanging="567"/>
        <w:contextualSpacing w:val="0"/>
      </w:pPr>
      <w:r>
        <w:t>This means that in addition to a section 131A complaint, there must also be a c</w:t>
      </w:r>
      <w:r w:rsidR="002D4BC3">
        <w:t>omplaint of an associated three-</w:t>
      </w:r>
      <w:r>
        <w:t>year imprisonment offence (for example, a telecommunications offence referred to below) to allow for the search and seizure of evidence where the vilification is by electronic means.</w:t>
      </w:r>
    </w:p>
    <w:p w14:paraId="597B0C30" w14:textId="759A461D" w:rsidR="00B07DC9" w:rsidRDefault="00EE707A" w:rsidP="00752BB6">
      <w:pPr>
        <w:pStyle w:val="ListParagraph"/>
        <w:numPr>
          <w:ilvl w:val="0"/>
          <w:numId w:val="4"/>
        </w:numPr>
        <w:spacing w:before="120" w:after="240" w:line="276" w:lineRule="auto"/>
        <w:ind w:left="567" w:hanging="567"/>
        <w:contextualSpacing w:val="0"/>
      </w:pPr>
      <w:r>
        <w:t>Members of minority groups are often reluctant to make a complaint to police for fear of further reprisals against the</w:t>
      </w:r>
      <w:r w:rsidR="00BF4BAD">
        <w:t>m</w:t>
      </w:r>
      <w:r>
        <w:t xml:space="preserve">.  Although a third party </w:t>
      </w:r>
      <w:r w:rsidR="00AF1035">
        <w:t>might</w:t>
      </w:r>
      <w:r>
        <w:t xml:space="preserve"> be a complainant</w:t>
      </w:r>
      <w:r w:rsidR="00AF1035">
        <w:t xml:space="preserve"> for the issue of a summons</w:t>
      </w:r>
      <w:r w:rsidR="00C373B5">
        <w:t>,</w:t>
      </w:r>
      <w:r>
        <w:rPr>
          <w:rStyle w:val="FootnoteReference"/>
        </w:rPr>
        <w:footnoteReference w:id="25"/>
      </w:r>
      <w:r w:rsidR="00301FFE">
        <w:t xml:space="preserve"> </w:t>
      </w:r>
      <w:r w:rsidR="00C373B5">
        <w:t>the third party cannot be the complainant for an associated telecommunications offence</w:t>
      </w:r>
      <w:r w:rsidR="002D4BC3">
        <w:t>,</w:t>
      </w:r>
      <w:r w:rsidR="00C373B5">
        <w:t xml:space="preserve"> as the online vilification is not directed at the third party.  This means that police would not be able to secure evidence to support a criminal prosecution under section 131A.</w:t>
      </w:r>
    </w:p>
    <w:p w14:paraId="3A80B5E1" w14:textId="08CCCA9F" w:rsidR="00843B4B" w:rsidRDefault="00843B4B" w:rsidP="00843B4B">
      <w:pPr>
        <w:pStyle w:val="Heading3"/>
      </w:pPr>
      <w:bookmarkStart w:id="8" w:name="_Toc76730687"/>
      <w:r>
        <w:t>Approval to prosecute</w:t>
      </w:r>
      <w:bookmarkEnd w:id="8"/>
    </w:p>
    <w:p w14:paraId="2597CF06" w14:textId="370A3BDD" w:rsidR="00C373B5" w:rsidRDefault="00C373B5" w:rsidP="00752BB6">
      <w:pPr>
        <w:pStyle w:val="ListParagraph"/>
        <w:numPr>
          <w:ilvl w:val="0"/>
          <w:numId w:val="4"/>
        </w:numPr>
        <w:spacing w:before="120" w:after="240" w:line="276" w:lineRule="auto"/>
        <w:ind w:left="567" w:hanging="567"/>
        <w:contextualSpacing w:val="0"/>
      </w:pPr>
      <w:r>
        <w:t xml:space="preserve">A factor relevant to the under-utilisation </w:t>
      </w:r>
      <w:r w:rsidR="00F23A6C">
        <w:t xml:space="preserve">by police </w:t>
      </w:r>
      <w:r>
        <w:t xml:space="preserve">of the section 131A offence is that the approval of the Director of Public Prosecutions (the </w:t>
      </w:r>
      <w:r w:rsidRPr="00C373B5">
        <w:rPr>
          <w:b/>
        </w:rPr>
        <w:t>DPP</w:t>
      </w:r>
      <w:r>
        <w:t xml:space="preserve">) or the Attorney-General is required before a </w:t>
      </w:r>
      <w:r w:rsidR="00183C3B">
        <w:t>proceeding can be started.</w:t>
      </w:r>
      <w:r w:rsidR="00C10F8B">
        <w:t xml:space="preserve">  By comparison, the summary offence of public nuisance carries the same maximum imprisonment penalty of six months, but does not </w:t>
      </w:r>
      <w:r w:rsidR="00262529">
        <w:t>require prior approval to start a proceeding</w:t>
      </w:r>
      <w:r w:rsidR="00C10F8B">
        <w:t>.  The requirement is out-dated, and delays in completing a</w:t>
      </w:r>
      <w:r w:rsidR="00262529">
        <w:t>nd</w:t>
      </w:r>
      <w:r w:rsidR="00C10F8B">
        <w:t xml:space="preserve"> submitting a brief for approval potentially allows the offending </w:t>
      </w:r>
      <w:r w:rsidR="00262529">
        <w:t>to continue, and the time delay may lessen</w:t>
      </w:r>
      <w:r w:rsidR="00C10F8B">
        <w:t xml:space="preserve"> the impact of a prosecution.</w:t>
      </w:r>
    </w:p>
    <w:p w14:paraId="2944732B" w14:textId="7D53EF92" w:rsidR="00C10F8B" w:rsidRDefault="00C10F8B" w:rsidP="00752BB6">
      <w:pPr>
        <w:pStyle w:val="ListParagraph"/>
        <w:numPr>
          <w:ilvl w:val="0"/>
          <w:numId w:val="4"/>
        </w:numPr>
        <w:spacing w:before="120" w:after="240" w:line="276" w:lineRule="auto"/>
        <w:ind w:left="567" w:hanging="567"/>
        <w:contextualSpacing w:val="0"/>
      </w:pPr>
      <w:r>
        <w:t xml:space="preserve">The requirement </w:t>
      </w:r>
      <w:r w:rsidR="00262529">
        <w:t xml:space="preserve">for approval to commence a proceeding </w:t>
      </w:r>
      <w:r>
        <w:t xml:space="preserve">was introduced </w:t>
      </w:r>
      <w:r w:rsidR="007F46E9">
        <w:t xml:space="preserve">in response to </w:t>
      </w:r>
      <w:r>
        <w:t>concern</w:t>
      </w:r>
      <w:r w:rsidR="007F46E9">
        <w:t>s</w:t>
      </w:r>
      <w:r>
        <w:t xml:space="preserve"> raised by the Scrutiny of Legislation Committee at the time about the decision to prosecute being left to the Anti-Discrimination Commissioner, without an additional filtering process.</w:t>
      </w:r>
      <w:r>
        <w:rPr>
          <w:rStyle w:val="FootnoteReference"/>
        </w:rPr>
        <w:footnoteReference w:id="26"/>
      </w:r>
      <w:r w:rsidR="007F46E9">
        <w:t xml:space="preserve">  The Committee noted that the then Commissioner had actively lobbied successive Queensland governments for the laws in the Bill.</w:t>
      </w:r>
    </w:p>
    <w:p w14:paraId="4C547BAA" w14:textId="1830B543" w:rsidR="0082330C" w:rsidRPr="0022657D" w:rsidRDefault="0022657D" w:rsidP="006C75BC">
      <w:pPr>
        <w:pStyle w:val="ListParagraph"/>
        <w:numPr>
          <w:ilvl w:val="0"/>
          <w:numId w:val="4"/>
        </w:numPr>
        <w:spacing w:before="120" w:after="120" w:line="276" w:lineRule="auto"/>
        <w:ind w:left="567" w:hanging="567"/>
        <w:contextualSpacing w:val="0"/>
      </w:pPr>
      <w:r w:rsidRPr="0022657D">
        <w:lastRenderedPageBreak/>
        <w:t>The Attorney-General responded to the Committee, noting that the decision to prosecute being with the Anti-Discrimination Commissioner was consistent with other provisions of the Act in relation to criminal proceedings, and said:</w:t>
      </w:r>
    </w:p>
    <w:p w14:paraId="78B22A9D" w14:textId="33D06969" w:rsidR="0022657D" w:rsidRPr="0022657D" w:rsidRDefault="0022657D" w:rsidP="0022657D">
      <w:pPr>
        <w:spacing w:before="120" w:after="240"/>
        <w:ind w:left="1276" w:right="845"/>
        <w:rPr>
          <w:sz w:val="22"/>
          <w:szCs w:val="22"/>
        </w:rPr>
      </w:pPr>
      <w:r w:rsidRPr="0022657D">
        <w:rPr>
          <w:sz w:val="22"/>
          <w:szCs w:val="22"/>
        </w:rPr>
        <w:t>… I accept the Office of the Director of Public Prosecutions provides an additional filtering process to ensure prosecutions are seen to be properly brought.  It is important that the public be assured that there is a uniform system for the prosecution of criminal offences in Queensland.</w:t>
      </w:r>
      <w:r>
        <w:rPr>
          <w:sz w:val="22"/>
          <w:szCs w:val="22"/>
        </w:rPr>
        <w:t xml:space="preserve"> … the appropriate amendment to allow the Director of Prosecutions to perform this filtering role will be made to the Bill in Committee.</w:t>
      </w:r>
    </w:p>
    <w:p w14:paraId="788E5506" w14:textId="07D14B79" w:rsidR="0022657D" w:rsidRDefault="0022657D" w:rsidP="00752BB6">
      <w:pPr>
        <w:pStyle w:val="ListParagraph"/>
        <w:numPr>
          <w:ilvl w:val="0"/>
          <w:numId w:val="4"/>
        </w:numPr>
        <w:spacing w:before="120" w:after="240" w:line="276" w:lineRule="auto"/>
        <w:ind w:left="567" w:hanging="567"/>
        <w:contextualSpacing w:val="0"/>
      </w:pPr>
      <w:r>
        <w:t xml:space="preserve">The amendments to the Bill included the existing subsections </w:t>
      </w:r>
      <w:r w:rsidR="00455917">
        <w:t>134A (</w:t>
      </w:r>
      <w:r>
        <w:t>2)-(4).  Not only was the ‘filtering’ process of prior consent included, the power of the Anti-Discrimination Commissioner to prosecute was also removed.</w:t>
      </w:r>
    </w:p>
    <w:p w14:paraId="0FBD0F37" w14:textId="06860D74" w:rsidR="0022657D" w:rsidRDefault="0022657D" w:rsidP="00752BB6">
      <w:pPr>
        <w:pStyle w:val="ListParagraph"/>
        <w:numPr>
          <w:ilvl w:val="0"/>
          <w:numId w:val="4"/>
        </w:numPr>
        <w:spacing w:before="120" w:after="240" w:line="276" w:lineRule="auto"/>
        <w:ind w:left="567" w:hanging="567"/>
        <w:contextualSpacing w:val="0"/>
      </w:pPr>
      <w:r>
        <w:t xml:space="preserve">The Commission considers it is appropriate that </w:t>
      </w:r>
      <w:r w:rsidR="007C0BDC">
        <w:t xml:space="preserve">the </w:t>
      </w:r>
      <w:r>
        <w:t>Commissioner does not have the function of prosecuting offences for serious vilification.</w:t>
      </w:r>
      <w:r w:rsidR="002E24AC">
        <w:t xml:space="preserve">  The decision to prosecute should however be left to police, as is the case with other criminal offences.  There is no valid rationale for the requirement</w:t>
      </w:r>
      <w:r w:rsidR="007C0BDC">
        <w:t xml:space="preserve"> of prior DPP approval</w:t>
      </w:r>
      <w:r w:rsidR="002E24AC">
        <w:t xml:space="preserve">, and it is not consistent with the prosecution of </w:t>
      </w:r>
      <w:r w:rsidR="00BF4BAD">
        <w:t xml:space="preserve">most </w:t>
      </w:r>
      <w:r w:rsidR="002E24AC">
        <w:t>criminal offences in Queensland.</w:t>
      </w:r>
      <w:r w:rsidR="00BF4BAD">
        <w:rPr>
          <w:rStyle w:val="FootnoteReference"/>
        </w:rPr>
        <w:footnoteReference w:id="27"/>
      </w:r>
      <w:r w:rsidR="002E24AC">
        <w:t xml:space="preserve">  The removal of the prior consent requirement </w:t>
      </w:r>
      <w:r w:rsidR="00BF4BAD">
        <w:t>would likely result</w:t>
      </w:r>
      <w:r w:rsidR="002E24AC">
        <w:t xml:space="preserve"> in </w:t>
      </w:r>
      <w:r w:rsidR="00BF4BAD">
        <w:t>greater</w:t>
      </w:r>
      <w:r w:rsidR="002E24AC">
        <w:t xml:space="preserve"> utilisation of the offence.</w:t>
      </w:r>
    </w:p>
    <w:p w14:paraId="5FBED0DD" w14:textId="1B491337" w:rsidR="00843B4B" w:rsidRDefault="00843B4B" w:rsidP="00843B4B">
      <w:pPr>
        <w:pStyle w:val="Heading3"/>
      </w:pPr>
      <w:bookmarkStart w:id="9" w:name="_Toc76730688"/>
      <w:r>
        <w:t>Complexity of offence</w:t>
      </w:r>
      <w:bookmarkEnd w:id="9"/>
    </w:p>
    <w:p w14:paraId="17C4F074" w14:textId="77777777" w:rsidR="004E55B8" w:rsidRDefault="00E32982" w:rsidP="004E55B8">
      <w:pPr>
        <w:pStyle w:val="ListParagraph"/>
        <w:numPr>
          <w:ilvl w:val="0"/>
          <w:numId w:val="4"/>
        </w:numPr>
        <w:spacing w:before="120" w:after="120" w:line="276" w:lineRule="auto"/>
        <w:ind w:left="567" w:hanging="567"/>
        <w:contextualSpacing w:val="0"/>
      </w:pPr>
      <w:r w:rsidRPr="00683E98">
        <w:t>The offence consists of many elements, and there has not been any judicial consideration of the provision, resulting in the meaning of some elements</w:t>
      </w:r>
      <w:r w:rsidR="004E55B8">
        <w:t xml:space="preserve"> being uncertain.  For example: </w:t>
      </w:r>
    </w:p>
    <w:p w14:paraId="611F24CB" w14:textId="507BC3B4" w:rsidR="004E55B8" w:rsidRDefault="00683E98" w:rsidP="004E55B8">
      <w:pPr>
        <w:pStyle w:val="ListParagraph"/>
        <w:numPr>
          <w:ilvl w:val="1"/>
          <w:numId w:val="4"/>
        </w:numPr>
        <w:spacing w:before="120" w:after="120" w:line="276" w:lineRule="auto"/>
        <w:ind w:left="1559" w:hanging="567"/>
        <w:contextualSpacing w:val="0"/>
      </w:pPr>
      <w:r w:rsidRPr="00683E98">
        <w:t xml:space="preserve">whether ‘incite’ would be interpreted </w:t>
      </w:r>
      <w:r w:rsidR="007C0BDC">
        <w:t xml:space="preserve">in </w:t>
      </w:r>
      <w:r w:rsidRPr="00683E98">
        <w:t xml:space="preserve">the same </w:t>
      </w:r>
      <w:r w:rsidR="007C0BDC">
        <w:t xml:space="preserve">way </w:t>
      </w:r>
      <w:r w:rsidRPr="00683E98">
        <w:t>as in the civil context (discussed later in this submission), namely, no need to prove that a person was in fact incited</w:t>
      </w:r>
      <w:r w:rsidR="004E55B8">
        <w:t>;</w:t>
      </w:r>
      <w:r w:rsidR="002F7053">
        <w:t xml:space="preserve"> and </w:t>
      </w:r>
    </w:p>
    <w:p w14:paraId="361678EB" w14:textId="5302F35F" w:rsidR="00BF7864" w:rsidRDefault="002F7053" w:rsidP="004E55B8">
      <w:pPr>
        <w:pStyle w:val="ListParagraph"/>
        <w:numPr>
          <w:ilvl w:val="1"/>
          <w:numId w:val="4"/>
        </w:numPr>
        <w:spacing w:before="120" w:after="240" w:line="276" w:lineRule="auto"/>
        <w:ind w:left="1559" w:hanging="567"/>
        <w:contextualSpacing w:val="0"/>
      </w:pPr>
      <w:r>
        <w:t>whether the offence is made out if the perpetrator makes an incorrect assumption about the attribute of the target (that is, assumes that person is of a race o</w:t>
      </w:r>
      <w:r w:rsidR="004E55B8">
        <w:t>r religion but the person is of a different race or religion</w:t>
      </w:r>
      <w:r>
        <w:t>)</w:t>
      </w:r>
      <w:r w:rsidR="00683E98" w:rsidRPr="00683E98">
        <w:t xml:space="preserve">. </w:t>
      </w:r>
    </w:p>
    <w:p w14:paraId="333F67EB" w14:textId="53974D9D" w:rsidR="00843B4B" w:rsidRPr="00683E98" w:rsidRDefault="00843B4B" w:rsidP="00843B4B">
      <w:pPr>
        <w:pStyle w:val="Heading3"/>
      </w:pPr>
      <w:bookmarkStart w:id="10" w:name="_Toc76730689"/>
      <w:r>
        <w:t>Location of offence</w:t>
      </w:r>
      <w:bookmarkEnd w:id="10"/>
    </w:p>
    <w:p w14:paraId="43C78553" w14:textId="1344C44B" w:rsidR="002E24AC" w:rsidRDefault="002E24AC" w:rsidP="00752BB6">
      <w:pPr>
        <w:pStyle w:val="ListParagraph"/>
        <w:numPr>
          <w:ilvl w:val="0"/>
          <w:numId w:val="4"/>
        </w:numPr>
        <w:spacing w:before="120" w:after="240" w:line="276" w:lineRule="auto"/>
        <w:ind w:left="567" w:hanging="567"/>
        <w:contextualSpacing w:val="0"/>
      </w:pPr>
      <w:r>
        <w:t xml:space="preserve">Another means of increasing police awareness and use of the offence </w:t>
      </w:r>
      <w:r w:rsidR="00BF7864">
        <w:t>may be</w:t>
      </w:r>
      <w:r>
        <w:t xml:space="preserve"> to move it from the </w:t>
      </w:r>
      <w:r>
        <w:rPr>
          <w:i/>
        </w:rPr>
        <w:t xml:space="preserve">Anti-Discrimination Act 1991 </w:t>
      </w:r>
      <w:r>
        <w:t xml:space="preserve">to the </w:t>
      </w:r>
      <w:r w:rsidRPr="002E24AC">
        <w:rPr>
          <w:i/>
        </w:rPr>
        <w:t>Criminal Code</w:t>
      </w:r>
      <w:r>
        <w:t>.  This has occurred in New South Wales</w:t>
      </w:r>
      <w:r w:rsidR="00376232">
        <w:t>.</w:t>
      </w:r>
    </w:p>
    <w:p w14:paraId="3F592AE0" w14:textId="7E2314C5" w:rsidR="00BA50E0" w:rsidRDefault="00BA50E0" w:rsidP="00752BB6">
      <w:pPr>
        <w:pStyle w:val="ListParagraph"/>
        <w:numPr>
          <w:ilvl w:val="0"/>
          <w:numId w:val="4"/>
        </w:numPr>
        <w:spacing w:before="120" w:after="240" w:line="276" w:lineRule="auto"/>
        <w:ind w:left="567" w:hanging="567"/>
        <w:contextualSpacing w:val="0"/>
      </w:pPr>
      <w:r>
        <w:lastRenderedPageBreak/>
        <w:t xml:space="preserve">In 2018, the offences of serious racial vilification, serious transgender vilification, serious homosexual vilification, and serious HIV/AIDS vilification in the </w:t>
      </w:r>
      <w:r w:rsidRPr="00BA50E0">
        <w:rPr>
          <w:i/>
        </w:rPr>
        <w:t>Anti-Discrimination Act 1977</w:t>
      </w:r>
      <w:r>
        <w:t xml:space="preserve"> (NSW)</w:t>
      </w:r>
      <w:r>
        <w:rPr>
          <w:rStyle w:val="FootnoteReference"/>
        </w:rPr>
        <w:footnoteReference w:id="28"/>
      </w:r>
      <w:r>
        <w:t xml:space="preserve"> were repealed.</w:t>
      </w:r>
      <w:r w:rsidR="00262529">
        <w:t xml:space="preserve">  In their place, a new </w:t>
      </w:r>
      <w:r w:rsidR="0068205C">
        <w:t xml:space="preserve">offence </w:t>
      </w:r>
      <w:r w:rsidR="00683E98">
        <w:t>of publicly threatening or inciting violence</w:t>
      </w:r>
      <w:r w:rsidR="00262529">
        <w:t xml:space="preserve"> was inserted into the </w:t>
      </w:r>
      <w:r w:rsidR="00262529" w:rsidRPr="00262529">
        <w:rPr>
          <w:i/>
        </w:rPr>
        <w:t>Crimes Act 1900</w:t>
      </w:r>
      <w:r w:rsidR="00262529">
        <w:t xml:space="preserve"> (NSW</w:t>
      </w:r>
      <w:r w:rsidR="00BF7864">
        <w:t>)</w:t>
      </w:r>
      <w:r w:rsidR="00262529">
        <w:t>.</w:t>
      </w:r>
    </w:p>
    <w:p w14:paraId="794ABC1E" w14:textId="74B143EB" w:rsidR="00C51895" w:rsidRDefault="00C51895" w:rsidP="009A25FD">
      <w:pPr>
        <w:pStyle w:val="ListParagraph"/>
        <w:keepNext/>
        <w:numPr>
          <w:ilvl w:val="0"/>
          <w:numId w:val="4"/>
        </w:numPr>
        <w:spacing w:before="120" w:after="120" w:line="276" w:lineRule="auto"/>
        <w:ind w:left="567" w:hanging="567"/>
        <w:contextualSpacing w:val="0"/>
      </w:pPr>
      <w:r>
        <w:t xml:space="preserve">Section 93Z of the </w:t>
      </w:r>
      <w:r w:rsidRPr="00C51895">
        <w:rPr>
          <w:i/>
        </w:rPr>
        <w:t>Crimes Act 1900</w:t>
      </w:r>
      <w:r>
        <w:t xml:space="preserve"> (NSW) provides:</w:t>
      </w:r>
    </w:p>
    <w:p w14:paraId="1D1FAAFB" w14:textId="4DE17758" w:rsidR="0068205C" w:rsidRPr="00C3289B" w:rsidRDefault="0068205C" w:rsidP="009A25FD">
      <w:pPr>
        <w:keepNext/>
        <w:autoSpaceDE w:val="0"/>
        <w:autoSpaceDN w:val="0"/>
        <w:adjustRightInd w:val="0"/>
        <w:spacing w:before="120" w:after="120"/>
        <w:ind w:left="993" w:right="805"/>
        <w:rPr>
          <w:rFonts w:cs="Arial"/>
          <w:b/>
          <w:bCs/>
          <w:sz w:val="22"/>
          <w:szCs w:val="22"/>
        </w:rPr>
      </w:pPr>
      <w:r>
        <w:rPr>
          <w:rFonts w:cs="Arial"/>
          <w:b/>
          <w:bCs/>
          <w:sz w:val="22"/>
          <w:szCs w:val="22"/>
        </w:rPr>
        <w:t xml:space="preserve">93Z  Offence of publicly threatening or inciting violence on grounds of race, religion, </w:t>
      </w:r>
      <w:r w:rsidR="00455917">
        <w:rPr>
          <w:rFonts w:cs="Arial"/>
          <w:b/>
          <w:bCs/>
          <w:sz w:val="22"/>
          <w:szCs w:val="22"/>
        </w:rPr>
        <w:t>sexual orientation</w:t>
      </w:r>
      <w:r>
        <w:rPr>
          <w:rFonts w:cs="Arial"/>
          <w:b/>
          <w:bCs/>
          <w:sz w:val="22"/>
          <w:szCs w:val="22"/>
        </w:rPr>
        <w:t>, gender identity or intersex or HIV/AIDS status</w:t>
      </w:r>
    </w:p>
    <w:p w14:paraId="62EF1282" w14:textId="4A23BBA9" w:rsidR="0068205C" w:rsidRPr="00C3289B" w:rsidRDefault="0068205C" w:rsidP="0068205C">
      <w:pPr>
        <w:pStyle w:val="ListParagraph"/>
        <w:numPr>
          <w:ilvl w:val="0"/>
          <w:numId w:val="40"/>
        </w:numPr>
        <w:autoSpaceDE w:val="0"/>
        <w:autoSpaceDN w:val="0"/>
        <w:adjustRightInd w:val="0"/>
        <w:spacing w:before="120" w:after="120"/>
        <w:ind w:left="1418" w:right="805" w:hanging="425"/>
        <w:contextualSpacing w:val="0"/>
        <w:rPr>
          <w:rFonts w:cs="Arial"/>
          <w:sz w:val="22"/>
          <w:szCs w:val="22"/>
        </w:rPr>
      </w:pPr>
      <w:r w:rsidRPr="00C3289B">
        <w:rPr>
          <w:rFonts w:cs="Arial"/>
          <w:sz w:val="22"/>
          <w:szCs w:val="22"/>
        </w:rPr>
        <w:t xml:space="preserve">A person </w:t>
      </w:r>
      <w:r>
        <w:rPr>
          <w:rFonts w:cs="Arial"/>
          <w:sz w:val="22"/>
          <w:szCs w:val="22"/>
        </w:rPr>
        <w:t>who, by a public act, intentionally</w:t>
      </w:r>
      <w:r w:rsidRPr="00C3289B">
        <w:rPr>
          <w:rFonts w:cs="Arial"/>
          <w:sz w:val="22"/>
          <w:szCs w:val="22"/>
        </w:rPr>
        <w:t xml:space="preserve"> or recklessly</w:t>
      </w:r>
      <w:r>
        <w:rPr>
          <w:rFonts w:cs="Arial"/>
          <w:sz w:val="22"/>
          <w:szCs w:val="22"/>
        </w:rPr>
        <w:t xml:space="preserve"> threatens or</w:t>
      </w:r>
      <w:r w:rsidRPr="00C3289B">
        <w:rPr>
          <w:rFonts w:cs="Arial"/>
          <w:sz w:val="22"/>
          <w:szCs w:val="22"/>
        </w:rPr>
        <w:t xml:space="preserve"> incite</w:t>
      </w:r>
      <w:r>
        <w:rPr>
          <w:rFonts w:cs="Arial"/>
          <w:sz w:val="22"/>
          <w:szCs w:val="22"/>
        </w:rPr>
        <w:t>s</w:t>
      </w:r>
      <w:r w:rsidRPr="00C3289B">
        <w:rPr>
          <w:rFonts w:cs="Arial"/>
          <w:sz w:val="22"/>
          <w:szCs w:val="22"/>
        </w:rPr>
        <w:t xml:space="preserve"> </w:t>
      </w:r>
      <w:r>
        <w:rPr>
          <w:rFonts w:cs="Arial"/>
          <w:sz w:val="22"/>
          <w:szCs w:val="22"/>
        </w:rPr>
        <w:t>violence towards another person or a group of persons on any of the following grounds is guilty of an offence</w:t>
      </w:r>
      <w:r w:rsidRPr="00C3289B">
        <w:rPr>
          <w:rFonts w:cs="Arial"/>
          <w:sz w:val="22"/>
          <w:szCs w:val="22"/>
        </w:rPr>
        <w:t>—</w:t>
      </w:r>
    </w:p>
    <w:p w14:paraId="08A5EF54" w14:textId="4877A37E" w:rsidR="0068205C" w:rsidRPr="00C3289B" w:rsidRDefault="0068205C" w:rsidP="00BF7864">
      <w:pPr>
        <w:pStyle w:val="ListParagraph"/>
        <w:numPr>
          <w:ilvl w:val="0"/>
          <w:numId w:val="41"/>
        </w:numPr>
        <w:autoSpaceDE w:val="0"/>
        <w:autoSpaceDN w:val="0"/>
        <w:adjustRightInd w:val="0"/>
        <w:spacing w:before="120" w:after="120"/>
        <w:ind w:left="1639" w:right="805" w:hanging="505"/>
        <w:contextualSpacing w:val="0"/>
        <w:rPr>
          <w:rFonts w:cs="Arial"/>
          <w:sz w:val="22"/>
          <w:szCs w:val="22"/>
        </w:rPr>
      </w:pPr>
      <w:r>
        <w:rPr>
          <w:rFonts w:cs="Arial"/>
          <w:sz w:val="22"/>
          <w:szCs w:val="22"/>
        </w:rPr>
        <w:t>the race of the other person or one or more of the members of the group,</w:t>
      </w:r>
    </w:p>
    <w:p w14:paraId="60DB24C8" w14:textId="48D9F10E" w:rsidR="0068205C" w:rsidRDefault="0068205C" w:rsidP="0068205C">
      <w:pPr>
        <w:pStyle w:val="ListParagraph"/>
        <w:numPr>
          <w:ilvl w:val="0"/>
          <w:numId w:val="41"/>
        </w:numPr>
        <w:autoSpaceDE w:val="0"/>
        <w:autoSpaceDN w:val="0"/>
        <w:adjustRightInd w:val="0"/>
        <w:spacing w:before="120" w:after="120"/>
        <w:ind w:right="805" w:hanging="502"/>
        <w:contextualSpacing w:val="0"/>
        <w:rPr>
          <w:rFonts w:cs="Arial"/>
          <w:sz w:val="22"/>
          <w:szCs w:val="22"/>
        </w:rPr>
      </w:pPr>
      <w:r>
        <w:rPr>
          <w:rFonts w:cs="Arial"/>
          <w:sz w:val="22"/>
          <w:szCs w:val="22"/>
        </w:rPr>
        <w:t>that the other person has, or one or more of the members of the group have, a specific religious belief or affiliation,</w:t>
      </w:r>
    </w:p>
    <w:p w14:paraId="7E26FE38" w14:textId="7D7B7265" w:rsidR="0068205C" w:rsidRDefault="0068205C" w:rsidP="0068205C">
      <w:pPr>
        <w:pStyle w:val="ListParagraph"/>
        <w:numPr>
          <w:ilvl w:val="0"/>
          <w:numId w:val="41"/>
        </w:numPr>
        <w:autoSpaceDE w:val="0"/>
        <w:autoSpaceDN w:val="0"/>
        <w:adjustRightInd w:val="0"/>
        <w:spacing w:before="120" w:after="120"/>
        <w:ind w:right="805" w:hanging="502"/>
        <w:contextualSpacing w:val="0"/>
        <w:rPr>
          <w:rFonts w:cs="Arial"/>
          <w:sz w:val="22"/>
          <w:szCs w:val="22"/>
        </w:rPr>
      </w:pPr>
      <w:r>
        <w:rPr>
          <w:rFonts w:cs="Arial"/>
          <w:sz w:val="22"/>
          <w:szCs w:val="22"/>
        </w:rPr>
        <w:t>the sexual orientation of the other person or one or more of the members of the group</w:t>
      </w:r>
    </w:p>
    <w:p w14:paraId="03E09511" w14:textId="5477CBE7" w:rsidR="0068205C" w:rsidRDefault="0068205C" w:rsidP="0068205C">
      <w:pPr>
        <w:pStyle w:val="ListParagraph"/>
        <w:numPr>
          <w:ilvl w:val="0"/>
          <w:numId w:val="41"/>
        </w:numPr>
        <w:autoSpaceDE w:val="0"/>
        <w:autoSpaceDN w:val="0"/>
        <w:adjustRightInd w:val="0"/>
        <w:spacing w:before="120" w:after="120"/>
        <w:ind w:right="805" w:hanging="502"/>
        <w:contextualSpacing w:val="0"/>
        <w:rPr>
          <w:rFonts w:cs="Arial"/>
          <w:sz w:val="22"/>
          <w:szCs w:val="22"/>
        </w:rPr>
      </w:pPr>
      <w:r>
        <w:rPr>
          <w:rFonts w:cs="Arial"/>
          <w:sz w:val="22"/>
          <w:szCs w:val="22"/>
        </w:rPr>
        <w:t>the gender identity of the other person or one or more of the members of the group,</w:t>
      </w:r>
    </w:p>
    <w:p w14:paraId="12D635DC" w14:textId="45F688E6" w:rsidR="0068205C" w:rsidRDefault="0068205C" w:rsidP="0068205C">
      <w:pPr>
        <w:pStyle w:val="ListParagraph"/>
        <w:numPr>
          <w:ilvl w:val="0"/>
          <w:numId w:val="41"/>
        </w:numPr>
        <w:autoSpaceDE w:val="0"/>
        <w:autoSpaceDN w:val="0"/>
        <w:adjustRightInd w:val="0"/>
        <w:spacing w:before="120" w:after="120"/>
        <w:ind w:right="805" w:hanging="502"/>
        <w:contextualSpacing w:val="0"/>
        <w:rPr>
          <w:rFonts w:cs="Arial"/>
          <w:sz w:val="22"/>
          <w:szCs w:val="22"/>
        </w:rPr>
      </w:pPr>
      <w:r>
        <w:rPr>
          <w:rFonts w:cs="Arial"/>
          <w:sz w:val="22"/>
          <w:szCs w:val="22"/>
        </w:rPr>
        <w:t>that the other person is, or one or more of the members of the groups are, of intersex status,</w:t>
      </w:r>
    </w:p>
    <w:p w14:paraId="1DEEAA69" w14:textId="59F40738" w:rsidR="0068205C" w:rsidRPr="00C3289B" w:rsidRDefault="0068205C" w:rsidP="0068205C">
      <w:pPr>
        <w:pStyle w:val="ListParagraph"/>
        <w:numPr>
          <w:ilvl w:val="0"/>
          <w:numId w:val="41"/>
        </w:numPr>
        <w:autoSpaceDE w:val="0"/>
        <w:autoSpaceDN w:val="0"/>
        <w:adjustRightInd w:val="0"/>
        <w:spacing w:before="120" w:after="120"/>
        <w:ind w:right="805" w:hanging="502"/>
        <w:contextualSpacing w:val="0"/>
        <w:rPr>
          <w:rFonts w:cs="Arial"/>
          <w:sz w:val="22"/>
          <w:szCs w:val="22"/>
        </w:rPr>
      </w:pPr>
      <w:r>
        <w:rPr>
          <w:rFonts w:cs="Arial"/>
          <w:sz w:val="22"/>
          <w:szCs w:val="22"/>
        </w:rPr>
        <w:t>that the other person has, or one or more of the members of the groups have, HIV or AIDS.</w:t>
      </w:r>
    </w:p>
    <w:p w14:paraId="521F007F" w14:textId="77777777" w:rsidR="0068205C" w:rsidRPr="00C3289B" w:rsidRDefault="0068205C" w:rsidP="0068205C">
      <w:pPr>
        <w:autoSpaceDE w:val="0"/>
        <w:autoSpaceDN w:val="0"/>
        <w:adjustRightInd w:val="0"/>
        <w:spacing w:before="120" w:after="120"/>
        <w:ind w:left="2138" w:right="805" w:hanging="720"/>
        <w:rPr>
          <w:rFonts w:cs="Arial"/>
          <w:sz w:val="22"/>
          <w:szCs w:val="22"/>
        </w:rPr>
      </w:pPr>
      <w:r w:rsidRPr="00C3289B">
        <w:rPr>
          <w:rFonts w:cs="Arial"/>
          <w:sz w:val="22"/>
          <w:szCs w:val="22"/>
        </w:rPr>
        <w:t>Maximum penalty —</w:t>
      </w:r>
    </w:p>
    <w:p w14:paraId="0A62DAF0" w14:textId="2F974C00" w:rsidR="0068205C" w:rsidRPr="00C3289B" w:rsidRDefault="0068205C" w:rsidP="0068205C">
      <w:pPr>
        <w:pStyle w:val="ListParagraph"/>
        <w:numPr>
          <w:ilvl w:val="0"/>
          <w:numId w:val="42"/>
        </w:numPr>
        <w:autoSpaceDE w:val="0"/>
        <w:autoSpaceDN w:val="0"/>
        <w:adjustRightInd w:val="0"/>
        <w:spacing w:before="120" w:after="120"/>
        <w:ind w:left="2127" w:right="805" w:hanging="567"/>
        <w:contextualSpacing w:val="0"/>
        <w:rPr>
          <w:rFonts w:cs="Arial"/>
          <w:sz w:val="22"/>
          <w:szCs w:val="22"/>
        </w:rPr>
      </w:pPr>
      <w:r>
        <w:rPr>
          <w:rFonts w:cs="Arial"/>
          <w:sz w:val="22"/>
          <w:szCs w:val="22"/>
        </w:rPr>
        <w:t>in the case of an individual — 100</w:t>
      </w:r>
      <w:r w:rsidRPr="00C3289B">
        <w:rPr>
          <w:rFonts w:cs="Arial"/>
          <w:sz w:val="22"/>
          <w:szCs w:val="22"/>
        </w:rPr>
        <w:t xml:space="preserve"> penalty units or imprisonment</w:t>
      </w:r>
      <w:r>
        <w:rPr>
          <w:rFonts w:cs="Arial"/>
          <w:sz w:val="22"/>
          <w:szCs w:val="22"/>
        </w:rPr>
        <w:t xml:space="preserve"> for 3 years (or both)</w:t>
      </w:r>
      <w:r w:rsidR="00A15800">
        <w:rPr>
          <w:rFonts w:cs="Arial"/>
          <w:sz w:val="22"/>
          <w:szCs w:val="22"/>
        </w:rPr>
        <w:t xml:space="preserve">, </w:t>
      </w:r>
      <w:r w:rsidRPr="00C3289B">
        <w:rPr>
          <w:rFonts w:cs="Arial"/>
          <w:sz w:val="22"/>
          <w:szCs w:val="22"/>
        </w:rPr>
        <w:t xml:space="preserve">or </w:t>
      </w:r>
    </w:p>
    <w:p w14:paraId="0D75D1A7" w14:textId="46FD7861" w:rsidR="0068205C" w:rsidRPr="00C3289B" w:rsidRDefault="00A15800" w:rsidP="00A15800">
      <w:pPr>
        <w:pStyle w:val="ListParagraph"/>
        <w:numPr>
          <w:ilvl w:val="0"/>
          <w:numId w:val="42"/>
        </w:numPr>
        <w:autoSpaceDE w:val="0"/>
        <w:autoSpaceDN w:val="0"/>
        <w:adjustRightInd w:val="0"/>
        <w:spacing w:before="120" w:after="240"/>
        <w:ind w:left="2126" w:right="805" w:hanging="567"/>
        <w:contextualSpacing w:val="0"/>
        <w:rPr>
          <w:rFonts w:cs="Arial"/>
          <w:sz w:val="22"/>
          <w:szCs w:val="22"/>
        </w:rPr>
      </w:pPr>
      <w:r>
        <w:rPr>
          <w:rFonts w:cs="Arial"/>
          <w:sz w:val="22"/>
          <w:szCs w:val="22"/>
        </w:rPr>
        <w:t xml:space="preserve">in the case of a corporation — </w:t>
      </w:r>
      <w:r w:rsidR="0068205C" w:rsidRPr="00C3289B">
        <w:rPr>
          <w:rFonts w:cs="Arial"/>
          <w:sz w:val="22"/>
          <w:szCs w:val="22"/>
        </w:rPr>
        <w:t>5</w:t>
      </w:r>
      <w:r>
        <w:rPr>
          <w:rFonts w:cs="Arial"/>
          <w:sz w:val="22"/>
          <w:szCs w:val="22"/>
        </w:rPr>
        <w:t>0</w:t>
      </w:r>
      <w:r w:rsidR="0068205C" w:rsidRPr="00C3289B">
        <w:rPr>
          <w:rFonts w:cs="Arial"/>
          <w:sz w:val="22"/>
          <w:szCs w:val="22"/>
        </w:rPr>
        <w:t>0 penalty units.</w:t>
      </w:r>
    </w:p>
    <w:p w14:paraId="7BF8AA70" w14:textId="78E35CA4" w:rsidR="0068205C" w:rsidRPr="00C3289B" w:rsidRDefault="00A15800" w:rsidP="00A15800">
      <w:pPr>
        <w:pStyle w:val="ListParagraph"/>
        <w:numPr>
          <w:ilvl w:val="0"/>
          <w:numId w:val="40"/>
        </w:numPr>
        <w:autoSpaceDE w:val="0"/>
        <w:autoSpaceDN w:val="0"/>
        <w:adjustRightInd w:val="0"/>
        <w:spacing w:before="120" w:after="120"/>
        <w:ind w:left="1418" w:right="805" w:hanging="567"/>
        <w:contextualSpacing w:val="0"/>
        <w:rPr>
          <w:rFonts w:cs="Arial"/>
          <w:sz w:val="22"/>
          <w:szCs w:val="22"/>
        </w:rPr>
      </w:pPr>
      <w:r>
        <w:rPr>
          <w:rFonts w:cs="Arial"/>
          <w:sz w:val="22"/>
          <w:szCs w:val="22"/>
        </w:rPr>
        <w:t>In determining whether an alleged offender has committed an offence against this section, it is irrelevant whether the alleged offender’s assumptions or beliefs about an attribute of another person or a member of a group of persons referred to in subsection (1)(a)-(f) were correct or incorrect at the time that the offence is alleged to have been committed</w:t>
      </w:r>
      <w:r w:rsidR="0068205C" w:rsidRPr="00C3289B">
        <w:rPr>
          <w:rFonts w:cs="Arial"/>
          <w:sz w:val="22"/>
          <w:szCs w:val="22"/>
        </w:rPr>
        <w:t>.</w:t>
      </w:r>
    </w:p>
    <w:p w14:paraId="0DAF826D" w14:textId="6F92C968" w:rsidR="0068205C" w:rsidRDefault="00A15800" w:rsidP="00A15800">
      <w:pPr>
        <w:pStyle w:val="ListParagraph"/>
        <w:numPr>
          <w:ilvl w:val="0"/>
          <w:numId w:val="40"/>
        </w:numPr>
        <w:autoSpaceDE w:val="0"/>
        <w:autoSpaceDN w:val="0"/>
        <w:adjustRightInd w:val="0"/>
        <w:spacing w:before="120" w:after="120"/>
        <w:ind w:left="1418" w:right="805" w:hanging="567"/>
        <w:contextualSpacing w:val="0"/>
        <w:rPr>
          <w:rFonts w:cs="Arial"/>
          <w:sz w:val="22"/>
          <w:szCs w:val="22"/>
        </w:rPr>
      </w:pPr>
      <w:r>
        <w:rPr>
          <w:rFonts w:cs="Arial"/>
          <w:sz w:val="22"/>
          <w:szCs w:val="22"/>
        </w:rPr>
        <w:t>In determining whether an alleged offender has committed an offence against this section of intentionally or recklessly inciting violence, it is irrelevant whether or not, in response to the alleged offender’s public act, any person formed a state of mind or carried out any act of violence</w:t>
      </w:r>
      <w:r w:rsidR="0068205C" w:rsidRPr="00C3289B">
        <w:rPr>
          <w:rFonts w:cs="Arial"/>
          <w:sz w:val="22"/>
          <w:szCs w:val="22"/>
        </w:rPr>
        <w:t>.</w:t>
      </w:r>
    </w:p>
    <w:p w14:paraId="6D4596C9" w14:textId="4A9843B9" w:rsidR="00A15800" w:rsidRPr="00C3289B" w:rsidRDefault="00A15800" w:rsidP="00A15800">
      <w:pPr>
        <w:pStyle w:val="ListParagraph"/>
        <w:numPr>
          <w:ilvl w:val="0"/>
          <w:numId w:val="40"/>
        </w:numPr>
        <w:autoSpaceDE w:val="0"/>
        <w:autoSpaceDN w:val="0"/>
        <w:adjustRightInd w:val="0"/>
        <w:spacing w:before="120" w:after="120"/>
        <w:ind w:left="1418" w:right="805" w:hanging="567"/>
        <w:contextualSpacing w:val="0"/>
        <w:rPr>
          <w:rFonts w:cs="Arial"/>
          <w:sz w:val="22"/>
          <w:szCs w:val="22"/>
        </w:rPr>
      </w:pPr>
      <w:r>
        <w:rPr>
          <w:rFonts w:cs="Arial"/>
          <w:sz w:val="22"/>
          <w:szCs w:val="22"/>
        </w:rPr>
        <w:t>A prosecution for an offence against this section is not to be commenced without the approval of the Director of Public Prosecutions</w:t>
      </w:r>
      <w:r w:rsidR="008C7C06">
        <w:rPr>
          <w:rFonts w:cs="Arial"/>
          <w:sz w:val="22"/>
          <w:szCs w:val="22"/>
        </w:rPr>
        <w:t>.</w:t>
      </w:r>
    </w:p>
    <w:p w14:paraId="212B4D44" w14:textId="77777777" w:rsidR="0068205C" w:rsidRPr="00C3289B" w:rsidRDefault="0068205C" w:rsidP="00A15800">
      <w:pPr>
        <w:pStyle w:val="ListParagraph"/>
        <w:numPr>
          <w:ilvl w:val="0"/>
          <w:numId w:val="40"/>
        </w:numPr>
        <w:autoSpaceDE w:val="0"/>
        <w:autoSpaceDN w:val="0"/>
        <w:adjustRightInd w:val="0"/>
        <w:spacing w:before="120" w:after="120"/>
        <w:ind w:left="1418" w:right="805" w:hanging="567"/>
        <w:contextualSpacing w:val="0"/>
        <w:rPr>
          <w:rFonts w:cs="Arial"/>
          <w:sz w:val="22"/>
          <w:szCs w:val="22"/>
        </w:rPr>
      </w:pPr>
      <w:r w:rsidRPr="00C3289B">
        <w:rPr>
          <w:rFonts w:cs="Arial"/>
          <w:sz w:val="22"/>
          <w:szCs w:val="22"/>
        </w:rPr>
        <w:lastRenderedPageBreak/>
        <w:t>In this section—</w:t>
      </w:r>
    </w:p>
    <w:p w14:paraId="153FEFFD" w14:textId="5152CD87" w:rsidR="0068205C" w:rsidRDefault="008C7C06" w:rsidP="00755C84">
      <w:pPr>
        <w:autoSpaceDE w:val="0"/>
        <w:autoSpaceDN w:val="0"/>
        <w:adjustRightInd w:val="0"/>
        <w:spacing w:before="120" w:after="120"/>
        <w:ind w:left="1418" w:right="805"/>
        <w:rPr>
          <w:rFonts w:cs="Arial"/>
          <w:sz w:val="22"/>
          <w:szCs w:val="22"/>
        </w:rPr>
      </w:pPr>
      <w:r>
        <w:rPr>
          <w:rFonts w:cs="Arial"/>
          <w:b/>
          <w:bCs/>
          <w:i/>
          <w:iCs/>
          <w:sz w:val="22"/>
          <w:szCs w:val="22"/>
        </w:rPr>
        <w:t>gender identity</w:t>
      </w:r>
      <w:r w:rsidR="0068205C" w:rsidRPr="00C3289B">
        <w:rPr>
          <w:rFonts w:cs="Arial"/>
          <w:b/>
          <w:bCs/>
          <w:i/>
          <w:iCs/>
          <w:sz w:val="22"/>
          <w:szCs w:val="22"/>
        </w:rPr>
        <w:t xml:space="preserve"> </w:t>
      </w:r>
      <w:r>
        <w:rPr>
          <w:rFonts w:cs="Arial"/>
          <w:sz w:val="22"/>
          <w:szCs w:val="22"/>
        </w:rPr>
        <w:t>means the gender related identity, appearance or mannerisms or other gender related characteristics of a person (whether by way of medical intervention or not), with or without regard to the person’s designated sex at birth</w:t>
      </w:r>
      <w:r w:rsidR="0068205C" w:rsidRPr="00C3289B">
        <w:rPr>
          <w:rFonts w:cs="Arial"/>
          <w:sz w:val="22"/>
          <w:szCs w:val="22"/>
        </w:rPr>
        <w:t>.</w:t>
      </w:r>
    </w:p>
    <w:p w14:paraId="70A39AC4" w14:textId="18ECFE88" w:rsidR="008C7C06" w:rsidRDefault="008C7C06" w:rsidP="00755C84">
      <w:pPr>
        <w:autoSpaceDE w:val="0"/>
        <w:autoSpaceDN w:val="0"/>
        <w:adjustRightInd w:val="0"/>
        <w:spacing w:before="120" w:after="120"/>
        <w:ind w:left="1418" w:right="805"/>
        <w:rPr>
          <w:rFonts w:cs="Arial"/>
          <w:bCs/>
          <w:iCs/>
          <w:sz w:val="22"/>
          <w:szCs w:val="22"/>
        </w:rPr>
      </w:pPr>
      <w:r>
        <w:rPr>
          <w:rFonts w:cs="Arial"/>
          <w:b/>
          <w:bCs/>
          <w:i/>
          <w:iCs/>
          <w:sz w:val="22"/>
          <w:szCs w:val="22"/>
        </w:rPr>
        <w:t xml:space="preserve">intersex status </w:t>
      </w:r>
      <w:r>
        <w:rPr>
          <w:rFonts w:cs="Arial"/>
          <w:bCs/>
          <w:iCs/>
          <w:sz w:val="22"/>
          <w:szCs w:val="22"/>
        </w:rPr>
        <w:t>means the status of having physical, hormonal or genetic features that are—</w:t>
      </w:r>
    </w:p>
    <w:p w14:paraId="56ED6213" w14:textId="45900E01" w:rsidR="008C7C06" w:rsidRDefault="00755C84" w:rsidP="00755C84">
      <w:pPr>
        <w:pStyle w:val="ListParagraph"/>
        <w:numPr>
          <w:ilvl w:val="0"/>
          <w:numId w:val="43"/>
        </w:numPr>
        <w:autoSpaceDE w:val="0"/>
        <w:autoSpaceDN w:val="0"/>
        <w:adjustRightInd w:val="0"/>
        <w:spacing w:before="120" w:after="120"/>
        <w:ind w:left="1985" w:right="805" w:hanging="567"/>
        <w:contextualSpacing w:val="0"/>
        <w:rPr>
          <w:rFonts w:cs="Arial"/>
          <w:bCs/>
          <w:iCs/>
          <w:sz w:val="22"/>
          <w:szCs w:val="22"/>
        </w:rPr>
      </w:pPr>
      <w:r>
        <w:rPr>
          <w:rFonts w:cs="Arial"/>
          <w:bCs/>
          <w:iCs/>
          <w:sz w:val="22"/>
          <w:szCs w:val="22"/>
        </w:rPr>
        <w:t>neither wholly female nor wholly male, or</w:t>
      </w:r>
    </w:p>
    <w:p w14:paraId="31B6196B" w14:textId="3D4BA139" w:rsidR="00755C84" w:rsidRDefault="00755C84" w:rsidP="00755C84">
      <w:pPr>
        <w:pStyle w:val="ListParagraph"/>
        <w:numPr>
          <w:ilvl w:val="0"/>
          <w:numId w:val="43"/>
        </w:numPr>
        <w:autoSpaceDE w:val="0"/>
        <w:autoSpaceDN w:val="0"/>
        <w:adjustRightInd w:val="0"/>
        <w:spacing w:before="120" w:after="120"/>
        <w:ind w:left="1985" w:right="805" w:hanging="567"/>
        <w:contextualSpacing w:val="0"/>
        <w:rPr>
          <w:rFonts w:cs="Arial"/>
          <w:bCs/>
          <w:iCs/>
          <w:sz w:val="22"/>
          <w:szCs w:val="22"/>
        </w:rPr>
      </w:pPr>
      <w:r>
        <w:rPr>
          <w:rFonts w:cs="Arial"/>
          <w:bCs/>
          <w:iCs/>
          <w:sz w:val="22"/>
          <w:szCs w:val="22"/>
        </w:rPr>
        <w:t>a combination of female and male. Or</w:t>
      </w:r>
    </w:p>
    <w:p w14:paraId="209F15C0" w14:textId="6E2C783B" w:rsidR="00755C84" w:rsidRPr="00755C84" w:rsidRDefault="00755C84" w:rsidP="00755C84">
      <w:pPr>
        <w:pStyle w:val="ListParagraph"/>
        <w:numPr>
          <w:ilvl w:val="0"/>
          <w:numId w:val="43"/>
        </w:numPr>
        <w:autoSpaceDE w:val="0"/>
        <w:autoSpaceDN w:val="0"/>
        <w:adjustRightInd w:val="0"/>
        <w:spacing w:before="120" w:after="120"/>
        <w:ind w:left="1985" w:right="805" w:hanging="567"/>
        <w:contextualSpacing w:val="0"/>
        <w:rPr>
          <w:rFonts w:cs="Arial"/>
          <w:bCs/>
          <w:iCs/>
          <w:sz w:val="22"/>
          <w:szCs w:val="22"/>
        </w:rPr>
      </w:pPr>
      <w:r>
        <w:rPr>
          <w:rFonts w:cs="Arial"/>
          <w:bCs/>
          <w:iCs/>
          <w:sz w:val="22"/>
          <w:szCs w:val="22"/>
        </w:rPr>
        <w:t>neither female nor male.</w:t>
      </w:r>
    </w:p>
    <w:p w14:paraId="4E7E6E24" w14:textId="3F3441B4" w:rsidR="008C7C06" w:rsidRPr="00755C84" w:rsidRDefault="008C7C06" w:rsidP="00755C84">
      <w:pPr>
        <w:autoSpaceDE w:val="0"/>
        <w:autoSpaceDN w:val="0"/>
        <w:adjustRightInd w:val="0"/>
        <w:spacing w:before="120" w:after="120"/>
        <w:ind w:left="1418" w:right="805"/>
        <w:rPr>
          <w:rFonts w:cs="Arial"/>
          <w:sz w:val="22"/>
          <w:szCs w:val="22"/>
        </w:rPr>
      </w:pPr>
      <w:r w:rsidRPr="00755C84">
        <w:rPr>
          <w:rFonts w:cs="Arial"/>
          <w:b/>
          <w:i/>
          <w:sz w:val="22"/>
          <w:szCs w:val="22"/>
        </w:rPr>
        <w:t xml:space="preserve">public act </w:t>
      </w:r>
      <w:r w:rsidRPr="00755C84">
        <w:rPr>
          <w:rFonts w:cs="Arial"/>
          <w:sz w:val="22"/>
          <w:szCs w:val="22"/>
        </w:rPr>
        <w:t>includes—</w:t>
      </w:r>
    </w:p>
    <w:p w14:paraId="52C95973" w14:textId="2D6373A4" w:rsidR="008C7C06" w:rsidRDefault="00755C84" w:rsidP="00755C84">
      <w:pPr>
        <w:pStyle w:val="ListParagraph"/>
        <w:numPr>
          <w:ilvl w:val="0"/>
          <w:numId w:val="44"/>
        </w:numPr>
        <w:autoSpaceDE w:val="0"/>
        <w:autoSpaceDN w:val="0"/>
        <w:adjustRightInd w:val="0"/>
        <w:spacing w:before="120" w:after="120"/>
        <w:ind w:left="1985" w:right="805" w:hanging="567"/>
        <w:contextualSpacing w:val="0"/>
        <w:rPr>
          <w:rFonts w:cs="Arial"/>
          <w:sz w:val="22"/>
          <w:szCs w:val="22"/>
        </w:rPr>
      </w:pPr>
      <w:r>
        <w:rPr>
          <w:rFonts w:cs="Arial"/>
          <w:sz w:val="22"/>
          <w:szCs w:val="22"/>
        </w:rPr>
        <w:t>any form of communication (including speaking, writing, displaying notices, playing of recorded material, broadcasting and communicating through social media and other electronic methods) to the public, and</w:t>
      </w:r>
    </w:p>
    <w:p w14:paraId="5B5817B8" w14:textId="2A35EA8A" w:rsidR="00755C84" w:rsidRDefault="00755C84" w:rsidP="00755C84">
      <w:pPr>
        <w:pStyle w:val="ListParagraph"/>
        <w:numPr>
          <w:ilvl w:val="0"/>
          <w:numId w:val="44"/>
        </w:numPr>
        <w:autoSpaceDE w:val="0"/>
        <w:autoSpaceDN w:val="0"/>
        <w:adjustRightInd w:val="0"/>
        <w:spacing w:before="120" w:after="120"/>
        <w:ind w:left="1985" w:right="805" w:hanging="567"/>
        <w:contextualSpacing w:val="0"/>
        <w:rPr>
          <w:rFonts w:cs="Arial"/>
          <w:sz w:val="22"/>
          <w:szCs w:val="22"/>
        </w:rPr>
      </w:pPr>
      <w:r>
        <w:rPr>
          <w:rFonts w:cs="Arial"/>
          <w:sz w:val="22"/>
          <w:szCs w:val="22"/>
        </w:rPr>
        <w:t>any conduct (including actions and gestures and the wearing or display of clothing, signs, flags, emblems and insignia) observable by the public, and</w:t>
      </w:r>
    </w:p>
    <w:p w14:paraId="717372D1" w14:textId="2D46E335" w:rsidR="00755C84" w:rsidRDefault="00755C84" w:rsidP="00755C84">
      <w:pPr>
        <w:pStyle w:val="ListParagraph"/>
        <w:numPr>
          <w:ilvl w:val="0"/>
          <w:numId w:val="44"/>
        </w:numPr>
        <w:autoSpaceDE w:val="0"/>
        <w:autoSpaceDN w:val="0"/>
        <w:adjustRightInd w:val="0"/>
        <w:spacing w:before="120" w:after="120"/>
        <w:ind w:left="1985" w:right="805" w:hanging="567"/>
        <w:contextualSpacing w:val="0"/>
        <w:rPr>
          <w:rFonts w:cs="Arial"/>
          <w:sz w:val="22"/>
          <w:szCs w:val="22"/>
        </w:rPr>
      </w:pPr>
      <w:r>
        <w:rPr>
          <w:rFonts w:cs="Arial"/>
          <w:sz w:val="22"/>
          <w:szCs w:val="22"/>
        </w:rPr>
        <w:t>the distribution of dissemination of any matter to the public.</w:t>
      </w:r>
    </w:p>
    <w:p w14:paraId="13873C1A" w14:textId="138745D8" w:rsidR="00755C84" w:rsidRPr="00755C84" w:rsidRDefault="00755C84" w:rsidP="00755C84">
      <w:pPr>
        <w:autoSpaceDE w:val="0"/>
        <w:autoSpaceDN w:val="0"/>
        <w:adjustRightInd w:val="0"/>
        <w:spacing w:before="120" w:after="120"/>
        <w:ind w:left="1418" w:right="805"/>
        <w:rPr>
          <w:rFonts w:cs="Arial"/>
          <w:sz w:val="22"/>
          <w:szCs w:val="22"/>
        </w:rPr>
      </w:pPr>
      <w:r>
        <w:rPr>
          <w:rFonts w:cs="Arial"/>
          <w:sz w:val="22"/>
          <w:szCs w:val="22"/>
        </w:rPr>
        <w:t>For avoidance of doubt, an act may be a public act even it if occurs on private land.</w:t>
      </w:r>
    </w:p>
    <w:p w14:paraId="128BA69B" w14:textId="69832535" w:rsidR="008C7C06" w:rsidRDefault="00755C84" w:rsidP="00755C84">
      <w:pPr>
        <w:autoSpaceDE w:val="0"/>
        <w:autoSpaceDN w:val="0"/>
        <w:adjustRightInd w:val="0"/>
        <w:spacing w:before="120" w:after="120"/>
        <w:ind w:left="1418" w:right="805"/>
        <w:rPr>
          <w:rFonts w:cs="Arial"/>
          <w:sz w:val="22"/>
          <w:szCs w:val="22"/>
        </w:rPr>
      </w:pPr>
      <w:r w:rsidRPr="00755C84">
        <w:rPr>
          <w:rFonts w:cs="Arial"/>
          <w:b/>
          <w:i/>
          <w:sz w:val="22"/>
          <w:szCs w:val="22"/>
        </w:rPr>
        <w:t xml:space="preserve">race </w:t>
      </w:r>
      <w:r w:rsidRPr="00755C84">
        <w:rPr>
          <w:rFonts w:cs="Arial"/>
          <w:sz w:val="22"/>
          <w:szCs w:val="22"/>
        </w:rPr>
        <w:t>includes colour, nationality, descent and ethnic, ethno-</w:t>
      </w:r>
      <w:r>
        <w:rPr>
          <w:rFonts w:cs="Arial"/>
          <w:sz w:val="22"/>
          <w:szCs w:val="22"/>
        </w:rPr>
        <w:t>religious or national origin.</w:t>
      </w:r>
    </w:p>
    <w:p w14:paraId="67374DEC" w14:textId="4877A2F8" w:rsidR="00755C84" w:rsidRDefault="00755C84" w:rsidP="00755C84">
      <w:pPr>
        <w:autoSpaceDE w:val="0"/>
        <w:autoSpaceDN w:val="0"/>
        <w:adjustRightInd w:val="0"/>
        <w:spacing w:before="120" w:after="120"/>
        <w:ind w:left="1418" w:right="805"/>
        <w:rPr>
          <w:rFonts w:cs="Arial"/>
          <w:sz w:val="22"/>
          <w:szCs w:val="22"/>
        </w:rPr>
      </w:pPr>
      <w:r>
        <w:rPr>
          <w:rFonts w:cs="Arial"/>
          <w:b/>
          <w:i/>
          <w:sz w:val="22"/>
          <w:szCs w:val="22"/>
        </w:rPr>
        <w:t xml:space="preserve">religious belief or affiliation </w:t>
      </w:r>
      <w:r>
        <w:rPr>
          <w:rFonts w:cs="Arial"/>
          <w:sz w:val="22"/>
          <w:szCs w:val="22"/>
        </w:rPr>
        <w:t>means holding or not holding a religious belief or view.</w:t>
      </w:r>
    </w:p>
    <w:p w14:paraId="30B3E2B7" w14:textId="437A99DE" w:rsidR="00755C84" w:rsidRDefault="00755C84" w:rsidP="00755C84">
      <w:pPr>
        <w:autoSpaceDE w:val="0"/>
        <w:autoSpaceDN w:val="0"/>
        <w:adjustRightInd w:val="0"/>
        <w:spacing w:before="120" w:after="120"/>
        <w:ind w:left="1418" w:right="805"/>
        <w:rPr>
          <w:rFonts w:cs="Arial"/>
          <w:sz w:val="22"/>
          <w:szCs w:val="22"/>
        </w:rPr>
      </w:pPr>
      <w:r>
        <w:rPr>
          <w:rFonts w:cs="Arial"/>
          <w:b/>
          <w:i/>
          <w:sz w:val="22"/>
          <w:szCs w:val="22"/>
        </w:rPr>
        <w:t xml:space="preserve">sexual orientation </w:t>
      </w:r>
      <w:r>
        <w:rPr>
          <w:rFonts w:cs="Arial"/>
          <w:sz w:val="22"/>
          <w:szCs w:val="22"/>
        </w:rPr>
        <w:t>means a person’s sexual orientation towards—</w:t>
      </w:r>
    </w:p>
    <w:p w14:paraId="516DC2EC" w14:textId="2A37CCF4" w:rsidR="00755C84" w:rsidRDefault="00755C84" w:rsidP="00755C84">
      <w:pPr>
        <w:pStyle w:val="ListParagraph"/>
        <w:numPr>
          <w:ilvl w:val="0"/>
          <w:numId w:val="45"/>
        </w:numPr>
        <w:autoSpaceDE w:val="0"/>
        <w:autoSpaceDN w:val="0"/>
        <w:adjustRightInd w:val="0"/>
        <w:spacing w:before="120" w:after="120"/>
        <w:ind w:left="1985" w:right="805" w:hanging="567"/>
        <w:contextualSpacing w:val="0"/>
        <w:rPr>
          <w:rFonts w:cs="Arial"/>
          <w:sz w:val="22"/>
          <w:szCs w:val="22"/>
        </w:rPr>
      </w:pPr>
      <w:r>
        <w:rPr>
          <w:rFonts w:cs="Arial"/>
          <w:sz w:val="22"/>
          <w:szCs w:val="22"/>
        </w:rPr>
        <w:t>persons of the same sex, or</w:t>
      </w:r>
    </w:p>
    <w:p w14:paraId="39BE6895" w14:textId="3B4A2060" w:rsidR="00755C84" w:rsidRDefault="00755C84" w:rsidP="00755C84">
      <w:pPr>
        <w:pStyle w:val="ListParagraph"/>
        <w:numPr>
          <w:ilvl w:val="0"/>
          <w:numId w:val="45"/>
        </w:numPr>
        <w:autoSpaceDE w:val="0"/>
        <w:autoSpaceDN w:val="0"/>
        <w:adjustRightInd w:val="0"/>
        <w:spacing w:before="120" w:after="120"/>
        <w:ind w:left="1985" w:right="805" w:hanging="567"/>
        <w:contextualSpacing w:val="0"/>
        <w:rPr>
          <w:rFonts w:cs="Arial"/>
          <w:sz w:val="22"/>
          <w:szCs w:val="22"/>
        </w:rPr>
      </w:pPr>
      <w:r>
        <w:rPr>
          <w:rFonts w:cs="Arial"/>
          <w:sz w:val="22"/>
          <w:szCs w:val="22"/>
        </w:rPr>
        <w:t>persons of a different sex, or</w:t>
      </w:r>
    </w:p>
    <w:p w14:paraId="25C8D0A7" w14:textId="2672B473" w:rsidR="00755C84" w:rsidRPr="00755C84" w:rsidRDefault="00755C84" w:rsidP="00755C84">
      <w:pPr>
        <w:pStyle w:val="ListParagraph"/>
        <w:numPr>
          <w:ilvl w:val="0"/>
          <w:numId w:val="45"/>
        </w:numPr>
        <w:autoSpaceDE w:val="0"/>
        <w:autoSpaceDN w:val="0"/>
        <w:adjustRightInd w:val="0"/>
        <w:spacing w:before="120" w:after="120"/>
        <w:ind w:left="1985" w:right="805" w:hanging="567"/>
        <w:contextualSpacing w:val="0"/>
        <w:rPr>
          <w:rFonts w:cs="Arial"/>
          <w:sz w:val="22"/>
          <w:szCs w:val="22"/>
        </w:rPr>
      </w:pPr>
      <w:r>
        <w:rPr>
          <w:rFonts w:cs="Arial"/>
          <w:sz w:val="22"/>
          <w:szCs w:val="22"/>
        </w:rPr>
        <w:t>persons of the same sex and persons of a different sex.</w:t>
      </w:r>
    </w:p>
    <w:p w14:paraId="083756C9" w14:textId="3E5CF4DD" w:rsidR="00755C84" w:rsidRPr="00755C84" w:rsidRDefault="00755C84" w:rsidP="00A15800">
      <w:pPr>
        <w:autoSpaceDE w:val="0"/>
        <w:autoSpaceDN w:val="0"/>
        <w:adjustRightInd w:val="0"/>
        <w:spacing w:before="120" w:after="240"/>
        <w:ind w:left="1418" w:right="805"/>
        <w:rPr>
          <w:rFonts w:cs="Arial"/>
          <w:sz w:val="22"/>
          <w:szCs w:val="22"/>
        </w:rPr>
      </w:pPr>
      <w:r>
        <w:rPr>
          <w:rFonts w:cs="Arial"/>
          <w:b/>
          <w:i/>
          <w:sz w:val="22"/>
          <w:szCs w:val="22"/>
        </w:rPr>
        <w:t xml:space="preserve">violence </w:t>
      </w:r>
      <w:r>
        <w:rPr>
          <w:rFonts w:cs="Arial"/>
          <w:sz w:val="22"/>
          <w:szCs w:val="22"/>
        </w:rPr>
        <w:t xml:space="preserve">includes violent conduct and </w:t>
      </w:r>
      <w:r>
        <w:rPr>
          <w:rFonts w:cs="Arial"/>
          <w:b/>
          <w:i/>
          <w:sz w:val="22"/>
          <w:szCs w:val="22"/>
        </w:rPr>
        <w:t xml:space="preserve">violence towards a person or a groups of persons </w:t>
      </w:r>
      <w:r>
        <w:rPr>
          <w:rFonts w:cs="Arial"/>
          <w:sz w:val="22"/>
          <w:szCs w:val="22"/>
        </w:rPr>
        <w:t>includes violence towards property of the person or a member of the group, respectively.</w:t>
      </w:r>
    </w:p>
    <w:p w14:paraId="1EE6BC49" w14:textId="56D1B110" w:rsidR="00C51895" w:rsidRDefault="00057EA3" w:rsidP="00752BB6">
      <w:pPr>
        <w:pStyle w:val="ListParagraph"/>
        <w:numPr>
          <w:ilvl w:val="0"/>
          <w:numId w:val="4"/>
        </w:numPr>
        <w:spacing w:before="120" w:after="240" w:line="276" w:lineRule="auto"/>
        <w:ind w:left="567" w:hanging="567"/>
        <w:contextualSpacing w:val="0"/>
      </w:pPr>
      <w:r>
        <w:t xml:space="preserve">The new offence increased the maximum term of imprisonment from six months to three years, and harmonised the monetary penalty across the protected attributes.  It also expanded the range of groups protected against serious vilification and provided that recklessness is sufficient to establish intent. </w:t>
      </w:r>
    </w:p>
    <w:p w14:paraId="4582A00F" w14:textId="7DC7A2FD" w:rsidR="00455885" w:rsidRDefault="00455885" w:rsidP="00752BB6">
      <w:pPr>
        <w:pStyle w:val="ListParagraph"/>
        <w:numPr>
          <w:ilvl w:val="0"/>
          <w:numId w:val="4"/>
        </w:numPr>
        <w:spacing w:before="120" w:after="240" w:line="276" w:lineRule="auto"/>
        <w:ind w:left="567" w:hanging="567"/>
        <w:contextualSpacing w:val="0"/>
      </w:pPr>
      <w:r>
        <w:t>While the new offence removed the role of the Anti-Discrimination Board in referring people for prosecution, and of the Attorney-General in approving prosecutions, pros</w:t>
      </w:r>
      <w:r w:rsidR="007C0BDC">
        <w:t>ecutions for an offence require</w:t>
      </w:r>
      <w:r>
        <w:t xml:space="preserve"> the prior approval of the Director of Public Prosecutions.</w:t>
      </w:r>
    </w:p>
    <w:p w14:paraId="37E14679" w14:textId="2DD1CA1D" w:rsidR="006F1B9D" w:rsidRDefault="006F1B9D" w:rsidP="006F1B9D">
      <w:pPr>
        <w:pStyle w:val="ListParagraph"/>
        <w:numPr>
          <w:ilvl w:val="0"/>
          <w:numId w:val="4"/>
        </w:numPr>
        <w:spacing w:before="120" w:after="120" w:line="276" w:lineRule="auto"/>
        <w:ind w:left="567" w:hanging="567"/>
        <w:contextualSpacing w:val="0"/>
      </w:pPr>
      <w:r>
        <w:lastRenderedPageBreak/>
        <w:t xml:space="preserve">Importantly, the </w:t>
      </w:r>
      <w:r w:rsidR="00B63EC1">
        <w:t>New South Wales</w:t>
      </w:r>
      <w:r>
        <w:t xml:space="preserve"> offence of publicly threatening or inciting violence clarifies that:</w:t>
      </w:r>
    </w:p>
    <w:p w14:paraId="6ED10FBC" w14:textId="701E3372" w:rsidR="006F1B9D" w:rsidRDefault="006F1B9D" w:rsidP="006F1B9D">
      <w:pPr>
        <w:pStyle w:val="ListParagraph"/>
        <w:numPr>
          <w:ilvl w:val="1"/>
          <w:numId w:val="4"/>
        </w:numPr>
        <w:spacing w:before="120" w:after="120" w:line="276" w:lineRule="auto"/>
        <w:ind w:left="1559" w:hanging="567"/>
        <w:contextualSpacing w:val="0"/>
      </w:pPr>
      <w:r>
        <w:t>it is irrelevant whether an alleged offender’s assumptions or beliefs about another person or group were correct or incorrect; and</w:t>
      </w:r>
    </w:p>
    <w:p w14:paraId="51A880F8" w14:textId="659F9148" w:rsidR="006F1B9D" w:rsidRDefault="006F1B9D" w:rsidP="008743D1">
      <w:pPr>
        <w:pStyle w:val="ListParagraph"/>
        <w:numPr>
          <w:ilvl w:val="1"/>
          <w:numId w:val="4"/>
        </w:numPr>
        <w:spacing w:before="120" w:after="240" w:line="276" w:lineRule="auto"/>
        <w:ind w:left="1559" w:hanging="567"/>
        <w:contextualSpacing w:val="0"/>
      </w:pPr>
      <w:r>
        <w:t>it is irrelevant whether or not anyone formed a state of mind or carried out an act of violence in response to the public act.</w:t>
      </w:r>
    </w:p>
    <w:p w14:paraId="35955F89" w14:textId="22FB59A2" w:rsidR="005A1ACF" w:rsidRPr="0022657D" w:rsidRDefault="005A1ACF" w:rsidP="005A1ACF">
      <w:pPr>
        <w:pStyle w:val="ListParagraph"/>
        <w:numPr>
          <w:ilvl w:val="0"/>
          <w:numId w:val="4"/>
        </w:numPr>
        <w:spacing w:before="120" w:after="240" w:line="276" w:lineRule="auto"/>
        <w:ind w:left="567" w:hanging="567"/>
        <w:contextualSpacing w:val="0"/>
      </w:pPr>
      <w:r>
        <w:t xml:space="preserve">There have been two prosecutions in </w:t>
      </w:r>
      <w:r w:rsidR="00B63EC1">
        <w:t>New South Wales</w:t>
      </w:r>
      <w:r>
        <w:t xml:space="preserve"> under </w:t>
      </w:r>
      <w:r w:rsidR="008601EF">
        <w:t xml:space="preserve">the </w:t>
      </w:r>
      <w:r>
        <w:t xml:space="preserve">offence of publicly threatening or inciting violence (section 93Z of the </w:t>
      </w:r>
      <w:r w:rsidRPr="005A1ACF">
        <w:rPr>
          <w:i/>
        </w:rPr>
        <w:t xml:space="preserve">Crimes Act 1900 </w:t>
      </w:r>
      <w:r w:rsidR="008601EF">
        <w:t>(NSW)</w:t>
      </w:r>
      <w:r>
        <w:t>).  Both defendants were convicted on pleas of guilty, however the convictions had to be annulled because the prior consent of the DPP had not been obtained.</w:t>
      </w:r>
    </w:p>
    <w:p w14:paraId="0D9AFCF5" w14:textId="2C19E465" w:rsidR="00752BB6" w:rsidRDefault="00752BB6" w:rsidP="000A56A0">
      <w:pPr>
        <w:pStyle w:val="Heading1"/>
      </w:pPr>
      <w:bookmarkStart w:id="11" w:name="_Toc76730690"/>
      <w:r>
        <w:t>Other offences</w:t>
      </w:r>
      <w:bookmarkEnd w:id="11"/>
    </w:p>
    <w:p w14:paraId="785BCEE1" w14:textId="1467AE2F" w:rsidR="00752BB6" w:rsidRDefault="00843B4B" w:rsidP="00752BB6">
      <w:pPr>
        <w:pStyle w:val="ListParagraph"/>
        <w:numPr>
          <w:ilvl w:val="0"/>
          <w:numId w:val="4"/>
        </w:numPr>
        <w:spacing w:before="120" w:after="240" w:line="276" w:lineRule="auto"/>
        <w:ind w:left="567" w:hanging="567"/>
        <w:contextualSpacing w:val="0"/>
      </w:pPr>
      <w:r>
        <w:t>For the reasons outlined above,</w:t>
      </w:r>
      <w:r w:rsidR="00B63EC1">
        <w:t xml:space="preserve"> offenders are often charged with other offences </w:t>
      </w:r>
      <w:r w:rsidR="007C0BDC">
        <w:t>in</w:t>
      </w:r>
      <w:r w:rsidR="00B63EC1">
        <w:t xml:space="preserve"> the </w:t>
      </w:r>
      <w:r w:rsidR="00B63EC1" w:rsidRPr="002F2D6C">
        <w:rPr>
          <w:i/>
        </w:rPr>
        <w:t xml:space="preserve">Summary Offences Act </w:t>
      </w:r>
      <w:r w:rsidR="00E87D92" w:rsidRPr="002F2D6C">
        <w:rPr>
          <w:i/>
        </w:rPr>
        <w:t>2005</w:t>
      </w:r>
      <w:r w:rsidR="00E87D92">
        <w:t xml:space="preserve"> or the </w:t>
      </w:r>
      <w:r w:rsidR="00E87D92" w:rsidRPr="002F2D6C">
        <w:rPr>
          <w:i/>
        </w:rPr>
        <w:t>Criminal Code</w:t>
      </w:r>
      <w:r>
        <w:t xml:space="preserve"> rather than section 131A of the </w:t>
      </w:r>
      <w:r>
        <w:rPr>
          <w:i/>
        </w:rPr>
        <w:t>Anti-Discrimination Act 1991</w:t>
      </w:r>
      <w:r w:rsidR="00E87D92">
        <w:t xml:space="preserve">. </w:t>
      </w:r>
      <w:r>
        <w:t xml:space="preserve"> </w:t>
      </w:r>
      <w:r w:rsidR="00E87D92">
        <w:t>Offences under federal laws (discus</w:t>
      </w:r>
      <w:r w:rsidR="002F2D6C">
        <w:t>sed below) might be utilised in circumstances involving the use of telecommunications against an individual.</w:t>
      </w:r>
    </w:p>
    <w:p w14:paraId="57E78568" w14:textId="7D6DB561" w:rsidR="002F2D6C" w:rsidRDefault="003F741D" w:rsidP="00752BB6">
      <w:pPr>
        <w:pStyle w:val="ListParagraph"/>
        <w:numPr>
          <w:ilvl w:val="0"/>
          <w:numId w:val="4"/>
        </w:numPr>
        <w:spacing w:before="120" w:after="240" w:line="276" w:lineRule="auto"/>
        <w:ind w:left="567" w:hanging="567"/>
        <w:contextualSpacing w:val="0"/>
      </w:pPr>
      <w:r>
        <w:t>Relevant</w:t>
      </w:r>
      <w:r w:rsidR="002F2D6C">
        <w:t xml:space="preserve"> offences under Queensland laws and their penalties, </w:t>
      </w:r>
      <w:r w:rsidR="007C0BDC">
        <w:t>are listed</w:t>
      </w:r>
      <w:r w:rsidR="002F2D6C">
        <w:t xml:space="preserve"> in </w:t>
      </w:r>
      <w:r w:rsidR="00397835" w:rsidRPr="003F741D">
        <w:rPr>
          <w:b/>
        </w:rPr>
        <w:t>Appendix 2</w:t>
      </w:r>
      <w:r w:rsidR="002F2D6C">
        <w:t>.</w:t>
      </w:r>
    </w:p>
    <w:p w14:paraId="1CF2057B" w14:textId="77777777" w:rsidR="00F03603" w:rsidRDefault="00F03603" w:rsidP="005A1137">
      <w:pPr>
        <w:pStyle w:val="Heading1"/>
        <w:pageBreakBefore/>
        <w:spacing w:before="0"/>
      </w:pPr>
      <w:bookmarkStart w:id="12" w:name="_Toc76730691"/>
      <w:r>
        <w:lastRenderedPageBreak/>
        <w:t>Existing federal offences</w:t>
      </w:r>
      <w:bookmarkEnd w:id="12"/>
    </w:p>
    <w:p w14:paraId="0BC90C44" w14:textId="5DD222DB" w:rsidR="00F03603" w:rsidRDefault="00F03603" w:rsidP="00C373B5">
      <w:pPr>
        <w:pStyle w:val="ListParagraph"/>
        <w:numPr>
          <w:ilvl w:val="0"/>
          <w:numId w:val="4"/>
        </w:numPr>
        <w:spacing w:before="120" w:after="120" w:line="276" w:lineRule="auto"/>
        <w:ind w:left="567" w:hanging="567"/>
        <w:contextualSpacing w:val="0"/>
        <w:rPr>
          <w:rFonts w:cs="Arial"/>
          <w:color w:val="000000"/>
        </w:rPr>
      </w:pPr>
      <w:r>
        <w:rPr>
          <w:rFonts w:cs="Arial"/>
          <w:color w:val="000000"/>
        </w:rPr>
        <w:t xml:space="preserve">The </w:t>
      </w:r>
      <w:r w:rsidRPr="002D1B6C">
        <w:rPr>
          <w:rFonts w:cs="Arial"/>
          <w:i/>
          <w:color w:val="000000"/>
        </w:rPr>
        <w:t>Criminal Code</w:t>
      </w:r>
      <w:r>
        <w:rPr>
          <w:rFonts w:cs="Arial"/>
          <w:i/>
          <w:color w:val="000000"/>
        </w:rPr>
        <w:t xml:space="preserve"> </w:t>
      </w:r>
      <w:r>
        <w:rPr>
          <w:rFonts w:cs="Arial"/>
          <w:color w:val="000000"/>
        </w:rPr>
        <w:t xml:space="preserve">under the </w:t>
      </w:r>
      <w:r>
        <w:rPr>
          <w:rFonts w:cs="Arial"/>
          <w:i/>
          <w:color w:val="000000"/>
        </w:rPr>
        <w:t>Criminal Code Act 1995</w:t>
      </w:r>
      <w:r w:rsidR="00653483">
        <w:rPr>
          <w:rFonts w:cs="Arial"/>
          <w:i/>
          <w:color w:val="000000"/>
        </w:rPr>
        <w:t xml:space="preserve"> </w:t>
      </w:r>
      <w:r w:rsidR="00653483">
        <w:rPr>
          <w:rFonts w:cs="Arial"/>
          <w:color w:val="000000"/>
        </w:rPr>
        <w:t>(Cth)</w:t>
      </w:r>
      <w:r>
        <w:rPr>
          <w:rFonts w:cs="Arial"/>
          <w:i/>
          <w:color w:val="000000"/>
        </w:rPr>
        <w:t xml:space="preserve"> </w:t>
      </w:r>
      <w:r>
        <w:rPr>
          <w:rFonts w:cs="Arial"/>
          <w:color w:val="000000"/>
        </w:rPr>
        <w:t xml:space="preserve">(the </w:t>
      </w:r>
      <w:r w:rsidRPr="002D1B6C">
        <w:rPr>
          <w:rFonts w:cs="Arial"/>
          <w:b/>
          <w:i/>
          <w:color w:val="000000"/>
        </w:rPr>
        <w:t>Criminal Code</w:t>
      </w:r>
      <w:r w:rsidR="00653483">
        <w:rPr>
          <w:rFonts w:cs="Arial"/>
          <w:b/>
          <w:i/>
          <w:color w:val="000000"/>
        </w:rPr>
        <w:t xml:space="preserve"> Cth</w:t>
      </w:r>
      <w:r>
        <w:rPr>
          <w:rFonts w:cs="Arial"/>
          <w:i/>
          <w:color w:val="000000"/>
        </w:rPr>
        <w:t>)</w:t>
      </w:r>
      <w:r>
        <w:rPr>
          <w:rFonts w:cs="Arial"/>
          <w:color w:val="000000"/>
        </w:rPr>
        <w:t xml:space="preserve"> currently prohibits certain types of hate speech in:</w:t>
      </w:r>
    </w:p>
    <w:p w14:paraId="3AE8323E" w14:textId="0D9733C1" w:rsidR="00F03603" w:rsidRDefault="007C0BDC" w:rsidP="00F03603">
      <w:pPr>
        <w:pStyle w:val="ListParagraph"/>
        <w:numPr>
          <w:ilvl w:val="0"/>
          <w:numId w:val="25"/>
        </w:numPr>
        <w:spacing w:before="120" w:after="120" w:line="276" w:lineRule="auto"/>
        <w:ind w:left="1281" w:hanging="357"/>
        <w:contextualSpacing w:val="0"/>
        <w:rPr>
          <w:rFonts w:cs="Arial"/>
          <w:color w:val="000000"/>
        </w:rPr>
      </w:pPr>
      <w:r>
        <w:rPr>
          <w:rFonts w:cs="Arial"/>
          <w:color w:val="000000"/>
        </w:rPr>
        <w:t>t</w:t>
      </w:r>
      <w:r w:rsidR="00F03603">
        <w:rPr>
          <w:rFonts w:cs="Arial"/>
          <w:color w:val="000000"/>
        </w:rPr>
        <w:t>elecommunication offences;</w:t>
      </w:r>
    </w:p>
    <w:p w14:paraId="78DC4E6F" w14:textId="1D7C9CEF" w:rsidR="00F03603" w:rsidRDefault="007C0BDC" w:rsidP="00F03603">
      <w:pPr>
        <w:pStyle w:val="ListParagraph"/>
        <w:numPr>
          <w:ilvl w:val="0"/>
          <w:numId w:val="25"/>
        </w:numPr>
        <w:spacing w:before="120" w:after="120" w:line="276" w:lineRule="auto"/>
        <w:ind w:left="1281" w:hanging="357"/>
        <w:contextualSpacing w:val="0"/>
        <w:rPr>
          <w:rFonts w:cs="Arial"/>
          <w:color w:val="000000"/>
        </w:rPr>
      </w:pPr>
      <w:r>
        <w:rPr>
          <w:rFonts w:cs="Arial"/>
          <w:color w:val="000000"/>
        </w:rPr>
        <w:t>o</w:t>
      </w:r>
      <w:r w:rsidR="00F03603">
        <w:rPr>
          <w:rFonts w:cs="Arial"/>
          <w:color w:val="000000"/>
        </w:rPr>
        <w:t>ffences for urging violence and advocating terrorism or genocide; and</w:t>
      </w:r>
    </w:p>
    <w:p w14:paraId="36B9F754" w14:textId="70BA8DB2" w:rsidR="00F03603" w:rsidRPr="006551F5" w:rsidRDefault="007C0BDC" w:rsidP="008743D1">
      <w:pPr>
        <w:pStyle w:val="ListParagraph"/>
        <w:numPr>
          <w:ilvl w:val="0"/>
          <w:numId w:val="25"/>
        </w:numPr>
        <w:spacing w:before="120" w:after="240" w:line="276" w:lineRule="auto"/>
        <w:ind w:left="1281" w:hanging="357"/>
        <w:contextualSpacing w:val="0"/>
        <w:rPr>
          <w:rFonts w:cs="Arial"/>
          <w:color w:val="000000"/>
        </w:rPr>
      </w:pPr>
      <w:r>
        <w:rPr>
          <w:rFonts w:cs="Arial"/>
          <w:color w:val="000000"/>
        </w:rPr>
        <w:t>a</w:t>
      </w:r>
      <w:r w:rsidR="00F03603">
        <w:rPr>
          <w:rFonts w:cs="Arial"/>
          <w:color w:val="000000"/>
        </w:rPr>
        <w:t>bhorrent violent material offences.</w:t>
      </w:r>
    </w:p>
    <w:p w14:paraId="69A8068A" w14:textId="1491F20E" w:rsidR="00946534" w:rsidRDefault="00946534" w:rsidP="00946534">
      <w:pPr>
        <w:pStyle w:val="Heading2"/>
      </w:pPr>
      <w:bookmarkStart w:id="13" w:name="_Toc76730692"/>
      <w:r>
        <w:t>Telecommunication offences</w:t>
      </w:r>
      <w:bookmarkEnd w:id="13"/>
    </w:p>
    <w:p w14:paraId="175226DD" w14:textId="174C6AC0" w:rsidR="00F03603" w:rsidRDefault="00F03603" w:rsidP="00F03603">
      <w:pPr>
        <w:pStyle w:val="ListParagraph"/>
        <w:numPr>
          <w:ilvl w:val="0"/>
          <w:numId w:val="4"/>
        </w:numPr>
        <w:spacing w:before="120" w:after="120" w:line="276" w:lineRule="auto"/>
        <w:ind w:left="567" w:hanging="567"/>
        <w:contextualSpacing w:val="0"/>
        <w:rPr>
          <w:rFonts w:cs="Arial"/>
          <w:color w:val="000000"/>
        </w:rPr>
      </w:pPr>
      <w:r>
        <w:rPr>
          <w:rFonts w:cs="Arial"/>
          <w:color w:val="000000"/>
        </w:rPr>
        <w:t xml:space="preserve">Telecommunication offences are provided for in Part 10.6 of the </w:t>
      </w:r>
      <w:r w:rsidRPr="002D1B6C">
        <w:rPr>
          <w:rFonts w:cs="Arial"/>
          <w:i/>
          <w:color w:val="000000"/>
        </w:rPr>
        <w:t>Criminal Code</w:t>
      </w:r>
      <w:r w:rsidR="00653483">
        <w:rPr>
          <w:rFonts w:cs="Arial"/>
          <w:i/>
          <w:color w:val="000000"/>
        </w:rPr>
        <w:t xml:space="preserve"> Cth</w:t>
      </w:r>
      <w:r>
        <w:rPr>
          <w:rFonts w:cs="Arial"/>
          <w:color w:val="000000"/>
        </w:rPr>
        <w:t xml:space="preserve">, and include general offences relating to the use of telecommunications in subdivision C.  Offences include using a carriage service: </w:t>
      </w:r>
    </w:p>
    <w:p w14:paraId="45A99B7D" w14:textId="77777777" w:rsidR="00F03603" w:rsidRDefault="00F03603" w:rsidP="00F03603">
      <w:pPr>
        <w:pStyle w:val="ListParagraph"/>
        <w:numPr>
          <w:ilvl w:val="1"/>
          <w:numId w:val="4"/>
        </w:numPr>
        <w:spacing w:before="120" w:after="120" w:line="276" w:lineRule="auto"/>
        <w:ind w:left="1418" w:hanging="425"/>
        <w:contextualSpacing w:val="0"/>
        <w:rPr>
          <w:rFonts w:cs="Arial"/>
          <w:color w:val="000000"/>
        </w:rPr>
      </w:pPr>
      <w:r>
        <w:rPr>
          <w:rFonts w:cs="Arial"/>
          <w:color w:val="000000"/>
        </w:rPr>
        <w:t>to threaten to kill a person (Penalty – 10 years imprisonment);</w:t>
      </w:r>
      <w:r>
        <w:rPr>
          <w:rStyle w:val="FootnoteReference"/>
          <w:rFonts w:cs="Arial"/>
          <w:color w:val="000000"/>
        </w:rPr>
        <w:footnoteReference w:id="29"/>
      </w:r>
      <w:r>
        <w:rPr>
          <w:rFonts w:cs="Arial"/>
          <w:color w:val="000000"/>
        </w:rPr>
        <w:t xml:space="preserve"> </w:t>
      </w:r>
    </w:p>
    <w:p w14:paraId="16BEF4E3" w14:textId="77777777" w:rsidR="00F03603" w:rsidRDefault="00F03603" w:rsidP="00F03603">
      <w:pPr>
        <w:pStyle w:val="ListParagraph"/>
        <w:numPr>
          <w:ilvl w:val="1"/>
          <w:numId w:val="4"/>
        </w:numPr>
        <w:spacing w:before="120" w:after="120" w:line="276" w:lineRule="auto"/>
        <w:ind w:left="1418" w:hanging="425"/>
        <w:contextualSpacing w:val="0"/>
        <w:rPr>
          <w:rFonts w:cs="Arial"/>
          <w:color w:val="000000"/>
        </w:rPr>
      </w:pPr>
      <w:r>
        <w:rPr>
          <w:rFonts w:cs="Arial"/>
          <w:color w:val="000000"/>
        </w:rPr>
        <w:t>to threaten to cause serious harm to a person (Penalty - 7 years imprisonment);</w:t>
      </w:r>
      <w:r>
        <w:rPr>
          <w:rStyle w:val="FootnoteReference"/>
          <w:rFonts w:cs="Arial"/>
          <w:color w:val="000000"/>
        </w:rPr>
        <w:footnoteReference w:id="30"/>
      </w:r>
      <w:r>
        <w:rPr>
          <w:rFonts w:cs="Arial"/>
          <w:color w:val="000000"/>
        </w:rPr>
        <w:t xml:space="preserve"> or</w:t>
      </w:r>
    </w:p>
    <w:p w14:paraId="36C56036" w14:textId="77777777" w:rsidR="00F03603" w:rsidRDefault="00F03603" w:rsidP="00F03603">
      <w:pPr>
        <w:pStyle w:val="ListParagraph"/>
        <w:numPr>
          <w:ilvl w:val="1"/>
          <w:numId w:val="4"/>
        </w:numPr>
        <w:spacing w:before="120" w:after="240" w:line="276" w:lineRule="auto"/>
        <w:ind w:left="1418" w:hanging="425"/>
        <w:contextualSpacing w:val="0"/>
        <w:rPr>
          <w:rFonts w:cs="Arial"/>
          <w:color w:val="000000"/>
        </w:rPr>
      </w:pPr>
      <w:r>
        <w:rPr>
          <w:rFonts w:cs="Arial"/>
          <w:color w:val="000000"/>
        </w:rPr>
        <w:t>in a way that reasonable persons would regard as being menacing, harassing or offensive (Penalty - 3 years imprisonment)</w:t>
      </w:r>
      <w:r>
        <w:rPr>
          <w:rStyle w:val="FootnoteReference"/>
          <w:rFonts w:cs="Arial"/>
          <w:color w:val="000000"/>
        </w:rPr>
        <w:footnoteReference w:id="31"/>
      </w:r>
      <w:r>
        <w:rPr>
          <w:rFonts w:cs="Arial"/>
          <w:color w:val="000000"/>
        </w:rPr>
        <w:t>.</w:t>
      </w:r>
    </w:p>
    <w:p w14:paraId="4D08D6DA" w14:textId="217A0A02" w:rsidR="00F03603" w:rsidRDefault="00F03603" w:rsidP="00F03603">
      <w:pPr>
        <w:pStyle w:val="ListParagraph"/>
        <w:numPr>
          <w:ilvl w:val="0"/>
          <w:numId w:val="4"/>
        </w:numPr>
        <w:spacing w:before="120" w:after="240" w:line="276" w:lineRule="auto"/>
        <w:ind w:left="567" w:hanging="567"/>
        <w:contextualSpacing w:val="0"/>
        <w:rPr>
          <w:rFonts w:cs="Arial"/>
          <w:color w:val="000000"/>
        </w:rPr>
      </w:pPr>
      <w:r w:rsidRPr="000030ED">
        <w:rPr>
          <w:rFonts w:cs="Arial"/>
          <w:color w:val="000000"/>
        </w:rPr>
        <w:t xml:space="preserve">In the Commission’s experience, police have not been able to use these provisions when threats are made via a carriage service towards groups (e.g. people of a particular religion).  </w:t>
      </w:r>
      <w:r w:rsidRPr="00F7098D">
        <w:rPr>
          <w:rFonts w:cs="Arial"/>
          <w:color w:val="000000"/>
        </w:rPr>
        <w:t>Examples of this type of hate speech occurring in Queen</w:t>
      </w:r>
      <w:r w:rsidR="002F2D6C" w:rsidRPr="00F7098D">
        <w:rPr>
          <w:rFonts w:cs="Arial"/>
          <w:color w:val="000000"/>
        </w:rPr>
        <w:t xml:space="preserve">sland are in </w:t>
      </w:r>
      <w:r w:rsidR="00CA306B" w:rsidRPr="00F7098D">
        <w:rPr>
          <w:rFonts w:cs="Arial"/>
          <w:b/>
          <w:color w:val="000000"/>
        </w:rPr>
        <w:t>Appendix 3</w:t>
      </w:r>
      <w:r w:rsidRPr="00F7098D">
        <w:rPr>
          <w:rFonts w:cs="Arial"/>
          <w:color w:val="000000"/>
        </w:rPr>
        <w:t xml:space="preserve"> to this submission</w:t>
      </w:r>
      <w:r>
        <w:rPr>
          <w:rFonts w:cs="Arial"/>
          <w:color w:val="000000"/>
        </w:rPr>
        <w:t>.</w:t>
      </w:r>
      <w:r w:rsidR="007D461F">
        <w:rPr>
          <w:rFonts w:cs="Arial"/>
          <w:color w:val="000000"/>
        </w:rPr>
        <w:t xml:space="preserve"> </w:t>
      </w:r>
    </w:p>
    <w:p w14:paraId="61DEAA85" w14:textId="4B02D062" w:rsidR="00946534" w:rsidRDefault="00946534" w:rsidP="00946534">
      <w:pPr>
        <w:pStyle w:val="Heading2"/>
      </w:pPr>
      <w:bookmarkStart w:id="14" w:name="_Toc76730693"/>
      <w:r>
        <w:t>Urging violence offences</w:t>
      </w:r>
      <w:bookmarkEnd w:id="14"/>
    </w:p>
    <w:p w14:paraId="67273DDD" w14:textId="27D6D6C9" w:rsidR="00F03603" w:rsidRDefault="00F03603" w:rsidP="00F03603">
      <w:pPr>
        <w:pStyle w:val="ListParagraph"/>
        <w:numPr>
          <w:ilvl w:val="0"/>
          <w:numId w:val="4"/>
        </w:numPr>
        <w:spacing w:before="120" w:after="240" w:line="276" w:lineRule="auto"/>
        <w:ind w:left="567" w:hanging="567"/>
        <w:contextualSpacing w:val="0"/>
        <w:rPr>
          <w:rFonts w:cs="Arial"/>
          <w:color w:val="000000"/>
        </w:rPr>
      </w:pPr>
      <w:r w:rsidRPr="000120E1">
        <w:rPr>
          <w:rFonts w:cs="Arial"/>
          <w:color w:val="000000"/>
        </w:rPr>
        <w:t>Urging violence is an offence where a person intentionally urges violence against a targeted group, or a member of a group, with the intention that force or violence will occur, and where the targeted group is distinguished by race, religion, nationality, national or ethnic origin</w:t>
      </w:r>
      <w:r w:rsidR="007C0BDC">
        <w:rPr>
          <w:rFonts w:cs="Arial"/>
          <w:color w:val="000000"/>
        </w:rPr>
        <w:t>,</w:t>
      </w:r>
      <w:r w:rsidRPr="000120E1">
        <w:rPr>
          <w:rFonts w:cs="Arial"/>
          <w:color w:val="000000"/>
        </w:rPr>
        <w:t xml:space="preserve"> or political opinion.</w:t>
      </w:r>
      <w:r w:rsidR="003D4F3D">
        <w:rPr>
          <w:rStyle w:val="FootnoteReference"/>
          <w:rFonts w:cs="Arial"/>
          <w:color w:val="000000"/>
        </w:rPr>
        <w:footnoteReference w:id="32"/>
      </w:r>
      <w:r>
        <w:rPr>
          <w:rFonts w:cs="Arial"/>
          <w:color w:val="000000"/>
        </w:rPr>
        <w:t xml:space="preserve"> </w:t>
      </w:r>
      <w:r w:rsidRPr="000120E1">
        <w:rPr>
          <w:rFonts w:cs="Arial"/>
          <w:color w:val="000000"/>
        </w:rPr>
        <w:t xml:space="preserve"> If the use of force or violence would threaten the peace, order and good government of the Commonwealth, the penalty is seven years imprisonment, and otherwise the penalty is five years imprisonment.</w:t>
      </w:r>
    </w:p>
    <w:p w14:paraId="677D2ADD" w14:textId="7BFD6BFA" w:rsidR="00F03603" w:rsidRPr="000120E1" w:rsidRDefault="00F03603" w:rsidP="00F03603">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These offences have a limited coverage because of the elements of intent, and the designation of limited target groups. </w:t>
      </w:r>
      <w:r w:rsidR="0008388F">
        <w:rPr>
          <w:rFonts w:cs="Arial"/>
          <w:color w:val="000000"/>
        </w:rPr>
        <w:t xml:space="preserve"> In its supplementary submission to the </w:t>
      </w:r>
      <w:r w:rsidR="0008388F" w:rsidRPr="001627CC">
        <w:rPr>
          <w:rFonts w:cs="Arial"/>
          <w:color w:val="1A1A1A"/>
          <w:spacing w:val="4"/>
        </w:rPr>
        <w:t>Parliamentary Joint Committee on Intelligence and</w:t>
      </w:r>
      <w:r w:rsidR="003D4F3D">
        <w:rPr>
          <w:rFonts w:cs="Arial"/>
          <w:color w:val="1A1A1A"/>
          <w:spacing w:val="4"/>
        </w:rPr>
        <w:t xml:space="preserve"> Security</w:t>
      </w:r>
      <w:r w:rsidR="0008388F" w:rsidRPr="001627CC">
        <w:rPr>
          <w:rFonts w:cs="Arial"/>
          <w:color w:val="1A1A1A"/>
          <w:spacing w:val="4"/>
        </w:rPr>
        <w:t xml:space="preserve"> Inquiry into extremist movements and radicalism in Australia,</w:t>
      </w:r>
      <w:r w:rsidR="0008388F">
        <w:rPr>
          <w:rFonts w:cs="Arial"/>
          <w:color w:val="1A1A1A"/>
          <w:spacing w:val="4"/>
        </w:rPr>
        <w:t xml:space="preserve"> </w:t>
      </w:r>
      <w:r w:rsidR="0008388F">
        <w:rPr>
          <w:rFonts w:cs="Arial"/>
          <w:color w:val="1A1A1A"/>
          <w:spacing w:val="4"/>
        </w:rPr>
        <w:lastRenderedPageBreak/>
        <w:t>the Law Council of Australia invited the Committee to consider whether there is a demonstrable gap in the availability of the urging violence offences in sections 80.2A and 80.2B</w:t>
      </w:r>
      <w:r w:rsidR="003D4F3D">
        <w:rPr>
          <w:rFonts w:cs="Arial"/>
          <w:color w:val="1A1A1A"/>
          <w:spacing w:val="4"/>
        </w:rPr>
        <w:t xml:space="preserve"> of the </w:t>
      </w:r>
      <w:r w:rsidR="003D4F3D" w:rsidRPr="003D4F3D">
        <w:rPr>
          <w:rFonts w:cs="Arial"/>
          <w:i/>
          <w:color w:val="1A1A1A"/>
          <w:spacing w:val="4"/>
        </w:rPr>
        <w:t>Criminal Code</w:t>
      </w:r>
      <w:r w:rsidR="00D53BC3">
        <w:rPr>
          <w:rFonts w:cs="Arial"/>
          <w:i/>
          <w:color w:val="1A1A1A"/>
          <w:spacing w:val="4"/>
        </w:rPr>
        <w:t xml:space="preserve"> Cth</w:t>
      </w:r>
      <w:r w:rsidR="003D4F3D">
        <w:rPr>
          <w:rFonts w:cs="Arial"/>
          <w:color w:val="1A1A1A"/>
          <w:spacing w:val="4"/>
        </w:rPr>
        <w:t>.</w:t>
      </w:r>
      <w:r w:rsidR="00A93A6E">
        <w:rPr>
          <w:rStyle w:val="FootnoteReference"/>
          <w:rFonts w:cs="Arial"/>
          <w:color w:val="1A1A1A"/>
          <w:spacing w:val="4"/>
        </w:rPr>
        <w:footnoteReference w:id="33"/>
      </w:r>
      <w:r w:rsidR="00D73FE0">
        <w:rPr>
          <w:rFonts w:cs="Arial"/>
          <w:color w:val="1A1A1A"/>
          <w:spacing w:val="4"/>
        </w:rPr>
        <w:t xml:space="preserve">  </w:t>
      </w:r>
      <w:r w:rsidR="00A93A6E">
        <w:rPr>
          <w:rFonts w:cs="Arial"/>
          <w:color w:val="1A1A1A"/>
          <w:spacing w:val="4"/>
        </w:rPr>
        <w:t xml:space="preserve">The Australian Federal Police informed the inquiry that these offences do not consider the degree </w:t>
      </w:r>
      <w:r w:rsidR="007C0BDC">
        <w:rPr>
          <w:rFonts w:cs="Arial"/>
          <w:color w:val="1A1A1A"/>
          <w:spacing w:val="4"/>
        </w:rPr>
        <w:t xml:space="preserve">of </w:t>
      </w:r>
      <w:r w:rsidR="00A93A6E">
        <w:rPr>
          <w:rFonts w:cs="Arial"/>
          <w:color w:val="1A1A1A"/>
          <w:spacing w:val="4"/>
        </w:rPr>
        <w:t>insult felt by a group.</w:t>
      </w:r>
      <w:r w:rsidR="00A93A6E">
        <w:rPr>
          <w:rStyle w:val="FootnoteReference"/>
          <w:rFonts w:cs="Arial"/>
          <w:color w:val="1A1A1A"/>
          <w:spacing w:val="4"/>
        </w:rPr>
        <w:footnoteReference w:id="34"/>
      </w:r>
      <w:r w:rsidR="00A93A6E">
        <w:rPr>
          <w:rFonts w:cs="Arial"/>
          <w:color w:val="1A1A1A"/>
          <w:spacing w:val="4"/>
        </w:rPr>
        <w:t xml:space="preserve">  In evidence, </w:t>
      </w:r>
      <w:r w:rsidR="00081B92">
        <w:rPr>
          <w:rFonts w:cs="Arial"/>
          <w:color w:val="1A1A1A"/>
          <w:spacing w:val="4"/>
        </w:rPr>
        <w:t xml:space="preserve">the Australian Federal Police informed the Committee that the fault element of intent can be problematic, and that it may be more appropriate for a fault element to also introduce recklessness into the </w:t>
      </w:r>
      <w:r w:rsidR="00081B92" w:rsidRPr="003D4F3D">
        <w:rPr>
          <w:rFonts w:cs="Arial"/>
          <w:i/>
          <w:color w:val="1A1A1A"/>
          <w:spacing w:val="4"/>
        </w:rPr>
        <w:t>Criminal Code</w:t>
      </w:r>
      <w:r w:rsidR="00081B92">
        <w:rPr>
          <w:rFonts w:cs="Arial"/>
          <w:i/>
          <w:color w:val="1A1A1A"/>
          <w:spacing w:val="4"/>
        </w:rPr>
        <w:t xml:space="preserve"> Cth.</w:t>
      </w:r>
      <w:r w:rsidR="00081B92" w:rsidRPr="00091C5C">
        <w:rPr>
          <w:rStyle w:val="FootnoteReference"/>
          <w:rFonts w:cs="Arial"/>
          <w:color w:val="1A1A1A"/>
          <w:spacing w:val="4"/>
        </w:rPr>
        <w:footnoteReference w:id="35"/>
      </w:r>
    </w:p>
    <w:p w14:paraId="7AA849DF" w14:textId="00CD9569" w:rsidR="00946534" w:rsidRDefault="00946534" w:rsidP="00946534">
      <w:pPr>
        <w:pStyle w:val="Heading2"/>
      </w:pPr>
      <w:bookmarkStart w:id="15" w:name="_Toc76730694"/>
      <w:r>
        <w:t>Abhorrent violent material offences</w:t>
      </w:r>
      <w:bookmarkEnd w:id="15"/>
    </w:p>
    <w:p w14:paraId="47E2497C" w14:textId="2D24DFBE" w:rsidR="00F03603" w:rsidRDefault="00F03603" w:rsidP="00947F73">
      <w:pPr>
        <w:pStyle w:val="ListParagraph"/>
        <w:numPr>
          <w:ilvl w:val="0"/>
          <w:numId w:val="4"/>
        </w:numPr>
        <w:spacing w:before="120" w:after="120" w:line="276" w:lineRule="auto"/>
        <w:ind w:left="567" w:hanging="567"/>
        <w:contextualSpacing w:val="0"/>
        <w:rPr>
          <w:rFonts w:cs="Arial"/>
          <w:color w:val="000000"/>
        </w:rPr>
      </w:pPr>
      <w:r>
        <w:rPr>
          <w:rFonts w:cs="Arial"/>
          <w:color w:val="000000"/>
        </w:rPr>
        <w:t xml:space="preserve">The </w:t>
      </w:r>
      <w:r w:rsidRPr="00CF1625">
        <w:rPr>
          <w:rFonts w:cs="Arial"/>
          <w:i/>
          <w:color w:val="000000"/>
        </w:rPr>
        <w:t>Criminal Code</w:t>
      </w:r>
      <w:r>
        <w:rPr>
          <w:rFonts w:cs="Arial"/>
          <w:color w:val="000000"/>
        </w:rPr>
        <w:t xml:space="preserve"> </w:t>
      </w:r>
      <w:r w:rsidR="00D53BC3" w:rsidRPr="00D53BC3">
        <w:rPr>
          <w:rFonts w:cs="Arial"/>
          <w:i/>
          <w:color w:val="000000"/>
        </w:rPr>
        <w:t>Cth</w:t>
      </w:r>
      <w:r w:rsidR="00D53BC3">
        <w:rPr>
          <w:rFonts w:cs="Arial"/>
          <w:color w:val="000000"/>
        </w:rPr>
        <w:t xml:space="preserve"> </w:t>
      </w:r>
      <w:r>
        <w:rPr>
          <w:rFonts w:cs="Arial"/>
          <w:color w:val="000000"/>
        </w:rPr>
        <w:t xml:space="preserve">defines </w:t>
      </w:r>
      <w:r w:rsidRPr="002F238A">
        <w:rPr>
          <w:rFonts w:cs="Arial"/>
          <w:color w:val="000000"/>
        </w:rPr>
        <w:t>abhorrent violent material (AVM) as</w:t>
      </w:r>
      <w:r>
        <w:rPr>
          <w:rFonts w:cs="Arial"/>
          <w:color w:val="000000"/>
        </w:rPr>
        <w:t>:</w:t>
      </w:r>
    </w:p>
    <w:p w14:paraId="4F29F4C9" w14:textId="77777777" w:rsidR="00F03603" w:rsidRDefault="00F03603" w:rsidP="00F03603">
      <w:pPr>
        <w:pStyle w:val="ListParagraph"/>
        <w:numPr>
          <w:ilvl w:val="0"/>
          <w:numId w:val="26"/>
        </w:numPr>
        <w:spacing w:before="120" w:after="120" w:line="276" w:lineRule="auto"/>
        <w:ind w:left="1208" w:hanging="357"/>
        <w:contextualSpacing w:val="0"/>
        <w:rPr>
          <w:rFonts w:cs="Arial"/>
          <w:color w:val="000000"/>
        </w:rPr>
      </w:pPr>
      <w:r w:rsidRPr="00CF1625">
        <w:rPr>
          <w:rFonts w:cs="Arial"/>
          <w:color w:val="000000"/>
        </w:rPr>
        <w:t xml:space="preserve">recorded or streamed audio, video, audio-visual material </w:t>
      </w:r>
    </w:p>
    <w:p w14:paraId="17A09B96" w14:textId="77777777" w:rsidR="00F03603" w:rsidRDefault="00F03603" w:rsidP="006A5837">
      <w:pPr>
        <w:pStyle w:val="ListParagraph"/>
        <w:numPr>
          <w:ilvl w:val="0"/>
          <w:numId w:val="26"/>
        </w:numPr>
        <w:spacing w:before="120" w:after="120" w:line="276" w:lineRule="auto"/>
        <w:ind w:left="1208" w:hanging="357"/>
        <w:contextualSpacing w:val="0"/>
        <w:rPr>
          <w:rFonts w:cs="Arial"/>
          <w:color w:val="000000"/>
        </w:rPr>
      </w:pPr>
      <w:r w:rsidRPr="00CF1625">
        <w:rPr>
          <w:rFonts w:cs="Arial"/>
          <w:color w:val="000000"/>
        </w:rPr>
        <w:t>that shows a terrorist act involving</w:t>
      </w:r>
      <w:r>
        <w:rPr>
          <w:rFonts w:cs="Arial"/>
          <w:color w:val="000000"/>
        </w:rPr>
        <w:t>:</w:t>
      </w:r>
    </w:p>
    <w:p w14:paraId="077D97CC" w14:textId="77777777" w:rsidR="00F03603" w:rsidRDefault="00F03603" w:rsidP="00F03603">
      <w:pPr>
        <w:pStyle w:val="ListParagraph"/>
        <w:numPr>
          <w:ilvl w:val="2"/>
          <w:numId w:val="27"/>
        </w:numPr>
        <w:spacing w:before="120" w:after="120" w:line="276" w:lineRule="auto"/>
        <w:ind w:left="1984" w:hanging="425"/>
        <w:contextualSpacing w:val="0"/>
        <w:rPr>
          <w:rFonts w:cs="Arial"/>
          <w:color w:val="000000"/>
        </w:rPr>
      </w:pPr>
      <w:r w:rsidRPr="00CF1625">
        <w:rPr>
          <w:rFonts w:cs="Arial"/>
          <w:color w:val="000000"/>
        </w:rPr>
        <w:t>serious physical harm or death</w:t>
      </w:r>
      <w:r>
        <w:rPr>
          <w:rFonts w:cs="Arial"/>
          <w:color w:val="000000"/>
        </w:rPr>
        <w:t>;</w:t>
      </w:r>
      <w:r w:rsidRPr="00CF1625">
        <w:rPr>
          <w:rFonts w:cs="Arial"/>
          <w:color w:val="000000"/>
        </w:rPr>
        <w:t xml:space="preserve"> </w:t>
      </w:r>
    </w:p>
    <w:p w14:paraId="78351977" w14:textId="77777777" w:rsidR="00F03603" w:rsidRDefault="00F03603" w:rsidP="00F03603">
      <w:pPr>
        <w:pStyle w:val="ListParagraph"/>
        <w:numPr>
          <w:ilvl w:val="2"/>
          <w:numId w:val="27"/>
        </w:numPr>
        <w:spacing w:before="120" w:after="120" w:line="276" w:lineRule="auto"/>
        <w:ind w:left="1985" w:hanging="425"/>
        <w:contextualSpacing w:val="0"/>
        <w:rPr>
          <w:rFonts w:cs="Arial"/>
          <w:color w:val="000000"/>
        </w:rPr>
      </w:pPr>
      <w:r w:rsidRPr="00CF1625">
        <w:rPr>
          <w:rFonts w:cs="Arial"/>
          <w:color w:val="000000"/>
        </w:rPr>
        <w:t>the murder or attempted murder of another person</w:t>
      </w:r>
      <w:r>
        <w:rPr>
          <w:rFonts w:cs="Arial"/>
          <w:color w:val="000000"/>
        </w:rPr>
        <w:t>;</w:t>
      </w:r>
    </w:p>
    <w:p w14:paraId="281ED874" w14:textId="77777777" w:rsidR="00F03603" w:rsidRDefault="00F03603" w:rsidP="00F03603">
      <w:pPr>
        <w:pStyle w:val="ListParagraph"/>
        <w:numPr>
          <w:ilvl w:val="2"/>
          <w:numId w:val="27"/>
        </w:numPr>
        <w:spacing w:before="120" w:after="120" w:line="276" w:lineRule="auto"/>
        <w:ind w:left="1985" w:hanging="425"/>
        <w:contextualSpacing w:val="0"/>
        <w:rPr>
          <w:rFonts w:cs="Arial"/>
          <w:color w:val="000000"/>
        </w:rPr>
      </w:pPr>
      <w:r w:rsidRPr="00CF1625">
        <w:rPr>
          <w:rFonts w:cs="Arial"/>
          <w:color w:val="000000"/>
        </w:rPr>
        <w:t>the torture of another person</w:t>
      </w:r>
      <w:r>
        <w:rPr>
          <w:rFonts w:cs="Arial"/>
          <w:color w:val="000000"/>
        </w:rPr>
        <w:t>;</w:t>
      </w:r>
    </w:p>
    <w:p w14:paraId="4262951C" w14:textId="77777777" w:rsidR="00F03603" w:rsidRDefault="00F03603" w:rsidP="00F03603">
      <w:pPr>
        <w:pStyle w:val="ListParagraph"/>
        <w:numPr>
          <w:ilvl w:val="2"/>
          <w:numId w:val="27"/>
        </w:numPr>
        <w:spacing w:before="120" w:after="120" w:line="276" w:lineRule="auto"/>
        <w:ind w:left="1985" w:hanging="425"/>
        <w:contextualSpacing w:val="0"/>
        <w:rPr>
          <w:rFonts w:cs="Arial"/>
          <w:color w:val="000000"/>
        </w:rPr>
      </w:pPr>
      <w:r w:rsidRPr="00CF1625">
        <w:rPr>
          <w:rFonts w:cs="Arial"/>
          <w:color w:val="000000"/>
        </w:rPr>
        <w:t>the rape of another person</w:t>
      </w:r>
      <w:r>
        <w:rPr>
          <w:rFonts w:cs="Arial"/>
          <w:color w:val="000000"/>
        </w:rPr>
        <w:t>;</w:t>
      </w:r>
      <w:r w:rsidRPr="00CF1625">
        <w:rPr>
          <w:rFonts w:cs="Arial"/>
          <w:color w:val="000000"/>
        </w:rPr>
        <w:t xml:space="preserve"> or </w:t>
      </w:r>
    </w:p>
    <w:p w14:paraId="5AFF2B23" w14:textId="77777777" w:rsidR="00F03603" w:rsidRDefault="00F03603" w:rsidP="00F03603">
      <w:pPr>
        <w:pStyle w:val="ListParagraph"/>
        <w:numPr>
          <w:ilvl w:val="2"/>
          <w:numId w:val="27"/>
        </w:numPr>
        <w:spacing w:before="120" w:after="120" w:line="276" w:lineRule="auto"/>
        <w:ind w:left="1985" w:hanging="425"/>
        <w:contextualSpacing w:val="0"/>
        <w:rPr>
          <w:rFonts w:cs="Arial"/>
          <w:color w:val="000000"/>
        </w:rPr>
      </w:pPr>
      <w:r w:rsidRPr="00CF1625">
        <w:rPr>
          <w:rFonts w:cs="Arial"/>
          <w:color w:val="000000"/>
        </w:rPr>
        <w:t xml:space="preserve">the kidnapping of another person involving violence </w:t>
      </w:r>
    </w:p>
    <w:p w14:paraId="0A26C100" w14:textId="77777777" w:rsidR="00F03603" w:rsidRDefault="00F03603" w:rsidP="00F03603">
      <w:pPr>
        <w:pStyle w:val="ListParagraph"/>
        <w:numPr>
          <w:ilvl w:val="0"/>
          <w:numId w:val="26"/>
        </w:numPr>
        <w:spacing w:before="120" w:after="240" w:line="276" w:lineRule="auto"/>
        <w:ind w:left="1208" w:hanging="357"/>
        <w:contextualSpacing w:val="0"/>
        <w:rPr>
          <w:rFonts w:cs="Arial"/>
          <w:color w:val="000000"/>
        </w:rPr>
      </w:pPr>
      <w:r w:rsidRPr="00CF1625">
        <w:rPr>
          <w:rFonts w:cs="Arial"/>
          <w:color w:val="000000"/>
        </w:rPr>
        <w:t xml:space="preserve">that is produced by a perpetrator or an accomplice.  </w:t>
      </w:r>
    </w:p>
    <w:p w14:paraId="0BC6C3F7" w14:textId="77777777" w:rsidR="00F03603" w:rsidRPr="00CF1625" w:rsidRDefault="00F03603" w:rsidP="00F03603">
      <w:pPr>
        <w:spacing w:before="120" w:after="240" w:line="276" w:lineRule="auto"/>
        <w:ind w:left="493"/>
        <w:rPr>
          <w:rFonts w:cs="Arial"/>
          <w:color w:val="000000"/>
        </w:rPr>
      </w:pPr>
      <w:r w:rsidRPr="00CF1625">
        <w:rPr>
          <w:rFonts w:cs="Arial"/>
          <w:color w:val="000000"/>
        </w:rPr>
        <w:t xml:space="preserve">The AVM regime gives the eSafety Commissioner the power to issue a notice </w:t>
      </w:r>
      <w:r>
        <w:rPr>
          <w:rFonts w:cs="Arial"/>
          <w:color w:val="000000"/>
        </w:rPr>
        <w:t xml:space="preserve">to a website or its hosting service </w:t>
      </w:r>
      <w:r w:rsidRPr="00CF1625">
        <w:rPr>
          <w:rFonts w:cs="Arial"/>
          <w:color w:val="000000"/>
        </w:rPr>
        <w:t>that specified material is abhorrent violent material.</w:t>
      </w:r>
      <w:r>
        <w:rPr>
          <w:rStyle w:val="FootnoteReference"/>
          <w:rFonts w:cs="Arial"/>
          <w:color w:val="000000"/>
        </w:rPr>
        <w:footnoteReference w:id="36"/>
      </w:r>
      <w:r>
        <w:rPr>
          <w:rFonts w:cs="Arial"/>
          <w:color w:val="000000"/>
        </w:rPr>
        <w:t xml:space="preserve">  Failure to remove access to the material may constitute a criminal offence.</w:t>
      </w:r>
    </w:p>
    <w:p w14:paraId="63589F96" w14:textId="77777777" w:rsidR="00F03603" w:rsidRPr="002F238A" w:rsidRDefault="00F03603" w:rsidP="00F03603">
      <w:pPr>
        <w:pStyle w:val="ListParagraph"/>
        <w:numPr>
          <w:ilvl w:val="0"/>
          <w:numId w:val="4"/>
        </w:numPr>
        <w:spacing w:before="120" w:after="120" w:line="276" w:lineRule="auto"/>
        <w:ind w:left="567" w:hanging="567"/>
        <w:contextualSpacing w:val="0"/>
        <w:rPr>
          <w:rFonts w:cs="Arial"/>
          <w:color w:val="000000"/>
        </w:rPr>
      </w:pPr>
      <w:r w:rsidRPr="002F238A">
        <w:rPr>
          <w:rFonts w:cs="Arial"/>
          <w:color w:val="000000"/>
        </w:rPr>
        <w:t xml:space="preserve">The AVM offences </w:t>
      </w:r>
      <w:r>
        <w:rPr>
          <w:rFonts w:cs="Arial"/>
          <w:color w:val="000000"/>
        </w:rPr>
        <w:t xml:space="preserve">are aimed at </w:t>
      </w:r>
      <w:r w:rsidRPr="002F238A">
        <w:rPr>
          <w:rFonts w:cs="Arial"/>
          <w:color w:val="000000"/>
        </w:rPr>
        <w:t>the providers of internet content and hosting services</w:t>
      </w:r>
      <w:r>
        <w:rPr>
          <w:rFonts w:cs="Arial"/>
          <w:color w:val="000000"/>
        </w:rPr>
        <w:t>, and prosecution requires the prior consent of the Attorney-General</w:t>
      </w:r>
      <w:r w:rsidRPr="002F238A">
        <w:rPr>
          <w:rFonts w:cs="Arial"/>
          <w:color w:val="000000"/>
        </w:rPr>
        <w:t xml:space="preserve">.  The offence provisions </w:t>
      </w:r>
      <w:r>
        <w:rPr>
          <w:rFonts w:cs="Arial"/>
          <w:color w:val="000000"/>
        </w:rPr>
        <w:t>do</w:t>
      </w:r>
      <w:r w:rsidRPr="002F238A">
        <w:rPr>
          <w:rFonts w:cs="Arial"/>
          <w:color w:val="000000"/>
        </w:rPr>
        <w:t xml:space="preserve"> not </w:t>
      </w:r>
      <w:r>
        <w:rPr>
          <w:rFonts w:cs="Arial"/>
          <w:color w:val="000000"/>
        </w:rPr>
        <w:t>apply to t</w:t>
      </w:r>
      <w:r w:rsidRPr="002F238A">
        <w:rPr>
          <w:rFonts w:cs="Arial"/>
          <w:color w:val="000000"/>
        </w:rPr>
        <w:t>he producers of the material or the perpetrators of the acts.</w:t>
      </w:r>
    </w:p>
    <w:p w14:paraId="0E773A80" w14:textId="0CFAD357" w:rsidR="002A512A" w:rsidRDefault="002A512A" w:rsidP="005A1137">
      <w:pPr>
        <w:pStyle w:val="Heading1"/>
        <w:pageBreakBefore/>
        <w:spacing w:before="0"/>
      </w:pPr>
      <w:bookmarkStart w:id="16" w:name="_Toc76730695"/>
      <w:r w:rsidRPr="00F42A99">
        <w:lastRenderedPageBreak/>
        <w:t xml:space="preserve">Options for reform of </w:t>
      </w:r>
      <w:r w:rsidR="00F03603" w:rsidRPr="00F42A99">
        <w:t xml:space="preserve">Queensland </w:t>
      </w:r>
      <w:r w:rsidRPr="00F42A99">
        <w:t>criminal laws</w:t>
      </w:r>
      <w:bookmarkEnd w:id="16"/>
    </w:p>
    <w:p w14:paraId="397EDABE" w14:textId="2283566F" w:rsidR="00FE5D11" w:rsidRDefault="00FE5D11" w:rsidP="00FE5D11">
      <w:pPr>
        <w:pStyle w:val="Heading2"/>
      </w:pPr>
      <w:bookmarkStart w:id="17" w:name="_Toc76730696"/>
      <w:r w:rsidRPr="009812F7">
        <w:t>Serious vilification</w:t>
      </w:r>
      <w:bookmarkEnd w:id="17"/>
    </w:p>
    <w:p w14:paraId="20DC48F8" w14:textId="1F2A7E2F" w:rsidR="008F132C" w:rsidRPr="009812F7" w:rsidRDefault="008F132C" w:rsidP="002A512A">
      <w:pPr>
        <w:pStyle w:val="ListParagraph"/>
        <w:numPr>
          <w:ilvl w:val="0"/>
          <w:numId w:val="4"/>
        </w:numPr>
        <w:spacing w:before="120" w:after="240" w:line="276" w:lineRule="auto"/>
        <w:ind w:left="567" w:hanging="567"/>
        <w:contextualSpacing w:val="0"/>
        <w:rPr>
          <w:rFonts w:cs="Arial"/>
        </w:rPr>
      </w:pPr>
      <w:r w:rsidRPr="009812F7">
        <w:rPr>
          <w:rFonts w:cs="Arial"/>
        </w:rPr>
        <w:t xml:space="preserve">The options for reform outlined in this part of the submission draw on issues discussed </w:t>
      </w:r>
      <w:r w:rsidR="00571DE0">
        <w:rPr>
          <w:rFonts w:cs="Arial"/>
        </w:rPr>
        <w:t>earlier in the submission</w:t>
      </w:r>
      <w:r w:rsidRPr="009812F7">
        <w:rPr>
          <w:rFonts w:cs="Arial"/>
        </w:rPr>
        <w:t xml:space="preserve">, and </w:t>
      </w:r>
      <w:r w:rsidR="00571DE0">
        <w:rPr>
          <w:rFonts w:cs="Arial"/>
        </w:rPr>
        <w:t xml:space="preserve">include </w:t>
      </w:r>
      <w:r w:rsidRPr="009812F7">
        <w:rPr>
          <w:rFonts w:cs="Arial"/>
        </w:rPr>
        <w:t xml:space="preserve">the additional issue of whether other attributes </w:t>
      </w:r>
      <w:r w:rsidR="007C0BDC">
        <w:rPr>
          <w:rFonts w:cs="Arial"/>
        </w:rPr>
        <w:t>should</w:t>
      </w:r>
      <w:r w:rsidRPr="009812F7">
        <w:rPr>
          <w:rFonts w:cs="Arial"/>
        </w:rPr>
        <w:t xml:space="preserve"> be protected under vilification laws.</w:t>
      </w:r>
    </w:p>
    <w:p w14:paraId="1B69C21A" w14:textId="0B84BA46" w:rsidR="008F132C" w:rsidRPr="008F132C" w:rsidRDefault="008F132C" w:rsidP="008F132C">
      <w:pPr>
        <w:pStyle w:val="Heading3"/>
        <w:rPr>
          <w:highlight w:val="yellow"/>
        </w:rPr>
      </w:pPr>
      <w:bookmarkStart w:id="18" w:name="_Toc76730697"/>
      <w:r>
        <w:t>Remove approval requirement</w:t>
      </w:r>
      <w:bookmarkEnd w:id="18"/>
    </w:p>
    <w:p w14:paraId="1FDBCDE1" w14:textId="4A792C60" w:rsidR="00732EB8" w:rsidRDefault="005C2385" w:rsidP="002A512A">
      <w:pPr>
        <w:pStyle w:val="ListParagraph"/>
        <w:numPr>
          <w:ilvl w:val="0"/>
          <w:numId w:val="4"/>
        </w:numPr>
        <w:spacing w:before="120" w:after="240" w:line="276" w:lineRule="auto"/>
        <w:ind w:left="567" w:hanging="567"/>
        <w:contextualSpacing w:val="0"/>
        <w:rPr>
          <w:rFonts w:cs="Arial"/>
        </w:rPr>
      </w:pPr>
      <w:r w:rsidRPr="005C2385">
        <w:rPr>
          <w:rFonts w:cs="Arial"/>
        </w:rPr>
        <w:t xml:space="preserve">The Commission appreciates that factors relevant to </w:t>
      </w:r>
      <w:r>
        <w:rPr>
          <w:rFonts w:cs="Arial"/>
        </w:rPr>
        <w:t>commencing proceedings for an offence include the sufficiency of evidence and the public interest in taking the proceedings.  However, as demonstrated earlier in this submission, the reasons for requiring the prior approval of a Crown Law officer was to provide an added ‘filter’</w:t>
      </w:r>
      <w:r w:rsidR="00D426EB">
        <w:rPr>
          <w:rFonts w:cs="Arial"/>
        </w:rPr>
        <w:t xml:space="preserve"> and so that the Anti-Discrimination Commissioner (now the Human Rights Commissioner) did not initiate the proceedings.  The latter is appropriate given the overall functions </w:t>
      </w:r>
      <w:r w:rsidR="008D0CE2">
        <w:rPr>
          <w:rFonts w:cs="Arial"/>
        </w:rPr>
        <w:t xml:space="preserve">and resources </w:t>
      </w:r>
      <w:r w:rsidR="00D426EB">
        <w:rPr>
          <w:rFonts w:cs="Arial"/>
        </w:rPr>
        <w:t xml:space="preserve">of the Commission, which are not </w:t>
      </w:r>
      <w:r w:rsidR="008D0CE2">
        <w:rPr>
          <w:rFonts w:cs="Arial"/>
        </w:rPr>
        <w:t xml:space="preserve">presently </w:t>
      </w:r>
      <w:r w:rsidR="00D426EB">
        <w:rPr>
          <w:rFonts w:cs="Arial"/>
        </w:rPr>
        <w:t>apposite to the investigation and prosecution of criminal offences</w:t>
      </w:r>
      <w:r w:rsidR="00F83AEB">
        <w:rPr>
          <w:rFonts w:cs="Arial"/>
        </w:rPr>
        <w:t>.</w:t>
      </w:r>
      <w:r w:rsidR="008D0CE2">
        <w:rPr>
          <w:rStyle w:val="FootnoteReference"/>
          <w:rFonts w:cs="Arial"/>
        </w:rPr>
        <w:footnoteReference w:id="37"/>
      </w:r>
    </w:p>
    <w:p w14:paraId="07C822DF" w14:textId="77777777" w:rsidR="00571DE0" w:rsidRDefault="00C54D67" w:rsidP="00571DE0">
      <w:pPr>
        <w:pStyle w:val="ListParagraph"/>
        <w:numPr>
          <w:ilvl w:val="0"/>
          <w:numId w:val="4"/>
        </w:numPr>
        <w:spacing w:before="120" w:after="120" w:line="276" w:lineRule="auto"/>
        <w:ind w:left="567" w:hanging="567"/>
        <w:contextualSpacing w:val="0"/>
        <w:rPr>
          <w:rFonts w:cs="Arial"/>
        </w:rPr>
      </w:pPr>
      <w:r>
        <w:rPr>
          <w:rFonts w:cs="Arial"/>
        </w:rPr>
        <w:t xml:space="preserve">Under the </w:t>
      </w:r>
      <w:r w:rsidRPr="00571DE0">
        <w:rPr>
          <w:rFonts w:cs="Arial"/>
          <w:i/>
        </w:rPr>
        <w:t>Criminal Code</w:t>
      </w:r>
      <w:r w:rsidR="00571DE0">
        <w:rPr>
          <w:rFonts w:cs="Arial"/>
        </w:rPr>
        <w:t>:</w:t>
      </w:r>
    </w:p>
    <w:p w14:paraId="5859AA15" w14:textId="5E6BEAED" w:rsidR="00571DE0" w:rsidRDefault="00571DE0" w:rsidP="00571DE0">
      <w:pPr>
        <w:pStyle w:val="ListParagraph"/>
        <w:numPr>
          <w:ilvl w:val="1"/>
          <w:numId w:val="4"/>
        </w:numPr>
        <w:spacing w:before="120" w:after="120" w:line="276" w:lineRule="auto"/>
        <w:ind w:left="1134" w:hanging="425"/>
        <w:contextualSpacing w:val="0"/>
        <w:rPr>
          <w:rFonts w:cs="Arial"/>
        </w:rPr>
      </w:pPr>
      <w:r>
        <w:rPr>
          <w:rFonts w:cs="Arial"/>
        </w:rPr>
        <w:t xml:space="preserve"> T</w:t>
      </w:r>
      <w:r w:rsidR="00C54D67">
        <w:rPr>
          <w:rFonts w:cs="Arial"/>
        </w:rPr>
        <w:t>he prior approval of the DPP is required for</w:t>
      </w:r>
      <w:r>
        <w:rPr>
          <w:rFonts w:cs="Arial"/>
        </w:rPr>
        <w:t>:</w:t>
      </w:r>
    </w:p>
    <w:p w14:paraId="59434618" w14:textId="77777777" w:rsidR="00571DE0" w:rsidRDefault="00C54D67" w:rsidP="00571DE0">
      <w:pPr>
        <w:pStyle w:val="ListParagraph"/>
        <w:numPr>
          <w:ilvl w:val="2"/>
          <w:numId w:val="4"/>
        </w:numPr>
        <w:spacing w:before="120" w:after="120" w:line="276" w:lineRule="auto"/>
        <w:ind w:left="1843" w:hanging="425"/>
        <w:contextualSpacing w:val="0"/>
        <w:rPr>
          <w:rFonts w:cs="Arial"/>
        </w:rPr>
      </w:pPr>
      <w:r>
        <w:rPr>
          <w:rFonts w:cs="Arial"/>
        </w:rPr>
        <w:t xml:space="preserve"> a charge of criminal defamation, which is a misdemeanour with a maximum penalty of three years imprisonment (section 365), and </w:t>
      </w:r>
    </w:p>
    <w:p w14:paraId="7B2F0DE9" w14:textId="77777777" w:rsidR="00571DE0" w:rsidRDefault="00C54D67" w:rsidP="00571DE0">
      <w:pPr>
        <w:pStyle w:val="ListParagraph"/>
        <w:numPr>
          <w:ilvl w:val="2"/>
          <w:numId w:val="4"/>
        </w:numPr>
        <w:spacing w:before="120" w:after="120" w:line="276" w:lineRule="auto"/>
        <w:ind w:left="1843" w:hanging="425"/>
        <w:contextualSpacing w:val="0"/>
        <w:rPr>
          <w:rFonts w:cs="Arial"/>
        </w:rPr>
      </w:pPr>
      <w:r>
        <w:rPr>
          <w:rFonts w:cs="Arial"/>
        </w:rPr>
        <w:t xml:space="preserve">the authorisation for police investigations into the commission of an offence by an acquitted person in relation to possible retrial.  </w:t>
      </w:r>
    </w:p>
    <w:p w14:paraId="58D623C8" w14:textId="45918884" w:rsidR="00C54D67" w:rsidRDefault="00C54D67" w:rsidP="00571DE0">
      <w:pPr>
        <w:pStyle w:val="ListParagraph"/>
        <w:numPr>
          <w:ilvl w:val="1"/>
          <w:numId w:val="4"/>
        </w:numPr>
        <w:spacing w:before="120" w:after="240" w:line="276" w:lineRule="auto"/>
        <w:ind w:left="1134" w:hanging="425"/>
        <w:contextualSpacing w:val="0"/>
        <w:rPr>
          <w:rFonts w:cs="Arial"/>
        </w:rPr>
      </w:pPr>
      <w:r>
        <w:rPr>
          <w:rFonts w:cs="Arial"/>
        </w:rPr>
        <w:t xml:space="preserve">The prior consent of a Crown law officer is required for an indictment charging </w:t>
      </w:r>
      <w:r w:rsidR="00571DE0">
        <w:rPr>
          <w:rFonts w:cs="Arial"/>
        </w:rPr>
        <w:t>various</w:t>
      </w:r>
      <w:r>
        <w:rPr>
          <w:rFonts w:cs="Arial"/>
        </w:rPr>
        <w:t xml:space="preserve"> offences with a serious organised crime circumstance of aggravation.</w:t>
      </w:r>
      <w:r>
        <w:rPr>
          <w:rStyle w:val="FootnoteReference"/>
          <w:rFonts w:cs="Arial"/>
        </w:rPr>
        <w:footnoteReference w:id="38"/>
      </w:r>
    </w:p>
    <w:p w14:paraId="33EDE560" w14:textId="56D9742A" w:rsidR="00C54D67" w:rsidRDefault="00C54D67" w:rsidP="002A512A">
      <w:pPr>
        <w:pStyle w:val="ListParagraph"/>
        <w:numPr>
          <w:ilvl w:val="0"/>
          <w:numId w:val="4"/>
        </w:numPr>
        <w:spacing w:before="120" w:after="240" w:line="276" w:lineRule="auto"/>
        <w:ind w:left="567" w:hanging="567"/>
        <w:contextualSpacing w:val="0"/>
        <w:rPr>
          <w:rFonts w:cs="Arial"/>
        </w:rPr>
      </w:pPr>
      <w:r>
        <w:rPr>
          <w:rFonts w:cs="Arial"/>
        </w:rPr>
        <w:t xml:space="preserve">The </w:t>
      </w:r>
      <w:r w:rsidR="00B96989">
        <w:rPr>
          <w:rFonts w:cs="Arial"/>
        </w:rPr>
        <w:t xml:space="preserve">offence of serious vilification is currently a </w:t>
      </w:r>
      <w:r w:rsidR="007C0BDC">
        <w:rPr>
          <w:rFonts w:cs="Arial"/>
        </w:rPr>
        <w:t>‘</w:t>
      </w:r>
      <w:r w:rsidR="00B96989">
        <w:rPr>
          <w:rFonts w:cs="Arial"/>
        </w:rPr>
        <w:t>simple</w:t>
      </w:r>
      <w:r w:rsidR="007C0BDC">
        <w:rPr>
          <w:rFonts w:cs="Arial"/>
        </w:rPr>
        <w:t>’</w:t>
      </w:r>
      <w:r w:rsidR="00B96989">
        <w:rPr>
          <w:rFonts w:cs="Arial"/>
        </w:rPr>
        <w:t xml:space="preserve"> offence (as opposed to an indictable crime or misdemeanour).  Simple offences are usually prosecuted by police in the Magistrates Co</w:t>
      </w:r>
      <w:r w:rsidR="007C0BDC">
        <w:rPr>
          <w:rFonts w:cs="Arial"/>
        </w:rPr>
        <w:t>urt, and do not usually require</w:t>
      </w:r>
      <w:r w:rsidR="00B96989">
        <w:rPr>
          <w:rFonts w:cs="Arial"/>
        </w:rPr>
        <w:t xml:space="preserve"> the consent of the DPP or Attorney-General to start proceedings.</w:t>
      </w:r>
      <w:r w:rsidR="00F734EB">
        <w:rPr>
          <w:rFonts w:cs="Arial"/>
        </w:rPr>
        <w:t xml:space="preserve">  The alternative offences for conduct that otherwise constitutes serious vilification, do not require this prior approval.</w:t>
      </w:r>
    </w:p>
    <w:p w14:paraId="14049A1C" w14:textId="64FFC165" w:rsidR="00F734EB" w:rsidRDefault="00F734EB" w:rsidP="002A512A">
      <w:pPr>
        <w:pStyle w:val="ListParagraph"/>
        <w:numPr>
          <w:ilvl w:val="0"/>
          <w:numId w:val="4"/>
        </w:numPr>
        <w:spacing w:before="120" w:after="240" w:line="276" w:lineRule="auto"/>
        <w:ind w:left="567" w:hanging="567"/>
        <w:contextualSpacing w:val="0"/>
        <w:rPr>
          <w:rFonts w:cs="Arial"/>
        </w:rPr>
      </w:pPr>
      <w:r>
        <w:rPr>
          <w:rFonts w:cs="Arial"/>
        </w:rPr>
        <w:t xml:space="preserve">The requirement has proved to be a barrier to using the provision in appropriate circumstances.  The offence itself contains a high threshold of </w:t>
      </w:r>
      <w:r>
        <w:rPr>
          <w:rFonts w:cs="Arial"/>
        </w:rPr>
        <w:lastRenderedPageBreak/>
        <w:t>threatening or inciting physical violence, and in the circumstances of the nature of the offence, police are motivated to bring an offender before the court as quickly as possible.  The process of briefing the DPP and waiting for approval results in delay that increases risk to the community.</w:t>
      </w:r>
    </w:p>
    <w:p w14:paraId="42AB363A" w14:textId="466494F1" w:rsidR="00F734EB" w:rsidRDefault="00A76CD8" w:rsidP="002A512A">
      <w:pPr>
        <w:pStyle w:val="ListParagraph"/>
        <w:numPr>
          <w:ilvl w:val="0"/>
          <w:numId w:val="4"/>
        </w:numPr>
        <w:spacing w:before="120" w:after="240" w:line="276" w:lineRule="auto"/>
        <w:ind w:left="567" w:hanging="567"/>
        <w:contextualSpacing w:val="0"/>
        <w:rPr>
          <w:rFonts w:cs="Arial"/>
        </w:rPr>
      </w:pPr>
      <w:r>
        <w:rPr>
          <w:rFonts w:cs="Arial"/>
        </w:rPr>
        <w:t>While the requirement occurs across other Australian jurisdictions, it has resulted in the same barriers to the operational effectiveness of the respective offence provisions</w:t>
      </w:r>
      <w:r w:rsidR="00571DE0">
        <w:rPr>
          <w:rFonts w:cs="Arial"/>
        </w:rPr>
        <w:t xml:space="preserve"> in those jurisdictions</w:t>
      </w:r>
      <w:r>
        <w:rPr>
          <w:rFonts w:cs="Arial"/>
        </w:rPr>
        <w:t>.</w:t>
      </w:r>
    </w:p>
    <w:p w14:paraId="074776DC" w14:textId="72D9803B" w:rsidR="00964EBC" w:rsidRPr="005C2385" w:rsidRDefault="00964EBC" w:rsidP="002A512A">
      <w:pPr>
        <w:pStyle w:val="ListParagraph"/>
        <w:numPr>
          <w:ilvl w:val="0"/>
          <w:numId w:val="4"/>
        </w:numPr>
        <w:spacing w:before="120" w:after="240" w:line="276" w:lineRule="auto"/>
        <w:ind w:left="567" w:hanging="567"/>
        <w:contextualSpacing w:val="0"/>
        <w:rPr>
          <w:rFonts w:cs="Arial"/>
        </w:rPr>
      </w:pPr>
      <w:r>
        <w:rPr>
          <w:rFonts w:cs="Arial"/>
        </w:rPr>
        <w:t xml:space="preserve">The objective of the requirement being a filtering layer has proved to be an unacceptable burden that has rendered the offence provision ineffective and inoperable.  In the absence of any compelling evidence for retaining the prior approval requirement, the Commission strongly recommends that it is removed.  </w:t>
      </w:r>
    </w:p>
    <w:p w14:paraId="093AB117" w14:textId="0990EC10" w:rsidR="008F132C" w:rsidRPr="00F57AF4" w:rsidRDefault="008F132C" w:rsidP="008F132C">
      <w:pPr>
        <w:pStyle w:val="Heading3"/>
      </w:pPr>
      <w:bookmarkStart w:id="19" w:name="_Toc76730698"/>
      <w:r w:rsidRPr="00F57AF4">
        <w:t>Increase the penalty</w:t>
      </w:r>
      <w:bookmarkEnd w:id="19"/>
    </w:p>
    <w:p w14:paraId="7B87ECFF" w14:textId="47731791" w:rsidR="00732EB8" w:rsidRPr="00F57AF4" w:rsidRDefault="006D6A8A" w:rsidP="002A512A">
      <w:pPr>
        <w:pStyle w:val="ListParagraph"/>
        <w:numPr>
          <w:ilvl w:val="0"/>
          <w:numId w:val="4"/>
        </w:numPr>
        <w:spacing w:before="120" w:after="240" w:line="276" w:lineRule="auto"/>
        <w:ind w:left="567" w:hanging="567"/>
        <w:contextualSpacing w:val="0"/>
        <w:rPr>
          <w:rFonts w:cs="Arial"/>
        </w:rPr>
      </w:pPr>
      <w:r w:rsidRPr="00F57AF4">
        <w:rPr>
          <w:rFonts w:cs="Arial"/>
        </w:rPr>
        <w:t>As demonstrated earlier in this submission, the maximum penalty of six months imprisonment is another barrier to police enforcing the offence provision, particularly for online offences.</w:t>
      </w:r>
    </w:p>
    <w:p w14:paraId="27988B14" w14:textId="13E24C05" w:rsidR="00F57AF4" w:rsidRDefault="007C0BDC" w:rsidP="002A512A">
      <w:pPr>
        <w:pStyle w:val="ListParagraph"/>
        <w:numPr>
          <w:ilvl w:val="0"/>
          <w:numId w:val="4"/>
        </w:numPr>
        <w:spacing w:before="120" w:after="240" w:line="276" w:lineRule="auto"/>
        <w:ind w:left="567" w:hanging="567"/>
        <w:contextualSpacing w:val="0"/>
        <w:rPr>
          <w:rFonts w:cs="Arial"/>
        </w:rPr>
      </w:pPr>
      <w:r>
        <w:rPr>
          <w:rFonts w:cs="Arial"/>
        </w:rPr>
        <w:t>Importantly, t</w:t>
      </w:r>
      <w:r w:rsidR="006D6A8A" w:rsidRPr="00F57AF4">
        <w:rPr>
          <w:rFonts w:cs="Arial"/>
        </w:rPr>
        <w:t xml:space="preserve">he low penalty </w:t>
      </w:r>
      <w:r w:rsidR="00F57AF4" w:rsidRPr="00F57AF4">
        <w:rPr>
          <w:rFonts w:cs="Arial"/>
        </w:rPr>
        <w:t xml:space="preserve">does not reflect societal views of the seriousness of the conduct, the </w:t>
      </w:r>
      <w:r>
        <w:rPr>
          <w:rFonts w:cs="Arial"/>
        </w:rPr>
        <w:t>corrosive</w:t>
      </w:r>
      <w:r w:rsidR="00F57AF4" w:rsidRPr="00F57AF4">
        <w:rPr>
          <w:rFonts w:cs="Arial"/>
        </w:rPr>
        <w:t xml:space="preserve"> effect on a divers</w:t>
      </w:r>
      <w:r>
        <w:rPr>
          <w:rFonts w:cs="Arial"/>
        </w:rPr>
        <w:t>e</w:t>
      </w:r>
      <w:r w:rsidR="00F57AF4" w:rsidRPr="00F57AF4">
        <w:rPr>
          <w:rFonts w:cs="Arial"/>
        </w:rPr>
        <w:t xml:space="preserve"> and inclusive society, and the personal harm to those subjected to the conduct.</w:t>
      </w:r>
      <w:r w:rsidR="00F57AF4">
        <w:rPr>
          <w:rFonts w:cs="Arial"/>
        </w:rPr>
        <w:t xml:space="preserve">  </w:t>
      </w:r>
    </w:p>
    <w:p w14:paraId="255BE195" w14:textId="0198C3FB" w:rsidR="006D6A8A" w:rsidRPr="00F57AF4" w:rsidRDefault="00F57AF4" w:rsidP="002A512A">
      <w:pPr>
        <w:pStyle w:val="ListParagraph"/>
        <w:numPr>
          <w:ilvl w:val="0"/>
          <w:numId w:val="4"/>
        </w:numPr>
        <w:spacing w:before="120" w:after="240" w:line="276" w:lineRule="auto"/>
        <w:ind w:left="567" w:hanging="567"/>
        <w:contextualSpacing w:val="0"/>
        <w:rPr>
          <w:rFonts w:cs="Arial"/>
        </w:rPr>
      </w:pPr>
      <w:r>
        <w:rPr>
          <w:rFonts w:cs="Arial"/>
        </w:rPr>
        <w:t>The low penalty is another factor in the lack of deterrence effect of the offence provision.</w:t>
      </w:r>
    </w:p>
    <w:p w14:paraId="79431815" w14:textId="3270328D" w:rsidR="00F57AF4" w:rsidRPr="00F57AF4" w:rsidRDefault="00F57AF4" w:rsidP="002A512A">
      <w:pPr>
        <w:pStyle w:val="ListParagraph"/>
        <w:numPr>
          <w:ilvl w:val="0"/>
          <w:numId w:val="4"/>
        </w:numPr>
        <w:spacing w:before="120" w:after="240" w:line="276" w:lineRule="auto"/>
        <w:ind w:left="567" w:hanging="567"/>
        <w:contextualSpacing w:val="0"/>
        <w:rPr>
          <w:rFonts w:cs="Arial"/>
        </w:rPr>
      </w:pPr>
      <w:r w:rsidRPr="00F57AF4">
        <w:rPr>
          <w:rFonts w:cs="Arial"/>
        </w:rPr>
        <w:t>The Commission strongly recommends that the maximum penalty for the offence is increased to at least three years imprisonment.</w:t>
      </w:r>
    </w:p>
    <w:p w14:paraId="56BB4313" w14:textId="12EF0C72" w:rsidR="008F132C" w:rsidRPr="00965429" w:rsidRDefault="008F132C" w:rsidP="008F132C">
      <w:pPr>
        <w:pStyle w:val="Heading3"/>
      </w:pPr>
      <w:bookmarkStart w:id="20" w:name="_Toc76730699"/>
      <w:r w:rsidRPr="00965429">
        <w:t>Meaning of incite</w:t>
      </w:r>
      <w:bookmarkEnd w:id="20"/>
    </w:p>
    <w:p w14:paraId="69DD3FA5" w14:textId="2545CAF5" w:rsidR="00732EB8" w:rsidRDefault="00CF1902" w:rsidP="002A512A">
      <w:pPr>
        <w:pStyle w:val="ListParagraph"/>
        <w:numPr>
          <w:ilvl w:val="0"/>
          <w:numId w:val="4"/>
        </w:numPr>
        <w:spacing w:before="120" w:after="240" w:line="276" w:lineRule="auto"/>
        <w:ind w:left="567" w:hanging="567"/>
        <w:contextualSpacing w:val="0"/>
        <w:rPr>
          <w:rFonts w:cs="Arial"/>
        </w:rPr>
      </w:pPr>
      <w:r w:rsidRPr="00F82647">
        <w:rPr>
          <w:rFonts w:cs="Arial"/>
        </w:rPr>
        <w:t xml:space="preserve">While the meaning of </w:t>
      </w:r>
      <w:r w:rsidR="00605305" w:rsidRPr="00F82647">
        <w:rPr>
          <w:rFonts w:cs="Arial"/>
        </w:rPr>
        <w:t>incite has been established in case law on the prohibition of vilification in the civil context (explained later in this submission), it has not been judicially considered in the context of the criminal offence of serious vilification.</w:t>
      </w:r>
      <w:r w:rsidR="00F82647">
        <w:rPr>
          <w:rFonts w:cs="Arial"/>
        </w:rPr>
        <w:t xml:space="preserve">  </w:t>
      </w:r>
      <w:r w:rsidR="007C0BDC">
        <w:rPr>
          <w:rFonts w:cs="Arial"/>
        </w:rPr>
        <w:t>R</w:t>
      </w:r>
      <w:r w:rsidR="00F82647">
        <w:rPr>
          <w:rFonts w:cs="Arial"/>
        </w:rPr>
        <w:t xml:space="preserve">ecently in Queensland there </w:t>
      </w:r>
      <w:r w:rsidR="007C0BDC">
        <w:rPr>
          <w:rFonts w:cs="Arial"/>
        </w:rPr>
        <w:t>has</w:t>
      </w:r>
      <w:r w:rsidR="00F82647">
        <w:rPr>
          <w:rFonts w:cs="Arial"/>
        </w:rPr>
        <w:t xml:space="preserve"> been a departure from the established meaning of incite in the context of vilification prohibitions</w:t>
      </w:r>
      <w:r w:rsidR="007C0BDC">
        <w:rPr>
          <w:rFonts w:cs="Arial"/>
        </w:rPr>
        <w:t>, explained later in this submission</w:t>
      </w:r>
      <w:r w:rsidR="00F82647">
        <w:rPr>
          <w:rFonts w:cs="Arial"/>
        </w:rPr>
        <w:t>.</w:t>
      </w:r>
    </w:p>
    <w:p w14:paraId="39ADB366" w14:textId="16EE39A0" w:rsidR="00F82647" w:rsidRDefault="00F82647" w:rsidP="002A512A">
      <w:pPr>
        <w:pStyle w:val="ListParagraph"/>
        <w:numPr>
          <w:ilvl w:val="0"/>
          <w:numId w:val="4"/>
        </w:numPr>
        <w:spacing w:before="120" w:after="240" w:line="276" w:lineRule="auto"/>
        <w:ind w:left="567" w:hanging="567"/>
        <w:contextualSpacing w:val="0"/>
        <w:rPr>
          <w:rFonts w:cs="Arial"/>
        </w:rPr>
      </w:pPr>
      <w:r>
        <w:rPr>
          <w:rFonts w:cs="Arial"/>
        </w:rPr>
        <w:t>In the civil jurisdiction, incite has been given its ordinary meaning, namely to urge on, stimulate or prompt to action; and it has not been necessary to prove that anyone was actually incited, the provision being directed at the nature of the act rather than the result of it.  The reasonable person test has been applied</w:t>
      </w:r>
      <w:r w:rsidR="005B7F7A">
        <w:rPr>
          <w:rFonts w:cs="Arial"/>
        </w:rPr>
        <w:t xml:space="preserve">, that is, </w:t>
      </w:r>
      <w:r w:rsidR="007C0BDC">
        <w:rPr>
          <w:rFonts w:cs="Arial"/>
        </w:rPr>
        <w:t>whether</w:t>
      </w:r>
      <w:r w:rsidR="005B7F7A">
        <w:rPr>
          <w:rFonts w:cs="Arial"/>
        </w:rPr>
        <w:t xml:space="preserve"> an ordinary person consider they are being urged to hate (or as the case may be) the group or person.</w:t>
      </w:r>
    </w:p>
    <w:p w14:paraId="56DC0F6E" w14:textId="51B9D395" w:rsidR="005B7F7A" w:rsidRDefault="005B7F7A" w:rsidP="002A512A">
      <w:pPr>
        <w:pStyle w:val="ListParagraph"/>
        <w:numPr>
          <w:ilvl w:val="0"/>
          <w:numId w:val="4"/>
        </w:numPr>
        <w:spacing w:before="120" w:after="240" w:line="276" w:lineRule="auto"/>
        <w:ind w:left="567" w:hanging="567"/>
        <w:contextualSpacing w:val="0"/>
        <w:rPr>
          <w:rFonts w:cs="Arial"/>
        </w:rPr>
      </w:pPr>
      <w:r>
        <w:rPr>
          <w:rFonts w:cs="Arial"/>
        </w:rPr>
        <w:lastRenderedPageBreak/>
        <w:t xml:space="preserve">It is a principle of human rights and international law, that any permissible restrictions on freedom of expression must be expressed clearly and </w:t>
      </w:r>
      <w:r w:rsidR="00965429">
        <w:rPr>
          <w:rFonts w:cs="Arial"/>
        </w:rPr>
        <w:t>unequivocally</w:t>
      </w:r>
      <w:r>
        <w:rPr>
          <w:rFonts w:cs="Arial"/>
        </w:rPr>
        <w:t>.</w:t>
      </w:r>
    </w:p>
    <w:p w14:paraId="1D83084C" w14:textId="1769E7FB" w:rsidR="00965429" w:rsidRDefault="00965429" w:rsidP="002A512A">
      <w:pPr>
        <w:pStyle w:val="ListParagraph"/>
        <w:numPr>
          <w:ilvl w:val="0"/>
          <w:numId w:val="4"/>
        </w:numPr>
        <w:spacing w:before="120" w:after="240" w:line="276" w:lineRule="auto"/>
        <w:ind w:left="567" w:hanging="567"/>
        <w:contextualSpacing w:val="0"/>
        <w:rPr>
          <w:rFonts w:cs="Arial"/>
        </w:rPr>
      </w:pPr>
      <w:r>
        <w:rPr>
          <w:rFonts w:cs="Arial"/>
        </w:rPr>
        <w:t>Accordingly, it is not only desirable but also necessary that the offence provision is clear in its application</w:t>
      </w:r>
      <w:r w:rsidR="00571DE0">
        <w:rPr>
          <w:rFonts w:cs="Arial"/>
        </w:rPr>
        <w:t>,</w:t>
      </w:r>
      <w:r>
        <w:rPr>
          <w:rFonts w:cs="Arial"/>
        </w:rPr>
        <w:t xml:space="preserve"> for the public and for enforcement agencies.</w:t>
      </w:r>
    </w:p>
    <w:p w14:paraId="3621A012" w14:textId="7A9ABB60" w:rsidR="00965429" w:rsidRPr="00F82647" w:rsidRDefault="00965429" w:rsidP="002A512A">
      <w:pPr>
        <w:pStyle w:val="ListParagraph"/>
        <w:numPr>
          <w:ilvl w:val="0"/>
          <w:numId w:val="4"/>
        </w:numPr>
        <w:spacing w:before="120" w:after="240" w:line="276" w:lineRule="auto"/>
        <w:ind w:left="567" w:hanging="567"/>
        <w:contextualSpacing w:val="0"/>
        <w:rPr>
          <w:rFonts w:cs="Arial"/>
        </w:rPr>
      </w:pPr>
      <w:r>
        <w:rPr>
          <w:rFonts w:cs="Arial"/>
        </w:rPr>
        <w:t>The Commission recommends that the meaning of incite is clarified in the provision, or that an alternat</w:t>
      </w:r>
      <w:r w:rsidR="007C0BDC">
        <w:rPr>
          <w:rFonts w:cs="Arial"/>
        </w:rPr>
        <w:t>iv</w:t>
      </w:r>
      <w:r>
        <w:rPr>
          <w:rFonts w:cs="Arial"/>
        </w:rPr>
        <w:t xml:space="preserve">e </w:t>
      </w:r>
      <w:r w:rsidR="007C0BDC">
        <w:rPr>
          <w:rFonts w:cs="Arial"/>
        </w:rPr>
        <w:t xml:space="preserve">term </w:t>
      </w:r>
      <w:r>
        <w:rPr>
          <w:rFonts w:cs="Arial"/>
        </w:rPr>
        <w:t>more readily understood is used, such as ‘urge’</w:t>
      </w:r>
      <w:r w:rsidR="00B86FDC">
        <w:rPr>
          <w:rFonts w:cs="Arial"/>
        </w:rPr>
        <w:t xml:space="preserve"> or ‘promote’</w:t>
      </w:r>
      <w:r>
        <w:rPr>
          <w:rFonts w:cs="Arial"/>
        </w:rPr>
        <w:t>.</w:t>
      </w:r>
    </w:p>
    <w:p w14:paraId="7255747A" w14:textId="71659EF2" w:rsidR="00732EB8" w:rsidRPr="0002325A" w:rsidRDefault="00732EB8" w:rsidP="009812F7">
      <w:pPr>
        <w:pStyle w:val="Heading3"/>
      </w:pPr>
      <w:bookmarkStart w:id="21" w:name="_Toc76730700"/>
      <w:r w:rsidRPr="0002325A">
        <w:t xml:space="preserve">NSW provision </w:t>
      </w:r>
      <w:r w:rsidR="009812F7" w:rsidRPr="0002325A">
        <w:t>as a model</w:t>
      </w:r>
      <w:bookmarkEnd w:id="21"/>
    </w:p>
    <w:p w14:paraId="628FA039" w14:textId="43887C9E" w:rsidR="009812F7" w:rsidRPr="0002325A" w:rsidRDefault="00765C4F" w:rsidP="002A512A">
      <w:pPr>
        <w:pStyle w:val="ListParagraph"/>
        <w:numPr>
          <w:ilvl w:val="0"/>
          <w:numId w:val="4"/>
        </w:numPr>
        <w:spacing w:before="120" w:after="240" w:line="276" w:lineRule="auto"/>
        <w:ind w:left="567" w:hanging="567"/>
        <w:contextualSpacing w:val="0"/>
        <w:rPr>
          <w:rFonts w:cs="Arial"/>
        </w:rPr>
      </w:pPr>
      <w:r w:rsidRPr="0002325A">
        <w:rPr>
          <w:rFonts w:cs="Arial"/>
        </w:rPr>
        <w:t xml:space="preserve">The Commission considers that the current New South Wales offence of publicly threatening or inciting violence, as provided for in section 93Z of the </w:t>
      </w:r>
      <w:r w:rsidRPr="0002325A">
        <w:rPr>
          <w:rFonts w:cs="Arial"/>
          <w:i/>
        </w:rPr>
        <w:t>Crimes Act 1900</w:t>
      </w:r>
      <w:r w:rsidRPr="0002325A">
        <w:rPr>
          <w:rFonts w:cs="Arial"/>
        </w:rPr>
        <w:t xml:space="preserve"> (NSW) provides greater clarity tha</w:t>
      </w:r>
      <w:r w:rsidR="00855C5C">
        <w:rPr>
          <w:rFonts w:cs="Arial"/>
        </w:rPr>
        <w:t>n</w:t>
      </w:r>
      <w:r w:rsidRPr="0002325A">
        <w:rPr>
          <w:rFonts w:cs="Arial"/>
        </w:rPr>
        <w:t xml:space="preserve"> the Queensland offence of serious vilification</w:t>
      </w:r>
      <w:r w:rsidR="0002325A" w:rsidRPr="0002325A">
        <w:rPr>
          <w:rFonts w:cs="Arial"/>
        </w:rPr>
        <w:t>, and should be a model for an amended offence provision for Queensland, with some modifications.</w:t>
      </w:r>
    </w:p>
    <w:p w14:paraId="578C462F" w14:textId="2C6FE087" w:rsidR="0002325A" w:rsidRPr="0002325A" w:rsidRDefault="0002325A" w:rsidP="002A512A">
      <w:pPr>
        <w:pStyle w:val="ListParagraph"/>
        <w:numPr>
          <w:ilvl w:val="0"/>
          <w:numId w:val="4"/>
        </w:numPr>
        <w:spacing w:before="120" w:after="240" w:line="276" w:lineRule="auto"/>
        <w:ind w:left="567" w:hanging="567"/>
        <w:contextualSpacing w:val="0"/>
        <w:rPr>
          <w:rFonts w:cs="Arial"/>
        </w:rPr>
      </w:pPr>
      <w:r w:rsidRPr="0002325A">
        <w:rPr>
          <w:rFonts w:cs="Arial"/>
        </w:rPr>
        <w:t xml:space="preserve">Subsections </w:t>
      </w:r>
      <w:r w:rsidR="00455917" w:rsidRPr="0002325A">
        <w:rPr>
          <w:rFonts w:cs="Arial"/>
        </w:rPr>
        <w:t>93Z (</w:t>
      </w:r>
      <w:r w:rsidRPr="0002325A">
        <w:rPr>
          <w:rFonts w:cs="Arial"/>
        </w:rPr>
        <w:t xml:space="preserve">2) and (3) </w:t>
      </w:r>
      <w:r w:rsidR="001D07BA">
        <w:rPr>
          <w:rFonts w:cs="Arial"/>
        </w:rPr>
        <w:t xml:space="preserve">respectively </w:t>
      </w:r>
      <w:r w:rsidRPr="0002325A">
        <w:rPr>
          <w:rFonts w:cs="Arial"/>
        </w:rPr>
        <w:t>clarify that it is the offender</w:t>
      </w:r>
      <w:r w:rsidR="001D07BA">
        <w:rPr>
          <w:rFonts w:cs="Arial"/>
        </w:rPr>
        <w:t>’</w:t>
      </w:r>
      <w:r w:rsidRPr="0002325A">
        <w:rPr>
          <w:rFonts w:cs="Arial"/>
        </w:rPr>
        <w:t xml:space="preserve">s belief about the target’s attribute that is relevant, and that actual incitement is not </w:t>
      </w:r>
      <w:r w:rsidR="001D07BA">
        <w:rPr>
          <w:rFonts w:cs="Arial"/>
        </w:rPr>
        <w:t xml:space="preserve">a </w:t>
      </w:r>
      <w:r w:rsidRPr="0002325A">
        <w:rPr>
          <w:rFonts w:cs="Arial"/>
        </w:rPr>
        <w:t>necessary</w:t>
      </w:r>
      <w:r w:rsidR="001D07BA">
        <w:rPr>
          <w:rFonts w:cs="Arial"/>
        </w:rPr>
        <w:t xml:space="preserve"> element</w:t>
      </w:r>
      <w:r w:rsidRPr="0002325A">
        <w:rPr>
          <w:rFonts w:cs="Arial"/>
        </w:rPr>
        <w:t>.</w:t>
      </w:r>
    </w:p>
    <w:p w14:paraId="24AC404D" w14:textId="63F2F3AB" w:rsidR="0002325A" w:rsidRDefault="0002325A" w:rsidP="002A512A">
      <w:pPr>
        <w:pStyle w:val="ListParagraph"/>
        <w:numPr>
          <w:ilvl w:val="0"/>
          <w:numId w:val="4"/>
        </w:numPr>
        <w:spacing w:before="120" w:after="240" w:line="276" w:lineRule="auto"/>
        <w:ind w:left="567" w:hanging="567"/>
        <w:contextualSpacing w:val="0"/>
        <w:rPr>
          <w:rFonts w:cs="Arial"/>
        </w:rPr>
      </w:pPr>
      <w:r w:rsidRPr="0002325A">
        <w:rPr>
          <w:rFonts w:cs="Arial"/>
        </w:rPr>
        <w:t>As a model provision, the Commission would recommend replacing ‘incite’ with ‘urge’ (as being clearer and more readily understood), and not including the requirement for the prior approval of the DPP for reasons discussed above.</w:t>
      </w:r>
    </w:p>
    <w:p w14:paraId="7A7AC60D" w14:textId="6D0AA6B9" w:rsidR="00571DE0" w:rsidRPr="0002325A" w:rsidRDefault="00571DE0" w:rsidP="002A512A">
      <w:pPr>
        <w:pStyle w:val="ListParagraph"/>
        <w:numPr>
          <w:ilvl w:val="0"/>
          <w:numId w:val="4"/>
        </w:numPr>
        <w:spacing w:before="120" w:after="240" w:line="276" w:lineRule="auto"/>
        <w:ind w:left="567" w:hanging="567"/>
        <w:contextualSpacing w:val="0"/>
        <w:rPr>
          <w:rFonts w:cs="Arial"/>
        </w:rPr>
      </w:pPr>
      <w:r>
        <w:rPr>
          <w:rFonts w:cs="Arial"/>
        </w:rPr>
        <w:t xml:space="preserve">The Committee should also consider moving the offence of serious vilification from the </w:t>
      </w:r>
      <w:r w:rsidRPr="00571DE0">
        <w:rPr>
          <w:rFonts w:cs="Arial"/>
          <w:i/>
        </w:rPr>
        <w:t>Anti-Discrimination Act 1991</w:t>
      </w:r>
      <w:r>
        <w:rPr>
          <w:rFonts w:cs="Arial"/>
        </w:rPr>
        <w:t xml:space="preserve"> to the </w:t>
      </w:r>
      <w:r w:rsidRPr="00571DE0">
        <w:rPr>
          <w:rFonts w:cs="Arial"/>
          <w:i/>
        </w:rPr>
        <w:t>Criminal Code</w:t>
      </w:r>
      <w:r>
        <w:rPr>
          <w:rFonts w:cs="Arial"/>
        </w:rPr>
        <w:t>, which is more familiar to police.</w:t>
      </w:r>
    </w:p>
    <w:p w14:paraId="7C8059CA" w14:textId="2394D740" w:rsidR="009812F7" w:rsidRDefault="009812F7" w:rsidP="009812F7">
      <w:pPr>
        <w:pStyle w:val="Heading3"/>
      </w:pPr>
      <w:bookmarkStart w:id="22" w:name="_Toc76730701"/>
      <w:r>
        <w:t>Expand the attributes protected</w:t>
      </w:r>
      <w:bookmarkEnd w:id="22"/>
    </w:p>
    <w:p w14:paraId="0018650F" w14:textId="471B4705" w:rsidR="005D0F98" w:rsidRDefault="006C1C71" w:rsidP="002A512A">
      <w:pPr>
        <w:pStyle w:val="ListParagraph"/>
        <w:numPr>
          <w:ilvl w:val="0"/>
          <w:numId w:val="4"/>
        </w:numPr>
        <w:spacing w:before="120" w:after="240" w:line="276" w:lineRule="auto"/>
        <w:ind w:left="567" w:hanging="567"/>
        <w:contextualSpacing w:val="0"/>
        <w:rPr>
          <w:rFonts w:cs="Arial"/>
        </w:rPr>
      </w:pPr>
      <w:r>
        <w:rPr>
          <w:rFonts w:cs="Arial"/>
        </w:rPr>
        <w:t xml:space="preserve">The Committee </w:t>
      </w:r>
      <w:r w:rsidR="00D70E21">
        <w:rPr>
          <w:rFonts w:cs="Arial"/>
        </w:rPr>
        <w:t>should</w:t>
      </w:r>
      <w:r>
        <w:rPr>
          <w:rFonts w:cs="Arial"/>
        </w:rPr>
        <w:t xml:space="preserve"> consider whether there are other groups that need </w:t>
      </w:r>
      <w:r w:rsidR="009815F6">
        <w:rPr>
          <w:rFonts w:cs="Arial"/>
        </w:rPr>
        <w:t xml:space="preserve">the </w:t>
      </w:r>
      <w:r>
        <w:rPr>
          <w:rFonts w:cs="Arial"/>
        </w:rPr>
        <w:t xml:space="preserve">protection </w:t>
      </w:r>
      <w:r w:rsidR="009815F6">
        <w:rPr>
          <w:rFonts w:cs="Arial"/>
        </w:rPr>
        <w:t>of</w:t>
      </w:r>
      <w:r>
        <w:rPr>
          <w:rFonts w:cs="Arial"/>
        </w:rPr>
        <w:t xml:space="preserve"> vilification hate crime laws.</w:t>
      </w:r>
      <w:r w:rsidR="009815F6">
        <w:rPr>
          <w:rFonts w:cs="Arial"/>
        </w:rPr>
        <w:t xml:space="preserve">  In its recent report, the Victorian Legal and Social Issues Committee recommended that the Victorian Government extend anti-vilification provisions in both civil and criminal laws, to cover the attributes of race and religion, gender and/or sex, sexual orientation and/or gender expression, sex characteristics and/or intersex status, disability, HIV/AIDS, and personal association.</w:t>
      </w:r>
      <w:r w:rsidR="00E72537">
        <w:rPr>
          <w:rStyle w:val="FootnoteReference"/>
          <w:rFonts w:cs="Arial"/>
        </w:rPr>
        <w:footnoteReference w:id="39"/>
      </w:r>
      <w:r w:rsidR="00644CAE">
        <w:rPr>
          <w:rFonts w:cs="Arial"/>
        </w:rPr>
        <w:t xml:space="preserve">  Currently, the Victorian anti-vilification provisions, both civil and criminal, cover race and religion.</w:t>
      </w:r>
    </w:p>
    <w:p w14:paraId="0BF2CB0C" w14:textId="37EBFE0C" w:rsidR="009815F6" w:rsidRDefault="009815F6" w:rsidP="002A512A">
      <w:pPr>
        <w:pStyle w:val="ListParagraph"/>
        <w:numPr>
          <w:ilvl w:val="0"/>
          <w:numId w:val="4"/>
        </w:numPr>
        <w:spacing w:before="120" w:after="240" w:line="276" w:lineRule="auto"/>
        <w:ind w:left="567" w:hanging="567"/>
        <w:contextualSpacing w:val="0"/>
        <w:rPr>
          <w:rFonts w:cs="Arial"/>
        </w:rPr>
      </w:pPr>
      <w:r>
        <w:rPr>
          <w:rFonts w:cs="Arial"/>
        </w:rPr>
        <w:lastRenderedPageBreak/>
        <w:t>In New South Wales the criminal offence of</w:t>
      </w:r>
      <w:r w:rsidR="00E72537">
        <w:rPr>
          <w:rFonts w:cs="Arial"/>
        </w:rPr>
        <w:t xml:space="preserve"> publicly threatening or inciting violence</w:t>
      </w:r>
      <w:r>
        <w:rPr>
          <w:rFonts w:cs="Arial"/>
        </w:rPr>
        <w:t xml:space="preserve"> covers the attributes of </w:t>
      </w:r>
      <w:r w:rsidR="00E72537">
        <w:rPr>
          <w:rFonts w:cs="Arial"/>
        </w:rPr>
        <w:t>race, religion</w:t>
      </w:r>
      <w:r>
        <w:rPr>
          <w:rFonts w:cs="Arial"/>
        </w:rPr>
        <w:t>,</w:t>
      </w:r>
      <w:r w:rsidR="00E72537">
        <w:rPr>
          <w:rFonts w:cs="Arial"/>
        </w:rPr>
        <w:t xml:space="preserve"> sexual orientation, gender identity, intersex</w:t>
      </w:r>
      <w:r>
        <w:rPr>
          <w:rFonts w:cs="Arial"/>
        </w:rPr>
        <w:t xml:space="preserve"> </w:t>
      </w:r>
      <w:r w:rsidR="00E72537">
        <w:rPr>
          <w:rFonts w:cs="Arial"/>
        </w:rPr>
        <w:t>status, and HIV/AIDS;</w:t>
      </w:r>
      <w:r w:rsidR="00E72537">
        <w:rPr>
          <w:rStyle w:val="FootnoteReference"/>
          <w:rFonts w:cs="Arial"/>
        </w:rPr>
        <w:footnoteReference w:id="40"/>
      </w:r>
      <w:r w:rsidR="00E72537">
        <w:rPr>
          <w:rFonts w:cs="Arial"/>
        </w:rPr>
        <w:t xml:space="preserve"> </w:t>
      </w:r>
      <w:r>
        <w:rPr>
          <w:rFonts w:cs="Arial"/>
        </w:rPr>
        <w:t xml:space="preserve">and the civil provisions cover the attributes of </w:t>
      </w:r>
      <w:r w:rsidR="00E72537">
        <w:rPr>
          <w:rFonts w:cs="Arial"/>
        </w:rPr>
        <w:t>race,</w:t>
      </w:r>
      <w:r w:rsidR="00D70E21">
        <w:rPr>
          <w:rFonts w:cs="Arial"/>
        </w:rPr>
        <w:t xml:space="preserve"> being transgender, homosexuality, and HIV/AIDS infection.</w:t>
      </w:r>
      <w:r w:rsidR="00D70E21">
        <w:rPr>
          <w:rStyle w:val="FootnoteReference"/>
          <w:rFonts w:cs="Arial"/>
        </w:rPr>
        <w:footnoteReference w:id="41"/>
      </w:r>
    </w:p>
    <w:p w14:paraId="737DD258" w14:textId="644D06AF" w:rsidR="00D35AB9" w:rsidRDefault="00D35AB9" w:rsidP="002A512A">
      <w:pPr>
        <w:pStyle w:val="ListParagraph"/>
        <w:numPr>
          <w:ilvl w:val="0"/>
          <w:numId w:val="4"/>
        </w:numPr>
        <w:spacing w:before="120" w:after="240" w:line="276" w:lineRule="auto"/>
        <w:ind w:left="567" w:hanging="567"/>
        <w:contextualSpacing w:val="0"/>
        <w:rPr>
          <w:rFonts w:cs="Arial"/>
        </w:rPr>
      </w:pPr>
      <w:r>
        <w:rPr>
          <w:rFonts w:cs="Arial"/>
        </w:rPr>
        <w:t xml:space="preserve">In Queensland the protected attributes under both the criminal and civil provisions are race, religion, sexuality and gender identity.  The review of the </w:t>
      </w:r>
      <w:r w:rsidRPr="00D35AB9">
        <w:rPr>
          <w:rFonts w:cs="Arial"/>
          <w:i/>
        </w:rPr>
        <w:t>Anti-Discrimination Act 1991</w:t>
      </w:r>
      <w:r>
        <w:rPr>
          <w:rFonts w:cs="Arial"/>
        </w:rPr>
        <w:t xml:space="preserve"> is to consider whether there is a need for, and the scope of, any reform of the current definitions of the attributes for discrimination.  Any reform to the definitions of the four attributes </w:t>
      </w:r>
      <w:r w:rsidR="002D42F2">
        <w:rPr>
          <w:rFonts w:cs="Arial"/>
        </w:rPr>
        <w:t xml:space="preserve">currently </w:t>
      </w:r>
      <w:r>
        <w:rPr>
          <w:rFonts w:cs="Arial"/>
        </w:rPr>
        <w:t>protected under the vilification provisions may impact the coverage of the vilification provisions.</w:t>
      </w:r>
    </w:p>
    <w:p w14:paraId="5A9CBFFA" w14:textId="192ECFA2" w:rsidR="00D35AB9" w:rsidRDefault="00644CAE" w:rsidP="00BE0F7A">
      <w:pPr>
        <w:pStyle w:val="ListParagraph"/>
        <w:numPr>
          <w:ilvl w:val="0"/>
          <w:numId w:val="4"/>
        </w:numPr>
        <w:spacing w:before="120" w:after="120" w:line="276" w:lineRule="auto"/>
        <w:ind w:left="567" w:hanging="567"/>
        <w:contextualSpacing w:val="0"/>
        <w:rPr>
          <w:rFonts w:cs="Arial"/>
        </w:rPr>
      </w:pPr>
      <w:r>
        <w:rPr>
          <w:rFonts w:cs="Arial"/>
        </w:rPr>
        <w:t>The Victorian Legal and Social Issues Committee discusses v</w:t>
      </w:r>
      <w:r w:rsidR="003E01C9">
        <w:rPr>
          <w:rFonts w:cs="Arial"/>
        </w:rPr>
        <w:t xml:space="preserve">arious </w:t>
      </w:r>
      <w:r w:rsidR="00F41D27">
        <w:rPr>
          <w:rFonts w:cs="Arial"/>
        </w:rPr>
        <w:t xml:space="preserve">additional </w:t>
      </w:r>
      <w:r w:rsidR="003E01C9">
        <w:rPr>
          <w:rFonts w:cs="Arial"/>
        </w:rPr>
        <w:t>attributes in its report, including LGBTIQ+, women, and disability.</w:t>
      </w:r>
      <w:r w:rsidR="00BE0F7A">
        <w:rPr>
          <w:rFonts w:cs="Arial"/>
        </w:rPr>
        <w:t xml:space="preserve">  </w:t>
      </w:r>
      <w:r w:rsidR="008F132C">
        <w:rPr>
          <w:rFonts w:cs="Arial"/>
        </w:rPr>
        <w:t>LGBTIQ+ is covered to some extent</w:t>
      </w:r>
      <w:r w:rsidR="00F41D27">
        <w:rPr>
          <w:rFonts w:cs="Arial"/>
        </w:rPr>
        <w:t xml:space="preserve"> in the Queensland provisions, however women, or gender, and disability are not currently covered.</w:t>
      </w:r>
      <w:r w:rsidR="008F132C">
        <w:rPr>
          <w:rFonts w:cs="Arial"/>
        </w:rPr>
        <w:t xml:space="preserve"> </w:t>
      </w:r>
      <w:r w:rsidR="00BE0F7A">
        <w:rPr>
          <w:rFonts w:cs="Arial"/>
        </w:rPr>
        <w:t xml:space="preserve">In relation to women, the research and evidence to the </w:t>
      </w:r>
      <w:r w:rsidR="00876CA1">
        <w:rPr>
          <w:rFonts w:cs="Arial"/>
        </w:rPr>
        <w:t xml:space="preserve">Victorian </w:t>
      </w:r>
      <w:r w:rsidR="00BE0F7A">
        <w:rPr>
          <w:rFonts w:cs="Arial"/>
        </w:rPr>
        <w:t>Committee indicated:</w:t>
      </w:r>
    </w:p>
    <w:p w14:paraId="0D35870C" w14:textId="7EB58A8A" w:rsidR="00BE0F7A" w:rsidRDefault="00BE0F7A" w:rsidP="00BE0F7A">
      <w:pPr>
        <w:pStyle w:val="ListParagraph"/>
        <w:numPr>
          <w:ilvl w:val="1"/>
          <w:numId w:val="4"/>
        </w:numPr>
        <w:spacing w:before="120" w:after="120" w:line="276" w:lineRule="auto"/>
        <w:ind w:left="1276" w:hanging="425"/>
        <w:contextualSpacing w:val="0"/>
        <w:rPr>
          <w:rFonts w:cs="Arial"/>
        </w:rPr>
      </w:pPr>
      <w:r>
        <w:rPr>
          <w:rFonts w:cs="Arial"/>
        </w:rPr>
        <w:t>Gendered hate speech remains common in Australia.</w:t>
      </w:r>
    </w:p>
    <w:p w14:paraId="5FDE6D5A" w14:textId="4A9898B6" w:rsidR="00BE0F7A" w:rsidRDefault="00BE0F7A" w:rsidP="00BE0F7A">
      <w:pPr>
        <w:pStyle w:val="ListParagraph"/>
        <w:numPr>
          <w:ilvl w:val="1"/>
          <w:numId w:val="4"/>
        </w:numPr>
        <w:spacing w:before="120" w:after="120" w:line="276" w:lineRule="auto"/>
        <w:ind w:left="1276" w:hanging="425"/>
        <w:contextualSpacing w:val="0"/>
        <w:rPr>
          <w:rFonts w:cs="Arial"/>
        </w:rPr>
      </w:pPr>
      <w:r>
        <w:rPr>
          <w:rFonts w:cs="Arial"/>
        </w:rPr>
        <w:t>Gendered hate speech fuels gender-based violence through the perpetuation of prejudice and hostility towards women.</w:t>
      </w:r>
    </w:p>
    <w:p w14:paraId="2DBA7168" w14:textId="27CFF02F" w:rsidR="00BE0F7A" w:rsidRDefault="00BE0F7A" w:rsidP="00BE0F7A">
      <w:pPr>
        <w:pStyle w:val="ListParagraph"/>
        <w:numPr>
          <w:ilvl w:val="1"/>
          <w:numId w:val="4"/>
        </w:numPr>
        <w:spacing w:before="120" w:after="120" w:line="276" w:lineRule="auto"/>
        <w:ind w:left="1276" w:hanging="425"/>
        <w:contextualSpacing w:val="0"/>
        <w:rPr>
          <w:rFonts w:cs="Arial"/>
        </w:rPr>
      </w:pPr>
      <w:r>
        <w:rPr>
          <w:rFonts w:cs="Arial"/>
        </w:rPr>
        <w:t>Certain groups of women are more likely to be targeted, such as women who are not in traditional gender roles or who enter traditionally male spaces, and those who are outspoken or active in public debate about women’s rights.</w:t>
      </w:r>
    </w:p>
    <w:p w14:paraId="19693E18" w14:textId="2AFCF602" w:rsidR="00BE0F7A" w:rsidRDefault="002D42F2" w:rsidP="00BE0F7A">
      <w:pPr>
        <w:pStyle w:val="ListParagraph"/>
        <w:numPr>
          <w:ilvl w:val="1"/>
          <w:numId w:val="4"/>
        </w:numPr>
        <w:spacing w:before="120" w:after="120" w:line="276" w:lineRule="auto"/>
        <w:ind w:left="1276" w:hanging="425"/>
        <w:contextualSpacing w:val="0"/>
        <w:rPr>
          <w:rFonts w:cs="Arial"/>
        </w:rPr>
      </w:pPr>
      <w:r>
        <w:rPr>
          <w:rFonts w:cs="Arial"/>
        </w:rPr>
        <w:t>Online hate towards wome</w:t>
      </w:r>
      <w:r w:rsidR="00BE0F7A">
        <w:rPr>
          <w:rFonts w:cs="Arial"/>
        </w:rPr>
        <w:t>n has increased in recent years.</w:t>
      </w:r>
    </w:p>
    <w:p w14:paraId="313C9509" w14:textId="25EA5C44" w:rsidR="00BE0F7A" w:rsidRDefault="00BE0F7A" w:rsidP="00BE0F7A">
      <w:pPr>
        <w:pStyle w:val="ListParagraph"/>
        <w:numPr>
          <w:ilvl w:val="1"/>
          <w:numId w:val="4"/>
        </w:numPr>
        <w:spacing w:before="120" w:after="240" w:line="276" w:lineRule="auto"/>
        <w:ind w:left="1276" w:hanging="425"/>
        <w:contextualSpacing w:val="0"/>
        <w:rPr>
          <w:rFonts w:cs="Arial"/>
        </w:rPr>
      </w:pPr>
      <w:r>
        <w:rPr>
          <w:rFonts w:cs="Arial"/>
        </w:rPr>
        <w:t>Online hate speech towards women is intrinsically linked to the social attitudes that allow family violence to pro</w:t>
      </w:r>
      <w:r w:rsidR="002D42F2">
        <w:rPr>
          <w:rFonts w:cs="Arial"/>
        </w:rPr>
        <w:t>s</w:t>
      </w:r>
      <w:r>
        <w:rPr>
          <w:rFonts w:cs="Arial"/>
        </w:rPr>
        <w:t>per.</w:t>
      </w:r>
      <w:r>
        <w:rPr>
          <w:rStyle w:val="FootnoteReference"/>
          <w:rFonts w:cs="Arial"/>
        </w:rPr>
        <w:footnoteReference w:id="42"/>
      </w:r>
    </w:p>
    <w:p w14:paraId="192AF9F3" w14:textId="28BC3FC6" w:rsidR="00A201F5" w:rsidRDefault="008F132C" w:rsidP="002A512A">
      <w:pPr>
        <w:pStyle w:val="ListParagraph"/>
        <w:numPr>
          <w:ilvl w:val="0"/>
          <w:numId w:val="4"/>
        </w:numPr>
        <w:spacing w:before="120" w:after="240" w:line="276" w:lineRule="auto"/>
        <w:ind w:left="567" w:hanging="567"/>
        <w:contextualSpacing w:val="0"/>
        <w:rPr>
          <w:rFonts w:cs="Arial"/>
        </w:rPr>
      </w:pPr>
      <w:r>
        <w:rPr>
          <w:rFonts w:cs="Arial"/>
        </w:rPr>
        <w:t>In relation to disability</w:t>
      </w:r>
      <w:r w:rsidR="00F41D27">
        <w:rPr>
          <w:rFonts w:cs="Arial"/>
        </w:rPr>
        <w:t>,</w:t>
      </w:r>
      <w:r w:rsidR="00996424">
        <w:rPr>
          <w:rFonts w:cs="Arial"/>
        </w:rPr>
        <w:t xml:space="preserve"> the research and evidence to the </w:t>
      </w:r>
      <w:r w:rsidR="00876CA1">
        <w:rPr>
          <w:rFonts w:cs="Arial"/>
        </w:rPr>
        <w:t xml:space="preserve">Victorian </w:t>
      </w:r>
      <w:r w:rsidR="00996424">
        <w:rPr>
          <w:rFonts w:cs="Arial"/>
        </w:rPr>
        <w:t>Committee indicated:</w:t>
      </w:r>
    </w:p>
    <w:p w14:paraId="2D421AA8" w14:textId="4FBAF505" w:rsidR="00996424" w:rsidRDefault="00996424" w:rsidP="00996424">
      <w:pPr>
        <w:pStyle w:val="ListParagraph"/>
        <w:numPr>
          <w:ilvl w:val="1"/>
          <w:numId w:val="4"/>
        </w:numPr>
        <w:spacing w:before="120" w:after="120" w:line="276" w:lineRule="auto"/>
        <w:ind w:left="1276" w:hanging="425"/>
        <w:contextualSpacing w:val="0"/>
        <w:rPr>
          <w:rFonts w:cs="Arial"/>
        </w:rPr>
      </w:pPr>
      <w:r>
        <w:rPr>
          <w:rFonts w:cs="Arial"/>
        </w:rPr>
        <w:t>Overall there is limited research about the vilification of people with disability.</w:t>
      </w:r>
    </w:p>
    <w:p w14:paraId="5256981B" w14:textId="7B509D2F" w:rsidR="00996424" w:rsidRDefault="00996424" w:rsidP="00996424">
      <w:pPr>
        <w:pStyle w:val="ListParagraph"/>
        <w:numPr>
          <w:ilvl w:val="1"/>
          <w:numId w:val="4"/>
        </w:numPr>
        <w:spacing w:before="120" w:after="120" w:line="276" w:lineRule="auto"/>
        <w:ind w:left="1276" w:hanging="425"/>
        <w:contextualSpacing w:val="0"/>
        <w:rPr>
          <w:rFonts w:cs="Arial"/>
        </w:rPr>
      </w:pPr>
      <w:r>
        <w:rPr>
          <w:rFonts w:cs="Arial"/>
        </w:rPr>
        <w:t>Disability is a protected attribute from vilification in Tasmania and the Australian Capital Territory</w:t>
      </w:r>
      <w:r w:rsidR="00F26FB2">
        <w:rPr>
          <w:rFonts w:cs="Arial"/>
        </w:rPr>
        <w:t xml:space="preserve"> (ACT).  In Tasmania, disability is the </w:t>
      </w:r>
      <w:r w:rsidR="00F26FB2">
        <w:rPr>
          <w:rFonts w:cs="Arial"/>
        </w:rPr>
        <w:lastRenderedPageBreak/>
        <w:t>attribute that receives the most complaints, and in the ACT only one complaint each year was made.</w:t>
      </w:r>
    </w:p>
    <w:p w14:paraId="5EAB1ED7" w14:textId="5D4EDBD6" w:rsidR="00F26FB2" w:rsidRDefault="00F26FB2" w:rsidP="00996424">
      <w:pPr>
        <w:pStyle w:val="ListParagraph"/>
        <w:numPr>
          <w:ilvl w:val="1"/>
          <w:numId w:val="4"/>
        </w:numPr>
        <w:spacing w:before="120" w:after="120" w:line="276" w:lineRule="auto"/>
        <w:ind w:left="1276" w:hanging="425"/>
        <w:contextualSpacing w:val="0"/>
        <w:rPr>
          <w:rFonts w:cs="Arial"/>
        </w:rPr>
      </w:pPr>
      <w:r>
        <w:rPr>
          <w:rFonts w:cs="Arial"/>
        </w:rPr>
        <w:t>Online hate speech towards persons with disabilities is estimated to be higher that offline conduct.</w:t>
      </w:r>
    </w:p>
    <w:p w14:paraId="3554999A" w14:textId="2E3DF89D" w:rsidR="00F26FB2" w:rsidRDefault="00F26FB2" w:rsidP="00996424">
      <w:pPr>
        <w:pStyle w:val="ListParagraph"/>
        <w:numPr>
          <w:ilvl w:val="1"/>
          <w:numId w:val="4"/>
        </w:numPr>
        <w:spacing w:before="120" w:after="120" w:line="276" w:lineRule="auto"/>
        <w:ind w:left="1276" w:hanging="425"/>
        <w:contextualSpacing w:val="0"/>
        <w:rPr>
          <w:rFonts w:cs="Arial"/>
        </w:rPr>
      </w:pPr>
      <w:r>
        <w:rPr>
          <w:rFonts w:cs="Arial"/>
        </w:rPr>
        <w:t>Some persons with disability might be more vulnerable to vilification and less likely to be able to self-advocate, for example, people with intellectual disability, autism, or who have high communication needs.</w:t>
      </w:r>
      <w:r>
        <w:rPr>
          <w:rStyle w:val="FootnoteReference"/>
          <w:rFonts w:cs="Arial"/>
        </w:rPr>
        <w:footnoteReference w:id="43"/>
      </w:r>
    </w:p>
    <w:p w14:paraId="21C09959" w14:textId="5136BA0B" w:rsidR="00996424" w:rsidRDefault="00876CA1" w:rsidP="002A512A">
      <w:pPr>
        <w:pStyle w:val="ListParagraph"/>
        <w:numPr>
          <w:ilvl w:val="0"/>
          <w:numId w:val="4"/>
        </w:numPr>
        <w:spacing w:before="120" w:after="240" w:line="276" w:lineRule="auto"/>
        <w:ind w:left="567" w:hanging="567"/>
        <w:contextualSpacing w:val="0"/>
        <w:rPr>
          <w:rFonts w:cs="Arial"/>
        </w:rPr>
      </w:pPr>
      <w:r>
        <w:rPr>
          <w:rFonts w:cs="Arial"/>
        </w:rPr>
        <w:t xml:space="preserve">The term ‘impairment’ is used in the </w:t>
      </w:r>
      <w:r w:rsidRPr="00876CA1">
        <w:rPr>
          <w:rFonts w:cs="Arial"/>
          <w:i/>
        </w:rPr>
        <w:t>Anti-Discrimination Act 1991</w:t>
      </w:r>
      <w:r>
        <w:rPr>
          <w:rFonts w:cs="Arial"/>
        </w:rPr>
        <w:t>, rather than ‘disability’.  Impairment is invariably the attribute with the highest number of discrimination complaints to the Commission.  The Commission does not have any data or anecdotal</w:t>
      </w:r>
      <w:r w:rsidR="000D175F">
        <w:rPr>
          <w:rFonts w:cs="Arial"/>
        </w:rPr>
        <w:t xml:space="preserve"> indication of the level of vilification that occurs against people because of their impairments or because of their sex.  If harassing or vilifying conduct occurs in an area of activity in which discrimination is prohibited (for example, work, education, goods and services, accommodation) it would be dealt with as a discrimination complaint.  The Commission’s data does not disaggregate discrimination complaints that </w:t>
      </w:r>
      <w:r w:rsidR="002D42F2">
        <w:rPr>
          <w:rFonts w:cs="Arial"/>
        </w:rPr>
        <w:t>might constitute vilification if</w:t>
      </w:r>
      <w:r w:rsidR="000D175F">
        <w:rPr>
          <w:rFonts w:cs="Arial"/>
        </w:rPr>
        <w:t xml:space="preserve"> the relevant attribute was protected under the vilification provisions.</w:t>
      </w:r>
    </w:p>
    <w:p w14:paraId="3AA156ED" w14:textId="2C226221" w:rsidR="000D175F" w:rsidRPr="0041039B" w:rsidRDefault="000D175F" w:rsidP="009A7E66">
      <w:pPr>
        <w:pStyle w:val="ListParagraph"/>
        <w:numPr>
          <w:ilvl w:val="0"/>
          <w:numId w:val="4"/>
        </w:numPr>
        <w:spacing w:before="120" w:after="120" w:line="276" w:lineRule="auto"/>
        <w:ind w:left="567" w:hanging="567"/>
        <w:contextualSpacing w:val="0"/>
        <w:rPr>
          <w:rFonts w:cs="Arial"/>
        </w:rPr>
      </w:pPr>
      <w:r w:rsidRPr="0041039B">
        <w:rPr>
          <w:rFonts w:cs="Arial"/>
        </w:rPr>
        <w:t>The Commission recommends that the Committee investigate whether other groups are experiencing vilification, including by consulting with relevant representative bodies.</w:t>
      </w:r>
      <w:r w:rsidR="00FF2BC8" w:rsidRPr="0041039B">
        <w:rPr>
          <w:rFonts w:cs="Arial"/>
        </w:rPr>
        <w:t xml:space="preserve">  The Commi</w:t>
      </w:r>
      <w:r w:rsidR="00855C5C">
        <w:rPr>
          <w:rFonts w:cs="Arial"/>
        </w:rPr>
        <w:t>ttee</w:t>
      </w:r>
      <w:r w:rsidR="00FF2BC8" w:rsidRPr="0041039B">
        <w:rPr>
          <w:rFonts w:cs="Arial"/>
        </w:rPr>
        <w:t xml:space="preserve"> might consider the criteria </w:t>
      </w:r>
      <w:r w:rsidR="0041039B" w:rsidRPr="0041039B">
        <w:rPr>
          <w:rFonts w:cs="Arial"/>
        </w:rPr>
        <w:t xml:space="preserve">for recognising characteristics or groups in hate crime legislation </w:t>
      </w:r>
      <w:r w:rsidR="00FF2BC8" w:rsidRPr="0041039B">
        <w:rPr>
          <w:rFonts w:cs="Arial"/>
        </w:rPr>
        <w:t xml:space="preserve">adopted by the </w:t>
      </w:r>
      <w:r w:rsidR="0041039B" w:rsidRPr="0041039B">
        <w:rPr>
          <w:rFonts w:cs="Arial"/>
        </w:rPr>
        <w:t>United Kingdom (</w:t>
      </w:r>
      <w:r w:rsidR="0041039B" w:rsidRPr="0041039B">
        <w:rPr>
          <w:rFonts w:cs="Arial"/>
          <w:b/>
        </w:rPr>
        <w:t>UK</w:t>
      </w:r>
      <w:r w:rsidR="0041039B" w:rsidRPr="0041039B">
        <w:rPr>
          <w:rFonts w:cs="Arial"/>
        </w:rPr>
        <w:t>) Law Commission in the consultation paper for its review of hate crime laws in England and Wales.  These are:</w:t>
      </w:r>
    </w:p>
    <w:p w14:paraId="0A8B3D79" w14:textId="6B03EE1E" w:rsidR="0041039B" w:rsidRDefault="0041039B" w:rsidP="009A7E66">
      <w:pPr>
        <w:pStyle w:val="ListParagraph"/>
        <w:numPr>
          <w:ilvl w:val="1"/>
          <w:numId w:val="4"/>
        </w:numPr>
        <w:spacing w:before="120" w:after="120" w:line="276" w:lineRule="auto"/>
        <w:ind w:left="1560" w:hanging="567"/>
        <w:contextualSpacing w:val="0"/>
        <w:rPr>
          <w:rFonts w:cs="Arial"/>
        </w:rPr>
      </w:pPr>
      <w:r w:rsidRPr="0041039B">
        <w:rPr>
          <w:rFonts w:cs="Arial"/>
        </w:rPr>
        <w:t>Demonstrable need: evidence that criminal targeting</w:t>
      </w:r>
      <w:r>
        <w:rPr>
          <w:rFonts w:cs="Arial"/>
        </w:rPr>
        <w:t xml:space="preserve"> based on prejudice or hostility towards the group is prevalent.</w:t>
      </w:r>
    </w:p>
    <w:p w14:paraId="48316B14" w14:textId="1A4A1C0E" w:rsidR="0041039B" w:rsidRDefault="009A7E66" w:rsidP="009A7E66">
      <w:pPr>
        <w:pStyle w:val="ListParagraph"/>
        <w:numPr>
          <w:ilvl w:val="1"/>
          <w:numId w:val="4"/>
        </w:numPr>
        <w:spacing w:before="120" w:after="120" w:line="276" w:lineRule="auto"/>
        <w:ind w:left="1560" w:hanging="567"/>
        <w:contextualSpacing w:val="0"/>
        <w:rPr>
          <w:rFonts w:cs="Arial"/>
        </w:rPr>
      </w:pPr>
      <w:r>
        <w:rPr>
          <w:rFonts w:cs="Arial"/>
        </w:rPr>
        <w:t>Additional harm: evidence that criminal targeting based on hostility or prejudice towards the characteristic causes additional harm to the victim, members of the targeted group, and society more widely.</w:t>
      </w:r>
    </w:p>
    <w:p w14:paraId="2822F2F2" w14:textId="0F138BF8" w:rsidR="009A7E66" w:rsidRPr="0041039B" w:rsidRDefault="009A7E66" w:rsidP="009A7E66">
      <w:pPr>
        <w:pStyle w:val="ListParagraph"/>
        <w:numPr>
          <w:ilvl w:val="1"/>
          <w:numId w:val="4"/>
        </w:numPr>
        <w:spacing w:before="120" w:after="120" w:line="276" w:lineRule="auto"/>
        <w:ind w:left="1560" w:hanging="567"/>
        <w:contextualSpacing w:val="0"/>
        <w:rPr>
          <w:rFonts w:cs="Arial"/>
        </w:rPr>
      </w:pPr>
      <w:r>
        <w:rPr>
          <w:rFonts w:cs="Arial"/>
        </w:rPr>
        <w:t>Suitability: protection of the characteristic would fit logically within the broader offences and sentencing framework, prove workable in practice, and present an efficient use of resources.  Where relevant, also consider any harmful practical consequences that protection of the characteristics might cause and consider that the characteristic is consistent with the rights of others.</w:t>
      </w:r>
      <w:r w:rsidR="009C2862">
        <w:rPr>
          <w:rStyle w:val="FootnoteReference"/>
          <w:rFonts w:cs="Arial"/>
        </w:rPr>
        <w:footnoteReference w:id="44"/>
      </w:r>
    </w:p>
    <w:p w14:paraId="116959B4" w14:textId="347BC345" w:rsidR="00FE5D11" w:rsidRDefault="000A56A0" w:rsidP="00FE5D11">
      <w:pPr>
        <w:pStyle w:val="Heading2"/>
      </w:pPr>
      <w:bookmarkStart w:id="23" w:name="_Toc76730702"/>
      <w:r w:rsidRPr="005379F1">
        <w:lastRenderedPageBreak/>
        <w:t>Other</w:t>
      </w:r>
      <w:r w:rsidR="00FE5D11" w:rsidRPr="005379F1">
        <w:t xml:space="preserve"> offences</w:t>
      </w:r>
      <w:bookmarkEnd w:id="23"/>
    </w:p>
    <w:p w14:paraId="3C1E2CAC" w14:textId="528453F5" w:rsidR="00B86FDC" w:rsidRDefault="00B86FDC" w:rsidP="00B416A9">
      <w:pPr>
        <w:pStyle w:val="ListParagraph"/>
        <w:numPr>
          <w:ilvl w:val="0"/>
          <w:numId w:val="4"/>
        </w:numPr>
        <w:spacing w:before="120" w:after="240" w:line="276" w:lineRule="auto"/>
        <w:ind w:left="567" w:hanging="567"/>
        <w:contextualSpacing w:val="0"/>
        <w:rPr>
          <w:rFonts w:cs="Arial"/>
        </w:rPr>
      </w:pPr>
      <w:r w:rsidRPr="00B86FDC">
        <w:rPr>
          <w:rFonts w:cs="Arial"/>
        </w:rPr>
        <w:t xml:space="preserve">The Commission </w:t>
      </w:r>
      <w:r w:rsidR="00F7098D">
        <w:rPr>
          <w:rFonts w:cs="Arial"/>
        </w:rPr>
        <w:t>recommends</w:t>
      </w:r>
      <w:r w:rsidRPr="00B86FDC">
        <w:rPr>
          <w:rFonts w:cs="Arial"/>
        </w:rPr>
        <w:t xml:space="preserve"> the creation of specific offences for </w:t>
      </w:r>
      <w:r w:rsidR="00855C5C">
        <w:rPr>
          <w:rFonts w:cs="Arial"/>
        </w:rPr>
        <w:t>criminal conduct</w:t>
      </w:r>
      <w:r w:rsidRPr="00B86FDC">
        <w:rPr>
          <w:rFonts w:cs="Arial"/>
        </w:rPr>
        <w:t xml:space="preserve"> that </w:t>
      </w:r>
      <w:r w:rsidR="004804F0">
        <w:rPr>
          <w:rFonts w:cs="Arial"/>
        </w:rPr>
        <w:t>is</w:t>
      </w:r>
      <w:r w:rsidR="004804F0" w:rsidRPr="00B86FDC">
        <w:rPr>
          <w:rFonts w:cs="Arial"/>
        </w:rPr>
        <w:t xml:space="preserve"> </w:t>
      </w:r>
      <w:r w:rsidRPr="00B86FDC">
        <w:rPr>
          <w:rFonts w:cs="Arial"/>
        </w:rPr>
        <w:t>motivate</w:t>
      </w:r>
      <w:r w:rsidR="002D42F2">
        <w:rPr>
          <w:rFonts w:cs="Arial"/>
        </w:rPr>
        <w:t>d</w:t>
      </w:r>
      <w:r w:rsidRPr="00B86FDC">
        <w:rPr>
          <w:rFonts w:cs="Arial"/>
        </w:rPr>
        <w:t xml:space="preserve"> by or based on the attributes protected in the vilification provisions.  The specific offences would add to the existing base offences such as public nuisance, assault, damage to property, and the like.</w:t>
      </w:r>
    </w:p>
    <w:p w14:paraId="4C7514E3" w14:textId="0B793374" w:rsidR="00E10D8C" w:rsidRDefault="00B86FDC" w:rsidP="00B416A9">
      <w:pPr>
        <w:pStyle w:val="ListParagraph"/>
        <w:numPr>
          <w:ilvl w:val="0"/>
          <w:numId w:val="4"/>
        </w:numPr>
        <w:spacing w:before="120" w:after="240" w:line="276" w:lineRule="auto"/>
        <w:ind w:left="567" w:hanging="567"/>
        <w:contextualSpacing w:val="0"/>
        <w:rPr>
          <w:rFonts w:cs="Arial"/>
        </w:rPr>
      </w:pPr>
      <w:r>
        <w:rPr>
          <w:rFonts w:cs="Arial"/>
        </w:rPr>
        <w:t>The</w:t>
      </w:r>
      <w:r w:rsidR="001B7806" w:rsidRPr="00B86FDC">
        <w:rPr>
          <w:rFonts w:cs="Arial"/>
        </w:rPr>
        <w:t xml:space="preserve"> approach </w:t>
      </w:r>
      <w:r>
        <w:rPr>
          <w:rFonts w:cs="Arial"/>
        </w:rPr>
        <w:t xml:space="preserve">in the </w:t>
      </w:r>
      <w:r w:rsidR="009C2862">
        <w:rPr>
          <w:rFonts w:cs="Arial"/>
        </w:rPr>
        <w:t>UK</w:t>
      </w:r>
      <w:r w:rsidR="00E10D8C">
        <w:rPr>
          <w:rFonts w:cs="Arial"/>
        </w:rPr>
        <w:t xml:space="preserve"> </w:t>
      </w:r>
      <w:r w:rsidR="00374B1E">
        <w:rPr>
          <w:rFonts w:cs="Arial"/>
        </w:rPr>
        <w:t>includes the creation</w:t>
      </w:r>
      <w:r>
        <w:rPr>
          <w:rFonts w:cs="Arial"/>
        </w:rPr>
        <w:t xml:space="preserve"> </w:t>
      </w:r>
      <w:r w:rsidR="002D42F2">
        <w:rPr>
          <w:rFonts w:cs="Arial"/>
        </w:rPr>
        <w:t xml:space="preserve">of </w:t>
      </w:r>
      <w:r w:rsidR="001B7806" w:rsidRPr="00B86FDC">
        <w:rPr>
          <w:rFonts w:cs="Arial"/>
        </w:rPr>
        <w:t>separate</w:t>
      </w:r>
      <w:r w:rsidR="00E10D8C">
        <w:rPr>
          <w:rFonts w:cs="Arial"/>
        </w:rPr>
        <w:t xml:space="preserve"> versions of existing offences for racially or religiously aggravated offending that have </w:t>
      </w:r>
      <w:r w:rsidR="001B7806" w:rsidRPr="00B86FDC">
        <w:rPr>
          <w:rFonts w:cs="Arial"/>
        </w:rPr>
        <w:t>higher maximum penalties than the base offences.</w:t>
      </w:r>
      <w:r w:rsidR="00374B1E">
        <w:rPr>
          <w:rStyle w:val="FootnoteReference"/>
          <w:rFonts w:cs="Arial"/>
        </w:rPr>
        <w:footnoteReference w:id="45"/>
      </w:r>
      <w:r w:rsidR="001B7806" w:rsidRPr="00B86FDC">
        <w:rPr>
          <w:rFonts w:cs="Arial"/>
        </w:rPr>
        <w:t xml:space="preserve">  </w:t>
      </w:r>
      <w:r w:rsidR="00E10D8C">
        <w:rPr>
          <w:rFonts w:cs="Arial"/>
        </w:rPr>
        <w:t>An offence</w:t>
      </w:r>
      <w:r w:rsidR="001B7806" w:rsidRPr="00B86FDC">
        <w:rPr>
          <w:rFonts w:cs="Arial"/>
        </w:rPr>
        <w:t xml:space="preserve"> </w:t>
      </w:r>
      <w:r w:rsidR="00E10D8C">
        <w:rPr>
          <w:rFonts w:cs="Arial"/>
        </w:rPr>
        <w:t>is</w:t>
      </w:r>
      <w:r w:rsidR="001B7806" w:rsidRPr="00B86FDC">
        <w:rPr>
          <w:rFonts w:cs="Arial"/>
        </w:rPr>
        <w:t xml:space="preserve"> racially or religiously aggravated if the offender demonstrates host</w:t>
      </w:r>
      <w:r w:rsidRPr="00B86FDC">
        <w:rPr>
          <w:rFonts w:cs="Arial"/>
        </w:rPr>
        <w:t>ility based on race or religion</w:t>
      </w:r>
      <w:r w:rsidR="001B7806" w:rsidRPr="00B86FDC">
        <w:rPr>
          <w:rFonts w:cs="Arial"/>
        </w:rPr>
        <w:t xml:space="preserve"> towards the victim</w:t>
      </w:r>
      <w:r w:rsidR="00374B1E">
        <w:rPr>
          <w:rFonts w:cs="Arial"/>
        </w:rPr>
        <w:t xml:space="preserve"> (the demonstration limb)</w:t>
      </w:r>
      <w:r w:rsidRPr="00B86FDC">
        <w:rPr>
          <w:rFonts w:cs="Arial"/>
        </w:rPr>
        <w:t>,</w:t>
      </w:r>
      <w:r w:rsidR="001B7806" w:rsidRPr="00B86FDC">
        <w:rPr>
          <w:rFonts w:cs="Arial"/>
        </w:rPr>
        <w:t xml:space="preserve"> or the offence is motivated by hostility towards members of a racial or religious group based on their membership of that group</w:t>
      </w:r>
      <w:r w:rsidR="00374B1E">
        <w:rPr>
          <w:rFonts w:cs="Arial"/>
        </w:rPr>
        <w:t xml:space="preserve"> (the motivation limb)</w:t>
      </w:r>
      <w:r w:rsidR="001B7806" w:rsidRPr="00B86FDC">
        <w:rPr>
          <w:rFonts w:cs="Arial"/>
        </w:rPr>
        <w:t>.</w:t>
      </w:r>
      <w:r w:rsidR="00E10D8C">
        <w:rPr>
          <w:rFonts w:cs="Arial"/>
        </w:rPr>
        <w:t xml:space="preserve">  The offences that have aggravated versions are</w:t>
      </w:r>
      <w:r w:rsidR="005739B5">
        <w:rPr>
          <w:rFonts w:cs="Arial"/>
        </w:rPr>
        <w:t>: malicious wounding or inflicting grievous bodily harm; assault occasioning actual bodily harm; common assault; destroying or damaging property; threatening or abusive conduct that is likely to cause harassment, alarm or distress; intentionally causing harassment, alarm or distress using threatening, abusive or insulting words or behaviour; and putting people in fear of violence, and stalking involving fear of violence, serious alarm or distress.</w:t>
      </w:r>
    </w:p>
    <w:p w14:paraId="2339430F" w14:textId="7C9E4619" w:rsidR="00F310A1" w:rsidRPr="00A47A65" w:rsidRDefault="00F310A1" w:rsidP="00B416A9">
      <w:pPr>
        <w:pStyle w:val="ListParagraph"/>
        <w:numPr>
          <w:ilvl w:val="0"/>
          <w:numId w:val="4"/>
        </w:numPr>
        <w:spacing w:before="120" w:after="240" w:line="276" w:lineRule="auto"/>
        <w:ind w:left="567" w:hanging="567"/>
        <w:contextualSpacing w:val="0"/>
        <w:rPr>
          <w:rFonts w:cs="Arial"/>
        </w:rPr>
      </w:pPr>
      <w:r w:rsidRPr="00A47A65">
        <w:rPr>
          <w:rFonts w:cs="Arial"/>
        </w:rPr>
        <w:t xml:space="preserve">The UK Law Commission </w:t>
      </w:r>
      <w:r w:rsidR="00FD6B90" w:rsidRPr="00A47A65">
        <w:rPr>
          <w:rFonts w:cs="Arial"/>
        </w:rPr>
        <w:t>discusses the demonstration and motivation limbs of hostility in its consultation paper for the review of hate crime laws, and provisionally proposes to maintain the demonstration limb (where the commission of a hate crim</w:t>
      </w:r>
      <w:r w:rsidR="002D42F2" w:rsidRPr="00A47A65">
        <w:rPr>
          <w:rFonts w:cs="Arial"/>
        </w:rPr>
        <w:t>e can be satisfied through proof</w:t>
      </w:r>
      <w:r w:rsidR="00FD6B90" w:rsidRPr="00A47A65">
        <w:rPr>
          <w:rFonts w:cs="Arial"/>
        </w:rPr>
        <w:t xml:space="preserve"> of demonstration of hostility towards a relevant characteristic of the victim), and </w:t>
      </w:r>
      <w:r w:rsidR="001A03C9" w:rsidRPr="00A47A65">
        <w:rPr>
          <w:rFonts w:cs="Arial"/>
        </w:rPr>
        <w:t>prefers a revision of the motivation to test ‘motivated by hostility or prejudice’ towards the characteristic group.</w:t>
      </w:r>
    </w:p>
    <w:p w14:paraId="69ACEC0D" w14:textId="590211C2" w:rsidR="007826E7" w:rsidRDefault="001A03C9" w:rsidP="00B416A9">
      <w:pPr>
        <w:pStyle w:val="ListParagraph"/>
        <w:numPr>
          <w:ilvl w:val="0"/>
          <w:numId w:val="4"/>
        </w:numPr>
        <w:spacing w:before="120" w:after="240" w:line="276" w:lineRule="auto"/>
        <w:ind w:left="567" w:hanging="567"/>
        <w:contextualSpacing w:val="0"/>
        <w:rPr>
          <w:rFonts w:cs="Arial"/>
        </w:rPr>
      </w:pPr>
      <w:r>
        <w:rPr>
          <w:rFonts w:cs="Arial"/>
        </w:rPr>
        <w:t xml:space="preserve">The Commission recommends separate aggravated offences for those listed in </w:t>
      </w:r>
      <w:r w:rsidRPr="001A03C9">
        <w:rPr>
          <w:rFonts w:cs="Arial"/>
          <w:b/>
        </w:rPr>
        <w:t>Appendix 2</w:t>
      </w:r>
      <w:r>
        <w:rPr>
          <w:rFonts w:cs="Arial"/>
        </w:rPr>
        <w:t xml:space="preserve"> (other than serious vilification) with a reservation about an aggravated offence of public nuisance.  </w:t>
      </w:r>
    </w:p>
    <w:p w14:paraId="3F701AD1" w14:textId="6EC51B57" w:rsidR="0026322D" w:rsidRPr="0026322D" w:rsidRDefault="0026322D" w:rsidP="0026322D">
      <w:pPr>
        <w:pStyle w:val="Heading3"/>
      </w:pPr>
      <w:bookmarkStart w:id="24" w:name="_Toc76730703"/>
      <w:r>
        <w:t>Aggravated public nuisance</w:t>
      </w:r>
      <w:bookmarkEnd w:id="24"/>
    </w:p>
    <w:p w14:paraId="1629C780" w14:textId="03613DB9" w:rsidR="001A03C9" w:rsidRDefault="001A03C9" w:rsidP="00B416A9">
      <w:pPr>
        <w:pStyle w:val="ListParagraph"/>
        <w:numPr>
          <w:ilvl w:val="0"/>
          <w:numId w:val="4"/>
        </w:numPr>
        <w:spacing w:before="120" w:after="240" w:line="276" w:lineRule="auto"/>
        <w:ind w:left="567" w:hanging="567"/>
        <w:contextualSpacing w:val="0"/>
        <w:rPr>
          <w:rFonts w:cs="Arial"/>
        </w:rPr>
      </w:pPr>
      <w:r>
        <w:rPr>
          <w:rFonts w:cs="Arial"/>
        </w:rPr>
        <w:t>The public nuisance offence is committed if a person’s behaviour interferes with, or is likely to interfere with, the peaceful passage through or enjoyment of a public place</w:t>
      </w:r>
      <w:r w:rsidR="007826E7">
        <w:rPr>
          <w:rFonts w:cs="Arial"/>
        </w:rPr>
        <w:t>, and the behaviour is in a way that is disorderly, offensive, threatening, or violent.  Behaving in an offensive way includes using offensive, obscene, indecent, or abusive language, and behaving in a threatening way includes threatening language.</w:t>
      </w:r>
    </w:p>
    <w:p w14:paraId="29B63BCD" w14:textId="77777777" w:rsidR="007C5206" w:rsidRDefault="002B39F8" w:rsidP="00B416A9">
      <w:pPr>
        <w:pStyle w:val="ListParagraph"/>
        <w:numPr>
          <w:ilvl w:val="0"/>
          <w:numId w:val="4"/>
        </w:numPr>
        <w:spacing w:before="120" w:after="240" w:line="276" w:lineRule="auto"/>
        <w:ind w:left="567" w:hanging="567"/>
        <w:contextualSpacing w:val="0"/>
        <w:rPr>
          <w:rFonts w:cs="Arial"/>
        </w:rPr>
      </w:pPr>
      <w:r>
        <w:rPr>
          <w:rFonts w:cs="Arial"/>
        </w:rPr>
        <w:lastRenderedPageBreak/>
        <w:t>The Commission is concerned that an aggravated offence of public nuisance might be used in circumstances that involve swearing at police officers.</w:t>
      </w:r>
      <w:r w:rsidR="00034C83">
        <w:rPr>
          <w:rFonts w:cs="Arial"/>
        </w:rPr>
        <w:t xml:space="preserve">  Minority groups that are over-represented in the criminal justice system and those who come to the attention of police, might be more inclined to swear at the officers.  As swearing at police in public is considered offensive, an additional </w:t>
      </w:r>
      <w:r w:rsidR="007C5206">
        <w:rPr>
          <w:rFonts w:cs="Arial"/>
        </w:rPr>
        <w:t xml:space="preserve">spoken </w:t>
      </w:r>
      <w:r w:rsidR="00034C83">
        <w:rPr>
          <w:rFonts w:cs="Arial"/>
        </w:rPr>
        <w:t>word might move the offence into the aggravated category.</w:t>
      </w:r>
      <w:r w:rsidR="007C5206">
        <w:rPr>
          <w:rFonts w:cs="Arial"/>
        </w:rPr>
        <w:t xml:space="preserve">  </w:t>
      </w:r>
    </w:p>
    <w:p w14:paraId="44899A2E" w14:textId="5AA51477" w:rsidR="002B39F8" w:rsidRDefault="007C5206" w:rsidP="00B416A9">
      <w:pPr>
        <w:pStyle w:val="ListParagraph"/>
        <w:numPr>
          <w:ilvl w:val="0"/>
          <w:numId w:val="4"/>
        </w:numPr>
        <w:spacing w:before="120" w:after="240" w:line="276" w:lineRule="auto"/>
        <w:ind w:left="567" w:hanging="567"/>
        <w:contextualSpacing w:val="0"/>
        <w:rPr>
          <w:rFonts w:cs="Arial"/>
        </w:rPr>
      </w:pPr>
      <w:r>
        <w:rPr>
          <w:rFonts w:cs="Arial"/>
        </w:rPr>
        <w:t>Indigenous people are significantly over-represented in those charged with public nuisance for using offensive language, often in circumstances where they have accused a police officer of racism.  Analysis of reported public nuisance decisions indicates that offensive language directed at police officers by Indigenous women reflects their feelings of powerlessness and marginalisation.</w:t>
      </w:r>
      <w:r>
        <w:rPr>
          <w:rStyle w:val="FootnoteReference"/>
          <w:rFonts w:cs="Arial"/>
        </w:rPr>
        <w:footnoteReference w:id="46"/>
      </w:r>
    </w:p>
    <w:p w14:paraId="72377C81" w14:textId="681EA274" w:rsidR="008918D5" w:rsidRDefault="00034C83" w:rsidP="00BF5BE6">
      <w:pPr>
        <w:pStyle w:val="ListParagraph"/>
        <w:numPr>
          <w:ilvl w:val="0"/>
          <w:numId w:val="4"/>
        </w:numPr>
        <w:spacing w:before="120" w:after="240" w:line="276" w:lineRule="auto"/>
        <w:ind w:left="567" w:hanging="567"/>
        <w:contextualSpacing w:val="0"/>
        <w:rPr>
          <w:rFonts w:cs="Arial"/>
        </w:rPr>
      </w:pPr>
      <w:r>
        <w:rPr>
          <w:rFonts w:cs="Arial"/>
        </w:rPr>
        <w:t xml:space="preserve">The Commission considers that offensive behaviour towards police should be excluded from a separate offence of aggravated public nuisance.  Limiting an aggravated public nuisance offence in this way is consistent with the United Nations Human Rights Committee General Comment on the right to freedom of expression.  There the Human Rights Committee states that </w:t>
      </w:r>
      <w:r w:rsidR="00BD241F">
        <w:rPr>
          <w:rFonts w:cs="Arial"/>
        </w:rPr>
        <w:t>‘</w:t>
      </w:r>
      <w:r>
        <w:rPr>
          <w:rFonts w:cs="Arial"/>
        </w:rPr>
        <w:t>the mere fact that forms of expression are considered to be insulting to a public figure is not sufficient to justify</w:t>
      </w:r>
      <w:r w:rsidR="00BD241F">
        <w:rPr>
          <w:rFonts w:cs="Arial"/>
        </w:rPr>
        <w:t xml:space="preserve"> the imposition of penalties’, and ‘laws should not provide for more severe penalties solely on the basis of the identity of the person who may have been impugned’.</w:t>
      </w:r>
      <w:r w:rsidR="00BD241F">
        <w:rPr>
          <w:rStyle w:val="FootnoteReference"/>
          <w:rFonts w:cs="Arial"/>
        </w:rPr>
        <w:footnoteReference w:id="47"/>
      </w:r>
    </w:p>
    <w:p w14:paraId="7A4B27F6" w14:textId="2E7E4932" w:rsidR="0026322D" w:rsidRDefault="0026322D" w:rsidP="0026322D">
      <w:pPr>
        <w:pStyle w:val="Heading3"/>
      </w:pPr>
      <w:bookmarkStart w:id="25" w:name="_Toc76730704"/>
      <w:r>
        <w:t>Conviction for base offence</w:t>
      </w:r>
      <w:bookmarkEnd w:id="25"/>
    </w:p>
    <w:p w14:paraId="336B40EC" w14:textId="77777777" w:rsidR="0026322D" w:rsidRDefault="008918D5" w:rsidP="00BF5BE6">
      <w:pPr>
        <w:pStyle w:val="ListParagraph"/>
        <w:numPr>
          <w:ilvl w:val="0"/>
          <w:numId w:val="4"/>
        </w:numPr>
        <w:spacing w:before="120" w:after="240" w:line="276" w:lineRule="auto"/>
        <w:ind w:left="567" w:hanging="567"/>
        <w:contextualSpacing w:val="0"/>
        <w:rPr>
          <w:rFonts w:cs="Arial"/>
        </w:rPr>
      </w:pPr>
      <w:r>
        <w:rPr>
          <w:rFonts w:cs="Arial"/>
        </w:rPr>
        <w:t>If aggravated offences are created, it is important to ensure that if the aggravated element of the offence is not proved, it will be open for the Court to convict on the base offence.</w:t>
      </w:r>
      <w:r w:rsidR="0026322D">
        <w:rPr>
          <w:rFonts w:cs="Arial"/>
        </w:rPr>
        <w:t xml:space="preserve">  This should apply to offences that are dealt with summarily.</w:t>
      </w:r>
    </w:p>
    <w:p w14:paraId="01D0F9AE" w14:textId="724A9CB8" w:rsidR="008918D5" w:rsidRDefault="0026322D" w:rsidP="0026322D">
      <w:pPr>
        <w:pStyle w:val="ListParagraph"/>
        <w:numPr>
          <w:ilvl w:val="0"/>
          <w:numId w:val="4"/>
        </w:numPr>
        <w:spacing w:before="120" w:after="120" w:line="276" w:lineRule="auto"/>
        <w:ind w:left="567" w:hanging="567"/>
        <w:contextualSpacing w:val="0"/>
        <w:rPr>
          <w:rFonts w:cs="Arial"/>
        </w:rPr>
      </w:pPr>
      <w:r>
        <w:rPr>
          <w:rFonts w:cs="Arial"/>
        </w:rPr>
        <w:t>This approach is consistent with the effect of indictment on offences involving circumstances of aggravation provided for in the Criminal Code.  Section 575 of the Criminal Code provides:</w:t>
      </w:r>
    </w:p>
    <w:p w14:paraId="71E411AD" w14:textId="7686BC95" w:rsidR="0026322D" w:rsidRPr="0026322D" w:rsidRDefault="0026322D" w:rsidP="0026322D">
      <w:pPr>
        <w:spacing w:before="120" w:after="240"/>
        <w:ind w:left="1134" w:right="1410"/>
        <w:rPr>
          <w:rFonts w:cs="Arial"/>
          <w:sz w:val="22"/>
          <w:szCs w:val="22"/>
        </w:rPr>
      </w:pPr>
      <w:r>
        <w:rPr>
          <w:rFonts w:cs="Arial"/>
          <w:sz w:val="22"/>
          <w:szCs w:val="22"/>
        </w:rPr>
        <w:t xml:space="preserve">Except as hereinafter stated, upon an indictment charging a person with an offence committed with circumstances of aggravation, the person may be convicted of any offence which is established by the evidence, and which is constituted by any act or omission which is an element of the offence charge, with or without any of the circumstances of aggravation charged in the </w:t>
      </w:r>
      <w:r w:rsidR="00455917">
        <w:rPr>
          <w:rFonts w:cs="Arial"/>
          <w:sz w:val="22"/>
          <w:szCs w:val="22"/>
        </w:rPr>
        <w:t>indictment</w:t>
      </w:r>
      <w:r>
        <w:rPr>
          <w:rFonts w:cs="Arial"/>
          <w:sz w:val="22"/>
          <w:szCs w:val="22"/>
        </w:rPr>
        <w:t>.</w:t>
      </w:r>
    </w:p>
    <w:p w14:paraId="78A4E79E" w14:textId="510A365A" w:rsidR="00732EB8" w:rsidRPr="00A92D3E" w:rsidRDefault="00D70E21" w:rsidP="00D70E21">
      <w:pPr>
        <w:pStyle w:val="Heading2"/>
      </w:pPr>
      <w:bookmarkStart w:id="26" w:name="_Toc76730705"/>
      <w:r w:rsidRPr="00A92D3E">
        <w:lastRenderedPageBreak/>
        <w:t>Penalties and sentencing</w:t>
      </w:r>
      <w:bookmarkEnd w:id="26"/>
    </w:p>
    <w:p w14:paraId="61AD1FDF" w14:textId="3D211D51" w:rsidR="00D61DB4" w:rsidRDefault="007A7CD2" w:rsidP="002A512A">
      <w:pPr>
        <w:pStyle w:val="ListParagraph"/>
        <w:numPr>
          <w:ilvl w:val="0"/>
          <w:numId w:val="4"/>
        </w:numPr>
        <w:spacing w:before="120" w:after="240" w:line="276" w:lineRule="auto"/>
        <w:ind w:left="567" w:hanging="567"/>
        <w:contextualSpacing w:val="0"/>
        <w:rPr>
          <w:rFonts w:cs="Arial"/>
        </w:rPr>
      </w:pPr>
      <w:r>
        <w:rPr>
          <w:rFonts w:cs="Arial"/>
        </w:rPr>
        <w:t xml:space="preserve">A number of jurisdictions have incorporated hate crime provisions into sentencing legislation, including England, Wales, Canada, Victoria, </w:t>
      </w:r>
      <w:r w:rsidR="0061048B">
        <w:rPr>
          <w:rFonts w:cs="Arial"/>
        </w:rPr>
        <w:t xml:space="preserve">the </w:t>
      </w:r>
      <w:r>
        <w:rPr>
          <w:rFonts w:cs="Arial"/>
        </w:rPr>
        <w:t>Northern Territory, and New South Wales.  To date, the approach in the Australian jurisdictions is that hate crime provisions are in sentencing legislation, whereas in England and Wales there are both substantive offences and sentencing provisions.</w:t>
      </w:r>
    </w:p>
    <w:p w14:paraId="05D535A5" w14:textId="6B78B035" w:rsidR="003D263B" w:rsidRDefault="00755289" w:rsidP="003D263B">
      <w:pPr>
        <w:pStyle w:val="ListParagraph"/>
        <w:numPr>
          <w:ilvl w:val="0"/>
          <w:numId w:val="4"/>
        </w:numPr>
        <w:spacing w:before="120" w:after="240" w:line="276" w:lineRule="auto"/>
        <w:ind w:left="567" w:hanging="567"/>
        <w:contextualSpacing w:val="0"/>
        <w:rPr>
          <w:rFonts w:cs="Arial"/>
        </w:rPr>
      </w:pPr>
      <w:r>
        <w:rPr>
          <w:rFonts w:cs="Arial"/>
        </w:rPr>
        <w:t>Queensland</w:t>
      </w:r>
      <w:r w:rsidR="003D263B">
        <w:rPr>
          <w:rFonts w:cs="Arial"/>
        </w:rPr>
        <w:t>’s sentencing legislation</w:t>
      </w:r>
      <w:r>
        <w:rPr>
          <w:rFonts w:cs="Arial"/>
        </w:rPr>
        <w:t xml:space="preserve"> </w:t>
      </w:r>
      <w:r w:rsidR="003D263B">
        <w:rPr>
          <w:rFonts w:cs="Arial"/>
        </w:rPr>
        <w:t xml:space="preserve">does not currently provide for hate-motivation as a circumstance of aggravation.  </w:t>
      </w:r>
      <w:r w:rsidR="003D263B" w:rsidRPr="00A53A33">
        <w:rPr>
          <w:rFonts w:cs="Arial"/>
        </w:rPr>
        <w:t xml:space="preserve">A circumstance of aggravation is one where the offender is liable to a greater punishment than if the offence was committed without the circumstance.  </w:t>
      </w:r>
      <w:r w:rsidR="003D263B">
        <w:rPr>
          <w:rFonts w:cs="Arial"/>
        </w:rPr>
        <w:t>Queensland’s</w:t>
      </w:r>
      <w:r w:rsidR="003D263B" w:rsidRPr="00A53A33">
        <w:rPr>
          <w:rFonts w:cs="Arial"/>
        </w:rPr>
        <w:t xml:space="preserve"> </w:t>
      </w:r>
      <w:r w:rsidR="003D263B" w:rsidRPr="00A53A33">
        <w:rPr>
          <w:rFonts w:cs="Arial"/>
          <w:i/>
        </w:rPr>
        <w:t>Penalties and Sentences Act 1992</w:t>
      </w:r>
      <w:r w:rsidR="003D263B" w:rsidRPr="00A53A33">
        <w:rPr>
          <w:rFonts w:cs="Arial"/>
        </w:rPr>
        <w:t xml:space="preserve"> provides that certain orders must be made </w:t>
      </w:r>
      <w:r w:rsidR="003D263B">
        <w:rPr>
          <w:rFonts w:cs="Arial"/>
        </w:rPr>
        <w:t>where an offence is committed in a public place while the offender was adversely affected by an intoxicating substance, and for a conviction of a prescribed offence with a serious organised crime circumstance of aggravation.</w:t>
      </w:r>
    </w:p>
    <w:p w14:paraId="100CDFE3" w14:textId="1CCEC0CD" w:rsidR="00232763" w:rsidRDefault="00232763" w:rsidP="003D263B">
      <w:pPr>
        <w:pStyle w:val="ListParagraph"/>
        <w:numPr>
          <w:ilvl w:val="0"/>
          <w:numId w:val="4"/>
        </w:numPr>
        <w:spacing w:before="120" w:after="240" w:line="276" w:lineRule="auto"/>
        <w:ind w:left="567" w:hanging="567"/>
        <w:contextualSpacing w:val="0"/>
        <w:rPr>
          <w:rFonts w:cs="Arial"/>
        </w:rPr>
      </w:pPr>
      <w:r>
        <w:rPr>
          <w:rFonts w:cs="Arial"/>
        </w:rPr>
        <w:t>The Commission recommends that Queensland introduce hate-motivation for offending as a circumstance of aggravation and factor that a court is required to consider.</w:t>
      </w:r>
    </w:p>
    <w:p w14:paraId="5E8442F9" w14:textId="32215750" w:rsidR="0061048B" w:rsidRDefault="0061048B" w:rsidP="00455917">
      <w:pPr>
        <w:pStyle w:val="ListParagraph"/>
        <w:numPr>
          <w:ilvl w:val="0"/>
          <w:numId w:val="4"/>
        </w:numPr>
        <w:spacing w:before="120" w:after="120" w:line="276" w:lineRule="auto"/>
        <w:ind w:left="567" w:hanging="567"/>
        <w:contextualSpacing w:val="0"/>
        <w:rPr>
          <w:rFonts w:cs="Arial"/>
        </w:rPr>
      </w:pPr>
      <w:r>
        <w:rPr>
          <w:rFonts w:cs="Arial"/>
        </w:rPr>
        <w:t>The sentencing legislation in Victoria</w:t>
      </w:r>
      <w:r w:rsidR="000E3A3C">
        <w:rPr>
          <w:rFonts w:cs="Arial"/>
        </w:rPr>
        <w:t>, New South Wales, and the Northern Territory does</w:t>
      </w:r>
      <w:r>
        <w:rPr>
          <w:rFonts w:cs="Arial"/>
        </w:rPr>
        <w:t xml:space="preserve"> not clearly limit the characteristics that invoke the circumstance of aggravation.  </w:t>
      </w:r>
      <w:r w:rsidR="000E3A3C">
        <w:rPr>
          <w:rFonts w:cs="Arial"/>
        </w:rPr>
        <w:t>T</w:t>
      </w:r>
      <w:r>
        <w:rPr>
          <w:rFonts w:cs="Arial"/>
        </w:rPr>
        <w:t xml:space="preserve">he Victorian legislation requires the court to </w:t>
      </w:r>
      <w:r w:rsidR="00F23A23">
        <w:rPr>
          <w:rFonts w:cs="Arial"/>
        </w:rPr>
        <w:t>have regard to</w:t>
      </w:r>
      <w:r>
        <w:rPr>
          <w:rFonts w:cs="Arial"/>
        </w:rPr>
        <w:t>:</w:t>
      </w:r>
    </w:p>
    <w:p w14:paraId="7E0A220B" w14:textId="724C7ED3" w:rsidR="0061048B" w:rsidRPr="0061048B" w:rsidRDefault="0061048B" w:rsidP="000E3A3C">
      <w:pPr>
        <w:spacing w:before="120" w:after="240"/>
        <w:ind w:left="1134" w:right="845"/>
        <w:rPr>
          <w:rFonts w:cs="Arial"/>
          <w:sz w:val="22"/>
          <w:szCs w:val="22"/>
        </w:rPr>
      </w:pPr>
      <w:r w:rsidRPr="0061048B">
        <w:rPr>
          <w:rFonts w:cs="Arial"/>
          <w:sz w:val="22"/>
          <w:szCs w:val="22"/>
        </w:rPr>
        <w:t>whether the offence was motivated (wholly or partly) by hatred for or prejudice against a group of people with common characteristics with which the victim was associated or with which the offender believed the victim was associated.</w:t>
      </w:r>
      <w:r>
        <w:rPr>
          <w:rStyle w:val="FootnoteReference"/>
          <w:rFonts w:cs="Arial"/>
          <w:sz w:val="22"/>
          <w:szCs w:val="22"/>
        </w:rPr>
        <w:footnoteReference w:id="48"/>
      </w:r>
    </w:p>
    <w:p w14:paraId="57D285F9" w14:textId="113E87D0" w:rsidR="0061048B" w:rsidRDefault="003747BE" w:rsidP="0061048B">
      <w:pPr>
        <w:pStyle w:val="ListParagraph"/>
        <w:numPr>
          <w:ilvl w:val="0"/>
          <w:numId w:val="4"/>
        </w:numPr>
        <w:spacing w:before="120" w:after="240" w:line="276" w:lineRule="auto"/>
        <w:ind w:left="567" w:hanging="567"/>
        <w:contextualSpacing w:val="0"/>
        <w:rPr>
          <w:rFonts w:cs="Arial"/>
        </w:rPr>
      </w:pPr>
      <w:r>
        <w:rPr>
          <w:rFonts w:cs="Arial"/>
        </w:rPr>
        <w:t>Evidence to the Victorian inquiry into anti-vilification protections was that this sentencing provision is rarely used in practice</w:t>
      </w:r>
      <w:r w:rsidR="0022696F">
        <w:rPr>
          <w:rFonts w:cs="Arial"/>
        </w:rPr>
        <w:t>.  R</w:t>
      </w:r>
      <w:r>
        <w:rPr>
          <w:rFonts w:cs="Arial"/>
        </w:rPr>
        <w:t>easons include under-reporting, failure to identify and record crimes as hate crimes, difficulties locating perpetrators, and the high threshold of proving prejudice motivation in court.</w:t>
      </w:r>
      <w:r>
        <w:rPr>
          <w:rStyle w:val="FootnoteReference"/>
          <w:rFonts w:cs="Arial"/>
        </w:rPr>
        <w:footnoteReference w:id="49"/>
      </w:r>
      <w:r>
        <w:rPr>
          <w:rFonts w:cs="Arial"/>
        </w:rPr>
        <w:t xml:space="preserve"> </w:t>
      </w:r>
    </w:p>
    <w:p w14:paraId="2A280944" w14:textId="423AD2CB" w:rsidR="008A6291" w:rsidRDefault="000E3A3C" w:rsidP="00455917">
      <w:pPr>
        <w:pStyle w:val="ListParagraph"/>
        <w:numPr>
          <w:ilvl w:val="0"/>
          <w:numId w:val="4"/>
        </w:numPr>
        <w:spacing w:before="120" w:after="120" w:line="276" w:lineRule="auto"/>
        <w:ind w:left="567" w:hanging="567"/>
        <w:contextualSpacing w:val="0"/>
        <w:rPr>
          <w:rFonts w:cs="Arial"/>
        </w:rPr>
      </w:pPr>
      <w:r w:rsidRPr="000E3A3C">
        <w:rPr>
          <w:rFonts w:cs="Arial"/>
        </w:rPr>
        <w:t xml:space="preserve">The </w:t>
      </w:r>
      <w:r>
        <w:rPr>
          <w:rFonts w:cs="Arial"/>
        </w:rPr>
        <w:t>New South Wales legislation provides that in determining the appropriate sentence, the court is required to take into</w:t>
      </w:r>
      <w:r w:rsidR="00855C5C">
        <w:rPr>
          <w:rFonts w:cs="Arial"/>
        </w:rPr>
        <w:t xml:space="preserve"> account</w:t>
      </w:r>
      <w:r>
        <w:rPr>
          <w:rFonts w:cs="Arial"/>
        </w:rPr>
        <w:t xml:space="preserve"> aggravating factors that include:</w:t>
      </w:r>
    </w:p>
    <w:p w14:paraId="51B231CD" w14:textId="0D93FE82" w:rsidR="000E3A3C" w:rsidRPr="000E3A3C" w:rsidRDefault="000E3A3C" w:rsidP="000E3A3C">
      <w:pPr>
        <w:spacing w:before="120" w:after="240"/>
        <w:ind w:left="1134" w:right="845"/>
        <w:rPr>
          <w:rFonts w:cs="Arial"/>
          <w:sz w:val="22"/>
          <w:szCs w:val="22"/>
        </w:rPr>
      </w:pPr>
      <w:r w:rsidRPr="000E3A3C">
        <w:rPr>
          <w:rFonts w:cs="Arial"/>
          <w:sz w:val="22"/>
          <w:szCs w:val="22"/>
        </w:rPr>
        <w:t xml:space="preserve">the offence was motivated by hatred for or prejudice against a group of people to which the offender believed the victim belonged (such as people of a particular religion, racial or ethnic origin, </w:t>
      </w:r>
      <w:r w:rsidRPr="000E3A3C">
        <w:rPr>
          <w:rFonts w:cs="Arial"/>
          <w:sz w:val="22"/>
          <w:szCs w:val="22"/>
        </w:rPr>
        <w:lastRenderedPageBreak/>
        <w:t>language, sexual orientation or age, or having a particular disability).</w:t>
      </w:r>
      <w:r>
        <w:rPr>
          <w:rStyle w:val="FootnoteReference"/>
          <w:rFonts w:cs="Arial"/>
          <w:sz w:val="22"/>
          <w:szCs w:val="22"/>
        </w:rPr>
        <w:footnoteReference w:id="50"/>
      </w:r>
    </w:p>
    <w:p w14:paraId="3B6258F2" w14:textId="67D3EA73" w:rsidR="000E3A3C" w:rsidRDefault="00806003" w:rsidP="0061048B">
      <w:pPr>
        <w:pStyle w:val="ListParagraph"/>
        <w:numPr>
          <w:ilvl w:val="0"/>
          <w:numId w:val="4"/>
        </w:numPr>
        <w:spacing w:before="120" w:after="240" w:line="276" w:lineRule="auto"/>
        <w:ind w:left="567" w:hanging="567"/>
        <w:contextualSpacing w:val="0"/>
        <w:rPr>
          <w:rFonts w:cs="Arial"/>
        </w:rPr>
      </w:pPr>
      <w:r>
        <w:rPr>
          <w:rFonts w:cs="Arial"/>
        </w:rPr>
        <w:t>The New South Wales Court of Criminal Appeal has confirmed that the provision applied to a false belief that a victim was a paedophile.  The offender claimed that the sentencing judge was wrong in taking into account as an aggravating factor that the offences were ‘motivated by hatred or prejudice against a group of people to which the offender believed the victim belonged … because the offender believed the victim to be a paedophile’.  The Court said that the examples</w:t>
      </w:r>
      <w:r w:rsidR="003B5A28">
        <w:rPr>
          <w:rFonts w:cs="Arial"/>
        </w:rPr>
        <w:t xml:space="preserve"> given in parentheses are merely that, i.e. examples, and do not comprise an exhaustive list of the groups envisaged by the subsection.  A significant factor in the offender’s motivation was his antipathy towards the victim because he believed him to be a member of a particular group, namely paedophiles.</w:t>
      </w:r>
      <w:r w:rsidR="003B5A28">
        <w:rPr>
          <w:rStyle w:val="FootnoteReference"/>
          <w:rFonts w:cs="Arial"/>
        </w:rPr>
        <w:footnoteReference w:id="51"/>
      </w:r>
    </w:p>
    <w:p w14:paraId="423DC787" w14:textId="15DDF7CD" w:rsidR="00562219" w:rsidRDefault="00562219" w:rsidP="0061048B">
      <w:pPr>
        <w:pStyle w:val="ListParagraph"/>
        <w:numPr>
          <w:ilvl w:val="0"/>
          <w:numId w:val="4"/>
        </w:numPr>
        <w:spacing w:before="120" w:after="240" w:line="276" w:lineRule="auto"/>
        <w:ind w:left="567" w:hanging="567"/>
        <w:contextualSpacing w:val="0"/>
        <w:rPr>
          <w:rFonts w:cs="Arial"/>
        </w:rPr>
      </w:pPr>
      <w:r>
        <w:rPr>
          <w:rFonts w:cs="Arial"/>
        </w:rPr>
        <w:t>The outcome</w:t>
      </w:r>
      <w:r w:rsidR="005F47EE">
        <w:rPr>
          <w:rFonts w:cs="Arial"/>
        </w:rPr>
        <w:t xml:space="preserve"> has </w:t>
      </w:r>
      <w:r>
        <w:rPr>
          <w:rFonts w:cs="Arial"/>
        </w:rPr>
        <w:t xml:space="preserve">been </w:t>
      </w:r>
      <w:r w:rsidR="005F47EE">
        <w:rPr>
          <w:rFonts w:cs="Arial"/>
        </w:rPr>
        <w:t>criticised.  The UK Law Commission considers that paedophilia itself is not an appropriate characteristic to be protected in hate crime, and that an appropriate test for the inclusion of characteristics, based on whether a characteristic causes harm to others, is whether the characteristic is ‘worthy of respect in a democratic society, and compatible with human dignity and the fundamental rights of others</w:t>
      </w:r>
      <w:r>
        <w:rPr>
          <w:rFonts w:cs="Arial"/>
        </w:rPr>
        <w:t>’</w:t>
      </w:r>
      <w:r w:rsidR="005F47EE">
        <w:rPr>
          <w:rFonts w:cs="Arial"/>
        </w:rPr>
        <w:t>.</w:t>
      </w:r>
      <w:r>
        <w:rPr>
          <w:rStyle w:val="FootnoteReference"/>
          <w:rFonts w:cs="Arial"/>
        </w:rPr>
        <w:footnoteReference w:id="52"/>
      </w:r>
      <w:r w:rsidR="005F47EE">
        <w:rPr>
          <w:rFonts w:cs="Arial"/>
        </w:rPr>
        <w:t xml:space="preserve"> </w:t>
      </w:r>
    </w:p>
    <w:p w14:paraId="015593B0" w14:textId="3826C419" w:rsidR="003B5A28" w:rsidRDefault="00717049" w:rsidP="0061048B">
      <w:pPr>
        <w:pStyle w:val="ListParagraph"/>
        <w:numPr>
          <w:ilvl w:val="0"/>
          <w:numId w:val="4"/>
        </w:numPr>
        <w:spacing w:before="120" w:after="240" w:line="276" w:lineRule="auto"/>
        <w:ind w:left="567" w:hanging="567"/>
        <w:contextualSpacing w:val="0"/>
        <w:rPr>
          <w:rFonts w:cs="Arial"/>
        </w:rPr>
      </w:pPr>
      <w:r>
        <w:rPr>
          <w:rFonts w:cs="Arial"/>
        </w:rPr>
        <w:t>The New South Wales Law Reform Commission considered that the focus of the legislation should be on the minority and vulnerable or subj</w:t>
      </w:r>
      <w:r w:rsidR="008A2479">
        <w:rPr>
          <w:rFonts w:cs="Arial"/>
        </w:rPr>
        <w:t>ugated groups, and has recommended that the provision be confined to cases where the hatred or prejudice relates to ‘a group of people of a particular religious belief, racial, ethnic or national origin, age, sexual orientation, transgender status, or having a particular disability or illness’</w:t>
      </w:r>
      <w:r w:rsidR="008A2479">
        <w:rPr>
          <w:rStyle w:val="FootnoteReference"/>
          <w:rFonts w:cs="Arial"/>
        </w:rPr>
        <w:footnoteReference w:id="53"/>
      </w:r>
      <w:r>
        <w:rPr>
          <w:rFonts w:cs="Arial"/>
        </w:rPr>
        <w:t>.</w:t>
      </w:r>
    </w:p>
    <w:p w14:paraId="632120A3" w14:textId="784EFE52" w:rsidR="008A2479" w:rsidRDefault="008A2479" w:rsidP="0061048B">
      <w:pPr>
        <w:pStyle w:val="ListParagraph"/>
        <w:numPr>
          <w:ilvl w:val="0"/>
          <w:numId w:val="4"/>
        </w:numPr>
        <w:spacing w:before="120" w:after="240" w:line="276" w:lineRule="auto"/>
        <w:ind w:left="567" w:hanging="567"/>
        <w:contextualSpacing w:val="0"/>
        <w:rPr>
          <w:rFonts w:cs="Arial"/>
        </w:rPr>
      </w:pPr>
      <w:r>
        <w:rPr>
          <w:rFonts w:cs="Arial"/>
        </w:rPr>
        <w:t xml:space="preserve">There are mixed views </w:t>
      </w:r>
      <w:r w:rsidR="005F47EE">
        <w:rPr>
          <w:rFonts w:cs="Arial"/>
        </w:rPr>
        <w:t>as to</w:t>
      </w:r>
      <w:r>
        <w:rPr>
          <w:rFonts w:cs="Arial"/>
        </w:rPr>
        <w:t xml:space="preserve"> whether </w:t>
      </w:r>
      <w:r w:rsidR="00153139">
        <w:rPr>
          <w:rFonts w:cs="Arial"/>
        </w:rPr>
        <w:t xml:space="preserve">enhanced sentencing for hate-motivated offending should be limited </w:t>
      </w:r>
      <w:r w:rsidR="005F47EE">
        <w:rPr>
          <w:rFonts w:cs="Arial"/>
        </w:rPr>
        <w:t>to hate for</w:t>
      </w:r>
      <w:r w:rsidR="00153139">
        <w:rPr>
          <w:rFonts w:cs="Arial"/>
        </w:rPr>
        <w:t xml:space="preserve"> </w:t>
      </w:r>
      <w:r w:rsidR="005F47EE">
        <w:rPr>
          <w:rFonts w:cs="Arial"/>
        </w:rPr>
        <w:t>specified characteristics, or should apply to all forms hatred</w:t>
      </w:r>
      <w:r w:rsidR="00562219">
        <w:rPr>
          <w:rFonts w:cs="Arial"/>
        </w:rPr>
        <w:t>.  A broad approach would condemn all forms of hatred and prejudice as unacceptable in our society.</w:t>
      </w:r>
    </w:p>
    <w:p w14:paraId="097F886D" w14:textId="6CE4A179" w:rsidR="00562219" w:rsidRPr="000E3A3C" w:rsidRDefault="00562219" w:rsidP="0061048B">
      <w:pPr>
        <w:pStyle w:val="ListParagraph"/>
        <w:numPr>
          <w:ilvl w:val="0"/>
          <w:numId w:val="4"/>
        </w:numPr>
        <w:spacing w:before="120" w:after="240" w:line="276" w:lineRule="auto"/>
        <w:ind w:left="567" w:hanging="567"/>
        <w:contextualSpacing w:val="0"/>
        <w:rPr>
          <w:rFonts w:cs="Arial"/>
        </w:rPr>
      </w:pPr>
      <w:r>
        <w:rPr>
          <w:rFonts w:cs="Arial"/>
        </w:rPr>
        <w:t>The Commission considers that enhanced sentencing for hate-based offending should mirror aggravated hate-based offences</w:t>
      </w:r>
      <w:r w:rsidR="0038014E">
        <w:rPr>
          <w:rFonts w:cs="Arial"/>
        </w:rPr>
        <w:t xml:space="preserve">, and that the characteristics for both the offences and sentencing </w:t>
      </w:r>
      <w:r>
        <w:rPr>
          <w:rFonts w:cs="Arial"/>
        </w:rPr>
        <w:t xml:space="preserve">are confined.  The Commission considers the characteristics should be selected from those protected under anti-discrimination legislation and international human </w:t>
      </w:r>
      <w:r>
        <w:rPr>
          <w:rFonts w:cs="Arial"/>
        </w:rPr>
        <w:lastRenderedPageBreak/>
        <w:t>rights instruments.  This approach is consistent with the principle of minimum criminalisation.</w:t>
      </w:r>
    </w:p>
    <w:p w14:paraId="3B529BB1" w14:textId="7C988EBD" w:rsidR="00FE5D11" w:rsidRDefault="008355C0" w:rsidP="00FE5D11">
      <w:pPr>
        <w:pStyle w:val="Heading2"/>
      </w:pPr>
      <w:bookmarkStart w:id="27" w:name="_Toc76730706"/>
      <w:r w:rsidRPr="009C528E">
        <w:t>Display</w:t>
      </w:r>
      <w:r w:rsidR="00FE5D11" w:rsidRPr="009C528E">
        <w:t xml:space="preserve"> </w:t>
      </w:r>
      <w:r w:rsidR="000030ED" w:rsidRPr="009C528E">
        <w:t>or</w:t>
      </w:r>
      <w:r w:rsidR="00FE5D11" w:rsidRPr="009C528E">
        <w:t xml:space="preserve"> possession of symbols and insignia</w:t>
      </w:r>
      <w:bookmarkEnd w:id="27"/>
    </w:p>
    <w:p w14:paraId="6523F250" w14:textId="5CB5C7BA" w:rsidR="00FE5D11" w:rsidRDefault="00061B2B" w:rsidP="00757B20">
      <w:pPr>
        <w:pStyle w:val="ListParagraph"/>
        <w:numPr>
          <w:ilvl w:val="0"/>
          <w:numId w:val="4"/>
        </w:numPr>
        <w:spacing w:before="120" w:after="120" w:line="276" w:lineRule="auto"/>
        <w:ind w:left="567" w:hanging="567"/>
        <w:contextualSpacing w:val="0"/>
        <w:rPr>
          <w:rFonts w:cs="Arial"/>
        </w:rPr>
      </w:pPr>
      <w:r>
        <w:rPr>
          <w:rFonts w:cs="Arial"/>
        </w:rPr>
        <w:t>The Options Paper recommends the introduction of a complementary offence to criminalise the possession, distribution, or display of hateful material.  It suggests adopting offences under Western Australian legislation such as:</w:t>
      </w:r>
    </w:p>
    <w:p w14:paraId="050D1792" w14:textId="3EBAEE71" w:rsidR="00061B2B" w:rsidRDefault="007F67EF" w:rsidP="00757B20">
      <w:pPr>
        <w:pStyle w:val="ListParagraph"/>
        <w:numPr>
          <w:ilvl w:val="1"/>
          <w:numId w:val="4"/>
        </w:numPr>
        <w:spacing w:before="120" w:after="120" w:line="276" w:lineRule="auto"/>
        <w:ind w:left="1560" w:hanging="567"/>
        <w:contextualSpacing w:val="0"/>
        <w:rPr>
          <w:rFonts w:cs="Arial"/>
        </w:rPr>
      </w:pPr>
      <w:r>
        <w:rPr>
          <w:rFonts w:cs="Arial"/>
        </w:rPr>
        <w:t>p</w:t>
      </w:r>
      <w:r w:rsidR="00061B2B">
        <w:rPr>
          <w:rFonts w:cs="Arial"/>
        </w:rPr>
        <w:t>ossession of material for dissemination with intent to incite racial animosity or racist harassment;</w:t>
      </w:r>
      <w:r w:rsidR="00061B2B">
        <w:rPr>
          <w:rStyle w:val="FootnoteReference"/>
          <w:rFonts w:cs="Arial"/>
        </w:rPr>
        <w:footnoteReference w:id="54"/>
      </w:r>
    </w:p>
    <w:p w14:paraId="2C01653E" w14:textId="3BF8932E" w:rsidR="00061B2B" w:rsidRDefault="007F67EF" w:rsidP="00757B20">
      <w:pPr>
        <w:pStyle w:val="ListParagraph"/>
        <w:numPr>
          <w:ilvl w:val="1"/>
          <w:numId w:val="4"/>
        </w:numPr>
        <w:spacing w:before="120" w:after="120" w:line="276" w:lineRule="auto"/>
        <w:ind w:left="1560" w:hanging="567"/>
        <w:contextualSpacing w:val="0"/>
        <w:rPr>
          <w:rFonts w:cs="Arial"/>
        </w:rPr>
      </w:pPr>
      <w:r>
        <w:rPr>
          <w:rFonts w:cs="Arial"/>
        </w:rPr>
        <w:t>p</w:t>
      </w:r>
      <w:r w:rsidR="00061B2B">
        <w:rPr>
          <w:rFonts w:cs="Arial"/>
        </w:rPr>
        <w:t>ossession of material for dissemination that is likely to incite racial animosity or racist harassment;</w:t>
      </w:r>
      <w:r w:rsidR="00757B20">
        <w:rPr>
          <w:rStyle w:val="FootnoteReference"/>
          <w:rFonts w:cs="Arial"/>
        </w:rPr>
        <w:footnoteReference w:id="55"/>
      </w:r>
      <w:r w:rsidR="00061B2B">
        <w:rPr>
          <w:rFonts w:cs="Arial"/>
        </w:rPr>
        <w:t xml:space="preserve"> and</w:t>
      </w:r>
    </w:p>
    <w:p w14:paraId="4F2CC6D5" w14:textId="4BD591DD" w:rsidR="00061B2B" w:rsidRDefault="007F67EF" w:rsidP="00061B2B">
      <w:pPr>
        <w:pStyle w:val="ListParagraph"/>
        <w:numPr>
          <w:ilvl w:val="1"/>
          <w:numId w:val="4"/>
        </w:numPr>
        <w:spacing w:before="120" w:after="240" w:line="276" w:lineRule="auto"/>
        <w:ind w:left="1560" w:hanging="567"/>
        <w:contextualSpacing w:val="0"/>
        <w:rPr>
          <w:rFonts w:cs="Arial"/>
        </w:rPr>
      </w:pPr>
      <w:r>
        <w:rPr>
          <w:rFonts w:cs="Arial"/>
        </w:rPr>
        <w:t>c</w:t>
      </w:r>
      <w:r w:rsidR="00061B2B">
        <w:rPr>
          <w:rFonts w:cs="Arial"/>
        </w:rPr>
        <w:t>onduct intended to racially harass</w:t>
      </w:r>
      <w:r w:rsidR="00757B20">
        <w:rPr>
          <w:rStyle w:val="FootnoteReference"/>
          <w:rFonts w:cs="Arial"/>
        </w:rPr>
        <w:footnoteReference w:id="56"/>
      </w:r>
      <w:r w:rsidR="00061B2B">
        <w:rPr>
          <w:rFonts w:cs="Arial"/>
        </w:rPr>
        <w:t xml:space="preserve"> or likely to racially harass</w:t>
      </w:r>
      <w:r w:rsidR="00757B20">
        <w:rPr>
          <w:rStyle w:val="FootnoteReference"/>
          <w:rFonts w:cs="Arial"/>
        </w:rPr>
        <w:footnoteReference w:id="57"/>
      </w:r>
      <w:r w:rsidR="00061B2B">
        <w:rPr>
          <w:rFonts w:cs="Arial"/>
        </w:rPr>
        <w:t>.</w:t>
      </w:r>
    </w:p>
    <w:p w14:paraId="17E755C9" w14:textId="77777777" w:rsidR="00757B20" w:rsidRDefault="00757B20" w:rsidP="005379F1">
      <w:pPr>
        <w:pStyle w:val="ListParagraph"/>
        <w:numPr>
          <w:ilvl w:val="0"/>
          <w:numId w:val="4"/>
        </w:numPr>
        <w:spacing w:before="120" w:after="120" w:line="276" w:lineRule="auto"/>
        <w:ind w:left="567" w:hanging="567"/>
        <w:contextualSpacing w:val="0"/>
        <w:rPr>
          <w:rFonts w:cs="Arial"/>
        </w:rPr>
      </w:pPr>
      <w:r>
        <w:rPr>
          <w:rFonts w:cs="Arial"/>
        </w:rPr>
        <w:t>In addition to the offences identified in the Options Paper, the Western Australian offences include:</w:t>
      </w:r>
    </w:p>
    <w:p w14:paraId="7755F808" w14:textId="3FB842F5" w:rsidR="00061B2B" w:rsidRDefault="007F67EF" w:rsidP="005379F1">
      <w:pPr>
        <w:pStyle w:val="ListParagraph"/>
        <w:numPr>
          <w:ilvl w:val="1"/>
          <w:numId w:val="4"/>
        </w:numPr>
        <w:spacing w:before="120" w:after="120" w:line="276" w:lineRule="auto"/>
        <w:ind w:left="1560" w:hanging="567"/>
        <w:contextualSpacing w:val="0"/>
        <w:rPr>
          <w:rFonts w:cs="Arial"/>
        </w:rPr>
      </w:pPr>
      <w:r>
        <w:rPr>
          <w:rFonts w:cs="Arial"/>
        </w:rPr>
        <w:t>p</w:t>
      </w:r>
      <w:r w:rsidR="00757B20">
        <w:rPr>
          <w:rFonts w:cs="Arial"/>
        </w:rPr>
        <w:t>ossession of material for display with intent to racially harass;</w:t>
      </w:r>
      <w:r w:rsidR="00757B20">
        <w:rPr>
          <w:rStyle w:val="FootnoteReference"/>
          <w:rFonts w:cs="Arial"/>
        </w:rPr>
        <w:footnoteReference w:id="58"/>
      </w:r>
      <w:r w:rsidR="00757B20">
        <w:rPr>
          <w:rFonts w:cs="Arial"/>
        </w:rPr>
        <w:t xml:space="preserve"> and</w:t>
      </w:r>
    </w:p>
    <w:p w14:paraId="1A5E1BEE" w14:textId="25A58C32" w:rsidR="00757B20" w:rsidRDefault="007F67EF" w:rsidP="004B6FB1">
      <w:pPr>
        <w:pStyle w:val="ListParagraph"/>
        <w:numPr>
          <w:ilvl w:val="1"/>
          <w:numId w:val="4"/>
        </w:numPr>
        <w:spacing w:before="120" w:after="240" w:line="276" w:lineRule="auto"/>
        <w:ind w:left="1559" w:hanging="567"/>
        <w:contextualSpacing w:val="0"/>
        <w:rPr>
          <w:rFonts w:cs="Arial"/>
        </w:rPr>
      </w:pPr>
      <w:r>
        <w:rPr>
          <w:rFonts w:cs="Arial"/>
        </w:rPr>
        <w:t>p</w:t>
      </w:r>
      <w:r w:rsidR="00757B20">
        <w:rPr>
          <w:rFonts w:cs="Arial"/>
        </w:rPr>
        <w:t>ossession of material for display that is likely to racially harass.</w:t>
      </w:r>
      <w:r w:rsidR="00757B20">
        <w:rPr>
          <w:rStyle w:val="FootnoteReference"/>
          <w:rFonts w:cs="Arial"/>
        </w:rPr>
        <w:footnoteReference w:id="59"/>
      </w:r>
    </w:p>
    <w:p w14:paraId="12A27448" w14:textId="4E8CFB23" w:rsidR="004B6FB1" w:rsidRDefault="004B6FB1" w:rsidP="004B6FB1">
      <w:pPr>
        <w:pStyle w:val="ListParagraph"/>
        <w:numPr>
          <w:ilvl w:val="0"/>
          <w:numId w:val="4"/>
        </w:numPr>
        <w:spacing w:before="120" w:after="240" w:line="276" w:lineRule="auto"/>
        <w:ind w:left="567" w:hanging="567"/>
        <w:contextualSpacing w:val="0"/>
        <w:rPr>
          <w:rFonts w:cs="Arial"/>
        </w:rPr>
      </w:pPr>
      <w:r>
        <w:rPr>
          <w:rFonts w:cs="Arial"/>
        </w:rPr>
        <w:t>The Western Australian offe</w:t>
      </w:r>
      <w:r w:rsidR="007F67EF">
        <w:rPr>
          <w:rFonts w:cs="Arial"/>
        </w:rPr>
        <w:t>nces for possession of material</w:t>
      </w:r>
      <w:r>
        <w:rPr>
          <w:rFonts w:cs="Arial"/>
        </w:rPr>
        <w:t xml:space="preserve"> relate to ‘written or pictorial material that is threatening or abusive’.  This description is not defined, in which </w:t>
      </w:r>
      <w:r w:rsidR="00F801B3">
        <w:rPr>
          <w:rFonts w:cs="Arial"/>
        </w:rPr>
        <w:t>case it is likely to be an objective test</w:t>
      </w:r>
      <w:r>
        <w:rPr>
          <w:rFonts w:cs="Arial"/>
        </w:rPr>
        <w:t>.  It is unclear whether any charges have been prosecuted under the offences relating to the possession of threatening or abusive material, and thus whether the meaning of threatening or abusive material has been judicially considered.</w:t>
      </w:r>
      <w:r w:rsidR="00F801B3">
        <w:rPr>
          <w:rFonts w:cs="Arial"/>
        </w:rPr>
        <w:t xml:space="preserve">  The Commission notes that for the offences of possessing threatening or abusive material for dissemination with the intent to, or that is likely to incite racial animosity or racial harassment (section 79 and 80), a prosecution must not be commenced without the consent of the Director of Prosecutions.</w:t>
      </w:r>
    </w:p>
    <w:p w14:paraId="78D39FDD" w14:textId="45E76A95" w:rsidR="00CE5E4D" w:rsidRDefault="00CE5E4D" w:rsidP="004B6FB1">
      <w:pPr>
        <w:pStyle w:val="ListParagraph"/>
        <w:numPr>
          <w:ilvl w:val="0"/>
          <w:numId w:val="4"/>
        </w:numPr>
        <w:spacing w:before="120" w:after="240" w:line="276" w:lineRule="auto"/>
        <w:ind w:left="567" w:hanging="567"/>
        <w:contextualSpacing w:val="0"/>
        <w:rPr>
          <w:rFonts w:cs="Arial"/>
        </w:rPr>
      </w:pPr>
      <w:r>
        <w:rPr>
          <w:rFonts w:cs="Arial"/>
        </w:rPr>
        <w:t>The scheme in the United Kingdom is to criminalise the wearing or display of certain symbols.  It is an offence to publicly wear clothing, or otherwise display the symbols of a proscribed terrorist organisation ‘in such as way or in such circumstances as to arouse reasonable suspicion that [they] are a member or supporter of the organisation’.</w:t>
      </w:r>
      <w:r w:rsidR="00F055A6">
        <w:rPr>
          <w:rFonts w:cs="Arial"/>
        </w:rPr>
        <w:t xml:space="preserve">  </w:t>
      </w:r>
      <w:r w:rsidR="00626F14">
        <w:rPr>
          <w:rFonts w:cs="Arial"/>
        </w:rPr>
        <w:t xml:space="preserve">The offence carries a </w:t>
      </w:r>
      <w:r w:rsidR="00626F14">
        <w:rPr>
          <w:rFonts w:cs="Arial"/>
        </w:rPr>
        <w:lastRenderedPageBreak/>
        <w:t xml:space="preserve">maximum penalty of six months imprisonment.  </w:t>
      </w:r>
      <w:r w:rsidR="00F055A6">
        <w:rPr>
          <w:rFonts w:cs="Arial"/>
        </w:rPr>
        <w:t>This type of prohibition is similar to the prohibitions in Queensland that relate to outlawed organisations that are largely motorcycle groups.</w:t>
      </w:r>
    </w:p>
    <w:p w14:paraId="2A0F2146" w14:textId="2D110857" w:rsidR="00F055A6" w:rsidRDefault="00F055A6" w:rsidP="004B6FB1">
      <w:pPr>
        <w:pStyle w:val="ListParagraph"/>
        <w:numPr>
          <w:ilvl w:val="0"/>
          <w:numId w:val="4"/>
        </w:numPr>
        <w:spacing w:before="120" w:after="240" w:line="276" w:lineRule="auto"/>
        <w:ind w:left="567" w:hanging="567"/>
        <w:contextualSpacing w:val="0"/>
        <w:rPr>
          <w:rFonts w:cs="Arial"/>
        </w:rPr>
      </w:pPr>
      <w:r>
        <w:rPr>
          <w:rFonts w:cs="Arial"/>
        </w:rPr>
        <w:t xml:space="preserve">The issue of criminalising possession of symbols and hateful material was considered by the Victorian Legislative Assembly Legal and Social Issues Committee (the </w:t>
      </w:r>
      <w:r w:rsidRPr="00F055A6">
        <w:rPr>
          <w:rFonts w:cs="Arial"/>
          <w:b/>
        </w:rPr>
        <w:t>Victorian Committee</w:t>
      </w:r>
      <w:r>
        <w:rPr>
          <w:rFonts w:cs="Arial"/>
        </w:rPr>
        <w:t>) in its inquiry into anti-vilification protections.  In its report,</w:t>
      </w:r>
      <w:r>
        <w:rPr>
          <w:rStyle w:val="FootnoteReference"/>
          <w:rFonts w:cs="Arial"/>
        </w:rPr>
        <w:footnoteReference w:id="60"/>
      </w:r>
      <w:r>
        <w:rPr>
          <w:rFonts w:cs="Arial"/>
        </w:rPr>
        <w:t xml:space="preserve"> the Victorian Committee acknowledged the support among some stakeholders for a broad-based offence targeted at hateful materials, however noting the position of the [Nazi symbol] as a primary symbol of hate, it recommended the Victorian Government establish a criminal offence that prohibits the display of symbols of Nazi ideology, including the Nazi swastika, with considered exemptions to the prohibition.  The Victorian Committee recommended that the public display of other hateful symbols be monitored to determine whether they should also be prohibited.</w:t>
      </w:r>
    </w:p>
    <w:p w14:paraId="0179B844" w14:textId="2F3F35BD" w:rsidR="0071335F" w:rsidRDefault="0071335F" w:rsidP="004B6FB1">
      <w:pPr>
        <w:pStyle w:val="ListParagraph"/>
        <w:numPr>
          <w:ilvl w:val="0"/>
          <w:numId w:val="4"/>
        </w:numPr>
        <w:spacing w:before="120" w:after="240" w:line="276" w:lineRule="auto"/>
        <w:ind w:left="567" w:hanging="567"/>
        <w:contextualSpacing w:val="0"/>
        <w:rPr>
          <w:rFonts w:cs="Arial"/>
        </w:rPr>
      </w:pPr>
      <w:r>
        <w:rPr>
          <w:rFonts w:cs="Arial"/>
        </w:rPr>
        <w:t xml:space="preserve">The issue </w:t>
      </w:r>
      <w:r w:rsidR="0006155A">
        <w:rPr>
          <w:rFonts w:cs="Arial"/>
        </w:rPr>
        <w:t>is</w:t>
      </w:r>
      <w:r>
        <w:rPr>
          <w:rFonts w:cs="Arial"/>
        </w:rPr>
        <w:t xml:space="preserve"> also raised in the current inquiry by the federal </w:t>
      </w:r>
      <w:r w:rsidR="009E1332">
        <w:rPr>
          <w:rFonts w:cs="Arial"/>
        </w:rPr>
        <w:t>parliament</w:t>
      </w:r>
      <w:r>
        <w:rPr>
          <w:rFonts w:cs="Arial"/>
        </w:rPr>
        <w:t xml:space="preserve"> into extremist movements and radicalism in Australia.</w:t>
      </w:r>
      <w:r w:rsidR="00626F14">
        <w:rPr>
          <w:rFonts w:cs="Arial"/>
        </w:rPr>
        <w:t xml:space="preserve">  </w:t>
      </w:r>
      <w:r w:rsidR="003910D1">
        <w:rPr>
          <w:rFonts w:cs="Arial"/>
        </w:rPr>
        <w:t>The terms of reference of the inquiry include ‘further steps that the Commonwealth could take to disrupt</w:t>
      </w:r>
      <w:r w:rsidR="0006155A">
        <w:rPr>
          <w:rFonts w:cs="Arial"/>
        </w:rPr>
        <w:t xml:space="preserve"> and deter hate speech and establish thresholds to regulate the use of symbols and insignia associated with terrorism and extremism </w:t>
      </w:r>
      <w:r w:rsidR="0006155A" w:rsidRPr="000E3A7A">
        <w:rPr>
          <w:rFonts w:cs="Arial"/>
        </w:rPr>
        <w:t>…</w:t>
      </w:r>
      <w:r w:rsidR="0006155A">
        <w:rPr>
          <w:rFonts w:cs="Arial"/>
        </w:rPr>
        <w:t xml:space="preserve"> and further steps the Commonwealth could take to reinforce social cohesion, counter violent extremism and address the growing diversification of extremist ideology in Australia’. </w:t>
      </w:r>
      <w:r w:rsidR="003D29D2">
        <w:rPr>
          <w:rFonts w:cs="Arial"/>
        </w:rPr>
        <w:t xml:space="preserve"> </w:t>
      </w:r>
      <w:r w:rsidR="00626F14">
        <w:rPr>
          <w:rFonts w:cs="Arial"/>
        </w:rPr>
        <w:t xml:space="preserve">The Australian Federal Police </w:t>
      </w:r>
      <w:r w:rsidR="009E1332">
        <w:rPr>
          <w:rFonts w:cs="Arial"/>
        </w:rPr>
        <w:t>gave evidence that there is a gap in criminal laws that</w:t>
      </w:r>
      <w:r w:rsidR="004C0FBA">
        <w:rPr>
          <w:rFonts w:cs="Arial"/>
        </w:rPr>
        <w:t xml:space="preserve"> constrains investigator</w:t>
      </w:r>
      <w:r w:rsidR="003D29D2">
        <w:rPr>
          <w:rFonts w:cs="Arial"/>
        </w:rPr>
        <w:t>s</w:t>
      </w:r>
      <w:r w:rsidR="004C0FBA">
        <w:rPr>
          <w:rFonts w:cs="Arial"/>
        </w:rPr>
        <w:t>’</w:t>
      </w:r>
      <w:r w:rsidR="009E1332">
        <w:rPr>
          <w:rFonts w:cs="Arial"/>
        </w:rPr>
        <w:t xml:space="preserve"> </w:t>
      </w:r>
      <w:r w:rsidR="003D29D2">
        <w:rPr>
          <w:rFonts w:cs="Arial"/>
        </w:rPr>
        <w:t xml:space="preserve">ability to </w:t>
      </w:r>
      <w:r w:rsidR="0068224C">
        <w:rPr>
          <w:rFonts w:cs="Arial"/>
        </w:rPr>
        <w:t xml:space="preserve">respond to the possession and dissemination of abhorrent material, and to </w:t>
      </w:r>
      <w:r w:rsidR="003D29D2">
        <w:rPr>
          <w:rFonts w:cs="Arial"/>
        </w:rPr>
        <w:t>disrupt radicalised individuals</w:t>
      </w:r>
      <w:r w:rsidR="0068224C">
        <w:rPr>
          <w:rFonts w:cs="Arial"/>
        </w:rPr>
        <w:t xml:space="preserve"> in the early stages.  The Australian Federal Police </w:t>
      </w:r>
      <w:r w:rsidR="003D29D2">
        <w:rPr>
          <w:rFonts w:cs="Arial"/>
        </w:rPr>
        <w:t xml:space="preserve">strongly supports </w:t>
      </w:r>
      <w:r w:rsidR="003D29D2" w:rsidRPr="008942AB">
        <w:t xml:space="preserve">the criminalisation of public display of flags and other extremist insignia, </w:t>
      </w:r>
      <w:r w:rsidR="0068224C">
        <w:t>and ‘</w:t>
      </w:r>
      <w:r w:rsidR="003D29D2" w:rsidRPr="008942AB">
        <w:t xml:space="preserve">to deter actions aimed at harassing and vilifying members of </w:t>
      </w:r>
      <w:r w:rsidR="00DD0CF7">
        <w:t>our</w:t>
      </w:r>
      <w:r w:rsidR="003D29D2" w:rsidRPr="008942AB">
        <w:t xml:space="preserve"> community</w:t>
      </w:r>
      <w:r w:rsidR="0068224C">
        <w:t>’</w:t>
      </w:r>
      <w:r w:rsidR="003D29D2">
        <w:t>.</w:t>
      </w:r>
      <w:r w:rsidR="0068224C">
        <w:t xml:space="preserve"> They said </w:t>
      </w:r>
      <w:r w:rsidR="0068224C" w:rsidRPr="0068224C">
        <w:t>‘the existing offences do not sufficiently address the possession and sharing of extremist material, nor the display of extremist symbols and insignia, to allow us to disrupt individuals and small groups at an earlier stage of the attack planning continuum’.</w:t>
      </w:r>
      <w:r w:rsidR="00504818">
        <w:rPr>
          <w:rStyle w:val="FootnoteReference"/>
          <w:rFonts w:cs="Arial"/>
        </w:rPr>
        <w:footnoteReference w:id="61"/>
      </w:r>
      <w:r w:rsidR="00626F14">
        <w:rPr>
          <w:rFonts w:cs="Arial"/>
        </w:rPr>
        <w:t xml:space="preserve"> </w:t>
      </w:r>
    </w:p>
    <w:p w14:paraId="26FD5BD1" w14:textId="44751CCD" w:rsidR="00D3128D" w:rsidRDefault="00D3128D" w:rsidP="004B6FB1">
      <w:pPr>
        <w:pStyle w:val="ListParagraph"/>
        <w:numPr>
          <w:ilvl w:val="0"/>
          <w:numId w:val="4"/>
        </w:numPr>
        <w:spacing w:before="120" w:after="240" w:line="276" w:lineRule="auto"/>
        <w:ind w:left="567" w:hanging="567"/>
        <w:contextualSpacing w:val="0"/>
        <w:rPr>
          <w:rFonts w:cs="Arial"/>
        </w:rPr>
      </w:pPr>
      <w:r>
        <w:rPr>
          <w:rFonts w:cs="Arial"/>
        </w:rPr>
        <w:t xml:space="preserve">In response, the Law Council of Australia (the </w:t>
      </w:r>
      <w:r w:rsidRPr="00D3128D">
        <w:rPr>
          <w:rFonts w:cs="Arial"/>
          <w:b/>
        </w:rPr>
        <w:t>LCA</w:t>
      </w:r>
      <w:r>
        <w:rPr>
          <w:rFonts w:cs="Arial"/>
        </w:rPr>
        <w:t>) argued against criminalisation of ‘mere possession’ and ‘mere dissemination’.</w:t>
      </w:r>
      <w:r>
        <w:rPr>
          <w:rStyle w:val="FootnoteReference"/>
          <w:rFonts w:cs="Arial"/>
        </w:rPr>
        <w:footnoteReference w:id="62"/>
      </w:r>
      <w:r>
        <w:rPr>
          <w:rFonts w:cs="Arial"/>
        </w:rPr>
        <w:t xml:space="preserve"> </w:t>
      </w:r>
      <w:r w:rsidR="00FA016B">
        <w:rPr>
          <w:rFonts w:cs="Arial"/>
        </w:rPr>
        <w:t xml:space="preserve"> The LCA </w:t>
      </w:r>
      <w:r w:rsidR="00FA016B">
        <w:rPr>
          <w:rFonts w:cs="Arial"/>
        </w:rPr>
        <w:lastRenderedPageBreak/>
        <w:t xml:space="preserve">said there is a serious question as to whether discrete offences for the private possession, or public wearing or display, of a particular symbol or insignia would effectively deter a person who is predisposed toward an extremist ideology.  It considers that criminalisation may simply lead to a perpetual cycle of re-offending and may undermine the objective of preventing the spread of harmful extremist ideology by inflaming the person’s grievances and may isolate them from positive influences and social connections.  The LCA recommends alternatives such as a stronger and nationally consistent regulation of the sale and commercial distribution of symbols and insignia, and consideration of amending </w:t>
      </w:r>
      <w:r w:rsidR="00155B6A">
        <w:rPr>
          <w:rFonts w:cs="Arial"/>
        </w:rPr>
        <w:t xml:space="preserve">the offences for advocating violence in </w:t>
      </w:r>
      <w:r w:rsidR="00FA016B">
        <w:rPr>
          <w:rFonts w:cs="Arial"/>
        </w:rPr>
        <w:t xml:space="preserve">sections 80.2A and 80.2B of the </w:t>
      </w:r>
      <w:r w:rsidR="007F67EF">
        <w:rPr>
          <w:rFonts w:cs="Arial"/>
          <w:i/>
        </w:rPr>
        <w:t>Criminal Code C</w:t>
      </w:r>
      <w:r w:rsidR="00155B6A">
        <w:rPr>
          <w:rFonts w:cs="Arial"/>
          <w:i/>
        </w:rPr>
        <w:t>th.</w:t>
      </w:r>
    </w:p>
    <w:p w14:paraId="4C6E948D" w14:textId="335C4363" w:rsidR="00D73FE0" w:rsidRDefault="00D73FE0" w:rsidP="004B6FB1">
      <w:pPr>
        <w:pStyle w:val="ListParagraph"/>
        <w:numPr>
          <w:ilvl w:val="0"/>
          <w:numId w:val="4"/>
        </w:numPr>
        <w:spacing w:before="120" w:after="240" w:line="276" w:lineRule="auto"/>
        <w:ind w:left="567" w:hanging="567"/>
        <w:contextualSpacing w:val="0"/>
        <w:rPr>
          <w:rFonts w:cs="Arial"/>
        </w:rPr>
      </w:pPr>
      <w:r>
        <w:rPr>
          <w:rFonts w:cs="Arial"/>
        </w:rPr>
        <w:t>In South Australia it is an offence to possess</w:t>
      </w:r>
      <w:r w:rsidR="00952971">
        <w:rPr>
          <w:rFonts w:cs="Arial"/>
        </w:rPr>
        <w:t xml:space="preserve"> extremist material</w:t>
      </w:r>
      <w:r>
        <w:rPr>
          <w:rFonts w:cs="Arial"/>
        </w:rPr>
        <w:t xml:space="preserve">, or </w:t>
      </w:r>
      <w:r w:rsidR="00952971">
        <w:rPr>
          <w:rFonts w:cs="Arial"/>
        </w:rPr>
        <w:t xml:space="preserve">to </w:t>
      </w:r>
      <w:r>
        <w:rPr>
          <w:rFonts w:cs="Arial"/>
        </w:rPr>
        <w:t>take any step in the production or distribution of extremist material, without reasonable excuse.</w:t>
      </w:r>
      <w:r w:rsidR="005A2730">
        <w:rPr>
          <w:rStyle w:val="FootnoteReference"/>
          <w:rFonts w:cs="Arial"/>
        </w:rPr>
        <w:footnoteReference w:id="63"/>
      </w:r>
      <w:r>
        <w:rPr>
          <w:rFonts w:cs="Arial"/>
        </w:rPr>
        <w:t xml:space="preserve">  The maximum penalty is $10,00</w:t>
      </w:r>
      <w:r w:rsidR="005A2730">
        <w:rPr>
          <w:rFonts w:cs="Arial"/>
        </w:rPr>
        <w:t>0</w:t>
      </w:r>
      <w:r>
        <w:rPr>
          <w:rFonts w:cs="Arial"/>
        </w:rPr>
        <w:t xml:space="preserve"> or imprisonment for two years.  </w:t>
      </w:r>
      <w:r w:rsidR="005A2730">
        <w:rPr>
          <w:rFonts w:cs="Arial"/>
        </w:rPr>
        <w:t>E</w:t>
      </w:r>
      <w:r>
        <w:rPr>
          <w:rFonts w:cs="Arial"/>
        </w:rPr>
        <w:t xml:space="preserve">xtremist material </w:t>
      </w:r>
      <w:r w:rsidR="005A2730">
        <w:rPr>
          <w:rFonts w:cs="Arial"/>
        </w:rPr>
        <w:t xml:space="preserve">is defined as material that a reasonable person would understand as promoting terrorists acts, seeking support for terrorist acts, </w:t>
      </w:r>
      <w:r w:rsidR="007F67EF">
        <w:rPr>
          <w:rFonts w:cs="Arial"/>
        </w:rPr>
        <w:t>or h</w:t>
      </w:r>
      <w:r w:rsidR="005A2730">
        <w:rPr>
          <w:rFonts w:cs="Arial"/>
        </w:rPr>
        <w:t>as being produced or distributed by a terrorist organisation.</w:t>
      </w:r>
      <w:r w:rsidR="001E6640">
        <w:rPr>
          <w:rFonts w:cs="Arial"/>
        </w:rPr>
        <w:t xml:space="preserve">  While this provision assists law enforcement in terms of counter-terrorism,</w:t>
      </w:r>
      <w:r w:rsidR="001E6640">
        <w:rPr>
          <w:rStyle w:val="FootnoteReference"/>
          <w:rFonts w:cs="Arial"/>
        </w:rPr>
        <w:footnoteReference w:id="64"/>
      </w:r>
      <w:r w:rsidR="001E6640">
        <w:rPr>
          <w:rFonts w:cs="Arial"/>
        </w:rPr>
        <w:t xml:space="preserve"> it is not likely to capture the mere possession or display of symbols and insignia such as the Nazi symbol.</w:t>
      </w:r>
    </w:p>
    <w:p w14:paraId="38BF821A" w14:textId="44F23991" w:rsidR="001E6640" w:rsidRDefault="001E6640" w:rsidP="004B6FB1">
      <w:pPr>
        <w:pStyle w:val="ListParagraph"/>
        <w:numPr>
          <w:ilvl w:val="0"/>
          <w:numId w:val="4"/>
        </w:numPr>
        <w:spacing w:before="120" w:after="240" w:line="276" w:lineRule="auto"/>
        <w:ind w:left="567" w:hanging="567"/>
        <w:contextualSpacing w:val="0"/>
        <w:rPr>
          <w:rFonts w:cs="Arial"/>
        </w:rPr>
      </w:pPr>
      <w:r w:rsidRPr="0006439D">
        <w:rPr>
          <w:rFonts w:cs="Arial"/>
        </w:rPr>
        <w:t>The</w:t>
      </w:r>
      <w:r>
        <w:rPr>
          <w:rFonts w:cs="Arial"/>
        </w:rPr>
        <w:t xml:space="preserve"> first step in considering the criminalisation of the possession of symbols and insignia and the dissemination of symbols and insignia, is to determine the objective of doing so.  The objectives might range from preventing or interrupting the spread of harmful extremist ideology to reduce the risk of terrorist acts, to prevent</w:t>
      </w:r>
      <w:r w:rsidR="00751B12">
        <w:rPr>
          <w:rFonts w:cs="Arial"/>
        </w:rPr>
        <w:t>ing</w:t>
      </w:r>
      <w:r>
        <w:rPr>
          <w:rFonts w:cs="Arial"/>
        </w:rPr>
        <w:t xml:space="preserve"> </w:t>
      </w:r>
      <w:r w:rsidR="00751B12">
        <w:rPr>
          <w:rFonts w:cs="Arial"/>
        </w:rPr>
        <w:t xml:space="preserve">the </w:t>
      </w:r>
      <w:r>
        <w:rPr>
          <w:rFonts w:cs="Arial"/>
        </w:rPr>
        <w:t>harm</w:t>
      </w:r>
      <w:r w:rsidR="00751B12">
        <w:rPr>
          <w:rFonts w:cs="Arial"/>
        </w:rPr>
        <w:t xml:space="preserve"> to groups and individuals who may feel threatened, intimidated, or insulted by symbols or insignia.</w:t>
      </w:r>
      <w:r w:rsidR="0006439D">
        <w:rPr>
          <w:rFonts w:cs="Arial"/>
        </w:rPr>
        <w:t xml:space="preserve">  The South Australian model might achieve the former objective but not the latter.</w:t>
      </w:r>
    </w:p>
    <w:p w14:paraId="1B9748D8" w14:textId="1540DB7B" w:rsidR="00441C21" w:rsidRDefault="00441C21" w:rsidP="004B6FB1">
      <w:pPr>
        <w:pStyle w:val="ListParagraph"/>
        <w:numPr>
          <w:ilvl w:val="0"/>
          <w:numId w:val="4"/>
        </w:numPr>
        <w:spacing w:before="120" w:after="240" w:line="276" w:lineRule="auto"/>
        <w:ind w:left="567" w:hanging="567"/>
        <w:contextualSpacing w:val="0"/>
        <w:rPr>
          <w:rFonts w:cs="Arial"/>
        </w:rPr>
      </w:pPr>
      <w:r>
        <w:rPr>
          <w:rFonts w:cs="Arial"/>
        </w:rPr>
        <w:t xml:space="preserve">An alternative to criminalising the possession of symbols and insignia might be to give police the </w:t>
      </w:r>
      <w:r w:rsidR="00541441">
        <w:rPr>
          <w:rFonts w:cs="Arial"/>
        </w:rPr>
        <w:t xml:space="preserve">power to search, seize, and dispose of the material, where it is reasonably suspected that the material has been, or may be used, to vilify or harass a group or member of a group based on the attributes in which vilification is prohibited.  This would be similar to the powers that the police have for the search, seizure, and disposition of </w:t>
      </w:r>
      <w:r w:rsidR="00541441">
        <w:rPr>
          <w:rFonts w:cs="Arial"/>
        </w:rPr>
        <w:lastRenderedPageBreak/>
        <w:t>dangerous attachment devices, even though possession of the devices is not of itself an offence.</w:t>
      </w:r>
      <w:r w:rsidR="00541441">
        <w:rPr>
          <w:rStyle w:val="FootnoteReference"/>
          <w:rFonts w:cs="Arial"/>
        </w:rPr>
        <w:footnoteReference w:id="65"/>
      </w:r>
    </w:p>
    <w:p w14:paraId="58ED0755" w14:textId="1F94B40B" w:rsidR="003E3672" w:rsidRPr="003E3672" w:rsidRDefault="0006439D" w:rsidP="003E3672">
      <w:pPr>
        <w:pStyle w:val="ListParagraph"/>
        <w:numPr>
          <w:ilvl w:val="0"/>
          <w:numId w:val="4"/>
        </w:numPr>
        <w:spacing w:before="120" w:after="240" w:line="276" w:lineRule="auto"/>
        <w:ind w:left="567" w:hanging="567"/>
        <w:contextualSpacing w:val="0"/>
        <w:rPr>
          <w:rFonts w:cs="Arial"/>
          <w:color w:val="000000"/>
        </w:rPr>
      </w:pPr>
      <w:r>
        <w:rPr>
          <w:rFonts w:cs="Arial"/>
        </w:rPr>
        <w:t>Any regulation of the possession and</w:t>
      </w:r>
      <w:r w:rsidR="007F67EF">
        <w:rPr>
          <w:rFonts w:cs="Arial"/>
        </w:rPr>
        <w:t xml:space="preserve"> display of symbols and insignia</w:t>
      </w:r>
      <w:r>
        <w:rPr>
          <w:rFonts w:cs="Arial"/>
        </w:rPr>
        <w:t xml:space="preserve"> must </w:t>
      </w:r>
      <w:r w:rsidR="003E3672">
        <w:rPr>
          <w:rFonts w:cs="Arial"/>
        </w:rPr>
        <w:t>contain</w:t>
      </w:r>
      <w:r>
        <w:rPr>
          <w:rFonts w:cs="Arial"/>
        </w:rPr>
        <w:t xml:space="preserve"> appropriate exceptions that include the historical, cultural, and religious significance of some symbols.</w:t>
      </w:r>
      <w:r w:rsidR="007F67EF">
        <w:rPr>
          <w:rFonts w:cs="Arial"/>
        </w:rPr>
        <w:t xml:space="preserve">  Of concern</w:t>
      </w:r>
      <w:r w:rsidR="003E3672">
        <w:rPr>
          <w:rFonts w:cs="Arial"/>
        </w:rPr>
        <w:t xml:space="preserve"> is the appropriation of the term ‘swastika’ in relation to the Nazi Party and its association with genocide, racism, and white supremacy. </w:t>
      </w:r>
    </w:p>
    <w:p w14:paraId="33EC5DFC" w14:textId="091DB204" w:rsidR="003E3672" w:rsidRDefault="003E3672" w:rsidP="003E3672">
      <w:pPr>
        <w:pStyle w:val="ListParagraph"/>
        <w:numPr>
          <w:ilvl w:val="0"/>
          <w:numId w:val="4"/>
        </w:numPr>
        <w:spacing w:before="120" w:after="240" w:line="276" w:lineRule="auto"/>
        <w:ind w:left="567" w:hanging="567"/>
        <w:contextualSpacing w:val="0"/>
        <w:rPr>
          <w:rFonts w:cs="Arial"/>
          <w:color w:val="000000"/>
        </w:rPr>
      </w:pPr>
      <w:r>
        <w:rPr>
          <w:rFonts w:cs="Arial"/>
          <w:color w:val="000000"/>
        </w:rPr>
        <w:t>The swastika is an ancient and revered symbol with profound meaning in Hinduism, Buddhism, and Jainism.  These communities feel strongly that the appropriation of this important religious symbol by the Nazi Party, and by other organisations such as the Carlsberg brewery, is highly offensive and cultural theft.</w:t>
      </w:r>
    </w:p>
    <w:p w14:paraId="0DDE6D22" w14:textId="3FD4403C" w:rsidR="003E3672" w:rsidRDefault="007F67EF" w:rsidP="003E3672">
      <w:pPr>
        <w:pStyle w:val="ListParagraph"/>
        <w:numPr>
          <w:ilvl w:val="0"/>
          <w:numId w:val="4"/>
        </w:numPr>
        <w:spacing w:before="120" w:after="240" w:line="276" w:lineRule="auto"/>
        <w:ind w:left="567" w:hanging="567"/>
        <w:contextualSpacing w:val="0"/>
        <w:rPr>
          <w:rFonts w:cs="Arial"/>
          <w:color w:val="000000"/>
        </w:rPr>
      </w:pPr>
      <w:r>
        <w:rPr>
          <w:rFonts w:cs="Arial"/>
          <w:color w:val="000000"/>
        </w:rPr>
        <w:t>The swastika is a 5,000-year-</w:t>
      </w:r>
      <w:r w:rsidR="003E3672">
        <w:rPr>
          <w:rFonts w:cs="Arial"/>
          <w:color w:val="000000"/>
        </w:rPr>
        <w:t>old sacred symbol of peace, and due to almost a century of violation of its symbolism, people feel they are no longer able to practice their religious tra</w:t>
      </w:r>
      <w:r>
        <w:rPr>
          <w:rFonts w:cs="Arial"/>
          <w:color w:val="000000"/>
        </w:rPr>
        <w:t>dition of displaying the symbol</w:t>
      </w:r>
      <w:r w:rsidR="003E3672">
        <w:rPr>
          <w:rFonts w:cs="Arial"/>
          <w:color w:val="000000"/>
        </w:rPr>
        <w:t xml:space="preserve"> without being exposed to criticism and censorship.  For example, in recent years the European Union has attempted to ban all use of the swastika, and in America, the Hindu American Foundation stepped in to help a student avoid expulsion for displaying the Hindu swastika in his fraternity house.  In 2019 in Adelaide, a delivery man defaced the Hindu symbol at the home of a customer because he perceived it to be the symbol of Nazism.</w:t>
      </w:r>
    </w:p>
    <w:p w14:paraId="290D6A00" w14:textId="77777777" w:rsidR="003E3672" w:rsidRDefault="003E3672" w:rsidP="003E3672">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In the face of movements and incidents such as these, Hindu, Buddhist and Jain communities have been forced to defend the use of their sacred symbol and engage in efforts to counteract the damaging misunderstandings of its origins and meaning.  </w:t>
      </w:r>
    </w:p>
    <w:p w14:paraId="6F5517B7" w14:textId="3025AC68" w:rsidR="003E3672" w:rsidRDefault="003E3672" w:rsidP="009C528E">
      <w:pPr>
        <w:pStyle w:val="ListParagraph"/>
        <w:numPr>
          <w:ilvl w:val="0"/>
          <w:numId w:val="4"/>
        </w:numPr>
        <w:spacing w:before="120" w:after="240" w:line="276" w:lineRule="auto"/>
        <w:ind w:left="567" w:hanging="567"/>
        <w:contextualSpacing w:val="0"/>
        <w:rPr>
          <w:rFonts w:cs="Arial"/>
          <w:color w:val="000000"/>
        </w:rPr>
      </w:pPr>
      <w:r>
        <w:rPr>
          <w:rFonts w:cs="Arial"/>
          <w:color w:val="000000"/>
        </w:rPr>
        <w:t>While the Nazi symbol is associated with extremist movements, it is important to remember that it is an adaptation of the swastika.</w:t>
      </w:r>
      <w:r>
        <w:rPr>
          <w:rStyle w:val="FootnoteReference"/>
          <w:rFonts w:cs="Arial"/>
          <w:color w:val="000000"/>
        </w:rPr>
        <w:footnoteReference w:id="66"/>
      </w:r>
      <w:r>
        <w:rPr>
          <w:rFonts w:cs="Arial"/>
          <w:color w:val="000000"/>
        </w:rPr>
        <w:t xml:space="preserve">  When considering banning the Nazi symbol it is important to use the correct terminology by not refer</w:t>
      </w:r>
      <w:r w:rsidR="00541441">
        <w:rPr>
          <w:rFonts w:cs="Arial"/>
          <w:color w:val="000000"/>
        </w:rPr>
        <w:t>r</w:t>
      </w:r>
      <w:r>
        <w:rPr>
          <w:rFonts w:cs="Arial"/>
          <w:color w:val="000000"/>
        </w:rPr>
        <w:t xml:space="preserve">ing to it as </w:t>
      </w:r>
      <w:r w:rsidR="00541441">
        <w:rPr>
          <w:rFonts w:cs="Arial"/>
          <w:color w:val="000000"/>
        </w:rPr>
        <w:t xml:space="preserve">the </w:t>
      </w:r>
      <w:r>
        <w:rPr>
          <w:rFonts w:cs="Arial"/>
          <w:color w:val="000000"/>
        </w:rPr>
        <w:t>swastika, and to educate the public about the difference between the swastika and the Nazi symbol.</w:t>
      </w:r>
    </w:p>
    <w:p w14:paraId="70B60DD0" w14:textId="5036C240" w:rsidR="002A512A" w:rsidRDefault="002A512A" w:rsidP="005A1137">
      <w:pPr>
        <w:pStyle w:val="Heading1"/>
        <w:pageBreakBefore/>
        <w:spacing w:before="0"/>
      </w:pPr>
      <w:bookmarkStart w:id="28" w:name="_Toc76730707"/>
      <w:r>
        <w:lastRenderedPageBreak/>
        <w:t>Vilification (</w:t>
      </w:r>
      <w:r w:rsidR="00F26FB2">
        <w:t xml:space="preserve">civil </w:t>
      </w:r>
      <w:r>
        <w:t>complaint)</w:t>
      </w:r>
      <w:bookmarkEnd w:id="28"/>
    </w:p>
    <w:p w14:paraId="6B8A0861" w14:textId="3415CF71" w:rsidR="00752BB6" w:rsidRDefault="00752BB6" w:rsidP="00D53BC3">
      <w:pPr>
        <w:pStyle w:val="ListParagraph"/>
        <w:numPr>
          <w:ilvl w:val="0"/>
          <w:numId w:val="4"/>
        </w:numPr>
        <w:spacing w:before="120" w:after="120" w:line="276" w:lineRule="auto"/>
        <w:ind w:left="567" w:hanging="567"/>
        <w:contextualSpacing w:val="0"/>
      </w:pPr>
      <w:r w:rsidRPr="00752BB6">
        <w:rPr>
          <w:rFonts w:cs="Arial"/>
        </w:rPr>
        <w:t>Section</w:t>
      </w:r>
      <w:r>
        <w:t xml:space="preserve"> 124A of the </w:t>
      </w:r>
      <w:r w:rsidR="005463FE" w:rsidRPr="00C6264C">
        <w:rPr>
          <w:rFonts w:cs="Arial"/>
          <w:i/>
          <w:color w:val="000000"/>
        </w:rPr>
        <w:t>Anti-Discrimination Act 1991</w:t>
      </w:r>
      <w:r w:rsidR="005463FE">
        <w:rPr>
          <w:rFonts w:cs="Arial"/>
          <w:color w:val="000000"/>
        </w:rPr>
        <w:t xml:space="preserve"> </w:t>
      </w:r>
      <w:r>
        <w:t>currently provides:</w:t>
      </w:r>
    </w:p>
    <w:p w14:paraId="2970623B" w14:textId="77777777" w:rsidR="00752BB6" w:rsidRPr="00380DBC" w:rsidRDefault="00752BB6" w:rsidP="00752BB6">
      <w:pPr>
        <w:pStyle w:val="NormalWeb"/>
        <w:spacing w:before="120" w:beforeAutospacing="0" w:after="120" w:afterAutospacing="0"/>
        <w:ind w:left="851" w:right="805"/>
        <w:rPr>
          <w:rFonts w:ascii="Arial" w:hAnsi="Arial" w:cs="Arial"/>
          <w:b/>
          <w:color w:val="000000"/>
          <w:sz w:val="22"/>
          <w:szCs w:val="22"/>
        </w:rPr>
      </w:pPr>
      <w:r w:rsidRPr="00380DBC">
        <w:rPr>
          <w:rFonts w:ascii="Arial" w:hAnsi="Arial" w:cs="Arial"/>
          <w:b/>
          <w:color w:val="000000"/>
          <w:sz w:val="22"/>
          <w:szCs w:val="22"/>
        </w:rPr>
        <w:t xml:space="preserve">124A </w:t>
      </w:r>
      <w:r>
        <w:rPr>
          <w:rFonts w:ascii="Arial" w:hAnsi="Arial" w:cs="Arial"/>
          <w:b/>
          <w:color w:val="000000"/>
          <w:sz w:val="22"/>
          <w:szCs w:val="22"/>
        </w:rPr>
        <w:t xml:space="preserve"> </w:t>
      </w:r>
      <w:r w:rsidRPr="00380DBC">
        <w:rPr>
          <w:rFonts w:ascii="Arial" w:hAnsi="Arial" w:cs="Arial"/>
          <w:b/>
          <w:color w:val="000000"/>
          <w:sz w:val="22"/>
          <w:szCs w:val="22"/>
        </w:rPr>
        <w:t>Vilification on grounds of race, religion, sexuality or gender identity unlawful</w:t>
      </w:r>
    </w:p>
    <w:p w14:paraId="577547FA" w14:textId="65D5956C" w:rsidR="00752BB6" w:rsidRPr="00380DBC" w:rsidRDefault="00752BB6" w:rsidP="00752BB6">
      <w:pPr>
        <w:pStyle w:val="NormalWeb"/>
        <w:numPr>
          <w:ilvl w:val="0"/>
          <w:numId w:val="36"/>
        </w:numPr>
        <w:spacing w:before="120" w:beforeAutospacing="0" w:after="120" w:afterAutospacing="0"/>
        <w:ind w:left="1276" w:right="805" w:hanging="425"/>
        <w:rPr>
          <w:rFonts w:ascii="Arial" w:hAnsi="Arial" w:cs="Arial"/>
          <w:color w:val="000000"/>
          <w:sz w:val="22"/>
          <w:szCs w:val="22"/>
        </w:rPr>
      </w:pPr>
      <w:r w:rsidRPr="00380DBC">
        <w:rPr>
          <w:rFonts w:ascii="Arial" w:hAnsi="Arial" w:cs="Arial"/>
          <w:color w:val="000000"/>
          <w:sz w:val="22"/>
          <w:szCs w:val="22"/>
        </w:rPr>
        <w:t>A person must not, by a public act, incite hatred towards, serious contempt for, or severe ridicule of, a person or group of person</w:t>
      </w:r>
      <w:r w:rsidR="00855C5C">
        <w:rPr>
          <w:rFonts w:ascii="Arial" w:hAnsi="Arial" w:cs="Arial"/>
          <w:color w:val="000000"/>
          <w:sz w:val="22"/>
          <w:szCs w:val="22"/>
        </w:rPr>
        <w:t>s</w:t>
      </w:r>
      <w:r w:rsidRPr="00380DBC">
        <w:rPr>
          <w:rFonts w:ascii="Arial" w:hAnsi="Arial" w:cs="Arial"/>
          <w:color w:val="000000"/>
          <w:sz w:val="22"/>
          <w:szCs w:val="22"/>
        </w:rPr>
        <w:t xml:space="preserve"> on the ground of race, religion, sexuality or gender identity of the person or members of the group.</w:t>
      </w:r>
    </w:p>
    <w:p w14:paraId="495713CB" w14:textId="77777777" w:rsidR="00752BB6" w:rsidRPr="00380DBC" w:rsidRDefault="00752BB6" w:rsidP="00752BB6">
      <w:pPr>
        <w:pStyle w:val="NormalWeb"/>
        <w:numPr>
          <w:ilvl w:val="0"/>
          <w:numId w:val="36"/>
        </w:numPr>
        <w:spacing w:before="120" w:beforeAutospacing="0" w:after="120" w:afterAutospacing="0"/>
        <w:ind w:left="1276" w:right="805" w:hanging="425"/>
        <w:rPr>
          <w:rFonts w:ascii="Arial" w:hAnsi="Arial" w:cs="Arial"/>
          <w:color w:val="000000"/>
          <w:sz w:val="22"/>
          <w:szCs w:val="22"/>
        </w:rPr>
      </w:pPr>
      <w:r w:rsidRPr="00380DBC">
        <w:rPr>
          <w:rFonts w:ascii="Arial" w:hAnsi="Arial" w:cs="Arial"/>
          <w:color w:val="000000"/>
          <w:sz w:val="22"/>
          <w:szCs w:val="22"/>
        </w:rPr>
        <w:t xml:space="preserve">Subsection (1) does not make unlawful – </w:t>
      </w:r>
    </w:p>
    <w:p w14:paraId="2C9F21A6" w14:textId="77777777" w:rsidR="00752BB6" w:rsidRPr="00380DBC" w:rsidRDefault="00752BB6" w:rsidP="00752BB6">
      <w:pPr>
        <w:pStyle w:val="NormalWeb"/>
        <w:numPr>
          <w:ilvl w:val="1"/>
          <w:numId w:val="36"/>
        </w:numPr>
        <w:spacing w:before="120" w:beforeAutospacing="0" w:after="120" w:afterAutospacing="0"/>
        <w:ind w:left="1843" w:right="805" w:hanging="425"/>
        <w:rPr>
          <w:rFonts w:ascii="Arial" w:hAnsi="Arial" w:cs="Arial"/>
          <w:color w:val="000000"/>
          <w:sz w:val="22"/>
          <w:szCs w:val="22"/>
        </w:rPr>
      </w:pPr>
      <w:r w:rsidRPr="00380DBC">
        <w:rPr>
          <w:rFonts w:ascii="Arial" w:hAnsi="Arial" w:cs="Arial"/>
          <w:color w:val="000000"/>
          <w:sz w:val="22"/>
          <w:szCs w:val="22"/>
        </w:rPr>
        <w:t>the publication of a fair report of a public act mentioned in subsection (1); or</w:t>
      </w:r>
    </w:p>
    <w:p w14:paraId="6FDA9B0B" w14:textId="77777777" w:rsidR="00752BB6" w:rsidRPr="00380DBC" w:rsidRDefault="00752BB6" w:rsidP="00752BB6">
      <w:pPr>
        <w:pStyle w:val="NormalWeb"/>
        <w:numPr>
          <w:ilvl w:val="1"/>
          <w:numId w:val="36"/>
        </w:numPr>
        <w:spacing w:before="120" w:beforeAutospacing="0" w:after="120" w:afterAutospacing="0"/>
        <w:ind w:left="1843" w:right="805" w:hanging="425"/>
        <w:rPr>
          <w:rFonts w:ascii="Arial" w:hAnsi="Arial" w:cs="Arial"/>
          <w:color w:val="000000"/>
          <w:sz w:val="22"/>
          <w:szCs w:val="22"/>
        </w:rPr>
      </w:pPr>
      <w:r w:rsidRPr="00380DBC">
        <w:rPr>
          <w:rFonts w:ascii="Arial" w:hAnsi="Arial" w:cs="Arial"/>
          <w:color w:val="000000"/>
          <w:sz w:val="22"/>
          <w:szCs w:val="22"/>
        </w:rPr>
        <w:t>the publication of material in circumstances in which the publication would be subject to a defence of absolute privilege in proceedings for defamation; or</w:t>
      </w:r>
    </w:p>
    <w:p w14:paraId="307AE89D" w14:textId="77777777" w:rsidR="00752BB6" w:rsidRPr="00380DBC" w:rsidRDefault="00752BB6" w:rsidP="00FA551C">
      <w:pPr>
        <w:pStyle w:val="NormalWeb"/>
        <w:numPr>
          <w:ilvl w:val="1"/>
          <w:numId w:val="36"/>
        </w:numPr>
        <w:spacing w:before="120" w:beforeAutospacing="0" w:after="240" w:afterAutospacing="0"/>
        <w:ind w:left="1843" w:right="805" w:hanging="425"/>
        <w:rPr>
          <w:rFonts w:ascii="Arial" w:hAnsi="Arial" w:cs="Arial"/>
          <w:color w:val="000000"/>
          <w:sz w:val="22"/>
          <w:szCs w:val="22"/>
        </w:rPr>
      </w:pPr>
      <w:r w:rsidRPr="00380DBC">
        <w:rPr>
          <w:rFonts w:ascii="Arial" w:hAnsi="Arial" w:cs="Arial"/>
          <w:color w:val="000000"/>
          <w:sz w:val="22"/>
          <w:szCs w:val="22"/>
        </w:rPr>
        <w:t>a public act, done reasonably and in good faith, for academic, artistic, scientific or research purposes or for other purposes in the public interest, including public discussion or debate about, and expositions of, any act or matter.</w:t>
      </w:r>
    </w:p>
    <w:p w14:paraId="763A8CFF" w14:textId="0F5DCB59" w:rsidR="00752BB6" w:rsidRPr="00380DBC" w:rsidRDefault="00752BB6" w:rsidP="00FA551C">
      <w:pPr>
        <w:pStyle w:val="ListParagraph"/>
        <w:numPr>
          <w:ilvl w:val="0"/>
          <w:numId w:val="4"/>
        </w:numPr>
        <w:spacing w:before="120" w:after="120" w:line="276" w:lineRule="auto"/>
        <w:ind w:left="567" w:hanging="567"/>
        <w:contextualSpacing w:val="0"/>
        <w:rPr>
          <w:rFonts w:cs="Arial"/>
          <w:color w:val="000000"/>
        </w:rPr>
      </w:pPr>
      <w:r w:rsidRPr="00380DBC">
        <w:rPr>
          <w:rFonts w:cs="Arial"/>
          <w:color w:val="000000"/>
        </w:rPr>
        <w:t xml:space="preserve">A ‘public act’ is defined in section 4A of the </w:t>
      </w:r>
      <w:r w:rsidR="005463FE" w:rsidRPr="00C6264C">
        <w:rPr>
          <w:rFonts w:cs="Arial"/>
          <w:i/>
          <w:color w:val="000000"/>
        </w:rPr>
        <w:t>Anti-Discrimination Act 1991</w:t>
      </w:r>
      <w:r w:rsidR="005463FE">
        <w:rPr>
          <w:rFonts w:cs="Arial"/>
          <w:color w:val="000000"/>
        </w:rPr>
        <w:t xml:space="preserve"> </w:t>
      </w:r>
      <w:r w:rsidRPr="00380DBC">
        <w:rPr>
          <w:rFonts w:cs="Arial"/>
          <w:color w:val="000000"/>
        </w:rPr>
        <w:t>as follows:</w:t>
      </w:r>
    </w:p>
    <w:p w14:paraId="3F401B28" w14:textId="77777777" w:rsidR="00752BB6" w:rsidRPr="00380DBC" w:rsidRDefault="00752BB6" w:rsidP="00752BB6">
      <w:pPr>
        <w:pStyle w:val="NormalWeb"/>
        <w:spacing w:before="120" w:beforeAutospacing="0" w:after="120" w:afterAutospacing="0"/>
        <w:ind w:left="851" w:right="804"/>
        <w:rPr>
          <w:rFonts w:ascii="Arial" w:hAnsi="Arial" w:cs="Arial"/>
          <w:b/>
          <w:color w:val="000000"/>
          <w:sz w:val="22"/>
          <w:szCs w:val="22"/>
        </w:rPr>
      </w:pPr>
      <w:r w:rsidRPr="00380DBC">
        <w:rPr>
          <w:rFonts w:ascii="Arial" w:hAnsi="Arial" w:cs="Arial"/>
          <w:b/>
          <w:color w:val="000000"/>
          <w:sz w:val="22"/>
          <w:szCs w:val="22"/>
        </w:rPr>
        <w:t xml:space="preserve">4A </w:t>
      </w:r>
      <w:r>
        <w:rPr>
          <w:rFonts w:ascii="Arial" w:hAnsi="Arial" w:cs="Arial"/>
          <w:b/>
          <w:color w:val="000000"/>
          <w:sz w:val="22"/>
          <w:szCs w:val="22"/>
        </w:rPr>
        <w:t xml:space="preserve"> </w:t>
      </w:r>
      <w:r w:rsidRPr="00380DBC">
        <w:rPr>
          <w:rFonts w:ascii="Arial" w:hAnsi="Arial" w:cs="Arial"/>
          <w:b/>
          <w:color w:val="000000"/>
          <w:sz w:val="22"/>
          <w:szCs w:val="22"/>
        </w:rPr>
        <w:t xml:space="preserve">Meaning of </w:t>
      </w:r>
      <w:r w:rsidRPr="00380DBC">
        <w:rPr>
          <w:rFonts w:ascii="Arial" w:hAnsi="Arial" w:cs="Arial"/>
          <w:b/>
          <w:i/>
          <w:color w:val="000000"/>
          <w:sz w:val="22"/>
          <w:szCs w:val="22"/>
        </w:rPr>
        <w:t>public act</w:t>
      </w:r>
    </w:p>
    <w:p w14:paraId="195EA593" w14:textId="77777777" w:rsidR="00752BB6" w:rsidRPr="00380DBC" w:rsidRDefault="00752BB6" w:rsidP="00752BB6">
      <w:pPr>
        <w:pStyle w:val="NormalWeb"/>
        <w:numPr>
          <w:ilvl w:val="0"/>
          <w:numId w:val="37"/>
        </w:numPr>
        <w:spacing w:before="120" w:beforeAutospacing="0" w:after="120" w:afterAutospacing="0"/>
        <w:ind w:left="1276" w:right="680" w:hanging="425"/>
        <w:rPr>
          <w:rFonts w:ascii="Arial" w:hAnsi="Arial" w:cs="Arial"/>
          <w:color w:val="000000"/>
          <w:sz w:val="22"/>
          <w:szCs w:val="22"/>
        </w:rPr>
      </w:pPr>
      <w:r w:rsidRPr="00380DBC">
        <w:rPr>
          <w:rFonts w:ascii="Arial" w:hAnsi="Arial" w:cs="Arial"/>
          <w:color w:val="000000"/>
          <w:sz w:val="22"/>
          <w:szCs w:val="22"/>
        </w:rPr>
        <w:t xml:space="preserve">A </w:t>
      </w:r>
      <w:r w:rsidRPr="00380DBC">
        <w:rPr>
          <w:rFonts w:ascii="Arial" w:hAnsi="Arial" w:cs="Arial"/>
          <w:b/>
          <w:i/>
          <w:color w:val="000000"/>
          <w:sz w:val="22"/>
          <w:szCs w:val="22"/>
        </w:rPr>
        <w:t>public act</w:t>
      </w:r>
      <w:r w:rsidRPr="00380DBC">
        <w:rPr>
          <w:rFonts w:ascii="Arial" w:hAnsi="Arial" w:cs="Arial"/>
          <w:color w:val="000000"/>
          <w:sz w:val="22"/>
          <w:szCs w:val="22"/>
        </w:rPr>
        <w:t xml:space="preserve"> includes – </w:t>
      </w:r>
    </w:p>
    <w:p w14:paraId="5F02BC49" w14:textId="77777777" w:rsidR="00752BB6" w:rsidRPr="00380DBC" w:rsidRDefault="00752BB6" w:rsidP="00752BB6">
      <w:pPr>
        <w:pStyle w:val="NormalWeb"/>
        <w:numPr>
          <w:ilvl w:val="1"/>
          <w:numId w:val="37"/>
        </w:numPr>
        <w:spacing w:before="120" w:beforeAutospacing="0" w:after="120" w:afterAutospacing="0"/>
        <w:ind w:left="1843" w:right="680" w:hanging="425"/>
        <w:rPr>
          <w:rFonts w:ascii="Arial" w:hAnsi="Arial" w:cs="Arial"/>
          <w:color w:val="000000"/>
          <w:sz w:val="22"/>
          <w:szCs w:val="22"/>
        </w:rPr>
      </w:pPr>
      <w:r w:rsidRPr="00380DBC">
        <w:rPr>
          <w:rFonts w:ascii="Arial" w:hAnsi="Arial" w:cs="Arial"/>
          <w:color w:val="000000"/>
          <w:sz w:val="22"/>
          <w:szCs w:val="22"/>
        </w:rPr>
        <w:t>any form of communication to the public, including by speaking, writing, printing, displaying notices, broadcasting, telecasting, screening or playing tapes or other recorded material, or by electronic means; and</w:t>
      </w:r>
    </w:p>
    <w:p w14:paraId="06FE2C17" w14:textId="77777777" w:rsidR="00752BB6" w:rsidRPr="00380DBC" w:rsidRDefault="00752BB6" w:rsidP="00752BB6">
      <w:pPr>
        <w:pStyle w:val="NormalWeb"/>
        <w:numPr>
          <w:ilvl w:val="1"/>
          <w:numId w:val="37"/>
        </w:numPr>
        <w:spacing w:before="120" w:beforeAutospacing="0" w:after="120" w:afterAutospacing="0"/>
        <w:ind w:left="1843" w:right="680" w:hanging="425"/>
        <w:rPr>
          <w:rFonts w:ascii="Arial" w:hAnsi="Arial" w:cs="Arial"/>
          <w:color w:val="000000"/>
          <w:sz w:val="22"/>
          <w:szCs w:val="22"/>
        </w:rPr>
      </w:pPr>
      <w:r w:rsidRPr="00380DBC">
        <w:rPr>
          <w:rFonts w:ascii="Arial" w:hAnsi="Arial" w:cs="Arial"/>
          <w:color w:val="000000"/>
          <w:sz w:val="22"/>
          <w:szCs w:val="22"/>
        </w:rPr>
        <w:t>any conduct that is observable by the public, including actions, gestures and the wearing or display of clothing, signs, flags, emblems or insignia.</w:t>
      </w:r>
    </w:p>
    <w:p w14:paraId="5FEE3396" w14:textId="77777777" w:rsidR="00752BB6" w:rsidRDefault="00752BB6" w:rsidP="00FA551C">
      <w:pPr>
        <w:pStyle w:val="NormalWeb"/>
        <w:numPr>
          <w:ilvl w:val="0"/>
          <w:numId w:val="37"/>
        </w:numPr>
        <w:spacing w:before="120" w:beforeAutospacing="0" w:after="240" w:afterAutospacing="0"/>
        <w:ind w:left="1276" w:right="680" w:hanging="425"/>
      </w:pPr>
      <w:r w:rsidRPr="00380DBC">
        <w:rPr>
          <w:rFonts w:ascii="Arial" w:hAnsi="Arial" w:cs="Arial"/>
          <w:color w:val="000000"/>
          <w:sz w:val="22"/>
          <w:szCs w:val="22"/>
        </w:rPr>
        <w:t xml:space="preserve">Despite anything in subsection (1), a </w:t>
      </w:r>
      <w:r w:rsidRPr="00380DBC">
        <w:rPr>
          <w:rFonts w:ascii="Arial" w:hAnsi="Arial" w:cs="Arial"/>
          <w:b/>
          <w:i/>
          <w:color w:val="000000"/>
          <w:sz w:val="22"/>
          <w:szCs w:val="22"/>
        </w:rPr>
        <w:t>public act</w:t>
      </w:r>
      <w:r w:rsidRPr="00380DBC">
        <w:rPr>
          <w:rFonts w:ascii="Arial" w:hAnsi="Arial" w:cs="Arial"/>
          <w:color w:val="000000"/>
          <w:sz w:val="22"/>
          <w:szCs w:val="22"/>
        </w:rPr>
        <w:t xml:space="preserve"> does not include the distribution or dissemination of any matter by a person to the public if the person does not know, and could not reasonably be expected to know, the content of the matter.</w:t>
      </w:r>
    </w:p>
    <w:p w14:paraId="0A70F38D" w14:textId="203775F4" w:rsidR="002A512A" w:rsidRPr="00FB681C" w:rsidRDefault="00752BB6" w:rsidP="00752BB6">
      <w:pPr>
        <w:pStyle w:val="ListParagraph"/>
        <w:numPr>
          <w:ilvl w:val="0"/>
          <w:numId w:val="4"/>
        </w:numPr>
        <w:spacing w:before="120" w:after="240" w:line="276" w:lineRule="auto"/>
        <w:ind w:left="567" w:hanging="567"/>
        <w:contextualSpacing w:val="0"/>
        <w:rPr>
          <w:rFonts w:cs="Arial"/>
        </w:rPr>
      </w:pPr>
      <w:r>
        <w:t>The prohibition in section 124A is not a criminal offence.  The remedy is a civil claim that is commenced by complaint to the Commission.  The Commission’s role is to assist the parties to resolve the complaint through conciliation.  Unresolved complaints may be referred to the tribunal.  For work-related complaints the tribunal is the Queensland Industrial Relations Commission, and for all other complaints the tribunal is the Queensland Civil and Administrative Tribunal.</w:t>
      </w:r>
      <w:r>
        <w:rPr>
          <w:rStyle w:val="FootnoteReference"/>
        </w:rPr>
        <w:footnoteReference w:id="67"/>
      </w:r>
    </w:p>
    <w:p w14:paraId="0AB4CC9D" w14:textId="70194378" w:rsidR="00FB681C" w:rsidRPr="00FB681C" w:rsidRDefault="00FB681C" w:rsidP="00732EB8">
      <w:pPr>
        <w:pStyle w:val="Heading2"/>
      </w:pPr>
      <w:bookmarkStart w:id="29" w:name="_Toc76730708"/>
      <w:r>
        <w:lastRenderedPageBreak/>
        <w:t>Vilification complaints at the Commission stage</w:t>
      </w:r>
      <w:bookmarkEnd w:id="29"/>
    </w:p>
    <w:p w14:paraId="456994DA" w14:textId="38EE96A7" w:rsidR="00F817A1" w:rsidRDefault="00F817A1" w:rsidP="00752BB6">
      <w:pPr>
        <w:pStyle w:val="ListParagraph"/>
        <w:numPr>
          <w:ilvl w:val="0"/>
          <w:numId w:val="4"/>
        </w:numPr>
        <w:spacing w:before="120" w:after="240" w:line="276" w:lineRule="auto"/>
        <w:ind w:left="567" w:hanging="567"/>
        <w:contextualSpacing w:val="0"/>
        <w:rPr>
          <w:rFonts w:cs="Arial"/>
        </w:rPr>
      </w:pPr>
      <w:r>
        <w:rPr>
          <w:rFonts w:cs="Arial"/>
        </w:rPr>
        <w:t>The legal framework for enforcement of the prohibition against vilification at the civil level</w:t>
      </w:r>
      <w:r w:rsidR="00EE4810">
        <w:rPr>
          <w:rFonts w:cs="Arial"/>
        </w:rPr>
        <w:t xml:space="preserve"> is a claims process that is commenced by complaint, and is progressed by the person making the complaint.</w:t>
      </w:r>
    </w:p>
    <w:p w14:paraId="4C2DA383" w14:textId="2FB4FA8F" w:rsidR="00FB681C" w:rsidRDefault="00987DCA" w:rsidP="00752BB6">
      <w:pPr>
        <w:pStyle w:val="ListParagraph"/>
        <w:numPr>
          <w:ilvl w:val="0"/>
          <w:numId w:val="4"/>
        </w:numPr>
        <w:spacing w:before="120" w:after="240" w:line="276" w:lineRule="auto"/>
        <w:ind w:left="567" w:hanging="567"/>
        <w:contextualSpacing w:val="0"/>
        <w:rPr>
          <w:rFonts w:cs="Arial"/>
        </w:rPr>
      </w:pPr>
      <w:r>
        <w:rPr>
          <w:rFonts w:cs="Arial"/>
        </w:rPr>
        <w:t xml:space="preserve">A complaint of any contravention of the </w:t>
      </w:r>
      <w:r>
        <w:rPr>
          <w:rFonts w:cs="Arial"/>
          <w:i/>
        </w:rPr>
        <w:t xml:space="preserve">Anti-Discrimination Act 1991 </w:t>
      </w:r>
      <w:r>
        <w:rPr>
          <w:rFonts w:cs="Arial"/>
        </w:rPr>
        <w:t>must be made in writing to the Commission, and must set out reasonably sufficient details to indicate an alleged contravention of the Act.</w:t>
      </w:r>
      <w:r>
        <w:rPr>
          <w:rStyle w:val="FootnoteReference"/>
          <w:rFonts w:cs="Arial"/>
        </w:rPr>
        <w:footnoteReference w:id="68"/>
      </w:r>
      <w:r>
        <w:rPr>
          <w:rFonts w:cs="Arial"/>
        </w:rPr>
        <w:t xml:space="preserve">  </w:t>
      </w:r>
      <w:r w:rsidRPr="00855C5C">
        <w:rPr>
          <w:rFonts w:cs="Arial"/>
        </w:rPr>
        <w:t>After receipt of a complaint, the complaint is assessed as to whether it meets this criteria.</w:t>
      </w:r>
      <w:r w:rsidR="00584422" w:rsidRPr="00855C5C">
        <w:rPr>
          <w:rFonts w:cs="Arial"/>
        </w:rPr>
        <w:t xml:space="preserve">  </w:t>
      </w:r>
      <w:r w:rsidR="007F67EF" w:rsidRPr="00F83AEB">
        <w:rPr>
          <w:rFonts w:cs="Arial"/>
        </w:rPr>
        <w:t>Historically</w:t>
      </w:r>
      <w:r w:rsidR="00584422" w:rsidRPr="00F83AEB">
        <w:rPr>
          <w:rFonts w:cs="Arial"/>
        </w:rPr>
        <w:t xml:space="preserve">, approximately 55-60% of </w:t>
      </w:r>
      <w:r w:rsidR="00BC7187" w:rsidRPr="00F83AEB">
        <w:rPr>
          <w:rFonts w:cs="Arial"/>
        </w:rPr>
        <w:t xml:space="preserve">all </w:t>
      </w:r>
      <w:r w:rsidR="00584422" w:rsidRPr="00F83AEB">
        <w:rPr>
          <w:rFonts w:cs="Arial"/>
        </w:rPr>
        <w:t>complaints received are accepted, although over recent years this has dropped</w:t>
      </w:r>
      <w:r w:rsidR="009063DB" w:rsidRPr="00F83AEB">
        <w:rPr>
          <w:rFonts w:cs="Arial"/>
        </w:rPr>
        <w:t xml:space="preserve"> to</w:t>
      </w:r>
      <w:r w:rsidR="00584422" w:rsidRPr="00F83AEB">
        <w:rPr>
          <w:rFonts w:cs="Arial"/>
        </w:rPr>
        <w:t xml:space="preserve"> 47%</w:t>
      </w:r>
      <w:r w:rsidR="009063DB" w:rsidRPr="00F83AEB">
        <w:rPr>
          <w:rFonts w:cs="Arial"/>
        </w:rPr>
        <w:t xml:space="preserve"> </w:t>
      </w:r>
      <w:r w:rsidR="00584422" w:rsidRPr="00F83AEB">
        <w:rPr>
          <w:rFonts w:cs="Arial"/>
        </w:rPr>
        <w:t xml:space="preserve">in 2019-2020 and </w:t>
      </w:r>
      <w:r w:rsidR="002F03E1" w:rsidRPr="00F83AEB">
        <w:rPr>
          <w:rFonts w:cs="Arial"/>
        </w:rPr>
        <w:t>31</w:t>
      </w:r>
      <w:r w:rsidR="00584422" w:rsidRPr="00F83AEB">
        <w:rPr>
          <w:rFonts w:cs="Arial"/>
        </w:rPr>
        <w:t>% in 2020-2021.</w:t>
      </w:r>
      <w:r w:rsidR="002F03E1" w:rsidRPr="00F83AEB">
        <w:rPr>
          <w:rStyle w:val="FootnoteReference"/>
          <w:rFonts w:cs="Arial"/>
        </w:rPr>
        <w:footnoteReference w:id="69"/>
      </w:r>
    </w:p>
    <w:p w14:paraId="52AA435E" w14:textId="015DD419" w:rsidR="002931EF" w:rsidRDefault="002931EF" w:rsidP="002931EF">
      <w:pPr>
        <w:pStyle w:val="ListParagraph"/>
        <w:numPr>
          <w:ilvl w:val="0"/>
          <w:numId w:val="4"/>
        </w:numPr>
        <w:spacing w:before="120" w:after="240" w:line="276" w:lineRule="auto"/>
        <w:ind w:left="567" w:hanging="567"/>
        <w:contextualSpacing w:val="0"/>
      </w:pPr>
      <w:r>
        <w:t xml:space="preserve">The </w:t>
      </w:r>
      <w:r w:rsidRPr="002931EF">
        <w:rPr>
          <w:rFonts w:cs="Arial"/>
        </w:rPr>
        <w:t>number</w:t>
      </w:r>
      <w:r>
        <w:t xml:space="preserve"> of vilification complaints accepted by the Commission to 30 June 2021 is set out in the table at </w:t>
      </w:r>
      <w:r w:rsidR="00397835" w:rsidRPr="009A6807">
        <w:rPr>
          <w:b/>
        </w:rPr>
        <w:t>Appendix 4</w:t>
      </w:r>
      <w:r>
        <w:t>.</w:t>
      </w:r>
      <w:r>
        <w:rPr>
          <w:rStyle w:val="FootnoteReference"/>
        </w:rPr>
        <w:footnoteReference w:id="70"/>
      </w:r>
      <w:r>
        <w:t xml:space="preserve">  The table includes a breakdown of the complaints by attribute (race, religion, sexuality, and gender identity).</w:t>
      </w:r>
    </w:p>
    <w:p w14:paraId="1F203A96" w14:textId="77777777" w:rsidR="006C3C9A" w:rsidRPr="00473F47" w:rsidRDefault="006C3C9A" w:rsidP="006C3C9A">
      <w:pPr>
        <w:pStyle w:val="ListParagraph"/>
        <w:numPr>
          <w:ilvl w:val="0"/>
          <w:numId w:val="4"/>
        </w:numPr>
        <w:spacing w:before="120" w:after="240" w:line="276" w:lineRule="auto"/>
        <w:ind w:left="567" w:hanging="567"/>
        <w:contextualSpacing w:val="0"/>
      </w:pPr>
      <w:r>
        <w:rPr>
          <w:rFonts w:cs="Arial"/>
        </w:rPr>
        <w:t>The Commission is required to try to resolve accepted complaints through conciliation, and may direct a person to take part in a conciliation conference.</w:t>
      </w:r>
    </w:p>
    <w:p w14:paraId="68E753DF" w14:textId="18DE2DAA" w:rsidR="002931EF" w:rsidRPr="002F03E1" w:rsidRDefault="002931EF" w:rsidP="002931EF">
      <w:pPr>
        <w:pStyle w:val="ListParagraph"/>
        <w:numPr>
          <w:ilvl w:val="0"/>
          <w:numId w:val="4"/>
        </w:numPr>
        <w:spacing w:before="120" w:after="240" w:line="276" w:lineRule="auto"/>
        <w:ind w:left="567" w:hanging="567"/>
        <w:contextualSpacing w:val="0"/>
      </w:pPr>
      <w:r w:rsidRPr="002F03E1">
        <w:t xml:space="preserve">In the </w:t>
      </w:r>
      <w:r w:rsidRPr="002F03E1">
        <w:rPr>
          <w:rFonts w:cs="Arial"/>
        </w:rPr>
        <w:t>period</w:t>
      </w:r>
      <w:r w:rsidRPr="002F03E1">
        <w:t xml:space="preserve"> from 1 January 2009</w:t>
      </w:r>
      <w:r w:rsidRPr="002F03E1">
        <w:rPr>
          <w:rStyle w:val="FootnoteReference"/>
        </w:rPr>
        <w:footnoteReference w:id="71"/>
      </w:r>
      <w:r w:rsidRPr="002F03E1">
        <w:t xml:space="preserve"> to 30 June 2021, the Commission accepted </w:t>
      </w:r>
      <w:r w:rsidR="002F03E1" w:rsidRPr="002F03E1">
        <w:t>209</w:t>
      </w:r>
      <w:r w:rsidRPr="002F03E1">
        <w:t xml:space="preserve"> complaints of vilification.  Of the </w:t>
      </w:r>
      <w:r w:rsidR="002F03E1" w:rsidRPr="002F03E1">
        <w:t>209</w:t>
      </w:r>
      <w:r w:rsidRPr="002F03E1">
        <w:t xml:space="preserve"> accepted vilification complaints in that period, </w:t>
      </w:r>
      <w:r w:rsidR="002F03E1" w:rsidRPr="002F03E1">
        <w:t>83</w:t>
      </w:r>
      <w:r w:rsidRPr="002F03E1">
        <w:t xml:space="preserve"> were resolved through conciliation (approximately </w:t>
      </w:r>
      <w:r w:rsidR="002F03E1" w:rsidRPr="002F03E1">
        <w:t>40</w:t>
      </w:r>
      <w:r w:rsidRPr="002F03E1">
        <w:t xml:space="preserve">%) and </w:t>
      </w:r>
      <w:r w:rsidR="002F03E1" w:rsidRPr="002F03E1">
        <w:t>61</w:t>
      </w:r>
      <w:r w:rsidRPr="002F03E1">
        <w:t xml:space="preserve"> were referred to the tribunal (approximately </w:t>
      </w:r>
      <w:r w:rsidR="002F03E1" w:rsidRPr="002F03E1">
        <w:t>29</w:t>
      </w:r>
      <w:r w:rsidRPr="002F03E1">
        <w:t>%).</w:t>
      </w:r>
    </w:p>
    <w:p w14:paraId="0D899357" w14:textId="5DBFAB2C" w:rsidR="002931EF" w:rsidRDefault="00827E90" w:rsidP="002931EF">
      <w:pPr>
        <w:pStyle w:val="ListParagraph"/>
        <w:numPr>
          <w:ilvl w:val="0"/>
          <w:numId w:val="4"/>
        </w:numPr>
        <w:spacing w:before="120" w:after="240" w:line="276" w:lineRule="auto"/>
        <w:ind w:left="567" w:hanging="567"/>
        <w:contextualSpacing w:val="0"/>
      </w:pPr>
      <w:r>
        <w:t>Over</w:t>
      </w:r>
      <w:r w:rsidR="002931EF">
        <w:t xml:space="preserve"> </w:t>
      </w:r>
      <w:r>
        <w:t>that</w:t>
      </w:r>
      <w:r w:rsidR="002931EF">
        <w:t xml:space="preserve"> period, the average rates for conciliation and referral for overall complaints were</w:t>
      </w:r>
      <w:r>
        <w:t xml:space="preserve"> approximately</w:t>
      </w:r>
      <w:r w:rsidR="002931EF">
        <w:t xml:space="preserve"> </w:t>
      </w:r>
      <w:r w:rsidRPr="00827E90">
        <w:t>56</w:t>
      </w:r>
      <w:r w:rsidR="002931EF" w:rsidRPr="00827E90">
        <w:t>%</w:t>
      </w:r>
      <w:r w:rsidR="002931EF">
        <w:t xml:space="preserve"> and </w:t>
      </w:r>
      <w:r w:rsidRPr="00827E90">
        <w:t>25</w:t>
      </w:r>
      <w:r w:rsidR="002931EF" w:rsidRPr="00827E90">
        <w:t>%</w:t>
      </w:r>
      <w:r w:rsidR="002931EF">
        <w:t xml:space="preserve"> respectively.  </w:t>
      </w:r>
    </w:p>
    <w:p w14:paraId="71E637B6" w14:textId="006CA7F4" w:rsidR="002931EF" w:rsidRDefault="002931EF" w:rsidP="002931EF">
      <w:pPr>
        <w:pStyle w:val="ListParagraph"/>
        <w:numPr>
          <w:ilvl w:val="0"/>
          <w:numId w:val="4"/>
        </w:numPr>
        <w:spacing w:before="120" w:after="240" w:line="276" w:lineRule="auto"/>
        <w:ind w:left="567" w:hanging="567"/>
        <w:contextualSpacing w:val="0"/>
      </w:pPr>
      <w:r w:rsidRPr="002931EF">
        <w:rPr>
          <w:rFonts w:cs="Arial"/>
        </w:rPr>
        <w:t>Commission</w:t>
      </w:r>
      <w:r>
        <w:t xml:space="preserve"> conciliators report that complaints of vilification between neighbours can be challenging to conciliate due to ongoing animosity.  Also challenging are complaints where there are other issues between the parties, for example parenting proceedings between the parties.</w:t>
      </w:r>
    </w:p>
    <w:p w14:paraId="6373EDB1" w14:textId="481BD648" w:rsidR="00D71324" w:rsidRDefault="008601EF" w:rsidP="002931EF">
      <w:pPr>
        <w:pStyle w:val="ListParagraph"/>
        <w:numPr>
          <w:ilvl w:val="0"/>
          <w:numId w:val="4"/>
        </w:numPr>
        <w:spacing w:before="120" w:after="240" w:line="276" w:lineRule="auto"/>
        <w:ind w:left="567" w:hanging="567"/>
        <w:contextualSpacing w:val="0"/>
      </w:pPr>
      <w:r>
        <w:rPr>
          <w:rFonts w:cs="Arial"/>
        </w:rPr>
        <w:t>The statistics indicate a level of success</w:t>
      </w:r>
      <w:r w:rsidR="00D71324">
        <w:rPr>
          <w:rFonts w:cs="Arial"/>
        </w:rPr>
        <w:t xml:space="preserve"> </w:t>
      </w:r>
      <w:r>
        <w:rPr>
          <w:rFonts w:cs="Arial"/>
        </w:rPr>
        <w:t>in</w:t>
      </w:r>
      <w:r w:rsidR="00D71324">
        <w:rPr>
          <w:rFonts w:cs="Arial"/>
        </w:rPr>
        <w:t xml:space="preserve"> resolving complaints</w:t>
      </w:r>
      <w:r>
        <w:rPr>
          <w:rFonts w:cs="Arial"/>
        </w:rPr>
        <w:t xml:space="preserve"> through conciliation, and conciliators also report that the</w:t>
      </w:r>
      <w:r w:rsidR="00D71324">
        <w:rPr>
          <w:rFonts w:cs="Arial"/>
        </w:rPr>
        <w:t xml:space="preserve"> conciliation </w:t>
      </w:r>
      <w:r>
        <w:rPr>
          <w:rFonts w:cs="Arial"/>
        </w:rPr>
        <w:t xml:space="preserve">process </w:t>
      </w:r>
      <w:r w:rsidR="00D71324">
        <w:rPr>
          <w:rFonts w:cs="Arial"/>
        </w:rPr>
        <w:t>has been effective in increasing understanding as to conduct that is unlawful and the impacts of vilification on persons subjected to it.</w:t>
      </w:r>
    </w:p>
    <w:p w14:paraId="29DB0103" w14:textId="1CD69632" w:rsidR="00987DCA" w:rsidRPr="008601EF" w:rsidRDefault="00D71324" w:rsidP="002931EF">
      <w:pPr>
        <w:pStyle w:val="ListParagraph"/>
        <w:numPr>
          <w:ilvl w:val="0"/>
          <w:numId w:val="4"/>
        </w:numPr>
        <w:spacing w:before="120" w:after="240" w:line="276" w:lineRule="auto"/>
        <w:ind w:left="567" w:hanging="567"/>
        <w:contextualSpacing w:val="0"/>
        <w:rPr>
          <w:rFonts w:cs="Arial"/>
        </w:rPr>
      </w:pPr>
      <w:r>
        <w:rPr>
          <w:rFonts w:cs="Arial"/>
        </w:rPr>
        <w:lastRenderedPageBreak/>
        <w:t xml:space="preserve">The </w:t>
      </w:r>
      <w:r w:rsidR="002931EF">
        <w:t xml:space="preserve">conciliation </w:t>
      </w:r>
      <w:r w:rsidR="006E2167">
        <w:t xml:space="preserve">process </w:t>
      </w:r>
      <w:r w:rsidR="002931EF">
        <w:t>is not confined to a conference where all parties are present in person or by telephone.  Shuttle discussions may be more appropriate for certain complaints.  The Commission has a flexible approach to how conciliation may be undertaken for each complaint.</w:t>
      </w:r>
    </w:p>
    <w:p w14:paraId="499809FA" w14:textId="67F795CF" w:rsidR="008601EF" w:rsidRDefault="008601EF" w:rsidP="002931EF">
      <w:pPr>
        <w:pStyle w:val="ListParagraph"/>
        <w:numPr>
          <w:ilvl w:val="0"/>
          <w:numId w:val="4"/>
        </w:numPr>
        <w:spacing w:before="120" w:after="240" w:line="276" w:lineRule="auto"/>
        <w:ind w:left="567" w:hanging="567"/>
        <w:contextualSpacing w:val="0"/>
        <w:rPr>
          <w:rFonts w:cs="Arial"/>
        </w:rPr>
      </w:pPr>
      <w:r>
        <w:rPr>
          <w:rFonts w:cs="Arial"/>
        </w:rPr>
        <w:t>However, despite the effectiveness of conciliation, community representatives say that people subjected to vilification are often reluctant to make a complaint because the process involves engaging with the perso</w:t>
      </w:r>
      <w:r w:rsidR="00D52636">
        <w:rPr>
          <w:rFonts w:cs="Arial"/>
        </w:rPr>
        <w:t>n who has vilified them, or the person doesn’t participate in the conciliation, and the complainant is left to refer the complaint to the tribunal and proceed to a hearing.</w:t>
      </w:r>
      <w:r w:rsidR="00EE4810">
        <w:rPr>
          <w:rFonts w:cs="Arial"/>
        </w:rPr>
        <w:t xml:space="preserve">  This places the onus and burden on the person subjected to the vilification to take action.</w:t>
      </w:r>
    </w:p>
    <w:p w14:paraId="44D3AE31" w14:textId="3922A0BB" w:rsidR="00D1551A" w:rsidRDefault="00D1551A" w:rsidP="002931EF">
      <w:pPr>
        <w:pStyle w:val="ListParagraph"/>
        <w:numPr>
          <w:ilvl w:val="0"/>
          <w:numId w:val="4"/>
        </w:numPr>
        <w:spacing w:before="120" w:after="240" w:line="276" w:lineRule="auto"/>
        <w:ind w:left="567" w:hanging="567"/>
        <w:contextualSpacing w:val="0"/>
        <w:rPr>
          <w:rFonts w:cs="Arial"/>
        </w:rPr>
      </w:pPr>
      <w:r w:rsidRPr="001205F8">
        <w:rPr>
          <w:rFonts w:cs="Arial"/>
        </w:rPr>
        <w:t>Pursuing a complaint through the tribunal hearing process requires commitment and can be taxing on the individual, and the outcome might be unrewarding.</w:t>
      </w:r>
      <w:r w:rsidR="00844E9D">
        <w:rPr>
          <w:rFonts w:cs="Arial"/>
        </w:rPr>
        <w:t xml:space="preserve">  For example, a woman who experienced verbal abuse and insults based on her race and religion over a period of time</w:t>
      </w:r>
      <w:r w:rsidR="00CA2CE5">
        <w:rPr>
          <w:rFonts w:cs="Arial"/>
        </w:rPr>
        <w:t xml:space="preserve"> from a man</w:t>
      </w:r>
      <w:r w:rsidR="00844E9D">
        <w:rPr>
          <w:rFonts w:cs="Arial"/>
        </w:rPr>
        <w:t>, pursued a complaint to hearing in the Queensland Civil and Administrative Tribunal.</w:t>
      </w:r>
      <w:r w:rsidR="00CA2CE5">
        <w:rPr>
          <w:rFonts w:cs="Arial"/>
        </w:rPr>
        <w:t xml:space="preserve">  The man gave evidence at the hearing and admitted saying some of the </w:t>
      </w:r>
      <w:r w:rsidR="00C50AFF">
        <w:rPr>
          <w:rFonts w:cs="Arial"/>
        </w:rPr>
        <w:t>things and denied others.  In a</w:t>
      </w:r>
      <w:r w:rsidR="00CA2CE5">
        <w:rPr>
          <w:rFonts w:cs="Arial"/>
        </w:rPr>
        <w:t xml:space="preserve"> decision comprising eleven paragraphs, the tribunal found that the man had racial</w:t>
      </w:r>
      <w:r w:rsidR="00C50AFF">
        <w:rPr>
          <w:rFonts w:cs="Arial"/>
        </w:rPr>
        <w:t>ly</w:t>
      </w:r>
      <w:r w:rsidR="00CA2CE5">
        <w:rPr>
          <w:rFonts w:cs="Arial"/>
        </w:rPr>
        <w:t xml:space="preserve"> vilified the woman</w:t>
      </w:r>
      <w:r w:rsidR="00C50AFF">
        <w:rPr>
          <w:rFonts w:cs="Arial"/>
        </w:rPr>
        <w:t>.  The sole order made by the tribunal in that case was</w:t>
      </w:r>
      <w:r w:rsidR="00CA2CE5">
        <w:rPr>
          <w:rFonts w:cs="Arial"/>
        </w:rPr>
        <w:t xml:space="preserve"> that h</w:t>
      </w:r>
      <w:r w:rsidR="00C50AFF">
        <w:rPr>
          <w:rFonts w:cs="Arial"/>
        </w:rPr>
        <w:t>e</w:t>
      </w:r>
      <w:r w:rsidR="00CA2CE5">
        <w:rPr>
          <w:rFonts w:cs="Arial"/>
        </w:rPr>
        <w:t xml:space="preserve"> ‘not make any remark that may constitute racial vilification relating to the Applicant’.</w:t>
      </w:r>
      <w:r w:rsidR="00CA2CE5">
        <w:rPr>
          <w:rStyle w:val="FootnoteReference"/>
          <w:rFonts w:cs="Arial"/>
        </w:rPr>
        <w:footnoteReference w:id="72"/>
      </w:r>
    </w:p>
    <w:p w14:paraId="7FE3BC3E" w14:textId="459CF748" w:rsidR="006833C4" w:rsidRDefault="00742B71" w:rsidP="002931EF">
      <w:pPr>
        <w:pStyle w:val="ListParagraph"/>
        <w:numPr>
          <w:ilvl w:val="0"/>
          <w:numId w:val="4"/>
        </w:numPr>
        <w:spacing w:before="120" w:after="240" w:line="276" w:lineRule="auto"/>
        <w:ind w:left="567" w:hanging="567"/>
        <w:contextualSpacing w:val="0"/>
        <w:rPr>
          <w:rFonts w:cs="Arial"/>
        </w:rPr>
      </w:pPr>
      <w:r w:rsidRPr="00914CDD">
        <w:rPr>
          <w:rFonts w:cs="Arial"/>
        </w:rPr>
        <w:t>A more proactive</w:t>
      </w:r>
      <w:r w:rsidR="00705873" w:rsidRPr="00914CDD">
        <w:rPr>
          <w:rFonts w:cs="Arial"/>
        </w:rPr>
        <w:t xml:space="preserve"> approach</w:t>
      </w:r>
      <w:r w:rsidRPr="00914CDD">
        <w:rPr>
          <w:rFonts w:cs="Arial"/>
        </w:rPr>
        <w:t xml:space="preserve">, </w:t>
      </w:r>
      <w:r w:rsidR="00C50AFF">
        <w:rPr>
          <w:rFonts w:cs="Arial"/>
        </w:rPr>
        <w:t>in addition to</w:t>
      </w:r>
      <w:r w:rsidRPr="00914CDD">
        <w:rPr>
          <w:rFonts w:cs="Arial"/>
        </w:rPr>
        <w:t xml:space="preserve"> </w:t>
      </w:r>
      <w:r w:rsidR="00914CDD" w:rsidRPr="00914CDD">
        <w:rPr>
          <w:rFonts w:cs="Arial"/>
        </w:rPr>
        <w:t xml:space="preserve">a </w:t>
      </w:r>
      <w:r w:rsidRPr="00914CDD">
        <w:rPr>
          <w:rFonts w:cs="Arial"/>
        </w:rPr>
        <w:t>remedial</w:t>
      </w:r>
      <w:r w:rsidR="00914CDD" w:rsidRPr="00914CDD">
        <w:rPr>
          <w:rFonts w:cs="Arial"/>
        </w:rPr>
        <w:t xml:space="preserve"> approach</w:t>
      </w:r>
      <w:r w:rsidRPr="00914CDD">
        <w:rPr>
          <w:rFonts w:cs="Arial"/>
        </w:rPr>
        <w:t xml:space="preserve">, </w:t>
      </w:r>
      <w:r w:rsidR="00914CDD" w:rsidRPr="00914CDD">
        <w:rPr>
          <w:rFonts w:cs="Arial"/>
        </w:rPr>
        <w:t>to</w:t>
      </w:r>
      <w:r w:rsidR="00705873" w:rsidRPr="00914CDD">
        <w:rPr>
          <w:rFonts w:cs="Arial"/>
        </w:rPr>
        <w:t xml:space="preserve"> strengthen the legal </w:t>
      </w:r>
      <w:r w:rsidRPr="00914CDD">
        <w:rPr>
          <w:rFonts w:cs="Arial"/>
        </w:rPr>
        <w:t xml:space="preserve">framework </w:t>
      </w:r>
      <w:r w:rsidR="00705873">
        <w:rPr>
          <w:rFonts w:cs="Arial"/>
        </w:rPr>
        <w:t>and</w:t>
      </w:r>
      <w:r w:rsidR="000F3A55">
        <w:rPr>
          <w:rFonts w:cs="Arial"/>
        </w:rPr>
        <w:t xml:space="preserve"> alleviate th</w:t>
      </w:r>
      <w:r w:rsidR="006E2167">
        <w:rPr>
          <w:rFonts w:cs="Arial"/>
        </w:rPr>
        <w:t>e burden on individual complainant</w:t>
      </w:r>
      <w:r w:rsidR="000F3A55">
        <w:rPr>
          <w:rFonts w:cs="Arial"/>
        </w:rPr>
        <w:t>s</w:t>
      </w:r>
      <w:r w:rsidR="00914CDD">
        <w:rPr>
          <w:rFonts w:cs="Arial"/>
        </w:rPr>
        <w:t>,</w:t>
      </w:r>
      <w:r w:rsidR="000F3A55">
        <w:rPr>
          <w:rFonts w:cs="Arial"/>
        </w:rPr>
        <w:t xml:space="preserve"> </w:t>
      </w:r>
      <w:r>
        <w:rPr>
          <w:rFonts w:cs="Arial"/>
        </w:rPr>
        <w:t>is to impose</w:t>
      </w:r>
      <w:r w:rsidR="000F3A55">
        <w:rPr>
          <w:rFonts w:cs="Arial"/>
        </w:rPr>
        <w:t xml:space="preserve"> a positive </w:t>
      </w:r>
      <w:r w:rsidR="006E2167">
        <w:rPr>
          <w:rFonts w:cs="Arial"/>
        </w:rPr>
        <w:t>duty</w:t>
      </w:r>
      <w:r w:rsidR="000F3A55">
        <w:rPr>
          <w:rFonts w:cs="Arial"/>
        </w:rPr>
        <w:t xml:space="preserve"> on </w:t>
      </w:r>
      <w:r w:rsidR="006833C4">
        <w:rPr>
          <w:rFonts w:cs="Arial"/>
        </w:rPr>
        <w:t xml:space="preserve">prescribed duty holders </w:t>
      </w:r>
      <w:r w:rsidR="00705873">
        <w:rPr>
          <w:rFonts w:cs="Arial"/>
        </w:rPr>
        <w:t>(</w:t>
      </w:r>
      <w:r w:rsidR="006833C4">
        <w:rPr>
          <w:rFonts w:cs="Arial"/>
        </w:rPr>
        <w:t xml:space="preserve">such as </w:t>
      </w:r>
      <w:r w:rsidR="000F3A55">
        <w:rPr>
          <w:rFonts w:cs="Arial"/>
        </w:rPr>
        <w:t>employers</w:t>
      </w:r>
      <w:r w:rsidR="006833C4">
        <w:rPr>
          <w:rFonts w:cs="Arial"/>
        </w:rPr>
        <w:t>, service providers, and sporting bodies</w:t>
      </w:r>
      <w:r w:rsidR="00705873">
        <w:rPr>
          <w:rFonts w:cs="Arial"/>
        </w:rPr>
        <w:t>)</w:t>
      </w:r>
      <w:r w:rsidR="006833C4">
        <w:rPr>
          <w:rFonts w:cs="Arial"/>
        </w:rPr>
        <w:t xml:space="preserve"> </w:t>
      </w:r>
      <w:r w:rsidR="000F3A55">
        <w:rPr>
          <w:rFonts w:cs="Arial"/>
        </w:rPr>
        <w:t xml:space="preserve">to </w:t>
      </w:r>
      <w:r w:rsidR="006833C4">
        <w:rPr>
          <w:rFonts w:cs="Arial"/>
        </w:rPr>
        <w:t xml:space="preserve">take reasonable and proportionate measures to </w:t>
      </w:r>
      <w:r w:rsidR="000F3A55">
        <w:rPr>
          <w:rFonts w:cs="Arial"/>
        </w:rPr>
        <w:t>eliminate vilification</w:t>
      </w:r>
      <w:r w:rsidR="006833C4">
        <w:rPr>
          <w:rFonts w:cs="Arial"/>
        </w:rPr>
        <w:t xml:space="preserve"> as far as possible.</w:t>
      </w:r>
      <w:r w:rsidR="00705873">
        <w:rPr>
          <w:rFonts w:cs="Arial"/>
        </w:rPr>
        <w:t xml:space="preserve">  This approach is discussed in the section of this submission on options to improve the civil prohibition and framework.</w:t>
      </w:r>
    </w:p>
    <w:p w14:paraId="2A67E0A5" w14:textId="1823A1A1" w:rsidR="000F3A55" w:rsidRDefault="00742B71" w:rsidP="002931EF">
      <w:pPr>
        <w:pStyle w:val="ListParagraph"/>
        <w:numPr>
          <w:ilvl w:val="0"/>
          <w:numId w:val="4"/>
        </w:numPr>
        <w:spacing w:before="120" w:after="240" w:line="276" w:lineRule="auto"/>
        <w:ind w:left="567" w:hanging="567"/>
        <w:contextualSpacing w:val="0"/>
        <w:rPr>
          <w:rFonts w:cs="Arial"/>
        </w:rPr>
      </w:pPr>
      <w:r>
        <w:rPr>
          <w:rFonts w:cs="Arial"/>
        </w:rPr>
        <w:t xml:space="preserve">Another option is to provide for </w:t>
      </w:r>
      <w:r w:rsidR="000F3A55">
        <w:rPr>
          <w:rFonts w:cs="Arial"/>
        </w:rPr>
        <w:t>a ‘vilification order’</w:t>
      </w:r>
      <w:r>
        <w:rPr>
          <w:rFonts w:cs="Arial"/>
        </w:rPr>
        <w:t xml:space="preserve"> in the nature of the existing domestic violence order framework</w:t>
      </w:r>
      <w:r w:rsidR="000F3A55">
        <w:rPr>
          <w:rFonts w:cs="Arial"/>
        </w:rPr>
        <w:t>.  A v</w:t>
      </w:r>
      <w:r w:rsidR="009367A8">
        <w:rPr>
          <w:rFonts w:cs="Arial"/>
        </w:rPr>
        <w:t>ilification order would enable</w:t>
      </w:r>
      <w:r w:rsidR="000F3A55">
        <w:rPr>
          <w:rFonts w:cs="Arial"/>
        </w:rPr>
        <w:t xml:space="preserve"> a complainant to apply to the tribunal for an order in the nature of a domestic violence order as an option or alternative outcome of a vilification complaint.  An alleged breach of the vilification order would constitute a criminal offence and be dealt with by the police.</w:t>
      </w:r>
      <w:r w:rsidR="009367A8">
        <w:rPr>
          <w:rFonts w:cs="Arial"/>
        </w:rPr>
        <w:t xml:space="preserve">  T</w:t>
      </w:r>
      <w:r w:rsidR="00705873">
        <w:rPr>
          <w:rFonts w:cs="Arial"/>
        </w:rPr>
        <w:t>his</w:t>
      </w:r>
      <w:r w:rsidR="009367A8">
        <w:rPr>
          <w:rFonts w:cs="Arial"/>
        </w:rPr>
        <w:t xml:space="preserve"> suggestion</w:t>
      </w:r>
      <w:r w:rsidR="00705873">
        <w:rPr>
          <w:rFonts w:cs="Arial"/>
        </w:rPr>
        <w:t xml:space="preserve"> is also</w:t>
      </w:r>
      <w:r w:rsidR="009367A8">
        <w:rPr>
          <w:rFonts w:cs="Arial"/>
        </w:rPr>
        <w:t xml:space="preserve"> discussed in the section on options to improve the civil prohibition.</w:t>
      </w:r>
    </w:p>
    <w:p w14:paraId="4070E161" w14:textId="3333D33D" w:rsidR="00FB681C" w:rsidRDefault="00FB681C" w:rsidP="00732EB8">
      <w:pPr>
        <w:pStyle w:val="Heading2"/>
      </w:pPr>
      <w:bookmarkStart w:id="30" w:name="_Toc76730709"/>
      <w:r>
        <w:t>How the law has been applied in Queensland</w:t>
      </w:r>
      <w:bookmarkEnd w:id="30"/>
    </w:p>
    <w:p w14:paraId="6DBC7BF2" w14:textId="37CF8A3C" w:rsidR="00A509AE" w:rsidRDefault="00A509AE" w:rsidP="000F4FAA">
      <w:pPr>
        <w:pStyle w:val="ListParagraph"/>
        <w:numPr>
          <w:ilvl w:val="0"/>
          <w:numId w:val="4"/>
        </w:numPr>
        <w:spacing w:before="120" w:after="120" w:line="276" w:lineRule="auto"/>
        <w:ind w:left="567" w:hanging="567"/>
        <w:contextualSpacing w:val="0"/>
      </w:pPr>
      <w:r>
        <w:t xml:space="preserve">The Queensland tribunals have mostly interpreted and applied the vilification provisions consistently with other jurisdictions with similar </w:t>
      </w:r>
      <w:r>
        <w:lastRenderedPageBreak/>
        <w:t>provision</w:t>
      </w:r>
      <w:r w:rsidR="006E2167">
        <w:t>s</w:t>
      </w:r>
      <w:r>
        <w:t>, in particular New South Wales</w:t>
      </w:r>
      <w:r w:rsidR="006E2167">
        <w:t xml:space="preserve">, and include </w:t>
      </w:r>
      <w:r w:rsidRPr="00EA47D4">
        <w:t>the following principles</w:t>
      </w:r>
      <w:r>
        <w:t>:</w:t>
      </w:r>
    </w:p>
    <w:p w14:paraId="72EBE447" w14:textId="0F108017" w:rsidR="00A509AE" w:rsidRDefault="00A509AE" w:rsidP="00A509AE">
      <w:pPr>
        <w:pStyle w:val="ListParagraph"/>
        <w:numPr>
          <w:ilvl w:val="1"/>
          <w:numId w:val="35"/>
        </w:numPr>
        <w:spacing w:before="120" w:after="120" w:line="276" w:lineRule="auto"/>
        <w:ind w:left="1418" w:hanging="567"/>
        <w:contextualSpacing w:val="0"/>
      </w:pPr>
      <w:r>
        <w:t>The communication to the public must be capable of being seen or heard without undue</w:t>
      </w:r>
      <w:r w:rsidR="006E2167">
        <w:t xml:space="preserve"> intrusion by a non-participant.</w:t>
      </w:r>
      <w:r>
        <w:rPr>
          <w:rStyle w:val="FootnoteReference"/>
        </w:rPr>
        <w:footnoteReference w:id="73"/>
      </w:r>
    </w:p>
    <w:p w14:paraId="5EA17140" w14:textId="701534FE" w:rsidR="00A509AE" w:rsidRDefault="00A509AE" w:rsidP="00A509AE">
      <w:pPr>
        <w:pStyle w:val="ListParagraph"/>
        <w:numPr>
          <w:ilvl w:val="1"/>
          <w:numId w:val="35"/>
        </w:numPr>
        <w:spacing w:before="120" w:after="120" w:line="276" w:lineRule="auto"/>
        <w:ind w:left="1418" w:hanging="567"/>
        <w:contextualSpacing w:val="0"/>
      </w:pPr>
      <w:r>
        <w:t>It is not necessary to show an intention</w:t>
      </w:r>
      <w:r w:rsidR="006E2167">
        <w:t xml:space="preserve"> to incite or actual incitement.</w:t>
      </w:r>
      <w:r>
        <w:rPr>
          <w:rStyle w:val="FootnoteReference"/>
        </w:rPr>
        <w:footnoteReference w:id="74"/>
      </w:r>
    </w:p>
    <w:p w14:paraId="72828F05" w14:textId="7DF7A383" w:rsidR="00A509AE" w:rsidRDefault="00A509AE" w:rsidP="00A509AE">
      <w:pPr>
        <w:pStyle w:val="ListParagraph"/>
        <w:numPr>
          <w:ilvl w:val="1"/>
          <w:numId w:val="35"/>
        </w:numPr>
        <w:spacing w:before="120" w:after="120" w:line="276" w:lineRule="auto"/>
        <w:ind w:left="1418" w:hanging="567"/>
        <w:contextualSpacing w:val="0"/>
      </w:pPr>
      <w:r>
        <w:t>The provisions do not make unlawful the use of words that merely convey hatred towards a person or the expression of seri</w:t>
      </w:r>
      <w:r w:rsidR="006E2167">
        <w:t>ous contempt or severe ridicule.</w:t>
      </w:r>
      <w:r>
        <w:rPr>
          <w:rStyle w:val="FootnoteReference"/>
        </w:rPr>
        <w:footnoteReference w:id="75"/>
      </w:r>
      <w:r>
        <w:t xml:space="preserve"> </w:t>
      </w:r>
    </w:p>
    <w:p w14:paraId="15B5ACCD" w14:textId="77777777" w:rsidR="00A509AE" w:rsidRDefault="00A509AE" w:rsidP="00A509AE">
      <w:pPr>
        <w:pStyle w:val="ListParagraph"/>
        <w:numPr>
          <w:ilvl w:val="1"/>
          <w:numId w:val="35"/>
        </w:numPr>
        <w:spacing w:before="120" w:after="240" w:line="276" w:lineRule="auto"/>
        <w:ind w:left="1418" w:hanging="567"/>
        <w:contextualSpacing w:val="0"/>
      </w:pPr>
      <w:r>
        <w:t>A trivial joke or comment will not be a breach of the provision.</w:t>
      </w:r>
      <w:r>
        <w:rPr>
          <w:rStyle w:val="FootnoteReference"/>
        </w:rPr>
        <w:footnoteReference w:id="76"/>
      </w:r>
    </w:p>
    <w:p w14:paraId="75B30338" w14:textId="0FA7F8FC" w:rsidR="00A509AE" w:rsidRDefault="00A509AE" w:rsidP="00A509AE">
      <w:pPr>
        <w:pStyle w:val="ListParagraph"/>
        <w:numPr>
          <w:ilvl w:val="0"/>
          <w:numId w:val="4"/>
        </w:numPr>
        <w:spacing w:before="120" w:after="240" w:line="276" w:lineRule="auto"/>
        <w:ind w:left="567" w:hanging="567"/>
        <w:contextualSpacing w:val="0"/>
      </w:pPr>
      <w:r>
        <w:t>However, some more recent decisions have indicated that the complainant is required to show that the impugned conduct incited the relevant sentiment towards the complainant.</w:t>
      </w:r>
      <w:r>
        <w:rPr>
          <w:rStyle w:val="FootnoteReference"/>
        </w:rPr>
        <w:footnoteReference w:id="77"/>
      </w:r>
      <w:r>
        <w:t xml:space="preserve">  This is contrary to previously decided cases.</w:t>
      </w:r>
    </w:p>
    <w:p w14:paraId="3A07A607" w14:textId="2E8C81CC" w:rsidR="009F4BAD" w:rsidRDefault="009F4BAD" w:rsidP="00A509AE">
      <w:pPr>
        <w:pStyle w:val="ListParagraph"/>
        <w:numPr>
          <w:ilvl w:val="0"/>
          <w:numId w:val="4"/>
        </w:numPr>
        <w:spacing w:before="120" w:after="240" w:line="276" w:lineRule="auto"/>
        <w:ind w:left="567" w:hanging="567"/>
        <w:contextualSpacing w:val="0"/>
      </w:pPr>
      <w:r>
        <w:t>When section 124A was introduced, the Explanatory Notes for the Bill said, in respect of the proposed new section 124A:</w:t>
      </w:r>
    </w:p>
    <w:p w14:paraId="5F5C47D3" w14:textId="2A7A6F8D" w:rsidR="009F4BAD" w:rsidRPr="009F4BAD" w:rsidRDefault="009F4BAD" w:rsidP="009F4BAD">
      <w:pPr>
        <w:spacing w:before="120" w:after="240" w:line="276" w:lineRule="auto"/>
        <w:ind w:left="1134" w:right="1127"/>
        <w:rPr>
          <w:sz w:val="22"/>
          <w:szCs w:val="22"/>
        </w:rPr>
      </w:pPr>
      <w:r>
        <w:rPr>
          <w:sz w:val="22"/>
          <w:szCs w:val="22"/>
        </w:rPr>
        <w:t>… Consistent with the interpretation that has been accorded ‘incite’ in other jurisdictions, the section will not require proof that anyone was actually incited to be satisfied.  The test of whether incitement has occurred is an objective one based on a hypothetical listener or viewer. …</w:t>
      </w:r>
      <w:r w:rsidR="002D4BC3">
        <w:rPr>
          <w:rStyle w:val="FootnoteReference"/>
          <w:sz w:val="22"/>
          <w:szCs w:val="22"/>
        </w:rPr>
        <w:footnoteReference w:id="78"/>
      </w:r>
    </w:p>
    <w:p w14:paraId="41D0906C" w14:textId="18D1559A" w:rsidR="00FB681C" w:rsidRDefault="00A509AE" w:rsidP="00A509AE">
      <w:pPr>
        <w:pStyle w:val="ListParagraph"/>
        <w:numPr>
          <w:ilvl w:val="0"/>
          <w:numId w:val="4"/>
        </w:numPr>
        <w:spacing w:before="120" w:after="240" w:line="276" w:lineRule="auto"/>
        <w:ind w:left="567" w:hanging="567"/>
        <w:contextualSpacing w:val="0"/>
      </w:pPr>
      <w:r>
        <w:t>There have also been decisions where communications within workplaces and classrooms have been considered to not be a communication to the public, and therefore not a public act.</w:t>
      </w:r>
      <w:r>
        <w:rPr>
          <w:rStyle w:val="FootnoteReference"/>
        </w:rPr>
        <w:footnoteReference w:id="79"/>
      </w:r>
      <w:r w:rsidR="00844E9D">
        <w:t xml:space="preserve"> </w:t>
      </w:r>
    </w:p>
    <w:p w14:paraId="467F97E7" w14:textId="53BDC211" w:rsidR="00FB681C" w:rsidRDefault="004C36C1" w:rsidP="00752BB6">
      <w:pPr>
        <w:pStyle w:val="ListParagraph"/>
        <w:numPr>
          <w:ilvl w:val="0"/>
          <w:numId w:val="4"/>
        </w:numPr>
        <w:spacing w:before="120" w:after="240" w:line="276" w:lineRule="auto"/>
        <w:ind w:left="567" w:hanging="567"/>
        <w:contextualSpacing w:val="0"/>
        <w:rPr>
          <w:rFonts w:cs="Arial"/>
        </w:rPr>
      </w:pPr>
      <w:r>
        <w:rPr>
          <w:rFonts w:cs="Arial"/>
        </w:rPr>
        <w:t xml:space="preserve">The decided complaints of vilification (where reasons have been published) are listed in </w:t>
      </w:r>
      <w:r w:rsidR="00397835" w:rsidRPr="00455917">
        <w:rPr>
          <w:rFonts w:cs="Arial"/>
          <w:b/>
        </w:rPr>
        <w:t>Appendix</w:t>
      </w:r>
      <w:r w:rsidR="002E2C7E" w:rsidRPr="00455917">
        <w:rPr>
          <w:rFonts w:cs="Arial"/>
          <w:b/>
        </w:rPr>
        <w:t xml:space="preserve"> </w:t>
      </w:r>
      <w:r w:rsidR="00397835" w:rsidRPr="00455917">
        <w:rPr>
          <w:rFonts w:cs="Arial"/>
          <w:b/>
        </w:rPr>
        <w:t>5</w:t>
      </w:r>
      <w:r>
        <w:rPr>
          <w:rFonts w:cs="Arial"/>
        </w:rPr>
        <w:t xml:space="preserve"> (complaint upheld) and </w:t>
      </w:r>
      <w:r w:rsidR="00397835" w:rsidRPr="00455917">
        <w:rPr>
          <w:rFonts w:cs="Arial"/>
          <w:b/>
        </w:rPr>
        <w:t>Appendix 6</w:t>
      </w:r>
      <w:r>
        <w:rPr>
          <w:rFonts w:cs="Arial"/>
        </w:rPr>
        <w:t xml:space="preserve"> (complaint dismissed</w:t>
      </w:r>
      <w:r w:rsidR="00914CDD">
        <w:rPr>
          <w:rFonts w:cs="Arial"/>
        </w:rPr>
        <w:t>)</w:t>
      </w:r>
      <w:r>
        <w:rPr>
          <w:rFonts w:cs="Arial"/>
        </w:rPr>
        <w:t>.</w:t>
      </w:r>
    </w:p>
    <w:p w14:paraId="105574AB" w14:textId="6199DC9F" w:rsidR="004C36C1" w:rsidRDefault="004C36C1" w:rsidP="004C36C1">
      <w:pPr>
        <w:pStyle w:val="ListParagraph"/>
        <w:numPr>
          <w:ilvl w:val="0"/>
          <w:numId w:val="4"/>
        </w:numPr>
        <w:spacing w:before="120" w:after="120" w:line="276" w:lineRule="auto"/>
        <w:ind w:left="567" w:hanging="567"/>
        <w:contextualSpacing w:val="0"/>
        <w:rPr>
          <w:rFonts w:cs="Arial"/>
        </w:rPr>
      </w:pPr>
      <w:r>
        <w:rPr>
          <w:rFonts w:cs="Arial"/>
        </w:rPr>
        <w:t xml:space="preserve">The decisions indicate that the application of section 124A of the </w:t>
      </w:r>
      <w:r w:rsidRPr="006E2167">
        <w:rPr>
          <w:rFonts w:cs="Arial"/>
          <w:i/>
        </w:rPr>
        <w:t>Anti-Discrimination Act 1991</w:t>
      </w:r>
      <w:r>
        <w:rPr>
          <w:rFonts w:cs="Arial"/>
        </w:rPr>
        <w:t xml:space="preserve"> has not resulted in any inappropriate impingement </w:t>
      </w:r>
      <w:r>
        <w:rPr>
          <w:rFonts w:cs="Arial"/>
        </w:rPr>
        <w:lastRenderedPageBreak/>
        <w:t>on freedom of expression.  The complaints that have been upheld have involved conduct that is unacceptable in a society that values dignity and worth of all individuals.  These include:</w:t>
      </w:r>
    </w:p>
    <w:p w14:paraId="35DC6911" w14:textId="1158FBA4" w:rsidR="004C36C1" w:rsidRPr="00380DBC" w:rsidRDefault="00385125" w:rsidP="004C36C1">
      <w:pPr>
        <w:pStyle w:val="NormalWeb"/>
        <w:numPr>
          <w:ilvl w:val="1"/>
          <w:numId w:val="4"/>
        </w:numPr>
        <w:spacing w:before="120" w:beforeAutospacing="0" w:after="120" w:afterAutospacing="0" w:line="276" w:lineRule="auto"/>
        <w:ind w:left="1276" w:hanging="425"/>
        <w:rPr>
          <w:rFonts w:ascii="Arial" w:hAnsi="Arial" w:cs="Arial"/>
          <w:color w:val="000000"/>
        </w:rPr>
      </w:pPr>
      <w:r>
        <w:rPr>
          <w:rFonts w:ascii="Arial" w:hAnsi="Arial" w:cs="Arial"/>
          <w:color w:val="000000"/>
        </w:rPr>
        <w:t>a</w:t>
      </w:r>
      <w:r w:rsidR="004C36C1" w:rsidRPr="00380DBC">
        <w:rPr>
          <w:rFonts w:ascii="Arial" w:hAnsi="Arial" w:cs="Arial"/>
          <w:color w:val="000000"/>
        </w:rPr>
        <w:t xml:space="preserve"> woman being subjected to racial epithets and abuse over a CB radio, encouraging others to do the same, to ‘give her as much </w:t>
      </w:r>
      <w:r w:rsidR="0019639B">
        <w:rPr>
          <w:rFonts w:ascii="Arial" w:hAnsi="Arial" w:cs="Arial"/>
          <w:color w:val="000000"/>
        </w:rPr>
        <w:t xml:space="preserve">[redacted] </w:t>
      </w:r>
      <w:r w:rsidR="004C36C1" w:rsidRPr="00380DBC">
        <w:rPr>
          <w:rFonts w:ascii="Arial" w:hAnsi="Arial" w:cs="Arial"/>
          <w:color w:val="000000"/>
        </w:rPr>
        <w:t>as you like’ and giving out her a</w:t>
      </w:r>
      <w:r>
        <w:rPr>
          <w:rFonts w:ascii="Arial" w:hAnsi="Arial" w:cs="Arial"/>
          <w:color w:val="000000"/>
        </w:rPr>
        <w:t>ddress as a place to go for sex;</w:t>
      </w:r>
      <w:r w:rsidR="004C36C1" w:rsidRPr="00380DBC">
        <w:rPr>
          <w:rStyle w:val="FootnoteReference"/>
          <w:rFonts w:ascii="Arial" w:hAnsi="Arial" w:cs="Arial"/>
          <w:color w:val="000000"/>
        </w:rPr>
        <w:footnoteReference w:id="80"/>
      </w:r>
      <w:r w:rsidR="004C36C1" w:rsidRPr="00380DBC">
        <w:rPr>
          <w:rFonts w:ascii="Arial" w:hAnsi="Arial" w:cs="Arial"/>
          <w:color w:val="000000"/>
        </w:rPr>
        <w:t xml:space="preserve">  </w:t>
      </w:r>
    </w:p>
    <w:p w14:paraId="63B76FAA" w14:textId="52F63785" w:rsidR="004C36C1" w:rsidRDefault="00385125" w:rsidP="004C36C1">
      <w:pPr>
        <w:pStyle w:val="NormalWeb"/>
        <w:numPr>
          <w:ilvl w:val="1"/>
          <w:numId w:val="4"/>
        </w:numPr>
        <w:spacing w:before="120" w:beforeAutospacing="0" w:after="120" w:afterAutospacing="0" w:line="276" w:lineRule="auto"/>
        <w:ind w:left="1276" w:hanging="425"/>
        <w:rPr>
          <w:rFonts w:ascii="Arial" w:hAnsi="Arial" w:cs="Arial"/>
          <w:color w:val="000000"/>
        </w:rPr>
      </w:pPr>
      <w:r>
        <w:rPr>
          <w:rFonts w:ascii="Arial" w:hAnsi="Arial" w:cs="Arial"/>
          <w:color w:val="000000"/>
        </w:rPr>
        <w:t>p</w:t>
      </w:r>
      <w:r w:rsidR="004C36C1" w:rsidRPr="00380DBC">
        <w:rPr>
          <w:rFonts w:ascii="Arial" w:hAnsi="Arial" w:cs="Arial"/>
          <w:color w:val="000000"/>
        </w:rPr>
        <w:t>ublishing in a local newspaper that homosexuals must leave local beaches, saying ‘</w:t>
      </w:r>
      <w:r w:rsidR="0019639B">
        <w:rPr>
          <w:rFonts w:ascii="Arial" w:hAnsi="Arial" w:cs="Arial"/>
          <w:color w:val="000000"/>
        </w:rPr>
        <w:t>[redacted]</w:t>
      </w:r>
      <w:r w:rsidR="004C36C1" w:rsidRPr="00380DBC">
        <w:rPr>
          <w:rFonts w:ascii="Arial" w:hAnsi="Arial" w:cs="Arial"/>
          <w:color w:val="000000"/>
        </w:rPr>
        <w:t xml:space="preserve"> beware’ and threatening vigilante action;</w:t>
      </w:r>
      <w:r w:rsidR="004C36C1" w:rsidRPr="00380DBC">
        <w:rPr>
          <w:rStyle w:val="FootnoteReference"/>
          <w:rFonts w:ascii="Arial" w:hAnsi="Arial" w:cs="Arial"/>
          <w:color w:val="000000"/>
        </w:rPr>
        <w:footnoteReference w:id="81"/>
      </w:r>
      <w:r w:rsidR="004C36C1" w:rsidRPr="00380DBC">
        <w:rPr>
          <w:rFonts w:ascii="Arial" w:hAnsi="Arial" w:cs="Arial"/>
          <w:color w:val="000000"/>
        </w:rPr>
        <w:t xml:space="preserve"> </w:t>
      </w:r>
    </w:p>
    <w:p w14:paraId="0D9D440E" w14:textId="60B597C2" w:rsidR="004B0EE0" w:rsidRPr="00380DBC" w:rsidRDefault="00385125" w:rsidP="006109D6">
      <w:pPr>
        <w:pStyle w:val="NormalWeb"/>
        <w:numPr>
          <w:ilvl w:val="1"/>
          <w:numId w:val="4"/>
        </w:numPr>
        <w:spacing w:before="120" w:beforeAutospacing="0" w:after="240" w:afterAutospacing="0" w:line="276" w:lineRule="auto"/>
        <w:ind w:left="1276" w:hanging="425"/>
        <w:rPr>
          <w:rFonts w:ascii="Arial" w:hAnsi="Arial" w:cs="Arial"/>
          <w:color w:val="000000"/>
        </w:rPr>
      </w:pPr>
      <w:r>
        <w:rPr>
          <w:rFonts w:ascii="Arial" w:hAnsi="Arial" w:cs="Arial"/>
          <w:color w:val="000000"/>
        </w:rPr>
        <w:t>a</w:t>
      </w:r>
      <w:r w:rsidR="004B0EE0">
        <w:rPr>
          <w:rFonts w:ascii="Arial" w:hAnsi="Arial" w:cs="Arial"/>
          <w:color w:val="000000"/>
        </w:rPr>
        <w:t xml:space="preserve"> student at a hospitality college being humiliated in front of his peers and teachers by reference to his race.</w:t>
      </w:r>
      <w:r w:rsidR="004B0EE0">
        <w:rPr>
          <w:rStyle w:val="FootnoteReference"/>
          <w:rFonts w:ascii="Arial" w:hAnsi="Arial" w:cs="Arial"/>
          <w:color w:val="000000"/>
        </w:rPr>
        <w:footnoteReference w:id="82"/>
      </w:r>
    </w:p>
    <w:p w14:paraId="66B1B912" w14:textId="7E0478EA" w:rsidR="004C36C1" w:rsidRDefault="006109D6" w:rsidP="00752BB6">
      <w:pPr>
        <w:pStyle w:val="ListParagraph"/>
        <w:numPr>
          <w:ilvl w:val="0"/>
          <w:numId w:val="4"/>
        </w:numPr>
        <w:spacing w:before="120" w:after="240" w:line="276" w:lineRule="auto"/>
        <w:ind w:left="567" w:hanging="567"/>
        <w:contextualSpacing w:val="0"/>
        <w:rPr>
          <w:rFonts w:cs="Arial"/>
        </w:rPr>
      </w:pPr>
      <w:r>
        <w:t xml:space="preserve">The </w:t>
      </w:r>
      <w:r w:rsidRPr="006109D6">
        <w:rPr>
          <w:rFonts w:cs="Arial"/>
          <w:color w:val="000000"/>
        </w:rPr>
        <w:t>exceptions</w:t>
      </w:r>
      <w:r>
        <w:t xml:space="preserve"> in subsection </w:t>
      </w:r>
      <w:r w:rsidR="00455917">
        <w:t>124A (</w:t>
      </w:r>
      <w:r>
        <w:t>2) are an integral part of the vilification provisions, as they provide a balance for freedom of speech, and they ‘recognise that there are circumstance</w:t>
      </w:r>
      <w:r w:rsidR="00855C5C">
        <w:t>s</w:t>
      </w:r>
      <w:r>
        <w:t xml:space="preserve"> in which it is not wrong to do acts which might have the tendency to incite’.</w:t>
      </w:r>
      <w:r>
        <w:rPr>
          <w:rStyle w:val="FootnoteReference"/>
        </w:rPr>
        <w:footnoteReference w:id="83"/>
      </w:r>
    </w:p>
    <w:p w14:paraId="5310C5EE" w14:textId="77777777" w:rsidR="006109D6" w:rsidRPr="00380DBC" w:rsidRDefault="006109D6" w:rsidP="006109D6">
      <w:pPr>
        <w:pStyle w:val="ListParagraph"/>
        <w:numPr>
          <w:ilvl w:val="0"/>
          <w:numId w:val="4"/>
        </w:numPr>
        <w:spacing w:before="120" w:after="240" w:line="276" w:lineRule="auto"/>
        <w:ind w:left="567" w:hanging="567"/>
        <w:contextualSpacing w:val="0"/>
        <w:rPr>
          <w:rFonts w:cs="Arial"/>
          <w:color w:val="000000"/>
        </w:rPr>
      </w:pPr>
      <w:r w:rsidRPr="00380DBC">
        <w:rPr>
          <w:rFonts w:cs="Arial"/>
          <w:color w:val="000000"/>
        </w:rPr>
        <w:t xml:space="preserve">The exception most commonly dealt with by the tribunals and courts is the exception for acts done reasonably and in good faith for various public interest purposes.  </w:t>
      </w:r>
    </w:p>
    <w:p w14:paraId="45861573" w14:textId="2BEB208A" w:rsidR="006109D6" w:rsidRPr="00380DBC" w:rsidRDefault="006109D6" w:rsidP="006109D6">
      <w:pPr>
        <w:pStyle w:val="ListParagraph"/>
        <w:numPr>
          <w:ilvl w:val="0"/>
          <w:numId w:val="4"/>
        </w:numPr>
        <w:spacing w:before="120" w:after="240" w:line="276" w:lineRule="auto"/>
        <w:ind w:left="567" w:hanging="567"/>
        <w:contextualSpacing w:val="0"/>
        <w:rPr>
          <w:rFonts w:cs="Arial"/>
          <w:color w:val="000000"/>
        </w:rPr>
      </w:pPr>
      <w:r w:rsidRPr="00380DBC">
        <w:rPr>
          <w:rFonts w:cs="Arial"/>
          <w:color w:val="000000"/>
        </w:rPr>
        <w:t xml:space="preserve">In Queensland, this exception applied to the dissemination by a candidate in a federal election of a pamphlet </w:t>
      </w:r>
      <w:r w:rsidR="00781CA8">
        <w:rPr>
          <w:rFonts w:cs="Arial"/>
          <w:color w:val="000000"/>
        </w:rPr>
        <w:t>that Muslims</w:t>
      </w:r>
      <w:r w:rsidRPr="00380DBC">
        <w:rPr>
          <w:rFonts w:cs="Arial"/>
          <w:color w:val="000000"/>
        </w:rPr>
        <w:t xml:space="preserve"> were prone to disobey Australian laws to the extent of being prepared to commit murder.  The tribunal held that the exception was effective to ensure that a candidate in an election is free to make statements of a political character without fear of offending the prohibition against vilification, provided the candidate publishes words in good faith and acts reasonably.</w:t>
      </w:r>
      <w:r w:rsidRPr="00380DBC">
        <w:rPr>
          <w:rStyle w:val="FootnoteReference"/>
          <w:rFonts w:cs="Arial"/>
          <w:color w:val="000000"/>
        </w:rPr>
        <w:footnoteReference w:id="84"/>
      </w:r>
    </w:p>
    <w:p w14:paraId="7B8ABFA7" w14:textId="7A25D3AD" w:rsidR="00787618" w:rsidRDefault="00787618" w:rsidP="00732EB8">
      <w:pPr>
        <w:pStyle w:val="Heading2"/>
      </w:pPr>
      <w:bookmarkStart w:id="31" w:name="_Toc76730710"/>
      <w:r>
        <w:t xml:space="preserve">Options </w:t>
      </w:r>
      <w:r w:rsidR="006109D6">
        <w:t xml:space="preserve">to improve </w:t>
      </w:r>
      <w:r w:rsidR="00B63EC1">
        <w:t xml:space="preserve">the </w:t>
      </w:r>
      <w:r w:rsidR="00844E9D">
        <w:t xml:space="preserve">civil </w:t>
      </w:r>
      <w:r w:rsidR="00B63EC1">
        <w:t>prohibitio</w:t>
      </w:r>
      <w:r w:rsidR="00844E9D">
        <w:t>n</w:t>
      </w:r>
      <w:r w:rsidR="009D71EE">
        <w:t xml:space="preserve"> and framework</w:t>
      </w:r>
      <w:bookmarkEnd w:id="31"/>
    </w:p>
    <w:p w14:paraId="3B466272" w14:textId="7831185D" w:rsidR="00787618" w:rsidRDefault="00A33ED9" w:rsidP="00752BB6">
      <w:pPr>
        <w:pStyle w:val="ListParagraph"/>
        <w:numPr>
          <w:ilvl w:val="0"/>
          <w:numId w:val="4"/>
        </w:numPr>
        <w:spacing w:before="120" w:after="240" w:line="276" w:lineRule="auto"/>
        <w:ind w:left="567" w:hanging="567"/>
        <w:contextualSpacing w:val="0"/>
        <w:rPr>
          <w:rFonts w:cs="Arial"/>
        </w:rPr>
      </w:pPr>
      <w:r>
        <w:rPr>
          <w:rFonts w:cs="Arial"/>
        </w:rPr>
        <w:t>Inconsistencies and questions have emerged in the application of section 124A.  These include the meaning of incite and the extent to which gatherings of people are considered to be part of the public, for example, workplaces and educational settings.</w:t>
      </w:r>
    </w:p>
    <w:p w14:paraId="0E80A717" w14:textId="3A7416A5" w:rsidR="00732EB8" w:rsidRDefault="00732EB8" w:rsidP="00732EB8">
      <w:pPr>
        <w:pStyle w:val="Heading3"/>
      </w:pPr>
      <w:bookmarkStart w:id="32" w:name="_Toc76730711"/>
      <w:r>
        <w:t>Meaning of incite</w:t>
      </w:r>
      <w:bookmarkEnd w:id="32"/>
    </w:p>
    <w:p w14:paraId="01D55717" w14:textId="6D320764" w:rsidR="00A33ED9" w:rsidRDefault="00A33ED9" w:rsidP="00752BB6">
      <w:pPr>
        <w:pStyle w:val="ListParagraph"/>
        <w:numPr>
          <w:ilvl w:val="0"/>
          <w:numId w:val="4"/>
        </w:numPr>
        <w:spacing w:before="120" w:after="240" w:line="276" w:lineRule="auto"/>
        <w:ind w:left="567" w:hanging="567"/>
        <w:contextualSpacing w:val="0"/>
        <w:rPr>
          <w:rFonts w:cs="Arial"/>
        </w:rPr>
      </w:pPr>
      <w:r>
        <w:rPr>
          <w:rFonts w:cs="Arial"/>
        </w:rPr>
        <w:t xml:space="preserve">The difficulties with the meaning of incite </w:t>
      </w:r>
      <w:r w:rsidR="005345DE">
        <w:rPr>
          <w:rFonts w:cs="Arial"/>
        </w:rPr>
        <w:t xml:space="preserve">(discussed above) </w:t>
      </w:r>
      <w:r>
        <w:rPr>
          <w:rFonts w:cs="Arial"/>
        </w:rPr>
        <w:t>could be resolved by replacing it with the word ‘urge’</w:t>
      </w:r>
      <w:r w:rsidR="00385125">
        <w:rPr>
          <w:rFonts w:cs="Arial"/>
        </w:rPr>
        <w:t xml:space="preserve"> or ‘promote’</w:t>
      </w:r>
      <w:r>
        <w:rPr>
          <w:rFonts w:cs="Arial"/>
        </w:rPr>
        <w:t xml:space="preserve">, or including a note or other form of clarification that it is not necessary to show that </w:t>
      </w:r>
      <w:r>
        <w:rPr>
          <w:rFonts w:cs="Arial"/>
        </w:rPr>
        <w:lastRenderedPageBreak/>
        <w:t>anyone was actually incited by the conduct.</w:t>
      </w:r>
      <w:r w:rsidR="00013764">
        <w:rPr>
          <w:rFonts w:cs="Arial"/>
        </w:rPr>
        <w:t xml:space="preserve">  This is how the provision has traditionally been interpreted.</w:t>
      </w:r>
    </w:p>
    <w:p w14:paraId="4068744D" w14:textId="72F07C11" w:rsidR="00732EB8" w:rsidRDefault="00732EB8" w:rsidP="00732EB8">
      <w:pPr>
        <w:pStyle w:val="Heading3"/>
      </w:pPr>
      <w:bookmarkStart w:id="33" w:name="_Toc76730712"/>
      <w:r>
        <w:t>Workplaces etc. as part of the public</w:t>
      </w:r>
      <w:bookmarkEnd w:id="33"/>
    </w:p>
    <w:p w14:paraId="404D544D" w14:textId="7F17D43A" w:rsidR="00013764" w:rsidRDefault="00013764" w:rsidP="00752BB6">
      <w:pPr>
        <w:pStyle w:val="ListParagraph"/>
        <w:numPr>
          <w:ilvl w:val="0"/>
          <w:numId w:val="4"/>
        </w:numPr>
        <w:spacing w:before="120" w:after="240" w:line="276" w:lineRule="auto"/>
        <w:ind w:left="567" w:hanging="567"/>
        <w:contextualSpacing w:val="0"/>
        <w:rPr>
          <w:rFonts w:cs="Arial"/>
        </w:rPr>
      </w:pPr>
      <w:r>
        <w:rPr>
          <w:rFonts w:cs="Arial"/>
        </w:rPr>
        <w:t xml:space="preserve">It is necessary to clarify whether the prohibition is intended to apply </w:t>
      </w:r>
      <w:r w:rsidR="00385125">
        <w:rPr>
          <w:rFonts w:cs="Arial"/>
        </w:rPr>
        <w:t xml:space="preserve">to </w:t>
      </w:r>
      <w:r>
        <w:rPr>
          <w:rFonts w:cs="Arial"/>
        </w:rPr>
        <w:t>environments such as workplaces that are not open to the public generally.</w:t>
      </w:r>
      <w:r w:rsidR="00FC7606">
        <w:rPr>
          <w:rFonts w:cs="Arial"/>
        </w:rPr>
        <w:t xml:space="preserve">  In his second reading speech for the Bill that introduced the vilification provisions, the Premier at the time noted that the prohibitions targeted statements in public, and that the government considered it was not appropriate to proscribe private behaviour.</w:t>
      </w:r>
      <w:r w:rsidR="00FC7606">
        <w:rPr>
          <w:rStyle w:val="FootnoteReference"/>
          <w:rFonts w:cs="Arial"/>
        </w:rPr>
        <w:footnoteReference w:id="85"/>
      </w:r>
    </w:p>
    <w:p w14:paraId="5DF97168" w14:textId="1D5A9C05" w:rsidR="00D55580" w:rsidRDefault="007B6AAF" w:rsidP="00752BB6">
      <w:pPr>
        <w:pStyle w:val="ListParagraph"/>
        <w:numPr>
          <w:ilvl w:val="0"/>
          <w:numId w:val="4"/>
        </w:numPr>
        <w:spacing w:before="120" w:after="240" w:line="276" w:lineRule="auto"/>
        <w:ind w:left="567" w:hanging="567"/>
        <w:contextualSpacing w:val="0"/>
        <w:rPr>
          <w:rFonts w:cs="Arial"/>
        </w:rPr>
      </w:pPr>
      <w:r>
        <w:rPr>
          <w:rFonts w:cs="Arial"/>
        </w:rPr>
        <w:t>That the prohibitions were intended to, or should, extend to workplaces and places of education, is consistent with the approach that only private communications are excluded from the prohibitions.</w:t>
      </w:r>
    </w:p>
    <w:p w14:paraId="78BA9D66" w14:textId="15C5F52A" w:rsidR="007B6AAF" w:rsidRDefault="00AB0900" w:rsidP="00752BB6">
      <w:pPr>
        <w:pStyle w:val="ListParagraph"/>
        <w:numPr>
          <w:ilvl w:val="0"/>
          <w:numId w:val="4"/>
        </w:numPr>
        <w:spacing w:before="120" w:after="240" w:line="276" w:lineRule="auto"/>
        <w:ind w:left="567" w:hanging="567"/>
        <w:contextualSpacing w:val="0"/>
        <w:rPr>
          <w:rFonts w:cs="Arial"/>
        </w:rPr>
      </w:pPr>
      <w:r>
        <w:rPr>
          <w:rFonts w:cs="Arial"/>
        </w:rPr>
        <w:t>If the prohibitions are intended to apply broadly so that only private communications are not covered, then in view of the recent decisions that communications in workplaces and schools are not communications to the public, it is essential to clarify</w:t>
      </w:r>
      <w:r w:rsidR="007B6AAF">
        <w:rPr>
          <w:rFonts w:cs="Arial"/>
        </w:rPr>
        <w:t xml:space="preserve"> </w:t>
      </w:r>
      <w:r>
        <w:rPr>
          <w:rFonts w:cs="Arial"/>
        </w:rPr>
        <w:t>this position.</w:t>
      </w:r>
    </w:p>
    <w:p w14:paraId="246C3B7C" w14:textId="297EBD96" w:rsidR="008F1D57" w:rsidRDefault="008F1D57" w:rsidP="00752BB6">
      <w:pPr>
        <w:pStyle w:val="ListParagraph"/>
        <w:numPr>
          <w:ilvl w:val="0"/>
          <w:numId w:val="4"/>
        </w:numPr>
        <w:spacing w:before="120" w:after="240" w:line="276" w:lineRule="auto"/>
        <w:ind w:left="567" w:hanging="567"/>
        <w:contextualSpacing w:val="0"/>
        <w:rPr>
          <w:rFonts w:cs="Arial"/>
        </w:rPr>
      </w:pPr>
      <w:r>
        <w:rPr>
          <w:rFonts w:cs="Arial"/>
        </w:rPr>
        <w:t xml:space="preserve">In New South Wales, the definition of public act in the </w:t>
      </w:r>
      <w:r w:rsidRPr="008F1D57">
        <w:rPr>
          <w:rFonts w:cs="Arial"/>
          <w:i/>
        </w:rPr>
        <w:t>Crimes Act 1900</w:t>
      </w:r>
      <w:r>
        <w:rPr>
          <w:rFonts w:cs="Arial"/>
        </w:rPr>
        <w:t xml:space="preserve"> (for the offence of publicly threatening or inciting violence on various grounds) provides: ‘For the avoidance of doubt, an act may be a public act even if it occurs on private land’.</w:t>
      </w:r>
    </w:p>
    <w:p w14:paraId="7E3BEF2B" w14:textId="2D262806" w:rsidR="008F1D57" w:rsidRDefault="008F1D57" w:rsidP="00752BB6">
      <w:pPr>
        <w:pStyle w:val="ListParagraph"/>
        <w:numPr>
          <w:ilvl w:val="0"/>
          <w:numId w:val="4"/>
        </w:numPr>
        <w:spacing w:before="120" w:after="240" w:line="276" w:lineRule="auto"/>
        <w:ind w:left="567" w:hanging="567"/>
        <w:contextualSpacing w:val="0"/>
        <w:rPr>
          <w:rFonts w:cs="Arial"/>
        </w:rPr>
      </w:pPr>
      <w:r>
        <w:rPr>
          <w:rFonts w:cs="Arial"/>
        </w:rPr>
        <w:t>The Commission considers that it should be made clear that ‘public</w:t>
      </w:r>
      <w:r w:rsidR="00157209">
        <w:rPr>
          <w:rFonts w:cs="Arial"/>
        </w:rPr>
        <w:t xml:space="preserve"> acts</w:t>
      </w:r>
      <w:r>
        <w:rPr>
          <w:rFonts w:cs="Arial"/>
        </w:rPr>
        <w:t xml:space="preserve">’ </w:t>
      </w:r>
      <w:r w:rsidR="00157209">
        <w:rPr>
          <w:rFonts w:cs="Arial"/>
        </w:rPr>
        <w:t xml:space="preserve">include acts that occur in workplaces and the like, and should be reflected in the </w:t>
      </w:r>
      <w:r>
        <w:rPr>
          <w:rFonts w:cs="Arial"/>
        </w:rPr>
        <w:t xml:space="preserve">definition of ‘public act’ in section 4A of the </w:t>
      </w:r>
      <w:r>
        <w:rPr>
          <w:rFonts w:cs="Arial"/>
          <w:i/>
        </w:rPr>
        <w:t>Anti-Discrimination Act 1991.</w:t>
      </w:r>
    </w:p>
    <w:p w14:paraId="0DD0F98B" w14:textId="2C111B85" w:rsidR="00732EB8" w:rsidRDefault="00732EB8" w:rsidP="00732EB8">
      <w:pPr>
        <w:pStyle w:val="Heading3"/>
      </w:pPr>
      <w:bookmarkStart w:id="34" w:name="_Toc76730713"/>
      <w:r>
        <w:t>Extending protections to other attributes</w:t>
      </w:r>
      <w:bookmarkEnd w:id="34"/>
    </w:p>
    <w:p w14:paraId="6ACCBB3F" w14:textId="581C08F9" w:rsidR="008F1D57" w:rsidRPr="009A6807" w:rsidRDefault="00CC3FF1" w:rsidP="00752BB6">
      <w:pPr>
        <w:pStyle w:val="ListParagraph"/>
        <w:numPr>
          <w:ilvl w:val="0"/>
          <w:numId w:val="4"/>
        </w:numPr>
        <w:spacing w:before="120" w:after="240" w:line="276" w:lineRule="auto"/>
        <w:ind w:left="567" w:hanging="567"/>
        <w:contextualSpacing w:val="0"/>
        <w:rPr>
          <w:rFonts w:cs="Arial"/>
        </w:rPr>
      </w:pPr>
      <w:r w:rsidRPr="009A6807">
        <w:rPr>
          <w:rFonts w:cs="Arial"/>
        </w:rPr>
        <w:t>The Committee should also consider whether there is a need to extend protections from vilification to people and groups with other attributes, such as attributes that are, or should be, protected from discrimination.</w:t>
      </w:r>
    </w:p>
    <w:p w14:paraId="469111C6" w14:textId="2EA760CF" w:rsidR="00C50AFF" w:rsidRPr="00CB52D3" w:rsidRDefault="00C50AFF" w:rsidP="00C50AFF">
      <w:pPr>
        <w:pStyle w:val="Heading3"/>
      </w:pPr>
      <w:bookmarkStart w:id="35" w:name="_Toc76730714"/>
      <w:r w:rsidRPr="00CB52D3">
        <w:t>Harm-based prohibition</w:t>
      </w:r>
      <w:bookmarkEnd w:id="35"/>
    </w:p>
    <w:p w14:paraId="1B8E2452" w14:textId="7D2FD712" w:rsidR="00C50AFF" w:rsidRPr="00CB52D3" w:rsidRDefault="001E2395" w:rsidP="00752BB6">
      <w:pPr>
        <w:pStyle w:val="ListParagraph"/>
        <w:numPr>
          <w:ilvl w:val="0"/>
          <w:numId w:val="4"/>
        </w:numPr>
        <w:spacing w:before="120" w:after="240" w:line="276" w:lineRule="auto"/>
        <w:ind w:left="567" w:hanging="567"/>
        <w:contextualSpacing w:val="0"/>
        <w:rPr>
          <w:rFonts w:cs="Arial"/>
        </w:rPr>
      </w:pPr>
      <w:r w:rsidRPr="00CB52D3">
        <w:rPr>
          <w:rFonts w:cs="Arial"/>
        </w:rPr>
        <w:t xml:space="preserve">A criticism of </w:t>
      </w:r>
      <w:r w:rsidR="007D381A" w:rsidRPr="00CB52D3">
        <w:rPr>
          <w:rFonts w:cs="Arial"/>
        </w:rPr>
        <w:t xml:space="preserve">prohibitions of vilification at the civil level is that they do not place enough emphasis on the harm experienced by victims, and the harm caused to the broader </w:t>
      </w:r>
      <w:r w:rsidR="00CB4063" w:rsidRPr="00CB52D3">
        <w:rPr>
          <w:rFonts w:cs="Arial"/>
        </w:rPr>
        <w:t>society in terms of social cohe</w:t>
      </w:r>
      <w:r w:rsidR="007D381A" w:rsidRPr="00CB52D3">
        <w:rPr>
          <w:rFonts w:cs="Arial"/>
        </w:rPr>
        <w:t>sion.</w:t>
      </w:r>
    </w:p>
    <w:p w14:paraId="0D1C6106" w14:textId="52D9339F" w:rsidR="00CB4063" w:rsidRPr="00CB52D3" w:rsidRDefault="00CB4063" w:rsidP="00752BB6">
      <w:pPr>
        <w:pStyle w:val="ListParagraph"/>
        <w:numPr>
          <w:ilvl w:val="0"/>
          <w:numId w:val="4"/>
        </w:numPr>
        <w:spacing w:before="120" w:after="240" w:line="276" w:lineRule="auto"/>
        <w:ind w:left="567" w:hanging="567"/>
        <w:contextualSpacing w:val="0"/>
        <w:rPr>
          <w:rFonts w:cs="Arial"/>
        </w:rPr>
      </w:pPr>
      <w:r w:rsidRPr="00CB52D3">
        <w:rPr>
          <w:rFonts w:cs="Arial"/>
        </w:rPr>
        <w:t xml:space="preserve">It was suggested to the Victorian inquiry into anti-vilification protections a harm-based provision would reflect the ordinary understanding of the </w:t>
      </w:r>
      <w:r w:rsidRPr="00CB52D3">
        <w:rPr>
          <w:rFonts w:cs="Arial"/>
        </w:rPr>
        <w:lastRenderedPageBreak/>
        <w:t>meaning of vilification</w:t>
      </w:r>
      <w:r w:rsidR="00290574">
        <w:rPr>
          <w:rStyle w:val="FootnoteReference"/>
          <w:rFonts w:cs="Arial"/>
        </w:rPr>
        <w:footnoteReference w:id="86"/>
      </w:r>
      <w:r w:rsidRPr="00CB52D3">
        <w:rPr>
          <w:rFonts w:cs="Arial"/>
        </w:rPr>
        <w:t xml:space="preserve"> as an expression of hatred or abuse, an</w:t>
      </w:r>
      <w:r w:rsidR="009C59DB" w:rsidRPr="00CB52D3">
        <w:rPr>
          <w:rFonts w:cs="Arial"/>
        </w:rPr>
        <w:t>d</w:t>
      </w:r>
      <w:r w:rsidRPr="00CB52D3">
        <w:rPr>
          <w:rFonts w:cs="Arial"/>
        </w:rPr>
        <w:t xml:space="preserve"> reduce the evidentiary burden on complainants to prove incitement.</w:t>
      </w:r>
      <w:r w:rsidRPr="00CB52D3">
        <w:rPr>
          <w:rStyle w:val="FootnoteReference"/>
          <w:rFonts w:cs="Arial"/>
        </w:rPr>
        <w:footnoteReference w:id="87"/>
      </w:r>
    </w:p>
    <w:p w14:paraId="1FD16CE8" w14:textId="038F01C6" w:rsidR="009C59DB" w:rsidRPr="00CB52D3" w:rsidRDefault="009C59DB" w:rsidP="00752BB6">
      <w:pPr>
        <w:pStyle w:val="ListParagraph"/>
        <w:numPr>
          <w:ilvl w:val="0"/>
          <w:numId w:val="4"/>
        </w:numPr>
        <w:spacing w:before="120" w:after="240" w:line="276" w:lineRule="auto"/>
        <w:ind w:left="567" w:hanging="567"/>
        <w:contextualSpacing w:val="0"/>
        <w:rPr>
          <w:rFonts w:cs="Arial"/>
        </w:rPr>
      </w:pPr>
      <w:r w:rsidRPr="00CB52D3">
        <w:rPr>
          <w:rFonts w:cs="Arial"/>
        </w:rPr>
        <w:t>The Victorian Committee considered that incorporating a harm-based test would enhance the legal and operational effectiveness of the legislation by prohibiting all forms of vilification and increasing the utilisation and awareness of the Act through more complaints and enquiries.</w:t>
      </w:r>
      <w:r w:rsidR="003D1B39" w:rsidRPr="00CB52D3">
        <w:rPr>
          <w:rStyle w:val="FootnoteReference"/>
          <w:rFonts w:cs="Arial"/>
        </w:rPr>
        <w:footnoteReference w:id="88"/>
      </w:r>
      <w:r w:rsidRPr="00CB52D3">
        <w:rPr>
          <w:rFonts w:cs="Arial"/>
        </w:rPr>
        <w:t xml:space="preserve">  The Committee recommended the introduction of a new civil harm-based provision, and to formulate the provision to make unlawful conduct that ‘a reasonable person would consider hateful, seriously contemptuous, or reviling or seriously ridiculing a person or a class of persons’.</w:t>
      </w:r>
      <w:r w:rsidR="003D1B39" w:rsidRPr="00CB52D3">
        <w:rPr>
          <w:rStyle w:val="FootnoteReference"/>
          <w:rFonts w:cs="Arial"/>
        </w:rPr>
        <w:footnoteReference w:id="89"/>
      </w:r>
    </w:p>
    <w:p w14:paraId="4517D9A7" w14:textId="7984A9B4" w:rsidR="003D1B39" w:rsidRPr="00CB52D3" w:rsidRDefault="003D1B39" w:rsidP="00752BB6">
      <w:pPr>
        <w:pStyle w:val="ListParagraph"/>
        <w:numPr>
          <w:ilvl w:val="0"/>
          <w:numId w:val="4"/>
        </w:numPr>
        <w:spacing w:before="120" w:after="240" w:line="276" w:lineRule="auto"/>
        <w:ind w:left="567" w:hanging="567"/>
        <w:contextualSpacing w:val="0"/>
        <w:rPr>
          <w:rFonts w:cs="Arial"/>
        </w:rPr>
      </w:pPr>
      <w:r w:rsidRPr="00CB52D3">
        <w:rPr>
          <w:rFonts w:cs="Arial"/>
        </w:rPr>
        <w:t xml:space="preserve">The Commission considers that introducing a similar harm-based provision in Queensland would complement the current prohibition against inciting conduct </w:t>
      </w:r>
      <w:r w:rsidR="00CB52D3" w:rsidRPr="00CB52D3">
        <w:rPr>
          <w:rFonts w:cs="Arial"/>
        </w:rPr>
        <w:t xml:space="preserve">and </w:t>
      </w:r>
      <w:r w:rsidRPr="00CB52D3">
        <w:rPr>
          <w:rFonts w:cs="Arial"/>
        </w:rPr>
        <w:t xml:space="preserve">strengthen the </w:t>
      </w:r>
      <w:r w:rsidR="00CB52D3" w:rsidRPr="00CB52D3">
        <w:rPr>
          <w:rFonts w:cs="Arial"/>
        </w:rPr>
        <w:t xml:space="preserve">law by prohibiting </w:t>
      </w:r>
      <w:r w:rsidRPr="00CB52D3">
        <w:rPr>
          <w:rFonts w:cs="Arial"/>
        </w:rPr>
        <w:t xml:space="preserve">conduct that causes significant harm </w:t>
      </w:r>
      <w:r w:rsidR="00CB52D3" w:rsidRPr="00CB52D3">
        <w:rPr>
          <w:rFonts w:cs="Arial"/>
        </w:rPr>
        <w:t>to others.</w:t>
      </w:r>
    </w:p>
    <w:p w14:paraId="2043CC98" w14:textId="280DB125" w:rsidR="003D1B39" w:rsidRPr="00CB52D3" w:rsidRDefault="003D1B39" w:rsidP="00752BB6">
      <w:pPr>
        <w:pStyle w:val="ListParagraph"/>
        <w:numPr>
          <w:ilvl w:val="0"/>
          <w:numId w:val="4"/>
        </w:numPr>
        <w:spacing w:before="120" w:after="240" w:line="276" w:lineRule="auto"/>
        <w:ind w:left="567" w:hanging="567"/>
        <w:contextualSpacing w:val="0"/>
        <w:rPr>
          <w:rFonts w:cs="Arial"/>
        </w:rPr>
      </w:pPr>
      <w:r w:rsidRPr="00CB52D3">
        <w:rPr>
          <w:rFonts w:cs="Arial"/>
        </w:rPr>
        <w:t xml:space="preserve">The reasonable person test proposed by the Victorian Committee </w:t>
      </w:r>
      <w:r w:rsidR="00CB52D3" w:rsidRPr="00CB52D3">
        <w:rPr>
          <w:rFonts w:cs="Arial"/>
        </w:rPr>
        <w:t xml:space="preserve">maintains a high threshold for restricting freedom of speech, and avoids misunderstanding between the ordinary meaning of the words ‘offend’ and ‘insult’ and the judicial interpretation of those terms as used in the </w:t>
      </w:r>
      <w:r w:rsidR="00CB52D3" w:rsidRPr="00CB52D3">
        <w:rPr>
          <w:rFonts w:cs="Arial"/>
          <w:i/>
        </w:rPr>
        <w:t xml:space="preserve">Racial Discrimination Act 1975 </w:t>
      </w:r>
      <w:r w:rsidR="00CB52D3" w:rsidRPr="00CB52D3">
        <w:rPr>
          <w:rFonts w:cs="Arial"/>
        </w:rPr>
        <w:t>(Cth) section 18C.</w:t>
      </w:r>
    </w:p>
    <w:p w14:paraId="22D48D7D" w14:textId="781D9ACC" w:rsidR="000F3A55" w:rsidRDefault="000F3A55" w:rsidP="000F3A55">
      <w:pPr>
        <w:pStyle w:val="Heading3"/>
      </w:pPr>
      <w:bookmarkStart w:id="36" w:name="_Toc76730715"/>
      <w:r>
        <w:t>Introduce a positive duty to eliminate vilification</w:t>
      </w:r>
      <w:bookmarkEnd w:id="36"/>
    </w:p>
    <w:p w14:paraId="22C86F42" w14:textId="4D447419" w:rsidR="000F3A55" w:rsidRDefault="00705873" w:rsidP="00752BB6">
      <w:pPr>
        <w:pStyle w:val="ListParagraph"/>
        <w:numPr>
          <w:ilvl w:val="0"/>
          <w:numId w:val="4"/>
        </w:numPr>
        <w:spacing w:before="120" w:after="240" w:line="276" w:lineRule="auto"/>
        <w:ind w:left="567" w:hanging="567"/>
        <w:contextualSpacing w:val="0"/>
        <w:rPr>
          <w:rFonts w:cs="Arial"/>
        </w:rPr>
      </w:pPr>
      <w:r>
        <w:rPr>
          <w:rFonts w:cs="Arial"/>
        </w:rPr>
        <w:t xml:space="preserve">There is a growing </w:t>
      </w:r>
      <w:r w:rsidR="002019BF">
        <w:rPr>
          <w:rFonts w:cs="Arial"/>
        </w:rPr>
        <w:t>push</w:t>
      </w:r>
      <w:r>
        <w:rPr>
          <w:rFonts w:cs="Arial"/>
        </w:rPr>
        <w:t xml:space="preserve"> to </w:t>
      </w:r>
      <w:r w:rsidR="002019BF">
        <w:rPr>
          <w:rFonts w:cs="Arial"/>
        </w:rPr>
        <w:t>strengthen legal frameworks</w:t>
      </w:r>
      <w:r w:rsidR="005345DE">
        <w:rPr>
          <w:rFonts w:cs="Arial"/>
        </w:rPr>
        <w:t>,</w:t>
      </w:r>
      <w:r w:rsidR="002019BF">
        <w:rPr>
          <w:rFonts w:cs="Arial"/>
        </w:rPr>
        <w:t xml:space="preserve"> and </w:t>
      </w:r>
      <w:r w:rsidR="005345DE">
        <w:rPr>
          <w:rFonts w:cs="Arial"/>
        </w:rPr>
        <w:t xml:space="preserve">to </w:t>
      </w:r>
      <w:r w:rsidR="002019BF">
        <w:rPr>
          <w:rFonts w:cs="Arial"/>
        </w:rPr>
        <w:t xml:space="preserve">reduce the burden on individuals </w:t>
      </w:r>
      <w:r w:rsidR="005345DE">
        <w:rPr>
          <w:rFonts w:cs="Arial"/>
        </w:rPr>
        <w:t>in having to use</w:t>
      </w:r>
      <w:r w:rsidR="002019BF">
        <w:rPr>
          <w:rFonts w:cs="Arial"/>
        </w:rPr>
        <w:t xml:space="preserve"> complaint mechanisms</w:t>
      </w:r>
      <w:r w:rsidR="005345DE">
        <w:rPr>
          <w:rFonts w:cs="Arial"/>
        </w:rPr>
        <w:t>,</w:t>
      </w:r>
      <w:r w:rsidR="002019BF">
        <w:rPr>
          <w:rFonts w:cs="Arial"/>
        </w:rPr>
        <w:t xml:space="preserve"> by providing explicit positive duties in legislation.  </w:t>
      </w:r>
      <w:r w:rsidR="003241CC">
        <w:rPr>
          <w:rFonts w:cs="Arial"/>
        </w:rPr>
        <w:t>The</w:t>
      </w:r>
      <w:r w:rsidR="002019BF">
        <w:rPr>
          <w:rFonts w:cs="Arial"/>
        </w:rPr>
        <w:t xml:space="preserve"> Australian Human Rights Commission </w:t>
      </w:r>
      <w:r w:rsidR="005345DE">
        <w:rPr>
          <w:rFonts w:cs="Arial"/>
        </w:rPr>
        <w:t xml:space="preserve">recommended that the </w:t>
      </w:r>
      <w:r w:rsidR="005345DE" w:rsidRPr="005345DE">
        <w:rPr>
          <w:rFonts w:cs="Arial"/>
          <w:i/>
        </w:rPr>
        <w:t>Sex Discrimination Act 1984</w:t>
      </w:r>
      <w:r w:rsidR="005345DE">
        <w:rPr>
          <w:rFonts w:cs="Arial"/>
        </w:rPr>
        <w:t xml:space="preserve"> (Cth) be amended to include a positive duty on employers to </w:t>
      </w:r>
      <w:r w:rsidR="007844A3" w:rsidRPr="007844A3">
        <w:rPr>
          <w:rFonts w:cs="Arial"/>
        </w:rPr>
        <w:t>take reasonable and proportionate measures to eliminate sex discrimination, sexual harassment, and victimisation, as far as possible.</w:t>
      </w:r>
      <w:r w:rsidR="003241CC">
        <w:rPr>
          <w:rStyle w:val="FootnoteReference"/>
          <w:rFonts w:cs="Arial"/>
        </w:rPr>
        <w:footnoteReference w:id="90"/>
      </w:r>
      <w:r w:rsidR="005345DE">
        <w:rPr>
          <w:rFonts w:cs="Arial"/>
        </w:rPr>
        <w:t xml:space="preserve">  This approach </w:t>
      </w:r>
      <w:r w:rsidR="002019BF">
        <w:rPr>
          <w:rFonts w:cs="Arial"/>
        </w:rPr>
        <w:t>is supported by organisation</w:t>
      </w:r>
      <w:r w:rsidR="000464D9">
        <w:rPr>
          <w:rFonts w:cs="Arial"/>
        </w:rPr>
        <w:t>s</w:t>
      </w:r>
      <w:r w:rsidR="002019BF">
        <w:rPr>
          <w:rFonts w:cs="Arial"/>
        </w:rPr>
        <w:t xml:space="preserve"> such as the Law Council of Australia</w:t>
      </w:r>
      <w:r w:rsidR="002019BF">
        <w:rPr>
          <w:rStyle w:val="FootnoteReference"/>
          <w:rFonts w:cs="Arial"/>
        </w:rPr>
        <w:footnoteReference w:id="91"/>
      </w:r>
      <w:r w:rsidR="002019BF">
        <w:rPr>
          <w:rFonts w:cs="Arial"/>
        </w:rPr>
        <w:t xml:space="preserve"> and the </w:t>
      </w:r>
      <w:r w:rsidR="005345DE">
        <w:rPr>
          <w:rFonts w:cs="Arial"/>
        </w:rPr>
        <w:t>Victorian Equa</w:t>
      </w:r>
      <w:r w:rsidR="000464D9">
        <w:rPr>
          <w:rFonts w:cs="Arial"/>
        </w:rPr>
        <w:t>l Opportunity &amp; Human Rights Commission</w:t>
      </w:r>
      <w:r w:rsidR="000464D9">
        <w:rPr>
          <w:rStyle w:val="FootnoteReference"/>
          <w:rFonts w:cs="Arial"/>
        </w:rPr>
        <w:footnoteReference w:id="92"/>
      </w:r>
      <w:r w:rsidR="000464D9">
        <w:rPr>
          <w:rFonts w:cs="Arial"/>
        </w:rPr>
        <w:t xml:space="preserve">. </w:t>
      </w:r>
    </w:p>
    <w:p w14:paraId="41BA88F5" w14:textId="79156309" w:rsidR="000464D9" w:rsidRDefault="000464D9" w:rsidP="00752BB6">
      <w:pPr>
        <w:pStyle w:val="ListParagraph"/>
        <w:numPr>
          <w:ilvl w:val="0"/>
          <w:numId w:val="4"/>
        </w:numPr>
        <w:spacing w:before="120" w:after="240" w:line="276" w:lineRule="auto"/>
        <w:ind w:left="567" w:hanging="567"/>
        <w:contextualSpacing w:val="0"/>
        <w:rPr>
          <w:rFonts w:cs="Arial"/>
        </w:rPr>
      </w:pPr>
      <w:r>
        <w:rPr>
          <w:rFonts w:cs="Arial"/>
        </w:rPr>
        <w:lastRenderedPageBreak/>
        <w:t xml:space="preserve">In Victoria, the </w:t>
      </w:r>
      <w:r w:rsidRPr="00114587">
        <w:rPr>
          <w:rFonts w:cs="Arial"/>
          <w:i/>
        </w:rPr>
        <w:t xml:space="preserve">Equal Opportunity Act </w:t>
      </w:r>
      <w:r w:rsidR="00114587" w:rsidRPr="00114587">
        <w:rPr>
          <w:rFonts w:cs="Arial"/>
          <w:i/>
        </w:rPr>
        <w:t>2010</w:t>
      </w:r>
      <w:r w:rsidR="00114587">
        <w:rPr>
          <w:rFonts w:cs="Arial"/>
        </w:rPr>
        <w:t xml:space="preserve"> (Vic) </w:t>
      </w:r>
      <w:r>
        <w:rPr>
          <w:rFonts w:cs="Arial"/>
        </w:rPr>
        <w:t xml:space="preserve">requires </w:t>
      </w:r>
      <w:r w:rsidR="00114587">
        <w:rPr>
          <w:rFonts w:cs="Arial"/>
        </w:rPr>
        <w:t>various duty holders (</w:t>
      </w:r>
      <w:r>
        <w:rPr>
          <w:rFonts w:cs="Arial"/>
        </w:rPr>
        <w:t xml:space="preserve">employers </w:t>
      </w:r>
      <w:r w:rsidR="00114587">
        <w:rPr>
          <w:rFonts w:cs="Arial"/>
        </w:rPr>
        <w:t xml:space="preserve">and others) </w:t>
      </w:r>
      <w:r w:rsidR="00385125">
        <w:rPr>
          <w:rFonts w:cs="Arial"/>
        </w:rPr>
        <w:t>to take prevent</w:t>
      </w:r>
      <w:r>
        <w:rPr>
          <w:rFonts w:cs="Arial"/>
        </w:rPr>
        <w:t xml:space="preserve">ive action to eliminate discrimination, sexual harassment, and victimisation, by imposing a positive duty on employers to </w:t>
      </w:r>
      <w:r w:rsidR="00114587">
        <w:rPr>
          <w:rFonts w:cs="Arial"/>
        </w:rPr>
        <w:t>take reasonable measures to eliminate discrimination, sexual harassment, or victimisation as far as possible.</w:t>
      </w:r>
      <w:r w:rsidR="00114587">
        <w:rPr>
          <w:rStyle w:val="FootnoteReference"/>
          <w:rFonts w:cs="Arial"/>
        </w:rPr>
        <w:footnoteReference w:id="93"/>
      </w:r>
      <w:r w:rsidR="005345DE">
        <w:rPr>
          <w:rFonts w:cs="Arial"/>
        </w:rPr>
        <w:t xml:space="preserve">  </w:t>
      </w:r>
      <w:r w:rsidR="00F82A95">
        <w:rPr>
          <w:rFonts w:cs="Arial"/>
        </w:rPr>
        <w:t>While t</w:t>
      </w:r>
      <w:r w:rsidR="005345DE">
        <w:rPr>
          <w:rFonts w:cs="Arial"/>
        </w:rPr>
        <w:t xml:space="preserve">here is not </w:t>
      </w:r>
      <w:r w:rsidR="00F82A95">
        <w:rPr>
          <w:rFonts w:cs="Arial"/>
        </w:rPr>
        <w:t>a</w:t>
      </w:r>
      <w:r w:rsidR="005345DE">
        <w:rPr>
          <w:rFonts w:cs="Arial"/>
        </w:rPr>
        <w:t xml:space="preserve"> corresponding duty to eliminate vilif</w:t>
      </w:r>
      <w:r w:rsidR="00CD36AE">
        <w:rPr>
          <w:rFonts w:cs="Arial"/>
        </w:rPr>
        <w:t>ication in</w:t>
      </w:r>
      <w:r w:rsidR="005345DE">
        <w:rPr>
          <w:rFonts w:cs="Arial"/>
        </w:rPr>
        <w:t xml:space="preserve"> the </w:t>
      </w:r>
      <w:r w:rsidR="005345DE" w:rsidRPr="005345DE">
        <w:rPr>
          <w:rFonts w:cs="Arial"/>
          <w:i/>
        </w:rPr>
        <w:t>Racial and Religious Tolerance Act 2001</w:t>
      </w:r>
      <w:r w:rsidR="00F82A95">
        <w:rPr>
          <w:rFonts w:cs="Arial"/>
        </w:rPr>
        <w:t xml:space="preserve"> (Vic)</w:t>
      </w:r>
      <w:r w:rsidR="00CD36AE">
        <w:rPr>
          <w:rStyle w:val="FootnoteReference"/>
          <w:rFonts w:cs="Arial"/>
        </w:rPr>
        <w:footnoteReference w:id="94"/>
      </w:r>
      <w:r w:rsidR="00F82A95">
        <w:rPr>
          <w:rFonts w:cs="Arial"/>
        </w:rPr>
        <w:t>, the Victorian Legal and Social Issues Standing Committee has r</w:t>
      </w:r>
      <w:r w:rsidR="00385125">
        <w:rPr>
          <w:rFonts w:cs="Arial"/>
        </w:rPr>
        <w:t>ecommended in its recent report</w:t>
      </w:r>
      <w:r w:rsidR="00F82A95">
        <w:rPr>
          <w:rFonts w:cs="Arial"/>
        </w:rPr>
        <w:t xml:space="preserve"> that the Victorian Government introduce a positive duty on organisations to take reasonable and proportionate steps to prevent vilification, as is currently the case for discrimination, sexual harassment, and vilification.</w:t>
      </w:r>
      <w:r w:rsidR="00F82A95">
        <w:rPr>
          <w:rStyle w:val="FootnoteReference"/>
          <w:rFonts w:cs="Arial"/>
        </w:rPr>
        <w:footnoteReference w:id="95"/>
      </w:r>
    </w:p>
    <w:p w14:paraId="3F257977" w14:textId="1E7BDDDA" w:rsidR="0096620A" w:rsidRDefault="00D14304" w:rsidP="00752BB6">
      <w:pPr>
        <w:pStyle w:val="ListParagraph"/>
        <w:numPr>
          <w:ilvl w:val="0"/>
          <w:numId w:val="4"/>
        </w:numPr>
        <w:spacing w:before="120" w:after="240" w:line="276" w:lineRule="auto"/>
        <w:ind w:left="567" w:hanging="567"/>
        <w:contextualSpacing w:val="0"/>
        <w:rPr>
          <w:rFonts w:cs="Arial"/>
        </w:rPr>
      </w:pPr>
      <w:r w:rsidRPr="003455E8">
        <w:rPr>
          <w:rFonts w:cs="Arial"/>
        </w:rPr>
        <w:t xml:space="preserve">Under the existing </w:t>
      </w:r>
      <w:r w:rsidR="00385125">
        <w:rPr>
          <w:rFonts w:cs="Arial"/>
        </w:rPr>
        <w:t xml:space="preserve">Queensland </w:t>
      </w:r>
      <w:r w:rsidRPr="003455E8">
        <w:rPr>
          <w:rFonts w:cs="Arial"/>
        </w:rPr>
        <w:t>framework, the liability for vilifying cond</w:t>
      </w:r>
      <w:r w:rsidR="005620BF" w:rsidRPr="003455E8">
        <w:rPr>
          <w:rFonts w:cs="Arial"/>
        </w:rPr>
        <w:t>uct rests with the person who does the act that constitutes vilification.  If the person does the act in the course</w:t>
      </w:r>
      <w:r w:rsidR="005620BF">
        <w:rPr>
          <w:rFonts w:cs="Arial"/>
        </w:rPr>
        <w:t xml:space="preserve"> of work or while acting as the agent of another person, the employer or principal of the person will </w:t>
      </w:r>
      <w:r w:rsidR="0096620A">
        <w:rPr>
          <w:rFonts w:cs="Arial"/>
        </w:rPr>
        <w:t>also be liable for a civil claim.  This means that a person subjected to the vilification can make a complaint against the person who does the act, their employer or agent (if the act is done in the course of work or while acting as agent), or both of them.</w:t>
      </w:r>
      <w:r w:rsidR="00591C59">
        <w:rPr>
          <w:rFonts w:cs="Arial"/>
        </w:rPr>
        <w:t xml:space="preserve">  This vicarious liability is provided for in section 133 of the </w:t>
      </w:r>
      <w:r w:rsidR="00591C59" w:rsidRPr="00591C59">
        <w:rPr>
          <w:rFonts w:cs="Arial"/>
          <w:i/>
        </w:rPr>
        <w:t>Anti-Discrimination Act 1991</w:t>
      </w:r>
      <w:r w:rsidR="00591C59">
        <w:rPr>
          <w:rFonts w:cs="Arial"/>
        </w:rPr>
        <w:t>.  An employ</w:t>
      </w:r>
      <w:r w:rsidR="00385125">
        <w:rPr>
          <w:rFonts w:cs="Arial"/>
        </w:rPr>
        <w:t>er or principal has a defence if</w:t>
      </w:r>
      <w:r w:rsidR="00591C59">
        <w:rPr>
          <w:rFonts w:cs="Arial"/>
        </w:rPr>
        <w:t xml:space="preserve"> they can prove that they took reasonable steps to prevent the worker or agent from</w:t>
      </w:r>
      <w:r w:rsidR="004C4065">
        <w:rPr>
          <w:rFonts w:cs="Arial"/>
        </w:rPr>
        <w:t xml:space="preserve"> contravening the Act.  So</w:t>
      </w:r>
      <w:r w:rsidR="00385125">
        <w:rPr>
          <w:rFonts w:cs="Arial"/>
        </w:rPr>
        <w:t>,</w:t>
      </w:r>
      <w:r w:rsidR="004C4065">
        <w:rPr>
          <w:rFonts w:cs="Arial"/>
        </w:rPr>
        <w:t xml:space="preserve"> in order to avoid being responsible for unlawful vilification by a person’s workers or agents, the person (employer or principal) must take reasonable steps to prevent the vilification from happening. </w:t>
      </w:r>
    </w:p>
    <w:p w14:paraId="018AC5DA" w14:textId="1D69A2C6" w:rsidR="004C4065" w:rsidRDefault="004C4065" w:rsidP="00752BB6">
      <w:pPr>
        <w:pStyle w:val="ListParagraph"/>
        <w:numPr>
          <w:ilvl w:val="0"/>
          <w:numId w:val="4"/>
        </w:numPr>
        <w:spacing w:before="120" w:after="240" w:line="276" w:lineRule="auto"/>
        <w:ind w:left="567" w:hanging="567"/>
        <w:contextualSpacing w:val="0"/>
        <w:rPr>
          <w:rFonts w:cs="Arial"/>
        </w:rPr>
      </w:pPr>
      <w:r>
        <w:rPr>
          <w:rFonts w:cs="Arial"/>
        </w:rPr>
        <w:t>If vilification happens in circumstances where a person should take steps to stop it or eliminate it, the person might be liable for a claim of indirect discrimination.  For example, if a service providers knows that customers of a certain race are being vilified, the service provider might be indirectly imposing a term or condition that in order to access the services, peo</w:t>
      </w:r>
      <w:r w:rsidR="00784C50">
        <w:rPr>
          <w:rFonts w:cs="Arial"/>
        </w:rPr>
        <w:t xml:space="preserve">ple of the certain race will be </w:t>
      </w:r>
      <w:r w:rsidR="001248F7">
        <w:rPr>
          <w:rFonts w:cs="Arial"/>
        </w:rPr>
        <w:t>publicly abused because of their race</w:t>
      </w:r>
      <w:r w:rsidR="00784C50">
        <w:rPr>
          <w:rFonts w:cs="Arial"/>
        </w:rPr>
        <w:t>.  This might constitute indirect discrimination on the basis of race.</w:t>
      </w:r>
    </w:p>
    <w:p w14:paraId="42A55B5F" w14:textId="645B8075" w:rsidR="00784C50" w:rsidRDefault="00784C50" w:rsidP="00752BB6">
      <w:pPr>
        <w:pStyle w:val="ListParagraph"/>
        <w:numPr>
          <w:ilvl w:val="0"/>
          <w:numId w:val="4"/>
        </w:numPr>
        <w:spacing w:before="120" w:after="240" w:line="276" w:lineRule="auto"/>
        <w:ind w:left="567" w:hanging="567"/>
        <w:contextualSpacing w:val="0"/>
        <w:rPr>
          <w:rFonts w:cs="Arial"/>
        </w:rPr>
      </w:pPr>
      <w:r>
        <w:rPr>
          <w:rFonts w:cs="Arial"/>
        </w:rPr>
        <w:t xml:space="preserve">The </w:t>
      </w:r>
      <w:r w:rsidR="001248F7">
        <w:rPr>
          <w:rFonts w:cs="Arial"/>
        </w:rPr>
        <w:t>operation</w:t>
      </w:r>
      <w:r>
        <w:rPr>
          <w:rFonts w:cs="Arial"/>
        </w:rPr>
        <w:t xml:space="preserve"> of vicarious liability and indirect discrimination </w:t>
      </w:r>
      <w:r w:rsidR="001248F7">
        <w:rPr>
          <w:rFonts w:cs="Arial"/>
        </w:rPr>
        <w:t>results in</w:t>
      </w:r>
      <w:r>
        <w:rPr>
          <w:rFonts w:cs="Arial"/>
        </w:rPr>
        <w:t xml:space="preserve"> an implied duty to take reasonable steps to prevent </w:t>
      </w:r>
      <w:r w:rsidR="00F82A95">
        <w:rPr>
          <w:rFonts w:cs="Arial"/>
        </w:rPr>
        <w:t xml:space="preserve">conduct that is unlawful under the </w:t>
      </w:r>
      <w:r w:rsidR="00F82A95" w:rsidRPr="00F82A95">
        <w:rPr>
          <w:rFonts w:cs="Arial"/>
          <w:i/>
        </w:rPr>
        <w:t>Anti-Discrimination Act 1991</w:t>
      </w:r>
      <w:r w:rsidR="00F82A95">
        <w:rPr>
          <w:rFonts w:cs="Arial"/>
        </w:rPr>
        <w:t>, including vilification.  However, being implied, the obligation is not clear.</w:t>
      </w:r>
    </w:p>
    <w:p w14:paraId="679325C5" w14:textId="053D547E" w:rsidR="00114587" w:rsidRPr="00B33C06" w:rsidRDefault="001B3831" w:rsidP="00752BB6">
      <w:pPr>
        <w:pStyle w:val="ListParagraph"/>
        <w:numPr>
          <w:ilvl w:val="0"/>
          <w:numId w:val="4"/>
        </w:numPr>
        <w:spacing w:before="120" w:after="240" w:line="276" w:lineRule="auto"/>
        <w:ind w:left="567" w:hanging="567"/>
        <w:contextualSpacing w:val="0"/>
        <w:rPr>
          <w:rFonts w:cs="Arial"/>
        </w:rPr>
      </w:pPr>
      <w:r w:rsidRPr="00B33C06">
        <w:rPr>
          <w:rFonts w:cs="Arial"/>
        </w:rPr>
        <w:lastRenderedPageBreak/>
        <w:t xml:space="preserve">A positive duty </w:t>
      </w:r>
      <w:r w:rsidR="00F82A95">
        <w:rPr>
          <w:rFonts w:cs="Arial"/>
        </w:rPr>
        <w:t xml:space="preserve">provides clarity and </w:t>
      </w:r>
      <w:r w:rsidR="00385125">
        <w:rPr>
          <w:rFonts w:cs="Arial"/>
        </w:rPr>
        <w:t>puts the responsibility on</w:t>
      </w:r>
      <w:r w:rsidR="00D14304">
        <w:rPr>
          <w:rFonts w:cs="Arial"/>
        </w:rPr>
        <w:t>to the duty holder</w:t>
      </w:r>
      <w:r w:rsidRPr="00B33C06">
        <w:rPr>
          <w:rFonts w:cs="Arial"/>
        </w:rPr>
        <w:t>, rather than the obligation being implicit by way of vicarious liability and indirect discrimination.  It also relieves the burden on a person making a complaint, where there is an appropriate regulatory framework.</w:t>
      </w:r>
      <w:r w:rsidR="00C37E14">
        <w:rPr>
          <w:rFonts w:cs="Arial"/>
        </w:rPr>
        <w:t xml:space="preserve">  The Victorian Legal and Social Issues Standing Committee stated in its report that it considered ‘establishing a positive duty is essential to the effective operation of anti-vilification  laws, as it is concerned with addressing issues from a systemic perspective.</w:t>
      </w:r>
      <w:r w:rsidR="00C37E14">
        <w:rPr>
          <w:rStyle w:val="FootnoteReference"/>
          <w:rFonts w:cs="Arial"/>
        </w:rPr>
        <w:footnoteReference w:id="96"/>
      </w:r>
    </w:p>
    <w:p w14:paraId="0B55043E" w14:textId="17580BBE" w:rsidR="00C37E14" w:rsidRPr="007C192D" w:rsidRDefault="00C37E14" w:rsidP="00752BB6">
      <w:pPr>
        <w:pStyle w:val="ListParagraph"/>
        <w:numPr>
          <w:ilvl w:val="0"/>
          <w:numId w:val="4"/>
        </w:numPr>
        <w:spacing w:before="120" w:after="240" w:line="276" w:lineRule="auto"/>
        <w:ind w:left="567" w:hanging="567"/>
        <w:contextualSpacing w:val="0"/>
        <w:rPr>
          <w:rFonts w:cs="Arial"/>
        </w:rPr>
      </w:pPr>
      <w:r w:rsidRPr="007C192D">
        <w:rPr>
          <w:rFonts w:cs="Arial"/>
        </w:rPr>
        <w:t>An issue raised by the Victorian Equal Opportunity and Human Right</w:t>
      </w:r>
      <w:r w:rsidR="00385125">
        <w:rPr>
          <w:rFonts w:cs="Arial"/>
        </w:rPr>
        <w:t>s</w:t>
      </w:r>
      <w:r w:rsidRPr="007C192D">
        <w:rPr>
          <w:rFonts w:cs="Arial"/>
        </w:rPr>
        <w:t xml:space="preserve"> Commission is that the prohibition of vilification applies to everyone in the State, and that it would be impractical to place a legal duty on every individual in the State to take positive steps to prevent vilification in the community.  It was suggested, and accepted by the Committee, that the d</w:t>
      </w:r>
      <w:r w:rsidR="001B3831" w:rsidRPr="007C192D">
        <w:rPr>
          <w:rFonts w:cs="Arial"/>
        </w:rPr>
        <w:t xml:space="preserve">uty </w:t>
      </w:r>
      <w:r w:rsidRPr="007C192D">
        <w:rPr>
          <w:rFonts w:cs="Arial"/>
        </w:rPr>
        <w:t>be restricted to those that have obligations not to engage in discrimination, sexual harassment, and victimisation.</w:t>
      </w:r>
    </w:p>
    <w:p w14:paraId="0B7BE237" w14:textId="196EAFAD" w:rsidR="001B3831" w:rsidRDefault="00C37E14" w:rsidP="00752BB6">
      <w:pPr>
        <w:pStyle w:val="ListParagraph"/>
        <w:numPr>
          <w:ilvl w:val="0"/>
          <w:numId w:val="4"/>
        </w:numPr>
        <w:spacing w:before="120" w:after="240" w:line="276" w:lineRule="auto"/>
        <w:ind w:left="567" w:hanging="567"/>
        <w:contextualSpacing w:val="0"/>
        <w:rPr>
          <w:rFonts w:cs="Arial"/>
        </w:rPr>
      </w:pPr>
      <w:r w:rsidRPr="007C192D">
        <w:rPr>
          <w:rFonts w:cs="Arial"/>
        </w:rPr>
        <w:t xml:space="preserve">In Queensland, given the broader application of the prohibitions of sexual harassment and victimisation, the duty should be restricted to those that have obligations in the areas of activity where discrimination is prohibited.  </w:t>
      </w:r>
      <w:r w:rsidR="007C192D" w:rsidRPr="007C192D">
        <w:rPr>
          <w:rFonts w:cs="Arial"/>
        </w:rPr>
        <w:t>For example, duty holders would include employers, service providers</w:t>
      </w:r>
      <w:r w:rsidR="007C192D">
        <w:rPr>
          <w:rFonts w:cs="Arial"/>
        </w:rPr>
        <w:t>, education providers, government services</w:t>
      </w:r>
      <w:r w:rsidR="00B33C06" w:rsidRPr="00B33C06">
        <w:rPr>
          <w:rFonts w:cs="Arial"/>
        </w:rPr>
        <w:t>.</w:t>
      </w:r>
    </w:p>
    <w:p w14:paraId="46563E6A" w14:textId="5E590A2D" w:rsidR="007C192D" w:rsidRPr="00B33C06" w:rsidRDefault="00D60384" w:rsidP="00752BB6">
      <w:pPr>
        <w:pStyle w:val="ListParagraph"/>
        <w:numPr>
          <w:ilvl w:val="0"/>
          <w:numId w:val="4"/>
        </w:numPr>
        <w:spacing w:before="120" w:after="240" w:line="276" w:lineRule="auto"/>
        <w:ind w:left="567" w:hanging="567"/>
        <w:contextualSpacing w:val="0"/>
        <w:rPr>
          <w:rFonts w:cs="Arial"/>
        </w:rPr>
      </w:pPr>
      <w:r>
        <w:rPr>
          <w:rFonts w:cs="Arial"/>
        </w:rPr>
        <w:t>Positive duties need to be accompanied by a regulatory framework for enforcement.  A body such as the Commission should establish minimum standards and be able to investigate compliance and non-compliance with the obligations.</w:t>
      </w:r>
    </w:p>
    <w:p w14:paraId="6FEC0967" w14:textId="7BCD6226" w:rsidR="001205F8" w:rsidRPr="001205F8" w:rsidRDefault="001205F8" w:rsidP="001205F8">
      <w:pPr>
        <w:pStyle w:val="Heading3"/>
      </w:pPr>
      <w:bookmarkStart w:id="37" w:name="_Toc76730716"/>
      <w:r w:rsidRPr="001205F8">
        <w:t>Provide for the making of a ‘vilification order’</w:t>
      </w:r>
      <w:bookmarkEnd w:id="37"/>
    </w:p>
    <w:p w14:paraId="2DDE73A2" w14:textId="1D35749A" w:rsidR="000F3A55" w:rsidRDefault="00455917" w:rsidP="000F3A55">
      <w:pPr>
        <w:pStyle w:val="ListParagraph"/>
        <w:numPr>
          <w:ilvl w:val="0"/>
          <w:numId w:val="4"/>
        </w:numPr>
        <w:spacing w:before="120" w:after="240" w:line="276" w:lineRule="auto"/>
        <w:ind w:left="567" w:hanging="567"/>
        <w:contextualSpacing w:val="0"/>
        <w:rPr>
          <w:rFonts w:cs="Arial"/>
        </w:rPr>
      </w:pPr>
      <w:r>
        <w:rPr>
          <w:rFonts w:cs="Arial"/>
        </w:rPr>
        <w:t>A</w:t>
      </w:r>
      <w:r w:rsidR="00180CAE">
        <w:rPr>
          <w:rFonts w:cs="Arial"/>
        </w:rPr>
        <w:t>s noted above, a</w:t>
      </w:r>
      <w:r w:rsidR="000F3A55">
        <w:rPr>
          <w:rFonts w:cs="Arial"/>
        </w:rPr>
        <w:t xml:space="preserve"> </w:t>
      </w:r>
      <w:r w:rsidR="00C50AFF">
        <w:rPr>
          <w:rFonts w:cs="Arial"/>
        </w:rPr>
        <w:t>further</w:t>
      </w:r>
      <w:r w:rsidR="000F3A55">
        <w:rPr>
          <w:rFonts w:cs="Arial"/>
        </w:rPr>
        <w:t xml:space="preserve"> option for consideration would be to provide a process for the making of an order in the nature of a domestic violence protection order.  The order, referred to here as a </w:t>
      </w:r>
      <w:r w:rsidR="000F3A55" w:rsidRPr="00E84955">
        <w:rPr>
          <w:rFonts w:cs="Arial"/>
          <w:b/>
        </w:rPr>
        <w:t>vilification order</w:t>
      </w:r>
      <w:r w:rsidR="000F3A55">
        <w:rPr>
          <w:rFonts w:cs="Arial"/>
        </w:rPr>
        <w:t>, would require the person not to engage in vilifying conduct, with conditions similar to those in a domestic violence order.  Disobeying a vilification order would be a criminal offence that would be dealt with by the police.</w:t>
      </w:r>
    </w:p>
    <w:p w14:paraId="4A06CFA3" w14:textId="77777777" w:rsidR="000F3A55" w:rsidRDefault="000F3A55" w:rsidP="000F3A55">
      <w:pPr>
        <w:pStyle w:val="ListParagraph"/>
        <w:numPr>
          <w:ilvl w:val="0"/>
          <w:numId w:val="4"/>
        </w:numPr>
        <w:spacing w:before="120" w:after="120" w:line="276" w:lineRule="auto"/>
        <w:ind w:left="567" w:hanging="567"/>
        <w:contextualSpacing w:val="0"/>
        <w:rPr>
          <w:rFonts w:cs="Arial"/>
        </w:rPr>
      </w:pPr>
      <w:r>
        <w:rPr>
          <w:rFonts w:cs="Arial"/>
        </w:rPr>
        <w:t>The process for this option might be:</w:t>
      </w:r>
    </w:p>
    <w:p w14:paraId="02588C7E" w14:textId="2F8CCB0F" w:rsidR="000F3A55" w:rsidRDefault="000F3A55" w:rsidP="000F3A55">
      <w:pPr>
        <w:pStyle w:val="ListParagraph"/>
        <w:numPr>
          <w:ilvl w:val="1"/>
          <w:numId w:val="4"/>
        </w:numPr>
        <w:spacing w:before="120" w:after="120" w:line="276" w:lineRule="auto"/>
        <w:ind w:left="1560" w:hanging="426"/>
        <w:contextualSpacing w:val="0"/>
        <w:rPr>
          <w:rFonts w:cs="Arial"/>
        </w:rPr>
      </w:pPr>
      <w:r>
        <w:rPr>
          <w:rFonts w:cs="Arial"/>
        </w:rPr>
        <w:t>A complaint of vilific</w:t>
      </w:r>
      <w:r w:rsidR="00385125">
        <w:rPr>
          <w:rFonts w:cs="Arial"/>
        </w:rPr>
        <w:t>ation is made to the Commission.</w:t>
      </w:r>
    </w:p>
    <w:p w14:paraId="1A125CF2" w14:textId="2EB31E3C" w:rsidR="000F3A55" w:rsidRDefault="000F3A55" w:rsidP="000F3A55">
      <w:pPr>
        <w:pStyle w:val="ListParagraph"/>
        <w:numPr>
          <w:ilvl w:val="1"/>
          <w:numId w:val="4"/>
        </w:numPr>
        <w:spacing w:before="120" w:after="120" w:line="276" w:lineRule="auto"/>
        <w:ind w:left="1560" w:hanging="426"/>
        <w:contextualSpacing w:val="0"/>
        <w:rPr>
          <w:rFonts w:cs="Arial"/>
        </w:rPr>
      </w:pPr>
      <w:r>
        <w:rPr>
          <w:rFonts w:cs="Arial"/>
        </w:rPr>
        <w:t>The complaint is accepted as meeting the threshold of indicating an a</w:t>
      </w:r>
      <w:r w:rsidR="00385125">
        <w:rPr>
          <w:rFonts w:cs="Arial"/>
        </w:rPr>
        <w:t>lleged contravention of the Act.</w:t>
      </w:r>
    </w:p>
    <w:p w14:paraId="4D8478F9" w14:textId="5F55B329" w:rsidR="000F3A55" w:rsidRDefault="000F3A55" w:rsidP="000F3A55">
      <w:pPr>
        <w:pStyle w:val="ListParagraph"/>
        <w:numPr>
          <w:ilvl w:val="1"/>
          <w:numId w:val="4"/>
        </w:numPr>
        <w:spacing w:before="120" w:after="120" w:line="276" w:lineRule="auto"/>
        <w:ind w:left="1560" w:hanging="426"/>
        <w:contextualSpacing w:val="0"/>
        <w:rPr>
          <w:rFonts w:cs="Arial"/>
        </w:rPr>
      </w:pPr>
      <w:r>
        <w:rPr>
          <w:rFonts w:cs="Arial"/>
        </w:rPr>
        <w:t>The complainant applies to the tr</w:t>
      </w:r>
      <w:r w:rsidR="00385125">
        <w:rPr>
          <w:rFonts w:cs="Arial"/>
        </w:rPr>
        <w:t>ibunal for a vilification order.</w:t>
      </w:r>
    </w:p>
    <w:p w14:paraId="6E21B6C1" w14:textId="77777777" w:rsidR="000F3A55" w:rsidRPr="00CC1B42" w:rsidRDefault="000F3A55" w:rsidP="000F3A55">
      <w:pPr>
        <w:pStyle w:val="ListParagraph"/>
        <w:numPr>
          <w:ilvl w:val="1"/>
          <w:numId w:val="4"/>
        </w:numPr>
        <w:spacing w:before="120" w:after="240" w:line="276" w:lineRule="auto"/>
        <w:ind w:left="1560" w:hanging="426"/>
        <w:contextualSpacing w:val="0"/>
        <w:rPr>
          <w:rFonts w:cs="Arial"/>
        </w:rPr>
      </w:pPr>
      <w:r>
        <w:rPr>
          <w:rFonts w:cs="Arial"/>
        </w:rPr>
        <w:lastRenderedPageBreak/>
        <w:t>If an order is made, the complainant may elect that the complaint process ends.</w:t>
      </w:r>
    </w:p>
    <w:p w14:paraId="1E6D0333" w14:textId="77777777" w:rsidR="000F3A55" w:rsidRDefault="000F3A55" w:rsidP="000F3A55">
      <w:pPr>
        <w:pStyle w:val="ListParagraph"/>
        <w:numPr>
          <w:ilvl w:val="0"/>
          <w:numId w:val="4"/>
        </w:numPr>
        <w:spacing w:before="120" w:after="240" w:line="276" w:lineRule="auto"/>
        <w:ind w:left="567" w:hanging="567"/>
        <w:contextualSpacing w:val="0"/>
        <w:rPr>
          <w:rFonts w:cs="Arial"/>
        </w:rPr>
      </w:pPr>
      <w:r>
        <w:rPr>
          <w:rFonts w:cs="Arial"/>
        </w:rPr>
        <w:t>A benefit of this process would be that the parties do not participate in a conciliation process, and that if the tribunal is satisfied there is sufficient reason to make an Order, it will become a police matter if the Order is disobeyed.</w:t>
      </w:r>
    </w:p>
    <w:p w14:paraId="57208362" w14:textId="77777777" w:rsidR="000F3A55" w:rsidRDefault="000F3A55" w:rsidP="000F3A55">
      <w:pPr>
        <w:pStyle w:val="ListParagraph"/>
        <w:numPr>
          <w:ilvl w:val="0"/>
          <w:numId w:val="4"/>
        </w:numPr>
        <w:spacing w:before="120" w:after="240" w:line="276" w:lineRule="auto"/>
        <w:ind w:left="567" w:hanging="567"/>
        <w:contextualSpacing w:val="0"/>
        <w:rPr>
          <w:rFonts w:cs="Arial"/>
        </w:rPr>
      </w:pPr>
      <w:r>
        <w:rPr>
          <w:rFonts w:cs="Arial"/>
        </w:rPr>
        <w:t>Currently, a person who has made a complaint to the Commission may apply to the tribunal for an order to stop a person from doing something that might prejudice the investigation or conciliation of the complaint or an order that the tribunal might make after a hearing.</w:t>
      </w:r>
      <w:r>
        <w:rPr>
          <w:rStyle w:val="FootnoteReference"/>
          <w:rFonts w:cs="Arial"/>
        </w:rPr>
        <w:footnoteReference w:id="97"/>
      </w:r>
      <w:r>
        <w:rPr>
          <w:rFonts w:cs="Arial"/>
        </w:rPr>
        <w:t xml:space="preserve">  The application is made before the complaint is referred to the tribunal.  The purpose of the order is to preserve the status quo so as not to interfere with the complaint process.  The suggested vilification order has a different purpose.  That purpose is to stop the conduct as a potential outcome of the complaint, and to deter continuation of the conduct.</w:t>
      </w:r>
    </w:p>
    <w:p w14:paraId="75E2CA70" w14:textId="56B28A01" w:rsidR="00896225" w:rsidRPr="004C5F91" w:rsidRDefault="00514765" w:rsidP="005A1137">
      <w:pPr>
        <w:pStyle w:val="Heading1"/>
        <w:pageBreakBefore/>
        <w:spacing w:before="0"/>
      </w:pPr>
      <w:bookmarkStart w:id="38" w:name="_Toc76730717"/>
      <w:r w:rsidRPr="00987F1C">
        <w:lastRenderedPageBreak/>
        <w:t>Human rights and constitutionality</w:t>
      </w:r>
      <w:bookmarkEnd w:id="38"/>
    </w:p>
    <w:p w14:paraId="7B5FE605" w14:textId="4C2830A5" w:rsidR="000E352B" w:rsidRDefault="000E352B" w:rsidP="000E352B">
      <w:pPr>
        <w:pStyle w:val="ListParagraph"/>
        <w:numPr>
          <w:ilvl w:val="0"/>
          <w:numId w:val="4"/>
        </w:numPr>
        <w:spacing w:before="120" w:after="240" w:line="276" w:lineRule="auto"/>
        <w:ind w:left="567" w:hanging="567"/>
        <w:contextualSpacing w:val="0"/>
        <w:rPr>
          <w:rFonts w:cs="Arial"/>
          <w:color w:val="000000"/>
        </w:rPr>
      </w:pPr>
      <w:r>
        <w:rPr>
          <w:rFonts w:cs="Arial"/>
          <w:color w:val="000000"/>
        </w:rPr>
        <w:t>Laws to address hate speech, hate crimes, and vilification, must not unreasonably impinge on human rights</w:t>
      </w:r>
      <w:r w:rsidR="00D00254">
        <w:rPr>
          <w:rFonts w:cs="Arial"/>
          <w:color w:val="000000"/>
        </w:rPr>
        <w:t>,</w:t>
      </w:r>
      <w:r>
        <w:rPr>
          <w:rFonts w:cs="Arial"/>
          <w:color w:val="000000"/>
        </w:rPr>
        <w:t xml:space="preserve"> such as the right to freedom of expression, nor unreasonably burden the implied constitutional right to freedom of political expression.  </w:t>
      </w:r>
    </w:p>
    <w:p w14:paraId="3CDF0581" w14:textId="7E2D6FD2" w:rsidR="00D927B9" w:rsidRDefault="00D927B9" w:rsidP="00D927B9">
      <w:pPr>
        <w:pStyle w:val="Heading2"/>
      </w:pPr>
      <w:bookmarkStart w:id="39" w:name="_Toc76730718"/>
      <w:r>
        <w:t>Constitutionality</w:t>
      </w:r>
      <w:bookmarkEnd w:id="39"/>
    </w:p>
    <w:p w14:paraId="35039F64" w14:textId="257FEC86" w:rsidR="0015534D" w:rsidRDefault="0015534D" w:rsidP="000E352B">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Queensland’s prohibition of vilification in section 124A of the </w:t>
      </w:r>
      <w:r w:rsidR="005463FE" w:rsidRPr="00C6264C">
        <w:rPr>
          <w:rFonts w:cs="Arial"/>
          <w:i/>
          <w:color w:val="000000"/>
        </w:rPr>
        <w:t>Anti-Discrimination Act 1991</w:t>
      </w:r>
      <w:r w:rsidR="005463FE">
        <w:rPr>
          <w:rFonts w:cs="Arial"/>
          <w:color w:val="000000"/>
        </w:rPr>
        <w:t xml:space="preserve"> </w:t>
      </w:r>
      <w:r>
        <w:rPr>
          <w:rFonts w:cs="Arial"/>
          <w:color w:val="000000"/>
        </w:rPr>
        <w:t xml:space="preserve">has been found not to burden the implied freedom of political communication under the </w:t>
      </w:r>
      <w:r w:rsidRPr="00005BD1">
        <w:rPr>
          <w:rFonts w:cs="Arial"/>
          <w:i/>
          <w:color w:val="000000"/>
        </w:rPr>
        <w:t>Constitution</w:t>
      </w:r>
      <w:r>
        <w:rPr>
          <w:rFonts w:cs="Arial"/>
          <w:color w:val="000000"/>
        </w:rPr>
        <w:t>.</w:t>
      </w:r>
      <w:r>
        <w:rPr>
          <w:rStyle w:val="FootnoteReference"/>
          <w:rFonts w:cs="Arial"/>
          <w:color w:val="000000"/>
        </w:rPr>
        <w:footnoteReference w:id="98"/>
      </w:r>
      <w:r>
        <w:rPr>
          <w:rFonts w:cs="Arial"/>
          <w:color w:val="000000"/>
        </w:rPr>
        <w:t xml:space="preserve">  </w:t>
      </w:r>
    </w:p>
    <w:p w14:paraId="4F400394" w14:textId="77777777" w:rsidR="00D00254" w:rsidRPr="00C72F49" w:rsidRDefault="00D00254" w:rsidP="006109D6">
      <w:pPr>
        <w:pStyle w:val="ListParagraph"/>
        <w:numPr>
          <w:ilvl w:val="0"/>
          <w:numId w:val="4"/>
        </w:numPr>
        <w:spacing w:before="120" w:after="240" w:line="276" w:lineRule="auto"/>
        <w:ind w:left="567" w:hanging="567"/>
        <w:contextualSpacing w:val="0"/>
      </w:pPr>
      <w:r w:rsidRPr="00380DBC">
        <w:rPr>
          <w:rFonts w:cs="Arial"/>
          <w:color w:val="000000"/>
        </w:rPr>
        <w:t xml:space="preserve">The constitutionality of section 124A was challenged in a case stated to the Queensland Court of Appeal in </w:t>
      </w:r>
      <w:r w:rsidRPr="00380DBC">
        <w:rPr>
          <w:rFonts w:cs="Arial"/>
          <w:i/>
          <w:color w:val="000000"/>
        </w:rPr>
        <w:t>Owen v Menzies</w:t>
      </w:r>
      <w:r w:rsidRPr="00380DBC">
        <w:rPr>
          <w:rFonts w:cs="Arial"/>
          <w:color w:val="000000"/>
        </w:rPr>
        <w:t>.</w:t>
      </w:r>
      <w:r>
        <w:rPr>
          <w:rStyle w:val="FootnoteReference"/>
          <w:rFonts w:cs="Arial"/>
          <w:color w:val="000000"/>
        </w:rPr>
        <w:footnoteReference w:id="99"/>
      </w:r>
      <w:r w:rsidRPr="00380DBC">
        <w:rPr>
          <w:rFonts w:cs="Arial"/>
          <w:color w:val="000000"/>
        </w:rPr>
        <w:t xml:space="preserve">  The Court of Appeal held that section 124A is not inconsistent with the implied protection of freedom of political communication provided by the </w:t>
      </w:r>
      <w:r w:rsidRPr="00380DBC">
        <w:rPr>
          <w:rFonts w:cs="Arial"/>
          <w:i/>
          <w:color w:val="000000"/>
        </w:rPr>
        <w:t>Constitution</w:t>
      </w:r>
      <w:r w:rsidRPr="00380DBC">
        <w:rPr>
          <w:rFonts w:cs="Arial"/>
          <w:color w:val="000000"/>
        </w:rPr>
        <w:t xml:space="preserve">.  </w:t>
      </w:r>
    </w:p>
    <w:p w14:paraId="65D61FCD" w14:textId="00CAB4D8" w:rsidR="00D00254" w:rsidRPr="00D927B9" w:rsidRDefault="00D00254" w:rsidP="006109D6">
      <w:pPr>
        <w:pStyle w:val="ListParagraph"/>
        <w:numPr>
          <w:ilvl w:val="0"/>
          <w:numId w:val="4"/>
        </w:numPr>
        <w:spacing w:before="120" w:after="240" w:line="276" w:lineRule="auto"/>
        <w:ind w:left="567" w:hanging="567"/>
        <w:contextualSpacing w:val="0"/>
      </w:pPr>
      <w:r w:rsidRPr="00380DBC">
        <w:rPr>
          <w:rFonts w:cs="Arial"/>
          <w:color w:val="000000"/>
        </w:rPr>
        <w:t>The judges of the Court agreed that if section 124A did burden the implied constitutional freedom, any burden was incidental and reasonably appropriate and adapted to serve a legitimate end.  That end is the promotion of equality of opportunity for all members of the community by prohibiting objectionable conduct inconsistent with the purpose of the Act</w:t>
      </w:r>
      <w:r>
        <w:rPr>
          <w:rFonts w:cs="Arial"/>
          <w:color w:val="000000"/>
        </w:rPr>
        <w:t>,</w:t>
      </w:r>
      <w:r w:rsidRPr="00380DBC">
        <w:rPr>
          <w:rFonts w:cs="Arial"/>
          <w:color w:val="000000"/>
        </w:rPr>
        <w:t xml:space="preserve"> and the Parliament’s desire to improve the quality of democratic life through an educated community appreciative and respectful of the dignity and worth of all its members.  Any burden was confined and controlled by section </w:t>
      </w:r>
      <w:r w:rsidR="00455917" w:rsidRPr="00380DBC">
        <w:rPr>
          <w:rFonts w:cs="Arial"/>
          <w:color w:val="000000"/>
        </w:rPr>
        <w:t>124A (</w:t>
      </w:r>
      <w:r w:rsidRPr="00380DBC">
        <w:rPr>
          <w:rFonts w:cs="Arial"/>
          <w:color w:val="000000"/>
        </w:rPr>
        <w:t>2) – the exceptions.</w:t>
      </w:r>
    </w:p>
    <w:p w14:paraId="1FC63015" w14:textId="0455F225" w:rsidR="00D927B9" w:rsidRPr="00D927B9" w:rsidRDefault="00D927B9" w:rsidP="005E2036">
      <w:pPr>
        <w:pStyle w:val="Heading2"/>
        <w:jc w:val="both"/>
        <w:rPr>
          <w:i/>
        </w:rPr>
      </w:pPr>
      <w:bookmarkStart w:id="40" w:name="_Toc76730719"/>
      <w:r w:rsidRPr="00D927B9">
        <w:rPr>
          <w:i/>
        </w:rPr>
        <w:t>Human Rights Act 2019</w:t>
      </w:r>
      <w:bookmarkEnd w:id="40"/>
    </w:p>
    <w:p w14:paraId="3CB02021" w14:textId="51CA8098" w:rsidR="000E352B" w:rsidRDefault="000E352B" w:rsidP="000E352B">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The </w:t>
      </w:r>
      <w:r w:rsidR="002B1729">
        <w:rPr>
          <w:rFonts w:cs="Arial"/>
          <w:color w:val="000000"/>
        </w:rPr>
        <w:t xml:space="preserve">obligations under the </w:t>
      </w:r>
      <w:r>
        <w:rPr>
          <w:rFonts w:cs="Arial"/>
          <w:i/>
          <w:color w:val="000000"/>
        </w:rPr>
        <w:t xml:space="preserve">Human Rights Act 2019 </w:t>
      </w:r>
      <w:r>
        <w:rPr>
          <w:rFonts w:cs="Arial"/>
          <w:color w:val="000000"/>
        </w:rPr>
        <w:t xml:space="preserve">(the </w:t>
      </w:r>
      <w:r w:rsidRPr="000E352B">
        <w:rPr>
          <w:rFonts w:cs="Arial"/>
          <w:b/>
          <w:color w:val="000000"/>
        </w:rPr>
        <w:t>HR Act</w:t>
      </w:r>
      <w:r>
        <w:rPr>
          <w:rFonts w:cs="Arial"/>
          <w:color w:val="000000"/>
        </w:rPr>
        <w:t xml:space="preserve">) </w:t>
      </w:r>
      <w:r w:rsidR="003144B5">
        <w:rPr>
          <w:rFonts w:cs="Arial"/>
          <w:color w:val="000000"/>
        </w:rPr>
        <w:t>operate</w:t>
      </w:r>
      <w:r w:rsidR="002B1729">
        <w:rPr>
          <w:rFonts w:cs="Arial"/>
          <w:color w:val="000000"/>
        </w:rPr>
        <w:t xml:space="preserve"> to ensure that laws, policies, and decisions are made and applied in a way that is compatible with human rights. The expression ‘compatible with human rights’ is defined </w:t>
      </w:r>
      <w:r w:rsidR="00F857EC">
        <w:rPr>
          <w:rFonts w:cs="Arial"/>
          <w:color w:val="000000"/>
        </w:rPr>
        <w:t>in the HR Act as meaning</w:t>
      </w:r>
      <w:r w:rsidR="003144B5">
        <w:rPr>
          <w:rFonts w:cs="Arial"/>
          <w:color w:val="000000"/>
        </w:rPr>
        <w:t>,</w:t>
      </w:r>
      <w:r w:rsidR="00F857EC">
        <w:rPr>
          <w:rFonts w:cs="Arial"/>
          <w:color w:val="000000"/>
        </w:rPr>
        <w:t xml:space="preserve"> either, that a</w:t>
      </w:r>
      <w:r w:rsidR="00FA24FA">
        <w:rPr>
          <w:rFonts w:cs="Arial"/>
          <w:color w:val="000000"/>
        </w:rPr>
        <w:t xml:space="preserve"> human right is not limited, or, a human right </w:t>
      </w:r>
      <w:r w:rsidR="00F857EC">
        <w:rPr>
          <w:rFonts w:cs="Arial"/>
          <w:color w:val="000000"/>
        </w:rPr>
        <w:t>is limited only to the extent that is reasonably and demonstrably justified in a free and democratic society based on human dignity, equality, and freedom</w:t>
      </w:r>
      <w:r w:rsidR="00FA24FA">
        <w:rPr>
          <w:rFonts w:cs="Arial"/>
          <w:color w:val="000000"/>
        </w:rPr>
        <w:t>.</w:t>
      </w:r>
      <w:r w:rsidR="00F857EC">
        <w:rPr>
          <w:rFonts w:cs="Arial"/>
          <w:color w:val="000000"/>
        </w:rPr>
        <w:t xml:space="preserve"> </w:t>
      </w:r>
      <w:r>
        <w:rPr>
          <w:rFonts w:cs="Arial"/>
          <w:color w:val="000000"/>
        </w:rPr>
        <w:t xml:space="preserve">  </w:t>
      </w:r>
    </w:p>
    <w:p w14:paraId="187D2BCB" w14:textId="1D9F488B" w:rsidR="00896225" w:rsidRPr="001012F4" w:rsidRDefault="005E2036" w:rsidP="00FF4CD2">
      <w:pPr>
        <w:pStyle w:val="ListParagraph"/>
        <w:numPr>
          <w:ilvl w:val="0"/>
          <w:numId w:val="4"/>
        </w:numPr>
        <w:spacing w:before="120" w:after="240" w:line="276" w:lineRule="auto"/>
        <w:ind w:left="567" w:hanging="567"/>
        <w:contextualSpacing w:val="0"/>
        <w:rPr>
          <w:rFonts w:cs="Arial"/>
        </w:rPr>
      </w:pPr>
      <w:r>
        <w:rPr>
          <w:rFonts w:cs="Arial"/>
          <w:color w:val="1A1A1A"/>
          <w:spacing w:val="4"/>
        </w:rPr>
        <w:t xml:space="preserve">The first step in assessing compatibility of proposed legislation is to identify the human rights affected by it.  </w:t>
      </w:r>
      <w:r w:rsidR="00D00254">
        <w:rPr>
          <w:rFonts w:cs="Arial"/>
          <w:color w:val="1A1A1A"/>
          <w:spacing w:val="4"/>
        </w:rPr>
        <w:t xml:space="preserve">The human rights in the HR Act that are most relevant to laws that regulate speech and vilification are the rights to freedom of </w:t>
      </w:r>
      <w:r w:rsidR="003144B5">
        <w:rPr>
          <w:rFonts w:cs="Arial"/>
          <w:color w:val="1A1A1A"/>
          <w:spacing w:val="4"/>
        </w:rPr>
        <w:t>religion</w:t>
      </w:r>
      <w:r w:rsidR="00D00254">
        <w:rPr>
          <w:rFonts w:cs="Arial"/>
          <w:color w:val="1A1A1A"/>
          <w:spacing w:val="4"/>
        </w:rPr>
        <w:t xml:space="preserve">, freedom of expression, </w:t>
      </w:r>
      <w:r w:rsidR="001719DF">
        <w:rPr>
          <w:rFonts w:cs="Arial"/>
          <w:color w:val="1A1A1A"/>
          <w:spacing w:val="4"/>
        </w:rPr>
        <w:t xml:space="preserve">privacy, </w:t>
      </w:r>
      <w:r w:rsidR="00D00254">
        <w:rPr>
          <w:rFonts w:cs="Arial"/>
          <w:color w:val="1A1A1A"/>
          <w:spacing w:val="4"/>
        </w:rPr>
        <w:t>security, to life</w:t>
      </w:r>
      <w:r>
        <w:rPr>
          <w:rFonts w:cs="Arial"/>
          <w:color w:val="1A1A1A"/>
          <w:spacing w:val="4"/>
        </w:rPr>
        <w:t>, and to equality and non-discrimination</w:t>
      </w:r>
      <w:r w:rsidR="00D00254">
        <w:rPr>
          <w:rFonts w:cs="Arial"/>
          <w:color w:val="1A1A1A"/>
          <w:spacing w:val="4"/>
        </w:rPr>
        <w:t>.</w:t>
      </w:r>
    </w:p>
    <w:p w14:paraId="76075642" w14:textId="2F3AE922" w:rsidR="001012F4" w:rsidRPr="00413015" w:rsidRDefault="001012F4" w:rsidP="00FF4CD2">
      <w:pPr>
        <w:pStyle w:val="ListParagraph"/>
        <w:numPr>
          <w:ilvl w:val="0"/>
          <w:numId w:val="4"/>
        </w:numPr>
        <w:spacing w:before="120" w:after="240" w:line="276" w:lineRule="auto"/>
        <w:ind w:left="567" w:hanging="567"/>
        <w:contextualSpacing w:val="0"/>
        <w:rPr>
          <w:rFonts w:cs="Arial"/>
        </w:rPr>
      </w:pPr>
      <w:r>
        <w:rPr>
          <w:rFonts w:cs="Arial"/>
          <w:color w:val="1A1A1A"/>
          <w:spacing w:val="4"/>
        </w:rPr>
        <w:lastRenderedPageBreak/>
        <w:t xml:space="preserve">The right to freedom of thought, conscience, religion, and belief in section 20 of the HR Act, and the right to freedom of expression in section 21 of the HR Act, are drawn from articles 18 and 19 of the </w:t>
      </w:r>
      <w:r>
        <w:rPr>
          <w:rFonts w:cs="Arial"/>
          <w:i/>
          <w:lang w:val="en-US"/>
        </w:rPr>
        <w:t>International Covenant on</w:t>
      </w:r>
      <w:r w:rsidRPr="00F1296B">
        <w:rPr>
          <w:rFonts w:cs="Arial"/>
          <w:i/>
          <w:lang w:val="en-US"/>
        </w:rPr>
        <w:t xml:space="preserve"> Civil and Political Rights</w:t>
      </w:r>
      <w:r>
        <w:rPr>
          <w:rFonts w:cs="Arial"/>
          <w:i/>
          <w:lang w:val="en-US"/>
        </w:rPr>
        <w:t xml:space="preserve"> </w:t>
      </w:r>
      <w:r>
        <w:rPr>
          <w:rFonts w:cs="Arial"/>
          <w:lang w:val="en-US"/>
        </w:rPr>
        <w:t>(ICCPR)</w:t>
      </w:r>
      <w:r w:rsidR="003144B5">
        <w:rPr>
          <w:rFonts w:cs="Arial"/>
          <w:lang w:val="en-US"/>
        </w:rPr>
        <w:t xml:space="preserve"> </w:t>
      </w:r>
      <w:r w:rsidR="003144B5">
        <w:rPr>
          <w:rFonts w:cs="Arial"/>
          <w:color w:val="1A1A1A"/>
          <w:spacing w:val="4"/>
        </w:rPr>
        <w:t>respectively</w:t>
      </w:r>
      <w:r>
        <w:rPr>
          <w:rFonts w:cs="Arial"/>
          <w:lang w:val="en-US"/>
        </w:rPr>
        <w:t>.</w:t>
      </w:r>
    </w:p>
    <w:p w14:paraId="04629E0E" w14:textId="3D0E1107" w:rsidR="00413015" w:rsidRPr="002264E2" w:rsidRDefault="00413015" w:rsidP="003144B5">
      <w:pPr>
        <w:pStyle w:val="ListParagraph"/>
        <w:numPr>
          <w:ilvl w:val="0"/>
          <w:numId w:val="4"/>
        </w:numPr>
        <w:spacing w:before="120" w:after="120" w:line="276" w:lineRule="auto"/>
        <w:ind w:left="567" w:hanging="567"/>
        <w:contextualSpacing w:val="0"/>
        <w:rPr>
          <w:rFonts w:cs="Arial"/>
        </w:rPr>
      </w:pPr>
      <w:r w:rsidRPr="00413015">
        <w:rPr>
          <w:rFonts w:cs="Arial"/>
          <w:color w:val="1A1A1A"/>
          <w:spacing w:val="4"/>
        </w:rPr>
        <w:t xml:space="preserve">The rights in article 19 of the ICCPR are referred to as the right to freedoms of opinion and expression.  The United Nations Human Rights Committee describes freedom of opinion and freedom of expression as ‘essential for any society’, and as constituting </w:t>
      </w:r>
      <w:r>
        <w:rPr>
          <w:rFonts w:cs="Arial"/>
          <w:color w:val="1A1A1A"/>
          <w:spacing w:val="4"/>
        </w:rPr>
        <w:t>‘t</w:t>
      </w:r>
      <w:r w:rsidRPr="00413015">
        <w:rPr>
          <w:rFonts w:cs="Arial"/>
          <w:color w:val="1A1A1A"/>
          <w:spacing w:val="4"/>
        </w:rPr>
        <w:t>he foundation stone for every free and democratic society</w:t>
      </w:r>
      <w:r>
        <w:rPr>
          <w:rFonts w:cs="Arial"/>
          <w:color w:val="1A1A1A"/>
          <w:spacing w:val="4"/>
        </w:rPr>
        <w:t xml:space="preserve">’.  </w:t>
      </w:r>
      <w:r w:rsidR="002264E2">
        <w:rPr>
          <w:rFonts w:cs="Arial"/>
          <w:color w:val="1A1A1A"/>
          <w:spacing w:val="4"/>
        </w:rPr>
        <w:t xml:space="preserve">The Human Rights Committee </w:t>
      </w:r>
      <w:r w:rsidR="003144B5">
        <w:rPr>
          <w:rFonts w:cs="Arial"/>
          <w:color w:val="1A1A1A"/>
          <w:spacing w:val="4"/>
        </w:rPr>
        <w:t>also states</w:t>
      </w:r>
      <w:r w:rsidR="002264E2">
        <w:rPr>
          <w:rFonts w:cs="Arial"/>
          <w:color w:val="1A1A1A"/>
          <w:spacing w:val="4"/>
        </w:rPr>
        <w:t>:</w:t>
      </w:r>
    </w:p>
    <w:p w14:paraId="4B15A1CF" w14:textId="77777777" w:rsidR="003144B5" w:rsidRDefault="002264E2" w:rsidP="003144B5">
      <w:pPr>
        <w:spacing w:before="120" w:after="120"/>
        <w:ind w:left="1134" w:right="845"/>
        <w:rPr>
          <w:rFonts w:cs="Arial"/>
          <w:sz w:val="22"/>
          <w:szCs w:val="22"/>
        </w:rPr>
      </w:pPr>
      <w:r>
        <w:rPr>
          <w:rFonts w:cs="Arial"/>
          <w:sz w:val="22"/>
          <w:szCs w:val="22"/>
        </w:rPr>
        <w:t>Freedom of expression is a necessary condition for the realisation of the principles of transparency and accountability that are, in turn, essential for the promotion and protection of human rights.</w:t>
      </w:r>
    </w:p>
    <w:p w14:paraId="20414513" w14:textId="77777777" w:rsidR="003144B5" w:rsidRDefault="003144B5" w:rsidP="003144B5">
      <w:pPr>
        <w:spacing w:before="120" w:after="120"/>
        <w:ind w:left="1134" w:right="845"/>
        <w:rPr>
          <w:rFonts w:cs="Arial"/>
          <w:sz w:val="22"/>
          <w:szCs w:val="22"/>
        </w:rPr>
      </w:pPr>
      <w:r>
        <w:rPr>
          <w:rFonts w:cs="Arial"/>
          <w:sz w:val="22"/>
          <w:szCs w:val="22"/>
        </w:rPr>
        <w:t>…</w:t>
      </w:r>
    </w:p>
    <w:p w14:paraId="54F27FF5" w14:textId="0DC8D32B" w:rsidR="002264E2" w:rsidRPr="002264E2" w:rsidRDefault="003144B5" w:rsidP="002264E2">
      <w:pPr>
        <w:spacing w:before="120" w:after="240"/>
        <w:ind w:left="1134" w:right="845"/>
        <w:rPr>
          <w:rFonts w:cs="Arial"/>
          <w:sz w:val="22"/>
          <w:szCs w:val="22"/>
        </w:rPr>
      </w:pPr>
      <w:r>
        <w:rPr>
          <w:rFonts w:cs="Arial"/>
          <w:sz w:val="22"/>
          <w:szCs w:val="22"/>
        </w:rPr>
        <w:t>The freedoms of opinion and expression form a basis for the full enjoyment of a wide range of other human rights.</w:t>
      </w:r>
      <w:r w:rsidR="002264E2">
        <w:rPr>
          <w:rStyle w:val="FootnoteReference"/>
          <w:rFonts w:cs="Arial"/>
          <w:sz w:val="22"/>
          <w:szCs w:val="22"/>
        </w:rPr>
        <w:footnoteReference w:id="100"/>
      </w:r>
    </w:p>
    <w:p w14:paraId="43B7554A" w14:textId="69A84011" w:rsidR="002264E2" w:rsidRDefault="00946534" w:rsidP="00946534">
      <w:pPr>
        <w:pStyle w:val="ListParagraph"/>
        <w:numPr>
          <w:ilvl w:val="0"/>
          <w:numId w:val="4"/>
        </w:numPr>
        <w:spacing w:before="120" w:after="240" w:line="276" w:lineRule="auto"/>
        <w:ind w:left="567" w:hanging="567"/>
        <w:contextualSpacing w:val="0"/>
        <w:rPr>
          <w:rFonts w:cs="Arial"/>
        </w:rPr>
      </w:pPr>
      <w:r>
        <w:rPr>
          <w:rFonts w:cs="Arial"/>
        </w:rPr>
        <w:t>International law requires that given the significance of the right to freedom of expression, restrictions must be exceptional, subject to narrow conditions, and strict oversight.</w:t>
      </w:r>
      <w:r w:rsidR="001A4926">
        <w:rPr>
          <w:rFonts w:cs="Arial"/>
        </w:rPr>
        <w:t xml:space="preserve">  Any limitations must meet three conditions: legality, legitimacy, and necessity and proportionality.</w:t>
      </w:r>
      <w:r>
        <w:rPr>
          <w:rStyle w:val="FootnoteReference"/>
          <w:rFonts w:cs="Arial"/>
        </w:rPr>
        <w:footnoteReference w:id="101"/>
      </w:r>
    </w:p>
    <w:p w14:paraId="76AEB61F" w14:textId="794C9DC5" w:rsidR="00F3595C" w:rsidRDefault="00F3595C" w:rsidP="00F3595C">
      <w:pPr>
        <w:pStyle w:val="ListParagraph"/>
        <w:numPr>
          <w:ilvl w:val="0"/>
          <w:numId w:val="4"/>
        </w:numPr>
        <w:spacing w:before="120" w:after="120" w:line="276" w:lineRule="auto"/>
        <w:ind w:left="567" w:hanging="567"/>
        <w:contextualSpacing w:val="0"/>
        <w:rPr>
          <w:rFonts w:cs="Arial"/>
        </w:rPr>
      </w:pPr>
      <w:r>
        <w:rPr>
          <w:rFonts w:cs="Arial"/>
        </w:rPr>
        <w:t>Article 19(3) of the ICCPR provides that the right to freedom of expression carries with it special duties and responsibilities, and may therefore be subject to restrictions, only where necessary and provided by law, for:</w:t>
      </w:r>
    </w:p>
    <w:p w14:paraId="0B4D8794" w14:textId="46464F5D" w:rsidR="00F3595C" w:rsidRDefault="00F3595C" w:rsidP="00F3595C">
      <w:pPr>
        <w:pStyle w:val="ListParagraph"/>
        <w:numPr>
          <w:ilvl w:val="1"/>
          <w:numId w:val="4"/>
        </w:numPr>
        <w:spacing w:before="120" w:after="120" w:line="276" w:lineRule="auto"/>
        <w:ind w:left="1418" w:hanging="567"/>
        <w:contextualSpacing w:val="0"/>
        <w:rPr>
          <w:rFonts w:cs="Arial"/>
        </w:rPr>
      </w:pPr>
      <w:r>
        <w:rPr>
          <w:rFonts w:cs="Arial"/>
        </w:rPr>
        <w:t>respect of the rights or reputations of others; and</w:t>
      </w:r>
    </w:p>
    <w:p w14:paraId="125F8D43" w14:textId="1829AE08" w:rsidR="00F3595C" w:rsidRDefault="00F3595C" w:rsidP="00F3595C">
      <w:pPr>
        <w:pStyle w:val="ListParagraph"/>
        <w:numPr>
          <w:ilvl w:val="1"/>
          <w:numId w:val="4"/>
        </w:numPr>
        <w:spacing w:before="120" w:after="240" w:line="276" w:lineRule="auto"/>
        <w:ind w:left="1418" w:hanging="567"/>
        <w:contextualSpacing w:val="0"/>
        <w:rPr>
          <w:rFonts w:cs="Arial"/>
        </w:rPr>
      </w:pPr>
      <w:r>
        <w:rPr>
          <w:rFonts w:cs="Arial"/>
        </w:rPr>
        <w:t>the protection of national security or of public order (ordre public), or of public health or morals.</w:t>
      </w:r>
    </w:p>
    <w:p w14:paraId="2305F2C5" w14:textId="405B081F" w:rsidR="00F3595C" w:rsidRDefault="00F3595C" w:rsidP="00946534">
      <w:pPr>
        <w:pStyle w:val="ListParagraph"/>
        <w:numPr>
          <w:ilvl w:val="0"/>
          <w:numId w:val="4"/>
        </w:numPr>
        <w:spacing w:before="120" w:after="240" w:line="276" w:lineRule="auto"/>
        <w:ind w:left="567" w:hanging="567"/>
        <w:contextualSpacing w:val="0"/>
        <w:rPr>
          <w:rFonts w:cs="Arial"/>
        </w:rPr>
      </w:pPr>
      <w:r>
        <w:rPr>
          <w:rFonts w:cs="Arial"/>
        </w:rPr>
        <w:t>Queensland’s vilification provisions would satisfy these exceptions.  Any new laws or changes to the current provisions must also satisfy these exceptions.</w:t>
      </w:r>
    </w:p>
    <w:p w14:paraId="7F536AEB" w14:textId="0067F17C" w:rsidR="006D6572" w:rsidRDefault="006D6572" w:rsidP="00946534">
      <w:pPr>
        <w:pStyle w:val="ListParagraph"/>
        <w:numPr>
          <w:ilvl w:val="0"/>
          <w:numId w:val="4"/>
        </w:numPr>
        <w:spacing w:before="120" w:after="240" w:line="276" w:lineRule="auto"/>
        <w:ind w:left="567" w:hanging="567"/>
        <w:contextualSpacing w:val="0"/>
        <w:rPr>
          <w:rFonts w:cs="Arial"/>
        </w:rPr>
      </w:pPr>
      <w:r>
        <w:rPr>
          <w:rFonts w:cs="Arial"/>
        </w:rPr>
        <w:t xml:space="preserve">The right to freedom of thought, conscience, religion and belief means that everyone has the right to think and believe what they want, and to have a religion and to </w:t>
      </w:r>
      <w:r w:rsidR="000F4FAA">
        <w:rPr>
          <w:rFonts w:cs="Arial"/>
        </w:rPr>
        <w:t>demonstrate the religion in worship, observance, practice and teaching.</w:t>
      </w:r>
    </w:p>
    <w:p w14:paraId="2EA7C93C" w14:textId="04DE6943" w:rsidR="00D57675" w:rsidRDefault="00D57675" w:rsidP="00946534">
      <w:pPr>
        <w:pStyle w:val="ListParagraph"/>
        <w:numPr>
          <w:ilvl w:val="0"/>
          <w:numId w:val="4"/>
        </w:numPr>
        <w:spacing w:before="120" w:after="240" w:line="276" w:lineRule="auto"/>
        <w:ind w:left="567" w:hanging="567"/>
        <w:contextualSpacing w:val="0"/>
        <w:rPr>
          <w:rFonts w:cs="Arial"/>
        </w:rPr>
      </w:pPr>
      <w:r>
        <w:rPr>
          <w:rFonts w:cs="Arial"/>
        </w:rPr>
        <w:t>Everyone has the right to life</w:t>
      </w:r>
      <w:r w:rsidR="00A33DE7">
        <w:rPr>
          <w:rFonts w:cs="Arial"/>
        </w:rPr>
        <w:t xml:space="preserve"> and the right not to be arbitrarily deprived of life</w:t>
      </w:r>
      <w:r>
        <w:rPr>
          <w:rFonts w:cs="Arial"/>
        </w:rPr>
        <w:t xml:space="preserve"> (section 16 of the HR Act) and the right to security (section 29 of the HR Act)</w:t>
      </w:r>
      <w:r w:rsidR="00A33DE7">
        <w:rPr>
          <w:rFonts w:cs="Arial"/>
        </w:rPr>
        <w:t xml:space="preserve">.  The right to security concerns freedom from injury to the body </w:t>
      </w:r>
      <w:r w:rsidR="00A33DE7">
        <w:rPr>
          <w:rFonts w:cs="Arial"/>
        </w:rPr>
        <w:lastRenderedPageBreak/>
        <w:t xml:space="preserve">and the mind, or bodily and mental integrity.  The rights to life and to security create obligations to take measures to protect life and security of the person.  </w:t>
      </w:r>
    </w:p>
    <w:p w14:paraId="10A634B9" w14:textId="4A134CE7" w:rsidR="00BA1856" w:rsidRDefault="00D05102" w:rsidP="00946534">
      <w:pPr>
        <w:pStyle w:val="ListParagraph"/>
        <w:numPr>
          <w:ilvl w:val="0"/>
          <w:numId w:val="4"/>
        </w:numPr>
        <w:spacing w:before="120" w:after="240" w:line="276" w:lineRule="auto"/>
        <w:ind w:left="567" w:hanging="567"/>
        <w:contextualSpacing w:val="0"/>
        <w:rPr>
          <w:rFonts w:cs="Arial"/>
        </w:rPr>
      </w:pPr>
      <w:r>
        <w:rPr>
          <w:rFonts w:cs="Arial"/>
        </w:rPr>
        <w:t>Everyone also has the right not to have their privacy, family, or home interfered with unlawfully or arbitrarily, and everyone is entitled to equality before the law without discrimination, and the right to protection against discrimination.</w:t>
      </w:r>
      <w:r w:rsidR="007A00B6">
        <w:rPr>
          <w:rFonts w:cs="Arial"/>
        </w:rPr>
        <w:t xml:space="preserve">  The right to equality and freedom from discrimination requires that all individuals have the same rights and deserve the same level of respect, regardless of their person attributes.</w:t>
      </w:r>
    </w:p>
    <w:p w14:paraId="1434BBA6" w14:textId="74F3A246" w:rsidR="00D05102" w:rsidRDefault="00D05102" w:rsidP="00946534">
      <w:pPr>
        <w:pStyle w:val="ListParagraph"/>
        <w:numPr>
          <w:ilvl w:val="0"/>
          <w:numId w:val="4"/>
        </w:numPr>
        <w:spacing w:before="120" w:after="240" w:line="276" w:lineRule="auto"/>
        <w:ind w:left="567" w:hanging="567"/>
        <w:contextualSpacing w:val="0"/>
        <w:rPr>
          <w:rFonts w:cs="Arial"/>
        </w:rPr>
      </w:pPr>
      <w:r>
        <w:rPr>
          <w:rFonts w:cs="Arial"/>
        </w:rPr>
        <w:t xml:space="preserve">In the context of regulating speech and other means of expression, </w:t>
      </w:r>
      <w:r w:rsidR="009C75B2">
        <w:rPr>
          <w:rFonts w:cs="Arial"/>
        </w:rPr>
        <w:t xml:space="preserve">these rights have competing interests, and finding the balance will invariable limit one or more of the rights.  </w:t>
      </w:r>
    </w:p>
    <w:p w14:paraId="3576FA00" w14:textId="53CCC50C" w:rsidR="009C75B2" w:rsidRDefault="009C75B2" w:rsidP="00946534">
      <w:pPr>
        <w:pStyle w:val="ListParagraph"/>
        <w:numPr>
          <w:ilvl w:val="0"/>
          <w:numId w:val="4"/>
        </w:numPr>
        <w:spacing w:before="120" w:after="240" w:line="276" w:lineRule="auto"/>
        <w:ind w:left="567" w:hanging="567"/>
        <w:contextualSpacing w:val="0"/>
        <w:rPr>
          <w:rFonts w:cs="Arial"/>
        </w:rPr>
      </w:pPr>
      <w:r>
        <w:rPr>
          <w:rFonts w:cs="Arial"/>
        </w:rPr>
        <w:t>The proportionality test under international human rights law is reflected in section 13 of the HR Act.  In determining whether an existing or proposed limitation on human rights is reasonable and demonstrably justified, the Committee needs to consider and balance the following factors:</w:t>
      </w:r>
    </w:p>
    <w:p w14:paraId="71B04D13" w14:textId="44CD7CA5" w:rsidR="009C75B2" w:rsidRDefault="009C75B2" w:rsidP="009C75B2">
      <w:pPr>
        <w:pStyle w:val="ListParagraph"/>
        <w:numPr>
          <w:ilvl w:val="1"/>
          <w:numId w:val="4"/>
        </w:numPr>
        <w:spacing w:before="120" w:after="240" w:line="276" w:lineRule="auto"/>
        <w:ind w:left="1276" w:hanging="425"/>
        <w:contextualSpacing w:val="0"/>
        <w:rPr>
          <w:rFonts w:cs="Arial"/>
        </w:rPr>
      </w:pPr>
      <w:r>
        <w:rPr>
          <w:rFonts w:cs="Arial"/>
        </w:rPr>
        <w:t>the nature of the human right;</w:t>
      </w:r>
    </w:p>
    <w:p w14:paraId="1A33A122" w14:textId="743AC4C7" w:rsidR="009C75B2" w:rsidRDefault="009C75B2" w:rsidP="009C75B2">
      <w:pPr>
        <w:pStyle w:val="ListParagraph"/>
        <w:numPr>
          <w:ilvl w:val="1"/>
          <w:numId w:val="4"/>
        </w:numPr>
        <w:spacing w:before="120" w:after="240" w:line="276" w:lineRule="auto"/>
        <w:ind w:left="1276" w:hanging="425"/>
        <w:contextualSpacing w:val="0"/>
        <w:rPr>
          <w:rFonts w:cs="Arial"/>
        </w:rPr>
      </w:pPr>
      <w:r>
        <w:rPr>
          <w:rFonts w:cs="Arial"/>
        </w:rPr>
        <w:t>the nature of the purpose of the limitation and whether it is consistent with a free and democratic society based on human dignity, equality, and freedom;</w:t>
      </w:r>
    </w:p>
    <w:p w14:paraId="0D9C0B38" w14:textId="6BAE6BD4" w:rsidR="009C75B2" w:rsidRDefault="009C75B2" w:rsidP="009C75B2">
      <w:pPr>
        <w:pStyle w:val="ListParagraph"/>
        <w:numPr>
          <w:ilvl w:val="1"/>
          <w:numId w:val="4"/>
        </w:numPr>
        <w:spacing w:before="120" w:after="240" w:line="276" w:lineRule="auto"/>
        <w:ind w:left="1276" w:hanging="425"/>
        <w:contextualSpacing w:val="0"/>
        <w:rPr>
          <w:rFonts w:cs="Arial"/>
        </w:rPr>
      </w:pPr>
      <w:r>
        <w:rPr>
          <w:rFonts w:cs="Arial"/>
        </w:rPr>
        <w:t>the relationship between the limitation and its purpose’</w:t>
      </w:r>
    </w:p>
    <w:p w14:paraId="1D6B94EF" w14:textId="7AD0AB97" w:rsidR="009C75B2" w:rsidRDefault="009C75B2" w:rsidP="009C75B2">
      <w:pPr>
        <w:pStyle w:val="ListParagraph"/>
        <w:numPr>
          <w:ilvl w:val="1"/>
          <w:numId w:val="4"/>
        </w:numPr>
        <w:spacing w:before="120" w:after="240" w:line="276" w:lineRule="auto"/>
        <w:ind w:left="1276" w:hanging="425"/>
        <w:contextualSpacing w:val="0"/>
        <w:rPr>
          <w:rFonts w:cs="Arial"/>
        </w:rPr>
      </w:pPr>
      <w:r>
        <w:rPr>
          <w:rFonts w:cs="Arial"/>
        </w:rPr>
        <w:t>any less restrictive and reasonably available ways to achieve the purpose’</w:t>
      </w:r>
    </w:p>
    <w:p w14:paraId="3253C89A" w14:textId="731F643C" w:rsidR="009C75B2" w:rsidRDefault="009C75B2" w:rsidP="009C75B2">
      <w:pPr>
        <w:pStyle w:val="ListParagraph"/>
        <w:numPr>
          <w:ilvl w:val="1"/>
          <w:numId w:val="4"/>
        </w:numPr>
        <w:spacing w:before="120" w:after="240" w:line="276" w:lineRule="auto"/>
        <w:ind w:left="1276" w:hanging="425"/>
        <w:contextualSpacing w:val="0"/>
        <w:rPr>
          <w:rFonts w:cs="Arial"/>
        </w:rPr>
      </w:pPr>
      <w:r>
        <w:rPr>
          <w:rFonts w:cs="Arial"/>
        </w:rPr>
        <w:t>the importance of the limitation;</w:t>
      </w:r>
    </w:p>
    <w:p w14:paraId="165554B3" w14:textId="638D8795" w:rsidR="009C75B2" w:rsidRPr="00413015" w:rsidRDefault="009C75B2" w:rsidP="009C75B2">
      <w:pPr>
        <w:pStyle w:val="ListParagraph"/>
        <w:numPr>
          <w:ilvl w:val="1"/>
          <w:numId w:val="4"/>
        </w:numPr>
        <w:spacing w:before="120" w:after="240" w:line="276" w:lineRule="auto"/>
        <w:ind w:left="1276" w:hanging="425"/>
        <w:contextualSpacing w:val="0"/>
        <w:rPr>
          <w:rFonts w:cs="Arial"/>
        </w:rPr>
      </w:pPr>
      <w:r>
        <w:rPr>
          <w:rFonts w:cs="Arial"/>
        </w:rPr>
        <w:t>the importance of preserving the human right, taking into account the nature and extent of the limitation.</w:t>
      </w:r>
    </w:p>
    <w:p w14:paraId="30557C5D" w14:textId="77777777" w:rsidR="007B0F89" w:rsidRPr="006A5837" w:rsidRDefault="007B0F89" w:rsidP="00D05102">
      <w:pPr>
        <w:pStyle w:val="Heading1"/>
        <w:pageBreakBefore/>
        <w:rPr>
          <w:color w:val="auto"/>
        </w:rPr>
      </w:pPr>
      <w:bookmarkStart w:id="41" w:name="_Toc76730720"/>
      <w:r>
        <w:lastRenderedPageBreak/>
        <w:t>Reviews and inquiries in other jurisdictions</w:t>
      </w:r>
      <w:bookmarkEnd w:id="41"/>
    </w:p>
    <w:p w14:paraId="5A90CBCF" w14:textId="77777777" w:rsidR="007B0F89" w:rsidRDefault="007B0F89" w:rsidP="007B0F89">
      <w:pPr>
        <w:pStyle w:val="ListParagraph"/>
        <w:numPr>
          <w:ilvl w:val="0"/>
          <w:numId w:val="4"/>
        </w:numPr>
        <w:spacing w:before="120" w:after="120" w:line="276" w:lineRule="auto"/>
        <w:ind w:left="567" w:hanging="567"/>
        <w:contextualSpacing w:val="0"/>
        <w:rPr>
          <w:rFonts w:cs="Arial"/>
        </w:rPr>
      </w:pPr>
      <w:r>
        <w:rPr>
          <w:rFonts w:cs="Arial"/>
        </w:rPr>
        <w:t>The terms of reference require the Committee to consider relevant reports, reviews and inquiries in other Australian and international jurisdictions.  The Commission considers that material relating to the following reviews and inquiries will assist the Committee:</w:t>
      </w:r>
    </w:p>
    <w:p w14:paraId="7FE79DBC" w14:textId="77777777" w:rsidR="007B0F89" w:rsidRDefault="007B0F89" w:rsidP="007B0F89">
      <w:pPr>
        <w:pStyle w:val="ListParagraph"/>
        <w:numPr>
          <w:ilvl w:val="1"/>
          <w:numId w:val="4"/>
        </w:numPr>
        <w:spacing w:before="120" w:after="120" w:line="276" w:lineRule="auto"/>
        <w:ind w:left="1560" w:hanging="567"/>
        <w:contextualSpacing w:val="0"/>
        <w:rPr>
          <w:rFonts w:cs="Arial"/>
        </w:rPr>
      </w:pPr>
      <w:r>
        <w:rPr>
          <w:rFonts w:cs="Arial"/>
          <w:i/>
        </w:rPr>
        <w:t>Inquiry into extremist movements and radicalism in Australia</w:t>
      </w:r>
      <w:r>
        <w:rPr>
          <w:rFonts w:cs="Arial"/>
        </w:rPr>
        <w:t>, Australian Parliamentary Joint Committee on Intelligence and Security, ongoing.  Submissions closed in February 2021 and some public hearings were held in April 2021.</w:t>
      </w:r>
    </w:p>
    <w:p w14:paraId="739B37D2" w14:textId="77777777" w:rsidR="007B0F89" w:rsidRDefault="007B0F89" w:rsidP="007B0F89">
      <w:pPr>
        <w:pStyle w:val="ListParagraph"/>
        <w:numPr>
          <w:ilvl w:val="1"/>
          <w:numId w:val="4"/>
        </w:numPr>
        <w:spacing w:before="120" w:after="120" w:line="276" w:lineRule="auto"/>
        <w:ind w:left="1560" w:hanging="567"/>
        <w:contextualSpacing w:val="0"/>
        <w:rPr>
          <w:rFonts w:cs="Arial"/>
        </w:rPr>
      </w:pPr>
      <w:r>
        <w:rPr>
          <w:rFonts w:cs="Arial"/>
          <w:i/>
        </w:rPr>
        <w:t xml:space="preserve">Inquiry into anti-vilification protections, </w:t>
      </w:r>
      <w:r>
        <w:rPr>
          <w:rFonts w:cs="Arial"/>
        </w:rPr>
        <w:t>Victorian Legislative Assembly Legal and Social Issues Committee, Report issued March 2021.</w:t>
      </w:r>
    </w:p>
    <w:p w14:paraId="24B95D51" w14:textId="77777777" w:rsidR="007B0F89" w:rsidRDefault="007B0F89" w:rsidP="007B0F89">
      <w:pPr>
        <w:pStyle w:val="ListParagraph"/>
        <w:numPr>
          <w:ilvl w:val="1"/>
          <w:numId w:val="4"/>
        </w:numPr>
        <w:spacing w:before="120" w:after="120" w:line="276" w:lineRule="auto"/>
        <w:ind w:left="1560" w:hanging="567"/>
        <w:contextualSpacing w:val="0"/>
        <w:rPr>
          <w:rFonts w:cs="Arial"/>
        </w:rPr>
      </w:pPr>
      <w:r>
        <w:rPr>
          <w:rFonts w:cs="Arial"/>
          <w:i/>
        </w:rPr>
        <w:t xml:space="preserve">Hate Crime Review, </w:t>
      </w:r>
      <w:r>
        <w:rPr>
          <w:rFonts w:cs="Arial"/>
        </w:rPr>
        <w:t>UK Law Commission, ongoing.  Consultation paper was launched on 23 September 2020.</w:t>
      </w:r>
    </w:p>
    <w:p w14:paraId="763DA0CC" w14:textId="4E44AA4A" w:rsidR="007B0F89" w:rsidRDefault="007B0F89" w:rsidP="007B0F89">
      <w:pPr>
        <w:pStyle w:val="ListParagraph"/>
        <w:numPr>
          <w:ilvl w:val="1"/>
          <w:numId w:val="4"/>
        </w:numPr>
        <w:spacing w:before="120" w:after="240" w:line="276" w:lineRule="auto"/>
        <w:ind w:left="1559" w:hanging="567"/>
        <w:contextualSpacing w:val="0"/>
        <w:rPr>
          <w:rFonts w:cs="Arial"/>
        </w:rPr>
      </w:pPr>
      <w:r>
        <w:rPr>
          <w:rFonts w:cs="Arial"/>
          <w:i/>
        </w:rPr>
        <w:t>Racial vilification law in New South Wales</w:t>
      </w:r>
      <w:r>
        <w:rPr>
          <w:rFonts w:cs="Arial"/>
        </w:rPr>
        <w:t>, New South Wales Standing Committee on Law and Justice, Report issued December 2013.</w:t>
      </w:r>
    </w:p>
    <w:p w14:paraId="3B45A742" w14:textId="41AB1544" w:rsidR="007B0F89" w:rsidRDefault="007B0F89" w:rsidP="007B0F89">
      <w:pPr>
        <w:pStyle w:val="ListParagraph"/>
        <w:numPr>
          <w:ilvl w:val="0"/>
          <w:numId w:val="4"/>
        </w:numPr>
        <w:spacing w:before="120" w:after="120" w:line="276" w:lineRule="auto"/>
        <w:ind w:left="567" w:hanging="567"/>
        <w:contextualSpacing w:val="0"/>
        <w:rPr>
          <w:rFonts w:cs="Arial"/>
        </w:rPr>
      </w:pPr>
      <w:r>
        <w:rPr>
          <w:rFonts w:cs="Arial"/>
        </w:rPr>
        <w:t>The Commission also recommends the Committee consider the General Comments of the UN Human Rights Committee on each of the rights relevant to the current laws and proposals, as well as the following Special Rapporteur reports:</w:t>
      </w:r>
    </w:p>
    <w:p w14:paraId="5B5BB6C8" w14:textId="3C9910C6" w:rsidR="007B0F89" w:rsidRPr="007B0F89" w:rsidRDefault="007B0F89" w:rsidP="007B0F89">
      <w:pPr>
        <w:pStyle w:val="ListParagraph"/>
        <w:numPr>
          <w:ilvl w:val="1"/>
          <w:numId w:val="4"/>
        </w:numPr>
        <w:spacing w:before="120" w:after="120" w:line="276" w:lineRule="auto"/>
        <w:ind w:left="1560" w:hanging="567"/>
        <w:contextualSpacing w:val="0"/>
        <w:rPr>
          <w:rFonts w:cs="Arial"/>
        </w:rPr>
      </w:pPr>
      <w:r>
        <w:rPr>
          <w:i/>
          <w:lang w:val="en-US"/>
        </w:rPr>
        <w:t xml:space="preserve">Report of the Special Rapporteur on the promotion and protection of the right to freedom of opinion and expression, </w:t>
      </w:r>
      <w:r>
        <w:rPr>
          <w:lang w:val="en-US"/>
        </w:rPr>
        <w:t xml:space="preserve">UN Doc A/74/486 (9 October 2019).  </w:t>
      </w:r>
      <w:r w:rsidR="00D05102">
        <w:rPr>
          <w:lang w:val="en-US"/>
        </w:rPr>
        <w:br/>
      </w:r>
      <w:r>
        <w:rPr>
          <w:lang w:val="en-US"/>
        </w:rPr>
        <w:t>In this report</w:t>
      </w:r>
      <w:r w:rsidR="00D05102">
        <w:rPr>
          <w:lang w:val="en-US"/>
        </w:rPr>
        <w:t>,</w:t>
      </w:r>
      <w:r>
        <w:rPr>
          <w:lang w:val="en-US"/>
        </w:rPr>
        <w:t xml:space="preserve"> the Special Rapporteur evaluates the human rights law that applies to the regulation of online hate-speech and explains how standards under international human rights provide a framework for governments considering regulatory options.</w:t>
      </w:r>
    </w:p>
    <w:p w14:paraId="428D86F9" w14:textId="535C8839" w:rsidR="007B0F89" w:rsidRPr="00FF4CD2" w:rsidRDefault="00D05102" w:rsidP="007B0F89">
      <w:pPr>
        <w:pStyle w:val="ListParagraph"/>
        <w:numPr>
          <w:ilvl w:val="1"/>
          <w:numId w:val="4"/>
        </w:numPr>
        <w:spacing w:before="120" w:after="120" w:line="276" w:lineRule="auto"/>
        <w:ind w:left="1560" w:hanging="567"/>
        <w:contextualSpacing w:val="0"/>
        <w:rPr>
          <w:rFonts w:cs="Arial"/>
        </w:rPr>
      </w:pPr>
      <w:r>
        <w:rPr>
          <w:i/>
          <w:lang w:val="en-US"/>
        </w:rPr>
        <w:t xml:space="preserve">Report of the Special Rapporteur on minority issues, </w:t>
      </w:r>
      <w:r>
        <w:rPr>
          <w:lang w:val="en-US"/>
        </w:rPr>
        <w:t>UN Doc A/HRC/46/57 (3 March 2021).</w:t>
      </w:r>
      <w:r>
        <w:rPr>
          <w:lang w:val="en-US"/>
        </w:rPr>
        <w:br/>
      </w:r>
      <w:r w:rsidR="00455917">
        <w:rPr>
          <w:lang w:val="en-US"/>
        </w:rPr>
        <w:t>In</w:t>
      </w:r>
      <w:r>
        <w:rPr>
          <w:lang w:val="en-US"/>
        </w:rPr>
        <w:t xml:space="preserve"> this report, the Special Rapporteur provides a thematic report in which he addresses the widespread targeting of minorities through hate-speech in social media.</w:t>
      </w:r>
    </w:p>
    <w:p w14:paraId="652BB9B3" w14:textId="77777777" w:rsidR="004C5F91" w:rsidRPr="008F5474" w:rsidRDefault="008F5474" w:rsidP="00D05102">
      <w:pPr>
        <w:pStyle w:val="Heading1"/>
        <w:pageBreakBefore/>
        <w:spacing w:before="360"/>
      </w:pPr>
      <w:bookmarkStart w:id="42" w:name="_Toc76730721"/>
      <w:r>
        <w:lastRenderedPageBreak/>
        <w:t>Conclusion</w:t>
      </w:r>
      <w:bookmarkEnd w:id="42"/>
    </w:p>
    <w:p w14:paraId="1193FF64" w14:textId="77777777" w:rsidR="00514765" w:rsidRDefault="00514765" w:rsidP="00514765">
      <w:pPr>
        <w:pStyle w:val="ListParagraph"/>
        <w:numPr>
          <w:ilvl w:val="0"/>
          <w:numId w:val="4"/>
        </w:numPr>
        <w:spacing w:before="120" w:after="120" w:line="276" w:lineRule="auto"/>
        <w:ind w:left="567" w:hanging="567"/>
        <w:contextualSpacing w:val="0"/>
        <w:rPr>
          <w:rFonts w:cs="Arial"/>
          <w:color w:val="000000"/>
        </w:rPr>
      </w:pPr>
      <w:r>
        <w:rPr>
          <w:rFonts w:cs="Arial"/>
          <w:color w:val="000000"/>
        </w:rPr>
        <w:t xml:space="preserve">Australia is a party to a number of human rights treaties, including the </w:t>
      </w:r>
      <w:r>
        <w:rPr>
          <w:rFonts w:cs="Arial"/>
          <w:i/>
          <w:color w:val="000000"/>
        </w:rPr>
        <w:t>International Covenant on Civil and Political Rights</w:t>
      </w:r>
      <w:r>
        <w:rPr>
          <w:rFonts w:cs="Arial"/>
          <w:color w:val="000000"/>
        </w:rPr>
        <w:t xml:space="preserve"> (the </w:t>
      </w:r>
      <w:r w:rsidRPr="00680A8A">
        <w:rPr>
          <w:rFonts w:cs="Arial"/>
          <w:b/>
          <w:color w:val="000000"/>
        </w:rPr>
        <w:t>ICCPR</w:t>
      </w:r>
      <w:r>
        <w:rPr>
          <w:rFonts w:cs="Arial"/>
          <w:color w:val="000000"/>
        </w:rPr>
        <w:t xml:space="preserve">) and the </w:t>
      </w:r>
      <w:r w:rsidRPr="003D0373">
        <w:rPr>
          <w:rFonts w:cs="Arial"/>
          <w:i/>
          <w:color w:val="000000"/>
        </w:rPr>
        <w:t>Convention on the Rights of Persons with Disabilities</w:t>
      </w:r>
      <w:r>
        <w:rPr>
          <w:rFonts w:cs="Arial"/>
          <w:color w:val="000000"/>
        </w:rPr>
        <w:t xml:space="preserve"> (the </w:t>
      </w:r>
      <w:r w:rsidRPr="007B589F">
        <w:rPr>
          <w:rFonts w:cs="Arial"/>
          <w:b/>
          <w:color w:val="000000"/>
        </w:rPr>
        <w:t>CRPD</w:t>
      </w:r>
      <w:r>
        <w:rPr>
          <w:rFonts w:cs="Arial"/>
          <w:color w:val="000000"/>
        </w:rPr>
        <w:t xml:space="preserve">).  </w:t>
      </w:r>
    </w:p>
    <w:p w14:paraId="75B95C8B" w14:textId="77777777" w:rsidR="00514765" w:rsidRDefault="00514765" w:rsidP="00514765">
      <w:pPr>
        <w:pStyle w:val="ListParagraph"/>
        <w:keepNext/>
        <w:numPr>
          <w:ilvl w:val="0"/>
          <w:numId w:val="4"/>
        </w:numPr>
        <w:spacing w:before="120" w:after="120" w:line="276" w:lineRule="auto"/>
        <w:ind w:left="567" w:hanging="567"/>
        <w:contextualSpacing w:val="0"/>
        <w:rPr>
          <w:rFonts w:cs="Arial"/>
          <w:color w:val="000000"/>
        </w:rPr>
      </w:pPr>
      <w:r>
        <w:rPr>
          <w:rFonts w:cs="Arial"/>
          <w:color w:val="000000"/>
        </w:rPr>
        <w:t>Article 20 of the ICCPR imposes the following obligations on Australia:</w:t>
      </w:r>
    </w:p>
    <w:p w14:paraId="632029B2" w14:textId="77777777" w:rsidR="00514765" w:rsidRPr="005E210F" w:rsidRDefault="00514765" w:rsidP="00514765">
      <w:pPr>
        <w:spacing w:before="120" w:after="120"/>
        <w:ind w:left="851" w:right="701"/>
        <w:rPr>
          <w:rFonts w:cs="Arial"/>
          <w:b/>
          <w:color w:val="000000"/>
          <w:sz w:val="22"/>
          <w:szCs w:val="22"/>
        </w:rPr>
      </w:pPr>
      <w:r w:rsidRPr="005E210F">
        <w:rPr>
          <w:rFonts w:cs="Arial"/>
          <w:b/>
          <w:color w:val="000000"/>
          <w:sz w:val="22"/>
          <w:szCs w:val="22"/>
        </w:rPr>
        <w:t>Article 20</w:t>
      </w:r>
    </w:p>
    <w:p w14:paraId="63EC6C66" w14:textId="77777777" w:rsidR="00514765" w:rsidRPr="005E210F" w:rsidRDefault="00514765" w:rsidP="00514765">
      <w:pPr>
        <w:pStyle w:val="ListParagraph"/>
        <w:numPr>
          <w:ilvl w:val="0"/>
          <w:numId w:val="22"/>
        </w:numPr>
        <w:spacing w:before="120" w:after="120"/>
        <w:ind w:left="1208" w:right="701" w:hanging="357"/>
        <w:contextualSpacing w:val="0"/>
        <w:rPr>
          <w:rFonts w:cs="Arial"/>
          <w:color w:val="000000"/>
          <w:sz w:val="22"/>
          <w:szCs w:val="22"/>
        </w:rPr>
      </w:pPr>
      <w:r w:rsidRPr="005E210F">
        <w:rPr>
          <w:rFonts w:cs="Arial"/>
          <w:color w:val="000000"/>
          <w:sz w:val="22"/>
          <w:szCs w:val="22"/>
        </w:rPr>
        <w:t>Any propaganda for war shall be prohibited by law.</w:t>
      </w:r>
    </w:p>
    <w:p w14:paraId="000783FD" w14:textId="77777777" w:rsidR="00514765" w:rsidRPr="00680A8A" w:rsidRDefault="00514765" w:rsidP="00514765">
      <w:pPr>
        <w:pStyle w:val="ListParagraph"/>
        <w:numPr>
          <w:ilvl w:val="0"/>
          <w:numId w:val="22"/>
        </w:numPr>
        <w:spacing w:before="120" w:after="240"/>
        <w:ind w:left="1208" w:right="703" w:hanging="357"/>
        <w:contextualSpacing w:val="0"/>
        <w:rPr>
          <w:rFonts w:cs="Arial"/>
          <w:color w:val="000000"/>
        </w:rPr>
      </w:pPr>
      <w:r w:rsidRPr="005E210F">
        <w:rPr>
          <w:rFonts w:cs="Arial"/>
          <w:color w:val="000000"/>
          <w:sz w:val="22"/>
          <w:szCs w:val="22"/>
        </w:rPr>
        <w:t>Any advocacy of national, racial or religious hatred that constitutes incitement to discrimination, hostility or violence shall be prohibited by law.</w:t>
      </w:r>
    </w:p>
    <w:p w14:paraId="3B5F28D9" w14:textId="77777777" w:rsidR="00514765" w:rsidRDefault="00514765" w:rsidP="00514765">
      <w:pPr>
        <w:pStyle w:val="ListParagraph"/>
        <w:numPr>
          <w:ilvl w:val="0"/>
          <w:numId w:val="4"/>
        </w:numPr>
        <w:spacing w:before="120" w:after="240" w:line="276" w:lineRule="auto"/>
        <w:ind w:left="567" w:hanging="567"/>
        <w:contextualSpacing w:val="0"/>
        <w:rPr>
          <w:rFonts w:cs="Arial"/>
          <w:color w:val="000000"/>
        </w:rPr>
      </w:pPr>
      <w:r>
        <w:rPr>
          <w:rFonts w:cs="Arial"/>
          <w:color w:val="000000"/>
        </w:rPr>
        <w:t xml:space="preserve">Article 9 of the ICCPR provides that everyone has the right to liberty and security of person.  Under international law, the right to security is recognised as separate to the right to liberty, and imposes positive obligations to protect security. </w:t>
      </w:r>
    </w:p>
    <w:p w14:paraId="4CAEDF8E" w14:textId="77777777" w:rsidR="00514765" w:rsidRPr="0070042E" w:rsidRDefault="00514765" w:rsidP="00514765">
      <w:pPr>
        <w:pStyle w:val="ListParagraph"/>
        <w:numPr>
          <w:ilvl w:val="0"/>
          <w:numId w:val="4"/>
        </w:numPr>
        <w:spacing w:before="120" w:after="240" w:line="276" w:lineRule="auto"/>
        <w:ind w:left="567" w:hanging="567"/>
        <w:contextualSpacing w:val="0"/>
        <w:rPr>
          <w:rFonts w:cs="Arial"/>
          <w:color w:val="000000"/>
        </w:rPr>
      </w:pPr>
      <w:r w:rsidRPr="007B589F">
        <w:rPr>
          <w:rFonts w:cs="Arial"/>
        </w:rPr>
        <w:t>Security of person concerns freedom from injury to the body and the mind, or bodily and mental integrity.  Article 9 of the ICCPR guarantees this right to everyone.   The right to personal security also obliges Australia to take appropriate measures in response to death threats against persons in the public sphere, and more generally to protect individuals from foreseeable threats to life or bodily integrity, and to respond to patterns of violence against categories of victims.</w:t>
      </w:r>
      <w:r w:rsidRPr="007B589F">
        <w:rPr>
          <w:rStyle w:val="FootnoteReference"/>
          <w:rFonts w:cs="Arial"/>
        </w:rPr>
        <w:footnoteReference w:id="102"/>
      </w:r>
    </w:p>
    <w:p w14:paraId="5C650326" w14:textId="77777777" w:rsidR="00514765" w:rsidRPr="007B589F" w:rsidRDefault="00514765" w:rsidP="00514765">
      <w:pPr>
        <w:pStyle w:val="ListParagraph"/>
        <w:numPr>
          <w:ilvl w:val="0"/>
          <w:numId w:val="4"/>
        </w:numPr>
        <w:spacing w:before="120" w:after="240" w:line="276" w:lineRule="auto"/>
        <w:ind w:left="567" w:hanging="567"/>
        <w:contextualSpacing w:val="0"/>
        <w:rPr>
          <w:rFonts w:cs="Arial"/>
          <w:color w:val="000000"/>
        </w:rPr>
      </w:pPr>
      <w:r>
        <w:rPr>
          <w:rFonts w:cs="Arial"/>
        </w:rPr>
        <w:t>Article 2 of the ICCPR imposes an obligation to ensure to all individuals within the jurisdiction, all rights in the ICCPR without distinction of any kind, such as race, colour, sex, language, religion, political or other opinion, national or social origin, property, birth or other status.</w:t>
      </w:r>
    </w:p>
    <w:p w14:paraId="2A36AC03" w14:textId="77777777" w:rsidR="00514765" w:rsidRPr="003D0373" w:rsidRDefault="00514765" w:rsidP="00514765">
      <w:pPr>
        <w:pStyle w:val="ListParagraph"/>
        <w:keepNext/>
        <w:numPr>
          <w:ilvl w:val="0"/>
          <w:numId w:val="4"/>
        </w:numPr>
        <w:spacing w:before="120" w:after="120" w:line="276" w:lineRule="auto"/>
        <w:ind w:left="567" w:hanging="567"/>
        <w:contextualSpacing w:val="0"/>
        <w:rPr>
          <w:rFonts w:cs="Arial"/>
          <w:color w:val="000000"/>
        </w:rPr>
      </w:pPr>
      <w:r>
        <w:rPr>
          <w:rFonts w:cs="Arial"/>
        </w:rPr>
        <w:t>Additionally, article 16 of the CRPD imposes these obligations:</w:t>
      </w:r>
    </w:p>
    <w:p w14:paraId="0E71B573" w14:textId="77777777" w:rsidR="00514765" w:rsidRDefault="00514765" w:rsidP="00514765">
      <w:pPr>
        <w:keepNext/>
        <w:spacing w:before="120" w:after="120"/>
        <w:ind w:left="851" w:right="701"/>
        <w:rPr>
          <w:rFonts w:cs="Arial"/>
          <w:b/>
          <w:color w:val="000000"/>
          <w:sz w:val="22"/>
          <w:szCs w:val="22"/>
        </w:rPr>
      </w:pPr>
      <w:r>
        <w:rPr>
          <w:rFonts w:cs="Arial"/>
          <w:b/>
          <w:color w:val="000000"/>
          <w:sz w:val="22"/>
          <w:szCs w:val="22"/>
        </w:rPr>
        <w:t>Article 16 – Freedom from exploitation, violence and abuse</w:t>
      </w:r>
    </w:p>
    <w:p w14:paraId="3B4AC5C2" w14:textId="77777777" w:rsidR="00514765" w:rsidRDefault="00514765" w:rsidP="00514765">
      <w:pPr>
        <w:pStyle w:val="ListParagraph"/>
        <w:numPr>
          <w:ilvl w:val="0"/>
          <w:numId w:val="24"/>
        </w:numPr>
        <w:spacing w:before="120"/>
        <w:ind w:left="1208" w:right="703" w:hanging="357"/>
        <w:contextualSpacing w:val="0"/>
        <w:rPr>
          <w:rFonts w:cs="Arial"/>
          <w:color w:val="000000"/>
          <w:sz w:val="22"/>
          <w:szCs w:val="22"/>
        </w:rPr>
      </w:pPr>
      <w:r>
        <w:rPr>
          <w:rFonts w:cs="Arial"/>
          <w:color w:val="000000"/>
          <w:sz w:val="22"/>
          <w:szCs w:val="22"/>
        </w:rPr>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3E917A2B" w14:textId="77777777" w:rsidR="00514765" w:rsidRPr="003D0373" w:rsidRDefault="00514765" w:rsidP="00514765">
      <w:pPr>
        <w:spacing w:after="120"/>
        <w:ind w:left="851" w:right="703"/>
        <w:rPr>
          <w:rFonts w:cs="Arial"/>
          <w:color w:val="000000"/>
          <w:sz w:val="22"/>
          <w:szCs w:val="22"/>
        </w:rPr>
      </w:pPr>
      <w:r>
        <w:rPr>
          <w:rFonts w:cs="Arial"/>
          <w:color w:val="000000"/>
          <w:sz w:val="22"/>
          <w:szCs w:val="22"/>
        </w:rPr>
        <w:t>…</w:t>
      </w:r>
    </w:p>
    <w:p w14:paraId="6E08A387" w14:textId="77777777" w:rsidR="00514765" w:rsidRPr="003D0373" w:rsidRDefault="00514765" w:rsidP="00514765">
      <w:pPr>
        <w:spacing w:before="120" w:after="240"/>
        <w:ind w:left="1276" w:right="703" w:hanging="425"/>
        <w:rPr>
          <w:rFonts w:cs="Arial"/>
          <w:color w:val="000000"/>
          <w:sz w:val="22"/>
          <w:szCs w:val="22"/>
        </w:rPr>
      </w:pPr>
      <w:r>
        <w:rPr>
          <w:rFonts w:cs="Arial"/>
          <w:color w:val="000000"/>
          <w:sz w:val="22"/>
          <w:szCs w:val="22"/>
        </w:rPr>
        <w:t>5.</w:t>
      </w:r>
      <w:r>
        <w:rPr>
          <w:rFonts w:cs="Arial"/>
          <w:color w:val="000000"/>
          <w:sz w:val="22"/>
          <w:szCs w:val="22"/>
        </w:rPr>
        <w:tab/>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3A59DEBD" w14:textId="77777777" w:rsidR="000E352B" w:rsidRDefault="000E352B" w:rsidP="000E352B">
      <w:pPr>
        <w:pStyle w:val="ListParagraph"/>
        <w:numPr>
          <w:ilvl w:val="0"/>
          <w:numId w:val="4"/>
        </w:numPr>
        <w:spacing w:before="120" w:after="240" w:line="276" w:lineRule="auto"/>
        <w:ind w:left="567" w:hanging="567"/>
        <w:contextualSpacing w:val="0"/>
        <w:rPr>
          <w:rFonts w:cs="Arial"/>
          <w:color w:val="000000"/>
        </w:rPr>
      </w:pPr>
      <w:r>
        <w:rPr>
          <w:rFonts w:cs="Arial"/>
          <w:color w:val="000000"/>
        </w:rPr>
        <w:lastRenderedPageBreak/>
        <w:t>While anti-discrimination legislation has an important role in setting standards of behaviour in a free and democratic society and providing avenues for redress for unacceptable conduct, complaints based civil remedies have limited, if any, effect in deterring more egregious hate speech, hate crimes, and vilification.</w:t>
      </w:r>
    </w:p>
    <w:p w14:paraId="65F13A34" w14:textId="0A7943D4" w:rsidR="0015534D" w:rsidRPr="00E02A42" w:rsidRDefault="0015534D" w:rsidP="0015534D">
      <w:pPr>
        <w:pStyle w:val="ListParagraph"/>
        <w:numPr>
          <w:ilvl w:val="0"/>
          <w:numId w:val="4"/>
        </w:numPr>
        <w:spacing w:before="120" w:after="240" w:line="276" w:lineRule="auto"/>
        <w:ind w:left="567" w:hanging="567"/>
        <w:contextualSpacing w:val="0"/>
        <w:rPr>
          <w:rFonts w:cs="Arial"/>
        </w:rPr>
      </w:pPr>
      <w:r>
        <w:rPr>
          <w:rFonts w:cs="Arial"/>
          <w:color w:val="000000"/>
        </w:rPr>
        <w:t xml:space="preserve">Criminalising conduct described in article 20(2) of the ICCPR is consistent with the permissible limitation of rights as being demonstrably justifiable in a free and democratic society based on human dignity, equality and freedom.  </w:t>
      </w:r>
    </w:p>
    <w:p w14:paraId="692BC97F" w14:textId="4E851E83" w:rsidR="00E02A42" w:rsidRPr="007B674F" w:rsidRDefault="00E02A42" w:rsidP="00D73DF9">
      <w:pPr>
        <w:pStyle w:val="ListParagraph"/>
        <w:numPr>
          <w:ilvl w:val="0"/>
          <w:numId w:val="4"/>
        </w:numPr>
        <w:spacing w:before="120" w:after="240" w:line="276" w:lineRule="auto"/>
        <w:ind w:left="567" w:hanging="567"/>
        <w:contextualSpacing w:val="0"/>
        <w:rPr>
          <w:rFonts w:cs="Arial"/>
        </w:rPr>
      </w:pPr>
      <w:r>
        <w:rPr>
          <w:rFonts w:cs="Arial"/>
          <w:color w:val="000000"/>
        </w:rPr>
        <w:t>Reform of Queensland’s vilification and hate crime laws is imperative to</w:t>
      </w:r>
      <w:r w:rsidR="005D741D">
        <w:rPr>
          <w:rFonts w:cs="Arial"/>
          <w:color w:val="000000"/>
        </w:rPr>
        <w:t xml:space="preserve"> set community standards, and to send a clear and unequiv</w:t>
      </w:r>
      <w:r w:rsidR="00BB1932">
        <w:rPr>
          <w:rFonts w:cs="Arial"/>
          <w:color w:val="000000"/>
        </w:rPr>
        <w:t>o</w:t>
      </w:r>
      <w:r w:rsidR="005D741D">
        <w:rPr>
          <w:rFonts w:cs="Arial"/>
          <w:color w:val="000000"/>
        </w:rPr>
        <w:t xml:space="preserve">cal message that crime motivated by </w:t>
      </w:r>
      <w:r w:rsidR="00BB1932">
        <w:rPr>
          <w:rFonts w:cs="Arial"/>
          <w:color w:val="000000"/>
        </w:rPr>
        <w:t>attribute</w:t>
      </w:r>
      <w:r w:rsidR="00572989">
        <w:rPr>
          <w:rFonts w:cs="Arial"/>
          <w:color w:val="000000"/>
        </w:rPr>
        <w:t>-</w:t>
      </w:r>
      <w:r w:rsidR="00BB1932">
        <w:rPr>
          <w:rFonts w:cs="Arial"/>
          <w:color w:val="000000"/>
        </w:rPr>
        <w:t>based hate is unacc</w:t>
      </w:r>
      <w:r w:rsidR="00B63EC1">
        <w:rPr>
          <w:rFonts w:cs="Arial"/>
          <w:color w:val="000000"/>
        </w:rPr>
        <w:t>eptable and will not be tol</w:t>
      </w:r>
      <w:r w:rsidR="00BB1932">
        <w:rPr>
          <w:rFonts w:cs="Arial"/>
          <w:color w:val="000000"/>
        </w:rPr>
        <w:t>erated.</w:t>
      </w:r>
    </w:p>
    <w:p w14:paraId="63F056DD" w14:textId="40B5FA40" w:rsidR="007B674F" w:rsidRPr="006A5837" w:rsidRDefault="007B674F" w:rsidP="00D73DF9">
      <w:pPr>
        <w:pStyle w:val="ListParagraph"/>
        <w:numPr>
          <w:ilvl w:val="0"/>
          <w:numId w:val="4"/>
        </w:numPr>
        <w:spacing w:before="120" w:after="240" w:line="276" w:lineRule="auto"/>
        <w:ind w:left="567" w:hanging="567"/>
        <w:contextualSpacing w:val="0"/>
        <w:rPr>
          <w:rFonts w:cs="Arial"/>
        </w:rPr>
      </w:pPr>
      <w:r>
        <w:rPr>
          <w:rFonts w:cs="Arial"/>
          <w:color w:val="000000"/>
        </w:rPr>
        <w:t>The Commission envisages making a further submission after the Committee has conducted its public hearings.</w:t>
      </w:r>
    </w:p>
    <w:p w14:paraId="3AE3E3B4" w14:textId="24BBF205" w:rsidR="002A512A" w:rsidRDefault="002A512A" w:rsidP="00DD0CF7">
      <w:pPr>
        <w:spacing w:after="160" w:line="276" w:lineRule="auto"/>
        <w:jc w:val="center"/>
        <w:rPr>
          <w:rFonts w:cs="Arial"/>
        </w:rPr>
      </w:pPr>
    </w:p>
    <w:p w14:paraId="15731B34" w14:textId="0A994A00" w:rsidR="002A512A" w:rsidRDefault="002A512A" w:rsidP="00FE5D11">
      <w:pPr>
        <w:spacing w:after="160" w:line="276" w:lineRule="auto"/>
        <w:rPr>
          <w:rFonts w:cs="Arial"/>
        </w:rPr>
      </w:pPr>
    </w:p>
    <w:p w14:paraId="35B8A6C9" w14:textId="77777777" w:rsidR="002A512A" w:rsidRPr="005B6B4B" w:rsidRDefault="002A512A" w:rsidP="002A512A">
      <w:pPr>
        <w:spacing w:after="160" w:line="276" w:lineRule="auto"/>
        <w:ind w:left="720"/>
        <w:rPr>
          <w:rFonts w:cs="Arial"/>
        </w:rPr>
        <w:sectPr w:rsidR="002A512A" w:rsidRPr="005B6B4B" w:rsidSect="005A1137">
          <w:headerReference w:type="default" r:id="rId11"/>
          <w:headerReference w:type="first" r:id="rId12"/>
          <w:footerReference w:type="first" r:id="rId13"/>
          <w:pgSz w:w="11900" w:h="16840" w:code="9"/>
          <w:pgMar w:top="1361" w:right="1701" w:bottom="1134" w:left="1701" w:header="709" w:footer="510" w:gutter="0"/>
          <w:cols w:space="708"/>
          <w:docGrid w:linePitch="360"/>
        </w:sectPr>
      </w:pPr>
    </w:p>
    <w:p w14:paraId="3903F695" w14:textId="2621CDCE" w:rsidR="00D73DF9" w:rsidRDefault="00D73DF9" w:rsidP="00D96185">
      <w:pPr>
        <w:pStyle w:val="Heading1"/>
        <w:spacing w:before="0"/>
      </w:pPr>
      <w:bookmarkStart w:id="43" w:name="_Toc76730722"/>
      <w:r>
        <w:lastRenderedPageBreak/>
        <w:t>Appendix 1 – ‘Report racism’ examples</w:t>
      </w:r>
      <w:bookmarkEnd w:id="43"/>
    </w:p>
    <w:p w14:paraId="7FF25830" w14:textId="719E2A9D" w:rsidR="00D73DF9" w:rsidRPr="00CA77F5" w:rsidRDefault="00385125" w:rsidP="00D73DF9">
      <w:pPr>
        <w:spacing w:after="240" w:line="23" w:lineRule="atLeast"/>
        <w:rPr>
          <w:b/>
        </w:rPr>
      </w:pPr>
      <w:r>
        <w:rPr>
          <w:b/>
        </w:rPr>
        <w:t>(As reported in the person’s own words)</w:t>
      </w:r>
    </w:p>
    <w:p w14:paraId="0F2E1483" w14:textId="20F7B5FD" w:rsidR="00D73DF9" w:rsidRDefault="00D73DF9" w:rsidP="00D73DF9">
      <w:pPr>
        <w:pStyle w:val="ListParagraph"/>
        <w:numPr>
          <w:ilvl w:val="0"/>
          <w:numId w:val="47"/>
        </w:numPr>
        <w:spacing w:after="160" w:line="23" w:lineRule="atLeast"/>
        <w:ind w:left="567" w:hanging="283"/>
        <w:contextualSpacing w:val="0"/>
      </w:pPr>
      <w:r w:rsidRPr="006E45F2">
        <w:t>Elderly women attack me with her walking stick and verbally. She approach me by saying to go F out of this country, no one wants me here and I didn't F belong here. proceed continuously with more verbal and offensive words and at the end she ask me to go and take my Virus/disease where I came from. (she thinks I am Asian even though I am Latin.</w:t>
      </w:r>
    </w:p>
    <w:p w14:paraId="75D5AECB" w14:textId="0D8862D5" w:rsidR="00D73DF9" w:rsidRDefault="00D73DF9" w:rsidP="00D73DF9">
      <w:pPr>
        <w:pStyle w:val="ListParagraph"/>
        <w:numPr>
          <w:ilvl w:val="0"/>
          <w:numId w:val="47"/>
        </w:numPr>
        <w:spacing w:after="160" w:line="23" w:lineRule="atLeast"/>
        <w:ind w:left="567" w:hanging="283"/>
        <w:contextualSpacing w:val="0"/>
      </w:pPr>
      <w:r w:rsidRPr="006E45F2">
        <w:t>I was informed by a body corporate committee member that my Aboriginal flag was devaluing the property hanging in my carspace. The carspace is in a secured lot away from public viewing.</w:t>
      </w:r>
      <w:r>
        <w:t xml:space="preserve"> </w:t>
      </w:r>
    </w:p>
    <w:p w14:paraId="219F8D58" w14:textId="77777777" w:rsidR="00D73DF9" w:rsidRDefault="00D73DF9" w:rsidP="00D73DF9">
      <w:pPr>
        <w:pStyle w:val="ListParagraph"/>
        <w:numPr>
          <w:ilvl w:val="0"/>
          <w:numId w:val="47"/>
        </w:numPr>
        <w:spacing w:after="160" w:line="23" w:lineRule="atLeast"/>
        <w:ind w:left="567" w:hanging="283"/>
        <w:contextualSpacing w:val="0"/>
      </w:pPr>
      <w:r w:rsidRPr="006E45F2">
        <w:t>I am Aboriginal. I was asked if on Mother's Day I went out and threw the boomerang. I was asked this by my regional director in a team meeting.</w:t>
      </w:r>
    </w:p>
    <w:p w14:paraId="00FE3C85" w14:textId="77777777" w:rsidR="00D73DF9" w:rsidRDefault="00D73DF9" w:rsidP="00D73DF9">
      <w:pPr>
        <w:pStyle w:val="ListParagraph"/>
        <w:numPr>
          <w:ilvl w:val="0"/>
          <w:numId w:val="47"/>
        </w:numPr>
        <w:spacing w:after="160" w:line="23" w:lineRule="atLeast"/>
        <w:ind w:left="567" w:hanging="283"/>
        <w:contextualSpacing w:val="0"/>
      </w:pPr>
      <w:r w:rsidRPr="006E45F2">
        <w:t>A patient appeared disgusted by being around Asian clinicians and refused to receive her injection by Asian nurses, openly stated she fears of C</w:t>
      </w:r>
      <w:r>
        <w:t>V-19 and will receive her treat</w:t>
      </w:r>
      <w:r w:rsidRPr="006E45F2">
        <w:t>ment by Caucasians only.</w:t>
      </w:r>
      <w:r>
        <w:t xml:space="preserve"> </w:t>
      </w:r>
    </w:p>
    <w:p w14:paraId="34645BBC" w14:textId="77777777" w:rsidR="00D73DF9" w:rsidRDefault="00D73DF9" w:rsidP="00D73DF9">
      <w:pPr>
        <w:pStyle w:val="ListParagraph"/>
        <w:numPr>
          <w:ilvl w:val="0"/>
          <w:numId w:val="47"/>
        </w:numPr>
        <w:spacing w:after="160" w:line="23" w:lineRule="atLeast"/>
        <w:ind w:left="567" w:hanging="283"/>
        <w:contextualSpacing w:val="0"/>
      </w:pPr>
      <w:r w:rsidRPr="006E45F2">
        <w:t>On the bike path there's multiple instances of graffiti tagged '88 Gang'. I recognise the significance of the number 88 in</w:t>
      </w:r>
      <w:r>
        <w:t xml:space="preserve"> White Supremacist literature.</w:t>
      </w:r>
    </w:p>
    <w:p w14:paraId="09201597" w14:textId="77777777" w:rsidR="00D73DF9" w:rsidRDefault="00D73DF9" w:rsidP="00D73DF9">
      <w:pPr>
        <w:pStyle w:val="ListParagraph"/>
        <w:numPr>
          <w:ilvl w:val="0"/>
          <w:numId w:val="47"/>
        </w:numPr>
        <w:spacing w:after="160" w:line="23" w:lineRule="atLeast"/>
        <w:ind w:left="567" w:hanging="283"/>
        <w:contextualSpacing w:val="0"/>
      </w:pPr>
      <w:r w:rsidRPr="006E45F2">
        <w:t>Last night I was leaving Synagogue and wal</w:t>
      </w:r>
      <w:r>
        <w:t>k</w:t>
      </w:r>
      <w:r w:rsidRPr="006E45F2">
        <w:t xml:space="preserve">ing a few steps down the hill with a few other people from the Synagogue when I noticed three men fighting in the driveway of a building on my left. One man had a shaven head and dressed in black and the other two I recognized as members of the Synagogue who had been at the service. </w:t>
      </w:r>
      <w:r>
        <w:t>People who knew them</w:t>
      </w:r>
      <w:r w:rsidRPr="006E45F2">
        <w:t xml:space="preserve"> told me that as they walked out of the Synagogue the </w:t>
      </w:r>
      <w:r>
        <w:t xml:space="preserve">man </w:t>
      </w:r>
      <w:r w:rsidRPr="006E45F2">
        <w:t>with the shaven head had given them a Nazi salute but they ignored it and walked on. This morning heard that the shaven headed man had spat on the two men leaving the Synagogue who then retaliated. I heard the police came.</w:t>
      </w:r>
      <w:r>
        <w:t xml:space="preserve"> </w:t>
      </w:r>
    </w:p>
    <w:p w14:paraId="2EE8FC1D" w14:textId="5C90D25F" w:rsidR="00D73DF9" w:rsidRDefault="00D73DF9" w:rsidP="00D73DF9">
      <w:pPr>
        <w:pStyle w:val="ListParagraph"/>
        <w:numPr>
          <w:ilvl w:val="0"/>
          <w:numId w:val="47"/>
        </w:numPr>
        <w:spacing w:after="160" w:line="23" w:lineRule="atLeast"/>
        <w:ind w:left="567" w:hanging="283"/>
        <w:contextualSpacing w:val="0"/>
      </w:pPr>
      <w:r w:rsidRPr="00A21BD1">
        <w:t xml:space="preserve">I was walking to the bus stop and a group of teenagers (5-8 people) approached me and shouted </w:t>
      </w:r>
      <w:r>
        <w:t>‘</w:t>
      </w:r>
      <w:r w:rsidR="0019639B">
        <w:t>[redacted]</w:t>
      </w:r>
      <w:r w:rsidRPr="00A21BD1">
        <w:t xml:space="preserve"> go back to your</w:t>
      </w:r>
      <w:r>
        <w:t xml:space="preserve"> country!!!’</w:t>
      </w:r>
    </w:p>
    <w:p w14:paraId="3B1CB3D9" w14:textId="376952F7" w:rsidR="00D73DF9" w:rsidRDefault="00D73DF9" w:rsidP="00D73DF9">
      <w:pPr>
        <w:pStyle w:val="ListParagraph"/>
        <w:numPr>
          <w:ilvl w:val="0"/>
          <w:numId w:val="47"/>
        </w:numPr>
        <w:spacing w:after="160" w:line="23" w:lineRule="atLeast"/>
        <w:ind w:left="567" w:hanging="283"/>
        <w:contextualSpacing w:val="0"/>
      </w:pPr>
      <w:r w:rsidRPr="00A21BD1">
        <w:t xml:space="preserve">I was walking across Queen Street Mall to catch bus home after work when suddenly a white man stood in front of me, held his hand in a gun gesture at my forehead and said, 'is </w:t>
      </w:r>
      <w:r>
        <w:t>that a target on your forehead?’</w:t>
      </w:r>
      <w:r w:rsidRPr="00A21BD1">
        <w:t>. I had a bhindi on my forehead. I was stunned and do not recall who else was around. When he walked away, I proceeded to the bus station.</w:t>
      </w:r>
      <w:r>
        <w:t xml:space="preserve"> </w:t>
      </w:r>
    </w:p>
    <w:p w14:paraId="24FD7FB5" w14:textId="341D1491" w:rsidR="00D73DF9" w:rsidRPr="00D73DF9" w:rsidRDefault="00D73DF9" w:rsidP="00D73DF9">
      <w:pPr>
        <w:pStyle w:val="ListParagraph"/>
        <w:numPr>
          <w:ilvl w:val="0"/>
          <w:numId w:val="47"/>
        </w:numPr>
        <w:spacing w:after="160" w:line="23" w:lineRule="atLeast"/>
        <w:ind w:left="568" w:hanging="284"/>
        <w:contextualSpacing w:val="0"/>
      </w:pPr>
      <w:r w:rsidRPr="00A21BD1">
        <w:t xml:space="preserve">I am very concerned about a young Aboriginal </w:t>
      </w:r>
      <w:r>
        <w:t>bo</w:t>
      </w:r>
      <w:r w:rsidRPr="00A21BD1">
        <w:t xml:space="preserve">y in the u16 division side at </w:t>
      </w:r>
      <w:r>
        <w:t>my child’s football club who was called a ‘</w:t>
      </w:r>
      <w:r w:rsidR="0019639B">
        <w:t>[redacted]</w:t>
      </w:r>
      <w:r>
        <w:t>’</w:t>
      </w:r>
      <w:r w:rsidRPr="00A21BD1">
        <w:t xml:space="preserve"> by two boys in the same team. The coach of the team knows about the incident and has turned a blind eye to it.</w:t>
      </w:r>
    </w:p>
    <w:p w14:paraId="3B890778" w14:textId="6FFF836E" w:rsidR="00D73DF9" w:rsidRDefault="00D73DF9" w:rsidP="00D73DF9"/>
    <w:p w14:paraId="3861F771" w14:textId="77777777" w:rsidR="00D73DF9" w:rsidRPr="00D73DF9" w:rsidRDefault="00D73DF9" w:rsidP="00D73DF9">
      <w:pPr>
        <w:sectPr w:rsidR="00D73DF9" w:rsidRPr="00D73DF9" w:rsidSect="005463FE">
          <w:headerReference w:type="default" r:id="rId14"/>
          <w:pgSz w:w="11900" w:h="16840" w:code="9"/>
          <w:pgMar w:top="1134" w:right="1701" w:bottom="1134" w:left="1701" w:header="284" w:footer="680" w:gutter="0"/>
          <w:cols w:space="708"/>
          <w:docGrid w:linePitch="360"/>
        </w:sectPr>
      </w:pPr>
    </w:p>
    <w:p w14:paraId="42411F0E" w14:textId="3099FD96" w:rsidR="00E17E1B" w:rsidRPr="00D96185" w:rsidRDefault="00D73DF9" w:rsidP="00D96185">
      <w:pPr>
        <w:pStyle w:val="Heading1"/>
        <w:spacing w:before="0"/>
      </w:pPr>
      <w:bookmarkStart w:id="44" w:name="_Toc76730723"/>
      <w:r>
        <w:lastRenderedPageBreak/>
        <w:t>Appendix 2</w:t>
      </w:r>
      <w:r w:rsidR="00B04F6F">
        <w:t xml:space="preserve"> – Offences and penalties</w:t>
      </w:r>
      <w:bookmarkEnd w:id="44"/>
    </w:p>
    <w:tbl>
      <w:tblPr>
        <w:tblStyle w:val="TableGrid"/>
        <w:tblW w:w="0" w:type="auto"/>
        <w:tblLook w:val="04A0" w:firstRow="1" w:lastRow="0" w:firstColumn="1" w:lastColumn="0" w:noHBand="0" w:noVBand="1"/>
      </w:tblPr>
      <w:tblGrid>
        <w:gridCol w:w="3534"/>
        <w:gridCol w:w="2292"/>
        <w:gridCol w:w="2662"/>
      </w:tblGrid>
      <w:tr w:rsidR="00063E15" w:rsidRPr="00D30161" w14:paraId="77275911" w14:textId="77777777" w:rsidTr="006A5837">
        <w:tc>
          <w:tcPr>
            <w:tcW w:w="3823" w:type="dxa"/>
            <w:shd w:val="clear" w:color="auto" w:fill="D9D9D9" w:themeFill="background1" w:themeFillShade="D9"/>
          </w:tcPr>
          <w:p w14:paraId="36D73414" w14:textId="77777777" w:rsidR="00063E15" w:rsidRPr="00D96185" w:rsidRDefault="00063E15" w:rsidP="006A5837">
            <w:pPr>
              <w:spacing w:before="100" w:after="100"/>
              <w:rPr>
                <w:b/>
                <w:sz w:val="24"/>
                <w:szCs w:val="24"/>
              </w:rPr>
            </w:pPr>
            <w:r w:rsidRPr="00D96185">
              <w:rPr>
                <w:b/>
                <w:sz w:val="24"/>
                <w:szCs w:val="24"/>
              </w:rPr>
              <w:t>Offence</w:t>
            </w:r>
          </w:p>
        </w:tc>
        <w:tc>
          <w:tcPr>
            <w:tcW w:w="2409" w:type="dxa"/>
            <w:shd w:val="clear" w:color="auto" w:fill="D9D9D9" w:themeFill="background1" w:themeFillShade="D9"/>
          </w:tcPr>
          <w:p w14:paraId="78F5B9BB" w14:textId="77777777" w:rsidR="00063E15" w:rsidRPr="00D96185" w:rsidRDefault="00063E15" w:rsidP="006A5837">
            <w:pPr>
              <w:spacing w:before="100" w:after="100"/>
              <w:rPr>
                <w:b/>
                <w:sz w:val="24"/>
                <w:szCs w:val="24"/>
              </w:rPr>
            </w:pPr>
            <w:r w:rsidRPr="00D96185">
              <w:rPr>
                <w:b/>
                <w:sz w:val="24"/>
                <w:szCs w:val="24"/>
              </w:rPr>
              <w:t>Penalty units / fine</w:t>
            </w:r>
          </w:p>
        </w:tc>
        <w:tc>
          <w:tcPr>
            <w:tcW w:w="2784" w:type="dxa"/>
            <w:shd w:val="clear" w:color="auto" w:fill="D9D9D9" w:themeFill="background1" w:themeFillShade="D9"/>
          </w:tcPr>
          <w:p w14:paraId="05E32C4E" w14:textId="77777777" w:rsidR="00063E15" w:rsidRPr="00D96185" w:rsidRDefault="00063E15" w:rsidP="006A5837">
            <w:pPr>
              <w:spacing w:before="100" w:after="100"/>
              <w:rPr>
                <w:b/>
                <w:sz w:val="24"/>
                <w:szCs w:val="24"/>
              </w:rPr>
            </w:pPr>
            <w:r w:rsidRPr="00D96185">
              <w:rPr>
                <w:b/>
                <w:sz w:val="24"/>
                <w:szCs w:val="24"/>
              </w:rPr>
              <w:t>Imprisonment</w:t>
            </w:r>
          </w:p>
        </w:tc>
      </w:tr>
      <w:tr w:rsidR="00063E15" w14:paraId="4C7A804D" w14:textId="77777777" w:rsidTr="006A5837">
        <w:tc>
          <w:tcPr>
            <w:tcW w:w="3823" w:type="dxa"/>
          </w:tcPr>
          <w:p w14:paraId="3B90CBE0" w14:textId="77777777" w:rsidR="00063E15" w:rsidRPr="00D96185" w:rsidRDefault="00063E15" w:rsidP="006A5837">
            <w:pPr>
              <w:spacing w:before="100" w:after="100"/>
              <w:rPr>
                <w:sz w:val="24"/>
                <w:szCs w:val="24"/>
              </w:rPr>
            </w:pPr>
            <w:r w:rsidRPr="00D96185">
              <w:rPr>
                <w:sz w:val="24"/>
                <w:szCs w:val="24"/>
              </w:rPr>
              <w:t>Assault (common)</w:t>
            </w:r>
            <w:r w:rsidRPr="00D96185">
              <w:rPr>
                <w:rStyle w:val="FootnoteReference"/>
                <w:sz w:val="24"/>
                <w:szCs w:val="24"/>
              </w:rPr>
              <w:footnoteReference w:id="103"/>
            </w:r>
          </w:p>
        </w:tc>
        <w:tc>
          <w:tcPr>
            <w:tcW w:w="2409" w:type="dxa"/>
          </w:tcPr>
          <w:p w14:paraId="3CEA1D07" w14:textId="77777777" w:rsidR="00063E15" w:rsidRPr="00D96185" w:rsidRDefault="00063E15" w:rsidP="006A5837">
            <w:pPr>
              <w:spacing w:before="100" w:after="100"/>
              <w:rPr>
                <w:sz w:val="24"/>
                <w:szCs w:val="24"/>
              </w:rPr>
            </w:pPr>
          </w:p>
        </w:tc>
        <w:tc>
          <w:tcPr>
            <w:tcW w:w="2784" w:type="dxa"/>
          </w:tcPr>
          <w:p w14:paraId="7C686869" w14:textId="77777777" w:rsidR="00063E15" w:rsidRPr="00D96185" w:rsidRDefault="00063E15" w:rsidP="006A5837">
            <w:pPr>
              <w:spacing w:before="100" w:after="100"/>
              <w:rPr>
                <w:sz w:val="24"/>
                <w:szCs w:val="24"/>
              </w:rPr>
            </w:pPr>
            <w:r w:rsidRPr="00D96185">
              <w:rPr>
                <w:sz w:val="24"/>
                <w:szCs w:val="24"/>
              </w:rPr>
              <w:t>Three years</w:t>
            </w:r>
          </w:p>
        </w:tc>
      </w:tr>
      <w:tr w:rsidR="00063E15" w14:paraId="08990CA4" w14:textId="77777777" w:rsidTr="006A5837">
        <w:tc>
          <w:tcPr>
            <w:tcW w:w="3823" w:type="dxa"/>
          </w:tcPr>
          <w:p w14:paraId="1298E311" w14:textId="77777777" w:rsidR="00063E15" w:rsidRPr="00D96185" w:rsidRDefault="00063E15" w:rsidP="006A5837">
            <w:pPr>
              <w:spacing w:before="100" w:after="100"/>
              <w:rPr>
                <w:sz w:val="24"/>
                <w:szCs w:val="24"/>
              </w:rPr>
            </w:pPr>
            <w:r w:rsidRPr="00D96185">
              <w:rPr>
                <w:sz w:val="24"/>
                <w:szCs w:val="24"/>
              </w:rPr>
              <w:t>Assault occasioning bodily harm</w:t>
            </w:r>
            <w:r w:rsidRPr="00D96185">
              <w:rPr>
                <w:rStyle w:val="FootnoteReference"/>
                <w:sz w:val="24"/>
                <w:szCs w:val="24"/>
              </w:rPr>
              <w:footnoteReference w:id="104"/>
            </w:r>
          </w:p>
        </w:tc>
        <w:tc>
          <w:tcPr>
            <w:tcW w:w="2409" w:type="dxa"/>
          </w:tcPr>
          <w:p w14:paraId="0E4BB588" w14:textId="77777777" w:rsidR="00063E15" w:rsidRPr="00D96185" w:rsidRDefault="00063E15" w:rsidP="006A5837">
            <w:pPr>
              <w:spacing w:before="100" w:after="100"/>
              <w:rPr>
                <w:sz w:val="24"/>
                <w:szCs w:val="24"/>
              </w:rPr>
            </w:pPr>
          </w:p>
        </w:tc>
        <w:tc>
          <w:tcPr>
            <w:tcW w:w="2784" w:type="dxa"/>
          </w:tcPr>
          <w:p w14:paraId="097FD849" w14:textId="77777777" w:rsidR="00063E15" w:rsidRPr="00D96185" w:rsidRDefault="00063E15" w:rsidP="006A5837">
            <w:pPr>
              <w:spacing w:before="100" w:after="100"/>
              <w:rPr>
                <w:sz w:val="24"/>
                <w:szCs w:val="24"/>
              </w:rPr>
            </w:pPr>
            <w:r w:rsidRPr="00D96185">
              <w:rPr>
                <w:sz w:val="24"/>
                <w:szCs w:val="24"/>
              </w:rPr>
              <w:t>Seven years</w:t>
            </w:r>
          </w:p>
        </w:tc>
      </w:tr>
      <w:tr w:rsidR="00063E15" w14:paraId="582B4C3C" w14:textId="77777777" w:rsidTr="006A5837">
        <w:tc>
          <w:tcPr>
            <w:tcW w:w="3823" w:type="dxa"/>
          </w:tcPr>
          <w:p w14:paraId="728691D1" w14:textId="77777777" w:rsidR="00063E15" w:rsidRPr="00D96185" w:rsidRDefault="00063E15" w:rsidP="006A5837">
            <w:pPr>
              <w:spacing w:before="100" w:after="100"/>
              <w:rPr>
                <w:sz w:val="24"/>
                <w:szCs w:val="24"/>
              </w:rPr>
            </w:pPr>
            <w:r w:rsidRPr="00D96185">
              <w:rPr>
                <w:sz w:val="24"/>
                <w:szCs w:val="24"/>
              </w:rPr>
              <w:t>Disturbing religious worship</w:t>
            </w:r>
            <w:r w:rsidRPr="00D96185">
              <w:rPr>
                <w:rStyle w:val="FootnoteReference"/>
                <w:sz w:val="24"/>
                <w:szCs w:val="24"/>
              </w:rPr>
              <w:footnoteReference w:id="105"/>
            </w:r>
          </w:p>
        </w:tc>
        <w:tc>
          <w:tcPr>
            <w:tcW w:w="2409" w:type="dxa"/>
          </w:tcPr>
          <w:p w14:paraId="2F94FF81" w14:textId="77777777" w:rsidR="00063E15" w:rsidRPr="00D96185" w:rsidRDefault="00063E15" w:rsidP="006A5837">
            <w:pPr>
              <w:spacing w:before="100" w:after="100"/>
              <w:rPr>
                <w:sz w:val="24"/>
                <w:szCs w:val="24"/>
              </w:rPr>
            </w:pPr>
            <w:r w:rsidRPr="00D96185">
              <w:rPr>
                <w:sz w:val="24"/>
                <w:szCs w:val="24"/>
              </w:rPr>
              <w:t>$10 fine</w:t>
            </w:r>
          </w:p>
        </w:tc>
        <w:tc>
          <w:tcPr>
            <w:tcW w:w="2784" w:type="dxa"/>
          </w:tcPr>
          <w:p w14:paraId="021AC605" w14:textId="77777777" w:rsidR="00063E15" w:rsidRPr="00D96185" w:rsidRDefault="00063E15" w:rsidP="006A5837">
            <w:pPr>
              <w:spacing w:before="100" w:after="100"/>
              <w:rPr>
                <w:sz w:val="24"/>
                <w:szCs w:val="24"/>
              </w:rPr>
            </w:pPr>
            <w:r w:rsidRPr="00D96185">
              <w:rPr>
                <w:sz w:val="24"/>
                <w:szCs w:val="24"/>
              </w:rPr>
              <w:t>Two months</w:t>
            </w:r>
          </w:p>
        </w:tc>
      </w:tr>
      <w:tr w:rsidR="00063E15" w:rsidRPr="00063E15" w14:paraId="5EA87FAC" w14:textId="77777777" w:rsidTr="006A5837">
        <w:tc>
          <w:tcPr>
            <w:tcW w:w="3823" w:type="dxa"/>
          </w:tcPr>
          <w:p w14:paraId="10189044" w14:textId="77777777" w:rsidR="00063E15" w:rsidRPr="00063E15" w:rsidRDefault="00063E15" w:rsidP="006A5837">
            <w:pPr>
              <w:spacing w:before="100" w:after="100"/>
              <w:rPr>
                <w:sz w:val="24"/>
                <w:szCs w:val="24"/>
              </w:rPr>
            </w:pPr>
            <w:r w:rsidRPr="00063E15">
              <w:rPr>
                <w:sz w:val="24"/>
                <w:szCs w:val="24"/>
              </w:rPr>
              <w:t>Going arm</w:t>
            </w:r>
            <w:r>
              <w:rPr>
                <w:sz w:val="24"/>
                <w:szCs w:val="24"/>
              </w:rPr>
              <w:t>ed so as to cause fear</w:t>
            </w:r>
            <w:r>
              <w:rPr>
                <w:rStyle w:val="FootnoteReference"/>
                <w:sz w:val="24"/>
                <w:szCs w:val="24"/>
              </w:rPr>
              <w:footnoteReference w:id="106"/>
            </w:r>
          </w:p>
        </w:tc>
        <w:tc>
          <w:tcPr>
            <w:tcW w:w="2409" w:type="dxa"/>
          </w:tcPr>
          <w:p w14:paraId="19632B7D" w14:textId="77777777" w:rsidR="00063E15" w:rsidRPr="00063E15" w:rsidRDefault="00063E15" w:rsidP="006A5837">
            <w:pPr>
              <w:spacing w:before="100" w:after="100"/>
              <w:rPr>
                <w:sz w:val="24"/>
                <w:szCs w:val="24"/>
              </w:rPr>
            </w:pPr>
          </w:p>
        </w:tc>
        <w:tc>
          <w:tcPr>
            <w:tcW w:w="2784" w:type="dxa"/>
          </w:tcPr>
          <w:p w14:paraId="0C882963" w14:textId="77777777" w:rsidR="00063E15" w:rsidRPr="00063E15" w:rsidRDefault="00063E15" w:rsidP="006A5837">
            <w:pPr>
              <w:spacing w:before="100" w:after="100"/>
              <w:rPr>
                <w:sz w:val="24"/>
                <w:szCs w:val="24"/>
              </w:rPr>
            </w:pPr>
            <w:r>
              <w:rPr>
                <w:sz w:val="24"/>
                <w:szCs w:val="24"/>
              </w:rPr>
              <w:t>Two years</w:t>
            </w:r>
          </w:p>
        </w:tc>
      </w:tr>
      <w:tr w:rsidR="00063E15" w14:paraId="3F677A53" w14:textId="77777777" w:rsidTr="006A5837">
        <w:tc>
          <w:tcPr>
            <w:tcW w:w="3823" w:type="dxa"/>
          </w:tcPr>
          <w:p w14:paraId="0136D8FB" w14:textId="77777777" w:rsidR="00063E15" w:rsidRPr="00D96185" w:rsidRDefault="00063E15" w:rsidP="006A5837">
            <w:pPr>
              <w:spacing w:before="100" w:after="100"/>
              <w:rPr>
                <w:sz w:val="24"/>
                <w:szCs w:val="24"/>
              </w:rPr>
            </w:pPr>
            <w:r w:rsidRPr="00D96185">
              <w:rPr>
                <w:sz w:val="24"/>
                <w:szCs w:val="24"/>
              </w:rPr>
              <w:t>Grievous bodily harm</w:t>
            </w:r>
            <w:r w:rsidRPr="00D96185">
              <w:rPr>
                <w:rStyle w:val="FootnoteReference"/>
                <w:sz w:val="24"/>
                <w:szCs w:val="24"/>
              </w:rPr>
              <w:footnoteReference w:id="107"/>
            </w:r>
          </w:p>
        </w:tc>
        <w:tc>
          <w:tcPr>
            <w:tcW w:w="2409" w:type="dxa"/>
          </w:tcPr>
          <w:p w14:paraId="302ED373" w14:textId="77777777" w:rsidR="00063E15" w:rsidRPr="00D96185" w:rsidRDefault="00063E15" w:rsidP="006A5837">
            <w:pPr>
              <w:spacing w:before="100" w:after="100"/>
              <w:rPr>
                <w:sz w:val="24"/>
                <w:szCs w:val="24"/>
              </w:rPr>
            </w:pPr>
          </w:p>
        </w:tc>
        <w:tc>
          <w:tcPr>
            <w:tcW w:w="2784" w:type="dxa"/>
          </w:tcPr>
          <w:p w14:paraId="0F72BA73" w14:textId="77777777" w:rsidR="00063E15" w:rsidRPr="00D96185" w:rsidRDefault="00063E15" w:rsidP="006A5837">
            <w:pPr>
              <w:spacing w:before="100" w:after="100"/>
              <w:rPr>
                <w:sz w:val="24"/>
                <w:szCs w:val="24"/>
              </w:rPr>
            </w:pPr>
            <w:r w:rsidRPr="00D96185">
              <w:rPr>
                <w:sz w:val="24"/>
                <w:szCs w:val="24"/>
              </w:rPr>
              <w:t>14 years</w:t>
            </w:r>
          </w:p>
        </w:tc>
      </w:tr>
      <w:tr w:rsidR="00063E15" w14:paraId="4D34F530" w14:textId="77777777" w:rsidTr="006A5837">
        <w:tc>
          <w:tcPr>
            <w:tcW w:w="3823" w:type="dxa"/>
          </w:tcPr>
          <w:p w14:paraId="7FCC883F" w14:textId="77777777" w:rsidR="00063E15" w:rsidRPr="00D96185" w:rsidRDefault="00063E15" w:rsidP="006A5837">
            <w:pPr>
              <w:spacing w:before="100" w:after="100"/>
              <w:rPr>
                <w:sz w:val="24"/>
                <w:szCs w:val="24"/>
              </w:rPr>
            </w:pPr>
            <w:r w:rsidRPr="00D96185">
              <w:rPr>
                <w:sz w:val="24"/>
                <w:szCs w:val="24"/>
              </w:rPr>
              <w:t>Public nuisance</w:t>
            </w:r>
            <w:r w:rsidRPr="00D96185">
              <w:rPr>
                <w:rStyle w:val="FootnoteReference"/>
                <w:sz w:val="24"/>
                <w:szCs w:val="24"/>
              </w:rPr>
              <w:footnoteReference w:id="108"/>
            </w:r>
          </w:p>
        </w:tc>
        <w:tc>
          <w:tcPr>
            <w:tcW w:w="2409" w:type="dxa"/>
          </w:tcPr>
          <w:p w14:paraId="6493C2FC" w14:textId="77777777" w:rsidR="00063E15" w:rsidRPr="00D96185" w:rsidRDefault="00063E15" w:rsidP="006A5837">
            <w:pPr>
              <w:spacing w:before="100" w:after="100"/>
              <w:rPr>
                <w:sz w:val="24"/>
                <w:szCs w:val="24"/>
              </w:rPr>
            </w:pPr>
            <w:r w:rsidRPr="00D96185">
              <w:rPr>
                <w:sz w:val="24"/>
                <w:szCs w:val="24"/>
              </w:rPr>
              <w:t>10 penalty units</w:t>
            </w:r>
          </w:p>
        </w:tc>
        <w:tc>
          <w:tcPr>
            <w:tcW w:w="2784" w:type="dxa"/>
          </w:tcPr>
          <w:p w14:paraId="13AC1F2E" w14:textId="77777777" w:rsidR="00063E15" w:rsidRPr="00D96185" w:rsidRDefault="00063E15" w:rsidP="006A5837">
            <w:pPr>
              <w:spacing w:before="100" w:after="100"/>
              <w:rPr>
                <w:sz w:val="24"/>
                <w:szCs w:val="24"/>
              </w:rPr>
            </w:pPr>
            <w:r w:rsidRPr="00D96185">
              <w:rPr>
                <w:sz w:val="24"/>
                <w:szCs w:val="24"/>
              </w:rPr>
              <w:t>Six months</w:t>
            </w:r>
          </w:p>
        </w:tc>
      </w:tr>
      <w:tr w:rsidR="00063E15" w14:paraId="7581B0D8" w14:textId="77777777" w:rsidTr="006A5837">
        <w:tc>
          <w:tcPr>
            <w:tcW w:w="3823" w:type="dxa"/>
          </w:tcPr>
          <w:p w14:paraId="03AF053D" w14:textId="77777777" w:rsidR="00063E15" w:rsidRPr="00D96185" w:rsidRDefault="00063E15" w:rsidP="006A5837">
            <w:pPr>
              <w:spacing w:before="100" w:after="100"/>
              <w:rPr>
                <w:sz w:val="24"/>
                <w:szCs w:val="24"/>
              </w:rPr>
            </w:pPr>
            <w:r w:rsidRPr="00D96185">
              <w:rPr>
                <w:sz w:val="24"/>
                <w:szCs w:val="24"/>
              </w:rPr>
              <w:t>Serious vilification</w:t>
            </w:r>
            <w:r w:rsidRPr="00D96185">
              <w:rPr>
                <w:rStyle w:val="FootnoteReference"/>
                <w:sz w:val="24"/>
                <w:szCs w:val="24"/>
              </w:rPr>
              <w:footnoteReference w:id="109"/>
            </w:r>
          </w:p>
        </w:tc>
        <w:tc>
          <w:tcPr>
            <w:tcW w:w="2409" w:type="dxa"/>
          </w:tcPr>
          <w:p w14:paraId="6C689D9E" w14:textId="77777777" w:rsidR="00063E15" w:rsidRPr="00D96185" w:rsidRDefault="00063E15" w:rsidP="006A5837">
            <w:pPr>
              <w:spacing w:before="100" w:after="100"/>
              <w:rPr>
                <w:sz w:val="24"/>
                <w:szCs w:val="24"/>
              </w:rPr>
            </w:pPr>
            <w:r w:rsidRPr="00D96185">
              <w:rPr>
                <w:sz w:val="24"/>
                <w:szCs w:val="24"/>
              </w:rPr>
              <w:t>70 penalty units (individual)</w:t>
            </w:r>
          </w:p>
          <w:p w14:paraId="0473B9E7" w14:textId="77777777" w:rsidR="00063E15" w:rsidRPr="00D96185" w:rsidRDefault="00063E15" w:rsidP="006A5837">
            <w:pPr>
              <w:spacing w:before="100" w:after="100"/>
              <w:rPr>
                <w:sz w:val="24"/>
                <w:szCs w:val="24"/>
              </w:rPr>
            </w:pPr>
            <w:r w:rsidRPr="00D96185">
              <w:rPr>
                <w:sz w:val="24"/>
                <w:szCs w:val="24"/>
              </w:rPr>
              <w:t>350 penalty units (corporation</w:t>
            </w:r>
          </w:p>
        </w:tc>
        <w:tc>
          <w:tcPr>
            <w:tcW w:w="2784" w:type="dxa"/>
          </w:tcPr>
          <w:p w14:paraId="66AF7E00" w14:textId="77777777" w:rsidR="00063E15" w:rsidRPr="00D96185" w:rsidRDefault="00063E15" w:rsidP="006A5837">
            <w:pPr>
              <w:spacing w:before="100" w:after="100"/>
              <w:rPr>
                <w:sz w:val="24"/>
                <w:szCs w:val="24"/>
              </w:rPr>
            </w:pPr>
            <w:r w:rsidRPr="00D96185">
              <w:rPr>
                <w:sz w:val="24"/>
                <w:szCs w:val="24"/>
              </w:rPr>
              <w:t>Six months</w:t>
            </w:r>
          </w:p>
        </w:tc>
      </w:tr>
      <w:tr w:rsidR="00063E15" w14:paraId="13BCB0E2" w14:textId="77777777" w:rsidTr="006A5837">
        <w:tc>
          <w:tcPr>
            <w:tcW w:w="3823" w:type="dxa"/>
          </w:tcPr>
          <w:p w14:paraId="0B6A4F6D" w14:textId="77777777" w:rsidR="00063E15" w:rsidRPr="00D96185" w:rsidRDefault="00063E15" w:rsidP="006A5837">
            <w:pPr>
              <w:spacing w:before="100" w:after="100"/>
              <w:rPr>
                <w:sz w:val="24"/>
                <w:szCs w:val="24"/>
              </w:rPr>
            </w:pPr>
            <w:r w:rsidRPr="00D96185">
              <w:rPr>
                <w:sz w:val="24"/>
                <w:szCs w:val="24"/>
              </w:rPr>
              <w:t>Stalking</w:t>
            </w:r>
            <w:r w:rsidRPr="00D96185">
              <w:rPr>
                <w:rStyle w:val="FootnoteReference"/>
                <w:sz w:val="24"/>
                <w:szCs w:val="24"/>
              </w:rPr>
              <w:footnoteReference w:id="110"/>
            </w:r>
          </w:p>
        </w:tc>
        <w:tc>
          <w:tcPr>
            <w:tcW w:w="2409" w:type="dxa"/>
          </w:tcPr>
          <w:p w14:paraId="0875ACF1" w14:textId="77777777" w:rsidR="00063E15" w:rsidRPr="00D96185" w:rsidRDefault="00063E15" w:rsidP="006A5837">
            <w:pPr>
              <w:spacing w:before="100" w:after="100"/>
              <w:rPr>
                <w:sz w:val="24"/>
                <w:szCs w:val="24"/>
              </w:rPr>
            </w:pPr>
          </w:p>
        </w:tc>
        <w:tc>
          <w:tcPr>
            <w:tcW w:w="2784" w:type="dxa"/>
          </w:tcPr>
          <w:p w14:paraId="257850B3" w14:textId="77777777" w:rsidR="00063E15" w:rsidRPr="00D96185" w:rsidRDefault="00063E15" w:rsidP="006A5837">
            <w:pPr>
              <w:spacing w:before="100" w:after="100"/>
              <w:rPr>
                <w:sz w:val="24"/>
                <w:szCs w:val="24"/>
              </w:rPr>
            </w:pPr>
            <w:r w:rsidRPr="00D96185">
              <w:rPr>
                <w:sz w:val="24"/>
                <w:szCs w:val="24"/>
              </w:rPr>
              <w:t>Five years (seven years in certain circumstances)</w:t>
            </w:r>
          </w:p>
        </w:tc>
      </w:tr>
      <w:tr w:rsidR="00063E15" w14:paraId="63A136E6" w14:textId="77777777" w:rsidTr="006A5837">
        <w:tc>
          <w:tcPr>
            <w:tcW w:w="3823" w:type="dxa"/>
          </w:tcPr>
          <w:p w14:paraId="48DA7703" w14:textId="77777777" w:rsidR="00063E15" w:rsidRPr="00D96185" w:rsidRDefault="00063E15" w:rsidP="006A5837">
            <w:pPr>
              <w:spacing w:before="100" w:after="100"/>
              <w:rPr>
                <w:sz w:val="24"/>
                <w:szCs w:val="24"/>
              </w:rPr>
            </w:pPr>
            <w:r w:rsidRPr="00D96185">
              <w:rPr>
                <w:sz w:val="24"/>
                <w:szCs w:val="24"/>
              </w:rPr>
              <w:t>Threatening violence</w:t>
            </w:r>
            <w:r w:rsidRPr="00D96185">
              <w:rPr>
                <w:rStyle w:val="FootnoteReference"/>
                <w:sz w:val="24"/>
                <w:szCs w:val="24"/>
              </w:rPr>
              <w:footnoteReference w:id="111"/>
            </w:r>
          </w:p>
        </w:tc>
        <w:tc>
          <w:tcPr>
            <w:tcW w:w="2409" w:type="dxa"/>
          </w:tcPr>
          <w:p w14:paraId="00148EAD" w14:textId="77777777" w:rsidR="00063E15" w:rsidRPr="00D96185" w:rsidRDefault="00063E15" w:rsidP="006A5837">
            <w:pPr>
              <w:spacing w:before="100" w:after="100"/>
              <w:rPr>
                <w:sz w:val="24"/>
                <w:szCs w:val="24"/>
              </w:rPr>
            </w:pPr>
          </w:p>
        </w:tc>
        <w:tc>
          <w:tcPr>
            <w:tcW w:w="2784" w:type="dxa"/>
          </w:tcPr>
          <w:p w14:paraId="2FB23B7F" w14:textId="77777777" w:rsidR="00063E15" w:rsidRPr="00D96185" w:rsidRDefault="00063E15" w:rsidP="006A5837">
            <w:pPr>
              <w:spacing w:before="100" w:after="100"/>
              <w:rPr>
                <w:sz w:val="24"/>
                <w:szCs w:val="24"/>
              </w:rPr>
            </w:pPr>
            <w:r w:rsidRPr="00D96185">
              <w:rPr>
                <w:sz w:val="24"/>
                <w:szCs w:val="24"/>
              </w:rPr>
              <w:t>Two years (five years if at night)</w:t>
            </w:r>
          </w:p>
        </w:tc>
      </w:tr>
      <w:tr w:rsidR="00063E15" w14:paraId="4078414B" w14:textId="77777777" w:rsidTr="006A5837">
        <w:tc>
          <w:tcPr>
            <w:tcW w:w="3823" w:type="dxa"/>
          </w:tcPr>
          <w:p w14:paraId="3AC41323" w14:textId="77777777" w:rsidR="00063E15" w:rsidRPr="00D96185" w:rsidRDefault="00063E15" w:rsidP="006A5837">
            <w:pPr>
              <w:spacing w:before="100" w:after="100"/>
              <w:rPr>
                <w:sz w:val="24"/>
                <w:szCs w:val="24"/>
              </w:rPr>
            </w:pPr>
            <w:r w:rsidRPr="00D96185">
              <w:rPr>
                <w:sz w:val="24"/>
                <w:szCs w:val="24"/>
              </w:rPr>
              <w:t>Trespass</w:t>
            </w:r>
            <w:r w:rsidRPr="00D96185">
              <w:rPr>
                <w:rStyle w:val="FootnoteReference"/>
                <w:sz w:val="24"/>
                <w:szCs w:val="24"/>
              </w:rPr>
              <w:footnoteReference w:id="112"/>
            </w:r>
          </w:p>
        </w:tc>
        <w:tc>
          <w:tcPr>
            <w:tcW w:w="2409" w:type="dxa"/>
          </w:tcPr>
          <w:p w14:paraId="0F1EE9AE" w14:textId="77777777" w:rsidR="00063E15" w:rsidRPr="00D96185" w:rsidRDefault="00063E15" w:rsidP="006A5837">
            <w:pPr>
              <w:spacing w:before="100" w:after="100"/>
              <w:rPr>
                <w:sz w:val="24"/>
                <w:szCs w:val="24"/>
              </w:rPr>
            </w:pPr>
            <w:r w:rsidRPr="00D96185">
              <w:rPr>
                <w:sz w:val="24"/>
                <w:szCs w:val="24"/>
              </w:rPr>
              <w:t>20 penalty units</w:t>
            </w:r>
          </w:p>
        </w:tc>
        <w:tc>
          <w:tcPr>
            <w:tcW w:w="2784" w:type="dxa"/>
          </w:tcPr>
          <w:p w14:paraId="2FF76206" w14:textId="77777777" w:rsidR="00063E15" w:rsidRPr="00D96185" w:rsidRDefault="00063E15" w:rsidP="006A5837">
            <w:pPr>
              <w:spacing w:before="100" w:after="100"/>
              <w:rPr>
                <w:sz w:val="24"/>
                <w:szCs w:val="24"/>
              </w:rPr>
            </w:pPr>
            <w:r w:rsidRPr="00D96185">
              <w:rPr>
                <w:sz w:val="24"/>
                <w:szCs w:val="24"/>
              </w:rPr>
              <w:t>12 months</w:t>
            </w:r>
          </w:p>
        </w:tc>
      </w:tr>
      <w:tr w:rsidR="00063E15" w14:paraId="5E983002" w14:textId="77777777" w:rsidTr="006A5837">
        <w:tc>
          <w:tcPr>
            <w:tcW w:w="3823" w:type="dxa"/>
          </w:tcPr>
          <w:p w14:paraId="606DAE2A" w14:textId="77777777" w:rsidR="00063E15" w:rsidRPr="00D96185" w:rsidRDefault="00063E15" w:rsidP="006A5837">
            <w:pPr>
              <w:spacing w:before="100" w:after="100"/>
              <w:rPr>
                <w:sz w:val="24"/>
                <w:szCs w:val="24"/>
              </w:rPr>
            </w:pPr>
            <w:r w:rsidRPr="00D96185">
              <w:rPr>
                <w:sz w:val="24"/>
                <w:szCs w:val="24"/>
              </w:rPr>
              <w:t>Wilful damage to property</w:t>
            </w:r>
            <w:r w:rsidRPr="00D96185">
              <w:rPr>
                <w:rStyle w:val="FootnoteReference"/>
                <w:sz w:val="24"/>
                <w:szCs w:val="24"/>
              </w:rPr>
              <w:footnoteReference w:id="113"/>
            </w:r>
          </w:p>
        </w:tc>
        <w:tc>
          <w:tcPr>
            <w:tcW w:w="2409" w:type="dxa"/>
          </w:tcPr>
          <w:p w14:paraId="6ABF6BE1" w14:textId="77777777" w:rsidR="00063E15" w:rsidRPr="00D96185" w:rsidRDefault="00063E15" w:rsidP="006A5837">
            <w:pPr>
              <w:spacing w:before="100" w:after="100"/>
              <w:rPr>
                <w:sz w:val="24"/>
                <w:szCs w:val="24"/>
              </w:rPr>
            </w:pPr>
          </w:p>
        </w:tc>
        <w:tc>
          <w:tcPr>
            <w:tcW w:w="2784" w:type="dxa"/>
          </w:tcPr>
          <w:p w14:paraId="4C9A82C9" w14:textId="77777777" w:rsidR="00063E15" w:rsidRPr="00D96185" w:rsidRDefault="00063E15" w:rsidP="006A5837">
            <w:pPr>
              <w:spacing w:before="100" w:after="100"/>
              <w:rPr>
                <w:sz w:val="24"/>
                <w:szCs w:val="24"/>
              </w:rPr>
            </w:pPr>
            <w:r w:rsidRPr="00D96185">
              <w:rPr>
                <w:sz w:val="24"/>
                <w:szCs w:val="24"/>
              </w:rPr>
              <w:t>Five years</w:t>
            </w:r>
          </w:p>
        </w:tc>
      </w:tr>
    </w:tbl>
    <w:p w14:paraId="2290856D" w14:textId="683A6FF2" w:rsidR="00E17E1B" w:rsidRPr="003E19E6" w:rsidRDefault="00E17E1B" w:rsidP="00E17E1B"/>
    <w:p w14:paraId="7CE46F01" w14:textId="437193D6" w:rsidR="00B04F6F" w:rsidRDefault="00B04F6F" w:rsidP="00B04F6F"/>
    <w:p w14:paraId="545A07A0" w14:textId="5D3EF04A" w:rsidR="00B04F6F" w:rsidRDefault="00B04F6F" w:rsidP="00B04F6F"/>
    <w:p w14:paraId="5295315B" w14:textId="77777777" w:rsidR="00E17E1B" w:rsidRDefault="00E17E1B" w:rsidP="00B04F6F">
      <w:pPr>
        <w:sectPr w:rsidR="00E17E1B" w:rsidSect="005463FE">
          <w:pgSz w:w="11900" w:h="16840" w:code="9"/>
          <w:pgMar w:top="1134" w:right="1701" w:bottom="1134" w:left="1701" w:header="284" w:footer="680" w:gutter="0"/>
          <w:cols w:space="708"/>
          <w:docGrid w:linePitch="360"/>
        </w:sectPr>
      </w:pPr>
    </w:p>
    <w:p w14:paraId="55A5856F" w14:textId="3EFD8BA6" w:rsidR="000D1519" w:rsidRDefault="000D1519" w:rsidP="00B50D7B">
      <w:pPr>
        <w:pStyle w:val="Heading1"/>
        <w:spacing w:before="0"/>
      </w:pPr>
      <w:bookmarkStart w:id="45" w:name="_Toc76730724"/>
      <w:r>
        <w:lastRenderedPageBreak/>
        <w:t xml:space="preserve">Appendix </w:t>
      </w:r>
      <w:r w:rsidR="00D73DF9">
        <w:t>3</w:t>
      </w:r>
      <w:r w:rsidR="00FE5D11">
        <w:t xml:space="preserve"> </w:t>
      </w:r>
      <w:r>
        <w:t>– Examples of online hate speech and vilification</w:t>
      </w:r>
      <w:r>
        <w:rPr>
          <w:rStyle w:val="FootnoteReference"/>
          <w:rFonts w:cs="Arial"/>
        </w:rPr>
        <w:footnoteReference w:id="114"/>
      </w:r>
      <w:bookmarkEnd w:id="45"/>
    </w:p>
    <w:p w14:paraId="670A1CEE" w14:textId="5FED73F4" w:rsidR="000D1519" w:rsidRPr="0019639B" w:rsidRDefault="0019639B" w:rsidP="000D1519">
      <w:pPr>
        <w:pStyle w:val="Pa7"/>
        <w:spacing w:before="120" w:after="120"/>
        <w:rPr>
          <w:rFonts w:ascii="Arial" w:hAnsi="Arial" w:cs="Arial"/>
          <w:b/>
          <w:color w:val="000000"/>
        </w:rPr>
      </w:pPr>
      <w:r w:rsidRPr="0019639B">
        <w:rPr>
          <w:rFonts w:ascii="Arial" w:hAnsi="Arial" w:cs="Arial"/>
          <w:b/>
        </w:rPr>
        <w:t>[redacted]</w:t>
      </w:r>
      <w:r w:rsidR="000D1519" w:rsidRPr="0019639B">
        <w:rPr>
          <w:rStyle w:val="FootnoteReference"/>
          <w:rFonts w:ascii="Arial" w:hAnsi="Arial" w:cs="Arial"/>
          <w:b/>
          <w:color w:val="000000"/>
        </w:rPr>
        <w:footnoteReference w:id="115"/>
      </w:r>
    </w:p>
    <w:p w14:paraId="0A04B805" w14:textId="6F6ADF33" w:rsidR="000D1519" w:rsidRPr="0019639B" w:rsidRDefault="0019639B" w:rsidP="000D1519">
      <w:pPr>
        <w:pStyle w:val="Pa2"/>
        <w:spacing w:before="120" w:after="120" w:line="276" w:lineRule="auto"/>
        <w:rPr>
          <w:rFonts w:ascii="Arial" w:hAnsi="Arial" w:cs="Arial"/>
          <w:color w:val="000000"/>
          <w:sz w:val="22"/>
          <w:szCs w:val="22"/>
        </w:rPr>
      </w:pPr>
      <w:r w:rsidRPr="0019639B">
        <w:rPr>
          <w:rFonts w:ascii="Arial" w:hAnsi="Arial" w:cs="Arial"/>
        </w:rPr>
        <w:t>[redacted]</w:t>
      </w:r>
      <w:r>
        <w:t xml:space="preserve"> </w:t>
      </w:r>
      <w:r w:rsidR="000D1519" w:rsidRPr="000D1519">
        <w:rPr>
          <w:rFonts w:ascii="Arial" w:hAnsi="Arial" w:cs="Arial"/>
          <w:color w:val="000000"/>
          <w:sz w:val="22"/>
          <w:szCs w:val="22"/>
        </w:rPr>
        <w:t xml:space="preserve">uses the following names </w:t>
      </w:r>
      <w:r w:rsidR="000D1519" w:rsidRPr="0019639B">
        <w:rPr>
          <w:rFonts w:ascii="Arial" w:hAnsi="Arial" w:cs="Arial"/>
          <w:color w:val="000000"/>
          <w:sz w:val="22"/>
          <w:szCs w:val="22"/>
        </w:rPr>
        <w:t xml:space="preserve">online: </w:t>
      </w:r>
      <w:r w:rsidRPr="0019639B">
        <w:rPr>
          <w:rFonts w:ascii="Arial" w:hAnsi="Arial" w:cs="Arial"/>
          <w:sz w:val="22"/>
          <w:szCs w:val="22"/>
        </w:rPr>
        <w:t>[redacted]</w:t>
      </w:r>
      <w:r w:rsidRPr="0019639B">
        <w:rPr>
          <w:sz w:val="22"/>
          <w:szCs w:val="22"/>
        </w:rPr>
        <w:t xml:space="preserve"> </w:t>
      </w:r>
      <w:r w:rsidR="000D1519" w:rsidRPr="0019639B">
        <w:rPr>
          <w:rFonts w:ascii="Arial" w:hAnsi="Arial" w:cs="Arial"/>
          <w:color w:val="000000"/>
          <w:sz w:val="22"/>
          <w:szCs w:val="22"/>
        </w:rPr>
        <w:t xml:space="preserve">and </w:t>
      </w:r>
      <w:r w:rsidRPr="0019639B">
        <w:rPr>
          <w:rFonts w:ascii="Arial" w:hAnsi="Arial" w:cs="Arial"/>
          <w:sz w:val="22"/>
          <w:szCs w:val="22"/>
        </w:rPr>
        <w:t>[redacted]</w:t>
      </w:r>
      <w:r w:rsidR="000D1519" w:rsidRPr="0019639B">
        <w:rPr>
          <w:rFonts w:ascii="Arial" w:hAnsi="Arial" w:cs="Arial"/>
          <w:color w:val="000000"/>
          <w:sz w:val="22"/>
          <w:szCs w:val="22"/>
        </w:rPr>
        <w:t>.</w:t>
      </w:r>
      <w:r w:rsidR="000D1519" w:rsidRPr="000D1519">
        <w:rPr>
          <w:rFonts w:ascii="Arial" w:hAnsi="Arial" w:cs="Arial"/>
          <w:color w:val="000000"/>
          <w:sz w:val="22"/>
          <w:szCs w:val="22"/>
        </w:rPr>
        <w:t xml:space="preserve"> </w:t>
      </w:r>
      <w:r w:rsidR="000D1519">
        <w:rPr>
          <w:rFonts w:ascii="Arial" w:hAnsi="Arial" w:cs="Arial"/>
          <w:color w:val="000000"/>
          <w:sz w:val="22"/>
          <w:szCs w:val="22"/>
        </w:rPr>
        <w:t xml:space="preserve"> </w:t>
      </w:r>
      <w:r w:rsidR="000D1519" w:rsidRPr="000D1519">
        <w:rPr>
          <w:rFonts w:ascii="Arial" w:hAnsi="Arial" w:cs="Arial"/>
          <w:color w:val="000000"/>
          <w:sz w:val="22"/>
          <w:szCs w:val="22"/>
        </w:rPr>
        <w:t xml:space="preserve">He has had several Facebook accounts, Youtube accounts </w:t>
      </w:r>
      <w:r w:rsidR="000D1519" w:rsidRPr="0019639B">
        <w:rPr>
          <w:rFonts w:ascii="Arial" w:hAnsi="Arial" w:cs="Arial"/>
          <w:color w:val="000000"/>
          <w:sz w:val="22"/>
          <w:szCs w:val="22"/>
        </w:rPr>
        <w:t xml:space="preserve">and Gab accounts.  </w:t>
      </w:r>
      <w:r w:rsidRPr="0019639B">
        <w:rPr>
          <w:rFonts w:ascii="Arial" w:hAnsi="Arial" w:cs="Arial"/>
          <w:sz w:val="22"/>
          <w:szCs w:val="22"/>
        </w:rPr>
        <w:t>[redacted]</w:t>
      </w:r>
      <w:r w:rsidRPr="0019639B">
        <w:rPr>
          <w:sz w:val="22"/>
          <w:szCs w:val="22"/>
        </w:rPr>
        <w:t xml:space="preserve"> </w:t>
      </w:r>
      <w:r w:rsidR="000D1519" w:rsidRPr="0019639B">
        <w:rPr>
          <w:rFonts w:ascii="Arial" w:hAnsi="Arial" w:cs="Arial"/>
          <w:color w:val="000000"/>
          <w:sz w:val="22"/>
          <w:szCs w:val="22"/>
        </w:rPr>
        <w:t xml:space="preserve"> has</w:t>
      </w:r>
      <w:r w:rsidR="000D1519" w:rsidRPr="000D1519">
        <w:rPr>
          <w:rFonts w:ascii="Arial" w:hAnsi="Arial" w:cs="Arial"/>
          <w:color w:val="000000"/>
          <w:sz w:val="22"/>
          <w:szCs w:val="22"/>
        </w:rPr>
        <w:t xml:space="preserve"> stated he plans to stand for the Senate at the next election. </w:t>
      </w:r>
      <w:r w:rsidR="000D1519">
        <w:rPr>
          <w:rFonts w:ascii="Arial" w:hAnsi="Arial" w:cs="Arial"/>
          <w:color w:val="000000"/>
          <w:sz w:val="22"/>
          <w:szCs w:val="22"/>
        </w:rPr>
        <w:t xml:space="preserve"> </w:t>
      </w:r>
      <w:r w:rsidR="000D1519" w:rsidRPr="000D1519">
        <w:rPr>
          <w:rFonts w:ascii="Arial" w:hAnsi="Arial" w:cs="Arial"/>
          <w:color w:val="000000"/>
          <w:sz w:val="22"/>
          <w:szCs w:val="22"/>
        </w:rPr>
        <w:t xml:space="preserve">He believes that white genocide is occurring, and calls for the expulsion of those of non- European ethnicity (apart from Indigenous Australians), and also calls for the killing of Jews, homosexuals, and others. </w:t>
      </w:r>
      <w:r w:rsidR="000D1519">
        <w:rPr>
          <w:rFonts w:ascii="Arial" w:hAnsi="Arial" w:cs="Arial"/>
          <w:color w:val="000000"/>
          <w:sz w:val="22"/>
          <w:szCs w:val="22"/>
        </w:rPr>
        <w:t xml:space="preserve"> </w:t>
      </w:r>
      <w:r w:rsidR="000D1519" w:rsidRPr="000D1519">
        <w:rPr>
          <w:rFonts w:ascii="Arial" w:hAnsi="Arial" w:cs="Arial"/>
          <w:color w:val="000000"/>
          <w:sz w:val="22"/>
          <w:szCs w:val="22"/>
        </w:rPr>
        <w:t xml:space="preserve">He also claims to be a supporter of Christianity </w:t>
      </w:r>
      <w:r w:rsidR="000D1519" w:rsidRPr="0019639B">
        <w:rPr>
          <w:rFonts w:ascii="Arial" w:hAnsi="Arial" w:cs="Arial"/>
          <w:color w:val="000000"/>
          <w:sz w:val="22"/>
          <w:szCs w:val="22"/>
        </w:rPr>
        <w:t xml:space="preserve">and Jesus.  </w:t>
      </w:r>
      <w:r w:rsidRPr="0019639B">
        <w:rPr>
          <w:rFonts w:ascii="Arial" w:hAnsi="Arial" w:cs="Arial"/>
          <w:sz w:val="22"/>
          <w:szCs w:val="22"/>
        </w:rPr>
        <w:t>[redacted]</w:t>
      </w:r>
      <w:r w:rsidRPr="0019639B">
        <w:rPr>
          <w:sz w:val="22"/>
          <w:szCs w:val="22"/>
        </w:rPr>
        <w:t xml:space="preserve"> </w:t>
      </w:r>
      <w:r w:rsidR="000D1519" w:rsidRPr="0019639B">
        <w:rPr>
          <w:rFonts w:ascii="Arial" w:hAnsi="Arial" w:cs="Arial"/>
          <w:color w:val="000000"/>
          <w:sz w:val="22"/>
          <w:szCs w:val="22"/>
        </w:rPr>
        <w:t xml:space="preserve"> lives in Queensland. </w:t>
      </w:r>
    </w:p>
    <w:p w14:paraId="72145E52" w14:textId="03022A7C" w:rsidR="000D1519" w:rsidRDefault="0019639B" w:rsidP="000D1519">
      <w:pPr>
        <w:spacing w:before="120" w:after="120" w:line="276" w:lineRule="auto"/>
        <w:rPr>
          <w:rFonts w:cs="Arial"/>
          <w:color w:val="000000"/>
          <w:sz w:val="22"/>
          <w:szCs w:val="22"/>
        </w:rPr>
      </w:pPr>
      <w:r w:rsidRPr="0019639B">
        <w:rPr>
          <w:rFonts w:cs="Arial"/>
          <w:sz w:val="22"/>
          <w:szCs w:val="22"/>
        </w:rPr>
        <w:t>[redacted]</w:t>
      </w:r>
      <w:r w:rsidR="000D1519" w:rsidRPr="000D1519">
        <w:rPr>
          <w:rFonts w:cs="Arial"/>
          <w:color w:val="000000"/>
          <w:sz w:val="22"/>
          <w:szCs w:val="22"/>
        </w:rPr>
        <w:t xml:space="preserve"> produces hip-hop style videos with his own political and hateful lyrics. Many of the lyrics express violence against particular minorities. </w:t>
      </w:r>
      <w:r w:rsidRPr="0019639B">
        <w:rPr>
          <w:rFonts w:cs="Arial"/>
          <w:sz w:val="22"/>
          <w:szCs w:val="22"/>
        </w:rPr>
        <w:t>[redacted]</w:t>
      </w:r>
      <w:r w:rsidRPr="0019639B">
        <w:rPr>
          <w:sz w:val="22"/>
          <w:szCs w:val="22"/>
        </w:rPr>
        <w:t xml:space="preserve"> </w:t>
      </w:r>
      <w:r w:rsidR="000D1519" w:rsidRPr="000D1519">
        <w:rPr>
          <w:rFonts w:cs="Arial"/>
          <w:color w:val="000000"/>
          <w:sz w:val="22"/>
          <w:szCs w:val="22"/>
        </w:rPr>
        <w:t xml:space="preserve">Youtube channel was terminated by Youtube on c. 29 June 2019. </w:t>
      </w:r>
      <w:r w:rsidRPr="0019639B">
        <w:rPr>
          <w:rFonts w:cs="Arial"/>
          <w:sz w:val="22"/>
          <w:szCs w:val="22"/>
        </w:rPr>
        <w:t>[redacted]</w:t>
      </w:r>
      <w:r w:rsidRPr="0019639B">
        <w:rPr>
          <w:sz w:val="22"/>
          <w:szCs w:val="22"/>
        </w:rPr>
        <w:t xml:space="preserve"> </w:t>
      </w:r>
      <w:r w:rsidR="000D1519" w:rsidRPr="000D1519">
        <w:rPr>
          <w:rFonts w:cs="Arial"/>
          <w:color w:val="000000"/>
          <w:sz w:val="22"/>
          <w:szCs w:val="22"/>
        </w:rPr>
        <w:t xml:space="preserve">then established another Youtube channel, under the name </w:t>
      </w:r>
      <w:r w:rsidRPr="0019639B">
        <w:rPr>
          <w:rFonts w:cs="Arial"/>
          <w:sz w:val="22"/>
          <w:szCs w:val="22"/>
        </w:rPr>
        <w:t>[redacted]</w:t>
      </w:r>
      <w:r w:rsidR="000D1519" w:rsidRPr="000D1519">
        <w:rPr>
          <w:rFonts w:cs="Arial"/>
          <w:color w:val="000000"/>
          <w:sz w:val="22"/>
          <w:szCs w:val="22"/>
        </w:rPr>
        <w:t xml:space="preserve">. </w:t>
      </w:r>
      <w:r w:rsidR="000D1519">
        <w:rPr>
          <w:rFonts w:cs="Arial"/>
          <w:color w:val="000000"/>
          <w:sz w:val="22"/>
          <w:szCs w:val="22"/>
        </w:rPr>
        <w:t xml:space="preserve"> </w:t>
      </w:r>
      <w:r w:rsidR="000D1519" w:rsidRPr="000D1519">
        <w:rPr>
          <w:rFonts w:cs="Arial"/>
          <w:color w:val="000000"/>
          <w:sz w:val="22"/>
          <w:szCs w:val="22"/>
        </w:rPr>
        <w:t>In the first video below, the video lyrics vilify Jews (</w:t>
      </w:r>
      <w:r w:rsidRPr="0019639B">
        <w:rPr>
          <w:rFonts w:cs="Arial"/>
          <w:sz w:val="22"/>
          <w:szCs w:val="22"/>
        </w:rPr>
        <w:t>[redacted]</w:t>
      </w:r>
      <w:r w:rsidR="000D1519" w:rsidRPr="000D1519">
        <w:rPr>
          <w:rFonts w:cs="Arial"/>
          <w:color w:val="000000"/>
          <w:sz w:val="22"/>
          <w:szCs w:val="22"/>
        </w:rPr>
        <w:t>), blacks, Muslims, homosexuals (</w:t>
      </w:r>
      <w:r w:rsidRPr="0019639B">
        <w:rPr>
          <w:rFonts w:cs="Arial"/>
          <w:sz w:val="22"/>
          <w:szCs w:val="22"/>
        </w:rPr>
        <w:t>[redacted]</w:t>
      </w:r>
      <w:r w:rsidR="000D1519" w:rsidRPr="000D1519">
        <w:rPr>
          <w:rFonts w:cs="Arial"/>
          <w:color w:val="000000"/>
          <w:sz w:val="22"/>
          <w:szCs w:val="22"/>
        </w:rPr>
        <w:t>), and women (</w:t>
      </w:r>
      <w:r w:rsidRPr="0019639B">
        <w:rPr>
          <w:rFonts w:cs="Arial"/>
          <w:sz w:val="22"/>
          <w:szCs w:val="22"/>
        </w:rPr>
        <w:t>[redacted]</w:t>
      </w:r>
      <w:r w:rsidR="000D1519" w:rsidRPr="000D1519">
        <w:rPr>
          <w:rFonts w:cs="Arial"/>
          <w:color w:val="000000"/>
          <w:sz w:val="22"/>
          <w:szCs w:val="22"/>
        </w:rPr>
        <w:t xml:space="preserve"> = </w:t>
      </w:r>
      <w:r w:rsidRPr="0019639B">
        <w:rPr>
          <w:rFonts w:cs="Arial"/>
          <w:sz w:val="22"/>
          <w:szCs w:val="22"/>
        </w:rPr>
        <w:t>[redacted]</w:t>
      </w:r>
      <w:r w:rsidRPr="0019639B">
        <w:rPr>
          <w:sz w:val="22"/>
          <w:szCs w:val="22"/>
        </w:rPr>
        <w:t xml:space="preserve"> </w:t>
      </w:r>
      <w:r w:rsidR="000D1519" w:rsidRPr="000D1519">
        <w:rPr>
          <w:rFonts w:cs="Arial"/>
          <w:color w:val="000000"/>
          <w:sz w:val="22"/>
          <w:szCs w:val="22"/>
        </w:rPr>
        <w:t xml:space="preserve"> or </w:t>
      </w:r>
      <w:r w:rsidRPr="0019639B">
        <w:rPr>
          <w:rFonts w:cs="Arial"/>
          <w:sz w:val="22"/>
          <w:szCs w:val="22"/>
        </w:rPr>
        <w:t>[redacted]</w:t>
      </w:r>
      <w:r w:rsidR="000D1519" w:rsidRPr="000D1519">
        <w:rPr>
          <w:rFonts w:cs="Arial"/>
          <w:color w:val="000000"/>
          <w:sz w:val="22"/>
          <w:szCs w:val="22"/>
        </w:rPr>
        <w:t>).</w:t>
      </w:r>
    </w:p>
    <w:p w14:paraId="05249B9C" w14:textId="74689661" w:rsidR="0019639B" w:rsidRPr="000D1519" w:rsidRDefault="0019639B" w:rsidP="000D1519">
      <w:pPr>
        <w:spacing w:before="120" w:after="120" w:line="276" w:lineRule="auto"/>
        <w:rPr>
          <w:rFonts w:cs="Arial"/>
          <w:color w:val="000000"/>
        </w:rPr>
      </w:pPr>
      <w:r>
        <w:rPr>
          <w:rFonts w:cs="Arial"/>
          <w:color w:val="000000"/>
          <w:sz w:val="22"/>
          <w:szCs w:val="22"/>
        </w:rPr>
        <w:t xml:space="preserve">[All examples fully redacted] </w:t>
      </w:r>
    </w:p>
    <w:p w14:paraId="6ADD8D92" w14:textId="77777777" w:rsidR="0019639B" w:rsidRDefault="0019639B" w:rsidP="000D1519">
      <w:pPr>
        <w:pStyle w:val="Pa2"/>
        <w:spacing w:after="120" w:line="276" w:lineRule="auto"/>
        <w:rPr>
          <w:rFonts w:ascii="Arial" w:hAnsi="Arial" w:cs="Arial"/>
          <w:b/>
          <w:szCs w:val="22"/>
        </w:rPr>
      </w:pPr>
    </w:p>
    <w:p w14:paraId="169A7B58" w14:textId="1A668A8A" w:rsidR="0019639B" w:rsidRPr="0019639B" w:rsidRDefault="0019639B" w:rsidP="000D1519">
      <w:pPr>
        <w:pStyle w:val="Pa2"/>
        <w:spacing w:after="120" w:line="276" w:lineRule="auto"/>
        <w:rPr>
          <w:b/>
          <w:szCs w:val="22"/>
        </w:rPr>
      </w:pPr>
      <w:r w:rsidRPr="0019639B">
        <w:rPr>
          <w:rFonts w:ascii="Arial" w:hAnsi="Arial" w:cs="Arial"/>
          <w:b/>
          <w:szCs w:val="22"/>
        </w:rPr>
        <w:t>[redacted]</w:t>
      </w:r>
      <w:r w:rsidRPr="0019639B">
        <w:rPr>
          <w:b/>
          <w:szCs w:val="22"/>
        </w:rPr>
        <w:t xml:space="preserve"> </w:t>
      </w:r>
    </w:p>
    <w:p w14:paraId="63CDBE7F" w14:textId="77777777" w:rsidR="0019639B" w:rsidRDefault="0019639B" w:rsidP="000D1519">
      <w:pPr>
        <w:pStyle w:val="Pa2"/>
        <w:spacing w:after="120" w:line="276" w:lineRule="auto"/>
        <w:rPr>
          <w:rFonts w:ascii="Arial" w:hAnsi="Arial" w:cs="Arial"/>
          <w:color w:val="000000"/>
          <w:sz w:val="22"/>
          <w:szCs w:val="22"/>
        </w:rPr>
      </w:pPr>
      <w:r w:rsidRPr="0019639B">
        <w:rPr>
          <w:rFonts w:ascii="Arial" w:hAnsi="Arial" w:cs="Arial"/>
          <w:sz w:val="22"/>
          <w:szCs w:val="22"/>
        </w:rPr>
        <w:t>[redacted]</w:t>
      </w:r>
      <w:r w:rsidRPr="0019639B">
        <w:rPr>
          <w:sz w:val="22"/>
          <w:szCs w:val="22"/>
        </w:rPr>
        <w:t xml:space="preserve"> </w:t>
      </w:r>
      <w:r w:rsidR="000D1519" w:rsidRPr="000D1519">
        <w:rPr>
          <w:rFonts w:ascii="Arial" w:hAnsi="Arial" w:cs="Arial"/>
          <w:color w:val="000000"/>
          <w:sz w:val="22"/>
          <w:szCs w:val="22"/>
        </w:rPr>
        <w:t xml:space="preserve">lives in Queensland. </w:t>
      </w:r>
      <w:r w:rsidR="000D1519">
        <w:rPr>
          <w:rFonts w:ascii="Arial" w:hAnsi="Arial" w:cs="Arial"/>
          <w:color w:val="000000"/>
          <w:sz w:val="22"/>
          <w:szCs w:val="22"/>
        </w:rPr>
        <w:t xml:space="preserve"> </w:t>
      </w:r>
      <w:r w:rsidR="000D1519" w:rsidRPr="000D1519">
        <w:rPr>
          <w:rFonts w:ascii="Arial" w:hAnsi="Arial" w:cs="Arial"/>
          <w:color w:val="000000"/>
          <w:sz w:val="22"/>
          <w:szCs w:val="22"/>
        </w:rPr>
        <w:t>Th</w:t>
      </w:r>
      <w:r w:rsidR="00385125">
        <w:rPr>
          <w:rFonts w:ascii="Arial" w:hAnsi="Arial" w:cs="Arial"/>
          <w:color w:val="000000"/>
          <w:sz w:val="22"/>
          <w:szCs w:val="22"/>
        </w:rPr>
        <w:t>e following is a post from his F</w:t>
      </w:r>
      <w:r w:rsidR="000D1519" w:rsidRPr="000D1519">
        <w:rPr>
          <w:rFonts w:ascii="Arial" w:hAnsi="Arial" w:cs="Arial"/>
          <w:color w:val="000000"/>
          <w:sz w:val="22"/>
          <w:szCs w:val="22"/>
        </w:rPr>
        <w:t>acebook page on 10 January 2015, accompanying a link to an ABC article</w:t>
      </w:r>
      <w:r>
        <w:rPr>
          <w:rFonts w:ascii="Arial" w:hAnsi="Arial" w:cs="Arial"/>
          <w:color w:val="000000"/>
          <w:sz w:val="22"/>
          <w:szCs w:val="22"/>
        </w:rPr>
        <w:t xml:space="preserve">. </w:t>
      </w:r>
    </w:p>
    <w:p w14:paraId="223B9274" w14:textId="3FA84814" w:rsidR="00FE5D11" w:rsidRDefault="009B7648" w:rsidP="0019639B">
      <w:pPr>
        <w:pStyle w:val="Pa2"/>
        <w:spacing w:after="120" w:line="276" w:lineRule="auto"/>
        <w:rPr>
          <w:rFonts w:cs="Arial"/>
          <w:i/>
          <w:iCs/>
          <w:color w:val="000000"/>
          <w:sz w:val="22"/>
          <w:szCs w:val="22"/>
        </w:rPr>
        <w:sectPr w:rsidR="00FE5D11" w:rsidSect="005463FE">
          <w:pgSz w:w="11900" w:h="16840" w:code="9"/>
          <w:pgMar w:top="1134" w:right="1701" w:bottom="1134" w:left="1701" w:header="284" w:footer="680" w:gutter="0"/>
          <w:cols w:space="708"/>
          <w:docGrid w:linePitch="360"/>
        </w:sectPr>
      </w:pPr>
      <w:r>
        <w:rPr>
          <w:rFonts w:ascii="Arial" w:hAnsi="Arial" w:cs="Arial"/>
          <w:color w:val="000000"/>
          <w:sz w:val="22"/>
          <w:szCs w:val="22"/>
        </w:rPr>
        <w:t>[Example fully reda</w:t>
      </w:r>
      <w:bookmarkStart w:id="46" w:name="_GoBack"/>
      <w:bookmarkEnd w:id="46"/>
      <w:r w:rsidR="0019639B">
        <w:rPr>
          <w:rFonts w:ascii="Arial" w:hAnsi="Arial" w:cs="Arial"/>
          <w:color w:val="000000"/>
          <w:sz w:val="22"/>
          <w:szCs w:val="22"/>
        </w:rPr>
        <w:t xml:space="preserve">cted] </w:t>
      </w:r>
      <w:r w:rsidR="000D1519" w:rsidRPr="000D1519">
        <w:rPr>
          <w:rFonts w:ascii="Arial" w:hAnsi="Arial" w:cs="Arial"/>
          <w:color w:val="000000"/>
          <w:sz w:val="22"/>
          <w:szCs w:val="22"/>
        </w:rPr>
        <w:t xml:space="preserve"> </w:t>
      </w:r>
    </w:p>
    <w:p w14:paraId="171B3FBE" w14:textId="68B024E5" w:rsidR="000D1519" w:rsidRDefault="00D73DF9" w:rsidP="00E17E1B">
      <w:pPr>
        <w:pStyle w:val="Heading1"/>
        <w:spacing w:before="0" w:after="120"/>
      </w:pPr>
      <w:bookmarkStart w:id="47" w:name="_Toc76730725"/>
      <w:r>
        <w:lastRenderedPageBreak/>
        <w:t>Appendix 4</w:t>
      </w:r>
      <w:r w:rsidR="00FE5D11">
        <w:t xml:space="preserve"> – Statistics (vilification complaints)</w:t>
      </w:r>
      <w:bookmarkEnd w:id="47"/>
    </w:p>
    <w:p w14:paraId="67D929C8" w14:textId="77777777" w:rsidR="00BA60BF" w:rsidRPr="009A17D5" w:rsidRDefault="00BA60BF" w:rsidP="00E17E1B">
      <w:pPr>
        <w:spacing w:after="160"/>
        <w:jc w:val="center"/>
        <w:rPr>
          <w:rFonts w:cs="Arial"/>
          <w:b/>
        </w:rPr>
      </w:pPr>
      <w:r w:rsidRPr="009A17D5">
        <w:rPr>
          <w:rFonts w:cs="Arial"/>
          <w:b/>
        </w:rPr>
        <w:t xml:space="preserve">Vilification complaints accepted by the </w:t>
      </w:r>
      <w:r>
        <w:rPr>
          <w:rFonts w:cs="Arial"/>
          <w:b/>
        </w:rPr>
        <w:t>Queensland Human Rights Commission (formerly the Anti-Discrimination Commission Queensland)</w:t>
      </w:r>
    </w:p>
    <w:tbl>
      <w:tblPr>
        <w:tblStyle w:val="TableGrid"/>
        <w:tblW w:w="4929" w:type="pct"/>
        <w:tblInd w:w="-5" w:type="dxa"/>
        <w:tblLook w:val="04A0" w:firstRow="1" w:lastRow="0" w:firstColumn="1" w:lastColumn="0" w:noHBand="0" w:noVBand="1"/>
      </w:tblPr>
      <w:tblGrid>
        <w:gridCol w:w="1276"/>
        <w:gridCol w:w="1260"/>
        <w:gridCol w:w="1170"/>
        <w:gridCol w:w="1360"/>
        <w:gridCol w:w="1451"/>
        <w:gridCol w:w="1153"/>
        <w:gridCol w:w="1255"/>
      </w:tblGrid>
      <w:tr w:rsidR="00FE5D11" w:rsidRPr="009A17D5" w14:paraId="62814FCD" w14:textId="77777777" w:rsidTr="00455917">
        <w:tc>
          <w:tcPr>
            <w:tcW w:w="715" w:type="pct"/>
          </w:tcPr>
          <w:p w14:paraId="1E1B67DF" w14:textId="77777777" w:rsidR="00FE5D11" w:rsidRPr="00E17E1B" w:rsidRDefault="00FE5D11" w:rsidP="00D96185">
            <w:pPr>
              <w:spacing w:before="80" w:after="80"/>
              <w:jc w:val="center"/>
              <w:rPr>
                <w:rFonts w:cs="Arial"/>
                <w:b/>
                <w:sz w:val="22"/>
                <w:szCs w:val="22"/>
              </w:rPr>
            </w:pPr>
            <w:r w:rsidRPr="00E17E1B">
              <w:rPr>
                <w:rFonts w:cs="Arial"/>
                <w:b/>
                <w:sz w:val="22"/>
                <w:szCs w:val="22"/>
              </w:rPr>
              <w:t>Year</w:t>
            </w:r>
          </w:p>
        </w:tc>
        <w:tc>
          <w:tcPr>
            <w:tcW w:w="706" w:type="pct"/>
          </w:tcPr>
          <w:p w14:paraId="1C6C8E83" w14:textId="77777777" w:rsidR="00FE5D11" w:rsidRPr="00E17E1B" w:rsidRDefault="00FE5D11" w:rsidP="00D96185">
            <w:pPr>
              <w:spacing w:before="80" w:after="80"/>
              <w:jc w:val="center"/>
              <w:rPr>
                <w:rFonts w:cs="Arial"/>
                <w:b/>
                <w:sz w:val="22"/>
                <w:szCs w:val="22"/>
              </w:rPr>
            </w:pPr>
            <w:r w:rsidRPr="00E17E1B">
              <w:rPr>
                <w:rFonts w:cs="Arial"/>
                <w:b/>
                <w:sz w:val="22"/>
                <w:szCs w:val="22"/>
              </w:rPr>
              <w:t>Race*</w:t>
            </w:r>
          </w:p>
        </w:tc>
        <w:tc>
          <w:tcPr>
            <w:tcW w:w="655" w:type="pct"/>
          </w:tcPr>
          <w:p w14:paraId="0BA3E96C" w14:textId="77777777" w:rsidR="00FE5D11" w:rsidRPr="00E17E1B" w:rsidRDefault="00FE5D11" w:rsidP="00D96185">
            <w:pPr>
              <w:spacing w:before="80" w:after="80"/>
              <w:jc w:val="center"/>
              <w:rPr>
                <w:rFonts w:cs="Arial"/>
                <w:b/>
                <w:sz w:val="22"/>
                <w:szCs w:val="22"/>
              </w:rPr>
            </w:pPr>
            <w:r w:rsidRPr="00E17E1B">
              <w:rPr>
                <w:rFonts w:cs="Arial"/>
                <w:b/>
                <w:sz w:val="22"/>
                <w:szCs w:val="22"/>
              </w:rPr>
              <w:t>Religion*</w:t>
            </w:r>
          </w:p>
        </w:tc>
        <w:tc>
          <w:tcPr>
            <w:tcW w:w="762" w:type="pct"/>
          </w:tcPr>
          <w:p w14:paraId="2A3E7FB2" w14:textId="77777777" w:rsidR="00FE5D11" w:rsidRPr="00E17E1B" w:rsidRDefault="00FE5D11" w:rsidP="00D96185">
            <w:pPr>
              <w:spacing w:before="80" w:after="80"/>
              <w:jc w:val="center"/>
              <w:rPr>
                <w:rFonts w:cs="Arial"/>
                <w:b/>
                <w:sz w:val="22"/>
                <w:szCs w:val="22"/>
              </w:rPr>
            </w:pPr>
            <w:r w:rsidRPr="00E17E1B">
              <w:rPr>
                <w:rFonts w:cs="Arial"/>
                <w:b/>
                <w:sz w:val="22"/>
                <w:szCs w:val="22"/>
              </w:rPr>
              <w:t>Sexuality^</w:t>
            </w:r>
          </w:p>
        </w:tc>
        <w:tc>
          <w:tcPr>
            <w:tcW w:w="813" w:type="pct"/>
          </w:tcPr>
          <w:p w14:paraId="3AB590A1" w14:textId="77777777" w:rsidR="00FE5D11" w:rsidRPr="00E17E1B" w:rsidRDefault="00FE5D11" w:rsidP="00D96185">
            <w:pPr>
              <w:spacing w:before="80" w:after="80"/>
              <w:jc w:val="center"/>
              <w:rPr>
                <w:rFonts w:cs="Arial"/>
                <w:b/>
                <w:sz w:val="22"/>
                <w:szCs w:val="22"/>
              </w:rPr>
            </w:pPr>
            <w:r w:rsidRPr="00E17E1B">
              <w:rPr>
                <w:rFonts w:cs="Arial"/>
                <w:b/>
                <w:sz w:val="22"/>
                <w:szCs w:val="22"/>
              </w:rPr>
              <w:t>Gender identity^</w:t>
            </w:r>
          </w:p>
        </w:tc>
        <w:tc>
          <w:tcPr>
            <w:tcW w:w="646" w:type="pct"/>
          </w:tcPr>
          <w:p w14:paraId="627A3678" w14:textId="77777777" w:rsidR="00FE5D11" w:rsidRPr="00E17E1B" w:rsidRDefault="00FE5D11" w:rsidP="00D96185">
            <w:pPr>
              <w:spacing w:before="80" w:after="80"/>
              <w:jc w:val="center"/>
              <w:rPr>
                <w:rFonts w:cs="Arial"/>
                <w:b/>
                <w:sz w:val="22"/>
                <w:szCs w:val="22"/>
              </w:rPr>
            </w:pPr>
            <w:r w:rsidRPr="00E17E1B">
              <w:rPr>
                <w:rFonts w:cs="Arial"/>
                <w:b/>
                <w:sz w:val="22"/>
                <w:szCs w:val="22"/>
              </w:rPr>
              <w:t>Total</w:t>
            </w:r>
          </w:p>
        </w:tc>
        <w:tc>
          <w:tcPr>
            <w:tcW w:w="703" w:type="pct"/>
          </w:tcPr>
          <w:p w14:paraId="05888C76" w14:textId="77777777" w:rsidR="00FE5D11" w:rsidRPr="00E17E1B" w:rsidRDefault="00FE5D11" w:rsidP="00D96185">
            <w:pPr>
              <w:spacing w:before="80" w:after="80"/>
              <w:jc w:val="center"/>
              <w:rPr>
                <w:rFonts w:cs="Arial"/>
                <w:b/>
                <w:sz w:val="22"/>
                <w:szCs w:val="22"/>
              </w:rPr>
            </w:pPr>
            <w:r w:rsidRPr="00E17E1B">
              <w:rPr>
                <w:rFonts w:cs="Arial"/>
                <w:b/>
                <w:sz w:val="22"/>
                <w:szCs w:val="22"/>
              </w:rPr>
              <w:t>Total –  all accepted grounds</w:t>
            </w:r>
          </w:p>
        </w:tc>
      </w:tr>
      <w:tr w:rsidR="00FE5D11" w:rsidRPr="009A17D5" w14:paraId="6F1260A9" w14:textId="77777777" w:rsidTr="00455917">
        <w:tc>
          <w:tcPr>
            <w:tcW w:w="715" w:type="pct"/>
          </w:tcPr>
          <w:p w14:paraId="15DF4983" w14:textId="77777777" w:rsidR="00FE5D11" w:rsidRPr="00E17E1B" w:rsidRDefault="00FE5D11" w:rsidP="00D96185">
            <w:pPr>
              <w:spacing w:before="80" w:after="80"/>
              <w:rPr>
                <w:rFonts w:cs="Arial"/>
                <w:sz w:val="22"/>
                <w:szCs w:val="22"/>
              </w:rPr>
            </w:pPr>
            <w:r w:rsidRPr="00E17E1B">
              <w:rPr>
                <w:rFonts w:cs="Arial"/>
                <w:sz w:val="22"/>
                <w:szCs w:val="22"/>
              </w:rPr>
              <w:t>2001-02</w:t>
            </w:r>
          </w:p>
        </w:tc>
        <w:tc>
          <w:tcPr>
            <w:tcW w:w="706" w:type="pct"/>
          </w:tcPr>
          <w:p w14:paraId="3213D87E" w14:textId="77777777" w:rsidR="00FE5D11" w:rsidRPr="00E17E1B" w:rsidRDefault="00FE5D11" w:rsidP="00D96185">
            <w:pPr>
              <w:spacing w:before="80" w:after="80"/>
              <w:jc w:val="right"/>
              <w:rPr>
                <w:rFonts w:cs="Arial"/>
                <w:sz w:val="22"/>
                <w:szCs w:val="22"/>
              </w:rPr>
            </w:pPr>
            <w:r w:rsidRPr="00E17E1B">
              <w:rPr>
                <w:rFonts w:cs="Arial"/>
                <w:sz w:val="22"/>
                <w:szCs w:val="22"/>
              </w:rPr>
              <w:t>7</w:t>
            </w:r>
          </w:p>
        </w:tc>
        <w:tc>
          <w:tcPr>
            <w:tcW w:w="655" w:type="pct"/>
          </w:tcPr>
          <w:p w14:paraId="3E653290" w14:textId="77777777" w:rsidR="00FE5D11" w:rsidRPr="00E17E1B" w:rsidRDefault="00FE5D11" w:rsidP="00D96185">
            <w:pPr>
              <w:spacing w:before="80" w:after="80"/>
              <w:jc w:val="right"/>
              <w:rPr>
                <w:rFonts w:cs="Arial"/>
                <w:sz w:val="22"/>
                <w:szCs w:val="22"/>
              </w:rPr>
            </w:pPr>
            <w:r w:rsidRPr="00E17E1B">
              <w:rPr>
                <w:rFonts w:cs="Arial"/>
                <w:sz w:val="22"/>
                <w:szCs w:val="22"/>
              </w:rPr>
              <w:t>4</w:t>
            </w:r>
          </w:p>
        </w:tc>
        <w:tc>
          <w:tcPr>
            <w:tcW w:w="762" w:type="pct"/>
          </w:tcPr>
          <w:p w14:paraId="4B51A184" w14:textId="77777777" w:rsidR="00FE5D11" w:rsidRPr="00E17E1B" w:rsidRDefault="00FE5D11" w:rsidP="00D96185">
            <w:pPr>
              <w:spacing w:before="80" w:after="80"/>
              <w:jc w:val="right"/>
              <w:rPr>
                <w:rFonts w:cs="Arial"/>
                <w:sz w:val="22"/>
                <w:szCs w:val="22"/>
              </w:rPr>
            </w:pPr>
            <w:r w:rsidRPr="00E17E1B">
              <w:rPr>
                <w:rFonts w:cs="Arial"/>
                <w:sz w:val="22"/>
                <w:szCs w:val="22"/>
              </w:rPr>
              <w:t>Not applicable</w:t>
            </w:r>
          </w:p>
        </w:tc>
        <w:tc>
          <w:tcPr>
            <w:tcW w:w="813" w:type="pct"/>
          </w:tcPr>
          <w:p w14:paraId="15AE31AD" w14:textId="77777777" w:rsidR="00FE5D11" w:rsidRPr="00E17E1B" w:rsidRDefault="00FE5D11" w:rsidP="00D96185">
            <w:pPr>
              <w:spacing w:before="80" w:after="80"/>
              <w:jc w:val="right"/>
              <w:rPr>
                <w:rFonts w:cs="Arial"/>
                <w:sz w:val="22"/>
                <w:szCs w:val="22"/>
              </w:rPr>
            </w:pPr>
            <w:r w:rsidRPr="00E17E1B">
              <w:rPr>
                <w:rFonts w:cs="Arial"/>
                <w:sz w:val="22"/>
                <w:szCs w:val="22"/>
              </w:rPr>
              <w:t>Not applicable</w:t>
            </w:r>
          </w:p>
        </w:tc>
        <w:tc>
          <w:tcPr>
            <w:tcW w:w="646" w:type="pct"/>
          </w:tcPr>
          <w:p w14:paraId="56B482D4" w14:textId="77777777" w:rsidR="00FE5D11" w:rsidRPr="00E17E1B" w:rsidRDefault="00FE5D11" w:rsidP="00D96185">
            <w:pPr>
              <w:spacing w:before="80" w:after="80"/>
              <w:jc w:val="right"/>
              <w:rPr>
                <w:rFonts w:cs="Arial"/>
                <w:b/>
                <w:sz w:val="22"/>
                <w:szCs w:val="22"/>
              </w:rPr>
            </w:pPr>
            <w:r w:rsidRPr="00E17E1B">
              <w:rPr>
                <w:rFonts w:cs="Arial"/>
                <w:b/>
                <w:sz w:val="22"/>
                <w:szCs w:val="22"/>
              </w:rPr>
              <w:t>11</w:t>
            </w:r>
          </w:p>
        </w:tc>
        <w:tc>
          <w:tcPr>
            <w:tcW w:w="703" w:type="pct"/>
          </w:tcPr>
          <w:p w14:paraId="660BD5B5" w14:textId="77777777" w:rsidR="00FE5D11" w:rsidRPr="00E17E1B" w:rsidRDefault="00FE5D11" w:rsidP="00D96185">
            <w:pPr>
              <w:spacing w:before="80" w:after="80"/>
              <w:jc w:val="right"/>
              <w:rPr>
                <w:rFonts w:cs="Arial"/>
                <w:sz w:val="22"/>
                <w:szCs w:val="22"/>
              </w:rPr>
            </w:pPr>
            <w:r w:rsidRPr="00E17E1B">
              <w:rPr>
                <w:rFonts w:cs="Arial"/>
                <w:sz w:val="22"/>
                <w:szCs w:val="22"/>
              </w:rPr>
              <w:t>658</w:t>
            </w:r>
          </w:p>
        </w:tc>
      </w:tr>
      <w:tr w:rsidR="00FE5D11" w:rsidRPr="009A17D5" w14:paraId="5C5773CC" w14:textId="77777777" w:rsidTr="00455917">
        <w:tc>
          <w:tcPr>
            <w:tcW w:w="715" w:type="pct"/>
          </w:tcPr>
          <w:p w14:paraId="2F13206B" w14:textId="77777777" w:rsidR="00FE5D11" w:rsidRPr="00E17E1B" w:rsidRDefault="00FE5D11" w:rsidP="00D96185">
            <w:pPr>
              <w:spacing w:before="80" w:after="80"/>
              <w:rPr>
                <w:rFonts w:cs="Arial"/>
                <w:sz w:val="22"/>
                <w:szCs w:val="22"/>
              </w:rPr>
            </w:pPr>
            <w:r w:rsidRPr="00E17E1B">
              <w:rPr>
                <w:rFonts w:cs="Arial"/>
                <w:sz w:val="22"/>
                <w:szCs w:val="22"/>
              </w:rPr>
              <w:t>2002-03</w:t>
            </w:r>
          </w:p>
        </w:tc>
        <w:tc>
          <w:tcPr>
            <w:tcW w:w="706" w:type="pct"/>
          </w:tcPr>
          <w:p w14:paraId="0BCF6771" w14:textId="77777777" w:rsidR="00FE5D11" w:rsidRPr="00E17E1B" w:rsidRDefault="00FE5D11" w:rsidP="00D96185">
            <w:pPr>
              <w:spacing w:before="80" w:after="80"/>
              <w:jc w:val="right"/>
              <w:rPr>
                <w:rFonts w:cs="Arial"/>
                <w:sz w:val="22"/>
                <w:szCs w:val="22"/>
              </w:rPr>
            </w:pPr>
            <w:r w:rsidRPr="00E17E1B">
              <w:rPr>
                <w:rFonts w:cs="Arial"/>
                <w:sz w:val="22"/>
                <w:szCs w:val="22"/>
              </w:rPr>
              <w:t>14</w:t>
            </w:r>
          </w:p>
        </w:tc>
        <w:tc>
          <w:tcPr>
            <w:tcW w:w="655" w:type="pct"/>
          </w:tcPr>
          <w:p w14:paraId="2EC000DD"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16EDFB93"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813" w:type="pct"/>
          </w:tcPr>
          <w:p w14:paraId="42D8EF59"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646" w:type="pct"/>
          </w:tcPr>
          <w:p w14:paraId="176304F9" w14:textId="77777777" w:rsidR="00FE5D11" w:rsidRPr="00E17E1B" w:rsidRDefault="00FE5D11" w:rsidP="00D96185">
            <w:pPr>
              <w:spacing w:before="80" w:after="80"/>
              <w:jc w:val="right"/>
              <w:rPr>
                <w:rFonts w:cs="Arial"/>
                <w:b/>
                <w:sz w:val="22"/>
                <w:szCs w:val="22"/>
              </w:rPr>
            </w:pPr>
            <w:r w:rsidRPr="00E17E1B">
              <w:rPr>
                <w:rFonts w:cs="Arial"/>
                <w:b/>
                <w:sz w:val="22"/>
                <w:szCs w:val="22"/>
              </w:rPr>
              <w:t>15</w:t>
            </w:r>
          </w:p>
        </w:tc>
        <w:tc>
          <w:tcPr>
            <w:tcW w:w="703" w:type="pct"/>
          </w:tcPr>
          <w:p w14:paraId="4CC27D8D" w14:textId="77777777" w:rsidR="00FE5D11" w:rsidRPr="00E17E1B" w:rsidRDefault="00FE5D11" w:rsidP="00D96185">
            <w:pPr>
              <w:spacing w:before="80" w:after="80"/>
              <w:jc w:val="right"/>
              <w:rPr>
                <w:rFonts w:cs="Arial"/>
                <w:sz w:val="22"/>
                <w:szCs w:val="22"/>
              </w:rPr>
            </w:pPr>
            <w:r w:rsidRPr="00E17E1B">
              <w:rPr>
                <w:rFonts w:cs="Arial"/>
                <w:sz w:val="22"/>
                <w:szCs w:val="22"/>
              </w:rPr>
              <w:t>830</w:t>
            </w:r>
          </w:p>
        </w:tc>
      </w:tr>
      <w:tr w:rsidR="00FE5D11" w:rsidRPr="009A17D5" w14:paraId="733593E6" w14:textId="77777777" w:rsidTr="00455917">
        <w:tc>
          <w:tcPr>
            <w:tcW w:w="715" w:type="pct"/>
          </w:tcPr>
          <w:p w14:paraId="22023054" w14:textId="77777777" w:rsidR="00FE5D11" w:rsidRPr="00E17E1B" w:rsidRDefault="00FE5D11" w:rsidP="00D96185">
            <w:pPr>
              <w:spacing w:before="80" w:after="80"/>
              <w:rPr>
                <w:rFonts w:cs="Arial"/>
                <w:sz w:val="22"/>
                <w:szCs w:val="22"/>
              </w:rPr>
            </w:pPr>
            <w:r w:rsidRPr="00E17E1B">
              <w:rPr>
                <w:rFonts w:cs="Arial"/>
                <w:sz w:val="22"/>
                <w:szCs w:val="22"/>
              </w:rPr>
              <w:t>2003-04</w:t>
            </w:r>
          </w:p>
        </w:tc>
        <w:tc>
          <w:tcPr>
            <w:tcW w:w="706" w:type="pct"/>
          </w:tcPr>
          <w:p w14:paraId="4904CA7A" w14:textId="77777777" w:rsidR="00FE5D11" w:rsidRPr="00E17E1B" w:rsidRDefault="00FE5D11" w:rsidP="00D96185">
            <w:pPr>
              <w:spacing w:before="80" w:after="80"/>
              <w:jc w:val="right"/>
              <w:rPr>
                <w:rFonts w:cs="Arial"/>
                <w:sz w:val="22"/>
                <w:szCs w:val="22"/>
              </w:rPr>
            </w:pPr>
            <w:r w:rsidRPr="00E17E1B">
              <w:rPr>
                <w:rFonts w:cs="Arial"/>
                <w:sz w:val="22"/>
                <w:szCs w:val="22"/>
              </w:rPr>
              <w:t>13</w:t>
            </w:r>
          </w:p>
        </w:tc>
        <w:tc>
          <w:tcPr>
            <w:tcW w:w="655" w:type="pct"/>
          </w:tcPr>
          <w:p w14:paraId="57D87A7E" w14:textId="77777777" w:rsidR="00FE5D11" w:rsidRPr="00E17E1B" w:rsidRDefault="00FE5D11" w:rsidP="00D96185">
            <w:pPr>
              <w:spacing w:before="80" w:after="80"/>
              <w:jc w:val="right"/>
              <w:rPr>
                <w:rFonts w:cs="Arial"/>
                <w:sz w:val="22"/>
                <w:szCs w:val="22"/>
              </w:rPr>
            </w:pPr>
            <w:r w:rsidRPr="00E17E1B">
              <w:rPr>
                <w:rFonts w:cs="Arial"/>
                <w:sz w:val="22"/>
                <w:szCs w:val="22"/>
              </w:rPr>
              <w:t>4</w:t>
            </w:r>
          </w:p>
        </w:tc>
        <w:tc>
          <w:tcPr>
            <w:tcW w:w="762" w:type="pct"/>
          </w:tcPr>
          <w:p w14:paraId="26E01B40"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813" w:type="pct"/>
          </w:tcPr>
          <w:p w14:paraId="7E823A2B"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646" w:type="pct"/>
          </w:tcPr>
          <w:p w14:paraId="64FE6E3E" w14:textId="77777777" w:rsidR="00FE5D11" w:rsidRPr="00E17E1B" w:rsidRDefault="00FE5D11" w:rsidP="00D96185">
            <w:pPr>
              <w:spacing w:before="80" w:after="80"/>
              <w:jc w:val="right"/>
              <w:rPr>
                <w:rFonts w:cs="Arial"/>
                <w:b/>
                <w:sz w:val="22"/>
                <w:szCs w:val="22"/>
              </w:rPr>
            </w:pPr>
            <w:r w:rsidRPr="00E17E1B">
              <w:rPr>
                <w:rFonts w:cs="Arial"/>
                <w:b/>
                <w:sz w:val="22"/>
                <w:szCs w:val="22"/>
              </w:rPr>
              <w:t>18</w:t>
            </w:r>
          </w:p>
        </w:tc>
        <w:tc>
          <w:tcPr>
            <w:tcW w:w="703" w:type="pct"/>
          </w:tcPr>
          <w:p w14:paraId="0FD82CA6" w14:textId="77777777" w:rsidR="00FE5D11" w:rsidRPr="00E17E1B" w:rsidRDefault="00FE5D11" w:rsidP="00D96185">
            <w:pPr>
              <w:spacing w:before="80" w:after="80"/>
              <w:jc w:val="right"/>
              <w:rPr>
                <w:rFonts w:cs="Arial"/>
                <w:sz w:val="22"/>
                <w:szCs w:val="22"/>
              </w:rPr>
            </w:pPr>
            <w:r w:rsidRPr="00E17E1B">
              <w:rPr>
                <w:rFonts w:cs="Arial"/>
                <w:sz w:val="22"/>
                <w:szCs w:val="22"/>
              </w:rPr>
              <w:t>908</w:t>
            </w:r>
          </w:p>
        </w:tc>
      </w:tr>
      <w:tr w:rsidR="00FE5D11" w:rsidRPr="009A17D5" w14:paraId="7F9FF02F" w14:textId="77777777" w:rsidTr="00455917">
        <w:tc>
          <w:tcPr>
            <w:tcW w:w="715" w:type="pct"/>
          </w:tcPr>
          <w:p w14:paraId="6977D637" w14:textId="77777777" w:rsidR="00FE5D11" w:rsidRPr="00E17E1B" w:rsidRDefault="00FE5D11" w:rsidP="00D96185">
            <w:pPr>
              <w:spacing w:before="80" w:after="80"/>
              <w:rPr>
                <w:rFonts w:cs="Arial"/>
                <w:sz w:val="22"/>
                <w:szCs w:val="22"/>
              </w:rPr>
            </w:pPr>
            <w:r w:rsidRPr="00E17E1B">
              <w:rPr>
                <w:rFonts w:cs="Arial"/>
                <w:sz w:val="22"/>
                <w:szCs w:val="22"/>
              </w:rPr>
              <w:t>2004-05</w:t>
            </w:r>
          </w:p>
        </w:tc>
        <w:tc>
          <w:tcPr>
            <w:tcW w:w="706" w:type="pct"/>
          </w:tcPr>
          <w:p w14:paraId="3561D8F8" w14:textId="77777777" w:rsidR="00FE5D11" w:rsidRPr="00E17E1B" w:rsidRDefault="00FE5D11" w:rsidP="00D96185">
            <w:pPr>
              <w:spacing w:before="80" w:after="80"/>
              <w:jc w:val="right"/>
              <w:rPr>
                <w:rFonts w:cs="Arial"/>
                <w:sz w:val="22"/>
                <w:szCs w:val="22"/>
              </w:rPr>
            </w:pPr>
            <w:r w:rsidRPr="00E17E1B">
              <w:rPr>
                <w:rFonts w:cs="Arial"/>
                <w:sz w:val="22"/>
                <w:szCs w:val="22"/>
              </w:rPr>
              <w:t>16</w:t>
            </w:r>
          </w:p>
        </w:tc>
        <w:tc>
          <w:tcPr>
            <w:tcW w:w="655" w:type="pct"/>
          </w:tcPr>
          <w:p w14:paraId="05CD6588"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33BCD82A" w14:textId="77777777" w:rsidR="00FE5D11" w:rsidRPr="00E17E1B" w:rsidRDefault="00FE5D11" w:rsidP="00D96185">
            <w:pPr>
              <w:spacing w:before="80" w:after="80"/>
              <w:jc w:val="right"/>
              <w:rPr>
                <w:rFonts w:cs="Arial"/>
                <w:sz w:val="22"/>
                <w:szCs w:val="22"/>
              </w:rPr>
            </w:pPr>
            <w:r w:rsidRPr="00E17E1B">
              <w:rPr>
                <w:rFonts w:cs="Arial"/>
                <w:sz w:val="22"/>
                <w:szCs w:val="22"/>
              </w:rPr>
              <w:t>5</w:t>
            </w:r>
          </w:p>
        </w:tc>
        <w:tc>
          <w:tcPr>
            <w:tcW w:w="813" w:type="pct"/>
          </w:tcPr>
          <w:p w14:paraId="6EBDA137"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646" w:type="pct"/>
          </w:tcPr>
          <w:p w14:paraId="7BDEB2A3" w14:textId="77777777" w:rsidR="00FE5D11" w:rsidRPr="00E17E1B" w:rsidRDefault="00FE5D11" w:rsidP="00D96185">
            <w:pPr>
              <w:spacing w:before="80" w:after="80"/>
              <w:jc w:val="right"/>
              <w:rPr>
                <w:rFonts w:cs="Arial"/>
                <w:b/>
                <w:sz w:val="22"/>
                <w:szCs w:val="22"/>
              </w:rPr>
            </w:pPr>
            <w:r w:rsidRPr="00E17E1B">
              <w:rPr>
                <w:rFonts w:cs="Arial"/>
                <w:b/>
                <w:sz w:val="22"/>
                <w:szCs w:val="22"/>
              </w:rPr>
              <w:t>24</w:t>
            </w:r>
          </w:p>
        </w:tc>
        <w:tc>
          <w:tcPr>
            <w:tcW w:w="703" w:type="pct"/>
          </w:tcPr>
          <w:p w14:paraId="29781A91" w14:textId="77777777" w:rsidR="00FE5D11" w:rsidRPr="00E17E1B" w:rsidRDefault="00FE5D11" w:rsidP="00D96185">
            <w:pPr>
              <w:spacing w:before="80" w:after="80"/>
              <w:jc w:val="right"/>
              <w:rPr>
                <w:rFonts w:cs="Arial"/>
                <w:sz w:val="22"/>
                <w:szCs w:val="22"/>
              </w:rPr>
            </w:pPr>
            <w:r w:rsidRPr="00E17E1B">
              <w:rPr>
                <w:rFonts w:cs="Arial"/>
                <w:sz w:val="22"/>
                <w:szCs w:val="22"/>
              </w:rPr>
              <w:t>1,118</w:t>
            </w:r>
          </w:p>
        </w:tc>
      </w:tr>
      <w:tr w:rsidR="00FE5D11" w:rsidRPr="009A17D5" w14:paraId="1AEEBDD7" w14:textId="77777777" w:rsidTr="00455917">
        <w:tc>
          <w:tcPr>
            <w:tcW w:w="715" w:type="pct"/>
          </w:tcPr>
          <w:p w14:paraId="35CE2E2A" w14:textId="77777777" w:rsidR="00FE5D11" w:rsidRPr="00E17E1B" w:rsidRDefault="00FE5D11" w:rsidP="00D96185">
            <w:pPr>
              <w:spacing w:before="80" w:after="80"/>
              <w:rPr>
                <w:rFonts w:cs="Arial"/>
                <w:sz w:val="22"/>
                <w:szCs w:val="22"/>
              </w:rPr>
            </w:pPr>
            <w:r w:rsidRPr="00E17E1B">
              <w:rPr>
                <w:rFonts w:cs="Arial"/>
                <w:sz w:val="22"/>
                <w:szCs w:val="22"/>
              </w:rPr>
              <w:t>2005-06</w:t>
            </w:r>
          </w:p>
        </w:tc>
        <w:tc>
          <w:tcPr>
            <w:tcW w:w="706" w:type="pct"/>
          </w:tcPr>
          <w:p w14:paraId="41CDDB19" w14:textId="77777777" w:rsidR="00FE5D11" w:rsidRPr="00E17E1B" w:rsidRDefault="00FE5D11" w:rsidP="00D96185">
            <w:pPr>
              <w:spacing w:before="80" w:after="80"/>
              <w:jc w:val="right"/>
              <w:rPr>
                <w:rFonts w:cs="Arial"/>
                <w:sz w:val="22"/>
                <w:szCs w:val="22"/>
              </w:rPr>
            </w:pPr>
            <w:r w:rsidRPr="00E17E1B">
              <w:rPr>
                <w:rFonts w:cs="Arial"/>
                <w:sz w:val="22"/>
                <w:szCs w:val="22"/>
              </w:rPr>
              <w:t>14</w:t>
            </w:r>
          </w:p>
        </w:tc>
        <w:tc>
          <w:tcPr>
            <w:tcW w:w="655" w:type="pct"/>
          </w:tcPr>
          <w:p w14:paraId="115B1FC2"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762" w:type="pct"/>
          </w:tcPr>
          <w:p w14:paraId="6FDE0880" w14:textId="77777777" w:rsidR="00FE5D11" w:rsidRPr="00E17E1B" w:rsidRDefault="00FE5D11" w:rsidP="00D96185">
            <w:pPr>
              <w:spacing w:before="80" w:after="80"/>
              <w:jc w:val="right"/>
              <w:rPr>
                <w:rFonts w:cs="Arial"/>
                <w:sz w:val="22"/>
                <w:szCs w:val="22"/>
              </w:rPr>
            </w:pPr>
            <w:r w:rsidRPr="00E17E1B">
              <w:rPr>
                <w:rFonts w:cs="Arial"/>
                <w:sz w:val="22"/>
                <w:szCs w:val="22"/>
              </w:rPr>
              <w:t>14</w:t>
            </w:r>
          </w:p>
        </w:tc>
        <w:tc>
          <w:tcPr>
            <w:tcW w:w="813" w:type="pct"/>
          </w:tcPr>
          <w:p w14:paraId="33F90B17"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46" w:type="pct"/>
          </w:tcPr>
          <w:p w14:paraId="742B3D1B" w14:textId="77777777" w:rsidR="00FE5D11" w:rsidRPr="00E17E1B" w:rsidRDefault="00FE5D11" w:rsidP="00D96185">
            <w:pPr>
              <w:spacing w:before="80" w:after="80"/>
              <w:jc w:val="right"/>
              <w:rPr>
                <w:rFonts w:cs="Arial"/>
                <w:b/>
                <w:sz w:val="22"/>
                <w:szCs w:val="22"/>
              </w:rPr>
            </w:pPr>
            <w:r w:rsidRPr="00E17E1B">
              <w:rPr>
                <w:rFonts w:cs="Arial"/>
                <w:b/>
                <w:sz w:val="22"/>
                <w:szCs w:val="22"/>
              </w:rPr>
              <w:t>31</w:t>
            </w:r>
          </w:p>
        </w:tc>
        <w:tc>
          <w:tcPr>
            <w:tcW w:w="703" w:type="pct"/>
          </w:tcPr>
          <w:p w14:paraId="39D42726" w14:textId="77777777" w:rsidR="00FE5D11" w:rsidRPr="00E17E1B" w:rsidRDefault="00FE5D11" w:rsidP="00D96185">
            <w:pPr>
              <w:spacing w:before="80" w:after="80"/>
              <w:jc w:val="right"/>
              <w:rPr>
                <w:rFonts w:cs="Arial"/>
                <w:sz w:val="22"/>
                <w:szCs w:val="22"/>
              </w:rPr>
            </w:pPr>
            <w:r w:rsidRPr="00E17E1B">
              <w:rPr>
                <w:rFonts w:cs="Arial"/>
                <w:sz w:val="22"/>
                <w:szCs w:val="22"/>
              </w:rPr>
              <w:t>812</w:t>
            </w:r>
          </w:p>
        </w:tc>
      </w:tr>
      <w:tr w:rsidR="00FE5D11" w:rsidRPr="009A17D5" w14:paraId="657A06C9" w14:textId="77777777" w:rsidTr="00455917">
        <w:tc>
          <w:tcPr>
            <w:tcW w:w="715" w:type="pct"/>
          </w:tcPr>
          <w:p w14:paraId="53F59D32" w14:textId="77777777" w:rsidR="00FE5D11" w:rsidRPr="00E17E1B" w:rsidRDefault="00FE5D11" w:rsidP="00D96185">
            <w:pPr>
              <w:spacing w:before="80" w:after="80"/>
              <w:rPr>
                <w:rFonts w:cs="Arial"/>
                <w:sz w:val="22"/>
                <w:szCs w:val="22"/>
              </w:rPr>
            </w:pPr>
            <w:r w:rsidRPr="00E17E1B">
              <w:rPr>
                <w:rFonts w:cs="Arial"/>
                <w:sz w:val="22"/>
                <w:szCs w:val="22"/>
              </w:rPr>
              <w:t>2006-07</w:t>
            </w:r>
          </w:p>
        </w:tc>
        <w:tc>
          <w:tcPr>
            <w:tcW w:w="706" w:type="pct"/>
          </w:tcPr>
          <w:p w14:paraId="109C7AEE" w14:textId="77777777" w:rsidR="00FE5D11" w:rsidRPr="00E17E1B" w:rsidRDefault="00FE5D11" w:rsidP="00D96185">
            <w:pPr>
              <w:spacing w:before="80" w:after="80"/>
              <w:jc w:val="right"/>
              <w:rPr>
                <w:rFonts w:cs="Arial"/>
                <w:sz w:val="22"/>
                <w:szCs w:val="22"/>
              </w:rPr>
            </w:pPr>
            <w:r w:rsidRPr="00E17E1B">
              <w:rPr>
                <w:rFonts w:cs="Arial"/>
                <w:sz w:val="22"/>
                <w:szCs w:val="22"/>
              </w:rPr>
              <w:t>9</w:t>
            </w:r>
          </w:p>
        </w:tc>
        <w:tc>
          <w:tcPr>
            <w:tcW w:w="655" w:type="pct"/>
          </w:tcPr>
          <w:p w14:paraId="5E24C849"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442491D4" w14:textId="77777777" w:rsidR="00FE5D11" w:rsidRPr="00E17E1B" w:rsidRDefault="00FE5D11" w:rsidP="00D96185">
            <w:pPr>
              <w:spacing w:before="80" w:after="80"/>
              <w:jc w:val="right"/>
              <w:rPr>
                <w:rFonts w:cs="Arial"/>
                <w:sz w:val="22"/>
                <w:szCs w:val="22"/>
              </w:rPr>
            </w:pPr>
            <w:r w:rsidRPr="00E17E1B">
              <w:rPr>
                <w:rFonts w:cs="Arial"/>
                <w:sz w:val="22"/>
                <w:szCs w:val="22"/>
              </w:rPr>
              <w:t>6</w:t>
            </w:r>
          </w:p>
        </w:tc>
        <w:tc>
          <w:tcPr>
            <w:tcW w:w="813" w:type="pct"/>
          </w:tcPr>
          <w:p w14:paraId="49FB4EC7"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46" w:type="pct"/>
          </w:tcPr>
          <w:p w14:paraId="4909FD30" w14:textId="77777777" w:rsidR="00FE5D11" w:rsidRPr="00E17E1B" w:rsidRDefault="00FE5D11" w:rsidP="00D96185">
            <w:pPr>
              <w:spacing w:before="80" w:after="80"/>
              <w:jc w:val="right"/>
              <w:rPr>
                <w:rFonts w:cs="Arial"/>
                <w:b/>
                <w:sz w:val="22"/>
                <w:szCs w:val="22"/>
              </w:rPr>
            </w:pPr>
            <w:r w:rsidRPr="00E17E1B">
              <w:rPr>
                <w:rFonts w:cs="Arial"/>
                <w:b/>
                <w:sz w:val="22"/>
                <w:szCs w:val="22"/>
              </w:rPr>
              <w:t>17</w:t>
            </w:r>
          </w:p>
        </w:tc>
        <w:tc>
          <w:tcPr>
            <w:tcW w:w="703" w:type="pct"/>
          </w:tcPr>
          <w:p w14:paraId="1F42EC90" w14:textId="77777777" w:rsidR="00FE5D11" w:rsidRPr="00E17E1B" w:rsidRDefault="00FE5D11" w:rsidP="00D96185">
            <w:pPr>
              <w:spacing w:before="80" w:after="80"/>
              <w:jc w:val="right"/>
              <w:rPr>
                <w:rFonts w:cs="Arial"/>
                <w:sz w:val="22"/>
                <w:szCs w:val="22"/>
              </w:rPr>
            </w:pPr>
            <w:r w:rsidRPr="00E17E1B">
              <w:rPr>
                <w:rFonts w:cs="Arial"/>
                <w:sz w:val="22"/>
                <w:szCs w:val="22"/>
              </w:rPr>
              <w:t>821</w:t>
            </w:r>
          </w:p>
        </w:tc>
      </w:tr>
      <w:tr w:rsidR="00FE5D11" w:rsidRPr="009A17D5" w14:paraId="48B77E60" w14:textId="77777777" w:rsidTr="00455917">
        <w:tc>
          <w:tcPr>
            <w:tcW w:w="715" w:type="pct"/>
          </w:tcPr>
          <w:p w14:paraId="156328E2" w14:textId="77777777" w:rsidR="00FE5D11" w:rsidRPr="00E17E1B" w:rsidRDefault="00FE5D11" w:rsidP="00D96185">
            <w:pPr>
              <w:spacing w:before="80" w:after="80"/>
              <w:rPr>
                <w:rFonts w:cs="Arial"/>
                <w:sz w:val="22"/>
                <w:szCs w:val="22"/>
              </w:rPr>
            </w:pPr>
            <w:r w:rsidRPr="00E17E1B">
              <w:rPr>
                <w:rFonts w:cs="Arial"/>
                <w:sz w:val="22"/>
                <w:szCs w:val="22"/>
              </w:rPr>
              <w:t>2007-08</w:t>
            </w:r>
          </w:p>
        </w:tc>
        <w:tc>
          <w:tcPr>
            <w:tcW w:w="706" w:type="pct"/>
          </w:tcPr>
          <w:p w14:paraId="1824341B"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55" w:type="pct"/>
          </w:tcPr>
          <w:p w14:paraId="3FEFA6A8"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762" w:type="pct"/>
          </w:tcPr>
          <w:p w14:paraId="67D9535F"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813" w:type="pct"/>
          </w:tcPr>
          <w:p w14:paraId="17604346"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46" w:type="pct"/>
          </w:tcPr>
          <w:p w14:paraId="63018D26" w14:textId="77777777" w:rsidR="00FE5D11" w:rsidRPr="00E17E1B" w:rsidRDefault="00FE5D11" w:rsidP="00D96185">
            <w:pPr>
              <w:spacing w:before="80" w:after="80"/>
              <w:jc w:val="right"/>
              <w:rPr>
                <w:rFonts w:cs="Arial"/>
                <w:b/>
                <w:sz w:val="22"/>
                <w:szCs w:val="22"/>
              </w:rPr>
            </w:pPr>
            <w:r w:rsidRPr="00E17E1B">
              <w:rPr>
                <w:rFonts w:cs="Arial"/>
                <w:b/>
                <w:sz w:val="22"/>
                <w:szCs w:val="22"/>
              </w:rPr>
              <w:t>5</w:t>
            </w:r>
          </w:p>
        </w:tc>
        <w:tc>
          <w:tcPr>
            <w:tcW w:w="703" w:type="pct"/>
          </w:tcPr>
          <w:p w14:paraId="4D90D7E6" w14:textId="77777777" w:rsidR="00FE5D11" w:rsidRPr="00E17E1B" w:rsidRDefault="00FE5D11" w:rsidP="00D96185">
            <w:pPr>
              <w:spacing w:before="80" w:after="80"/>
              <w:jc w:val="right"/>
              <w:rPr>
                <w:rFonts w:cs="Arial"/>
                <w:sz w:val="22"/>
                <w:szCs w:val="22"/>
              </w:rPr>
            </w:pPr>
            <w:r w:rsidRPr="00E17E1B">
              <w:rPr>
                <w:rFonts w:cs="Arial"/>
                <w:sz w:val="22"/>
                <w:szCs w:val="22"/>
              </w:rPr>
              <w:t>667</w:t>
            </w:r>
          </w:p>
        </w:tc>
      </w:tr>
      <w:tr w:rsidR="00FE5D11" w:rsidRPr="009A17D5" w14:paraId="2E0F976D" w14:textId="77777777" w:rsidTr="00455917">
        <w:tc>
          <w:tcPr>
            <w:tcW w:w="715" w:type="pct"/>
          </w:tcPr>
          <w:p w14:paraId="42781153" w14:textId="77777777" w:rsidR="00FE5D11" w:rsidRPr="00E17E1B" w:rsidRDefault="00FE5D11" w:rsidP="00D96185">
            <w:pPr>
              <w:spacing w:before="80" w:after="80"/>
              <w:rPr>
                <w:rFonts w:cs="Arial"/>
                <w:sz w:val="22"/>
                <w:szCs w:val="22"/>
              </w:rPr>
            </w:pPr>
            <w:r w:rsidRPr="00E17E1B">
              <w:rPr>
                <w:rFonts w:cs="Arial"/>
                <w:sz w:val="22"/>
                <w:szCs w:val="22"/>
              </w:rPr>
              <w:t>2008-09</w:t>
            </w:r>
          </w:p>
        </w:tc>
        <w:tc>
          <w:tcPr>
            <w:tcW w:w="706" w:type="pct"/>
          </w:tcPr>
          <w:p w14:paraId="133D7EF0" w14:textId="77777777" w:rsidR="00FE5D11" w:rsidRPr="00E17E1B" w:rsidRDefault="00FE5D11" w:rsidP="00D96185">
            <w:pPr>
              <w:spacing w:before="80" w:after="80"/>
              <w:jc w:val="right"/>
              <w:rPr>
                <w:rFonts w:cs="Arial"/>
                <w:sz w:val="22"/>
                <w:szCs w:val="22"/>
              </w:rPr>
            </w:pPr>
            <w:r w:rsidRPr="00E17E1B">
              <w:rPr>
                <w:rFonts w:cs="Arial"/>
                <w:sz w:val="22"/>
                <w:szCs w:val="22"/>
              </w:rPr>
              <w:t>5</w:t>
            </w:r>
          </w:p>
        </w:tc>
        <w:tc>
          <w:tcPr>
            <w:tcW w:w="655" w:type="pct"/>
          </w:tcPr>
          <w:p w14:paraId="393B723D"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762" w:type="pct"/>
          </w:tcPr>
          <w:p w14:paraId="389A58B7"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813" w:type="pct"/>
          </w:tcPr>
          <w:p w14:paraId="144A340F"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46" w:type="pct"/>
          </w:tcPr>
          <w:p w14:paraId="7DBBD32D" w14:textId="77777777" w:rsidR="00FE5D11" w:rsidRPr="00E17E1B" w:rsidRDefault="00FE5D11" w:rsidP="00D96185">
            <w:pPr>
              <w:spacing w:before="80" w:after="80"/>
              <w:jc w:val="right"/>
              <w:rPr>
                <w:rFonts w:cs="Arial"/>
                <w:b/>
                <w:sz w:val="22"/>
                <w:szCs w:val="22"/>
              </w:rPr>
            </w:pPr>
            <w:r w:rsidRPr="00E17E1B">
              <w:rPr>
                <w:rFonts w:cs="Arial"/>
                <w:b/>
                <w:sz w:val="22"/>
                <w:szCs w:val="22"/>
              </w:rPr>
              <w:t>9</w:t>
            </w:r>
          </w:p>
        </w:tc>
        <w:tc>
          <w:tcPr>
            <w:tcW w:w="703" w:type="pct"/>
          </w:tcPr>
          <w:p w14:paraId="29A15A3D" w14:textId="77777777" w:rsidR="00FE5D11" w:rsidRPr="00E17E1B" w:rsidRDefault="00FE5D11" w:rsidP="00D96185">
            <w:pPr>
              <w:spacing w:before="80" w:after="80"/>
              <w:jc w:val="right"/>
              <w:rPr>
                <w:rFonts w:cs="Arial"/>
                <w:sz w:val="22"/>
                <w:szCs w:val="22"/>
              </w:rPr>
            </w:pPr>
            <w:r w:rsidRPr="00E17E1B">
              <w:rPr>
                <w:rFonts w:cs="Arial"/>
                <w:sz w:val="22"/>
                <w:szCs w:val="22"/>
              </w:rPr>
              <w:t>728</w:t>
            </w:r>
          </w:p>
        </w:tc>
      </w:tr>
      <w:tr w:rsidR="00FE5D11" w:rsidRPr="009A17D5" w14:paraId="1B6206BD" w14:textId="77777777" w:rsidTr="00455917">
        <w:tc>
          <w:tcPr>
            <w:tcW w:w="715" w:type="pct"/>
          </w:tcPr>
          <w:p w14:paraId="2730EC18" w14:textId="77777777" w:rsidR="00FE5D11" w:rsidRPr="00E17E1B" w:rsidRDefault="00FE5D11" w:rsidP="00D96185">
            <w:pPr>
              <w:spacing w:before="80" w:after="80"/>
              <w:rPr>
                <w:rFonts w:cs="Arial"/>
                <w:sz w:val="22"/>
                <w:szCs w:val="22"/>
              </w:rPr>
            </w:pPr>
            <w:r w:rsidRPr="00E17E1B">
              <w:rPr>
                <w:rFonts w:cs="Arial"/>
                <w:sz w:val="22"/>
                <w:szCs w:val="22"/>
              </w:rPr>
              <w:t>2009-10</w:t>
            </w:r>
          </w:p>
        </w:tc>
        <w:tc>
          <w:tcPr>
            <w:tcW w:w="706" w:type="pct"/>
          </w:tcPr>
          <w:p w14:paraId="1ADE10BD" w14:textId="77777777" w:rsidR="00FE5D11" w:rsidRPr="00E17E1B" w:rsidRDefault="00FE5D11" w:rsidP="00D96185">
            <w:pPr>
              <w:spacing w:before="80" w:after="80"/>
              <w:jc w:val="right"/>
              <w:rPr>
                <w:rFonts w:cs="Arial"/>
                <w:sz w:val="22"/>
                <w:szCs w:val="22"/>
              </w:rPr>
            </w:pPr>
            <w:r w:rsidRPr="00E17E1B">
              <w:rPr>
                <w:rFonts w:cs="Arial"/>
                <w:sz w:val="22"/>
                <w:szCs w:val="22"/>
              </w:rPr>
              <w:t>10</w:t>
            </w:r>
          </w:p>
        </w:tc>
        <w:tc>
          <w:tcPr>
            <w:tcW w:w="655" w:type="pct"/>
          </w:tcPr>
          <w:p w14:paraId="5434E918"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0CDF0DAC"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813" w:type="pct"/>
          </w:tcPr>
          <w:p w14:paraId="641C2BB1"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646" w:type="pct"/>
          </w:tcPr>
          <w:p w14:paraId="27C50596" w14:textId="77777777" w:rsidR="00FE5D11" w:rsidRPr="00E17E1B" w:rsidRDefault="00FE5D11" w:rsidP="00D96185">
            <w:pPr>
              <w:spacing w:before="80" w:after="80"/>
              <w:jc w:val="right"/>
              <w:rPr>
                <w:rFonts w:cs="Arial"/>
                <w:b/>
                <w:sz w:val="22"/>
                <w:szCs w:val="22"/>
              </w:rPr>
            </w:pPr>
            <w:r w:rsidRPr="00E17E1B">
              <w:rPr>
                <w:rFonts w:cs="Arial"/>
                <w:b/>
                <w:sz w:val="22"/>
                <w:szCs w:val="22"/>
              </w:rPr>
              <w:t>13</w:t>
            </w:r>
          </w:p>
        </w:tc>
        <w:tc>
          <w:tcPr>
            <w:tcW w:w="703" w:type="pct"/>
          </w:tcPr>
          <w:p w14:paraId="4C740EA1" w14:textId="77777777" w:rsidR="00FE5D11" w:rsidRPr="00E17E1B" w:rsidRDefault="00FE5D11" w:rsidP="00D96185">
            <w:pPr>
              <w:spacing w:before="80" w:after="80"/>
              <w:jc w:val="right"/>
              <w:rPr>
                <w:rFonts w:cs="Arial"/>
                <w:sz w:val="22"/>
                <w:szCs w:val="22"/>
              </w:rPr>
            </w:pPr>
            <w:r w:rsidRPr="00E17E1B">
              <w:rPr>
                <w:rFonts w:cs="Arial"/>
                <w:sz w:val="22"/>
                <w:szCs w:val="22"/>
              </w:rPr>
              <w:t>600</w:t>
            </w:r>
          </w:p>
        </w:tc>
      </w:tr>
      <w:tr w:rsidR="00FE5D11" w:rsidRPr="009A17D5" w14:paraId="0F41E301" w14:textId="77777777" w:rsidTr="00455917">
        <w:tc>
          <w:tcPr>
            <w:tcW w:w="715" w:type="pct"/>
          </w:tcPr>
          <w:p w14:paraId="1AA948BE" w14:textId="77777777" w:rsidR="00FE5D11" w:rsidRPr="00E17E1B" w:rsidRDefault="00FE5D11" w:rsidP="00D96185">
            <w:pPr>
              <w:spacing w:before="80" w:after="80"/>
              <w:rPr>
                <w:rFonts w:cs="Arial"/>
                <w:sz w:val="22"/>
                <w:szCs w:val="22"/>
              </w:rPr>
            </w:pPr>
            <w:r w:rsidRPr="00E17E1B">
              <w:rPr>
                <w:rFonts w:cs="Arial"/>
                <w:sz w:val="22"/>
                <w:szCs w:val="22"/>
              </w:rPr>
              <w:t>2010-11</w:t>
            </w:r>
          </w:p>
        </w:tc>
        <w:tc>
          <w:tcPr>
            <w:tcW w:w="706" w:type="pct"/>
          </w:tcPr>
          <w:p w14:paraId="6B5870D2" w14:textId="77777777" w:rsidR="00FE5D11" w:rsidRPr="00E17E1B" w:rsidRDefault="00FE5D11" w:rsidP="00D96185">
            <w:pPr>
              <w:spacing w:before="80" w:after="80"/>
              <w:jc w:val="right"/>
              <w:rPr>
                <w:rFonts w:cs="Arial"/>
                <w:sz w:val="22"/>
                <w:szCs w:val="22"/>
              </w:rPr>
            </w:pPr>
            <w:r w:rsidRPr="00E17E1B">
              <w:rPr>
                <w:rFonts w:cs="Arial"/>
                <w:sz w:val="22"/>
                <w:szCs w:val="22"/>
              </w:rPr>
              <w:t>15</w:t>
            </w:r>
          </w:p>
        </w:tc>
        <w:tc>
          <w:tcPr>
            <w:tcW w:w="655" w:type="pct"/>
          </w:tcPr>
          <w:p w14:paraId="3AED134A"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3409C00C" w14:textId="77777777" w:rsidR="00FE5D11" w:rsidRPr="00E17E1B" w:rsidRDefault="00FE5D11" w:rsidP="00D96185">
            <w:pPr>
              <w:spacing w:before="80" w:after="80"/>
              <w:jc w:val="right"/>
              <w:rPr>
                <w:rFonts w:cs="Arial"/>
                <w:sz w:val="22"/>
                <w:szCs w:val="22"/>
              </w:rPr>
            </w:pPr>
            <w:r w:rsidRPr="00E17E1B">
              <w:rPr>
                <w:rFonts w:cs="Arial"/>
                <w:sz w:val="22"/>
                <w:szCs w:val="22"/>
              </w:rPr>
              <w:t>17</w:t>
            </w:r>
          </w:p>
        </w:tc>
        <w:tc>
          <w:tcPr>
            <w:tcW w:w="813" w:type="pct"/>
          </w:tcPr>
          <w:p w14:paraId="75194EBE"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646" w:type="pct"/>
          </w:tcPr>
          <w:p w14:paraId="66EECCAD" w14:textId="77777777" w:rsidR="00FE5D11" w:rsidRPr="00E17E1B" w:rsidRDefault="00FE5D11" w:rsidP="00D96185">
            <w:pPr>
              <w:spacing w:before="80" w:after="80"/>
              <w:jc w:val="right"/>
              <w:rPr>
                <w:rFonts w:cs="Arial"/>
                <w:b/>
                <w:sz w:val="22"/>
                <w:szCs w:val="22"/>
              </w:rPr>
            </w:pPr>
            <w:r w:rsidRPr="00E17E1B">
              <w:rPr>
                <w:rFonts w:cs="Arial"/>
                <w:b/>
                <w:sz w:val="22"/>
                <w:szCs w:val="22"/>
              </w:rPr>
              <w:t>35</w:t>
            </w:r>
          </w:p>
        </w:tc>
        <w:tc>
          <w:tcPr>
            <w:tcW w:w="703" w:type="pct"/>
          </w:tcPr>
          <w:p w14:paraId="722EFA36" w14:textId="77777777" w:rsidR="00FE5D11" w:rsidRPr="00E17E1B" w:rsidRDefault="00FE5D11" w:rsidP="00D96185">
            <w:pPr>
              <w:spacing w:before="80" w:after="80"/>
              <w:jc w:val="right"/>
              <w:rPr>
                <w:rFonts w:cs="Arial"/>
                <w:sz w:val="22"/>
                <w:szCs w:val="22"/>
              </w:rPr>
            </w:pPr>
            <w:r w:rsidRPr="00E17E1B">
              <w:rPr>
                <w:rFonts w:cs="Arial"/>
                <w:sz w:val="22"/>
                <w:szCs w:val="22"/>
              </w:rPr>
              <w:t>789</w:t>
            </w:r>
          </w:p>
        </w:tc>
      </w:tr>
      <w:tr w:rsidR="00FE5D11" w:rsidRPr="009A17D5" w14:paraId="4390D7B5" w14:textId="77777777" w:rsidTr="00455917">
        <w:tc>
          <w:tcPr>
            <w:tcW w:w="715" w:type="pct"/>
          </w:tcPr>
          <w:p w14:paraId="6DAE5ABA" w14:textId="77777777" w:rsidR="00FE5D11" w:rsidRPr="00E17E1B" w:rsidRDefault="00FE5D11" w:rsidP="00D96185">
            <w:pPr>
              <w:spacing w:before="80" w:after="80"/>
              <w:rPr>
                <w:rFonts w:cs="Arial"/>
                <w:sz w:val="22"/>
                <w:szCs w:val="22"/>
              </w:rPr>
            </w:pPr>
            <w:r w:rsidRPr="00E17E1B">
              <w:rPr>
                <w:rFonts w:cs="Arial"/>
                <w:sz w:val="22"/>
                <w:szCs w:val="22"/>
              </w:rPr>
              <w:t>2011-12</w:t>
            </w:r>
          </w:p>
        </w:tc>
        <w:tc>
          <w:tcPr>
            <w:tcW w:w="706" w:type="pct"/>
          </w:tcPr>
          <w:p w14:paraId="54DB88B5" w14:textId="77777777" w:rsidR="00FE5D11" w:rsidRPr="00E17E1B" w:rsidRDefault="00FE5D11" w:rsidP="00D96185">
            <w:pPr>
              <w:spacing w:before="80" w:after="80"/>
              <w:jc w:val="right"/>
              <w:rPr>
                <w:rFonts w:cs="Arial"/>
                <w:sz w:val="22"/>
                <w:szCs w:val="22"/>
              </w:rPr>
            </w:pPr>
            <w:r w:rsidRPr="00E17E1B">
              <w:rPr>
                <w:rFonts w:cs="Arial"/>
                <w:sz w:val="22"/>
                <w:szCs w:val="22"/>
              </w:rPr>
              <w:t>11</w:t>
            </w:r>
          </w:p>
        </w:tc>
        <w:tc>
          <w:tcPr>
            <w:tcW w:w="655" w:type="pct"/>
          </w:tcPr>
          <w:p w14:paraId="05185A67"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762" w:type="pct"/>
          </w:tcPr>
          <w:p w14:paraId="1250E24F" w14:textId="77777777" w:rsidR="00FE5D11" w:rsidRPr="00E17E1B" w:rsidRDefault="00FE5D11" w:rsidP="00D96185">
            <w:pPr>
              <w:spacing w:before="80" w:after="80"/>
              <w:jc w:val="right"/>
              <w:rPr>
                <w:rFonts w:cs="Arial"/>
                <w:sz w:val="22"/>
                <w:szCs w:val="22"/>
              </w:rPr>
            </w:pPr>
            <w:r w:rsidRPr="00E17E1B">
              <w:rPr>
                <w:rFonts w:cs="Arial"/>
                <w:sz w:val="22"/>
                <w:szCs w:val="22"/>
              </w:rPr>
              <w:t>6</w:t>
            </w:r>
          </w:p>
        </w:tc>
        <w:tc>
          <w:tcPr>
            <w:tcW w:w="813" w:type="pct"/>
          </w:tcPr>
          <w:p w14:paraId="4406AFB7"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646" w:type="pct"/>
          </w:tcPr>
          <w:p w14:paraId="4F8FD01A" w14:textId="77777777" w:rsidR="00FE5D11" w:rsidRPr="00E17E1B" w:rsidRDefault="00FE5D11" w:rsidP="00D96185">
            <w:pPr>
              <w:spacing w:before="80" w:after="80"/>
              <w:jc w:val="right"/>
              <w:rPr>
                <w:rFonts w:cs="Arial"/>
                <w:b/>
                <w:sz w:val="22"/>
                <w:szCs w:val="22"/>
              </w:rPr>
            </w:pPr>
            <w:r w:rsidRPr="00E17E1B">
              <w:rPr>
                <w:rFonts w:cs="Arial"/>
                <w:b/>
                <w:sz w:val="22"/>
                <w:szCs w:val="22"/>
              </w:rPr>
              <w:t>20</w:t>
            </w:r>
          </w:p>
        </w:tc>
        <w:tc>
          <w:tcPr>
            <w:tcW w:w="703" w:type="pct"/>
          </w:tcPr>
          <w:p w14:paraId="5B2F605E" w14:textId="77777777" w:rsidR="00FE5D11" w:rsidRPr="00E17E1B" w:rsidRDefault="00FE5D11" w:rsidP="00D96185">
            <w:pPr>
              <w:spacing w:before="80" w:after="80"/>
              <w:jc w:val="right"/>
              <w:rPr>
                <w:rFonts w:cs="Arial"/>
                <w:sz w:val="22"/>
                <w:szCs w:val="22"/>
              </w:rPr>
            </w:pPr>
            <w:r w:rsidRPr="00E17E1B">
              <w:rPr>
                <w:rFonts w:cs="Arial"/>
                <w:sz w:val="22"/>
                <w:szCs w:val="22"/>
              </w:rPr>
              <w:t>604</w:t>
            </w:r>
          </w:p>
        </w:tc>
      </w:tr>
      <w:tr w:rsidR="00FE5D11" w:rsidRPr="009A17D5" w14:paraId="4939C97A" w14:textId="77777777" w:rsidTr="00455917">
        <w:tc>
          <w:tcPr>
            <w:tcW w:w="715" w:type="pct"/>
          </w:tcPr>
          <w:p w14:paraId="26B00143" w14:textId="77777777" w:rsidR="00FE5D11" w:rsidRPr="00E17E1B" w:rsidRDefault="00FE5D11" w:rsidP="00D96185">
            <w:pPr>
              <w:spacing w:before="80" w:after="80"/>
              <w:rPr>
                <w:rFonts w:cs="Arial"/>
                <w:sz w:val="22"/>
                <w:szCs w:val="22"/>
              </w:rPr>
            </w:pPr>
            <w:r w:rsidRPr="00E17E1B">
              <w:rPr>
                <w:rFonts w:cs="Arial"/>
                <w:sz w:val="22"/>
                <w:szCs w:val="22"/>
              </w:rPr>
              <w:t>2012-13</w:t>
            </w:r>
          </w:p>
        </w:tc>
        <w:tc>
          <w:tcPr>
            <w:tcW w:w="706" w:type="pct"/>
          </w:tcPr>
          <w:p w14:paraId="492D3E42" w14:textId="77777777" w:rsidR="00FE5D11" w:rsidRPr="00E17E1B" w:rsidRDefault="00FE5D11" w:rsidP="00D96185">
            <w:pPr>
              <w:spacing w:before="80" w:after="80"/>
              <w:jc w:val="right"/>
              <w:rPr>
                <w:rFonts w:cs="Arial"/>
                <w:sz w:val="22"/>
                <w:szCs w:val="22"/>
              </w:rPr>
            </w:pPr>
            <w:r w:rsidRPr="00E17E1B">
              <w:rPr>
                <w:rFonts w:cs="Arial"/>
                <w:sz w:val="22"/>
                <w:szCs w:val="22"/>
              </w:rPr>
              <w:t>6</w:t>
            </w:r>
          </w:p>
        </w:tc>
        <w:tc>
          <w:tcPr>
            <w:tcW w:w="655" w:type="pct"/>
          </w:tcPr>
          <w:p w14:paraId="67BA386D" w14:textId="77777777" w:rsidR="00FE5D11" w:rsidRPr="00E17E1B" w:rsidRDefault="00FE5D11" w:rsidP="00D96185">
            <w:pPr>
              <w:spacing w:before="80" w:after="80"/>
              <w:jc w:val="right"/>
              <w:rPr>
                <w:rFonts w:cs="Arial"/>
                <w:sz w:val="22"/>
                <w:szCs w:val="22"/>
              </w:rPr>
            </w:pPr>
            <w:r w:rsidRPr="00E17E1B">
              <w:rPr>
                <w:rFonts w:cs="Arial"/>
                <w:sz w:val="22"/>
                <w:szCs w:val="22"/>
              </w:rPr>
              <w:t>5</w:t>
            </w:r>
          </w:p>
        </w:tc>
        <w:tc>
          <w:tcPr>
            <w:tcW w:w="762" w:type="pct"/>
          </w:tcPr>
          <w:p w14:paraId="6E138E41"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813" w:type="pct"/>
          </w:tcPr>
          <w:p w14:paraId="7F453996"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646" w:type="pct"/>
          </w:tcPr>
          <w:p w14:paraId="1DBF37F0" w14:textId="77777777" w:rsidR="00FE5D11" w:rsidRPr="00E17E1B" w:rsidRDefault="00FE5D11" w:rsidP="00D96185">
            <w:pPr>
              <w:spacing w:before="80" w:after="80"/>
              <w:jc w:val="right"/>
              <w:rPr>
                <w:rFonts w:cs="Arial"/>
                <w:b/>
                <w:sz w:val="22"/>
                <w:szCs w:val="22"/>
              </w:rPr>
            </w:pPr>
            <w:r w:rsidRPr="00E17E1B">
              <w:rPr>
                <w:rFonts w:cs="Arial"/>
                <w:b/>
                <w:sz w:val="22"/>
                <w:szCs w:val="22"/>
              </w:rPr>
              <w:t>12</w:t>
            </w:r>
          </w:p>
        </w:tc>
        <w:tc>
          <w:tcPr>
            <w:tcW w:w="703" w:type="pct"/>
          </w:tcPr>
          <w:p w14:paraId="4BD1C32F" w14:textId="77777777" w:rsidR="00FE5D11" w:rsidRPr="00E17E1B" w:rsidRDefault="00FE5D11" w:rsidP="00D96185">
            <w:pPr>
              <w:spacing w:before="80" w:after="80"/>
              <w:jc w:val="right"/>
              <w:rPr>
                <w:rFonts w:cs="Arial"/>
                <w:sz w:val="22"/>
                <w:szCs w:val="22"/>
              </w:rPr>
            </w:pPr>
            <w:r w:rsidRPr="00E17E1B">
              <w:rPr>
                <w:rFonts w:cs="Arial"/>
                <w:sz w:val="22"/>
                <w:szCs w:val="22"/>
              </w:rPr>
              <w:t>610</w:t>
            </w:r>
          </w:p>
        </w:tc>
      </w:tr>
      <w:tr w:rsidR="00FE5D11" w:rsidRPr="009A17D5" w14:paraId="15EFDC00" w14:textId="77777777" w:rsidTr="00455917">
        <w:tc>
          <w:tcPr>
            <w:tcW w:w="715" w:type="pct"/>
          </w:tcPr>
          <w:p w14:paraId="48F31A45" w14:textId="77777777" w:rsidR="00FE5D11" w:rsidRPr="00E17E1B" w:rsidRDefault="00FE5D11" w:rsidP="00D96185">
            <w:pPr>
              <w:spacing w:before="80" w:after="80"/>
              <w:rPr>
                <w:rFonts w:cs="Arial"/>
                <w:sz w:val="22"/>
                <w:szCs w:val="22"/>
              </w:rPr>
            </w:pPr>
            <w:r w:rsidRPr="00E17E1B">
              <w:rPr>
                <w:rFonts w:cs="Arial"/>
                <w:sz w:val="22"/>
                <w:szCs w:val="22"/>
              </w:rPr>
              <w:t>2013-14</w:t>
            </w:r>
          </w:p>
        </w:tc>
        <w:tc>
          <w:tcPr>
            <w:tcW w:w="706" w:type="pct"/>
          </w:tcPr>
          <w:p w14:paraId="3143B7D0" w14:textId="77777777" w:rsidR="00FE5D11" w:rsidRPr="00E17E1B" w:rsidRDefault="00FE5D11" w:rsidP="00D96185">
            <w:pPr>
              <w:spacing w:before="80" w:after="80"/>
              <w:jc w:val="right"/>
              <w:rPr>
                <w:rFonts w:cs="Arial"/>
                <w:sz w:val="22"/>
                <w:szCs w:val="22"/>
              </w:rPr>
            </w:pPr>
            <w:r w:rsidRPr="00E17E1B">
              <w:rPr>
                <w:rFonts w:cs="Arial"/>
                <w:sz w:val="22"/>
                <w:szCs w:val="22"/>
              </w:rPr>
              <w:t>4</w:t>
            </w:r>
          </w:p>
        </w:tc>
        <w:tc>
          <w:tcPr>
            <w:tcW w:w="655" w:type="pct"/>
          </w:tcPr>
          <w:p w14:paraId="0DEF6BE0"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350A2487" w14:textId="77777777" w:rsidR="00FE5D11" w:rsidRPr="00E17E1B" w:rsidRDefault="00FE5D11" w:rsidP="00D96185">
            <w:pPr>
              <w:spacing w:before="80" w:after="80"/>
              <w:jc w:val="right"/>
              <w:rPr>
                <w:rFonts w:cs="Arial"/>
                <w:sz w:val="22"/>
                <w:szCs w:val="22"/>
              </w:rPr>
            </w:pPr>
            <w:r w:rsidRPr="00E17E1B">
              <w:rPr>
                <w:rFonts w:cs="Arial"/>
                <w:sz w:val="22"/>
                <w:szCs w:val="22"/>
              </w:rPr>
              <w:t>6</w:t>
            </w:r>
          </w:p>
        </w:tc>
        <w:tc>
          <w:tcPr>
            <w:tcW w:w="813" w:type="pct"/>
          </w:tcPr>
          <w:p w14:paraId="612812B4"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646" w:type="pct"/>
          </w:tcPr>
          <w:p w14:paraId="59625E0D" w14:textId="77777777" w:rsidR="00FE5D11" w:rsidRPr="00E17E1B" w:rsidRDefault="00FE5D11" w:rsidP="00D96185">
            <w:pPr>
              <w:spacing w:before="80" w:after="80"/>
              <w:jc w:val="right"/>
              <w:rPr>
                <w:rFonts w:cs="Arial"/>
                <w:b/>
                <w:sz w:val="22"/>
                <w:szCs w:val="22"/>
              </w:rPr>
            </w:pPr>
            <w:r w:rsidRPr="00E17E1B">
              <w:rPr>
                <w:rFonts w:cs="Arial"/>
                <w:b/>
                <w:sz w:val="22"/>
                <w:szCs w:val="22"/>
              </w:rPr>
              <w:t>11</w:t>
            </w:r>
          </w:p>
        </w:tc>
        <w:tc>
          <w:tcPr>
            <w:tcW w:w="703" w:type="pct"/>
          </w:tcPr>
          <w:p w14:paraId="2DBF10AF" w14:textId="77777777" w:rsidR="00FE5D11" w:rsidRPr="00E17E1B" w:rsidRDefault="00FE5D11" w:rsidP="00D96185">
            <w:pPr>
              <w:spacing w:before="80" w:after="80"/>
              <w:jc w:val="right"/>
              <w:rPr>
                <w:rFonts w:cs="Arial"/>
                <w:sz w:val="22"/>
                <w:szCs w:val="22"/>
              </w:rPr>
            </w:pPr>
            <w:r w:rsidRPr="00E17E1B">
              <w:rPr>
                <w:rFonts w:cs="Arial"/>
                <w:sz w:val="22"/>
                <w:szCs w:val="22"/>
              </w:rPr>
              <w:t>617</w:t>
            </w:r>
          </w:p>
        </w:tc>
      </w:tr>
      <w:tr w:rsidR="00FE5D11" w:rsidRPr="009A17D5" w14:paraId="1BB75C1B" w14:textId="77777777" w:rsidTr="00455917">
        <w:tc>
          <w:tcPr>
            <w:tcW w:w="715" w:type="pct"/>
          </w:tcPr>
          <w:p w14:paraId="2DD797FC" w14:textId="77777777" w:rsidR="00FE5D11" w:rsidRPr="00E17E1B" w:rsidRDefault="00FE5D11" w:rsidP="00D96185">
            <w:pPr>
              <w:spacing w:before="80" w:after="80"/>
              <w:rPr>
                <w:rFonts w:cs="Arial"/>
                <w:sz w:val="22"/>
                <w:szCs w:val="22"/>
              </w:rPr>
            </w:pPr>
            <w:r w:rsidRPr="00E17E1B">
              <w:rPr>
                <w:rFonts w:cs="Arial"/>
                <w:sz w:val="22"/>
                <w:szCs w:val="22"/>
              </w:rPr>
              <w:t>2014-15</w:t>
            </w:r>
          </w:p>
        </w:tc>
        <w:tc>
          <w:tcPr>
            <w:tcW w:w="706" w:type="pct"/>
          </w:tcPr>
          <w:p w14:paraId="42EE69ED" w14:textId="77777777" w:rsidR="00FE5D11" w:rsidRPr="00E17E1B" w:rsidRDefault="00FE5D11" w:rsidP="00D96185">
            <w:pPr>
              <w:spacing w:before="80" w:after="80"/>
              <w:jc w:val="right"/>
              <w:rPr>
                <w:rFonts w:cs="Arial"/>
                <w:sz w:val="22"/>
                <w:szCs w:val="22"/>
              </w:rPr>
            </w:pPr>
            <w:r w:rsidRPr="00E17E1B">
              <w:rPr>
                <w:rFonts w:cs="Arial"/>
                <w:sz w:val="22"/>
                <w:szCs w:val="22"/>
              </w:rPr>
              <w:t>7</w:t>
            </w:r>
          </w:p>
        </w:tc>
        <w:tc>
          <w:tcPr>
            <w:tcW w:w="655" w:type="pct"/>
          </w:tcPr>
          <w:p w14:paraId="4F627899"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762" w:type="pct"/>
          </w:tcPr>
          <w:p w14:paraId="0FB954B6"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813" w:type="pct"/>
          </w:tcPr>
          <w:p w14:paraId="53F37666"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646" w:type="pct"/>
          </w:tcPr>
          <w:p w14:paraId="3E120E4E" w14:textId="77777777" w:rsidR="00FE5D11" w:rsidRPr="00E17E1B" w:rsidRDefault="00FE5D11" w:rsidP="00D96185">
            <w:pPr>
              <w:spacing w:before="80" w:after="80"/>
              <w:jc w:val="right"/>
              <w:rPr>
                <w:rFonts w:cs="Arial"/>
                <w:b/>
                <w:sz w:val="22"/>
                <w:szCs w:val="22"/>
              </w:rPr>
            </w:pPr>
            <w:r w:rsidRPr="00E17E1B">
              <w:rPr>
                <w:rFonts w:cs="Arial"/>
                <w:b/>
                <w:sz w:val="22"/>
                <w:szCs w:val="22"/>
              </w:rPr>
              <w:t>14</w:t>
            </w:r>
          </w:p>
        </w:tc>
        <w:tc>
          <w:tcPr>
            <w:tcW w:w="703" w:type="pct"/>
          </w:tcPr>
          <w:p w14:paraId="55BBABB7" w14:textId="77777777" w:rsidR="00FE5D11" w:rsidRPr="00E17E1B" w:rsidRDefault="00FE5D11" w:rsidP="00D96185">
            <w:pPr>
              <w:spacing w:before="80" w:after="80"/>
              <w:jc w:val="right"/>
              <w:rPr>
                <w:rFonts w:cs="Arial"/>
                <w:sz w:val="22"/>
                <w:szCs w:val="22"/>
              </w:rPr>
            </w:pPr>
            <w:r w:rsidRPr="00E17E1B">
              <w:rPr>
                <w:rFonts w:cs="Arial"/>
                <w:sz w:val="22"/>
                <w:szCs w:val="22"/>
              </w:rPr>
              <w:t>548</w:t>
            </w:r>
          </w:p>
        </w:tc>
      </w:tr>
      <w:tr w:rsidR="00FE5D11" w:rsidRPr="009A17D5" w14:paraId="0CBE43DD" w14:textId="77777777" w:rsidTr="00455917">
        <w:tc>
          <w:tcPr>
            <w:tcW w:w="715" w:type="pct"/>
          </w:tcPr>
          <w:p w14:paraId="64553C5E" w14:textId="77777777" w:rsidR="00FE5D11" w:rsidRPr="00E17E1B" w:rsidRDefault="00FE5D11" w:rsidP="00D96185">
            <w:pPr>
              <w:spacing w:before="80" w:after="80"/>
              <w:rPr>
                <w:rFonts w:cs="Arial"/>
                <w:sz w:val="22"/>
                <w:szCs w:val="22"/>
              </w:rPr>
            </w:pPr>
            <w:r w:rsidRPr="00E17E1B">
              <w:rPr>
                <w:rFonts w:cs="Arial"/>
                <w:sz w:val="22"/>
                <w:szCs w:val="22"/>
              </w:rPr>
              <w:t>2015-16</w:t>
            </w:r>
          </w:p>
        </w:tc>
        <w:tc>
          <w:tcPr>
            <w:tcW w:w="706" w:type="pct"/>
          </w:tcPr>
          <w:p w14:paraId="34F9C3B5" w14:textId="77777777" w:rsidR="00FE5D11" w:rsidRPr="00E17E1B" w:rsidRDefault="00FE5D11" w:rsidP="00D96185">
            <w:pPr>
              <w:spacing w:before="80" w:after="80"/>
              <w:jc w:val="right"/>
              <w:rPr>
                <w:rFonts w:cs="Arial"/>
                <w:sz w:val="22"/>
                <w:szCs w:val="22"/>
              </w:rPr>
            </w:pPr>
            <w:r w:rsidRPr="00E17E1B">
              <w:rPr>
                <w:rFonts w:cs="Arial"/>
                <w:sz w:val="22"/>
                <w:szCs w:val="22"/>
              </w:rPr>
              <w:t>9</w:t>
            </w:r>
          </w:p>
        </w:tc>
        <w:tc>
          <w:tcPr>
            <w:tcW w:w="655" w:type="pct"/>
          </w:tcPr>
          <w:p w14:paraId="6CD5BD42"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762" w:type="pct"/>
          </w:tcPr>
          <w:p w14:paraId="5ECA8A41" w14:textId="77777777" w:rsidR="00FE5D11" w:rsidRPr="00E17E1B" w:rsidRDefault="00FE5D11" w:rsidP="00D96185">
            <w:pPr>
              <w:spacing w:before="80" w:after="80"/>
              <w:jc w:val="right"/>
              <w:rPr>
                <w:rFonts w:cs="Arial"/>
                <w:sz w:val="22"/>
                <w:szCs w:val="22"/>
              </w:rPr>
            </w:pPr>
            <w:r w:rsidRPr="00E17E1B">
              <w:rPr>
                <w:rFonts w:cs="Arial"/>
                <w:sz w:val="22"/>
                <w:szCs w:val="22"/>
              </w:rPr>
              <w:t>7</w:t>
            </w:r>
          </w:p>
        </w:tc>
        <w:tc>
          <w:tcPr>
            <w:tcW w:w="813" w:type="pct"/>
          </w:tcPr>
          <w:p w14:paraId="1B26D46E"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46" w:type="pct"/>
          </w:tcPr>
          <w:p w14:paraId="3BB03A41" w14:textId="77777777" w:rsidR="00FE5D11" w:rsidRPr="00E17E1B" w:rsidRDefault="00FE5D11" w:rsidP="00D96185">
            <w:pPr>
              <w:spacing w:before="80" w:after="80"/>
              <w:jc w:val="right"/>
              <w:rPr>
                <w:rFonts w:cs="Arial"/>
                <w:b/>
                <w:sz w:val="22"/>
                <w:szCs w:val="22"/>
              </w:rPr>
            </w:pPr>
            <w:r w:rsidRPr="00E17E1B">
              <w:rPr>
                <w:rFonts w:cs="Arial"/>
                <w:b/>
                <w:sz w:val="22"/>
                <w:szCs w:val="22"/>
              </w:rPr>
              <w:t>17</w:t>
            </w:r>
          </w:p>
        </w:tc>
        <w:tc>
          <w:tcPr>
            <w:tcW w:w="703" w:type="pct"/>
          </w:tcPr>
          <w:p w14:paraId="72B7B597" w14:textId="77777777" w:rsidR="00FE5D11" w:rsidRPr="00E17E1B" w:rsidRDefault="00FE5D11" w:rsidP="00D96185">
            <w:pPr>
              <w:spacing w:before="80" w:after="80"/>
              <w:jc w:val="right"/>
              <w:rPr>
                <w:rFonts w:cs="Arial"/>
                <w:sz w:val="22"/>
                <w:szCs w:val="22"/>
              </w:rPr>
            </w:pPr>
            <w:r w:rsidRPr="00E17E1B">
              <w:rPr>
                <w:rFonts w:cs="Arial"/>
                <w:sz w:val="22"/>
                <w:szCs w:val="22"/>
              </w:rPr>
              <w:t>508</w:t>
            </w:r>
          </w:p>
        </w:tc>
      </w:tr>
      <w:tr w:rsidR="00FE5D11" w:rsidRPr="009A17D5" w14:paraId="3348DD26" w14:textId="77777777" w:rsidTr="00455917">
        <w:tc>
          <w:tcPr>
            <w:tcW w:w="715" w:type="pct"/>
          </w:tcPr>
          <w:p w14:paraId="7A3E3F3C" w14:textId="77777777" w:rsidR="00FE5D11" w:rsidRPr="00E17E1B" w:rsidRDefault="00FE5D11" w:rsidP="00D96185">
            <w:pPr>
              <w:spacing w:before="80" w:after="80"/>
              <w:rPr>
                <w:rFonts w:cs="Arial"/>
                <w:sz w:val="22"/>
                <w:szCs w:val="22"/>
              </w:rPr>
            </w:pPr>
            <w:r w:rsidRPr="00E17E1B">
              <w:rPr>
                <w:rFonts w:cs="Arial"/>
                <w:sz w:val="22"/>
                <w:szCs w:val="22"/>
              </w:rPr>
              <w:t>2016-17</w:t>
            </w:r>
          </w:p>
        </w:tc>
        <w:tc>
          <w:tcPr>
            <w:tcW w:w="706" w:type="pct"/>
          </w:tcPr>
          <w:p w14:paraId="410CEBB7" w14:textId="77777777" w:rsidR="00FE5D11" w:rsidRPr="00E17E1B" w:rsidRDefault="00FE5D11" w:rsidP="00D96185">
            <w:pPr>
              <w:spacing w:before="80" w:after="80"/>
              <w:jc w:val="right"/>
              <w:rPr>
                <w:rFonts w:cs="Arial"/>
                <w:sz w:val="22"/>
                <w:szCs w:val="22"/>
              </w:rPr>
            </w:pPr>
            <w:r w:rsidRPr="00E17E1B">
              <w:rPr>
                <w:rFonts w:cs="Arial"/>
                <w:sz w:val="22"/>
                <w:szCs w:val="22"/>
              </w:rPr>
              <w:t>5</w:t>
            </w:r>
          </w:p>
        </w:tc>
        <w:tc>
          <w:tcPr>
            <w:tcW w:w="655" w:type="pct"/>
          </w:tcPr>
          <w:p w14:paraId="27BB9C54"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762" w:type="pct"/>
          </w:tcPr>
          <w:p w14:paraId="63691BFA"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813" w:type="pct"/>
          </w:tcPr>
          <w:p w14:paraId="52634160"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646" w:type="pct"/>
          </w:tcPr>
          <w:p w14:paraId="44CFEDDF" w14:textId="77777777" w:rsidR="00FE5D11" w:rsidRPr="00E17E1B" w:rsidRDefault="00FE5D11" w:rsidP="00D96185">
            <w:pPr>
              <w:spacing w:before="80" w:after="80"/>
              <w:jc w:val="right"/>
              <w:rPr>
                <w:rFonts w:cs="Arial"/>
                <w:b/>
                <w:sz w:val="22"/>
                <w:szCs w:val="22"/>
              </w:rPr>
            </w:pPr>
            <w:r w:rsidRPr="00E17E1B">
              <w:rPr>
                <w:rFonts w:cs="Arial"/>
                <w:b/>
                <w:sz w:val="22"/>
                <w:szCs w:val="22"/>
              </w:rPr>
              <w:t>11</w:t>
            </w:r>
          </w:p>
        </w:tc>
        <w:tc>
          <w:tcPr>
            <w:tcW w:w="703" w:type="pct"/>
          </w:tcPr>
          <w:p w14:paraId="77E5505C" w14:textId="77777777" w:rsidR="00FE5D11" w:rsidRPr="00E17E1B" w:rsidRDefault="00FE5D11" w:rsidP="00D96185">
            <w:pPr>
              <w:spacing w:before="80" w:after="80"/>
              <w:jc w:val="right"/>
              <w:rPr>
                <w:rFonts w:cs="Arial"/>
                <w:sz w:val="22"/>
                <w:szCs w:val="22"/>
              </w:rPr>
            </w:pPr>
            <w:r w:rsidRPr="00E17E1B">
              <w:rPr>
                <w:rFonts w:cs="Arial"/>
                <w:sz w:val="22"/>
                <w:szCs w:val="22"/>
              </w:rPr>
              <w:t>649</w:t>
            </w:r>
          </w:p>
        </w:tc>
      </w:tr>
      <w:tr w:rsidR="00FE5D11" w:rsidRPr="009A17D5" w14:paraId="3E482C65" w14:textId="77777777" w:rsidTr="00455917">
        <w:tc>
          <w:tcPr>
            <w:tcW w:w="715" w:type="pct"/>
          </w:tcPr>
          <w:p w14:paraId="0D58BADF" w14:textId="77777777" w:rsidR="00FE5D11" w:rsidRPr="00E17E1B" w:rsidRDefault="00FE5D11" w:rsidP="00D96185">
            <w:pPr>
              <w:spacing w:before="80" w:after="80"/>
              <w:rPr>
                <w:rFonts w:cs="Arial"/>
                <w:sz w:val="22"/>
                <w:szCs w:val="22"/>
              </w:rPr>
            </w:pPr>
            <w:r w:rsidRPr="00E17E1B">
              <w:rPr>
                <w:rFonts w:cs="Arial"/>
                <w:sz w:val="22"/>
                <w:szCs w:val="22"/>
              </w:rPr>
              <w:t>2017-18</w:t>
            </w:r>
          </w:p>
        </w:tc>
        <w:tc>
          <w:tcPr>
            <w:tcW w:w="706" w:type="pct"/>
          </w:tcPr>
          <w:p w14:paraId="2005BC1B" w14:textId="77777777" w:rsidR="00FE5D11" w:rsidRPr="00E17E1B" w:rsidRDefault="00FE5D11" w:rsidP="00D96185">
            <w:pPr>
              <w:spacing w:before="80" w:after="80"/>
              <w:jc w:val="right"/>
              <w:rPr>
                <w:rFonts w:cs="Arial"/>
                <w:sz w:val="22"/>
                <w:szCs w:val="22"/>
              </w:rPr>
            </w:pPr>
            <w:r w:rsidRPr="00E17E1B">
              <w:rPr>
                <w:rFonts w:cs="Arial"/>
                <w:sz w:val="22"/>
                <w:szCs w:val="22"/>
              </w:rPr>
              <w:t>5</w:t>
            </w:r>
          </w:p>
        </w:tc>
        <w:tc>
          <w:tcPr>
            <w:tcW w:w="655" w:type="pct"/>
          </w:tcPr>
          <w:p w14:paraId="170E090A" w14:textId="77777777" w:rsidR="00FE5D11" w:rsidRPr="00E17E1B" w:rsidRDefault="00FE5D11" w:rsidP="00D96185">
            <w:pPr>
              <w:spacing w:before="80" w:after="80"/>
              <w:jc w:val="right"/>
              <w:rPr>
                <w:rFonts w:cs="Arial"/>
                <w:sz w:val="22"/>
                <w:szCs w:val="22"/>
              </w:rPr>
            </w:pPr>
            <w:r w:rsidRPr="00E17E1B">
              <w:rPr>
                <w:rFonts w:cs="Arial"/>
                <w:sz w:val="22"/>
                <w:szCs w:val="22"/>
              </w:rPr>
              <w:t>1</w:t>
            </w:r>
          </w:p>
        </w:tc>
        <w:tc>
          <w:tcPr>
            <w:tcW w:w="762" w:type="pct"/>
          </w:tcPr>
          <w:p w14:paraId="107D8513" w14:textId="77777777" w:rsidR="00FE5D11" w:rsidRPr="00E17E1B" w:rsidRDefault="00FE5D11" w:rsidP="00D96185">
            <w:pPr>
              <w:spacing w:before="80" w:after="80"/>
              <w:jc w:val="right"/>
              <w:rPr>
                <w:rFonts w:cs="Arial"/>
                <w:sz w:val="22"/>
                <w:szCs w:val="22"/>
              </w:rPr>
            </w:pPr>
            <w:r w:rsidRPr="00E17E1B">
              <w:rPr>
                <w:rFonts w:cs="Arial"/>
                <w:sz w:val="22"/>
                <w:szCs w:val="22"/>
              </w:rPr>
              <w:t>0</w:t>
            </w:r>
          </w:p>
        </w:tc>
        <w:tc>
          <w:tcPr>
            <w:tcW w:w="813" w:type="pct"/>
          </w:tcPr>
          <w:p w14:paraId="3A66E579" w14:textId="77777777" w:rsidR="00FE5D11" w:rsidRPr="00E17E1B" w:rsidRDefault="00FE5D11" w:rsidP="00D96185">
            <w:pPr>
              <w:spacing w:before="80" w:after="80"/>
              <w:jc w:val="right"/>
              <w:rPr>
                <w:rFonts w:cs="Arial"/>
                <w:sz w:val="22"/>
                <w:szCs w:val="22"/>
              </w:rPr>
            </w:pPr>
            <w:r w:rsidRPr="00E17E1B">
              <w:rPr>
                <w:rFonts w:cs="Arial"/>
                <w:sz w:val="22"/>
                <w:szCs w:val="22"/>
              </w:rPr>
              <w:t>7</w:t>
            </w:r>
          </w:p>
        </w:tc>
        <w:tc>
          <w:tcPr>
            <w:tcW w:w="646" w:type="pct"/>
          </w:tcPr>
          <w:p w14:paraId="187E15F2" w14:textId="77777777" w:rsidR="00FE5D11" w:rsidRPr="00E17E1B" w:rsidRDefault="00FE5D11" w:rsidP="00D96185">
            <w:pPr>
              <w:spacing w:before="80" w:after="80"/>
              <w:jc w:val="right"/>
              <w:rPr>
                <w:rFonts w:cs="Arial"/>
                <w:b/>
                <w:sz w:val="22"/>
                <w:szCs w:val="22"/>
              </w:rPr>
            </w:pPr>
            <w:r w:rsidRPr="00E17E1B">
              <w:rPr>
                <w:rFonts w:cs="Arial"/>
                <w:b/>
                <w:sz w:val="22"/>
                <w:szCs w:val="22"/>
              </w:rPr>
              <w:t>13</w:t>
            </w:r>
          </w:p>
        </w:tc>
        <w:tc>
          <w:tcPr>
            <w:tcW w:w="703" w:type="pct"/>
          </w:tcPr>
          <w:p w14:paraId="381CA73A" w14:textId="77777777" w:rsidR="00FE5D11" w:rsidRPr="00E17E1B" w:rsidRDefault="00FE5D11" w:rsidP="00D96185">
            <w:pPr>
              <w:spacing w:before="80" w:after="80"/>
              <w:jc w:val="right"/>
              <w:rPr>
                <w:rFonts w:cs="Arial"/>
                <w:sz w:val="22"/>
                <w:szCs w:val="22"/>
              </w:rPr>
            </w:pPr>
            <w:r w:rsidRPr="00E17E1B">
              <w:rPr>
                <w:rFonts w:cs="Arial"/>
                <w:sz w:val="22"/>
                <w:szCs w:val="22"/>
              </w:rPr>
              <w:t>685</w:t>
            </w:r>
          </w:p>
        </w:tc>
      </w:tr>
      <w:tr w:rsidR="00FE5D11" w:rsidRPr="009A17D5" w14:paraId="76A8C972" w14:textId="77777777" w:rsidTr="00455917">
        <w:tc>
          <w:tcPr>
            <w:tcW w:w="715" w:type="pct"/>
          </w:tcPr>
          <w:p w14:paraId="71DBEDBD" w14:textId="77777777" w:rsidR="00FE5D11" w:rsidRPr="00E17E1B" w:rsidRDefault="00FE5D11" w:rsidP="00D96185">
            <w:pPr>
              <w:spacing w:before="80" w:after="80"/>
              <w:rPr>
                <w:rFonts w:cs="Arial"/>
                <w:sz w:val="22"/>
                <w:szCs w:val="22"/>
              </w:rPr>
            </w:pPr>
            <w:r w:rsidRPr="00E17E1B">
              <w:rPr>
                <w:rFonts w:cs="Arial"/>
                <w:sz w:val="22"/>
                <w:szCs w:val="22"/>
              </w:rPr>
              <w:t>2018-19</w:t>
            </w:r>
          </w:p>
        </w:tc>
        <w:tc>
          <w:tcPr>
            <w:tcW w:w="706" w:type="pct"/>
          </w:tcPr>
          <w:p w14:paraId="1D3C5DB4" w14:textId="77777777" w:rsidR="00FE5D11" w:rsidRPr="00E17E1B" w:rsidRDefault="00FE5D11" w:rsidP="00D96185">
            <w:pPr>
              <w:spacing w:before="80" w:after="80"/>
              <w:jc w:val="right"/>
              <w:rPr>
                <w:rFonts w:cs="Arial"/>
                <w:sz w:val="22"/>
                <w:szCs w:val="22"/>
              </w:rPr>
            </w:pPr>
            <w:r w:rsidRPr="00E17E1B">
              <w:rPr>
                <w:rFonts w:cs="Arial"/>
                <w:sz w:val="22"/>
                <w:szCs w:val="22"/>
              </w:rPr>
              <w:t>6</w:t>
            </w:r>
          </w:p>
        </w:tc>
        <w:tc>
          <w:tcPr>
            <w:tcW w:w="655" w:type="pct"/>
          </w:tcPr>
          <w:p w14:paraId="2FE3878D"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762" w:type="pct"/>
          </w:tcPr>
          <w:p w14:paraId="46D3F8CD" w14:textId="77777777" w:rsidR="00FE5D11" w:rsidRPr="00E17E1B" w:rsidRDefault="00FE5D11" w:rsidP="00D96185">
            <w:pPr>
              <w:spacing w:before="80" w:after="80"/>
              <w:jc w:val="right"/>
              <w:rPr>
                <w:rFonts w:cs="Arial"/>
                <w:sz w:val="22"/>
                <w:szCs w:val="22"/>
              </w:rPr>
            </w:pPr>
            <w:r w:rsidRPr="00E17E1B">
              <w:rPr>
                <w:rFonts w:cs="Arial"/>
                <w:sz w:val="22"/>
                <w:szCs w:val="22"/>
              </w:rPr>
              <w:t>4</w:t>
            </w:r>
          </w:p>
        </w:tc>
        <w:tc>
          <w:tcPr>
            <w:tcW w:w="813" w:type="pct"/>
          </w:tcPr>
          <w:p w14:paraId="4CFC9C60" w14:textId="77777777" w:rsidR="00FE5D11" w:rsidRPr="00E17E1B" w:rsidRDefault="00FE5D11" w:rsidP="00D96185">
            <w:pPr>
              <w:spacing w:before="80" w:after="80"/>
              <w:jc w:val="right"/>
              <w:rPr>
                <w:rFonts w:cs="Arial"/>
                <w:sz w:val="22"/>
                <w:szCs w:val="22"/>
              </w:rPr>
            </w:pPr>
            <w:r w:rsidRPr="00E17E1B">
              <w:rPr>
                <w:rFonts w:cs="Arial"/>
                <w:sz w:val="22"/>
                <w:szCs w:val="22"/>
              </w:rPr>
              <w:t>3</w:t>
            </w:r>
          </w:p>
        </w:tc>
        <w:tc>
          <w:tcPr>
            <w:tcW w:w="646" w:type="pct"/>
          </w:tcPr>
          <w:p w14:paraId="1207E8CB" w14:textId="77777777" w:rsidR="00FE5D11" w:rsidRPr="00E17E1B" w:rsidRDefault="00FE5D11" w:rsidP="00D96185">
            <w:pPr>
              <w:spacing w:before="80" w:after="80"/>
              <w:jc w:val="right"/>
              <w:rPr>
                <w:rFonts w:cs="Arial"/>
                <w:b/>
                <w:sz w:val="22"/>
                <w:szCs w:val="22"/>
              </w:rPr>
            </w:pPr>
            <w:r w:rsidRPr="00E17E1B">
              <w:rPr>
                <w:rFonts w:cs="Arial"/>
                <w:b/>
                <w:sz w:val="22"/>
                <w:szCs w:val="22"/>
              </w:rPr>
              <w:t>16</w:t>
            </w:r>
          </w:p>
        </w:tc>
        <w:tc>
          <w:tcPr>
            <w:tcW w:w="703" w:type="pct"/>
          </w:tcPr>
          <w:p w14:paraId="547A6606" w14:textId="77777777" w:rsidR="00FE5D11" w:rsidRPr="00E17E1B" w:rsidRDefault="00FE5D11" w:rsidP="00D96185">
            <w:pPr>
              <w:spacing w:before="80" w:after="80"/>
              <w:jc w:val="right"/>
              <w:rPr>
                <w:rFonts w:cs="Arial"/>
                <w:sz w:val="22"/>
                <w:szCs w:val="22"/>
              </w:rPr>
            </w:pPr>
            <w:r w:rsidRPr="00E17E1B">
              <w:rPr>
                <w:rFonts w:cs="Arial"/>
                <w:sz w:val="22"/>
                <w:szCs w:val="22"/>
              </w:rPr>
              <w:t>885</w:t>
            </w:r>
          </w:p>
        </w:tc>
      </w:tr>
      <w:tr w:rsidR="00FE5D11" w:rsidRPr="009A17D5" w14:paraId="65DF7339" w14:textId="77777777" w:rsidTr="00455917">
        <w:tc>
          <w:tcPr>
            <w:tcW w:w="715" w:type="pct"/>
          </w:tcPr>
          <w:p w14:paraId="44450F61" w14:textId="77777777" w:rsidR="00FE5D11" w:rsidRPr="00E17E1B" w:rsidRDefault="00FE5D11" w:rsidP="00D96185">
            <w:pPr>
              <w:spacing w:before="80" w:after="80"/>
              <w:rPr>
                <w:rFonts w:cs="Arial"/>
                <w:sz w:val="22"/>
                <w:szCs w:val="22"/>
              </w:rPr>
            </w:pPr>
            <w:r w:rsidRPr="00E17E1B">
              <w:rPr>
                <w:rFonts w:cs="Arial"/>
                <w:sz w:val="22"/>
                <w:szCs w:val="22"/>
              </w:rPr>
              <w:t>2019-20</w:t>
            </w:r>
          </w:p>
        </w:tc>
        <w:tc>
          <w:tcPr>
            <w:tcW w:w="706" w:type="pct"/>
          </w:tcPr>
          <w:p w14:paraId="286BC48C" w14:textId="77777777" w:rsidR="00FE5D11" w:rsidRPr="00E17E1B" w:rsidRDefault="00FE5D11" w:rsidP="00D96185">
            <w:pPr>
              <w:spacing w:before="80" w:after="80"/>
              <w:jc w:val="right"/>
              <w:rPr>
                <w:rFonts w:cs="Arial"/>
                <w:sz w:val="22"/>
                <w:szCs w:val="22"/>
              </w:rPr>
            </w:pPr>
            <w:r w:rsidRPr="00E17E1B">
              <w:rPr>
                <w:rFonts w:cs="Arial"/>
                <w:sz w:val="22"/>
                <w:szCs w:val="22"/>
              </w:rPr>
              <w:t>13</w:t>
            </w:r>
          </w:p>
        </w:tc>
        <w:tc>
          <w:tcPr>
            <w:tcW w:w="655" w:type="pct"/>
          </w:tcPr>
          <w:p w14:paraId="495FED33" w14:textId="77777777" w:rsidR="00FE5D11" w:rsidRPr="00E17E1B" w:rsidRDefault="00FE5D11" w:rsidP="00D96185">
            <w:pPr>
              <w:spacing w:before="80" w:after="80"/>
              <w:jc w:val="right"/>
              <w:rPr>
                <w:rFonts w:cs="Arial"/>
                <w:sz w:val="22"/>
                <w:szCs w:val="22"/>
              </w:rPr>
            </w:pPr>
            <w:r w:rsidRPr="00E17E1B">
              <w:rPr>
                <w:rFonts w:cs="Arial"/>
                <w:sz w:val="22"/>
                <w:szCs w:val="22"/>
              </w:rPr>
              <w:t>2</w:t>
            </w:r>
          </w:p>
        </w:tc>
        <w:tc>
          <w:tcPr>
            <w:tcW w:w="762" w:type="pct"/>
          </w:tcPr>
          <w:p w14:paraId="001B9C2A" w14:textId="77777777" w:rsidR="00FE5D11" w:rsidRPr="00E17E1B" w:rsidRDefault="00FE5D11" w:rsidP="00D96185">
            <w:pPr>
              <w:spacing w:before="80" w:after="80"/>
              <w:jc w:val="right"/>
              <w:rPr>
                <w:rFonts w:cs="Arial"/>
                <w:sz w:val="22"/>
                <w:szCs w:val="22"/>
              </w:rPr>
            </w:pPr>
            <w:r w:rsidRPr="00E17E1B">
              <w:rPr>
                <w:rFonts w:cs="Arial"/>
                <w:sz w:val="22"/>
                <w:szCs w:val="22"/>
              </w:rPr>
              <w:t>12</w:t>
            </w:r>
          </w:p>
        </w:tc>
        <w:tc>
          <w:tcPr>
            <w:tcW w:w="813" w:type="pct"/>
          </w:tcPr>
          <w:p w14:paraId="3E42BA8B" w14:textId="77777777" w:rsidR="00FE5D11" w:rsidRPr="00E17E1B" w:rsidRDefault="00FE5D11" w:rsidP="00D96185">
            <w:pPr>
              <w:spacing w:before="80" w:after="80"/>
              <w:jc w:val="right"/>
              <w:rPr>
                <w:rFonts w:cs="Arial"/>
                <w:sz w:val="22"/>
                <w:szCs w:val="22"/>
              </w:rPr>
            </w:pPr>
            <w:r w:rsidRPr="00E17E1B">
              <w:rPr>
                <w:rFonts w:cs="Arial"/>
                <w:sz w:val="22"/>
                <w:szCs w:val="22"/>
              </w:rPr>
              <w:t>7</w:t>
            </w:r>
          </w:p>
        </w:tc>
        <w:tc>
          <w:tcPr>
            <w:tcW w:w="646" w:type="pct"/>
          </w:tcPr>
          <w:p w14:paraId="20FB44AF" w14:textId="77777777" w:rsidR="00FE5D11" w:rsidRPr="00E17E1B" w:rsidRDefault="00FE5D11" w:rsidP="00D96185">
            <w:pPr>
              <w:spacing w:before="80" w:after="80"/>
              <w:jc w:val="right"/>
              <w:rPr>
                <w:rFonts w:cs="Arial"/>
                <w:b/>
                <w:sz w:val="22"/>
                <w:szCs w:val="22"/>
              </w:rPr>
            </w:pPr>
            <w:r w:rsidRPr="00E17E1B">
              <w:rPr>
                <w:rFonts w:cs="Arial"/>
                <w:b/>
                <w:sz w:val="22"/>
                <w:szCs w:val="22"/>
              </w:rPr>
              <w:t>34</w:t>
            </w:r>
          </w:p>
        </w:tc>
        <w:tc>
          <w:tcPr>
            <w:tcW w:w="703" w:type="pct"/>
          </w:tcPr>
          <w:p w14:paraId="6286BBCC" w14:textId="77777777" w:rsidR="00FE5D11" w:rsidRPr="00E17E1B" w:rsidRDefault="00FE5D11" w:rsidP="00D96185">
            <w:pPr>
              <w:spacing w:before="80" w:after="80"/>
              <w:jc w:val="right"/>
              <w:rPr>
                <w:rFonts w:cs="Arial"/>
                <w:sz w:val="22"/>
                <w:szCs w:val="22"/>
              </w:rPr>
            </w:pPr>
            <w:r w:rsidRPr="00E17E1B">
              <w:rPr>
                <w:rFonts w:cs="Arial"/>
                <w:sz w:val="22"/>
                <w:szCs w:val="22"/>
              </w:rPr>
              <w:t>846</w:t>
            </w:r>
          </w:p>
        </w:tc>
      </w:tr>
      <w:tr w:rsidR="00BA60BF" w:rsidRPr="00C00E52" w14:paraId="6429EFF1" w14:textId="77777777" w:rsidTr="00455917">
        <w:tc>
          <w:tcPr>
            <w:tcW w:w="715" w:type="pct"/>
          </w:tcPr>
          <w:p w14:paraId="78EEB1F3" w14:textId="51D75452" w:rsidR="00BA60BF" w:rsidRPr="00C00E52" w:rsidRDefault="00BA60BF" w:rsidP="00D96185">
            <w:pPr>
              <w:spacing w:before="80" w:after="80"/>
              <w:rPr>
                <w:rFonts w:cs="Arial"/>
                <w:sz w:val="22"/>
                <w:szCs w:val="22"/>
              </w:rPr>
            </w:pPr>
            <w:r w:rsidRPr="00C00E52">
              <w:rPr>
                <w:rFonts w:cs="Arial"/>
                <w:sz w:val="22"/>
                <w:szCs w:val="22"/>
              </w:rPr>
              <w:t>2020-21</w:t>
            </w:r>
            <w:r w:rsidR="00455917">
              <w:rPr>
                <w:rStyle w:val="FootnoteReference"/>
                <w:rFonts w:cs="Arial"/>
                <w:sz w:val="22"/>
                <w:szCs w:val="22"/>
              </w:rPr>
              <w:footnoteReference w:id="116"/>
            </w:r>
          </w:p>
        </w:tc>
        <w:tc>
          <w:tcPr>
            <w:tcW w:w="706" w:type="pct"/>
          </w:tcPr>
          <w:p w14:paraId="782DB0E2" w14:textId="2777FD0F" w:rsidR="00BA60BF" w:rsidRPr="00C00E52" w:rsidRDefault="006E3B88" w:rsidP="00D96185">
            <w:pPr>
              <w:spacing w:before="80" w:after="80"/>
              <w:jc w:val="right"/>
              <w:rPr>
                <w:rFonts w:cs="Arial"/>
                <w:sz w:val="22"/>
                <w:szCs w:val="22"/>
              </w:rPr>
            </w:pPr>
            <w:r w:rsidRPr="00C00E52">
              <w:rPr>
                <w:rFonts w:cs="Arial"/>
                <w:sz w:val="22"/>
                <w:szCs w:val="22"/>
              </w:rPr>
              <w:t>5</w:t>
            </w:r>
          </w:p>
        </w:tc>
        <w:tc>
          <w:tcPr>
            <w:tcW w:w="655" w:type="pct"/>
          </w:tcPr>
          <w:p w14:paraId="0BE7C6D1" w14:textId="3019FA2A" w:rsidR="00BA60BF" w:rsidRPr="00C00E52" w:rsidRDefault="006E3B88" w:rsidP="00D96185">
            <w:pPr>
              <w:spacing w:before="80" w:after="80"/>
              <w:jc w:val="right"/>
              <w:rPr>
                <w:rFonts w:cs="Arial"/>
                <w:sz w:val="22"/>
                <w:szCs w:val="22"/>
              </w:rPr>
            </w:pPr>
            <w:r w:rsidRPr="00C00E52">
              <w:rPr>
                <w:rFonts w:cs="Arial"/>
                <w:sz w:val="22"/>
                <w:szCs w:val="22"/>
              </w:rPr>
              <w:t>0</w:t>
            </w:r>
          </w:p>
        </w:tc>
        <w:tc>
          <w:tcPr>
            <w:tcW w:w="762" w:type="pct"/>
          </w:tcPr>
          <w:p w14:paraId="55C2E504" w14:textId="3E7C2003" w:rsidR="00BA60BF" w:rsidRPr="00C00E52" w:rsidRDefault="006E3B88" w:rsidP="00D96185">
            <w:pPr>
              <w:spacing w:before="80" w:after="80"/>
              <w:jc w:val="right"/>
              <w:rPr>
                <w:rFonts w:cs="Arial"/>
                <w:sz w:val="22"/>
                <w:szCs w:val="22"/>
              </w:rPr>
            </w:pPr>
            <w:r w:rsidRPr="00C00E52">
              <w:rPr>
                <w:rFonts w:cs="Arial"/>
                <w:sz w:val="22"/>
                <w:szCs w:val="22"/>
              </w:rPr>
              <w:t>5</w:t>
            </w:r>
          </w:p>
        </w:tc>
        <w:tc>
          <w:tcPr>
            <w:tcW w:w="813" w:type="pct"/>
          </w:tcPr>
          <w:p w14:paraId="30D8A0EC" w14:textId="58BD0725" w:rsidR="00BA60BF" w:rsidRPr="00C00E52" w:rsidRDefault="006E3B88" w:rsidP="00D96185">
            <w:pPr>
              <w:spacing w:before="80" w:after="80"/>
              <w:jc w:val="right"/>
              <w:rPr>
                <w:rFonts w:cs="Arial"/>
                <w:sz w:val="22"/>
                <w:szCs w:val="22"/>
              </w:rPr>
            </w:pPr>
            <w:r w:rsidRPr="00C00E52">
              <w:rPr>
                <w:rFonts w:cs="Arial"/>
                <w:sz w:val="22"/>
                <w:szCs w:val="22"/>
              </w:rPr>
              <w:t>1</w:t>
            </w:r>
          </w:p>
        </w:tc>
        <w:tc>
          <w:tcPr>
            <w:tcW w:w="646" w:type="pct"/>
          </w:tcPr>
          <w:p w14:paraId="01A248BE" w14:textId="325FCC2F" w:rsidR="00BA60BF" w:rsidRPr="00C00E52" w:rsidRDefault="006E3B88" w:rsidP="00D96185">
            <w:pPr>
              <w:spacing w:before="80" w:after="80"/>
              <w:jc w:val="right"/>
              <w:rPr>
                <w:rFonts w:cs="Arial"/>
                <w:b/>
                <w:sz w:val="22"/>
                <w:szCs w:val="22"/>
              </w:rPr>
            </w:pPr>
            <w:r w:rsidRPr="00C00E52">
              <w:rPr>
                <w:rFonts w:cs="Arial"/>
                <w:b/>
                <w:sz w:val="22"/>
                <w:szCs w:val="22"/>
              </w:rPr>
              <w:t>11</w:t>
            </w:r>
          </w:p>
        </w:tc>
        <w:tc>
          <w:tcPr>
            <w:tcW w:w="703" w:type="pct"/>
          </w:tcPr>
          <w:p w14:paraId="49CD4DAE" w14:textId="4D9085C6" w:rsidR="00BA60BF" w:rsidRPr="00C00E52" w:rsidRDefault="00CF44EA" w:rsidP="00D96185">
            <w:pPr>
              <w:spacing w:before="80" w:after="80"/>
              <w:jc w:val="right"/>
              <w:rPr>
                <w:rFonts w:cs="Arial"/>
                <w:sz w:val="22"/>
                <w:szCs w:val="22"/>
              </w:rPr>
            </w:pPr>
            <w:r>
              <w:rPr>
                <w:rFonts w:cs="Arial"/>
                <w:sz w:val="22"/>
                <w:szCs w:val="22"/>
              </w:rPr>
              <w:t>391</w:t>
            </w:r>
          </w:p>
        </w:tc>
      </w:tr>
      <w:tr w:rsidR="00FE5D11" w:rsidRPr="009A17D5" w14:paraId="554DD5BE" w14:textId="77777777" w:rsidTr="00455917">
        <w:tc>
          <w:tcPr>
            <w:tcW w:w="715" w:type="pct"/>
          </w:tcPr>
          <w:p w14:paraId="4854440C" w14:textId="77777777" w:rsidR="00FE5D11" w:rsidRPr="00C00E52" w:rsidRDefault="00FE5D11" w:rsidP="00D96185">
            <w:pPr>
              <w:spacing w:before="80" w:after="80"/>
              <w:rPr>
                <w:rFonts w:cs="Arial"/>
                <w:b/>
                <w:sz w:val="22"/>
                <w:szCs w:val="22"/>
              </w:rPr>
            </w:pPr>
            <w:r w:rsidRPr="00C00E52">
              <w:rPr>
                <w:rFonts w:cs="Arial"/>
                <w:b/>
                <w:sz w:val="22"/>
                <w:szCs w:val="22"/>
              </w:rPr>
              <w:t>Totals</w:t>
            </w:r>
          </w:p>
        </w:tc>
        <w:tc>
          <w:tcPr>
            <w:tcW w:w="706" w:type="pct"/>
          </w:tcPr>
          <w:p w14:paraId="63C3613D" w14:textId="071E1687" w:rsidR="00FE5D11" w:rsidRPr="00C00E52" w:rsidRDefault="006E3B88" w:rsidP="00D96185">
            <w:pPr>
              <w:spacing w:before="80" w:after="80"/>
              <w:jc w:val="right"/>
              <w:rPr>
                <w:rFonts w:cs="Arial"/>
                <w:b/>
                <w:sz w:val="22"/>
                <w:szCs w:val="22"/>
              </w:rPr>
            </w:pPr>
            <w:r w:rsidRPr="00C00E52">
              <w:rPr>
                <w:rFonts w:cs="Arial"/>
                <w:b/>
                <w:sz w:val="22"/>
                <w:szCs w:val="22"/>
              </w:rPr>
              <w:fldChar w:fldCharType="begin"/>
            </w:r>
            <w:r w:rsidRPr="00C00E52">
              <w:rPr>
                <w:rFonts w:cs="Arial"/>
                <w:b/>
                <w:sz w:val="22"/>
                <w:szCs w:val="22"/>
              </w:rPr>
              <w:instrText xml:space="preserve"> =SUM(ABOVE) </w:instrText>
            </w:r>
            <w:r w:rsidRPr="00C00E52">
              <w:rPr>
                <w:rFonts w:cs="Arial"/>
                <w:b/>
                <w:sz w:val="22"/>
                <w:szCs w:val="22"/>
              </w:rPr>
              <w:fldChar w:fldCharType="separate"/>
            </w:r>
            <w:r w:rsidRPr="00C00E52">
              <w:rPr>
                <w:rFonts w:cs="Arial"/>
                <w:b/>
                <w:noProof/>
                <w:sz w:val="22"/>
                <w:szCs w:val="22"/>
              </w:rPr>
              <w:t>175</w:t>
            </w:r>
            <w:r w:rsidRPr="00C00E52">
              <w:rPr>
                <w:rFonts w:cs="Arial"/>
                <w:b/>
                <w:sz w:val="22"/>
                <w:szCs w:val="22"/>
              </w:rPr>
              <w:fldChar w:fldCharType="end"/>
            </w:r>
          </w:p>
        </w:tc>
        <w:tc>
          <w:tcPr>
            <w:tcW w:w="655" w:type="pct"/>
          </w:tcPr>
          <w:p w14:paraId="59765C0B" w14:textId="39C8EA8D" w:rsidR="00FE5D11" w:rsidRPr="00C00E52" w:rsidRDefault="006E3B88" w:rsidP="00D96185">
            <w:pPr>
              <w:spacing w:before="80" w:after="80"/>
              <w:jc w:val="right"/>
              <w:rPr>
                <w:rFonts w:cs="Arial"/>
                <w:b/>
                <w:sz w:val="22"/>
                <w:szCs w:val="22"/>
              </w:rPr>
            </w:pPr>
            <w:r w:rsidRPr="00C00E52">
              <w:rPr>
                <w:rFonts w:cs="Arial"/>
                <w:b/>
                <w:sz w:val="22"/>
                <w:szCs w:val="22"/>
              </w:rPr>
              <w:fldChar w:fldCharType="begin"/>
            </w:r>
            <w:r w:rsidRPr="00C00E52">
              <w:rPr>
                <w:rFonts w:cs="Arial"/>
                <w:b/>
                <w:sz w:val="22"/>
                <w:szCs w:val="22"/>
              </w:rPr>
              <w:instrText xml:space="preserve"> =SUM(ABOVE) </w:instrText>
            </w:r>
            <w:r w:rsidRPr="00C00E52">
              <w:rPr>
                <w:rFonts w:cs="Arial"/>
                <w:b/>
                <w:sz w:val="22"/>
                <w:szCs w:val="22"/>
              </w:rPr>
              <w:fldChar w:fldCharType="separate"/>
            </w:r>
            <w:r w:rsidRPr="00C00E52">
              <w:rPr>
                <w:rFonts w:cs="Arial"/>
                <w:b/>
                <w:noProof/>
                <w:sz w:val="22"/>
                <w:szCs w:val="22"/>
              </w:rPr>
              <w:t>37</w:t>
            </w:r>
            <w:r w:rsidRPr="00C00E52">
              <w:rPr>
                <w:rFonts w:cs="Arial"/>
                <w:b/>
                <w:sz w:val="22"/>
                <w:szCs w:val="22"/>
              </w:rPr>
              <w:fldChar w:fldCharType="end"/>
            </w:r>
          </w:p>
        </w:tc>
        <w:tc>
          <w:tcPr>
            <w:tcW w:w="762" w:type="pct"/>
          </w:tcPr>
          <w:p w14:paraId="2CB5E7A4" w14:textId="1A700FDC" w:rsidR="00FE5D11" w:rsidRPr="00C00E52" w:rsidRDefault="006E3B88" w:rsidP="00D96185">
            <w:pPr>
              <w:spacing w:before="80" w:after="80"/>
              <w:jc w:val="right"/>
              <w:rPr>
                <w:rFonts w:cs="Arial"/>
                <w:b/>
                <w:sz w:val="22"/>
                <w:szCs w:val="22"/>
              </w:rPr>
            </w:pPr>
            <w:r w:rsidRPr="00C00E52">
              <w:rPr>
                <w:rFonts w:cs="Arial"/>
                <w:b/>
                <w:sz w:val="22"/>
                <w:szCs w:val="22"/>
              </w:rPr>
              <w:fldChar w:fldCharType="begin"/>
            </w:r>
            <w:r w:rsidRPr="00C00E52">
              <w:rPr>
                <w:rFonts w:cs="Arial"/>
                <w:b/>
                <w:sz w:val="22"/>
                <w:szCs w:val="22"/>
              </w:rPr>
              <w:instrText xml:space="preserve"> =SUM(ABOVE) </w:instrText>
            </w:r>
            <w:r w:rsidRPr="00C00E52">
              <w:rPr>
                <w:rFonts w:cs="Arial"/>
                <w:b/>
                <w:sz w:val="22"/>
                <w:szCs w:val="22"/>
              </w:rPr>
              <w:fldChar w:fldCharType="separate"/>
            </w:r>
            <w:r w:rsidRPr="00C00E52">
              <w:rPr>
                <w:rFonts w:cs="Arial"/>
                <w:b/>
                <w:noProof/>
                <w:sz w:val="22"/>
                <w:szCs w:val="22"/>
              </w:rPr>
              <w:t>92</w:t>
            </w:r>
            <w:r w:rsidRPr="00C00E52">
              <w:rPr>
                <w:rFonts w:cs="Arial"/>
                <w:b/>
                <w:sz w:val="22"/>
                <w:szCs w:val="22"/>
              </w:rPr>
              <w:fldChar w:fldCharType="end"/>
            </w:r>
          </w:p>
        </w:tc>
        <w:tc>
          <w:tcPr>
            <w:tcW w:w="813" w:type="pct"/>
          </w:tcPr>
          <w:p w14:paraId="598449A8" w14:textId="0B761DA8" w:rsidR="00FE5D11" w:rsidRPr="00C00E52" w:rsidRDefault="006E3B88" w:rsidP="00D96185">
            <w:pPr>
              <w:spacing w:before="80" w:after="80"/>
              <w:jc w:val="right"/>
              <w:rPr>
                <w:rFonts w:cs="Arial"/>
                <w:b/>
                <w:sz w:val="22"/>
                <w:szCs w:val="22"/>
              </w:rPr>
            </w:pPr>
            <w:r w:rsidRPr="00C00E52">
              <w:rPr>
                <w:rFonts w:cs="Arial"/>
                <w:b/>
                <w:sz w:val="22"/>
                <w:szCs w:val="22"/>
              </w:rPr>
              <w:fldChar w:fldCharType="begin"/>
            </w:r>
            <w:r w:rsidRPr="00C00E52">
              <w:rPr>
                <w:rFonts w:cs="Arial"/>
                <w:b/>
                <w:sz w:val="22"/>
                <w:szCs w:val="22"/>
              </w:rPr>
              <w:instrText xml:space="preserve"> =SUM(ABOVE) </w:instrText>
            </w:r>
            <w:r w:rsidRPr="00C00E52">
              <w:rPr>
                <w:rFonts w:cs="Arial"/>
                <w:b/>
                <w:sz w:val="22"/>
                <w:szCs w:val="22"/>
              </w:rPr>
              <w:fldChar w:fldCharType="separate"/>
            </w:r>
            <w:r w:rsidRPr="00C00E52">
              <w:rPr>
                <w:rFonts w:cs="Arial"/>
                <w:b/>
                <w:noProof/>
                <w:sz w:val="22"/>
                <w:szCs w:val="22"/>
              </w:rPr>
              <w:t>33</w:t>
            </w:r>
            <w:r w:rsidRPr="00C00E52">
              <w:rPr>
                <w:rFonts w:cs="Arial"/>
                <w:b/>
                <w:sz w:val="22"/>
                <w:szCs w:val="22"/>
              </w:rPr>
              <w:fldChar w:fldCharType="end"/>
            </w:r>
          </w:p>
        </w:tc>
        <w:tc>
          <w:tcPr>
            <w:tcW w:w="646" w:type="pct"/>
          </w:tcPr>
          <w:p w14:paraId="430A8C05" w14:textId="6A78DD7B" w:rsidR="00FE5D11" w:rsidRPr="00E17E1B" w:rsidRDefault="006E3B88" w:rsidP="00D96185">
            <w:pPr>
              <w:spacing w:before="80" w:after="80"/>
              <w:jc w:val="right"/>
              <w:rPr>
                <w:rFonts w:cs="Arial"/>
                <w:b/>
                <w:sz w:val="22"/>
                <w:szCs w:val="22"/>
              </w:rPr>
            </w:pPr>
            <w:r w:rsidRPr="00C00E52">
              <w:rPr>
                <w:rFonts w:cs="Arial"/>
                <w:b/>
                <w:sz w:val="22"/>
                <w:szCs w:val="22"/>
              </w:rPr>
              <w:fldChar w:fldCharType="begin"/>
            </w:r>
            <w:r w:rsidRPr="00C00E52">
              <w:rPr>
                <w:rFonts w:cs="Arial"/>
                <w:b/>
                <w:sz w:val="22"/>
                <w:szCs w:val="22"/>
              </w:rPr>
              <w:instrText xml:space="preserve"> =SUM(ABOVE) </w:instrText>
            </w:r>
            <w:r w:rsidRPr="00C00E52">
              <w:rPr>
                <w:rFonts w:cs="Arial"/>
                <w:b/>
                <w:sz w:val="22"/>
                <w:szCs w:val="22"/>
              </w:rPr>
              <w:fldChar w:fldCharType="separate"/>
            </w:r>
            <w:r w:rsidRPr="00C00E52">
              <w:rPr>
                <w:rFonts w:cs="Arial"/>
                <w:b/>
                <w:noProof/>
                <w:sz w:val="22"/>
                <w:szCs w:val="22"/>
              </w:rPr>
              <w:t>337</w:t>
            </w:r>
            <w:r w:rsidRPr="00C00E52">
              <w:rPr>
                <w:rFonts w:cs="Arial"/>
                <w:b/>
                <w:sz w:val="22"/>
                <w:szCs w:val="22"/>
              </w:rPr>
              <w:fldChar w:fldCharType="end"/>
            </w:r>
          </w:p>
        </w:tc>
        <w:tc>
          <w:tcPr>
            <w:tcW w:w="703" w:type="pct"/>
          </w:tcPr>
          <w:p w14:paraId="06AA7B6E" w14:textId="4D722DC1" w:rsidR="00FE5D11" w:rsidRPr="00E17E1B" w:rsidRDefault="00FE5D11" w:rsidP="00D96185">
            <w:pPr>
              <w:spacing w:before="80" w:after="80"/>
              <w:jc w:val="right"/>
              <w:rPr>
                <w:rFonts w:cs="Arial"/>
                <w:b/>
                <w:sz w:val="22"/>
                <w:szCs w:val="22"/>
              </w:rPr>
            </w:pPr>
          </w:p>
        </w:tc>
      </w:tr>
    </w:tbl>
    <w:p w14:paraId="260DCF5D" w14:textId="77777777" w:rsidR="00FE5D11" w:rsidRDefault="00FE5D11" w:rsidP="00FE5D11">
      <w:pPr>
        <w:rPr>
          <w:rFonts w:cs="Arial"/>
        </w:rPr>
      </w:pPr>
    </w:p>
    <w:p w14:paraId="7AD8E77E" w14:textId="77777777" w:rsidR="00FE5D11" w:rsidRPr="00D212BE" w:rsidRDefault="00FE5D11" w:rsidP="00FE5D11">
      <w:pPr>
        <w:rPr>
          <w:rFonts w:cs="Arial"/>
          <w:sz w:val="22"/>
          <w:szCs w:val="22"/>
        </w:rPr>
      </w:pPr>
      <w:r w:rsidRPr="00D212BE">
        <w:rPr>
          <w:rFonts w:cs="Arial"/>
          <w:sz w:val="22"/>
          <w:szCs w:val="22"/>
        </w:rPr>
        <w:t>*   Racial and religious vilification prohibition commenced 7 June 2001</w:t>
      </w:r>
    </w:p>
    <w:p w14:paraId="69A4FBD5" w14:textId="77777777" w:rsidR="00BA60BF" w:rsidRDefault="00FE5D11" w:rsidP="00FE5D11">
      <w:pPr>
        <w:rPr>
          <w:rFonts w:cs="Arial"/>
          <w:sz w:val="22"/>
          <w:szCs w:val="22"/>
        </w:rPr>
        <w:sectPr w:rsidR="00BA60BF" w:rsidSect="005463FE">
          <w:pgSz w:w="11900" w:h="16840" w:code="9"/>
          <w:pgMar w:top="1134" w:right="1418" w:bottom="1134" w:left="1418" w:header="284" w:footer="680" w:gutter="0"/>
          <w:cols w:space="708"/>
          <w:docGrid w:linePitch="360"/>
        </w:sectPr>
      </w:pPr>
      <w:r w:rsidRPr="00D212BE">
        <w:rPr>
          <w:rFonts w:cs="Arial"/>
          <w:sz w:val="22"/>
          <w:szCs w:val="22"/>
        </w:rPr>
        <w:t>^   Additional grounds of sexuality and gender identity commenced 31 March 2003</w:t>
      </w:r>
    </w:p>
    <w:p w14:paraId="6E35BC44" w14:textId="252BD08A" w:rsidR="00FE5D11" w:rsidRDefault="00D73DF9" w:rsidP="00BA60BF">
      <w:pPr>
        <w:pStyle w:val="Heading1"/>
        <w:spacing w:before="0"/>
      </w:pPr>
      <w:bookmarkStart w:id="48" w:name="_Toc76730726"/>
      <w:r>
        <w:lastRenderedPageBreak/>
        <w:t>Appendix 5</w:t>
      </w:r>
      <w:r w:rsidR="00BA60BF">
        <w:t xml:space="preserve"> – Queensland vilification decisions – where complaint succeeded</w:t>
      </w:r>
      <w:bookmarkEnd w:id="48"/>
    </w:p>
    <w:tbl>
      <w:tblPr>
        <w:tblStyle w:val="TableGrid"/>
        <w:tblW w:w="8755" w:type="dxa"/>
        <w:tblLook w:val="04A0" w:firstRow="1" w:lastRow="0" w:firstColumn="1" w:lastColumn="0" w:noHBand="0" w:noVBand="1"/>
      </w:tblPr>
      <w:tblGrid>
        <w:gridCol w:w="3227"/>
        <w:gridCol w:w="1276"/>
        <w:gridCol w:w="4252"/>
      </w:tblGrid>
      <w:tr w:rsidR="00CD3CD3" w:rsidRPr="00B1304E" w14:paraId="22C132D2" w14:textId="77777777" w:rsidTr="00CD3CD3">
        <w:trPr>
          <w:tblHeader/>
        </w:trPr>
        <w:tc>
          <w:tcPr>
            <w:tcW w:w="3227" w:type="dxa"/>
            <w:shd w:val="clear" w:color="auto" w:fill="D9D9D9" w:themeFill="background1" w:themeFillShade="D9"/>
          </w:tcPr>
          <w:p w14:paraId="2E30FB38" w14:textId="77777777" w:rsidR="00CD3CD3" w:rsidRPr="00B1304E" w:rsidRDefault="00CD3CD3" w:rsidP="00CD3CD3">
            <w:pPr>
              <w:spacing w:before="120" w:after="120"/>
              <w:rPr>
                <w:rFonts w:cs="Arial"/>
                <w:b/>
                <w:sz w:val="22"/>
                <w:szCs w:val="22"/>
              </w:rPr>
            </w:pPr>
            <w:r w:rsidRPr="00B1304E">
              <w:rPr>
                <w:rFonts w:cs="Arial"/>
                <w:b/>
                <w:sz w:val="22"/>
                <w:szCs w:val="22"/>
              </w:rPr>
              <w:t>Case</w:t>
            </w:r>
          </w:p>
        </w:tc>
        <w:tc>
          <w:tcPr>
            <w:tcW w:w="1276" w:type="dxa"/>
            <w:shd w:val="clear" w:color="auto" w:fill="D9D9D9" w:themeFill="background1" w:themeFillShade="D9"/>
          </w:tcPr>
          <w:p w14:paraId="2822659E" w14:textId="77777777" w:rsidR="00CD3CD3" w:rsidRPr="00B1304E" w:rsidRDefault="00CD3CD3" w:rsidP="00CD3CD3">
            <w:pPr>
              <w:spacing w:before="120" w:after="120"/>
              <w:rPr>
                <w:rFonts w:cs="Arial"/>
                <w:b/>
                <w:sz w:val="22"/>
                <w:szCs w:val="22"/>
              </w:rPr>
            </w:pPr>
            <w:r w:rsidRPr="00B1304E">
              <w:rPr>
                <w:rFonts w:cs="Arial"/>
                <w:b/>
                <w:sz w:val="22"/>
                <w:szCs w:val="22"/>
              </w:rPr>
              <w:t>Type</w:t>
            </w:r>
          </w:p>
        </w:tc>
        <w:tc>
          <w:tcPr>
            <w:tcW w:w="4252" w:type="dxa"/>
            <w:shd w:val="clear" w:color="auto" w:fill="D9D9D9" w:themeFill="background1" w:themeFillShade="D9"/>
          </w:tcPr>
          <w:p w14:paraId="4AA122CF" w14:textId="77777777" w:rsidR="00CD3CD3" w:rsidRPr="00B1304E" w:rsidRDefault="00CD3CD3" w:rsidP="00CD3CD3">
            <w:pPr>
              <w:spacing w:before="120" w:after="120"/>
              <w:rPr>
                <w:rFonts w:cs="Arial"/>
                <w:b/>
                <w:sz w:val="22"/>
                <w:szCs w:val="22"/>
              </w:rPr>
            </w:pPr>
            <w:r w:rsidRPr="00B1304E">
              <w:rPr>
                <w:rFonts w:cs="Arial"/>
                <w:b/>
                <w:sz w:val="22"/>
                <w:szCs w:val="22"/>
              </w:rPr>
              <w:t>Conduct</w:t>
            </w:r>
          </w:p>
        </w:tc>
      </w:tr>
      <w:tr w:rsidR="00CD3CD3" w:rsidRPr="00B1304E" w14:paraId="2E21123D" w14:textId="77777777" w:rsidTr="00CD3CD3">
        <w:tc>
          <w:tcPr>
            <w:tcW w:w="3227" w:type="dxa"/>
          </w:tcPr>
          <w:p w14:paraId="68C77109" w14:textId="77777777" w:rsidR="00CD3CD3" w:rsidRPr="00B1304E" w:rsidRDefault="00CD3CD3" w:rsidP="00CD3CD3">
            <w:pPr>
              <w:spacing w:before="120" w:after="120"/>
              <w:rPr>
                <w:rFonts w:cs="Arial"/>
                <w:sz w:val="22"/>
                <w:szCs w:val="22"/>
              </w:rPr>
            </w:pPr>
            <w:r w:rsidRPr="00B1304E">
              <w:rPr>
                <w:rFonts w:cs="Arial"/>
                <w:i/>
                <w:sz w:val="22"/>
                <w:szCs w:val="22"/>
              </w:rPr>
              <w:t>Peters v Constance</w:t>
            </w:r>
            <w:r w:rsidRPr="00B1304E">
              <w:rPr>
                <w:rFonts w:cs="Arial"/>
                <w:i/>
                <w:sz w:val="22"/>
                <w:szCs w:val="22"/>
              </w:rPr>
              <w:br/>
            </w:r>
            <w:r w:rsidRPr="00B1304E">
              <w:rPr>
                <w:rFonts w:cs="Arial"/>
                <w:sz w:val="22"/>
                <w:szCs w:val="22"/>
              </w:rPr>
              <w:t>[2005] QADT 9</w:t>
            </w:r>
          </w:p>
        </w:tc>
        <w:tc>
          <w:tcPr>
            <w:tcW w:w="1276" w:type="dxa"/>
          </w:tcPr>
          <w:p w14:paraId="464862CD" w14:textId="77777777" w:rsidR="00CD3CD3" w:rsidRPr="00B1304E" w:rsidRDefault="00CD3CD3" w:rsidP="00CD3CD3">
            <w:pPr>
              <w:spacing w:before="120" w:after="120"/>
              <w:rPr>
                <w:rFonts w:cs="Arial"/>
                <w:sz w:val="22"/>
                <w:szCs w:val="22"/>
              </w:rPr>
            </w:pPr>
            <w:r w:rsidRPr="00B1304E">
              <w:rPr>
                <w:rFonts w:cs="Arial"/>
                <w:sz w:val="22"/>
                <w:szCs w:val="22"/>
              </w:rPr>
              <w:t>Sexuality</w:t>
            </w:r>
          </w:p>
        </w:tc>
        <w:tc>
          <w:tcPr>
            <w:tcW w:w="4252" w:type="dxa"/>
          </w:tcPr>
          <w:p w14:paraId="620327F7" w14:textId="77777777" w:rsidR="00CD3CD3" w:rsidRPr="00B1304E" w:rsidRDefault="00CD3CD3" w:rsidP="00CD3CD3">
            <w:pPr>
              <w:spacing w:before="120" w:after="120"/>
              <w:rPr>
                <w:rFonts w:cs="Arial"/>
                <w:sz w:val="22"/>
                <w:szCs w:val="22"/>
              </w:rPr>
            </w:pPr>
            <w:r w:rsidRPr="00B1304E">
              <w:rPr>
                <w:rFonts w:cs="Arial"/>
                <w:sz w:val="22"/>
                <w:szCs w:val="22"/>
              </w:rPr>
              <w:t>Verbal abuse outside home – ‘paedophile’, asked if had any weapons</w:t>
            </w:r>
          </w:p>
        </w:tc>
      </w:tr>
      <w:tr w:rsidR="00CD3CD3" w:rsidRPr="00B1304E" w14:paraId="760B927E" w14:textId="77777777" w:rsidTr="00CD3CD3">
        <w:tc>
          <w:tcPr>
            <w:tcW w:w="3227" w:type="dxa"/>
          </w:tcPr>
          <w:p w14:paraId="45C56A07" w14:textId="77777777" w:rsidR="00CD3CD3" w:rsidRPr="00B1304E" w:rsidRDefault="00CD3CD3" w:rsidP="00CD3CD3">
            <w:pPr>
              <w:spacing w:before="120" w:after="120"/>
              <w:rPr>
                <w:rFonts w:cs="Arial"/>
                <w:sz w:val="22"/>
                <w:szCs w:val="22"/>
              </w:rPr>
            </w:pPr>
            <w:r w:rsidRPr="00B1304E">
              <w:rPr>
                <w:rFonts w:cs="Arial"/>
                <w:i/>
                <w:sz w:val="22"/>
                <w:szCs w:val="22"/>
              </w:rPr>
              <w:t>GLBTI v Wilks</w:t>
            </w:r>
            <w:r w:rsidRPr="00B1304E">
              <w:rPr>
                <w:rFonts w:cs="Arial"/>
                <w:i/>
                <w:sz w:val="22"/>
                <w:szCs w:val="22"/>
              </w:rPr>
              <w:br/>
            </w:r>
            <w:r w:rsidRPr="00B1304E">
              <w:rPr>
                <w:rFonts w:cs="Arial"/>
                <w:sz w:val="22"/>
                <w:szCs w:val="22"/>
              </w:rPr>
              <w:t>[2007] QADT 27</w:t>
            </w:r>
          </w:p>
        </w:tc>
        <w:tc>
          <w:tcPr>
            <w:tcW w:w="1276" w:type="dxa"/>
          </w:tcPr>
          <w:p w14:paraId="41816D67" w14:textId="77777777" w:rsidR="00CD3CD3" w:rsidRPr="00B1304E" w:rsidRDefault="00CD3CD3" w:rsidP="00CD3CD3">
            <w:pPr>
              <w:spacing w:before="120" w:after="120"/>
              <w:rPr>
                <w:rFonts w:cs="Arial"/>
                <w:sz w:val="22"/>
                <w:szCs w:val="22"/>
              </w:rPr>
            </w:pPr>
            <w:r w:rsidRPr="00B1304E">
              <w:rPr>
                <w:rFonts w:cs="Arial"/>
                <w:sz w:val="22"/>
                <w:szCs w:val="22"/>
              </w:rPr>
              <w:t>Sexuality</w:t>
            </w:r>
          </w:p>
        </w:tc>
        <w:tc>
          <w:tcPr>
            <w:tcW w:w="4252" w:type="dxa"/>
          </w:tcPr>
          <w:p w14:paraId="1D4EE09C" w14:textId="1A3035B2" w:rsidR="00CD3CD3" w:rsidRPr="00B1304E" w:rsidRDefault="00CD3CD3" w:rsidP="00CD3CD3">
            <w:pPr>
              <w:spacing w:before="120" w:after="120"/>
              <w:rPr>
                <w:rFonts w:cs="Arial"/>
                <w:sz w:val="22"/>
                <w:szCs w:val="22"/>
              </w:rPr>
            </w:pPr>
            <w:r w:rsidRPr="00B1304E">
              <w:rPr>
                <w:rFonts w:cs="Arial"/>
                <w:sz w:val="22"/>
                <w:szCs w:val="22"/>
              </w:rPr>
              <w:t>Publication in local newspaper – ‘</w:t>
            </w:r>
            <w:r w:rsidR="00FD09CE" w:rsidRPr="0019639B">
              <w:rPr>
                <w:rFonts w:cs="Arial"/>
                <w:sz w:val="22"/>
                <w:szCs w:val="22"/>
              </w:rPr>
              <w:t>[redacted]</w:t>
            </w:r>
            <w:r w:rsidRPr="00B1304E">
              <w:rPr>
                <w:rFonts w:cs="Arial"/>
                <w:sz w:val="22"/>
                <w:szCs w:val="22"/>
              </w:rPr>
              <w:t xml:space="preserve"> Beware’ – vigilante threats</w:t>
            </w:r>
          </w:p>
        </w:tc>
      </w:tr>
      <w:tr w:rsidR="00CD3CD3" w:rsidRPr="00B1304E" w14:paraId="2DE48E0E" w14:textId="77777777" w:rsidTr="00CD3CD3">
        <w:tc>
          <w:tcPr>
            <w:tcW w:w="3227" w:type="dxa"/>
          </w:tcPr>
          <w:p w14:paraId="34FFD31A" w14:textId="77777777" w:rsidR="00CD3CD3" w:rsidRPr="00B1304E" w:rsidRDefault="00CD3CD3" w:rsidP="00CD3CD3">
            <w:pPr>
              <w:spacing w:before="120" w:after="120"/>
              <w:rPr>
                <w:rFonts w:cs="Arial"/>
                <w:sz w:val="22"/>
                <w:szCs w:val="22"/>
              </w:rPr>
            </w:pPr>
            <w:r w:rsidRPr="00B1304E">
              <w:rPr>
                <w:rFonts w:cs="Arial"/>
                <w:i/>
                <w:sz w:val="22"/>
                <w:szCs w:val="22"/>
              </w:rPr>
              <w:t>Wilson &amp; McCollum v Lawson</w:t>
            </w:r>
            <w:r w:rsidRPr="00B1304E">
              <w:rPr>
                <w:rFonts w:cs="Arial"/>
                <w:i/>
                <w:sz w:val="22"/>
                <w:szCs w:val="22"/>
              </w:rPr>
              <w:br/>
            </w:r>
            <w:r w:rsidRPr="00B1304E">
              <w:rPr>
                <w:rFonts w:cs="Arial"/>
                <w:sz w:val="22"/>
                <w:szCs w:val="22"/>
              </w:rPr>
              <w:t>[2008] QADT 27</w:t>
            </w:r>
          </w:p>
        </w:tc>
        <w:tc>
          <w:tcPr>
            <w:tcW w:w="1276" w:type="dxa"/>
          </w:tcPr>
          <w:p w14:paraId="55525281" w14:textId="77777777" w:rsidR="00CD3CD3" w:rsidRPr="00B1304E" w:rsidRDefault="00CD3CD3" w:rsidP="00CD3CD3">
            <w:pPr>
              <w:spacing w:before="120" w:after="120"/>
              <w:rPr>
                <w:rFonts w:cs="Arial"/>
                <w:sz w:val="22"/>
                <w:szCs w:val="22"/>
              </w:rPr>
            </w:pPr>
            <w:r w:rsidRPr="00B1304E">
              <w:rPr>
                <w:rFonts w:cs="Arial"/>
                <w:sz w:val="22"/>
                <w:szCs w:val="22"/>
              </w:rPr>
              <w:t>Sexuality</w:t>
            </w:r>
          </w:p>
        </w:tc>
        <w:tc>
          <w:tcPr>
            <w:tcW w:w="4252" w:type="dxa"/>
          </w:tcPr>
          <w:p w14:paraId="5233F255" w14:textId="29437421" w:rsidR="00CD3CD3" w:rsidRPr="00B1304E" w:rsidRDefault="00CD3CD3" w:rsidP="00CD3CD3">
            <w:pPr>
              <w:spacing w:before="120" w:after="120"/>
              <w:rPr>
                <w:rFonts w:cs="Arial"/>
                <w:sz w:val="22"/>
                <w:szCs w:val="22"/>
              </w:rPr>
            </w:pPr>
            <w:r w:rsidRPr="00B1304E">
              <w:rPr>
                <w:rFonts w:cs="Arial"/>
                <w:sz w:val="22"/>
                <w:szCs w:val="22"/>
              </w:rPr>
              <w:t xml:space="preserve">Verbal abuse by neighbours in </w:t>
            </w:r>
            <w:r w:rsidR="00FD09CE">
              <w:rPr>
                <w:rFonts w:cs="Arial"/>
                <w:sz w:val="22"/>
                <w:szCs w:val="22"/>
              </w:rPr>
              <w:t>front of others, ‘</w:t>
            </w:r>
            <w:r w:rsidR="00FD09CE" w:rsidRPr="0019639B">
              <w:rPr>
                <w:rFonts w:cs="Arial"/>
                <w:sz w:val="22"/>
                <w:szCs w:val="22"/>
              </w:rPr>
              <w:t>[redacted]</w:t>
            </w:r>
            <w:r w:rsidRPr="00B1304E">
              <w:rPr>
                <w:rFonts w:cs="Arial"/>
                <w:sz w:val="22"/>
                <w:szCs w:val="22"/>
              </w:rPr>
              <w:t>’, ‘</w:t>
            </w:r>
            <w:r w:rsidR="00FD09CE" w:rsidRPr="0019639B">
              <w:rPr>
                <w:rFonts w:cs="Arial"/>
                <w:sz w:val="22"/>
                <w:szCs w:val="22"/>
              </w:rPr>
              <w:t>[redacted]</w:t>
            </w:r>
            <w:r w:rsidRPr="00B1304E">
              <w:rPr>
                <w:rFonts w:cs="Arial"/>
                <w:sz w:val="22"/>
                <w:szCs w:val="22"/>
              </w:rPr>
              <w:t>’, ‘princess’</w:t>
            </w:r>
          </w:p>
        </w:tc>
      </w:tr>
      <w:tr w:rsidR="00CD3CD3" w:rsidRPr="00B1304E" w14:paraId="56812C99" w14:textId="77777777" w:rsidTr="00CD3CD3">
        <w:tc>
          <w:tcPr>
            <w:tcW w:w="3227" w:type="dxa"/>
          </w:tcPr>
          <w:p w14:paraId="342A8D7F" w14:textId="77777777" w:rsidR="00CD3CD3" w:rsidRPr="00B1304E" w:rsidRDefault="00CD3CD3" w:rsidP="00CD3CD3">
            <w:pPr>
              <w:spacing w:before="120" w:after="120"/>
              <w:rPr>
                <w:rFonts w:cs="Arial"/>
                <w:sz w:val="22"/>
                <w:szCs w:val="22"/>
              </w:rPr>
            </w:pPr>
            <w:r w:rsidRPr="00B1304E">
              <w:rPr>
                <w:rFonts w:cs="Arial"/>
                <w:i/>
                <w:sz w:val="22"/>
                <w:szCs w:val="22"/>
              </w:rPr>
              <w:t>Casey v Flanagan</w:t>
            </w:r>
            <w:r w:rsidRPr="00B1304E">
              <w:rPr>
                <w:rFonts w:cs="Arial"/>
                <w:i/>
                <w:sz w:val="22"/>
                <w:szCs w:val="22"/>
              </w:rPr>
              <w:br/>
            </w:r>
            <w:r w:rsidRPr="00B1304E">
              <w:rPr>
                <w:rFonts w:cs="Arial"/>
                <w:sz w:val="22"/>
                <w:szCs w:val="22"/>
              </w:rPr>
              <w:t xml:space="preserve">[2011] QCAT 320 </w:t>
            </w:r>
          </w:p>
        </w:tc>
        <w:tc>
          <w:tcPr>
            <w:tcW w:w="1276" w:type="dxa"/>
          </w:tcPr>
          <w:p w14:paraId="5F8315E1" w14:textId="77777777" w:rsidR="00CD3CD3" w:rsidRPr="00B1304E" w:rsidRDefault="00CD3CD3" w:rsidP="00CD3CD3">
            <w:pPr>
              <w:spacing w:before="120" w:after="120"/>
              <w:rPr>
                <w:rFonts w:cs="Arial"/>
                <w:sz w:val="22"/>
                <w:szCs w:val="22"/>
              </w:rPr>
            </w:pPr>
            <w:r w:rsidRPr="00B1304E">
              <w:rPr>
                <w:rFonts w:cs="Arial"/>
                <w:sz w:val="22"/>
                <w:szCs w:val="22"/>
              </w:rPr>
              <w:t>Race</w:t>
            </w:r>
          </w:p>
        </w:tc>
        <w:tc>
          <w:tcPr>
            <w:tcW w:w="4252" w:type="dxa"/>
          </w:tcPr>
          <w:p w14:paraId="42EB4349" w14:textId="7C113B04" w:rsidR="00CD3CD3" w:rsidRPr="00B1304E" w:rsidRDefault="00CD3CD3" w:rsidP="00CD3CD3">
            <w:pPr>
              <w:spacing w:before="120" w:after="120"/>
              <w:rPr>
                <w:rFonts w:cs="Arial"/>
                <w:sz w:val="22"/>
                <w:szCs w:val="22"/>
              </w:rPr>
            </w:pPr>
            <w:r w:rsidRPr="00B1304E">
              <w:rPr>
                <w:rFonts w:cs="Arial"/>
                <w:sz w:val="22"/>
                <w:szCs w:val="22"/>
              </w:rPr>
              <w:t>Abuse over CB radio – ‘</w:t>
            </w:r>
            <w:r w:rsidR="00FD09CE" w:rsidRPr="0019639B">
              <w:rPr>
                <w:rFonts w:cs="Arial"/>
                <w:sz w:val="22"/>
                <w:szCs w:val="22"/>
              </w:rPr>
              <w:t>[redacted]</w:t>
            </w:r>
            <w:r w:rsidRPr="00B1304E">
              <w:rPr>
                <w:rFonts w:cs="Arial"/>
                <w:sz w:val="22"/>
                <w:szCs w:val="22"/>
              </w:rPr>
              <w:t xml:space="preserve">’, ‘import’, dago’, ‘give her a much </w:t>
            </w:r>
            <w:r w:rsidR="00FD09CE" w:rsidRPr="0019639B">
              <w:rPr>
                <w:rFonts w:cs="Arial"/>
                <w:sz w:val="22"/>
                <w:szCs w:val="22"/>
              </w:rPr>
              <w:t>[redacted]</w:t>
            </w:r>
            <w:r w:rsidR="00FD09CE" w:rsidRPr="0019639B">
              <w:rPr>
                <w:sz w:val="22"/>
                <w:szCs w:val="22"/>
              </w:rPr>
              <w:t xml:space="preserve"> </w:t>
            </w:r>
            <w:r w:rsidRPr="00B1304E">
              <w:rPr>
                <w:rFonts w:cs="Arial"/>
                <w:sz w:val="22"/>
                <w:szCs w:val="22"/>
              </w:rPr>
              <w:t>as you like’</w:t>
            </w:r>
          </w:p>
        </w:tc>
      </w:tr>
      <w:tr w:rsidR="00CD3CD3" w:rsidRPr="00B1304E" w14:paraId="0FEAC029" w14:textId="77777777" w:rsidTr="00CD3CD3">
        <w:tc>
          <w:tcPr>
            <w:tcW w:w="3227" w:type="dxa"/>
          </w:tcPr>
          <w:p w14:paraId="3498C4B2" w14:textId="77777777" w:rsidR="00CD3CD3" w:rsidRPr="00B1304E" w:rsidRDefault="00CD3CD3" w:rsidP="00CD3CD3">
            <w:pPr>
              <w:spacing w:before="120" w:after="120"/>
              <w:rPr>
                <w:rFonts w:cs="Arial"/>
                <w:sz w:val="22"/>
                <w:szCs w:val="22"/>
              </w:rPr>
            </w:pPr>
            <w:r w:rsidRPr="00B1304E">
              <w:rPr>
                <w:rFonts w:cs="Arial"/>
                <w:i/>
                <w:sz w:val="22"/>
                <w:szCs w:val="22"/>
              </w:rPr>
              <w:t>Brosnahan v Ronoff</w:t>
            </w:r>
            <w:r w:rsidRPr="00B1304E">
              <w:rPr>
                <w:rFonts w:cs="Arial"/>
                <w:i/>
                <w:sz w:val="22"/>
                <w:szCs w:val="22"/>
              </w:rPr>
              <w:br/>
            </w:r>
            <w:r w:rsidRPr="00B1304E">
              <w:rPr>
                <w:rFonts w:cs="Arial"/>
                <w:sz w:val="22"/>
                <w:szCs w:val="22"/>
              </w:rPr>
              <w:t>[2011] QCAT 439</w:t>
            </w:r>
          </w:p>
        </w:tc>
        <w:tc>
          <w:tcPr>
            <w:tcW w:w="1276" w:type="dxa"/>
          </w:tcPr>
          <w:p w14:paraId="63BEB5B5" w14:textId="77777777" w:rsidR="00CD3CD3" w:rsidRPr="00B1304E" w:rsidRDefault="00CD3CD3" w:rsidP="00CD3CD3">
            <w:pPr>
              <w:spacing w:before="120" w:after="120"/>
              <w:rPr>
                <w:rFonts w:cs="Arial"/>
                <w:sz w:val="22"/>
                <w:szCs w:val="22"/>
              </w:rPr>
            </w:pPr>
            <w:r w:rsidRPr="00B1304E">
              <w:rPr>
                <w:rFonts w:cs="Arial"/>
                <w:sz w:val="22"/>
                <w:szCs w:val="22"/>
              </w:rPr>
              <w:t>Gender Identity</w:t>
            </w:r>
          </w:p>
        </w:tc>
        <w:tc>
          <w:tcPr>
            <w:tcW w:w="4252" w:type="dxa"/>
          </w:tcPr>
          <w:p w14:paraId="264DC0D0" w14:textId="4244E720" w:rsidR="00CD3CD3" w:rsidRPr="00B1304E" w:rsidRDefault="00CD3CD3" w:rsidP="00CD3CD3">
            <w:pPr>
              <w:spacing w:before="120" w:after="120"/>
              <w:rPr>
                <w:rFonts w:cs="Arial"/>
                <w:sz w:val="22"/>
                <w:szCs w:val="22"/>
              </w:rPr>
            </w:pPr>
            <w:r w:rsidRPr="00B1304E">
              <w:rPr>
                <w:rFonts w:cs="Arial"/>
                <w:sz w:val="22"/>
                <w:szCs w:val="22"/>
              </w:rPr>
              <w:t>Verbal abuse outside home – ‘</w:t>
            </w:r>
            <w:r w:rsidR="00FD09CE" w:rsidRPr="0019639B">
              <w:rPr>
                <w:rFonts w:cs="Arial"/>
                <w:sz w:val="22"/>
                <w:szCs w:val="22"/>
              </w:rPr>
              <w:t>[redacted]</w:t>
            </w:r>
            <w:r w:rsidR="00FD09CE" w:rsidRPr="0019639B">
              <w:rPr>
                <w:sz w:val="22"/>
                <w:szCs w:val="22"/>
              </w:rPr>
              <w:t xml:space="preserve"> </w:t>
            </w:r>
            <w:r w:rsidRPr="00B1304E">
              <w:rPr>
                <w:rFonts w:cs="Arial"/>
                <w:sz w:val="22"/>
                <w:szCs w:val="22"/>
              </w:rPr>
              <w:t xml:space="preserve"> in a jar’, with threats of violence</w:t>
            </w:r>
          </w:p>
        </w:tc>
      </w:tr>
      <w:tr w:rsidR="00CD3CD3" w:rsidRPr="00B1304E" w14:paraId="4CD104F5" w14:textId="77777777" w:rsidTr="00CD3CD3">
        <w:tc>
          <w:tcPr>
            <w:tcW w:w="3227" w:type="dxa"/>
          </w:tcPr>
          <w:p w14:paraId="3BDA9B25" w14:textId="77777777" w:rsidR="00CD3CD3" w:rsidRPr="00B1304E" w:rsidRDefault="00CD3CD3" w:rsidP="00CD3CD3">
            <w:pPr>
              <w:spacing w:before="120" w:after="120"/>
              <w:rPr>
                <w:rFonts w:cs="Arial"/>
                <w:sz w:val="22"/>
                <w:szCs w:val="22"/>
              </w:rPr>
            </w:pPr>
            <w:r w:rsidRPr="00B1304E">
              <w:rPr>
                <w:rFonts w:cs="Arial"/>
                <w:i/>
                <w:sz w:val="22"/>
                <w:szCs w:val="22"/>
              </w:rPr>
              <w:t>Casey v Blume</w:t>
            </w:r>
            <w:r w:rsidRPr="00B1304E">
              <w:rPr>
                <w:rFonts w:cs="Arial"/>
                <w:i/>
                <w:sz w:val="22"/>
                <w:szCs w:val="22"/>
              </w:rPr>
              <w:br/>
            </w:r>
            <w:r w:rsidRPr="00B1304E">
              <w:rPr>
                <w:rFonts w:cs="Arial"/>
                <w:sz w:val="22"/>
                <w:szCs w:val="22"/>
              </w:rPr>
              <w:t>[2012] QCAT 627</w:t>
            </w:r>
          </w:p>
        </w:tc>
        <w:tc>
          <w:tcPr>
            <w:tcW w:w="1276" w:type="dxa"/>
          </w:tcPr>
          <w:p w14:paraId="4C7EA166" w14:textId="77777777" w:rsidR="00CD3CD3" w:rsidRPr="00B1304E" w:rsidRDefault="00CD3CD3" w:rsidP="00CD3CD3">
            <w:pPr>
              <w:spacing w:before="120" w:after="120"/>
              <w:rPr>
                <w:rFonts w:cs="Arial"/>
                <w:sz w:val="22"/>
                <w:szCs w:val="22"/>
              </w:rPr>
            </w:pPr>
            <w:r w:rsidRPr="00B1304E">
              <w:rPr>
                <w:rFonts w:cs="Arial"/>
                <w:sz w:val="22"/>
                <w:szCs w:val="22"/>
              </w:rPr>
              <w:t>Race</w:t>
            </w:r>
          </w:p>
        </w:tc>
        <w:tc>
          <w:tcPr>
            <w:tcW w:w="4252" w:type="dxa"/>
          </w:tcPr>
          <w:p w14:paraId="3102A06B" w14:textId="0D9EAAB1" w:rsidR="00CD3CD3" w:rsidRPr="00B1304E" w:rsidRDefault="00CD3CD3" w:rsidP="00FD09CE">
            <w:pPr>
              <w:spacing w:before="120" w:after="120"/>
              <w:rPr>
                <w:rFonts w:cs="Arial"/>
                <w:sz w:val="22"/>
                <w:szCs w:val="22"/>
              </w:rPr>
            </w:pPr>
            <w:r w:rsidRPr="00B1304E">
              <w:rPr>
                <w:rFonts w:cs="Arial"/>
                <w:sz w:val="22"/>
                <w:szCs w:val="22"/>
              </w:rPr>
              <w:t>Verbal abuse over CB radio – ‘</w:t>
            </w:r>
            <w:r w:rsidR="00FD09CE" w:rsidRPr="0019639B">
              <w:rPr>
                <w:rFonts w:cs="Arial"/>
                <w:sz w:val="22"/>
                <w:szCs w:val="22"/>
              </w:rPr>
              <w:t>[redacted]</w:t>
            </w:r>
            <w:r w:rsidR="00FD09CE">
              <w:rPr>
                <w:rFonts w:cs="Arial"/>
                <w:sz w:val="22"/>
                <w:szCs w:val="22"/>
              </w:rPr>
              <w:t>’, ‘</w:t>
            </w:r>
            <w:r w:rsidR="00FD09CE" w:rsidRPr="0019639B">
              <w:rPr>
                <w:rFonts w:cs="Arial"/>
                <w:sz w:val="22"/>
                <w:szCs w:val="22"/>
              </w:rPr>
              <w:t>[redacted]</w:t>
            </w:r>
            <w:r w:rsidRPr="00B1304E">
              <w:rPr>
                <w:rFonts w:cs="Arial"/>
                <w:sz w:val="22"/>
                <w:szCs w:val="22"/>
              </w:rPr>
              <w:t>’, ‘dago’, ‘gypsy’ – place to go for sex</w:t>
            </w:r>
          </w:p>
        </w:tc>
      </w:tr>
      <w:tr w:rsidR="00CD3CD3" w:rsidRPr="00B1304E" w14:paraId="77A7FC80" w14:textId="77777777" w:rsidTr="00CD3CD3">
        <w:tc>
          <w:tcPr>
            <w:tcW w:w="3227" w:type="dxa"/>
          </w:tcPr>
          <w:p w14:paraId="09B80DEA" w14:textId="77777777" w:rsidR="00CD3CD3" w:rsidRPr="003616ED" w:rsidRDefault="00CD3CD3" w:rsidP="00CD3CD3">
            <w:pPr>
              <w:spacing w:before="120" w:after="120"/>
              <w:rPr>
                <w:rFonts w:cs="Arial"/>
                <w:sz w:val="22"/>
                <w:szCs w:val="22"/>
              </w:rPr>
            </w:pPr>
            <w:r>
              <w:rPr>
                <w:rFonts w:cs="Arial"/>
                <w:i/>
                <w:sz w:val="22"/>
                <w:szCs w:val="22"/>
              </w:rPr>
              <w:t>Singh v Shaftson Training One Pty Ltd &amp; Anor</w:t>
            </w:r>
            <w:r>
              <w:rPr>
                <w:rFonts w:cs="Arial"/>
                <w:i/>
                <w:sz w:val="22"/>
                <w:szCs w:val="22"/>
              </w:rPr>
              <w:br/>
            </w:r>
            <w:r>
              <w:rPr>
                <w:rFonts w:cs="Arial"/>
                <w:sz w:val="22"/>
                <w:szCs w:val="22"/>
              </w:rPr>
              <w:t>[2013] QCAT 8</w:t>
            </w:r>
          </w:p>
        </w:tc>
        <w:tc>
          <w:tcPr>
            <w:tcW w:w="1276" w:type="dxa"/>
          </w:tcPr>
          <w:p w14:paraId="74FA747D" w14:textId="77777777" w:rsidR="00CD3CD3" w:rsidRDefault="00CD3CD3" w:rsidP="00CD3CD3">
            <w:pPr>
              <w:spacing w:before="120" w:after="120"/>
              <w:rPr>
                <w:rFonts w:cs="Arial"/>
                <w:sz w:val="22"/>
                <w:szCs w:val="22"/>
              </w:rPr>
            </w:pPr>
            <w:r>
              <w:rPr>
                <w:rFonts w:cs="Arial"/>
                <w:sz w:val="22"/>
                <w:szCs w:val="22"/>
              </w:rPr>
              <w:t>Race</w:t>
            </w:r>
          </w:p>
        </w:tc>
        <w:tc>
          <w:tcPr>
            <w:tcW w:w="4252" w:type="dxa"/>
          </w:tcPr>
          <w:p w14:paraId="4753DF3D" w14:textId="549A9FF9" w:rsidR="00CD3CD3" w:rsidRDefault="00CD3CD3" w:rsidP="00FD09CE">
            <w:pPr>
              <w:spacing w:before="120" w:after="120"/>
              <w:rPr>
                <w:rFonts w:cs="Arial"/>
                <w:sz w:val="22"/>
                <w:szCs w:val="22"/>
              </w:rPr>
            </w:pPr>
            <w:r>
              <w:rPr>
                <w:rFonts w:cs="Arial"/>
                <w:sz w:val="22"/>
                <w:szCs w:val="22"/>
              </w:rPr>
              <w:t>Stu</w:t>
            </w:r>
            <w:r w:rsidR="00FD09CE">
              <w:rPr>
                <w:rFonts w:cs="Arial"/>
                <w:sz w:val="22"/>
                <w:szCs w:val="22"/>
              </w:rPr>
              <w:t>dent at hospitality college – ‘</w:t>
            </w:r>
            <w:r w:rsidR="00FD09CE" w:rsidRPr="0019639B">
              <w:rPr>
                <w:rFonts w:cs="Arial"/>
                <w:sz w:val="22"/>
                <w:szCs w:val="22"/>
              </w:rPr>
              <w:t>[redacted]</w:t>
            </w:r>
            <w:r>
              <w:rPr>
                <w:rFonts w:cs="Arial"/>
                <w:sz w:val="22"/>
                <w:szCs w:val="22"/>
              </w:rPr>
              <w:t xml:space="preserve"> Indian’ – ‘go back to your country’ – ‘Rudi’ (an insult in Punjabi)</w:t>
            </w:r>
          </w:p>
        </w:tc>
      </w:tr>
      <w:tr w:rsidR="00CD3CD3" w:rsidRPr="00B1304E" w14:paraId="57BE9057" w14:textId="77777777" w:rsidTr="00CD3CD3">
        <w:tc>
          <w:tcPr>
            <w:tcW w:w="3227" w:type="dxa"/>
          </w:tcPr>
          <w:p w14:paraId="028EB66F" w14:textId="6AB08A44" w:rsidR="00CD3CD3" w:rsidRPr="00EE542F" w:rsidRDefault="005F11F7" w:rsidP="00CD3CD3">
            <w:pPr>
              <w:spacing w:before="120" w:after="120"/>
              <w:rPr>
                <w:rFonts w:cs="Arial"/>
                <w:sz w:val="22"/>
                <w:szCs w:val="22"/>
              </w:rPr>
            </w:pPr>
            <w:r>
              <w:rPr>
                <w:rFonts w:cs="Arial"/>
                <w:i/>
                <w:sz w:val="22"/>
                <w:szCs w:val="22"/>
              </w:rPr>
              <w:t>*</w:t>
            </w:r>
            <w:r w:rsidR="00CD3CD3">
              <w:rPr>
                <w:rFonts w:cs="Arial"/>
                <w:i/>
                <w:sz w:val="22"/>
                <w:szCs w:val="22"/>
              </w:rPr>
              <w:t>Menzies v Owen</w:t>
            </w:r>
            <w:r w:rsidR="00CD3CD3">
              <w:rPr>
                <w:rFonts w:cs="Arial"/>
                <w:i/>
                <w:sz w:val="22"/>
                <w:szCs w:val="22"/>
              </w:rPr>
              <w:br/>
            </w:r>
            <w:r w:rsidR="00CD3CD3">
              <w:rPr>
                <w:rFonts w:cs="Arial"/>
                <w:sz w:val="22"/>
                <w:szCs w:val="22"/>
              </w:rPr>
              <w:t>[2014] QCAT 661</w:t>
            </w:r>
          </w:p>
        </w:tc>
        <w:tc>
          <w:tcPr>
            <w:tcW w:w="1276" w:type="dxa"/>
          </w:tcPr>
          <w:p w14:paraId="37F98496" w14:textId="77777777" w:rsidR="00CD3CD3" w:rsidRPr="00B1304E" w:rsidRDefault="00CD3CD3" w:rsidP="00CD3CD3">
            <w:pPr>
              <w:spacing w:before="120" w:after="120"/>
              <w:rPr>
                <w:rFonts w:cs="Arial"/>
                <w:sz w:val="22"/>
                <w:szCs w:val="22"/>
              </w:rPr>
            </w:pPr>
            <w:r>
              <w:rPr>
                <w:rFonts w:cs="Arial"/>
                <w:sz w:val="22"/>
                <w:szCs w:val="22"/>
              </w:rPr>
              <w:t>Sexuality</w:t>
            </w:r>
          </w:p>
        </w:tc>
        <w:tc>
          <w:tcPr>
            <w:tcW w:w="4252" w:type="dxa"/>
          </w:tcPr>
          <w:p w14:paraId="7A60342D" w14:textId="3DB8900C" w:rsidR="00CD3CD3" w:rsidRPr="00B1304E" w:rsidRDefault="00CD3CD3" w:rsidP="00CD3CD3">
            <w:pPr>
              <w:spacing w:before="120" w:after="120"/>
              <w:rPr>
                <w:rFonts w:cs="Arial"/>
                <w:sz w:val="22"/>
                <w:szCs w:val="22"/>
              </w:rPr>
            </w:pPr>
            <w:r>
              <w:rPr>
                <w:rFonts w:cs="Arial"/>
                <w:sz w:val="22"/>
                <w:szCs w:val="22"/>
              </w:rPr>
              <w:t xml:space="preserve">Report to local council, newsletter &amp; letter published on website – </w:t>
            </w:r>
            <w:r w:rsidR="00FD09CE" w:rsidRPr="0019639B">
              <w:rPr>
                <w:rFonts w:cs="Arial"/>
                <w:sz w:val="22"/>
                <w:szCs w:val="22"/>
              </w:rPr>
              <w:t>[redacted]</w:t>
            </w:r>
            <w:r w:rsidR="00FD09CE" w:rsidRPr="0019639B">
              <w:rPr>
                <w:sz w:val="22"/>
                <w:szCs w:val="22"/>
              </w:rPr>
              <w:t xml:space="preserve"> </w:t>
            </w:r>
            <w:r>
              <w:rPr>
                <w:rFonts w:cs="Arial"/>
                <w:sz w:val="22"/>
                <w:szCs w:val="22"/>
              </w:rPr>
              <w:t xml:space="preserve"> and severely derogative</w:t>
            </w:r>
          </w:p>
        </w:tc>
      </w:tr>
      <w:tr w:rsidR="00CD3CD3" w:rsidRPr="00B1304E" w14:paraId="7BD15024" w14:textId="77777777" w:rsidTr="00CD3CD3">
        <w:tc>
          <w:tcPr>
            <w:tcW w:w="3227" w:type="dxa"/>
          </w:tcPr>
          <w:p w14:paraId="44B44C52" w14:textId="77777777" w:rsidR="00CD3CD3" w:rsidRPr="00EE542F" w:rsidRDefault="00CD3CD3" w:rsidP="00CD3CD3">
            <w:pPr>
              <w:spacing w:before="120" w:after="120"/>
              <w:rPr>
                <w:rFonts w:cs="Arial"/>
                <w:sz w:val="22"/>
                <w:szCs w:val="22"/>
              </w:rPr>
            </w:pPr>
            <w:r>
              <w:rPr>
                <w:rFonts w:cs="Arial"/>
                <w:i/>
                <w:sz w:val="22"/>
                <w:szCs w:val="22"/>
              </w:rPr>
              <w:t>Donovan v Tobin</w:t>
            </w:r>
            <w:r>
              <w:rPr>
                <w:rFonts w:cs="Arial"/>
                <w:i/>
                <w:sz w:val="22"/>
                <w:szCs w:val="22"/>
              </w:rPr>
              <w:br/>
            </w:r>
            <w:r>
              <w:rPr>
                <w:rFonts w:cs="Arial"/>
                <w:sz w:val="22"/>
                <w:szCs w:val="22"/>
              </w:rPr>
              <w:t>[2015] QCAT 332</w:t>
            </w:r>
          </w:p>
        </w:tc>
        <w:tc>
          <w:tcPr>
            <w:tcW w:w="1276" w:type="dxa"/>
          </w:tcPr>
          <w:p w14:paraId="53E0C326" w14:textId="77777777" w:rsidR="00CD3CD3" w:rsidRDefault="00CD3CD3" w:rsidP="00CD3CD3">
            <w:pPr>
              <w:spacing w:before="120" w:after="120"/>
              <w:rPr>
                <w:rFonts w:cs="Arial"/>
                <w:sz w:val="22"/>
                <w:szCs w:val="22"/>
              </w:rPr>
            </w:pPr>
            <w:r>
              <w:rPr>
                <w:rFonts w:cs="Arial"/>
                <w:sz w:val="22"/>
                <w:szCs w:val="22"/>
              </w:rPr>
              <w:t>Race</w:t>
            </w:r>
          </w:p>
        </w:tc>
        <w:tc>
          <w:tcPr>
            <w:tcW w:w="4252" w:type="dxa"/>
          </w:tcPr>
          <w:p w14:paraId="70AB6F14" w14:textId="4A74A803" w:rsidR="00CD3CD3" w:rsidRDefault="00CD3CD3" w:rsidP="00FD09CE">
            <w:pPr>
              <w:spacing w:before="120" w:after="120"/>
              <w:rPr>
                <w:rFonts w:cs="Arial"/>
                <w:sz w:val="22"/>
                <w:szCs w:val="22"/>
              </w:rPr>
            </w:pPr>
            <w:r>
              <w:rPr>
                <w:rFonts w:cs="Arial"/>
                <w:sz w:val="22"/>
                <w:szCs w:val="22"/>
              </w:rPr>
              <w:t xml:space="preserve">Neighbours – verbal abuse - </w:t>
            </w:r>
            <w:r w:rsidRPr="00A97724">
              <w:rPr>
                <w:rFonts w:cs="Arial"/>
                <w:sz w:val="22"/>
                <w:szCs w:val="22"/>
              </w:rPr>
              <w:t xml:space="preserve">‘you in-bred Muslims’, ‘go back to your cage you </w:t>
            </w:r>
            <w:r w:rsidR="00FD09CE" w:rsidRPr="0019639B">
              <w:rPr>
                <w:rFonts w:cs="Arial"/>
                <w:sz w:val="22"/>
                <w:szCs w:val="22"/>
              </w:rPr>
              <w:t>[redacted]</w:t>
            </w:r>
            <w:r w:rsidR="00FD09CE" w:rsidRPr="0019639B">
              <w:rPr>
                <w:sz w:val="22"/>
                <w:szCs w:val="22"/>
              </w:rPr>
              <w:t xml:space="preserve"> </w:t>
            </w:r>
            <w:r w:rsidRPr="00A97724">
              <w:rPr>
                <w:rFonts w:cs="Arial"/>
                <w:sz w:val="22"/>
                <w:szCs w:val="22"/>
              </w:rPr>
              <w:t>monkeys’ etc.</w:t>
            </w:r>
          </w:p>
        </w:tc>
      </w:tr>
    </w:tbl>
    <w:p w14:paraId="2C63AD19" w14:textId="3AE6DBC2" w:rsidR="00BA60BF" w:rsidRDefault="00BA60BF" w:rsidP="00FE5D11">
      <w:pPr>
        <w:rPr>
          <w:rFonts w:cs="Arial"/>
          <w:sz w:val="22"/>
          <w:szCs w:val="22"/>
        </w:rPr>
      </w:pPr>
    </w:p>
    <w:p w14:paraId="45897565" w14:textId="3E13D7CF" w:rsidR="00BA60BF" w:rsidRDefault="00BA60BF" w:rsidP="00FE5D11">
      <w:pPr>
        <w:rPr>
          <w:rFonts w:cs="Arial"/>
          <w:sz w:val="22"/>
          <w:szCs w:val="22"/>
        </w:rPr>
      </w:pPr>
    </w:p>
    <w:p w14:paraId="74DB38C6" w14:textId="77777777" w:rsidR="00BA60BF" w:rsidRDefault="00BA60BF" w:rsidP="00FE5D11">
      <w:pPr>
        <w:rPr>
          <w:rFonts w:cs="Arial"/>
          <w:sz w:val="22"/>
          <w:szCs w:val="22"/>
        </w:rPr>
        <w:sectPr w:rsidR="00BA60BF" w:rsidSect="005463FE">
          <w:pgSz w:w="11900" w:h="16840" w:code="9"/>
          <w:pgMar w:top="1134" w:right="1418" w:bottom="1134" w:left="1418" w:header="709" w:footer="680" w:gutter="0"/>
          <w:cols w:space="708"/>
          <w:docGrid w:linePitch="360"/>
        </w:sectPr>
      </w:pPr>
    </w:p>
    <w:p w14:paraId="1A4AED14" w14:textId="70BF888A" w:rsidR="00BA60BF" w:rsidRDefault="00D73DF9" w:rsidP="00BA60BF">
      <w:pPr>
        <w:pStyle w:val="Heading1"/>
        <w:spacing w:before="0"/>
      </w:pPr>
      <w:bookmarkStart w:id="49" w:name="_Toc76730727"/>
      <w:r>
        <w:lastRenderedPageBreak/>
        <w:t>Appendix 6</w:t>
      </w:r>
      <w:r w:rsidR="00BA60BF">
        <w:t xml:space="preserve"> – Queensland vilification decisions – where complaint dismissed</w:t>
      </w:r>
      <w:bookmarkEnd w:id="49"/>
    </w:p>
    <w:tbl>
      <w:tblPr>
        <w:tblStyle w:val="TableGrid"/>
        <w:tblW w:w="9639" w:type="dxa"/>
        <w:tblInd w:w="-147" w:type="dxa"/>
        <w:tblLook w:val="04A0" w:firstRow="1" w:lastRow="0" w:firstColumn="1" w:lastColumn="0" w:noHBand="0" w:noVBand="1"/>
      </w:tblPr>
      <w:tblGrid>
        <w:gridCol w:w="2693"/>
        <w:gridCol w:w="1135"/>
        <w:gridCol w:w="5811"/>
      </w:tblGrid>
      <w:tr w:rsidR="00931EAF" w:rsidRPr="00B1304E" w14:paraId="76EAF724" w14:textId="77777777" w:rsidTr="00CD3CD3">
        <w:trPr>
          <w:tblHeader/>
        </w:trPr>
        <w:tc>
          <w:tcPr>
            <w:tcW w:w="2693" w:type="dxa"/>
            <w:shd w:val="clear" w:color="auto" w:fill="D9D9D9" w:themeFill="background1" w:themeFillShade="D9"/>
          </w:tcPr>
          <w:p w14:paraId="7E5D4505" w14:textId="77777777" w:rsidR="00931EAF" w:rsidRPr="00B1304E" w:rsidRDefault="00931EAF" w:rsidP="00931EAF">
            <w:pPr>
              <w:spacing w:before="120" w:after="120"/>
              <w:ind w:left="-502" w:firstLine="502"/>
              <w:rPr>
                <w:rFonts w:cs="Arial"/>
                <w:b/>
                <w:sz w:val="22"/>
                <w:szCs w:val="22"/>
              </w:rPr>
            </w:pPr>
            <w:r w:rsidRPr="00B1304E">
              <w:rPr>
                <w:rFonts w:cs="Arial"/>
                <w:b/>
                <w:sz w:val="22"/>
                <w:szCs w:val="22"/>
              </w:rPr>
              <w:t>Case</w:t>
            </w:r>
          </w:p>
        </w:tc>
        <w:tc>
          <w:tcPr>
            <w:tcW w:w="1135" w:type="dxa"/>
            <w:shd w:val="clear" w:color="auto" w:fill="D9D9D9" w:themeFill="background1" w:themeFillShade="D9"/>
          </w:tcPr>
          <w:p w14:paraId="5B2DDBA8" w14:textId="77777777" w:rsidR="00931EAF" w:rsidRPr="00B1304E" w:rsidRDefault="00931EAF" w:rsidP="00CD3CD3">
            <w:pPr>
              <w:spacing w:before="120" w:after="120"/>
              <w:rPr>
                <w:rFonts w:cs="Arial"/>
                <w:b/>
                <w:sz w:val="22"/>
                <w:szCs w:val="22"/>
              </w:rPr>
            </w:pPr>
            <w:r w:rsidRPr="00B1304E">
              <w:rPr>
                <w:rFonts w:cs="Arial"/>
                <w:b/>
                <w:sz w:val="22"/>
                <w:szCs w:val="22"/>
              </w:rPr>
              <w:t>Type</w:t>
            </w:r>
          </w:p>
        </w:tc>
        <w:tc>
          <w:tcPr>
            <w:tcW w:w="5811" w:type="dxa"/>
            <w:shd w:val="clear" w:color="auto" w:fill="D9D9D9" w:themeFill="background1" w:themeFillShade="D9"/>
          </w:tcPr>
          <w:p w14:paraId="0950AC34" w14:textId="77777777" w:rsidR="00931EAF" w:rsidRPr="00B1304E" w:rsidRDefault="00931EAF" w:rsidP="00CD3CD3">
            <w:pPr>
              <w:spacing w:before="120" w:after="120"/>
              <w:rPr>
                <w:rFonts w:cs="Arial"/>
                <w:b/>
                <w:sz w:val="22"/>
                <w:szCs w:val="22"/>
              </w:rPr>
            </w:pPr>
            <w:r w:rsidRPr="00B1304E">
              <w:rPr>
                <w:rFonts w:cs="Arial"/>
                <w:b/>
                <w:sz w:val="22"/>
                <w:szCs w:val="22"/>
              </w:rPr>
              <w:t>Conduct</w:t>
            </w:r>
          </w:p>
        </w:tc>
      </w:tr>
      <w:tr w:rsidR="00931EAF" w:rsidRPr="00B1304E" w14:paraId="68C5D954" w14:textId="77777777" w:rsidTr="00CD3CD3">
        <w:tc>
          <w:tcPr>
            <w:tcW w:w="2693" w:type="dxa"/>
          </w:tcPr>
          <w:p w14:paraId="2F181F62" w14:textId="77777777" w:rsidR="00931EAF" w:rsidRPr="00B1304E" w:rsidRDefault="00931EAF" w:rsidP="00CD3CD3">
            <w:pPr>
              <w:spacing w:before="120" w:after="120"/>
              <w:rPr>
                <w:rFonts w:cs="Arial"/>
                <w:sz w:val="22"/>
                <w:szCs w:val="22"/>
              </w:rPr>
            </w:pPr>
            <w:r w:rsidRPr="00B1304E">
              <w:rPr>
                <w:rFonts w:cs="Arial"/>
                <w:i/>
                <w:sz w:val="22"/>
                <w:szCs w:val="22"/>
              </w:rPr>
              <w:t>Deen v Lamb</w:t>
            </w:r>
            <w:r w:rsidRPr="00B1304E">
              <w:rPr>
                <w:rFonts w:cs="Arial"/>
                <w:i/>
                <w:sz w:val="22"/>
                <w:szCs w:val="22"/>
              </w:rPr>
              <w:br/>
            </w:r>
            <w:r w:rsidRPr="00B1304E">
              <w:rPr>
                <w:rFonts w:cs="Arial"/>
                <w:sz w:val="22"/>
                <w:szCs w:val="22"/>
              </w:rPr>
              <w:t>[2001] QADT 20</w:t>
            </w:r>
          </w:p>
        </w:tc>
        <w:tc>
          <w:tcPr>
            <w:tcW w:w="1135" w:type="dxa"/>
          </w:tcPr>
          <w:p w14:paraId="4B78BD74" w14:textId="77777777" w:rsidR="00931EAF" w:rsidRPr="00B1304E" w:rsidRDefault="00931EAF" w:rsidP="00CD3CD3">
            <w:pPr>
              <w:spacing w:before="120" w:after="120"/>
              <w:rPr>
                <w:rFonts w:cs="Arial"/>
                <w:sz w:val="22"/>
                <w:szCs w:val="22"/>
              </w:rPr>
            </w:pPr>
            <w:r w:rsidRPr="00B1304E">
              <w:rPr>
                <w:rFonts w:cs="Arial"/>
                <w:sz w:val="22"/>
                <w:szCs w:val="22"/>
              </w:rPr>
              <w:t>Religion</w:t>
            </w:r>
          </w:p>
        </w:tc>
        <w:tc>
          <w:tcPr>
            <w:tcW w:w="5811" w:type="dxa"/>
          </w:tcPr>
          <w:p w14:paraId="7208F696" w14:textId="77777777" w:rsidR="00931EAF" w:rsidRPr="00B1304E" w:rsidRDefault="00931EAF" w:rsidP="00CD3CD3">
            <w:pPr>
              <w:spacing w:before="120" w:after="120"/>
              <w:rPr>
                <w:rFonts w:cs="Arial"/>
                <w:sz w:val="22"/>
                <w:szCs w:val="22"/>
              </w:rPr>
            </w:pPr>
            <w:r w:rsidRPr="00B1304E">
              <w:rPr>
                <w:rFonts w:cs="Arial"/>
                <w:sz w:val="22"/>
                <w:szCs w:val="22"/>
              </w:rPr>
              <w:t>Pamphlet denigrating Koran and Muslims disseminated as part of campaign for election to Federal Parliament</w:t>
            </w:r>
          </w:p>
          <w:p w14:paraId="5CE8C476" w14:textId="77777777" w:rsidR="00931EAF" w:rsidRPr="00B1304E" w:rsidRDefault="00931EAF" w:rsidP="00CD3CD3">
            <w:pPr>
              <w:spacing w:before="120" w:after="120"/>
              <w:rPr>
                <w:rFonts w:cs="Arial"/>
                <w:sz w:val="22"/>
                <w:szCs w:val="22"/>
              </w:rPr>
            </w:pPr>
            <w:r w:rsidRPr="00B1304E">
              <w:rPr>
                <w:rFonts w:cs="Arial"/>
                <w:sz w:val="22"/>
                <w:szCs w:val="22"/>
              </w:rPr>
              <w:t>Public act done reasonably and in good faith</w:t>
            </w:r>
          </w:p>
        </w:tc>
      </w:tr>
      <w:tr w:rsidR="00931EAF" w:rsidRPr="00B1304E" w14:paraId="53A42A92" w14:textId="77777777" w:rsidTr="00CD3CD3">
        <w:tc>
          <w:tcPr>
            <w:tcW w:w="2693" w:type="dxa"/>
          </w:tcPr>
          <w:p w14:paraId="092F4C07" w14:textId="77777777" w:rsidR="00931EAF" w:rsidRPr="00B1304E" w:rsidRDefault="00931EAF" w:rsidP="00CD3CD3">
            <w:pPr>
              <w:spacing w:before="120" w:after="120"/>
              <w:rPr>
                <w:rFonts w:cs="Arial"/>
                <w:sz w:val="22"/>
                <w:szCs w:val="22"/>
              </w:rPr>
            </w:pPr>
            <w:r w:rsidRPr="00B1304E">
              <w:rPr>
                <w:rFonts w:cs="Arial"/>
                <w:i/>
                <w:sz w:val="22"/>
                <w:szCs w:val="22"/>
              </w:rPr>
              <w:t>M v S &amp; G</w:t>
            </w:r>
            <w:r w:rsidRPr="00B1304E">
              <w:rPr>
                <w:rFonts w:cs="Arial"/>
                <w:i/>
                <w:sz w:val="22"/>
                <w:szCs w:val="22"/>
              </w:rPr>
              <w:br/>
            </w:r>
            <w:r w:rsidRPr="00B1304E">
              <w:rPr>
                <w:rFonts w:cs="Arial"/>
                <w:sz w:val="22"/>
                <w:szCs w:val="22"/>
              </w:rPr>
              <w:t>[2008] QADT 24</w:t>
            </w:r>
          </w:p>
        </w:tc>
        <w:tc>
          <w:tcPr>
            <w:tcW w:w="1135" w:type="dxa"/>
          </w:tcPr>
          <w:p w14:paraId="76845A38" w14:textId="77777777" w:rsidR="00931EAF" w:rsidRPr="00B1304E" w:rsidRDefault="00931EAF" w:rsidP="00CD3CD3">
            <w:pPr>
              <w:spacing w:before="120" w:after="120"/>
              <w:rPr>
                <w:rFonts w:cs="Arial"/>
                <w:sz w:val="22"/>
                <w:szCs w:val="22"/>
              </w:rPr>
            </w:pPr>
            <w:r w:rsidRPr="00B1304E">
              <w:rPr>
                <w:rFonts w:cs="Arial"/>
                <w:sz w:val="22"/>
                <w:szCs w:val="22"/>
              </w:rPr>
              <w:t>Gender Identity</w:t>
            </w:r>
          </w:p>
        </w:tc>
        <w:tc>
          <w:tcPr>
            <w:tcW w:w="5811" w:type="dxa"/>
          </w:tcPr>
          <w:p w14:paraId="4E860097" w14:textId="77777777" w:rsidR="00931EAF" w:rsidRPr="00B1304E" w:rsidRDefault="00931EAF" w:rsidP="00CD3CD3">
            <w:pPr>
              <w:spacing w:before="120" w:after="120"/>
              <w:rPr>
                <w:rFonts w:cs="Arial"/>
                <w:sz w:val="22"/>
                <w:szCs w:val="22"/>
              </w:rPr>
            </w:pPr>
            <w:r w:rsidRPr="00B1304E">
              <w:rPr>
                <w:rFonts w:cs="Arial"/>
                <w:sz w:val="22"/>
                <w:szCs w:val="22"/>
              </w:rPr>
              <w:t>‘That’s a boy’ in a shop</w:t>
            </w:r>
          </w:p>
          <w:p w14:paraId="05D19094" w14:textId="77777777" w:rsidR="00931EAF" w:rsidRPr="00B1304E" w:rsidRDefault="00931EAF" w:rsidP="00CD3CD3">
            <w:pPr>
              <w:spacing w:before="120" w:after="120"/>
              <w:rPr>
                <w:rFonts w:cs="Arial"/>
                <w:sz w:val="22"/>
                <w:szCs w:val="22"/>
              </w:rPr>
            </w:pPr>
            <w:r w:rsidRPr="00B1304E">
              <w:rPr>
                <w:rFonts w:cs="Arial"/>
                <w:sz w:val="22"/>
                <w:szCs w:val="22"/>
              </w:rPr>
              <w:t>Not a public act nor incitement</w:t>
            </w:r>
          </w:p>
        </w:tc>
      </w:tr>
      <w:tr w:rsidR="00931EAF" w:rsidRPr="00B1304E" w14:paraId="6B1DD0BA" w14:textId="77777777" w:rsidTr="00CD3CD3">
        <w:tc>
          <w:tcPr>
            <w:tcW w:w="2693" w:type="dxa"/>
          </w:tcPr>
          <w:p w14:paraId="5C0214B4" w14:textId="77777777" w:rsidR="00931EAF" w:rsidRPr="00B1304E" w:rsidRDefault="00931EAF" w:rsidP="00CD3CD3">
            <w:pPr>
              <w:spacing w:before="120" w:after="120"/>
              <w:rPr>
                <w:rFonts w:cs="Arial"/>
                <w:sz w:val="22"/>
                <w:szCs w:val="22"/>
              </w:rPr>
            </w:pPr>
            <w:r w:rsidRPr="00B1304E">
              <w:rPr>
                <w:rFonts w:cs="Arial"/>
                <w:i/>
                <w:sz w:val="22"/>
                <w:szCs w:val="22"/>
              </w:rPr>
              <w:t>Sailor v Hubbocks and Black &amp; White (Quick Service) Taxis Ltd (No. 2)</w:t>
            </w:r>
            <w:r w:rsidRPr="00B1304E">
              <w:rPr>
                <w:rFonts w:cs="Arial"/>
                <w:i/>
                <w:sz w:val="22"/>
                <w:szCs w:val="22"/>
              </w:rPr>
              <w:br/>
            </w:r>
            <w:r w:rsidRPr="00B1304E">
              <w:rPr>
                <w:rFonts w:cs="Arial"/>
                <w:sz w:val="22"/>
                <w:szCs w:val="22"/>
              </w:rPr>
              <w:t>[2008] QADT 33</w:t>
            </w:r>
          </w:p>
        </w:tc>
        <w:tc>
          <w:tcPr>
            <w:tcW w:w="1135" w:type="dxa"/>
          </w:tcPr>
          <w:p w14:paraId="56E12C49" w14:textId="77777777" w:rsidR="00931EAF" w:rsidRPr="00B1304E" w:rsidRDefault="00931EAF" w:rsidP="00CD3CD3">
            <w:pPr>
              <w:spacing w:before="120" w:after="120"/>
              <w:rPr>
                <w:rFonts w:cs="Arial"/>
                <w:sz w:val="22"/>
                <w:szCs w:val="22"/>
              </w:rPr>
            </w:pPr>
            <w:r w:rsidRPr="00B1304E">
              <w:rPr>
                <w:rFonts w:cs="Arial"/>
                <w:sz w:val="22"/>
                <w:szCs w:val="22"/>
              </w:rPr>
              <w:t>Race</w:t>
            </w:r>
          </w:p>
        </w:tc>
        <w:tc>
          <w:tcPr>
            <w:tcW w:w="5811" w:type="dxa"/>
          </w:tcPr>
          <w:p w14:paraId="176CBFC5" w14:textId="77777777" w:rsidR="00931EAF" w:rsidRPr="00B1304E" w:rsidRDefault="00931EAF" w:rsidP="00CD3CD3">
            <w:pPr>
              <w:spacing w:before="120" w:after="120"/>
              <w:rPr>
                <w:rFonts w:cs="Arial"/>
                <w:sz w:val="22"/>
                <w:szCs w:val="22"/>
              </w:rPr>
            </w:pPr>
            <w:r w:rsidRPr="00B1304E">
              <w:rPr>
                <w:rFonts w:cs="Arial"/>
                <w:sz w:val="22"/>
                <w:szCs w:val="22"/>
              </w:rPr>
              <w:t xml:space="preserve">Racial insults by taxi driver to member of public </w:t>
            </w:r>
          </w:p>
          <w:p w14:paraId="42059479" w14:textId="77777777" w:rsidR="00931EAF" w:rsidRPr="00B1304E" w:rsidRDefault="00931EAF" w:rsidP="00CD3CD3">
            <w:pPr>
              <w:spacing w:before="120" w:after="120"/>
              <w:rPr>
                <w:rFonts w:cs="Arial"/>
                <w:sz w:val="22"/>
                <w:szCs w:val="22"/>
              </w:rPr>
            </w:pPr>
            <w:r w:rsidRPr="00B1304E">
              <w:rPr>
                <w:rFonts w:cs="Arial"/>
                <w:sz w:val="22"/>
                <w:szCs w:val="22"/>
              </w:rPr>
              <w:t>‘incitement’ requires communication directed to a 3</w:t>
            </w:r>
            <w:r w:rsidRPr="00B1304E">
              <w:rPr>
                <w:rFonts w:cs="Arial"/>
                <w:sz w:val="22"/>
                <w:szCs w:val="22"/>
                <w:vertAlign w:val="superscript"/>
              </w:rPr>
              <w:t>rd</w:t>
            </w:r>
            <w:r w:rsidRPr="00B1304E">
              <w:rPr>
                <w:rFonts w:cs="Arial"/>
                <w:sz w:val="22"/>
                <w:szCs w:val="22"/>
              </w:rPr>
              <w:t xml:space="preserve"> party</w:t>
            </w:r>
          </w:p>
        </w:tc>
      </w:tr>
      <w:tr w:rsidR="00931EAF" w:rsidRPr="00B1304E" w14:paraId="61F5CF9C" w14:textId="77777777" w:rsidTr="00CD3CD3">
        <w:tc>
          <w:tcPr>
            <w:tcW w:w="2693" w:type="dxa"/>
          </w:tcPr>
          <w:p w14:paraId="71DD698D" w14:textId="77777777" w:rsidR="00931EAF" w:rsidRPr="00B1304E" w:rsidRDefault="00931EAF" w:rsidP="00CD3CD3">
            <w:pPr>
              <w:spacing w:before="120" w:after="120"/>
              <w:rPr>
                <w:rFonts w:cs="Arial"/>
                <w:sz w:val="22"/>
                <w:szCs w:val="22"/>
              </w:rPr>
            </w:pPr>
            <w:r w:rsidRPr="00B1304E">
              <w:rPr>
                <w:rFonts w:cs="Arial"/>
                <w:i/>
                <w:sz w:val="22"/>
                <w:szCs w:val="22"/>
              </w:rPr>
              <w:t>Conde v Hunter &amp; Karakan Hostels</w:t>
            </w:r>
            <w:r w:rsidRPr="00B1304E">
              <w:rPr>
                <w:rFonts w:cs="Arial"/>
                <w:i/>
                <w:sz w:val="22"/>
                <w:szCs w:val="22"/>
              </w:rPr>
              <w:br/>
            </w:r>
            <w:r w:rsidRPr="00B1304E">
              <w:rPr>
                <w:rFonts w:cs="Arial"/>
                <w:sz w:val="22"/>
                <w:szCs w:val="22"/>
              </w:rPr>
              <w:t>[2009] QADT 11</w:t>
            </w:r>
          </w:p>
        </w:tc>
        <w:tc>
          <w:tcPr>
            <w:tcW w:w="1135" w:type="dxa"/>
          </w:tcPr>
          <w:p w14:paraId="56273B56" w14:textId="77777777" w:rsidR="00931EAF" w:rsidRPr="00B1304E" w:rsidRDefault="00931EAF" w:rsidP="00CD3CD3">
            <w:pPr>
              <w:spacing w:before="120" w:after="120"/>
              <w:rPr>
                <w:rFonts w:cs="Arial"/>
                <w:sz w:val="22"/>
                <w:szCs w:val="22"/>
              </w:rPr>
            </w:pPr>
            <w:r w:rsidRPr="00B1304E">
              <w:rPr>
                <w:rFonts w:cs="Arial"/>
                <w:sz w:val="22"/>
                <w:szCs w:val="22"/>
              </w:rPr>
              <w:t>Race</w:t>
            </w:r>
          </w:p>
        </w:tc>
        <w:tc>
          <w:tcPr>
            <w:tcW w:w="5811" w:type="dxa"/>
          </w:tcPr>
          <w:p w14:paraId="3A1C287C" w14:textId="77777777" w:rsidR="00931EAF" w:rsidRPr="00B1304E" w:rsidRDefault="00931EAF" w:rsidP="00CD3CD3">
            <w:pPr>
              <w:spacing w:before="120" w:after="120"/>
              <w:rPr>
                <w:rFonts w:cs="Arial"/>
                <w:sz w:val="22"/>
                <w:szCs w:val="22"/>
              </w:rPr>
            </w:pPr>
            <w:r w:rsidRPr="00B1304E">
              <w:rPr>
                <w:rFonts w:cs="Arial"/>
                <w:sz w:val="22"/>
                <w:szCs w:val="22"/>
              </w:rPr>
              <w:t>Verbal racial abuse – personal insults</w:t>
            </w:r>
          </w:p>
          <w:p w14:paraId="6549F982" w14:textId="77777777" w:rsidR="00931EAF" w:rsidRPr="00B1304E" w:rsidRDefault="00931EAF" w:rsidP="00CD3CD3">
            <w:pPr>
              <w:spacing w:before="120" w:after="120"/>
              <w:rPr>
                <w:rFonts w:cs="Arial"/>
                <w:sz w:val="22"/>
                <w:szCs w:val="22"/>
              </w:rPr>
            </w:pPr>
            <w:r w:rsidRPr="00B1304E">
              <w:rPr>
                <w:rFonts w:cs="Arial"/>
                <w:sz w:val="22"/>
                <w:szCs w:val="22"/>
              </w:rPr>
              <w:t>Not communication to public</w:t>
            </w:r>
          </w:p>
        </w:tc>
      </w:tr>
      <w:tr w:rsidR="00931EAF" w:rsidRPr="00B1304E" w14:paraId="2469D9D2" w14:textId="77777777" w:rsidTr="00CD3CD3">
        <w:tc>
          <w:tcPr>
            <w:tcW w:w="2693" w:type="dxa"/>
          </w:tcPr>
          <w:p w14:paraId="2E2A7647" w14:textId="77777777" w:rsidR="00931EAF" w:rsidRPr="00642785" w:rsidRDefault="00931EAF" w:rsidP="00CD3CD3">
            <w:pPr>
              <w:spacing w:before="120" w:after="120"/>
              <w:rPr>
                <w:rFonts w:cs="Arial"/>
                <w:sz w:val="22"/>
                <w:szCs w:val="22"/>
              </w:rPr>
            </w:pPr>
            <w:r w:rsidRPr="00642785">
              <w:rPr>
                <w:rFonts w:cs="Arial"/>
                <w:i/>
                <w:sz w:val="22"/>
                <w:szCs w:val="22"/>
              </w:rPr>
              <w:t>Park v State of Queensland &amp; Anor</w:t>
            </w:r>
            <w:r w:rsidRPr="00642785">
              <w:rPr>
                <w:rFonts w:cs="Arial"/>
                <w:i/>
                <w:sz w:val="22"/>
                <w:szCs w:val="22"/>
              </w:rPr>
              <w:br/>
            </w:r>
            <w:r w:rsidRPr="00642785">
              <w:rPr>
                <w:rFonts w:cs="Arial"/>
                <w:sz w:val="22"/>
                <w:szCs w:val="22"/>
              </w:rPr>
              <w:t>[2013] QCAT 183</w:t>
            </w:r>
          </w:p>
        </w:tc>
        <w:tc>
          <w:tcPr>
            <w:tcW w:w="1135" w:type="dxa"/>
          </w:tcPr>
          <w:p w14:paraId="2E085D22" w14:textId="77777777" w:rsidR="00931EAF" w:rsidRPr="00642785" w:rsidRDefault="00931EAF" w:rsidP="00CD3CD3">
            <w:pPr>
              <w:spacing w:before="120" w:after="120"/>
              <w:rPr>
                <w:rFonts w:cs="Arial"/>
                <w:sz w:val="22"/>
                <w:szCs w:val="22"/>
              </w:rPr>
            </w:pPr>
            <w:r w:rsidRPr="00642785">
              <w:rPr>
                <w:rFonts w:cs="Arial"/>
                <w:sz w:val="22"/>
                <w:szCs w:val="22"/>
              </w:rPr>
              <w:t>Race</w:t>
            </w:r>
          </w:p>
        </w:tc>
        <w:tc>
          <w:tcPr>
            <w:tcW w:w="5811" w:type="dxa"/>
          </w:tcPr>
          <w:p w14:paraId="11E9A4F1" w14:textId="3D1F366D" w:rsidR="00931EAF" w:rsidRDefault="00931EAF" w:rsidP="00CD3CD3">
            <w:pPr>
              <w:spacing w:before="120" w:after="120"/>
              <w:rPr>
                <w:rFonts w:cs="Arial"/>
                <w:sz w:val="22"/>
                <w:szCs w:val="22"/>
              </w:rPr>
            </w:pPr>
            <w:r>
              <w:rPr>
                <w:rFonts w:cs="Arial"/>
                <w:sz w:val="22"/>
                <w:szCs w:val="22"/>
              </w:rPr>
              <w:t xml:space="preserve">Alleged comments (found not to have been made) were not capable of inciting hatred towards, </w:t>
            </w:r>
            <w:r w:rsidR="00385125">
              <w:rPr>
                <w:rFonts w:cs="Arial"/>
                <w:sz w:val="22"/>
                <w:szCs w:val="22"/>
              </w:rPr>
              <w:t>serious contempt for, or severe</w:t>
            </w:r>
            <w:r>
              <w:rPr>
                <w:rFonts w:cs="Arial"/>
                <w:sz w:val="22"/>
                <w:szCs w:val="22"/>
              </w:rPr>
              <w:t xml:space="preserve"> ridicule of the complainant.  </w:t>
            </w:r>
          </w:p>
          <w:p w14:paraId="4B695EE2" w14:textId="77777777" w:rsidR="00931EAF" w:rsidRPr="00B1304E" w:rsidRDefault="00931EAF" w:rsidP="00CD3CD3">
            <w:pPr>
              <w:spacing w:before="120" w:after="120"/>
              <w:rPr>
                <w:rFonts w:cs="Arial"/>
                <w:sz w:val="22"/>
                <w:szCs w:val="22"/>
              </w:rPr>
            </w:pPr>
            <w:r>
              <w:rPr>
                <w:rFonts w:cs="Arial"/>
                <w:sz w:val="22"/>
                <w:szCs w:val="22"/>
              </w:rPr>
              <w:t>Whatever was said in the classroom was not a communication to the public, and there was no evidence that what was said was heard by anyone else other than the complainant.</w:t>
            </w:r>
          </w:p>
        </w:tc>
      </w:tr>
      <w:tr w:rsidR="00931EAF" w:rsidRPr="00B1304E" w14:paraId="4F310943" w14:textId="77777777" w:rsidTr="00CD3CD3">
        <w:tc>
          <w:tcPr>
            <w:tcW w:w="2693" w:type="dxa"/>
          </w:tcPr>
          <w:p w14:paraId="0BD61F57" w14:textId="77777777" w:rsidR="00931EAF" w:rsidRPr="00B1304E" w:rsidRDefault="00931EAF" w:rsidP="00CD3CD3">
            <w:pPr>
              <w:spacing w:before="120" w:after="120"/>
              <w:rPr>
                <w:rFonts w:cs="Arial"/>
                <w:sz w:val="22"/>
                <w:szCs w:val="22"/>
              </w:rPr>
            </w:pPr>
            <w:r w:rsidRPr="00B1304E">
              <w:rPr>
                <w:rFonts w:cs="Arial"/>
                <w:i/>
                <w:sz w:val="22"/>
                <w:szCs w:val="22"/>
              </w:rPr>
              <w:t>Chen v Groom &amp; Lozcas Investments Pty Ltd</w:t>
            </w:r>
            <w:r w:rsidRPr="00B1304E">
              <w:rPr>
                <w:rFonts w:cs="Arial"/>
                <w:i/>
                <w:sz w:val="22"/>
                <w:szCs w:val="22"/>
              </w:rPr>
              <w:br/>
            </w:r>
            <w:r w:rsidRPr="00B1304E">
              <w:rPr>
                <w:rFonts w:cs="Arial"/>
                <w:sz w:val="22"/>
                <w:szCs w:val="22"/>
              </w:rPr>
              <w:t>[2013] QCAT 511</w:t>
            </w:r>
          </w:p>
        </w:tc>
        <w:tc>
          <w:tcPr>
            <w:tcW w:w="1135" w:type="dxa"/>
          </w:tcPr>
          <w:p w14:paraId="307CFC1C" w14:textId="77777777" w:rsidR="00931EAF" w:rsidRPr="00B1304E" w:rsidRDefault="00931EAF" w:rsidP="00CD3CD3">
            <w:pPr>
              <w:spacing w:before="120" w:after="120"/>
              <w:rPr>
                <w:rFonts w:cs="Arial"/>
                <w:sz w:val="22"/>
                <w:szCs w:val="22"/>
              </w:rPr>
            </w:pPr>
            <w:r w:rsidRPr="00B1304E">
              <w:rPr>
                <w:rFonts w:cs="Arial"/>
                <w:sz w:val="22"/>
                <w:szCs w:val="22"/>
              </w:rPr>
              <w:t>Race</w:t>
            </w:r>
          </w:p>
        </w:tc>
        <w:tc>
          <w:tcPr>
            <w:tcW w:w="5811" w:type="dxa"/>
          </w:tcPr>
          <w:p w14:paraId="45E09E28" w14:textId="77777777" w:rsidR="00931EAF" w:rsidRPr="00B1304E" w:rsidRDefault="00931EAF" w:rsidP="00CD3CD3">
            <w:pPr>
              <w:spacing w:before="120" w:after="120"/>
              <w:rPr>
                <w:rFonts w:cs="Arial"/>
                <w:sz w:val="22"/>
                <w:szCs w:val="22"/>
              </w:rPr>
            </w:pPr>
            <w:r w:rsidRPr="00B1304E">
              <w:rPr>
                <w:rFonts w:cs="Arial"/>
                <w:sz w:val="22"/>
                <w:szCs w:val="22"/>
              </w:rPr>
              <w:t xml:space="preserve">Verbal abuse by neighbour, not the respondent </w:t>
            </w:r>
          </w:p>
          <w:p w14:paraId="55203228" w14:textId="77777777" w:rsidR="00931EAF" w:rsidRPr="00B1304E" w:rsidRDefault="00931EAF" w:rsidP="00CD3CD3">
            <w:pPr>
              <w:spacing w:before="120" w:after="120"/>
              <w:rPr>
                <w:rFonts w:cs="Arial"/>
                <w:sz w:val="22"/>
                <w:szCs w:val="22"/>
              </w:rPr>
            </w:pPr>
            <w:r w:rsidRPr="00B1304E">
              <w:rPr>
                <w:rFonts w:cs="Arial"/>
                <w:sz w:val="22"/>
                <w:szCs w:val="22"/>
              </w:rPr>
              <w:t>Active conduct on the part of the respondent needs to be shown</w:t>
            </w:r>
          </w:p>
        </w:tc>
      </w:tr>
      <w:tr w:rsidR="00931EAF" w:rsidRPr="00B1304E" w14:paraId="6BCAF658" w14:textId="77777777" w:rsidTr="00CD3CD3">
        <w:tc>
          <w:tcPr>
            <w:tcW w:w="2693" w:type="dxa"/>
          </w:tcPr>
          <w:p w14:paraId="273D3C4A" w14:textId="77777777" w:rsidR="00931EAF" w:rsidRPr="00893E7E" w:rsidRDefault="00931EAF" w:rsidP="00CD3CD3">
            <w:pPr>
              <w:spacing w:before="120" w:after="120"/>
              <w:rPr>
                <w:rFonts w:cs="Arial"/>
                <w:sz w:val="22"/>
                <w:szCs w:val="22"/>
              </w:rPr>
            </w:pPr>
            <w:r>
              <w:rPr>
                <w:rFonts w:cs="Arial"/>
                <w:i/>
                <w:sz w:val="22"/>
                <w:szCs w:val="22"/>
              </w:rPr>
              <w:t>*Coenen v Bakers Club Worldwide Pty Ltd &amp; Ors</w:t>
            </w:r>
            <w:r>
              <w:rPr>
                <w:rFonts w:cs="Arial"/>
                <w:i/>
                <w:sz w:val="22"/>
                <w:szCs w:val="22"/>
              </w:rPr>
              <w:br/>
            </w:r>
            <w:r>
              <w:rPr>
                <w:rFonts w:cs="Arial"/>
                <w:sz w:val="22"/>
                <w:szCs w:val="22"/>
              </w:rPr>
              <w:t>[2014] QCAT 676</w:t>
            </w:r>
          </w:p>
        </w:tc>
        <w:tc>
          <w:tcPr>
            <w:tcW w:w="1135" w:type="dxa"/>
          </w:tcPr>
          <w:p w14:paraId="733E9A67" w14:textId="77777777" w:rsidR="00931EAF" w:rsidRPr="00B1304E" w:rsidRDefault="00931EAF" w:rsidP="00CD3CD3">
            <w:pPr>
              <w:spacing w:before="120" w:after="120"/>
              <w:rPr>
                <w:rFonts w:cs="Arial"/>
                <w:sz w:val="22"/>
                <w:szCs w:val="22"/>
              </w:rPr>
            </w:pPr>
            <w:r>
              <w:rPr>
                <w:rFonts w:cs="Arial"/>
                <w:sz w:val="22"/>
                <w:szCs w:val="22"/>
              </w:rPr>
              <w:t>Race</w:t>
            </w:r>
          </w:p>
        </w:tc>
        <w:tc>
          <w:tcPr>
            <w:tcW w:w="5811" w:type="dxa"/>
          </w:tcPr>
          <w:p w14:paraId="43B6521C" w14:textId="77777777" w:rsidR="00931EAF" w:rsidRDefault="00931EAF" w:rsidP="00CD3CD3">
            <w:pPr>
              <w:spacing w:before="120" w:after="120"/>
              <w:rPr>
                <w:rFonts w:cs="Arial"/>
                <w:sz w:val="22"/>
                <w:szCs w:val="22"/>
              </w:rPr>
            </w:pPr>
            <w:r>
              <w:rPr>
                <w:rFonts w:cs="Arial"/>
                <w:sz w:val="22"/>
                <w:szCs w:val="22"/>
              </w:rPr>
              <w:t>Statement made in a conciliation conference at the Fair Work Commission.</w:t>
            </w:r>
          </w:p>
          <w:p w14:paraId="4478DD34" w14:textId="77777777" w:rsidR="00931EAF" w:rsidRPr="00B1304E" w:rsidRDefault="00931EAF" w:rsidP="00CD3CD3">
            <w:pPr>
              <w:spacing w:before="120" w:after="120"/>
              <w:rPr>
                <w:rFonts w:cs="Arial"/>
                <w:sz w:val="22"/>
                <w:szCs w:val="22"/>
              </w:rPr>
            </w:pPr>
            <w:r>
              <w:rPr>
                <w:rFonts w:cs="Arial"/>
                <w:sz w:val="22"/>
                <w:szCs w:val="22"/>
              </w:rPr>
              <w:t>Statement not made in public, and not made to incite hatred, serious contempt, or severe ridicule of the complainant.*</w:t>
            </w:r>
          </w:p>
        </w:tc>
      </w:tr>
      <w:tr w:rsidR="00931EAF" w:rsidRPr="00B1304E" w14:paraId="4825BD92" w14:textId="77777777" w:rsidTr="00CD3CD3">
        <w:tc>
          <w:tcPr>
            <w:tcW w:w="2693" w:type="dxa"/>
          </w:tcPr>
          <w:p w14:paraId="645981BB" w14:textId="77777777" w:rsidR="00931EAF" w:rsidRPr="00893E7E" w:rsidRDefault="00931EAF" w:rsidP="00CD3CD3">
            <w:pPr>
              <w:spacing w:before="120" w:after="120"/>
              <w:rPr>
                <w:rFonts w:cs="Arial"/>
                <w:sz w:val="22"/>
                <w:szCs w:val="22"/>
              </w:rPr>
            </w:pPr>
            <w:r>
              <w:rPr>
                <w:rFonts w:cs="Arial"/>
                <w:i/>
                <w:sz w:val="22"/>
                <w:szCs w:val="22"/>
              </w:rPr>
              <w:t>*Bero v Wilmar Sugar Pty Ltd &amp; Ors</w:t>
            </w:r>
            <w:r>
              <w:rPr>
                <w:rFonts w:cs="Arial"/>
                <w:i/>
                <w:sz w:val="22"/>
                <w:szCs w:val="22"/>
              </w:rPr>
              <w:br/>
            </w:r>
            <w:r>
              <w:rPr>
                <w:rFonts w:cs="Arial"/>
                <w:sz w:val="22"/>
                <w:szCs w:val="22"/>
              </w:rPr>
              <w:t>[2016] QCAT 371</w:t>
            </w:r>
          </w:p>
        </w:tc>
        <w:tc>
          <w:tcPr>
            <w:tcW w:w="1135" w:type="dxa"/>
          </w:tcPr>
          <w:p w14:paraId="58D2D533" w14:textId="77777777" w:rsidR="00931EAF" w:rsidRDefault="00931EAF" w:rsidP="00CD3CD3">
            <w:pPr>
              <w:spacing w:before="120" w:after="120"/>
              <w:rPr>
                <w:rFonts w:cs="Arial"/>
                <w:sz w:val="22"/>
                <w:szCs w:val="22"/>
              </w:rPr>
            </w:pPr>
            <w:r>
              <w:rPr>
                <w:rFonts w:cs="Arial"/>
                <w:sz w:val="22"/>
                <w:szCs w:val="22"/>
              </w:rPr>
              <w:t>Race</w:t>
            </w:r>
          </w:p>
        </w:tc>
        <w:tc>
          <w:tcPr>
            <w:tcW w:w="5811" w:type="dxa"/>
          </w:tcPr>
          <w:p w14:paraId="2B49DF71" w14:textId="77777777" w:rsidR="00931EAF" w:rsidRDefault="00931EAF" w:rsidP="00CD3CD3">
            <w:pPr>
              <w:spacing w:before="120" w:after="120"/>
              <w:rPr>
                <w:rFonts w:cs="Arial"/>
                <w:sz w:val="22"/>
                <w:szCs w:val="22"/>
              </w:rPr>
            </w:pPr>
            <w:r>
              <w:rPr>
                <w:rFonts w:cs="Arial"/>
                <w:sz w:val="22"/>
                <w:szCs w:val="22"/>
              </w:rPr>
              <w:t>Comments with racial connotation within private employment – not communicated to the public.</w:t>
            </w:r>
          </w:p>
          <w:p w14:paraId="4C0DCAB1" w14:textId="206B5695" w:rsidR="00931EAF" w:rsidRPr="00B1304E" w:rsidRDefault="00931EAF" w:rsidP="00CD3CD3">
            <w:pPr>
              <w:spacing w:before="120" w:after="120"/>
              <w:rPr>
                <w:rFonts w:cs="Arial"/>
                <w:sz w:val="22"/>
                <w:szCs w:val="22"/>
              </w:rPr>
            </w:pPr>
            <w:r>
              <w:rPr>
                <w:rFonts w:cs="Arial"/>
                <w:sz w:val="22"/>
                <w:szCs w:val="22"/>
              </w:rPr>
              <w:t>Tribunal not convinced that comments incited hatred, serious contempt or severe ridicule towards the complainant.</w:t>
            </w:r>
          </w:p>
        </w:tc>
      </w:tr>
      <w:tr w:rsidR="00931EAF" w:rsidRPr="00B1304E" w14:paraId="3AFD2F0A" w14:textId="77777777" w:rsidTr="00CD3CD3">
        <w:tc>
          <w:tcPr>
            <w:tcW w:w="2693" w:type="dxa"/>
          </w:tcPr>
          <w:p w14:paraId="6AE658A3" w14:textId="77777777" w:rsidR="00931EAF" w:rsidRPr="00893E7E" w:rsidRDefault="00931EAF" w:rsidP="00CD3CD3">
            <w:pPr>
              <w:spacing w:before="120" w:after="120"/>
              <w:rPr>
                <w:rFonts w:cs="Arial"/>
                <w:sz w:val="22"/>
                <w:szCs w:val="22"/>
              </w:rPr>
            </w:pPr>
            <w:r>
              <w:rPr>
                <w:rFonts w:cs="Arial"/>
                <w:i/>
                <w:sz w:val="22"/>
                <w:szCs w:val="22"/>
              </w:rPr>
              <w:t>Smith v Sanreef</w:t>
            </w:r>
            <w:r>
              <w:rPr>
                <w:rFonts w:cs="Arial"/>
                <w:i/>
                <w:sz w:val="22"/>
                <w:szCs w:val="22"/>
              </w:rPr>
              <w:br/>
            </w:r>
            <w:r>
              <w:rPr>
                <w:rFonts w:cs="Arial"/>
                <w:sz w:val="22"/>
                <w:szCs w:val="22"/>
              </w:rPr>
              <w:t>[2020] QCAT 353</w:t>
            </w:r>
          </w:p>
        </w:tc>
        <w:tc>
          <w:tcPr>
            <w:tcW w:w="1135" w:type="dxa"/>
          </w:tcPr>
          <w:p w14:paraId="21E353D0" w14:textId="77777777" w:rsidR="00931EAF" w:rsidRDefault="00931EAF" w:rsidP="00CD3CD3">
            <w:pPr>
              <w:spacing w:before="120" w:after="120"/>
              <w:rPr>
                <w:rFonts w:cs="Arial"/>
                <w:sz w:val="22"/>
                <w:szCs w:val="22"/>
              </w:rPr>
            </w:pPr>
            <w:r>
              <w:rPr>
                <w:rFonts w:cs="Arial"/>
                <w:sz w:val="22"/>
                <w:szCs w:val="22"/>
              </w:rPr>
              <w:t>Race</w:t>
            </w:r>
          </w:p>
        </w:tc>
        <w:tc>
          <w:tcPr>
            <w:tcW w:w="5811" w:type="dxa"/>
          </w:tcPr>
          <w:p w14:paraId="291309F0" w14:textId="399D9966" w:rsidR="00931EAF" w:rsidRDefault="00931EAF" w:rsidP="00CD3CD3">
            <w:pPr>
              <w:spacing w:before="120" w:after="120"/>
              <w:rPr>
                <w:rFonts w:cs="Arial"/>
                <w:sz w:val="22"/>
                <w:szCs w:val="22"/>
              </w:rPr>
            </w:pPr>
            <w:r>
              <w:rPr>
                <w:rFonts w:cs="Arial"/>
                <w:sz w:val="22"/>
                <w:szCs w:val="22"/>
              </w:rPr>
              <w:t xml:space="preserve">Aboriginal man in hotel with wife – alleged </w:t>
            </w:r>
            <w:r w:rsidR="00FD09CE">
              <w:rPr>
                <w:rFonts w:cs="Arial"/>
                <w:sz w:val="22"/>
                <w:szCs w:val="22"/>
              </w:rPr>
              <w:t xml:space="preserve">barperson said ‘… you black </w:t>
            </w:r>
            <w:r w:rsidR="00FD09CE" w:rsidRPr="0019639B">
              <w:rPr>
                <w:rFonts w:cs="Arial"/>
                <w:sz w:val="22"/>
                <w:szCs w:val="22"/>
              </w:rPr>
              <w:t>[redacted]</w:t>
            </w:r>
            <w:r>
              <w:rPr>
                <w:rFonts w:cs="Arial"/>
                <w:sz w:val="22"/>
                <w:szCs w:val="22"/>
              </w:rPr>
              <w:t>’.</w:t>
            </w:r>
          </w:p>
          <w:p w14:paraId="5A70F894" w14:textId="77777777" w:rsidR="00931EAF" w:rsidRPr="00B1304E" w:rsidRDefault="00931EAF" w:rsidP="00CD3CD3">
            <w:pPr>
              <w:spacing w:before="120" w:after="120"/>
              <w:rPr>
                <w:rFonts w:cs="Arial"/>
                <w:sz w:val="22"/>
                <w:szCs w:val="22"/>
              </w:rPr>
            </w:pPr>
            <w:r>
              <w:rPr>
                <w:rFonts w:cs="Arial"/>
                <w:sz w:val="22"/>
                <w:szCs w:val="22"/>
              </w:rPr>
              <w:t>Found that comments not made.</w:t>
            </w:r>
          </w:p>
        </w:tc>
      </w:tr>
      <w:tr w:rsidR="00931EAF" w:rsidRPr="00B1304E" w14:paraId="758BE239" w14:textId="77777777" w:rsidTr="00CD3CD3">
        <w:tc>
          <w:tcPr>
            <w:tcW w:w="2693" w:type="dxa"/>
          </w:tcPr>
          <w:p w14:paraId="1E027457" w14:textId="77777777" w:rsidR="00931EAF" w:rsidRPr="00893E7E" w:rsidRDefault="00931EAF" w:rsidP="00CD3CD3">
            <w:pPr>
              <w:spacing w:before="120" w:after="120"/>
              <w:rPr>
                <w:rFonts w:cs="Arial"/>
                <w:sz w:val="22"/>
                <w:szCs w:val="22"/>
              </w:rPr>
            </w:pPr>
            <w:r>
              <w:rPr>
                <w:rFonts w:cs="Arial"/>
                <w:i/>
                <w:sz w:val="22"/>
                <w:szCs w:val="22"/>
              </w:rPr>
              <w:lastRenderedPageBreak/>
              <w:t>*Ms RA v Mr NC</w:t>
            </w:r>
            <w:r>
              <w:rPr>
                <w:rFonts w:cs="Arial"/>
                <w:i/>
                <w:sz w:val="22"/>
                <w:szCs w:val="22"/>
              </w:rPr>
              <w:br/>
            </w:r>
            <w:r>
              <w:rPr>
                <w:rFonts w:cs="Arial"/>
                <w:sz w:val="22"/>
                <w:szCs w:val="22"/>
              </w:rPr>
              <w:t>[2018] QCAT 94</w:t>
            </w:r>
          </w:p>
        </w:tc>
        <w:tc>
          <w:tcPr>
            <w:tcW w:w="1135" w:type="dxa"/>
          </w:tcPr>
          <w:p w14:paraId="5F36020C" w14:textId="77777777" w:rsidR="00931EAF" w:rsidRDefault="00931EAF" w:rsidP="00CD3CD3">
            <w:pPr>
              <w:spacing w:before="120" w:after="120"/>
              <w:rPr>
                <w:rFonts w:cs="Arial"/>
                <w:sz w:val="22"/>
                <w:szCs w:val="22"/>
              </w:rPr>
            </w:pPr>
            <w:r>
              <w:rPr>
                <w:rFonts w:cs="Arial"/>
                <w:sz w:val="22"/>
                <w:szCs w:val="22"/>
              </w:rPr>
              <w:t>Religion</w:t>
            </w:r>
          </w:p>
        </w:tc>
        <w:tc>
          <w:tcPr>
            <w:tcW w:w="5811" w:type="dxa"/>
          </w:tcPr>
          <w:p w14:paraId="35F97B66" w14:textId="77777777" w:rsidR="00931EAF" w:rsidRDefault="00931EAF" w:rsidP="00CD3CD3">
            <w:pPr>
              <w:spacing w:before="120" w:after="120"/>
              <w:rPr>
                <w:rFonts w:cs="Arial"/>
                <w:sz w:val="22"/>
                <w:szCs w:val="22"/>
              </w:rPr>
            </w:pPr>
            <w:r>
              <w:rPr>
                <w:rFonts w:cs="Arial"/>
                <w:sz w:val="22"/>
                <w:szCs w:val="22"/>
              </w:rPr>
              <w:t>Comments made in an elevator with another person present was a communication to the public, and therefore a public act.</w:t>
            </w:r>
          </w:p>
          <w:p w14:paraId="3EFFC741" w14:textId="7337CFD8" w:rsidR="00931EAF" w:rsidRPr="00B1304E" w:rsidRDefault="00931EAF" w:rsidP="00CD3CD3">
            <w:pPr>
              <w:spacing w:before="120" w:after="120"/>
              <w:rPr>
                <w:rFonts w:cs="Arial"/>
                <w:sz w:val="22"/>
                <w:szCs w:val="22"/>
              </w:rPr>
            </w:pPr>
            <w:r>
              <w:rPr>
                <w:rFonts w:cs="Arial"/>
                <w:sz w:val="22"/>
                <w:szCs w:val="22"/>
              </w:rPr>
              <w:t>The words were spoken in Arabic – not satisfied the third person understood or that they were incited.</w:t>
            </w:r>
          </w:p>
        </w:tc>
      </w:tr>
      <w:tr w:rsidR="00CD3CD3" w:rsidRPr="00B1304E" w14:paraId="52747250" w14:textId="77777777" w:rsidTr="00CD3CD3">
        <w:tc>
          <w:tcPr>
            <w:tcW w:w="2693" w:type="dxa"/>
          </w:tcPr>
          <w:p w14:paraId="161F5131" w14:textId="77777777" w:rsidR="00CD3CD3" w:rsidRPr="003616ED" w:rsidRDefault="00CD3CD3" w:rsidP="00CD3CD3">
            <w:pPr>
              <w:spacing w:before="120" w:after="120"/>
              <w:rPr>
                <w:rFonts w:cs="Arial"/>
                <w:sz w:val="22"/>
                <w:szCs w:val="22"/>
              </w:rPr>
            </w:pPr>
            <w:r>
              <w:rPr>
                <w:rFonts w:cs="Arial"/>
                <w:i/>
                <w:sz w:val="22"/>
                <w:szCs w:val="22"/>
              </w:rPr>
              <w:t>Rowan v Beck</w:t>
            </w:r>
            <w:r>
              <w:rPr>
                <w:rFonts w:cs="Arial"/>
                <w:i/>
                <w:sz w:val="22"/>
                <w:szCs w:val="22"/>
              </w:rPr>
              <w:br/>
            </w:r>
            <w:r>
              <w:rPr>
                <w:rFonts w:cs="Arial"/>
                <w:sz w:val="22"/>
                <w:szCs w:val="22"/>
              </w:rPr>
              <w:t>unpublished 27 February 2019</w:t>
            </w:r>
          </w:p>
        </w:tc>
        <w:tc>
          <w:tcPr>
            <w:tcW w:w="1135" w:type="dxa"/>
          </w:tcPr>
          <w:p w14:paraId="4A7A8BFB" w14:textId="77777777" w:rsidR="00CD3CD3" w:rsidRDefault="00CD3CD3" w:rsidP="00CD3CD3">
            <w:pPr>
              <w:spacing w:before="120" w:after="120"/>
              <w:rPr>
                <w:rFonts w:cs="Arial"/>
                <w:sz w:val="22"/>
                <w:szCs w:val="22"/>
              </w:rPr>
            </w:pPr>
            <w:r>
              <w:rPr>
                <w:rFonts w:cs="Arial"/>
                <w:sz w:val="22"/>
                <w:szCs w:val="22"/>
              </w:rPr>
              <w:t>Gender identity</w:t>
            </w:r>
          </w:p>
        </w:tc>
        <w:tc>
          <w:tcPr>
            <w:tcW w:w="5811" w:type="dxa"/>
          </w:tcPr>
          <w:p w14:paraId="5A590B73" w14:textId="651708CD" w:rsidR="00CD3CD3" w:rsidRDefault="00CD3CD3" w:rsidP="00CD3CD3">
            <w:pPr>
              <w:spacing w:before="120" w:after="120"/>
              <w:rPr>
                <w:rFonts w:cs="Arial"/>
                <w:sz w:val="22"/>
                <w:szCs w:val="22"/>
              </w:rPr>
            </w:pPr>
            <w:r>
              <w:rPr>
                <w:rFonts w:cs="Arial"/>
                <w:sz w:val="22"/>
                <w:szCs w:val="22"/>
              </w:rPr>
              <w:t>Emails to members of a club derisive of the person, and suggesting they ‘burn the witch’.</w:t>
            </w:r>
          </w:p>
          <w:p w14:paraId="251930DE" w14:textId="3B417145" w:rsidR="00CD3CD3" w:rsidRDefault="005F11F7" w:rsidP="00CD3CD3">
            <w:pPr>
              <w:spacing w:before="120" w:after="120"/>
              <w:rPr>
                <w:rFonts w:cs="Arial"/>
                <w:sz w:val="22"/>
                <w:szCs w:val="22"/>
              </w:rPr>
            </w:pPr>
            <w:r>
              <w:rPr>
                <w:rFonts w:cs="Arial"/>
                <w:sz w:val="22"/>
                <w:szCs w:val="22"/>
              </w:rPr>
              <w:t>(D</w:t>
            </w:r>
            <w:r w:rsidR="00CD3CD3">
              <w:rPr>
                <w:rFonts w:cs="Arial"/>
                <w:sz w:val="22"/>
                <w:szCs w:val="22"/>
              </w:rPr>
              <w:t>ecision delivered orally – these details are</w:t>
            </w:r>
            <w:r>
              <w:rPr>
                <w:rFonts w:cs="Arial"/>
                <w:sz w:val="22"/>
                <w:szCs w:val="22"/>
              </w:rPr>
              <w:t xml:space="preserve"> from the QCAT appeal decision </w:t>
            </w:r>
            <w:r w:rsidR="00CD3CD3" w:rsidRPr="00CD3CD3">
              <w:rPr>
                <w:rFonts w:cs="Arial"/>
                <w:i/>
                <w:sz w:val="22"/>
                <w:szCs w:val="22"/>
              </w:rPr>
              <w:t>Rowan v Beck</w:t>
            </w:r>
            <w:r w:rsidR="00CD3CD3">
              <w:rPr>
                <w:rFonts w:cs="Arial"/>
                <w:sz w:val="22"/>
                <w:szCs w:val="22"/>
              </w:rPr>
              <w:t xml:space="preserve"> [2021] QCATA 20</w:t>
            </w:r>
            <w:r>
              <w:rPr>
                <w:rFonts w:cs="Arial"/>
                <w:sz w:val="22"/>
                <w:szCs w:val="22"/>
              </w:rPr>
              <w:t>.  Other aspects of the appeal decision are under appeal</w:t>
            </w:r>
            <w:r w:rsidR="00062A9F">
              <w:rPr>
                <w:rFonts w:cs="Arial"/>
                <w:sz w:val="22"/>
                <w:szCs w:val="22"/>
              </w:rPr>
              <w:t xml:space="preserve"> to the Court of Appeal</w:t>
            </w:r>
            <w:r>
              <w:rPr>
                <w:rFonts w:cs="Arial"/>
                <w:sz w:val="22"/>
                <w:szCs w:val="22"/>
              </w:rPr>
              <w:t>.</w:t>
            </w:r>
            <w:r w:rsidR="00CD3CD3">
              <w:rPr>
                <w:rFonts w:cs="Arial"/>
                <w:sz w:val="22"/>
                <w:szCs w:val="22"/>
              </w:rPr>
              <w:t>)</w:t>
            </w:r>
          </w:p>
        </w:tc>
      </w:tr>
    </w:tbl>
    <w:p w14:paraId="7FFA9AFC" w14:textId="0B03452F" w:rsidR="00BA60BF" w:rsidRDefault="00BA60BF" w:rsidP="00FE5D11">
      <w:pPr>
        <w:rPr>
          <w:rFonts w:cs="Arial"/>
          <w:sz w:val="22"/>
          <w:szCs w:val="22"/>
        </w:rPr>
      </w:pPr>
    </w:p>
    <w:p w14:paraId="1781D95E" w14:textId="4F7966A7" w:rsidR="00931EAF" w:rsidRPr="00D212BE" w:rsidRDefault="00931EAF" w:rsidP="00FE5D11">
      <w:pPr>
        <w:rPr>
          <w:rFonts w:cs="Arial"/>
          <w:sz w:val="22"/>
          <w:szCs w:val="22"/>
        </w:rPr>
      </w:pPr>
      <w:r>
        <w:rPr>
          <w:rFonts w:cs="Arial"/>
          <w:sz w:val="22"/>
          <w:szCs w:val="22"/>
        </w:rPr>
        <w:t>* Indicates decision appealed.</w:t>
      </w:r>
    </w:p>
    <w:p w14:paraId="2E65CF1F" w14:textId="77777777" w:rsidR="00FE5D11" w:rsidRPr="00FE5D11" w:rsidRDefault="00FE5D11" w:rsidP="00BA60BF">
      <w:pPr>
        <w:spacing w:after="120"/>
        <w:rPr>
          <w:rFonts w:cs="Arial"/>
          <w:iCs/>
          <w:color w:val="000000"/>
        </w:rPr>
      </w:pPr>
    </w:p>
    <w:sectPr w:rsidR="00FE5D11" w:rsidRPr="00FE5D11" w:rsidSect="00931EAF">
      <w:pgSz w:w="11900" w:h="16840" w:code="9"/>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BA826" w14:textId="77777777" w:rsidR="0019639B" w:rsidRDefault="0019639B" w:rsidP="0034134D">
      <w:r>
        <w:separator/>
      </w:r>
    </w:p>
  </w:endnote>
  <w:endnote w:type="continuationSeparator" w:id="0">
    <w:p w14:paraId="79A9C1D0" w14:textId="77777777" w:rsidR="0019639B" w:rsidRDefault="0019639B"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0F37" w14:textId="77777777" w:rsidR="0019639B" w:rsidRDefault="0019639B" w:rsidP="006D0CD6">
    <w:pPr>
      <w:pStyle w:val="Footer"/>
      <w:pBdr>
        <w:top w:val="single" w:sz="4" w:space="1" w:color="auto"/>
      </w:pBdr>
      <w:jc w:val="right"/>
      <w:rPr>
        <w:rFonts w:cs="Arial"/>
        <w:sz w:val="20"/>
        <w:szCs w:val="20"/>
      </w:rPr>
    </w:pPr>
  </w:p>
  <w:p w14:paraId="10688C65" w14:textId="6376708B" w:rsidR="0019639B" w:rsidRPr="006D0CD6" w:rsidRDefault="0019639B" w:rsidP="006D0CD6">
    <w:pPr>
      <w:pStyle w:val="Footer"/>
      <w:jc w:val="right"/>
      <w:rPr>
        <w:rFonts w:cs="Arial"/>
        <w:sz w:val="20"/>
        <w:szCs w:val="20"/>
      </w:rPr>
    </w:pP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9B7648">
      <w:rPr>
        <w:rFonts w:cs="Arial"/>
        <w:noProof/>
        <w:sz w:val="20"/>
        <w:szCs w:val="20"/>
      </w:rPr>
      <w:t>53</w:t>
    </w:r>
    <w:r w:rsidRPr="004A237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433A" w14:textId="77777777" w:rsidR="0019639B" w:rsidRDefault="0019639B" w:rsidP="000731D3">
    <w:pPr>
      <w:pStyle w:val="Footer"/>
      <w:pBdr>
        <w:top w:val="single" w:sz="4" w:space="1" w:color="auto"/>
      </w:pBdr>
      <w:jc w:val="right"/>
      <w:rPr>
        <w:rFonts w:cs="Arial"/>
        <w:sz w:val="20"/>
        <w:szCs w:val="20"/>
      </w:rPr>
    </w:pPr>
  </w:p>
  <w:p w14:paraId="6FAAE13B" w14:textId="77777777" w:rsidR="0019639B" w:rsidRPr="004A2375" w:rsidRDefault="0019639B"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96688" w14:textId="77777777" w:rsidR="0019639B" w:rsidRDefault="0019639B" w:rsidP="0034134D">
      <w:r>
        <w:separator/>
      </w:r>
    </w:p>
  </w:footnote>
  <w:footnote w:type="continuationSeparator" w:id="0">
    <w:p w14:paraId="51B26118" w14:textId="77777777" w:rsidR="0019639B" w:rsidRDefault="0019639B" w:rsidP="0034134D">
      <w:r>
        <w:continuationSeparator/>
      </w:r>
    </w:p>
  </w:footnote>
  <w:footnote w:id="1">
    <w:p w14:paraId="60D15A6F" w14:textId="4EF5EF0A" w:rsidR="0019639B" w:rsidRPr="008D48FD" w:rsidRDefault="0019639B">
      <w:pPr>
        <w:pStyle w:val="FootnoteText"/>
        <w:rPr>
          <w:lang w:val="en-US"/>
        </w:rPr>
      </w:pPr>
      <w:r>
        <w:rPr>
          <w:rStyle w:val="FootnoteReference"/>
        </w:rPr>
        <w:footnoteRef/>
      </w:r>
      <w:r>
        <w:t xml:space="preserve"> </w:t>
      </w:r>
      <w:r>
        <w:rPr>
          <w:lang w:val="en-US"/>
        </w:rPr>
        <w:t xml:space="preserve">Clause 4 of the Terms of Reference provides: ‘In light of the Government’s commitment for a Parliamentary Committee inquiry on serious vilification and hate crime, the Commission is directed </w:t>
      </w:r>
      <w:r w:rsidRPr="008D48FD">
        <w:rPr>
          <w:u w:val="single"/>
          <w:lang w:val="en-US"/>
        </w:rPr>
        <w:t>not</w:t>
      </w:r>
      <w:r>
        <w:rPr>
          <w:lang w:val="en-US"/>
        </w:rPr>
        <w:t xml:space="preserve"> to consider as part of this review vilification or sections 124A or 131A of the AD Act.</w:t>
      </w:r>
    </w:p>
  </w:footnote>
  <w:footnote w:id="2">
    <w:p w14:paraId="49272F15" w14:textId="3ACE7341" w:rsidR="0019639B" w:rsidRPr="00D86187" w:rsidRDefault="0019639B">
      <w:pPr>
        <w:pStyle w:val="FootnoteText"/>
        <w:rPr>
          <w:lang w:val="en-US"/>
        </w:rPr>
      </w:pPr>
      <w:r>
        <w:rPr>
          <w:rStyle w:val="FootnoteReference"/>
        </w:rPr>
        <w:footnoteRef/>
      </w:r>
      <w:r>
        <w:t xml:space="preserve"> </w:t>
      </w:r>
      <w:r>
        <w:rPr>
          <w:lang w:val="en-US"/>
        </w:rPr>
        <w:t xml:space="preserve">The Options Paper can be downloaded from the campaign website: </w:t>
      </w:r>
      <w:hyperlink r:id="rId1" w:history="1">
        <w:r w:rsidRPr="00CB21DF">
          <w:rPr>
            <w:rStyle w:val="Hyperlink"/>
            <w:lang w:val="en-US"/>
          </w:rPr>
          <w:t>www.betterlawsforsafeqld.com.au/our-call-for-change/</w:t>
        </w:r>
      </w:hyperlink>
      <w:r>
        <w:rPr>
          <w:lang w:val="en-US"/>
        </w:rPr>
        <w:t xml:space="preserve"> . </w:t>
      </w:r>
    </w:p>
  </w:footnote>
  <w:footnote w:id="3">
    <w:p w14:paraId="6ED31F73" w14:textId="77777777" w:rsidR="0019639B" w:rsidRPr="006C613F" w:rsidRDefault="0019639B" w:rsidP="005B6B4B">
      <w:pPr>
        <w:pStyle w:val="FootnoteText"/>
      </w:pPr>
      <w:r w:rsidRPr="006C613F">
        <w:rPr>
          <w:rStyle w:val="FootnoteReference"/>
        </w:rPr>
        <w:footnoteRef/>
      </w:r>
      <w:r w:rsidRPr="006C613F">
        <w:t xml:space="preserve"> For example, the online subculture of men united by sexual frustration and a hatred of women, Incel, which is alleged to have radicalised a man in Canada to drive a van into a sidewalk, killing ten people. Source</w:t>
      </w:r>
      <w:r>
        <w:t>: Zoe Williams, ‘“Raw hatred”: why the “incel” movement targets and terrorises women’</w:t>
      </w:r>
      <w:r w:rsidRPr="006C613F">
        <w:t xml:space="preserve"> </w:t>
      </w:r>
      <w:r w:rsidRPr="00D17866">
        <w:rPr>
          <w:i/>
        </w:rPr>
        <w:t>The Guardian</w:t>
      </w:r>
      <w:r w:rsidRPr="006C613F">
        <w:t>, 2</w:t>
      </w:r>
      <w:r>
        <w:t>6</w:t>
      </w:r>
      <w:r w:rsidRPr="006C613F">
        <w:t xml:space="preserve"> </w:t>
      </w:r>
      <w:r>
        <w:t>April</w:t>
      </w:r>
      <w:r w:rsidRPr="006C613F">
        <w:t xml:space="preserve"> 201</w:t>
      </w:r>
      <w:r>
        <w:t>8</w:t>
      </w:r>
      <w:r w:rsidRPr="006C613F">
        <w:t>.  Researchers in Western Australia have determined that Incels have killed at least 50 people and injured at least 58 since 2014, and present a national security issue</w:t>
      </w:r>
      <w:r>
        <w:t xml:space="preserve">. See </w:t>
      </w:r>
      <w:r w:rsidRPr="006C613F">
        <w:t xml:space="preserve">Sian Tomlinson, Tauel Harper </w:t>
      </w:r>
      <w:r>
        <w:t>and</w:t>
      </w:r>
      <w:r w:rsidRPr="006C613F">
        <w:t xml:space="preserve"> Katie Attwell </w:t>
      </w:r>
      <w:r>
        <w:t>‘</w:t>
      </w:r>
      <w:r w:rsidRPr="006C613F">
        <w:t>Confronting Incel: exploring possible policy responses to misogynistic violent extremism</w:t>
      </w:r>
      <w:r>
        <w:t>’ (2020)</w:t>
      </w:r>
      <w:r w:rsidRPr="006C613F">
        <w:t xml:space="preserve"> </w:t>
      </w:r>
      <w:r>
        <w:t xml:space="preserve">55(2) </w:t>
      </w:r>
      <w:r w:rsidRPr="00D17866">
        <w:rPr>
          <w:i/>
        </w:rPr>
        <w:t>Australian Journal of Political Science</w:t>
      </w:r>
      <w:r w:rsidRPr="006C613F">
        <w:t xml:space="preserve"> 152</w:t>
      </w:r>
      <w:r>
        <w:t>.</w:t>
      </w:r>
    </w:p>
  </w:footnote>
  <w:footnote w:id="4">
    <w:p w14:paraId="439A1E3B" w14:textId="77777777" w:rsidR="0019639B" w:rsidRPr="00071CD9" w:rsidRDefault="0019639B" w:rsidP="005B6B4B">
      <w:pPr>
        <w:pStyle w:val="FootnoteText"/>
        <w:rPr>
          <w:lang w:val="en-US"/>
        </w:rPr>
      </w:pPr>
      <w:r>
        <w:rPr>
          <w:rStyle w:val="FootnoteReference"/>
        </w:rPr>
        <w:footnoteRef/>
      </w:r>
      <w:r>
        <w:t xml:space="preserve"> </w:t>
      </w:r>
      <w:r>
        <w:rPr>
          <w:lang w:val="en-US"/>
        </w:rPr>
        <w:t xml:space="preserve">See, for example, the United Kingdom’s independent Commission for Countering Extremism publication, </w:t>
      </w:r>
      <w:r w:rsidRPr="006D46BA">
        <w:rPr>
          <w:i/>
          <w:lang w:val="en-US"/>
        </w:rPr>
        <w:t>COVID-19: How hateful extremists are exploiting the pandemic</w:t>
      </w:r>
      <w:r>
        <w:rPr>
          <w:lang w:val="en-US"/>
        </w:rPr>
        <w:t xml:space="preserve"> (report July 2020); and Matthew I Williams et al, ‘Hate in the machine: anti-black and anti-Muslim social media posts as predictors of offline racially and religiously aggravated crime’ (2020) 60(1) </w:t>
      </w:r>
      <w:r w:rsidRPr="006D46BA">
        <w:rPr>
          <w:i/>
          <w:lang w:val="en-US"/>
        </w:rPr>
        <w:t>British Journal of Criminology</w:t>
      </w:r>
      <w:r>
        <w:rPr>
          <w:i/>
          <w:lang w:val="en-US"/>
        </w:rPr>
        <w:t xml:space="preserve">, </w:t>
      </w:r>
      <w:r w:rsidRPr="006D46BA">
        <w:rPr>
          <w:lang w:val="en-US"/>
        </w:rPr>
        <w:t>93</w:t>
      </w:r>
      <w:r>
        <w:rPr>
          <w:lang w:val="en-US"/>
        </w:rPr>
        <w:t>.</w:t>
      </w:r>
    </w:p>
  </w:footnote>
  <w:footnote w:id="5">
    <w:p w14:paraId="0A868E0F" w14:textId="77777777" w:rsidR="0019639B" w:rsidRPr="008C37D3" w:rsidRDefault="0019639B" w:rsidP="005B6B4B">
      <w:pPr>
        <w:pStyle w:val="FootnoteText"/>
        <w:rPr>
          <w:lang w:val="en-US"/>
        </w:rPr>
      </w:pPr>
      <w:r w:rsidRPr="003977F4">
        <w:rPr>
          <w:rStyle w:val="FootnoteReference"/>
        </w:rPr>
        <w:footnoteRef/>
      </w:r>
      <w:r w:rsidRPr="003977F4">
        <w:t xml:space="preserve"> </w:t>
      </w:r>
      <w:r w:rsidRPr="000B72A0">
        <w:rPr>
          <w:rFonts w:eastAsia="Times New Roman"/>
          <w:color w:val="000000" w:themeColor="text1"/>
          <w:spacing w:val="3"/>
          <w:sz w:val="18"/>
          <w:szCs w:val="18"/>
        </w:rPr>
        <w:t xml:space="preserve">Royal Commission of Inquiry into the terrorist attack on Christchurch masjidain on 15 March 2019, </w:t>
      </w:r>
      <w:r w:rsidRPr="009A7A4E">
        <w:rPr>
          <w:rFonts w:eastAsia="Times New Roman"/>
          <w:i/>
          <w:color w:val="000000" w:themeColor="text1"/>
          <w:spacing w:val="3"/>
          <w:kern w:val="36"/>
          <w:sz w:val="18"/>
          <w:szCs w:val="18"/>
        </w:rPr>
        <w:t>Ko tō tātou kāinga tēnei</w:t>
      </w:r>
      <w:r w:rsidRPr="000B72A0">
        <w:rPr>
          <w:rFonts w:eastAsia="Times New Roman"/>
          <w:color w:val="000000" w:themeColor="text1"/>
          <w:spacing w:val="3"/>
          <w:kern w:val="36"/>
          <w:sz w:val="18"/>
          <w:szCs w:val="18"/>
        </w:rPr>
        <w:t xml:space="preserve"> </w:t>
      </w:r>
      <w:r>
        <w:rPr>
          <w:rFonts w:eastAsia="Times New Roman"/>
          <w:color w:val="000000" w:themeColor="text1"/>
          <w:spacing w:val="3"/>
          <w:sz w:val="18"/>
          <w:szCs w:val="18"/>
        </w:rPr>
        <w:t xml:space="preserve">(Report, 26 November 2020) </w:t>
      </w:r>
      <w:r>
        <w:rPr>
          <w:lang w:val="en-US"/>
        </w:rPr>
        <w:t>Part 9, 4.1 [13]–[14].</w:t>
      </w:r>
    </w:p>
  </w:footnote>
  <w:footnote w:id="6">
    <w:p w14:paraId="438023FF" w14:textId="77777777" w:rsidR="0019639B" w:rsidRPr="00633883" w:rsidRDefault="0019639B" w:rsidP="00514765">
      <w:pPr>
        <w:pStyle w:val="FootnoteText"/>
        <w:rPr>
          <w:color w:val="000000" w:themeColor="text1"/>
          <w:sz w:val="18"/>
          <w:szCs w:val="18"/>
          <w:lang w:val="en-US"/>
        </w:rPr>
      </w:pPr>
      <w:r w:rsidRPr="00633883">
        <w:rPr>
          <w:rStyle w:val="FootnoteReference"/>
          <w:color w:val="000000" w:themeColor="text1"/>
          <w:sz w:val="18"/>
          <w:szCs w:val="18"/>
        </w:rPr>
        <w:footnoteRef/>
      </w:r>
      <w:r w:rsidRPr="00633883">
        <w:rPr>
          <w:color w:val="000000" w:themeColor="text1"/>
          <w:sz w:val="18"/>
          <w:szCs w:val="18"/>
        </w:rPr>
        <w:t xml:space="preserve"> </w:t>
      </w:r>
      <w:r>
        <w:rPr>
          <w:color w:val="000000" w:themeColor="text1"/>
          <w:sz w:val="18"/>
          <w:szCs w:val="18"/>
        </w:rPr>
        <w:t>‘Director-General’s Annual Threat Assessment’, Australian Security Intelligence Organisation (Web Page, 24 February 2020).</w:t>
      </w:r>
    </w:p>
  </w:footnote>
  <w:footnote w:id="7">
    <w:p w14:paraId="25F1C00F" w14:textId="77777777" w:rsidR="0019639B" w:rsidRPr="000B72A0" w:rsidRDefault="0019639B" w:rsidP="00514765">
      <w:pPr>
        <w:pStyle w:val="Heading2"/>
        <w:keepNext w:val="0"/>
        <w:keepLines w:val="0"/>
        <w:spacing w:before="0" w:after="0"/>
        <w:rPr>
          <w:rFonts w:cs="Arial"/>
          <w:b w:val="0"/>
          <w:color w:val="000000" w:themeColor="text1"/>
          <w:sz w:val="20"/>
          <w:szCs w:val="20"/>
        </w:rPr>
      </w:pPr>
      <w:r w:rsidRPr="000B72A0">
        <w:rPr>
          <w:rStyle w:val="FootnoteReference"/>
          <w:rFonts w:cs="Arial"/>
          <w:b w:val="0"/>
          <w:color w:val="000000" w:themeColor="text1"/>
          <w:sz w:val="20"/>
          <w:szCs w:val="20"/>
        </w:rPr>
        <w:footnoteRef/>
      </w:r>
      <w:r w:rsidRPr="000B72A0">
        <w:rPr>
          <w:rFonts w:cs="Arial"/>
          <w:b w:val="0"/>
          <w:color w:val="000000" w:themeColor="text1"/>
          <w:sz w:val="20"/>
          <w:szCs w:val="20"/>
        </w:rPr>
        <w:t xml:space="preserve"> </w:t>
      </w:r>
      <w:r>
        <w:rPr>
          <w:rFonts w:cs="Arial"/>
          <w:b w:val="0"/>
          <w:color w:val="000000" w:themeColor="text1"/>
          <w:sz w:val="20"/>
          <w:szCs w:val="20"/>
        </w:rPr>
        <w:t xml:space="preserve">John Coyne, ‘ASIO sounds the alarm’, </w:t>
      </w:r>
      <w:r w:rsidRPr="00EA56A7">
        <w:rPr>
          <w:rFonts w:cs="Arial"/>
          <w:b w:val="0"/>
          <w:i/>
          <w:color w:val="000000" w:themeColor="text1"/>
          <w:sz w:val="20"/>
          <w:szCs w:val="20"/>
        </w:rPr>
        <w:t>Australian Strategic Policy Institute</w:t>
      </w:r>
      <w:r>
        <w:rPr>
          <w:rFonts w:cs="Arial"/>
          <w:b w:val="0"/>
          <w:color w:val="000000" w:themeColor="text1"/>
          <w:sz w:val="20"/>
          <w:szCs w:val="20"/>
        </w:rPr>
        <w:t xml:space="preserve"> (Web Page, 3 March 2020).</w:t>
      </w:r>
    </w:p>
  </w:footnote>
  <w:footnote w:id="8">
    <w:p w14:paraId="11CC94EE" w14:textId="77777777" w:rsidR="0019639B" w:rsidRPr="000B72A0" w:rsidRDefault="0019639B" w:rsidP="00514765">
      <w:pPr>
        <w:rPr>
          <w:rFonts w:cs="Arial"/>
          <w:sz w:val="20"/>
          <w:szCs w:val="20"/>
          <w:lang w:val="en-US"/>
        </w:rPr>
      </w:pPr>
      <w:r w:rsidRPr="000B72A0">
        <w:rPr>
          <w:rStyle w:val="FootnoteReference"/>
          <w:rFonts w:cs="Arial"/>
          <w:sz w:val="20"/>
          <w:szCs w:val="20"/>
        </w:rPr>
        <w:footnoteRef/>
      </w:r>
      <w:r w:rsidRPr="000B72A0">
        <w:rPr>
          <w:rFonts w:cs="Arial"/>
          <w:sz w:val="20"/>
          <w:szCs w:val="20"/>
        </w:rPr>
        <w:t xml:space="preserve"> </w:t>
      </w:r>
      <w:r w:rsidRPr="000B72A0">
        <w:rPr>
          <w:rFonts w:cs="Arial"/>
          <w:color w:val="000000" w:themeColor="text1"/>
          <w:sz w:val="20"/>
          <w:szCs w:val="20"/>
        </w:rPr>
        <w:t>United Nations</w:t>
      </w:r>
      <w:r>
        <w:rPr>
          <w:rFonts w:cs="Arial"/>
          <w:color w:val="000000" w:themeColor="text1"/>
          <w:sz w:val="20"/>
          <w:szCs w:val="20"/>
        </w:rPr>
        <w:t>,</w:t>
      </w:r>
      <w:r w:rsidRPr="000B72A0">
        <w:rPr>
          <w:rFonts w:cs="Arial"/>
          <w:color w:val="000000" w:themeColor="text1"/>
          <w:sz w:val="20"/>
          <w:szCs w:val="20"/>
        </w:rPr>
        <w:t xml:space="preserve"> </w:t>
      </w:r>
      <w:r w:rsidRPr="00807B4F">
        <w:rPr>
          <w:rFonts w:cs="Arial"/>
          <w:bCs/>
          <w:i/>
          <w:color w:val="000000" w:themeColor="text1"/>
          <w:sz w:val="20"/>
          <w:szCs w:val="20"/>
        </w:rPr>
        <w:t>Strategy and Plan of Action on Hate Speech</w:t>
      </w:r>
      <w:r w:rsidRPr="000B72A0">
        <w:rPr>
          <w:rFonts w:cs="Arial"/>
          <w:bCs/>
          <w:color w:val="000000" w:themeColor="text1"/>
          <w:sz w:val="20"/>
          <w:szCs w:val="20"/>
        </w:rPr>
        <w:t xml:space="preserve"> </w:t>
      </w:r>
      <w:r>
        <w:rPr>
          <w:rFonts w:cs="Arial"/>
          <w:bCs/>
          <w:color w:val="000000" w:themeColor="text1"/>
          <w:sz w:val="20"/>
          <w:szCs w:val="20"/>
        </w:rPr>
        <w:t xml:space="preserve">(May </w:t>
      </w:r>
      <w:r w:rsidRPr="000B72A0">
        <w:rPr>
          <w:rFonts w:cs="Arial"/>
          <w:bCs/>
          <w:color w:val="000000" w:themeColor="text1"/>
          <w:sz w:val="20"/>
          <w:szCs w:val="20"/>
        </w:rPr>
        <w:t>2019</w:t>
      </w:r>
      <w:r>
        <w:rPr>
          <w:rFonts w:cs="Arial"/>
          <w:bCs/>
          <w:color w:val="000000" w:themeColor="text1"/>
          <w:sz w:val="20"/>
          <w:szCs w:val="20"/>
        </w:rPr>
        <w:t>)</w:t>
      </w:r>
      <w:r w:rsidRPr="000B72A0">
        <w:rPr>
          <w:rFonts w:cs="Arial"/>
          <w:bCs/>
          <w:color w:val="000000" w:themeColor="text1"/>
          <w:sz w:val="20"/>
          <w:szCs w:val="20"/>
        </w:rPr>
        <w:t xml:space="preserve"> </w:t>
      </w:r>
      <w:r>
        <w:rPr>
          <w:rFonts w:cs="Arial"/>
          <w:bCs/>
          <w:color w:val="000000" w:themeColor="text1"/>
          <w:sz w:val="20"/>
          <w:szCs w:val="20"/>
        </w:rPr>
        <w:t>1.</w:t>
      </w:r>
    </w:p>
  </w:footnote>
  <w:footnote w:id="9">
    <w:p w14:paraId="707A36B0" w14:textId="77777777" w:rsidR="0019639B" w:rsidRPr="000B72A0" w:rsidRDefault="0019639B" w:rsidP="00514765">
      <w:pPr>
        <w:pStyle w:val="FootnoteText"/>
        <w:rPr>
          <w:rFonts w:cs="Arial"/>
          <w:szCs w:val="20"/>
          <w:lang w:val="en-US"/>
        </w:rPr>
      </w:pPr>
      <w:r w:rsidRPr="000B72A0">
        <w:rPr>
          <w:rStyle w:val="FootnoteReference"/>
          <w:rFonts w:cs="Arial"/>
          <w:szCs w:val="20"/>
        </w:rPr>
        <w:footnoteRef/>
      </w:r>
      <w:r w:rsidRPr="000B72A0">
        <w:rPr>
          <w:rFonts w:cs="Arial"/>
          <w:szCs w:val="20"/>
        </w:rPr>
        <w:t xml:space="preserve"> </w:t>
      </w:r>
      <w:r>
        <w:rPr>
          <w:rFonts w:cs="Arial"/>
          <w:szCs w:val="20"/>
        </w:rPr>
        <w:t xml:space="preserve">United Nations Security Council. Counter-Terrorism Committee, ‘Member States concerned by the growing and increasingly transnational threat of extreme right-wing terrorism’ </w:t>
      </w:r>
      <w:r w:rsidRPr="007A24A6">
        <w:rPr>
          <w:rFonts w:cs="Arial"/>
          <w:i/>
          <w:szCs w:val="20"/>
        </w:rPr>
        <w:t>CTED Trends Alert</w:t>
      </w:r>
      <w:r>
        <w:rPr>
          <w:rFonts w:cs="Arial"/>
          <w:szCs w:val="20"/>
        </w:rPr>
        <w:t>, July 2020.</w:t>
      </w:r>
    </w:p>
  </w:footnote>
  <w:footnote w:id="10">
    <w:p w14:paraId="6BD0A65F" w14:textId="02414F73" w:rsidR="0019639B" w:rsidRPr="00CE1D50" w:rsidRDefault="0019639B">
      <w:pPr>
        <w:pStyle w:val="FootnoteText"/>
        <w:rPr>
          <w:lang w:val="en-US"/>
        </w:rPr>
      </w:pPr>
      <w:r>
        <w:rPr>
          <w:rStyle w:val="FootnoteReference"/>
        </w:rPr>
        <w:footnoteRef/>
      </w:r>
      <w:r>
        <w:t xml:space="preserve"> </w:t>
      </w:r>
      <w:r>
        <w:rPr>
          <w:lang w:val="en-US"/>
        </w:rPr>
        <w:t xml:space="preserve">Fernand de Varennes, </w:t>
      </w:r>
      <w:r>
        <w:rPr>
          <w:i/>
          <w:lang w:val="en-US"/>
        </w:rPr>
        <w:t xml:space="preserve">Report of the Special Rapporteur on minority issues, </w:t>
      </w:r>
      <w:r>
        <w:rPr>
          <w:lang w:val="en-US"/>
        </w:rPr>
        <w:t>UN Doc A/HRC/46/57 (3 March 2021) [21].</w:t>
      </w:r>
    </w:p>
  </w:footnote>
  <w:footnote w:id="11">
    <w:p w14:paraId="33CEE7A4" w14:textId="471B2849" w:rsidR="0019639B" w:rsidRPr="00054EDF" w:rsidRDefault="0019639B">
      <w:pPr>
        <w:pStyle w:val="FootnoteText"/>
        <w:rPr>
          <w:lang w:val="en-US"/>
        </w:rPr>
      </w:pPr>
      <w:r>
        <w:rPr>
          <w:rStyle w:val="FootnoteReference"/>
        </w:rPr>
        <w:footnoteRef/>
      </w:r>
      <w:r>
        <w:t xml:space="preserve"> </w:t>
      </w:r>
      <w:r>
        <w:rPr>
          <w:lang w:val="en-US"/>
        </w:rPr>
        <w:t>Ibid, [44].</w:t>
      </w:r>
    </w:p>
  </w:footnote>
  <w:footnote w:id="12">
    <w:p w14:paraId="285A9975" w14:textId="7DA0F613" w:rsidR="0019639B" w:rsidRPr="006369AF" w:rsidRDefault="0019639B" w:rsidP="00514765">
      <w:pPr>
        <w:pStyle w:val="FootnoteText"/>
        <w:rPr>
          <w:lang w:val="en-US"/>
        </w:rPr>
      </w:pPr>
      <w:r>
        <w:rPr>
          <w:rStyle w:val="FootnoteReference"/>
        </w:rPr>
        <w:footnoteRef/>
      </w:r>
      <w:r>
        <w:t xml:space="preserve"> </w:t>
      </w:r>
      <w:r>
        <w:rPr>
          <w:lang w:val="en-US"/>
        </w:rPr>
        <w:t xml:space="preserve">Chris Cunneen and Sophie Russell, ‘Vilification, vigilantism and violence: Troubling social media in Australia’ in Kim D Weinert, Karen Crawley and Kieran Tranter (eds), </w:t>
      </w:r>
      <w:r>
        <w:rPr>
          <w:i/>
          <w:lang w:val="en-US"/>
        </w:rPr>
        <w:t xml:space="preserve">Law, Lawyers and Justice </w:t>
      </w:r>
      <w:r>
        <w:rPr>
          <w:lang w:val="en-US"/>
        </w:rPr>
        <w:t xml:space="preserve">(Routledge, 2020) ch 5.  See also media report of vigilantism in Townsville: </w:t>
      </w:r>
      <w:r w:rsidRPr="001C045C">
        <w:rPr>
          <w:szCs w:val="20"/>
        </w:rPr>
        <w:t xml:space="preserve">Sofie Wainwright, ‘Vigilantes chasing stolen cars, patrolling streets, as youth crime rises in Townsville’ </w:t>
      </w:r>
      <w:r w:rsidRPr="001C045C">
        <w:rPr>
          <w:i/>
          <w:szCs w:val="20"/>
        </w:rPr>
        <w:t xml:space="preserve">ABC News </w:t>
      </w:r>
      <w:r w:rsidRPr="001C045C">
        <w:rPr>
          <w:szCs w:val="20"/>
        </w:rPr>
        <w:t>(online), 29 September 2020, &lt;https://www.abc.net.au/news/2020-09-29/townsville-vigilantes-hit-the-streets-amid-spike-in-crime/12696864&gt;.</w:t>
      </w:r>
    </w:p>
  </w:footnote>
  <w:footnote w:id="13">
    <w:p w14:paraId="4F66D84C" w14:textId="32B75D56" w:rsidR="0019639B" w:rsidRPr="00005BD1" w:rsidRDefault="0019639B">
      <w:pPr>
        <w:pStyle w:val="FootnoteText"/>
        <w:rPr>
          <w:lang w:val="en-US"/>
        </w:rPr>
      </w:pPr>
      <w:r>
        <w:rPr>
          <w:rStyle w:val="FootnoteReference"/>
        </w:rPr>
        <w:footnoteRef/>
      </w:r>
      <w:r>
        <w:t xml:space="preserve"> </w:t>
      </w:r>
      <w:r>
        <w:rPr>
          <w:i/>
          <w:lang w:val="en-US"/>
        </w:rPr>
        <w:t>Anti-Discrimination Act 1991</w:t>
      </w:r>
      <w:r>
        <w:rPr>
          <w:lang w:val="en-US"/>
        </w:rPr>
        <w:t xml:space="preserve"> section 124A.</w:t>
      </w:r>
    </w:p>
  </w:footnote>
  <w:footnote w:id="14">
    <w:p w14:paraId="7824349E" w14:textId="77777777" w:rsidR="0019639B" w:rsidRPr="006C613F" w:rsidRDefault="0019639B" w:rsidP="002A512A">
      <w:pPr>
        <w:pStyle w:val="FootnoteText"/>
      </w:pPr>
      <w:r w:rsidRPr="006C613F">
        <w:rPr>
          <w:rStyle w:val="FootnoteReference"/>
        </w:rPr>
        <w:footnoteRef/>
      </w:r>
      <w:r w:rsidRPr="006C613F">
        <w:t xml:space="preserve"> </w:t>
      </w:r>
      <w:r w:rsidRPr="006C613F">
        <w:rPr>
          <w:i/>
        </w:rPr>
        <w:t>Anti-Discrimination Act 1991</w:t>
      </w:r>
      <w:r w:rsidRPr="006C613F">
        <w:t xml:space="preserve"> section 131A.</w:t>
      </w:r>
    </w:p>
  </w:footnote>
  <w:footnote w:id="15">
    <w:p w14:paraId="4B0D6820" w14:textId="11490E72" w:rsidR="0019639B" w:rsidRPr="006C613F" w:rsidRDefault="0019639B">
      <w:pPr>
        <w:pStyle w:val="FootnoteText"/>
      </w:pPr>
      <w:r w:rsidRPr="006C613F">
        <w:rPr>
          <w:rStyle w:val="FootnoteReference"/>
        </w:rPr>
        <w:footnoteRef/>
      </w:r>
      <w:r w:rsidRPr="006C613F">
        <w:t xml:space="preserve"> When the Act commenced in June 1992, it included a provision making it an offence to incite unlawful discrimination or another contravention of the Act by advocating racial or religious hatred or hostility.  </w:t>
      </w:r>
      <w:r w:rsidRPr="00AB6D72">
        <w:t>That provision was repealed when the prohibitions of vilification on the grounds of race and religion were inserted.</w:t>
      </w:r>
      <w:r>
        <w:t xml:space="preserve">  The inclusion of the grounds of sexuality and gender identity commenced 31 March 2002.</w:t>
      </w:r>
    </w:p>
  </w:footnote>
  <w:footnote w:id="16">
    <w:p w14:paraId="69B68CA7" w14:textId="46C8C8CB" w:rsidR="0019639B" w:rsidRPr="001308C4" w:rsidRDefault="0019639B">
      <w:pPr>
        <w:pStyle w:val="FootnoteText"/>
        <w:rPr>
          <w:lang w:val="en-US"/>
        </w:rPr>
      </w:pPr>
      <w:r>
        <w:rPr>
          <w:rStyle w:val="FootnoteReference"/>
        </w:rPr>
        <w:footnoteRef/>
      </w:r>
      <w:r>
        <w:t xml:space="preserve"> </w:t>
      </w:r>
      <w:r>
        <w:rPr>
          <w:lang w:val="en-US"/>
        </w:rPr>
        <w:t xml:space="preserve">Fernand de Varennes, </w:t>
      </w:r>
      <w:r>
        <w:rPr>
          <w:i/>
          <w:lang w:val="en-US"/>
        </w:rPr>
        <w:t xml:space="preserve">Report of the Special Rapporteur on minority issues, </w:t>
      </w:r>
      <w:r>
        <w:rPr>
          <w:lang w:val="en-US"/>
        </w:rPr>
        <w:t>UN Doc A/HRC/46/57 (3 March 2021) [46].</w:t>
      </w:r>
    </w:p>
  </w:footnote>
  <w:footnote w:id="17">
    <w:p w14:paraId="256DFDF3" w14:textId="2669CB82" w:rsidR="0019639B" w:rsidRPr="0071227F" w:rsidRDefault="0019639B">
      <w:pPr>
        <w:pStyle w:val="FootnoteText"/>
        <w:rPr>
          <w:lang w:val="en-US"/>
        </w:rPr>
      </w:pPr>
      <w:r>
        <w:rPr>
          <w:rStyle w:val="FootnoteReference"/>
        </w:rPr>
        <w:footnoteRef/>
      </w:r>
      <w:r>
        <w:t xml:space="preserve"> </w:t>
      </w:r>
      <w:r>
        <w:rPr>
          <w:lang w:val="en-US"/>
        </w:rPr>
        <w:t xml:space="preserve">Australian Federal Police, Submission No. 5 to Joint Parliamentary Committee on Intelligence and Security, </w:t>
      </w:r>
      <w:r>
        <w:rPr>
          <w:i/>
          <w:lang w:val="en-US"/>
        </w:rPr>
        <w:t>Inquiry into extremist movements and radicalism in Australia</w:t>
      </w:r>
      <w:r>
        <w:rPr>
          <w:lang w:val="en-US"/>
        </w:rPr>
        <w:t>, February 2021, 9.</w:t>
      </w:r>
    </w:p>
  </w:footnote>
  <w:footnote w:id="18">
    <w:p w14:paraId="3C804423" w14:textId="77777777" w:rsidR="0019639B" w:rsidRPr="00545FB6" w:rsidRDefault="0019639B" w:rsidP="00752BB6">
      <w:pPr>
        <w:pStyle w:val="FootnoteText"/>
        <w:rPr>
          <w:lang w:val="en-US"/>
        </w:rPr>
      </w:pPr>
      <w:r>
        <w:rPr>
          <w:rStyle w:val="FootnoteReference"/>
        </w:rPr>
        <w:footnoteRef/>
      </w:r>
      <w:r>
        <w:t xml:space="preserve"> </w:t>
      </w:r>
      <w:r>
        <w:rPr>
          <w:i/>
          <w:lang w:val="en-US"/>
        </w:rPr>
        <w:t xml:space="preserve">Brosnahan v Ronoff </w:t>
      </w:r>
      <w:r>
        <w:rPr>
          <w:lang w:val="en-US"/>
        </w:rPr>
        <w:t>[2011] QCAT 439.</w:t>
      </w:r>
    </w:p>
  </w:footnote>
  <w:footnote w:id="19">
    <w:p w14:paraId="18289731" w14:textId="2E16279A" w:rsidR="0019639B" w:rsidRPr="00F83AEB" w:rsidRDefault="0019639B" w:rsidP="00F83AEB">
      <w:pPr>
        <w:rPr>
          <w:szCs w:val="20"/>
        </w:rPr>
      </w:pPr>
      <w:r>
        <w:rPr>
          <w:rStyle w:val="FootnoteReference"/>
        </w:rPr>
        <w:footnoteRef/>
      </w:r>
      <w:r>
        <w:t xml:space="preserve"> </w:t>
      </w:r>
      <w:r w:rsidRPr="0045693A">
        <w:rPr>
          <w:sz w:val="20"/>
          <w:szCs w:val="20"/>
        </w:rPr>
        <w:t xml:space="preserve">Peter Kohn, ‘Shule-goers screamed at, spat on’ </w:t>
      </w:r>
      <w:r w:rsidRPr="0045693A">
        <w:rPr>
          <w:i/>
          <w:sz w:val="20"/>
          <w:szCs w:val="20"/>
        </w:rPr>
        <w:t xml:space="preserve">The Australian Jewish News </w:t>
      </w:r>
      <w:r w:rsidRPr="0045693A">
        <w:rPr>
          <w:sz w:val="20"/>
          <w:szCs w:val="20"/>
        </w:rPr>
        <w:t xml:space="preserve">(online), 18 February 2021 &lt;https://ajn.timesofisrael.com/shule-goers-screamed-at-spat-on/&gt;.   See also ‘Attack at the Brisbane Synagogue’, </w:t>
      </w:r>
      <w:r w:rsidRPr="0045693A">
        <w:rPr>
          <w:i/>
          <w:sz w:val="20"/>
          <w:szCs w:val="20"/>
        </w:rPr>
        <w:t>11 Network Australia</w:t>
      </w:r>
      <w:r w:rsidRPr="0045693A">
        <w:rPr>
          <w:sz w:val="20"/>
          <w:szCs w:val="20"/>
        </w:rPr>
        <w:t xml:space="preserve"> (online video),16 February 2021, &lt;https://www.youtube.com/watch?v=yQhtsog9ASc&gt;.</w:t>
      </w:r>
    </w:p>
  </w:footnote>
  <w:footnote w:id="20">
    <w:p w14:paraId="7A3B8394" w14:textId="1012719E" w:rsidR="0019639B" w:rsidRPr="00F83AEB" w:rsidRDefault="0019639B">
      <w:pPr>
        <w:pStyle w:val="FootnoteText"/>
        <w:rPr>
          <w:lang w:val="en-US"/>
        </w:rPr>
      </w:pPr>
      <w:r>
        <w:rPr>
          <w:rStyle w:val="FootnoteReference"/>
        </w:rPr>
        <w:footnoteRef/>
      </w:r>
      <w:r>
        <w:t xml:space="preserve"> </w:t>
      </w:r>
      <w:r w:rsidRPr="00EE5240">
        <w:rPr>
          <w:szCs w:val="20"/>
        </w:rPr>
        <w:t xml:space="preserve">‘Man charged over allegedly mooning and abusing Muslim woman at Logan shops’ </w:t>
      </w:r>
      <w:r w:rsidRPr="00EE5240">
        <w:rPr>
          <w:i/>
          <w:szCs w:val="20"/>
        </w:rPr>
        <w:t xml:space="preserve">9News </w:t>
      </w:r>
      <w:r w:rsidRPr="00EE5240">
        <w:rPr>
          <w:szCs w:val="20"/>
        </w:rPr>
        <w:t>(online), 25 September 2015 &lt;https://www.9news.com.au/national/man-charged-over-allegedly-mooning-and-abusing-muslim-woman-at-logan-shops/17b13dd3-8885-4e31-8a08-2fb79767f795&gt;.</w:t>
      </w:r>
    </w:p>
  </w:footnote>
  <w:footnote w:id="21">
    <w:p w14:paraId="5F7A0668" w14:textId="77777777" w:rsidR="0019639B" w:rsidRPr="00C26C0D" w:rsidRDefault="0019639B" w:rsidP="00B55E3F">
      <w:pPr>
        <w:rPr>
          <w:sz w:val="20"/>
          <w:szCs w:val="20"/>
        </w:rPr>
      </w:pPr>
      <w:r>
        <w:rPr>
          <w:rStyle w:val="FootnoteReference"/>
        </w:rPr>
        <w:footnoteRef/>
      </w:r>
      <w:r>
        <w:t xml:space="preserve"> </w:t>
      </w:r>
      <w:r w:rsidRPr="00C26C0D">
        <w:rPr>
          <w:sz w:val="20"/>
          <w:szCs w:val="20"/>
        </w:rPr>
        <w:t xml:space="preserve">Kimberley Vlasic. ‘Two charged over alleged hate attack on Cairns Muslim woman; </w:t>
      </w:r>
      <w:r w:rsidRPr="00C26C0D">
        <w:rPr>
          <w:i/>
          <w:sz w:val="20"/>
          <w:szCs w:val="20"/>
        </w:rPr>
        <w:t xml:space="preserve">The Cairns Post </w:t>
      </w:r>
      <w:r w:rsidRPr="00C26C0D">
        <w:rPr>
          <w:sz w:val="20"/>
          <w:szCs w:val="20"/>
        </w:rPr>
        <w:t>(online), 27 October 206 &lt;https://www.cairnspost.com.au/news/crime-court/two-charged-over-alleged-hate-attack-on-cairns-muslim-woman/news-story/c516534d7416c095a2eb192475e3d96a&gt;.</w:t>
      </w:r>
    </w:p>
    <w:p w14:paraId="4F753F36" w14:textId="0319BDC6" w:rsidR="0019639B" w:rsidRPr="007B674F" w:rsidRDefault="0019639B">
      <w:pPr>
        <w:pStyle w:val="FootnoteText"/>
        <w:rPr>
          <w:lang w:val="en-US"/>
        </w:rPr>
      </w:pPr>
    </w:p>
  </w:footnote>
  <w:footnote w:id="22">
    <w:p w14:paraId="5B07F694" w14:textId="1DE07159" w:rsidR="0019639B" w:rsidRPr="00F83AEB" w:rsidRDefault="0019639B">
      <w:pPr>
        <w:pStyle w:val="FootnoteText"/>
        <w:rPr>
          <w:lang w:val="en-US"/>
        </w:rPr>
      </w:pPr>
      <w:r>
        <w:rPr>
          <w:rStyle w:val="FootnoteReference"/>
        </w:rPr>
        <w:footnoteRef/>
      </w:r>
      <w:r>
        <w:t xml:space="preserve"> </w:t>
      </w:r>
      <w:r w:rsidRPr="003F749F">
        <w:rPr>
          <w:szCs w:val="20"/>
        </w:rPr>
        <w:t xml:space="preserve">Brooke Baskin, ‘Man who threatened to burn hijab fined $500, runs from court with head covered’ </w:t>
      </w:r>
      <w:r w:rsidRPr="003F749F">
        <w:rPr>
          <w:i/>
          <w:szCs w:val="20"/>
        </w:rPr>
        <w:t xml:space="preserve">The Courier Mail </w:t>
      </w:r>
      <w:r w:rsidRPr="003F749F">
        <w:rPr>
          <w:szCs w:val="20"/>
        </w:rPr>
        <w:t>(online), 27 October 2014 &lt;https://www.couriermail.com.au/news/queensland/man-who-threatened-to-burn-hijab-fined-500-runs-from-court-with-head-covered/news-story/51e06180632e63412054bd6c56cfafad&gt;.</w:t>
      </w:r>
    </w:p>
  </w:footnote>
  <w:footnote w:id="23">
    <w:p w14:paraId="42C352B0" w14:textId="5B24761E" w:rsidR="0019639B" w:rsidRPr="006E4D86" w:rsidRDefault="0019639B">
      <w:pPr>
        <w:pStyle w:val="FootnoteText"/>
        <w:rPr>
          <w:lang w:val="en-US"/>
        </w:rPr>
      </w:pPr>
      <w:r>
        <w:rPr>
          <w:rStyle w:val="FootnoteReference"/>
        </w:rPr>
        <w:footnoteRef/>
      </w:r>
      <w:r>
        <w:t xml:space="preserve"> </w:t>
      </w:r>
      <w:r>
        <w:rPr>
          <w:i/>
          <w:lang w:val="en-US"/>
        </w:rPr>
        <w:t xml:space="preserve">Telecommunications (Interception and Access) Act 1979 </w:t>
      </w:r>
      <w:r>
        <w:rPr>
          <w:lang w:val="en-US"/>
        </w:rPr>
        <w:t>(Cth) section 116(1)(d)(i).</w:t>
      </w:r>
    </w:p>
  </w:footnote>
  <w:footnote w:id="24">
    <w:p w14:paraId="21C37374" w14:textId="7C9F3DA2" w:rsidR="0019639B" w:rsidRPr="006E4D86" w:rsidRDefault="0019639B">
      <w:pPr>
        <w:pStyle w:val="FootnoteText"/>
        <w:rPr>
          <w:lang w:val="en-US"/>
        </w:rPr>
      </w:pPr>
      <w:r>
        <w:rPr>
          <w:rStyle w:val="FootnoteReference"/>
        </w:rPr>
        <w:footnoteRef/>
      </w:r>
      <w:r>
        <w:t xml:space="preserve"> </w:t>
      </w:r>
      <w:r>
        <w:rPr>
          <w:i/>
          <w:lang w:val="en-US"/>
        </w:rPr>
        <w:t xml:space="preserve">Telecommunications (Interception and Access) Act 1979 </w:t>
      </w:r>
      <w:r>
        <w:rPr>
          <w:lang w:val="en-US"/>
        </w:rPr>
        <w:t>(Cth) section 5E, meaning of serious contraventions.</w:t>
      </w:r>
    </w:p>
  </w:footnote>
  <w:footnote w:id="25">
    <w:p w14:paraId="32C6B2E2" w14:textId="44BD4F60" w:rsidR="0019639B" w:rsidRPr="00AF1035" w:rsidRDefault="0019639B">
      <w:pPr>
        <w:pStyle w:val="FootnoteText"/>
        <w:rPr>
          <w:lang w:val="en-US"/>
        </w:rPr>
      </w:pPr>
      <w:r>
        <w:rPr>
          <w:rStyle w:val="FootnoteReference"/>
        </w:rPr>
        <w:footnoteRef/>
      </w:r>
      <w:r>
        <w:t xml:space="preserve"> </w:t>
      </w:r>
      <w:r>
        <w:rPr>
          <w:i/>
        </w:rPr>
        <w:t xml:space="preserve">Whittaker v Turner </w:t>
      </w:r>
      <w:r>
        <w:t>[2004] QCA 191.  There is no requirement for the complainant to be aggrieved by or have any direct knowledge of the offence alleged.</w:t>
      </w:r>
    </w:p>
  </w:footnote>
  <w:footnote w:id="26">
    <w:p w14:paraId="245A44DD" w14:textId="2466D66D" w:rsidR="0019639B" w:rsidRPr="00B9187A" w:rsidRDefault="0019639B">
      <w:pPr>
        <w:pStyle w:val="FootnoteText"/>
      </w:pPr>
      <w:r w:rsidRPr="00B9187A">
        <w:rPr>
          <w:rStyle w:val="FootnoteReference"/>
        </w:rPr>
        <w:footnoteRef/>
      </w:r>
      <w:r w:rsidRPr="00B9187A">
        <w:t xml:space="preserve"> Scrutiny of Legislation Committee, Queensland Parliament, </w:t>
      </w:r>
      <w:r w:rsidRPr="00B9187A">
        <w:rPr>
          <w:i/>
        </w:rPr>
        <w:t xml:space="preserve">Alert Digest </w:t>
      </w:r>
      <w:r w:rsidRPr="00B9187A">
        <w:t>(Issue No. 1 of 2001, 15 May 2001) 14 [71]-[73].</w:t>
      </w:r>
    </w:p>
  </w:footnote>
  <w:footnote w:id="27">
    <w:p w14:paraId="36E492DC" w14:textId="10C6D29A" w:rsidR="0019639B" w:rsidRPr="00B9187A" w:rsidRDefault="0019639B">
      <w:pPr>
        <w:pStyle w:val="FootnoteText"/>
      </w:pPr>
      <w:r w:rsidRPr="00B9187A">
        <w:rPr>
          <w:rStyle w:val="FootnoteReference"/>
        </w:rPr>
        <w:footnoteRef/>
      </w:r>
      <w:r w:rsidRPr="00B9187A">
        <w:t xml:space="preserve"> The prior consent of the DPP is required for Criminal defamation (s365) and an investigation of an offence by an acquitted person in relation to possible retrial.  The prior consent of a Crown Law Officer (the Attorney-General of DPP) for certain offences charged on indictment with a serious organised crim</w:t>
      </w:r>
      <w:r>
        <w:t>e circumstance of aggravation.</w:t>
      </w:r>
    </w:p>
  </w:footnote>
  <w:footnote w:id="28">
    <w:p w14:paraId="679F9308" w14:textId="27D07D16" w:rsidR="0019639B" w:rsidRPr="00BA50E0" w:rsidRDefault="0019639B">
      <w:pPr>
        <w:pStyle w:val="FootnoteText"/>
        <w:rPr>
          <w:lang w:val="en-US"/>
        </w:rPr>
      </w:pPr>
      <w:r>
        <w:rPr>
          <w:rStyle w:val="FootnoteReference"/>
        </w:rPr>
        <w:footnoteRef/>
      </w:r>
      <w:r>
        <w:t xml:space="preserve"> </w:t>
      </w:r>
      <w:r>
        <w:rPr>
          <w:i/>
          <w:lang w:val="en-US"/>
        </w:rPr>
        <w:t xml:space="preserve">Anti-Discrimination Act 1977 </w:t>
      </w:r>
      <w:r>
        <w:rPr>
          <w:lang w:val="en-US"/>
        </w:rPr>
        <w:t>(NSW) sections 20D, 38T, 49ZTA, and 49ZXC respectively.</w:t>
      </w:r>
    </w:p>
  </w:footnote>
  <w:footnote w:id="29">
    <w:p w14:paraId="59EF3AEC" w14:textId="77777777" w:rsidR="0019639B" w:rsidRPr="00571028" w:rsidRDefault="0019639B" w:rsidP="00F03603">
      <w:pPr>
        <w:pStyle w:val="FootnoteText"/>
        <w:rPr>
          <w:lang w:val="en-US"/>
        </w:rPr>
      </w:pPr>
      <w:r>
        <w:rPr>
          <w:rStyle w:val="FootnoteReference"/>
        </w:rPr>
        <w:footnoteRef/>
      </w:r>
      <w:r>
        <w:t xml:space="preserve"> </w:t>
      </w:r>
      <w:r>
        <w:rPr>
          <w:i/>
          <w:lang w:val="en-US"/>
        </w:rPr>
        <w:t>Criminal Code</w:t>
      </w:r>
      <w:r>
        <w:rPr>
          <w:lang w:val="en-US"/>
        </w:rPr>
        <w:t xml:space="preserve"> section 474.15(1).</w:t>
      </w:r>
    </w:p>
  </w:footnote>
  <w:footnote w:id="30">
    <w:p w14:paraId="49B44C1F" w14:textId="77777777" w:rsidR="0019639B" w:rsidRPr="00571028" w:rsidRDefault="0019639B" w:rsidP="00F03603">
      <w:pPr>
        <w:pStyle w:val="FootnoteText"/>
        <w:rPr>
          <w:lang w:val="en-US"/>
        </w:rPr>
      </w:pPr>
      <w:r>
        <w:rPr>
          <w:rStyle w:val="FootnoteReference"/>
        </w:rPr>
        <w:footnoteRef/>
      </w:r>
      <w:r>
        <w:t xml:space="preserve"> </w:t>
      </w:r>
      <w:r>
        <w:rPr>
          <w:i/>
          <w:lang w:val="en-US"/>
        </w:rPr>
        <w:t>Criminal Code</w:t>
      </w:r>
      <w:r>
        <w:rPr>
          <w:lang w:val="en-US"/>
        </w:rPr>
        <w:t xml:space="preserve"> section 474.15(2).</w:t>
      </w:r>
    </w:p>
  </w:footnote>
  <w:footnote w:id="31">
    <w:p w14:paraId="24D919AE" w14:textId="77777777" w:rsidR="0019639B" w:rsidRPr="00571028" w:rsidRDefault="0019639B" w:rsidP="00F03603">
      <w:pPr>
        <w:pStyle w:val="FootnoteText"/>
        <w:rPr>
          <w:lang w:val="en-US"/>
        </w:rPr>
      </w:pPr>
      <w:r>
        <w:rPr>
          <w:rStyle w:val="FootnoteReference"/>
        </w:rPr>
        <w:footnoteRef/>
      </w:r>
      <w:r>
        <w:t xml:space="preserve"> </w:t>
      </w:r>
      <w:r>
        <w:rPr>
          <w:i/>
          <w:lang w:val="en-US"/>
        </w:rPr>
        <w:t>Criminal Code</w:t>
      </w:r>
      <w:r>
        <w:rPr>
          <w:lang w:val="en-US"/>
        </w:rPr>
        <w:t xml:space="preserve"> section 474.17.</w:t>
      </w:r>
    </w:p>
  </w:footnote>
  <w:footnote w:id="32">
    <w:p w14:paraId="5A47ACBD" w14:textId="1EF7FCC6" w:rsidR="0019639B" w:rsidRPr="003D4F3D" w:rsidRDefault="0019639B">
      <w:pPr>
        <w:pStyle w:val="FootnoteText"/>
        <w:rPr>
          <w:lang w:val="en-US"/>
        </w:rPr>
      </w:pPr>
      <w:r>
        <w:rPr>
          <w:rStyle w:val="FootnoteReference"/>
        </w:rPr>
        <w:footnoteRef/>
      </w:r>
      <w:r>
        <w:t xml:space="preserve"> </w:t>
      </w:r>
      <w:r>
        <w:rPr>
          <w:i/>
          <w:lang w:val="en-US"/>
        </w:rPr>
        <w:t>Criminal Code</w:t>
      </w:r>
      <w:r>
        <w:rPr>
          <w:lang w:val="en-US"/>
        </w:rPr>
        <w:t xml:space="preserve"> sections 80.2A and 80.2B.</w:t>
      </w:r>
    </w:p>
  </w:footnote>
  <w:footnote w:id="33">
    <w:p w14:paraId="68CEB5F8" w14:textId="4062F501" w:rsidR="0019639B" w:rsidRPr="00A93A6E" w:rsidRDefault="0019639B">
      <w:pPr>
        <w:pStyle w:val="FootnoteText"/>
        <w:rPr>
          <w:lang w:val="en-US"/>
        </w:rPr>
      </w:pPr>
      <w:r>
        <w:rPr>
          <w:rStyle w:val="FootnoteReference"/>
        </w:rPr>
        <w:footnoteRef/>
      </w:r>
      <w:r>
        <w:t xml:space="preserve"> </w:t>
      </w:r>
      <w:r>
        <w:rPr>
          <w:lang w:val="en-US"/>
        </w:rPr>
        <w:t xml:space="preserve">Law Council of Australia, Submission No. 9 – Supplementary submission to Parliamentary Joint Committee on Intelligence and Security, </w:t>
      </w:r>
      <w:r>
        <w:rPr>
          <w:i/>
          <w:lang w:val="en-US"/>
        </w:rPr>
        <w:t xml:space="preserve">Inquiry into extremist movements and radicalism in Australia, </w:t>
      </w:r>
      <w:r>
        <w:rPr>
          <w:lang w:val="en-US"/>
        </w:rPr>
        <w:t>25 May 2021, 22.</w:t>
      </w:r>
    </w:p>
  </w:footnote>
  <w:footnote w:id="34">
    <w:p w14:paraId="1BCDD97D" w14:textId="0453E9B5" w:rsidR="0019639B" w:rsidRPr="00A93A6E" w:rsidRDefault="0019639B">
      <w:pPr>
        <w:pStyle w:val="FootnoteText"/>
        <w:rPr>
          <w:lang w:val="en-US"/>
        </w:rPr>
      </w:pPr>
      <w:r>
        <w:rPr>
          <w:rStyle w:val="FootnoteReference"/>
        </w:rPr>
        <w:footnoteRef/>
      </w:r>
      <w:r>
        <w:t xml:space="preserve"> </w:t>
      </w:r>
      <w:r>
        <w:rPr>
          <w:lang w:val="en-US"/>
        </w:rPr>
        <w:t xml:space="preserve">Australia Federal Police, Submission No. 5 to Parliamentary Joint Committee on Intelligence and Security, </w:t>
      </w:r>
      <w:r>
        <w:rPr>
          <w:i/>
          <w:lang w:val="en-US"/>
        </w:rPr>
        <w:t xml:space="preserve">Inquiry into extremist movements and radicalism in Australia, </w:t>
      </w:r>
      <w:r>
        <w:rPr>
          <w:lang w:val="en-US"/>
        </w:rPr>
        <w:t>February 2021, 9.</w:t>
      </w:r>
    </w:p>
  </w:footnote>
  <w:footnote w:id="35">
    <w:p w14:paraId="40C1EA8A" w14:textId="51A6C20A" w:rsidR="0019639B" w:rsidRPr="00081B92" w:rsidRDefault="0019639B">
      <w:pPr>
        <w:pStyle w:val="FootnoteText"/>
        <w:rPr>
          <w:lang w:val="en-US"/>
        </w:rPr>
      </w:pPr>
      <w:r>
        <w:rPr>
          <w:rStyle w:val="FootnoteReference"/>
        </w:rPr>
        <w:footnoteRef/>
      </w:r>
      <w:r>
        <w:t xml:space="preserve"> </w:t>
      </w:r>
      <w:r w:rsidRPr="00D3128D">
        <w:rPr>
          <w:lang w:val="en-US"/>
        </w:rPr>
        <w:t>Evidence to Parliamentary Joint Committee on Intelligence and Security, Parliament of Australia</w:t>
      </w:r>
      <w:r>
        <w:rPr>
          <w:lang w:val="en-US"/>
        </w:rPr>
        <w:t>, Canberra, 29 April 2021, 21 (Scott Lee, Assistant Commissioner, Counter Terrorism and Special Investigations, Australian Federal Police).</w:t>
      </w:r>
    </w:p>
  </w:footnote>
  <w:footnote w:id="36">
    <w:p w14:paraId="37BAE893" w14:textId="77777777" w:rsidR="0019639B" w:rsidRPr="00571028" w:rsidRDefault="0019639B" w:rsidP="00F03603">
      <w:pPr>
        <w:pStyle w:val="FootnoteText"/>
        <w:rPr>
          <w:lang w:val="en-US"/>
        </w:rPr>
      </w:pPr>
      <w:r>
        <w:rPr>
          <w:rStyle w:val="FootnoteReference"/>
        </w:rPr>
        <w:footnoteRef/>
      </w:r>
      <w:r>
        <w:t xml:space="preserve"> </w:t>
      </w:r>
      <w:r>
        <w:rPr>
          <w:lang w:val="en-US"/>
        </w:rPr>
        <w:t xml:space="preserve">The regime is provided for in sections 474.30 to 474.48 of the </w:t>
      </w:r>
      <w:r w:rsidRPr="00571028">
        <w:rPr>
          <w:i/>
          <w:lang w:val="en-US"/>
        </w:rPr>
        <w:t>Criminal Code</w:t>
      </w:r>
      <w:r>
        <w:rPr>
          <w:lang w:val="en-US"/>
        </w:rPr>
        <w:t>.</w:t>
      </w:r>
    </w:p>
  </w:footnote>
  <w:footnote w:id="37">
    <w:p w14:paraId="276D3981" w14:textId="23890CA8" w:rsidR="0019639B" w:rsidRPr="007B674F" w:rsidRDefault="0019639B">
      <w:pPr>
        <w:pStyle w:val="FootnoteText"/>
        <w:rPr>
          <w:lang w:val="en-US"/>
        </w:rPr>
      </w:pPr>
      <w:r>
        <w:rPr>
          <w:rStyle w:val="FootnoteReference"/>
        </w:rPr>
        <w:footnoteRef/>
      </w:r>
      <w:r>
        <w:t xml:space="preserve"> </w:t>
      </w:r>
      <w:r>
        <w:rPr>
          <w:lang w:val="en-US"/>
        </w:rPr>
        <w:t xml:space="preserve">The functions of the Commission will be considered in the Commission’s Review of the </w:t>
      </w:r>
      <w:r w:rsidRPr="00F83AEB">
        <w:rPr>
          <w:i/>
          <w:lang w:val="en-US"/>
        </w:rPr>
        <w:t>Anti-Discrimination Act 1991</w:t>
      </w:r>
      <w:r>
        <w:rPr>
          <w:i/>
          <w:lang w:val="en-US"/>
        </w:rPr>
        <w:t xml:space="preserve"> </w:t>
      </w:r>
      <w:r>
        <w:rPr>
          <w:lang w:val="en-US"/>
        </w:rPr>
        <w:t>to be delivered to the Attorney-General by 30 June 2022.</w:t>
      </w:r>
    </w:p>
  </w:footnote>
  <w:footnote w:id="38">
    <w:p w14:paraId="404C26CE" w14:textId="1417C527" w:rsidR="0019639B" w:rsidRPr="00C54D67" w:rsidRDefault="0019639B">
      <w:pPr>
        <w:pStyle w:val="FootnoteText"/>
        <w:rPr>
          <w:lang w:val="en-US"/>
        </w:rPr>
      </w:pPr>
      <w:r>
        <w:rPr>
          <w:rStyle w:val="FootnoteReference"/>
        </w:rPr>
        <w:footnoteRef/>
      </w:r>
      <w:r>
        <w:t xml:space="preserve"> The meaning of a serious organised crime circumstance of aggravation is defined in the </w:t>
      </w:r>
      <w:r>
        <w:rPr>
          <w:i/>
        </w:rPr>
        <w:t xml:space="preserve">Penalties and Sentences Act 1992 </w:t>
      </w:r>
      <w:r>
        <w:t>section 161Q.</w:t>
      </w:r>
    </w:p>
  </w:footnote>
  <w:footnote w:id="39">
    <w:p w14:paraId="7820219D" w14:textId="54446FDC" w:rsidR="0019639B" w:rsidRPr="00E72537"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45-58.</w:t>
      </w:r>
    </w:p>
  </w:footnote>
  <w:footnote w:id="40">
    <w:p w14:paraId="3E941590" w14:textId="4A7B1CF6" w:rsidR="0019639B" w:rsidRPr="00E72537" w:rsidRDefault="0019639B">
      <w:pPr>
        <w:pStyle w:val="FootnoteText"/>
        <w:rPr>
          <w:lang w:val="en-US"/>
        </w:rPr>
      </w:pPr>
      <w:r>
        <w:rPr>
          <w:rStyle w:val="FootnoteReference"/>
        </w:rPr>
        <w:footnoteRef/>
      </w:r>
      <w:r>
        <w:t xml:space="preserve"> </w:t>
      </w:r>
      <w:r>
        <w:rPr>
          <w:i/>
        </w:rPr>
        <w:t xml:space="preserve">Crimes Act 1900 </w:t>
      </w:r>
      <w:r>
        <w:t xml:space="preserve">(NSW) </w:t>
      </w:r>
      <w:r>
        <w:rPr>
          <w:lang w:val="en-US"/>
        </w:rPr>
        <w:t>section 93Z.</w:t>
      </w:r>
    </w:p>
  </w:footnote>
  <w:footnote w:id="41">
    <w:p w14:paraId="3BE8B34E" w14:textId="7FB9D33A" w:rsidR="0019639B" w:rsidRPr="00D70E21" w:rsidRDefault="0019639B">
      <w:pPr>
        <w:pStyle w:val="FootnoteText"/>
        <w:rPr>
          <w:lang w:val="en-US"/>
        </w:rPr>
      </w:pPr>
      <w:r>
        <w:rPr>
          <w:rStyle w:val="FootnoteReference"/>
        </w:rPr>
        <w:footnoteRef/>
      </w:r>
      <w:r>
        <w:t xml:space="preserve"> </w:t>
      </w:r>
      <w:r>
        <w:rPr>
          <w:i/>
          <w:lang w:val="en-US"/>
        </w:rPr>
        <w:t xml:space="preserve">Anti-Discrimination Act 1977 </w:t>
      </w:r>
      <w:r>
        <w:rPr>
          <w:lang w:val="en-US"/>
        </w:rPr>
        <w:t>(NSW) sections 20C, 38S, 49ZT and 49ZXB respectively.</w:t>
      </w:r>
    </w:p>
  </w:footnote>
  <w:footnote w:id="42">
    <w:p w14:paraId="1B5EE2AC" w14:textId="23F9B2DB" w:rsidR="0019639B" w:rsidRPr="00BE0F7A"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48-51.</w:t>
      </w:r>
    </w:p>
  </w:footnote>
  <w:footnote w:id="43">
    <w:p w14:paraId="1A777D73" w14:textId="31EF0D28" w:rsidR="0019639B" w:rsidRPr="00F26FB2"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51-54.</w:t>
      </w:r>
    </w:p>
  </w:footnote>
  <w:footnote w:id="44">
    <w:p w14:paraId="7BED6016" w14:textId="5314CB4F" w:rsidR="0019639B" w:rsidRPr="009C2862" w:rsidRDefault="0019639B">
      <w:pPr>
        <w:pStyle w:val="FootnoteText"/>
        <w:rPr>
          <w:lang w:val="en-US"/>
        </w:rPr>
      </w:pPr>
      <w:r>
        <w:rPr>
          <w:rStyle w:val="FootnoteReference"/>
        </w:rPr>
        <w:footnoteRef/>
      </w:r>
      <w:r>
        <w:t xml:space="preserve"> </w:t>
      </w:r>
      <w:r>
        <w:rPr>
          <w:lang w:val="en-US"/>
        </w:rPr>
        <w:t xml:space="preserve">Law Commission (United Kingdom), </w:t>
      </w:r>
      <w:r w:rsidRPr="009C2862">
        <w:rPr>
          <w:i/>
          <w:lang w:val="en-US"/>
        </w:rPr>
        <w:t>Hate crime laws</w:t>
      </w:r>
      <w:r>
        <w:rPr>
          <w:lang w:val="en-US"/>
        </w:rPr>
        <w:t>, A consultation paper (2020) 307.</w:t>
      </w:r>
    </w:p>
  </w:footnote>
  <w:footnote w:id="45">
    <w:p w14:paraId="545929F5" w14:textId="6A19584B" w:rsidR="0019639B" w:rsidRPr="00374B1E" w:rsidRDefault="0019639B">
      <w:pPr>
        <w:pStyle w:val="FootnoteText"/>
        <w:rPr>
          <w:lang w:val="en-US"/>
        </w:rPr>
      </w:pPr>
      <w:r>
        <w:rPr>
          <w:rStyle w:val="FootnoteReference"/>
        </w:rPr>
        <w:footnoteRef/>
      </w:r>
      <w:r>
        <w:t xml:space="preserve"> </w:t>
      </w:r>
      <w:r>
        <w:rPr>
          <w:lang w:val="en-US"/>
        </w:rPr>
        <w:t>The UK approach also includes enhanced sentencing that apply to hostility on the grounds of race, religion, sexual orientation, disability or transgender identity; and separate offences for stirring up hatred and for racist chanting at a football match.</w:t>
      </w:r>
    </w:p>
  </w:footnote>
  <w:footnote w:id="46">
    <w:p w14:paraId="0A0F061B" w14:textId="0C6594C8" w:rsidR="0019639B" w:rsidRPr="007C5206" w:rsidRDefault="0019639B">
      <w:pPr>
        <w:pStyle w:val="FootnoteText"/>
        <w:rPr>
          <w:i/>
          <w:lang w:val="en-US"/>
        </w:rPr>
      </w:pPr>
      <w:r>
        <w:rPr>
          <w:rStyle w:val="FootnoteReference"/>
        </w:rPr>
        <w:footnoteRef/>
      </w:r>
      <w:r>
        <w:t xml:space="preserve"> </w:t>
      </w:r>
      <w:r>
        <w:rPr>
          <w:lang w:val="en-US"/>
        </w:rPr>
        <w:t xml:space="preserve">Tamara Walsh, ‘Public nuisance, race and gender’ (2017) 26(3) </w:t>
      </w:r>
      <w:r>
        <w:rPr>
          <w:i/>
          <w:lang w:val="en-US"/>
        </w:rPr>
        <w:t>Griffith Law Review.</w:t>
      </w:r>
    </w:p>
  </w:footnote>
  <w:footnote w:id="47">
    <w:p w14:paraId="75AA8976" w14:textId="3269B894" w:rsidR="0019639B" w:rsidRPr="00BD241F" w:rsidRDefault="0019639B">
      <w:pPr>
        <w:pStyle w:val="FootnoteText"/>
        <w:rPr>
          <w:lang w:val="en-US"/>
        </w:rPr>
      </w:pPr>
      <w:r>
        <w:rPr>
          <w:rStyle w:val="FootnoteReference"/>
        </w:rPr>
        <w:footnoteRef/>
      </w:r>
      <w:r>
        <w:t xml:space="preserve"> </w:t>
      </w:r>
      <w:r>
        <w:rPr>
          <w:lang w:val="en-US"/>
        </w:rPr>
        <w:t xml:space="preserve">Human Rights Committee, </w:t>
      </w:r>
      <w:r w:rsidRPr="00DB527C">
        <w:rPr>
          <w:i/>
          <w:lang w:val="en-US"/>
        </w:rPr>
        <w:t>Ge</w:t>
      </w:r>
      <w:r>
        <w:rPr>
          <w:i/>
          <w:lang w:val="en-US"/>
        </w:rPr>
        <w:t>neral Comment No 34: Article 19</w:t>
      </w:r>
      <w:r w:rsidRPr="00DB527C">
        <w:rPr>
          <w:i/>
          <w:lang w:val="en-US"/>
        </w:rPr>
        <w:t xml:space="preserve"> Freedoms of opinion and expression</w:t>
      </w:r>
      <w:r>
        <w:rPr>
          <w:lang w:val="en-US"/>
        </w:rPr>
        <w:t>, 102</w:t>
      </w:r>
      <w:r w:rsidRPr="00BD241F">
        <w:rPr>
          <w:vertAlign w:val="superscript"/>
          <w:lang w:val="en-US"/>
        </w:rPr>
        <w:t>nd</w:t>
      </w:r>
      <w:r>
        <w:rPr>
          <w:lang w:val="en-US"/>
        </w:rPr>
        <w:t xml:space="preserve"> sess, UN doc CCRP/C/GC/34 (12 September 2011).</w:t>
      </w:r>
    </w:p>
  </w:footnote>
  <w:footnote w:id="48">
    <w:p w14:paraId="76459B32" w14:textId="0CB30AEB" w:rsidR="0019639B" w:rsidRPr="0061048B" w:rsidRDefault="0019639B">
      <w:pPr>
        <w:pStyle w:val="FootnoteText"/>
        <w:rPr>
          <w:lang w:val="en-US"/>
        </w:rPr>
      </w:pPr>
      <w:r>
        <w:rPr>
          <w:rStyle w:val="FootnoteReference"/>
        </w:rPr>
        <w:footnoteRef/>
      </w:r>
      <w:r>
        <w:t xml:space="preserve"> </w:t>
      </w:r>
      <w:r>
        <w:rPr>
          <w:i/>
          <w:lang w:val="en-US"/>
        </w:rPr>
        <w:t xml:space="preserve">Sentencing Act 1991 </w:t>
      </w:r>
      <w:r>
        <w:rPr>
          <w:lang w:val="en-US"/>
        </w:rPr>
        <w:t>(Vic) section 5(2)(daaa).</w:t>
      </w:r>
    </w:p>
  </w:footnote>
  <w:footnote w:id="49">
    <w:p w14:paraId="27CC1A18" w14:textId="591E228C" w:rsidR="0019639B" w:rsidRPr="003747BE"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183.</w:t>
      </w:r>
    </w:p>
  </w:footnote>
  <w:footnote w:id="50">
    <w:p w14:paraId="01977C59" w14:textId="7391A414" w:rsidR="0019639B" w:rsidRPr="000E3A3C" w:rsidRDefault="0019639B">
      <w:pPr>
        <w:pStyle w:val="FootnoteText"/>
        <w:rPr>
          <w:lang w:val="en-US"/>
        </w:rPr>
      </w:pPr>
      <w:r>
        <w:rPr>
          <w:rStyle w:val="FootnoteReference"/>
        </w:rPr>
        <w:footnoteRef/>
      </w:r>
      <w:r>
        <w:t xml:space="preserve"> </w:t>
      </w:r>
      <w:r>
        <w:rPr>
          <w:i/>
          <w:lang w:val="en-US"/>
        </w:rPr>
        <w:t xml:space="preserve">Crimes (Sentencing Procedure) Act 1999 </w:t>
      </w:r>
      <w:r>
        <w:rPr>
          <w:lang w:val="en-US"/>
        </w:rPr>
        <w:t>(NSW) section 21A (2)(h).</w:t>
      </w:r>
    </w:p>
  </w:footnote>
  <w:footnote w:id="51">
    <w:p w14:paraId="47D62780" w14:textId="6DBB48B9" w:rsidR="0019639B" w:rsidRPr="003B5A28" w:rsidRDefault="0019639B">
      <w:pPr>
        <w:pStyle w:val="FootnoteText"/>
        <w:rPr>
          <w:lang w:val="en-US"/>
        </w:rPr>
      </w:pPr>
      <w:r>
        <w:rPr>
          <w:rStyle w:val="FootnoteReference"/>
        </w:rPr>
        <w:footnoteRef/>
      </w:r>
      <w:r>
        <w:t xml:space="preserve"> </w:t>
      </w:r>
      <w:r>
        <w:rPr>
          <w:i/>
          <w:lang w:val="en-US"/>
        </w:rPr>
        <w:t xml:space="preserve">Dunn v The Queen </w:t>
      </w:r>
      <w:r>
        <w:rPr>
          <w:lang w:val="en-US"/>
        </w:rPr>
        <w:t>[2007] NSWCCA 312.</w:t>
      </w:r>
    </w:p>
  </w:footnote>
  <w:footnote w:id="52">
    <w:p w14:paraId="087E0AD1" w14:textId="639902FC" w:rsidR="0019639B" w:rsidRPr="00562219" w:rsidRDefault="0019639B">
      <w:pPr>
        <w:pStyle w:val="FootnoteText"/>
        <w:rPr>
          <w:lang w:val="en-US"/>
        </w:rPr>
      </w:pPr>
      <w:r>
        <w:rPr>
          <w:rStyle w:val="FootnoteReference"/>
        </w:rPr>
        <w:footnoteRef/>
      </w:r>
      <w:r>
        <w:t xml:space="preserve"> </w:t>
      </w:r>
      <w:r>
        <w:rPr>
          <w:lang w:val="en-US"/>
        </w:rPr>
        <w:t xml:space="preserve">Law Commission (United Kingdom), </w:t>
      </w:r>
      <w:r w:rsidRPr="009C2862">
        <w:rPr>
          <w:i/>
          <w:lang w:val="en-US"/>
        </w:rPr>
        <w:t>Hate crime laws</w:t>
      </w:r>
      <w:r>
        <w:rPr>
          <w:lang w:val="en-US"/>
        </w:rPr>
        <w:t>, A consultation paper (2020) 207 and 369.</w:t>
      </w:r>
    </w:p>
  </w:footnote>
  <w:footnote w:id="53">
    <w:p w14:paraId="4E0FDF5A" w14:textId="48B4E020" w:rsidR="0019639B" w:rsidRPr="00755289" w:rsidRDefault="0019639B">
      <w:pPr>
        <w:pStyle w:val="FootnoteText"/>
        <w:rPr>
          <w:lang w:val="en-US"/>
        </w:rPr>
      </w:pPr>
      <w:r>
        <w:rPr>
          <w:rStyle w:val="FootnoteReference"/>
        </w:rPr>
        <w:footnoteRef/>
      </w:r>
      <w:r>
        <w:t xml:space="preserve"> New South Wales Law Reform Commission, </w:t>
      </w:r>
      <w:r>
        <w:rPr>
          <w:i/>
        </w:rPr>
        <w:t xml:space="preserve">Sentencing </w:t>
      </w:r>
      <w:r>
        <w:t>(Report 139, July 2013) 112, [4.186].</w:t>
      </w:r>
    </w:p>
  </w:footnote>
  <w:footnote w:id="54">
    <w:p w14:paraId="7F5F8805" w14:textId="14F254DD" w:rsidR="0019639B" w:rsidRPr="00757B20" w:rsidRDefault="0019639B">
      <w:pPr>
        <w:pStyle w:val="FootnoteText"/>
        <w:rPr>
          <w:lang w:val="en-US"/>
        </w:rPr>
      </w:pPr>
      <w:r>
        <w:rPr>
          <w:rStyle w:val="FootnoteReference"/>
        </w:rPr>
        <w:footnoteRef/>
      </w:r>
      <w:r>
        <w:t xml:space="preserve"> </w:t>
      </w:r>
      <w:r>
        <w:rPr>
          <w:i/>
          <w:lang w:val="en-US"/>
        </w:rPr>
        <w:t xml:space="preserve">Criminal Code Act 1913 </w:t>
      </w:r>
      <w:r>
        <w:rPr>
          <w:lang w:val="en-US"/>
        </w:rPr>
        <w:t>section 79.</w:t>
      </w:r>
    </w:p>
  </w:footnote>
  <w:footnote w:id="55">
    <w:p w14:paraId="66C4180D" w14:textId="1DAFC785" w:rsidR="0019639B" w:rsidRPr="00757B20" w:rsidRDefault="0019639B">
      <w:pPr>
        <w:pStyle w:val="FootnoteText"/>
        <w:rPr>
          <w:lang w:val="en-US"/>
        </w:rPr>
      </w:pPr>
      <w:r>
        <w:rPr>
          <w:rStyle w:val="FootnoteReference"/>
        </w:rPr>
        <w:footnoteRef/>
      </w:r>
      <w:r>
        <w:t xml:space="preserve"> </w:t>
      </w:r>
      <w:r>
        <w:rPr>
          <w:i/>
          <w:lang w:val="en-US"/>
        </w:rPr>
        <w:t xml:space="preserve">Criminal Code Act 1913 </w:t>
      </w:r>
      <w:r>
        <w:rPr>
          <w:lang w:val="en-US"/>
        </w:rPr>
        <w:t>section 80.</w:t>
      </w:r>
    </w:p>
  </w:footnote>
  <w:footnote w:id="56">
    <w:p w14:paraId="05C88F2D" w14:textId="2F6A7F23" w:rsidR="0019639B" w:rsidRPr="00757B20" w:rsidRDefault="0019639B">
      <w:pPr>
        <w:pStyle w:val="FootnoteText"/>
        <w:rPr>
          <w:lang w:val="en-US"/>
        </w:rPr>
      </w:pPr>
      <w:r>
        <w:rPr>
          <w:rStyle w:val="FootnoteReference"/>
        </w:rPr>
        <w:footnoteRef/>
      </w:r>
      <w:r>
        <w:t xml:space="preserve"> </w:t>
      </w:r>
      <w:r>
        <w:rPr>
          <w:i/>
          <w:lang w:val="en-US"/>
        </w:rPr>
        <w:t xml:space="preserve">Criminal Code Act 1913 </w:t>
      </w:r>
      <w:r>
        <w:rPr>
          <w:lang w:val="en-US"/>
        </w:rPr>
        <w:t>section 80A.</w:t>
      </w:r>
    </w:p>
  </w:footnote>
  <w:footnote w:id="57">
    <w:p w14:paraId="3421BFA6" w14:textId="07F9CE84" w:rsidR="0019639B" w:rsidRPr="00757B20" w:rsidRDefault="0019639B">
      <w:pPr>
        <w:pStyle w:val="FootnoteText"/>
        <w:rPr>
          <w:lang w:val="en-US"/>
        </w:rPr>
      </w:pPr>
      <w:r>
        <w:rPr>
          <w:rStyle w:val="FootnoteReference"/>
        </w:rPr>
        <w:footnoteRef/>
      </w:r>
      <w:r>
        <w:t xml:space="preserve"> </w:t>
      </w:r>
      <w:r>
        <w:rPr>
          <w:i/>
          <w:lang w:val="en-US"/>
        </w:rPr>
        <w:t xml:space="preserve">Criminal Code Act 1913 </w:t>
      </w:r>
      <w:r>
        <w:rPr>
          <w:lang w:val="en-US"/>
        </w:rPr>
        <w:t>section 80B.</w:t>
      </w:r>
    </w:p>
  </w:footnote>
  <w:footnote w:id="58">
    <w:p w14:paraId="1B480927" w14:textId="37C5DAA4" w:rsidR="0019639B" w:rsidRPr="00757B20" w:rsidRDefault="0019639B">
      <w:pPr>
        <w:pStyle w:val="FootnoteText"/>
        <w:rPr>
          <w:lang w:val="en-US"/>
        </w:rPr>
      </w:pPr>
      <w:r>
        <w:rPr>
          <w:rStyle w:val="FootnoteReference"/>
        </w:rPr>
        <w:footnoteRef/>
      </w:r>
      <w:r>
        <w:t xml:space="preserve"> </w:t>
      </w:r>
      <w:r>
        <w:rPr>
          <w:i/>
          <w:lang w:val="en-US"/>
        </w:rPr>
        <w:t xml:space="preserve">Criminal Code Act 1913 </w:t>
      </w:r>
      <w:r>
        <w:rPr>
          <w:lang w:val="en-US"/>
        </w:rPr>
        <w:t>section 80C.</w:t>
      </w:r>
    </w:p>
  </w:footnote>
  <w:footnote w:id="59">
    <w:p w14:paraId="50AE6050" w14:textId="65F441BD" w:rsidR="0019639B" w:rsidRPr="00757B20" w:rsidRDefault="0019639B">
      <w:pPr>
        <w:pStyle w:val="FootnoteText"/>
        <w:rPr>
          <w:lang w:val="en-US"/>
        </w:rPr>
      </w:pPr>
      <w:r>
        <w:rPr>
          <w:rStyle w:val="FootnoteReference"/>
        </w:rPr>
        <w:footnoteRef/>
      </w:r>
      <w:r>
        <w:t xml:space="preserve"> </w:t>
      </w:r>
      <w:r>
        <w:rPr>
          <w:i/>
          <w:lang w:val="en-US"/>
        </w:rPr>
        <w:t xml:space="preserve">Criminal Code Act 1913 </w:t>
      </w:r>
      <w:r>
        <w:rPr>
          <w:lang w:val="en-US"/>
        </w:rPr>
        <w:t>section 80D.</w:t>
      </w:r>
    </w:p>
  </w:footnote>
  <w:footnote w:id="60">
    <w:p w14:paraId="1A7C2DFA" w14:textId="23A0FA5A" w:rsidR="0019639B" w:rsidRPr="00D55238"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180-181.</w:t>
      </w:r>
    </w:p>
  </w:footnote>
  <w:footnote w:id="61">
    <w:p w14:paraId="18423C04" w14:textId="2A59BE96" w:rsidR="0019639B" w:rsidRPr="00504818" w:rsidRDefault="0019639B">
      <w:pPr>
        <w:pStyle w:val="FootnoteText"/>
        <w:rPr>
          <w:lang w:val="en-US"/>
        </w:rPr>
      </w:pPr>
      <w:r>
        <w:rPr>
          <w:rStyle w:val="FootnoteReference"/>
        </w:rPr>
        <w:footnoteRef/>
      </w:r>
      <w:r>
        <w:t xml:space="preserve"> </w:t>
      </w:r>
      <w:r w:rsidRPr="00D3128D">
        <w:rPr>
          <w:lang w:val="en-US"/>
        </w:rPr>
        <w:t>Evidence to Parliamentary Joint Committee on Intelligence and Security, Parliament of Australia</w:t>
      </w:r>
      <w:r>
        <w:rPr>
          <w:lang w:val="en-US"/>
        </w:rPr>
        <w:t>, Canberra, 29 April 2021, 15 and 19-21 (Scott Lee, Assistant Commissioner, Counter Terrorism and Special Investigations, Australian Federal Police, and Ian McCartney, Deputy Commissioner, Investigations, Australian Federal Police).</w:t>
      </w:r>
    </w:p>
  </w:footnote>
  <w:footnote w:id="62">
    <w:p w14:paraId="2780E853" w14:textId="2D30DB10" w:rsidR="0019639B" w:rsidRPr="00D3128D" w:rsidRDefault="0019639B">
      <w:pPr>
        <w:pStyle w:val="FootnoteText"/>
        <w:rPr>
          <w:lang w:val="en-US"/>
        </w:rPr>
      </w:pPr>
      <w:r>
        <w:rPr>
          <w:rStyle w:val="FootnoteReference"/>
        </w:rPr>
        <w:footnoteRef/>
      </w:r>
      <w:r>
        <w:t xml:space="preserve"> </w:t>
      </w:r>
      <w:r>
        <w:rPr>
          <w:lang w:val="en-US"/>
        </w:rPr>
        <w:t xml:space="preserve">Law Council of Australia, Submission No. 9 – Supplementary submission to Parliamentary Joint Committee on Intelligence and Security, </w:t>
      </w:r>
      <w:r>
        <w:rPr>
          <w:i/>
          <w:lang w:val="en-US"/>
        </w:rPr>
        <w:t xml:space="preserve">Inquiry into extremist movements and radicalism in Australia, </w:t>
      </w:r>
      <w:r>
        <w:rPr>
          <w:lang w:val="en-US"/>
        </w:rPr>
        <w:t>25 May 2021, 15-22.</w:t>
      </w:r>
    </w:p>
  </w:footnote>
  <w:footnote w:id="63">
    <w:p w14:paraId="6CEEAD1C" w14:textId="1215A9D6" w:rsidR="0019639B" w:rsidRPr="005A2730" w:rsidRDefault="0019639B">
      <w:pPr>
        <w:pStyle w:val="FootnoteText"/>
        <w:rPr>
          <w:i/>
          <w:lang w:val="en-US"/>
        </w:rPr>
      </w:pPr>
      <w:r>
        <w:rPr>
          <w:rStyle w:val="FootnoteReference"/>
        </w:rPr>
        <w:footnoteRef/>
      </w:r>
      <w:r>
        <w:t xml:space="preserve"> </w:t>
      </w:r>
      <w:r>
        <w:rPr>
          <w:i/>
          <w:lang w:val="en-US"/>
        </w:rPr>
        <w:t xml:space="preserve">Summary Offences Act 1953 </w:t>
      </w:r>
      <w:r w:rsidRPr="005A2730">
        <w:rPr>
          <w:lang w:val="en-US"/>
        </w:rPr>
        <w:t>(SA)</w:t>
      </w:r>
      <w:r>
        <w:rPr>
          <w:lang w:val="en-US"/>
        </w:rPr>
        <w:t xml:space="preserve"> section 37, in Part 7A-Extremist material.</w:t>
      </w:r>
    </w:p>
  </w:footnote>
  <w:footnote w:id="64">
    <w:p w14:paraId="05C524CA" w14:textId="7FF49BBF" w:rsidR="0019639B" w:rsidRPr="001E6640" w:rsidRDefault="0019639B">
      <w:pPr>
        <w:pStyle w:val="FootnoteText"/>
        <w:rPr>
          <w:lang w:val="en-US"/>
        </w:rPr>
      </w:pPr>
      <w:r>
        <w:rPr>
          <w:rStyle w:val="FootnoteReference"/>
        </w:rPr>
        <w:footnoteRef/>
      </w:r>
      <w:r>
        <w:t xml:space="preserve"> </w:t>
      </w:r>
      <w:r w:rsidRPr="00D3128D">
        <w:rPr>
          <w:lang w:val="en-US"/>
        </w:rPr>
        <w:t>Evidence to Parliamentary Joint Committee on Intelligence and Security, Parliament of Australia</w:t>
      </w:r>
      <w:r>
        <w:rPr>
          <w:lang w:val="en-US"/>
        </w:rPr>
        <w:t>, Canberra, 29 April 2021, 20 (Scott Lee, Assistant Commissioner, Counter Terrorism and Special Investigations, Australian Federal Police).  Individuals who possessed a range of material aligned to ideologically motivated violent extremism were charged with possession of that material under the South Australian legislation.</w:t>
      </w:r>
    </w:p>
  </w:footnote>
  <w:footnote w:id="65">
    <w:p w14:paraId="7430ACD0" w14:textId="0CD52FD4" w:rsidR="0019639B" w:rsidRPr="00C9262C" w:rsidRDefault="0019639B">
      <w:pPr>
        <w:pStyle w:val="FootnoteText"/>
        <w:rPr>
          <w:lang w:val="en-US"/>
        </w:rPr>
      </w:pPr>
      <w:r>
        <w:rPr>
          <w:rStyle w:val="FootnoteReference"/>
        </w:rPr>
        <w:footnoteRef/>
      </w:r>
      <w:r>
        <w:t xml:space="preserve"> </w:t>
      </w:r>
      <w:r>
        <w:rPr>
          <w:lang w:val="en-US"/>
        </w:rPr>
        <w:t xml:space="preserve">Under the </w:t>
      </w:r>
      <w:r>
        <w:rPr>
          <w:i/>
          <w:lang w:val="en-US"/>
        </w:rPr>
        <w:t>Summary Offences Act 2005</w:t>
      </w:r>
      <w:r>
        <w:rPr>
          <w:lang w:val="en-US"/>
        </w:rPr>
        <w:t xml:space="preserve">, there are offences for using dangerous attachment devices in certain ways. Complementary provisions in the </w:t>
      </w:r>
      <w:r>
        <w:rPr>
          <w:i/>
          <w:lang w:val="en-US"/>
        </w:rPr>
        <w:t xml:space="preserve">Police Powers and Responsibilities Act 2000 </w:t>
      </w:r>
      <w:r>
        <w:rPr>
          <w:lang w:val="en-US"/>
        </w:rPr>
        <w:t xml:space="preserve">enable police to search, without warrant, people and vehicles if the police officer reasonably suspects there is a dangerous attachment device that has been, or is to be used, to disrupt activities referred to in the relevant offence provisions of the </w:t>
      </w:r>
      <w:r>
        <w:rPr>
          <w:i/>
          <w:lang w:val="en-US"/>
        </w:rPr>
        <w:t xml:space="preserve">Summary Offences Act 2005. </w:t>
      </w:r>
      <w:r>
        <w:rPr>
          <w:lang w:val="en-US"/>
        </w:rPr>
        <w:t>A police officer who finds a dangerous attachment device has the power to deactivate or disassemble the device, or to seize and dispose of the device.</w:t>
      </w:r>
    </w:p>
  </w:footnote>
  <w:footnote w:id="66">
    <w:p w14:paraId="088371BD" w14:textId="77777777" w:rsidR="0019639B" w:rsidRPr="00007FD2" w:rsidRDefault="0019639B" w:rsidP="003E3672">
      <w:pPr>
        <w:pStyle w:val="FootnoteText"/>
        <w:rPr>
          <w:lang w:val="en-US"/>
        </w:rPr>
      </w:pPr>
      <w:r>
        <w:rPr>
          <w:rStyle w:val="FootnoteReference"/>
        </w:rPr>
        <w:footnoteRef/>
      </w:r>
      <w:r>
        <w:t xml:space="preserve"> </w:t>
      </w:r>
      <w:r>
        <w:rPr>
          <w:lang w:val="en-US"/>
        </w:rPr>
        <w:t>The swastika is in a ‘T’ cross appearing in a clockwise direction, and the Nazi symbol is in an ‘X’ cross appearing in an anti-clockwise direction.</w:t>
      </w:r>
    </w:p>
  </w:footnote>
  <w:footnote w:id="67">
    <w:p w14:paraId="74E26632" w14:textId="55E0991A" w:rsidR="0019639B" w:rsidRPr="005938CB" w:rsidRDefault="0019639B" w:rsidP="00752BB6">
      <w:pPr>
        <w:pStyle w:val="FootnoteText"/>
        <w:rPr>
          <w:lang w:val="en-US"/>
        </w:rPr>
      </w:pPr>
      <w:r>
        <w:rPr>
          <w:rStyle w:val="FootnoteReference"/>
        </w:rPr>
        <w:footnoteRef/>
      </w:r>
      <w:r>
        <w:t xml:space="preserve"> </w:t>
      </w:r>
      <w:r>
        <w:rPr>
          <w:lang w:val="en-US"/>
        </w:rPr>
        <w:t xml:space="preserve">Before the QCAT commenced in December 2009, complaints under the </w:t>
      </w:r>
      <w:r>
        <w:rPr>
          <w:i/>
          <w:lang w:val="en-US"/>
        </w:rPr>
        <w:t>Anti-Discrimination Act 1991</w:t>
      </w:r>
      <w:r>
        <w:rPr>
          <w:lang w:val="en-US"/>
        </w:rPr>
        <w:t xml:space="preserve"> were referred to and decided by the former Anti-Discrimination Tribunal.</w:t>
      </w:r>
    </w:p>
  </w:footnote>
  <w:footnote w:id="68">
    <w:p w14:paraId="24E7143F" w14:textId="433E73B5" w:rsidR="0019639B" w:rsidRPr="00987DCA" w:rsidRDefault="0019639B">
      <w:pPr>
        <w:pStyle w:val="FootnoteText"/>
        <w:rPr>
          <w:lang w:val="en-US"/>
        </w:rPr>
      </w:pPr>
      <w:r>
        <w:rPr>
          <w:rStyle w:val="FootnoteReference"/>
        </w:rPr>
        <w:footnoteRef/>
      </w:r>
      <w:r>
        <w:t xml:space="preserve"> </w:t>
      </w:r>
      <w:r>
        <w:rPr>
          <w:i/>
          <w:lang w:val="en-US"/>
        </w:rPr>
        <w:t xml:space="preserve">Anti-Discrimination Act 1991 </w:t>
      </w:r>
      <w:r>
        <w:rPr>
          <w:lang w:val="en-US"/>
        </w:rPr>
        <w:t>section 136.</w:t>
      </w:r>
    </w:p>
  </w:footnote>
  <w:footnote w:id="69">
    <w:p w14:paraId="6C986F6A" w14:textId="3E43A93A" w:rsidR="0019639B" w:rsidRPr="002F03E1" w:rsidRDefault="0019639B">
      <w:pPr>
        <w:pStyle w:val="FootnoteText"/>
        <w:rPr>
          <w:lang w:val="en-US"/>
        </w:rPr>
      </w:pPr>
      <w:r>
        <w:rPr>
          <w:rStyle w:val="FootnoteReference"/>
        </w:rPr>
        <w:footnoteRef/>
      </w:r>
      <w:r>
        <w:t xml:space="preserve"> </w:t>
      </w:r>
      <w:r>
        <w:rPr>
          <w:lang w:val="en-US"/>
        </w:rPr>
        <w:t>The low percentage for 2020-2021 reflects the increase in the number of complaints received and a resultant backlog.</w:t>
      </w:r>
    </w:p>
  </w:footnote>
  <w:footnote w:id="70">
    <w:p w14:paraId="5CE5C1B7" w14:textId="77777777" w:rsidR="0019639B" w:rsidRPr="00121C40" w:rsidRDefault="0019639B" w:rsidP="002931EF">
      <w:pPr>
        <w:pStyle w:val="FootnoteText"/>
        <w:rPr>
          <w:lang w:val="en-US"/>
        </w:rPr>
      </w:pPr>
      <w:r>
        <w:rPr>
          <w:rStyle w:val="FootnoteReference"/>
        </w:rPr>
        <w:footnoteRef/>
      </w:r>
      <w:r>
        <w:t xml:space="preserve"> </w:t>
      </w:r>
      <w:r>
        <w:rPr>
          <w:lang w:val="en-US"/>
        </w:rPr>
        <w:t>These statistics are from the Commission’s annual reports.</w:t>
      </w:r>
    </w:p>
  </w:footnote>
  <w:footnote w:id="71">
    <w:p w14:paraId="75456D22" w14:textId="77777777" w:rsidR="0019639B" w:rsidRPr="00121C40" w:rsidRDefault="0019639B" w:rsidP="002931EF">
      <w:pPr>
        <w:pStyle w:val="FootnoteText"/>
        <w:rPr>
          <w:lang w:val="en-US"/>
        </w:rPr>
      </w:pPr>
      <w:r>
        <w:rPr>
          <w:rStyle w:val="FootnoteReference"/>
        </w:rPr>
        <w:footnoteRef/>
      </w:r>
      <w:r>
        <w:t xml:space="preserve"> </w:t>
      </w:r>
      <w:r>
        <w:rPr>
          <w:lang w:val="en-US"/>
        </w:rPr>
        <w:t>The date of commencement of the Commission’s current database.</w:t>
      </w:r>
    </w:p>
  </w:footnote>
  <w:footnote w:id="72">
    <w:p w14:paraId="3EED9BD2" w14:textId="014D7E32" w:rsidR="0019639B" w:rsidRPr="00CA2CE5" w:rsidRDefault="0019639B">
      <w:pPr>
        <w:pStyle w:val="FootnoteText"/>
        <w:rPr>
          <w:lang w:val="en-US"/>
        </w:rPr>
      </w:pPr>
      <w:r>
        <w:rPr>
          <w:rStyle w:val="FootnoteReference"/>
        </w:rPr>
        <w:footnoteRef/>
      </w:r>
      <w:r>
        <w:t xml:space="preserve"> </w:t>
      </w:r>
      <w:r>
        <w:rPr>
          <w:i/>
          <w:lang w:val="en-US"/>
        </w:rPr>
        <w:t xml:space="preserve">Donovan v Tobin </w:t>
      </w:r>
      <w:r>
        <w:rPr>
          <w:lang w:val="en-US"/>
        </w:rPr>
        <w:t>[2015] QCAT 332.</w:t>
      </w:r>
    </w:p>
  </w:footnote>
  <w:footnote w:id="73">
    <w:p w14:paraId="6DF6A204" w14:textId="77777777" w:rsidR="0019639B" w:rsidRPr="00E41908" w:rsidRDefault="0019639B" w:rsidP="00A509AE">
      <w:pPr>
        <w:pStyle w:val="FootnoteText"/>
        <w:rPr>
          <w:lang w:val="en-US"/>
        </w:rPr>
      </w:pPr>
      <w:r>
        <w:rPr>
          <w:rStyle w:val="FootnoteReference"/>
        </w:rPr>
        <w:footnoteRef/>
      </w:r>
      <w:r>
        <w:t xml:space="preserve"> </w:t>
      </w:r>
      <w:r w:rsidRPr="009D068D">
        <w:rPr>
          <w:rFonts w:cs="Arial"/>
          <w:i/>
        </w:rPr>
        <w:t xml:space="preserve">Peters v Constance </w:t>
      </w:r>
      <w:r w:rsidRPr="009D068D">
        <w:rPr>
          <w:rFonts w:cs="Arial"/>
        </w:rPr>
        <w:t xml:space="preserve">[2005] QADT 9; </w:t>
      </w:r>
      <w:r w:rsidRPr="009D068D">
        <w:rPr>
          <w:rFonts w:cs="Arial"/>
          <w:i/>
        </w:rPr>
        <w:t xml:space="preserve">Z v University of A (No. 7) </w:t>
      </w:r>
      <w:r w:rsidRPr="009D068D">
        <w:rPr>
          <w:rFonts w:cs="Arial"/>
        </w:rPr>
        <w:t>[2004] NSWADT 81</w:t>
      </w:r>
      <w:r>
        <w:rPr>
          <w:rFonts w:cs="Arial"/>
        </w:rPr>
        <w:t>.</w:t>
      </w:r>
    </w:p>
  </w:footnote>
  <w:footnote w:id="74">
    <w:p w14:paraId="29B264F9" w14:textId="77777777" w:rsidR="0019639B" w:rsidRPr="00E41908" w:rsidRDefault="0019639B" w:rsidP="00A509AE">
      <w:pPr>
        <w:pStyle w:val="FootnoteText"/>
        <w:rPr>
          <w:lang w:val="en-US"/>
        </w:rPr>
      </w:pPr>
      <w:r>
        <w:rPr>
          <w:rStyle w:val="FootnoteReference"/>
        </w:rPr>
        <w:footnoteRef/>
      </w:r>
      <w:r>
        <w:t xml:space="preserve"> </w:t>
      </w:r>
      <w:r w:rsidRPr="009D068D">
        <w:rPr>
          <w:rFonts w:cs="Arial"/>
          <w:i/>
        </w:rPr>
        <w:t>Deen v Lamb</w:t>
      </w:r>
      <w:r w:rsidRPr="009D068D">
        <w:rPr>
          <w:rFonts w:cs="Arial"/>
        </w:rPr>
        <w:t xml:space="preserve"> [2001] QADT 20; </w:t>
      </w:r>
      <w:r w:rsidRPr="009D068D">
        <w:rPr>
          <w:rFonts w:cs="Arial"/>
          <w:i/>
        </w:rPr>
        <w:t>Peters v Constance</w:t>
      </w:r>
      <w:r w:rsidRPr="009D068D">
        <w:rPr>
          <w:rFonts w:cs="Arial"/>
        </w:rPr>
        <w:t xml:space="preserve"> [2005] QADT 9</w:t>
      </w:r>
      <w:r>
        <w:rPr>
          <w:rFonts w:cs="Arial"/>
        </w:rPr>
        <w:t>.</w:t>
      </w:r>
    </w:p>
  </w:footnote>
  <w:footnote w:id="75">
    <w:p w14:paraId="3BD85F20" w14:textId="77777777" w:rsidR="0019639B" w:rsidRPr="00E41908" w:rsidRDefault="0019639B" w:rsidP="00A509AE">
      <w:pPr>
        <w:pStyle w:val="FootnoteText"/>
        <w:rPr>
          <w:lang w:val="en-US"/>
        </w:rPr>
      </w:pPr>
      <w:r>
        <w:rPr>
          <w:rStyle w:val="FootnoteReference"/>
        </w:rPr>
        <w:footnoteRef/>
      </w:r>
      <w:r>
        <w:t xml:space="preserve"> </w:t>
      </w:r>
      <w:r w:rsidRPr="009D068D">
        <w:rPr>
          <w:rFonts w:cs="Arial"/>
          <w:i/>
        </w:rPr>
        <w:t>Wagga Wagga Aboriginal Action Group v Eldridge</w:t>
      </w:r>
      <w:r w:rsidRPr="009D068D">
        <w:rPr>
          <w:rFonts w:cs="Arial"/>
        </w:rPr>
        <w:t xml:space="preserve"> [1995] EOC 92-701; </w:t>
      </w:r>
      <w:r w:rsidRPr="009D068D">
        <w:rPr>
          <w:rFonts w:cs="Arial"/>
          <w:i/>
        </w:rPr>
        <w:t xml:space="preserve">Cohen v Hargous; Karelicki v Hargous </w:t>
      </w:r>
      <w:r w:rsidRPr="009D068D">
        <w:rPr>
          <w:rFonts w:cs="Arial"/>
        </w:rPr>
        <w:t>[2006] NSWADT 209.</w:t>
      </w:r>
    </w:p>
  </w:footnote>
  <w:footnote w:id="76">
    <w:p w14:paraId="76C63114" w14:textId="77777777" w:rsidR="0019639B" w:rsidRPr="00E41908" w:rsidRDefault="0019639B" w:rsidP="00A509AE">
      <w:pPr>
        <w:pStyle w:val="FootnoteText"/>
        <w:rPr>
          <w:lang w:val="en-US"/>
        </w:rPr>
      </w:pPr>
      <w:r>
        <w:rPr>
          <w:rStyle w:val="FootnoteReference"/>
        </w:rPr>
        <w:footnoteRef/>
      </w:r>
      <w:r>
        <w:t xml:space="preserve"> </w:t>
      </w:r>
      <w:r w:rsidRPr="009D068D">
        <w:rPr>
          <w:rFonts w:cs="Arial"/>
          <w:i/>
        </w:rPr>
        <w:t xml:space="preserve">Menzies v Owen </w:t>
      </w:r>
      <w:r w:rsidRPr="009D068D">
        <w:rPr>
          <w:rFonts w:cs="Arial"/>
        </w:rPr>
        <w:t>[2008] QADT 20.</w:t>
      </w:r>
    </w:p>
  </w:footnote>
  <w:footnote w:id="77">
    <w:p w14:paraId="2C55C008" w14:textId="77777777" w:rsidR="0019639B" w:rsidRPr="00DB2232" w:rsidRDefault="0019639B" w:rsidP="00A509AE">
      <w:pPr>
        <w:pStyle w:val="FootnoteText"/>
        <w:rPr>
          <w:lang w:val="en-US"/>
        </w:rPr>
      </w:pPr>
      <w:r>
        <w:rPr>
          <w:rStyle w:val="FootnoteReference"/>
        </w:rPr>
        <w:footnoteRef/>
      </w:r>
      <w:r>
        <w:t xml:space="preserve"> </w:t>
      </w:r>
      <w:r>
        <w:rPr>
          <w:i/>
        </w:rPr>
        <w:t xml:space="preserve">Coenen v Bakers Club Worldwide Pty Ltd &amp; Ors </w:t>
      </w:r>
      <w:r>
        <w:t xml:space="preserve">[2014] QCAT 676, </w:t>
      </w:r>
      <w:r>
        <w:rPr>
          <w:i/>
        </w:rPr>
        <w:t xml:space="preserve">Bero v Wilmar Sugar Pty Ltd &amp; Ors </w:t>
      </w:r>
      <w:r>
        <w:t xml:space="preserve">[2016] QCAT 371, </w:t>
      </w:r>
      <w:r>
        <w:rPr>
          <w:i/>
        </w:rPr>
        <w:t xml:space="preserve">Ms RA v NC </w:t>
      </w:r>
      <w:r>
        <w:t>[2018] QCAT 94.</w:t>
      </w:r>
    </w:p>
  </w:footnote>
  <w:footnote w:id="78">
    <w:p w14:paraId="36164CF0" w14:textId="5F75AFB3" w:rsidR="0019639B" w:rsidRPr="002D4BC3" w:rsidRDefault="0019639B">
      <w:pPr>
        <w:pStyle w:val="FootnoteText"/>
        <w:rPr>
          <w:lang w:val="en-US"/>
        </w:rPr>
      </w:pPr>
      <w:r>
        <w:rPr>
          <w:rStyle w:val="FootnoteReference"/>
        </w:rPr>
        <w:footnoteRef/>
      </w:r>
      <w:r>
        <w:t xml:space="preserve"> </w:t>
      </w:r>
      <w:r>
        <w:rPr>
          <w:lang w:val="en-US"/>
        </w:rPr>
        <w:t>Explanatory Notes, Anti-Discrimination Amendment Bill 2001 (Qld) 5.</w:t>
      </w:r>
    </w:p>
  </w:footnote>
  <w:footnote w:id="79">
    <w:p w14:paraId="70B4BECE" w14:textId="77777777" w:rsidR="0019639B" w:rsidRPr="00DB2232" w:rsidRDefault="0019639B" w:rsidP="00A509AE">
      <w:pPr>
        <w:pStyle w:val="FootnoteText"/>
        <w:rPr>
          <w:lang w:val="en-US"/>
        </w:rPr>
      </w:pPr>
      <w:r>
        <w:rPr>
          <w:rStyle w:val="FootnoteReference"/>
        </w:rPr>
        <w:footnoteRef/>
      </w:r>
      <w:r>
        <w:t xml:space="preserve"> </w:t>
      </w:r>
      <w:r>
        <w:rPr>
          <w:lang w:val="en-US"/>
        </w:rPr>
        <w:t xml:space="preserve">For example, </w:t>
      </w:r>
      <w:r>
        <w:rPr>
          <w:i/>
          <w:lang w:val="en-US"/>
        </w:rPr>
        <w:t xml:space="preserve">Park v State of Queensland &amp; Anor </w:t>
      </w:r>
      <w:r>
        <w:rPr>
          <w:lang w:val="en-US"/>
        </w:rPr>
        <w:t xml:space="preserve">[2013] QCAT 183, </w:t>
      </w:r>
      <w:r>
        <w:rPr>
          <w:i/>
        </w:rPr>
        <w:t xml:space="preserve">Bero v Wilmar Sugar Pty Ltd &amp; Ors </w:t>
      </w:r>
      <w:r>
        <w:t xml:space="preserve">[2016] QCAT 371, </w:t>
      </w:r>
      <w:r>
        <w:rPr>
          <w:i/>
        </w:rPr>
        <w:t xml:space="preserve">Ms RA v NC </w:t>
      </w:r>
      <w:r>
        <w:t xml:space="preserve">[2018] QCAT 94.  See also the NSW decision in </w:t>
      </w:r>
      <w:r>
        <w:rPr>
          <w:i/>
        </w:rPr>
        <w:t xml:space="preserve">Riley v State of New South Wales (Department of Education) </w:t>
      </w:r>
      <w:r>
        <w:t>[2019] NSWCATAD 223, where comments made within school grounds were considered to not be a communication to the public as the public was not entitled to be present on the grounds.</w:t>
      </w:r>
    </w:p>
  </w:footnote>
  <w:footnote w:id="80">
    <w:p w14:paraId="0F43B955" w14:textId="77777777" w:rsidR="0019639B" w:rsidRPr="00E2420E" w:rsidRDefault="0019639B" w:rsidP="004C36C1">
      <w:pPr>
        <w:pStyle w:val="FootnoteText"/>
        <w:rPr>
          <w:rFonts w:cs="Arial"/>
        </w:rPr>
      </w:pPr>
      <w:r w:rsidRPr="00E2420E">
        <w:rPr>
          <w:rStyle w:val="FootnoteReference"/>
          <w:rFonts w:cs="Arial"/>
        </w:rPr>
        <w:footnoteRef/>
      </w:r>
      <w:r w:rsidRPr="00E2420E">
        <w:rPr>
          <w:rFonts w:cs="Arial"/>
        </w:rPr>
        <w:t xml:space="preserve"> </w:t>
      </w:r>
      <w:r w:rsidRPr="00E2420E">
        <w:rPr>
          <w:rFonts w:cs="Arial"/>
          <w:i/>
        </w:rPr>
        <w:t xml:space="preserve">Casey v Flanagan </w:t>
      </w:r>
      <w:r w:rsidRPr="00E2420E">
        <w:rPr>
          <w:rFonts w:cs="Arial"/>
        </w:rPr>
        <w:t xml:space="preserve">[2011] QCAT 320; and </w:t>
      </w:r>
      <w:r w:rsidRPr="00E2420E">
        <w:rPr>
          <w:rFonts w:cs="Arial"/>
          <w:i/>
        </w:rPr>
        <w:t xml:space="preserve">Casey v Blume </w:t>
      </w:r>
      <w:r w:rsidRPr="00E2420E">
        <w:rPr>
          <w:rFonts w:cs="Arial"/>
        </w:rPr>
        <w:t>[2012] QCAT 627</w:t>
      </w:r>
      <w:r>
        <w:rPr>
          <w:rFonts w:cs="Arial"/>
        </w:rPr>
        <w:t>.</w:t>
      </w:r>
    </w:p>
  </w:footnote>
  <w:footnote w:id="81">
    <w:p w14:paraId="3429ACEC" w14:textId="77777777" w:rsidR="0019639B" w:rsidRPr="00AD169F" w:rsidRDefault="0019639B" w:rsidP="004C36C1">
      <w:pPr>
        <w:pStyle w:val="FootnoteText"/>
        <w:rPr>
          <w:rFonts w:cs="Arial"/>
        </w:rPr>
      </w:pPr>
      <w:r w:rsidRPr="00AD169F">
        <w:rPr>
          <w:rStyle w:val="FootnoteReference"/>
          <w:rFonts w:cs="Arial"/>
        </w:rPr>
        <w:footnoteRef/>
      </w:r>
      <w:r w:rsidRPr="00AD169F">
        <w:rPr>
          <w:rFonts w:cs="Arial"/>
        </w:rPr>
        <w:t xml:space="preserve"> </w:t>
      </w:r>
      <w:r w:rsidRPr="00AD169F">
        <w:rPr>
          <w:rFonts w:cs="Arial"/>
          <w:i/>
        </w:rPr>
        <w:t xml:space="preserve">GLBTI v Wilks </w:t>
      </w:r>
      <w:r w:rsidRPr="00AD169F">
        <w:rPr>
          <w:rFonts w:cs="Arial"/>
        </w:rPr>
        <w:t>[2007] QADT 27</w:t>
      </w:r>
      <w:r>
        <w:rPr>
          <w:rFonts w:cs="Arial"/>
        </w:rPr>
        <w:t>.</w:t>
      </w:r>
    </w:p>
  </w:footnote>
  <w:footnote w:id="82">
    <w:p w14:paraId="1D9EBE87" w14:textId="6A74D3FF" w:rsidR="0019639B" w:rsidRPr="004B0EE0" w:rsidRDefault="0019639B">
      <w:pPr>
        <w:pStyle w:val="FootnoteText"/>
        <w:rPr>
          <w:i/>
          <w:szCs w:val="20"/>
          <w:lang w:val="en-US"/>
        </w:rPr>
      </w:pPr>
      <w:r w:rsidRPr="004B0EE0">
        <w:rPr>
          <w:rStyle w:val="FootnoteReference"/>
          <w:szCs w:val="20"/>
        </w:rPr>
        <w:footnoteRef/>
      </w:r>
      <w:r w:rsidRPr="004B0EE0">
        <w:rPr>
          <w:szCs w:val="20"/>
        </w:rPr>
        <w:t xml:space="preserve"> </w:t>
      </w:r>
      <w:r w:rsidRPr="004B0EE0">
        <w:rPr>
          <w:i/>
          <w:szCs w:val="20"/>
          <w:lang w:val="en-US"/>
        </w:rPr>
        <w:t xml:space="preserve">Singh v </w:t>
      </w:r>
      <w:r w:rsidRPr="004B0EE0">
        <w:rPr>
          <w:rFonts w:cs="Arial"/>
          <w:i/>
          <w:szCs w:val="20"/>
        </w:rPr>
        <w:t>Shaftson Training One Pty Ltd &amp; Anor</w:t>
      </w:r>
      <w:r>
        <w:rPr>
          <w:rFonts w:cs="Arial"/>
          <w:i/>
          <w:szCs w:val="20"/>
        </w:rPr>
        <w:t xml:space="preserve"> </w:t>
      </w:r>
      <w:r w:rsidRPr="004B0EE0">
        <w:rPr>
          <w:rFonts w:cs="Arial"/>
          <w:szCs w:val="20"/>
        </w:rPr>
        <w:t>[2013] QCAT 8</w:t>
      </w:r>
      <w:r>
        <w:rPr>
          <w:rFonts w:cs="Arial"/>
          <w:szCs w:val="20"/>
        </w:rPr>
        <w:t>.</w:t>
      </w:r>
    </w:p>
  </w:footnote>
  <w:footnote w:id="83">
    <w:p w14:paraId="22D6A0F1" w14:textId="77777777" w:rsidR="0019639B" w:rsidRPr="00E41908" w:rsidRDefault="0019639B" w:rsidP="006109D6">
      <w:pPr>
        <w:pStyle w:val="FootnoteText"/>
        <w:rPr>
          <w:lang w:val="en-US"/>
        </w:rPr>
      </w:pPr>
      <w:r>
        <w:rPr>
          <w:rStyle w:val="FootnoteReference"/>
        </w:rPr>
        <w:footnoteRef/>
      </w:r>
      <w:r>
        <w:t xml:space="preserve"> </w:t>
      </w:r>
      <w:r w:rsidRPr="004E2313">
        <w:rPr>
          <w:rFonts w:cs="Arial"/>
          <w:i/>
        </w:rPr>
        <w:t>Deen v Lamb</w:t>
      </w:r>
      <w:r w:rsidRPr="004E2313">
        <w:rPr>
          <w:rFonts w:cs="Arial"/>
        </w:rPr>
        <w:t xml:space="preserve"> [2001] QADT 9.</w:t>
      </w:r>
    </w:p>
  </w:footnote>
  <w:footnote w:id="84">
    <w:p w14:paraId="43F1BC63" w14:textId="77777777" w:rsidR="0019639B" w:rsidRPr="007401A1" w:rsidRDefault="0019639B" w:rsidP="006109D6">
      <w:pPr>
        <w:pStyle w:val="FootnoteText"/>
        <w:rPr>
          <w:rFonts w:cs="Arial"/>
        </w:rPr>
      </w:pPr>
      <w:r w:rsidRPr="007401A1">
        <w:rPr>
          <w:rStyle w:val="FootnoteReference"/>
          <w:rFonts w:cs="Arial"/>
        </w:rPr>
        <w:footnoteRef/>
      </w:r>
      <w:r w:rsidRPr="007401A1">
        <w:rPr>
          <w:rFonts w:cs="Arial"/>
        </w:rPr>
        <w:t xml:space="preserve"> Ibid.</w:t>
      </w:r>
    </w:p>
  </w:footnote>
  <w:footnote w:id="85">
    <w:p w14:paraId="38AAA759" w14:textId="731B7125" w:rsidR="0019639B" w:rsidRPr="00120064" w:rsidRDefault="0019639B">
      <w:pPr>
        <w:pStyle w:val="FootnoteText"/>
        <w:rPr>
          <w:lang w:val="en-US"/>
        </w:rPr>
      </w:pPr>
      <w:r>
        <w:rPr>
          <w:rStyle w:val="FootnoteReference"/>
        </w:rPr>
        <w:footnoteRef/>
      </w:r>
      <w:r>
        <w:t xml:space="preserve"> Queensland, </w:t>
      </w:r>
      <w:r>
        <w:rPr>
          <w:i/>
        </w:rPr>
        <w:t>Parliamentary Debates</w:t>
      </w:r>
      <w:r>
        <w:t>, House of Representatives, 22 March 2001, 67 (Peter Beattie (Premier and Minister for Trade).</w:t>
      </w:r>
    </w:p>
  </w:footnote>
  <w:footnote w:id="86">
    <w:p w14:paraId="50098E25" w14:textId="1B6DD557" w:rsidR="0019639B" w:rsidRPr="00290574" w:rsidRDefault="0019639B">
      <w:pPr>
        <w:pStyle w:val="FootnoteText"/>
        <w:rPr>
          <w:lang w:val="en-US"/>
        </w:rPr>
      </w:pPr>
      <w:r>
        <w:rPr>
          <w:rStyle w:val="FootnoteReference"/>
        </w:rPr>
        <w:footnoteRef/>
      </w:r>
      <w:r>
        <w:t xml:space="preserve"> </w:t>
      </w:r>
      <w:r>
        <w:rPr>
          <w:lang w:val="en-US"/>
        </w:rPr>
        <w:t>The Macquarie Dictionary meaning of ‘vilify’ is to speak evil of, defame, traduce – to make vile’.</w:t>
      </w:r>
    </w:p>
  </w:footnote>
  <w:footnote w:id="87">
    <w:p w14:paraId="50913F71" w14:textId="584625F2" w:rsidR="0019639B" w:rsidRPr="00CB4063"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119.</w:t>
      </w:r>
    </w:p>
  </w:footnote>
  <w:footnote w:id="88">
    <w:p w14:paraId="3D6EBA40" w14:textId="0D119EEB" w:rsidR="0019639B" w:rsidRPr="003D1B39" w:rsidRDefault="0019639B">
      <w:pPr>
        <w:pStyle w:val="FootnoteText"/>
        <w:rPr>
          <w:lang w:val="en-US"/>
        </w:rPr>
      </w:pPr>
      <w:r>
        <w:rPr>
          <w:rStyle w:val="FootnoteReference"/>
        </w:rPr>
        <w:footnoteRef/>
      </w:r>
      <w:r>
        <w:t xml:space="preserve"> </w:t>
      </w:r>
      <w:r>
        <w:rPr>
          <w:lang w:val="en-US"/>
        </w:rPr>
        <w:t>Ibid, 120.</w:t>
      </w:r>
    </w:p>
  </w:footnote>
  <w:footnote w:id="89">
    <w:p w14:paraId="6C0767E2" w14:textId="79547118" w:rsidR="0019639B" w:rsidRPr="003D1B39" w:rsidRDefault="0019639B">
      <w:pPr>
        <w:pStyle w:val="FootnoteText"/>
        <w:rPr>
          <w:lang w:val="en-US"/>
        </w:rPr>
      </w:pPr>
      <w:r>
        <w:rPr>
          <w:rStyle w:val="FootnoteReference"/>
        </w:rPr>
        <w:footnoteRef/>
      </w:r>
      <w:r>
        <w:t xml:space="preserve"> </w:t>
      </w:r>
      <w:r>
        <w:rPr>
          <w:lang w:val="en-US"/>
        </w:rPr>
        <w:t>Ibid, 120 and 123.</w:t>
      </w:r>
    </w:p>
  </w:footnote>
  <w:footnote w:id="90">
    <w:p w14:paraId="49FCDC75" w14:textId="0AE1EBC9" w:rsidR="0019639B" w:rsidRPr="003241CC" w:rsidRDefault="0019639B">
      <w:pPr>
        <w:pStyle w:val="FootnoteText"/>
        <w:rPr>
          <w:lang w:val="en-US"/>
        </w:rPr>
      </w:pPr>
      <w:r>
        <w:rPr>
          <w:rStyle w:val="FootnoteReference"/>
        </w:rPr>
        <w:footnoteRef/>
      </w:r>
      <w:r>
        <w:t xml:space="preserve"> </w:t>
      </w:r>
      <w:r>
        <w:rPr>
          <w:lang w:val="en-US"/>
        </w:rPr>
        <w:t xml:space="preserve">Australian Human Rights Commission, </w:t>
      </w:r>
      <w:r>
        <w:rPr>
          <w:i/>
          <w:lang w:val="en-US"/>
        </w:rPr>
        <w:t>Respect@Work: National Inquiry into Sexual Harassment in Australian Workplaces,</w:t>
      </w:r>
      <w:r>
        <w:rPr>
          <w:lang w:val="en-US"/>
        </w:rPr>
        <w:t xml:space="preserve"> 2020, Recommendation 17, 44 and 470-481.</w:t>
      </w:r>
    </w:p>
  </w:footnote>
  <w:footnote w:id="91">
    <w:p w14:paraId="3E4C9001" w14:textId="395C19FB" w:rsidR="0019639B" w:rsidRPr="00343FDD" w:rsidRDefault="0019639B">
      <w:pPr>
        <w:pStyle w:val="FootnoteText"/>
        <w:rPr>
          <w:lang w:val="en-US"/>
        </w:rPr>
      </w:pPr>
      <w:r w:rsidRPr="00343FDD">
        <w:rPr>
          <w:rStyle w:val="FootnoteReference"/>
        </w:rPr>
        <w:footnoteRef/>
      </w:r>
      <w:r>
        <w:t xml:space="preserve"> Law Council of Australia, </w:t>
      </w:r>
      <w:r>
        <w:rPr>
          <w:i/>
        </w:rPr>
        <w:t xml:space="preserve">National Action Plan to Reduce Sexual Harassment in the Australian Legal Profession </w:t>
      </w:r>
      <w:r>
        <w:t>(32 December 2020).</w:t>
      </w:r>
    </w:p>
  </w:footnote>
  <w:footnote w:id="92">
    <w:p w14:paraId="57195EFE" w14:textId="50A07BA2" w:rsidR="0019639B" w:rsidRPr="000464D9" w:rsidRDefault="0019639B">
      <w:pPr>
        <w:pStyle w:val="FootnoteText"/>
        <w:rPr>
          <w:lang w:val="en-US"/>
        </w:rPr>
      </w:pPr>
      <w:r>
        <w:rPr>
          <w:rStyle w:val="FootnoteReference"/>
        </w:rPr>
        <w:footnoteRef/>
      </w:r>
      <w:r>
        <w:t xml:space="preserve"> </w:t>
      </w:r>
      <w:r>
        <w:rPr>
          <w:lang w:val="en-US"/>
        </w:rPr>
        <w:t xml:space="preserve">Victorian Equal Opportunity &amp; Human Rights Commission, Submission to Australian Human Rights Commission, </w:t>
      </w:r>
      <w:r>
        <w:rPr>
          <w:i/>
          <w:lang w:val="en-US"/>
        </w:rPr>
        <w:t>National Inquiry into Sexual Harassment in Australian Workplaces</w:t>
      </w:r>
      <w:r>
        <w:rPr>
          <w:lang w:val="en-US"/>
        </w:rPr>
        <w:t>, February 2019, 33</w:t>
      </w:r>
    </w:p>
  </w:footnote>
  <w:footnote w:id="93">
    <w:p w14:paraId="44B16962" w14:textId="6C82B43A" w:rsidR="0019639B" w:rsidRPr="00114587" w:rsidRDefault="0019639B">
      <w:pPr>
        <w:pStyle w:val="FootnoteText"/>
        <w:rPr>
          <w:lang w:val="en-US"/>
        </w:rPr>
      </w:pPr>
      <w:r>
        <w:rPr>
          <w:rStyle w:val="FootnoteReference"/>
        </w:rPr>
        <w:footnoteRef/>
      </w:r>
      <w:r>
        <w:t xml:space="preserve"> </w:t>
      </w:r>
      <w:r>
        <w:rPr>
          <w:i/>
          <w:lang w:val="en-US"/>
        </w:rPr>
        <w:t xml:space="preserve">Equal Opportunity Act 2010 </w:t>
      </w:r>
      <w:r>
        <w:rPr>
          <w:lang w:val="en-US"/>
        </w:rPr>
        <w:t>(Vic) section 15.</w:t>
      </w:r>
    </w:p>
  </w:footnote>
  <w:footnote w:id="94">
    <w:p w14:paraId="561498BD" w14:textId="31C92BB8" w:rsidR="0019639B" w:rsidRPr="00CD36AE" w:rsidRDefault="0019639B">
      <w:pPr>
        <w:pStyle w:val="FootnoteText"/>
        <w:rPr>
          <w:lang w:val="en-US"/>
        </w:rPr>
      </w:pPr>
      <w:r>
        <w:rPr>
          <w:rStyle w:val="FootnoteReference"/>
        </w:rPr>
        <w:footnoteRef/>
      </w:r>
      <w:r>
        <w:t xml:space="preserve"> </w:t>
      </w:r>
      <w:r>
        <w:rPr>
          <w:lang w:val="en-US"/>
        </w:rPr>
        <w:t xml:space="preserve">In Victoria, vilification on the basis of race or religion is prohibited in the </w:t>
      </w:r>
      <w:r w:rsidRPr="00CD36AE">
        <w:rPr>
          <w:i/>
          <w:lang w:val="en-US"/>
        </w:rPr>
        <w:t>Racial and Religious Tolerance Act 2001</w:t>
      </w:r>
      <w:r>
        <w:rPr>
          <w:lang w:val="en-US"/>
        </w:rPr>
        <w:t xml:space="preserve"> (Vic).</w:t>
      </w:r>
    </w:p>
  </w:footnote>
  <w:footnote w:id="95">
    <w:p w14:paraId="02E4DF7B" w14:textId="316AD562" w:rsidR="0019639B" w:rsidRPr="00F82A95"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142-144.</w:t>
      </w:r>
    </w:p>
  </w:footnote>
  <w:footnote w:id="96">
    <w:p w14:paraId="44E09E5D" w14:textId="31898178" w:rsidR="0019639B" w:rsidRPr="00C37E14" w:rsidRDefault="0019639B">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144.</w:t>
      </w:r>
    </w:p>
  </w:footnote>
  <w:footnote w:id="97">
    <w:p w14:paraId="155D27DD" w14:textId="77777777" w:rsidR="0019639B" w:rsidRPr="00137C8D" w:rsidRDefault="0019639B" w:rsidP="000F3A55">
      <w:pPr>
        <w:pStyle w:val="FootnoteText"/>
        <w:rPr>
          <w:lang w:val="en-US"/>
        </w:rPr>
      </w:pPr>
      <w:r>
        <w:rPr>
          <w:rStyle w:val="FootnoteReference"/>
        </w:rPr>
        <w:footnoteRef/>
      </w:r>
      <w:r>
        <w:t xml:space="preserve"> </w:t>
      </w:r>
      <w:r>
        <w:rPr>
          <w:i/>
          <w:lang w:val="en-US"/>
        </w:rPr>
        <w:t xml:space="preserve">Anti-Discrimination Act 1991 </w:t>
      </w:r>
      <w:r>
        <w:rPr>
          <w:lang w:val="en-US"/>
        </w:rPr>
        <w:t>section 144.</w:t>
      </w:r>
    </w:p>
  </w:footnote>
  <w:footnote w:id="98">
    <w:p w14:paraId="45977A6B" w14:textId="77777777" w:rsidR="0019639B" w:rsidRPr="00005BD1" w:rsidRDefault="0019639B" w:rsidP="0015534D">
      <w:pPr>
        <w:pStyle w:val="FootnoteText"/>
        <w:rPr>
          <w:lang w:val="en-US"/>
        </w:rPr>
      </w:pPr>
      <w:r>
        <w:rPr>
          <w:rStyle w:val="FootnoteReference"/>
        </w:rPr>
        <w:footnoteRef/>
      </w:r>
      <w:r>
        <w:t xml:space="preserve"> </w:t>
      </w:r>
      <w:r>
        <w:rPr>
          <w:i/>
          <w:lang w:val="en-US"/>
        </w:rPr>
        <w:t xml:space="preserve">Owen v Menzies </w:t>
      </w:r>
      <w:r>
        <w:rPr>
          <w:lang w:val="en-US"/>
        </w:rPr>
        <w:t>[2013] 2 Qd R 327; [2012] QCA 170.</w:t>
      </w:r>
    </w:p>
  </w:footnote>
  <w:footnote w:id="99">
    <w:p w14:paraId="2096A1D3" w14:textId="32CD6C17" w:rsidR="0019639B" w:rsidRPr="00C72F49" w:rsidRDefault="0019639B" w:rsidP="00D00254">
      <w:pPr>
        <w:pStyle w:val="FootnoteText"/>
        <w:rPr>
          <w:lang w:val="en-US"/>
        </w:rPr>
      </w:pPr>
      <w:r>
        <w:rPr>
          <w:rStyle w:val="FootnoteReference"/>
        </w:rPr>
        <w:footnoteRef/>
      </w:r>
      <w:r>
        <w:t xml:space="preserve"> </w:t>
      </w:r>
      <w:r>
        <w:rPr>
          <w:lang w:val="en-US"/>
        </w:rPr>
        <w:t>Ibid.</w:t>
      </w:r>
    </w:p>
  </w:footnote>
  <w:footnote w:id="100">
    <w:p w14:paraId="70A46575" w14:textId="2E5D6839" w:rsidR="0019639B" w:rsidRPr="002264E2" w:rsidRDefault="0019639B">
      <w:pPr>
        <w:pStyle w:val="FootnoteText"/>
        <w:rPr>
          <w:lang w:val="en-US"/>
        </w:rPr>
      </w:pPr>
      <w:r>
        <w:rPr>
          <w:rStyle w:val="FootnoteReference"/>
        </w:rPr>
        <w:footnoteRef/>
      </w:r>
      <w:r>
        <w:t xml:space="preserve"> </w:t>
      </w:r>
      <w:r>
        <w:rPr>
          <w:lang w:val="en-US"/>
        </w:rPr>
        <w:t xml:space="preserve">Human Rights Committee, </w:t>
      </w:r>
      <w:r>
        <w:rPr>
          <w:i/>
          <w:lang w:val="en-US"/>
        </w:rPr>
        <w:t>General Comment No. 34: Article 19 Freedoms of opinion and expression</w:t>
      </w:r>
      <w:r>
        <w:rPr>
          <w:lang w:val="en-US"/>
        </w:rPr>
        <w:t>, 102</w:t>
      </w:r>
      <w:r w:rsidRPr="002264E2">
        <w:rPr>
          <w:vertAlign w:val="superscript"/>
          <w:lang w:val="en-US"/>
        </w:rPr>
        <w:t>nd</w:t>
      </w:r>
      <w:r>
        <w:rPr>
          <w:lang w:val="en-US"/>
        </w:rPr>
        <w:t xml:space="preserve"> sess, UN Doc CCPR/C/GC/34 (12 September 2011).</w:t>
      </w:r>
    </w:p>
  </w:footnote>
  <w:footnote w:id="101">
    <w:p w14:paraId="2542450E" w14:textId="0C868B02" w:rsidR="0019639B" w:rsidRPr="00946534" w:rsidRDefault="0019639B">
      <w:pPr>
        <w:pStyle w:val="FootnoteText"/>
        <w:rPr>
          <w:lang w:val="en-US"/>
        </w:rPr>
      </w:pPr>
      <w:r>
        <w:rPr>
          <w:rStyle w:val="FootnoteReference"/>
        </w:rPr>
        <w:footnoteRef/>
      </w:r>
      <w:r>
        <w:t xml:space="preserve"> David Kaye</w:t>
      </w:r>
      <w:r>
        <w:rPr>
          <w:lang w:val="en-US"/>
        </w:rPr>
        <w:t xml:space="preserve">, </w:t>
      </w:r>
      <w:r>
        <w:rPr>
          <w:i/>
          <w:lang w:val="en-US"/>
        </w:rPr>
        <w:t xml:space="preserve">Report of the Special Rapporteur on the promotion and protection of the right to freedom of opinion and expression, </w:t>
      </w:r>
      <w:r>
        <w:rPr>
          <w:lang w:val="en-US"/>
        </w:rPr>
        <w:t>UN Doc A/74/486 (9 October 2019) 5.</w:t>
      </w:r>
    </w:p>
  </w:footnote>
  <w:footnote w:id="102">
    <w:p w14:paraId="6BC32014" w14:textId="77777777" w:rsidR="0019639B" w:rsidRPr="00FD1328" w:rsidRDefault="0019639B" w:rsidP="00514765">
      <w:pPr>
        <w:pStyle w:val="FootnoteText"/>
        <w:rPr>
          <w:color w:val="000000" w:themeColor="text1"/>
          <w:lang w:val="en-US"/>
        </w:rPr>
      </w:pPr>
      <w:r w:rsidRPr="00FD1328">
        <w:rPr>
          <w:rStyle w:val="FootnoteReference"/>
          <w:color w:val="000000" w:themeColor="text1"/>
        </w:rPr>
        <w:footnoteRef/>
      </w:r>
      <w:r w:rsidRPr="00FD1328">
        <w:rPr>
          <w:color w:val="000000" w:themeColor="text1"/>
        </w:rPr>
        <w:t xml:space="preserve"> United Nations. Human Rights Committee, </w:t>
      </w:r>
      <w:r w:rsidRPr="00FD1328">
        <w:rPr>
          <w:i/>
          <w:iCs/>
          <w:color w:val="000000" w:themeColor="text1"/>
        </w:rPr>
        <w:t>General Comment No. 35: Article 9 (Liberty and security of person)</w:t>
      </w:r>
      <w:r>
        <w:rPr>
          <w:color w:val="000000" w:themeColor="text1"/>
        </w:rPr>
        <w:t xml:space="preserve">, UN Doc CCPR/C/GC/35 </w:t>
      </w:r>
      <w:r w:rsidRPr="00FD1328">
        <w:rPr>
          <w:color w:val="000000" w:themeColor="text1"/>
        </w:rPr>
        <w:t>(16 December 2014) [3] and [9].</w:t>
      </w:r>
    </w:p>
  </w:footnote>
  <w:footnote w:id="103">
    <w:p w14:paraId="0F76B883" w14:textId="77777777" w:rsidR="0019639B" w:rsidRPr="00CF67F1"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section 335.</w:t>
      </w:r>
    </w:p>
  </w:footnote>
  <w:footnote w:id="104">
    <w:p w14:paraId="58912FC3" w14:textId="77777777" w:rsidR="0019639B" w:rsidRPr="00E06E5E"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section 339.</w:t>
      </w:r>
    </w:p>
  </w:footnote>
  <w:footnote w:id="105">
    <w:p w14:paraId="54E23231" w14:textId="77777777" w:rsidR="0019639B" w:rsidRPr="00CF67F1"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section 207.</w:t>
      </w:r>
    </w:p>
  </w:footnote>
  <w:footnote w:id="106">
    <w:p w14:paraId="04AC604A" w14:textId="77777777" w:rsidR="0019639B" w:rsidRPr="00063E15" w:rsidRDefault="0019639B">
      <w:pPr>
        <w:pStyle w:val="FootnoteText"/>
        <w:rPr>
          <w:lang w:val="en-US"/>
        </w:rPr>
      </w:pPr>
      <w:r>
        <w:rPr>
          <w:rStyle w:val="FootnoteReference"/>
        </w:rPr>
        <w:footnoteRef/>
      </w:r>
      <w:r>
        <w:t xml:space="preserve"> </w:t>
      </w:r>
      <w:r>
        <w:rPr>
          <w:i/>
          <w:lang w:val="en-US"/>
        </w:rPr>
        <w:t xml:space="preserve">Criminal Code </w:t>
      </w:r>
      <w:r>
        <w:rPr>
          <w:lang w:val="en-US"/>
        </w:rPr>
        <w:t>section 69.</w:t>
      </w:r>
    </w:p>
  </w:footnote>
  <w:footnote w:id="107">
    <w:p w14:paraId="63F6AC3B" w14:textId="77777777" w:rsidR="0019639B" w:rsidRPr="00E06E5E"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section 320.</w:t>
      </w:r>
    </w:p>
  </w:footnote>
  <w:footnote w:id="108">
    <w:p w14:paraId="093A39DD" w14:textId="77777777" w:rsidR="0019639B" w:rsidRPr="00CF67F1" w:rsidRDefault="0019639B" w:rsidP="00E17E1B">
      <w:pPr>
        <w:pStyle w:val="FootnoteText"/>
        <w:rPr>
          <w:lang w:val="en-US"/>
        </w:rPr>
      </w:pPr>
      <w:r>
        <w:rPr>
          <w:rStyle w:val="FootnoteReference"/>
        </w:rPr>
        <w:footnoteRef/>
      </w:r>
      <w:r>
        <w:t xml:space="preserve"> </w:t>
      </w:r>
      <w:r>
        <w:rPr>
          <w:i/>
          <w:lang w:val="en-US"/>
        </w:rPr>
        <w:t xml:space="preserve">Summary Offences Act 2005 </w:t>
      </w:r>
      <w:r>
        <w:rPr>
          <w:lang w:val="en-US"/>
        </w:rPr>
        <w:t>section 6.</w:t>
      </w:r>
    </w:p>
  </w:footnote>
  <w:footnote w:id="109">
    <w:p w14:paraId="19CA9261" w14:textId="77777777" w:rsidR="0019639B" w:rsidRPr="00CF67F1" w:rsidRDefault="0019639B" w:rsidP="00E17E1B">
      <w:pPr>
        <w:pStyle w:val="FootnoteText"/>
        <w:rPr>
          <w:lang w:val="en-US"/>
        </w:rPr>
      </w:pPr>
      <w:r>
        <w:rPr>
          <w:rStyle w:val="FootnoteReference"/>
        </w:rPr>
        <w:footnoteRef/>
      </w:r>
      <w:r>
        <w:t xml:space="preserve"> </w:t>
      </w:r>
      <w:r w:rsidRPr="00CF67F1">
        <w:rPr>
          <w:i/>
          <w:lang w:val="en-US"/>
        </w:rPr>
        <w:t>Anti-Discrimination Act 1991</w:t>
      </w:r>
      <w:r>
        <w:rPr>
          <w:lang w:val="en-US"/>
        </w:rPr>
        <w:t xml:space="preserve"> section 131A.</w:t>
      </w:r>
    </w:p>
  </w:footnote>
  <w:footnote w:id="110">
    <w:p w14:paraId="0B5E4478" w14:textId="77777777" w:rsidR="0019639B" w:rsidRPr="00F13FAA"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Chapter 33A.</w:t>
      </w:r>
    </w:p>
  </w:footnote>
  <w:footnote w:id="111">
    <w:p w14:paraId="3A757008" w14:textId="77777777" w:rsidR="0019639B" w:rsidRPr="00CF67F1"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section 75.</w:t>
      </w:r>
    </w:p>
  </w:footnote>
  <w:footnote w:id="112">
    <w:p w14:paraId="4657C4D6" w14:textId="77777777" w:rsidR="0019639B" w:rsidRPr="00CF67F1" w:rsidRDefault="0019639B" w:rsidP="00E17E1B">
      <w:pPr>
        <w:pStyle w:val="FootnoteText"/>
        <w:rPr>
          <w:lang w:val="en-US"/>
        </w:rPr>
      </w:pPr>
      <w:r>
        <w:rPr>
          <w:rStyle w:val="FootnoteReference"/>
        </w:rPr>
        <w:footnoteRef/>
      </w:r>
      <w:r>
        <w:t xml:space="preserve"> </w:t>
      </w:r>
      <w:r>
        <w:rPr>
          <w:i/>
          <w:lang w:val="en-US"/>
        </w:rPr>
        <w:t xml:space="preserve">Summary Offences Act 2005 </w:t>
      </w:r>
      <w:r>
        <w:rPr>
          <w:lang w:val="en-US"/>
        </w:rPr>
        <w:t>section 11.</w:t>
      </w:r>
    </w:p>
  </w:footnote>
  <w:footnote w:id="113">
    <w:p w14:paraId="30272F18" w14:textId="77777777" w:rsidR="0019639B" w:rsidRPr="00E06E5E" w:rsidRDefault="0019639B" w:rsidP="00E17E1B">
      <w:pPr>
        <w:pStyle w:val="FootnoteText"/>
        <w:rPr>
          <w:lang w:val="en-US"/>
        </w:rPr>
      </w:pPr>
      <w:r>
        <w:rPr>
          <w:rStyle w:val="FootnoteReference"/>
        </w:rPr>
        <w:footnoteRef/>
      </w:r>
      <w:r>
        <w:t xml:space="preserve"> </w:t>
      </w:r>
      <w:r>
        <w:rPr>
          <w:i/>
          <w:lang w:val="en-US"/>
        </w:rPr>
        <w:t xml:space="preserve">Criminal Code </w:t>
      </w:r>
      <w:r>
        <w:rPr>
          <w:lang w:val="en-US"/>
        </w:rPr>
        <w:t>section 469.</w:t>
      </w:r>
    </w:p>
  </w:footnote>
  <w:footnote w:id="114">
    <w:p w14:paraId="68DFD349" w14:textId="76AF8C65" w:rsidR="0019639B" w:rsidRPr="000D1519" w:rsidRDefault="0019639B">
      <w:pPr>
        <w:pStyle w:val="FootnoteText"/>
        <w:rPr>
          <w:lang w:val="en-US"/>
        </w:rPr>
      </w:pPr>
      <w:r>
        <w:rPr>
          <w:rStyle w:val="FootnoteReference"/>
        </w:rPr>
        <w:footnoteRef/>
      </w:r>
      <w:r>
        <w:t xml:space="preserve"> </w:t>
      </w:r>
      <w:r>
        <w:rPr>
          <w:lang w:val="en-US"/>
        </w:rPr>
        <w:t>These examples are extracted from the Options Paper described in paragraph 6 of the submission.</w:t>
      </w:r>
    </w:p>
  </w:footnote>
  <w:footnote w:id="115">
    <w:p w14:paraId="2EB88CCC" w14:textId="36EAC45D" w:rsidR="0019639B" w:rsidRPr="000D1519" w:rsidRDefault="0019639B">
      <w:pPr>
        <w:pStyle w:val="FootnoteText"/>
        <w:rPr>
          <w:lang w:val="en-US"/>
        </w:rPr>
      </w:pPr>
      <w:r>
        <w:rPr>
          <w:rStyle w:val="FootnoteReference"/>
        </w:rPr>
        <w:footnoteRef/>
      </w:r>
      <w:r>
        <w:t xml:space="preserve"> </w:t>
      </w:r>
      <w:r>
        <w:rPr>
          <w:lang w:val="en-US"/>
        </w:rPr>
        <w:t xml:space="preserve">Nathan, J (2019) </w:t>
      </w:r>
      <w:r>
        <w:rPr>
          <w:i/>
          <w:lang w:val="en-US"/>
        </w:rPr>
        <w:t xml:space="preserve">Report on Antisemitism in Australia 2019 </w:t>
      </w:r>
      <w:r>
        <w:rPr>
          <w:lang w:val="en-US"/>
        </w:rPr>
        <w:t>Executive Council of Australian Jewry, p120-122.</w:t>
      </w:r>
    </w:p>
  </w:footnote>
  <w:footnote w:id="116">
    <w:p w14:paraId="4CCA9E69" w14:textId="04324F47" w:rsidR="0019639B" w:rsidRPr="00455917" w:rsidRDefault="0019639B">
      <w:pPr>
        <w:pStyle w:val="FootnoteText"/>
        <w:rPr>
          <w:lang w:val="en-US"/>
        </w:rPr>
      </w:pPr>
      <w:r>
        <w:rPr>
          <w:rStyle w:val="FootnoteReference"/>
        </w:rPr>
        <w:footnoteRef/>
      </w:r>
      <w:r>
        <w:t xml:space="preserve"> </w:t>
      </w:r>
      <w:r>
        <w:rPr>
          <w:lang w:val="en-US"/>
        </w:rPr>
        <w:t>The statistics for the period 2020-2021 are provisional at this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4577" w14:textId="77777777" w:rsidR="0019639B" w:rsidRDefault="0019639B" w:rsidP="000731D3">
    <w:pPr>
      <w:pStyle w:val="Header"/>
      <w:tabs>
        <w:tab w:val="clear" w:pos="4513"/>
        <w:tab w:val="clear" w:pos="9026"/>
      </w:tabs>
      <w:spacing w:before="240"/>
      <w:jc w:val="center"/>
    </w:pPr>
    <w:r w:rsidRPr="00F63848">
      <w:rPr>
        <w:noProof/>
        <w:lang w:eastAsia="en-AU"/>
      </w:rPr>
      <w:drawing>
        <wp:inline distT="0" distB="0" distL="0" distR="0" wp14:anchorId="0660BB33" wp14:editId="47FA547D">
          <wp:extent cx="4095750" cy="1635396"/>
          <wp:effectExtent l="0" t="0" r="0" b="0"/>
          <wp:docPr id="6" name="Picture 6"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D0495F5" w14:textId="77777777" w:rsidR="0019639B" w:rsidRDefault="0019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8E2B" w14:textId="724B9750" w:rsidR="0019639B" w:rsidRDefault="0019639B" w:rsidP="006369AF">
    <w:pPr>
      <w:pStyle w:val="Header"/>
      <w:spacing w:after="80"/>
      <w:rPr>
        <w:rFonts w:cs="Arial"/>
        <w:color w:val="365F91" w:themeColor="accent1" w:themeShade="BF"/>
        <w:sz w:val="22"/>
        <w:szCs w:val="22"/>
      </w:rPr>
    </w:pPr>
    <w:r>
      <w:rPr>
        <w:rFonts w:cs="Arial"/>
        <w:color w:val="365F91" w:themeColor="accent1" w:themeShade="BF"/>
        <w:sz w:val="22"/>
        <w:szCs w:val="22"/>
      </w:rPr>
      <w:t>Inquiry into serious vilification and hate crimes</w:t>
    </w:r>
  </w:p>
  <w:p w14:paraId="363D43CD" w14:textId="77777777" w:rsidR="0019639B" w:rsidRPr="006369AF" w:rsidRDefault="0019639B" w:rsidP="006369AF">
    <w:pPr>
      <w:pStyle w:val="Header"/>
      <w:pBdr>
        <w:top w:val="single" w:sz="4" w:space="1" w:color="auto"/>
      </w:pBdr>
      <w:spacing w:after="80"/>
      <w:rPr>
        <w:rFonts w:cs="Arial"/>
        <w:color w:val="365F91" w:themeColor="accent1" w:themeShade="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7E82" w14:textId="77777777" w:rsidR="0019639B" w:rsidRPr="000731D3" w:rsidRDefault="0019639B" w:rsidP="000731D3">
    <w:pPr>
      <w:pStyle w:val="Header"/>
      <w:pBdr>
        <w:bottom w:val="single" w:sz="4" w:space="1" w:color="auto"/>
      </w:pBdr>
      <w:rPr>
        <w:rFonts w:cs="Arial"/>
        <w:sz w:val="20"/>
        <w:szCs w:val="20"/>
      </w:rPr>
    </w:pPr>
  </w:p>
  <w:p w14:paraId="75A9F41A" w14:textId="77777777" w:rsidR="0019639B" w:rsidRPr="000731D3" w:rsidRDefault="0019639B" w:rsidP="000731D3">
    <w:pPr>
      <w:pStyle w:val="Header"/>
      <w:rPr>
        <w:rFonts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7020" w14:textId="77777777" w:rsidR="0019639B" w:rsidRPr="00B50D7B" w:rsidRDefault="0019639B" w:rsidP="00B50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97E"/>
    <w:multiLevelType w:val="hybridMultilevel"/>
    <w:tmpl w:val="96FE3306"/>
    <w:lvl w:ilvl="0" w:tplc="68E2373A">
      <w:start w:val="1"/>
      <w:numFmt w:val="lowerLetter"/>
      <w:lvlText w:val="(%1)"/>
      <w:lvlJc w:val="left"/>
      <w:pPr>
        <w:ind w:left="1797" w:hanging="360"/>
      </w:pPr>
      <w:rPr>
        <w:rFonts w:ascii="Arial" w:hAnsi="Arial" w:cs="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97BB1"/>
    <w:multiLevelType w:val="hybridMultilevel"/>
    <w:tmpl w:val="B66AB84C"/>
    <w:lvl w:ilvl="0" w:tplc="C6E60EB6">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15:restartNumberingAfterBreak="0">
    <w:nsid w:val="0D5937C2"/>
    <w:multiLevelType w:val="hybridMultilevel"/>
    <w:tmpl w:val="A91280EA"/>
    <w:lvl w:ilvl="0" w:tplc="2C4234D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0E101E24"/>
    <w:multiLevelType w:val="hybridMultilevel"/>
    <w:tmpl w:val="FA067182"/>
    <w:lvl w:ilvl="0" w:tplc="C962360E">
      <w:start w:val="1"/>
      <w:numFmt w:val="decimal"/>
      <w:lvlText w:val="%1."/>
      <w:lvlJc w:val="left"/>
      <w:pPr>
        <w:ind w:left="720" w:hanging="360"/>
      </w:pPr>
      <w:rPr>
        <w:rFonts w:ascii="Arial" w:hAnsi="Arial" w:hint="default"/>
        <w:b w:val="0"/>
        <w:i w:val="0"/>
        <w:color w:val="000000" w:themeColor="text1"/>
        <w:sz w:val="24"/>
      </w:rPr>
    </w:lvl>
    <w:lvl w:ilvl="1" w:tplc="088C559A">
      <w:start w:val="1"/>
      <w:numFmt w:val="lowerLetter"/>
      <w:lvlText w:val="(%2)"/>
      <w:lvlJc w:val="left"/>
      <w:pPr>
        <w:ind w:left="1440" w:hanging="360"/>
      </w:pPr>
      <w:rPr>
        <w:rFonts w:ascii="Arial" w:hAnsi="Arial" w:cs="Arial" w:hint="default"/>
        <w:b w:val="0"/>
        <w:i w:val="0"/>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11F1429"/>
    <w:multiLevelType w:val="hybridMultilevel"/>
    <w:tmpl w:val="4092959C"/>
    <w:lvl w:ilvl="0" w:tplc="88BADBC8">
      <w:start w:val="1"/>
      <w:numFmt w:val="lowerLetter"/>
      <w:lvlText w:val="(%1)"/>
      <w:lvlJc w:val="left"/>
      <w:pPr>
        <w:ind w:left="16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AE61F7"/>
    <w:multiLevelType w:val="hybridMultilevel"/>
    <w:tmpl w:val="098EFF78"/>
    <w:lvl w:ilvl="0" w:tplc="50984DEE">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E4642"/>
    <w:multiLevelType w:val="hybridMultilevel"/>
    <w:tmpl w:val="4A16BFD6"/>
    <w:lvl w:ilvl="0" w:tplc="D1E2763C">
      <w:start w:val="1"/>
      <w:numFmt w:val="lowerLetter"/>
      <w:lvlText w:val="(%1)"/>
      <w:lvlJc w:val="left"/>
      <w:pPr>
        <w:ind w:left="16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C817DB"/>
    <w:multiLevelType w:val="hybridMultilevel"/>
    <w:tmpl w:val="A45C0858"/>
    <w:lvl w:ilvl="0" w:tplc="6C1611DA">
      <w:start w:val="1"/>
      <w:numFmt w:val="decimal"/>
      <w:lvlText w:val="(%1)"/>
      <w:lvlJc w:val="left"/>
      <w:pPr>
        <w:ind w:left="1287" w:hanging="360"/>
      </w:pPr>
      <w:rPr>
        <w:rFonts w:ascii="Arial" w:hAnsi="Arial"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751913"/>
    <w:multiLevelType w:val="hybridMultilevel"/>
    <w:tmpl w:val="11647B48"/>
    <w:lvl w:ilvl="0" w:tplc="6556FF70">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1" w15:restartNumberingAfterBreak="0">
    <w:nsid w:val="2B255B06"/>
    <w:multiLevelType w:val="hybridMultilevel"/>
    <w:tmpl w:val="66E4B922"/>
    <w:lvl w:ilvl="0" w:tplc="FEF24A5E">
      <w:start w:val="1"/>
      <w:numFmt w:val="decimal"/>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8F47C8"/>
    <w:multiLevelType w:val="hybridMultilevel"/>
    <w:tmpl w:val="3134F8F6"/>
    <w:lvl w:ilvl="0" w:tplc="61F693D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FB627C"/>
    <w:multiLevelType w:val="multilevel"/>
    <w:tmpl w:val="007E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3FDB7BEE"/>
    <w:multiLevelType w:val="hybridMultilevel"/>
    <w:tmpl w:val="21481CD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D45DD2"/>
    <w:multiLevelType w:val="hybridMultilevel"/>
    <w:tmpl w:val="03A8AB30"/>
    <w:lvl w:ilvl="0" w:tplc="DEC23476">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15:restartNumberingAfterBreak="0">
    <w:nsid w:val="456575ED"/>
    <w:multiLevelType w:val="hybridMultilevel"/>
    <w:tmpl w:val="9000E4E6"/>
    <w:lvl w:ilvl="0" w:tplc="0F4A01B4">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022C2E"/>
    <w:multiLevelType w:val="hybridMultilevel"/>
    <w:tmpl w:val="6A1C2ED8"/>
    <w:lvl w:ilvl="0" w:tplc="59A21AC8">
      <w:start w:val="1"/>
      <w:numFmt w:val="decimal"/>
      <w:lvlText w:val="(%1)"/>
      <w:lvlJc w:val="left"/>
      <w:pPr>
        <w:ind w:left="1494" w:hanging="360"/>
      </w:pPr>
      <w:rPr>
        <w:rFonts w:hint="default"/>
      </w:rPr>
    </w:lvl>
    <w:lvl w:ilvl="1" w:tplc="9738AEC6">
      <w:start w:val="1"/>
      <w:numFmt w:val="lowerLetter"/>
      <w:lvlText w:val="(%2)"/>
      <w:lvlJc w:val="left"/>
      <w:pPr>
        <w:ind w:left="2214" w:hanging="360"/>
      </w:pPr>
      <w:rPr>
        <w:rFonts w:hint="default"/>
      </w:rPr>
    </w:lvl>
    <w:lvl w:ilvl="2" w:tplc="848EC7CC">
      <w:start w:val="1"/>
      <w:numFmt w:val="decimal"/>
      <w:lvlText w:val="%3."/>
      <w:lvlJc w:val="left"/>
      <w:pPr>
        <w:ind w:left="3114" w:hanging="360"/>
      </w:pPr>
      <w:rPr>
        <w:rFonts w:hint="default"/>
      </w:r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14587"/>
    <w:multiLevelType w:val="hybridMultilevel"/>
    <w:tmpl w:val="2556AF02"/>
    <w:lvl w:ilvl="0" w:tplc="5EC66206">
      <w:start w:val="1"/>
      <w:numFmt w:val="decimal"/>
      <w:lvlText w:val="%1."/>
      <w:lvlJc w:val="left"/>
      <w:pPr>
        <w:ind w:left="5322" w:hanging="360"/>
      </w:pPr>
      <w:rPr>
        <w:rFonts w:ascii="Arial" w:hAnsi="Arial" w:hint="default"/>
        <w:b w:val="0"/>
        <w:i w:val="0"/>
        <w:color w:val="000000" w:themeColor="text1"/>
        <w:sz w:val="24"/>
      </w:rPr>
    </w:lvl>
    <w:lvl w:ilvl="1" w:tplc="088C559A">
      <w:start w:val="1"/>
      <w:numFmt w:val="lowerLetter"/>
      <w:lvlText w:val="(%2)"/>
      <w:lvlJc w:val="left"/>
      <w:pPr>
        <w:ind w:left="1797" w:hanging="360"/>
      </w:pPr>
      <w:rPr>
        <w:rFonts w:ascii="Arial" w:hAnsi="Arial" w:cs="Arial" w:hint="default"/>
        <w:b w:val="0"/>
        <w:i w:val="0"/>
        <w:sz w:val="22"/>
      </w:rPr>
    </w:lvl>
    <w:lvl w:ilvl="2" w:tplc="5FDAB712">
      <w:start w:val="1"/>
      <w:numFmt w:val="bullet"/>
      <w:lvlText w:val=""/>
      <w:lvlJc w:val="left"/>
      <w:pPr>
        <w:ind w:left="2517" w:hanging="180"/>
      </w:pPr>
      <w:rPr>
        <w:rFonts w:ascii="Symbol" w:hAnsi="Symbol" w:hint="default"/>
        <w:sz w:val="20"/>
        <w:szCs w:val="20"/>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4558DD"/>
    <w:multiLevelType w:val="hybridMultilevel"/>
    <w:tmpl w:val="6A76C1B0"/>
    <w:lvl w:ilvl="0" w:tplc="63C4C482">
      <w:start w:val="1"/>
      <w:numFmt w:val="decimal"/>
      <w:lvlText w:val="(%1)"/>
      <w:lvlJc w:val="left"/>
      <w:pPr>
        <w:ind w:left="1287" w:hanging="360"/>
      </w:pPr>
      <w:rPr>
        <w:rFonts w:ascii="Arial" w:hAnsi="Arial"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59A13CC2"/>
    <w:multiLevelType w:val="hybridMultilevel"/>
    <w:tmpl w:val="656A0424"/>
    <w:lvl w:ilvl="0" w:tplc="B85E7170">
      <w:start w:val="1"/>
      <w:numFmt w:val="decimal"/>
      <w:lvlText w:val="(%1)"/>
      <w:lvlJc w:val="left"/>
      <w:pPr>
        <w:ind w:left="30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7E4C54"/>
    <w:multiLevelType w:val="hybridMultilevel"/>
    <w:tmpl w:val="DCE02176"/>
    <w:lvl w:ilvl="0" w:tplc="142C3F4C">
      <w:start w:val="1"/>
      <w:numFmt w:val="lowerLetter"/>
      <w:lvlText w:val="(%1)"/>
      <w:lvlJc w:val="left"/>
      <w:pPr>
        <w:ind w:left="1797" w:hanging="360"/>
      </w:pPr>
      <w:rPr>
        <w:rFonts w:ascii="Arial" w:hAnsi="Arial" w:cs="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471753"/>
    <w:multiLevelType w:val="hybridMultilevel"/>
    <w:tmpl w:val="B52002EC"/>
    <w:lvl w:ilvl="0" w:tplc="0C090005">
      <w:start w:val="1"/>
      <w:numFmt w:val="bullet"/>
      <w:lvlText w:val=""/>
      <w:lvlJc w:val="left"/>
      <w:pPr>
        <w:ind w:left="1211" w:hanging="360"/>
      </w:pPr>
      <w:rPr>
        <w:rFonts w:ascii="Wingdings" w:hAnsi="Wingdings" w:hint="default"/>
      </w:rPr>
    </w:lvl>
    <w:lvl w:ilvl="1" w:tplc="0C090001">
      <w:start w:val="1"/>
      <w:numFmt w:val="bullet"/>
      <w:lvlText w:val=""/>
      <w:lvlJc w:val="left"/>
      <w:pPr>
        <w:ind w:left="1931" w:hanging="360"/>
      </w:pPr>
      <w:rPr>
        <w:rFonts w:ascii="Symbol" w:hAnsi="Symbol" w:hint="default"/>
      </w:rPr>
    </w:lvl>
    <w:lvl w:ilvl="2" w:tplc="5FDAB712">
      <w:start w:val="1"/>
      <w:numFmt w:val="bullet"/>
      <w:lvlText w:val=""/>
      <w:lvlJc w:val="left"/>
      <w:pPr>
        <w:ind w:left="2651" w:hanging="360"/>
      </w:pPr>
      <w:rPr>
        <w:rFonts w:ascii="Symbol" w:hAnsi="Symbol" w:hint="default"/>
        <w:sz w:val="20"/>
        <w:szCs w:val="20"/>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2" w15:restartNumberingAfterBreak="0">
    <w:nsid w:val="6A4F22DC"/>
    <w:multiLevelType w:val="hybridMultilevel"/>
    <w:tmpl w:val="6700DCAC"/>
    <w:lvl w:ilvl="0" w:tplc="E09E8FE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15:restartNumberingAfterBreak="0">
    <w:nsid w:val="6F0E4257"/>
    <w:multiLevelType w:val="hybridMultilevel"/>
    <w:tmpl w:val="B0E273B6"/>
    <w:lvl w:ilvl="0" w:tplc="8A603042">
      <w:start w:val="1"/>
      <w:numFmt w:val="bullet"/>
      <w:lvlText w:val=""/>
      <w:lvlJc w:val="left"/>
      <w:pPr>
        <w:ind w:left="2070" w:hanging="360"/>
      </w:pPr>
      <w:rPr>
        <w:rFonts w:ascii="Wingdings" w:hAnsi="Wingdings" w:hint="default"/>
        <w:sz w:val="24"/>
      </w:rPr>
    </w:lvl>
    <w:lvl w:ilvl="1" w:tplc="0C090003" w:tentative="1">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35" w15:restartNumberingAfterBreak="0">
    <w:nsid w:val="6FE208DC"/>
    <w:multiLevelType w:val="hybridMultilevel"/>
    <w:tmpl w:val="FFB8D19C"/>
    <w:lvl w:ilvl="0" w:tplc="DE3E9B08">
      <w:start w:val="1"/>
      <w:numFmt w:val="lowerLetter"/>
      <w:lvlText w:val="(%1)"/>
      <w:lvlJc w:val="left"/>
      <w:pPr>
        <w:ind w:left="1440" w:hanging="360"/>
      </w:pPr>
      <w:rPr>
        <w:rFonts w:ascii="Arial" w:hAnsi="Arial" w:cs="Arial" w:hint="default"/>
        <w:b w:val="0"/>
        <w:i w:val="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0E003C0"/>
    <w:multiLevelType w:val="hybridMultilevel"/>
    <w:tmpl w:val="95A4316C"/>
    <w:lvl w:ilvl="0" w:tplc="E75A22CE">
      <w:start w:val="1"/>
      <w:numFmt w:val="decimal"/>
      <w:lvlText w:val="(%1)"/>
      <w:lvlJc w:val="left"/>
      <w:pPr>
        <w:ind w:left="1494" w:hanging="360"/>
      </w:pPr>
      <w:rPr>
        <w:rFonts w:ascii="Arial" w:hAnsi="Arial" w:hint="default"/>
        <w:b w:val="0"/>
        <w:i w:val="0"/>
        <w:sz w:val="22"/>
      </w:rPr>
    </w:lvl>
    <w:lvl w:ilvl="1" w:tplc="500E9BC4">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8" w15:restartNumberingAfterBreak="0">
    <w:nsid w:val="735E3F04"/>
    <w:multiLevelType w:val="hybridMultilevel"/>
    <w:tmpl w:val="6AA6C4AC"/>
    <w:lvl w:ilvl="0" w:tplc="8A603042">
      <w:start w:val="1"/>
      <w:numFmt w:val="bullet"/>
      <w:lvlText w:val=""/>
      <w:lvlJc w:val="left"/>
      <w:pPr>
        <w:ind w:left="927" w:hanging="360"/>
      </w:pPr>
      <w:rPr>
        <w:rFonts w:ascii="Wingdings" w:hAnsi="Wingdings" w:hint="default"/>
        <w:sz w:val="24"/>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15:restartNumberingAfterBreak="0">
    <w:nsid w:val="74287E9C"/>
    <w:multiLevelType w:val="hybridMultilevel"/>
    <w:tmpl w:val="101456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74761907"/>
    <w:multiLevelType w:val="hybridMultilevel"/>
    <w:tmpl w:val="727C7E42"/>
    <w:lvl w:ilvl="0" w:tplc="0C090005">
      <w:start w:val="1"/>
      <w:numFmt w:val="bullet"/>
      <w:lvlText w:val=""/>
      <w:lvlJc w:val="left"/>
      <w:pPr>
        <w:ind w:left="1211" w:hanging="360"/>
      </w:pPr>
      <w:rPr>
        <w:rFonts w:ascii="Wingdings" w:hAnsi="Wingdings" w:hint="default"/>
      </w:rPr>
    </w:lvl>
    <w:lvl w:ilvl="1" w:tplc="0C090001">
      <w:start w:val="1"/>
      <w:numFmt w:val="bullet"/>
      <w:lvlText w:val=""/>
      <w:lvlJc w:val="left"/>
      <w:pPr>
        <w:ind w:left="1931" w:hanging="360"/>
      </w:pPr>
      <w:rPr>
        <w:rFonts w:ascii="Symbol" w:hAnsi="Symbol" w:hint="default"/>
      </w:rPr>
    </w:lvl>
    <w:lvl w:ilvl="2" w:tplc="0C090005">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2" w15:restartNumberingAfterBreak="0">
    <w:nsid w:val="763519DC"/>
    <w:multiLevelType w:val="hybridMultilevel"/>
    <w:tmpl w:val="6BA6533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9B913F1"/>
    <w:multiLevelType w:val="hybridMultilevel"/>
    <w:tmpl w:val="C69AA63A"/>
    <w:lvl w:ilvl="0" w:tplc="E3E6978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7C661711"/>
    <w:multiLevelType w:val="hybridMultilevel"/>
    <w:tmpl w:val="1AA8EB18"/>
    <w:lvl w:ilvl="0" w:tplc="7640EAC4">
      <w:start w:val="1"/>
      <w:numFmt w:val="lowerLetter"/>
      <w:lvlText w:val="(%1)"/>
      <w:lvlJc w:val="left"/>
      <w:pPr>
        <w:ind w:left="1636" w:hanging="360"/>
      </w:pPr>
      <w:rPr>
        <w:rFonts w:hint="default"/>
      </w:rPr>
    </w:lvl>
    <w:lvl w:ilvl="1" w:tplc="58A2A2D6">
      <w:start w:val="1"/>
      <w:numFmt w:val="lowerRoman"/>
      <w:lvlText w:val="(%2)"/>
      <w:lvlJc w:val="right"/>
      <w:pPr>
        <w:ind w:left="2356" w:hanging="360"/>
      </w:pPr>
      <w:rPr>
        <w:rFonts w:hint="default"/>
      </w:rPr>
    </w:lvl>
    <w:lvl w:ilvl="2" w:tplc="0C09001B">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28"/>
  </w:num>
  <w:num w:numId="2">
    <w:abstractNumId w:val="19"/>
  </w:num>
  <w:num w:numId="3">
    <w:abstractNumId w:val="37"/>
  </w:num>
  <w:num w:numId="4">
    <w:abstractNumId w:val="20"/>
  </w:num>
  <w:num w:numId="5">
    <w:abstractNumId w:val="23"/>
  </w:num>
  <w:num w:numId="6">
    <w:abstractNumId w:val="29"/>
  </w:num>
  <w:num w:numId="7">
    <w:abstractNumId w:val="1"/>
  </w:num>
  <w:num w:numId="8">
    <w:abstractNumId w:val="21"/>
  </w:num>
  <w:num w:numId="9">
    <w:abstractNumId w:val="33"/>
  </w:num>
  <w:num w:numId="10">
    <w:abstractNumId w:val="40"/>
  </w:num>
  <w:num w:numId="11">
    <w:abstractNumId w:val="30"/>
  </w:num>
  <w:num w:numId="12">
    <w:abstractNumId w:val="22"/>
  </w:num>
  <w:num w:numId="13">
    <w:abstractNumId w:val="5"/>
  </w:num>
  <w:num w:numId="14">
    <w:abstractNumId w:val="14"/>
  </w:num>
  <w:num w:numId="15">
    <w:abstractNumId w:val="20"/>
    <w:lvlOverride w:ilvl="0">
      <w:lvl w:ilvl="0" w:tplc="5EC66206">
        <w:start w:val="1"/>
        <w:numFmt w:val="decimal"/>
        <w:lvlText w:val="%1."/>
        <w:lvlJc w:val="left"/>
        <w:pPr>
          <w:ind w:left="720" w:hanging="360"/>
        </w:pPr>
        <w:rPr>
          <w:rFonts w:hint="default"/>
        </w:rPr>
      </w:lvl>
    </w:lvlOverride>
    <w:lvlOverride w:ilvl="1">
      <w:lvl w:ilvl="1" w:tplc="088C559A">
        <w:start w:val="1"/>
        <w:numFmt w:val="lowerLetter"/>
        <w:lvlText w:val="(%2)"/>
        <w:lvlJc w:val="left"/>
        <w:pPr>
          <w:ind w:left="1440" w:hanging="1083"/>
        </w:pPr>
        <w:rPr>
          <w:rFonts w:ascii="Arial" w:hAnsi="Arial" w:hint="default"/>
          <w:b w:val="0"/>
          <w:i w:val="0"/>
          <w:sz w:val="24"/>
        </w:rPr>
      </w:lvl>
    </w:lvlOverride>
    <w:lvlOverride w:ilvl="2">
      <w:lvl w:ilvl="2" w:tplc="5FDAB71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1"/>
  </w:num>
  <w:num w:numId="17">
    <w:abstractNumId w:val="5"/>
  </w:num>
  <w:num w:numId="18">
    <w:abstractNumId w:val="43"/>
  </w:num>
  <w:num w:numId="19">
    <w:abstractNumId w:val="34"/>
  </w:num>
  <w:num w:numId="20">
    <w:abstractNumId w:val="17"/>
  </w:num>
  <w:num w:numId="21">
    <w:abstractNumId w:val="38"/>
  </w:num>
  <w:num w:numId="22">
    <w:abstractNumId w:val="3"/>
  </w:num>
  <w:num w:numId="23">
    <w:abstractNumId w:val="39"/>
  </w:num>
  <w:num w:numId="24">
    <w:abstractNumId w:val="11"/>
  </w:num>
  <w:num w:numId="25">
    <w:abstractNumId w:val="42"/>
  </w:num>
  <w:num w:numId="26">
    <w:abstractNumId w:val="41"/>
  </w:num>
  <w:num w:numId="27">
    <w:abstractNumId w:val="27"/>
  </w:num>
  <w:num w:numId="28">
    <w:abstractNumId w:val="24"/>
  </w:num>
  <w:num w:numId="29">
    <w:abstractNumId w:val="35"/>
  </w:num>
  <w:num w:numId="30">
    <w:abstractNumId w:val="15"/>
  </w:num>
  <w:num w:numId="31">
    <w:abstractNumId w:val="26"/>
  </w:num>
  <w:num w:numId="32">
    <w:abstractNumId w:val="0"/>
  </w:num>
  <w:num w:numId="33">
    <w:abstractNumId w:val="13"/>
  </w:num>
  <w:num w:numId="34">
    <w:abstractNumId w:val="9"/>
  </w:num>
  <w:num w:numId="35">
    <w:abstractNumId w:val="4"/>
  </w:num>
  <w:num w:numId="36">
    <w:abstractNumId w:val="18"/>
  </w:num>
  <w:num w:numId="37">
    <w:abstractNumId w:val="36"/>
  </w:num>
  <w:num w:numId="38">
    <w:abstractNumId w:val="44"/>
  </w:num>
  <w:num w:numId="39">
    <w:abstractNumId w:val="25"/>
  </w:num>
  <w:num w:numId="40">
    <w:abstractNumId w:val="12"/>
  </w:num>
  <w:num w:numId="41">
    <w:abstractNumId w:val="8"/>
  </w:num>
  <w:num w:numId="42">
    <w:abstractNumId w:val="6"/>
  </w:num>
  <w:num w:numId="43">
    <w:abstractNumId w:val="16"/>
  </w:num>
  <w:num w:numId="44">
    <w:abstractNumId w:val="10"/>
  </w:num>
  <w:num w:numId="45">
    <w:abstractNumId w:val="2"/>
  </w:num>
  <w:num w:numId="46">
    <w:abstractNumId w:val="32"/>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2B"/>
    <w:rsid w:val="00002F05"/>
    <w:rsid w:val="000030ED"/>
    <w:rsid w:val="00003D20"/>
    <w:rsid w:val="00005BD1"/>
    <w:rsid w:val="00007FD2"/>
    <w:rsid w:val="00010976"/>
    <w:rsid w:val="000120E1"/>
    <w:rsid w:val="00012B56"/>
    <w:rsid w:val="00013764"/>
    <w:rsid w:val="000149D7"/>
    <w:rsid w:val="0002325A"/>
    <w:rsid w:val="0002351E"/>
    <w:rsid w:val="00034B87"/>
    <w:rsid w:val="00034C83"/>
    <w:rsid w:val="00037E68"/>
    <w:rsid w:val="00041E58"/>
    <w:rsid w:val="00043A6F"/>
    <w:rsid w:val="00044A7F"/>
    <w:rsid w:val="0004571C"/>
    <w:rsid w:val="00045B46"/>
    <w:rsid w:val="000464D9"/>
    <w:rsid w:val="00047983"/>
    <w:rsid w:val="00051170"/>
    <w:rsid w:val="00054120"/>
    <w:rsid w:val="00054EDF"/>
    <w:rsid w:val="0005503C"/>
    <w:rsid w:val="00055693"/>
    <w:rsid w:val="00056960"/>
    <w:rsid w:val="00057023"/>
    <w:rsid w:val="00057D21"/>
    <w:rsid w:val="00057EA3"/>
    <w:rsid w:val="0006155A"/>
    <w:rsid w:val="00061B2B"/>
    <w:rsid w:val="00062A9F"/>
    <w:rsid w:val="00063563"/>
    <w:rsid w:val="00063E15"/>
    <w:rsid w:val="00063EDF"/>
    <w:rsid w:val="0006439D"/>
    <w:rsid w:val="00071CD9"/>
    <w:rsid w:val="00072CE6"/>
    <w:rsid w:val="000731D3"/>
    <w:rsid w:val="00074147"/>
    <w:rsid w:val="00075AB0"/>
    <w:rsid w:val="0007682B"/>
    <w:rsid w:val="00081B92"/>
    <w:rsid w:val="0008388F"/>
    <w:rsid w:val="00087B6E"/>
    <w:rsid w:val="00091C5C"/>
    <w:rsid w:val="00092207"/>
    <w:rsid w:val="000936BA"/>
    <w:rsid w:val="00095FBB"/>
    <w:rsid w:val="00096517"/>
    <w:rsid w:val="000A201B"/>
    <w:rsid w:val="000A56A0"/>
    <w:rsid w:val="000B0669"/>
    <w:rsid w:val="000B395E"/>
    <w:rsid w:val="000B6C72"/>
    <w:rsid w:val="000B72A0"/>
    <w:rsid w:val="000B794F"/>
    <w:rsid w:val="000C585D"/>
    <w:rsid w:val="000D1519"/>
    <w:rsid w:val="000D175F"/>
    <w:rsid w:val="000D49A5"/>
    <w:rsid w:val="000E1039"/>
    <w:rsid w:val="000E1B5B"/>
    <w:rsid w:val="000E352B"/>
    <w:rsid w:val="000E3A3C"/>
    <w:rsid w:val="000E3A7A"/>
    <w:rsid w:val="000F0BC1"/>
    <w:rsid w:val="000F3A55"/>
    <w:rsid w:val="000F4098"/>
    <w:rsid w:val="000F4FAA"/>
    <w:rsid w:val="001012F4"/>
    <w:rsid w:val="00102887"/>
    <w:rsid w:val="001047F1"/>
    <w:rsid w:val="00105217"/>
    <w:rsid w:val="001066BD"/>
    <w:rsid w:val="00114587"/>
    <w:rsid w:val="00120064"/>
    <w:rsid w:val="001205F8"/>
    <w:rsid w:val="00121BD8"/>
    <w:rsid w:val="00121E6F"/>
    <w:rsid w:val="001248F7"/>
    <w:rsid w:val="00124A35"/>
    <w:rsid w:val="001304EE"/>
    <w:rsid w:val="001308C4"/>
    <w:rsid w:val="00133770"/>
    <w:rsid w:val="001338FD"/>
    <w:rsid w:val="00137C8D"/>
    <w:rsid w:val="00143D93"/>
    <w:rsid w:val="00152FA3"/>
    <w:rsid w:val="00153139"/>
    <w:rsid w:val="0015534D"/>
    <w:rsid w:val="00155B6A"/>
    <w:rsid w:val="00155E24"/>
    <w:rsid w:val="00157209"/>
    <w:rsid w:val="001627CC"/>
    <w:rsid w:val="00166F3C"/>
    <w:rsid w:val="001719DF"/>
    <w:rsid w:val="00180CAE"/>
    <w:rsid w:val="001825CB"/>
    <w:rsid w:val="00182865"/>
    <w:rsid w:val="00182E06"/>
    <w:rsid w:val="00183C3B"/>
    <w:rsid w:val="00183FA4"/>
    <w:rsid w:val="001900B6"/>
    <w:rsid w:val="001916E4"/>
    <w:rsid w:val="0019203A"/>
    <w:rsid w:val="001950D2"/>
    <w:rsid w:val="00195E9F"/>
    <w:rsid w:val="0019639B"/>
    <w:rsid w:val="0019775E"/>
    <w:rsid w:val="00197E86"/>
    <w:rsid w:val="001A03C9"/>
    <w:rsid w:val="001A12BD"/>
    <w:rsid w:val="001A416E"/>
    <w:rsid w:val="001A4926"/>
    <w:rsid w:val="001A575E"/>
    <w:rsid w:val="001A5B03"/>
    <w:rsid w:val="001A6B0A"/>
    <w:rsid w:val="001B1A27"/>
    <w:rsid w:val="001B3831"/>
    <w:rsid w:val="001B5470"/>
    <w:rsid w:val="001B57C6"/>
    <w:rsid w:val="001B5957"/>
    <w:rsid w:val="001B5C85"/>
    <w:rsid w:val="001B6249"/>
    <w:rsid w:val="001B7806"/>
    <w:rsid w:val="001C01FD"/>
    <w:rsid w:val="001C127F"/>
    <w:rsid w:val="001C56D3"/>
    <w:rsid w:val="001C6492"/>
    <w:rsid w:val="001C68DC"/>
    <w:rsid w:val="001D07BA"/>
    <w:rsid w:val="001D50C0"/>
    <w:rsid w:val="001D7758"/>
    <w:rsid w:val="001D7A1B"/>
    <w:rsid w:val="001E2395"/>
    <w:rsid w:val="001E3A26"/>
    <w:rsid w:val="001E6640"/>
    <w:rsid w:val="001F3F19"/>
    <w:rsid w:val="001F5F4B"/>
    <w:rsid w:val="002019BF"/>
    <w:rsid w:val="002058A9"/>
    <w:rsid w:val="00212C2B"/>
    <w:rsid w:val="00214B45"/>
    <w:rsid w:val="00215450"/>
    <w:rsid w:val="0022037D"/>
    <w:rsid w:val="002264E2"/>
    <w:rsid w:val="0022657D"/>
    <w:rsid w:val="00226686"/>
    <w:rsid w:val="0022696F"/>
    <w:rsid w:val="00227178"/>
    <w:rsid w:val="00230151"/>
    <w:rsid w:val="00232763"/>
    <w:rsid w:val="0023306E"/>
    <w:rsid w:val="00233F52"/>
    <w:rsid w:val="0023451F"/>
    <w:rsid w:val="00235527"/>
    <w:rsid w:val="00236C04"/>
    <w:rsid w:val="002375F3"/>
    <w:rsid w:val="00237C78"/>
    <w:rsid w:val="00237E48"/>
    <w:rsid w:val="00240EF9"/>
    <w:rsid w:val="0024194E"/>
    <w:rsid w:val="00245A89"/>
    <w:rsid w:val="002479A8"/>
    <w:rsid w:val="00253B42"/>
    <w:rsid w:val="00262529"/>
    <w:rsid w:val="0026322D"/>
    <w:rsid w:val="00277FA4"/>
    <w:rsid w:val="00280494"/>
    <w:rsid w:val="00283A26"/>
    <w:rsid w:val="00283D88"/>
    <w:rsid w:val="00284FF0"/>
    <w:rsid w:val="00290574"/>
    <w:rsid w:val="00292C50"/>
    <w:rsid w:val="0029315E"/>
    <w:rsid w:val="002931EF"/>
    <w:rsid w:val="00295757"/>
    <w:rsid w:val="002A03F1"/>
    <w:rsid w:val="002A408C"/>
    <w:rsid w:val="002A512A"/>
    <w:rsid w:val="002B05B5"/>
    <w:rsid w:val="002B0F1E"/>
    <w:rsid w:val="002B1729"/>
    <w:rsid w:val="002B39F8"/>
    <w:rsid w:val="002B65D4"/>
    <w:rsid w:val="002C1019"/>
    <w:rsid w:val="002D0A46"/>
    <w:rsid w:val="002D1B6C"/>
    <w:rsid w:val="002D42F2"/>
    <w:rsid w:val="002D46A2"/>
    <w:rsid w:val="002D4BC3"/>
    <w:rsid w:val="002E24AC"/>
    <w:rsid w:val="002E2C7E"/>
    <w:rsid w:val="002E433B"/>
    <w:rsid w:val="002E461C"/>
    <w:rsid w:val="002E6BBE"/>
    <w:rsid w:val="002F03E1"/>
    <w:rsid w:val="002F238A"/>
    <w:rsid w:val="002F2D6C"/>
    <w:rsid w:val="002F4AB4"/>
    <w:rsid w:val="002F7053"/>
    <w:rsid w:val="00301FFE"/>
    <w:rsid w:val="00303936"/>
    <w:rsid w:val="00306DD0"/>
    <w:rsid w:val="00310CB2"/>
    <w:rsid w:val="00312C2A"/>
    <w:rsid w:val="003144B5"/>
    <w:rsid w:val="0031657C"/>
    <w:rsid w:val="003204FA"/>
    <w:rsid w:val="00321445"/>
    <w:rsid w:val="00321EE0"/>
    <w:rsid w:val="003241CC"/>
    <w:rsid w:val="0032516B"/>
    <w:rsid w:val="0033216F"/>
    <w:rsid w:val="00334C0E"/>
    <w:rsid w:val="0034134D"/>
    <w:rsid w:val="00342ECA"/>
    <w:rsid w:val="00343FDD"/>
    <w:rsid w:val="00344F59"/>
    <w:rsid w:val="003455E8"/>
    <w:rsid w:val="003469CC"/>
    <w:rsid w:val="00350D39"/>
    <w:rsid w:val="00350F49"/>
    <w:rsid w:val="00351595"/>
    <w:rsid w:val="0035654D"/>
    <w:rsid w:val="0036592A"/>
    <w:rsid w:val="00370336"/>
    <w:rsid w:val="003738C4"/>
    <w:rsid w:val="00373A94"/>
    <w:rsid w:val="003747BE"/>
    <w:rsid w:val="00374B1E"/>
    <w:rsid w:val="00376232"/>
    <w:rsid w:val="0038014E"/>
    <w:rsid w:val="00380598"/>
    <w:rsid w:val="00383588"/>
    <w:rsid w:val="003847F0"/>
    <w:rsid w:val="00385125"/>
    <w:rsid w:val="003910D1"/>
    <w:rsid w:val="00392522"/>
    <w:rsid w:val="00395332"/>
    <w:rsid w:val="003965D7"/>
    <w:rsid w:val="003977F4"/>
    <w:rsid w:val="00397835"/>
    <w:rsid w:val="003A0786"/>
    <w:rsid w:val="003A3887"/>
    <w:rsid w:val="003A666E"/>
    <w:rsid w:val="003B197E"/>
    <w:rsid w:val="003B4F2B"/>
    <w:rsid w:val="003B5A28"/>
    <w:rsid w:val="003C22AF"/>
    <w:rsid w:val="003C2709"/>
    <w:rsid w:val="003C6A61"/>
    <w:rsid w:val="003D0373"/>
    <w:rsid w:val="003D1B39"/>
    <w:rsid w:val="003D263B"/>
    <w:rsid w:val="003D29D2"/>
    <w:rsid w:val="003D3AAC"/>
    <w:rsid w:val="003D4F3D"/>
    <w:rsid w:val="003D625C"/>
    <w:rsid w:val="003E01C9"/>
    <w:rsid w:val="003E054B"/>
    <w:rsid w:val="003E17F8"/>
    <w:rsid w:val="003E3672"/>
    <w:rsid w:val="003F370E"/>
    <w:rsid w:val="003F6F7E"/>
    <w:rsid w:val="003F741D"/>
    <w:rsid w:val="00400445"/>
    <w:rsid w:val="00407CE3"/>
    <w:rsid w:val="0041039B"/>
    <w:rsid w:val="00413015"/>
    <w:rsid w:val="004140C3"/>
    <w:rsid w:val="0041574C"/>
    <w:rsid w:val="004174D2"/>
    <w:rsid w:val="00420BFC"/>
    <w:rsid w:val="00421429"/>
    <w:rsid w:val="00422D04"/>
    <w:rsid w:val="00431D51"/>
    <w:rsid w:val="004328B6"/>
    <w:rsid w:val="00435A37"/>
    <w:rsid w:val="00437F35"/>
    <w:rsid w:val="0044029F"/>
    <w:rsid w:val="004418EC"/>
    <w:rsid w:val="00441C21"/>
    <w:rsid w:val="004424F3"/>
    <w:rsid w:val="00444D7E"/>
    <w:rsid w:val="00451416"/>
    <w:rsid w:val="00451AB9"/>
    <w:rsid w:val="004538FC"/>
    <w:rsid w:val="00454E95"/>
    <w:rsid w:val="00455885"/>
    <w:rsid w:val="00455917"/>
    <w:rsid w:val="0045765D"/>
    <w:rsid w:val="00462D8B"/>
    <w:rsid w:val="00463BEF"/>
    <w:rsid w:val="00466216"/>
    <w:rsid w:val="00473F47"/>
    <w:rsid w:val="00474AB4"/>
    <w:rsid w:val="004804F0"/>
    <w:rsid w:val="0048281A"/>
    <w:rsid w:val="00483E8F"/>
    <w:rsid w:val="00490073"/>
    <w:rsid w:val="00495766"/>
    <w:rsid w:val="004A2375"/>
    <w:rsid w:val="004A6F71"/>
    <w:rsid w:val="004A78D2"/>
    <w:rsid w:val="004A7C45"/>
    <w:rsid w:val="004B0599"/>
    <w:rsid w:val="004B0EE0"/>
    <w:rsid w:val="004B3141"/>
    <w:rsid w:val="004B586B"/>
    <w:rsid w:val="004B6FB1"/>
    <w:rsid w:val="004B71ED"/>
    <w:rsid w:val="004C0FBA"/>
    <w:rsid w:val="004C17FC"/>
    <w:rsid w:val="004C2886"/>
    <w:rsid w:val="004C36C1"/>
    <w:rsid w:val="004C4065"/>
    <w:rsid w:val="004C4B87"/>
    <w:rsid w:val="004C5F91"/>
    <w:rsid w:val="004C74C7"/>
    <w:rsid w:val="004D1763"/>
    <w:rsid w:val="004E021B"/>
    <w:rsid w:val="004E278F"/>
    <w:rsid w:val="004E3D6B"/>
    <w:rsid w:val="004E5378"/>
    <w:rsid w:val="004E55B8"/>
    <w:rsid w:val="004E58C1"/>
    <w:rsid w:val="004F2CB8"/>
    <w:rsid w:val="004F4CB1"/>
    <w:rsid w:val="005009D5"/>
    <w:rsid w:val="00502924"/>
    <w:rsid w:val="00504818"/>
    <w:rsid w:val="00511C03"/>
    <w:rsid w:val="00514765"/>
    <w:rsid w:val="00516283"/>
    <w:rsid w:val="00517D74"/>
    <w:rsid w:val="00520946"/>
    <w:rsid w:val="005345DE"/>
    <w:rsid w:val="005379F1"/>
    <w:rsid w:val="00541441"/>
    <w:rsid w:val="00543597"/>
    <w:rsid w:val="005463FE"/>
    <w:rsid w:val="00546F24"/>
    <w:rsid w:val="005557EC"/>
    <w:rsid w:val="005620BF"/>
    <w:rsid w:val="00562219"/>
    <w:rsid w:val="0056244F"/>
    <w:rsid w:val="00571028"/>
    <w:rsid w:val="00571DE0"/>
    <w:rsid w:val="00572989"/>
    <w:rsid w:val="005739B5"/>
    <w:rsid w:val="00575A2B"/>
    <w:rsid w:val="00580083"/>
    <w:rsid w:val="00583DA9"/>
    <w:rsid w:val="00584422"/>
    <w:rsid w:val="00584A22"/>
    <w:rsid w:val="00584ABA"/>
    <w:rsid w:val="005916EB"/>
    <w:rsid w:val="00591C59"/>
    <w:rsid w:val="00592493"/>
    <w:rsid w:val="00592597"/>
    <w:rsid w:val="005957A9"/>
    <w:rsid w:val="00596E0C"/>
    <w:rsid w:val="005A1137"/>
    <w:rsid w:val="005A1ACF"/>
    <w:rsid w:val="005A2730"/>
    <w:rsid w:val="005B404C"/>
    <w:rsid w:val="005B6B4B"/>
    <w:rsid w:val="005B7E50"/>
    <w:rsid w:val="005B7F7A"/>
    <w:rsid w:val="005C1954"/>
    <w:rsid w:val="005C2385"/>
    <w:rsid w:val="005C2605"/>
    <w:rsid w:val="005C26C9"/>
    <w:rsid w:val="005C3FB8"/>
    <w:rsid w:val="005C551D"/>
    <w:rsid w:val="005D0F98"/>
    <w:rsid w:val="005D5A16"/>
    <w:rsid w:val="005D5EDC"/>
    <w:rsid w:val="005D741D"/>
    <w:rsid w:val="005E2036"/>
    <w:rsid w:val="005E210F"/>
    <w:rsid w:val="005E3526"/>
    <w:rsid w:val="005E452A"/>
    <w:rsid w:val="005E5159"/>
    <w:rsid w:val="005F0F47"/>
    <w:rsid w:val="005F11F7"/>
    <w:rsid w:val="005F47EE"/>
    <w:rsid w:val="005F4E56"/>
    <w:rsid w:val="00603FB1"/>
    <w:rsid w:val="006044B0"/>
    <w:rsid w:val="00605305"/>
    <w:rsid w:val="0061048B"/>
    <w:rsid w:val="006109D6"/>
    <w:rsid w:val="00613183"/>
    <w:rsid w:val="006150F0"/>
    <w:rsid w:val="00617E4F"/>
    <w:rsid w:val="00626F14"/>
    <w:rsid w:val="00627334"/>
    <w:rsid w:val="006335BE"/>
    <w:rsid w:val="006369AF"/>
    <w:rsid w:val="00637283"/>
    <w:rsid w:val="00644CAE"/>
    <w:rsid w:val="00644E93"/>
    <w:rsid w:val="006466AD"/>
    <w:rsid w:val="00652D40"/>
    <w:rsid w:val="006530FA"/>
    <w:rsid w:val="00653483"/>
    <w:rsid w:val="006551F5"/>
    <w:rsid w:val="006573E0"/>
    <w:rsid w:val="00661663"/>
    <w:rsid w:val="006715BB"/>
    <w:rsid w:val="006769BF"/>
    <w:rsid w:val="00680A8A"/>
    <w:rsid w:val="0068205C"/>
    <w:rsid w:val="0068224C"/>
    <w:rsid w:val="006833C4"/>
    <w:rsid w:val="00683E98"/>
    <w:rsid w:val="00685647"/>
    <w:rsid w:val="00687941"/>
    <w:rsid w:val="00694221"/>
    <w:rsid w:val="006A39A0"/>
    <w:rsid w:val="006A5837"/>
    <w:rsid w:val="006A6906"/>
    <w:rsid w:val="006A7B3A"/>
    <w:rsid w:val="006B2F9E"/>
    <w:rsid w:val="006C1C71"/>
    <w:rsid w:val="006C3C27"/>
    <w:rsid w:val="006C3C9A"/>
    <w:rsid w:val="006C613F"/>
    <w:rsid w:val="006C75BC"/>
    <w:rsid w:val="006D0CD6"/>
    <w:rsid w:val="006D0D8E"/>
    <w:rsid w:val="006D1FAF"/>
    <w:rsid w:val="006D31E5"/>
    <w:rsid w:val="006D46BA"/>
    <w:rsid w:val="006D6572"/>
    <w:rsid w:val="006D6A8A"/>
    <w:rsid w:val="006E2167"/>
    <w:rsid w:val="006E2878"/>
    <w:rsid w:val="006E3B88"/>
    <w:rsid w:val="006E3C00"/>
    <w:rsid w:val="006E4D86"/>
    <w:rsid w:val="006E7ACA"/>
    <w:rsid w:val="006F0979"/>
    <w:rsid w:val="006F0E93"/>
    <w:rsid w:val="006F1B9D"/>
    <w:rsid w:val="006F1EFD"/>
    <w:rsid w:val="006F1F8D"/>
    <w:rsid w:val="006F6F29"/>
    <w:rsid w:val="006F7971"/>
    <w:rsid w:val="0070042E"/>
    <w:rsid w:val="00700740"/>
    <w:rsid w:val="00701BE5"/>
    <w:rsid w:val="00705873"/>
    <w:rsid w:val="0070656F"/>
    <w:rsid w:val="007069A1"/>
    <w:rsid w:val="00706A05"/>
    <w:rsid w:val="0071227F"/>
    <w:rsid w:val="0071335F"/>
    <w:rsid w:val="00715BCF"/>
    <w:rsid w:val="00715F6C"/>
    <w:rsid w:val="00717049"/>
    <w:rsid w:val="00730224"/>
    <w:rsid w:val="00732EB8"/>
    <w:rsid w:val="00735BA1"/>
    <w:rsid w:val="00742B71"/>
    <w:rsid w:val="00743B55"/>
    <w:rsid w:val="00751AE0"/>
    <w:rsid w:val="00751B12"/>
    <w:rsid w:val="00752BB6"/>
    <w:rsid w:val="00755289"/>
    <w:rsid w:val="00755C84"/>
    <w:rsid w:val="00755CAF"/>
    <w:rsid w:val="00756C87"/>
    <w:rsid w:val="0075733E"/>
    <w:rsid w:val="00757B20"/>
    <w:rsid w:val="00761970"/>
    <w:rsid w:val="007619FB"/>
    <w:rsid w:val="007635BE"/>
    <w:rsid w:val="00763604"/>
    <w:rsid w:val="00765C4F"/>
    <w:rsid w:val="00772CF8"/>
    <w:rsid w:val="00773792"/>
    <w:rsid w:val="00774AA2"/>
    <w:rsid w:val="007817EC"/>
    <w:rsid w:val="00781CA8"/>
    <w:rsid w:val="007826E7"/>
    <w:rsid w:val="007844A3"/>
    <w:rsid w:val="00784C50"/>
    <w:rsid w:val="00787618"/>
    <w:rsid w:val="007A00B6"/>
    <w:rsid w:val="007A24A6"/>
    <w:rsid w:val="007A2C0D"/>
    <w:rsid w:val="007A45D7"/>
    <w:rsid w:val="007A7CD2"/>
    <w:rsid w:val="007B0F89"/>
    <w:rsid w:val="007B16AE"/>
    <w:rsid w:val="007B538A"/>
    <w:rsid w:val="007B589F"/>
    <w:rsid w:val="007B674F"/>
    <w:rsid w:val="007B6AAF"/>
    <w:rsid w:val="007C0BDC"/>
    <w:rsid w:val="007C192D"/>
    <w:rsid w:val="007C29E5"/>
    <w:rsid w:val="007C2EA5"/>
    <w:rsid w:val="007C3139"/>
    <w:rsid w:val="007C47D8"/>
    <w:rsid w:val="007C510E"/>
    <w:rsid w:val="007C5206"/>
    <w:rsid w:val="007C62E7"/>
    <w:rsid w:val="007C6727"/>
    <w:rsid w:val="007D0694"/>
    <w:rsid w:val="007D0AF8"/>
    <w:rsid w:val="007D381A"/>
    <w:rsid w:val="007D461F"/>
    <w:rsid w:val="007E7857"/>
    <w:rsid w:val="007E7E27"/>
    <w:rsid w:val="007F46E9"/>
    <w:rsid w:val="007F4F44"/>
    <w:rsid w:val="007F67EF"/>
    <w:rsid w:val="0080290B"/>
    <w:rsid w:val="00803505"/>
    <w:rsid w:val="008037F9"/>
    <w:rsid w:val="00804C3F"/>
    <w:rsid w:val="00805768"/>
    <w:rsid w:val="00806003"/>
    <w:rsid w:val="00807711"/>
    <w:rsid w:val="00807B4F"/>
    <w:rsid w:val="008101EC"/>
    <w:rsid w:val="00810D74"/>
    <w:rsid w:val="008148FC"/>
    <w:rsid w:val="00820270"/>
    <w:rsid w:val="00820769"/>
    <w:rsid w:val="00821712"/>
    <w:rsid w:val="0082330C"/>
    <w:rsid w:val="00827429"/>
    <w:rsid w:val="00827E90"/>
    <w:rsid w:val="008355C0"/>
    <w:rsid w:val="00835E0F"/>
    <w:rsid w:val="00840515"/>
    <w:rsid w:val="00843B4B"/>
    <w:rsid w:val="008449A2"/>
    <w:rsid w:val="00844E9D"/>
    <w:rsid w:val="008470F3"/>
    <w:rsid w:val="00850155"/>
    <w:rsid w:val="008514B0"/>
    <w:rsid w:val="00855C5C"/>
    <w:rsid w:val="00856C7A"/>
    <w:rsid w:val="00857062"/>
    <w:rsid w:val="008601EF"/>
    <w:rsid w:val="0086439D"/>
    <w:rsid w:val="00867AFD"/>
    <w:rsid w:val="00871324"/>
    <w:rsid w:val="008743D1"/>
    <w:rsid w:val="00876CA1"/>
    <w:rsid w:val="00877B6B"/>
    <w:rsid w:val="008852AA"/>
    <w:rsid w:val="0088607A"/>
    <w:rsid w:val="008918D5"/>
    <w:rsid w:val="0089208D"/>
    <w:rsid w:val="008930A1"/>
    <w:rsid w:val="008942AB"/>
    <w:rsid w:val="008961FC"/>
    <w:rsid w:val="00896225"/>
    <w:rsid w:val="008970A8"/>
    <w:rsid w:val="008A2479"/>
    <w:rsid w:val="008A6291"/>
    <w:rsid w:val="008A756A"/>
    <w:rsid w:val="008B0352"/>
    <w:rsid w:val="008B3191"/>
    <w:rsid w:val="008C37D3"/>
    <w:rsid w:val="008C3D59"/>
    <w:rsid w:val="008C4979"/>
    <w:rsid w:val="008C6189"/>
    <w:rsid w:val="008C7C06"/>
    <w:rsid w:val="008D0CE2"/>
    <w:rsid w:val="008D29B3"/>
    <w:rsid w:val="008D48FD"/>
    <w:rsid w:val="008D4D8D"/>
    <w:rsid w:val="008D53EE"/>
    <w:rsid w:val="008E2FB8"/>
    <w:rsid w:val="008E304C"/>
    <w:rsid w:val="008E4BEE"/>
    <w:rsid w:val="008E792D"/>
    <w:rsid w:val="008F06B2"/>
    <w:rsid w:val="008F132C"/>
    <w:rsid w:val="008F19CE"/>
    <w:rsid w:val="008F1D4D"/>
    <w:rsid w:val="008F1D57"/>
    <w:rsid w:val="008F5474"/>
    <w:rsid w:val="0090102E"/>
    <w:rsid w:val="00905A21"/>
    <w:rsid w:val="009063DB"/>
    <w:rsid w:val="009077A4"/>
    <w:rsid w:val="009116DC"/>
    <w:rsid w:val="00912E7D"/>
    <w:rsid w:val="00914828"/>
    <w:rsid w:val="00914CDD"/>
    <w:rsid w:val="00927432"/>
    <w:rsid w:val="00931EAF"/>
    <w:rsid w:val="00934B1C"/>
    <w:rsid w:val="009367A8"/>
    <w:rsid w:val="00946534"/>
    <w:rsid w:val="00947F73"/>
    <w:rsid w:val="00952971"/>
    <w:rsid w:val="0096351D"/>
    <w:rsid w:val="00964EBC"/>
    <w:rsid w:val="009653A7"/>
    <w:rsid w:val="00965429"/>
    <w:rsid w:val="0096620A"/>
    <w:rsid w:val="009746DD"/>
    <w:rsid w:val="00975687"/>
    <w:rsid w:val="009812F7"/>
    <w:rsid w:val="009815F6"/>
    <w:rsid w:val="00987057"/>
    <w:rsid w:val="00987DCA"/>
    <w:rsid w:val="00987F1C"/>
    <w:rsid w:val="009921B7"/>
    <w:rsid w:val="00996424"/>
    <w:rsid w:val="009A25FD"/>
    <w:rsid w:val="009A3D36"/>
    <w:rsid w:val="009A556B"/>
    <w:rsid w:val="009A6225"/>
    <w:rsid w:val="009A6807"/>
    <w:rsid w:val="009A6CEA"/>
    <w:rsid w:val="009A7A4E"/>
    <w:rsid w:val="009A7A7F"/>
    <w:rsid w:val="009A7E66"/>
    <w:rsid w:val="009B630C"/>
    <w:rsid w:val="009B7648"/>
    <w:rsid w:val="009C2862"/>
    <w:rsid w:val="009C2D0B"/>
    <w:rsid w:val="009C4A02"/>
    <w:rsid w:val="009C528E"/>
    <w:rsid w:val="009C59DB"/>
    <w:rsid w:val="009C75B2"/>
    <w:rsid w:val="009D26AF"/>
    <w:rsid w:val="009D3109"/>
    <w:rsid w:val="009D3B40"/>
    <w:rsid w:val="009D71EE"/>
    <w:rsid w:val="009E1332"/>
    <w:rsid w:val="009F0D21"/>
    <w:rsid w:val="009F0E11"/>
    <w:rsid w:val="009F3E8A"/>
    <w:rsid w:val="009F4BAD"/>
    <w:rsid w:val="009F5082"/>
    <w:rsid w:val="00A0082F"/>
    <w:rsid w:val="00A023C1"/>
    <w:rsid w:val="00A12A3C"/>
    <w:rsid w:val="00A15800"/>
    <w:rsid w:val="00A16356"/>
    <w:rsid w:val="00A201F5"/>
    <w:rsid w:val="00A2218B"/>
    <w:rsid w:val="00A222AC"/>
    <w:rsid w:val="00A2275D"/>
    <w:rsid w:val="00A26794"/>
    <w:rsid w:val="00A30198"/>
    <w:rsid w:val="00A33DE7"/>
    <w:rsid w:val="00A33ED9"/>
    <w:rsid w:val="00A35BBA"/>
    <w:rsid w:val="00A3604A"/>
    <w:rsid w:val="00A45369"/>
    <w:rsid w:val="00A469DD"/>
    <w:rsid w:val="00A47A65"/>
    <w:rsid w:val="00A509AE"/>
    <w:rsid w:val="00A520C6"/>
    <w:rsid w:val="00A53A33"/>
    <w:rsid w:val="00A53D1F"/>
    <w:rsid w:val="00A70E36"/>
    <w:rsid w:val="00A76116"/>
    <w:rsid w:val="00A76CD8"/>
    <w:rsid w:val="00A817F8"/>
    <w:rsid w:val="00A90373"/>
    <w:rsid w:val="00A92D3E"/>
    <w:rsid w:val="00A93A6E"/>
    <w:rsid w:val="00AA5E30"/>
    <w:rsid w:val="00AA7716"/>
    <w:rsid w:val="00AB02E9"/>
    <w:rsid w:val="00AB06E6"/>
    <w:rsid w:val="00AB0900"/>
    <w:rsid w:val="00AB2514"/>
    <w:rsid w:val="00AB6D72"/>
    <w:rsid w:val="00AB7C0D"/>
    <w:rsid w:val="00AD667A"/>
    <w:rsid w:val="00AE176D"/>
    <w:rsid w:val="00AE2165"/>
    <w:rsid w:val="00AE3A61"/>
    <w:rsid w:val="00AE3D5C"/>
    <w:rsid w:val="00AF0BDD"/>
    <w:rsid w:val="00AF1035"/>
    <w:rsid w:val="00AF4B7C"/>
    <w:rsid w:val="00B03079"/>
    <w:rsid w:val="00B04F6F"/>
    <w:rsid w:val="00B07DC9"/>
    <w:rsid w:val="00B12919"/>
    <w:rsid w:val="00B14BA0"/>
    <w:rsid w:val="00B15778"/>
    <w:rsid w:val="00B16D65"/>
    <w:rsid w:val="00B17261"/>
    <w:rsid w:val="00B22A3E"/>
    <w:rsid w:val="00B24CC6"/>
    <w:rsid w:val="00B27A4D"/>
    <w:rsid w:val="00B33C06"/>
    <w:rsid w:val="00B360EA"/>
    <w:rsid w:val="00B41356"/>
    <w:rsid w:val="00B414BB"/>
    <w:rsid w:val="00B416A9"/>
    <w:rsid w:val="00B46BAB"/>
    <w:rsid w:val="00B50D05"/>
    <w:rsid w:val="00B50D7B"/>
    <w:rsid w:val="00B50F67"/>
    <w:rsid w:val="00B54D50"/>
    <w:rsid w:val="00B55E3F"/>
    <w:rsid w:val="00B56A49"/>
    <w:rsid w:val="00B63EC1"/>
    <w:rsid w:val="00B666A3"/>
    <w:rsid w:val="00B67E6E"/>
    <w:rsid w:val="00B80D77"/>
    <w:rsid w:val="00B82CE9"/>
    <w:rsid w:val="00B83AE9"/>
    <w:rsid w:val="00B84EDD"/>
    <w:rsid w:val="00B86FDC"/>
    <w:rsid w:val="00B8743D"/>
    <w:rsid w:val="00B87FB4"/>
    <w:rsid w:val="00B9187A"/>
    <w:rsid w:val="00B91EA6"/>
    <w:rsid w:val="00B933A9"/>
    <w:rsid w:val="00B96989"/>
    <w:rsid w:val="00B972B2"/>
    <w:rsid w:val="00BA1742"/>
    <w:rsid w:val="00BA1856"/>
    <w:rsid w:val="00BA50E0"/>
    <w:rsid w:val="00BA60BF"/>
    <w:rsid w:val="00BA6E38"/>
    <w:rsid w:val="00BB0330"/>
    <w:rsid w:val="00BB0B80"/>
    <w:rsid w:val="00BB1932"/>
    <w:rsid w:val="00BB238A"/>
    <w:rsid w:val="00BB2D66"/>
    <w:rsid w:val="00BB2F50"/>
    <w:rsid w:val="00BC2D69"/>
    <w:rsid w:val="00BC7187"/>
    <w:rsid w:val="00BD241F"/>
    <w:rsid w:val="00BD2707"/>
    <w:rsid w:val="00BD34DC"/>
    <w:rsid w:val="00BD3BFB"/>
    <w:rsid w:val="00BE0F7A"/>
    <w:rsid w:val="00BE34DD"/>
    <w:rsid w:val="00BE7F5B"/>
    <w:rsid w:val="00BF016F"/>
    <w:rsid w:val="00BF4BAD"/>
    <w:rsid w:val="00BF5BE6"/>
    <w:rsid w:val="00BF6002"/>
    <w:rsid w:val="00BF7864"/>
    <w:rsid w:val="00C00E52"/>
    <w:rsid w:val="00C03B64"/>
    <w:rsid w:val="00C064A5"/>
    <w:rsid w:val="00C07E20"/>
    <w:rsid w:val="00C10F8B"/>
    <w:rsid w:val="00C15283"/>
    <w:rsid w:val="00C15CCD"/>
    <w:rsid w:val="00C24A0F"/>
    <w:rsid w:val="00C255F9"/>
    <w:rsid w:val="00C3049E"/>
    <w:rsid w:val="00C31053"/>
    <w:rsid w:val="00C321C0"/>
    <w:rsid w:val="00C33416"/>
    <w:rsid w:val="00C34E53"/>
    <w:rsid w:val="00C35743"/>
    <w:rsid w:val="00C373B5"/>
    <w:rsid w:val="00C37E14"/>
    <w:rsid w:val="00C4116E"/>
    <w:rsid w:val="00C43A49"/>
    <w:rsid w:val="00C50AFF"/>
    <w:rsid w:val="00C51895"/>
    <w:rsid w:val="00C526DC"/>
    <w:rsid w:val="00C546E5"/>
    <w:rsid w:val="00C54D67"/>
    <w:rsid w:val="00C6264C"/>
    <w:rsid w:val="00C627FD"/>
    <w:rsid w:val="00C641D7"/>
    <w:rsid w:val="00C65ECE"/>
    <w:rsid w:val="00C66E1D"/>
    <w:rsid w:val="00C83C9F"/>
    <w:rsid w:val="00C8564F"/>
    <w:rsid w:val="00C87082"/>
    <w:rsid w:val="00C9262C"/>
    <w:rsid w:val="00C9568E"/>
    <w:rsid w:val="00C9716F"/>
    <w:rsid w:val="00CA0FAA"/>
    <w:rsid w:val="00CA162B"/>
    <w:rsid w:val="00CA23CF"/>
    <w:rsid w:val="00CA2CE5"/>
    <w:rsid w:val="00CA306B"/>
    <w:rsid w:val="00CA4879"/>
    <w:rsid w:val="00CA77F5"/>
    <w:rsid w:val="00CB0BBF"/>
    <w:rsid w:val="00CB4063"/>
    <w:rsid w:val="00CB52D3"/>
    <w:rsid w:val="00CC1B42"/>
    <w:rsid w:val="00CC2930"/>
    <w:rsid w:val="00CC2E5C"/>
    <w:rsid w:val="00CC3FF1"/>
    <w:rsid w:val="00CD36AE"/>
    <w:rsid w:val="00CD3CD3"/>
    <w:rsid w:val="00CD4FA1"/>
    <w:rsid w:val="00CD76F9"/>
    <w:rsid w:val="00CD7704"/>
    <w:rsid w:val="00CE14AA"/>
    <w:rsid w:val="00CE1D50"/>
    <w:rsid w:val="00CE1D81"/>
    <w:rsid w:val="00CE403B"/>
    <w:rsid w:val="00CE4544"/>
    <w:rsid w:val="00CE5E4D"/>
    <w:rsid w:val="00CF1625"/>
    <w:rsid w:val="00CF1902"/>
    <w:rsid w:val="00CF44EA"/>
    <w:rsid w:val="00CF69AE"/>
    <w:rsid w:val="00D00254"/>
    <w:rsid w:val="00D00D62"/>
    <w:rsid w:val="00D05102"/>
    <w:rsid w:val="00D102EC"/>
    <w:rsid w:val="00D11F6F"/>
    <w:rsid w:val="00D14304"/>
    <w:rsid w:val="00D1551A"/>
    <w:rsid w:val="00D1577C"/>
    <w:rsid w:val="00D17866"/>
    <w:rsid w:val="00D21103"/>
    <w:rsid w:val="00D3128D"/>
    <w:rsid w:val="00D32789"/>
    <w:rsid w:val="00D33110"/>
    <w:rsid w:val="00D33FEE"/>
    <w:rsid w:val="00D35AB9"/>
    <w:rsid w:val="00D35B0E"/>
    <w:rsid w:val="00D426EB"/>
    <w:rsid w:val="00D42939"/>
    <w:rsid w:val="00D46260"/>
    <w:rsid w:val="00D46CFC"/>
    <w:rsid w:val="00D50215"/>
    <w:rsid w:val="00D52636"/>
    <w:rsid w:val="00D53BC3"/>
    <w:rsid w:val="00D55238"/>
    <w:rsid w:val="00D55580"/>
    <w:rsid w:val="00D57675"/>
    <w:rsid w:val="00D60384"/>
    <w:rsid w:val="00D61B81"/>
    <w:rsid w:val="00D61DB4"/>
    <w:rsid w:val="00D6241A"/>
    <w:rsid w:val="00D65752"/>
    <w:rsid w:val="00D70E21"/>
    <w:rsid w:val="00D71324"/>
    <w:rsid w:val="00D73DF9"/>
    <w:rsid w:val="00D73FE0"/>
    <w:rsid w:val="00D74335"/>
    <w:rsid w:val="00D74372"/>
    <w:rsid w:val="00D76F2A"/>
    <w:rsid w:val="00D8484F"/>
    <w:rsid w:val="00D86187"/>
    <w:rsid w:val="00D86386"/>
    <w:rsid w:val="00D87A14"/>
    <w:rsid w:val="00D92201"/>
    <w:rsid w:val="00D927B9"/>
    <w:rsid w:val="00D93C4A"/>
    <w:rsid w:val="00D941EB"/>
    <w:rsid w:val="00D9481C"/>
    <w:rsid w:val="00D96185"/>
    <w:rsid w:val="00DA0B29"/>
    <w:rsid w:val="00DA27DB"/>
    <w:rsid w:val="00DA3A48"/>
    <w:rsid w:val="00DB3646"/>
    <w:rsid w:val="00DB527C"/>
    <w:rsid w:val="00DC0A10"/>
    <w:rsid w:val="00DC0EDF"/>
    <w:rsid w:val="00DC1BAC"/>
    <w:rsid w:val="00DC553C"/>
    <w:rsid w:val="00DC7280"/>
    <w:rsid w:val="00DD0CF7"/>
    <w:rsid w:val="00DD2998"/>
    <w:rsid w:val="00DD4168"/>
    <w:rsid w:val="00DD5B86"/>
    <w:rsid w:val="00DD698D"/>
    <w:rsid w:val="00DD7883"/>
    <w:rsid w:val="00DE3B63"/>
    <w:rsid w:val="00DE568F"/>
    <w:rsid w:val="00DE62F6"/>
    <w:rsid w:val="00DF098A"/>
    <w:rsid w:val="00DF50CE"/>
    <w:rsid w:val="00DF5AE3"/>
    <w:rsid w:val="00E02A42"/>
    <w:rsid w:val="00E02BF6"/>
    <w:rsid w:val="00E10D8C"/>
    <w:rsid w:val="00E15E88"/>
    <w:rsid w:val="00E1631A"/>
    <w:rsid w:val="00E17E1B"/>
    <w:rsid w:val="00E3092A"/>
    <w:rsid w:val="00E32982"/>
    <w:rsid w:val="00E3745C"/>
    <w:rsid w:val="00E45E08"/>
    <w:rsid w:val="00E54B68"/>
    <w:rsid w:val="00E55DFB"/>
    <w:rsid w:val="00E569BB"/>
    <w:rsid w:val="00E57628"/>
    <w:rsid w:val="00E57DA8"/>
    <w:rsid w:val="00E60AB2"/>
    <w:rsid w:val="00E64195"/>
    <w:rsid w:val="00E65EF2"/>
    <w:rsid w:val="00E6776E"/>
    <w:rsid w:val="00E72537"/>
    <w:rsid w:val="00E73D68"/>
    <w:rsid w:val="00E7746A"/>
    <w:rsid w:val="00E80841"/>
    <w:rsid w:val="00E83035"/>
    <w:rsid w:val="00E84955"/>
    <w:rsid w:val="00E87D92"/>
    <w:rsid w:val="00E91A9E"/>
    <w:rsid w:val="00E940D7"/>
    <w:rsid w:val="00EA0FB4"/>
    <w:rsid w:val="00EA15FB"/>
    <w:rsid w:val="00EA2E9D"/>
    <w:rsid w:val="00EA4066"/>
    <w:rsid w:val="00EA4BD7"/>
    <w:rsid w:val="00EA56A7"/>
    <w:rsid w:val="00EB2D50"/>
    <w:rsid w:val="00EB3433"/>
    <w:rsid w:val="00EB43F3"/>
    <w:rsid w:val="00EB5211"/>
    <w:rsid w:val="00EB6445"/>
    <w:rsid w:val="00EB7E3E"/>
    <w:rsid w:val="00EC0BEF"/>
    <w:rsid w:val="00EC4278"/>
    <w:rsid w:val="00EC4641"/>
    <w:rsid w:val="00EC4E7E"/>
    <w:rsid w:val="00EC71A2"/>
    <w:rsid w:val="00EC7EBD"/>
    <w:rsid w:val="00ED0709"/>
    <w:rsid w:val="00ED13DD"/>
    <w:rsid w:val="00ED3A08"/>
    <w:rsid w:val="00ED426F"/>
    <w:rsid w:val="00ED4E77"/>
    <w:rsid w:val="00ED6006"/>
    <w:rsid w:val="00ED6ADD"/>
    <w:rsid w:val="00ED723C"/>
    <w:rsid w:val="00EE20D8"/>
    <w:rsid w:val="00EE47D6"/>
    <w:rsid w:val="00EE4810"/>
    <w:rsid w:val="00EE5677"/>
    <w:rsid w:val="00EE707A"/>
    <w:rsid w:val="00EF27B1"/>
    <w:rsid w:val="00EF2CD3"/>
    <w:rsid w:val="00EF34D1"/>
    <w:rsid w:val="00F01DA4"/>
    <w:rsid w:val="00F03603"/>
    <w:rsid w:val="00F05076"/>
    <w:rsid w:val="00F055A6"/>
    <w:rsid w:val="00F12660"/>
    <w:rsid w:val="00F2270B"/>
    <w:rsid w:val="00F23A23"/>
    <w:rsid w:val="00F23A6C"/>
    <w:rsid w:val="00F26FB2"/>
    <w:rsid w:val="00F30CE2"/>
    <w:rsid w:val="00F310A1"/>
    <w:rsid w:val="00F3595C"/>
    <w:rsid w:val="00F37F4E"/>
    <w:rsid w:val="00F41D27"/>
    <w:rsid w:val="00F425E4"/>
    <w:rsid w:val="00F42A99"/>
    <w:rsid w:val="00F4420D"/>
    <w:rsid w:val="00F51A83"/>
    <w:rsid w:val="00F552D1"/>
    <w:rsid w:val="00F558ED"/>
    <w:rsid w:val="00F55DEB"/>
    <w:rsid w:val="00F57AF4"/>
    <w:rsid w:val="00F63407"/>
    <w:rsid w:val="00F656F5"/>
    <w:rsid w:val="00F70469"/>
    <w:rsid w:val="00F7098D"/>
    <w:rsid w:val="00F73260"/>
    <w:rsid w:val="00F734EB"/>
    <w:rsid w:val="00F73546"/>
    <w:rsid w:val="00F76EDD"/>
    <w:rsid w:val="00F801B3"/>
    <w:rsid w:val="00F817A1"/>
    <w:rsid w:val="00F82647"/>
    <w:rsid w:val="00F82A95"/>
    <w:rsid w:val="00F83AEB"/>
    <w:rsid w:val="00F84112"/>
    <w:rsid w:val="00F857EC"/>
    <w:rsid w:val="00F94696"/>
    <w:rsid w:val="00FA016B"/>
    <w:rsid w:val="00FA24FA"/>
    <w:rsid w:val="00FA4A39"/>
    <w:rsid w:val="00FA551C"/>
    <w:rsid w:val="00FA583C"/>
    <w:rsid w:val="00FB4D15"/>
    <w:rsid w:val="00FB681C"/>
    <w:rsid w:val="00FC7606"/>
    <w:rsid w:val="00FD09CE"/>
    <w:rsid w:val="00FD4014"/>
    <w:rsid w:val="00FD6271"/>
    <w:rsid w:val="00FD6B90"/>
    <w:rsid w:val="00FE5D11"/>
    <w:rsid w:val="00FE7FE2"/>
    <w:rsid w:val="00FF091D"/>
    <w:rsid w:val="00FF2BC8"/>
    <w:rsid w:val="00FF4CD2"/>
    <w:rsid w:val="00FF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4:docId w14:val="4246F3B7"/>
  <w14:defaultImageDpi w14:val="300"/>
  <w15:docId w15:val="{2E283501-A12F-49E6-8810-2DECED1D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2A"/>
    <w:rPr>
      <w:rFonts w:ascii="Arial" w:hAnsi="Arial"/>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eastAsiaTheme="majorEastAsia"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1"/>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FE5D11"/>
    <w:pPr>
      <w:tabs>
        <w:tab w:val="right" w:leader="dot" w:pos="8296"/>
      </w:tabs>
      <w:spacing w:before="120" w:after="12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cs="Arial"/>
    </w:rPr>
  </w:style>
  <w:style w:type="paragraph" w:styleId="NormalWeb">
    <w:name w:val="Normal (Web)"/>
    <w:basedOn w:val="Normal"/>
    <w:uiPriority w:val="99"/>
    <w:unhideWhenUsed/>
    <w:rsid w:val="008C37D3"/>
    <w:pPr>
      <w:spacing w:before="100" w:beforeAutospacing="1" w:after="100" w:afterAutospacing="1"/>
    </w:pPr>
    <w:rPr>
      <w:rFonts w:ascii="Times New Roman" w:eastAsia="Times New Roman" w:hAnsi="Times New Roman" w:cs="Times New Roman"/>
      <w:lang w:eastAsia="en-AU"/>
    </w:rPr>
  </w:style>
  <w:style w:type="character" w:customStyle="1" w:styleId="content-elementreference">
    <w:name w:val="content-element__reference"/>
    <w:basedOn w:val="DefaultParagraphFont"/>
    <w:rsid w:val="008C37D3"/>
  </w:style>
  <w:style w:type="character" w:styleId="Emphasis">
    <w:name w:val="Emphasis"/>
    <w:basedOn w:val="DefaultParagraphFont"/>
    <w:uiPriority w:val="20"/>
    <w:qFormat/>
    <w:rsid w:val="008C37D3"/>
    <w:rPr>
      <w:i/>
      <w:iCs/>
    </w:rPr>
  </w:style>
  <w:style w:type="paragraph" w:customStyle="1" w:styleId="Pa2">
    <w:name w:val="Pa2"/>
    <w:basedOn w:val="Normal"/>
    <w:uiPriority w:val="99"/>
    <w:rsid w:val="000D1519"/>
    <w:pPr>
      <w:autoSpaceDE w:val="0"/>
      <w:autoSpaceDN w:val="0"/>
      <w:spacing w:line="221" w:lineRule="atLeast"/>
    </w:pPr>
    <w:rPr>
      <w:rFonts w:ascii="Myriad Pro" w:eastAsiaTheme="minorHAnsi" w:hAnsi="Myriad Pro" w:cs="Times New Roman"/>
      <w:lang w:eastAsia="en-AU"/>
    </w:rPr>
  </w:style>
  <w:style w:type="paragraph" w:customStyle="1" w:styleId="Pa7">
    <w:name w:val="Pa7"/>
    <w:basedOn w:val="Normal"/>
    <w:uiPriority w:val="99"/>
    <w:rsid w:val="000D1519"/>
    <w:pPr>
      <w:autoSpaceDE w:val="0"/>
      <w:autoSpaceDN w:val="0"/>
      <w:spacing w:line="281" w:lineRule="atLeast"/>
    </w:pPr>
    <w:rPr>
      <w:rFonts w:ascii="Myriad Pro" w:eastAsiaTheme="minorHAnsi" w:hAnsi="Myriad Pro" w:cs="Times New Roman"/>
      <w:lang w:eastAsia="en-AU"/>
    </w:rPr>
  </w:style>
  <w:style w:type="paragraph" w:customStyle="1" w:styleId="Pa3">
    <w:name w:val="Pa3"/>
    <w:basedOn w:val="Normal"/>
    <w:uiPriority w:val="99"/>
    <w:rsid w:val="000D1519"/>
    <w:pPr>
      <w:autoSpaceDE w:val="0"/>
      <w:autoSpaceDN w:val="0"/>
      <w:spacing w:line="221" w:lineRule="atLeast"/>
    </w:pPr>
    <w:rPr>
      <w:rFonts w:ascii="Myriad Pro" w:eastAsiaTheme="minorHAnsi" w:hAnsi="Myriad Pro" w:cs="Times New Roman"/>
      <w:lang w:eastAsia="en-AU"/>
    </w:rPr>
  </w:style>
  <w:style w:type="character" w:customStyle="1" w:styleId="A15">
    <w:name w:val="A15"/>
    <w:basedOn w:val="DefaultParagraphFont"/>
    <w:uiPriority w:val="99"/>
    <w:rsid w:val="000D1519"/>
    <w:rPr>
      <w:rFonts w:ascii="Myriad Pro" w:hAnsi="Myriad Pro" w:hint="default"/>
      <w:color w:val="000000"/>
    </w:rPr>
  </w:style>
  <w:style w:type="character" w:customStyle="1" w:styleId="A7">
    <w:name w:val="A7"/>
    <w:basedOn w:val="DefaultParagraphFont"/>
    <w:uiPriority w:val="99"/>
    <w:rsid w:val="000D1519"/>
    <w:rPr>
      <w:rFonts w:ascii="Myriad Pro" w:hAnsi="Myriad Pro" w:hint="default"/>
      <w:color w:val="000000"/>
      <w:u w:val="single"/>
    </w:rPr>
  </w:style>
  <w:style w:type="paragraph" w:styleId="Revision">
    <w:name w:val="Revision"/>
    <w:hidden/>
    <w:uiPriority w:val="99"/>
    <w:semiHidden/>
    <w:rsid w:val="00D11F6F"/>
    <w:rPr>
      <w:lang w:val="en-AU"/>
    </w:rPr>
  </w:style>
  <w:style w:type="character" w:styleId="FollowedHyperlink">
    <w:name w:val="FollowedHyperlink"/>
    <w:basedOn w:val="DefaultParagraphFont"/>
    <w:uiPriority w:val="99"/>
    <w:semiHidden/>
    <w:unhideWhenUsed/>
    <w:rsid w:val="00520946"/>
    <w:rPr>
      <w:color w:val="800080" w:themeColor="followedHyperlink"/>
      <w:u w:val="single"/>
    </w:rPr>
  </w:style>
  <w:style w:type="paragraph" w:customStyle="1" w:styleId="Default">
    <w:name w:val="Default"/>
    <w:rsid w:val="00F2270B"/>
    <w:pPr>
      <w:autoSpaceDE w:val="0"/>
      <w:autoSpaceDN w:val="0"/>
      <w:adjustRightInd w:val="0"/>
    </w:pPr>
    <w:rPr>
      <w:rFonts w:ascii="Verdana" w:hAnsi="Verdana" w:cs="Verdana"/>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60016">
      <w:bodyDiv w:val="1"/>
      <w:marLeft w:val="0"/>
      <w:marRight w:val="0"/>
      <w:marTop w:val="0"/>
      <w:marBottom w:val="0"/>
      <w:divBdr>
        <w:top w:val="none" w:sz="0" w:space="0" w:color="auto"/>
        <w:left w:val="none" w:sz="0" w:space="0" w:color="auto"/>
        <w:bottom w:val="none" w:sz="0" w:space="0" w:color="auto"/>
        <w:right w:val="none" w:sz="0" w:space="0" w:color="auto"/>
      </w:divBdr>
    </w:div>
    <w:div w:id="1506018456">
      <w:bodyDiv w:val="1"/>
      <w:marLeft w:val="0"/>
      <w:marRight w:val="0"/>
      <w:marTop w:val="0"/>
      <w:marBottom w:val="0"/>
      <w:divBdr>
        <w:top w:val="none" w:sz="0" w:space="0" w:color="auto"/>
        <w:left w:val="none" w:sz="0" w:space="0" w:color="auto"/>
        <w:bottom w:val="none" w:sz="0" w:space="0" w:color="auto"/>
        <w:right w:val="none" w:sz="0" w:space="0" w:color="auto"/>
      </w:divBdr>
    </w:div>
    <w:div w:id="1905333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betterlawsforsafeqld.com.au/our-call-for-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62A5F5-A677-4D9E-B34A-F5B3EF75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58</Pages>
  <Words>16683</Words>
  <Characters>95096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Inquiry into serious vilification and hate crimes</vt:lpstr>
    </vt:vector>
  </TitlesOfParts>
  <Company/>
  <LinksUpToDate>false</LinksUpToDate>
  <CharactersWithSpaces>111556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serious vilification and hate crimes</dc:title>
  <dc:subject/>
  <dc:creator>Julie Ball</dc:creator>
  <cp:keywords/>
  <dc:description/>
  <cp:lastModifiedBy>Kate Marsh</cp:lastModifiedBy>
  <cp:revision>3</cp:revision>
  <cp:lastPrinted>2021-07-12T00:37:00Z</cp:lastPrinted>
  <dcterms:created xsi:type="dcterms:W3CDTF">2021-07-30T01:49:00Z</dcterms:created>
  <dcterms:modified xsi:type="dcterms:W3CDTF">2021-07-30T02:20:00Z</dcterms:modified>
</cp:coreProperties>
</file>