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sz w:val="24"/>
          <w:szCs w:val="24"/>
          <w:lang w:val="en-AU"/>
        </w:rPr>
        <w:id w:val="2067608509"/>
        <w:docPartObj>
          <w:docPartGallery w:val="Cover Pages"/>
          <w:docPartUnique/>
        </w:docPartObj>
      </w:sdtPr>
      <w:sdtEndPr>
        <w:rPr>
          <w:rFonts w:asciiTheme="minorHAnsi" w:hAnsiTheme="minorHAnsi" w:cstheme="minorBidi"/>
          <w:sz w:val="22"/>
          <w:szCs w:val="22"/>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D95D9E" w14:paraId="5658453C" w14:textId="77777777" w:rsidTr="00260847">
            <w:trPr>
              <w:trHeight w:val="2506"/>
              <w:jc w:val="center"/>
            </w:trPr>
            <w:tc>
              <w:tcPr>
                <w:tcW w:w="5000" w:type="pct"/>
                <w:vAlign w:val="center"/>
              </w:tcPr>
              <w:p w14:paraId="2C1A33CD" w14:textId="77777777" w:rsidR="00260847" w:rsidRDefault="00260847" w:rsidP="003C443B">
                <w:pPr>
                  <w:pStyle w:val="NoSpacing"/>
                  <w:spacing w:after="240"/>
                </w:pPr>
              </w:p>
              <w:p w14:paraId="0441FB1F" w14:textId="77777777" w:rsidR="00260847" w:rsidRDefault="00260847" w:rsidP="003C443B">
                <w:pPr>
                  <w:pStyle w:val="NoSpacing"/>
                  <w:spacing w:after="240"/>
                </w:pPr>
              </w:p>
              <w:p w14:paraId="724B77DA" w14:textId="77777777" w:rsidR="00260847" w:rsidRDefault="00260847" w:rsidP="003C443B">
                <w:pPr>
                  <w:pStyle w:val="NoSpacing"/>
                  <w:spacing w:after="240"/>
                </w:pPr>
              </w:p>
              <w:p w14:paraId="5441CAC0" w14:textId="77777777" w:rsidR="00260847" w:rsidRDefault="00260847" w:rsidP="003C443B">
                <w:pPr>
                  <w:pStyle w:val="NoSpacing"/>
                  <w:spacing w:after="240"/>
                </w:pPr>
              </w:p>
              <w:p w14:paraId="7B0BF898" w14:textId="77777777" w:rsidR="00260847" w:rsidRDefault="00260847" w:rsidP="003C443B">
                <w:pPr>
                  <w:pStyle w:val="NoSpacing"/>
                  <w:spacing w:after="240"/>
                </w:pPr>
              </w:p>
              <w:p w14:paraId="154CDF0D" w14:textId="77777777" w:rsidR="00260847" w:rsidRDefault="00260847" w:rsidP="003C443B">
                <w:pPr>
                  <w:pStyle w:val="NoSpacing"/>
                  <w:spacing w:after="240"/>
                </w:pPr>
              </w:p>
              <w:p w14:paraId="4115A4B4" w14:textId="77777777" w:rsidR="00260847" w:rsidRDefault="00260847" w:rsidP="003C443B">
                <w:pPr>
                  <w:pStyle w:val="NoSpacing"/>
                  <w:spacing w:after="240"/>
                </w:pPr>
                <w:r w:rsidRPr="00F63848">
                  <w:rPr>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Default="00260847" w:rsidP="003C443B">
                <w:pPr>
                  <w:pStyle w:val="NoSpacing"/>
                  <w:spacing w:after="240"/>
                </w:pPr>
              </w:p>
              <w:p w14:paraId="514D3B7A" w14:textId="77777777" w:rsidR="00260847" w:rsidRDefault="00260847" w:rsidP="003C443B">
                <w:pPr>
                  <w:pStyle w:val="NoSpacing"/>
                  <w:spacing w:after="240"/>
                </w:pPr>
              </w:p>
              <w:p w14:paraId="1AEF9582" w14:textId="77777777" w:rsidR="00260847" w:rsidRDefault="00260847" w:rsidP="003C443B">
                <w:pPr>
                  <w:pStyle w:val="NoSpacing"/>
                  <w:spacing w:after="240"/>
                </w:pPr>
              </w:p>
              <w:p w14:paraId="74475C10" w14:textId="77777777" w:rsidR="00260847" w:rsidRDefault="00260847" w:rsidP="003C443B">
                <w:pPr>
                  <w:pStyle w:val="NoSpacing"/>
                  <w:spacing w:after="240"/>
                </w:pPr>
              </w:p>
              <w:sdt>
                <w:sdtPr>
                  <w:rPr>
                    <w:rFonts w:ascii="Arial" w:eastAsia="Times New Roman" w:hAnsi="Arial" w:cs="Times New Roman"/>
                    <w:bCs/>
                    <w:color w:val="000000" w:themeColor="text1"/>
                    <w:kern w:val="36"/>
                    <w:sz w:val="44"/>
                    <w:szCs w:val="4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35ABC9DC" w:rsidR="004A2375" w:rsidRPr="00D95D9E" w:rsidRDefault="00052290" w:rsidP="003C443B">
                    <w:pPr>
                      <w:pStyle w:val="NoSpacing"/>
                      <w:spacing w:after="240"/>
                      <w:rPr>
                        <w:rFonts w:asciiTheme="majorHAnsi" w:eastAsiaTheme="majorEastAsia" w:hAnsiTheme="majorHAnsi" w:cstheme="majorBidi"/>
                        <w:sz w:val="80"/>
                        <w:szCs w:val="80"/>
                      </w:rPr>
                    </w:pPr>
                    <w:r w:rsidRPr="000E2872">
                      <w:rPr>
                        <w:rFonts w:ascii="Arial" w:eastAsia="Times New Roman" w:hAnsi="Arial" w:cs="Times New Roman"/>
                        <w:bCs/>
                        <w:color w:val="000000" w:themeColor="text1"/>
                        <w:kern w:val="36"/>
                        <w:sz w:val="44"/>
                        <w:szCs w:val="48"/>
                        <w:lang w:eastAsia="en-AU"/>
                      </w:rPr>
                      <w:t>Inspector of Detention Services</w:t>
                    </w:r>
                    <w:r w:rsidR="006C4AE9" w:rsidRPr="000E2872">
                      <w:rPr>
                        <w:rFonts w:ascii="Arial" w:eastAsia="Times New Roman" w:hAnsi="Arial" w:cs="Times New Roman"/>
                        <w:bCs/>
                        <w:color w:val="000000" w:themeColor="text1"/>
                        <w:kern w:val="36"/>
                        <w:sz w:val="44"/>
                        <w:szCs w:val="48"/>
                        <w:lang w:eastAsia="en-AU"/>
                      </w:rPr>
                      <w:t xml:space="preserve"> Bill 2021</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2411E64C" w14:textId="77777777" w:rsidTr="00260847">
            <w:tc>
              <w:tcPr>
                <w:tcW w:w="6407" w:type="dxa"/>
                <w:tcMar>
                  <w:top w:w="216" w:type="dxa"/>
                  <w:left w:w="115" w:type="dxa"/>
                  <w:bottom w:w="216" w:type="dxa"/>
                  <w:right w:w="115" w:type="dxa"/>
                </w:tcMar>
              </w:tcPr>
              <w:p w14:paraId="1364FB85" w14:textId="69928F7D" w:rsidR="00A16356" w:rsidRDefault="00ED7CFE" w:rsidP="00ED7CFE">
                <w:pPr>
                  <w:pStyle w:val="NoSpacing"/>
                  <w:spacing w:before="120" w:after="120"/>
                  <w:jc w:val="center"/>
                  <w:rPr>
                    <w:color w:val="4F81BD" w:themeColor="accent1"/>
                  </w:rPr>
                </w:pPr>
                <w:r>
                  <w:rPr>
                    <w:rFonts w:ascii="Arial" w:hAnsi="Arial" w:cs="Arial"/>
                    <w:bCs/>
                    <w:sz w:val="28"/>
                  </w:rPr>
                  <w:t xml:space="preserve">19 </w:t>
                </w:r>
                <w:r w:rsidR="006C4AE9">
                  <w:rPr>
                    <w:rFonts w:ascii="Arial" w:hAnsi="Arial" w:cs="Arial"/>
                    <w:bCs/>
                    <w:sz w:val="28"/>
                  </w:rPr>
                  <w:t>November 2021</w:t>
                </w:r>
              </w:p>
            </w:tc>
          </w:tr>
        </w:tbl>
        <w:p w14:paraId="5DBCC84D" w14:textId="0CF39638"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Pr>
              <w:rFonts w:ascii="Arial" w:hAnsi="Arial" w:cs="Arial"/>
              <w:bCs/>
              <w:sz w:val="28"/>
            </w:rPr>
            <w:t xml:space="preserve"> </w:t>
          </w:r>
          <w:r w:rsidR="006521CE">
            <w:rPr>
              <w:rFonts w:ascii="Arial" w:hAnsi="Arial" w:cs="Arial"/>
              <w:bCs/>
              <w:sz w:val="28"/>
            </w:rPr>
            <w:t>Legal Affairs and Safety Committee</w:t>
          </w:r>
        </w:p>
      </w:sdtContent>
    </w:sdt>
    <w:p w14:paraId="3B348709" w14:textId="77777777" w:rsidR="00293C9F" w:rsidRDefault="00293C9F">
      <w:pPr>
        <w:rPr>
          <w:rFonts w:ascii="Arial" w:eastAsiaTheme="majorEastAsia" w:hAnsi="Arial" w:cstheme="majorBidi"/>
          <w:color w:val="004270"/>
          <w:sz w:val="48"/>
          <w:szCs w:val="32"/>
        </w:rPr>
      </w:pPr>
      <w:r>
        <w:br w:type="page"/>
      </w:r>
    </w:p>
    <w:p w14:paraId="24EBBF9D" w14:textId="635349D0" w:rsidR="006C4AE9" w:rsidRPr="006C4AE9" w:rsidRDefault="006C4AE9" w:rsidP="006C4AE9">
      <w:pPr>
        <w:pStyle w:val="Numberedparagraph"/>
        <w:numPr>
          <w:ilvl w:val="0"/>
          <w:numId w:val="0"/>
        </w:numPr>
        <w:ind w:left="567" w:hanging="567"/>
        <w:rPr>
          <w:rFonts w:eastAsiaTheme="majorEastAsia" w:cstheme="majorBidi"/>
          <w:color w:val="004270"/>
          <w:sz w:val="48"/>
          <w:szCs w:val="32"/>
        </w:rPr>
      </w:pPr>
      <w:r w:rsidRPr="006C4AE9">
        <w:rPr>
          <w:rFonts w:eastAsiaTheme="majorEastAsia" w:cstheme="majorBidi"/>
          <w:color w:val="004270"/>
          <w:sz w:val="48"/>
          <w:szCs w:val="32"/>
        </w:rPr>
        <w:lastRenderedPageBreak/>
        <w:t>Summary</w:t>
      </w:r>
    </w:p>
    <w:p w14:paraId="592ABDC3" w14:textId="61B4B1E2" w:rsidR="00CA7430" w:rsidRDefault="00761291" w:rsidP="00052290">
      <w:pPr>
        <w:pStyle w:val="Numberedparagraph"/>
      </w:pPr>
      <w:r>
        <w:t xml:space="preserve">The </w:t>
      </w:r>
      <w:r w:rsidR="00093A57">
        <w:t xml:space="preserve">Queensland Human Rights </w:t>
      </w:r>
      <w:r>
        <w:t>Commission</w:t>
      </w:r>
      <w:r w:rsidR="00093A57">
        <w:t xml:space="preserve"> (the </w:t>
      </w:r>
      <w:r w:rsidR="00093A57" w:rsidRPr="00093A57">
        <w:rPr>
          <w:b/>
        </w:rPr>
        <w:t>Commission</w:t>
      </w:r>
      <w:r w:rsidR="00093A57">
        <w:t>)</w:t>
      </w:r>
      <w:r>
        <w:t xml:space="preserve"> </w:t>
      </w:r>
      <w:r w:rsidR="00CA7430">
        <w:t>supports</w:t>
      </w:r>
      <w:r>
        <w:t xml:space="preserve"> the passage of</w:t>
      </w:r>
      <w:r w:rsidR="00CA7430">
        <w:t xml:space="preserve"> </w:t>
      </w:r>
      <w:r w:rsidRPr="006C4AE9">
        <w:t xml:space="preserve">the Inspector of Detention Services Bill 2021 (the </w:t>
      </w:r>
      <w:r w:rsidRPr="00093A57">
        <w:rPr>
          <w:b/>
        </w:rPr>
        <w:t>Bill</w:t>
      </w:r>
      <w:r w:rsidRPr="006C4AE9">
        <w:t>).</w:t>
      </w:r>
      <w:r w:rsidR="00052290" w:rsidRPr="00052290">
        <w:t xml:space="preserve"> </w:t>
      </w:r>
      <w:r w:rsidR="00DA76B2">
        <w:t xml:space="preserve">As noted in the Explanatory Notes, the </w:t>
      </w:r>
      <w:r w:rsidR="008F2D44">
        <w:t xml:space="preserve">government consulted with the </w:t>
      </w:r>
      <w:r w:rsidR="00DA76B2">
        <w:t xml:space="preserve">Commission </w:t>
      </w:r>
      <w:r w:rsidR="008F2D44">
        <w:t>in developing</w:t>
      </w:r>
      <w:r w:rsidR="00DA76B2">
        <w:t xml:space="preserve"> the Bill. </w:t>
      </w:r>
    </w:p>
    <w:p w14:paraId="1469AF4A" w14:textId="03BD6575" w:rsidR="00F4293F" w:rsidRDefault="00CA7430" w:rsidP="00052290">
      <w:pPr>
        <w:pStyle w:val="Numberedparagraph"/>
      </w:pPr>
      <w:r>
        <w:t xml:space="preserve">However, the Bill </w:t>
      </w:r>
      <w:r w:rsidR="00B50E47">
        <w:t>misses the opportunity</w:t>
      </w:r>
      <w:r w:rsidR="00F4293F">
        <w:t>:</w:t>
      </w:r>
    </w:p>
    <w:p w14:paraId="39FA6AE5" w14:textId="3D9DD333" w:rsidR="00612DC7" w:rsidRDefault="00B50E47" w:rsidP="00612DC7">
      <w:pPr>
        <w:pStyle w:val="Numberedparagraph"/>
        <w:numPr>
          <w:ilvl w:val="0"/>
          <w:numId w:val="25"/>
        </w:numPr>
      </w:pPr>
      <w:r>
        <w:t xml:space="preserve">for Queensland to fully </w:t>
      </w:r>
      <w:r w:rsidR="00F4293F">
        <w:t xml:space="preserve">participate </w:t>
      </w:r>
      <w:r>
        <w:t>in Australia’s</w:t>
      </w:r>
      <w:r w:rsidR="00F4293F">
        <w:t xml:space="preserve"> National Preventative Mechanism (</w:t>
      </w:r>
      <w:r w:rsidR="00F4293F" w:rsidRPr="00093A57">
        <w:rPr>
          <w:b/>
        </w:rPr>
        <w:t>NPM</w:t>
      </w:r>
      <w:r w:rsidR="00F4293F">
        <w:t>) under</w:t>
      </w:r>
      <w:r w:rsidR="00CA7430">
        <w:t xml:space="preserve"> the </w:t>
      </w:r>
      <w:r w:rsidR="00D257DC" w:rsidRPr="006C4AE9">
        <w:rPr>
          <w:i/>
        </w:rPr>
        <w:t>Optional Protocol to the Convention against Torture and other Cruel, Inhuman or Degrading Treatment or Punishment</w:t>
      </w:r>
      <w:r w:rsidR="00D257DC" w:rsidRPr="00052290">
        <w:t xml:space="preserve"> (</w:t>
      </w:r>
      <w:r w:rsidR="00D257DC" w:rsidRPr="00093A57">
        <w:rPr>
          <w:b/>
        </w:rPr>
        <w:t>OPCAT</w:t>
      </w:r>
      <w:r w:rsidR="00D257DC" w:rsidRPr="00052290">
        <w:t>)</w:t>
      </w:r>
      <w:r w:rsidR="00F4293F">
        <w:t xml:space="preserve"> which is</w:t>
      </w:r>
      <w:r w:rsidR="00ED7CFE">
        <w:t xml:space="preserve"> </w:t>
      </w:r>
      <w:r w:rsidR="00CA7430">
        <w:t>due to commence in early 2022</w:t>
      </w:r>
      <w:r w:rsidR="00F4293F">
        <w:t>; and</w:t>
      </w:r>
    </w:p>
    <w:p w14:paraId="1A5BF42B" w14:textId="24CFEBBC" w:rsidR="008F2D44" w:rsidRDefault="00B50E47" w:rsidP="00612DC7">
      <w:pPr>
        <w:pStyle w:val="Numberedparagraph"/>
        <w:numPr>
          <w:ilvl w:val="0"/>
          <w:numId w:val="25"/>
        </w:numPr>
      </w:pPr>
      <w:r>
        <w:t xml:space="preserve">to </w:t>
      </w:r>
      <w:r w:rsidR="00F4293F">
        <w:t xml:space="preserve">clarify the roles and </w:t>
      </w:r>
      <w:r w:rsidR="00563BF7">
        <w:t>responsibilities of various agencies with oversight functions</w:t>
      </w:r>
      <w:r>
        <w:t xml:space="preserve"> in Queensland</w:t>
      </w:r>
      <w:r w:rsidR="00563BF7">
        <w:t>.</w:t>
      </w:r>
    </w:p>
    <w:p w14:paraId="5A53F9E5" w14:textId="14EDD570" w:rsidR="000C6E1A" w:rsidRDefault="000C6E1A" w:rsidP="00ED7CFE">
      <w:pPr>
        <w:pStyle w:val="Numberedparagraph"/>
        <w:numPr>
          <w:ilvl w:val="0"/>
          <w:numId w:val="0"/>
        </w:numPr>
        <w:ind w:left="567"/>
      </w:pPr>
      <w:r>
        <w:t>The Bill therefore risks adding to the existing oversight arrangements without leading to any substantive improvement of detention services and places of detention, which is the stated purpose of the Bill.</w:t>
      </w:r>
    </w:p>
    <w:p w14:paraId="45C4D40D" w14:textId="071C2A7D" w:rsidR="00093A57" w:rsidRDefault="00093A57" w:rsidP="00093A57">
      <w:pPr>
        <w:pStyle w:val="Heading2"/>
      </w:pPr>
      <w:r>
        <w:t>Recommendations</w:t>
      </w:r>
    </w:p>
    <w:p w14:paraId="5DE7CFFD" w14:textId="1D0A2310" w:rsidR="00052290" w:rsidRPr="00052290" w:rsidRDefault="008F2D44" w:rsidP="00052290">
      <w:pPr>
        <w:pStyle w:val="Numberedparagraph"/>
      </w:pPr>
      <w:r>
        <w:t>In summary, the Committee</w:t>
      </w:r>
      <w:r w:rsidR="007D3153">
        <w:t xml:space="preserve"> </w:t>
      </w:r>
      <w:r w:rsidR="003B1B74">
        <w:t>could seek</w:t>
      </w:r>
      <w:r>
        <w:t xml:space="preserve"> further information</w:t>
      </w:r>
      <w:r w:rsidR="003B1B74">
        <w:t>,</w:t>
      </w:r>
      <w:r>
        <w:t xml:space="preserve"> </w:t>
      </w:r>
      <w:r w:rsidR="002C54B2">
        <w:t xml:space="preserve">and </w:t>
      </w:r>
      <w:r w:rsidR="003B1B74">
        <w:t>consider making</w:t>
      </w:r>
      <w:r w:rsidR="002C54B2">
        <w:t xml:space="preserve"> recommendations </w:t>
      </w:r>
      <w:r>
        <w:t xml:space="preserve">about: </w:t>
      </w:r>
    </w:p>
    <w:p w14:paraId="2122FC12" w14:textId="2B45D28C" w:rsidR="00052290" w:rsidRDefault="008F2D44" w:rsidP="006C4AE9">
      <w:pPr>
        <w:pStyle w:val="Bulletedlist"/>
      </w:pPr>
      <w:r>
        <w:t>H</w:t>
      </w:r>
      <w:r w:rsidR="00052290" w:rsidRPr="00052290">
        <w:t>ow the Inspector</w:t>
      </w:r>
      <w:r w:rsidR="006C4AE9">
        <w:t xml:space="preserve"> of Prisons</w:t>
      </w:r>
      <w:r w:rsidR="00052290" w:rsidRPr="00052290">
        <w:t xml:space="preserve"> will interact with other oversight agencies</w:t>
      </w:r>
      <w:r w:rsidR="00690748">
        <w:t xml:space="preserve"> particularly O</w:t>
      </w:r>
      <w:r w:rsidR="00ED7CFE">
        <w:t xml:space="preserve">fficial </w:t>
      </w:r>
      <w:r w:rsidR="00690748">
        <w:t>V</w:t>
      </w:r>
      <w:r w:rsidR="00ED7CFE">
        <w:t>isitors under the Corrective Services Act</w:t>
      </w:r>
      <w:r w:rsidR="00052290" w:rsidRPr="00052290">
        <w:t xml:space="preserve">; </w:t>
      </w:r>
    </w:p>
    <w:p w14:paraId="1457B6B3" w14:textId="5E804B87" w:rsidR="005E130F" w:rsidRPr="00052290" w:rsidRDefault="00ED7CFE" w:rsidP="006C4AE9">
      <w:pPr>
        <w:pStyle w:val="Bulletedlist"/>
      </w:pPr>
      <w:r>
        <w:t xml:space="preserve">How </w:t>
      </w:r>
      <w:r w:rsidR="00761291">
        <w:t xml:space="preserve">Queensland will meets its obligations under OPCAT to ensure adequate preventative monitoring of </w:t>
      </w:r>
      <w:r w:rsidR="002C54B2">
        <w:t>all</w:t>
      </w:r>
      <w:r w:rsidR="005E130F">
        <w:t xml:space="preserve"> places of detention</w:t>
      </w:r>
      <w:r w:rsidR="00761291">
        <w:t>;</w:t>
      </w:r>
    </w:p>
    <w:p w14:paraId="4E4F90AE" w14:textId="1342D3AF" w:rsidR="002D386B" w:rsidRPr="00052290" w:rsidRDefault="002D386B" w:rsidP="006C4AE9">
      <w:pPr>
        <w:pStyle w:val="Bulletedlist"/>
      </w:pPr>
      <w:r>
        <w:t xml:space="preserve">Whether the Bill should be amended to better reflect OPCAT requirements and related guidance; </w:t>
      </w:r>
    </w:p>
    <w:p w14:paraId="4DC2BCA5" w14:textId="5A4BC017" w:rsidR="00052290" w:rsidRDefault="00B50E47" w:rsidP="006C4AE9">
      <w:pPr>
        <w:pStyle w:val="Bulletedlist"/>
      </w:pPr>
      <w:r>
        <w:rPr>
          <w:lang w:eastAsia="en-AU"/>
        </w:rPr>
        <w:t>J</w:t>
      </w:r>
      <w:r w:rsidR="002C54B2">
        <w:rPr>
          <w:lang w:eastAsia="en-AU"/>
        </w:rPr>
        <w:t>ustification for the Inspector being unable to access information that relates to proceedings of Cabinet or a committee of Cabinet.</w:t>
      </w:r>
    </w:p>
    <w:p w14:paraId="5006028F" w14:textId="34494495" w:rsidR="002C54B2" w:rsidRDefault="002C54B2" w:rsidP="006C4AE9">
      <w:pPr>
        <w:pStyle w:val="Bulletedlist"/>
      </w:pPr>
      <w:r>
        <w:t>Amending</w:t>
      </w:r>
      <w:r w:rsidRPr="00052290">
        <w:t xml:space="preserve"> the Bill</w:t>
      </w:r>
      <w:r>
        <w:t xml:space="preserve"> to</w:t>
      </w:r>
      <w:r w:rsidRPr="00052290">
        <w:t xml:space="preserve"> require QPS to notify the Inspector if a </w:t>
      </w:r>
      <w:r w:rsidR="00B50E47">
        <w:t xml:space="preserve">person </w:t>
      </w:r>
      <w:r w:rsidRPr="00052290">
        <w:t>aged under 18 is detained overnight in any place of detention used by QPS</w:t>
      </w:r>
      <w:r>
        <w:t xml:space="preserve">. </w:t>
      </w:r>
    </w:p>
    <w:p w14:paraId="7ECFDA17" w14:textId="6C311571" w:rsidR="002C54B2" w:rsidRDefault="002C54B2" w:rsidP="006C4AE9">
      <w:pPr>
        <w:pStyle w:val="Bulletedlist"/>
      </w:pPr>
      <w:r>
        <w:t>Amending the Bill to require the Inspector to develop and maintain specific standards for young people in detention to inform its assessment of conditions of detention.</w:t>
      </w:r>
    </w:p>
    <w:p w14:paraId="5A85EF07" w14:textId="68FD6E19" w:rsidR="002C54B2" w:rsidRPr="00052290" w:rsidRDefault="002C54B2" w:rsidP="006C4AE9">
      <w:pPr>
        <w:pStyle w:val="Bulletedlist"/>
      </w:pPr>
      <w:r>
        <w:t xml:space="preserve">Amending the Bill to provide for the Inspector to investigate critical incidents. </w:t>
      </w:r>
    </w:p>
    <w:p w14:paraId="2AD2E927" w14:textId="77777777" w:rsidR="00093A57" w:rsidRDefault="00093A57" w:rsidP="00052290">
      <w:pPr>
        <w:pStyle w:val="Heading1"/>
        <w:rPr>
          <w:lang w:eastAsia="en-AU"/>
        </w:rPr>
      </w:pPr>
      <w:r>
        <w:rPr>
          <w:lang w:eastAsia="en-AU"/>
        </w:rPr>
        <w:lastRenderedPageBreak/>
        <w:t>Introduction</w:t>
      </w:r>
    </w:p>
    <w:p w14:paraId="50D7A53E" w14:textId="3EA865FD" w:rsidR="00093A57" w:rsidRDefault="00093A57" w:rsidP="00093A57">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sidR="00B45844">
        <w:rPr>
          <w:i/>
        </w:rPr>
        <w:t xml:space="preserve"> </w:t>
      </w:r>
      <w:r w:rsidR="00B45844">
        <w:t>(</w:t>
      </w:r>
      <w:r w:rsidR="00B45844" w:rsidRPr="003B0A61">
        <w:rPr>
          <w:b/>
        </w:rPr>
        <w:t>AD Act</w:t>
      </w:r>
      <w:r w:rsidR="00B45844">
        <w:t>)</w:t>
      </w:r>
      <w:r>
        <w:rPr>
          <w:i/>
        </w:rPr>
        <w:t>.</w:t>
      </w:r>
    </w:p>
    <w:p w14:paraId="7BEB0FE4" w14:textId="71AA192A" w:rsidR="00093A57" w:rsidRPr="00592493" w:rsidRDefault="00093A57" w:rsidP="00093A57">
      <w:pPr>
        <w:pStyle w:val="Numberedparagraph"/>
      </w:pPr>
      <w:r w:rsidRPr="00A97DE1">
        <w:t xml:space="preserve">The </w:t>
      </w:r>
      <w:r w:rsidRPr="00810D74">
        <w:t>Commission</w:t>
      </w:r>
      <w:r w:rsidRPr="00A97DE1">
        <w:t xml:space="preserve"> </w:t>
      </w:r>
      <w:r>
        <w:t xml:space="preserve">has functions under the </w:t>
      </w:r>
      <w:r w:rsidR="00B45844">
        <w:t xml:space="preserve">AD Act </w:t>
      </w:r>
      <w:r>
        <w:t xml:space="preserve">and the </w:t>
      </w:r>
      <w:r>
        <w:rPr>
          <w:i/>
        </w:rPr>
        <w:t>Human Rights Act 2019</w:t>
      </w:r>
      <w:r w:rsidR="00B45844">
        <w:rPr>
          <w:i/>
        </w:rPr>
        <w:t xml:space="preserve"> </w:t>
      </w:r>
      <w:r w:rsidR="00B45844">
        <w:t>(</w:t>
      </w:r>
      <w:r w:rsidR="00B45844" w:rsidRPr="003B0A61">
        <w:rPr>
          <w:b/>
        </w:rPr>
        <w:t>HR Act</w:t>
      </w:r>
      <w:r w:rsidR="00B45844">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42CB0707" w14:textId="5E82983B" w:rsidR="00093A57" w:rsidRDefault="00093A57" w:rsidP="00093A57">
      <w:pPr>
        <w:pStyle w:val="Numberedparagraph"/>
        <w:rPr>
          <w:lang w:eastAsia="en-AU"/>
        </w:rPr>
      </w:pPr>
      <w:r>
        <w:rPr>
          <w:color w:val="000000"/>
        </w:rPr>
        <w:t xml:space="preserve">The Commission also deals with complaints of discrimination, vilification and other objectionable conduct under the </w:t>
      </w:r>
      <w:r w:rsidR="00B45844" w:rsidRPr="003B0A61">
        <w:t>AD Act</w:t>
      </w:r>
      <w:r>
        <w:rPr>
          <w:i/>
        </w:rPr>
        <w:t xml:space="preserve">, </w:t>
      </w:r>
      <w:r>
        <w:t xml:space="preserve">reprisal under the </w:t>
      </w:r>
      <w:r>
        <w:rPr>
          <w:i/>
        </w:rPr>
        <w:t xml:space="preserve">Public Interest Disclosure Act </w:t>
      </w:r>
      <w:r w:rsidRPr="009F4BAD">
        <w:rPr>
          <w:i/>
        </w:rPr>
        <w:t>2009</w:t>
      </w:r>
      <w:r>
        <w:t xml:space="preserve">, and human rights complaints under the </w:t>
      </w:r>
      <w:r w:rsidR="00B45844">
        <w:t>HR Act</w:t>
      </w:r>
      <w:r>
        <w:rPr>
          <w:i/>
        </w:rPr>
        <w:t xml:space="preserve">. </w:t>
      </w:r>
      <w:r>
        <w:t>This includes complaints made by prisoners about the conditions of their detention and related concerns.</w:t>
      </w:r>
    </w:p>
    <w:p w14:paraId="42CBF31D" w14:textId="6DA735E2" w:rsidR="00052290" w:rsidRPr="00052290" w:rsidRDefault="00052290" w:rsidP="00052290">
      <w:pPr>
        <w:pStyle w:val="Heading1"/>
        <w:rPr>
          <w:lang w:eastAsia="en-AU"/>
        </w:rPr>
      </w:pPr>
      <w:r w:rsidRPr="00052290">
        <w:rPr>
          <w:lang w:eastAsia="en-AU"/>
        </w:rPr>
        <w:t>Existing oversight arrangements</w:t>
      </w:r>
    </w:p>
    <w:p w14:paraId="253A6BF7" w14:textId="35B4927A" w:rsidR="00052290" w:rsidRPr="00052290" w:rsidRDefault="006D0618" w:rsidP="00052290">
      <w:pPr>
        <w:pStyle w:val="Numberedparagraph"/>
      </w:pPr>
      <w:r>
        <w:t>The Commission suggests that</w:t>
      </w:r>
      <w:r w:rsidR="00052290" w:rsidRPr="00052290">
        <w:t xml:space="preserve"> the Bill </w:t>
      </w:r>
      <w:r>
        <w:t xml:space="preserve">must be considered in the context of how the proposed new </w:t>
      </w:r>
      <w:r w:rsidR="006C4AE9">
        <w:t>I</w:t>
      </w:r>
      <w:r>
        <w:t>nspector</w:t>
      </w:r>
      <w:r w:rsidR="006C4AE9">
        <w:t xml:space="preserve"> of Prisons (the </w:t>
      </w:r>
      <w:r w:rsidR="006C4AE9" w:rsidRPr="006C4AE9">
        <w:rPr>
          <w:b/>
        </w:rPr>
        <w:t>Inspector</w:t>
      </w:r>
      <w:r w:rsidR="006C4AE9">
        <w:t>)</w:t>
      </w:r>
      <w:r>
        <w:t xml:space="preserve"> will interact with </w:t>
      </w:r>
      <w:r w:rsidR="00052290" w:rsidRPr="00052290">
        <w:t>existing oversight mechanisms in Queensland, which may include:</w:t>
      </w:r>
    </w:p>
    <w:p w14:paraId="4D4CA0B2" w14:textId="1CF8E360" w:rsidR="00052290" w:rsidRPr="00052290" w:rsidRDefault="006C4AE9" w:rsidP="006C4AE9">
      <w:pPr>
        <w:pStyle w:val="Bulletedlist"/>
      </w:pPr>
      <w:r>
        <w:t xml:space="preserve">the Queensland </w:t>
      </w:r>
      <w:r w:rsidR="00052290" w:rsidRPr="006C4AE9">
        <w:t>Ombudsman</w:t>
      </w:r>
      <w:r w:rsidR="00293C9F">
        <w:t>;</w:t>
      </w:r>
    </w:p>
    <w:p w14:paraId="0FBDAED3" w14:textId="34B36438" w:rsidR="00052290" w:rsidRPr="00052290" w:rsidRDefault="006C4AE9" w:rsidP="006C4AE9">
      <w:pPr>
        <w:pStyle w:val="Bulletedlist"/>
      </w:pPr>
      <w:r>
        <w:t xml:space="preserve">the </w:t>
      </w:r>
      <w:r w:rsidR="00052290" w:rsidRPr="00052290">
        <w:t>Public Guardian</w:t>
      </w:r>
      <w:r w:rsidR="00293C9F">
        <w:t>;</w:t>
      </w:r>
    </w:p>
    <w:p w14:paraId="7AE8862D" w14:textId="69195468" w:rsidR="00052290" w:rsidRPr="00052290" w:rsidRDefault="006C4AE9" w:rsidP="006C4AE9">
      <w:pPr>
        <w:pStyle w:val="Bulletedlist"/>
      </w:pPr>
      <w:r>
        <w:t>C</w:t>
      </w:r>
      <w:r w:rsidR="00293C9F">
        <w:t xml:space="preserve">ommunity </w:t>
      </w:r>
      <w:r>
        <w:t>V</w:t>
      </w:r>
      <w:r w:rsidR="00293C9F">
        <w:t>isitors;</w:t>
      </w:r>
    </w:p>
    <w:p w14:paraId="45706F06" w14:textId="578D8E81" w:rsidR="00052290" w:rsidRPr="00052290" w:rsidRDefault="00052290" w:rsidP="006C4AE9">
      <w:pPr>
        <w:pStyle w:val="Bulletedlist"/>
      </w:pPr>
      <w:r w:rsidRPr="00052290">
        <w:t>the (internal) Youth Detention Inspectorate</w:t>
      </w:r>
      <w:r w:rsidR="00293C9F">
        <w:t>;</w:t>
      </w:r>
    </w:p>
    <w:p w14:paraId="05600AA1" w14:textId="35B8D05D" w:rsidR="00052290" w:rsidRPr="00052290" w:rsidRDefault="00052290" w:rsidP="006C4AE9">
      <w:pPr>
        <w:pStyle w:val="Bulletedlist"/>
      </w:pPr>
      <w:r w:rsidRPr="00052290">
        <w:t>the (internal) Chief Inspector</w:t>
      </w:r>
      <w:r w:rsidR="006C4AE9">
        <w:t xml:space="preserve"> and Official Visitors</w:t>
      </w:r>
      <w:r w:rsidRPr="00052290">
        <w:t xml:space="preserve"> under the </w:t>
      </w:r>
      <w:r w:rsidRPr="00052290">
        <w:rPr>
          <w:i/>
        </w:rPr>
        <w:t>Corrective Services Act 2006</w:t>
      </w:r>
      <w:r w:rsidR="00293C9F" w:rsidRPr="00293C9F">
        <w:t>;</w:t>
      </w:r>
    </w:p>
    <w:p w14:paraId="073AD90D" w14:textId="00B5DE9A" w:rsidR="00052290" w:rsidRPr="00052290" w:rsidRDefault="00052290" w:rsidP="006C4AE9">
      <w:pPr>
        <w:pStyle w:val="Bulletedlist"/>
      </w:pPr>
      <w:r w:rsidRPr="00052290">
        <w:t>Queensland Family and Child Commission</w:t>
      </w:r>
      <w:r w:rsidR="00293C9F">
        <w:t>; and</w:t>
      </w:r>
    </w:p>
    <w:p w14:paraId="6E2F6261" w14:textId="7609D29F" w:rsidR="00293C9F" w:rsidRDefault="00052290" w:rsidP="006C4AE9">
      <w:pPr>
        <w:pStyle w:val="Bulletedlist"/>
      </w:pPr>
      <w:r w:rsidRPr="00052290">
        <w:t>Queensland Human Rights Commission</w:t>
      </w:r>
      <w:r w:rsidR="00293C9F">
        <w:t xml:space="preserve">. </w:t>
      </w:r>
    </w:p>
    <w:p w14:paraId="521475A4" w14:textId="212C4F54" w:rsidR="00D7331C" w:rsidRDefault="00D7331C" w:rsidP="00293C9F">
      <w:pPr>
        <w:pStyle w:val="Numberedparagraph"/>
      </w:pPr>
      <w:r>
        <w:t xml:space="preserve">For example, many mechanisms are apparently unchanged by the Bill (other than potentially assisting the </w:t>
      </w:r>
      <w:r w:rsidR="006C4AE9">
        <w:t>Inspector</w:t>
      </w:r>
      <w:r>
        <w:t xml:space="preserve">) such as </w:t>
      </w:r>
      <w:r w:rsidR="006C4AE9">
        <w:t>Official Visitors</w:t>
      </w:r>
      <w:r>
        <w:t xml:space="preserve"> under the </w:t>
      </w:r>
      <w:r w:rsidRPr="00293C9F">
        <w:rPr>
          <w:i/>
        </w:rPr>
        <w:t>Corrective Services Act</w:t>
      </w:r>
      <w:r>
        <w:rPr>
          <w:i/>
        </w:rPr>
        <w:t xml:space="preserve"> 2006,</w:t>
      </w:r>
      <w:r w:rsidRPr="00052290">
        <w:t xml:space="preserve"> </w:t>
      </w:r>
      <w:r w:rsidR="006C4AE9">
        <w:t>Community Visitors</w:t>
      </w:r>
      <w:r w:rsidRPr="00052290">
        <w:t xml:space="preserve"> under the </w:t>
      </w:r>
      <w:r w:rsidRPr="00293C9F">
        <w:rPr>
          <w:i/>
        </w:rPr>
        <w:t xml:space="preserve">Youth Justice Act 1992 </w:t>
      </w:r>
      <w:r w:rsidRPr="00052290">
        <w:t xml:space="preserve">and </w:t>
      </w:r>
      <w:r w:rsidRPr="00293C9F">
        <w:rPr>
          <w:i/>
        </w:rPr>
        <w:t>Public Guardian Act 2014</w:t>
      </w:r>
      <w:r w:rsidRPr="00052290">
        <w:t>,</w:t>
      </w:r>
      <w:r w:rsidRPr="00293C9F">
        <w:rPr>
          <w:i/>
        </w:rPr>
        <w:t xml:space="preserve"> </w:t>
      </w:r>
      <w:r w:rsidRPr="00052290">
        <w:t>and the internal inspection services in both youth and adult detention settings</w:t>
      </w:r>
      <w:r>
        <w:t xml:space="preserve">. </w:t>
      </w:r>
      <w:r w:rsidRPr="00052290">
        <w:t xml:space="preserve">  </w:t>
      </w:r>
    </w:p>
    <w:p w14:paraId="202C9F74" w14:textId="34B4896D" w:rsidR="00052290" w:rsidRPr="00052290" w:rsidRDefault="0086440A" w:rsidP="00293C9F">
      <w:pPr>
        <w:pStyle w:val="Numberedparagraph"/>
      </w:pPr>
      <w:r>
        <w:t xml:space="preserve">Clauses 19 of the Bill addresses </w:t>
      </w:r>
      <w:r w:rsidR="00D7331C">
        <w:t>this in some ways</w:t>
      </w:r>
      <w:r w:rsidR="00252B28">
        <w:t xml:space="preserve"> by</w:t>
      </w:r>
      <w:r>
        <w:t xml:space="preserve"> </w:t>
      </w:r>
      <w:r w:rsidR="00252B28">
        <w:t xml:space="preserve">requiring </w:t>
      </w:r>
      <w:r>
        <w:t xml:space="preserve">the </w:t>
      </w:r>
      <w:r w:rsidR="006C4AE9">
        <w:t>Inspector</w:t>
      </w:r>
      <w:r>
        <w:t xml:space="preserve"> to ensure</w:t>
      </w:r>
      <w:r w:rsidR="00252B28">
        <w:t xml:space="preserve"> the performance of</w:t>
      </w:r>
      <w:r>
        <w:t xml:space="preserve"> its function</w:t>
      </w:r>
      <w:r w:rsidR="00252B28">
        <w:t>s</w:t>
      </w:r>
      <w:r>
        <w:t xml:space="preserve"> do not delay, interfere with or duplicate the functions of many other agencies. It also provides for the </w:t>
      </w:r>
      <w:r w:rsidR="006C4AE9">
        <w:t>Inspector</w:t>
      </w:r>
      <w:r>
        <w:t xml:space="preserve"> to enter into arrangements with some agencies. Clause 20 provides for the </w:t>
      </w:r>
      <w:r w:rsidR="006C4AE9">
        <w:t>Inspector</w:t>
      </w:r>
      <w:r>
        <w:t xml:space="preserve"> to make arrangements</w:t>
      </w:r>
      <w:r w:rsidR="00874EE4">
        <w:t xml:space="preserve"> with certain entities</w:t>
      </w:r>
      <w:r>
        <w:t xml:space="preserve"> for referrals. </w:t>
      </w:r>
    </w:p>
    <w:p w14:paraId="6AEDF72F" w14:textId="5AC0EEDB" w:rsidR="00052290" w:rsidRDefault="0086440A" w:rsidP="00052290">
      <w:pPr>
        <w:pStyle w:val="Numberedparagraph"/>
      </w:pPr>
      <w:r>
        <w:lastRenderedPageBreak/>
        <w:t xml:space="preserve">However, the Bill in isolation does not explain how the government intends the </w:t>
      </w:r>
      <w:r w:rsidR="006C4AE9">
        <w:t>Inspector</w:t>
      </w:r>
      <w:r>
        <w:t xml:space="preserve"> to operate within the existing</w:t>
      </w:r>
      <w:r w:rsidR="00874EE4">
        <w:t xml:space="preserve"> oversight</w:t>
      </w:r>
      <w:r>
        <w:t xml:space="preserve"> framework</w:t>
      </w:r>
      <w:r w:rsidR="006D0618">
        <w:t xml:space="preserve">. </w:t>
      </w:r>
      <w:r w:rsidR="00052290" w:rsidRPr="00052290">
        <w:t xml:space="preserve">The Commission agrees an independent </w:t>
      </w:r>
      <w:r w:rsidR="002D386B">
        <w:t>i</w:t>
      </w:r>
      <w:r w:rsidR="006C4AE9">
        <w:t>nspector</w:t>
      </w:r>
      <w:r w:rsidR="00052290" w:rsidRPr="00052290">
        <w:t xml:space="preserve"> is n</w:t>
      </w:r>
      <w:r w:rsidR="002D386B">
        <w:t>eeded, but the efficacy of this</w:t>
      </w:r>
      <w:r w:rsidR="00052290" w:rsidRPr="00052290">
        <w:t xml:space="preserve"> role, and the roles of existing oversight agencies, is dependent on legislation, policy and procedure ensuring </w:t>
      </w:r>
      <w:r w:rsidR="00252B28">
        <w:t xml:space="preserve">relevant agencies </w:t>
      </w:r>
      <w:r w:rsidR="00052290" w:rsidRPr="00052290">
        <w:t xml:space="preserve">can work effectively together. The Commission </w:t>
      </w:r>
      <w:r w:rsidR="00352AAF">
        <w:t xml:space="preserve">recommends the Committee seek more information from the government about how the Inspector’s role relates to existing oversight functions. The Commission would welcome the opportunity </w:t>
      </w:r>
      <w:r w:rsidR="000C6E1A">
        <w:t xml:space="preserve">to </w:t>
      </w:r>
      <w:r w:rsidR="00352AAF">
        <w:t xml:space="preserve">work with government and other </w:t>
      </w:r>
      <w:r w:rsidR="00761291">
        <w:t>relevant agencies to</w:t>
      </w:r>
      <w:r w:rsidR="00052290" w:rsidRPr="00052290">
        <w:t xml:space="preserve"> map out a frame</w:t>
      </w:r>
      <w:r w:rsidR="00761291">
        <w:t>work</w:t>
      </w:r>
      <w:r w:rsidR="00052290" w:rsidRPr="00052290">
        <w:t xml:space="preserve"> about respective roles and responsibilities. The development of such a framework would also ensure there are no oversight or regulatory gaps left after </w:t>
      </w:r>
      <w:r w:rsidR="00761291">
        <w:t>the position and functions of the Inspector are</w:t>
      </w:r>
      <w:r w:rsidR="00052290" w:rsidRPr="00052290">
        <w:t xml:space="preserve"> </w:t>
      </w:r>
      <w:r w:rsidR="00252B28">
        <w:t>established</w:t>
      </w:r>
      <w:r w:rsidR="00052290" w:rsidRPr="00052290">
        <w:t xml:space="preserve">. </w:t>
      </w:r>
    </w:p>
    <w:p w14:paraId="0AC8665E" w14:textId="56D7B5D1" w:rsidR="00AF635C" w:rsidRDefault="00D54A89" w:rsidP="007A472E">
      <w:pPr>
        <w:pStyle w:val="Numberedparagraph"/>
      </w:pPr>
      <w:r>
        <w:t>The Explanatory Notes state that the Bill is made in response to several review</w:t>
      </w:r>
      <w:r w:rsidR="00252B28">
        <w:t>s</w:t>
      </w:r>
      <w:r>
        <w:t xml:space="preserve"> into elements of Queensland’s criminal justice system including the </w:t>
      </w:r>
      <w:r w:rsidRPr="00AF635C">
        <w:rPr>
          <w:i/>
        </w:rPr>
        <w:t>Queensland Parole System Review</w:t>
      </w:r>
      <w:r>
        <w:t>.</w:t>
      </w:r>
      <w:r w:rsidR="00761291">
        <w:rPr>
          <w:rStyle w:val="FootnoteReference"/>
        </w:rPr>
        <w:footnoteReference w:id="1"/>
      </w:r>
      <w:r>
        <w:t xml:space="preserve"> That </w:t>
      </w:r>
      <w:r w:rsidR="00761291">
        <w:t>r</w:t>
      </w:r>
      <w:r>
        <w:t xml:space="preserve">eview recommended the </w:t>
      </w:r>
      <w:r w:rsidR="00AF635C">
        <w:t xml:space="preserve">establishment </w:t>
      </w:r>
      <w:r>
        <w:t xml:space="preserve">of an independent </w:t>
      </w:r>
      <w:r w:rsidR="006600B5">
        <w:t>i</w:t>
      </w:r>
      <w:r w:rsidR="006C4AE9">
        <w:t>nspector</w:t>
      </w:r>
      <w:r>
        <w:t xml:space="preserve">, and that the </w:t>
      </w:r>
      <w:r w:rsidR="006C4AE9">
        <w:t>Inspector</w:t>
      </w:r>
      <w:r>
        <w:t xml:space="preserve"> should oversee the existing </w:t>
      </w:r>
      <w:r w:rsidR="009A6238">
        <w:t>O</w:t>
      </w:r>
      <w:r>
        <w:t xml:space="preserve">fficial </w:t>
      </w:r>
      <w:r w:rsidR="009A6238">
        <w:t>V</w:t>
      </w:r>
      <w:r>
        <w:t xml:space="preserve">isitor program. </w:t>
      </w:r>
      <w:r w:rsidRPr="00874EE4">
        <w:t xml:space="preserve">Official </w:t>
      </w:r>
      <w:r w:rsidR="00252B28">
        <w:t>V</w:t>
      </w:r>
      <w:r w:rsidR="00252B28" w:rsidRPr="00874EE4">
        <w:t>isitors</w:t>
      </w:r>
      <w:r w:rsidRPr="00874EE4">
        <w:t xml:space="preserve">, appointed under the </w:t>
      </w:r>
      <w:r w:rsidR="00874EE4" w:rsidRPr="00AF635C">
        <w:rPr>
          <w:i/>
        </w:rPr>
        <w:t>Corrective Services Act</w:t>
      </w:r>
      <w:r w:rsidR="00874EE4" w:rsidRPr="00874EE4">
        <w:t xml:space="preserve"> </w:t>
      </w:r>
      <w:r w:rsidR="00874EE4" w:rsidRPr="00AF635C">
        <w:rPr>
          <w:i/>
        </w:rPr>
        <w:t>2006</w:t>
      </w:r>
      <w:r w:rsidRPr="00874EE4">
        <w:t xml:space="preserve">, are </w:t>
      </w:r>
      <w:r w:rsidR="006600B5">
        <w:t>‘a statutory role performed by a person who attends prisons as an observer/person to whom prisoners can raise complaints’</w:t>
      </w:r>
      <w:r w:rsidR="00454EBD">
        <w:t>.</w:t>
      </w:r>
      <w:r w:rsidR="00454EBD">
        <w:rPr>
          <w:rStyle w:val="FootnoteReference"/>
        </w:rPr>
        <w:footnoteReference w:id="2"/>
      </w:r>
      <w:r w:rsidR="00454EBD">
        <w:t xml:space="preserve"> </w:t>
      </w:r>
      <w:r w:rsidR="00AF635C">
        <w:t xml:space="preserve"> </w:t>
      </w:r>
    </w:p>
    <w:p w14:paraId="79829185" w14:textId="621D1CD4" w:rsidR="00D54A89" w:rsidRDefault="006600B5" w:rsidP="007A472E">
      <w:pPr>
        <w:pStyle w:val="Numberedparagraph"/>
      </w:pPr>
      <w:r>
        <w:t xml:space="preserve">The Official </w:t>
      </w:r>
      <w:r w:rsidR="00BF63CB">
        <w:t xml:space="preserve">Visitors </w:t>
      </w:r>
      <w:r>
        <w:t xml:space="preserve">Scheme is presently coordinated by the Chief Inspector who reports to the Queensland Corrective Services Commissioner. In this way, Official Visitors are </w:t>
      </w:r>
      <w:r w:rsidR="00D54A89" w:rsidRPr="00874EE4">
        <w:t>currently part of the internal complaints system</w:t>
      </w:r>
      <w:r w:rsidR="00761291">
        <w:t>.</w:t>
      </w:r>
      <w:r w:rsidR="00D54A89" w:rsidRPr="00874EE4">
        <w:t xml:space="preserve"> The Bill does not appear to adopt </w:t>
      </w:r>
      <w:r w:rsidRPr="00874EE4">
        <w:t>th</w:t>
      </w:r>
      <w:r>
        <w:t>e</w:t>
      </w:r>
      <w:r w:rsidRPr="00874EE4">
        <w:t xml:space="preserve"> </w:t>
      </w:r>
      <w:r w:rsidR="00761291">
        <w:t>r</w:t>
      </w:r>
      <w:r w:rsidR="00D54A89" w:rsidRPr="00874EE4">
        <w:t>ecommendation</w:t>
      </w:r>
      <w:r>
        <w:t xml:space="preserve"> of the </w:t>
      </w:r>
      <w:r w:rsidRPr="00EA34B7">
        <w:rPr>
          <w:i/>
        </w:rPr>
        <w:t>Parole System Review</w:t>
      </w:r>
      <w:r>
        <w:t xml:space="preserve"> as </w:t>
      </w:r>
      <w:r w:rsidR="00454EBD">
        <w:t>Official</w:t>
      </w:r>
      <w:r>
        <w:t xml:space="preserve"> Visitors would not report to the new</w:t>
      </w:r>
      <w:r w:rsidR="00454EBD">
        <w:t xml:space="preserve"> independent</w:t>
      </w:r>
      <w:r>
        <w:t xml:space="preserve"> Inspector</w:t>
      </w:r>
      <w:r w:rsidR="00D54A89" w:rsidRPr="00874EE4">
        <w:t>.</w:t>
      </w:r>
    </w:p>
    <w:p w14:paraId="2115899D" w14:textId="3BD8FB59" w:rsidR="00D54A89" w:rsidRDefault="00D54A89" w:rsidP="00D54A89">
      <w:pPr>
        <w:pStyle w:val="Numberedparagraph"/>
      </w:pPr>
      <w:r>
        <w:t xml:space="preserve">The role of </w:t>
      </w:r>
      <w:r w:rsidR="006C4AE9">
        <w:t>Official Visitors</w:t>
      </w:r>
      <w:r>
        <w:t xml:space="preserve"> is particularly relevant to complaints made to the Commission under the </w:t>
      </w:r>
      <w:r w:rsidR="00B45844">
        <w:t>AD Act</w:t>
      </w:r>
      <w:r>
        <w:rPr>
          <w:i/>
        </w:rPr>
        <w:t xml:space="preserve">. </w:t>
      </w:r>
      <w:r>
        <w:t>Presently prisoners must go through a two-step internal complaints process</w:t>
      </w:r>
      <w:r w:rsidR="00252B28">
        <w:t xml:space="preserve"> when complaining about prisons or other service providers</w:t>
      </w:r>
      <w:r>
        <w:t xml:space="preserve">, </w:t>
      </w:r>
      <w:r w:rsidR="00252B28">
        <w:t xml:space="preserve">which requires </w:t>
      </w:r>
      <w:r>
        <w:t>complaints to both the General</w:t>
      </w:r>
      <w:r w:rsidR="007857FB">
        <w:t xml:space="preserve"> Manager of the prison and the O</w:t>
      </w:r>
      <w:r>
        <w:t xml:space="preserve">fficial </w:t>
      </w:r>
      <w:r w:rsidR="007857FB">
        <w:t>V</w:t>
      </w:r>
      <w:r>
        <w:t>isitor.</w:t>
      </w:r>
      <w:r w:rsidR="00B0659F">
        <w:rPr>
          <w:rStyle w:val="FootnoteReference"/>
        </w:rPr>
        <w:footnoteReference w:id="3"/>
      </w:r>
      <w:r>
        <w:t xml:space="preserve"> </w:t>
      </w:r>
      <w:r w:rsidR="00B45844">
        <w:t>An un</w:t>
      </w:r>
      <w:r w:rsidR="00761291">
        <w:t>-</w:t>
      </w:r>
      <w:r>
        <w:t xml:space="preserve">commenced amendment to the </w:t>
      </w:r>
      <w:r w:rsidRPr="00FD19E0">
        <w:rPr>
          <w:i/>
        </w:rPr>
        <w:t>Corrective Services Act</w:t>
      </w:r>
      <w:r w:rsidRPr="00052290">
        <w:t xml:space="preserve"> </w:t>
      </w:r>
      <w:r>
        <w:rPr>
          <w:i/>
        </w:rPr>
        <w:t xml:space="preserve">2006 </w:t>
      </w:r>
      <w:r>
        <w:t xml:space="preserve">passed last year would repeal the requirement to make a complaint to an </w:t>
      </w:r>
      <w:r w:rsidR="007857FB">
        <w:t>O</w:t>
      </w:r>
      <w:r>
        <w:t xml:space="preserve">fficial </w:t>
      </w:r>
      <w:r w:rsidR="007857FB">
        <w:t>V</w:t>
      </w:r>
      <w:r>
        <w:t>isitor.</w:t>
      </w:r>
      <w:r>
        <w:rPr>
          <w:rStyle w:val="FootnoteReference"/>
        </w:rPr>
        <w:footnoteReference w:id="4"/>
      </w:r>
      <w:r>
        <w:t xml:space="preserve"> </w:t>
      </w:r>
      <w:r w:rsidR="006600B5">
        <w:t xml:space="preserve">The Commission is not aware of when </w:t>
      </w:r>
      <w:r w:rsidR="00B45844">
        <w:t>the Government intends for that amendment to commence</w:t>
      </w:r>
      <w:r w:rsidR="00EA34B7">
        <w:t>.</w:t>
      </w:r>
    </w:p>
    <w:p w14:paraId="6CB9A8F7" w14:textId="21DAFCEB" w:rsidR="00761291" w:rsidRDefault="00761291" w:rsidP="00761291">
      <w:pPr>
        <w:pStyle w:val="Numberedparagraph"/>
      </w:pPr>
      <w:r>
        <w:lastRenderedPageBreak/>
        <w:t>In contrast, in other jurisdictions with independent inspectors, official visitors (or their equivalent) are independent, either working directly under the auspices of the Inspector or in a collaborative way.</w:t>
      </w:r>
      <w:r>
        <w:rPr>
          <w:rStyle w:val="FootnoteReference"/>
        </w:rPr>
        <w:footnoteReference w:id="5"/>
      </w:r>
      <w:r w:rsidR="006600B5">
        <w:t xml:space="preserve"> For example, the Western Australian Inspector of Custodial Services </w:t>
      </w:r>
      <w:r w:rsidR="00454EBD">
        <w:t>administers</w:t>
      </w:r>
      <w:r w:rsidR="006600B5">
        <w:t xml:space="preserve"> and support</w:t>
      </w:r>
      <w:r w:rsidR="00454EBD">
        <w:t xml:space="preserve"> the state’s Ind</w:t>
      </w:r>
      <w:r w:rsidR="00B45844">
        <w:t>ependent</w:t>
      </w:r>
      <w:r w:rsidR="00454EBD">
        <w:t xml:space="preserve"> Visitors, who in turn ‘assist the Inspector to provide advice to the minister and to inform the work of the Office’</w:t>
      </w:r>
      <w:r w:rsidR="006600B5">
        <w:t xml:space="preserve">. </w:t>
      </w:r>
      <w:r w:rsidR="00454EBD">
        <w:t>The WA Inspector describes Independent Visitors as ‘an integral part of the state’s accountability mechanisms’.</w:t>
      </w:r>
      <w:r w:rsidR="00454EBD">
        <w:rPr>
          <w:rStyle w:val="FootnoteReference"/>
        </w:rPr>
        <w:footnoteReference w:id="6"/>
      </w:r>
    </w:p>
    <w:p w14:paraId="4630C24E" w14:textId="7BBFF7E6" w:rsidR="00052290" w:rsidRPr="00052290" w:rsidRDefault="00761291" w:rsidP="00024EA4">
      <w:pPr>
        <w:pStyle w:val="Rec"/>
      </w:pPr>
      <w:r>
        <w:t xml:space="preserve">Recommendation 1: </w:t>
      </w:r>
      <w:r w:rsidR="00052290" w:rsidRPr="00052290">
        <w:t>The Commi</w:t>
      </w:r>
      <w:r w:rsidR="005653E2">
        <w:t>ttee</w:t>
      </w:r>
      <w:r w:rsidR="00052290" w:rsidRPr="00052290">
        <w:t xml:space="preserve"> </w:t>
      </w:r>
      <w:r w:rsidR="00EA34B7">
        <w:t xml:space="preserve">consider </w:t>
      </w:r>
      <w:r w:rsidR="00052290" w:rsidRPr="00052290">
        <w:t>recommend</w:t>
      </w:r>
      <w:r w:rsidR="00EA34B7">
        <w:t>ing</w:t>
      </w:r>
      <w:r w:rsidR="00052290" w:rsidRPr="00052290">
        <w:t xml:space="preserve"> </w:t>
      </w:r>
      <w:r w:rsidR="006B2EDE">
        <w:t xml:space="preserve">the government </w:t>
      </w:r>
      <w:r w:rsidR="00EA34B7">
        <w:t>publish</w:t>
      </w:r>
      <w:r w:rsidR="006B2EDE">
        <w:t xml:space="preserve"> a </w:t>
      </w:r>
      <w:r w:rsidR="00052290" w:rsidRPr="00052290">
        <w:t xml:space="preserve">framework for how a new </w:t>
      </w:r>
      <w:r w:rsidR="006C4AE9">
        <w:t>Inspector</w:t>
      </w:r>
      <w:r w:rsidR="00052290" w:rsidRPr="00052290">
        <w:t xml:space="preserve"> of detention services will interact w</w:t>
      </w:r>
      <w:r w:rsidR="006B2EDE">
        <w:t>ith existing oversight agencies</w:t>
      </w:r>
      <w:r w:rsidR="00052290" w:rsidRPr="00052290">
        <w:t xml:space="preserve">. </w:t>
      </w:r>
      <w:r w:rsidR="005E130F">
        <w:t xml:space="preserve">This </w:t>
      </w:r>
      <w:r w:rsidR="002D386B">
        <w:t>should include</w:t>
      </w:r>
      <w:r w:rsidR="005E130F">
        <w:t xml:space="preserve"> how the </w:t>
      </w:r>
      <w:r w:rsidR="00D54A89">
        <w:t xml:space="preserve">existing corrective services </w:t>
      </w:r>
      <w:r w:rsidR="006C4AE9">
        <w:t>Official Visitors</w:t>
      </w:r>
      <w:r w:rsidR="005E130F">
        <w:t xml:space="preserve"> will operate with the Inspector. </w:t>
      </w:r>
    </w:p>
    <w:p w14:paraId="6E6BA80E" w14:textId="77777777" w:rsidR="00052290" w:rsidRPr="00052290" w:rsidRDefault="00052290" w:rsidP="00052290">
      <w:pPr>
        <w:pStyle w:val="Heading1"/>
        <w:rPr>
          <w:lang w:eastAsia="en-AU"/>
        </w:rPr>
      </w:pPr>
      <w:r w:rsidRPr="00052290">
        <w:rPr>
          <w:lang w:eastAsia="en-AU"/>
        </w:rPr>
        <w:t>OPCAT</w:t>
      </w:r>
    </w:p>
    <w:p w14:paraId="6FC68B5C" w14:textId="1EA42D1D" w:rsidR="008157C3" w:rsidRPr="00052290" w:rsidRDefault="008157C3" w:rsidP="008157C3">
      <w:pPr>
        <w:pStyle w:val="Numberedparagraph"/>
      </w:pPr>
      <w:r w:rsidRPr="00052290">
        <w:t xml:space="preserve">The Commission appreciates the Bill is based on recommendations made by several reports to the Queensland Government. These reports include </w:t>
      </w:r>
      <w:r w:rsidR="00610BCE">
        <w:t>a report by</w:t>
      </w:r>
      <w:r w:rsidR="009916F8">
        <w:t xml:space="preserve"> this</w:t>
      </w:r>
      <w:r w:rsidR="00610BCE">
        <w:t xml:space="preserve"> Commission</w:t>
      </w:r>
      <w:r w:rsidR="009916F8">
        <w:t xml:space="preserve"> (then</w:t>
      </w:r>
      <w:r w:rsidR="006C4AE9">
        <w:t xml:space="preserve"> </w:t>
      </w:r>
      <w:r w:rsidRPr="00052290">
        <w:t>the Anti-Discrimination Commission Queensland</w:t>
      </w:r>
      <w:r w:rsidR="009916F8">
        <w:t>)</w:t>
      </w:r>
      <w:r w:rsidRPr="00052290">
        <w:t xml:space="preserve"> which recommended an independent inspectorate in its reviews of the treatment of women in prison.</w:t>
      </w:r>
      <w:r w:rsidR="00610BCE">
        <w:rPr>
          <w:rStyle w:val="FootnoteReference"/>
        </w:rPr>
        <w:footnoteReference w:id="7"/>
      </w:r>
      <w:r w:rsidRPr="00052290">
        <w:t xml:space="preserve"> </w:t>
      </w:r>
      <w:r w:rsidR="00642F71">
        <w:t>During the public briefing for the Bill, departmental officers suggested while the Bill was drafted with OPCAT compliance in mind, the government had yet to make a decision regarding its participation in the NPM arrangements for OPCAT.</w:t>
      </w:r>
      <w:r w:rsidR="00642F71">
        <w:rPr>
          <w:rStyle w:val="FootnoteReference"/>
        </w:rPr>
        <w:footnoteReference w:id="8"/>
      </w:r>
    </w:p>
    <w:p w14:paraId="2EDD3ECF" w14:textId="635F7EA2" w:rsidR="008157C3" w:rsidRDefault="00642F71" w:rsidP="008157C3">
      <w:pPr>
        <w:pStyle w:val="Numberedparagraph"/>
      </w:pPr>
      <w:r>
        <w:t>Nonetheless, t</w:t>
      </w:r>
      <w:r w:rsidR="008157C3" w:rsidRPr="00052290">
        <w:t>he recommendations</w:t>
      </w:r>
      <w:r w:rsidR="00B45844">
        <w:t xml:space="preserve"> in</w:t>
      </w:r>
      <w:r>
        <w:t xml:space="preserve"> several relevant </w:t>
      </w:r>
      <w:r w:rsidR="00B45844">
        <w:t>reports</w:t>
      </w:r>
      <w:r w:rsidR="008157C3" w:rsidRPr="00052290">
        <w:t xml:space="preserve"> were </w:t>
      </w:r>
      <w:r w:rsidR="00352AAF">
        <w:t xml:space="preserve">informed by OPCAT, and so </w:t>
      </w:r>
      <w:r w:rsidR="00163706">
        <w:t>the Commission</w:t>
      </w:r>
      <w:r w:rsidR="008157C3" w:rsidRPr="00052290">
        <w:t xml:space="preserve"> suggest</w:t>
      </w:r>
      <w:r w:rsidR="00163706">
        <w:t>s</w:t>
      </w:r>
      <w:r w:rsidR="008157C3" w:rsidRPr="00052290">
        <w:t xml:space="preserve"> this proposal must be measured against the requirements of </w:t>
      </w:r>
      <w:r w:rsidR="002D386B">
        <w:t>that protocol</w:t>
      </w:r>
      <w:r w:rsidR="008157C3" w:rsidRPr="00052290">
        <w:t xml:space="preserve">. </w:t>
      </w:r>
      <w:r w:rsidR="006D167D">
        <w:t xml:space="preserve">For example, the Commission’s </w:t>
      </w:r>
      <w:r w:rsidR="006D167D">
        <w:rPr>
          <w:i/>
        </w:rPr>
        <w:t xml:space="preserve">Women in Prison </w:t>
      </w:r>
      <w:r w:rsidR="006D167D">
        <w:t>report found that the ‘establishment of such a body is essential as Australia has now ratified’ OPCAT. The Report also noted that ‘Queensland is one of a few jurisdictions in Australasia that does not operate an independent inspectorate to oversee and critically examine the operations of the operations of the correctional system’.</w:t>
      </w:r>
      <w:r w:rsidR="006D167D">
        <w:rPr>
          <w:rStyle w:val="FootnoteReference"/>
        </w:rPr>
        <w:footnoteReference w:id="9"/>
      </w:r>
      <w:r w:rsidR="006D167D">
        <w:t xml:space="preserve"> </w:t>
      </w:r>
      <w:r w:rsidR="008157C3" w:rsidRPr="00052290">
        <w:t xml:space="preserve">  </w:t>
      </w:r>
    </w:p>
    <w:p w14:paraId="1D050DC6" w14:textId="2A3D2702" w:rsidR="009E42AE" w:rsidRPr="00052290" w:rsidRDefault="00EA34B7" w:rsidP="00EA34B7">
      <w:pPr>
        <w:pStyle w:val="Numberedparagraph"/>
      </w:pPr>
      <w:r w:rsidRPr="00EA34B7">
        <w:lastRenderedPageBreak/>
        <w:t xml:space="preserve">Australia is a longstanding party to the Convention </w:t>
      </w:r>
      <w:r>
        <w:t>a</w:t>
      </w:r>
      <w:r w:rsidRPr="00EA34B7">
        <w:t>gainst Torture and Other Cruel, Inhuman or Degrading Treatment or Punishment (</w:t>
      </w:r>
      <w:r w:rsidR="00C13E33" w:rsidRPr="00C13E33">
        <w:rPr>
          <w:b/>
        </w:rPr>
        <w:t>UN</w:t>
      </w:r>
      <w:r w:rsidR="00C13E33">
        <w:t xml:space="preserve"> </w:t>
      </w:r>
      <w:r w:rsidRPr="00C13E33">
        <w:rPr>
          <w:b/>
        </w:rPr>
        <w:t>CAT</w:t>
      </w:r>
      <w:r w:rsidRPr="00EA34B7">
        <w:t>)</w:t>
      </w:r>
      <w:r>
        <w:t>.</w:t>
      </w:r>
      <w:r w:rsidR="00C13E33">
        <w:rPr>
          <w:rStyle w:val="FootnoteReference"/>
        </w:rPr>
        <w:footnoteReference w:id="10"/>
      </w:r>
      <w:r>
        <w:t xml:space="preserve"> In 2017, the Australian Government</w:t>
      </w:r>
      <w:r w:rsidR="009E42AE" w:rsidRPr="00052290">
        <w:t xml:space="preserve"> ratified OPCAT, </w:t>
      </w:r>
      <w:r w:rsidR="009E42AE">
        <w:t>obliging</w:t>
      </w:r>
      <w:r w:rsidR="009E42AE" w:rsidRPr="00052290">
        <w:t xml:space="preserve"> Australia to </w:t>
      </w:r>
      <w:r>
        <w:t>take further measures to implement CAT including the establishment of an NPM</w:t>
      </w:r>
      <w:r w:rsidR="009E42AE" w:rsidRPr="00052290">
        <w:t xml:space="preserve">. The NPM is the domestic visiting body charged with undertaking regular, preventive visits to all places where people are deprived of </w:t>
      </w:r>
      <w:r w:rsidR="009E42AE">
        <w:t xml:space="preserve">their </w:t>
      </w:r>
      <w:r w:rsidR="009E42AE" w:rsidRPr="00052290">
        <w:t xml:space="preserve">liberty. The work of the NPM benefits the whole community by </w:t>
      </w:r>
      <w:r w:rsidR="009E42AE">
        <w:t xml:space="preserve">working constructively with government to improve conditions and treatment in detention and prevent torture and ill-treatment by identifying risk factors and causes. </w:t>
      </w:r>
      <w:r w:rsidR="00DD7A12">
        <w:t>The NPM makes</w:t>
      </w:r>
      <w:r w:rsidR="009E42AE" w:rsidRPr="00052290">
        <w:t xml:space="preserve"> recommendations on how </w:t>
      </w:r>
      <w:r w:rsidR="009E42AE">
        <w:t>these practices</w:t>
      </w:r>
      <w:r w:rsidR="009E42AE" w:rsidRPr="00052290">
        <w:t xml:space="preserve"> can be addressed and prevented. Such work promotes several human rights, including the right to humane treatment when derived of liberty</w:t>
      </w:r>
      <w:r w:rsidR="009E42AE">
        <w:t>,</w:t>
      </w:r>
      <w:r w:rsidR="009E42AE">
        <w:rPr>
          <w:rStyle w:val="FootnoteReference"/>
        </w:rPr>
        <w:footnoteReference w:id="11"/>
      </w:r>
      <w:r w:rsidR="009E42AE" w:rsidRPr="00052290">
        <w:t xml:space="preserve"> and protection from torture and cruel, inhuman or degrading treatment.</w:t>
      </w:r>
      <w:r w:rsidR="009E42AE">
        <w:rPr>
          <w:rStyle w:val="FootnoteReference"/>
        </w:rPr>
        <w:footnoteReference w:id="12"/>
      </w:r>
    </w:p>
    <w:p w14:paraId="331B1095" w14:textId="3F05B609" w:rsidR="00052290" w:rsidRDefault="00052290" w:rsidP="00052290">
      <w:pPr>
        <w:pStyle w:val="Numberedparagraph"/>
      </w:pPr>
      <w:r w:rsidRPr="00052290">
        <w:t xml:space="preserve">In addition to the relevant articles of OPCAT itself, related guidance material from the </w:t>
      </w:r>
      <w:r w:rsidR="00874EE4" w:rsidRPr="00352AAF">
        <w:rPr>
          <w:i/>
        </w:rPr>
        <w:t>Subcommittee on the Prevention of Torture and other Cruel, Inhuman or Degrading Treatment or Punishment</w:t>
      </w:r>
      <w:r w:rsidR="00874EE4" w:rsidRPr="00052290">
        <w:t xml:space="preserve"> </w:t>
      </w:r>
      <w:r w:rsidR="00874EE4">
        <w:t>(</w:t>
      </w:r>
      <w:r w:rsidR="00874EE4" w:rsidRPr="003B0A61">
        <w:rPr>
          <w:b/>
        </w:rPr>
        <w:t>UN SPT</w:t>
      </w:r>
      <w:r w:rsidR="00874EE4">
        <w:t>)</w:t>
      </w:r>
      <w:r w:rsidR="00874EE4" w:rsidRPr="00052290">
        <w:t xml:space="preserve"> </w:t>
      </w:r>
      <w:r w:rsidRPr="00052290">
        <w:t xml:space="preserve">and other sources has further elaborated on the functions of an effective </w:t>
      </w:r>
      <w:r w:rsidR="00843EC2">
        <w:t>NPM</w:t>
      </w:r>
      <w:r w:rsidRPr="00052290">
        <w:t>. While the Bill appears to satisfy many of these, the Commission recommends some further improvements</w:t>
      </w:r>
      <w:r w:rsidR="002D386B">
        <w:t xml:space="preserve"> based on these sources as set out below</w:t>
      </w:r>
      <w:r w:rsidRPr="00052290">
        <w:t xml:space="preserve">. </w:t>
      </w:r>
      <w:r w:rsidR="00D56EB3">
        <w:t>At a minimum, the Government should confirm that the Inspector is intended to be (part of) Queensland’s NPM</w:t>
      </w:r>
      <w:r w:rsidR="00C13E33">
        <w:t xml:space="preserve"> arrangements</w:t>
      </w:r>
      <w:r w:rsidR="005653E2">
        <w:t>.</w:t>
      </w:r>
    </w:p>
    <w:p w14:paraId="11A94F3C" w14:textId="4CB79FC6" w:rsidR="00D56EB3" w:rsidRPr="003B0A61" w:rsidRDefault="00D56EB3" w:rsidP="00D44FCC">
      <w:pPr>
        <w:pStyle w:val="Rec"/>
      </w:pPr>
      <w:r w:rsidRPr="003B0A61">
        <w:t>Recommendation</w:t>
      </w:r>
      <w:r w:rsidR="00BF63CB">
        <w:t xml:space="preserve"> </w:t>
      </w:r>
      <w:r w:rsidR="00ED7CFE">
        <w:t>2</w:t>
      </w:r>
      <w:r w:rsidRPr="003B0A61">
        <w:t xml:space="preserve">: </w:t>
      </w:r>
      <w:r w:rsidRPr="00BF63CB">
        <w:t>The Commi</w:t>
      </w:r>
      <w:r w:rsidR="005653E2">
        <w:t>ttee</w:t>
      </w:r>
      <w:r w:rsidRPr="00BF63CB">
        <w:t xml:space="preserve"> seek confirmation from the Government that the Inspector is intended to form part of its response to OPCAT.</w:t>
      </w:r>
    </w:p>
    <w:p w14:paraId="18C97580" w14:textId="3C1CF175" w:rsidR="00642F71" w:rsidRDefault="00642F71" w:rsidP="00052290">
      <w:pPr>
        <w:pStyle w:val="Heading2"/>
        <w:rPr>
          <w:lang w:eastAsia="en-AU"/>
        </w:rPr>
      </w:pPr>
      <w:r>
        <w:rPr>
          <w:lang w:eastAsia="en-AU"/>
        </w:rPr>
        <w:t>Terminology</w:t>
      </w:r>
    </w:p>
    <w:p w14:paraId="1334E612" w14:textId="78C3DF5F" w:rsidR="00BD6C52" w:rsidRDefault="00642F71" w:rsidP="00642F71">
      <w:pPr>
        <w:pStyle w:val="Numberedparagraph"/>
        <w:rPr>
          <w:lang w:eastAsia="en-AU"/>
        </w:rPr>
      </w:pPr>
      <w:r>
        <w:rPr>
          <w:lang w:eastAsia="en-AU"/>
        </w:rPr>
        <w:t>While th</w:t>
      </w:r>
      <w:r w:rsidR="009D23B5">
        <w:rPr>
          <w:lang w:eastAsia="en-AU"/>
        </w:rPr>
        <w:t xml:space="preserve">e Bill and explanatory material </w:t>
      </w:r>
      <w:r w:rsidR="00ED7CFE">
        <w:rPr>
          <w:lang w:eastAsia="en-AU"/>
        </w:rPr>
        <w:t>do not</w:t>
      </w:r>
      <w:r>
        <w:rPr>
          <w:lang w:eastAsia="en-AU"/>
        </w:rPr>
        <w:t xml:space="preserve"> refer to OPCAT</w:t>
      </w:r>
      <w:r w:rsidR="009D23B5">
        <w:rPr>
          <w:lang w:eastAsia="en-AU"/>
        </w:rPr>
        <w:t xml:space="preserve"> in any detail</w:t>
      </w:r>
      <w:r>
        <w:rPr>
          <w:lang w:eastAsia="en-AU"/>
        </w:rPr>
        <w:t xml:space="preserve">, clause 3 does refer to a main purpose of the </w:t>
      </w:r>
      <w:r w:rsidR="00BD6C52">
        <w:rPr>
          <w:lang w:eastAsia="en-AU"/>
        </w:rPr>
        <w:t>B</w:t>
      </w:r>
      <w:r>
        <w:rPr>
          <w:lang w:eastAsia="en-AU"/>
        </w:rPr>
        <w:t>ill to prevent detainees from being subjected to harm, including torture and cruel, inhuman or degrading treatment. Those terms are not defined, but during the public briefing, officials noted those words are reflected in s 17 of the HR Act.</w:t>
      </w:r>
      <w:r w:rsidR="009D23B5">
        <w:rPr>
          <w:rStyle w:val="FootnoteReference"/>
          <w:lang w:eastAsia="en-AU"/>
        </w:rPr>
        <w:footnoteReference w:id="13"/>
      </w:r>
      <w:r>
        <w:rPr>
          <w:lang w:eastAsia="en-AU"/>
        </w:rPr>
        <w:t xml:space="preserve"> </w:t>
      </w:r>
      <w:r w:rsidR="00BD6C52">
        <w:rPr>
          <w:lang w:eastAsia="en-AU"/>
        </w:rPr>
        <w:t>Members of the Committee expressed some concern at the inclusion of the word torture in the Bill and how this might be interpreted.</w:t>
      </w:r>
    </w:p>
    <w:p w14:paraId="4B000FE4" w14:textId="13F6A800" w:rsidR="00642F71" w:rsidRDefault="00642F71" w:rsidP="00C13E33">
      <w:pPr>
        <w:pStyle w:val="Numberedparagraph"/>
        <w:keepNext/>
        <w:keepLines/>
        <w:widowControl w:val="0"/>
        <w:spacing w:after="120"/>
        <w:rPr>
          <w:lang w:eastAsia="en-AU"/>
        </w:rPr>
      </w:pPr>
      <w:r>
        <w:rPr>
          <w:lang w:eastAsia="en-AU"/>
        </w:rPr>
        <w:lastRenderedPageBreak/>
        <w:t>The</w:t>
      </w:r>
      <w:r w:rsidR="00BD6C52">
        <w:rPr>
          <w:lang w:eastAsia="en-AU"/>
        </w:rPr>
        <w:t xml:space="preserve"> term torture and related</w:t>
      </w:r>
      <w:r w:rsidR="009D23B5">
        <w:rPr>
          <w:lang w:eastAsia="en-AU"/>
        </w:rPr>
        <w:t xml:space="preserve"> terms</w:t>
      </w:r>
      <w:r>
        <w:rPr>
          <w:lang w:eastAsia="en-AU"/>
        </w:rPr>
        <w:t xml:space="preserve"> are also used in </w:t>
      </w:r>
      <w:r w:rsidR="00C13E33">
        <w:rPr>
          <w:lang w:eastAsia="en-AU"/>
        </w:rPr>
        <w:t xml:space="preserve">UN CAT and </w:t>
      </w:r>
      <w:r>
        <w:rPr>
          <w:lang w:eastAsia="en-AU"/>
        </w:rPr>
        <w:t>OPCAT</w:t>
      </w:r>
      <w:r w:rsidR="00C13E33">
        <w:rPr>
          <w:lang w:eastAsia="en-AU"/>
        </w:rPr>
        <w:t>.</w:t>
      </w:r>
      <w:r>
        <w:rPr>
          <w:lang w:eastAsia="en-AU"/>
        </w:rPr>
        <w:t xml:space="preserve"> </w:t>
      </w:r>
      <w:r w:rsidR="00BD6C52">
        <w:rPr>
          <w:lang w:eastAsia="en-AU"/>
        </w:rPr>
        <w:t>T</w:t>
      </w:r>
      <w:r w:rsidR="009D23B5">
        <w:rPr>
          <w:lang w:eastAsia="en-AU"/>
        </w:rPr>
        <w:t>orture</w:t>
      </w:r>
      <w:r w:rsidR="00BD6C52">
        <w:rPr>
          <w:lang w:eastAsia="en-AU"/>
        </w:rPr>
        <w:t xml:space="preserve"> is defined narrowly</w:t>
      </w:r>
      <w:r w:rsidR="009D23B5">
        <w:rPr>
          <w:lang w:eastAsia="en-AU"/>
        </w:rPr>
        <w:t xml:space="preserve"> as: </w:t>
      </w:r>
    </w:p>
    <w:p w14:paraId="6F9009B3" w14:textId="321F4C04" w:rsidR="009D23B5" w:rsidRPr="00D46814" w:rsidRDefault="009D23B5" w:rsidP="00C13E33">
      <w:pPr>
        <w:pStyle w:val="Bulletedlist"/>
        <w:keepNext/>
        <w:keepLines/>
        <w:widowControl w:val="0"/>
      </w:pPr>
      <w:r w:rsidRPr="00D46814">
        <w:t>inflict</w:t>
      </w:r>
      <w:r>
        <w:t>ing</w:t>
      </w:r>
      <w:r w:rsidRPr="00D46814">
        <w:t xml:space="preserve"> severe physical or mental pain or suffering; </w:t>
      </w:r>
    </w:p>
    <w:p w14:paraId="03D10E0B" w14:textId="2C33C37C" w:rsidR="009D23B5" w:rsidRPr="00D46814" w:rsidRDefault="009D23B5" w:rsidP="00C13E33">
      <w:pPr>
        <w:pStyle w:val="Bulletedlist"/>
        <w:keepNext/>
        <w:keepLines/>
        <w:widowControl w:val="0"/>
      </w:pPr>
      <w:r w:rsidRPr="00D46814">
        <w:t>intentional</w:t>
      </w:r>
      <w:r>
        <w:t>ly</w:t>
      </w:r>
      <w:r w:rsidRPr="00D46814">
        <w:t>;</w:t>
      </w:r>
    </w:p>
    <w:p w14:paraId="061472C6" w14:textId="35F962A3" w:rsidR="009D23B5" w:rsidRPr="00D46814" w:rsidRDefault="009D23B5" w:rsidP="00C13E33">
      <w:pPr>
        <w:pStyle w:val="Bulletedlist"/>
        <w:keepNext/>
        <w:keepLines/>
        <w:widowControl w:val="0"/>
      </w:pPr>
      <w:r w:rsidRPr="00D46814">
        <w:t>for a prohibited purpose; and</w:t>
      </w:r>
    </w:p>
    <w:p w14:paraId="5983C0F0" w14:textId="25ED3BEC" w:rsidR="009D23B5" w:rsidRPr="00AD4C10" w:rsidRDefault="008F11E9" w:rsidP="00C13E33">
      <w:pPr>
        <w:pStyle w:val="Bulletedlist"/>
        <w:keepNext/>
        <w:keepLines/>
        <w:widowControl w:val="0"/>
        <w:rPr>
          <w:rFonts w:cstheme="minorBidi"/>
          <w:color w:val="000000" w:themeColor="text1"/>
          <w:szCs w:val="22"/>
        </w:rPr>
      </w:pPr>
      <w:r>
        <w:t>being inflected</w:t>
      </w:r>
      <w:r w:rsidR="009D23B5" w:rsidRPr="00D46814">
        <w:t xml:space="preserve"> by or with the consent or acquiescence of a public official or a person acting in an official capacity.</w:t>
      </w:r>
      <w:r w:rsidR="00490B13">
        <w:rPr>
          <w:rStyle w:val="FootnoteReference"/>
        </w:rPr>
        <w:footnoteReference w:id="14"/>
      </w:r>
    </w:p>
    <w:p w14:paraId="1C1C4A45" w14:textId="3B45DD49" w:rsidR="00BD6C52" w:rsidRDefault="009D23B5" w:rsidP="00BD6C52">
      <w:pPr>
        <w:pStyle w:val="Numberedparagraph"/>
        <w:rPr>
          <w:lang w:eastAsia="en-AU"/>
        </w:rPr>
      </w:pPr>
      <w:r>
        <w:rPr>
          <w:lang w:eastAsia="en-AU"/>
        </w:rPr>
        <w:t>Acts of cruel, inhuman or degrading treatment or punishment are those that may not amount to torture</w:t>
      </w:r>
      <w:r w:rsidR="00BD6C52">
        <w:rPr>
          <w:lang w:eastAsia="en-AU"/>
        </w:rPr>
        <w:t>.</w:t>
      </w:r>
      <w:r w:rsidR="00BD6C52">
        <w:rPr>
          <w:rStyle w:val="FootnoteReference"/>
          <w:lang w:eastAsia="en-AU"/>
        </w:rPr>
        <w:footnoteReference w:id="15"/>
      </w:r>
      <w:r w:rsidR="00BD6C52">
        <w:rPr>
          <w:lang w:eastAsia="en-AU"/>
        </w:rPr>
        <w:t xml:space="preserve"> This distinction is reflected in the Explanatory Notes to the HR Act:</w:t>
      </w:r>
    </w:p>
    <w:p w14:paraId="5412DC6D" w14:textId="4638E02B" w:rsidR="00BD6C52" w:rsidRDefault="00BD6C52" w:rsidP="00BD6C52">
      <w:pPr>
        <w:pStyle w:val="Quote"/>
        <w:rPr>
          <w:lang w:eastAsia="en-AU"/>
        </w:rPr>
      </w:pPr>
      <w:r>
        <w:rPr>
          <w:lang w:eastAsia="en-AU"/>
        </w:rPr>
        <w:t>Subclause (a) prohibits torture, which is understood as acts that intentionally inflict severe physical or mental pain or suffering.</w:t>
      </w:r>
    </w:p>
    <w:p w14:paraId="02470DF8" w14:textId="08DCDA9B" w:rsidR="00BD6C52" w:rsidRPr="00642F71" w:rsidRDefault="00BD6C52" w:rsidP="00BD6C52">
      <w:pPr>
        <w:pStyle w:val="Quote"/>
        <w:rPr>
          <w:lang w:eastAsia="en-AU"/>
        </w:rPr>
      </w:pPr>
      <w:r>
        <w:rPr>
          <w:lang w:eastAsia="en-AU"/>
        </w:rPr>
        <w:t>Subclause (b) prohibits cruel or inhuman treatment, which also involves severe pain or suffering, but not necessarily intentionally inflicted.</w:t>
      </w:r>
      <w:r>
        <w:rPr>
          <w:rStyle w:val="FootnoteReference"/>
          <w:lang w:eastAsia="en-AU"/>
        </w:rPr>
        <w:footnoteReference w:id="16"/>
      </w:r>
    </w:p>
    <w:p w14:paraId="5F40893B" w14:textId="5D77942D" w:rsidR="00BD6C52" w:rsidRPr="00BD6C52" w:rsidRDefault="00BD6C52" w:rsidP="00BD6C52">
      <w:pPr>
        <w:pStyle w:val="Numberedparagraph"/>
        <w:rPr>
          <w:rFonts w:eastAsia="Calibri"/>
          <w:color w:val="000000"/>
        </w:rPr>
      </w:pPr>
      <w:r>
        <w:rPr>
          <w:rFonts w:eastAsia="Calibri"/>
          <w:color w:val="000000"/>
        </w:rPr>
        <w:t xml:space="preserve">As the Explanatory Notes to the Bill </w:t>
      </w:r>
      <w:r w:rsidR="002C54B2">
        <w:rPr>
          <w:rFonts w:eastAsia="Calibri"/>
          <w:color w:val="000000"/>
        </w:rPr>
        <w:t>state</w:t>
      </w:r>
      <w:r>
        <w:rPr>
          <w:rFonts w:eastAsia="Calibri"/>
          <w:color w:val="000000"/>
        </w:rPr>
        <w:t>, guidance on the definition of these terms has also been provided by the UN Human Rights Committee.</w:t>
      </w:r>
      <w:r>
        <w:rPr>
          <w:rStyle w:val="FootnoteReference"/>
          <w:rFonts w:eastAsia="Calibri"/>
          <w:color w:val="000000"/>
        </w:rPr>
        <w:footnoteReference w:id="17"/>
      </w:r>
    </w:p>
    <w:p w14:paraId="536427F5" w14:textId="60AF4E99" w:rsidR="00BD6C52" w:rsidRPr="00BD6C52" w:rsidRDefault="00BD6C52" w:rsidP="00BD6C52">
      <w:pPr>
        <w:pStyle w:val="Numberedparagraph"/>
        <w:rPr>
          <w:rFonts w:eastAsia="Calibri"/>
          <w:color w:val="000000"/>
        </w:rPr>
      </w:pPr>
      <w:r>
        <w:rPr>
          <w:lang w:eastAsia="en-AU"/>
        </w:rPr>
        <w:t>In places of detention, the protection in s 17</w:t>
      </w:r>
      <w:r w:rsidR="002C54B2">
        <w:rPr>
          <w:lang w:eastAsia="en-AU"/>
        </w:rPr>
        <w:t>(b)</w:t>
      </w:r>
      <w:r>
        <w:rPr>
          <w:lang w:eastAsia="en-AU"/>
        </w:rPr>
        <w:t xml:space="preserve"> is often contrasted with the right to humane treatment when deprived of liberty, enshrined in s 30 of the HR Act. Section 3(a) of the Bill refers to the purposes of the Act to include promoting humane conditions of detention. </w:t>
      </w:r>
      <w:r w:rsidRPr="00BD6C52">
        <w:rPr>
          <w:rFonts w:eastAsia="Calibri"/>
          <w:color w:val="000000"/>
        </w:rPr>
        <w:t xml:space="preserve">The Queensland Supreme Court in </w:t>
      </w:r>
      <w:r w:rsidRPr="00BD6C52">
        <w:rPr>
          <w:rFonts w:eastAsia="Calibri"/>
          <w:i/>
          <w:color w:val="000000"/>
        </w:rPr>
        <w:t xml:space="preserve">Owen-D’Arcy </w:t>
      </w:r>
      <w:r w:rsidRPr="00BD6C52">
        <w:rPr>
          <w:rFonts w:eastAsia="Calibri"/>
          <w:color w:val="000000"/>
        </w:rPr>
        <w:t>considered both s 17</w:t>
      </w:r>
      <w:r w:rsidR="002C54B2">
        <w:rPr>
          <w:rFonts w:eastAsia="Calibri"/>
          <w:color w:val="000000"/>
        </w:rPr>
        <w:t>(b)</w:t>
      </w:r>
      <w:r w:rsidRPr="00BD6C52">
        <w:rPr>
          <w:rFonts w:eastAsia="Calibri"/>
          <w:color w:val="000000"/>
        </w:rPr>
        <w:t xml:space="preserve"> and s 30 in</w:t>
      </w:r>
      <w:r w:rsidRPr="00BD6C52">
        <w:rPr>
          <w:rFonts w:eastAsia="Calibri"/>
          <w:i/>
          <w:color w:val="000000"/>
        </w:rPr>
        <w:t xml:space="preserve"> </w:t>
      </w:r>
      <w:r w:rsidRPr="00BD6C52">
        <w:rPr>
          <w:rFonts w:eastAsia="Calibri"/>
          <w:color w:val="000000"/>
        </w:rPr>
        <w:t xml:space="preserve">a case involving prolonged solitary confinement. The court did not support the Canadian ‘abhorrent’ community test because </w:t>
      </w:r>
      <w:r w:rsidR="00612DC7">
        <w:rPr>
          <w:rFonts w:eastAsia="Calibri"/>
          <w:color w:val="000000"/>
        </w:rPr>
        <w:t>there are</w:t>
      </w:r>
      <w:r w:rsidRPr="00BD6C52">
        <w:rPr>
          <w:rFonts w:eastAsia="Calibri"/>
          <w:color w:val="000000"/>
        </w:rPr>
        <w:t xml:space="preserve"> ‘many gre</w:t>
      </w:r>
      <w:r w:rsidR="00612DC7">
        <w:rPr>
          <w:rFonts w:eastAsia="Calibri"/>
          <w:color w:val="000000"/>
        </w:rPr>
        <w:t>y</w:t>
      </w:r>
      <w:r w:rsidRPr="00BD6C52">
        <w:rPr>
          <w:rFonts w:eastAsia="Calibri"/>
          <w:color w:val="000000"/>
        </w:rPr>
        <w:t xml:space="preserve"> area</w:t>
      </w:r>
      <w:r w:rsidR="00612DC7">
        <w:rPr>
          <w:rFonts w:eastAsia="Calibri"/>
          <w:color w:val="000000"/>
        </w:rPr>
        <w:t>s</w:t>
      </w:r>
      <w:r w:rsidRPr="00BD6C52">
        <w:rPr>
          <w:rFonts w:eastAsia="Calibri"/>
          <w:color w:val="000000"/>
        </w:rPr>
        <w:t xml:space="preserve"> in which opinions may honestly differ’.</w:t>
      </w:r>
      <w:r w:rsidR="007857FB">
        <w:rPr>
          <w:rStyle w:val="FootnoteReference"/>
          <w:rFonts w:eastAsia="Calibri"/>
          <w:color w:val="000000"/>
        </w:rPr>
        <w:footnoteReference w:id="18"/>
      </w:r>
      <w:r w:rsidRPr="00BD6C52">
        <w:rPr>
          <w:rFonts w:eastAsia="Calibri"/>
          <w:color w:val="000000"/>
        </w:rPr>
        <w:t xml:space="preserve"> It was preferable for courts to deal with these issues without purporting to assess the national conscience. </w:t>
      </w:r>
    </w:p>
    <w:p w14:paraId="445DB985" w14:textId="5B6FA600" w:rsidR="00BD6C52" w:rsidRDefault="00BD6C52" w:rsidP="00BD6C52">
      <w:pPr>
        <w:pStyle w:val="Quote"/>
      </w:pPr>
      <w:r w:rsidRPr="00BD6C52">
        <w:t>In order for s 17(b) to be engaged, the applicant must demonstrate, at a minimum, that the terms of his confinement are of such a nature that they can manifest in bodily injury or physical or mental suffering.</w:t>
      </w:r>
      <w:r w:rsidRPr="00BD6C52">
        <w:rPr>
          <w:vertAlign w:val="superscript"/>
        </w:rPr>
        <w:footnoteReference w:id="19"/>
      </w:r>
    </w:p>
    <w:p w14:paraId="65403AA5" w14:textId="3A58E09E" w:rsidR="00BD6C52" w:rsidRPr="00BD6C52" w:rsidRDefault="00BD6C52" w:rsidP="00BD6C52">
      <w:pPr>
        <w:pStyle w:val="Numberedparagraph"/>
      </w:pPr>
      <w:r>
        <w:lastRenderedPageBreak/>
        <w:t xml:space="preserve">If the Committee remains concerned about this issue, it could recommend the Bill be amended to define these terms, potentially with reference to </w:t>
      </w:r>
      <w:r w:rsidR="00C13E33">
        <w:t xml:space="preserve">UN CAT, </w:t>
      </w:r>
      <w:r>
        <w:t xml:space="preserve">OPCAT, the UN HRC general comment and/or the HR Act. </w:t>
      </w:r>
    </w:p>
    <w:p w14:paraId="3057E265" w14:textId="2A8F99E2" w:rsidR="00052290" w:rsidRPr="00052290" w:rsidRDefault="00052290" w:rsidP="00052290">
      <w:pPr>
        <w:pStyle w:val="Heading2"/>
        <w:rPr>
          <w:lang w:eastAsia="en-AU"/>
        </w:rPr>
      </w:pPr>
      <w:r w:rsidRPr="00052290">
        <w:rPr>
          <w:lang w:eastAsia="en-AU"/>
        </w:rPr>
        <w:t>Coverage</w:t>
      </w:r>
    </w:p>
    <w:p w14:paraId="2C4EB62F" w14:textId="447702E8" w:rsidR="00517696" w:rsidRPr="00052290" w:rsidRDefault="00052290" w:rsidP="00517696">
      <w:pPr>
        <w:pStyle w:val="Numberedparagraph"/>
      </w:pPr>
      <w:r w:rsidRPr="00052290">
        <w:t xml:space="preserve">The development of this Bill is an opportunity for Queensland to comprehensively </w:t>
      </w:r>
      <w:r w:rsidR="00DD7A12">
        <w:t xml:space="preserve">embed </w:t>
      </w:r>
      <w:r w:rsidRPr="00052290">
        <w:t>OPCAT,</w:t>
      </w:r>
      <w:r w:rsidR="008157C3">
        <w:t xml:space="preserve"> thereby</w:t>
      </w:r>
      <w:r w:rsidRPr="00052290">
        <w:t xml:space="preserve"> improv</w:t>
      </w:r>
      <w:r w:rsidR="008157C3">
        <w:t>ing</w:t>
      </w:r>
      <w:r w:rsidRPr="00052290">
        <w:t xml:space="preserve"> the conditions of detention for all those detained and </w:t>
      </w:r>
      <w:r w:rsidR="008157C3">
        <w:t>enhanc</w:t>
      </w:r>
      <w:r w:rsidR="008E4176">
        <w:t>e</w:t>
      </w:r>
      <w:r w:rsidR="008157C3">
        <w:t xml:space="preserve"> community safety</w:t>
      </w:r>
      <w:r w:rsidRPr="00052290">
        <w:t xml:space="preserve">. </w:t>
      </w:r>
      <w:r w:rsidR="00B45844">
        <w:t>T</w:t>
      </w:r>
      <w:r w:rsidR="00D56EB3" w:rsidRPr="00052290">
        <w:t>he Bill defines places of detention narrowly as those specifi</w:t>
      </w:r>
      <w:r w:rsidR="00D56EB3">
        <w:t>ed</w:t>
      </w:r>
      <w:r w:rsidR="00D56EB3" w:rsidRPr="00052290">
        <w:t xml:space="preserve"> under the </w:t>
      </w:r>
      <w:r w:rsidR="00D56EB3" w:rsidRPr="008E4176">
        <w:rPr>
          <w:i/>
        </w:rPr>
        <w:t xml:space="preserve">Youth Justice Act 1992, Corrective Services Act 2006 </w:t>
      </w:r>
      <w:r w:rsidR="00D56EB3" w:rsidRPr="00052290">
        <w:t xml:space="preserve">and </w:t>
      </w:r>
      <w:r w:rsidR="00D56EB3" w:rsidRPr="003B0A61">
        <w:t>watch-</w:t>
      </w:r>
      <w:r w:rsidR="00D56EB3" w:rsidRPr="00052290">
        <w:t>house</w:t>
      </w:r>
      <w:r w:rsidR="00D56EB3">
        <w:t>s</w:t>
      </w:r>
      <w:r w:rsidR="00D56EB3" w:rsidRPr="00052290">
        <w:t xml:space="preserve">. </w:t>
      </w:r>
      <w:r w:rsidR="00D56EB3">
        <w:t xml:space="preserve">In contrast, </w:t>
      </w:r>
      <w:r w:rsidR="00D56EB3" w:rsidRPr="00052290">
        <w:t xml:space="preserve">Articles 1 and 4 of OPCAT </w:t>
      </w:r>
      <w:r w:rsidR="00D56EB3">
        <w:t xml:space="preserve">refer </w:t>
      </w:r>
      <w:r w:rsidR="00D56EB3" w:rsidRPr="00052290">
        <w:t>to any place under the state’s jurisdictions where persons are or may be de</w:t>
      </w:r>
      <w:r w:rsidR="00D56EB3">
        <w:t>p</w:t>
      </w:r>
      <w:r w:rsidR="00D56EB3" w:rsidRPr="00052290">
        <w:t xml:space="preserve">rived of their liberty. The </w:t>
      </w:r>
      <w:r w:rsidR="00B45844">
        <w:t xml:space="preserve">UN </w:t>
      </w:r>
      <w:r w:rsidR="00D56EB3" w:rsidRPr="00052290">
        <w:t>SPT has interpreted the OPCAT mandate as encompassing any place where persons are de</w:t>
      </w:r>
      <w:r w:rsidR="00D56EB3">
        <w:t>p</w:t>
      </w:r>
      <w:r w:rsidR="00D56EB3" w:rsidRPr="00052290">
        <w:t>rived of their liberty, in the sense of not being free to leave, and in which the State either exercises, or might be expected to exercise, a regulatory function.</w:t>
      </w:r>
      <w:r w:rsidR="00D56EB3" w:rsidRPr="00052290">
        <w:rPr>
          <w:vertAlign w:val="superscript"/>
        </w:rPr>
        <w:footnoteReference w:id="20"/>
      </w:r>
      <w:r w:rsidR="00D56EB3" w:rsidRPr="00052290">
        <w:t xml:space="preserve"> </w:t>
      </w:r>
      <w:r w:rsidR="00D56EB3" w:rsidRPr="003B0A61">
        <w:t xml:space="preserve">The </w:t>
      </w:r>
      <w:r w:rsidR="00B45844" w:rsidRPr="003B0A61">
        <w:t xml:space="preserve">UN </w:t>
      </w:r>
      <w:r w:rsidR="00D56EB3" w:rsidRPr="003B0A61">
        <w:t xml:space="preserve">SPT recommends allowing NPMs to visit any such places, including where the NPM suspects a location is a place of </w:t>
      </w:r>
      <w:r w:rsidR="003B0A61" w:rsidRPr="003B0A61">
        <w:t>deprivation of liberty</w:t>
      </w:r>
      <w:r w:rsidR="00D56EB3" w:rsidRPr="003B0A61">
        <w:t>.</w:t>
      </w:r>
      <w:r w:rsidR="003B0A61" w:rsidRPr="003B0A61">
        <w:rPr>
          <w:rStyle w:val="FootnoteReference"/>
        </w:rPr>
        <w:footnoteReference w:id="21"/>
      </w:r>
      <w:r w:rsidR="00517696" w:rsidRPr="00517696">
        <w:t xml:space="preserve"> </w:t>
      </w:r>
      <w:r w:rsidR="00517696" w:rsidRPr="00F36913">
        <w:t xml:space="preserve">In contrast, the Explanatory Notes suggest that detention service </w:t>
      </w:r>
      <w:r w:rsidR="00F36913">
        <w:t>does not include where a person is no longer under the custody of QCS or</w:t>
      </w:r>
      <w:r w:rsidR="00517696" w:rsidRPr="00F36913">
        <w:t xml:space="preserve"> the journey after arrest to a watch-house for processing</w:t>
      </w:r>
      <w:r w:rsidR="00F36913">
        <w:t xml:space="preserve"> as the person is not yet remanded in custody</w:t>
      </w:r>
      <w:r w:rsidR="00517696">
        <w:t xml:space="preserve">. </w:t>
      </w:r>
      <w:r w:rsidR="00F36913">
        <w:t>The Commission suggests the Inspector should be able to visit any p</w:t>
      </w:r>
      <w:r w:rsidR="00517696">
        <w:t xml:space="preserve">lace of detention </w:t>
      </w:r>
      <w:r w:rsidR="00F36913">
        <w:t>used for a person</w:t>
      </w:r>
      <w:r w:rsidR="00517696">
        <w:t xml:space="preserve"> within the criminal justice system. </w:t>
      </w:r>
    </w:p>
    <w:p w14:paraId="7323D660" w14:textId="2015A050" w:rsidR="00052290" w:rsidRPr="00052290" w:rsidRDefault="00517696" w:rsidP="00517696">
      <w:pPr>
        <w:pStyle w:val="Numberedparagraph"/>
      </w:pPr>
      <w:r>
        <w:t>Further, a</w:t>
      </w:r>
      <w:r w:rsidR="00052290" w:rsidRPr="00052290">
        <w:t xml:space="preserve">t present, it appears Queensland lacks an NPM for several places of detention beyond those identified in this </w:t>
      </w:r>
      <w:r w:rsidR="006252B6">
        <w:t>B</w:t>
      </w:r>
      <w:r w:rsidR="00052290" w:rsidRPr="00052290">
        <w:t>ill, particularly mental health facilities and facilities for people with disability.</w:t>
      </w:r>
      <w:r w:rsidR="00642F71">
        <w:rPr>
          <w:rStyle w:val="FootnoteReference"/>
        </w:rPr>
        <w:footnoteReference w:id="22"/>
      </w:r>
      <w:r w:rsidR="00052290" w:rsidRPr="00052290">
        <w:t xml:space="preserve"> </w:t>
      </w:r>
      <w:r w:rsidR="00D56EB3">
        <w:t xml:space="preserve">Other places may also emerge as requiring coverage, such as hotels or purpose-built facilities used for quarantining travellers. </w:t>
      </w:r>
    </w:p>
    <w:p w14:paraId="23AAE41D" w14:textId="7A551C1F" w:rsidR="005E130F" w:rsidRDefault="00052290" w:rsidP="00052290">
      <w:pPr>
        <w:pStyle w:val="Numberedparagraph"/>
      </w:pPr>
      <w:r w:rsidRPr="00052290">
        <w:t xml:space="preserve">The Commission does not necessarily advocate that the </w:t>
      </w:r>
      <w:r w:rsidR="006C4AE9">
        <w:t>Inspector</w:t>
      </w:r>
      <w:r w:rsidRPr="00052290">
        <w:t xml:space="preserve"> created by this Bill should cover all such places of detention, but that the </w:t>
      </w:r>
      <w:r w:rsidR="008157C3">
        <w:t>g</w:t>
      </w:r>
      <w:r w:rsidRPr="00052290">
        <w:t>overnment address this issue as a priority including identifying independent statutory agencies</w:t>
      </w:r>
      <w:r w:rsidR="00AC2D6B">
        <w:t xml:space="preserve"> that will be</w:t>
      </w:r>
      <w:r w:rsidRPr="00052290">
        <w:t xml:space="preserve"> tasked with this function</w:t>
      </w:r>
      <w:r w:rsidR="00AC2D6B">
        <w:t xml:space="preserve">, or </w:t>
      </w:r>
      <w:r w:rsidR="00AC2D6B">
        <w:lastRenderedPageBreak/>
        <w:t>creating new bodies t</w:t>
      </w:r>
      <w:r w:rsidR="003B0A61">
        <w:t xml:space="preserve">o fulfil </w:t>
      </w:r>
      <w:r w:rsidR="00AC2D6B">
        <w:t>this role</w:t>
      </w:r>
      <w:r w:rsidRPr="00052290">
        <w:t xml:space="preserve">. </w:t>
      </w:r>
      <w:r w:rsidR="005E130F">
        <w:t xml:space="preserve">It is a critical time to undertake such work, with Australia’s NPM obligations commencing early in 2022. </w:t>
      </w:r>
    </w:p>
    <w:p w14:paraId="40E40607" w14:textId="0AE0196A" w:rsidR="00052290" w:rsidRPr="00052290" w:rsidRDefault="00052290" w:rsidP="00052290">
      <w:pPr>
        <w:pStyle w:val="Numberedparagraph"/>
      </w:pPr>
      <w:r w:rsidRPr="00052290">
        <w:t xml:space="preserve">Such agencies </w:t>
      </w:r>
      <w:r w:rsidR="008157C3">
        <w:t xml:space="preserve">must </w:t>
      </w:r>
      <w:r w:rsidRPr="00052290">
        <w:t>have the necessary independence, powers and expertise to prevent torture and cruel, inhuman and degrading treatment</w:t>
      </w:r>
      <w:r w:rsidR="00843EC2">
        <w:t xml:space="preserve"> </w:t>
      </w:r>
      <w:r w:rsidR="008E4176">
        <w:t xml:space="preserve">for residents of such </w:t>
      </w:r>
      <w:r w:rsidR="006252B6">
        <w:t>places</w:t>
      </w:r>
      <w:r w:rsidR="00843EC2">
        <w:t>.</w:t>
      </w:r>
    </w:p>
    <w:p w14:paraId="06C81CC7" w14:textId="42D53BCE" w:rsidR="00052290" w:rsidRDefault="00352AAF" w:rsidP="00052290">
      <w:pPr>
        <w:pStyle w:val="Rec"/>
      </w:pPr>
      <w:r>
        <w:t xml:space="preserve">Recommendation </w:t>
      </w:r>
      <w:r w:rsidR="00BF63CB">
        <w:t>3</w:t>
      </w:r>
      <w:r>
        <w:t xml:space="preserve">: </w:t>
      </w:r>
      <w:r w:rsidR="007D3153">
        <w:t>T</w:t>
      </w:r>
      <w:r w:rsidR="00AF635C">
        <w:t>he Co</w:t>
      </w:r>
      <w:r w:rsidR="00ED7CFE">
        <w:t>mmittee</w:t>
      </w:r>
      <w:r w:rsidR="00AF635C">
        <w:t xml:space="preserve"> seek further clarification from the government about Queensland’s</w:t>
      </w:r>
      <w:r w:rsidR="00052290" w:rsidRPr="00052290">
        <w:t xml:space="preserve"> NPM arrangements for all places of detention</w:t>
      </w:r>
      <w:r w:rsidR="00D56EB3">
        <w:t xml:space="preserve"> as defined under OPCAT</w:t>
      </w:r>
      <w:r w:rsidR="00052290" w:rsidRPr="00052290">
        <w:t xml:space="preserve">. Such NPM(s) should satisfy all requirements of OPCAT. </w:t>
      </w:r>
    </w:p>
    <w:p w14:paraId="7D7E9A08" w14:textId="35185B0C" w:rsidR="00052290" w:rsidRPr="00052290" w:rsidRDefault="00AC468A" w:rsidP="00052290">
      <w:pPr>
        <w:pStyle w:val="Heading2"/>
        <w:rPr>
          <w:lang w:eastAsia="en-AU"/>
        </w:rPr>
      </w:pPr>
      <w:r>
        <w:rPr>
          <w:lang w:eastAsia="en-AU"/>
        </w:rPr>
        <w:t xml:space="preserve">Adequate </w:t>
      </w:r>
      <w:r w:rsidR="00AC2D6B">
        <w:rPr>
          <w:lang w:eastAsia="en-AU"/>
        </w:rPr>
        <w:t xml:space="preserve">resourcing </w:t>
      </w:r>
    </w:p>
    <w:p w14:paraId="7CE81140" w14:textId="2DFDFA04" w:rsidR="00052290" w:rsidRPr="00052290" w:rsidRDefault="0006782D" w:rsidP="00052290">
      <w:pPr>
        <w:pStyle w:val="Numberedparagraph"/>
      </w:pPr>
      <w:r>
        <w:t>Clause</w:t>
      </w:r>
      <w:r w:rsidRPr="00052290">
        <w:t xml:space="preserve"> </w:t>
      </w:r>
      <w:r w:rsidR="00D257DC">
        <w:t>33</w:t>
      </w:r>
      <w:r w:rsidR="00052290" w:rsidRPr="00052290">
        <w:t xml:space="preserve"> of the Bill appoints the Queensland Ombudsman as the Inspector of Detention Services</w:t>
      </w:r>
      <w:r w:rsidR="008157C3">
        <w:t xml:space="preserve">. </w:t>
      </w:r>
      <w:r w:rsidR="00163706">
        <w:t>The Commission</w:t>
      </w:r>
      <w:r w:rsidR="008157C3">
        <w:t xml:space="preserve"> note</w:t>
      </w:r>
      <w:r w:rsidR="00163706">
        <w:t>s</w:t>
      </w:r>
      <w:r w:rsidR="008157C3">
        <w:t xml:space="preserve"> the synergies</w:t>
      </w:r>
      <w:r w:rsidR="00052290" w:rsidRPr="00052290">
        <w:t xml:space="preserve"> between the</w:t>
      </w:r>
      <w:r w:rsidR="008157C3">
        <w:t xml:space="preserve"> functions of the</w:t>
      </w:r>
      <w:r w:rsidR="00052290" w:rsidRPr="00052290">
        <w:t xml:space="preserve"> proposed Inspector and the Ombudsman’s current functions, and that the Ombudsman satisfies many of the principles set out in OPCAT for an NPM</w:t>
      </w:r>
      <w:r w:rsidR="008157C3">
        <w:t>. This includes</w:t>
      </w:r>
      <w:r w:rsidR="00052290" w:rsidRPr="00052290">
        <w:t xml:space="preserve"> being functionally independent from the executive government, providing safeguards from reprisal and powers to regularly examine and visit places of detention</w:t>
      </w:r>
      <w:r w:rsidR="006252B6">
        <w:t>.</w:t>
      </w:r>
      <w:r w:rsidR="006252B6" w:rsidRPr="006252B6">
        <w:rPr>
          <w:vertAlign w:val="superscript"/>
        </w:rPr>
        <w:t xml:space="preserve"> </w:t>
      </w:r>
      <w:r w:rsidR="006252B6" w:rsidRPr="00052290">
        <w:rPr>
          <w:vertAlign w:val="superscript"/>
        </w:rPr>
        <w:footnoteReference w:id="23"/>
      </w:r>
      <w:r w:rsidR="00052290" w:rsidRPr="00052290">
        <w:t xml:space="preserve"> </w:t>
      </w:r>
    </w:p>
    <w:p w14:paraId="6DEAB743" w14:textId="3D28E77A" w:rsidR="00052290" w:rsidRPr="00052290" w:rsidRDefault="00052290" w:rsidP="00052290">
      <w:pPr>
        <w:pStyle w:val="Numberedparagraph"/>
      </w:pPr>
      <w:r w:rsidRPr="00052290">
        <w:t>Nonetheless, the experience of other jurisdictions emphasises the need to balance these new functions with the existing role of the Ombudsman.  For example, the Tasmanian Ombudsman, who is also the Custodial Inspector</w:t>
      </w:r>
      <w:r w:rsidR="00FD19E0">
        <w:t xml:space="preserve">, has reported that the </w:t>
      </w:r>
      <w:r w:rsidRPr="00052290">
        <w:t>can only dedicate ten per cent of time to the inspectorate,</w:t>
      </w:r>
      <w:r w:rsidRPr="00052290">
        <w:rPr>
          <w:vertAlign w:val="superscript"/>
        </w:rPr>
        <w:footnoteReference w:id="24"/>
      </w:r>
      <w:r w:rsidRPr="00052290">
        <w:t xml:space="preserve"> and long delays between onsite inspections and publication of reports </w:t>
      </w:r>
      <w:r w:rsidR="00FD19E0">
        <w:t xml:space="preserve">due </w:t>
      </w:r>
      <w:r w:rsidRPr="00052290">
        <w:t>to inadequate staffing.</w:t>
      </w:r>
      <w:r w:rsidRPr="00052290">
        <w:rPr>
          <w:vertAlign w:val="superscript"/>
        </w:rPr>
        <w:footnoteReference w:id="25"/>
      </w:r>
    </w:p>
    <w:p w14:paraId="60857EA6" w14:textId="56314D6E" w:rsidR="00052290" w:rsidRPr="00052290" w:rsidRDefault="00052290" w:rsidP="00052290">
      <w:pPr>
        <w:pStyle w:val="Numberedparagraph"/>
      </w:pPr>
      <w:r w:rsidRPr="00052290">
        <w:t xml:space="preserve">Both the </w:t>
      </w:r>
      <w:r w:rsidR="00C13E33">
        <w:t xml:space="preserve">UN </w:t>
      </w:r>
      <w:r w:rsidRPr="00052290">
        <w:t>SPT and the Commonwealth Ombudsman have stated that preventative inspection regimes require additional resources to be effective and that ‘OPCAT implementation requires more than ‘conferring further functions on existing oversight bodies’.</w:t>
      </w:r>
      <w:r w:rsidRPr="00052290">
        <w:rPr>
          <w:vertAlign w:val="superscript"/>
        </w:rPr>
        <w:footnoteReference w:id="26"/>
      </w:r>
      <w:r w:rsidRPr="00052290">
        <w:t xml:space="preserve"> </w:t>
      </w:r>
    </w:p>
    <w:p w14:paraId="37520CFE" w14:textId="72CF031D" w:rsidR="00D257DC" w:rsidRDefault="00052290" w:rsidP="009B787E">
      <w:pPr>
        <w:pStyle w:val="Numberedparagraph"/>
        <w:rPr>
          <w:lang w:eastAsia="en-AU"/>
        </w:rPr>
      </w:pPr>
      <w:r w:rsidRPr="00052290">
        <w:t xml:space="preserve">This demonstrates the importance of ensuring that the Inspectorate is adequately resourced and that the </w:t>
      </w:r>
      <w:r w:rsidR="0006782D">
        <w:t>Ombudsman</w:t>
      </w:r>
      <w:r w:rsidR="0006782D" w:rsidRPr="00052290">
        <w:t xml:space="preserve">’s </w:t>
      </w:r>
      <w:r w:rsidRPr="00052290">
        <w:t xml:space="preserve">existing functions (such as complaint handling) do not undermine its resources to undertake preventative work. In this regard, </w:t>
      </w:r>
      <w:r w:rsidR="0006782D">
        <w:t>clause</w:t>
      </w:r>
      <w:r w:rsidR="0006782D" w:rsidRPr="00052290">
        <w:t xml:space="preserve">s </w:t>
      </w:r>
      <w:r w:rsidR="00D257DC">
        <w:t>34 and 35</w:t>
      </w:r>
      <w:r w:rsidRPr="00052290">
        <w:t xml:space="preserve"> of the Bill are </w:t>
      </w:r>
      <w:r w:rsidRPr="00052290">
        <w:lastRenderedPageBreak/>
        <w:t xml:space="preserve">concerning, which imply the Inspector will rely on (existing) resources of the Ombudsman’s office to fulfil its functions. </w:t>
      </w:r>
      <w:r w:rsidR="00874EE4">
        <w:t>The Commission welcomes the commitment in the Explanatory Notes that ‘the Inspector will have its own resourcing dedicated to the performance of its functions.’</w:t>
      </w:r>
      <w:r w:rsidR="00874EE4">
        <w:rPr>
          <w:rStyle w:val="FootnoteReference"/>
        </w:rPr>
        <w:footnoteReference w:id="27"/>
      </w:r>
    </w:p>
    <w:p w14:paraId="48C065D5" w14:textId="1FED8E7B" w:rsidR="00CD1E33" w:rsidRDefault="00CD1E33" w:rsidP="00CD1E33">
      <w:pPr>
        <w:pStyle w:val="Heading2"/>
        <w:rPr>
          <w:lang w:eastAsia="en-AU"/>
        </w:rPr>
      </w:pPr>
      <w:r>
        <w:rPr>
          <w:lang w:eastAsia="en-AU"/>
        </w:rPr>
        <w:t xml:space="preserve">Access to </w:t>
      </w:r>
      <w:r w:rsidR="007430AE">
        <w:rPr>
          <w:lang w:eastAsia="en-AU"/>
        </w:rPr>
        <w:t>information</w:t>
      </w:r>
    </w:p>
    <w:p w14:paraId="74F5D1BF" w14:textId="15CF58B7" w:rsidR="00CD1E33" w:rsidRDefault="00CD1E33" w:rsidP="00CD1E33">
      <w:pPr>
        <w:pStyle w:val="Numberedparagraph"/>
        <w:rPr>
          <w:lang w:eastAsia="en-AU"/>
        </w:rPr>
      </w:pPr>
      <w:r>
        <w:rPr>
          <w:lang w:eastAsia="en-AU"/>
        </w:rPr>
        <w:t>Article 20 of OPCAT requires that N</w:t>
      </w:r>
      <w:r w:rsidR="00533075">
        <w:rPr>
          <w:lang w:eastAsia="en-AU"/>
        </w:rPr>
        <w:t>P</w:t>
      </w:r>
      <w:r>
        <w:rPr>
          <w:lang w:eastAsia="en-AU"/>
        </w:rPr>
        <w:t xml:space="preserve">Ms have access to all information concerning the treatment of people derived of liberty. </w:t>
      </w:r>
      <w:r w:rsidR="00533075">
        <w:rPr>
          <w:lang w:eastAsia="en-AU"/>
        </w:rPr>
        <w:t xml:space="preserve">Clause </w:t>
      </w:r>
      <w:r w:rsidR="00757C09">
        <w:rPr>
          <w:lang w:eastAsia="en-AU"/>
        </w:rPr>
        <w:t>28</w:t>
      </w:r>
      <w:r>
        <w:rPr>
          <w:lang w:eastAsia="en-AU"/>
        </w:rPr>
        <w:t xml:space="preserve"> prevents the Inspector obtaining information that is cabinet-in-confidence. This limitation does not appear to be replicated in other Australian jurisdictions and without further justification, should be removed.</w:t>
      </w:r>
    </w:p>
    <w:p w14:paraId="193CE2C6" w14:textId="7B94236F" w:rsidR="00CD1E33" w:rsidRDefault="00352AAF" w:rsidP="00CD1E33">
      <w:pPr>
        <w:pStyle w:val="Rec"/>
        <w:rPr>
          <w:lang w:eastAsia="en-AU"/>
        </w:rPr>
      </w:pPr>
      <w:r>
        <w:rPr>
          <w:lang w:eastAsia="en-AU"/>
        </w:rPr>
        <w:t xml:space="preserve">Recommendation </w:t>
      </w:r>
      <w:r w:rsidR="002D386B">
        <w:rPr>
          <w:lang w:eastAsia="en-AU"/>
        </w:rPr>
        <w:t>4</w:t>
      </w:r>
      <w:r>
        <w:rPr>
          <w:lang w:eastAsia="en-AU"/>
        </w:rPr>
        <w:t xml:space="preserve">: </w:t>
      </w:r>
      <w:r w:rsidR="00CD1E33">
        <w:rPr>
          <w:lang w:eastAsia="en-AU"/>
        </w:rPr>
        <w:t>The Bill not prevent the Inspector accessing information that relates to proceedings of Cabinet or a committee of Cabinet</w:t>
      </w:r>
      <w:r w:rsidR="00D44FCC">
        <w:rPr>
          <w:lang w:eastAsia="en-AU"/>
        </w:rPr>
        <w:t>.</w:t>
      </w:r>
    </w:p>
    <w:p w14:paraId="6F6E4B06" w14:textId="5D3A64F8" w:rsidR="00DD7A12" w:rsidRDefault="00DD7A12" w:rsidP="003B0A61">
      <w:pPr>
        <w:pStyle w:val="Heading2"/>
        <w:rPr>
          <w:lang w:eastAsia="en-AU"/>
        </w:rPr>
      </w:pPr>
      <w:r>
        <w:rPr>
          <w:lang w:eastAsia="en-AU"/>
        </w:rPr>
        <w:t>Advice to government</w:t>
      </w:r>
    </w:p>
    <w:p w14:paraId="24405ED4" w14:textId="5C352053" w:rsidR="00DD7A12" w:rsidRDefault="00DD7A12" w:rsidP="003B0A61">
      <w:pPr>
        <w:pStyle w:val="Numberedparagraph"/>
        <w:rPr>
          <w:lang w:eastAsia="en-AU"/>
        </w:rPr>
      </w:pPr>
      <w:r>
        <w:rPr>
          <w:lang w:eastAsia="en-AU"/>
        </w:rPr>
        <w:t>The UN SPT has suggested that a NPM’s lega</w:t>
      </w:r>
      <w:r w:rsidR="00494D53">
        <w:rPr>
          <w:lang w:eastAsia="en-AU"/>
        </w:rPr>
        <w:t xml:space="preserve">l framework should provide for </w:t>
      </w:r>
      <w:r>
        <w:rPr>
          <w:lang w:eastAsia="en-AU"/>
        </w:rPr>
        <w:t xml:space="preserve">outwardly-facing functions of the NPM, </w:t>
      </w:r>
      <w:r w:rsidR="00494D53">
        <w:rPr>
          <w:lang w:eastAsia="en-AU"/>
        </w:rPr>
        <w:t xml:space="preserve">in addition to its visiting mandate, </w:t>
      </w:r>
      <w:r>
        <w:rPr>
          <w:lang w:eastAsia="en-AU"/>
        </w:rPr>
        <w:t>such as submitting proposals on legislation, advocacy, awareness raising and capacity building.</w:t>
      </w:r>
      <w:r>
        <w:rPr>
          <w:rStyle w:val="FootnoteReference"/>
          <w:lang w:eastAsia="en-AU"/>
        </w:rPr>
        <w:footnoteReference w:id="28"/>
      </w:r>
      <w:r>
        <w:rPr>
          <w:lang w:eastAsia="en-AU"/>
        </w:rPr>
        <w:t xml:space="preserve"> Further, NPMs </w:t>
      </w:r>
      <w:r w:rsidR="008F11E9">
        <w:rPr>
          <w:lang w:eastAsia="en-AU"/>
        </w:rPr>
        <w:t>should</w:t>
      </w:r>
    </w:p>
    <w:p w14:paraId="14F45184" w14:textId="502CF509" w:rsidR="00DD7A12" w:rsidRPr="00BF63CB" w:rsidRDefault="00DD7A12" w:rsidP="003B0A61">
      <w:pPr>
        <w:pStyle w:val="Quote"/>
        <w:rPr>
          <w:sz w:val="22"/>
          <w:szCs w:val="22"/>
        </w:rPr>
      </w:pPr>
      <w:r w:rsidRPr="00BF63CB">
        <w:rPr>
          <w:sz w:val="22"/>
          <w:szCs w:val="22"/>
        </w:rPr>
        <w:t>publicize their opinions, findings and other relevant information to increase public awareness of the prevention of torture and ill-treatment.</w:t>
      </w:r>
      <w:r w:rsidR="00920A7A">
        <w:rPr>
          <w:rStyle w:val="FootnoteReference"/>
          <w:sz w:val="22"/>
          <w:szCs w:val="22"/>
        </w:rPr>
        <w:footnoteReference w:id="29"/>
      </w:r>
    </w:p>
    <w:p w14:paraId="31690082" w14:textId="59005B51" w:rsidR="00DD7A12" w:rsidRDefault="00DD7A12" w:rsidP="003B0A61">
      <w:pPr>
        <w:pStyle w:val="Numberedparagraph"/>
        <w:rPr>
          <w:lang w:eastAsia="en-AU"/>
        </w:rPr>
      </w:pPr>
      <w:r>
        <w:rPr>
          <w:lang w:eastAsia="en-AU"/>
        </w:rPr>
        <w:t xml:space="preserve">As currently drafted, sections 21(2)(b) and s 22(3)(b)(ii) of the Bill only explicitly refer to the Inspector providing proposed changes to laws within reports. </w:t>
      </w:r>
    </w:p>
    <w:p w14:paraId="02D9685A" w14:textId="69B3A8B5" w:rsidR="00DD7A12" w:rsidRDefault="00DD7A12" w:rsidP="00D44FCC">
      <w:pPr>
        <w:pStyle w:val="Rec"/>
        <w:rPr>
          <w:lang w:eastAsia="en-AU"/>
        </w:rPr>
      </w:pPr>
      <w:r>
        <w:rPr>
          <w:lang w:eastAsia="en-AU"/>
        </w:rPr>
        <w:t>Recommendation</w:t>
      </w:r>
      <w:r w:rsidR="00BF63CB">
        <w:rPr>
          <w:lang w:eastAsia="en-AU"/>
        </w:rPr>
        <w:t xml:space="preserve"> 5</w:t>
      </w:r>
      <w:r>
        <w:rPr>
          <w:lang w:eastAsia="en-AU"/>
        </w:rPr>
        <w:t>: The Bill make clear the Inspector may at any time submit</w:t>
      </w:r>
      <w:r w:rsidR="00D56EB3">
        <w:rPr>
          <w:lang w:eastAsia="en-AU"/>
        </w:rPr>
        <w:t xml:space="preserve"> </w:t>
      </w:r>
      <w:r>
        <w:rPr>
          <w:lang w:eastAsia="en-AU"/>
        </w:rPr>
        <w:t xml:space="preserve">proposals and observations on existing and draft legislation, </w:t>
      </w:r>
      <w:r w:rsidR="00D56EB3">
        <w:rPr>
          <w:lang w:eastAsia="en-AU"/>
        </w:rPr>
        <w:t xml:space="preserve">and undertake </w:t>
      </w:r>
      <w:r>
        <w:rPr>
          <w:lang w:eastAsia="en-AU"/>
        </w:rPr>
        <w:t xml:space="preserve">public advocacy, awareness raising and capacity building. </w:t>
      </w:r>
    </w:p>
    <w:p w14:paraId="597DBB10" w14:textId="1B586F78" w:rsidR="00052290" w:rsidRPr="00052290" w:rsidRDefault="00052290" w:rsidP="00052290">
      <w:pPr>
        <w:pStyle w:val="Heading1"/>
        <w:rPr>
          <w:lang w:eastAsia="en-AU"/>
        </w:rPr>
      </w:pPr>
      <w:r w:rsidRPr="00052290">
        <w:rPr>
          <w:lang w:eastAsia="en-AU"/>
        </w:rPr>
        <w:lastRenderedPageBreak/>
        <w:t xml:space="preserve">Young </w:t>
      </w:r>
      <w:r w:rsidR="007430AE">
        <w:rPr>
          <w:lang w:eastAsia="en-AU"/>
        </w:rPr>
        <w:t>p</w:t>
      </w:r>
      <w:r w:rsidR="007430AE" w:rsidRPr="00052290">
        <w:rPr>
          <w:lang w:eastAsia="en-AU"/>
        </w:rPr>
        <w:t xml:space="preserve">eople </w:t>
      </w:r>
      <w:r w:rsidRPr="00052290">
        <w:rPr>
          <w:lang w:eastAsia="en-AU"/>
        </w:rPr>
        <w:t xml:space="preserve">in </w:t>
      </w:r>
      <w:r w:rsidR="007430AE">
        <w:rPr>
          <w:lang w:eastAsia="en-AU"/>
        </w:rPr>
        <w:t>w</w:t>
      </w:r>
      <w:r w:rsidR="003B0A61">
        <w:rPr>
          <w:lang w:eastAsia="en-AU"/>
        </w:rPr>
        <w:t>atch-</w:t>
      </w:r>
      <w:r w:rsidRPr="00052290">
        <w:rPr>
          <w:lang w:eastAsia="en-AU"/>
        </w:rPr>
        <w:t>houses</w:t>
      </w:r>
    </w:p>
    <w:p w14:paraId="477E31A6" w14:textId="7DB99858" w:rsidR="00052290" w:rsidRPr="00052290" w:rsidRDefault="00052290" w:rsidP="00052290">
      <w:pPr>
        <w:pStyle w:val="Numberedparagraph"/>
      </w:pPr>
      <w:r w:rsidRPr="00052290">
        <w:t>In recent years, the prolonged detention</w:t>
      </w:r>
      <w:r w:rsidR="003B0A61">
        <w:t xml:space="preserve"> of children in police watch-</w:t>
      </w:r>
      <w:r w:rsidRPr="00052290">
        <w:t>houses has been a significant human ri</w:t>
      </w:r>
      <w:r w:rsidR="003B0A61">
        <w:t>ghts issue in Queensland. Watch-</w:t>
      </w:r>
      <w:r w:rsidRPr="00052290">
        <w:t>houses</w:t>
      </w:r>
      <w:r w:rsidR="00CD1E33">
        <w:t xml:space="preserve"> are not appropriate places of detention for children.</w:t>
      </w:r>
      <w:r w:rsidRPr="00052290">
        <w:t xml:space="preserve"> The Commission is </w:t>
      </w:r>
      <w:r w:rsidR="00CD1E33">
        <w:t xml:space="preserve">particularly </w:t>
      </w:r>
      <w:r w:rsidRPr="00052290">
        <w:t xml:space="preserve">concerned </w:t>
      </w:r>
      <w:r w:rsidR="00CD1E33">
        <w:t>about the increasing numbers of children in the youth justice system, particularly the over-representation of Aboriginal and Torres Strait Islander children.</w:t>
      </w:r>
      <w:r w:rsidR="005E130F">
        <w:t xml:space="preserve"> This is likely to mean more children held in watch</w:t>
      </w:r>
      <w:r w:rsidR="003B0A61">
        <w:t>-</w:t>
      </w:r>
      <w:r w:rsidR="005E130F">
        <w:t>houses for longer periods, due to limited space in detention centres.</w:t>
      </w:r>
      <w:r w:rsidR="00FC3185">
        <w:rPr>
          <w:rStyle w:val="FootnoteReference"/>
        </w:rPr>
        <w:footnoteReference w:id="30"/>
      </w:r>
      <w:r w:rsidR="005E130F">
        <w:t xml:space="preserve"> </w:t>
      </w:r>
      <w:r w:rsidR="00CD1E33">
        <w:t xml:space="preserve"> </w:t>
      </w:r>
      <w:r w:rsidRPr="00052290">
        <w:t xml:space="preserve"> </w:t>
      </w:r>
    </w:p>
    <w:p w14:paraId="4F43892B" w14:textId="1F3BF50E" w:rsidR="00052290" w:rsidRPr="00052290" w:rsidRDefault="006252B6" w:rsidP="00052290">
      <w:pPr>
        <w:pStyle w:val="Numberedparagraph"/>
      </w:pPr>
      <w:r w:rsidRPr="00C13E33">
        <w:t>T</w:t>
      </w:r>
      <w:r w:rsidR="00052290" w:rsidRPr="00C13E33">
        <w:t>he QPS Operational Procedur</w:t>
      </w:r>
      <w:r w:rsidR="00C13E33" w:rsidRPr="00C13E33">
        <w:t>es</w:t>
      </w:r>
      <w:r w:rsidR="00052290" w:rsidRPr="00C13E33">
        <w:t xml:space="preserve"> Manual currently provides </w:t>
      </w:r>
      <w:r w:rsidR="007430AE" w:rsidRPr="00C13E33">
        <w:t xml:space="preserve">for </w:t>
      </w:r>
      <w:r w:rsidR="009A6238">
        <w:t xml:space="preserve">some </w:t>
      </w:r>
      <w:r w:rsidR="009429E7" w:rsidRPr="00C13E33">
        <w:t>safeguards</w:t>
      </w:r>
      <w:r w:rsidR="009429E7">
        <w:t xml:space="preserve"> regarding the</w:t>
      </w:r>
      <w:r w:rsidR="003B0A61">
        <w:t xml:space="preserve"> detention of children in watch-</w:t>
      </w:r>
      <w:r w:rsidR="009429E7">
        <w:t>houses</w:t>
      </w:r>
      <w:r w:rsidR="007430AE">
        <w:t>,</w:t>
      </w:r>
      <w:r w:rsidR="009429E7">
        <w:t xml:space="preserve"> including that certain people are notified if a child is t</w:t>
      </w:r>
      <w:r w:rsidR="003B0A61">
        <w:t>o be kept in custody in a watch-</w:t>
      </w:r>
      <w:r w:rsidR="009429E7">
        <w:t>house longer than overnight</w:t>
      </w:r>
      <w:r w:rsidR="00052290" w:rsidRPr="00052290">
        <w:t>.</w:t>
      </w:r>
      <w:r w:rsidR="00C13E33">
        <w:rPr>
          <w:rStyle w:val="FootnoteReference"/>
        </w:rPr>
        <w:footnoteReference w:id="31"/>
      </w:r>
      <w:r w:rsidR="00052290" w:rsidRPr="00052290">
        <w:t xml:space="preserve"> In light of the history of this issue in Queensland, </w:t>
      </w:r>
      <w:r w:rsidR="00163706">
        <w:t xml:space="preserve">the Commission </w:t>
      </w:r>
      <w:r w:rsidR="00052290" w:rsidRPr="00052290">
        <w:t>suggest</w:t>
      </w:r>
      <w:r w:rsidR="00163706">
        <w:t>s</w:t>
      </w:r>
      <w:r w:rsidR="00052290" w:rsidRPr="00052290">
        <w:t xml:space="preserve"> that the Inspector must be kept informed on the numbers of children being detained for prolonged periods. This should be legislated to ensure no erosion in protection over time. </w:t>
      </w:r>
    </w:p>
    <w:p w14:paraId="6CF2049E" w14:textId="2B171C94" w:rsidR="00052290" w:rsidRPr="00052290" w:rsidRDefault="00352AAF" w:rsidP="00D44FCC">
      <w:pPr>
        <w:pStyle w:val="Rec"/>
      </w:pPr>
      <w:r w:rsidRPr="00D44FCC">
        <w:t>Recommendation</w:t>
      </w:r>
      <w:r>
        <w:t xml:space="preserve"> </w:t>
      </w:r>
      <w:r w:rsidR="00BF63CB">
        <w:t>6</w:t>
      </w:r>
      <w:r>
        <w:t xml:space="preserve">: </w:t>
      </w:r>
      <w:r w:rsidR="007D3153">
        <w:t>T</w:t>
      </w:r>
      <w:r w:rsidR="00052290" w:rsidRPr="00052290">
        <w:t xml:space="preserve">he Bill require QPS to notify the Inspector if a child aged under 18 is detained overnight in any place of detention used by QPS.  </w:t>
      </w:r>
    </w:p>
    <w:p w14:paraId="0F2437C9" w14:textId="1A80252F" w:rsidR="00AC468A" w:rsidRPr="00052290" w:rsidRDefault="00AC468A" w:rsidP="00AC468A">
      <w:pPr>
        <w:pStyle w:val="Heading1"/>
        <w:rPr>
          <w:lang w:eastAsia="en-AU"/>
        </w:rPr>
      </w:pPr>
      <w:r w:rsidRPr="00052290">
        <w:rPr>
          <w:lang w:eastAsia="en-AU"/>
        </w:rPr>
        <w:t xml:space="preserve">Standards for </w:t>
      </w:r>
      <w:r>
        <w:rPr>
          <w:lang w:eastAsia="en-AU"/>
        </w:rPr>
        <w:t>young people in detention</w:t>
      </w:r>
    </w:p>
    <w:p w14:paraId="7B7CC241" w14:textId="5410F77C" w:rsidR="00AC468A" w:rsidRDefault="00163706" w:rsidP="00DF6B5F">
      <w:pPr>
        <w:pStyle w:val="Numberedparagraph"/>
      </w:pPr>
      <w:r>
        <w:t xml:space="preserve">The Bill lists the functions of the Inspector to include ‘prepare and publish standards in relation to carrying out inspections’. </w:t>
      </w:r>
      <w:r w:rsidR="00AC468A">
        <w:t>While not a</w:t>
      </w:r>
      <w:r>
        <w:t xml:space="preserve"> </w:t>
      </w:r>
      <w:r w:rsidR="00AC468A">
        <w:t>statutory requirement, the Commission notes that the</w:t>
      </w:r>
      <w:r w:rsidR="00B45844">
        <w:t xml:space="preserve"> Western Australian, New South Wales and Australian Capital Territory</w:t>
      </w:r>
      <w:r w:rsidR="00AC468A">
        <w:t xml:space="preserve"> inspectorates have all developed specific standards for </w:t>
      </w:r>
      <w:r>
        <w:t>young people</w:t>
      </w:r>
      <w:r w:rsidR="00AC468A">
        <w:t>.</w:t>
      </w:r>
    </w:p>
    <w:p w14:paraId="7C352634" w14:textId="45B89ACC" w:rsidR="00AC468A" w:rsidRDefault="00163706" w:rsidP="00AC468A">
      <w:pPr>
        <w:pStyle w:val="Numberedparagraph"/>
      </w:pPr>
      <w:r>
        <w:t xml:space="preserve">In light of </w:t>
      </w:r>
      <w:r w:rsidR="00AC468A">
        <w:t xml:space="preserve">the risk of overcrowding in youth detention centres and the special protection children enjoy under the </w:t>
      </w:r>
      <w:r w:rsidR="00BF63CB">
        <w:t>HR Act</w:t>
      </w:r>
      <w:r w:rsidR="007430AE">
        <w:t xml:space="preserve"> </w:t>
      </w:r>
      <w:r w:rsidR="00AC468A">
        <w:t>(s 26</w:t>
      </w:r>
      <w:r>
        <w:t>), informed by</w:t>
      </w:r>
      <w:r w:rsidR="00AC468A">
        <w:t xml:space="preserve"> the United Nations Convention on the Rights of the Child, the Commission </w:t>
      </w:r>
      <w:r w:rsidR="00AC468A">
        <w:lastRenderedPageBreak/>
        <w:t>recommends</w:t>
      </w:r>
      <w:r>
        <w:t xml:space="preserve"> </w:t>
      </w:r>
      <w:r w:rsidR="00AC468A">
        <w:t xml:space="preserve">the Bill require the Inspector to develop </w:t>
      </w:r>
      <w:r>
        <w:t xml:space="preserve">specific </w:t>
      </w:r>
      <w:r w:rsidR="00AC468A">
        <w:t>standards for young people in detention.</w:t>
      </w:r>
      <w:r w:rsidR="00B45844">
        <w:rPr>
          <w:rStyle w:val="FootnoteReference"/>
        </w:rPr>
        <w:footnoteReference w:id="32"/>
      </w:r>
      <w:r w:rsidR="00AC468A">
        <w:t xml:space="preserve"> </w:t>
      </w:r>
    </w:p>
    <w:p w14:paraId="4EB6B5A7" w14:textId="051BDBC9" w:rsidR="00AC468A" w:rsidRPr="00052290" w:rsidRDefault="00352AAF" w:rsidP="008E4176">
      <w:pPr>
        <w:pStyle w:val="Rec"/>
      </w:pPr>
      <w:r>
        <w:t xml:space="preserve">Recommendation </w:t>
      </w:r>
      <w:r w:rsidR="00B30795">
        <w:t>7</w:t>
      </w:r>
      <w:r>
        <w:t xml:space="preserve">: </w:t>
      </w:r>
      <w:r w:rsidR="007D3153">
        <w:t>T</w:t>
      </w:r>
      <w:r w:rsidR="00AC468A">
        <w:t>he Bill require the Inspector to develop</w:t>
      </w:r>
      <w:r w:rsidR="007430AE">
        <w:t xml:space="preserve"> and maintain</w:t>
      </w:r>
      <w:r w:rsidR="00AC468A">
        <w:t xml:space="preserve"> specific standards for young people in detention</w:t>
      </w:r>
      <w:r w:rsidR="003B0A61">
        <w:t xml:space="preserve"> to inform its assessment of conditions of detention</w:t>
      </w:r>
      <w:r w:rsidR="00AC468A">
        <w:t xml:space="preserve">. </w:t>
      </w:r>
    </w:p>
    <w:p w14:paraId="1BA824FA" w14:textId="42152DFD" w:rsidR="00052290" w:rsidRPr="00052290" w:rsidRDefault="00052290" w:rsidP="00052290">
      <w:pPr>
        <w:pStyle w:val="Heading1"/>
        <w:rPr>
          <w:lang w:eastAsia="en-AU"/>
        </w:rPr>
      </w:pPr>
      <w:r w:rsidRPr="00052290">
        <w:rPr>
          <w:lang w:eastAsia="en-AU"/>
        </w:rPr>
        <w:t xml:space="preserve">Critical </w:t>
      </w:r>
      <w:r w:rsidR="00AC468A">
        <w:rPr>
          <w:lang w:eastAsia="en-AU"/>
        </w:rPr>
        <w:t>i</w:t>
      </w:r>
      <w:r w:rsidR="00AC468A" w:rsidRPr="00052290">
        <w:rPr>
          <w:lang w:eastAsia="en-AU"/>
        </w:rPr>
        <w:t>ncidents</w:t>
      </w:r>
    </w:p>
    <w:p w14:paraId="1C9F3CCD" w14:textId="1F2C447A" w:rsidR="00052290" w:rsidRDefault="00052290" w:rsidP="00052290">
      <w:pPr>
        <w:pStyle w:val="Numberedparagraph"/>
      </w:pPr>
      <w:r w:rsidRPr="00052290">
        <w:t xml:space="preserve">The Bill is silent as to the Inspector holding functions in relation to critical incidents. In contrast, the ACT Inspector of Correctional Services can </w:t>
      </w:r>
      <w:r w:rsidR="009429E7" w:rsidRPr="00052290">
        <w:t>investigate</w:t>
      </w:r>
      <w:r w:rsidRPr="00052290">
        <w:t xml:space="preserve"> such issues, and has </w:t>
      </w:r>
      <w:r w:rsidR="002F751F">
        <w:t>made recommendations</w:t>
      </w:r>
      <w:r w:rsidRPr="00052290">
        <w:t xml:space="preserve"> concerning </w:t>
      </w:r>
      <w:r w:rsidR="009429E7">
        <w:t>serious fires and riots</w:t>
      </w:r>
      <w:r w:rsidR="00BF63CB">
        <w:t>.</w:t>
      </w:r>
      <w:r w:rsidR="00BF63CB">
        <w:rPr>
          <w:rStyle w:val="FootnoteReference"/>
        </w:rPr>
        <w:footnoteReference w:id="33"/>
      </w:r>
    </w:p>
    <w:p w14:paraId="1638EEB4" w14:textId="6A3B4CFB" w:rsidR="00757C09" w:rsidRPr="00052290" w:rsidRDefault="00757C09" w:rsidP="00052290">
      <w:pPr>
        <w:pStyle w:val="Numberedparagraph"/>
      </w:pPr>
      <w:r>
        <w:t xml:space="preserve">The Explanatory Notes suggest that functions of this kind including the </w:t>
      </w:r>
      <w:r w:rsidR="007430AE">
        <w:t xml:space="preserve">investigation </w:t>
      </w:r>
      <w:r>
        <w:t xml:space="preserve">of riots, deaths and escapes are not in scope, because they will continue to be investigated through internal mechanisms. The Explanatory Notes do not explain why the </w:t>
      </w:r>
      <w:r w:rsidR="006C4AE9">
        <w:t>Inspector</w:t>
      </w:r>
      <w:r>
        <w:t xml:space="preserve">, if </w:t>
      </w:r>
      <w:r w:rsidR="00B30795">
        <w:t>it</w:t>
      </w:r>
      <w:r>
        <w:t xml:space="preserve"> chose to, should not be able to investigate such incidents and why it is preferable for internal investigation options only. </w:t>
      </w:r>
      <w:r w:rsidR="007430AE">
        <w:t>Crucial insights can be gained by closely scrutinising the response to critical events, as often these are tension points where the human rights of those incarcerated must be weighed up against competing priorities including the good order and security of the prison or detention centre.</w:t>
      </w:r>
    </w:p>
    <w:p w14:paraId="23EC3DDF" w14:textId="45506971" w:rsidR="00052290" w:rsidRPr="00052290" w:rsidRDefault="00352AAF" w:rsidP="007B25BD">
      <w:pPr>
        <w:pStyle w:val="Rec"/>
      </w:pPr>
      <w:r>
        <w:t xml:space="preserve">Recommendation </w:t>
      </w:r>
      <w:r w:rsidR="00B30795">
        <w:t>8</w:t>
      </w:r>
      <w:r>
        <w:t xml:space="preserve">: </w:t>
      </w:r>
      <w:r w:rsidR="007D3153">
        <w:t>T</w:t>
      </w:r>
      <w:r w:rsidR="00052290" w:rsidRPr="00052290">
        <w:t>he Inspector’s functions under the Bill include the ability to investigate criti</w:t>
      </w:r>
      <w:r w:rsidR="007B25BD">
        <w:t xml:space="preserve">cal incidents. </w:t>
      </w:r>
    </w:p>
    <w:p w14:paraId="5991A240" w14:textId="721151EA" w:rsidR="00757C09" w:rsidRDefault="00757C09" w:rsidP="00052290">
      <w:pPr>
        <w:pStyle w:val="Heading1"/>
      </w:pPr>
      <w:r>
        <w:t>Compatibility with human rights</w:t>
      </w:r>
    </w:p>
    <w:p w14:paraId="0D577C43" w14:textId="77777777" w:rsidR="00563BF7" w:rsidRDefault="00563BF7" w:rsidP="00563BF7">
      <w:pPr>
        <w:pStyle w:val="Numberedparagraph"/>
      </w:pPr>
      <w:r>
        <w:t xml:space="preserve">The rights of staff and detainees must be considered in assessing the Bill and in how the Inspector discharges its functions. </w:t>
      </w:r>
    </w:p>
    <w:p w14:paraId="30486DF7" w14:textId="629CC578" w:rsidR="00017168" w:rsidRDefault="00757C09" w:rsidP="00757C09">
      <w:pPr>
        <w:pStyle w:val="Numberedparagraph"/>
      </w:pPr>
      <w:r>
        <w:t>As discussed in the Statement of Compatibility, the Bill limits several human rights including</w:t>
      </w:r>
      <w:r w:rsidR="00DA76B2">
        <w:t xml:space="preserve"> the right to privacy (s 25 of the HR</w:t>
      </w:r>
      <w:r w:rsidR="00874EE4">
        <w:t xml:space="preserve"> </w:t>
      </w:r>
      <w:r w:rsidR="00DA76B2">
        <w:t>A</w:t>
      </w:r>
      <w:r w:rsidR="00874EE4">
        <w:t>ct</w:t>
      </w:r>
      <w:r w:rsidR="00DA76B2">
        <w:t>)</w:t>
      </w:r>
      <w:r>
        <w:t xml:space="preserve"> in allowing the </w:t>
      </w:r>
      <w:r w:rsidR="006C4AE9">
        <w:t>Inspector</w:t>
      </w:r>
      <w:r>
        <w:t xml:space="preserve"> to </w:t>
      </w:r>
      <w:r w:rsidR="00DA76B2">
        <w:t xml:space="preserve">obtain material including confidential information, and enter any part of a place of detention. The Bill also </w:t>
      </w:r>
      <w:r w:rsidR="00B50E47">
        <w:t>limit</w:t>
      </w:r>
      <w:r w:rsidR="00DA76B2">
        <w:t xml:space="preserve">s </w:t>
      </w:r>
      <w:r>
        <w:t>the r</w:t>
      </w:r>
      <w:r w:rsidR="00DA76B2">
        <w:t xml:space="preserve">ight against self-incrimination for a person required to provide information or answer </w:t>
      </w:r>
      <w:r w:rsidR="00DA76B2">
        <w:lastRenderedPageBreak/>
        <w:t xml:space="preserve">questions of the </w:t>
      </w:r>
      <w:r w:rsidR="006C4AE9">
        <w:t>Inspector</w:t>
      </w:r>
      <w:r w:rsidR="00DA76B2">
        <w:t xml:space="preserve"> </w:t>
      </w:r>
      <w:r>
        <w:t>(limiting</w:t>
      </w:r>
      <w:r w:rsidR="00DA76B2">
        <w:t xml:space="preserve"> the right to fair trial (s 31) and</w:t>
      </w:r>
      <w:r>
        <w:t xml:space="preserve"> </w:t>
      </w:r>
      <w:r w:rsidR="00DA76B2">
        <w:t>rights in criminal proceedings</w:t>
      </w:r>
      <w:r>
        <w:t xml:space="preserve"> in s 32).</w:t>
      </w:r>
    </w:p>
    <w:p w14:paraId="703F849D" w14:textId="6958C3C8" w:rsidR="00017168" w:rsidRDefault="00017168" w:rsidP="00017168">
      <w:pPr>
        <w:pStyle w:val="Numberedparagraph"/>
      </w:pPr>
      <w:r>
        <w:t xml:space="preserve">As noted during the public briefing, the rights of staff are also relevant to the work of the Inspector. </w:t>
      </w:r>
      <w:r w:rsidRPr="00017168">
        <w:t>As a public entity</w:t>
      </w:r>
      <w:r>
        <w:t xml:space="preserve"> under the HR Act</w:t>
      </w:r>
      <w:r w:rsidRPr="00017168">
        <w:t>, the Inspector must give proper consideration to human rights of all individuals, including staff. The safety of officers under the right to life (s 16) and right to security (s 29) would be particular</w:t>
      </w:r>
      <w:r w:rsidR="002C54B2">
        <w:t>ly</w:t>
      </w:r>
      <w:r w:rsidRPr="00017168">
        <w:t xml:space="preserve"> relevant</w:t>
      </w:r>
      <w:r>
        <w:t xml:space="preserve">. </w:t>
      </w:r>
    </w:p>
    <w:p w14:paraId="636D94F1" w14:textId="7AD29E41" w:rsidR="00614691" w:rsidRDefault="00614691" w:rsidP="00017168">
      <w:pPr>
        <w:pStyle w:val="Numberedparagraph"/>
      </w:pPr>
      <w:r>
        <w:t>As observed by the former Commonwealth Ombudsman, OPCAT is premised on the notion that ‘torture and ill-treatment can be prevented through a collaborative, construction and forward looking dialogue between detaining authorities and the national mechanism’. Further, that ‘it recognises that prevention is as much about staff safety and environmental safety as it is about detainee treatment and conditions.’</w:t>
      </w:r>
      <w:r>
        <w:rPr>
          <w:rStyle w:val="FootnoteReference"/>
        </w:rPr>
        <w:footnoteReference w:id="34"/>
      </w:r>
    </w:p>
    <w:p w14:paraId="47FC5A74" w14:textId="7F640DFC" w:rsidR="00757C09" w:rsidRPr="00017168" w:rsidRDefault="00705D63" w:rsidP="00017168">
      <w:pPr>
        <w:pStyle w:val="Numberedparagraph"/>
      </w:pPr>
      <w:r>
        <w:t xml:space="preserve">This is reflected in the work of other inspectors around Australia. For example, </w:t>
      </w:r>
      <w:r w:rsidR="00017168">
        <w:t xml:space="preserve">the </w:t>
      </w:r>
      <w:r>
        <w:t xml:space="preserve">Western Australian Inspector’s </w:t>
      </w:r>
      <w:r w:rsidR="00017168">
        <w:rPr>
          <w:i/>
        </w:rPr>
        <w:t>Revised Code of Inspection Standards for Adult Custodial Services</w:t>
      </w:r>
      <w:r w:rsidR="0028609D">
        <w:rPr>
          <w:i/>
        </w:rPr>
        <w:t xml:space="preserve"> </w:t>
      </w:r>
      <w:r w:rsidR="0028609D">
        <w:t>notes basic principles</w:t>
      </w:r>
      <w:r>
        <w:t xml:space="preserve"> of inspection include</w:t>
      </w:r>
      <w:r w:rsidR="0028609D">
        <w:t xml:space="preserve"> that ‘every person in prison is safe and secure, including prisoners, staff, service providers, and visitors’.</w:t>
      </w:r>
      <w:r w:rsidR="0028609D">
        <w:rPr>
          <w:rStyle w:val="FootnoteReference"/>
        </w:rPr>
        <w:footnoteReference w:id="35"/>
      </w:r>
    </w:p>
    <w:p w14:paraId="79D0AEBC" w14:textId="746754E5" w:rsidR="00017168" w:rsidRDefault="00017168" w:rsidP="00017168">
      <w:pPr>
        <w:pStyle w:val="Numberedparagraph"/>
      </w:pPr>
      <w:r>
        <w:t xml:space="preserve">The Commission anticipates that the Queensland Inspector would adopt a similar approach. </w:t>
      </w:r>
    </w:p>
    <w:p w14:paraId="4095BDA5" w14:textId="56369D7F" w:rsidR="006335BE" w:rsidRDefault="00052290" w:rsidP="00052290">
      <w:pPr>
        <w:pStyle w:val="Heading1"/>
      </w:pPr>
      <w:r>
        <w:t>Conclusion</w:t>
      </w:r>
    </w:p>
    <w:p w14:paraId="4B994ACB" w14:textId="358C44B1" w:rsidR="00052290" w:rsidRDefault="00052290" w:rsidP="00913958">
      <w:pPr>
        <w:pStyle w:val="Numberedparagraph"/>
        <w:keepNext/>
        <w:keepLines/>
        <w:spacing w:before="240"/>
        <w:outlineLvl w:val="0"/>
      </w:pPr>
      <w:r>
        <w:t>Thank you for the opportunity to comment on the Bill</w:t>
      </w:r>
      <w:r w:rsidR="00DC2EB9">
        <w:t xml:space="preserve">, which </w:t>
      </w:r>
      <w:r w:rsidR="00B50E47">
        <w:t>the Commission</w:t>
      </w:r>
      <w:r w:rsidR="00DC2EB9">
        <w:t xml:space="preserve"> support</w:t>
      </w:r>
      <w:r w:rsidR="00B50E47">
        <w:t>s</w:t>
      </w:r>
      <w:r w:rsidR="00DC2EB9">
        <w:t xml:space="preserve"> subject to the above recommendations. </w:t>
      </w:r>
      <w:r>
        <w:t xml:space="preserve"> </w:t>
      </w:r>
    </w:p>
    <w:sectPr w:rsidR="00052290" w:rsidSect="003A3833">
      <w:headerReference w:type="default" r:id="rId10"/>
      <w:footerReference w:type="default" r:id="rId11"/>
      <w:pgSz w:w="11900" w:h="16840" w:code="9"/>
      <w:pgMar w:top="1440" w:right="1701" w:bottom="1361" w:left="1701" w:header="709"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FB18" w16cex:dateUtc="2021-11-08T22:32:00Z"/>
  <w16cex:commentExtensible w16cex:durableId="2540FB19" w16cex:dateUtc="2021-11-11T23:45:00Z"/>
  <w16cex:commentExtensible w16cex:durableId="2540FEF9" w16cex:dateUtc="2021-11-18T06:34:00Z"/>
  <w16cex:commentExtensible w16cex:durableId="2540FB1A" w16cex:dateUtc="2021-11-18T01:33:00Z"/>
  <w16cex:commentExtensible w16cex:durableId="2540FB1B" w16cex:dateUtc="2021-11-08T22:42:00Z"/>
  <w16cex:commentExtensible w16cex:durableId="2540FB1C" w16cex:dateUtc="2021-11-10T03:44:00Z"/>
  <w16cex:commentExtensible w16cex:durableId="2540FD28" w16cex:dateUtc="2021-11-18T06:26:00Z"/>
  <w16cex:commentExtensible w16cex:durableId="2540FB1D" w16cex:dateUtc="2021-11-11T23:04:00Z"/>
  <w16cex:commentExtensible w16cex:durableId="25410DEB" w16cex:dateUtc="2021-11-18T07:37:00Z"/>
  <w16cex:commentExtensible w16cex:durableId="2540FB1E" w16cex:dateUtc="2021-11-08T22:58:00Z"/>
  <w16cex:commentExtensible w16cex:durableId="25410E5B" w16cex:dateUtc="2021-11-18T07:39:00Z"/>
  <w16cex:commentExtensible w16cex:durableId="2540FB1F" w16cex:dateUtc="2021-11-10T04:13:00Z"/>
  <w16cex:commentExtensible w16cex:durableId="2540FB20" w16cex:dateUtc="2021-11-11T23:28:00Z"/>
  <w16cex:commentExtensible w16cex:durableId="25410F9B" w16cex:dateUtc="2021-11-1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03A1B" w16cid:durableId="2540FB18"/>
  <w16cid:commentId w16cid:paraId="10DF5BF0" w16cid:durableId="2540FB19"/>
  <w16cid:commentId w16cid:paraId="6E1181BA" w16cid:durableId="2540FEF9"/>
  <w16cid:commentId w16cid:paraId="698FC547" w16cid:durableId="2540FB1A"/>
  <w16cid:commentId w16cid:paraId="75AF47C9" w16cid:durableId="2540FB1B"/>
  <w16cid:commentId w16cid:paraId="2617FA8D" w16cid:durableId="2540FB1C"/>
  <w16cid:commentId w16cid:paraId="231E9BEB" w16cid:durableId="2540FD28"/>
  <w16cid:commentId w16cid:paraId="49B17F4F" w16cid:durableId="2540FB1D"/>
  <w16cid:commentId w16cid:paraId="022E2A84" w16cid:durableId="25410DEB"/>
  <w16cid:commentId w16cid:paraId="5F5826D7" w16cid:durableId="2540FB1E"/>
  <w16cid:commentId w16cid:paraId="4692D9DA" w16cid:durableId="25410E5B"/>
  <w16cid:commentId w16cid:paraId="36E60424" w16cid:durableId="2540FB1F"/>
  <w16cid:commentId w16cid:paraId="5417D2BD" w16cid:durableId="2540FB20"/>
  <w16cid:commentId w16cid:paraId="1E4D6D37" w16cid:durableId="25410F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0E25" w14:textId="77777777" w:rsidR="00052290" w:rsidRDefault="00052290" w:rsidP="0034134D">
      <w:r>
        <w:separator/>
      </w:r>
    </w:p>
  </w:endnote>
  <w:endnote w:type="continuationSeparator" w:id="0">
    <w:p w14:paraId="159D67BE" w14:textId="77777777" w:rsidR="00052290" w:rsidRDefault="00052290"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8B98" w14:textId="5340DC16"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24500D">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DC78" w14:textId="77777777" w:rsidR="00052290" w:rsidRDefault="00052290" w:rsidP="0034134D">
      <w:r>
        <w:separator/>
      </w:r>
    </w:p>
  </w:footnote>
  <w:footnote w:type="continuationSeparator" w:id="0">
    <w:p w14:paraId="0BFD17AB" w14:textId="77777777" w:rsidR="00052290" w:rsidRDefault="00052290" w:rsidP="0034134D">
      <w:r>
        <w:continuationSeparator/>
      </w:r>
    </w:p>
  </w:footnote>
  <w:footnote w:id="1">
    <w:p w14:paraId="478E5B9E" w14:textId="331A4AB1" w:rsidR="00761291" w:rsidRPr="007D1864" w:rsidRDefault="00761291">
      <w:pPr>
        <w:pStyle w:val="FootnoteText"/>
      </w:pPr>
      <w:r>
        <w:rPr>
          <w:rStyle w:val="FootnoteReference"/>
        </w:rPr>
        <w:footnoteRef/>
      </w:r>
      <w:r>
        <w:t xml:space="preserve"> </w:t>
      </w:r>
      <w:r w:rsidR="00093A57">
        <w:t>Walter So</w:t>
      </w:r>
      <w:r w:rsidR="007D1864">
        <w:t xml:space="preserve">fronoff QC, </w:t>
      </w:r>
      <w:r w:rsidR="007D1864">
        <w:rPr>
          <w:i/>
        </w:rPr>
        <w:t>Queensland Parole System Review</w:t>
      </w:r>
      <w:r w:rsidR="007D1864">
        <w:t xml:space="preserve"> (Report, December 2016). </w:t>
      </w:r>
    </w:p>
  </w:footnote>
  <w:footnote w:id="2">
    <w:p w14:paraId="32826117" w14:textId="7898F139" w:rsidR="00454EBD" w:rsidRDefault="00454EBD">
      <w:pPr>
        <w:pStyle w:val="FootnoteText"/>
      </w:pPr>
      <w:r>
        <w:rPr>
          <w:rStyle w:val="FootnoteReference"/>
        </w:rPr>
        <w:footnoteRef/>
      </w:r>
      <w:r>
        <w:t xml:space="preserve"> Ibid, 257. </w:t>
      </w:r>
    </w:p>
  </w:footnote>
  <w:footnote w:id="3">
    <w:p w14:paraId="03DAE4A8" w14:textId="3F570807" w:rsidR="00B0659F" w:rsidRPr="00B0659F" w:rsidRDefault="00B0659F">
      <w:pPr>
        <w:pStyle w:val="FootnoteText"/>
      </w:pPr>
      <w:r>
        <w:rPr>
          <w:rStyle w:val="FootnoteReference"/>
        </w:rPr>
        <w:footnoteRef/>
      </w:r>
      <w:r>
        <w:t xml:space="preserve"> </w:t>
      </w:r>
      <w:r>
        <w:rPr>
          <w:i/>
        </w:rPr>
        <w:t xml:space="preserve">Corrective Services Act 2006, </w:t>
      </w:r>
      <w:r>
        <w:t xml:space="preserve">sections 319E and 319F. </w:t>
      </w:r>
    </w:p>
  </w:footnote>
  <w:footnote w:id="4">
    <w:p w14:paraId="7541489D" w14:textId="621D5A0F" w:rsidR="00D54A89" w:rsidRPr="00093A57" w:rsidRDefault="00D54A89">
      <w:pPr>
        <w:pStyle w:val="FootnoteText"/>
      </w:pPr>
      <w:r>
        <w:rPr>
          <w:rStyle w:val="FootnoteReference"/>
        </w:rPr>
        <w:footnoteRef/>
      </w:r>
      <w:r>
        <w:t xml:space="preserve"> </w:t>
      </w:r>
      <w:r w:rsidR="00093A57" w:rsidRPr="00093A57">
        <w:rPr>
          <w:i/>
        </w:rPr>
        <w:t>Corrective Services and Other Legislation Amendment Act 202</w:t>
      </w:r>
      <w:r w:rsidR="00093A57">
        <w:rPr>
          <w:i/>
        </w:rPr>
        <w:t xml:space="preserve">0, </w:t>
      </w:r>
      <w:r w:rsidR="00093A57">
        <w:t xml:space="preserve">s 50. </w:t>
      </w:r>
    </w:p>
  </w:footnote>
  <w:footnote w:id="5">
    <w:p w14:paraId="2993EE7D" w14:textId="77777777" w:rsidR="00761291" w:rsidRPr="0052162D" w:rsidRDefault="00761291" w:rsidP="00761291">
      <w:pPr>
        <w:pStyle w:val="FootnoteText"/>
      </w:pPr>
      <w:r>
        <w:rPr>
          <w:rStyle w:val="FootnoteReference"/>
        </w:rPr>
        <w:footnoteRef/>
      </w:r>
      <w:r>
        <w:t xml:space="preserve"> See for example</w:t>
      </w:r>
      <w:r w:rsidRPr="0052162D">
        <w:t xml:space="preserve"> </w:t>
      </w:r>
      <w:r w:rsidRPr="0052162D">
        <w:rPr>
          <w:i/>
        </w:rPr>
        <w:t>Official Visitor Act 2012</w:t>
      </w:r>
      <w:r>
        <w:t xml:space="preserve"> (ACT)</w:t>
      </w:r>
      <w:r w:rsidRPr="0052162D">
        <w:t xml:space="preserve">, </w:t>
      </w:r>
      <w:r>
        <w:t xml:space="preserve">and </w:t>
      </w:r>
      <w:r w:rsidRPr="0052162D">
        <w:t xml:space="preserve">sections 40 and 41 of the </w:t>
      </w:r>
      <w:r w:rsidRPr="0052162D">
        <w:rPr>
          <w:i/>
        </w:rPr>
        <w:t>Inspector of Custodial Services Act 2003</w:t>
      </w:r>
      <w:r>
        <w:rPr>
          <w:i/>
        </w:rPr>
        <w:t xml:space="preserve"> </w:t>
      </w:r>
      <w:r>
        <w:t xml:space="preserve">(WA). </w:t>
      </w:r>
    </w:p>
  </w:footnote>
  <w:footnote w:id="6">
    <w:p w14:paraId="24B7EB92" w14:textId="1FBE9A18" w:rsidR="00454EBD" w:rsidRDefault="00454EBD">
      <w:pPr>
        <w:pStyle w:val="FootnoteText"/>
      </w:pPr>
      <w:r>
        <w:rPr>
          <w:rStyle w:val="FootnoteReference"/>
        </w:rPr>
        <w:footnoteRef/>
      </w:r>
      <w:r>
        <w:t xml:space="preserve"> </w:t>
      </w:r>
      <w:r w:rsidRPr="006E288D">
        <w:t>Office of the Inspector of Custodial Services</w:t>
      </w:r>
      <w:r w:rsidR="00CA2A40">
        <w:t xml:space="preserve"> (WA)</w:t>
      </w:r>
      <w:r w:rsidRPr="006E288D">
        <w:t xml:space="preserve">, </w:t>
      </w:r>
      <w:r w:rsidRPr="006E288D">
        <w:rPr>
          <w:i/>
        </w:rPr>
        <w:t>Annual Report 2020-21</w:t>
      </w:r>
      <w:r w:rsidR="00612DC7">
        <w:t xml:space="preserve"> (Report, 2021</w:t>
      </w:r>
      <w:r w:rsidR="006E288D" w:rsidRPr="006E288D">
        <w:t>)</w:t>
      </w:r>
      <w:r w:rsidRPr="006E288D">
        <w:t xml:space="preserve"> 8.</w:t>
      </w:r>
      <w:r>
        <w:t xml:space="preserve">  </w:t>
      </w:r>
    </w:p>
  </w:footnote>
  <w:footnote w:id="7">
    <w:p w14:paraId="706C2401" w14:textId="473DF9F1" w:rsidR="00610BCE" w:rsidRPr="009E705C" w:rsidRDefault="00610BCE">
      <w:pPr>
        <w:pStyle w:val="FootnoteText"/>
        <w:rPr>
          <w:lang w:val="en-US"/>
        </w:rPr>
      </w:pPr>
      <w:r>
        <w:rPr>
          <w:rStyle w:val="FootnoteReference"/>
        </w:rPr>
        <w:footnoteRef/>
      </w:r>
      <w:r>
        <w:t xml:space="preserve"> </w:t>
      </w:r>
      <w:r w:rsidR="009E705C">
        <w:rPr>
          <w:lang w:val="en-US"/>
        </w:rPr>
        <w:t xml:space="preserve">Anti-Discrimination Commission Queensland, </w:t>
      </w:r>
      <w:r w:rsidR="009E705C">
        <w:rPr>
          <w:i/>
          <w:lang w:val="en-US"/>
        </w:rPr>
        <w:t xml:space="preserve">Women in Prison </w:t>
      </w:r>
      <w:r w:rsidR="009E705C">
        <w:rPr>
          <w:lang w:val="en-US"/>
        </w:rPr>
        <w:t>(Report, March 20</w:t>
      </w:r>
      <w:r w:rsidR="009E42AE">
        <w:rPr>
          <w:lang w:val="en-US"/>
        </w:rPr>
        <w:t>0</w:t>
      </w:r>
      <w:r w:rsidR="009E705C">
        <w:rPr>
          <w:lang w:val="en-US"/>
        </w:rPr>
        <w:t xml:space="preserve">6), </w:t>
      </w:r>
      <w:r w:rsidR="009E42AE">
        <w:rPr>
          <w:lang w:val="en-US"/>
        </w:rPr>
        <w:t>129</w:t>
      </w:r>
      <w:r w:rsidR="009E705C">
        <w:rPr>
          <w:lang w:val="en-US"/>
        </w:rPr>
        <w:t xml:space="preserve">. </w:t>
      </w:r>
      <w:r w:rsidR="009E42AE">
        <w:rPr>
          <w:lang w:val="en-US"/>
        </w:rPr>
        <w:t xml:space="preserve">Anti-Discrimination Commission Queensland, </w:t>
      </w:r>
      <w:r w:rsidR="009E42AE">
        <w:rPr>
          <w:i/>
          <w:lang w:val="en-US"/>
        </w:rPr>
        <w:t xml:space="preserve">Women in Prison 2019: a human rights consultation report </w:t>
      </w:r>
      <w:r w:rsidR="009E42AE">
        <w:rPr>
          <w:lang w:val="en-US"/>
        </w:rPr>
        <w:t>(Report, 2019), 48-49.</w:t>
      </w:r>
    </w:p>
  </w:footnote>
  <w:footnote w:id="8">
    <w:p w14:paraId="1B6380D0" w14:textId="53ADA2A7" w:rsidR="00642F71" w:rsidRDefault="00642F71">
      <w:pPr>
        <w:pStyle w:val="FootnoteText"/>
      </w:pPr>
      <w:r>
        <w:rPr>
          <w:rStyle w:val="FootnoteReference"/>
        </w:rPr>
        <w:footnoteRef/>
      </w:r>
      <w:r>
        <w:t xml:space="preserve"> </w:t>
      </w:r>
      <w:r w:rsidR="000E2872">
        <w:t>Evidence to Legal Affairs and Safety Committee, Queensland Parliament, Brisbane, 15 November 2021, 6 (</w:t>
      </w:r>
      <w:r w:rsidR="000E2872" w:rsidRPr="000E2872">
        <w:t>Sakitha</w:t>
      </w:r>
      <w:r w:rsidR="000E2872">
        <w:t xml:space="preserve"> Bandaranaike, Director, Department of Justice and Attorney General) </w:t>
      </w:r>
    </w:p>
  </w:footnote>
  <w:footnote w:id="9">
    <w:p w14:paraId="0803CA96" w14:textId="2FAA7768" w:rsidR="006D167D" w:rsidRDefault="006D167D">
      <w:pPr>
        <w:pStyle w:val="FootnoteText"/>
      </w:pPr>
      <w:r>
        <w:rPr>
          <w:rStyle w:val="FootnoteReference"/>
        </w:rPr>
        <w:footnoteRef/>
      </w:r>
      <w:r>
        <w:t xml:space="preserve"> </w:t>
      </w:r>
      <w:r w:rsidR="009E42AE">
        <w:rPr>
          <w:lang w:val="en-US"/>
        </w:rPr>
        <w:t xml:space="preserve">Anti-Discrimination Commission Queensland, </w:t>
      </w:r>
      <w:r w:rsidR="009E42AE">
        <w:rPr>
          <w:i/>
          <w:lang w:val="en-US"/>
        </w:rPr>
        <w:t xml:space="preserve">Women in Prison 2019: a human rights consultation report </w:t>
      </w:r>
      <w:r w:rsidR="009E42AE">
        <w:rPr>
          <w:lang w:val="en-US"/>
        </w:rPr>
        <w:t>(Report, 2019), 48</w:t>
      </w:r>
    </w:p>
  </w:footnote>
  <w:footnote w:id="10">
    <w:p w14:paraId="00C6EE9D" w14:textId="0CCBF0E6" w:rsidR="00C13E33" w:rsidRDefault="00C13E33">
      <w:pPr>
        <w:pStyle w:val="FootnoteText"/>
      </w:pPr>
      <w:r>
        <w:rPr>
          <w:rStyle w:val="FootnoteReference"/>
        </w:rPr>
        <w:footnoteRef/>
      </w:r>
      <w:r>
        <w:t xml:space="preserve"> </w:t>
      </w:r>
      <w:r w:rsidRPr="00BD6C52">
        <w:rPr>
          <w:rStyle w:val="FootnoteTextChar"/>
          <w:i/>
        </w:rPr>
        <w:t>Convention against Torture and Other Cruel, Inhuman or Degrading Treatment or Punishment</w:t>
      </w:r>
      <w:r w:rsidRPr="00BD6C52">
        <w:rPr>
          <w:rStyle w:val="FootnoteTextChar"/>
        </w:rPr>
        <w:t>, opened for signature 10 December 1984, 1465 UNTS 85 (e</w:t>
      </w:r>
      <w:r>
        <w:rPr>
          <w:rStyle w:val="FootnoteTextChar"/>
        </w:rPr>
        <w:t xml:space="preserve">ntered into force 26 June 1987). </w:t>
      </w:r>
    </w:p>
  </w:footnote>
  <w:footnote w:id="11">
    <w:p w14:paraId="65EE22F8" w14:textId="77777777" w:rsidR="009E42AE" w:rsidRPr="009B787E" w:rsidRDefault="009E42AE" w:rsidP="009E42AE">
      <w:pPr>
        <w:pStyle w:val="FootnoteText"/>
        <w:rPr>
          <w:lang w:val="en-US"/>
        </w:rPr>
      </w:pPr>
      <w:r>
        <w:rPr>
          <w:rStyle w:val="FootnoteReference"/>
        </w:rPr>
        <w:footnoteRef/>
      </w:r>
      <w:r>
        <w:t xml:space="preserve"> </w:t>
      </w:r>
      <w:r w:rsidRPr="00052290">
        <w:rPr>
          <w:i/>
        </w:rPr>
        <w:t xml:space="preserve">Human Rights Act </w:t>
      </w:r>
      <w:r>
        <w:rPr>
          <w:i/>
        </w:rPr>
        <w:t xml:space="preserve">2019 </w:t>
      </w:r>
      <w:r w:rsidRPr="009B787E">
        <w:t>s 30</w:t>
      </w:r>
    </w:p>
  </w:footnote>
  <w:footnote w:id="12">
    <w:p w14:paraId="7BC06D37" w14:textId="77777777" w:rsidR="009E42AE" w:rsidRPr="009B787E" w:rsidRDefault="009E42AE" w:rsidP="009E42AE">
      <w:pPr>
        <w:pStyle w:val="FootnoteText"/>
        <w:rPr>
          <w:lang w:val="en-US"/>
        </w:rPr>
      </w:pPr>
      <w:r>
        <w:rPr>
          <w:rStyle w:val="FootnoteReference"/>
        </w:rPr>
        <w:footnoteRef/>
      </w:r>
      <w:r>
        <w:t xml:space="preserve"> </w:t>
      </w:r>
      <w:r w:rsidRPr="00052290">
        <w:rPr>
          <w:i/>
        </w:rPr>
        <w:t xml:space="preserve">Human Rights Act </w:t>
      </w:r>
      <w:r>
        <w:rPr>
          <w:i/>
        </w:rPr>
        <w:t xml:space="preserve">2019 </w:t>
      </w:r>
      <w:r w:rsidRPr="009B787E">
        <w:t>s 17</w:t>
      </w:r>
    </w:p>
  </w:footnote>
  <w:footnote w:id="13">
    <w:p w14:paraId="5FBE2829" w14:textId="496FBF32" w:rsidR="009D23B5" w:rsidRDefault="009D23B5">
      <w:pPr>
        <w:pStyle w:val="FootnoteText"/>
      </w:pPr>
      <w:r>
        <w:rPr>
          <w:rStyle w:val="FootnoteReference"/>
        </w:rPr>
        <w:footnoteRef/>
      </w:r>
      <w:r>
        <w:t xml:space="preserve"> </w:t>
      </w:r>
      <w:r w:rsidR="000E2872">
        <w:t>Evidence to Legal Affairs and Safety Committee, Queensland Parliament, Brisbane, 15 November 2021, 5 (</w:t>
      </w:r>
      <w:r w:rsidR="000E2872" w:rsidRPr="000E2872">
        <w:t>Sakitha</w:t>
      </w:r>
      <w:r w:rsidR="000E2872">
        <w:t xml:space="preserve"> Bandaranaike, Director, Department of Justice and Attorney General</w:t>
      </w:r>
    </w:p>
  </w:footnote>
  <w:footnote w:id="14">
    <w:p w14:paraId="1920817D" w14:textId="54FB66D3" w:rsidR="00490B13" w:rsidRDefault="00490B13">
      <w:pPr>
        <w:pStyle w:val="FootnoteText"/>
      </w:pPr>
      <w:r>
        <w:rPr>
          <w:rStyle w:val="FootnoteReference"/>
        </w:rPr>
        <w:footnoteRef/>
      </w:r>
      <w:r>
        <w:t xml:space="preserve"> </w:t>
      </w:r>
      <w:r w:rsidRPr="00490B13">
        <w:rPr>
          <w:rStyle w:val="FootnoteTextChar"/>
        </w:rPr>
        <w:t>UN CAT, art 1</w:t>
      </w:r>
    </w:p>
  </w:footnote>
  <w:footnote w:id="15">
    <w:p w14:paraId="3E6A08FE" w14:textId="33B06F33" w:rsidR="00BD6C52" w:rsidRDefault="00BD6C52">
      <w:pPr>
        <w:pStyle w:val="FootnoteText"/>
      </w:pPr>
      <w:r>
        <w:rPr>
          <w:rStyle w:val="FootnoteReference"/>
        </w:rPr>
        <w:footnoteRef/>
      </w:r>
      <w:r>
        <w:t xml:space="preserve"> </w:t>
      </w:r>
      <w:r w:rsidR="00C13E33">
        <w:t xml:space="preserve">UN </w:t>
      </w:r>
      <w:r w:rsidR="000E052F">
        <w:t xml:space="preserve">CAT, art 16. </w:t>
      </w:r>
    </w:p>
  </w:footnote>
  <w:footnote w:id="16">
    <w:p w14:paraId="1BBB1659" w14:textId="0825AB82" w:rsidR="00BD6C52" w:rsidRDefault="00BD6C52">
      <w:pPr>
        <w:pStyle w:val="FootnoteText"/>
      </w:pPr>
      <w:r>
        <w:rPr>
          <w:rStyle w:val="FootnoteReference"/>
        </w:rPr>
        <w:footnoteRef/>
      </w:r>
      <w:r>
        <w:t xml:space="preserve"> </w:t>
      </w:r>
      <w:r w:rsidRPr="00BD6C52">
        <w:t>Explanatory Note</w:t>
      </w:r>
      <w:r w:rsidR="000E2872">
        <w:t>s</w:t>
      </w:r>
      <w:r w:rsidRPr="00BD6C52">
        <w:t>, Human Rights Bill 2018</w:t>
      </w:r>
      <w:r w:rsidR="000E2872">
        <w:t xml:space="preserve"> (Qld)</w:t>
      </w:r>
      <w:r w:rsidRPr="00BD6C52">
        <w:t xml:space="preserve"> 19.</w:t>
      </w:r>
      <w:r>
        <w:t xml:space="preserve"> </w:t>
      </w:r>
    </w:p>
  </w:footnote>
  <w:footnote w:id="17">
    <w:p w14:paraId="47862B63" w14:textId="6BF74C7F" w:rsidR="00BD6C52" w:rsidRDefault="00BD6C52" w:rsidP="00BD6C52">
      <w:pPr>
        <w:pStyle w:val="FootnoteText"/>
      </w:pPr>
      <w:r>
        <w:rPr>
          <w:rStyle w:val="FootnoteReference"/>
        </w:rPr>
        <w:footnoteRef/>
      </w:r>
      <w:r>
        <w:t xml:space="preserve"> </w:t>
      </w:r>
      <w:r w:rsidRPr="00612DC7">
        <w:t xml:space="preserve">UN Human Rights Committee, </w:t>
      </w:r>
      <w:r w:rsidRPr="00612DC7">
        <w:rPr>
          <w:i/>
        </w:rPr>
        <w:t>Ge</w:t>
      </w:r>
      <w:r w:rsidR="000E2872" w:rsidRPr="00612DC7">
        <w:rPr>
          <w:i/>
        </w:rPr>
        <w:t xml:space="preserve">neral Comment No 20: Article 7: </w:t>
      </w:r>
      <w:r w:rsidRPr="00612DC7">
        <w:rPr>
          <w:i/>
        </w:rPr>
        <w:t>Prohibition of Torture, or Other Cruel, Inhuman or Degrading Treatment or Punishment</w:t>
      </w:r>
      <w:r w:rsidRPr="00612DC7">
        <w:t>, 44th sess, UN Doc HRI/GEN/1/Rev.1.</w:t>
      </w:r>
    </w:p>
  </w:footnote>
  <w:footnote w:id="18">
    <w:p w14:paraId="40672FA1" w14:textId="7C8C5CE4" w:rsidR="007857FB" w:rsidRDefault="007857FB">
      <w:pPr>
        <w:pStyle w:val="FootnoteText"/>
      </w:pPr>
      <w:r>
        <w:rPr>
          <w:rStyle w:val="FootnoteReference"/>
        </w:rPr>
        <w:footnoteRef/>
      </w:r>
      <w:r>
        <w:t xml:space="preserve"> </w:t>
      </w:r>
      <w:r>
        <w:rPr>
          <w:i/>
        </w:rPr>
        <w:t xml:space="preserve">Owen-D’Arcy v Chief Executive, QCS </w:t>
      </w:r>
      <w:r w:rsidRPr="0016599F">
        <w:t>[2021] QSC 273</w:t>
      </w:r>
      <w:r>
        <w:t>, [181]</w:t>
      </w:r>
    </w:p>
  </w:footnote>
  <w:footnote w:id="19">
    <w:p w14:paraId="5AA30326" w14:textId="33F0BF46" w:rsidR="00BD6C52" w:rsidRDefault="00BD6C52" w:rsidP="00BD6C52">
      <w:pPr>
        <w:pStyle w:val="FootnoteText"/>
      </w:pPr>
      <w:r>
        <w:rPr>
          <w:rStyle w:val="FootnoteReference"/>
        </w:rPr>
        <w:footnoteRef/>
      </w:r>
      <w:r>
        <w:t xml:space="preserve"> </w:t>
      </w:r>
      <w:r w:rsidR="00490B13" w:rsidRPr="00490B13">
        <w:t>Ibid</w:t>
      </w:r>
      <w:r>
        <w:t>, [190]</w:t>
      </w:r>
    </w:p>
  </w:footnote>
  <w:footnote w:id="20">
    <w:p w14:paraId="6E391F9A" w14:textId="58589669" w:rsidR="00D56EB3" w:rsidRPr="000E052F" w:rsidRDefault="00D56EB3" w:rsidP="00D56EB3">
      <w:pPr>
        <w:pStyle w:val="FootnoteText"/>
      </w:pPr>
      <w:r>
        <w:rPr>
          <w:rStyle w:val="FootnoteReference"/>
        </w:rPr>
        <w:footnoteRef/>
      </w:r>
      <w:r>
        <w:t xml:space="preserve"> </w:t>
      </w:r>
      <w:r w:rsidRPr="00EC3644">
        <w:t xml:space="preserve">Subcommittee on Prevention of Torture and Other Cruel, Inhuman or Degrading Treatment or Punishment, </w:t>
      </w:r>
      <w:r w:rsidRPr="00FD19E0">
        <w:rPr>
          <w:i/>
        </w:rPr>
        <w:t>Ninth annual report of the Subcommittee on Prevention of Torture and Other Cruel, Inhuman or Degrading Treatment or Punishment</w:t>
      </w:r>
      <w:r>
        <w:rPr>
          <w:i/>
        </w:rPr>
        <w:t xml:space="preserve"> -</w:t>
      </w:r>
      <w:r w:rsidRPr="00FD19E0">
        <w:rPr>
          <w:i/>
        </w:rPr>
        <w:t xml:space="preserve"> Annex Compilation of advice provided by the Subcommittee in response to requests from national preventive mechanisms</w:t>
      </w:r>
      <w:r w:rsidR="00F36913">
        <w:t>,</w:t>
      </w:r>
      <w:r>
        <w:t xml:space="preserve"> </w:t>
      </w:r>
      <w:r w:rsidRPr="00EC3644">
        <w:t>UN Doc CAT/C/</w:t>
      </w:r>
      <w:r w:rsidRPr="000E052F">
        <w:t>57/4 (March 22, 2016) [</w:t>
      </w:r>
      <w:r w:rsidR="00490B13">
        <w:t>1]-</w:t>
      </w:r>
      <w:r w:rsidRPr="000E052F">
        <w:t>[3].</w:t>
      </w:r>
    </w:p>
  </w:footnote>
  <w:footnote w:id="21">
    <w:p w14:paraId="6B453E9D" w14:textId="71480900" w:rsidR="003B0A61" w:rsidRDefault="003B0A61">
      <w:pPr>
        <w:pStyle w:val="FootnoteText"/>
      </w:pPr>
      <w:r w:rsidRPr="000E052F">
        <w:rPr>
          <w:rStyle w:val="FootnoteReference"/>
        </w:rPr>
        <w:footnoteRef/>
      </w:r>
      <w:r w:rsidRPr="000E052F">
        <w:t xml:space="preserve"> Subcommittee on Prevention of Torture and Other Cruel, Inhuman or Degrading Treatment or Punishment, </w:t>
      </w:r>
      <w:r w:rsidRPr="000E052F">
        <w:rPr>
          <w:i/>
        </w:rPr>
        <w:t>Guidelines on national preventive mechanisms</w:t>
      </w:r>
      <w:r w:rsidR="00F36913" w:rsidRPr="000E052F">
        <w:t xml:space="preserve">, </w:t>
      </w:r>
      <w:r w:rsidRPr="000E052F">
        <w:t>UN Doc CAT/OP/12/5</w:t>
      </w:r>
      <w:r w:rsidR="00F36913" w:rsidRPr="000E052F">
        <w:t xml:space="preserve"> (9 December 2010)</w:t>
      </w:r>
      <w:r w:rsidR="00920A7A" w:rsidRPr="000E052F">
        <w:t>, [</w:t>
      </w:r>
      <w:r w:rsidRPr="000E052F">
        <w:t>24</w:t>
      </w:r>
      <w:r w:rsidR="00920A7A" w:rsidRPr="000E052F">
        <w:t>]</w:t>
      </w:r>
      <w:r w:rsidRPr="000E052F">
        <w:t>-</w:t>
      </w:r>
      <w:r w:rsidR="00920A7A" w:rsidRPr="000E052F">
        <w:t>[</w:t>
      </w:r>
      <w:r w:rsidRPr="000E052F">
        <w:t>25</w:t>
      </w:r>
      <w:r w:rsidR="00920A7A" w:rsidRPr="000E052F">
        <w:t>]</w:t>
      </w:r>
      <w:r w:rsidRPr="000E052F">
        <w:t>.</w:t>
      </w:r>
    </w:p>
  </w:footnote>
  <w:footnote w:id="22">
    <w:p w14:paraId="2AF763A0" w14:textId="76BBF7F4" w:rsidR="00642F71" w:rsidRDefault="00642F71">
      <w:pPr>
        <w:pStyle w:val="FootnoteText"/>
      </w:pPr>
      <w:r>
        <w:rPr>
          <w:rStyle w:val="FootnoteReference"/>
        </w:rPr>
        <w:footnoteRef/>
      </w:r>
      <w:r>
        <w:t xml:space="preserve"> </w:t>
      </w:r>
      <w:r w:rsidR="00920A7A">
        <w:t>Evidence to Legal Affairs and Safety Committee, Queensland Parliament, Brisbane, 15 November 2021, 3, 6 (</w:t>
      </w:r>
      <w:r w:rsidR="00920A7A" w:rsidRPr="000E2872">
        <w:t>Sakitha</w:t>
      </w:r>
      <w:r w:rsidR="00920A7A">
        <w:t xml:space="preserve"> Bandaranaike, Director, Department of Justice and Attorney General</w:t>
      </w:r>
    </w:p>
  </w:footnote>
  <w:footnote w:id="23">
    <w:p w14:paraId="63F2E8BF" w14:textId="7AEB0DF6" w:rsidR="006252B6" w:rsidRDefault="006252B6" w:rsidP="006252B6">
      <w:pPr>
        <w:pStyle w:val="FootnoteText"/>
      </w:pPr>
      <w:r>
        <w:rPr>
          <w:rStyle w:val="FootnoteReference"/>
        </w:rPr>
        <w:footnoteRef/>
      </w:r>
      <w:r>
        <w:t xml:space="preserve"> </w:t>
      </w:r>
      <w:r w:rsidR="00163706">
        <w:t>See in</w:t>
      </w:r>
      <w:r>
        <w:t xml:space="preserve"> particular Articles 18, 19 and 20 of OPCAT, which also refer t</w:t>
      </w:r>
      <w:r w:rsidR="00490B13">
        <w:t xml:space="preserve">o </w:t>
      </w:r>
      <w:r w:rsidR="00630B71">
        <w:t>the Principles relating to</w:t>
      </w:r>
      <w:r w:rsidR="00490B13">
        <w:t xml:space="preserve"> the Status of N</w:t>
      </w:r>
      <w:r>
        <w:t xml:space="preserve">ational </w:t>
      </w:r>
      <w:r w:rsidR="00490B13">
        <w:t>Institutions for the Pr</w:t>
      </w:r>
      <w:r>
        <w:t xml:space="preserve">omotion and </w:t>
      </w:r>
      <w:r w:rsidR="00490B13">
        <w:t>Protection of H</w:t>
      </w:r>
      <w:r>
        <w:t xml:space="preserve">uman </w:t>
      </w:r>
      <w:r w:rsidR="00490B13">
        <w:t>R</w:t>
      </w:r>
      <w:r>
        <w:t>ights (eg the Paris Principles</w:t>
      </w:r>
      <w:r w:rsidR="00252711">
        <w:t>)</w:t>
      </w:r>
      <w:r>
        <w:t xml:space="preserve">. </w:t>
      </w:r>
    </w:p>
  </w:footnote>
  <w:footnote w:id="24">
    <w:p w14:paraId="63FC2839" w14:textId="3BE756F8" w:rsidR="00052290" w:rsidRDefault="00052290" w:rsidP="00052290">
      <w:pPr>
        <w:pStyle w:val="FootnoteText"/>
      </w:pPr>
      <w:r>
        <w:rPr>
          <w:rStyle w:val="FootnoteReference"/>
        </w:rPr>
        <w:footnoteRef/>
      </w:r>
      <w:r>
        <w:t xml:space="preserve"> </w:t>
      </w:r>
      <w:r w:rsidRPr="007857FB">
        <w:t>Office of the Custodial Inspector Tasmania</w:t>
      </w:r>
      <w:r w:rsidR="00252711" w:rsidRPr="007857FB">
        <w:t xml:space="preserve">, </w:t>
      </w:r>
      <w:r w:rsidR="00252711" w:rsidRPr="007857FB">
        <w:rPr>
          <w:i/>
        </w:rPr>
        <w:t>Annual Report 2018-2019</w:t>
      </w:r>
      <w:r w:rsidRPr="007857FB">
        <w:rPr>
          <w:i/>
        </w:rPr>
        <w:t xml:space="preserve"> </w:t>
      </w:r>
      <w:r w:rsidRPr="007857FB">
        <w:t>(</w:t>
      </w:r>
      <w:r w:rsidR="00252711" w:rsidRPr="007857FB">
        <w:t xml:space="preserve">Report, </w:t>
      </w:r>
      <w:r w:rsidRPr="007857FB">
        <w:t>October 2019)</w:t>
      </w:r>
      <w:r w:rsidR="007857FB" w:rsidRPr="007857FB">
        <w:t>, 6</w:t>
      </w:r>
      <w:r w:rsidRPr="007857FB">
        <w:t>.</w:t>
      </w:r>
      <w:r w:rsidRPr="000C425C">
        <w:t xml:space="preserve"> </w:t>
      </w:r>
    </w:p>
  </w:footnote>
  <w:footnote w:id="25">
    <w:p w14:paraId="5B9FF875" w14:textId="466C5F05" w:rsidR="00052290" w:rsidRDefault="00052290" w:rsidP="00052290">
      <w:pPr>
        <w:pStyle w:val="FootnoteText"/>
      </w:pPr>
      <w:r>
        <w:rPr>
          <w:rStyle w:val="FootnoteReference"/>
        </w:rPr>
        <w:footnoteRef/>
      </w:r>
      <w:r>
        <w:t xml:space="preserve"> </w:t>
      </w:r>
      <w:r w:rsidRPr="007857FB">
        <w:t>Office of the Custodial Inspector Tasmania</w:t>
      </w:r>
      <w:r w:rsidR="00252711" w:rsidRPr="007857FB">
        <w:t xml:space="preserve">, </w:t>
      </w:r>
      <w:r w:rsidR="00252711" w:rsidRPr="007857FB">
        <w:rPr>
          <w:i/>
        </w:rPr>
        <w:t>Annual Report 2019-2020</w:t>
      </w:r>
      <w:r w:rsidRPr="007857FB">
        <w:t xml:space="preserve"> (</w:t>
      </w:r>
      <w:r w:rsidR="00252711" w:rsidRPr="007857FB">
        <w:t xml:space="preserve">Report, </w:t>
      </w:r>
      <w:r w:rsidRPr="007857FB">
        <w:t>October 2020)</w:t>
      </w:r>
      <w:r w:rsidR="007857FB" w:rsidRPr="007857FB">
        <w:t>, 6</w:t>
      </w:r>
      <w:r w:rsidRPr="007857FB">
        <w:t>.</w:t>
      </w:r>
      <w:r w:rsidRPr="000C425C">
        <w:t xml:space="preserve"> </w:t>
      </w:r>
    </w:p>
  </w:footnote>
  <w:footnote w:id="26">
    <w:p w14:paraId="230B93F8" w14:textId="5B53B748" w:rsidR="00052290" w:rsidRDefault="00052290" w:rsidP="00052290">
      <w:pPr>
        <w:pStyle w:val="FootnoteText"/>
      </w:pPr>
      <w:r>
        <w:rPr>
          <w:rStyle w:val="FootnoteReference"/>
        </w:rPr>
        <w:footnoteRef/>
      </w:r>
      <w:r>
        <w:t xml:space="preserve"> </w:t>
      </w:r>
      <w:r w:rsidR="00252711" w:rsidRPr="00494D53">
        <w:t xml:space="preserve">Commonwealth Ombudsman, </w:t>
      </w:r>
      <w:r w:rsidRPr="00494D53">
        <w:rPr>
          <w:i/>
        </w:rPr>
        <w:t>Implementation of the Optional Protocol to the Convention Against Torture and Other Cruel, Inhuman and Degrading Treatment or Punishment (OPCAT) Baseline Assessment of Australia’s OPCAT Readiness</w:t>
      </w:r>
      <w:r w:rsidR="00252711" w:rsidRPr="00494D53">
        <w:rPr>
          <w:i/>
        </w:rPr>
        <w:t xml:space="preserve"> </w:t>
      </w:r>
      <w:r w:rsidR="00252711" w:rsidRPr="00494D53">
        <w:t>(Report</w:t>
      </w:r>
      <w:r w:rsidR="007857FB" w:rsidRPr="00494D53">
        <w:t xml:space="preserve"> No 3</w:t>
      </w:r>
      <w:r w:rsidR="00252711" w:rsidRPr="00494D53">
        <w:t>, 2019)</w:t>
      </w:r>
      <w:r w:rsidR="007857FB" w:rsidRPr="00494D53">
        <w:t>, 42 [3.7]</w:t>
      </w:r>
      <w:r w:rsidRPr="003C2646">
        <w:t xml:space="preserve"> </w:t>
      </w:r>
    </w:p>
  </w:footnote>
  <w:footnote w:id="27">
    <w:p w14:paraId="0AB75A29" w14:textId="5B0A7037" w:rsidR="00874EE4" w:rsidRDefault="00874EE4">
      <w:pPr>
        <w:pStyle w:val="FootnoteText"/>
      </w:pPr>
      <w:r>
        <w:rPr>
          <w:rStyle w:val="FootnoteReference"/>
        </w:rPr>
        <w:footnoteRef/>
      </w:r>
      <w:r>
        <w:t xml:space="preserve"> </w:t>
      </w:r>
      <w:r w:rsidR="00920A7A">
        <w:t xml:space="preserve">Explanatory Notes, </w:t>
      </w:r>
      <w:r w:rsidR="00920A7A" w:rsidRPr="00920A7A">
        <w:t>Inspector of Detention Services Bill 2021</w:t>
      </w:r>
      <w:r w:rsidR="00494D53">
        <w:t xml:space="preserve"> (Qld)</w:t>
      </w:r>
      <w:r w:rsidR="00920A7A">
        <w:t xml:space="preserve"> 7. </w:t>
      </w:r>
    </w:p>
  </w:footnote>
  <w:footnote w:id="28">
    <w:p w14:paraId="77F2FE10" w14:textId="0EFC2D69" w:rsidR="00DD7A12" w:rsidRDefault="00DD7A12">
      <w:pPr>
        <w:pStyle w:val="FootnoteText"/>
      </w:pPr>
      <w:r>
        <w:rPr>
          <w:rStyle w:val="FootnoteReference"/>
        </w:rPr>
        <w:footnoteRef/>
      </w:r>
      <w:r>
        <w:t xml:space="preserve"> </w:t>
      </w:r>
      <w:r w:rsidR="00494D53" w:rsidRPr="00494D53">
        <w:t>Subcommittee on Prevention of Torture and Other Cruel, Inhuman or De</w:t>
      </w:r>
      <w:r w:rsidR="00494D53">
        <w:t xml:space="preserve">grading Treatment or Punishment, </w:t>
      </w:r>
      <w:r w:rsidR="00494D53" w:rsidRPr="00494D53">
        <w:rPr>
          <w:i/>
        </w:rPr>
        <w:t>Report on the visit made by the Subcommittee on Prevention of Torture and Other Cruel, Inhuman or Degrading Treatment or Punishment for the purpose of providing advisory assistance to the national preventive mechanism of Turkey</w:t>
      </w:r>
      <w:r w:rsidR="00494D53" w:rsidRPr="00494D53">
        <w:t>, CAT/OP/TUR/1</w:t>
      </w:r>
      <w:r w:rsidR="00494D53">
        <w:t xml:space="preserve"> </w:t>
      </w:r>
      <w:r w:rsidR="00494D53" w:rsidRPr="00494D53">
        <w:t xml:space="preserve">(12 December 2019), </w:t>
      </w:r>
      <w:r w:rsidR="00494D53">
        <w:t>[</w:t>
      </w:r>
      <w:r w:rsidR="00494D53" w:rsidRPr="00494D53">
        <w:t>21</w:t>
      </w:r>
      <w:r w:rsidR="00494D53">
        <w:t>]</w:t>
      </w:r>
      <w:r w:rsidR="00494D53" w:rsidRPr="00494D53">
        <w:t>.</w:t>
      </w:r>
    </w:p>
  </w:footnote>
  <w:footnote w:id="29">
    <w:p w14:paraId="67C14471" w14:textId="0AA9E112" w:rsidR="00920A7A" w:rsidRDefault="00920A7A" w:rsidP="008F11E9">
      <w:pPr>
        <w:pStyle w:val="FootnoteText"/>
      </w:pPr>
      <w:r>
        <w:rPr>
          <w:rStyle w:val="FootnoteReference"/>
        </w:rPr>
        <w:footnoteRef/>
      </w:r>
      <w:r>
        <w:t xml:space="preserve"> </w:t>
      </w:r>
      <w:r w:rsidR="008F11E9">
        <w:t xml:space="preserve">United Nations Office of the High Commissioner for Human Rights (2018) </w:t>
      </w:r>
      <w:r w:rsidR="008F11E9" w:rsidRPr="008F11E9">
        <w:rPr>
          <w:i/>
        </w:rPr>
        <w:t>Preventing Torture, The Role of National Preventive Mechanisms, A Practical Guide</w:t>
      </w:r>
      <w:r w:rsidR="008F11E9">
        <w:rPr>
          <w:i/>
        </w:rPr>
        <w:t xml:space="preserve">, </w:t>
      </w:r>
      <w:r w:rsidR="008F11E9">
        <w:t>Professional Training Series No. 21,</w:t>
      </w:r>
      <w:r w:rsidR="008F11E9">
        <w:rPr>
          <w:i/>
        </w:rPr>
        <w:t xml:space="preserve"> </w:t>
      </w:r>
      <w:r w:rsidR="008F11E9">
        <w:t>30</w:t>
      </w:r>
    </w:p>
  </w:footnote>
  <w:footnote w:id="30">
    <w:p w14:paraId="6D95A56F" w14:textId="2F5F7894" w:rsidR="00FC3185" w:rsidRPr="00490B13" w:rsidRDefault="00FC3185">
      <w:pPr>
        <w:pStyle w:val="FootnoteText"/>
      </w:pPr>
      <w:r>
        <w:rPr>
          <w:rStyle w:val="FootnoteReference"/>
        </w:rPr>
        <w:footnoteRef/>
      </w:r>
      <w:r>
        <w:t xml:space="preserve"> </w:t>
      </w:r>
      <w:r w:rsidRPr="00ED7CFE">
        <w:t xml:space="preserve">The number of children in the youth justice system has increased significantly over the previous 12 months. </w:t>
      </w:r>
      <w:r w:rsidR="00490B13">
        <w:t>See for example Cloe Read, ‘“</w:t>
      </w:r>
      <w:r w:rsidR="00490B13" w:rsidRPr="00490B13">
        <w:t>Custody doesn’t solve everything</w:t>
      </w:r>
      <w:r w:rsidR="00490B13">
        <w:t>”</w:t>
      </w:r>
      <w:r w:rsidR="00490B13" w:rsidRPr="00490B13">
        <w:t>: State’s detention centres at or near full</w:t>
      </w:r>
      <w:r w:rsidR="00490B13">
        <w:t xml:space="preserve">’, </w:t>
      </w:r>
      <w:r w:rsidR="00490B13">
        <w:rPr>
          <w:i/>
        </w:rPr>
        <w:t xml:space="preserve">Brisbane Times </w:t>
      </w:r>
      <w:r w:rsidR="00490B13">
        <w:t>(online, 18 November 2021) &lt;</w:t>
      </w:r>
      <w:r w:rsidR="00490B13" w:rsidRPr="00490B13">
        <w:t>https://www.brisbanetimes.com.au/national/queensland/custody-doesn-t-solve-everything-state-s-detention-centres-at-or-near-full-20211118-p59a4c.html</w:t>
      </w:r>
      <w:r w:rsidR="00490B13">
        <w:t>&gt;</w:t>
      </w:r>
    </w:p>
  </w:footnote>
  <w:footnote w:id="31">
    <w:p w14:paraId="298B2F8C" w14:textId="77027C71" w:rsidR="00C13E33" w:rsidRPr="00C13E33" w:rsidRDefault="00C13E33">
      <w:pPr>
        <w:pStyle w:val="FootnoteText"/>
      </w:pPr>
      <w:r>
        <w:rPr>
          <w:rStyle w:val="FootnoteReference"/>
        </w:rPr>
        <w:footnoteRef/>
      </w:r>
      <w:r>
        <w:t xml:space="preserve"> Queensland Police Service, </w:t>
      </w:r>
      <w:r w:rsidR="00CA2A40">
        <w:t>‘</w:t>
      </w:r>
      <w:r w:rsidRPr="00CA2A40">
        <w:t>Operational Procedures Manual Issue 84.2 Public Edition</w:t>
      </w:r>
      <w:r w:rsidR="00CA2A40">
        <w:rPr>
          <w:i/>
        </w:rPr>
        <w:t>’</w:t>
      </w:r>
      <w:r w:rsidR="00CA2A40">
        <w:t xml:space="preserve"> </w:t>
      </w:r>
      <w:r>
        <w:t xml:space="preserve">(Effective 8 November 2021), Chapter 16, 55-56. </w:t>
      </w:r>
    </w:p>
  </w:footnote>
  <w:footnote w:id="32">
    <w:p w14:paraId="13ACB2AD" w14:textId="5EE668DC" w:rsidR="00B45844" w:rsidRDefault="00B45844">
      <w:pPr>
        <w:pStyle w:val="FootnoteText"/>
      </w:pPr>
      <w:r>
        <w:rPr>
          <w:rStyle w:val="FootnoteReference"/>
        </w:rPr>
        <w:footnoteRef/>
      </w:r>
      <w:r>
        <w:t xml:space="preserve"> </w:t>
      </w:r>
      <w:r w:rsidRPr="003B0A61">
        <w:t xml:space="preserve">These standards should also consider other relevant international </w:t>
      </w:r>
      <w:r w:rsidR="003B0A61" w:rsidRPr="003B0A61">
        <w:t>rule</w:t>
      </w:r>
      <w:r w:rsidRPr="003B0A61">
        <w:t xml:space="preserve">s such as </w:t>
      </w:r>
      <w:r w:rsidR="003B0A61" w:rsidRPr="003B0A61">
        <w:t>the United Nations Standard Minimum Rules of Prisoners (the Nelson Mandela Rules) and United Nations rules for the Protection of Juveniles Deprived of their Liberty (Havana Rules).</w:t>
      </w:r>
      <w:r w:rsidR="003B0A61">
        <w:t xml:space="preserve"> </w:t>
      </w:r>
    </w:p>
  </w:footnote>
  <w:footnote w:id="33">
    <w:p w14:paraId="66033EDD" w14:textId="252456D9" w:rsidR="00BF63CB" w:rsidRPr="002F751F" w:rsidRDefault="00BF63CB">
      <w:pPr>
        <w:pStyle w:val="FootnoteText"/>
      </w:pPr>
      <w:r>
        <w:rPr>
          <w:rStyle w:val="FootnoteReference"/>
        </w:rPr>
        <w:footnoteRef/>
      </w:r>
      <w:r>
        <w:t xml:space="preserve"> </w:t>
      </w:r>
      <w:r w:rsidR="002F751F">
        <w:rPr>
          <w:i/>
        </w:rPr>
        <w:t xml:space="preserve">Inspector of Correctional Services Act 2017 </w:t>
      </w:r>
      <w:r w:rsidR="002F751F">
        <w:t xml:space="preserve">(ACT), s 17. See also ACT Inspector of Correctional Services, </w:t>
      </w:r>
      <w:r w:rsidR="002F751F">
        <w:rPr>
          <w:i/>
        </w:rPr>
        <w:t xml:space="preserve">Summary of all critical incident review recommendations and government responses, </w:t>
      </w:r>
      <w:r w:rsidR="002F751F">
        <w:t xml:space="preserve">(Report, 2021). </w:t>
      </w:r>
    </w:p>
  </w:footnote>
  <w:footnote w:id="34">
    <w:p w14:paraId="6490A897" w14:textId="09234FEE" w:rsidR="00614691" w:rsidRPr="002F751F" w:rsidRDefault="00614691" w:rsidP="002F751F">
      <w:pPr>
        <w:pStyle w:val="FootnoteText"/>
      </w:pPr>
      <w:r>
        <w:rPr>
          <w:rStyle w:val="FootnoteReference"/>
        </w:rPr>
        <w:footnoteRef/>
      </w:r>
      <w:r>
        <w:t xml:space="preserve"> </w:t>
      </w:r>
      <w:r w:rsidR="002F751F">
        <w:t xml:space="preserve">Commonwealth Ombudsman, </w:t>
      </w:r>
      <w:r w:rsidR="002F751F" w:rsidRPr="002F751F">
        <w:t>‘Implementing OPCAT in Australia – an update from the Commonwealth Ombudsman’</w:t>
      </w:r>
      <w:r w:rsidR="002F751F">
        <w:t xml:space="preserve"> (Speech, 7th Annual Prisons Conference, Melbourne, 2 August 2018) </w:t>
      </w:r>
    </w:p>
  </w:footnote>
  <w:footnote w:id="35">
    <w:p w14:paraId="50BBD144" w14:textId="0DC0AC1E" w:rsidR="0028609D" w:rsidRDefault="0028609D">
      <w:pPr>
        <w:pStyle w:val="FootnoteText"/>
      </w:pPr>
      <w:r>
        <w:rPr>
          <w:rStyle w:val="FootnoteReference"/>
        </w:rPr>
        <w:footnoteRef/>
      </w:r>
      <w:r>
        <w:t xml:space="preserve"> </w:t>
      </w:r>
      <w:r w:rsidR="00CA2A40" w:rsidRPr="006E288D">
        <w:t>Office of the Inspector of Custodial Services</w:t>
      </w:r>
      <w:r w:rsidR="00CA2A40">
        <w:t xml:space="preserve"> (WA)</w:t>
      </w:r>
      <w:r w:rsidR="00CA2A40" w:rsidRPr="006E288D">
        <w:t xml:space="preserve">, </w:t>
      </w:r>
      <w:r w:rsidR="00CA2A40">
        <w:t>‘</w:t>
      </w:r>
      <w:r w:rsidR="00CA2A40" w:rsidRPr="00CA2A40">
        <w:t>Revised Code of Inspection Standards for Adult Custodial Services</w:t>
      </w:r>
      <w:r w:rsidR="00CA2A40">
        <w:t>’ (December 2020</w:t>
      </w:r>
      <w:r w:rsidR="00CA2A40" w:rsidRPr="006E288D">
        <w:t xml:space="preserve">) </w:t>
      </w:r>
      <w:r>
        <w:t xml:space="preserve">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80E217B"/>
    <w:multiLevelType w:val="multilevel"/>
    <w:tmpl w:val="78D8795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9"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1"/>
  </w:num>
  <w:num w:numId="4">
    <w:abstractNumId w:val="10"/>
  </w:num>
  <w:num w:numId="5">
    <w:abstractNumId w:val="13"/>
  </w:num>
  <w:num w:numId="6">
    <w:abstractNumId w:val="16"/>
  </w:num>
  <w:num w:numId="7">
    <w:abstractNumId w:val="2"/>
  </w:num>
  <w:num w:numId="8">
    <w:abstractNumId w:val="11"/>
  </w:num>
  <w:num w:numId="9">
    <w:abstractNumId w:val="20"/>
  </w:num>
  <w:num w:numId="10">
    <w:abstractNumId w:val="22"/>
  </w:num>
  <w:num w:numId="11">
    <w:abstractNumId w:val="17"/>
  </w:num>
  <w:num w:numId="12">
    <w:abstractNumId w:val="12"/>
  </w:num>
  <w:num w:numId="13">
    <w:abstractNumId w:val="5"/>
  </w:num>
  <w:num w:numId="14">
    <w:abstractNumId w:val="7"/>
  </w:num>
  <w:num w:numId="15">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8"/>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6"/>
  </w:num>
  <w:num w:numId="22">
    <w:abstractNumId w:val="14"/>
  </w:num>
  <w:num w:numId="23">
    <w:abstractNumId w:val="0"/>
  </w:num>
  <w:num w:numId="24">
    <w:abstractNumId w:val="23"/>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90"/>
    <w:rsid w:val="00002F05"/>
    <w:rsid w:val="00017168"/>
    <w:rsid w:val="0002351E"/>
    <w:rsid w:val="00024EA4"/>
    <w:rsid w:val="00041E58"/>
    <w:rsid w:val="00044A7F"/>
    <w:rsid w:val="00045B46"/>
    <w:rsid w:val="00046477"/>
    <w:rsid w:val="00047983"/>
    <w:rsid w:val="00052290"/>
    <w:rsid w:val="00054120"/>
    <w:rsid w:val="00056960"/>
    <w:rsid w:val="00057023"/>
    <w:rsid w:val="00057D21"/>
    <w:rsid w:val="00063EDF"/>
    <w:rsid w:val="0006782D"/>
    <w:rsid w:val="00072CE6"/>
    <w:rsid w:val="000731D3"/>
    <w:rsid w:val="00075AB0"/>
    <w:rsid w:val="0007682B"/>
    <w:rsid w:val="00093A57"/>
    <w:rsid w:val="00095FBB"/>
    <w:rsid w:val="00096517"/>
    <w:rsid w:val="000A201B"/>
    <w:rsid w:val="000B6C72"/>
    <w:rsid w:val="000B794F"/>
    <w:rsid w:val="000C6E1A"/>
    <w:rsid w:val="000D49A5"/>
    <w:rsid w:val="000E052F"/>
    <w:rsid w:val="000E1039"/>
    <w:rsid w:val="000E2872"/>
    <w:rsid w:val="000F0BC1"/>
    <w:rsid w:val="000F4098"/>
    <w:rsid w:val="00105217"/>
    <w:rsid w:val="001066BD"/>
    <w:rsid w:val="00121E6F"/>
    <w:rsid w:val="00124A35"/>
    <w:rsid w:val="001304EE"/>
    <w:rsid w:val="00131862"/>
    <w:rsid w:val="00160CF6"/>
    <w:rsid w:val="00163706"/>
    <w:rsid w:val="001825CB"/>
    <w:rsid w:val="00182865"/>
    <w:rsid w:val="00182E06"/>
    <w:rsid w:val="00187D43"/>
    <w:rsid w:val="001916E4"/>
    <w:rsid w:val="0019203A"/>
    <w:rsid w:val="00195E9F"/>
    <w:rsid w:val="001A12BD"/>
    <w:rsid w:val="001B1A27"/>
    <w:rsid w:val="001B5470"/>
    <w:rsid w:val="001B57C6"/>
    <w:rsid w:val="001C01FD"/>
    <w:rsid w:val="001C127F"/>
    <w:rsid w:val="001D50C0"/>
    <w:rsid w:val="001D63E4"/>
    <w:rsid w:val="001D7758"/>
    <w:rsid w:val="001E3A26"/>
    <w:rsid w:val="001F3F19"/>
    <w:rsid w:val="001F5F4B"/>
    <w:rsid w:val="00227178"/>
    <w:rsid w:val="00233F52"/>
    <w:rsid w:val="00235527"/>
    <w:rsid w:val="00240EF9"/>
    <w:rsid w:val="0024194E"/>
    <w:rsid w:val="0024500D"/>
    <w:rsid w:val="00252711"/>
    <w:rsid w:val="00252B28"/>
    <w:rsid w:val="00253B42"/>
    <w:rsid w:val="00260847"/>
    <w:rsid w:val="00283D88"/>
    <w:rsid w:val="00284FF0"/>
    <w:rsid w:val="0028609D"/>
    <w:rsid w:val="00292C50"/>
    <w:rsid w:val="00293C9F"/>
    <w:rsid w:val="002A03F1"/>
    <w:rsid w:val="002B4864"/>
    <w:rsid w:val="002B65D4"/>
    <w:rsid w:val="002C2F6A"/>
    <w:rsid w:val="002C54B2"/>
    <w:rsid w:val="002D386B"/>
    <w:rsid w:val="002D46A2"/>
    <w:rsid w:val="002E32E2"/>
    <w:rsid w:val="002E433B"/>
    <w:rsid w:val="002E744F"/>
    <w:rsid w:val="002F751F"/>
    <w:rsid w:val="00310105"/>
    <w:rsid w:val="00310CB2"/>
    <w:rsid w:val="00312C2A"/>
    <w:rsid w:val="003204FA"/>
    <w:rsid w:val="00321445"/>
    <w:rsid w:val="0032516B"/>
    <w:rsid w:val="0033216F"/>
    <w:rsid w:val="0034134D"/>
    <w:rsid w:val="00344F59"/>
    <w:rsid w:val="00346096"/>
    <w:rsid w:val="00350D39"/>
    <w:rsid w:val="00352AAF"/>
    <w:rsid w:val="0035654D"/>
    <w:rsid w:val="00370336"/>
    <w:rsid w:val="00372B6B"/>
    <w:rsid w:val="003847F0"/>
    <w:rsid w:val="00392522"/>
    <w:rsid w:val="00395332"/>
    <w:rsid w:val="003A3833"/>
    <w:rsid w:val="003A666E"/>
    <w:rsid w:val="003B0A61"/>
    <w:rsid w:val="003B197E"/>
    <w:rsid w:val="003B1B74"/>
    <w:rsid w:val="003B7269"/>
    <w:rsid w:val="003C1B81"/>
    <w:rsid w:val="003C2709"/>
    <w:rsid w:val="003C443B"/>
    <w:rsid w:val="003C6A61"/>
    <w:rsid w:val="003D3AAC"/>
    <w:rsid w:val="003D625C"/>
    <w:rsid w:val="003F6F7E"/>
    <w:rsid w:val="00421429"/>
    <w:rsid w:val="00431D51"/>
    <w:rsid w:val="004418EC"/>
    <w:rsid w:val="004424F3"/>
    <w:rsid w:val="00451416"/>
    <w:rsid w:val="004538FC"/>
    <w:rsid w:val="00454EBD"/>
    <w:rsid w:val="0045765D"/>
    <w:rsid w:val="00463BEF"/>
    <w:rsid w:val="00466216"/>
    <w:rsid w:val="00472DA3"/>
    <w:rsid w:val="00490B13"/>
    <w:rsid w:val="00494D53"/>
    <w:rsid w:val="004A0AE2"/>
    <w:rsid w:val="004A2375"/>
    <w:rsid w:val="004A6F71"/>
    <w:rsid w:val="004B0599"/>
    <w:rsid w:val="004B71ED"/>
    <w:rsid w:val="004C17FC"/>
    <w:rsid w:val="004C2886"/>
    <w:rsid w:val="004E3D6B"/>
    <w:rsid w:val="004E58C1"/>
    <w:rsid w:val="004F2CB8"/>
    <w:rsid w:val="004F4CB1"/>
    <w:rsid w:val="005009D5"/>
    <w:rsid w:val="00502924"/>
    <w:rsid w:val="005146D7"/>
    <w:rsid w:val="00516283"/>
    <w:rsid w:val="00517696"/>
    <w:rsid w:val="00517D74"/>
    <w:rsid w:val="0052162D"/>
    <w:rsid w:val="00533075"/>
    <w:rsid w:val="00563BF7"/>
    <w:rsid w:val="005653E2"/>
    <w:rsid w:val="00580083"/>
    <w:rsid w:val="005828D3"/>
    <w:rsid w:val="005916EB"/>
    <w:rsid w:val="005A7C66"/>
    <w:rsid w:val="005B404C"/>
    <w:rsid w:val="005B7E50"/>
    <w:rsid w:val="005C3FB8"/>
    <w:rsid w:val="005D5A16"/>
    <w:rsid w:val="005E0936"/>
    <w:rsid w:val="005E130F"/>
    <w:rsid w:val="005E452A"/>
    <w:rsid w:val="005E5159"/>
    <w:rsid w:val="005E53E9"/>
    <w:rsid w:val="005F0F47"/>
    <w:rsid w:val="00610BCE"/>
    <w:rsid w:val="00612DC7"/>
    <w:rsid w:val="00614691"/>
    <w:rsid w:val="00617E4F"/>
    <w:rsid w:val="0062063E"/>
    <w:rsid w:val="006252B6"/>
    <w:rsid w:val="00627334"/>
    <w:rsid w:val="00630B71"/>
    <w:rsid w:val="006335BE"/>
    <w:rsid w:val="00642F71"/>
    <w:rsid w:val="00644E93"/>
    <w:rsid w:val="006466AD"/>
    <w:rsid w:val="006501BF"/>
    <w:rsid w:val="00651790"/>
    <w:rsid w:val="006521CE"/>
    <w:rsid w:val="0065259C"/>
    <w:rsid w:val="006600B5"/>
    <w:rsid w:val="006769BF"/>
    <w:rsid w:val="0068096E"/>
    <w:rsid w:val="006822BE"/>
    <w:rsid w:val="00682E98"/>
    <w:rsid w:val="00690748"/>
    <w:rsid w:val="00694221"/>
    <w:rsid w:val="00696E91"/>
    <w:rsid w:val="006A39A0"/>
    <w:rsid w:val="006A7B3A"/>
    <w:rsid w:val="006B19F1"/>
    <w:rsid w:val="006B2EDE"/>
    <w:rsid w:val="006C0383"/>
    <w:rsid w:val="006C4AE9"/>
    <w:rsid w:val="006D0618"/>
    <w:rsid w:val="006D0CD6"/>
    <w:rsid w:val="006D167D"/>
    <w:rsid w:val="006E288D"/>
    <w:rsid w:val="006E7ACA"/>
    <w:rsid w:val="006F0979"/>
    <w:rsid w:val="006F1EFD"/>
    <w:rsid w:val="006F1F8D"/>
    <w:rsid w:val="00701BE5"/>
    <w:rsid w:val="00705D63"/>
    <w:rsid w:val="007069A1"/>
    <w:rsid w:val="00706A05"/>
    <w:rsid w:val="00730224"/>
    <w:rsid w:val="00735BA1"/>
    <w:rsid w:val="00742BC7"/>
    <w:rsid w:val="007430AE"/>
    <w:rsid w:val="00751AE0"/>
    <w:rsid w:val="00757C09"/>
    <w:rsid w:val="00761291"/>
    <w:rsid w:val="007619FB"/>
    <w:rsid w:val="00763604"/>
    <w:rsid w:val="00770055"/>
    <w:rsid w:val="007857FB"/>
    <w:rsid w:val="00791CA0"/>
    <w:rsid w:val="007A45D7"/>
    <w:rsid w:val="007B25BD"/>
    <w:rsid w:val="007B538A"/>
    <w:rsid w:val="007C47D8"/>
    <w:rsid w:val="007C510E"/>
    <w:rsid w:val="007C62E7"/>
    <w:rsid w:val="007D0694"/>
    <w:rsid w:val="007D0AF8"/>
    <w:rsid w:val="007D1864"/>
    <w:rsid w:val="007D3153"/>
    <w:rsid w:val="007F4F44"/>
    <w:rsid w:val="0080290B"/>
    <w:rsid w:val="008037F9"/>
    <w:rsid w:val="00805768"/>
    <w:rsid w:val="008101EC"/>
    <w:rsid w:val="008157C3"/>
    <w:rsid w:val="00827429"/>
    <w:rsid w:val="00837498"/>
    <w:rsid w:val="00843EC2"/>
    <w:rsid w:val="008470F3"/>
    <w:rsid w:val="00850155"/>
    <w:rsid w:val="0086439D"/>
    <w:rsid w:val="0086440A"/>
    <w:rsid w:val="00867AFD"/>
    <w:rsid w:val="00871324"/>
    <w:rsid w:val="00874EE4"/>
    <w:rsid w:val="0089208D"/>
    <w:rsid w:val="008930A1"/>
    <w:rsid w:val="008970A8"/>
    <w:rsid w:val="008B0352"/>
    <w:rsid w:val="008B3191"/>
    <w:rsid w:val="008C3D59"/>
    <w:rsid w:val="008C6189"/>
    <w:rsid w:val="008D29B3"/>
    <w:rsid w:val="008D4D8D"/>
    <w:rsid w:val="008D7E35"/>
    <w:rsid w:val="008E2FB8"/>
    <w:rsid w:val="008E304C"/>
    <w:rsid w:val="008E4176"/>
    <w:rsid w:val="008E593B"/>
    <w:rsid w:val="008E792D"/>
    <w:rsid w:val="008F11E9"/>
    <w:rsid w:val="008F2D44"/>
    <w:rsid w:val="0090102E"/>
    <w:rsid w:val="00905A21"/>
    <w:rsid w:val="009116DC"/>
    <w:rsid w:val="00912E7D"/>
    <w:rsid w:val="00914828"/>
    <w:rsid w:val="00917626"/>
    <w:rsid w:val="00920A7A"/>
    <w:rsid w:val="009429E7"/>
    <w:rsid w:val="009716A0"/>
    <w:rsid w:val="009746DD"/>
    <w:rsid w:val="00987057"/>
    <w:rsid w:val="009916F8"/>
    <w:rsid w:val="009A556B"/>
    <w:rsid w:val="009A6238"/>
    <w:rsid w:val="009B787E"/>
    <w:rsid w:val="009D23B5"/>
    <w:rsid w:val="009D3109"/>
    <w:rsid w:val="009D3B40"/>
    <w:rsid w:val="009E42AE"/>
    <w:rsid w:val="009E705C"/>
    <w:rsid w:val="009F3E8A"/>
    <w:rsid w:val="00A0082F"/>
    <w:rsid w:val="00A023C1"/>
    <w:rsid w:val="00A04235"/>
    <w:rsid w:val="00A16356"/>
    <w:rsid w:val="00A30198"/>
    <w:rsid w:val="00A35BBA"/>
    <w:rsid w:val="00A45369"/>
    <w:rsid w:val="00A53D1F"/>
    <w:rsid w:val="00A70E36"/>
    <w:rsid w:val="00A90373"/>
    <w:rsid w:val="00AA1020"/>
    <w:rsid w:val="00AA4AD5"/>
    <w:rsid w:val="00AC2D6B"/>
    <w:rsid w:val="00AC468A"/>
    <w:rsid w:val="00AE176D"/>
    <w:rsid w:val="00AE3A61"/>
    <w:rsid w:val="00AF0BDD"/>
    <w:rsid w:val="00AF33E4"/>
    <w:rsid w:val="00AF635C"/>
    <w:rsid w:val="00B03079"/>
    <w:rsid w:val="00B0659F"/>
    <w:rsid w:val="00B22564"/>
    <w:rsid w:val="00B30795"/>
    <w:rsid w:val="00B360EA"/>
    <w:rsid w:val="00B41356"/>
    <w:rsid w:val="00B45844"/>
    <w:rsid w:val="00B46BAB"/>
    <w:rsid w:val="00B50E47"/>
    <w:rsid w:val="00B50F67"/>
    <w:rsid w:val="00B60E0A"/>
    <w:rsid w:val="00B67E6E"/>
    <w:rsid w:val="00B82CE9"/>
    <w:rsid w:val="00B83AE9"/>
    <w:rsid w:val="00B8743D"/>
    <w:rsid w:val="00B87FB4"/>
    <w:rsid w:val="00B91C4E"/>
    <w:rsid w:val="00B91EA6"/>
    <w:rsid w:val="00B933A9"/>
    <w:rsid w:val="00B94CB4"/>
    <w:rsid w:val="00BA130A"/>
    <w:rsid w:val="00BA7A88"/>
    <w:rsid w:val="00BB0B80"/>
    <w:rsid w:val="00BB2F50"/>
    <w:rsid w:val="00BD6C52"/>
    <w:rsid w:val="00BE6B8A"/>
    <w:rsid w:val="00BF63CB"/>
    <w:rsid w:val="00C100A2"/>
    <w:rsid w:val="00C13E33"/>
    <w:rsid w:val="00C255F9"/>
    <w:rsid w:val="00C33416"/>
    <w:rsid w:val="00C35743"/>
    <w:rsid w:val="00C4116E"/>
    <w:rsid w:val="00C526DC"/>
    <w:rsid w:val="00C627FD"/>
    <w:rsid w:val="00C641D7"/>
    <w:rsid w:val="00C66E1D"/>
    <w:rsid w:val="00C8564F"/>
    <w:rsid w:val="00C9716F"/>
    <w:rsid w:val="00CA162B"/>
    <w:rsid w:val="00CA23CF"/>
    <w:rsid w:val="00CA2A40"/>
    <w:rsid w:val="00CA4879"/>
    <w:rsid w:val="00CA7430"/>
    <w:rsid w:val="00CB0BBF"/>
    <w:rsid w:val="00CC2E5C"/>
    <w:rsid w:val="00CD1E33"/>
    <w:rsid w:val="00CD7704"/>
    <w:rsid w:val="00CE14AA"/>
    <w:rsid w:val="00CE4544"/>
    <w:rsid w:val="00D04AA8"/>
    <w:rsid w:val="00D102EC"/>
    <w:rsid w:val="00D21103"/>
    <w:rsid w:val="00D257DC"/>
    <w:rsid w:val="00D325F2"/>
    <w:rsid w:val="00D33110"/>
    <w:rsid w:val="00D33FEE"/>
    <w:rsid w:val="00D35B0E"/>
    <w:rsid w:val="00D44FCC"/>
    <w:rsid w:val="00D54A89"/>
    <w:rsid w:val="00D56EB3"/>
    <w:rsid w:val="00D61B81"/>
    <w:rsid w:val="00D6241A"/>
    <w:rsid w:val="00D7331C"/>
    <w:rsid w:val="00D74335"/>
    <w:rsid w:val="00D76F2A"/>
    <w:rsid w:val="00D86386"/>
    <w:rsid w:val="00DA76B2"/>
    <w:rsid w:val="00DC0A10"/>
    <w:rsid w:val="00DC0EDF"/>
    <w:rsid w:val="00DC2EB9"/>
    <w:rsid w:val="00DC553C"/>
    <w:rsid w:val="00DC7280"/>
    <w:rsid w:val="00DD2998"/>
    <w:rsid w:val="00DD4168"/>
    <w:rsid w:val="00DD5B86"/>
    <w:rsid w:val="00DD7883"/>
    <w:rsid w:val="00DD7A12"/>
    <w:rsid w:val="00DE62F6"/>
    <w:rsid w:val="00DF5AE3"/>
    <w:rsid w:val="00DF5E8B"/>
    <w:rsid w:val="00DF6B5F"/>
    <w:rsid w:val="00E02BF6"/>
    <w:rsid w:val="00E15E88"/>
    <w:rsid w:val="00E1631A"/>
    <w:rsid w:val="00E43C8D"/>
    <w:rsid w:val="00E54B68"/>
    <w:rsid w:val="00E6776E"/>
    <w:rsid w:val="00E7746A"/>
    <w:rsid w:val="00E91A9E"/>
    <w:rsid w:val="00E940D7"/>
    <w:rsid w:val="00EA0FB4"/>
    <w:rsid w:val="00EA34B7"/>
    <w:rsid w:val="00EA4066"/>
    <w:rsid w:val="00EB3433"/>
    <w:rsid w:val="00EB5211"/>
    <w:rsid w:val="00EB6445"/>
    <w:rsid w:val="00EB7E3E"/>
    <w:rsid w:val="00EC4641"/>
    <w:rsid w:val="00ED0709"/>
    <w:rsid w:val="00ED426F"/>
    <w:rsid w:val="00ED6006"/>
    <w:rsid w:val="00ED7CFE"/>
    <w:rsid w:val="00EE20D8"/>
    <w:rsid w:val="00EF2CD3"/>
    <w:rsid w:val="00F12660"/>
    <w:rsid w:val="00F24B31"/>
    <w:rsid w:val="00F36913"/>
    <w:rsid w:val="00F4293F"/>
    <w:rsid w:val="00F4420D"/>
    <w:rsid w:val="00F552D1"/>
    <w:rsid w:val="00F558ED"/>
    <w:rsid w:val="00F55DEB"/>
    <w:rsid w:val="00F73546"/>
    <w:rsid w:val="00FB4D15"/>
    <w:rsid w:val="00FC3185"/>
    <w:rsid w:val="00FD19E0"/>
    <w:rsid w:val="00FD4014"/>
    <w:rsid w:val="00FE7FE2"/>
    <w:rsid w:val="00FF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BB594BE"/>
  <w14:defaultImageDpi w14:val="330"/>
  <w15:docId w15:val="{D986496F-E0F5-47E3-A6C2-CE1FD3A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6C4AE9"/>
    <w:pPr>
      <w:numPr>
        <w:numId w:val="16"/>
      </w:numPr>
      <w:spacing w:after="120"/>
      <w:contextualSpacing w:val="0"/>
    </w:pPr>
    <w:rPr>
      <w:rFonts w:ascii="Arial" w:hAnsi="Arial" w:cs="Arial"/>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D79F48-913A-4F47-BF36-536E518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1</TotalTime>
  <Pages>13</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Inspector of Detention Services Bill 2021</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 of Detention Services Bill 2021</dc:title>
  <dc:subject/>
  <dc:creator>Sean Costello</dc:creator>
  <cp:keywords/>
  <dc:description/>
  <cp:lastModifiedBy>Helen Bannerman</cp:lastModifiedBy>
  <cp:revision>2</cp:revision>
  <cp:lastPrinted>2021-11-19T05:20:00Z</cp:lastPrinted>
  <dcterms:created xsi:type="dcterms:W3CDTF">2021-11-30T04:03:00Z</dcterms:created>
  <dcterms:modified xsi:type="dcterms:W3CDTF">2021-11-30T04:03:00Z</dcterms:modified>
</cp:coreProperties>
</file>