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6A34C" w14:textId="47DFD4E5" w:rsidR="00163A3A" w:rsidRPr="000642F6" w:rsidRDefault="00A57C71" w:rsidP="003536AD">
      <w:pPr>
        <w:tabs>
          <w:tab w:val="left" w:pos="1560"/>
        </w:tabs>
        <w:spacing w:after="0" w:line="240" w:lineRule="auto"/>
        <w:ind w:left="-5" w:hanging="10"/>
        <w:rPr>
          <w:rFonts w:ascii="Arial" w:eastAsia="Times New Roman" w:hAnsi="Arial" w:cs="Arial"/>
          <w:sz w:val="20"/>
          <w:szCs w:val="24"/>
        </w:rPr>
      </w:pPr>
      <w:r w:rsidRPr="000642F6">
        <w:rPr>
          <w:rFonts w:ascii="Arial" w:eastAsia="Times New Roman" w:hAnsi="Arial" w:cs="Arial"/>
          <w:sz w:val="20"/>
          <w:szCs w:val="24"/>
        </w:rPr>
        <w:t>Our reference:</w:t>
      </w:r>
      <w:r w:rsidR="00182968" w:rsidRPr="000642F6">
        <w:rPr>
          <w:rFonts w:ascii="Arial" w:eastAsia="Times New Roman" w:hAnsi="Arial" w:cs="Arial"/>
          <w:sz w:val="20"/>
          <w:szCs w:val="24"/>
        </w:rPr>
        <w:t xml:space="preserve">  </w:t>
      </w:r>
      <w:r w:rsidR="000642F6" w:rsidRPr="000642F6">
        <w:rPr>
          <w:rFonts w:ascii="Arial" w:eastAsia="Times New Roman" w:hAnsi="Arial" w:cs="Arial"/>
          <w:sz w:val="20"/>
          <w:szCs w:val="24"/>
        </w:rPr>
        <w:tab/>
      </w:r>
      <w:r w:rsidR="00A945DC">
        <w:rPr>
          <w:rFonts w:ascii="Arial" w:eastAsia="Times New Roman" w:hAnsi="Arial" w:cs="Arial"/>
          <w:sz w:val="20"/>
          <w:szCs w:val="24"/>
        </w:rPr>
        <w:t>BNE5413633</w:t>
      </w:r>
    </w:p>
    <w:p w14:paraId="5E636A42" w14:textId="77777777" w:rsidR="00B332A1" w:rsidRDefault="00B332A1" w:rsidP="009C35D1">
      <w:pPr>
        <w:spacing w:after="0" w:line="240" w:lineRule="auto"/>
        <w:ind w:left="-6" w:hanging="11"/>
        <w:rPr>
          <w:rFonts w:ascii="Arial" w:eastAsia="Times New Roman" w:hAnsi="Arial" w:cs="Arial"/>
          <w:sz w:val="24"/>
          <w:szCs w:val="24"/>
        </w:rPr>
      </w:pPr>
    </w:p>
    <w:p w14:paraId="26F0430A" w14:textId="7150872B" w:rsidR="002A51B9" w:rsidRPr="000642F6" w:rsidRDefault="002A51B9" w:rsidP="002A51B9">
      <w:pPr>
        <w:spacing w:after="600" w:line="240" w:lineRule="auto"/>
        <w:ind w:left="-6" w:hanging="11"/>
        <w:rPr>
          <w:rFonts w:ascii="Arial" w:eastAsia="Times New Roman" w:hAnsi="Arial" w:cs="Arial"/>
          <w:sz w:val="24"/>
          <w:szCs w:val="24"/>
        </w:rPr>
      </w:pPr>
      <w:r w:rsidRPr="000642F6">
        <w:rPr>
          <w:rFonts w:ascii="Arial" w:eastAsia="Times New Roman" w:hAnsi="Arial" w:cs="Arial"/>
          <w:sz w:val="24"/>
          <w:szCs w:val="24"/>
        </w:rPr>
        <w:fldChar w:fldCharType="begin"/>
      </w:r>
      <w:r w:rsidRPr="000642F6">
        <w:rPr>
          <w:rFonts w:ascii="Arial" w:eastAsia="Times New Roman" w:hAnsi="Arial" w:cs="Arial"/>
          <w:sz w:val="24"/>
          <w:szCs w:val="24"/>
        </w:rPr>
        <w:instrText xml:space="preserve"> DATE \@ "d MMMM yyyy" </w:instrText>
      </w:r>
      <w:r w:rsidRPr="000642F6">
        <w:rPr>
          <w:rFonts w:ascii="Arial" w:eastAsia="Times New Roman" w:hAnsi="Arial" w:cs="Arial"/>
          <w:sz w:val="24"/>
          <w:szCs w:val="24"/>
        </w:rPr>
        <w:fldChar w:fldCharType="separate"/>
      </w:r>
      <w:r w:rsidR="00A01851">
        <w:rPr>
          <w:rFonts w:ascii="Arial" w:eastAsia="Times New Roman" w:hAnsi="Arial" w:cs="Arial"/>
          <w:noProof/>
          <w:sz w:val="24"/>
          <w:szCs w:val="24"/>
        </w:rPr>
        <w:t>2 December 2021</w:t>
      </w:r>
      <w:r w:rsidRPr="000642F6">
        <w:rPr>
          <w:rFonts w:ascii="Arial" w:eastAsia="Times New Roman" w:hAnsi="Arial" w:cs="Arial"/>
          <w:sz w:val="24"/>
          <w:szCs w:val="24"/>
        </w:rPr>
        <w:fldChar w:fldCharType="end"/>
      </w:r>
    </w:p>
    <w:p w14:paraId="72E2A256" w14:textId="1F94A060" w:rsidR="000642F6" w:rsidRPr="00961355" w:rsidRDefault="00961355" w:rsidP="000642F6">
      <w:pPr>
        <w:rPr>
          <w:rFonts w:ascii="Arial" w:hAnsi="Arial" w:cs="Arial"/>
          <w:sz w:val="24"/>
          <w:szCs w:val="24"/>
        </w:rPr>
      </w:pPr>
      <w:r w:rsidRPr="00961355">
        <w:rPr>
          <w:rFonts w:ascii="Arial" w:hAnsi="Arial" w:cs="Arial"/>
          <w:color w:val="212529"/>
          <w:sz w:val="24"/>
          <w:szCs w:val="24"/>
          <w:shd w:val="clear" w:color="auto" w:fill="FFFFFF"/>
        </w:rPr>
        <w:t>Committee Secretary</w:t>
      </w:r>
      <w:r w:rsidRPr="00961355">
        <w:rPr>
          <w:rFonts w:ascii="Arial" w:hAnsi="Arial" w:cs="Arial"/>
          <w:color w:val="212529"/>
          <w:sz w:val="24"/>
          <w:szCs w:val="24"/>
        </w:rPr>
        <w:br/>
      </w:r>
      <w:r w:rsidRPr="00961355">
        <w:rPr>
          <w:rFonts w:ascii="Arial" w:hAnsi="Arial" w:cs="Arial"/>
          <w:color w:val="212529"/>
          <w:sz w:val="24"/>
          <w:szCs w:val="24"/>
          <w:shd w:val="clear" w:color="auto" w:fill="FFFFFF"/>
        </w:rPr>
        <w:t>Community Support and Services Committee</w:t>
      </w:r>
      <w:r w:rsidRPr="00961355">
        <w:rPr>
          <w:rFonts w:ascii="Arial" w:hAnsi="Arial" w:cs="Arial"/>
          <w:color w:val="212529"/>
          <w:sz w:val="24"/>
          <w:szCs w:val="24"/>
        </w:rPr>
        <w:br/>
      </w:r>
      <w:r w:rsidRPr="00961355">
        <w:rPr>
          <w:rFonts w:ascii="Arial" w:hAnsi="Arial" w:cs="Arial"/>
          <w:color w:val="212529"/>
          <w:sz w:val="24"/>
          <w:szCs w:val="24"/>
          <w:shd w:val="clear" w:color="auto" w:fill="FFFFFF"/>
        </w:rPr>
        <w:t>Parliament House</w:t>
      </w:r>
      <w:r w:rsidRPr="00961355">
        <w:rPr>
          <w:rFonts w:ascii="Arial" w:hAnsi="Arial" w:cs="Arial"/>
          <w:color w:val="212529"/>
          <w:sz w:val="24"/>
          <w:szCs w:val="24"/>
        </w:rPr>
        <w:br/>
      </w:r>
      <w:r w:rsidRPr="00961355">
        <w:rPr>
          <w:rFonts w:ascii="Arial" w:hAnsi="Arial" w:cs="Arial"/>
          <w:color w:val="212529"/>
          <w:sz w:val="24"/>
          <w:szCs w:val="24"/>
          <w:shd w:val="clear" w:color="auto" w:fill="FFFFFF"/>
        </w:rPr>
        <w:t>George Street</w:t>
      </w:r>
      <w:r w:rsidRPr="00961355">
        <w:rPr>
          <w:rFonts w:ascii="Arial" w:hAnsi="Arial" w:cs="Arial"/>
          <w:color w:val="212529"/>
          <w:sz w:val="24"/>
          <w:szCs w:val="24"/>
        </w:rPr>
        <w:br/>
      </w:r>
      <w:r w:rsidRPr="00961355">
        <w:rPr>
          <w:rFonts w:ascii="Arial" w:hAnsi="Arial" w:cs="Arial"/>
          <w:color w:val="212529"/>
          <w:sz w:val="24"/>
          <w:szCs w:val="24"/>
          <w:shd w:val="clear" w:color="auto" w:fill="FFFFFF"/>
        </w:rPr>
        <w:t xml:space="preserve">Brisbane Qld 4000 </w:t>
      </w:r>
    </w:p>
    <w:p w14:paraId="62A482B9" w14:textId="0BA8B66D" w:rsidR="00961355" w:rsidRPr="00961355" w:rsidRDefault="00961355" w:rsidP="000642F6">
      <w:pPr>
        <w:rPr>
          <w:rFonts w:ascii="Arial" w:hAnsi="Arial" w:cs="Arial"/>
          <w:sz w:val="24"/>
          <w:szCs w:val="24"/>
        </w:rPr>
      </w:pPr>
      <w:r w:rsidRPr="00961355">
        <w:rPr>
          <w:rFonts w:ascii="Arial" w:hAnsi="Arial" w:cs="Arial"/>
          <w:b/>
          <w:sz w:val="24"/>
          <w:szCs w:val="24"/>
        </w:rPr>
        <w:t>By Email Only:</w:t>
      </w:r>
      <w:r w:rsidRPr="00961355">
        <w:rPr>
          <w:rFonts w:ascii="Arial" w:hAnsi="Arial" w:cs="Arial"/>
          <w:sz w:val="24"/>
          <w:szCs w:val="24"/>
        </w:rPr>
        <w:t xml:space="preserve"> </w:t>
      </w:r>
      <w:hyperlink r:id="rId8" w:history="1">
        <w:r w:rsidRPr="00961355">
          <w:rPr>
            <w:rStyle w:val="Hyperlink"/>
            <w:rFonts w:ascii="Arial" w:hAnsi="Arial" w:cs="Arial"/>
            <w:color w:val="0F6832"/>
            <w:sz w:val="24"/>
            <w:szCs w:val="24"/>
            <w:shd w:val="clear" w:color="auto" w:fill="FFFFFF"/>
          </w:rPr>
          <w:t>CSSC@parliament.qld.gov.au</w:t>
        </w:r>
      </w:hyperlink>
    </w:p>
    <w:p w14:paraId="451A0650" w14:textId="77777777" w:rsidR="00961355" w:rsidRDefault="00961355" w:rsidP="000642F6">
      <w:pPr>
        <w:rPr>
          <w:rFonts w:ascii="Arial" w:hAnsi="Arial" w:cs="Arial"/>
          <w:sz w:val="24"/>
          <w:szCs w:val="24"/>
        </w:rPr>
      </w:pPr>
    </w:p>
    <w:p w14:paraId="7B7AC42F" w14:textId="626B2FEA" w:rsidR="000642F6" w:rsidRDefault="000642F6" w:rsidP="000642F6">
      <w:pPr>
        <w:rPr>
          <w:rFonts w:ascii="Arial" w:hAnsi="Arial" w:cs="Arial"/>
          <w:sz w:val="24"/>
          <w:szCs w:val="24"/>
        </w:rPr>
      </w:pPr>
      <w:r w:rsidRPr="00C1246E">
        <w:rPr>
          <w:rFonts w:ascii="Arial" w:hAnsi="Arial" w:cs="Arial"/>
          <w:sz w:val="24"/>
          <w:szCs w:val="24"/>
        </w:rPr>
        <w:t xml:space="preserve">Dear </w:t>
      </w:r>
      <w:r w:rsidR="00961355">
        <w:rPr>
          <w:rFonts w:ascii="Arial" w:hAnsi="Arial" w:cs="Arial"/>
          <w:sz w:val="24"/>
          <w:szCs w:val="24"/>
        </w:rPr>
        <w:t>Committee Secretary</w:t>
      </w:r>
    </w:p>
    <w:p w14:paraId="1F220A7A" w14:textId="588B1FC0" w:rsidR="00961355" w:rsidRPr="00961355" w:rsidRDefault="00961355" w:rsidP="00A945DC">
      <w:pPr>
        <w:rPr>
          <w:rFonts w:ascii="Arial" w:hAnsi="Arial" w:cs="Arial"/>
          <w:b/>
          <w:sz w:val="24"/>
          <w:szCs w:val="24"/>
        </w:rPr>
      </w:pPr>
      <w:r w:rsidRPr="00961355">
        <w:rPr>
          <w:rFonts w:ascii="Arial" w:hAnsi="Arial" w:cs="Arial"/>
          <w:b/>
          <w:sz w:val="24"/>
          <w:szCs w:val="24"/>
        </w:rPr>
        <w:t>Public Trustee (Advisory and Monitoring Board) Amendment Bill 2021</w:t>
      </w:r>
    </w:p>
    <w:p w14:paraId="3FD3892F" w14:textId="19968571" w:rsidR="00A945DC" w:rsidRPr="00961355" w:rsidRDefault="00A945DC" w:rsidP="00A945DC">
      <w:pPr>
        <w:rPr>
          <w:rFonts w:ascii="Arial" w:hAnsi="Arial" w:cs="Arial"/>
          <w:sz w:val="24"/>
          <w:szCs w:val="24"/>
        </w:rPr>
      </w:pPr>
      <w:r w:rsidRPr="00961355">
        <w:rPr>
          <w:rFonts w:ascii="Arial" w:hAnsi="Arial" w:cs="Arial"/>
          <w:sz w:val="24"/>
          <w:szCs w:val="24"/>
        </w:rPr>
        <w:t xml:space="preserve">This </w:t>
      </w:r>
      <w:r w:rsidR="00961355">
        <w:rPr>
          <w:rFonts w:ascii="Arial" w:hAnsi="Arial" w:cs="Arial"/>
          <w:sz w:val="24"/>
          <w:szCs w:val="24"/>
        </w:rPr>
        <w:t>is the Queensland Human Rights Commission’s (</w:t>
      </w:r>
      <w:r w:rsidR="00961355" w:rsidRPr="00961355">
        <w:rPr>
          <w:rFonts w:ascii="Arial" w:hAnsi="Arial" w:cs="Arial"/>
          <w:b/>
          <w:sz w:val="24"/>
          <w:szCs w:val="24"/>
        </w:rPr>
        <w:t>the Commission</w:t>
      </w:r>
      <w:r w:rsidR="00961355">
        <w:rPr>
          <w:rFonts w:ascii="Arial" w:hAnsi="Arial" w:cs="Arial"/>
          <w:sz w:val="24"/>
          <w:szCs w:val="24"/>
        </w:rPr>
        <w:t>) submission</w:t>
      </w:r>
      <w:r w:rsidR="00961355" w:rsidRPr="00961355">
        <w:rPr>
          <w:rFonts w:ascii="Arial" w:hAnsi="Arial" w:cs="Arial"/>
          <w:sz w:val="24"/>
          <w:szCs w:val="24"/>
        </w:rPr>
        <w:t xml:space="preserve"> </w:t>
      </w:r>
      <w:r w:rsidRPr="00961355">
        <w:rPr>
          <w:rFonts w:ascii="Arial" w:hAnsi="Arial" w:cs="Arial"/>
          <w:sz w:val="24"/>
          <w:szCs w:val="24"/>
        </w:rPr>
        <w:t>on the Public Trustee (Advisory and Monitoring Board) Amendment Bill 2021 (</w:t>
      </w:r>
      <w:r w:rsidRPr="00961355">
        <w:rPr>
          <w:rFonts w:ascii="Arial" w:hAnsi="Arial" w:cs="Arial"/>
          <w:b/>
          <w:sz w:val="24"/>
          <w:szCs w:val="24"/>
        </w:rPr>
        <w:t>the Bill</w:t>
      </w:r>
      <w:r w:rsidRPr="00961355">
        <w:rPr>
          <w:rFonts w:ascii="Arial" w:hAnsi="Arial" w:cs="Arial"/>
          <w:sz w:val="24"/>
          <w:szCs w:val="24"/>
        </w:rPr>
        <w:t>).</w:t>
      </w:r>
    </w:p>
    <w:p w14:paraId="31429D10" w14:textId="77777777" w:rsidR="00A945DC" w:rsidRPr="00961355" w:rsidRDefault="00A945DC" w:rsidP="00A945DC">
      <w:pPr>
        <w:rPr>
          <w:rFonts w:ascii="Arial" w:hAnsi="Arial" w:cs="Arial"/>
          <w:sz w:val="24"/>
          <w:szCs w:val="24"/>
        </w:rPr>
      </w:pPr>
      <w:r w:rsidRPr="00961355">
        <w:rPr>
          <w:rFonts w:ascii="Arial" w:hAnsi="Arial" w:cs="Arial"/>
          <w:sz w:val="24"/>
          <w:szCs w:val="24"/>
        </w:rPr>
        <w:t>The Public Trustee provides an important public service for vulnerable Queenslanders, including as substituted financial decision maker for people with impaired decision making capacity.</w:t>
      </w:r>
    </w:p>
    <w:p w14:paraId="63904DD2" w14:textId="6FCFA942" w:rsidR="00A945DC" w:rsidRPr="00961355" w:rsidRDefault="00A945DC" w:rsidP="00A945DC">
      <w:pPr>
        <w:rPr>
          <w:rFonts w:ascii="Arial" w:hAnsi="Arial" w:cs="Arial"/>
          <w:sz w:val="24"/>
          <w:szCs w:val="24"/>
        </w:rPr>
      </w:pPr>
      <w:r w:rsidRPr="0070260B">
        <w:rPr>
          <w:rFonts w:ascii="Arial" w:hAnsi="Arial" w:cs="Arial"/>
          <w:sz w:val="24"/>
          <w:szCs w:val="24"/>
        </w:rPr>
        <w:t xml:space="preserve">As a public entity under the </w:t>
      </w:r>
      <w:r w:rsidRPr="0070260B">
        <w:rPr>
          <w:rFonts w:ascii="Arial" w:hAnsi="Arial" w:cs="Arial"/>
          <w:i/>
          <w:sz w:val="24"/>
          <w:szCs w:val="24"/>
        </w:rPr>
        <w:t>Human Rights Act 2019</w:t>
      </w:r>
      <w:r w:rsidR="0070260B" w:rsidRPr="0070260B">
        <w:rPr>
          <w:rFonts w:ascii="Arial" w:hAnsi="Arial" w:cs="Arial"/>
          <w:sz w:val="24"/>
          <w:szCs w:val="24"/>
        </w:rPr>
        <w:t xml:space="preserve"> (Qld)</w:t>
      </w:r>
      <w:r w:rsidR="0070260B">
        <w:rPr>
          <w:rFonts w:ascii="Arial" w:hAnsi="Arial" w:cs="Arial"/>
          <w:sz w:val="24"/>
          <w:szCs w:val="24"/>
        </w:rPr>
        <w:t xml:space="preserve"> (</w:t>
      </w:r>
      <w:r w:rsidR="0070260B" w:rsidRPr="0070260B">
        <w:rPr>
          <w:rFonts w:ascii="Arial" w:hAnsi="Arial" w:cs="Arial"/>
          <w:b/>
          <w:sz w:val="24"/>
          <w:szCs w:val="24"/>
        </w:rPr>
        <w:t>HR Act</w:t>
      </w:r>
      <w:r w:rsidR="0070260B">
        <w:rPr>
          <w:rFonts w:ascii="Arial" w:hAnsi="Arial" w:cs="Arial"/>
          <w:sz w:val="24"/>
          <w:szCs w:val="24"/>
        </w:rPr>
        <w:t>)</w:t>
      </w:r>
      <w:r w:rsidRPr="00961355">
        <w:rPr>
          <w:rFonts w:ascii="Arial" w:hAnsi="Arial" w:cs="Arial"/>
          <w:sz w:val="24"/>
          <w:szCs w:val="24"/>
        </w:rPr>
        <w:t>, the Public Trustee owes obligations to individuals to:</w:t>
      </w:r>
    </w:p>
    <w:p w14:paraId="3206576B" w14:textId="77777777" w:rsidR="00A945DC" w:rsidRPr="00961355" w:rsidRDefault="00A945DC" w:rsidP="00A945DC">
      <w:pPr>
        <w:pStyle w:val="ListParagraph"/>
        <w:numPr>
          <w:ilvl w:val="0"/>
          <w:numId w:val="4"/>
        </w:numPr>
        <w:spacing w:line="259" w:lineRule="auto"/>
        <w:rPr>
          <w:rFonts w:ascii="Arial" w:hAnsi="Arial" w:cs="Arial"/>
          <w:sz w:val="24"/>
          <w:szCs w:val="24"/>
        </w:rPr>
      </w:pPr>
      <w:r w:rsidRPr="00961355">
        <w:rPr>
          <w:rFonts w:ascii="Arial" w:hAnsi="Arial" w:cs="Arial"/>
          <w:sz w:val="24"/>
          <w:szCs w:val="24"/>
        </w:rPr>
        <w:t>Act and decide compatibly with human rights; and</w:t>
      </w:r>
    </w:p>
    <w:p w14:paraId="38546D74" w14:textId="78441D23" w:rsidR="00A945DC" w:rsidRPr="00961355" w:rsidRDefault="00A945DC" w:rsidP="00A945DC">
      <w:pPr>
        <w:pStyle w:val="ListParagraph"/>
        <w:numPr>
          <w:ilvl w:val="0"/>
          <w:numId w:val="4"/>
        </w:numPr>
        <w:spacing w:line="259" w:lineRule="auto"/>
        <w:rPr>
          <w:rFonts w:ascii="Arial" w:hAnsi="Arial" w:cs="Arial"/>
          <w:sz w:val="24"/>
          <w:szCs w:val="24"/>
        </w:rPr>
      </w:pPr>
      <w:r w:rsidRPr="00961355">
        <w:rPr>
          <w:rFonts w:ascii="Arial" w:hAnsi="Arial" w:cs="Arial"/>
          <w:sz w:val="24"/>
          <w:szCs w:val="24"/>
        </w:rPr>
        <w:t>Give proper consideration to human rights when making a decision</w:t>
      </w:r>
      <w:r w:rsidR="0070260B">
        <w:rPr>
          <w:rFonts w:ascii="Arial" w:hAnsi="Arial" w:cs="Arial"/>
          <w:sz w:val="24"/>
          <w:szCs w:val="24"/>
        </w:rPr>
        <w:t xml:space="preserve"> (section 58(1) of the HR Act)</w:t>
      </w:r>
      <w:r w:rsidRPr="00961355">
        <w:rPr>
          <w:rFonts w:ascii="Arial" w:hAnsi="Arial" w:cs="Arial"/>
          <w:sz w:val="24"/>
          <w:szCs w:val="24"/>
        </w:rPr>
        <w:t xml:space="preserve">. </w:t>
      </w:r>
    </w:p>
    <w:p w14:paraId="19F7BCDB" w14:textId="3C7CD9A7" w:rsidR="00A945DC" w:rsidRPr="00961355" w:rsidRDefault="0070260B" w:rsidP="00A945DC">
      <w:pPr>
        <w:rPr>
          <w:rFonts w:ascii="Arial" w:hAnsi="Arial" w:cs="Arial"/>
          <w:sz w:val="24"/>
          <w:szCs w:val="24"/>
        </w:rPr>
      </w:pPr>
      <w:r>
        <w:rPr>
          <w:rFonts w:ascii="Arial" w:hAnsi="Arial" w:cs="Arial"/>
          <w:sz w:val="24"/>
          <w:szCs w:val="24"/>
        </w:rPr>
        <w:t>This means that</w:t>
      </w:r>
      <w:r w:rsidR="00A945DC" w:rsidRPr="00961355">
        <w:rPr>
          <w:rFonts w:ascii="Arial" w:hAnsi="Arial" w:cs="Arial"/>
          <w:sz w:val="24"/>
          <w:szCs w:val="24"/>
        </w:rPr>
        <w:t xml:space="preserve"> if the acts or decisions of the Public Trustee</w:t>
      </w:r>
      <w:r>
        <w:rPr>
          <w:rFonts w:ascii="Arial" w:hAnsi="Arial" w:cs="Arial"/>
          <w:sz w:val="24"/>
          <w:szCs w:val="24"/>
        </w:rPr>
        <w:t xml:space="preserve"> limit human rights</w:t>
      </w:r>
      <w:r w:rsidR="00A945DC" w:rsidRPr="00961355">
        <w:rPr>
          <w:rFonts w:ascii="Arial" w:hAnsi="Arial" w:cs="Arial"/>
          <w:sz w:val="24"/>
          <w:szCs w:val="24"/>
        </w:rPr>
        <w:t>, then they must be demonstrably justified in a free and democratic society based on human dignity, equality and freedom</w:t>
      </w:r>
      <w:r>
        <w:rPr>
          <w:rFonts w:ascii="Arial" w:hAnsi="Arial" w:cs="Arial"/>
          <w:sz w:val="24"/>
          <w:szCs w:val="24"/>
        </w:rPr>
        <w:t xml:space="preserve"> (sections 8 and 13 of the HR Act)</w:t>
      </w:r>
      <w:r w:rsidR="00A945DC" w:rsidRPr="00961355">
        <w:rPr>
          <w:rFonts w:ascii="Arial" w:hAnsi="Arial" w:cs="Arial"/>
          <w:sz w:val="24"/>
          <w:szCs w:val="24"/>
        </w:rPr>
        <w:t>.</w:t>
      </w:r>
    </w:p>
    <w:p w14:paraId="5014DC7F" w14:textId="540763FF" w:rsidR="00A945DC" w:rsidRPr="00961355" w:rsidRDefault="0070260B" w:rsidP="00A945DC">
      <w:pPr>
        <w:rPr>
          <w:rFonts w:ascii="Arial" w:hAnsi="Arial" w:cs="Arial"/>
          <w:sz w:val="24"/>
          <w:szCs w:val="24"/>
        </w:rPr>
      </w:pPr>
      <w:r>
        <w:rPr>
          <w:rFonts w:ascii="Arial" w:hAnsi="Arial" w:cs="Arial"/>
          <w:sz w:val="24"/>
          <w:szCs w:val="24"/>
        </w:rPr>
        <w:t xml:space="preserve">The Public Trustee’s </w:t>
      </w:r>
      <w:r w:rsidR="00A945DC" w:rsidRPr="00961355">
        <w:rPr>
          <w:rFonts w:ascii="Arial" w:hAnsi="Arial" w:cs="Arial"/>
          <w:sz w:val="24"/>
          <w:szCs w:val="24"/>
        </w:rPr>
        <w:t xml:space="preserve">acts and decisions have the potential to significantly limit a person’s </w:t>
      </w:r>
      <w:r>
        <w:rPr>
          <w:rFonts w:ascii="Arial" w:hAnsi="Arial" w:cs="Arial"/>
          <w:sz w:val="24"/>
          <w:szCs w:val="24"/>
        </w:rPr>
        <w:t xml:space="preserve">human </w:t>
      </w:r>
      <w:r w:rsidR="00A945DC" w:rsidRPr="00961355">
        <w:rPr>
          <w:rFonts w:ascii="Arial" w:hAnsi="Arial" w:cs="Arial"/>
          <w:sz w:val="24"/>
          <w:szCs w:val="24"/>
        </w:rPr>
        <w:t>rights</w:t>
      </w:r>
      <w:r>
        <w:rPr>
          <w:rFonts w:ascii="Arial" w:hAnsi="Arial" w:cs="Arial"/>
          <w:sz w:val="24"/>
          <w:szCs w:val="24"/>
        </w:rPr>
        <w:t>, including</w:t>
      </w:r>
      <w:r w:rsidR="00A945DC" w:rsidRPr="00961355">
        <w:rPr>
          <w:rFonts w:ascii="Arial" w:hAnsi="Arial" w:cs="Arial"/>
          <w:sz w:val="24"/>
          <w:szCs w:val="24"/>
        </w:rPr>
        <w:t xml:space="preserve"> to: </w:t>
      </w:r>
    </w:p>
    <w:p w14:paraId="4B5BE427" w14:textId="0A2FDED3" w:rsidR="00A945DC" w:rsidRPr="00961355" w:rsidRDefault="00A945DC" w:rsidP="00A945DC">
      <w:pPr>
        <w:pStyle w:val="ListParagraph"/>
        <w:numPr>
          <w:ilvl w:val="0"/>
          <w:numId w:val="5"/>
        </w:numPr>
        <w:spacing w:line="259" w:lineRule="auto"/>
        <w:rPr>
          <w:rFonts w:ascii="Arial" w:hAnsi="Arial" w:cs="Arial"/>
          <w:sz w:val="24"/>
          <w:szCs w:val="24"/>
        </w:rPr>
      </w:pPr>
      <w:r w:rsidRPr="00961355">
        <w:rPr>
          <w:rFonts w:ascii="Arial" w:hAnsi="Arial" w:cs="Arial"/>
          <w:sz w:val="24"/>
          <w:szCs w:val="24"/>
        </w:rPr>
        <w:t>Recognition and equality before the law, including the right to enjoy rights without discrimination and the right to equal protection before the law</w:t>
      </w:r>
      <w:r w:rsidR="0070260B">
        <w:rPr>
          <w:rFonts w:ascii="Arial" w:hAnsi="Arial" w:cs="Arial"/>
          <w:sz w:val="24"/>
          <w:szCs w:val="24"/>
        </w:rPr>
        <w:t xml:space="preserve"> (section</w:t>
      </w:r>
      <w:r w:rsidR="0070260B" w:rsidRPr="00961355">
        <w:rPr>
          <w:rFonts w:ascii="Arial" w:hAnsi="Arial" w:cs="Arial"/>
          <w:sz w:val="24"/>
          <w:szCs w:val="24"/>
        </w:rPr>
        <w:t xml:space="preserve"> 15</w:t>
      </w:r>
      <w:r w:rsidR="0070260B">
        <w:rPr>
          <w:rFonts w:ascii="Arial" w:hAnsi="Arial" w:cs="Arial"/>
          <w:sz w:val="24"/>
          <w:szCs w:val="24"/>
        </w:rPr>
        <w:t xml:space="preserve"> of the HR Act</w:t>
      </w:r>
      <w:r w:rsidR="0070260B" w:rsidRPr="00961355">
        <w:rPr>
          <w:rFonts w:ascii="Arial" w:hAnsi="Arial" w:cs="Arial"/>
          <w:sz w:val="24"/>
          <w:szCs w:val="24"/>
        </w:rPr>
        <w:t>)</w:t>
      </w:r>
      <w:r w:rsidRPr="00961355">
        <w:rPr>
          <w:rFonts w:ascii="Arial" w:hAnsi="Arial" w:cs="Arial"/>
          <w:sz w:val="24"/>
          <w:szCs w:val="24"/>
        </w:rPr>
        <w:t>;</w:t>
      </w:r>
    </w:p>
    <w:p w14:paraId="1F4C9B37" w14:textId="17DE0C6E" w:rsidR="00A945DC" w:rsidRPr="00961355" w:rsidRDefault="00A945DC" w:rsidP="00A945DC">
      <w:pPr>
        <w:pStyle w:val="ListParagraph"/>
        <w:numPr>
          <w:ilvl w:val="0"/>
          <w:numId w:val="5"/>
        </w:numPr>
        <w:spacing w:line="259" w:lineRule="auto"/>
        <w:rPr>
          <w:rFonts w:ascii="Arial" w:hAnsi="Arial" w:cs="Arial"/>
          <w:sz w:val="24"/>
          <w:szCs w:val="24"/>
        </w:rPr>
      </w:pPr>
      <w:r w:rsidRPr="00961355">
        <w:rPr>
          <w:rFonts w:ascii="Arial" w:hAnsi="Arial" w:cs="Arial"/>
          <w:sz w:val="24"/>
          <w:szCs w:val="24"/>
        </w:rPr>
        <w:t>Freedom of movement, which includes the freedom to choose where to live</w:t>
      </w:r>
      <w:r w:rsidR="0070260B">
        <w:rPr>
          <w:rFonts w:ascii="Arial" w:hAnsi="Arial" w:cs="Arial"/>
          <w:sz w:val="24"/>
          <w:szCs w:val="24"/>
        </w:rPr>
        <w:t xml:space="preserve"> (</w:t>
      </w:r>
      <w:r w:rsidR="0070260B" w:rsidRPr="00961355">
        <w:rPr>
          <w:rFonts w:ascii="Arial" w:hAnsi="Arial" w:cs="Arial"/>
          <w:sz w:val="24"/>
          <w:szCs w:val="24"/>
        </w:rPr>
        <w:t>s</w:t>
      </w:r>
      <w:r w:rsidR="0070260B">
        <w:rPr>
          <w:rFonts w:ascii="Arial" w:hAnsi="Arial" w:cs="Arial"/>
          <w:sz w:val="24"/>
          <w:szCs w:val="24"/>
        </w:rPr>
        <w:t>ection</w:t>
      </w:r>
      <w:r w:rsidR="0070260B" w:rsidRPr="00961355">
        <w:rPr>
          <w:rFonts w:ascii="Arial" w:hAnsi="Arial" w:cs="Arial"/>
          <w:sz w:val="24"/>
          <w:szCs w:val="24"/>
        </w:rPr>
        <w:t xml:space="preserve"> 19</w:t>
      </w:r>
      <w:r w:rsidR="0070260B">
        <w:rPr>
          <w:rFonts w:ascii="Arial" w:hAnsi="Arial" w:cs="Arial"/>
          <w:sz w:val="24"/>
          <w:szCs w:val="24"/>
        </w:rPr>
        <w:t xml:space="preserve"> of the HR Act</w:t>
      </w:r>
      <w:r w:rsidR="0070260B" w:rsidRPr="00961355">
        <w:rPr>
          <w:rFonts w:ascii="Arial" w:hAnsi="Arial" w:cs="Arial"/>
          <w:sz w:val="24"/>
          <w:szCs w:val="24"/>
        </w:rPr>
        <w:t>)</w:t>
      </w:r>
      <w:r w:rsidRPr="00961355">
        <w:rPr>
          <w:rFonts w:ascii="Arial" w:hAnsi="Arial" w:cs="Arial"/>
          <w:sz w:val="24"/>
          <w:szCs w:val="24"/>
        </w:rPr>
        <w:t>;</w:t>
      </w:r>
    </w:p>
    <w:p w14:paraId="58EB47CC" w14:textId="437E8531" w:rsidR="00A945DC" w:rsidRPr="00961355" w:rsidRDefault="00A945DC" w:rsidP="00A945DC">
      <w:pPr>
        <w:pStyle w:val="ListParagraph"/>
        <w:numPr>
          <w:ilvl w:val="0"/>
          <w:numId w:val="5"/>
        </w:numPr>
        <w:spacing w:line="259" w:lineRule="auto"/>
        <w:rPr>
          <w:rFonts w:ascii="Arial" w:hAnsi="Arial" w:cs="Arial"/>
          <w:sz w:val="24"/>
          <w:szCs w:val="24"/>
        </w:rPr>
      </w:pPr>
      <w:r w:rsidRPr="00961355">
        <w:rPr>
          <w:rFonts w:ascii="Arial" w:hAnsi="Arial" w:cs="Arial"/>
          <w:sz w:val="24"/>
          <w:szCs w:val="24"/>
        </w:rPr>
        <w:lastRenderedPageBreak/>
        <w:t>Property rights, which protects a person’s right to own property, and to not be arbitrarily deprived of their property</w:t>
      </w:r>
      <w:r w:rsidR="0070260B">
        <w:rPr>
          <w:rFonts w:ascii="Arial" w:hAnsi="Arial" w:cs="Arial"/>
          <w:sz w:val="24"/>
          <w:szCs w:val="24"/>
        </w:rPr>
        <w:t xml:space="preserve"> (section</w:t>
      </w:r>
      <w:r w:rsidR="0070260B" w:rsidRPr="00961355">
        <w:rPr>
          <w:rFonts w:ascii="Arial" w:hAnsi="Arial" w:cs="Arial"/>
          <w:sz w:val="24"/>
          <w:szCs w:val="24"/>
        </w:rPr>
        <w:t xml:space="preserve"> 24</w:t>
      </w:r>
      <w:r w:rsidR="0070260B">
        <w:rPr>
          <w:rFonts w:ascii="Arial" w:hAnsi="Arial" w:cs="Arial"/>
          <w:sz w:val="24"/>
          <w:szCs w:val="24"/>
        </w:rPr>
        <w:t xml:space="preserve"> of the HR Act</w:t>
      </w:r>
      <w:r w:rsidR="0070260B" w:rsidRPr="00961355">
        <w:rPr>
          <w:rFonts w:ascii="Arial" w:hAnsi="Arial" w:cs="Arial"/>
          <w:sz w:val="24"/>
          <w:szCs w:val="24"/>
        </w:rPr>
        <w:t>)</w:t>
      </w:r>
      <w:r w:rsidRPr="00961355">
        <w:rPr>
          <w:rFonts w:ascii="Arial" w:hAnsi="Arial" w:cs="Arial"/>
          <w:sz w:val="24"/>
          <w:szCs w:val="24"/>
        </w:rPr>
        <w:t>;</w:t>
      </w:r>
    </w:p>
    <w:p w14:paraId="552E4D80" w14:textId="46246D78" w:rsidR="00A945DC" w:rsidRPr="00961355" w:rsidRDefault="00A945DC" w:rsidP="00A945DC">
      <w:pPr>
        <w:pStyle w:val="ListParagraph"/>
        <w:numPr>
          <w:ilvl w:val="0"/>
          <w:numId w:val="5"/>
        </w:numPr>
        <w:spacing w:line="259" w:lineRule="auto"/>
        <w:rPr>
          <w:rFonts w:ascii="Arial" w:hAnsi="Arial" w:cs="Arial"/>
          <w:sz w:val="24"/>
          <w:szCs w:val="24"/>
        </w:rPr>
      </w:pPr>
      <w:r w:rsidRPr="00961355">
        <w:rPr>
          <w:rFonts w:ascii="Arial" w:hAnsi="Arial" w:cs="Arial"/>
          <w:sz w:val="24"/>
          <w:szCs w:val="24"/>
        </w:rPr>
        <w:t>Privacy, which extends to the right to be free from unlawful or arbitrary interference with a person’s autonomy, social individuality and identity, home and family</w:t>
      </w:r>
      <w:r w:rsidR="0070260B">
        <w:rPr>
          <w:rFonts w:ascii="Arial" w:hAnsi="Arial" w:cs="Arial"/>
          <w:sz w:val="24"/>
          <w:szCs w:val="24"/>
        </w:rPr>
        <w:t xml:space="preserve"> (</w:t>
      </w:r>
      <w:r w:rsidR="0070260B" w:rsidRPr="00961355">
        <w:rPr>
          <w:rFonts w:ascii="Arial" w:hAnsi="Arial" w:cs="Arial"/>
          <w:sz w:val="24"/>
          <w:szCs w:val="24"/>
        </w:rPr>
        <w:t>s</w:t>
      </w:r>
      <w:r w:rsidR="0070260B">
        <w:rPr>
          <w:rFonts w:ascii="Arial" w:hAnsi="Arial" w:cs="Arial"/>
          <w:sz w:val="24"/>
          <w:szCs w:val="24"/>
        </w:rPr>
        <w:t>ection</w:t>
      </w:r>
      <w:r w:rsidR="0070260B" w:rsidRPr="00961355">
        <w:rPr>
          <w:rFonts w:ascii="Arial" w:hAnsi="Arial" w:cs="Arial"/>
          <w:sz w:val="24"/>
          <w:szCs w:val="24"/>
        </w:rPr>
        <w:t xml:space="preserve"> 25</w:t>
      </w:r>
      <w:r w:rsidR="0070260B">
        <w:rPr>
          <w:rFonts w:ascii="Arial" w:hAnsi="Arial" w:cs="Arial"/>
          <w:sz w:val="24"/>
          <w:szCs w:val="24"/>
        </w:rPr>
        <w:t xml:space="preserve"> of the HR Act</w:t>
      </w:r>
      <w:r w:rsidR="0070260B" w:rsidRPr="00961355">
        <w:rPr>
          <w:rFonts w:ascii="Arial" w:hAnsi="Arial" w:cs="Arial"/>
          <w:sz w:val="24"/>
          <w:szCs w:val="24"/>
        </w:rPr>
        <w:t>)</w:t>
      </w:r>
      <w:r w:rsidRPr="00961355">
        <w:rPr>
          <w:rFonts w:ascii="Arial" w:hAnsi="Arial" w:cs="Arial"/>
          <w:sz w:val="24"/>
          <w:szCs w:val="24"/>
        </w:rPr>
        <w:t xml:space="preserve">; </w:t>
      </w:r>
    </w:p>
    <w:p w14:paraId="6C601305" w14:textId="3A940587" w:rsidR="00A945DC" w:rsidRPr="00961355" w:rsidRDefault="00A945DC" w:rsidP="00A945DC">
      <w:pPr>
        <w:pStyle w:val="ListParagraph"/>
        <w:numPr>
          <w:ilvl w:val="0"/>
          <w:numId w:val="5"/>
        </w:numPr>
        <w:spacing w:line="259" w:lineRule="auto"/>
        <w:rPr>
          <w:rFonts w:ascii="Arial" w:hAnsi="Arial" w:cs="Arial"/>
          <w:sz w:val="24"/>
          <w:szCs w:val="24"/>
        </w:rPr>
      </w:pPr>
      <w:r w:rsidRPr="00961355">
        <w:rPr>
          <w:rFonts w:ascii="Arial" w:hAnsi="Arial" w:cs="Arial"/>
          <w:sz w:val="24"/>
          <w:szCs w:val="24"/>
        </w:rPr>
        <w:t>Cultural rights of Aboriginal peoples and Torres Strait Islander peoples, and that they are not denied the right to enjoy, maintain, control their identity and cultural heritage, their kinship ties, their relationship to the land, and to conserve and protect the environment</w:t>
      </w:r>
      <w:r w:rsidR="0070260B">
        <w:rPr>
          <w:rFonts w:ascii="Arial" w:hAnsi="Arial" w:cs="Arial"/>
          <w:sz w:val="24"/>
          <w:szCs w:val="24"/>
        </w:rPr>
        <w:t xml:space="preserve"> (section 28 of the HR Act)</w:t>
      </w:r>
      <w:r w:rsidRPr="00961355">
        <w:rPr>
          <w:rFonts w:ascii="Arial" w:hAnsi="Arial" w:cs="Arial"/>
          <w:sz w:val="24"/>
          <w:szCs w:val="24"/>
        </w:rPr>
        <w:t xml:space="preserve">. </w:t>
      </w:r>
    </w:p>
    <w:p w14:paraId="3CC699C2" w14:textId="77777777"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On 10 March 2021, the Public Advocate tabled her report </w:t>
      </w:r>
      <w:r w:rsidRPr="00961355">
        <w:rPr>
          <w:rFonts w:ascii="Arial" w:hAnsi="Arial" w:cs="Arial"/>
          <w:i/>
          <w:sz w:val="24"/>
          <w:szCs w:val="24"/>
        </w:rPr>
        <w:t>Preserving the financial futures of vulnerable Queenslanders: A Review of the Public Trustee’s fees, charges and practices</w:t>
      </w:r>
      <w:r w:rsidRPr="00961355">
        <w:rPr>
          <w:rFonts w:ascii="Arial" w:hAnsi="Arial" w:cs="Arial"/>
          <w:sz w:val="24"/>
          <w:szCs w:val="24"/>
        </w:rPr>
        <w:t xml:space="preserve"> in the Legislative Assembly (</w:t>
      </w:r>
      <w:r w:rsidRPr="0070260B">
        <w:rPr>
          <w:rFonts w:ascii="Arial" w:hAnsi="Arial" w:cs="Arial"/>
          <w:b/>
          <w:sz w:val="24"/>
          <w:szCs w:val="24"/>
        </w:rPr>
        <w:t>the OPA Report</w:t>
      </w:r>
      <w:r w:rsidRPr="00961355">
        <w:rPr>
          <w:rFonts w:ascii="Arial" w:hAnsi="Arial" w:cs="Arial"/>
          <w:sz w:val="24"/>
          <w:szCs w:val="24"/>
        </w:rPr>
        <w:t xml:space="preserve">). The OPA Report outlined concerns regarding the Public Trustee’s fees and charges and other practices, such as investment policies, information access and decision accountability.  </w:t>
      </w:r>
    </w:p>
    <w:p w14:paraId="2A057388"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2E2DE9E5" w14:textId="07CDC1FD"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The reform proposed by the Bill is in response to Recommendation 30 of the OPA </w:t>
      </w:r>
      <w:r w:rsidR="0070260B">
        <w:rPr>
          <w:rFonts w:ascii="Arial" w:hAnsi="Arial" w:cs="Arial"/>
          <w:sz w:val="24"/>
          <w:szCs w:val="24"/>
        </w:rPr>
        <w:t>R</w:t>
      </w:r>
      <w:r w:rsidRPr="00961355">
        <w:rPr>
          <w:rFonts w:ascii="Arial" w:hAnsi="Arial" w:cs="Arial"/>
          <w:sz w:val="24"/>
          <w:szCs w:val="24"/>
        </w:rPr>
        <w:t xml:space="preserve">eport to ‘consider whether the Public Trustee and its clients would benefit from additional oversight and/or reporting mechanisms to improve the Public Trustee’s performance, transparency and public accountability.’ </w:t>
      </w:r>
    </w:p>
    <w:p w14:paraId="3272C697" w14:textId="77777777" w:rsidR="00A945DC" w:rsidRPr="00961355" w:rsidRDefault="00A945DC" w:rsidP="00A945DC">
      <w:pPr>
        <w:autoSpaceDE w:val="0"/>
        <w:autoSpaceDN w:val="0"/>
        <w:adjustRightInd w:val="0"/>
        <w:spacing w:after="0" w:line="240" w:lineRule="auto"/>
        <w:rPr>
          <w:rFonts w:ascii="Arial" w:hAnsi="Arial" w:cs="Arial"/>
          <w:color w:val="3D9D7D"/>
          <w:sz w:val="24"/>
          <w:szCs w:val="24"/>
        </w:rPr>
      </w:pPr>
    </w:p>
    <w:p w14:paraId="783964DF" w14:textId="77777777" w:rsidR="00A945DC" w:rsidRPr="00961355" w:rsidRDefault="00A945DC" w:rsidP="00A945DC">
      <w:pPr>
        <w:rPr>
          <w:rFonts w:ascii="Arial" w:hAnsi="Arial" w:cs="Arial"/>
          <w:sz w:val="24"/>
          <w:szCs w:val="24"/>
        </w:rPr>
      </w:pPr>
      <w:r w:rsidRPr="00961355">
        <w:rPr>
          <w:rFonts w:ascii="Arial" w:hAnsi="Arial" w:cs="Arial"/>
          <w:sz w:val="24"/>
          <w:szCs w:val="24"/>
        </w:rPr>
        <w:t>The Bill proposes to establish the Public Trustee Advisory and Monitoring Board (</w:t>
      </w:r>
      <w:r w:rsidRPr="0070260B">
        <w:rPr>
          <w:rFonts w:ascii="Arial" w:hAnsi="Arial" w:cs="Arial"/>
          <w:b/>
          <w:sz w:val="24"/>
          <w:szCs w:val="24"/>
        </w:rPr>
        <w:t>the Board</w:t>
      </w:r>
      <w:r w:rsidRPr="00961355">
        <w:rPr>
          <w:rFonts w:ascii="Arial" w:hAnsi="Arial" w:cs="Arial"/>
          <w:sz w:val="24"/>
          <w:szCs w:val="24"/>
        </w:rPr>
        <w:t>), to provide advisory and monitoring oversight over the Public Trustee, for the purpose of enhancing the Public Trustee’s performance, transparency and accountability.</w:t>
      </w:r>
      <w:r w:rsidRPr="00961355">
        <w:rPr>
          <w:rStyle w:val="FootnoteReference"/>
          <w:rFonts w:ascii="Arial" w:hAnsi="Arial" w:cs="Arial"/>
          <w:sz w:val="24"/>
          <w:szCs w:val="24"/>
        </w:rPr>
        <w:footnoteReference w:id="1"/>
      </w:r>
      <w:r w:rsidRPr="00961355">
        <w:rPr>
          <w:rFonts w:ascii="Arial" w:hAnsi="Arial" w:cs="Arial"/>
          <w:sz w:val="24"/>
          <w:szCs w:val="24"/>
        </w:rPr>
        <w:t xml:space="preserve">  </w:t>
      </w:r>
    </w:p>
    <w:p w14:paraId="4CDFACEE" w14:textId="25B9303D" w:rsidR="00A945DC" w:rsidRPr="00961355" w:rsidRDefault="00A945DC" w:rsidP="00A945DC">
      <w:pPr>
        <w:rPr>
          <w:rFonts w:ascii="Arial" w:hAnsi="Arial" w:cs="Arial"/>
          <w:sz w:val="24"/>
          <w:szCs w:val="24"/>
        </w:rPr>
      </w:pPr>
      <w:r w:rsidRPr="00961355">
        <w:rPr>
          <w:rFonts w:ascii="Arial" w:hAnsi="Arial" w:cs="Arial"/>
          <w:sz w:val="24"/>
          <w:szCs w:val="24"/>
        </w:rPr>
        <w:t xml:space="preserve">The additional oversight will go towards promoting and protecting the human rights of people </w:t>
      </w:r>
      <w:r w:rsidR="0070260B">
        <w:rPr>
          <w:rFonts w:ascii="Arial" w:hAnsi="Arial" w:cs="Arial"/>
          <w:sz w:val="24"/>
          <w:szCs w:val="24"/>
        </w:rPr>
        <w:t xml:space="preserve">who have </w:t>
      </w:r>
      <w:r w:rsidRPr="00961355">
        <w:rPr>
          <w:rFonts w:ascii="Arial" w:hAnsi="Arial" w:cs="Arial"/>
          <w:sz w:val="24"/>
          <w:szCs w:val="24"/>
        </w:rPr>
        <w:t>interactions with the Public Trustee, and the reform is generally supported by the Commission.</w:t>
      </w:r>
    </w:p>
    <w:p w14:paraId="3BFA1249" w14:textId="64AC2E35" w:rsidR="00A945DC" w:rsidRPr="005C1357" w:rsidRDefault="0070260B" w:rsidP="00A945DC">
      <w:pPr>
        <w:rPr>
          <w:rFonts w:ascii="Arial" w:hAnsi="Arial" w:cs="Arial"/>
          <w:sz w:val="24"/>
          <w:szCs w:val="24"/>
        </w:rPr>
      </w:pPr>
      <w:r>
        <w:rPr>
          <w:rFonts w:ascii="Arial" w:hAnsi="Arial" w:cs="Arial"/>
          <w:sz w:val="24"/>
          <w:szCs w:val="24"/>
        </w:rPr>
        <w:t>T</w:t>
      </w:r>
      <w:r w:rsidR="005C1357">
        <w:rPr>
          <w:rFonts w:ascii="Arial" w:hAnsi="Arial" w:cs="Arial"/>
          <w:sz w:val="24"/>
          <w:szCs w:val="24"/>
        </w:rPr>
        <w:t>his</w:t>
      </w:r>
      <w:r w:rsidR="00A945DC" w:rsidRPr="00961355">
        <w:rPr>
          <w:rFonts w:ascii="Arial" w:hAnsi="Arial" w:cs="Arial"/>
          <w:sz w:val="24"/>
          <w:szCs w:val="24"/>
        </w:rPr>
        <w:t xml:space="preserve"> </w:t>
      </w:r>
      <w:r w:rsidR="005C1357" w:rsidRPr="005C1357">
        <w:rPr>
          <w:rFonts w:ascii="Arial" w:hAnsi="Arial" w:cs="Arial"/>
          <w:sz w:val="24"/>
          <w:szCs w:val="24"/>
        </w:rPr>
        <w:t xml:space="preserve">submission </w:t>
      </w:r>
      <w:r w:rsidR="00A945DC" w:rsidRPr="005C1357">
        <w:rPr>
          <w:rFonts w:ascii="Arial" w:hAnsi="Arial" w:cs="Arial"/>
          <w:sz w:val="24"/>
          <w:szCs w:val="24"/>
        </w:rPr>
        <w:t>draws the Committee’s attention to the following two issues:</w:t>
      </w:r>
    </w:p>
    <w:p w14:paraId="039C3C9C" w14:textId="77777777" w:rsidR="00A945DC" w:rsidRPr="005C1357" w:rsidRDefault="00A945DC" w:rsidP="00A945DC">
      <w:pPr>
        <w:pStyle w:val="ListParagraph"/>
        <w:numPr>
          <w:ilvl w:val="0"/>
          <w:numId w:val="6"/>
        </w:numPr>
        <w:spacing w:line="259" w:lineRule="auto"/>
        <w:rPr>
          <w:rFonts w:ascii="Arial" w:hAnsi="Arial" w:cs="Arial"/>
          <w:sz w:val="24"/>
          <w:szCs w:val="24"/>
        </w:rPr>
      </w:pPr>
      <w:r w:rsidRPr="005C1357">
        <w:rPr>
          <w:rFonts w:ascii="Arial" w:hAnsi="Arial" w:cs="Arial"/>
          <w:sz w:val="24"/>
          <w:szCs w:val="24"/>
        </w:rPr>
        <w:t>Ensuring that Board membership has the necessary mix of expertise and skills, including giving voice to the people most impacted by the functions of the Public Trustee;</w:t>
      </w:r>
    </w:p>
    <w:p w14:paraId="1BCDE818" w14:textId="27F70A26" w:rsidR="00A945DC" w:rsidRPr="005C1357" w:rsidRDefault="00A945DC" w:rsidP="00A945DC">
      <w:pPr>
        <w:pStyle w:val="ListParagraph"/>
        <w:numPr>
          <w:ilvl w:val="0"/>
          <w:numId w:val="6"/>
        </w:numPr>
        <w:spacing w:line="259" w:lineRule="auto"/>
        <w:rPr>
          <w:rFonts w:ascii="Arial" w:hAnsi="Arial" w:cs="Arial"/>
          <w:sz w:val="24"/>
          <w:szCs w:val="24"/>
        </w:rPr>
      </w:pPr>
      <w:r w:rsidRPr="005C1357">
        <w:rPr>
          <w:rFonts w:ascii="Arial" w:hAnsi="Arial" w:cs="Arial"/>
          <w:sz w:val="24"/>
          <w:szCs w:val="24"/>
        </w:rPr>
        <w:t xml:space="preserve">Whether </w:t>
      </w:r>
      <w:r w:rsidR="005C1357" w:rsidRPr="005C1357">
        <w:rPr>
          <w:rFonts w:ascii="Arial" w:hAnsi="Arial" w:cs="Arial"/>
          <w:sz w:val="24"/>
          <w:szCs w:val="24"/>
        </w:rPr>
        <w:t xml:space="preserve">advice and recommendations </w:t>
      </w:r>
      <w:r w:rsidRPr="005C1357">
        <w:rPr>
          <w:rFonts w:ascii="Arial" w:hAnsi="Arial" w:cs="Arial"/>
          <w:sz w:val="24"/>
          <w:szCs w:val="24"/>
        </w:rPr>
        <w:t>of the Board should go to the Parliamentary Committee or otherwise published to improve effectiveness, transparency, and accountability.</w:t>
      </w:r>
    </w:p>
    <w:p w14:paraId="454D95C5" w14:textId="187674C8" w:rsidR="00A945DC" w:rsidRDefault="00A945DC" w:rsidP="00A945DC">
      <w:pPr>
        <w:pStyle w:val="Heading2"/>
        <w:rPr>
          <w:rFonts w:cs="Arial"/>
          <w:b/>
          <w:color w:val="auto"/>
          <w:sz w:val="24"/>
          <w:szCs w:val="24"/>
        </w:rPr>
      </w:pPr>
      <w:r w:rsidRPr="005C1357">
        <w:rPr>
          <w:rFonts w:cs="Arial"/>
          <w:b/>
          <w:color w:val="auto"/>
          <w:sz w:val="24"/>
          <w:szCs w:val="24"/>
        </w:rPr>
        <w:t xml:space="preserve">Need for further oversight </w:t>
      </w:r>
    </w:p>
    <w:p w14:paraId="041DD136" w14:textId="77777777" w:rsidR="005C1357" w:rsidRDefault="005C1357" w:rsidP="00A945DC">
      <w:pPr>
        <w:autoSpaceDE w:val="0"/>
        <w:autoSpaceDN w:val="0"/>
        <w:adjustRightInd w:val="0"/>
        <w:spacing w:after="0" w:line="240" w:lineRule="auto"/>
        <w:rPr>
          <w:rFonts w:ascii="Arial" w:hAnsi="Arial" w:cs="Arial"/>
          <w:sz w:val="24"/>
          <w:szCs w:val="24"/>
        </w:rPr>
      </w:pPr>
    </w:p>
    <w:p w14:paraId="4C77711F" w14:textId="07884D95"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Recommendation 30 of the </w:t>
      </w:r>
      <w:r w:rsidR="005C1357">
        <w:rPr>
          <w:rFonts w:ascii="Arial" w:hAnsi="Arial" w:cs="Arial"/>
          <w:sz w:val="24"/>
          <w:szCs w:val="24"/>
        </w:rPr>
        <w:t xml:space="preserve">OPA Report </w:t>
      </w:r>
      <w:r w:rsidRPr="00961355">
        <w:rPr>
          <w:rFonts w:ascii="Arial" w:hAnsi="Arial" w:cs="Arial"/>
          <w:sz w:val="24"/>
          <w:szCs w:val="24"/>
        </w:rPr>
        <w:t>is made in the context of observations that</w:t>
      </w:r>
      <w:r w:rsidR="005C1357">
        <w:rPr>
          <w:rFonts w:ascii="Arial" w:hAnsi="Arial" w:cs="Arial"/>
          <w:sz w:val="24"/>
          <w:szCs w:val="24"/>
        </w:rPr>
        <w:t>,</w:t>
      </w:r>
      <w:r w:rsidRPr="00961355">
        <w:rPr>
          <w:rFonts w:ascii="Arial" w:hAnsi="Arial" w:cs="Arial"/>
          <w:sz w:val="24"/>
          <w:szCs w:val="24"/>
        </w:rPr>
        <w:t xml:space="preserve"> while the Public Trustee is accountable to annual Budget and Estimates processes and appears before Parliamentary Committees, there is limited other oversight over the Public Trustee’s fees and charges. Concerns were also expressed about the Public Trustee’s complaint processes and its accessibility for people with impaired capacity and effectiveness for systemic improvement</w:t>
      </w:r>
      <w:r w:rsidR="005C1357">
        <w:rPr>
          <w:rFonts w:ascii="Arial" w:hAnsi="Arial" w:cs="Arial"/>
          <w:sz w:val="24"/>
          <w:szCs w:val="24"/>
        </w:rPr>
        <w:t>, and that there</w:t>
      </w:r>
      <w:r w:rsidRPr="00961355">
        <w:rPr>
          <w:rFonts w:ascii="Arial" w:hAnsi="Arial" w:cs="Arial"/>
          <w:sz w:val="24"/>
          <w:szCs w:val="24"/>
        </w:rPr>
        <w:t xml:space="preserve"> were limits to </w:t>
      </w:r>
      <w:r w:rsidRPr="00961355">
        <w:rPr>
          <w:rFonts w:ascii="Arial" w:hAnsi="Arial" w:cs="Arial"/>
          <w:sz w:val="24"/>
          <w:szCs w:val="24"/>
        </w:rPr>
        <w:lastRenderedPageBreak/>
        <w:t>external review mechanisms offered by the Queensland Ombudsman and the Crime and Corruption Commission.</w:t>
      </w:r>
    </w:p>
    <w:p w14:paraId="1D3B81D7"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0EF0C4D7" w14:textId="123F8877"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The Commission notes that it</w:t>
      </w:r>
      <w:r w:rsidR="005C1357">
        <w:rPr>
          <w:rFonts w:ascii="Arial" w:hAnsi="Arial" w:cs="Arial"/>
          <w:sz w:val="24"/>
          <w:szCs w:val="24"/>
        </w:rPr>
        <w:t xml:space="preserve"> also</w:t>
      </w:r>
      <w:r w:rsidRPr="00961355">
        <w:rPr>
          <w:rFonts w:ascii="Arial" w:hAnsi="Arial" w:cs="Arial"/>
          <w:sz w:val="24"/>
          <w:szCs w:val="24"/>
        </w:rPr>
        <w:t xml:space="preserve"> has a function of receiving individual complaints about the Public Trustee in relation to unlawful discrimination under the </w:t>
      </w:r>
      <w:r w:rsidRPr="00961355">
        <w:rPr>
          <w:rFonts w:ascii="Arial" w:hAnsi="Arial" w:cs="Arial"/>
          <w:i/>
          <w:sz w:val="24"/>
          <w:szCs w:val="24"/>
        </w:rPr>
        <w:t>Anti-Discrimination Act</w:t>
      </w:r>
      <w:r w:rsidR="005C1357">
        <w:rPr>
          <w:rFonts w:ascii="Arial" w:hAnsi="Arial" w:cs="Arial"/>
          <w:i/>
          <w:sz w:val="24"/>
          <w:szCs w:val="24"/>
        </w:rPr>
        <w:t xml:space="preserve"> 1991 </w:t>
      </w:r>
      <w:r w:rsidR="005C1357" w:rsidRPr="005C1357">
        <w:rPr>
          <w:rFonts w:ascii="Arial" w:hAnsi="Arial" w:cs="Arial"/>
          <w:sz w:val="24"/>
          <w:szCs w:val="24"/>
        </w:rPr>
        <w:t>(Qld)</w:t>
      </w:r>
      <w:r w:rsidRPr="00961355">
        <w:rPr>
          <w:rFonts w:ascii="Arial" w:hAnsi="Arial" w:cs="Arial"/>
          <w:sz w:val="24"/>
          <w:szCs w:val="24"/>
        </w:rPr>
        <w:t>, and unjustified limitations of human rights under the</w:t>
      </w:r>
      <w:r w:rsidRPr="00961355">
        <w:rPr>
          <w:rFonts w:ascii="Arial" w:hAnsi="Arial" w:cs="Arial"/>
          <w:i/>
          <w:sz w:val="24"/>
          <w:szCs w:val="24"/>
        </w:rPr>
        <w:t xml:space="preserve"> </w:t>
      </w:r>
      <w:r w:rsidR="005C1357" w:rsidRPr="005C1357">
        <w:rPr>
          <w:rFonts w:ascii="Arial" w:hAnsi="Arial" w:cs="Arial"/>
          <w:sz w:val="24"/>
          <w:szCs w:val="24"/>
        </w:rPr>
        <w:t>HR Act</w:t>
      </w:r>
      <w:r w:rsidRPr="00961355">
        <w:rPr>
          <w:rFonts w:ascii="Arial" w:hAnsi="Arial" w:cs="Arial"/>
          <w:i/>
          <w:sz w:val="24"/>
          <w:szCs w:val="24"/>
        </w:rPr>
        <w:t xml:space="preserve">. </w:t>
      </w:r>
      <w:r w:rsidRPr="00961355">
        <w:rPr>
          <w:rFonts w:ascii="Arial" w:hAnsi="Arial" w:cs="Arial"/>
          <w:sz w:val="24"/>
          <w:szCs w:val="24"/>
        </w:rPr>
        <w:t xml:space="preserve">Since 2010, the Commission has received 126 enquiries </w:t>
      </w:r>
      <w:r w:rsidR="005C1357">
        <w:rPr>
          <w:rFonts w:ascii="Arial" w:hAnsi="Arial" w:cs="Arial"/>
          <w:sz w:val="24"/>
          <w:szCs w:val="24"/>
        </w:rPr>
        <w:t xml:space="preserve">that </w:t>
      </w:r>
      <w:r w:rsidRPr="00961355">
        <w:rPr>
          <w:rFonts w:ascii="Arial" w:hAnsi="Arial" w:cs="Arial"/>
          <w:sz w:val="24"/>
          <w:szCs w:val="24"/>
        </w:rPr>
        <w:t>mention the Public Trustee</w:t>
      </w:r>
      <w:r w:rsidR="005C1357">
        <w:rPr>
          <w:rFonts w:ascii="Arial" w:hAnsi="Arial" w:cs="Arial"/>
          <w:sz w:val="24"/>
          <w:szCs w:val="24"/>
        </w:rPr>
        <w:t>,</w:t>
      </w:r>
      <w:r w:rsidRPr="00961355">
        <w:rPr>
          <w:rFonts w:ascii="Arial" w:hAnsi="Arial" w:cs="Arial"/>
          <w:sz w:val="24"/>
          <w:szCs w:val="24"/>
        </w:rPr>
        <w:t xml:space="preserve"> and 26 complaints</w:t>
      </w:r>
      <w:r w:rsidRPr="00961355">
        <w:rPr>
          <w:rStyle w:val="FootnoteReference"/>
          <w:rFonts w:ascii="Arial" w:hAnsi="Arial" w:cs="Arial"/>
          <w:sz w:val="24"/>
          <w:szCs w:val="24"/>
        </w:rPr>
        <w:footnoteReference w:id="2"/>
      </w:r>
      <w:r w:rsidRPr="00961355">
        <w:rPr>
          <w:rFonts w:ascii="Arial" w:hAnsi="Arial" w:cs="Arial"/>
          <w:sz w:val="24"/>
          <w:szCs w:val="24"/>
        </w:rPr>
        <w:t xml:space="preserve"> which name the Public Trustee as a respondent</w:t>
      </w:r>
      <w:r w:rsidR="005C1357">
        <w:rPr>
          <w:rFonts w:ascii="Arial" w:hAnsi="Arial" w:cs="Arial"/>
          <w:sz w:val="24"/>
          <w:szCs w:val="24"/>
        </w:rPr>
        <w:t xml:space="preserve">. The numbers of enquiries and complaints have </w:t>
      </w:r>
      <w:r w:rsidRPr="00961355">
        <w:rPr>
          <w:rFonts w:ascii="Arial" w:hAnsi="Arial" w:cs="Arial"/>
          <w:sz w:val="24"/>
          <w:szCs w:val="24"/>
        </w:rPr>
        <w:t xml:space="preserve">significantly </w:t>
      </w:r>
      <w:r w:rsidR="005C1357">
        <w:rPr>
          <w:rFonts w:ascii="Arial" w:hAnsi="Arial" w:cs="Arial"/>
          <w:sz w:val="24"/>
          <w:szCs w:val="24"/>
        </w:rPr>
        <w:t xml:space="preserve">increased </w:t>
      </w:r>
      <w:r w:rsidRPr="00961355">
        <w:rPr>
          <w:rFonts w:ascii="Arial" w:hAnsi="Arial" w:cs="Arial"/>
          <w:sz w:val="24"/>
          <w:szCs w:val="24"/>
        </w:rPr>
        <w:t xml:space="preserve">in the last </w:t>
      </w:r>
      <w:r w:rsidR="005C1357">
        <w:rPr>
          <w:rFonts w:ascii="Arial" w:hAnsi="Arial" w:cs="Arial"/>
          <w:sz w:val="24"/>
          <w:szCs w:val="24"/>
        </w:rPr>
        <w:t xml:space="preserve">two </w:t>
      </w:r>
      <w:r w:rsidRPr="00961355">
        <w:rPr>
          <w:rFonts w:ascii="Arial" w:hAnsi="Arial" w:cs="Arial"/>
          <w:sz w:val="24"/>
          <w:szCs w:val="24"/>
        </w:rPr>
        <w:t>years</w:t>
      </w:r>
      <w:r w:rsidRPr="00961355">
        <w:rPr>
          <w:rStyle w:val="FootnoteReference"/>
          <w:rFonts w:ascii="Arial" w:hAnsi="Arial" w:cs="Arial"/>
          <w:sz w:val="24"/>
          <w:szCs w:val="24"/>
        </w:rPr>
        <w:footnoteReference w:id="3"/>
      </w:r>
      <w:r w:rsidR="005C1357">
        <w:rPr>
          <w:rFonts w:ascii="Arial" w:hAnsi="Arial" w:cs="Arial"/>
          <w:sz w:val="24"/>
          <w:szCs w:val="24"/>
        </w:rPr>
        <w:t xml:space="preserve">, although the </w:t>
      </w:r>
      <w:r w:rsidRPr="00961355">
        <w:rPr>
          <w:rFonts w:ascii="Arial" w:hAnsi="Arial" w:cs="Arial"/>
          <w:sz w:val="24"/>
          <w:szCs w:val="24"/>
        </w:rPr>
        <w:t xml:space="preserve">majority of complaints have not met threshold requirements for acceptance under the Acts. </w:t>
      </w:r>
    </w:p>
    <w:p w14:paraId="45BC1444"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3D51F2E5" w14:textId="77777777"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Existing individual complaints mechanisms, while important, are insufficient to identify and address broader issues of systems, culture and structures. It further relies on individuals to make complaints, many of whom may not be in a position to do so as a result of disability, disempowerment and isolation. </w:t>
      </w:r>
    </w:p>
    <w:p w14:paraId="0BE001A1"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2BAB2713" w14:textId="79DB4165"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The Commission supports the introduction of an oversight mechanism which allows for a contemporary, external gaze on the practice, procedures, and policy of the Public Trustee. Implementation through legislation, rather than through administrative arrangements, allows for the setting of functions and obligations of the Board, and increases its independence, accountability and transparency.  The proposed Board also has the advantages of access to information of the Public Trustee, a specific focus, and </w:t>
      </w:r>
      <w:r w:rsidR="005C1357">
        <w:rPr>
          <w:rFonts w:ascii="Arial" w:hAnsi="Arial" w:cs="Arial"/>
          <w:sz w:val="24"/>
          <w:szCs w:val="24"/>
        </w:rPr>
        <w:t xml:space="preserve">a mix of </w:t>
      </w:r>
      <w:r w:rsidRPr="00961355">
        <w:rPr>
          <w:rFonts w:ascii="Arial" w:hAnsi="Arial" w:cs="Arial"/>
          <w:sz w:val="24"/>
          <w:szCs w:val="24"/>
        </w:rPr>
        <w:t>expertise and skill</w:t>
      </w:r>
      <w:r w:rsidR="005C1357">
        <w:rPr>
          <w:rFonts w:ascii="Arial" w:hAnsi="Arial" w:cs="Arial"/>
          <w:sz w:val="24"/>
          <w:szCs w:val="24"/>
        </w:rPr>
        <w:t>s</w:t>
      </w:r>
      <w:r w:rsidRPr="00961355">
        <w:rPr>
          <w:rFonts w:ascii="Arial" w:hAnsi="Arial" w:cs="Arial"/>
          <w:sz w:val="24"/>
          <w:szCs w:val="24"/>
        </w:rPr>
        <w:t xml:space="preserve"> directly relevant to the Public Trustees functions. </w:t>
      </w:r>
    </w:p>
    <w:p w14:paraId="6006D679"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015EC03E" w14:textId="77777777" w:rsidR="00A945DC" w:rsidRPr="005C1357" w:rsidRDefault="00A945DC" w:rsidP="00A945DC">
      <w:pPr>
        <w:pStyle w:val="Heading2"/>
        <w:rPr>
          <w:rFonts w:cs="Arial"/>
          <w:b/>
          <w:color w:val="auto"/>
          <w:sz w:val="24"/>
          <w:szCs w:val="24"/>
        </w:rPr>
      </w:pPr>
      <w:r w:rsidRPr="005C1357">
        <w:rPr>
          <w:rFonts w:cs="Arial"/>
          <w:b/>
          <w:color w:val="auto"/>
          <w:sz w:val="24"/>
          <w:szCs w:val="24"/>
        </w:rPr>
        <w:t>Board membership</w:t>
      </w:r>
    </w:p>
    <w:p w14:paraId="2B01CDA9"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7F3B9CA4" w14:textId="77777777"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The Board’s membership will be critical to the achievement of its purpose. </w:t>
      </w:r>
    </w:p>
    <w:p w14:paraId="2CF53987"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56ACA82A" w14:textId="77777777"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The Bill currently specifies the makeup of the Board to be:</w:t>
      </w:r>
    </w:p>
    <w:p w14:paraId="38BC2EF9" w14:textId="77777777" w:rsidR="00A945DC" w:rsidRPr="00961355" w:rsidRDefault="00A945DC" w:rsidP="00A945DC">
      <w:pPr>
        <w:pStyle w:val="ListParagraph"/>
        <w:numPr>
          <w:ilvl w:val="0"/>
          <w:numId w:val="5"/>
        </w:num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five permanent members, being the chief or senior executives of the Department of Justice and Attorney-General, and the departments responsible for the </w:t>
      </w:r>
      <w:r w:rsidRPr="00961355">
        <w:rPr>
          <w:rFonts w:ascii="Arial" w:hAnsi="Arial" w:cs="Arial"/>
          <w:i/>
          <w:sz w:val="24"/>
          <w:szCs w:val="24"/>
        </w:rPr>
        <w:t>Financial Accountability Act 2009</w:t>
      </w:r>
      <w:r w:rsidRPr="00961355">
        <w:rPr>
          <w:rFonts w:ascii="Arial" w:hAnsi="Arial" w:cs="Arial"/>
          <w:sz w:val="24"/>
          <w:szCs w:val="24"/>
        </w:rPr>
        <w:t xml:space="preserve">, the </w:t>
      </w:r>
      <w:r w:rsidRPr="00961355">
        <w:rPr>
          <w:rFonts w:ascii="Arial" w:hAnsi="Arial" w:cs="Arial"/>
          <w:i/>
          <w:sz w:val="24"/>
          <w:szCs w:val="24"/>
        </w:rPr>
        <w:t>Disability Services Act 2006</w:t>
      </w:r>
      <w:r w:rsidRPr="00961355">
        <w:rPr>
          <w:rFonts w:ascii="Arial" w:hAnsi="Arial" w:cs="Arial"/>
          <w:sz w:val="24"/>
          <w:szCs w:val="24"/>
        </w:rPr>
        <w:t xml:space="preserve">, seniors, and the </w:t>
      </w:r>
      <w:r w:rsidRPr="00961355">
        <w:rPr>
          <w:rFonts w:ascii="Arial" w:hAnsi="Arial" w:cs="Arial"/>
          <w:i/>
          <w:sz w:val="24"/>
          <w:szCs w:val="24"/>
        </w:rPr>
        <w:t>Aboriginal Cultural Heritage Act 2003</w:t>
      </w:r>
      <w:r w:rsidRPr="00961355">
        <w:rPr>
          <w:rFonts w:ascii="Arial" w:hAnsi="Arial" w:cs="Arial"/>
          <w:sz w:val="24"/>
          <w:szCs w:val="24"/>
        </w:rPr>
        <w:t xml:space="preserve"> and the </w:t>
      </w:r>
      <w:r w:rsidRPr="00961355">
        <w:rPr>
          <w:rFonts w:ascii="Arial" w:hAnsi="Arial" w:cs="Arial"/>
          <w:i/>
          <w:sz w:val="24"/>
          <w:szCs w:val="24"/>
        </w:rPr>
        <w:t>Torres Strait Islander Cultural Heritage Act 2003</w:t>
      </w:r>
      <w:r w:rsidRPr="00961355">
        <w:rPr>
          <w:rFonts w:ascii="Arial" w:hAnsi="Arial" w:cs="Arial"/>
          <w:sz w:val="24"/>
          <w:szCs w:val="24"/>
        </w:rPr>
        <w:t xml:space="preserve">; </w:t>
      </w:r>
    </w:p>
    <w:p w14:paraId="2662C686" w14:textId="77777777" w:rsidR="00A945DC" w:rsidRPr="00961355" w:rsidRDefault="00A945DC" w:rsidP="00A945DC">
      <w:pPr>
        <w:pStyle w:val="ListParagraph"/>
        <w:numPr>
          <w:ilvl w:val="0"/>
          <w:numId w:val="5"/>
        </w:num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At least four but not more than five appointed members including</w:t>
      </w:r>
    </w:p>
    <w:p w14:paraId="3666C1C5" w14:textId="77777777" w:rsidR="00A945DC" w:rsidRPr="00961355" w:rsidRDefault="00A945DC" w:rsidP="00A945DC">
      <w:pPr>
        <w:pStyle w:val="ListParagraph"/>
        <w:numPr>
          <w:ilvl w:val="1"/>
          <w:numId w:val="5"/>
        </w:num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at least one person with knowledge, qualifications or skills in relation to advocacy, services and support for seniors and persons with a disability, including persons with impaired capacity;</w:t>
      </w:r>
    </w:p>
    <w:p w14:paraId="1F247A29" w14:textId="77777777" w:rsidR="00A945DC" w:rsidRPr="00961355" w:rsidRDefault="00A945DC" w:rsidP="00A945DC">
      <w:pPr>
        <w:pStyle w:val="ListParagraph"/>
        <w:numPr>
          <w:ilvl w:val="1"/>
          <w:numId w:val="5"/>
        </w:num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at least one person with legal knowledge, qualifications or skills in relation to one or more of the following: commercial litigation; duties and obligations of trustees; powers of attorney; substituted decision-making for adults with impaired capacity; succession law; or the principles and rules of equity.</w:t>
      </w:r>
    </w:p>
    <w:p w14:paraId="556F3755"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26AA99D0" w14:textId="7F4544D4"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lastRenderedPageBreak/>
        <w:t xml:space="preserve">In addition, the Minister must ensure the appointed board members reflect the diversity of the Queensland community and at least one appointed board member is an Aboriginal person or Torres Strait Islander. </w:t>
      </w:r>
      <w:r w:rsidRPr="00441DAF">
        <w:rPr>
          <w:rFonts w:ascii="Arial" w:hAnsi="Arial" w:cs="Arial"/>
          <w:sz w:val="24"/>
          <w:szCs w:val="24"/>
        </w:rPr>
        <w:t xml:space="preserve">While not public servants, </w:t>
      </w:r>
      <w:r w:rsidR="00441DAF" w:rsidRPr="00441DAF">
        <w:rPr>
          <w:rFonts w:ascii="Arial" w:hAnsi="Arial" w:cs="Arial"/>
          <w:sz w:val="24"/>
          <w:szCs w:val="24"/>
        </w:rPr>
        <w:t xml:space="preserve">both the Board and the appointed board members </w:t>
      </w:r>
      <w:r w:rsidRPr="00441DAF">
        <w:rPr>
          <w:rFonts w:ascii="Arial" w:hAnsi="Arial" w:cs="Arial"/>
          <w:sz w:val="24"/>
          <w:szCs w:val="24"/>
        </w:rPr>
        <w:t xml:space="preserve">are likely to be public entities with responsibilities under the </w:t>
      </w:r>
      <w:r w:rsidR="005C1357" w:rsidRPr="00441DAF">
        <w:rPr>
          <w:rFonts w:ascii="Arial" w:hAnsi="Arial" w:cs="Arial"/>
          <w:sz w:val="24"/>
          <w:szCs w:val="24"/>
        </w:rPr>
        <w:t>HR</w:t>
      </w:r>
      <w:r w:rsidR="00441DAF" w:rsidRPr="00441DAF">
        <w:rPr>
          <w:rFonts w:ascii="Arial" w:hAnsi="Arial" w:cs="Arial"/>
          <w:sz w:val="24"/>
          <w:szCs w:val="24"/>
        </w:rPr>
        <w:t xml:space="preserve"> Act (see sections 9</w:t>
      </w:r>
      <w:r w:rsidRPr="00441DAF">
        <w:rPr>
          <w:rFonts w:ascii="Arial" w:hAnsi="Arial" w:cs="Arial"/>
          <w:sz w:val="24"/>
          <w:szCs w:val="24"/>
        </w:rPr>
        <w:t xml:space="preserve">(f) </w:t>
      </w:r>
      <w:r w:rsidR="00441DAF" w:rsidRPr="00441DAF">
        <w:rPr>
          <w:rFonts w:ascii="Arial" w:hAnsi="Arial" w:cs="Arial"/>
          <w:sz w:val="24"/>
          <w:szCs w:val="24"/>
        </w:rPr>
        <w:t>and (</w:t>
      </w:r>
      <w:proofErr w:type="spellStart"/>
      <w:r w:rsidR="00441DAF" w:rsidRPr="00441DAF">
        <w:rPr>
          <w:rFonts w:ascii="Arial" w:hAnsi="Arial" w:cs="Arial"/>
          <w:sz w:val="24"/>
          <w:szCs w:val="24"/>
        </w:rPr>
        <w:t>i</w:t>
      </w:r>
      <w:proofErr w:type="spellEnd"/>
      <w:r w:rsidR="00441DAF" w:rsidRPr="00441DAF">
        <w:rPr>
          <w:rFonts w:ascii="Arial" w:hAnsi="Arial" w:cs="Arial"/>
          <w:sz w:val="24"/>
          <w:szCs w:val="24"/>
        </w:rPr>
        <w:t xml:space="preserve">) of the </w:t>
      </w:r>
      <w:r w:rsidRPr="00441DAF">
        <w:rPr>
          <w:rFonts w:ascii="Arial" w:hAnsi="Arial" w:cs="Arial"/>
          <w:sz w:val="24"/>
          <w:szCs w:val="24"/>
        </w:rPr>
        <w:t>HR</w:t>
      </w:r>
      <w:r w:rsidR="00441DAF" w:rsidRPr="00441DAF">
        <w:rPr>
          <w:rFonts w:ascii="Arial" w:hAnsi="Arial" w:cs="Arial"/>
          <w:sz w:val="24"/>
          <w:szCs w:val="24"/>
        </w:rPr>
        <w:t xml:space="preserve"> </w:t>
      </w:r>
      <w:r w:rsidRPr="00441DAF">
        <w:rPr>
          <w:rFonts w:ascii="Arial" w:hAnsi="Arial" w:cs="Arial"/>
          <w:sz w:val="24"/>
          <w:szCs w:val="24"/>
        </w:rPr>
        <w:t>A</w:t>
      </w:r>
      <w:r w:rsidR="00441DAF" w:rsidRPr="00441DAF">
        <w:rPr>
          <w:rFonts w:ascii="Arial" w:hAnsi="Arial" w:cs="Arial"/>
          <w:sz w:val="24"/>
          <w:szCs w:val="24"/>
        </w:rPr>
        <w:t>ct</w:t>
      </w:r>
      <w:r w:rsidRPr="00441DAF">
        <w:rPr>
          <w:rFonts w:ascii="Arial" w:hAnsi="Arial" w:cs="Arial"/>
          <w:sz w:val="24"/>
          <w:szCs w:val="24"/>
        </w:rPr>
        <w:t>).</w:t>
      </w:r>
      <w:r w:rsidRPr="00961355">
        <w:rPr>
          <w:rFonts w:ascii="Arial" w:hAnsi="Arial" w:cs="Arial"/>
          <w:sz w:val="24"/>
          <w:szCs w:val="24"/>
        </w:rPr>
        <w:t xml:space="preserve"> </w:t>
      </w:r>
    </w:p>
    <w:p w14:paraId="79DB838C"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3908CEED" w14:textId="11AA8305" w:rsidR="00441DAF" w:rsidRDefault="00441DAF" w:rsidP="00A945D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6C3169">
        <w:rPr>
          <w:rFonts w:ascii="Arial" w:hAnsi="Arial" w:cs="Arial"/>
          <w:sz w:val="24"/>
          <w:szCs w:val="24"/>
        </w:rPr>
        <w:t>C</w:t>
      </w:r>
      <w:r>
        <w:rPr>
          <w:rFonts w:ascii="Arial" w:hAnsi="Arial" w:cs="Arial"/>
          <w:sz w:val="24"/>
          <w:szCs w:val="24"/>
        </w:rPr>
        <w:t>ommission recommends further consideration be given to specifying appointed board members who are or who have expertise in:</w:t>
      </w:r>
    </w:p>
    <w:p w14:paraId="7833AA2A" w14:textId="4F65F52D" w:rsidR="00A945DC" w:rsidRPr="00961355" w:rsidRDefault="00441DAF" w:rsidP="00A945DC">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w:t>
      </w:r>
      <w:r w:rsidR="00A945DC" w:rsidRPr="00961355">
        <w:rPr>
          <w:rFonts w:ascii="Arial" w:hAnsi="Arial" w:cs="Arial"/>
          <w:sz w:val="24"/>
          <w:szCs w:val="24"/>
        </w:rPr>
        <w:t>consumer or carer representative with lived experience;</w:t>
      </w:r>
    </w:p>
    <w:p w14:paraId="711409B6" w14:textId="77777777" w:rsidR="00A945DC" w:rsidRPr="00961355" w:rsidRDefault="00A945DC" w:rsidP="00A945DC">
      <w:pPr>
        <w:pStyle w:val="ListParagraph"/>
        <w:numPr>
          <w:ilvl w:val="0"/>
          <w:numId w:val="5"/>
        </w:num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mental health; and</w:t>
      </w:r>
    </w:p>
    <w:p w14:paraId="28C58015" w14:textId="77777777" w:rsidR="00A945DC" w:rsidRPr="00961355" w:rsidRDefault="00A945DC" w:rsidP="00A945DC">
      <w:pPr>
        <w:pStyle w:val="ListParagraph"/>
        <w:numPr>
          <w:ilvl w:val="0"/>
          <w:numId w:val="5"/>
        </w:num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human rights. </w:t>
      </w:r>
    </w:p>
    <w:p w14:paraId="3BCF6DEF"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1FB94E88" w14:textId="3E7D17C8"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Further, given that the departments of </w:t>
      </w:r>
      <w:r w:rsidR="00441DAF">
        <w:rPr>
          <w:rFonts w:ascii="Arial" w:hAnsi="Arial" w:cs="Arial"/>
          <w:sz w:val="24"/>
          <w:szCs w:val="24"/>
        </w:rPr>
        <w:t xml:space="preserve">some of </w:t>
      </w:r>
      <w:r w:rsidRPr="00961355">
        <w:rPr>
          <w:rFonts w:ascii="Arial" w:hAnsi="Arial" w:cs="Arial"/>
          <w:sz w:val="24"/>
          <w:szCs w:val="24"/>
        </w:rPr>
        <w:t>the permanent members currently overlap</w:t>
      </w:r>
      <w:r w:rsidRPr="00961355">
        <w:rPr>
          <w:rStyle w:val="FootnoteReference"/>
          <w:rFonts w:ascii="Arial" w:hAnsi="Arial" w:cs="Arial"/>
          <w:sz w:val="24"/>
          <w:szCs w:val="24"/>
        </w:rPr>
        <w:footnoteReference w:id="4"/>
      </w:r>
      <w:r w:rsidRPr="00961355">
        <w:rPr>
          <w:rFonts w:ascii="Arial" w:hAnsi="Arial" w:cs="Arial"/>
          <w:sz w:val="24"/>
          <w:szCs w:val="24"/>
        </w:rPr>
        <w:t xml:space="preserve">, are likely to continue to overlap, and the importance of ensuring a board that is diverse and inclusive, consideration could be given to reducing the number of permanent members, in favour of more appointed members. </w:t>
      </w:r>
    </w:p>
    <w:p w14:paraId="23066FAE"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48F7297F" w14:textId="77777777" w:rsidR="00A945DC" w:rsidRPr="00441DAF" w:rsidRDefault="00A945DC" w:rsidP="00A945DC">
      <w:pPr>
        <w:pStyle w:val="Heading2"/>
        <w:rPr>
          <w:rFonts w:cs="Arial"/>
          <w:b/>
          <w:color w:val="auto"/>
          <w:sz w:val="24"/>
          <w:szCs w:val="24"/>
        </w:rPr>
      </w:pPr>
      <w:r w:rsidRPr="00441DAF">
        <w:rPr>
          <w:rFonts w:cs="Arial"/>
          <w:b/>
          <w:color w:val="auto"/>
          <w:sz w:val="24"/>
          <w:szCs w:val="24"/>
        </w:rPr>
        <w:t>Effectiveness, transparency and accountability</w:t>
      </w:r>
    </w:p>
    <w:p w14:paraId="4CFFCB52"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0C27EEFF" w14:textId="51860DAE"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The OPA Report </w:t>
      </w:r>
      <w:r w:rsidR="00441DAF">
        <w:rPr>
          <w:rFonts w:ascii="Arial" w:hAnsi="Arial" w:cs="Arial"/>
          <w:sz w:val="24"/>
          <w:szCs w:val="24"/>
        </w:rPr>
        <w:t xml:space="preserve">at [712] </w:t>
      </w:r>
      <w:r w:rsidRPr="00961355">
        <w:rPr>
          <w:rFonts w:ascii="Arial" w:hAnsi="Arial" w:cs="Arial"/>
          <w:sz w:val="24"/>
          <w:szCs w:val="24"/>
        </w:rPr>
        <w:t xml:space="preserve">suggested that reports of the Board be to the Parliamentary Committee. </w:t>
      </w:r>
    </w:p>
    <w:p w14:paraId="730856D2"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21F79A3F" w14:textId="1ED36884"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In the Bill, the Board provides its reports to the Attorney-General, who has no</w:t>
      </w:r>
      <w:r w:rsidR="0070260B">
        <w:rPr>
          <w:rFonts w:ascii="Arial" w:hAnsi="Arial" w:cs="Arial"/>
          <w:sz w:val="24"/>
          <w:szCs w:val="24"/>
        </w:rPr>
        <w:t xml:space="preserve"> obligation to table or publish</w:t>
      </w:r>
      <w:r w:rsidR="00441DAF">
        <w:rPr>
          <w:rFonts w:ascii="Arial" w:hAnsi="Arial" w:cs="Arial"/>
          <w:sz w:val="24"/>
          <w:szCs w:val="24"/>
        </w:rPr>
        <w:t xml:space="preserve"> the report</w:t>
      </w:r>
      <w:r w:rsidR="0070260B">
        <w:rPr>
          <w:rFonts w:ascii="Arial" w:hAnsi="Arial" w:cs="Arial"/>
          <w:sz w:val="24"/>
          <w:szCs w:val="24"/>
        </w:rPr>
        <w:t xml:space="preserve">. </w:t>
      </w:r>
      <w:r w:rsidR="00441DAF">
        <w:rPr>
          <w:rFonts w:ascii="Arial" w:hAnsi="Arial" w:cs="Arial"/>
          <w:sz w:val="24"/>
          <w:szCs w:val="24"/>
        </w:rPr>
        <w:t>Annual reporting on the performance of the B</w:t>
      </w:r>
      <w:r w:rsidR="0070260B">
        <w:rPr>
          <w:rFonts w:ascii="Arial" w:hAnsi="Arial" w:cs="Arial"/>
          <w:sz w:val="24"/>
          <w:szCs w:val="24"/>
        </w:rPr>
        <w:t xml:space="preserve">oard’s functions and powers </w:t>
      </w:r>
      <w:r w:rsidR="00441DAF">
        <w:rPr>
          <w:rFonts w:ascii="Arial" w:hAnsi="Arial" w:cs="Arial"/>
          <w:sz w:val="24"/>
          <w:szCs w:val="24"/>
        </w:rPr>
        <w:t xml:space="preserve">is to be contained </w:t>
      </w:r>
      <w:r w:rsidR="0070260B">
        <w:rPr>
          <w:rFonts w:ascii="Arial" w:hAnsi="Arial" w:cs="Arial"/>
          <w:sz w:val="24"/>
          <w:szCs w:val="24"/>
        </w:rPr>
        <w:t xml:space="preserve">in the </w:t>
      </w:r>
      <w:r w:rsidRPr="00961355">
        <w:rPr>
          <w:rFonts w:ascii="Arial" w:hAnsi="Arial" w:cs="Arial"/>
          <w:sz w:val="24"/>
          <w:szCs w:val="24"/>
        </w:rPr>
        <w:t xml:space="preserve">Public Trustee’s annual report.  This has the potential to undermine the Board’s effectiveness and limits its transparency and public accountability. </w:t>
      </w:r>
    </w:p>
    <w:p w14:paraId="32E5225A"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1B63AAC4" w14:textId="09153252"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 xml:space="preserve">The Commission recommends that the </w:t>
      </w:r>
      <w:r w:rsidR="0070260B">
        <w:rPr>
          <w:rFonts w:ascii="Arial" w:hAnsi="Arial" w:cs="Arial"/>
          <w:sz w:val="24"/>
          <w:szCs w:val="24"/>
        </w:rPr>
        <w:t xml:space="preserve">advice and recommendations </w:t>
      </w:r>
      <w:r w:rsidRPr="00961355">
        <w:rPr>
          <w:rFonts w:ascii="Arial" w:hAnsi="Arial" w:cs="Arial"/>
          <w:sz w:val="24"/>
          <w:szCs w:val="24"/>
        </w:rPr>
        <w:t>of the Board go to the Parliamentary Committee, or at a minimum be published.</w:t>
      </w:r>
    </w:p>
    <w:p w14:paraId="599AF366" w14:textId="77777777" w:rsidR="00A945DC" w:rsidRPr="00961355" w:rsidRDefault="00A945DC" w:rsidP="00A945DC">
      <w:pPr>
        <w:autoSpaceDE w:val="0"/>
        <w:autoSpaceDN w:val="0"/>
        <w:adjustRightInd w:val="0"/>
        <w:spacing w:after="0" w:line="240" w:lineRule="auto"/>
        <w:rPr>
          <w:rFonts w:ascii="Arial" w:hAnsi="Arial" w:cs="Arial"/>
          <w:sz w:val="24"/>
          <w:szCs w:val="24"/>
        </w:rPr>
      </w:pPr>
    </w:p>
    <w:p w14:paraId="287873DC" w14:textId="62E63A60" w:rsidR="00A945DC" w:rsidRPr="00961355" w:rsidRDefault="00A945DC" w:rsidP="00A945DC">
      <w:pPr>
        <w:autoSpaceDE w:val="0"/>
        <w:autoSpaceDN w:val="0"/>
        <w:adjustRightInd w:val="0"/>
        <w:spacing w:after="0" w:line="240" w:lineRule="auto"/>
        <w:rPr>
          <w:rFonts w:ascii="Arial" w:hAnsi="Arial" w:cs="Arial"/>
          <w:sz w:val="24"/>
          <w:szCs w:val="24"/>
        </w:rPr>
      </w:pPr>
      <w:r w:rsidRPr="00961355">
        <w:rPr>
          <w:rFonts w:ascii="Arial" w:hAnsi="Arial" w:cs="Arial"/>
          <w:sz w:val="24"/>
          <w:szCs w:val="24"/>
        </w:rPr>
        <w:t>Thank you for this opp</w:t>
      </w:r>
      <w:r w:rsidR="00441DAF">
        <w:rPr>
          <w:rFonts w:ascii="Arial" w:hAnsi="Arial" w:cs="Arial"/>
          <w:sz w:val="24"/>
          <w:szCs w:val="24"/>
        </w:rPr>
        <w:t>ortunity to provide submissions on the Bill.</w:t>
      </w:r>
      <w:r w:rsidRPr="00961355">
        <w:rPr>
          <w:rFonts w:ascii="Arial" w:hAnsi="Arial" w:cs="Arial"/>
          <w:sz w:val="24"/>
          <w:szCs w:val="24"/>
        </w:rPr>
        <w:t xml:space="preserve"> </w:t>
      </w:r>
    </w:p>
    <w:p w14:paraId="300196AA" w14:textId="77777777" w:rsidR="00A945DC" w:rsidRDefault="00A945DC" w:rsidP="00A945DC">
      <w:pPr>
        <w:autoSpaceDE w:val="0"/>
        <w:autoSpaceDN w:val="0"/>
        <w:adjustRightInd w:val="0"/>
        <w:spacing w:after="0" w:line="240" w:lineRule="auto"/>
        <w:rPr>
          <w:rFonts w:ascii="Segoe UI" w:hAnsi="Segoe UI" w:cs="Segoe UI"/>
          <w:sz w:val="21"/>
          <w:szCs w:val="21"/>
        </w:rPr>
      </w:pPr>
    </w:p>
    <w:p w14:paraId="3A268397" w14:textId="77777777" w:rsidR="000642F6" w:rsidRPr="000642F6" w:rsidRDefault="000642F6" w:rsidP="000642F6">
      <w:pPr>
        <w:rPr>
          <w:rFonts w:ascii="Arial" w:hAnsi="Arial" w:cs="Arial"/>
          <w:sz w:val="24"/>
          <w:szCs w:val="24"/>
        </w:rPr>
      </w:pPr>
      <w:r w:rsidRPr="000642F6">
        <w:rPr>
          <w:rFonts w:ascii="Arial" w:hAnsi="Arial" w:cs="Arial"/>
          <w:sz w:val="24"/>
          <w:szCs w:val="24"/>
        </w:rPr>
        <w:t>Yours sincerely</w:t>
      </w:r>
    </w:p>
    <w:p w14:paraId="7293142A" w14:textId="39A479D3" w:rsidR="000642F6" w:rsidRPr="000642F6" w:rsidRDefault="000642F6" w:rsidP="000642F6">
      <w:pPr>
        <w:spacing w:after="0"/>
        <w:rPr>
          <w:rFonts w:ascii="Arial" w:hAnsi="Arial" w:cs="Arial"/>
          <w:sz w:val="24"/>
          <w:szCs w:val="24"/>
        </w:rPr>
      </w:pPr>
      <w:bookmarkStart w:id="0" w:name="_GoBack"/>
      <w:bookmarkEnd w:id="0"/>
    </w:p>
    <w:p w14:paraId="0F798712" w14:textId="77777777" w:rsidR="000642F6" w:rsidRPr="000642F6" w:rsidRDefault="000642F6" w:rsidP="000642F6">
      <w:pPr>
        <w:spacing w:after="0" w:line="240" w:lineRule="auto"/>
        <w:rPr>
          <w:rFonts w:ascii="Arial" w:hAnsi="Arial" w:cs="Arial"/>
          <w:b/>
          <w:sz w:val="24"/>
          <w:szCs w:val="24"/>
        </w:rPr>
      </w:pPr>
      <w:r w:rsidRPr="000642F6">
        <w:rPr>
          <w:rFonts w:ascii="Arial" w:hAnsi="Arial" w:cs="Arial"/>
          <w:b/>
          <w:sz w:val="24"/>
          <w:szCs w:val="24"/>
        </w:rPr>
        <w:t>Scott McDougall</w:t>
      </w:r>
    </w:p>
    <w:p w14:paraId="443F8219" w14:textId="77777777" w:rsidR="000642F6" w:rsidRPr="000642F6" w:rsidRDefault="000642F6" w:rsidP="000642F6">
      <w:pPr>
        <w:spacing w:after="0" w:line="240" w:lineRule="auto"/>
        <w:rPr>
          <w:rFonts w:ascii="Arial" w:hAnsi="Arial" w:cs="Arial"/>
          <w:b/>
          <w:sz w:val="24"/>
          <w:szCs w:val="24"/>
        </w:rPr>
      </w:pPr>
      <w:r w:rsidRPr="000642F6">
        <w:rPr>
          <w:rFonts w:ascii="Arial" w:hAnsi="Arial" w:cs="Arial"/>
          <w:b/>
          <w:sz w:val="24"/>
          <w:szCs w:val="24"/>
        </w:rPr>
        <w:t>Commissioner</w:t>
      </w:r>
    </w:p>
    <w:p w14:paraId="01F8FEEA" w14:textId="154FB729" w:rsidR="002A51B9" w:rsidRPr="000642F6" w:rsidRDefault="002A51B9" w:rsidP="00A945DC">
      <w:pPr>
        <w:spacing w:after="0" w:line="240" w:lineRule="auto"/>
        <w:rPr>
          <w:rFonts w:ascii="Arial" w:hAnsi="Arial" w:cs="Arial"/>
          <w:sz w:val="24"/>
          <w:szCs w:val="24"/>
        </w:rPr>
      </w:pPr>
    </w:p>
    <w:sectPr w:rsidR="002A51B9" w:rsidRPr="000642F6" w:rsidSect="00325720">
      <w:headerReference w:type="default" r:id="rId9"/>
      <w:footerReference w:type="default" r:id="rId10"/>
      <w:headerReference w:type="first" r:id="rId11"/>
      <w:footerReference w:type="first" r:id="rId12"/>
      <w:pgSz w:w="11906" w:h="16838"/>
      <w:pgMar w:top="1560" w:right="1416" w:bottom="1276" w:left="1418" w:header="708" w:footer="65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F70F" w16cex:dateUtc="2021-11-18T02:47:00Z"/>
  <w16cex:commentExtensible w16cex:durableId="2540F710" w16cex:dateUtc="2021-11-18T04:55:00Z"/>
  <w16cex:commentExtensible w16cex:durableId="2540F711" w16cex:dateUtc="2021-11-18T05:36:00Z"/>
  <w16cex:commentExtensible w16cex:durableId="2540F759" w16cex:dateUtc="2021-11-18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191E3" w16cid:durableId="2540F70F"/>
  <w16cid:commentId w16cid:paraId="1BDA05C9" w16cid:durableId="2540F710"/>
  <w16cid:commentId w16cid:paraId="5A915EFD" w16cid:durableId="2540F711"/>
  <w16cid:commentId w16cid:paraId="7FE67860" w16cid:durableId="2540F7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36EAE" w14:textId="77777777" w:rsidR="00325720" w:rsidRDefault="00325720" w:rsidP="00304408">
      <w:pPr>
        <w:spacing w:after="0" w:line="240" w:lineRule="auto"/>
      </w:pPr>
      <w:r>
        <w:separator/>
      </w:r>
    </w:p>
  </w:endnote>
  <w:endnote w:type="continuationSeparator" w:id="0">
    <w:p w14:paraId="7B5A5E91" w14:textId="77777777" w:rsidR="00325720" w:rsidRDefault="00325720"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ECC1" w14:textId="77777777" w:rsidR="00325720" w:rsidRDefault="00325720"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E4ABA" w14:textId="77777777" w:rsidR="00325720" w:rsidRDefault="00325720" w:rsidP="000C13C7">
    <w:pPr>
      <w:pStyle w:val="Footer"/>
      <w:tabs>
        <w:tab w:val="clear" w:pos="4513"/>
        <w:tab w:val="clear" w:pos="9026"/>
      </w:tabs>
    </w:pPr>
    <w:r>
      <w:rPr>
        <w:noProof/>
      </w:rPr>
      <w:drawing>
        <wp:inline distT="0" distB="0" distL="0" distR="0" wp14:anchorId="4D7847C3" wp14:editId="1A65ECF8">
          <wp:extent cx="5657578" cy="1085182"/>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879BF" w14:textId="77777777" w:rsidR="00325720" w:rsidRDefault="00325720" w:rsidP="00304408">
      <w:pPr>
        <w:spacing w:after="0" w:line="240" w:lineRule="auto"/>
      </w:pPr>
      <w:r>
        <w:separator/>
      </w:r>
    </w:p>
  </w:footnote>
  <w:footnote w:type="continuationSeparator" w:id="0">
    <w:p w14:paraId="3BDEFB54" w14:textId="77777777" w:rsidR="00325720" w:rsidRDefault="00325720" w:rsidP="00304408">
      <w:pPr>
        <w:spacing w:after="0" w:line="240" w:lineRule="auto"/>
      </w:pPr>
      <w:r>
        <w:continuationSeparator/>
      </w:r>
    </w:p>
  </w:footnote>
  <w:footnote w:id="1">
    <w:p w14:paraId="6DA6E00A" w14:textId="4E89694C" w:rsidR="00A945DC" w:rsidRPr="002B191D" w:rsidRDefault="00A945DC" w:rsidP="00A945DC">
      <w:pPr>
        <w:pStyle w:val="FootnoteText"/>
        <w:rPr>
          <w:lang w:val="en-US"/>
        </w:rPr>
      </w:pPr>
      <w:r>
        <w:rPr>
          <w:rStyle w:val="FootnoteReference"/>
        </w:rPr>
        <w:footnoteRef/>
      </w:r>
      <w:r>
        <w:t xml:space="preserve"> </w:t>
      </w:r>
      <w:r>
        <w:rPr>
          <w:lang w:val="en-US"/>
        </w:rPr>
        <w:t>Statement of Compatibility 1.</w:t>
      </w:r>
    </w:p>
  </w:footnote>
  <w:footnote w:id="2">
    <w:p w14:paraId="35EDC9BB" w14:textId="77777777" w:rsidR="00A945DC" w:rsidRPr="00E7139A" w:rsidRDefault="00A945DC" w:rsidP="00A945DC">
      <w:pPr>
        <w:pStyle w:val="FootnoteText"/>
        <w:rPr>
          <w:lang w:val="en-US"/>
        </w:rPr>
      </w:pPr>
      <w:r>
        <w:rPr>
          <w:rStyle w:val="FootnoteReference"/>
        </w:rPr>
        <w:footnoteRef/>
      </w:r>
      <w:r>
        <w:t xml:space="preserve"> </w:t>
      </w:r>
      <w:r>
        <w:rPr>
          <w:lang w:val="en-US"/>
        </w:rPr>
        <w:t>Note that some of these complaints may relate to workplace issues, rather than provision of services.</w:t>
      </w:r>
    </w:p>
  </w:footnote>
  <w:footnote w:id="3">
    <w:p w14:paraId="7E60EC90" w14:textId="706AE2EE" w:rsidR="00A945DC" w:rsidRPr="005A63EA" w:rsidRDefault="00A945DC" w:rsidP="00A945DC">
      <w:pPr>
        <w:pStyle w:val="FootnoteText"/>
        <w:rPr>
          <w:lang w:val="en-US"/>
        </w:rPr>
      </w:pPr>
      <w:r>
        <w:rPr>
          <w:rStyle w:val="FootnoteReference"/>
        </w:rPr>
        <w:footnoteRef/>
      </w:r>
      <w:r>
        <w:t xml:space="preserve"> </w:t>
      </w:r>
      <w:r>
        <w:rPr>
          <w:lang w:val="en-US"/>
        </w:rPr>
        <w:t>During 2020 and 2021, the Commission has received</w:t>
      </w:r>
      <w:r w:rsidR="005C1357">
        <w:rPr>
          <w:lang w:val="en-US"/>
        </w:rPr>
        <w:t xml:space="preserve"> 76 enquiries and 14 complaints involving the Public Trustee</w:t>
      </w:r>
      <w:r w:rsidR="009C35D1">
        <w:rPr>
          <w:lang w:val="en-US"/>
        </w:rPr>
        <w:t>.</w:t>
      </w:r>
    </w:p>
  </w:footnote>
  <w:footnote w:id="4">
    <w:p w14:paraId="67604426" w14:textId="42C62A3D" w:rsidR="00A945DC" w:rsidRPr="00A03FA0" w:rsidRDefault="00A945DC" w:rsidP="00A945DC">
      <w:pPr>
        <w:pStyle w:val="FootnoteText"/>
        <w:rPr>
          <w:lang w:val="en-US"/>
        </w:rPr>
      </w:pPr>
      <w:r>
        <w:rPr>
          <w:rStyle w:val="FootnoteReference"/>
        </w:rPr>
        <w:footnoteRef/>
      </w:r>
      <w:r>
        <w:t xml:space="preserve"> </w:t>
      </w:r>
      <w:r w:rsidR="00441DAF">
        <w:t xml:space="preserve">Three </w:t>
      </w:r>
      <w:r>
        <w:t xml:space="preserve">of the </w:t>
      </w:r>
      <w:r w:rsidR="00441DAF">
        <w:t xml:space="preserve">five </w:t>
      </w:r>
      <w:r>
        <w:t>members are from the Department of Seniors, Disability Services and Aboriginal and Torres Strait Islander Partnerships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29BC7" w14:textId="09AC36AA" w:rsidR="00325720" w:rsidRDefault="00325720" w:rsidP="00163A3A">
    <w:pPr>
      <w:pStyle w:val="Header"/>
      <w:tabs>
        <w:tab w:val="clear" w:pos="4513"/>
        <w:tab w:val="clear" w:pos="9026"/>
        <w:tab w:val="right" w:pos="9332"/>
      </w:tabs>
      <w:rPr>
        <w:rFonts w:ascii="Arial" w:hAnsi="Arial" w:cs="Arial"/>
        <w:sz w:val="20"/>
        <w:lang w:val="en-US"/>
      </w:rPr>
    </w:pPr>
    <w:r>
      <w:rPr>
        <w:rFonts w:ascii="Arial" w:hAnsi="Arial" w:cs="Arial"/>
        <w:sz w:val="20"/>
        <w:lang w:val="en-US"/>
      </w:rPr>
      <w:tab/>
      <w:t xml:space="preserve">Page </w:t>
    </w:r>
    <w:r w:rsidRPr="00325720">
      <w:rPr>
        <w:rFonts w:ascii="Arial" w:hAnsi="Arial" w:cs="Arial"/>
        <w:sz w:val="20"/>
        <w:lang w:val="en-US"/>
      </w:rPr>
      <w:fldChar w:fldCharType="begin"/>
    </w:r>
    <w:r w:rsidRPr="00325720">
      <w:rPr>
        <w:rFonts w:ascii="Arial" w:hAnsi="Arial" w:cs="Arial"/>
        <w:sz w:val="20"/>
        <w:lang w:val="en-US"/>
      </w:rPr>
      <w:instrText xml:space="preserve"> PAGE   \* MERGEFORMAT </w:instrText>
    </w:r>
    <w:r w:rsidRPr="00325720">
      <w:rPr>
        <w:rFonts w:ascii="Arial" w:hAnsi="Arial" w:cs="Arial"/>
        <w:sz w:val="20"/>
        <w:lang w:val="en-US"/>
      </w:rPr>
      <w:fldChar w:fldCharType="separate"/>
    </w:r>
    <w:r w:rsidR="00A01851">
      <w:rPr>
        <w:rFonts w:ascii="Arial" w:hAnsi="Arial" w:cs="Arial"/>
        <w:noProof/>
        <w:sz w:val="20"/>
        <w:lang w:val="en-US"/>
      </w:rPr>
      <w:t>4</w:t>
    </w:r>
    <w:r w:rsidRPr="00325720">
      <w:rPr>
        <w:rFonts w:ascii="Arial" w:hAnsi="Arial" w:cs="Arial"/>
        <w:noProof/>
        <w:sz w:val="20"/>
        <w:lang w:val="en-US"/>
      </w:rPr>
      <w:fldChar w:fldCharType="end"/>
    </w:r>
    <w:r>
      <w:rPr>
        <w:rFonts w:ascii="Arial" w:hAnsi="Arial" w:cs="Arial"/>
        <w:sz w:val="20"/>
        <w:lang w:val="en-US"/>
      </w:rPr>
      <w:t xml:space="preserve"> </w:t>
    </w:r>
  </w:p>
  <w:p w14:paraId="404EF2D1" w14:textId="77777777" w:rsidR="00325720" w:rsidRDefault="00325720" w:rsidP="00163A3A">
    <w:pPr>
      <w:pStyle w:val="Header"/>
      <w:pBdr>
        <w:bottom w:val="single" w:sz="6" w:space="1" w:color="auto"/>
      </w:pBdr>
      <w:tabs>
        <w:tab w:val="clear" w:pos="4513"/>
        <w:tab w:val="clear" w:pos="9026"/>
        <w:tab w:val="right" w:pos="9332"/>
      </w:tabs>
      <w:rPr>
        <w:rFonts w:ascii="Arial" w:hAnsi="Arial" w:cs="Arial"/>
        <w:sz w:val="20"/>
        <w:lang w:val="en-US"/>
      </w:rPr>
    </w:pPr>
  </w:p>
  <w:p w14:paraId="2FC60761" w14:textId="77777777" w:rsidR="00325720" w:rsidRPr="00163A3A" w:rsidRDefault="00325720"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C68DE" w14:textId="77777777" w:rsidR="00325720" w:rsidRDefault="00325720" w:rsidP="000C13C7">
    <w:pPr>
      <w:pStyle w:val="Header"/>
      <w:tabs>
        <w:tab w:val="clear" w:pos="4513"/>
        <w:tab w:val="clear" w:pos="9026"/>
      </w:tabs>
    </w:pPr>
    <w:r>
      <w:rPr>
        <w:noProof/>
      </w:rPr>
      <w:drawing>
        <wp:inline distT="0" distB="0" distL="0" distR="0" wp14:anchorId="2055FA1A" wp14:editId="1D68830D">
          <wp:extent cx="2147504" cy="895985"/>
          <wp:effectExtent l="0" t="0" r="571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57BDF"/>
    <w:multiLevelType w:val="hybridMultilevel"/>
    <w:tmpl w:val="73A86212"/>
    <w:lvl w:ilvl="0" w:tplc="8C4475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2" w15:restartNumberingAfterBreak="0">
    <w:nsid w:val="442C0F33"/>
    <w:multiLevelType w:val="hybridMultilevel"/>
    <w:tmpl w:val="B484C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528E607C"/>
    <w:multiLevelType w:val="hybridMultilevel"/>
    <w:tmpl w:val="7C100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F562E2"/>
    <w:multiLevelType w:val="hybridMultilevel"/>
    <w:tmpl w:val="9B9AE5EE"/>
    <w:lvl w:ilvl="0" w:tplc="2716F176">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08"/>
    <w:rsid w:val="000234C6"/>
    <w:rsid w:val="0003327F"/>
    <w:rsid w:val="000612CC"/>
    <w:rsid w:val="000642F6"/>
    <w:rsid w:val="0007558E"/>
    <w:rsid w:val="000832AF"/>
    <w:rsid w:val="000A706F"/>
    <w:rsid w:val="000B03D1"/>
    <w:rsid w:val="000C13C7"/>
    <w:rsid w:val="00112C41"/>
    <w:rsid w:val="00126FA4"/>
    <w:rsid w:val="00156513"/>
    <w:rsid w:val="001566F0"/>
    <w:rsid w:val="00163A3A"/>
    <w:rsid w:val="001804D1"/>
    <w:rsid w:val="001808F9"/>
    <w:rsid w:val="00182968"/>
    <w:rsid w:val="001D3E66"/>
    <w:rsid w:val="001D5B71"/>
    <w:rsid w:val="002304DC"/>
    <w:rsid w:val="002529DE"/>
    <w:rsid w:val="002A51B9"/>
    <w:rsid w:val="00304408"/>
    <w:rsid w:val="00325720"/>
    <w:rsid w:val="003536AD"/>
    <w:rsid w:val="0036088B"/>
    <w:rsid w:val="003856B9"/>
    <w:rsid w:val="00441DAF"/>
    <w:rsid w:val="005617F0"/>
    <w:rsid w:val="005863AA"/>
    <w:rsid w:val="005C1357"/>
    <w:rsid w:val="006129E9"/>
    <w:rsid w:val="006221F1"/>
    <w:rsid w:val="00660E76"/>
    <w:rsid w:val="006A1E78"/>
    <w:rsid w:val="006C3169"/>
    <w:rsid w:val="0070260B"/>
    <w:rsid w:val="007A17BD"/>
    <w:rsid w:val="007D5AFB"/>
    <w:rsid w:val="007E1FFA"/>
    <w:rsid w:val="008C788E"/>
    <w:rsid w:val="00911F7B"/>
    <w:rsid w:val="00916895"/>
    <w:rsid w:val="009361DE"/>
    <w:rsid w:val="00961355"/>
    <w:rsid w:val="009C35D1"/>
    <w:rsid w:val="00A01851"/>
    <w:rsid w:val="00A0430A"/>
    <w:rsid w:val="00A57C71"/>
    <w:rsid w:val="00A945DC"/>
    <w:rsid w:val="00AD4894"/>
    <w:rsid w:val="00AF64DE"/>
    <w:rsid w:val="00B2097C"/>
    <w:rsid w:val="00B278FE"/>
    <w:rsid w:val="00B332A1"/>
    <w:rsid w:val="00B4428D"/>
    <w:rsid w:val="00BF2EB9"/>
    <w:rsid w:val="00C1246E"/>
    <w:rsid w:val="00D025F7"/>
    <w:rsid w:val="00D056EE"/>
    <w:rsid w:val="00D363D0"/>
    <w:rsid w:val="00D42EC8"/>
    <w:rsid w:val="00DC3B45"/>
    <w:rsid w:val="00DE53D1"/>
    <w:rsid w:val="00E134C5"/>
    <w:rsid w:val="00E55434"/>
    <w:rsid w:val="00E55DDE"/>
    <w:rsid w:val="00E85AB7"/>
    <w:rsid w:val="00EB0D35"/>
    <w:rsid w:val="00EE2746"/>
    <w:rsid w:val="00F4695B"/>
    <w:rsid w:val="00FF6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F03C6AA"/>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paragraph" w:styleId="Heading1">
    <w:name w:val="heading 1"/>
    <w:basedOn w:val="Normal"/>
    <w:next w:val="Normal"/>
    <w:link w:val="Heading1Char"/>
    <w:uiPriority w:val="9"/>
    <w:qFormat/>
    <w:rsid w:val="003608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2 (light blue)"/>
    <w:basedOn w:val="Normal"/>
    <w:next w:val="Normal"/>
    <w:link w:val="Heading2Char"/>
    <w:uiPriority w:val="1"/>
    <w:unhideWhenUsed/>
    <w:qFormat/>
    <w:rsid w:val="00A945DC"/>
    <w:pPr>
      <w:keepNext/>
      <w:keepLines/>
      <w:spacing w:before="40" w:after="0" w:line="259" w:lineRule="auto"/>
      <w:outlineLvl w:val="1"/>
    </w:pPr>
    <w:rPr>
      <w:rFonts w:ascii="Arial" w:eastAsiaTheme="majorEastAsia" w:hAnsi="Arial" w:cstheme="majorBidi"/>
      <w:color w:val="347B9F"/>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7"/>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paragraph" w:customStyle="1" w:styleId="Default">
    <w:name w:val="Default"/>
    <w:rsid w:val="0018296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18296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0642F6"/>
    <w:rPr>
      <w:sz w:val="16"/>
      <w:szCs w:val="16"/>
    </w:rPr>
  </w:style>
  <w:style w:type="paragraph" w:styleId="CommentText">
    <w:name w:val="annotation text"/>
    <w:basedOn w:val="Normal"/>
    <w:link w:val="CommentTextChar"/>
    <w:uiPriority w:val="99"/>
    <w:semiHidden/>
    <w:unhideWhenUsed/>
    <w:rsid w:val="000642F6"/>
    <w:pPr>
      <w:spacing w:line="240" w:lineRule="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0642F6"/>
    <w:rPr>
      <w:sz w:val="20"/>
      <w:szCs w:val="20"/>
    </w:rPr>
  </w:style>
  <w:style w:type="paragraph" w:styleId="FootnoteText">
    <w:name w:val="footnote text"/>
    <w:basedOn w:val="Normal"/>
    <w:link w:val="FootnoteTextChar"/>
    <w:uiPriority w:val="99"/>
    <w:semiHidden/>
    <w:unhideWhenUsed/>
    <w:rsid w:val="000642F6"/>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0642F6"/>
    <w:rPr>
      <w:sz w:val="20"/>
      <w:szCs w:val="20"/>
    </w:rPr>
  </w:style>
  <w:style w:type="character" w:styleId="FootnoteReference">
    <w:name w:val="footnote reference"/>
    <w:basedOn w:val="DefaultParagraphFont"/>
    <w:uiPriority w:val="99"/>
    <w:semiHidden/>
    <w:unhideWhenUsed/>
    <w:rsid w:val="000642F6"/>
    <w:rPr>
      <w:vertAlign w:val="superscript"/>
    </w:rPr>
  </w:style>
  <w:style w:type="paragraph" w:styleId="CommentSubject">
    <w:name w:val="annotation subject"/>
    <w:basedOn w:val="CommentText"/>
    <w:next w:val="CommentText"/>
    <w:link w:val="CommentSubjectChar"/>
    <w:uiPriority w:val="99"/>
    <w:semiHidden/>
    <w:unhideWhenUsed/>
    <w:rsid w:val="003856B9"/>
    <w:rPr>
      <w:rFonts w:ascii="Calibri" w:eastAsia="Calibri" w:hAnsi="Calibri" w:cs="Calibri"/>
      <w:b/>
      <w:bCs/>
      <w:color w:val="000000"/>
      <w:lang w:eastAsia="en-AU"/>
    </w:rPr>
  </w:style>
  <w:style w:type="character" w:customStyle="1" w:styleId="CommentSubjectChar">
    <w:name w:val="Comment Subject Char"/>
    <w:basedOn w:val="CommentTextChar"/>
    <w:link w:val="CommentSubject"/>
    <w:uiPriority w:val="99"/>
    <w:semiHidden/>
    <w:rsid w:val="003856B9"/>
    <w:rPr>
      <w:rFonts w:ascii="Calibri" w:eastAsia="Calibri" w:hAnsi="Calibri" w:cs="Calibri"/>
      <w:b/>
      <w:bCs/>
      <w:color w:val="000000"/>
      <w:sz w:val="20"/>
      <w:szCs w:val="20"/>
      <w:lang w:eastAsia="en-AU"/>
    </w:rPr>
  </w:style>
  <w:style w:type="paragraph" w:styleId="Revision">
    <w:name w:val="Revision"/>
    <w:hidden/>
    <w:uiPriority w:val="99"/>
    <w:semiHidden/>
    <w:rsid w:val="00DC3B45"/>
    <w:pPr>
      <w:spacing w:after="0" w:line="240" w:lineRule="auto"/>
    </w:pPr>
    <w:rPr>
      <w:rFonts w:ascii="Calibri" w:eastAsia="Calibri" w:hAnsi="Calibri" w:cs="Calibri"/>
      <w:color w:val="000000"/>
      <w:lang w:eastAsia="en-AU"/>
    </w:rPr>
  </w:style>
  <w:style w:type="character" w:customStyle="1" w:styleId="Heading2Char">
    <w:name w:val="Heading 2 Char"/>
    <w:aliases w:val="Heading 2 (light blue) Char"/>
    <w:basedOn w:val="DefaultParagraphFont"/>
    <w:link w:val="Heading2"/>
    <w:uiPriority w:val="1"/>
    <w:rsid w:val="00A945DC"/>
    <w:rPr>
      <w:rFonts w:ascii="Arial" w:eastAsiaTheme="majorEastAsia" w:hAnsi="Arial" w:cstheme="majorBidi"/>
      <w:color w:val="347B9F"/>
      <w:sz w:val="36"/>
      <w:szCs w:val="26"/>
    </w:rPr>
  </w:style>
  <w:style w:type="character" w:customStyle="1" w:styleId="Heading1Char">
    <w:name w:val="Heading 1 Char"/>
    <w:basedOn w:val="DefaultParagraphFont"/>
    <w:link w:val="Heading1"/>
    <w:uiPriority w:val="9"/>
    <w:rsid w:val="0036088B"/>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4210">
      <w:bodyDiv w:val="1"/>
      <w:marLeft w:val="0"/>
      <w:marRight w:val="0"/>
      <w:marTop w:val="0"/>
      <w:marBottom w:val="0"/>
      <w:divBdr>
        <w:top w:val="none" w:sz="0" w:space="0" w:color="auto"/>
        <w:left w:val="none" w:sz="0" w:space="0" w:color="auto"/>
        <w:bottom w:val="none" w:sz="0" w:space="0" w:color="auto"/>
        <w:right w:val="none" w:sz="0" w:space="0" w:color="auto"/>
      </w:divBdr>
    </w:div>
    <w:div w:id="5256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C@parliament.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BAD2-2802-4F7A-962B-5672C926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Helen Bannerman</cp:lastModifiedBy>
  <cp:revision>2</cp:revision>
  <cp:lastPrinted>2021-11-18T06:23:00Z</cp:lastPrinted>
  <dcterms:created xsi:type="dcterms:W3CDTF">2021-12-02T04:29:00Z</dcterms:created>
  <dcterms:modified xsi:type="dcterms:W3CDTF">2021-12-02T04:29:00Z</dcterms:modified>
</cp:coreProperties>
</file>