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2067608509"/>
        <w:docPartObj>
          <w:docPartGallery w:val="Cover Pages"/>
          <w:docPartUnique/>
        </w:docPartObj>
      </w:sdtPr>
      <w:sdtEndPr>
        <w:rPr>
          <w:sz w:val="2"/>
          <w:szCs w:val="2"/>
        </w:rPr>
      </w:sdtEndPr>
      <w:sdtContent>
        <w:p w14:paraId="5D316166" w14:textId="77777777" w:rsidR="00A16356" w:rsidRDefault="00A16356" w:rsidP="004A2375">
          <w:pPr>
            <w:spacing w:before="1440"/>
          </w:pPr>
        </w:p>
        <w:tbl>
          <w:tblPr>
            <w:tblW w:w="5000" w:type="pct"/>
            <w:jc w:val="center"/>
            <w:tblLook w:val="04A0" w:firstRow="1" w:lastRow="0" w:firstColumn="1" w:lastColumn="0" w:noHBand="0" w:noVBand="1"/>
          </w:tblPr>
          <w:tblGrid>
            <w:gridCol w:w="8498"/>
          </w:tblGrid>
          <w:tr w:rsidR="004A2375" w:rsidRPr="00D95D9E" w14:paraId="24425E6C" w14:textId="77777777" w:rsidTr="004A2375">
            <w:trPr>
              <w:trHeight w:val="360"/>
              <w:jc w:val="center"/>
            </w:trPr>
            <w:tc>
              <w:tcPr>
                <w:tcW w:w="5000" w:type="pct"/>
                <w:tcBorders>
                  <w:top w:val="thinThickSmallGap" w:sz="24" w:space="0" w:color="1F497D" w:themeColor="text2"/>
                </w:tcBorders>
                <w:vAlign w:val="center"/>
              </w:tcPr>
              <w:p w14:paraId="4A7276BF" w14:textId="3D100D65" w:rsidR="004A2375" w:rsidRPr="00D95D9E" w:rsidRDefault="00C03E3F" w:rsidP="00C03E3F">
                <w:pPr>
                  <w:pStyle w:val="NoSpacing"/>
                  <w:spacing w:before="720" w:after="240"/>
                  <w:rPr>
                    <w:b/>
                    <w:bCs/>
                    <w:sz w:val="28"/>
                  </w:rPr>
                </w:pPr>
                <w:r w:rsidRPr="00F63848">
                  <w:rPr>
                    <w:noProof/>
                    <w:lang w:val="en-AU" w:eastAsia="en-AU"/>
                  </w:rPr>
                  <w:drawing>
                    <wp:inline distT="0" distB="0" distL="0" distR="0" wp14:anchorId="2BDEB036" wp14:editId="191ADD43">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9">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A2375" w:rsidRPr="00D95D9E" w14:paraId="58FE90EA" w14:textId="77777777" w:rsidTr="004A2375">
            <w:trPr>
              <w:trHeight w:val="2506"/>
              <w:jc w:val="center"/>
            </w:trPr>
            <w:sdt>
              <w:sdtPr>
                <w:rPr>
                  <w:rFonts w:ascii="Arial" w:eastAsiaTheme="majorEastAsia" w:hAnsi="Arial" w:cs="Arial"/>
                  <w:sz w:val="48"/>
                  <w:szCs w:val="48"/>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14:paraId="212D1154" w14:textId="3C913663" w:rsidR="004A2375" w:rsidRPr="00D95D9E" w:rsidRDefault="00B13804" w:rsidP="00B13804">
                    <w:pPr>
                      <w:pStyle w:val="NoSpacing"/>
                      <w:spacing w:after="240"/>
                      <w:rPr>
                        <w:rFonts w:asciiTheme="majorHAnsi" w:eastAsiaTheme="majorEastAsia" w:hAnsiTheme="majorHAnsi" w:cstheme="majorBidi"/>
                        <w:sz w:val="80"/>
                        <w:szCs w:val="80"/>
                      </w:rPr>
                    </w:pPr>
                    <w:r>
                      <w:rPr>
                        <w:rFonts w:ascii="Arial" w:eastAsiaTheme="majorEastAsia" w:hAnsi="Arial" w:cs="Arial"/>
                        <w:sz w:val="48"/>
                        <w:szCs w:val="48"/>
                      </w:rPr>
                      <w:t>Health and Other Legislation Amendment Bill 2021</w:t>
                    </w:r>
                  </w:p>
                </w:tc>
              </w:sdtContent>
            </w:sdt>
          </w:tr>
          <w:tr w:rsidR="004A2375" w:rsidRPr="00AE2AB7" w14:paraId="4DB809A3" w14:textId="77777777" w:rsidTr="00C03E3F">
            <w:trPr>
              <w:trHeight w:val="360"/>
              <w:jc w:val="center"/>
            </w:trPr>
            <w:tc>
              <w:tcPr>
                <w:tcW w:w="5000" w:type="pct"/>
                <w:tcBorders>
                  <w:top w:val="single" w:sz="4" w:space="0" w:color="auto"/>
                </w:tcBorders>
                <w:vAlign w:val="center"/>
              </w:tcPr>
              <w:p w14:paraId="4E16BBBD" w14:textId="043BF4B6" w:rsidR="00182865" w:rsidRPr="00AE2AB7" w:rsidRDefault="00182865" w:rsidP="00C03E3F">
                <w:pPr>
                  <w:pStyle w:val="NoSpacing"/>
                  <w:spacing w:before="120" w:after="120"/>
                  <w:rPr>
                    <w:rFonts w:ascii="Arial" w:hAnsi="Arial" w:cs="Arial"/>
                    <w:bCs/>
                    <w:sz w:val="28"/>
                  </w:rPr>
                </w:pPr>
                <w:r w:rsidRPr="00AE2AB7">
                  <w:rPr>
                    <w:rFonts w:ascii="Arial" w:hAnsi="Arial" w:cs="Arial"/>
                    <w:bCs/>
                    <w:sz w:val="28"/>
                  </w:rPr>
                  <w:t>Submission</w:t>
                </w:r>
                <w:r w:rsidR="00AE2AB7" w:rsidRPr="00AE2AB7">
                  <w:rPr>
                    <w:rFonts w:ascii="Arial" w:hAnsi="Arial" w:cs="Arial"/>
                    <w:bCs/>
                    <w:sz w:val="28"/>
                  </w:rPr>
                  <w:t xml:space="preserve"> </w:t>
                </w:r>
                <w:r w:rsidRPr="00AE2AB7">
                  <w:rPr>
                    <w:rFonts w:ascii="Arial" w:hAnsi="Arial" w:cs="Arial"/>
                    <w:bCs/>
                    <w:sz w:val="28"/>
                  </w:rPr>
                  <w:t>to</w:t>
                </w:r>
              </w:p>
              <w:p w14:paraId="315CBC7E" w14:textId="2937A1E4" w:rsidR="00240EF9" w:rsidRPr="00AE2AB7" w:rsidRDefault="00B13804" w:rsidP="00C03E3F">
                <w:pPr>
                  <w:pStyle w:val="NoSpacing"/>
                  <w:spacing w:before="120" w:after="120"/>
                  <w:rPr>
                    <w:bCs/>
                    <w:sz w:val="28"/>
                  </w:rPr>
                </w:pPr>
                <w:r>
                  <w:rPr>
                    <w:rFonts w:ascii="Arial" w:hAnsi="Arial" w:cs="Arial"/>
                    <w:bCs/>
                    <w:sz w:val="28"/>
                  </w:rPr>
                  <w:t>State Development and Regional Industries Committee</w:t>
                </w:r>
                <w:r w:rsidR="006A28D1">
                  <w:rPr>
                    <w:rFonts w:ascii="Arial" w:hAnsi="Arial" w:cs="Arial"/>
                    <w:bCs/>
                    <w:sz w:val="28"/>
                  </w:rPr>
                  <w:t xml:space="preserve"> </w:t>
                </w:r>
              </w:p>
            </w:tc>
          </w:tr>
        </w:tbl>
        <w:p w14:paraId="28568038" w14:textId="77777777" w:rsidR="004A2375" w:rsidRDefault="004A2375"/>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4BB967D6" w14:textId="77777777" w:rsidTr="00392522">
            <w:tc>
              <w:tcPr>
                <w:tcW w:w="6585" w:type="dxa"/>
                <w:tcMar>
                  <w:top w:w="216" w:type="dxa"/>
                  <w:left w:w="115" w:type="dxa"/>
                  <w:bottom w:w="216" w:type="dxa"/>
                  <w:right w:w="115" w:type="dxa"/>
                </w:tcMar>
              </w:tcPr>
              <w:p w14:paraId="19819B32" w14:textId="5CB42461" w:rsidR="00A16356" w:rsidRPr="00A16356" w:rsidRDefault="00AA2348" w:rsidP="004A2375">
                <w:pPr>
                  <w:pStyle w:val="NoSpacing"/>
                  <w:jc w:val="center"/>
                  <w:rPr>
                    <w:rFonts w:ascii="Arial" w:hAnsi="Arial" w:cs="Arial"/>
                    <w:color w:val="4F81BD" w:themeColor="accent1"/>
                    <w:sz w:val="28"/>
                    <w:szCs w:val="28"/>
                  </w:rPr>
                </w:pPr>
                <w:r>
                  <w:rPr>
                    <w:rFonts w:ascii="Arial" w:hAnsi="Arial" w:cs="Arial"/>
                    <w:color w:val="4F81BD" w:themeColor="accent1"/>
                    <w:sz w:val="28"/>
                    <w:szCs w:val="28"/>
                  </w:rPr>
                  <w:t>7 January 2022</w:t>
                </w:r>
              </w:p>
              <w:p w14:paraId="1C2B7F25" w14:textId="77777777" w:rsidR="00A16356" w:rsidRDefault="00A16356">
                <w:pPr>
                  <w:pStyle w:val="NoSpacing"/>
                  <w:rPr>
                    <w:color w:val="4F81BD" w:themeColor="accent1"/>
                  </w:rPr>
                </w:pPr>
              </w:p>
            </w:tc>
          </w:tr>
        </w:tbl>
        <w:p w14:paraId="22D15BD4" w14:textId="77777777" w:rsidR="004A2375" w:rsidRDefault="00A16356">
          <w:r>
            <w:br w:type="page"/>
          </w:r>
        </w:p>
        <w:p w14:paraId="54BC9ABF" w14:textId="77777777" w:rsidR="00A16356" w:rsidRPr="00D207AB" w:rsidRDefault="00A14D73">
          <w:pPr>
            <w:rPr>
              <w:rFonts w:ascii="Arial" w:eastAsiaTheme="majorEastAsia" w:hAnsi="Arial" w:cstheme="majorBidi"/>
              <w:b/>
              <w:color w:val="365F91" w:themeColor="accent1" w:themeShade="BF"/>
              <w:sz w:val="2"/>
              <w:szCs w:val="2"/>
            </w:rPr>
          </w:pPr>
        </w:p>
      </w:sdtContent>
    </w:sdt>
    <w:sdt>
      <w:sdtPr>
        <w:rPr>
          <w:rFonts w:asciiTheme="minorHAnsi" w:eastAsiaTheme="minorEastAsia" w:hAnsiTheme="minorHAnsi" w:cstheme="minorBidi"/>
          <w:b w:val="0"/>
          <w:color w:val="auto"/>
          <w:sz w:val="24"/>
          <w:szCs w:val="24"/>
          <w:lang w:val="en-US"/>
        </w:rPr>
        <w:id w:val="-331140652"/>
        <w:docPartObj>
          <w:docPartGallery w:val="Table of Contents"/>
          <w:docPartUnique/>
        </w:docPartObj>
      </w:sdtPr>
      <w:sdtEndPr>
        <w:rPr>
          <w:rFonts w:ascii="Arial" w:hAnsi="Arial" w:cs="Arial"/>
          <w:bCs/>
          <w:noProof/>
          <w:lang w:val="en-AU"/>
        </w:rPr>
      </w:sdtEndPr>
      <w:sdtContent>
        <w:p w14:paraId="62897D35" w14:textId="77777777" w:rsidR="00A16356" w:rsidRPr="00AE2AB7" w:rsidRDefault="00A16356" w:rsidP="007C510E">
          <w:pPr>
            <w:pStyle w:val="TOCHeading"/>
            <w:rPr>
              <w:rFonts w:ascii="Arial" w:hAnsi="Arial" w:cs="Arial"/>
              <w:sz w:val="36"/>
              <w:szCs w:val="36"/>
            </w:rPr>
          </w:pPr>
          <w:r w:rsidRPr="00AE2AB7">
            <w:rPr>
              <w:rFonts w:ascii="Arial" w:hAnsi="Arial" w:cs="Arial"/>
              <w:sz w:val="36"/>
              <w:szCs w:val="36"/>
            </w:rPr>
            <w:t>Table of Contents</w:t>
          </w:r>
        </w:p>
        <w:p w14:paraId="62837C76" w14:textId="0357320D" w:rsidR="00AA2348" w:rsidRPr="00AA2348" w:rsidRDefault="00A16356">
          <w:pPr>
            <w:pStyle w:val="TOC1"/>
            <w:tabs>
              <w:tab w:val="right" w:leader="dot" w:pos="8488"/>
            </w:tabs>
            <w:rPr>
              <w:rFonts w:ascii="Arial" w:hAnsi="Arial" w:cs="Arial"/>
              <w:noProof/>
              <w:sz w:val="22"/>
              <w:szCs w:val="22"/>
              <w:lang w:eastAsia="en-AU"/>
            </w:rPr>
          </w:pPr>
          <w:r w:rsidRPr="00AA2348">
            <w:rPr>
              <w:rFonts w:ascii="Arial" w:hAnsi="Arial" w:cs="Arial"/>
              <w:b/>
              <w:bCs/>
              <w:noProof/>
            </w:rPr>
            <w:fldChar w:fldCharType="begin"/>
          </w:r>
          <w:r w:rsidRPr="00AA2348">
            <w:rPr>
              <w:rFonts w:ascii="Arial" w:hAnsi="Arial" w:cs="Arial"/>
              <w:b/>
              <w:bCs/>
              <w:noProof/>
            </w:rPr>
            <w:instrText xml:space="preserve"> TOC \o "1-3" \h \z \u </w:instrText>
          </w:r>
          <w:r w:rsidRPr="00AA2348">
            <w:rPr>
              <w:rFonts w:ascii="Arial" w:hAnsi="Arial" w:cs="Arial"/>
              <w:b/>
              <w:bCs/>
              <w:noProof/>
            </w:rPr>
            <w:fldChar w:fldCharType="separate"/>
          </w:r>
          <w:hyperlink w:anchor="_Toc92452221" w:history="1">
            <w:r w:rsidR="00AA2348" w:rsidRPr="00AA2348">
              <w:rPr>
                <w:rStyle w:val="Hyperlink"/>
                <w:rFonts w:ascii="Arial" w:hAnsi="Arial" w:cs="Arial"/>
                <w:noProof/>
              </w:rPr>
              <w:t>Summary</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_Toc92452221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2</w:t>
            </w:r>
            <w:r w:rsidR="00AA2348" w:rsidRPr="00AA2348">
              <w:rPr>
                <w:rFonts w:ascii="Arial" w:hAnsi="Arial" w:cs="Arial"/>
                <w:noProof/>
                <w:webHidden/>
              </w:rPr>
              <w:fldChar w:fldCharType="end"/>
            </w:r>
          </w:hyperlink>
        </w:p>
        <w:p w14:paraId="694AA9C2" w14:textId="68846DBD" w:rsidR="00AA2348" w:rsidRPr="00AA2348" w:rsidRDefault="00A14D73">
          <w:pPr>
            <w:pStyle w:val="TOC1"/>
            <w:tabs>
              <w:tab w:val="right" w:leader="dot" w:pos="8488"/>
            </w:tabs>
            <w:rPr>
              <w:rFonts w:ascii="Arial" w:hAnsi="Arial" w:cs="Arial"/>
              <w:noProof/>
              <w:sz w:val="22"/>
              <w:szCs w:val="22"/>
              <w:lang w:eastAsia="en-AU"/>
            </w:rPr>
          </w:pPr>
          <w:hyperlink w:anchor="_Toc92452222" w:history="1">
            <w:r w:rsidR="00AA2348" w:rsidRPr="00AA2348">
              <w:rPr>
                <w:rStyle w:val="Hyperlink"/>
                <w:rFonts w:ascii="Arial" w:hAnsi="Arial" w:cs="Arial"/>
                <w:noProof/>
              </w:rPr>
              <w:t>Introduction</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_Toc92452222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3</w:t>
            </w:r>
            <w:r w:rsidR="00AA2348" w:rsidRPr="00AA2348">
              <w:rPr>
                <w:rFonts w:ascii="Arial" w:hAnsi="Arial" w:cs="Arial"/>
                <w:noProof/>
                <w:webHidden/>
              </w:rPr>
              <w:fldChar w:fldCharType="end"/>
            </w:r>
          </w:hyperlink>
        </w:p>
        <w:p w14:paraId="705F7115" w14:textId="40CFA5FA" w:rsidR="00AA2348" w:rsidRPr="00AA2348" w:rsidRDefault="00A14D73">
          <w:pPr>
            <w:pStyle w:val="TOC1"/>
            <w:tabs>
              <w:tab w:val="right" w:leader="dot" w:pos="8488"/>
            </w:tabs>
            <w:rPr>
              <w:rFonts w:ascii="Arial" w:hAnsi="Arial" w:cs="Arial"/>
              <w:noProof/>
              <w:sz w:val="22"/>
              <w:szCs w:val="22"/>
              <w:lang w:eastAsia="en-AU"/>
            </w:rPr>
          </w:pPr>
          <w:hyperlink w:anchor="_Toc92452223" w:history="1">
            <w:r w:rsidR="00AA2348" w:rsidRPr="00AA2348">
              <w:rPr>
                <w:rStyle w:val="Hyperlink"/>
                <w:rFonts w:ascii="Arial" w:hAnsi="Arial" w:cs="Arial"/>
                <w:noProof/>
                <w:lang w:eastAsia="en-AU"/>
              </w:rPr>
              <w:t>Mental Health Act 2016</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_Toc92452223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3</w:t>
            </w:r>
            <w:r w:rsidR="00AA2348" w:rsidRPr="00AA2348">
              <w:rPr>
                <w:rFonts w:ascii="Arial" w:hAnsi="Arial" w:cs="Arial"/>
                <w:noProof/>
                <w:webHidden/>
              </w:rPr>
              <w:fldChar w:fldCharType="end"/>
            </w:r>
          </w:hyperlink>
        </w:p>
        <w:p w14:paraId="18822B44" w14:textId="3FC7BAD3" w:rsidR="00AA2348" w:rsidRPr="00AA2348" w:rsidRDefault="00A14D73">
          <w:pPr>
            <w:pStyle w:val="TOC2"/>
            <w:rPr>
              <w:rFonts w:ascii="Arial" w:hAnsi="Arial" w:cs="Arial"/>
              <w:noProof/>
              <w:sz w:val="22"/>
              <w:szCs w:val="22"/>
              <w:lang w:eastAsia="en-AU"/>
            </w:rPr>
          </w:pPr>
          <w:hyperlink w:anchor="_Toc92452224" w:history="1">
            <w:r w:rsidR="00AA2348" w:rsidRPr="00AA2348">
              <w:rPr>
                <w:rStyle w:val="Hyperlink"/>
                <w:rFonts w:ascii="Arial" w:hAnsi="Arial" w:cs="Arial"/>
                <w:noProof/>
                <w:lang w:eastAsia="en-AU"/>
              </w:rPr>
              <w:t>Unfitness for trial</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_Toc92452224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3</w:t>
            </w:r>
            <w:r w:rsidR="00AA2348" w:rsidRPr="00AA2348">
              <w:rPr>
                <w:rFonts w:ascii="Arial" w:hAnsi="Arial" w:cs="Arial"/>
                <w:noProof/>
                <w:webHidden/>
              </w:rPr>
              <w:fldChar w:fldCharType="end"/>
            </w:r>
          </w:hyperlink>
        </w:p>
        <w:p w14:paraId="54C29443" w14:textId="6217D6FF" w:rsidR="00AA2348" w:rsidRPr="00AA2348" w:rsidRDefault="00A14D73">
          <w:pPr>
            <w:pStyle w:val="TOC2"/>
            <w:rPr>
              <w:rFonts w:ascii="Arial" w:hAnsi="Arial" w:cs="Arial"/>
              <w:noProof/>
              <w:sz w:val="22"/>
              <w:szCs w:val="22"/>
              <w:lang w:eastAsia="en-AU"/>
            </w:rPr>
          </w:pPr>
          <w:hyperlink w:anchor="_Toc92452225" w:history="1">
            <w:r w:rsidR="00AA2348" w:rsidRPr="00AA2348">
              <w:rPr>
                <w:rStyle w:val="Hyperlink"/>
                <w:rFonts w:ascii="Arial" w:hAnsi="Arial" w:cs="Arial"/>
                <w:noProof/>
                <w:lang w:eastAsia="en-AU"/>
              </w:rPr>
              <w:t>Confidentiality of patient information</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_Toc92452225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7</w:t>
            </w:r>
            <w:r w:rsidR="00AA2348" w:rsidRPr="00AA2348">
              <w:rPr>
                <w:rFonts w:ascii="Arial" w:hAnsi="Arial" w:cs="Arial"/>
                <w:noProof/>
                <w:webHidden/>
              </w:rPr>
              <w:fldChar w:fldCharType="end"/>
            </w:r>
          </w:hyperlink>
        </w:p>
        <w:p w14:paraId="47BEAFE5" w14:textId="5A5EDD5E" w:rsidR="00AA2348" w:rsidRPr="00AA2348" w:rsidRDefault="00A14D73">
          <w:pPr>
            <w:pStyle w:val="TOC1"/>
            <w:tabs>
              <w:tab w:val="right" w:leader="dot" w:pos="8488"/>
            </w:tabs>
            <w:rPr>
              <w:rFonts w:ascii="Arial" w:hAnsi="Arial" w:cs="Arial"/>
              <w:noProof/>
              <w:sz w:val="22"/>
              <w:szCs w:val="22"/>
              <w:lang w:eastAsia="en-AU"/>
            </w:rPr>
          </w:pPr>
          <w:hyperlink w:anchor="_Toc92452226" w:history="1">
            <w:r w:rsidR="00AA2348" w:rsidRPr="00AA2348">
              <w:rPr>
                <w:rStyle w:val="Hyperlink"/>
                <w:rFonts w:ascii="Arial" w:hAnsi="Arial" w:cs="Arial"/>
                <w:noProof/>
                <w:lang w:eastAsia="en-AU"/>
              </w:rPr>
              <w:t>Hospital and Health Boards Act 2011</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_Toc92452226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10</w:t>
            </w:r>
            <w:r w:rsidR="00AA2348" w:rsidRPr="00AA2348">
              <w:rPr>
                <w:rFonts w:ascii="Arial" w:hAnsi="Arial" w:cs="Arial"/>
                <w:noProof/>
                <w:webHidden/>
              </w:rPr>
              <w:fldChar w:fldCharType="end"/>
            </w:r>
          </w:hyperlink>
        </w:p>
        <w:p w14:paraId="796ED10F" w14:textId="5716B12E" w:rsidR="00AA2348" w:rsidRPr="00AA2348" w:rsidRDefault="00A14D73">
          <w:pPr>
            <w:pStyle w:val="TOC2"/>
            <w:rPr>
              <w:rFonts w:ascii="Arial" w:hAnsi="Arial" w:cs="Arial"/>
              <w:noProof/>
              <w:sz w:val="22"/>
              <w:szCs w:val="22"/>
              <w:lang w:eastAsia="en-AU"/>
            </w:rPr>
          </w:pPr>
          <w:hyperlink w:anchor="_Toc92452227" w:history="1">
            <w:r w:rsidR="00AA2348" w:rsidRPr="00AA2348">
              <w:rPr>
                <w:rStyle w:val="Hyperlink"/>
                <w:rFonts w:ascii="Arial" w:hAnsi="Arial" w:cs="Arial"/>
                <w:noProof/>
                <w:lang w:eastAsia="en-AU"/>
              </w:rPr>
              <w:t>The Viewer</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_Toc92452227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10</w:t>
            </w:r>
            <w:r w:rsidR="00AA2348" w:rsidRPr="00AA2348">
              <w:rPr>
                <w:rFonts w:ascii="Arial" w:hAnsi="Arial" w:cs="Arial"/>
                <w:noProof/>
                <w:webHidden/>
              </w:rPr>
              <w:fldChar w:fldCharType="end"/>
            </w:r>
          </w:hyperlink>
        </w:p>
        <w:p w14:paraId="2B5729BB" w14:textId="1261567B" w:rsidR="00AA2348" w:rsidRPr="00AA2348" w:rsidRDefault="00A14D73">
          <w:pPr>
            <w:pStyle w:val="TOC1"/>
            <w:tabs>
              <w:tab w:val="right" w:leader="dot" w:pos="8488"/>
            </w:tabs>
            <w:rPr>
              <w:rFonts w:ascii="Arial" w:hAnsi="Arial" w:cs="Arial"/>
              <w:noProof/>
              <w:sz w:val="22"/>
              <w:szCs w:val="22"/>
              <w:lang w:eastAsia="en-AU"/>
            </w:rPr>
          </w:pPr>
          <w:hyperlink w:anchor="_Toc92452228" w:history="1">
            <w:r w:rsidR="00AA2348" w:rsidRPr="00AA2348">
              <w:rPr>
                <w:rStyle w:val="Hyperlink"/>
                <w:rFonts w:ascii="Arial" w:hAnsi="Arial" w:cs="Arial"/>
                <w:noProof/>
              </w:rPr>
              <w:t>Conclusion</w:t>
            </w:r>
            <w:r w:rsidR="00AA2348" w:rsidRPr="00AA2348">
              <w:rPr>
                <w:rFonts w:ascii="Arial" w:hAnsi="Arial" w:cs="Arial"/>
                <w:noProof/>
                <w:webHidden/>
              </w:rPr>
              <w:tab/>
            </w:r>
            <w:r w:rsidR="00AA2348" w:rsidRPr="00AA2348">
              <w:rPr>
                <w:rFonts w:ascii="Arial" w:hAnsi="Arial" w:cs="Arial"/>
                <w:noProof/>
                <w:webHidden/>
              </w:rPr>
              <w:fldChar w:fldCharType="begin"/>
            </w:r>
            <w:r w:rsidR="00AA2348" w:rsidRPr="00AA2348">
              <w:rPr>
                <w:rFonts w:ascii="Arial" w:hAnsi="Arial" w:cs="Arial"/>
                <w:noProof/>
                <w:webHidden/>
              </w:rPr>
              <w:instrText xml:space="preserve"> PAGEREF _Toc92452228 \h </w:instrText>
            </w:r>
            <w:r w:rsidR="00AA2348" w:rsidRPr="00AA2348">
              <w:rPr>
                <w:rFonts w:ascii="Arial" w:hAnsi="Arial" w:cs="Arial"/>
                <w:noProof/>
                <w:webHidden/>
              </w:rPr>
            </w:r>
            <w:r w:rsidR="00AA2348" w:rsidRPr="00AA2348">
              <w:rPr>
                <w:rFonts w:ascii="Arial" w:hAnsi="Arial" w:cs="Arial"/>
                <w:noProof/>
                <w:webHidden/>
              </w:rPr>
              <w:fldChar w:fldCharType="separate"/>
            </w:r>
            <w:r w:rsidR="0098626A">
              <w:rPr>
                <w:rFonts w:ascii="Arial" w:hAnsi="Arial" w:cs="Arial"/>
                <w:noProof/>
                <w:webHidden/>
              </w:rPr>
              <w:t>13</w:t>
            </w:r>
            <w:r w:rsidR="00AA2348" w:rsidRPr="00AA2348">
              <w:rPr>
                <w:rFonts w:ascii="Arial" w:hAnsi="Arial" w:cs="Arial"/>
                <w:noProof/>
                <w:webHidden/>
              </w:rPr>
              <w:fldChar w:fldCharType="end"/>
            </w:r>
          </w:hyperlink>
        </w:p>
        <w:p w14:paraId="42F3C5FB" w14:textId="5B90F13C" w:rsidR="00A16356" w:rsidRPr="00041E58" w:rsidRDefault="00A16356" w:rsidP="00D207AB">
          <w:pPr>
            <w:pStyle w:val="TOC1"/>
            <w:tabs>
              <w:tab w:val="right" w:leader="dot" w:pos="8488"/>
            </w:tabs>
            <w:rPr>
              <w:rFonts w:ascii="Arial" w:hAnsi="Arial" w:cs="Arial"/>
            </w:rPr>
          </w:pPr>
          <w:r w:rsidRPr="00AA2348">
            <w:rPr>
              <w:rFonts w:ascii="Arial" w:hAnsi="Arial" w:cs="Arial"/>
              <w:b/>
              <w:bCs/>
              <w:noProof/>
            </w:rPr>
            <w:fldChar w:fldCharType="end"/>
          </w:r>
        </w:p>
      </w:sdtContent>
    </w:sdt>
    <w:p w14:paraId="4E5347D6" w14:textId="104E8818" w:rsidR="006A28D1" w:rsidRDefault="00392F0C" w:rsidP="006A28D1">
      <w:pPr>
        <w:pStyle w:val="Heading1"/>
      </w:pPr>
      <w:bookmarkStart w:id="1" w:name="_Toc92452221"/>
      <w:r>
        <w:t>Summary</w:t>
      </w:r>
      <w:bookmarkEnd w:id="1"/>
    </w:p>
    <w:p w14:paraId="6BF7B8FA" w14:textId="09E3D7B8" w:rsidR="006A28D1" w:rsidRDefault="00F70C03" w:rsidP="00826E15">
      <w:pPr>
        <w:pStyle w:val="Numberedparagraph"/>
      </w:pPr>
      <w:r>
        <w:t xml:space="preserve">Thank you for the opportunity to make </w:t>
      </w:r>
      <w:r w:rsidR="007F042E">
        <w:t>submission</w:t>
      </w:r>
      <w:r>
        <w:t>s</w:t>
      </w:r>
      <w:r w:rsidR="007F042E">
        <w:t xml:space="preserve"> on the Health and Other Legislation Amendment Bill 2021</w:t>
      </w:r>
      <w:r>
        <w:t xml:space="preserve"> (</w:t>
      </w:r>
      <w:r w:rsidRPr="00F70C03">
        <w:rPr>
          <w:b/>
        </w:rPr>
        <w:t>the Bill</w:t>
      </w:r>
      <w:r>
        <w:t>)</w:t>
      </w:r>
      <w:r w:rsidR="007F042E">
        <w:t xml:space="preserve">. The Bill proposes amendments to </w:t>
      </w:r>
      <w:r w:rsidR="00A95DB8" w:rsidRPr="00F70C03">
        <w:t xml:space="preserve">legislation, including the </w:t>
      </w:r>
      <w:r w:rsidR="00A95DB8" w:rsidRPr="00F70C03">
        <w:rPr>
          <w:i/>
        </w:rPr>
        <w:t>Mental Health Act 2016</w:t>
      </w:r>
      <w:r w:rsidR="00770DD3" w:rsidRPr="00F70C03">
        <w:t xml:space="preserve"> (</w:t>
      </w:r>
      <w:r w:rsidR="00770DD3" w:rsidRPr="00F70C03">
        <w:rPr>
          <w:b/>
        </w:rPr>
        <w:t>MH Act</w:t>
      </w:r>
      <w:r w:rsidR="00770DD3" w:rsidRPr="00F70C03">
        <w:t>)</w:t>
      </w:r>
      <w:r w:rsidR="00A95DB8" w:rsidRPr="00F70C03">
        <w:t xml:space="preserve"> and the </w:t>
      </w:r>
      <w:r w:rsidR="00A95DB8" w:rsidRPr="00F70C03">
        <w:rPr>
          <w:i/>
        </w:rPr>
        <w:t>Hospital and Health Boards Act 2011</w:t>
      </w:r>
      <w:r w:rsidR="00A95DB8" w:rsidRPr="00F70C03">
        <w:t xml:space="preserve"> (</w:t>
      </w:r>
      <w:r w:rsidR="00A95DB8" w:rsidRPr="00F70C03">
        <w:rPr>
          <w:b/>
        </w:rPr>
        <w:t>HHB Act</w:t>
      </w:r>
      <w:r w:rsidR="00A95DB8" w:rsidRPr="00F70C03">
        <w:t>)</w:t>
      </w:r>
      <w:r>
        <w:t>,</w:t>
      </w:r>
      <w:r w:rsidR="00B976F8" w:rsidRPr="00F70C03">
        <w:t xml:space="preserve"> that </w:t>
      </w:r>
      <w:r w:rsidR="00656540" w:rsidRPr="00F70C03">
        <w:t>improve the operation and provision of health services in Queensland</w:t>
      </w:r>
      <w:r w:rsidR="00B976F8" w:rsidRPr="00F70C03">
        <w:t>.</w:t>
      </w:r>
      <w:r w:rsidR="00B976F8" w:rsidRPr="00F70C03">
        <w:rPr>
          <w:rStyle w:val="FootnoteReference"/>
        </w:rPr>
        <w:footnoteReference w:id="1"/>
      </w:r>
    </w:p>
    <w:p w14:paraId="56D11206" w14:textId="69423F16" w:rsidR="003615E3" w:rsidRPr="00AC115B" w:rsidRDefault="00AB3F9D" w:rsidP="00AC115B">
      <w:pPr>
        <w:pStyle w:val="Numberedparagraph"/>
      </w:pPr>
      <w:r w:rsidRPr="00AC115B">
        <w:t xml:space="preserve">The </w:t>
      </w:r>
      <w:r w:rsidR="00F70C03" w:rsidRPr="00AC115B">
        <w:t xml:space="preserve">Queensland Human Rights </w:t>
      </w:r>
      <w:r w:rsidRPr="00AC115B">
        <w:t xml:space="preserve">Commission </w:t>
      </w:r>
      <w:r w:rsidR="00F70C03" w:rsidRPr="00AC115B">
        <w:t>(</w:t>
      </w:r>
      <w:r w:rsidR="00F70C03" w:rsidRPr="00AC115B">
        <w:rPr>
          <w:b/>
        </w:rPr>
        <w:t>the Commission</w:t>
      </w:r>
      <w:r w:rsidR="00F70C03" w:rsidRPr="00AC115B">
        <w:t xml:space="preserve">) </w:t>
      </w:r>
      <w:r w:rsidRPr="00AC115B">
        <w:t xml:space="preserve">notes that many of the amendments, particularly </w:t>
      </w:r>
      <w:r w:rsidR="00770DD3" w:rsidRPr="00AC115B">
        <w:t xml:space="preserve">in relation </w:t>
      </w:r>
      <w:r w:rsidRPr="00AC115B">
        <w:t xml:space="preserve">to the MH Act, </w:t>
      </w:r>
      <w:r w:rsidR="00770DD3" w:rsidRPr="00AC115B">
        <w:t xml:space="preserve">seek to </w:t>
      </w:r>
      <w:r w:rsidR="00F70C03" w:rsidRPr="00AC115B">
        <w:t xml:space="preserve">strengthen </w:t>
      </w:r>
      <w:r w:rsidR="00770DD3" w:rsidRPr="00AC115B">
        <w:t>human rights</w:t>
      </w:r>
      <w:r w:rsidR="00F70C03" w:rsidRPr="00AC115B">
        <w:t xml:space="preserve"> protections</w:t>
      </w:r>
      <w:r w:rsidR="00770DD3" w:rsidRPr="00AC115B">
        <w:t>.</w:t>
      </w:r>
      <w:r w:rsidRPr="00AC115B">
        <w:t xml:space="preserve">  </w:t>
      </w:r>
      <w:r w:rsidR="00AC115B" w:rsidRPr="00AC115B">
        <w:t>This submission comments on:</w:t>
      </w:r>
    </w:p>
    <w:p w14:paraId="54D05147" w14:textId="0AE0C53E" w:rsidR="00AC115B" w:rsidRPr="00AC115B" w:rsidRDefault="00CF223D" w:rsidP="00AC115B">
      <w:pPr>
        <w:pStyle w:val="Numberedparagraph"/>
        <w:numPr>
          <w:ilvl w:val="1"/>
          <w:numId w:val="13"/>
        </w:numPr>
      </w:pPr>
      <w:r>
        <w:t>t</w:t>
      </w:r>
      <w:r w:rsidR="00AC115B" w:rsidRPr="00AC115B">
        <w:t>he current framework for people found unfit for trial under the MH Act;</w:t>
      </w:r>
    </w:p>
    <w:p w14:paraId="3CAA2D73" w14:textId="02B45BD4" w:rsidR="00AC115B" w:rsidRPr="00AC115B" w:rsidRDefault="00CF223D" w:rsidP="00AC115B">
      <w:pPr>
        <w:pStyle w:val="Numberedparagraph"/>
        <w:numPr>
          <w:ilvl w:val="1"/>
          <w:numId w:val="13"/>
        </w:numPr>
      </w:pPr>
      <w:r>
        <w:t>s</w:t>
      </w:r>
      <w:r w:rsidR="00AC115B" w:rsidRPr="00AC115B">
        <w:t>ections 790 and 791 of the MH Act which limit the publication of reports of the proceedings of the Mental Health Court and the Mental Health Review Tribunal, and the publication of identifying information of any parties to those proceedings;</w:t>
      </w:r>
      <w:r w:rsidR="00AA2348">
        <w:t xml:space="preserve"> and</w:t>
      </w:r>
    </w:p>
    <w:p w14:paraId="1D5BF34B" w14:textId="2C116B87" w:rsidR="00AC115B" w:rsidRPr="00AC115B" w:rsidRDefault="00CF223D" w:rsidP="00AC115B">
      <w:pPr>
        <w:pStyle w:val="Numberedparagraph"/>
        <w:numPr>
          <w:ilvl w:val="1"/>
          <w:numId w:val="13"/>
        </w:numPr>
      </w:pPr>
      <w:r>
        <w:t>p</w:t>
      </w:r>
      <w:r w:rsidR="00AC115B">
        <w:t>rivacy issues arising from external a</w:t>
      </w:r>
      <w:r w:rsidR="00AC115B" w:rsidRPr="00AC115B">
        <w:t xml:space="preserve">ccess to </w:t>
      </w:r>
      <w:r w:rsidR="00AC115B">
        <w:t>Queensland Health’s patient information system known as the Viewer.</w:t>
      </w:r>
      <w:r w:rsidR="00AC115B" w:rsidRPr="00AC115B">
        <w:t xml:space="preserve"> </w:t>
      </w:r>
    </w:p>
    <w:p w14:paraId="08A5D129" w14:textId="20580022" w:rsidR="00B16B33" w:rsidRPr="000E5E51" w:rsidRDefault="00770DD3" w:rsidP="00826E15">
      <w:pPr>
        <w:pStyle w:val="Numberedparagraph"/>
      </w:pPr>
      <w:r>
        <w:t>T</w:t>
      </w:r>
      <w:r w:rsidR="007C2C44">
        <w:t>h</w:t>
      </w:r>
      <w:r w:rsidR="00AC115B">
        <w:t xml:space="preserve">is submission is not intended to be a complete human rights assessment of the Bill. The absence of </w:t>
      </w:r>
      <w:r w:rsidR="007C2C44">
        <w:t>comment on a particular issue should not be taken as support or otherwise for that amendment.</w:t>
      </w:r>
    </w:p>
    <w:p w14:paraId="19803FAA" w14:textId="54A2DDF4" w:rsidR="006A28D1" w:rsidRDefault="00392F0C" w:rsidP="00392F0C">
      <w:pPr>
        <w:pStyle w:val="Heading1"/>
      </w:pPr>
      <w:bookmarkStart w:id="2" w:name="_Toc92452222"/>
      <w:r>
        <w:lastRenderedPageBreak/>
        <w:t>Introduction</w:t>
      </w:r>
      <w:bookmarkEnd w:id="2"/>
    </w:p>
    <w:p w14:paraId="62F7279F" w14:textId="77777777" w:rsidR="00392F0C" w:rsidRDefault="00392F0C" w:rsidP="00826E15">
      <w:pPr>
        <w:pStyle w:val="Numberedparagraph"/>
      </w:pPr>
      <w:r>
        <w:t xml:space="preserve">The Commission </w:t>
      </w:r>
      <w:r w:rsidRPr="00C35743">
        <w:t xml:space="preserve">is a statutory authority established under the </w:t>
      </w:r>
      <w:r>
        <w:t xml:space="preserve">Queensland </w:t>
      </w:r>
      <w:r w:rsidRPr="00C35743">
        <w:rPr>
          <w:i/>
        </w:rPr>
        <w:t>Anti-Discrimination Act 1991</w:t>
      </w:r>
      <w:r>
        <w:rPr>
          <w:i/>
        </w:rPr>
        <w:t xml:space="preserve"> </w:t>
      </w:r>
      <w:r>
        <w:t>(</w:t>
      </w:r>
      <w:r w:rsidRPr="003B0A61">
        <w:rPr>
          <w:b/>
        </w:rPr>
        <w:t>AD Act</w:t>
      </w:r>
      <w:r>
        <w:t>)</w:t>
      </w:r>
      <w:r>
        <w:rPr>
          <w:i/>
        </w:rPr>
        <w:t>.</w:t>
      </w:r>
    </w:p>
    <w:p w14:paraId="3EB7DCCC" w14:textId="77777777" w:rsidR="00392F0C" w:rsidRPr="00592493" w:rsidRDefault="00392F0C" w:rsidP="00826E15">
      <w:pPr>
        <w:pStyle w:val="Numberedparagraph"/>
      </w:pPr>
      <w:r w:rsidRPr="00A97DE1">
        <w:t xml:space="preserve">The </w:t>
      </w:r>
      <w:r w:rsidRPr="00810D74">
        <w:t>Commission</w:t>
      </w:r>
      <w:r w:rsidRPr="00A97DE1">
        <w:t xml:space="preserve"> </w:t>
      </w:r>
      <w:r>
        <w:t xml:space="preserve">has functions under the AD Act and the </w:t>
      </w:r>
      <w:r>
        <w:rPr>
          <w:i/>
        </w:rPr>
        <w:t xml:space="preserve">Human Rights Act 2019 </w:t>
      </w:r>
      <w:r>
        <w:t>(</w:t>
      </w:r>
      <w:r w:rsidRPr="003B0A61">
        <w:rPr>
          <w:b/>
        </w:rPr>
        <w:t>HR Act</w:t>
      </w:r>
      <w:r>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2E9E5660" w14:textId="20F535FA" w:rsidR="00392F0C" w:rsidRDefault="00392F0C" w:rsidP="00826E15">
      <w:pPr>
        <w:pStyle w:val="Numberedparagraph"/>
      </w:pPr>
      <w:r>
        <w:t>The Commission also deals with complaints of discrimination, vilification</w:t>
      </w:r>
      <w:r w:rsidR="00887F02">
        <w:t>,</w:t>
      </w:r>
      <w:r>
        <w:t xml:space="preserve"> and other objectionable conduct under the </w:t>
      </w:r>
      <w:r w:rsidRPr="003B0A61">
        <w:t>AD Act</w:t>
      </w:r>
      <w:r>
        <w:rPr>
          <w:i/>
        </w:rPr>
        <w:t xml:space="preserve">, </w:t>
      </w:r>
      <w:r>
        <w:t xml:space="preserve">reprisal under the </w:t>
      </w:r>
      <w:r>
        <w:rPr>
          <w:i/>
        </w:rPr>
        <w:t xml:space="preserve">Public Interest Disclosure Act </w:t>
      </w:r>
      <w:r w:rsidRPr="009F4BAD">
        <w:rPr>
          <w:i/>
        </w:rPr>
        <w:t>2009</w:t>
      </w:r>
      <w:r>
        <w:t>, and human rights complaints under the HR Act</w:t>
      </w:r>
      <w:r>
        <w:rPr>
          <w:i/>
        </w:rPr>
        <w:t xml:space="preserve">. </w:t>
      </w:r>
    </w:p>
    <w:p w14:paraId="1B1AA2A9" w14:textId="6359D0FC" w:rsidR="00B13804" w:rsidRDefault="00B13804" w:rsidP="00B13804">
      <w:pPr>
        <w:pStyle w:val="Heading1"/>
        <w:rPr>
          <w:lang w:eastAsia="en-AU"/>
        </w:rPr>
      </w:pPr>
      <w:bookmarkStart w:id="3" w:name="_Toc92452223"/>
      <w:r>
        <w:rPr>
          <w:lang w:eastAsia="en-AU"/>
        </w:rPr>
        <w:t>Mental Health Act 2016</w:t>
      </w:r>
      <w:bookmarkEnd w:id="3"/>
    </w:p>
    <w:p w14:paraId="769A486F" w14:textId="2DD6C021" w:rsidR="00140796" w:rsidRDefault="000C1C8A" w:rsidP="00140796">
      <w:pPr>
        <w:pStyle w:val="Heading2"/>
        <w:rPr>
          <w:lang w:eastAsia="en-AU"/>
        </w:rPr>
      </w:pPr>
      <w:bookmarkStart w:id="4" w:name="_Toc92452224"/>
      <w:r>
        <w:rPr>
          <w:lang w:eastAsia="en-AU"/>
        </w:rPr>
        <w:t>U</w:t>
      </w:r>
      <w:r w:rsidR="00C00761">
        <w:rPr>
          <w:lang w:eastAsia="en-AU"/>
        </w:rPr>
        <w:t>nfitness for trial</w:t>
      </w:r>
      <w:bookmarkEnd w:id="4"/>
    </w:p>
    <w:p w14:paraId="74F5EEC1" w14:textId="4134EB53" w:rsidR="00140796" w:rsidRDefault="003615E3" w:rsidP="00826E15">
      <w:pPr>
        <w:pStyle w:val="Numberedparagraph"/>
      </w:pPr>
      <w:r>
        <w:t xml:space="preserve">The Commission supports the proposed insertion of new section 117A into the </w:t>
      </w:r>
      <w:r w:rsidRPr="00C036F9">
        <w:t>MH Act</w:t>
      </w:r>
      <w:r>
        <w:t xml:space="preserve">, which will allow the Court to return the matter back to the criminal process if there is a substantial dispute about a fact material to an opinion stated in an expert’s report, provided the person is fit for trial. </w:t>
      </w:r>
    </w:p>
    <w:p w14:paraId="29FC8205" w14:textId="52AB094F" w:rsidR="003615E3" w:rsidRDefault="003615E3" w:rsidP="00826E15">
      <w:pPr>
        <w:pStyle w:val="Numberedparagraph"/>
      </w:pPr>
      <w:r>
        <w:t xml:space="preserve">However, the Commission holds concerns as to the </w:t>
      </w:r>
      <w:r w:rsidR="00C11D46">
        <w:t xml:space="preserve">overall </w:t>
      </w:r>
      <w:r>
        <w:t>framework where a person is found to be unfit for trial</w:t>
      </w:r>
      <w:r w:rsidR="000C1C8A">
        <w:t xml:space="preserve">, particularly where </w:t>
      </w:r>
      <w:r w:rsidR="00C00761">
        <w:t>there is a substantial dispute about whether the person has committed the offence</w:t>
      </w:r>
      <w:r w:rsidR="004857D5">
        <w:t>.</w:t>
      </w:r>
      <w:r w:rsidR="000D058B">
        <w:t xml:space="preserve"> </w:t>
      </w:r>
    </w:p>
    <w:p w14:paraId="6B5A9CC9" w14:textId="32ED6F20" w:rsidR="00C00761" w:rsidRPr="00093A89" w:rsidRDefault="00C00761" w:rsidP="00093A89">
      <w:pPr>
        <w:spacing w:after="240"/>
        <w:rPr>
          <w:rFonts w:ascii="Arial" w:hAnsi="Arial" w:cs="Arial"/>
          <w:b/>
        </w:rPr>
      </w:pPr>
      <w:bookmarkStart w:id="5" w:name="_Toc92208933"/>
      <w:r w:rsidRPr="00093A89">
        <w:rPr>
          <w:rFonts w:ascii="Arial" w:hAnsi="Arial" w:cs="Arial"/>
          <w:b/>
        </w:rPr>
        <w:t>Current framework</w:t>
      </w:r>
      <w:bookmarkEnd w:id="5"/>
    </w:p>
    <w:p w14:paraId="71FF58C0" w14:textId="02B6D741" w:rsidR="004857D5" w:rsidRDefault="003615E3" w:rsidP="00826E15">
      <w:pPr>
        <w:pStyle w:val="Numberedparagraph"/>
      </w:pPr>
      <w:r>
        <w:t xml:space="preserve">Under the MH Act, </w:t>
      </w:r>
      <w:r w:rsidR="000D058B">
        <w:t xml:space="preserve">a person charged with a serious criminal offence may be referred to the Mental Health Court </w:t>
      </w:r>
      <w:r w:rsidR="00177C6D">
        <w:t>if their mental state, due to a mental illness or intellectual disability, is in question</w:t>
      </w:r>
      <w:r w:rsidR="004857D5">
        <w:t>. A finding of unfitness for trial may result where:</w:t>
      </w:r>
    </w:p>
    <w:p w14:paraId="70D4A544" w14:textId="485757C5" w:rsidR="004857D5" w:rsidRDefault="00C11D46" w:rsidP="004857D5">
      <w:pPr>
        <w:pStyle w:val="Numberedparagraph"/>
        <w:numPr>
          <w:ilvl w:val="1"/>
          <w:numId w:val="13"/>
        </w:numPr>
      </w:pPr>
      <w:r>
        <w:t>t</w:t>
      </w:r>
      <w:r w:rsidR="004857D5">
        <w:t>here is a substantial dispute about whether the person committed the offence</w:t>
      </w:r>
      <w:r w:rsidR="00C210E5">
        <w:t xml:space="preserve"> (</w:t>
      </w:r>
      <w:r w:rsidR="00C210E5" w:rsidRPr="00C210E5">
        <w:rPr>
          <w:b/>
        </w:rPr>
        <w:t>reasonable doubt</w:t>
      </w:r>
      <w:r w:rsidR="00C210E5">
        <w:t>)</w:t>
      </w:r>
      <w:r>
        <w:t>;</w:t>
      </w:r>
      <w:r w:rsidR="00C210E5">
        <w:rPr>
          <w:rStyle w:val="FootnoteReference"/>
        </w:rPr>
        <w:footnoteReference w:id="2"/>
      </w:r>
      <w:r w:rsidR="004857D5">
        <w:t xml:space="preserve"> </w:t>
      </w:r>
    </w:p>
    <w:p w14:paraId="4DF1C41D" w14:textId="663631E1" w:rsidR="004857D5" w:rsidRDefault="00C11D46" w:rsidP="004857D5">
      <w:pPr>
        <w:pStyle w:val="Numberedparagraph"/>
        <w:numPr>
          <w:ilvl w:val="1"/>
          <w:numId w:val="13"/>
        </w:numPr>
      </w:pPr>
      <w:r>
        <w:t>under amendments proposed by the Bill, t</w:t>
      </w:r>
      <w:r w:rsidR="004857D5">
        <w:t>here is a substantial dispute about a fact relied on in the expert report</w:t>
      </w:r>
      <w:r w:rsidR="00C210E5">
        <w:t xml:space="preserve"> (</w:t>
      </w:r>
      <w:r w:rsidR="00C210E5" w:rsidRPr="00C210E5">
        <w:rPr>
          <w:b/>
        </w:rPr>
        <w:t>substantial dispute</w:t>
      </w:r>
      <w:r>
        <w:t>),</w:t>
      </w:r>
      <w:r>
        <w:rPr>
          <w:rStyle w:val="FootnoteReference"/>
        </w:rPr>
        <w:footnoteReference w:id="3"/>
      </w:r>
      <w:r>
        <w:t xml:space="preserve"> or</w:t>
      </w:r>
    </w:p>
    <w:p w14:paraId="77B1B20F" w14:textId="4824779A" w:rsidR="004857D5" w:rsidRDefault="00C11D46" w:rsidP="004857D5">
      <w:pPr>
        <w:pStyle w:val="Numberedparagraph"/>
        <w:numPr>
          <w:ilvl w:val="1"/>
          <w:numId w:val="13"/>
        </w:numPr>
      </w:pPr>
      <w:r>
        <w:lastRenderedPageBreak/>
        <w:t>t</w:t>
      </w:r>
      <w:r w:rsidR="004857D5">
        <w:t>he court finds that the person was not of unsound mind</w:t>
      </w:r>
      <w:r w:rsidR="00C210E5">
        <w:t>.</w:t>
      </w:r>
      <w:r w:rsidR="00C210E5">
        <w:rPr>
          <w:rStyle w:val="FootnoteReference"/>
        </w:rPr>
        <w:footnoteReference w:id="4"/>
      </w:r>
      <w:r w:rsidR="004857D5">
        <w:t xml:space="preserve"> </w:t>
      </w:r>
    </w:p>
    <w:p w14:paraId="131A42A8" w14:textId="47BD7483" w:rsidR="004857D5" w:rsidRDefault="004857D5" w:rsidP="00826E15">
      <w:pPr>
        <w:pStyle w:val="Numberedparagraph"/>
      </w:pPr>
      <w:r>
        <w:t xml:space="preserve">If a person is found permanently unfit for trial, criminal proceedings are </w:t>
      </w:r>
      <w:r w:rsidR="00304242">
        <w:t>discontinued. T</w:t>
      </w:r>
      <w:r>
        <w:t xml:space="preserve">he person </w:t>
      </w:r>
      <w:r w:rsidRPr="00304242">
        <w:rPr>
          <w:i/>
        </w:rPr>
        <w:t>may</w:t>
      </w:r>
      <w:r>
        <w:t xml:space="preserve"> be placed on a forensic order or treatment support order, if the order is necessary to protect the safety of the community.</w:t>
      </w:r>
      <w:r w:rsidR="00304242">
        <w:rPr>
          <w:rStyle w:val="FootnoteReference"/>
        </w:rPr>
        <w:footnoteReference w:id="5"/>
      </w:r>
    </w:p>
    <w:p w14:paraId="382E2819" w14:textId="6006FBBE" w:rsidR="004857D5" w:rsidRDefault="004857D5" w:rsidP="00826E15">
      <w:pPr>
        <w:pStyle w:val="Numberedparagraph"/>
      </w:pPr>
      <w:r>
        <w:t xml:space="preserve">If a person is found temporarily unfit for trial, the proceedings are stayed, and the person </w:t>
      </w:r>
      <w:r w:rsidRPr="004857D5">
        <w:rPr>
          <w:i/>
        </w:rPr>
        <w:t>must</w:t>
      </w:r>
      <w:r>
        <w:t xml:space="preserve"> be placed on a forensic order or treatment support order, unless </w:t>
      </w:r>
      <w:r w:rsidR="00937CB1">
        <w:t xml:space="preserve">and until </w:t>
      </w:r>
      <w:r>
        <w:t>the Mental Health Review Tribunal determines the person is fit for trial</w:t>
      </w:r>
      <w:r w:rsidR="00937CB1">
        <w:t xml:space="preserve"> or a prescribed period has passed</w:t>
      </w:r>
      <w:r>
        <w:t>.</w:t>
      </w:r>
      <w:r w:rsidR="00304242">
        <w:rPr>
          <w:rStyle w:val="FootnoteReference"/>
        </w:rPr>
        <w:footnoteReference w:id="6"/>
      </w:r>
      <w:r>
        <w:t xml:space="preserve"> </w:t>
      </w:r>
    </w:p>
    <w:p w14:paraId="1FFED596" w14:textId="41AC4E57" w:rsidR="00140796" w:rsidRDefault="00304242" w:rsidP="00826E15">
      <w:pPr>
        <w:pStyle w:val="Numberedparagraph"/>
      </w:pPr>
      <w:r>
        <w:t xml:space="preserve">As a result, a person for whom there is </w:t>
      </w:r>
      <w:r w:rsidR="00C210E5">
        <w:t xml:space="preserve">reasonable doubt </w:t>
      </w:r>
      <w:r>
        <w:t>about whether they committed the offence may find themsel</w:t>
      </w:r>
      <w:r w:rsidR="00EF6A35">
        <w:t>f</w:t>
      </w:r>
      <w:r>
        <w:t xml:space="preserve"> on a</w:t>
      </w:r>
      <w:r w:rsidR="003E31FF">
        <w:t xml:space="preserve"> forensic order or treatment support order</w:t>
      </w:r>
      <w:r>
        <w:t xml:space="preserve">. </w:t>
      </w:r>
      <w:r w:rsidR="00177C6D">
        <w:t>If</w:t>
      </w:r>
      <w:r>
        <w:t xml:space="preserve"> the person is found temporarily unfit for trial, they must be placed on an order, whether or not it is necessary to protect the safety of the community. </w:t>
      </w:r>
    </w:p>
    <w:p w14:paraId="667C746C" w14:textId="742792F4" w:rsidR="00177C6D" w:rsidRPr="00177C6D" w:rsidRDefault="00177C6D" w:rsidP="00177C6D">
      <w:pPr>
        <w:pStyle w:val="Numberedparagraph"/>
        <w:numPr>
          <w:ilvl w:val="0"/>
          <w:numId w:val="0"/>
        </w:numPr>
        <w:rPr>
          <w:b/>
        </w:rPr>
      </w:pPr>
      <w:r w:rsidRPr="00177C6D">
        <w:rPr>
          <w:b/>
        </w:rPr>
        <w:t>Limitations to human rights</w:t>
      </w:r>
    </w:p>
    <w:p w14:paraId="77ADE3AD" w14:textId="77777777" w:rsidR="00C00761" w:rsidRDefault="00C00761" w:rsidP="00C00761">
      <w:pPr>
        <w:pStyle w:val="Numberedparagraph"/>
      </w:pPr>
      <w:r>
        <w:t>While the MH Act provides a framework to divert people not criminally responsible for their actions by reason of mental illness or disability away from the criminal justice system, the resulting involuntary orders still significantly limit human rights.</w:t>
      </w:r>
    </w:p>
    <w:p w14:paraId="72D88B67" w14:textId="38E20684" w:rsidR="00C00761" w:rsidRDefault="00C00761" w:rsidP="00C00761">
      <w:pPr>
        <w:pStyle w:val="Numberedparagraph"/>
      </w:pPr>
      <w:r>
        <w:t xml:space="preserve">For many people, </w:t>
      </w:r>
      <w:r w:rsidR="003E31FF">
        <w:t xml:space="preserve">a forensic or treatment support order </w:t>
      </w:r>
      <w:r>
        <w:t>will require their admission to hospital, and compliance with a graduated plan of leave before being discharged</w:t>
      </w:r>
      <w:r w:rsidR="003E31FF">
        <w:t>, with conditions,</w:t>
      </w:r>
      <w:r>
        <w:t xml:space="preserve"> into the community. Involuntary patient admission is a significant limitation on the rights to liberty and security, freedom of movement, and privacy, family</w:t>
      </w:r>
      <w:r w:rsidR="00EF6A35">
        <w:t>,</w:t>
      </w:r>
      <w:r>
        <w:t xml:space="preserve"> and home. Depending on its implementation, </w:t>
      </w:r>
      <w:r w:rsidR="003E31FF">
        <w:t>an involuntary order</w:t>
      </w:r>
      <w:r>
        <w:t xml:space="preserve"> can also affect many other rights, including a person’s right to protection of families and children, cultural rights, humane treatment when deprived of liberty, freedom of expression, education</w:t>
      </w:r>
      <w:r w:rsidR="00EF6A35">
        <w:t>,</w:t>
      </w:r>
      <w:r>
        <w:t xml:space="preserve"> and health services.</w:t>
      </w:r>
    </w:p>
    <w:p w14:paraId="1CA14E98" w14:textId="3EF479CF" w:rsidR="00C00761" w:rsidRDefault="00C00761" w:rsidP="00F92CFB">
      <w:pPr>
        <w:pStyle w:val="Numberedparagraph"/>
      </w:pPr>
      <w:r>
        <w:t xml:space="preserve">The making of an involuntary order where a person has been found of unsound mind or unfit for trial may be justified by the legitimate purpose of protecting the safety of the community. However, where there is a dispute about whether the person has in fact committed the offence, that justification is eroded. A person deemed unfit for trial is unable to challenge the evidence and is not offered the opportunity to be found not guilty, unless they become fit for trial. As a result, a person is deprived of </w:t>
      </w:r>
      <w:r>
        <w:lastRenderedPageBreak/>
        <w:t>their right to equal protection before the law, the presumption of innocence, and a right to a fair hearing.</w:t>
      </w:r>
      <w:r>
        <w:rPr>
          <w:rStyle w:val="FootnoteReference"/>
        </w:rPr>
        <w:footnoteReference w:id="7"/>
      </w:r>
      <w:r>
        <w:t xml:space="preserve"> </w:t>
      </w:r>
    </w:p>
    <w:p w14:paraId="7FE43D01" w14:textId="5C05E574" w:rsidR="00C00761" w:rsidRDefault="00C00761" w:rsidP="00C00761">
      <w:pPr>
        <w:pStyle w:val="Numberedparagraph"/>
      </w:pPr>
      <w:r>
        <w:t xml:space="preserve">Other Australian jurisdictions offer an opportunity to test evidence, notwithstanding a finding of unfitness. In South Australia, a finding of unfitness is preceded or followed by a trial of the objective elements of the offence. If the court is satisfied beyond reasonable doubt that the objective elements of the offence are established, the person is liable to South Australia’s equivalent of a forensic order, or else </w:t>
      </w:r>
      <w:r w:rsidR="00B34439">
        <w:t xml:space="preserve">is </w:t>
      </w:r>
      <w:r>
        <w:t>acquitted</w:t>
      </w:r>
      <w:r w:rsidR="00EE7EC1">
        <w:t>.</w:t>
      </w:r>
      <w:r>
        <w:rPr>
          <w:rStyle w:val="FootnoteReference"/>
        </w:rPr>
        <w:footnoteReference w:id="8"/>
      </w:r>
      <w:r>
        <w:t xml:space="preserve"> In Victoria, NSW, Tasmania, Northern Territory</w:t>
      </w:r>
      <w:r w:rsidR="00E0447E">
        <w:t>,</w:t>
      </w:r>
      <w:r>
        <w:t xml:space="preserve"> and ACT, if an accused is considered unlikely to become fit for trial within a 12</w:t>
      </w:r>
      <w:r w:rsidR="00E0447E">
        <w:t>-</w:t>
      </w:r>
      <w:r>
        <w:t>month period, the court proceeds to a ‘special hearing’. The special hearing is conducted as similarly as possible to a criminal trial, with the accused considered to have entered a plea of not guilty. The special hearing can return a finding of not guilty, an option not available to a person found unfit for trial in Queensland.</w:t>
      </w:r>
      <w:r>
        <w:rPr>
          <w:rStyle w:val="FootnoteReference"/>
        </w:rPr>
        <w:footnoteReference w:id="9"/>
      </w:r>
      <w:r>
        <w:t xml:space="preserve"> </w:t>
      </w:r>
    </w:p>
    <w:p w14:paraId="4E745A52" w14:textId="67820C47" w:rsidR="00C00761" w:rsidRPr="003E31FF" w:rsidRDefault="00C00761" w:rsidP="00C00761">
      <w:pPr>
        <w:pStyle w:val="Numberedparagraph"/>
      </w:pPr>
      <w:r w:rsidRPr="003E31FF">
        <w:t>A second issue is that</w:t>
      </w:r>
      <w:r w:rsidR="003E31FF" w:rsidRPr="003E31FF">
        <w:t xml:space="preserve"> where there is a finding of temporary unfitness, </w:t>
      </w:r>
      <w:r w:rsidRPr="003E31FF">
        <w:t>an involuntary order must be made, and cannot be revoked</w:t>
      </w:r>
      <w:r w:rsidR="003E31FF" w:rsidRPr="003E31FF">
        <w:t xml:space="preserve">. </w:t>
      </w:r>
      <w:r w:rsidRPr="003E31FF">
        <w:t>Although it may be argued that involuntary treatment and care is necessary to offer the best opportunity for the person to regain capacity, the si</w:t>
      </w:r>
      <w:r w:rsidR="00177C6D" w:rsidRPr="003E31FF">
        <w:t>tuation can continue for up to 3</w:t>
      </w:r>
      <w:r w:rsidRPr="003E31FF">
        <w:t xml:space="preserve"> years</w:t>
      </w:r>
      <w:r w:rsidR="00352939">
        <w:t>,</w:t>
      </w:r>
      <w:r w:rsidRPr="003E31FF">
        <w:rPr>
          <w:rStyle w:val="FootnoteReference"/>
        </w:rPr>
        <w:footnoteReference w:id="10"/>
      </w:r>
      <w:r w:rsidRPr="003E31FF">
        <w:t xml:space="preserve"> at which point the criminal proceedings will discontinue but the forensic order or treatment support order will remain. A person can therefore potentially be subject to an involuntary order for an extended period of time in circumstances where </w:t>
      </w:r>
      <w:r w:rsidR="00C210E5">
        <w:t>there is</w:t>
      </w:r>
      <w:r w:rsidR="003E31FF" w:rsidRPr="003E31FF">
        <w:t xml:space="preserve"> reasonable doubt and/or </w:t>
      </w:r>
      <w:r w:rsidRPr="003E31FF">
        <w:t xml:space="preserve">the order was not necessary to protect the safety of the community. </w:t>
      </w:r>
      <w:r w:rsidR="00B32E90">
        <w:t xml:space="preserve">Further, a finding of </w:t>
      </w:r>
      <w:r w:rsidR="00A1368B">
        <w:t xml:space="preserve">temporary </w:t>
      </w:r>
      <w:r w:rsidR="00B32E90">
        <w:t>unfitness must be periodically reviewed by the Tribunal</w:t>
      </w:r>
      <w:r w:rsidR="00352939">
        <w:t>:</w:t>
      </w:r>
      <w:r w:rsidR="00B32E90">
        <w:t xml:space="preserve"> four times in the first year, and every 6 months thereafter, interfering with </w:t>
      </w:r>
      <w:r w:rsidR="00A1368B">
        <w:t xml:space="preserve">rights to </w:t>
      </w:r>
      <w:r w:rsidR="00B32E90">
        <w:t>privacy</w:t>
      </w:r>
      <w:r w:rsidR="00A1368B">
        <w:t xml:space="preserve"> and to be tried without unreasonable delay, and </w:t>
      </w:r>
      <w:r w:rsidR="00B32E90">
        <w:t xml:space="preserve">potentially causing stress and hardship to the individual. </w:t>
      </w:r>
    </w:p>
    <w:p w14:paraId="573C3104" w14:textId="64283375" w:rsidR="00C00761" w:rsidRDefault="00C00761" w:rsidP="00C00761">
      <w:pPr>
        <w:pStyle w:val="Numberedparagraph"/>
      </w:pPr>
      <w:r>
        <w:t>A further consequence of the current regime is that, even though there is a dispute as to whether the person committed the offence, the nature of the offence is still a matter to which the Mental Health Court and the Mental Health Review Tribunal must have regard when making or reviewing an order.</w:t>
      </w:r>
      <w:r w:rsidR="00C11D46">
        <w:rPr>
          <w:rStyle w:val="FootnoteReference"/>
        </w:rPr>
        <w:footnoteReference w:id="11"/>
      </w:r>
      <w:r>
        <w:t xml:space="preserve"> The nature of the offence attributed to the involuntary order can </w:t>
      </w:r>
      <w:r>
        <w:lastRenderedPageBreak/>
        <w:t xml:space="preserve">also </w:t>
      </w:r>
      <w:r w:rsidR="00352939">
        <w:t xml:space="preserve">have an </w:t>
      </w:r>
      <w:r>
        <w:t xml:space="preserve">impact on the treating team’s treatment and risk assessment of the individual. </w:t>
      </w:r>
    </w:p>
    <w:p w14:paraId="5A616390" w14:textId="3723113E" w:rsidR="001D7BCA" w:rsidRDefault="00C00761" w:rsidP="00C00761">
      <w:pPr>
        <w:pStyle w:val="Numberedparagraph"/>
      </w:pPr>
      <w:r>
        <w:t>The S</w:t>
      </w:r>
      <w:r w:rsidR="00F3739C">
        <w:t>tatement of Compatibility notes that ‘as a matter of practice and history, matters are referred to the Mental Health Court on the basis that the facts of the offence are undisputed, although the facts remain untested’.</w:t>
      </w:r>
      <w:r w:rsidR="00F3739C">
        <w:rPr>
          <w:rStyle w:val="FootnoteReference"/>
        </w:rPr>
        <w:footnoteReference w:id="12"/>
      </w:r>
      <w:r w:rsidR="00F3739C">
        <w:t xml:space="preserve"> </w:t>
      </w:r>
      <w:r w:rsidR="001D7BCA">
        <w:t xml:space="preserve">Table 1 sets out the number of findings of </w:t>
      </w:r>
      <w:r w:rsidR="00C210E5">
        <w:t>reasonable doubt/</w:t>
      </w:r>
      <w:r w:rsidR="001D7BCA">
        <w:t>substantial dispute and outcome</w:t>
      </w:r>
      <w:r w:rsidR="000C1C8A">
        <w:t>s</w:t>
      </w:r>
      <w:r w:rsidR="001D7BCA">
        <w:t xml:space="preserve"> from the last three annual reports of the Mental Health Court publicly available. </w:t>
      </w:r>
      <w:r w:rsidR="003E31FF">
        <w:t>A</w:t>
      </w:r>
      <w:r w:rsidR="00C210E5">
        <w:t xml:space="preserve">n additional 8 people over the same timeframe were found not of unsound mind but temporarily unfit for trial. </w:t>
      </w:r>
      <w:r w:rsidR="001D7BCA">
        <w:t>While the numbers of people found unfit for trial are small, the Commission still considers this an important human rights issue</w:t>
      </w:r>
      <w:r w:rsidR="003E31FF">
        <w:t xml:space="preserve">. </w:t>
      </w:r>
      <w:r w:rsidR="001D7BCA">
        <w:t xml:space="preserve"> </w:t>
      </w:r>
    </w:p>
    <w:p w14:paraId="33DBB92E" w14:textId="45D48504" w:rsidR="00B30681" w:rsidRPr="001D7BCA" w:rsidRDefault="00B30681" w:rsidP="00B30681">
      <w:pPr>
        <w:pStyle w:val="Numberedparagraph"/>
        <w:numPr>
          <w:ilvl w:val="0"/>
          <w:numId w:val="0"/>
        </w:numPr>
        <w:ind w:left="567"/>
        <w:rPr>
          <w:b/>
          <w:sz w:val="22"/>
          <w:szCs w:val="22"/>
        </w:rPr>
      </w:pPr>
      <w:r w:rsidRPr="001D7BCA">
        <w:rPr>
          <w:b/>
          <w:sz w:val="22"/>
          <w:szCs w:val="22"/>
        </w:rPr>
        <w:t xml:space="preserve">Table 1: Mental Health Court findings of </w:t>
      </w:r>
      <w:r w:rsidR="00C210E5">
        <w:rPr>
          <w:b/>
          <w:sz w:val="22"/>
          <w:szCs w:val="22"/>
        </w:rPr>
        <w:t>reasonable doubt/</w:t>
      </w:r>
      <w:r w:rsidRPr="001D7BCA">
        <w:rPr>
          <w:b/>
          <w:sz w:val="22"/>
          <w:szCs w:val="22"/>
        </w:rPr>
        <w:t xml:space="preserve">substantial dispute </w:t>
      </w:r>
      <w:r w:rsidR="001D7BCA">
        <w:rPr>
          <w:b/>
          <w:sz w:val="22"/>
          <w:szCs w:val="22"/>
        </w:rPr>
        <w:t>and</w:t>
      </w:r>
      <w:r w:rsidRPr="001D7BCA">
        <w:rPr>
          <w:b/>
          <w:sz w:val="22"/>
          <w:szCs w:val="22"/>
        </w:rPr>
        <w:t xml:space="preserve"> outcome </w:t>
      </w:r>
      <w:r w:rsidRPr="001D7BCA">
        <w:rPr>
          <w:rStyle w:val="FootnoteReference"/>
          <w:sz w:val="22"/>
          <w:szCs w:val="22"/>
        </w:rPr>
        <w:footnoteReference w:id="13"/>
      </w:r>
    </w:p>
    <w:tbl>
      <w:tblPr>
        <w:tblStyle w:val="TableGrid"/>
        <w:tblW w:w="0" w:type="auto"/>
        <w:tblInd w:w="567" w:type="dxa"/>
        <w:tblLook w:val="04A0" w:firstRow="1" w:lastRow="0" w:firstColumn="1" w:lastColumn="0" w:noHBand="0" w:noVBand="1"/>
      </w:tblPr>
      <w:tblGrid>
        <w:gridCol w:w="3964"/>
        <w:gridCol w:w="1319"/>
        <w:gridCol w:w="1319"/>
        <w:gridCol w:w="1319"/>
      </w:tblGrid>
      <w:tr w:rsidR="00B30681" w:rsidRPr="00B30681" w14:paraId="6DE9AA70" w14:textId="77777777" w:rsidTr="00B30681">
        <w:tc>
          <w:tcPr>
            <w:tcW w:w="3964" w:type="dxa"/>
            <w:shd w:val="clear" w:color="auto" w:fill="000000" w:themeFill="text1"/>
          </w:tcPr>
          <w:p w14:paraId="53D64D75" w14:textId="306A4E62" w:rsidR="008655B9" w:rsidRPr="00B30681" w:rsidRDefault="008655B9" w:rsidP="00B30681">
            <w:pPr>
              <w:pStyle w:val="Numberedparagraph"/>
              <w:numPr>
                <w:ilvl w:val="0"/>
                <w:numId w:val="0"/>
              </w:numPr>
              <w:spacing w:before="0" w:after="0"/>
              <w:rPr>
                <w:b/>
                <w:color w:val="FFFFFF" w:themeColor="background1"/>
                <w:sz w:val="22"/>
                <w:szCs w:val="22"/>
              </w:rPr>
            </w:pPr>
          </w:p>
        </w:tc>
        <w:tc>
          <w:tcPr>
            <w:tcW w:w="1319" w:type="dxa"/>
            <w:shd w:val="clear" w:color="auto" w:fill="000000" w:themeFill="text1"/>
          </w:tcPr>
          <w:p w14:paraId="5F6651C0" w14:textId="4F2E6F49" w:rsidR="008655B9" w:rsidRPr="00B30681" w:rsidRDefault="008655B9" w:rsidP="00B30681">
            <w:pPr>
              <w:pStyle w:val="Numberedparagraph"/>
              <w:numPr>
                <w:ilvl w:val="0"/>
                <w:numId w:val="0"/>
              </w:numPr>
              <w:spacing w:before="0" w:after="0"/>
              <w:rPr>
                <w:b/>
                <w:color w:val="FFFFFF" w:themeColor="background1"/>
                <w:sz w:val="22"/>
                <w:szCs w:val="22"/>
              </w:rPr>
            </w:pPr>
            <w:r w:rsidRPr="00B30681">
              <w:rPr>
                <w:b/>
                <w:color w:val="FFFFFF" w:themeColor="background1"/>
                <w:sz w:val="22"/>
                <w:szCs w:val="22"/>
              </w:rPr>
              <w:t>2016-17</w:t>
            </w:r>
          </w:p>
        </w:tc>
        <w:tc>
          <w:tcPr>
            <w:tcW w:w="1319" w:type="dxa"/>
            <w:shd w:val="clear" w:color="auto" w:fill="000000" w:themeFill="text1"/>
          </w:tcPr>
          <w:p w14:paraId="735B2131" w14:textId="5B9D8881" w:rsidR="008655B9" w:rsidRPr="00B30681" w:rsidRDefault="008655B9" w:rsidP="00B30681">
            <w:pPr>
              <w:pStyle w:val="Numberedparagraph"/>
              <w:numPr>
                <w:ilvl w:val="0"/>
                <w:numId w:val="0"/>
              </w:numPr>
              <w:spacing w:before="0" w:after="0"/>
              <w:rPr>
                <w:b/>
                <w:color w:val="FFFFFF" w:themeColor="background1"/>
                <w:sz w:val="22"/>
                <w:szCs w:val="22"/>
              </w:rPr>
            </w:pPr>
            <w:r w:rsidRPr="00B30681">
              <w:rPr>
                <w:b/>
                <w:color w:val="FFFFFF" w:themeColor="background1"/>
                <w:sz w:val="22"/>
                <w:szCs w:val="22"/>
              </w:rPr>
              <w:t>2017-18</w:t>
            </w:r>
          </w:p>
        </w:tc>
        <w:tc>
          <w:tcPr>
            <w:tcW w:w="1319" w:type="dxa"/>
            <w:shd w:val="clear" w:color="auto" w:fill="000000" w:themeFill="text1"/>
          </w:tcPr>
          <w:p w14:paraId="0A154AF7" w14:textId="52EAC730" w:rsidR="008655B9" w:rsidRPr="00B30681" w:rsidRDefault="008655B9" w:rsidP="00B30681">
            <w:pPr>
              <w:pStyle w:val="Numberedparagraph"/>
              <w:numPr>
                <w:ilvl w:val="0"/>
                <w:numId w:val="0"/>
              </w:numPr>
              <w:spacing w:before="0" w:after="0"/>
              <w:rPr>
                <w:b/>
                <w:color w:val="FFFFFF" w:themeColor="background1"/>
                <w:sz w:val="22"/>
                <w:szCs w:val="22"/>
              </w:rPr>
            </w:pPr>
            <w:r w:rsidRPr="00B30681">
              <w:rPr>
                <w:b/>
                <w:color w:val="FFFFFF" w:themeColor="background1"/>
                <w:sz w:val="22"/>
                <w:szCs w:val="22"/>
              </w:rPr>
              <w:t>2018-19</w:t>
            </w:r>
          </w:p>
        </w:tc>
      </w:tr>
      <w:tr w:rsidR="008655B9" w:rsidRPr="00B30681" w14:paraId="5A9901D1" w14:textId="77777777" w:rsidTr="00B30681">
        <w:tc>
          <w:tcPr>
            <w:tcW w:w="3964" w:type="dxa"/>
          </w:tcPr>
          <w:p w14:paraId="19A98260" w14:textId="55AAB110" w:rsidR="008655B9" w:rsidRPr="00B30681" w:rsidRDefault="008655B9" w:rsidP="00B30681">
            <w:pPr>
              <w:pStyle w:val="Numberedparagraph"/>
              <w:numPr>
                <w:ilvl w:val="0"/>
                <w:numId w:val="0"/>
              </w:numPr>
              <w:spacing w:before="0" w:after="0"/>
              <w:rPr>
                <w:sz w:val="22"/>
                <w:szCs w:val="22"/>
              </w:rPr>
            </w:pPr>
            <w:r w:rsidRPr="00B30681">
              <w:rPr>
                <w:sz w:val="22"/>
                <w:szCs w:val="22"/>
              </w:rPr>
              <w:t>Fit for trial</w:t>
            </w:r>
          </w:p>
        </w:tc>
        <w:tc>
          <w:tcPr>
            <w:tcW w:w="1319" w:type="dxa"/>
          </w:tcPr>
          <w:p w14:paraId="16FB5201" w14:textId="41603E07"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38</w:t>
            </w:r>
          </w:p>
        </w:tc>
        <w:tc>
          <w:tcPr>
            <w:tcW w:w="1319" w:type="dxa"/>
          </w:tcPr>
          <w:p w14:paraId="42859B86" w14:textId="65A6CF43"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27</w:t>
            </w:r>
          </w:p>
        </w:tc>
        <w:tc>
          <w:tcPr>
            <w:tcW w:w="1319" w:type="dxa"/>
          </w:tcPr>
          <w:p w14:paraId="1AAC2F23" w14:textId="102042FF" w:rsidR="008655B9" w:rsidRPr="00B30681" w:rsidRDefault="008655B9" w:rsidP="00C11D46">
            <w:pPr>
              <w:pStyle w:val="Numberedparagraph"/>
              <w:numPr>
                <w:ilvl w:val="0"/>
                <w:numId w:val="0"/>
              </w:numPr>
              <w:spacing w:before="0" w:after="0"/>
              <w:jc w:val="center"/>
              <w:rPr>
                <w:sz w:val="22"/>
                <w:szCs w:val="22"/>
              </w:rPr>
            </w:pPr>
            <w:r w:rsidRPr="00B30681">
              <w:rPr>
                <w:sz w:val="22"/>
                <w:szCs w:val="22"/>
              </w:rPr>
              <w:t>31</w:t>
            </w:r>
          </w:p>
        </w:tc>
      </w:tr>
      <w:tr w:rsidR="008655B9" w:rsidRPr="00B30681" w14:paraId="4E07EA8E" w14:textId="77777777" w:rsidTr="00B30681">
        <w:tc>
          <w:tcPr>
            <w:tcW w:w="3964" w:type="dxa"/>
          </w:tcPr>
          <w:p w14:paraId="383C7A2E" w14:textId="2286EAC5" w:rsidR="008655B9" w:rsidRPr="00B30681" w:rsidRDefault="008655B9" w:rsidP="00B30681">
            <w:pPr>
              <w:pStyle w:val="Numberedparagraph"/>
              <w:numPr>
                <w:ilvl w:val="0"/>
                <w:numId w:val="0"/>
              </w:numPr>
              <w:spacing w:before="0" w:after="0"/>
              <w:rPr>
                <w:sz w:val="22"/>
                <w:szCs w:val="22"/>
              </w:rPr>
            </w:pPr>
            <w:r w:rsidRPr="00B30681">
              <w:rPr>
                <w:sz w:val="22"/>
                <w:szCs w:val="22"/>
              </w:rPr>
              <w:t>Temporary unfit for trial (forensic order)</w:t>
            </w:r>
          </w:p>
        </w:tc>
        <w:tc>
          <w:tcPr>
            <w:tcW w:w="1319" w:type="dxa"/>
          </w:tcPr>
          <w:p w14:paraId="03281B58" w14:textId="2B5623B7"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w:t>
            </w:r>
          </w:p>
        </w:tc>
        <w:tc>
          <w:tcPr>
            <w:tcW w:w="1319" w:type="dxa"/>
          </w:tcPr>
          <w:p w14:paraId="34ADB046" w14:textId="4F7321E0" w:rsidR="008655B9" w:rsidRPr="00B30681" w:rsidRDefault="008655B9" w:rsidP="00C11D46">
            <w:pPr>
              <w:pStyle w:val="Numberedparagraph"/>
              <w:numPr>
                <w:ilvl w:val="0"/>
                <w:numId w:val="0"/>
              </w:numPr>
              <w:spacing w:before="0" w:after="0"/>
              <w:jc w:val="center"/>
              <w:rPr>
                <w:sz w:val="22"/>
                <w:szCs w:val="22"/>
              </w:rPr>
            </w:pPr>
            <w:r w:rsidRPr="00B30681">
              <w:rPr>
                <w:sz w:val="22"/>
                <w:szCs w:val="22"/>
              </w:rPr>
              <w:t>1</w:t>
            </w:r>
          </w:p>
        </w:tc>
        <w:tc>
          <w:tcPr>
            <w:tcW w:w="1319" w:type="dxa"/>
          </w:tcPr>
          <w:p w14:paraId="065034D8" w14:textId="40B6DF9E" w:rsidR="008655B9" w:rsidRPr="00B30681" w:rsidRDefault="008655B9" w:rsidP="00C11D46">
            <w:pPr>
              <w:pStyle w:val="Numberedparagraph"/>
              <w:numPr>
                <w:ilvl w:val="0"/>
                <w:numId w:val="0"/>
              </w:numPr>
              <w:spacing w:before="0" w:after="0"/>
              <w:jc w:val="center"/>
              <w:rPr>
                <w:sz w:val="22"/>
                <w:szCs w:val="22"/>
              </w:rPr>
            </w:pPr>
            <w:r w:rsidRPr="00B30681">
              <w:rPr>
                <w:sz w:val="22"/>
                <w:szCs w:val="22"/>
              </w:rPr>
              <w:t>1</w:t>
            </w:r>
          </w:p>
        </w:tc>
      </w:tr>
      <w:tr w:rsidR="008655B9" w:rsidRPr="00B30681" w14:paraId="131CA445" w14:textId="77777777" w:rsidTr="00B30681">
        <w:tc>
          <w:tcPr>
            <w:tcW w:w="3964" w:type="dxa"/>
          </w:tcPr>
          <w:p w14:paraId="20BE2A3F" w14:textId="3FC0AEBA" w:rsidR="008655B9" w:rsidRPr="00B30681" w:rsidRDefault="008655B9" w:rsidP="00B30681">
            <w:pPr>
              <w:pStyle w:val="Numberedparagraph"/>
              <w:numPr>
                <w:ilvl w:val="0"/>
                <w:numId w:val="0"/>
              </w:numPr>
              <w:spacing w:before="0" w:after="0"/>
              <w:rPr>
                <w:sz w:val="22"/>
                <w:szCs w:val="22"/>
              </w:rPr>
            </w:pPr>
            <w:r w:rsidRPr="00B30681">
              <w:rPr>
                <w:sz w:val="22"/>
                <w:szCs w:val="22"/>
              </w:rPr>
              <w:t>Permanent unfit for trial (no order)</w:t>
            </w:r>
          </w:p>
        </w:tc>
        <w:tc>
          <w:tcPr>
            <w:tcW w:w="1319" w:type="dxa"/>
          </w:tcPr>
          <w:p w14:paraId="3A677280" w14:textId="69F64681"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5</w:t>
            </w:r>
          </w:p>
        </w:tc>
        <w:tc>
          <w:tcPr>
            <w:tcW w:w="1319" w:type="dxa"/>
          </w:tcPr>
          <w:p w14:paraId="2DA07A82" w14:textId="0BBD4C3B"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3</w:t>
            </w:r>
          </w:p>
        </w:tc>
        <w:tc>
          <w:tcPr>
            <w:tcW w:w="1319" w:type="dxa"/>
          </w:tcPr>
          <w:p w14:paraId="0088972F" w14:textId="42AD85F7" w:rsidR="008655B9" w:rsidRPr="00B30681" w:rsidRDefault="008655B9" w:rsidP="00C11D46">
            <w:pPr>
              <w:pStyle w:val="Numberedparagraph"/>
              <w:numPr>
                <w:ilvl w:val="0"/>
                <w:numId w:val="0"/>
              </w:numPr>
              <w:spacing w:before="0" w:after="0"/>
              <w:jc w:val="center"/>
              <w:rPr>
                <w:sz w:val="22"/>
                <w:szCs w:val="22"/>
              </w:rPr>
            </w:pPr>
            <w:r w:rsidRPr="00B30681">
              <w:rPr>
                <w:sz w:val="22"/>
                <w:szCs w:val="22"/>
              </w:rPr>
              <w:t>3</w:t>
            </w:r>
          </w:p>
        </w:tc>
      </w:tr>
      <w:tr w:rsidR="008655B9" w:rsidRPr="00B30681" w14:paraId="2EADEA57" w14:textId="77777777" w:rsidTr="00B30681">
        <w:tc>
          <w:tcPr>
            <w:tcW w:w="3964" w:type="dxa"/>
          </w:tcPr>
          <w:p w14:paraId="4CD69567" w14:textId="36819717" w:rsidR="008655B9" w:rsidRPr="00B30681" w:rsidRDefault="008655B9" w:rsidP="00B30681">
            <w:pPr>
              <w:pStyle w:val="Numberedparagraph"/>
              <w:numPr>
                <w:ilvl w:val="0"/>
                <w:numId w:val="0"/>
              </w:numPr>
              <w:spacing w:before="0" w:after="0"/>
              <w:rPr>
                <w:sz w:val="22"/>
                <w:szCs w:val="22"/>
              </w:rPr>
            </w:pPr>
            <w:r w:rsidRPr="00B30681">
              <w:rPr>
                <w:sz w:val="22"/>
                <w:szCs w:val="22"/>
              </w:rPr>
              <w:t>Permanent unfit for trial (forensic order, forensic order disability, or treatment support order)</w:t>
            </w:r>
          </w:p>
        </w:tc>
        <w:tc>
          <w:tcPr>
            <w:tcW w:w="1319" w:type="dxa"/>
          </w:tcPr>
          <w:p w14:paraId="5F2E6772" w14:textId="3C3512DF"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6</w:t>
            </w:r>
          </w:p>
        </w:tc>
        <w:tc>
          <w:tcPr>
            <w:tcW w:w="1319" w:type="dxa"/>
          </w:tcPr>
          <w:p w14:paraId="12436C77" w14:textId="3FE8D3BB" w:rsidR="008655B9" w:rsidRPr="00B30681" w:rsidRDefault="00B30681" w:rsidP="00C11D46">
            <w:pPr>
              <w:pStyle w:val="Numberedparagraph"/>
              <w:numPr>
                <w:ilvl w:val="0"/>
                <w:numId w:val="0"/>
              </w:numPr>
              <w:spacing w:before="0" w:after="0"/>
              <w:jc w:val="center"/>
              <w:rPr>
                <w:sz w:val="22"/>
                <w:szCs w:val="22"/>
              </w:rPr>
            </w:pPr>
            <w:r w:rsidRPr="00B30681">
              <w:rPr>
                <w:sz w:val="22"/>
                <w:szCs w:val="22"/>
              </w:rPr>
              <w:t>8</w:t>
            </w:r>
          </w:p>
        </w:tc>
        <w:tc>
          <w:tcPr>
            <w:tcW w:w="1319" w:type="dxa"/>
          </w:tcPr>
          <w:p w14:paraId="3FA4C1DC" w14:textId="15F93F35" w:rsidR="008655B9" w:rsidRPr="00B30681" w:rsidRDefault="008655B9" w:rsidP="00C11D46">
            <w:pPr>
              <w:pStyle w:val="Numberedparagraph"/>
              <w:numPr>
                <w:ilvl w:val="0"/>
                <w:numId w:val="0"/>
              </w:numPr>
              <w:spacing w:before="0" w:after="0"/>
              <w:jc w:val="center"/>
              <w:rPr>
                <w:sz w:val="22"/>
                <w:szCs w:val="22"/>
              </w:rPr>
            </w:pPr>
            <w:r w:rsidRPr="00B30681">
              <w:rPr>
                <w:sz w:val="22"/>
                <w:szCs w:val="22"/>
              </w:rPr>
              <w:t>3</w:t>
            </w:r>
          </w:p>
        </w:tc>
      </w:tr>
      <w:tr w:rsidR="008655B9" w:rsidRPr="00BC4D93" w14:paraId="040D6158" w14:textId="77777777" w:rsidTr="00B30681">
        <w:tc>
          <w:tcPr>
            <w:tcW w:w="3964" w:type="dxa"/>
          </w:tcPr>
          <w:p w14:paraId="5FCE4C6D" w14:textId="7DE3691B" w:rsidR="001D7BCA" w:rsidRPr="00BC4D93" w:rsidRDefault="008655B9" w:rsidP="00B30681">
            <w:pPr>
              <w:pStyle w:val="Numberedparagraph"/>
              <w:numPr>
                <w:ilvl w:val="0"/>
                <w:numId w:val="0"/>
              </w:numPr>
              <w:spacing w:before="0" w:after="0"/>
              <w:rPr>
                <w:b/>
                <w:sz w:val="22"/>
                <w:szCs w:val="22"/>
              </w:rPr>
            </w:pPr>
            <w:r w:rsidRPr="00BC4D93">
              <w:rPr>
                <w:b/>
                <w:sz w:val="22"/>
                <w:szCs w:val="22"/>
              </w:rPr>
              <w:t xml:space="preserve">Total findings of </w:t>
            </w:r>
            <w:r w:rsidR="00C210E5" w:rsidRPr="00BC4D93">
              <w:rPr>
                <w:b/>
                <w:sz w:val="22"/>
                <w:szCs w:val="22"/>
              </w:rPr>
              <w:t>reasonable doubt/</w:t>
            </w:r>
            <w:r w:rsidR="00B30681" w:rsidRPr="00BC4D93">
              <w:rPr>
                <w:b/>
                <w:sz w:val="22"/>
                <w:szCs w:val="22"/>
              </w:rPr>
              <w:t>substantial dispute</w:t>
            </w:r>
          </w:p>
        </w:tc>
        <w:tc>
          <w:tcPr>
            <w:tcW w:w="1319" w:type="dxa"/>
          </w:tcPr>
          <w:p w14:paraId="0856CA2B" w14:textId="359C8C30" w:rsidR="008655B9" w:rsidRPr="00BC4D93" w:rsidRDefault="00B30681" w:rsidP="00C11D46">
            <w:pPr>
              <w:pStyle w:val="Numberedparagraph"/>
              <w:numPr>
                <w:ilvl w:val="0"/>
                <w:numId w:val="0"/>
              </w:numPr>
              <w:spacing w:before="0" w:after="0"/>
              <w:jc w:val="center"/>
              <w:rPr>
                <w:b/>
                <w:sz w:val="22"/>
                <w:szCs w:val="22"/>
              </w:rPr>
            </w:pPr>
            <w:r w:rsidRPr="00BC4D93">
              <w:rPr>
                <w:b/>
                <w:sz w:val="22"/>
                <w:szCs w:val="22"/>
              </w:rPr>
              <w:t>49</w:t>
            </w:r>
          </w:p>
        </w:tc>
        <w:tc>
          <w:tcPr>
            <w:tcW w:w="1319" w:type="dxa"/>
          </w:tcPr>
          <w:p w14:paraId="04967B90" w14:textId="7F084C48" w:rsidR="008655B9" w:rsidRPr="00BC4D93" w:rsidRDefault="00B30681" w:rsidP="00C11D46">
            <w:pPr>
              <w:pStyle w:val="Numberedparagraph"/>
              <w:numPr>
                <w:ilvl w:val="0"/>
                <w:numId w:val="0"/>
              </w:numPr>
              <w:spacing w:before="0" w:after="0"/>
              <w:jc w:val="center"/>
              <w:rPr>
                <w:b/>
                <w:sz w:val="22"/>
                <w:szCs w:val="22"/>
              </w:rPr>
            </w:pPr>
            <w:r w:rsidRPr="00BC4D93">
              <w:rPr>
                <w:b/>
                <w:sz w:val="22"/>
                <w:szCs w:val="22"/>
              </w:rPr>
              <w:t>39</w:t>
            </w:r>
          </w:p>
        </w:tc>
        <w:tc>
          <w:tcPr>
            <w:tcW w:w="1319" w:type="dxa"/>
          </w:tcPr>
          <w:p w14:paraId="1C0EEFAC" w14:textId="16D373A4" w:rsidR="008655B9" w:rsidRPr="00BC4D93" w:rsidRDefault="008655B9" w:rsidP="00C11D46">
            <w:pPr>
              <w:pStyle w:val="Numberedparagraph"/>
              <w:numPr>
                <w:ilvl w:val="0"/>
                <w:numId w:val="0"/>
              </w:numPr>
              <w:spacing w:before="0" w:after="0"/>
              <w:jc w:val="center"/>
              <w:rPr>
                <w:b/>
                <w:sz w:val="22"/>
                <w:szCs w:val="22"/>
              </w:rPr>
            </w:pPr>
            <w:r w:rsidRPr="00BC4D93">
              <w:rPr>
                <w:b/>
                <w:sz w:val="22"/>
                <w:szCs w:val="22"/>
              </w:rPr>
              <w:t>38</w:t>
            </w:r>
          </w:p>
        </w:tc>
      </w:tr>
    </w:tbl>
    <w:p w14:paraId="12C00F14" w14:textId="62194A55" w:rsidR="007C238A" w:rsidRPr="007C238A" w:rsidRDefault="000C1C8A" w:rsidP="007C238A">
      <w:pPr>
        <w:pStyle w:val="Numberedparagraph"/>
        <w:numPr>
          <w:ilvl w:val="0"/>
          <w:numId w:val="0"/>
        </w:numPr>
        <w:rPr>
          <w:b/>
        </w:rPr>
      </w:pPr>
      <w:r>
        <w:rPr>
          <w:b/>
        </w:rPr>
        <w:br/>
      </w:r>
      <w:r w:rsidR="007C238A" w:rsidRPr="007C238A">
        <w:rPr>
          <w:b/>
        </w:rPr>
        <w:t>Recommendations</w:t>
      </w:r>
      <w:r w:rsidR="00093A89">
        <w:rPr>
          <w:b/>
        </w:rPr>
        <w:t xml:space="preserve"> for change</w:t>
      </w:r>
    </w:p>
    <w:p w14:paraId="66E5549D" w14:textId="69FE480E" w:rsidR="00C00761" w:rsidRDefault="00C00761" w:rsidP="00C00761">
      <w:pPr>
        <w:pStyle w:val="Numberedparagraph"/>
      </w:pPr>
      <w:r>
        <w:t xml:space="preserve">The Commission </w:t>
      </w:r>
      <w:r w:rsidR="00093A89">
        <w:t>recommends reconsideration of the current framework so that:</w:t>
      </w:r>
    </w:p>
    <w:p w14:paraId="39D23AE9" w14:textId="7324396B" w:rsidR="00BA5427" w:rsidRDefault="007D6B55" w:rsidP="00BA5427">
      <w:pPr>
        <w:pStyle w:val="Numberedparagraph"/>
        <w:numPr>
          <w:ilvl w:val="0"/>
          <w:numId w:val="33"/>
        </w:numPr>
        <w:ind w:left="1134"/>
      </w:pPr>
      <w:r>
        <w:t>D</w:t>
      </w:r>
      <w:r w:rsidR="00C00761">
        <w:t xml:space="preserve">isputes of fact </w:t>
      </w:r>
      <w:r w:rsidR="00093A89">
        <w:t>are resolved in a timely way</w:t>
      </w:r>
      <w:r>
        <w:t xml:space="preserve"> and allow for the person to be found not guilty</w:t>
      </w:r>
      <w:r w:rsidR="00093A89">
        <w:t xml:space="preserve">, </w:t>
      </w:r>
      <w:r w:rsidR="00C00761">
        <w:t>even where a person is unfit for trial. Care would need to be taken to ensure rights to a fair hearing, reasonable accommodation</w:t>
      </w:r>
      <w:r>
        <w:t>,</w:t>
      </w:r>
      <w:r w:rsidR="00C00761">
        <w:t xml:space="preserve"> and access to justice for the accused, for example, as outlined in the </w:t>
      </w:r>
      <w:r w:rsidR="00C00761" w:rsidRPr="00C11AFE">
        <w:rPr>
          <w:i/>
        </w:rPr>
        <w:t>International Principles and Guidelines on Access to Justice for Persons with Disabilities</w:t>
      </w:r>
      <w:r w:rsidR="00AA1E20">
        <w:t xml:space="preserve"> </w:t>
      </w:r>
      <w:r>
        <w:t xml:space="preserve">released by the United Nations </w:t>
      </w:r>
      <w:r w:rsidR="00AA1E20">
        <w:t>in August 2020;</w:t>
      </w:r>
    </w:p>
    <w:p w14:paraId="6C46F0FD" w14:textId="47F58202" w:rsidR="00BA5427" w:rsidRDefault="007D6B55" w:rsidP="00BA5427">
      <w:pPr>
        <w:pStyle w:val="Numberedparagraph"/>
        <w:numPr>
          <w:ilvl w:val="0"/>
          <w:numId w:val="33"/>
        </w:numPr>
        <w:ind w:left="1134"/>
      </w:pPr>
      <w:r>
        <w:t>T</w:t>
      </w:r>
      <w:r w:rsidR="00BA5427">
        <w:t xml:space="preserve">he length of time a person can be found temporarily unfit for trial strikes the </w:t>
      </w:r>
      <w:r w:rsidR="00AC115B">
        <w:t>appropriate</w:t>
      </w:r>
      <w:r w:rsidR="00BA5427">
        <w:t xml:space="preserve"> balance between allowing the person </w:t>
      </w:r>
      <w:r w:rsidR="00BA5427">
        <w:lastRenderedPageBreak/>
        <w:t xml:space="preserve">sufficient time to receive treatment and support to become fit for trial, and </w:t>
      </w:r>
      <w:r w:rsidR="00AA1E20">
        <w:t xml:space="preserve">to have criminal charges dealt with without unreasonable delay; </w:t>
      </w:r>
    </w:p>
    <w:p w14:paraId="7A3FEB30" w14:textId="0834A670" w:rsidR="00C00761" w:rsidRDefault="00C00761" w:rsidP="00C00761">
      <w:pPr>
        <w:pStyle w:val="Numberedparagraph"/>
        <w:numPr>
          <w:ilvl w:val="0"/>
          <w:numId w:val="33"/>
        </w:numPr>
        <w:ind w:left="1134"/>
      </w:pPr>
      <w:r>
        <w:t xml:space="preserve">Where a person is unfit for trial, a determination regarding </w:t>
      </w:r>
      <w:r w:rsidR="00C41A1F">
        <w:t xml:space="preserve">a </w:t>
      </w:r>
      <w:r>
        <w:t>dispute of facts under s 117 or proposed s 117A of the MH Act is clearly recorded and taken into account when making, reviewing</w:t>
      </w:r>
      <w:r w:rsidR="00C41A1F">
        <w:t>,</w:t>
      </w:r>
      <w:r>
        <w:t xml:space="preserve"> and implementing involuntary orders. </w:t>
      </w:r>
    </w:p>
    <w:p w14:paraId="466DB105" w14:textId="27379988" w:rsidR="00F70C03" w:rsidRDefault="00F70C03" w:rsidP="00F70C03">
      <w:pPr>
        <w:pStyle w:val="Heading2"/>
        <w:rPr>
          <w:lang w:eastAsia="en-AU"/>
        </w:rPr>
      </w:pPr>
      <w:bookmarkStart w:id="6" w:name="_Toc92452225"/>
      <w:r>
        <w:rPr>
          <w:lang w:eastAsia="en-AU"/>
        </w:rPr>
        <w:t>Confidentiality</w:t>
      </w:r>
      <w:r w:rsidR="00826E15">
        <w:rPr>
          <w:lang w:eastAsia="en-AU"/>
        </w:rPr>
        <w:t xml:space="preserve"> of patient information</w:t>
      </w:r>
      <w:bookmarkEnd w:id="6"/>
    </w:p>
    <w:p w14:paraId="08443224" w14:textId="7F1B24C2" w:rsidR="00F70C03" w:rsidRDefault="00F70C03" w:rsidP="00826E15">
      <w:pPr>
        <w:pStyle w:val="Numberedparagraph"/>
      </w:pPr>
      <w:r>
        <w:t>The Bill makes amendments to sections 776, 778</w:t>
      </w:r>
      <w:r w:rsidR="00951FB9">
        <w:t>,</w:t>
      </w:r>
      <w:r>
        <w:t xml:space="preserve"> and 779 of the MH Act, which clarify, extend</w:t>
      </w:r>
      <w:r w:rsidR="00951FB9">
        <w:t>,</w:t>
      </w:r>
      <w:r>
        <w:t xml:space="preserve"> and tighten confidentiality obligations of relevant persons who acquire personal information in their capacity as a relevant person. Importantly, these obligations do not </w:t>
      </w:r>
      <w:r w:rsidR="00AA2817">
        <w:t xml:space="preserve">limit a </w:t>
      </w:r>
      <w:r>
        <w:t>person</w:t>
      </w:r>
      <w:r w:rsidR="00AA2817">
        <w:t>’s use or disclosure of their own information</w:t>
      </w:r>
      <w:r>
        <w:t xml:space="preserve">, </w:t>
      </w:r>
      <w:r w:rsidR="00AA2817">
        <w:t>and they can</w:t>
      </w:r>
      <w:r w:rsidR="00A4708D">
        <w:t xml:space="preserve"> still</w:t>
      </w:r>
      <w:r w:rsidR="00AA2817">
        <w:t xml:space="preserve"> consent to relevant parties using or disclosing their personal information. </w:t>
      </w:r>
    </w:p>
    <w:p w14:paraId="7DBA0FA1" w14:textId="17DCC52A" w:rsidR="00826E15" w:rsidRDefault="00826E15" w:rsidP="00826E15">
      <w:pPr>
        <w:pStyle w:val="Numberedparagraph"/>
      </w:pPr>
      <w:r>
        <w:t xml:space="preserve">The </w:t>
      </w:r>
      <w:r w:rsidR="00BC4D93">
        <w:t xml:space="preserve">remainder of this section </w:t>
      </w:r>
      <w:r w:rsidR="0004063A">
        <w:t>relates to</w:t>
      </w:r>
      <w:r w:rsidR="005B3C83">
        <w:t xml:space="preserve"> </w:t>
      </w:r>
      <w:r>
        <w:t xml:space="preserve">confidentiality obligations imposed by sections 790 and 791 of the MH Act, which are not amended by the Bill. </w:t>
      </w:r>
    </w:p>
    <w:p w14:paraId="18273D2B" w14:textId="2D3E3A38" w:rsidR="00826E15" w:rsidRPr="00826E15" w:rsidRDefault="00826E15" w:rsidP="005B3C83">
      <w:pPr>
        <w:pStyle w:val="Numberedparagraph"/>
      </w:pPr>
      <w:r>
        <w:t xml:space="preserve">Section 790 </w:t>
      </w:r>
      <w:r w:rsidR="005B3C83">
        <w:t xml:space="preserve">of the MH Act </w:t>
      </w:r>
      <w:r>
        <w:t xml:space="preserve">prohibits the publication of a ‘report of a proceeding’ of the Mental Health Review Tribunal or Mental Health Court, whether or not it contains </w:t>
      </w:r>
      <w:r w:rsidRPr="00826E15">
        <w:t>personal information, unless leave of the Tribunal or Court has been granted.</w:t>
      </w:r>
      <w:r w:rsidR="00CD1B73">
        <w:t xml:space="preserve"> Leave may only be granted if publication is in the public interest and does not contain identifying information. </w:t>
      </w:r>
      <w:r w:rsidRPr="00826E15">
        <w:t xml:space="preserve"> </w:t>
      </w:r>
      <w:r w:rsidR="005B3C83" w:rsidRPr="005B3C83">
        <w:t xml:space="preserve">Section 788 </w:t>
      </w:r>
      <w:r w:rsidR="005B3C83">
        <w:t xml:space="preserve">of the MH Act </w:t>
      </w:r>
      <w:r w:rsidR="005B3C83" w:rsidRPr="005B3C83">
        <w:t xml:space="preserve">defines </w:t>
      </w:r>
      <w:r w:rsidR="005B3C83">
        <w:t>‘</w:t>
      </w:r>
      <w:r w:rsidR="005B3C83" w:rsidRPr="005B3C83">
        <w:t>report, of a proceeding</w:t>
      </w:r>
      <w:r w:rsidR="005B3C83">
        <w:t xml:space="preserve">’ as ‘includes </w:t>
      </w:r>
      <w:r w:rsidR="005B3C83" w:rsidRPr="005B3C83">
        <w:t>a report of part of the proceeding.’</w:t>
      </w:r>
    </w:p>
    <w:p w14:paraId="2CBD5933" w14:textId="7BA3BA9C" w:rsidR="00F70C03" w:rsidRDefault="00826E15" w:rsidP="00826E15">
      <w:pPr>
        <w:pStyle w:val="Numberedparagraph"/>
      </w:pPr>
      <w:r>
        <w:t>Section 791 prohibits the publication of ‘identifying information’ of a person who has been a party to a Tribunal or Court proceedings</w:t>
      </w:r>
      <w:r w:rsidR="00A4708D">
        <w:t>,</w:t>
      </w:r>
      <w:r>
        <w:t xml:space="preserve"> except with the leave of the Tribunal or Court.  </w:t>
      </w:r>
    </w:p>
    <w:p w14:paraId="179EB79C" w14:textId="61E43C11" w:rsidR="005B3C83" w:rsidRDefault="005B3C83" w:rsidP="00826E15">
      <w:pPr>
        <w:pStyle w:val="Numberedparagraph"/>
      </w:pPr>
      <w:r>
        <w:t xml:space="preserve">The MH Act dictionary </w:t>
      </w:r>
      <w:r w:rsidR="00A06D40">
        <w:t xml:space="preserve">in Schedule 3 </w:t>
      </w:r>
      <w:r>
        <w:t>provides:</w:t>
      </w:r>
    </w:p>
    <w:p w14:paraId="119FAC7E" w14:textId="77777777" w:rsidR="005B3C83" w:rsidRPr="005B3C83" w:rsidRDefault="005B3C83" w:rsidP="005B3C83">
      <w:pPr>
        <w:pStyle w:val="Numberedparagraph"/>
        <w:numPr>
          <w:ilvl w:val="0"/>
          <w:numId w:val="0"/>
        </w:numPr>
        <w:ind w:left="567"/>
        <w:rPr>
          <w:sz w:val="22"/>
          <w:szCs w:val="22"/>
        </w:rPr>
      </w:pPr>
      <w:r w:rsidRPr="005B3C83">
        <w:rPr>
          <w:b/>
          <w:bCs/>
          <w:i/>
          <w:iCs/>
          <w:sz w:val="22"/>
          <w:szCs w:val="22"/>
        </w:rPr>
        <w:t>publish</w:t>
      </w:r>
      <w:r w:rsidRPr="005B3C83">
        <w:rPr>
          <w:sz w:val="22"/>
          <w:szCs w:val="22"/>
        </w:rPr>
        <w:t xml:space="preserve"> means—</w:t>
      </w:r>
    </w:p>
    <w:p w14:paraId="35A92076" w14:textId="2007AC5B" w:rsidR="005B3C83" w:rsidRPr="005B3C83" w:rsidRDefault="005B3C83" w:rsidP="005B3C83">
      <w:pPr>
        <w:pStyle w:val="Numberedparagraph"/>
        <w:numPr>
          <w:ilvl w:val="0"/>
          <w:numId w:val="0"/>
        </w:numPr>
        <w:ind w:left="993" w:hanging="426"/>
        <w:rPr>
          <w:sz w:val="22"/>
          <w:szCs w:val="22"/>
        </w:rPr>
      </w:pPr>
      <w:r w:rsidRPr="005B3C83">
        <w:rPr>
          <w:sz w:val="22"/>
          <w:szCs w:val="22"/>
        </w:rPr>
        <w:t xml:space="preserve">(a) </w:t>
      </w:r>
      <w:r w:rsidRPr="005B3C83">
        <w:rPr>
          <w:sz w:val="22"/>
          <w:szCs w:val="22"/>
        </w:rPr>
        <w:tab/>
        <w:t>publish to the public by way of television, newspaper, radio, the internet or other form of communication; and</w:t>
      </w:r>
    </w:p>
    <w:p w14:paraId="344F1BAB" w14:textId="4E0C8DB9" w:rsidR="005B3C83" w:rsidRPr="005B3C83" w:rsidRDefault="005B3C83" w:rsidP="005B3C83">
      <w:pPr>
        <w:pStyle w:val="Numberedparagraph"/>
        <w:numPr>
          <w:ilvl w:val="0"/>
          <w:numId w:val="0"/>
        </w:numPr>
        <w:ind w:left="993" w:hanging="426"/>
        <w:rPr>
          <w:sz w:val="22"/>
          <w:szCs w:val="22"/>
        </w:rPr>
      </w:pPr>
      <w:r w:rsidRPr="005B3C83">
        <w:rPr>
          <w:sz w:val="22"/>
          <w:szCs w:val="22"/>
        </w:rPr>
        <w:t xml:space="preserve">(b) </w:t>
      </w:r>
      <w:r w:rsidRPr="005B3C83">
        <w:rPr>
          <w:sz w:val="22"/>
          <w:szCs w:val="22"/>
        </w:rPr>
        <w:tab/>
        <w:t>the public dissemination of information, including, for example, distributing information by leaflets in letterboxes, or announcing information at a meeting.</w:t>
      </w:r>
    </w:p>
    <w:p w14:paraId="05C90410" w14:textId="7D556175" w:rsidR="009C520A" w:rsidRPr="007C7678" w:rsidRDefault="009C520A" w:rsidP="005B3C83">
      <w:pPr>
        <w:pStyle w:val="Numberedparagraph"/>
      </w:pPr>
      <w:r>
        <w:t xml:space="preserve">While the definition of ‘publish’ </w:t>
      </w:r>
      <w:r w:rsidRPr="007C7678">
        <w:t xml:space="preserve">appears not to apply to information communicated in private, </w:t>
      </w:r>
      <w:r w:rsidR="00A4708D" w:rsidRPr="007C7678">
        <w:t>people applying the Act are</w:t>
      </w:r>
      <w:r w:rsidR="006F4466" w:rsidRPr="007C7678">
        <w:t xml:space="preserve"> very cautious </w:t>
      </w:r>
      <w:r w:rsidR="00A4708D" w:rsidRPr="007C7678">
        <w:t xml:space="preserve">when </w:t>
      </w:r>
      <w:r w:rsidR="006F4466" w:rsidRPr="007C7678">
        <w:t>disclosing information</w:t>
      </w:r>
      <w:r w:rsidRPr="007C7678">
        <w:t xml:space="preserve">. </w:t>
      </w:r>
      <w:r w:rsidR="00CD1B73" w:rsidRPr="007C7678">
        <w:t>This has made it difficult</w:t>
      </w:r>
      <w:r w:rsidRPr="007C7678">
        <w:t xml:space="preserve"> for the Commission to obtain information </w:t>
      </w:r>
      <w:r w:rsidR="00951FB9">
        <w:t xml:space="preserve">to </w:t>
      </w:r>
      <w:r w:rsidRPr="007C7678">
        <w:t xml:space="preserve">assess whether or not it should intervene in </w:t>
      </w:r>
      <w:r w:rsidRPr="007C7678">
        <w:lastRenderedPageBreak/>
        <w:t>proceedings under section 51 of the HR Act.</w:t>
      </w:r>
      <w:r w:rsidR="009807E0" w:rsidRPr="007C7678">
        <w:t xml:space="preserve"> For example, the Commission </w:t>
      </w:r>
      <w:r w:rsidR="00A4708D" w:rsidRPr="007C7678">
        <w:t xml:space="preserve">was unable to </w:t>
      </w:r>
      <w:r w:rsidR="00F75EED" w:rsidRPr="007C7678">
        <w:t xml:space="preserve">obtain </w:t>
      </w:r>
      <w:r w:rsidR="009807E0" w:rsidRPr="007C7678">
        <w:t xml:space="preserve">a copy of the </w:t>
      </w:r>
      <w:r w:rsidR="00F75EED" w:rsidRPr="007C7678">
        <w:t xml:space="preserve">Tribunal’s </w:t>
      </w:r>
      <w:r w:rsidR="009807E0" w:rsidRPr="007C7678">
        <w:t xml:space="preserve">statement of reasons </w:t>
      </w:r>
      <w:r w:rsidR="00F75EED" w:rsidRPr="007C7678">
        <w:t xml:space="preserve">for a decision under </w:t>
      </w:r>
      <w:r w:rsidR="00CD1B73" w:rsidRPr="007C7678">
        <w:t>appeal</w:t>
      </w:r>
      <w:r w:rsidR="00F75EED" w:rsidRPr="007C7678">
        <w:t xml:space="preserve"> until the Commission decided to intervene and became a party to the appeal</w:t>
      </w:r>
      <w:r w:rsidR="009807E0" w:rsidRPr="007C7678">
        <w:t>.</w:t>
      </w:r>
      <w:r w:rsidR="00BC4D93">
        <w:rPr>
          <w:rStyle w:val="FootnoteReference"/>
        </w:rPr>
        <w:footnoteReference w:id="14"/>
      </w:r>
      <w:r w:rsidR="009807E0" w:rsidRPr="007C7678">
        <w:t xml:space="preserve"> </w:t>
      </w:r>
      <w:r w:rsidRPr="007C7678">
        <w:t xml:space="preserve"> </w:t>
      </w:r>
      <w:r w:rsidR="00F75EED" w:rsidRPr="007C7678">
        <w:t xml:space="preserve">Further, sections 790 and 791 </w:t>
      </w:r>
      <w:r w:rsidR="00837914" w:rsidRPr="007C7678">
        <w:t>may limit what a person can do with their own personal information, including engaging in systemic issues</w:t>
      </w:r>
      <w:r w:rsidR="007C7678" w:rsidRPr="007C7678">
        <w:t xml:space="preserve"> and increasing public awareness</w:t>
      </w:r>
      <w:r w:rsidR="00837914" w:rsidRPr="007C7678">
        <w:t>.</w:t>
      </w:r>
    </w:p>
    <w:p w14:paraId="391DF554" w14:textId="2F656BE6" w:rsidR="00F70C03" w:rsidRDefault="00A06D40" w:rsidP="005B3C83">
      <w:pPr>
        <w:pStyle w:val="Numberedparagraph"/>
      </w:pPr>
      <w:r>
        <w:t>Further,</w:t>
      </w:r>
      <w:r w:rsidR="009807E0" w:rsidRPr="007C7678">
        <w:t xml:space="preserve"> due to section 790 of the MH Act, before a Court or Tribunal will publish its reasons for the decision, it must first be satisfied that it is in the public interest to do so. </w:t>
      </w:r>
      <w:r w:rsidR="00CD1B73" w:rsidRPr="007C7678">
        <w:t>This is at odds with</w:t>
      </w:r>
      <w:r w:rsidR="00CD1B73">
        <w:t xml:space="preserve"> the right to fair hearing protected by section 31(3) of the HR Act which stat</w:t>
      </w:r>
      <w:r w:rsidR="00A77386">
        <w:t xml:space="preserve">es ‘All judgments or decisions </w:t>
      </w:r>
      <w:r w:rsidR="00CD1B73">
        <w:t>made by a court or tribunal in a proceeding must be publicly available’.</w:t>
      </w:r>
    </w:p>
    <w:p w14:paraId="0E25DBAF" w14:textId="5516AD8E" w:rsidR="00BC4D93" w:rsidRDefault="00A77386" w:rsidP="00A77386">
      <w:pPr>
        <w:pStyle w:val="Numberedparagraph"/>
      </w:pPr>
      <w:r>
        <w:t xml:space="preserve">The Commission sets out in Table 2 the decreasing number of </w:t>
      </w:r>
      <w:r w:rsidR="001B221A">
        <w:t xml:space="preserve">Mental Health Court </w:t>
      </w:r>
      <w:r>
        <w:t xml:space="preserve">judgments </w:t>
      </w:r>
      <w:r w:rsidR="001B221A">
        <w:t xml:space="preserve">publicly available on the Supreme Court Library Queensland website </w:t>
      </w:r>
      <w:r>
        <w:t xml:space="preserve">over the past 10 years. </w:t>
      </w:r>
      <w:r w:rsidR="003E77C4">
        <w:t xml:space="preserve">As far as can be ascertained, </w:t>
      </w:r>
      <w:r w:rsidR="00B057B6">
        <w:t>this cannot be attributed to</w:t>
      </w:r>
      <w:r>
        <w:t xml:space="preserve"> changes in the number of matters dealt with by the Court, which have sat between 252 and 335 </w:t>
      </w:r>
      <w:r w:rsidR="003E77C4">
        <w:t xml:space="preserve">matters </w:t>
      </w:r>
      <w:r>
        <w:t>each reporting year.</w:t>
      </w:r>
      <w:r>
        <w:rPr>
          <w:rStyle w:val="FootnoteReference"/>
        </w:rPr>
        <w:footnoteReference w:id="15"/>
      </w:r>
      <w:r>
        <w:t xml:space="preserve"> The 2018-19 Annual Report of the Mental Health Court </w:t>
      </w:r>
      <w:r w:rsidR="00B057B6">
        <w:t xml:space="preserve">at page 4 </w:t>
      </w:r>
      <w:r w:rsidR="00D67CAF">
        <w:t xml:space="preserve">explains </w:t>
      </w:r>
      <w:r>
        <w:t>‘</w:t>
      </w:r>
      <w:r w:rsidRPr="00A77386">
        <w:t>Ordinarily, decisions are delivered orally at the conclusion of the hearing of a matter. Decisions in matters where an important point of law is raised, or which are factually complex, are reserved, and delivered in writing after the Judge has had time to consider the issues raised.</w:t>
      </w:r>
      <w:r w:rsidR="00D67CAF">
        <w:t xml:space="preserve">’ </w:t>
      </w:r>
      <w:r w:rsidR="00F9197E">
        <w:t>Nonetheless</w:t>
      </w:r>
      <w:r w:rsidR="00D67CAF">
        <w:t xml:space="preserve">, the lack of publicly available jurisprudence of the Mental Health </w:t>
      </w:r>
      <w:r w:rsidR="003E77C4">
        <w:t xml:space="preserve">Court is of concern given the general principle that </w:t>
      </w:r>
      <w:r w:rsidR="00F9197E">
        <w:t xml:space="preserve">the </w:t>
      </w:r>
      <w:r w:rsidR="003E77C4">
        <w:t xml:space="preserve">publication of judgments supports </w:t>
      </w:r>
      <w:r w:rsidR="00F9197E">
        <w:t xml:space="preserve">the </w:t>
      </w:r>
      <w:r w:rsidR="008D3220">
        <w:t>integrity</w:t>
      </w:r>
      <w:r w:rsidR="003E77C4">
        <w:t>,</w:t>
      </w:r>
      <w:r w:rsidR="00F9197E">
        <w:t xml:space="preserve"> impartiality, and public confidence in the court’s process.</w:t>
      </w:r>
      <w:r w:rsidR="003E77C4">
        <w:rPr>
          <w:rStyle w:val="FootnoteReference"/>
        </w:rPr>
        <w:footnoteReference w:id="16"/>
      </w:r>
    </w:p>
    <w:p w14:paraId="269C8292" w14:textId="77777777" w:rsidR="00AA2348" w:rsidRDefault="00AA2348">
      <w:pPr>
        <w:rPr>
          <w:rFonts w:ascii="Arial" w:hAnsi="Arial" w:cs="Arial"/>
          <w:b/>
          <w:sz w:val="22"/>
          <w:szCs w:val="22"/>
          <w:lang w:eastAsia="en-AU"/>
        </w:rPr>
      </w:pPr>
      <w:r>
        <w:rPr>
          <w:b/>
          <w:sz w:val="22"/>
          <w:szCs w:val="22"/>
        </w:rPr>
        <w:br w:type="page"/>
      </w:r>
    </w:p>
    <w:p w14:paraId="2A47F649" w14:textId="540A34E8" w:rsidR="00B057B6" w:rsidRPr="00AA2348" w:rsidRDefault="00B057B6" w:rsidP="00AA2348">
      <w:pPr>
        <w:pStyle w:val="Numberedparagraph"/>
        <w:numPr>
          <w:ilvl w:val="0"/>
          <w:numId w:val="0"/>
        </w:numPr>
        <w:ind w:left="567"/>
        <w:rPr>
          <w:b/>
          <w:sz w:val="22"/>
          <w:szCs w:val="22"/>
        </w:rPr>
      </w:pPr>
      <w:r w:rsidRPr="00AA2348">
        <w:rPr>
          <w:b/>
          <w:sz w:val="22"/>
          <w:szCs w:val="22"/>
        </w:rPr>
        <w:lastRenderedPageBreak/>
        <w:t>Table 2 – Written judgments of the Mental Health Court by calendar year</w:t>
      </w:r>
    </w:p>
    <w:tbl>
      <w:tblPr>
        <w:tblStyle w:val="TableGrid"/>
        <w:tblW w:w="0" w:type="auto"/>
        <w:tblInd w:w="567" w:type="dxa"/>
        <w:tblLook w:val="04A0" w:firstRow="1" w:lastRow="0" w:firstColumn="1" w:lastColumn="0" w:noHBand="0" w:noVBand="1"/>
      </w:tblPr>
      <w:tblGrid>
        <w:gridCol w:w="1271"/>
        <w:gridCol w:w="2216"/>
        <w:gridCol w:w="2217"/>
        <w:gridCol w:w="2217"/>
      </w:tblGrid>
      <w:tr w:rsidR="00D67CAF" w:rsidRPr="00B30681" w14:paraId="268CB679" w14:textId="77777777" w:rsidTr="00D67CAF">
        <w:tc>
          <w:tcPr>
            <w:tcW w:w="1271" w:type="dxa"/>
            <w:shd w:val="clear" w:color="auto" w:fill="000000" w:themeFill="text1"/>
          </w:tcPr>
          <w:p w14:paraId="30C14B35" w14:textId="77777777" w:rsidR="00BC4D93" w:rsidRPr="00B30681" w:rsidRDefault="00BC4D93" w:rsidP="00AA2348">
            <w:pPr>
              <w:pStyle w:val="Numberedparagraph"/>
              <w:numPr>
                <w:ilvl w:val="0"/>
                <w:numId w:val="0"/>
              </w:numPr>
              <w:spacing w:before="0" w:after="0"/>
              <w:jc w:val="center"/>
              <w:rPr>
                <w:b/>
                <w:color w:val="FFFFFF" w:themeColor="background1"/>
                <w:sz w:val="22"/>
                <w:szCs w:val="22"/>
              </w:rPr>
            </w:pPr>
          </w:p>
        </w:tc>
        <w:tc>
          <w:tcPr>
            <w:tcW w:w="2216" w:type="dxa"/>
            <w:shd w:val="clear" w:color="auto" w:fill="000000" w:themeFill="text1"/>
          </w:tcPr>
          <w:p w14:paraId="026F04B4" w14:textId="063D7EF1" w:rsidR="00BC4D93" w:rsidRPr="00B30681" w:rsidRDefault="00D67CAF" w:rsidP="00AA2348">
            <w:pPr>
              <w:pStyle w:val="Numberedparagraph"/>
              <w:numPr>
                <w:ilvl w:val="0"/>
                <w:numId w:val="0"/>
              </w:numPr>
              <w:spacing w:before="0" w:after="0"/>
              <w:jc w:val="center"/>
              <w:rPr>
                <w:b/>
                <w:color w:val="FFFFFF" w:themeColor="background1"/>
                <w:sz w:val="22"/>
                <w:szCs w:val="22"/>
              </w:rPr>
            </w:pPr>
            <w:r>
              <w:rPr>
                <w:b/>
                <w:color w:val="FFFFFF" w:themeColor="background1"/>
                <w:sz w:val="22"/>
                <w:szCs w:val="22"/>
              </w:rPr>
              <w:t>Judgment publicly available</w:t>
            </w:r>
          </w:p>
        </w:tc>
        <w:tc>
          <w:tcPr>
            <w:tcW w:w="2217" w:type="dxa"/>
            <w:shd w:val="clear" w:color="auto" w:fill="000000" w:themeFill="text1"/>
          </w:tcPr>
          <w:p w14:paraId="781415B3" w14:textId="190B9B26" w:rsidR="00BC4D93" w:rsidRPr="00B30681" w:rsidRDefault="00B057B6" w:rsidP="00AA2348">
            <w:pPr>
              <w:pStyle w:val="Numberedparagraph"/>
              <w:numPr>
                <w:ilvl w:val="0"/>
                <w:numId w:val="0"/>
              </w:numPr>
              <w:spacing w:before="0" w:after="0"/>
              <w:jc w:val="center"/>
              <w:rPr>
                <w:b/>
                <w:color w:val="FFFFFF" w:themeColor="background1"/>
                <w:sz w:val="22"/>
                <w:szCs w:val="22"/>
              </w:rPr>
            </w:pPr>
            <w:r>
              <w:rPr>
                <w:b/>
                <w:color w:val="FFFFFF" w:themeColor="background1"/>
                <w:sz w:val="22"/>
                <w:szCs w:val="22"/>
              </w:rPr>
              <w:t>N</w:t>
            </w:r>
            <w:r w:rsidR="00D67CAF">
              <w:rPr>
                <w:b/>
                <w:color w:val="FFFFFF" w:themeColor="background1"/>
                <w:sz w:val="22"/>
                <w:szCs w:val="22"/>
              </w:rPr>
              <w:t>ot publicly available</w:t>
            </w:r>
          </w:p>
        </w:tc>
        <w:tc>
          <w:tcPr>
            <w:tcW w:w="2217" w:type="dxa"/>
            <w:shd w:val="clear" w:color="auto" w:fill="000000" w:themeFill="text1"/>
          </w:tcPr>
          <w:p w14:paraId="35916998" w14:textId="49B5FC58" w:rsidR="00BC4D93" w:rsidRPr="00B30681" w:rsidRDefault="00D67CAF" w:rsidP="00AA2348">
            <w:pPr>
              <w:pStyle w:val="Numberedparagraph"/>
              <w:numPr>
                <w:ilvl w:val="0"/>
                <w:numId w:val="0"/>
              </w:numPr>
              <w:spacing w:before="0" w:after="0"/>
              <w:jc w:val="center"/>
              <w:rPr>
                <w:b/>
                <w:color w:val="FFFFFF" w:themeColor="background1"/>
                <w:sz w:val="22"/>
                <w:szCs w:val="22"/>
              </w:rPr>
            </w:pPr>
            <w:r>
              <w:rPr>
                <w:b/>
                <w:color w:val="FFFFFF" w:themeColor="background1"/>
                <w:sz w:val="22"/>
                <w:szCs w:val="22"/>
              </w:rPr>
              <w:t>Total</w:t>
            </w:r>
          </w:p>
        </w:tc>
      </w:tr>
      <w:tr w:rsidR="00D67CAF" w:rsidRPr="00D67CAF" w14:paraId="7787421C" w14:textId="77777777" w:rsidTr="00D67CAF">
        <w:tc>
          <w:tcPr>
            <w:tcW w:w="1271" w:type="dxa"/>
            <w:vAlign w:val="bottom"/>
          </w:tcPr>
          <w:p w14:paraId="7F411A04" w14:textId="6EBAE390" w:rsidR="00D67CAF" w:rsidRPr="00D67CAF" w:rsidRDefault="00D67CAF" w:rsidP="00D67CAF">
            <w:pPr>
              <w:pStyle w:val="Numberedparagraph"/>
              <w:numPr>
                <w:ilvl w:val="0"/>
                <w:numId w:val="0"/>
              </w:numPr>
              <w:spacing w:before="0" w:after="0"/>
              <w:rPr>
                <w:sz w:val="22"/>
                <w:szCs w:val="22"/>
              </w:rPr>
            </w:pPr>
            <w:r w:rsidRPr="00D67CAF">
              <w:rPr>
                <w:color w:val="000000"/>
                <w:sz w:val="22"/>
                <w:szCs w:val="22"/>
              </w:rPr>
              <w:t>2011</w:t>
            </w:r>
          </w:p>
        </w:tc>
        <w:tc>
          <w:tcPr>
            <w:tcW w:w="2216" w:type="dxa"/>
            <w:vAlign w:val="bottom"/>
          </w:tcPr>
          <w:p w14:paraId="7F901864" w14:textId="12B8FD5B"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32</w:t>
            </w:r>
          </w:p>
        </w:tc>
        <w:tc>
          <w:tcPr>
            <w:tcW w:w="2217" w:type="dxa"/>
            <w:vAlign w:val="bottom"/>
          </w:tcPr>
          <w:p w14:paraId="5604A7CB" w14:textId="5DDC5137"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0</w:t>
            </w:r>
          </w:p>
        </w:tc>
        <w:tc>
          <w:tcPr>
            <w:tcW w:w="2217" w:type="dxa"/>
            <w:vAlign w:val="bottom"/>
          </w:tcPr>
          <w:p w14:paraId="0BA5ED24" w14:textId="68249DEB"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32</w:t>
            </w:r>
          </w:p>
        </w:tc>
      </w:tr>
      <w:tr w:rsidR="00D67CAF" w:rsidRPr="00D67CAF" w14:paraId="0E06EFBD" w14:textId="77777777" w:rsidTr="00D67CAF">
        <w:tc>
          <w:tcPr>
            <w:tcW w:w="1271" w:type="dxa"/>
            <w:vAlign w:val="bottom"/>
          </w:tcPr>
          <w:p w14:paraId="1B0029AE" w14:textId="5FCB32A3" w:rsidR="00D67CAF" w:rsidRPr="00D67CAF" w:rsidRDefault="00D67CAF" w:rsidP="00D67CAF">
            <w:pPr>
              <w:pStyle w:val="Numberedparagraph"/>
              <w:numPr>
                <w:ilvl w:val="0"/>
                <w:numId w:val="0"/>
              </w:numPr>
              <w:spacing w:before="0" w:after="0"/>
              <w:rPr>
                <w:sz w:val="22"/>
                <w:szCs w:val="22"/>
              </w:rPr>
            </w:pPr>
            <w:r w:rsidRPr="00D67CAF">
              <w:rPr>
                <w:color w:val="000000"/>
                <w:sz w:val="22"/>
                <w:szCs w:val="22"/>
              </w:rPr>
              <w:t>2012</w:t>
            </w:r>
          </w:p>
        </w:tc>
        <w:tc>
          <w:tcPr>
            <w:tcW w:w="2216" w:type="dxa"/>
            <w:vAlign w:val="bottom"/>
          </w:tcPr>
          <w:p w14:paraId="704BB546" w14:textId="11627122"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31</w:t>
            </w:r>
          </w:p>
        </w:tc>
        <w:tc>
          <w:tcPr>
            <w:tcW w:w="2217" w:type="dxa"/>
            <w:vAlign w:val="bottom"/>
          </w:tcPr>
          <w:p w14:paraId="2376400F" w14:textId="089AD7A2"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1</w:t>
            </w:r>
          </w:p>
        </w:tc>
        <w:tc>
          <w:tcPr>
            <w:tcW w:w="2217" w:type="dxa"/>
            <w:vAlign w:val="bottom"/>
          </w:tcPr>
          <w:p w14:paraId="0A843C38" w14:textId="374F10C2"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32</w:t>
            </w:r>
          </w:p>
        </w:tc>
      </w:tr>
      <w:tr w:rsidR="00D67CAF" w:rsidRPr="00D67CAF" w14:paraId="0B4AB00C" w14:textId="77777777" w:rsidTr="00D67CAF">
        <w:tc>
          <w:tcPr>
            <w:tcW w:w="1271" w:type="dxa"/>
            <w:vAlign w:val="bottom"/>
          </w:tcPr>
          <w:p w14:paraId="3B27CC66" w14:textId="6F42B113" w:rsidR="00D67CAF" w:rsidRPr="00D67CAF" w:rsidRDefault="00D67CAF" w:rsidP="00D67CAF">
            <w:pPr>
              <w:pStyle w:val="Numberedparagraph"/>
              <w:numPr>
                <w:ilvl w:val="0"/>
                <w:numId w:val="0"/>
              </w:numPr>
              <w:spacing w:before="0" w:after="0"/>
              <w:rPr>
                <w:sz w:val="22"/>
                <w:szCs w:val="22"/>
              </w:rPr>
            </w:pPr>
            <w:r w:rsidRPr="00D67CAF">
              <w:rPr>
                <w:color w:val="000000"/>
                <w:sz w:val="22"/>
                <w:szCs w:val="22"/>
              </w:rPr>
              <w:t>2013</w:t>
            </w:r>
          </w:p>
        </w:tc>
        <w:tc>
          <w:tcPr>
            <w:tcW w:w="2216" w:type="dxa"/>
            <w:vAlign w:val="bottom"/>
          </w:tcPr>
          <w:p w14:paraId="00D93B60" w14:textId="6C90147E"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21</w:t>
            </w:r>
          </w:p>
        </w:tc>
        <w:tc>
          <w:tcPr>
            <w:tcW w:w="2217" w:type="dxa"/>
            <w:vAlign w:val="bottom"/>
          </w:tcPr>
          <w:p w14:paraId="28C78EF1" w14:textId="6E6F29DF"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1</w:t>
            </w:r>
          </w:p>
        </w:tc>
        <w:tc>
          <w:tcPr>
            <w:tcW w:w="2217" w:type="dxa"/>
            <w:vAlign w:val="bottom"/>
          </w:tcPr>
          <w:p w14:paraId="0AC38ED1" w14:textId="39A632D8"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22</w:t>
            </w:r>
          </w:p>
        </w:tc>
      </w:tr>
      <w:tr w:rsidR="00D67CAF" w:rsidRPr="00D67CAF" w14:paraId="03BFAD09" w14:textId="77777777" w:rsidTr="00D67CAF">
        <w:tc>
          <w:tcPr>
            <w:tcW w:w="1271" w:type="dxa"/>
            <w:vAlign w:val="bottom"/>
          </w:tcPr>
          <w:p w14:paraId="4B507C76" w14:textId="37F9526C" w:rsidR="00D67CAF" w:rsidRPr="00D67CAF" w:rsidRDefault="00D67CAF" w:rsidP="00D67CAF">
            <w:pPr>
              <w:pStyle w:val="Numberedparagraph"/>
              <w:numPr>
                <w:ilvl w:val="0"/>
                <w:numId w:val="0"/>
              </w:numPr>
              <w:spacing w:before="0" w:after="0"/>
              <w:rPr>
                <w:sz w:val="22"/>
                <w:szCs w:val="22"/>
              </w:rPr>
            </w:pPr>
            <w:r w:rsidRPr="00D67CAF">
              <w:rPr>
                <w:color w:val="000000"/>
                <w:sz w:val="22"/>
                <w:szCs w:val="22"/>
              </w:rPr>
              <w:t>2014</w:t>
            </w:r>
          </w:p>
        </w:tc>
        <w:tc>
          <w:tcPr>
            <w:tcW w:w="2216" w:type="dxa"/>
            <w:vAlign w:val="bottom"/>
          </w:tcPr>
          <w:p w14:paraId="69C3909F" w14:textId="72DBDDC9"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12</w:t>
            </w:r>
          </w:p>
        </w:tc>
        <w:tc>
          <w:tcPr>
            <w:tcW w:w="2217" w:type="dxa"/>
            <w:vAlign w:val="bottom"/>
          </w:tcPr>
          <w:p w14:paraId="0E900C84" w14:textId="77D85F14"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0</w:t>
            </w:r>
          </w:p>
        </w:tc>
        <w:tc>
          <w:tcPr>
            <w:tcW w:w="2217" w:type="dxa"/>
            <w:vAlign w:val="bottom"/>
          </w:tcPr>
          <w:p w14:paraId="473CD4E2" w14:textId="42C4743B" w:rsidR="00D67CAF" w:rsidRPr="00D67CAF" w:rsidRDefault="00D67CAF" w:rsidP="00D67CAF">
            <w:pPr>
              <w:pStyle w:val="Numberedparagraph"/>
              <w:numPr>
                <w:ilvl w:val="0"/>
                <w:numId w:val="0"/>
              </w:numPr>
              <w:spacing w:before="0" w:after="0"/>
              <w:jc w:val="center"/>
              <w:rPr>
                <w:sz w:val="22"/>
                <w:szCs w:val="22"/>
              </w:rPr>
            </w:pPr>
            <w:r w:rsidRPr="00D67CAF">
              <w:rPr>
                <w:color w:val="000000"/>
                <w:sz w:val="22"/>
                <w:szCs w:val="22"/>
              </w:rPr>
              <w:t>12</w:t>
            </w:r>
          </w:p>
        </w:tc>
      </w:tr>
      <w:tr w:rsidR="00D67CAF" w:rsidRPr="00D67CAF" w14:paraId="27BEC085" w14:textId="77777777" w:rsidTr="00D67CAF">
        <w:tc>
          <w:tcPr>
            <w:tcW w:w="1271" w:type="dxa"/>
            <w:vAlign w:val="bottom"/>
          </w:tcPr>
          <w:p w14:paraId="6B5DD7F5" w14:textId="05ABDFEB"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2015</w:t>
            </w:r>
          </w:p>
        </w:tc>
        <w:tc>
          <w:tcPr>
            <w:tcW w:w="2216" w:type="dxa"/>
            <w:vAlign w:val="bottom"/>
          </w:tcPr>
          <w:p w14:paraId="0A32B9DC" w14:textId="2DB9DDBD"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15</w:t>
            </w:r>
          </w:p>
        </w:tc>
        <w:tc>
          <w:tcPr>
            <w:tcW w:w="2217" w:type="dxa"/>
            <w:vAlign w:val="bottom"/>
          </w:tcPr>
          <w:p w14:paraId="5710D71B" w14:textId="4E7C6B4F"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2</w:t>
            </w:r>
          </w:p>
        </w:tc>
        <w:tc>
          <w:tcPr>
            <w:tcW w:w="2217" w:type="dxa"/>
            <w:vAlign w:val="bottom"/>
          </w:tcPr>
          <w:p w14:paraId="3C190AC3" w14:textId="162D92C3"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17</w:t>
            </w:r>
          </w:p>
        </w:tc>
      </w:tr>
      <w:tr w:rsidR="00D67CAF" w:rsidRPr="00D67CAF" w14:paraId="147277B7" w14:textId="77777777" w:rsidTr="00D67CAF">
        <w:tc>
          <w:tcPr>
            <w:tcW w:w="1271" w:type="dxa"/>
            <w:vAlign w:val="bottom"/>
          </w:tcPr>
          <w:p w14:paraId="56553D10" w14:textId="200AD6FD"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2016</w:t>
            </w:r>
          </w:p>
        </w:tc>
        <w:tc>
          <w:tcPr>
            <w:tcW w:w="2216" w:type="dxa"/>
            <w:vAlign w:val="bottom"/>
          </w:tcPr>
          <w:p w14:paraId="1F147DA2" w14:textId="5AE677C8"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10</w:t>
            </w:r>
          </w:p>
        </w:tc>
        <w:tc>
          <w:tcPr>
            <w:tcW w:w="2217" w:type="dxa"/>
            <w:vAlign w:val="bottom"/>
          </w:tcPr>
          <w:p w14:paraId="70247C20" w14:textId="568E259F"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2</w:t>
            </w:r>
          </w:p>
        </w:tc>
        <w:tc>
          <w:tcPr>
            <w:tcW w:w="2217" w:type="dxa"/>
            <w:vAlign w:val="bottom"/>
          </w:tcPr>
          <w:p w14:paraId="42BAD461" w14:textId="2646292B"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12</w:t>
            </w:r>
          </w:p>
        </w:tc>
      </w:tr>
      <w:tr w:rsidR="00D67CAF" w:rsidRPr="00D67CAF" w14:paraId="6A557759" w14:textId="77777777" w:rsidTr="00D67CAF">
        <w:tc>
          <w:tcPr>
            <w:tcW w:w="1271" w:type="dxa"/>
            <w:vAlign w:val="bottom"/>
          </w:tcPr>
          <w:p w14:paraId="104A6FF3" w14:textId="6CA61961"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2017</w:t>
            </w:r>
          </w:p>
        </w:tc>
        <w:tc>
          <w:tcPr>
            <w:tcW w:w="2216" w:type="dxa"/>
            <w:vAlign w:val="bottom"/>
          </w:tcPr>
          <w:p w14:paraId="12B56AD6" w14:textId="3B28985F"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9</w:t>
            </w:r>
          </w:p>
        </w:tc>
        <w:tc>
          <w:tcPr>
            <w:tcW w:w="2217" w:type="dxa"/>
            <w:vAlign w:val="bottom"/>
          </w:tcPr>
          <w:p w14:paraId="54D05800" w14:textId="1F6A515A"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2</w:t>
            </w:r>
          </w:p>
        </w:tc>
        <w:tc>
          <w:tcPr>
            <w:tcW w:w="2217" w:type="dxa"/>
            <w:vAlign w:val="bottom"/>
          </w:tcPr>
          <w:p w14:paraId="57CCE40C" w14:textId="4CBF9F32"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11</w:t>
            </w:r>
          </w:p>
        </w:tc>
      </w:tr>
      <w:tr w:rsidR="00D67CAF" w:rsidRPr="00D67CAF" w14:paraId="082B8C46" w14:textId="77777777" w:rsidTr="00D67CAF">
        <w:tc>
          <w:tcPr>
            <w:tcW w:w="1271" w:type="dxa"/>
            <w:vAlign w:val="bottom"/>
          </w:tcPr>
          <w:p w14:paraId="33825E76" w14:textId="6E4B0F29"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2018</w:t>
            </w:r>
          </w:p>
        </w:tc>
        <w:tc>
          <w:tcPr>
            <w:tcW w:w="2216" w:type="dxa"/>
            <w:vAlign w:val="bottom"/>
          </w:tcPr>
          <w:p w14:paraId="2B6E9CA6" w14:textId="50919B78"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12</w:t>
            </w:r>
          </w:p>
        </w:tc>
        <w:tc>
          <w:tcPr>
            <w:tcW w:w="2217" w:type="dxa"/>
            <w:vAlign w:val="bottom"/>
          </w:tcPr>
          <w:p w14:paraId="4D7C6698" w14:textId="7D0622EE"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3</w:t>
            </w:r>
          </w:p>
        </w:tc>
        <w:tc>
          <w:tcPr>
            <w:tcW w:w="2217" w:type="dxa"/>
            <w:vAlign w:val="bottom"/>
          </w:tcPr>
          <w:p w14:paraId="3878AA57" w14:textId="6F770A94"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15</w:t>
            </w:r>
          </w:p>
        </w:tc>
      </w:tr>
      <w:tr w:rsidR="00D67CAF" w:rsidRPr="00D67CAF" w14:paraId="5737229E" w14:textId="77777777" w:rsidTr="00D67CAF">
        <w:tc>
          <w:tcPr>
            <w:tcW w:w="1271" w:type="dxa"/>
            <w:vAlign w:val="bottom"/>
          </w:tcPr>
          <w:p w14:paraId="1E6C7ECE" w14:textId="44DDD55D"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2019</w:t>
            </w:r>
          </w:p>
        </w:tc>
        <w:tc>
          <w:tcPr>
            <w:tcW w:w="2216" w:type="dxa"/>
            <w:vAlign w:val="bottom"/>
          </w:tcPr>
          <w:p w14:paraId="43495D42" w14:textId="0D4F2588"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3</w:t>
            </w:r>
          </w:p>
        </w:tc>
        <w:tc>
          <w:tcPr>
            <w:tcW w:w="2217" w:type="dxa"/>
            <w:vAlign w:val="bottom"/>
          </w:tcPr>
          <w:p w14:paraId="708B7E32" w14:textId="305F9698"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w:t>
            </w:r>
          </w:p>
        </w:tc>
        <w:tc>
          <w:tcPr>
            <w:tcW w:w="2217" w:type="dxa"/>
            <w:vAlign w:val="bottom"/>
          </w:tcPr>
          <w:p w14:paraId="32754079" w14:textId="5E2103EF"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4</w:t>
            </w:r>
          </w:p>
        </w:tc>
      </w:tr>
      <w:tr w:rsidR="00D67CAF" w:rsidRPr="00D67CAF" w14:paraId="405C01B7" w14:textId="77777777" w:rsidTr="00D67CAF">
        <w:tc>
          <w:tcPr>
            <w:tcW w:w="1271" w:type="dxa"/>
            <w:vAlign w:val="bottom"/>
          </w:tcPr>
          <w:p w14:paraId="195A4A9C" w14:textId="33A0C2F0"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2020</w:t>
            </w:r>
          </w:p>
        </w:tc>
        <w:tc>
          <w:tcPr>
            <w:tcW w:w="2216" w:type="dxa"/>
            <w:vAlign w:val="bottom"/>
          </w:tcPr>
          <w:p w14:paraId="37ED1086" w14:textId="3963463B"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1</w:t>
            </w:r>
          </w:p>
        </w:tc>
        <w:tc>
          <w:tcPr>
            <w:tcW w:w="2217" w:type="dxa"/>
            <w:vAlign w:val="bottom"/>
          </w:tcPr>
          <w:p w14:paraId="1C9FB3F5" w14:textId="308A257E"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2</w:t>
            </w:r>
          </w:p>
        </w:tc>
        <w:tc>
          <w:tcPr>
            <w:tcW w:w="2217" w:type="dxa"/>
            <w:vAlign w:val="bottom"/>
          </w:tcPr>
          <w:p w14:paraId="35C77839" w14:textId="3ECD275E"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3</w:t>
            </w:r>
          </w:p>
        </w:tc>
      </w:tr>
      <w:tr w:rsidR="00D67CAF" w:rsidRPr="00D67CAF" w14:paraId="03EEBD5F" w14:textId="77777777" w:rsidTr="00D67CAF">
        <w:tc>
          <w:tcPr>
            <w:tcW w:w="1271" w:type="dxa"/>
            <w:vAlign w:val="bottom"/>
          </w:tcPr>
          <w:p w14:paraId="098E5973" w14:textId="5F6C1DC2" w:rsidR="00D67CAF" w:rsidRPr="00D67CAF" w:rsidRDefault="00D67CAF" w:rsidP="00D67CAF">
            <w:pPr>
              <w:pStyle w:val="Numberedparagraph"/>
              <w:numPr>
                <w:ilvl w:val="0"/>
                <w:numId w:val="0"/>
              </w:numPr>
              <w:spacing w:before="0" w:after="0"/>
              <w:rPr>
                <w:b/>
                <w:sz w:val="22"/>
                <w:szCs w:val="22"/>
              </w:rPr>
            </w:pPr>
            <w:r w:rsidRPr="00D67CAF">
              <w:rPr>
                <w:color w:val="000000"/>
                <w:sz w:val="22"/>
                <w:szCs w:val="22"/>
              </w:rPr>
              <w:t>2021</w:t>
            </w:r>
          </w:p>
        </w:tc>
        <w:tc>
          <w:tcPr>
            <w:tcW w:w="2216" w:type="dxa"/>
            <w:vAlign w:val="bottom"/>
          </w:tcPr>
          <w:p w14:paraId="350A51BE" w14:textId="51BE88CC"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2</w:t>
            </w:r>
          </w:p>
        </w:tc>
        <w:tc>
          <w:tcPr>
            <w:tcW w:w="2217" w:type="dxa"/>
            <w:vAlign w:val="bottom"/>
          </w:tcPr>
          <w:p w14:paraId="67EEAC01" w14:textId="1592D47A"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2</w:t>
            </w:r>
          </w:p>
        </w:tc>
        <w:tc>
          <w:tcPr>
            <w:tcW w:w="2217" w:type="dxa"/>
            <w:vAlign w:val="bottom"/>
          </w:tcPr>
          <w:p w14:paraId="4A49953A" w14:textId="3CEE020B" w:rsidR="00D67CAF" w:rsidRPr="00D67CAF" w:rsidRDefault="00D67CAF" w:rsidP="00D67CAF">
            <w:pPr>
              <w:pStyle w:val="Numberedparagraph"/>
              <w:numPr>
                <w:ilvl w:val="0"/>
                <w:numId w:val="0"/>
              </w:numPr>
              <w:spacing w:before="0" w:after="0"/>
              <w:jc w:val="center"/>
              <w:rPr>
                <w:b/>
                <w:sz w:val="22"/>
                <w:szCs w:val="22"/>
              </w:rPr>
            </w:pPr>
            <w:r w:rsidRPr="00D67CAF">
              <w:rPr>
                <w:color w:val="000000"/>
                <w:sz w:val="22"/>
                <w:szCs w:val="22"/>
              </w:rPr>
              <w:t>4</w:t>
            </w:r>
          </w:p>
        </w:tc>
      </w:tr>
    </w:tbl>
    <w:p w14:paraId="1EAB0085" w14:textId="07C595FE" w:rsidR="00BC4D93" w:rsidRDefault="00BC4D93" w:rsidP="00D67CAF">
      <w:pPr>
        <w:pStyle w:val="Numberedparagraph"/>
        <w:numPr>
          <w:ilvl w:val="0"/>
          <w:numId w:val="0"/>
        </w:numPr>
        <w:ind w:left="567" w:hanging="567"/>
      </w:pPr>
    </w:p>
    <w:p w14:paraId="0D88F94B" w14:textId="0745A85D" w:rsidR="00CD1B73" w:rsidRDefault="00CD1B73" w:rsidP="005B3C83">
      <w:pPr>
        <w:pStyle w:val="Numberedparagraph"/>
      </w:pPr>
      <w:r>
        <w:t xml:space="preserve">The Explanatory Notes to section 525 of the </w:t>
      </w:r>
      <w:r w:rsidRPr="00CD1B73">
        <w:rPr>
          <w:i/>
        </w:rPr>
        <w:t>Mental Health Act 2000</w:t>
      </w:r>
      <w:r>
        <w:rPr>
          <w:i/>
        </w:rPr>
        <w:t xml:space="preserve">, </w:t>
      </w:r>
      <w:r>
        <w:t xml:space="preserve">the predecessor to section 790 of the MH Act </w:t>
      </w:r>
      <w:r w:rsidR="00951FB9">
        <w:t>i</w:t>
      </w:r>
      <w:r>
        <w:t xml:space="preserve">n almost identical terms, </w:t>
      </w:r>
      <w:r w:rsidR="005A18D5">
        <w:t>justifies th</w:t>
      </w:r>
      <w:r w:rsidR="00B057B6">
        <w:t xml:space="preserve">e MH Act’s approach to the publication of judgments </w:t>
      </w:r>
      <w:r w:rsidR="005A18D5">
        <w:t>as follows:</w:t>
      </w:r>
      <w:r>
        <w:t xml:space="preserve"> </w:t>
      </w:r>
    </w:p>
    <w:p w14:paraId="004C4B66" w14:textId="14834CBB" w:rsidR="005A18D5" w:rsidRPr="007C7678" w:rsidRDefault="005A18D5" w:rsidP="005A18D5">
      <w:pPr>
        <w:pStyle w:val="Numberedparagraph"/>
        <w:numPr>
          <w:ilvl w:val="0"/>
          <w:numId w:val="0"/>
        </w:numPr>
        <w:ind w:left="1134"/>
        <w:rPr>
          <w:sz w:val="22"/>
          <w:szCs w:val="22"/>
        </w:rPr>
      </w:pPr>
      <w:r w:rsidRPr="007C7678">
        <w:rPr>
          <w:sz w:val="22"/>
          <w:szCs w:val="22"/>
        </w:rPr>
        <w:t>Clause 525 prohibits the publication of any report about a proceeding of the Mental Health Review Tribunal and proceedings before the Mental Health Court on an appeal from a decision of the Mental Health Review Tribunal or the Court’s inquiry into the detention of a patient. However, the clause sets out the circumstances in which the Tribunal or Mental Health Court can permit publication. It is recognised that the material being considered is personal in nature; being principally concerned with medical matters. Accordingly, the material should remain confidential unless the Tribunal or Mental Health Court permits publication. Permission to publish may only be granted if the Court or Tribunal is satisfied it is in the public interest and the report will not contain information identifying a person involved in the hearing.</w:t>
      </w:r>
    </w:p>
    <w:p w14:paraId="0C237063" w14:textId="6993719C" w:rsidR="005A18D5" w:rsidRDefault="005A18D5" w:rsidP="007C7678">
      <w:pPr>
        <w:pStyle w:val="Numberedparagraph"/>
      </w:pPr>
      <w:r>
        <w:t xml:space="preserve">While section 790 </w:t>
      </w:r>
      <w:r w:rsidR="007C7678">
        <w:t xml:space="preserve">of the MH Act protects </w:t>
      </w:r>
      <w:r>
        <w:t>individual privacy, this purpose can still be satisfied by the removal of identifying features as required by section 790(3)(b)</w:t>
      </w:r>
      <w:r w:rsidR="00574FE9">
        <w:t xml:space="preserve">. </w:t>
      </w:r>
    </w:p>
    <w:p w14:paraId="0B0E6A7E" w14:textId="447D99FC" w:rsidR="000E1549" w:rsidRDefault="00574FE9" w:rsidP="005A18D5">
      <w:pPr>
        <w:pStyle w:val="Numberedparagraph"/>
      </w:pPr>
      <w:r>
        <w:t>It is submitted that section</w:t>
      </w:r>
      <w:r w:rsidR="007C7678">
        <w:t>s</w:t>
      </w:r>
      <w:r>
        <w:t xml:space="preserve"> 790</w:t>
      </w:r>
      <w:r w:rsidR="007C7678">
        <w:t xml:space="preserve"> and 791 of the MH Act</w:t>
      </w:r>
      <w:r>
        <w:t xml:space="preserve">, which </w:t>
      </w:r>
      <w:r w:rsidR="007C7678">
        <w:t xml:space="preserve">have </w:t>
      </w:r>
      <w:r>
        <w:t xml:space="preserve">been in place since </w:t>
      </w:r>
      <w:r w:rsidR="00A06D40">
        <w:t xml:space="preserve">the </w:t>
      </w:r>
      <w:r w:rsidRPr="00574FE9">
        <w:rPr>
          <w:i/>
        </w:rPr>
        <w:t>Mental Health Act 2000</w:t>
      </w:r>
      <w:r>
        <w:t xml:space="preserve">, still has at its core the ‘best interests’ of the patient, rather than the more ‘rights-based approach’ the Bill </w:t>
      </w:r>
      <w:r w:rsidR="0004063A">
        <w:t>seeks to achieve.</w:t>
      </w:r>
    </w:p>
    <w:p w14:paraId="69490683" w14:textId="1255CC73" w:rsidR="0004063A" w:rsidRDefault="000E1549" w:rsidP="00AA2348">
      <w:pPr>
        <w:pStyle w:val="Numberedparagraph"/>
        <w:numPr>
          <w:ilvl w:val="0"/>
          <w:numId w:val="0"/>
        </w:numPr>
      </w:pPr>
      <w:r w:rsidRPr="007C238A">
        <w:rPr>
          <w:b/>
        </w:rPr>
        <w:t>Recommendations</w:t>
      </w:r>
      <w:r>
        <w:rPr>
          <w:b/>
        </w:rPr>
        <w:t xml:space="preserve"> for change</w:t>
      </w:r>
      <w:r w:rsidR="0004063A">
        <w:t xml:space="preserve"> </w:t>
      </w:r>
    </w:p>
    <w:p w14:paraId="7757FB2C" w14:textId="1C7D9BAB" w:rsidR="00574FE9" w:rsidRDefault="00A06D40" w:rsidP="005A18D5">
      <w:pPr>
        <w:pStyle w:val="Numberedparagraph"/>
      </w:pPr>
      <w:r>
        <w:t>The C</w:t>
      </w:r>
      <w:r w:rsidR="003F4F4D">
        <w:t xml:space="preserve">ommission </w:t>
      </w:r>
      <w:r w:rsidR="00250D51">
        <w:t xml:space="preserve">recommends </w:t>
      </w:r>
      <w:r w:rsidR="0004063A">
        <w:t>reconsider</w:t>
      </w:r>
      <w:r>
        <w:t>ation</w:t>
      </w:r>
      <w:r w:rsidR="0004063A">
        <w:t xml:space="preserve"> the terms of section 790 and 791 to ensure:</w:t>
      </w:r>
    </w:p>
    <w:p w14:paraId="6B2A972A" w14:textId="405F152D" w:rsidR="0004063A" w:rsidRDefault="00936461" w:rsidP="0004063A">
      <w:pPr>
        <w:pStyle w:val="Numberedparagraph"/>
        <w:numPr>
          <w:ilvl w:val="1"/>
          <w:numId w:val="13"/>
        </w:numPr>
      </w:pPr>
      <w:r>
        <w:lastRenderedPageBreak/>
        <w:t>t</w:t>
      </w:r>
      <w:r w:rsidR="0004063A">
        <w:t xml:space="preserve">he person to whom the information relates </w:t>
      </w:r>
      <w:r w:rsidR="007C7678">
        <w:t xml:space="preserve">is not limited </w:t>
      </w:r>
      <w:r>
        <w:t xml:space="preserve">in </w:t>
      </w:r>
      <w:r w:rsidR="007C7678">
        <w:t xml:space="preserve">using and disclosing </w:t>
      </w:r>
      <w:r w:rsidR="0004063A">
        <w:t>their own information</w:t>
      </w:r>
      <w:r>
        <w:t>.</w:t>
      </w:r>
    </w:p>
    <w:p w14:paraId="07624F74" w14:textId="4B766AD7" w:rsidR="0004063A" w:rsidRDefault="00936461" w:rsidP="0004063A">
      <w:pPr>
        <w:pStyle w:val="Numberedparagraph"/>
        <w:numPr>
          <w:ilvl w:val="1"/>
          <w:numId w:val="13"/>
        </w:numPr>
      </w:pPr>
      <w:r>
        <w:t>t</w:t>
      </w:r>
      <w:r w:rsidR="0004063A">
        <w:t>he person’s privacy is sufficiently protected;</w:t>
      </w:r>
    </w:p>
    <w:p w14:paraId="11F4971B" w14:textId="454473FD" w:rsidR="0004063A" w:rsidRDefault="0004063A" w:rsidP="0004063A">
      <w:pPr>
        <w:pStyle w:val="Numberedparagraph"/>
        <w:numPr>
          <w:ilvl w:val="1"/>
          <w:numId w:val="13"/>
        </w:numPr>
      </w:pPr>
      <w:r>
        <w:t xml:space="preserve">clarity </w:t>
      </w:r>
      <w:r w:rsidR="006F4466">
        <w:t xml:space="preserve">regarding the meaning of ‘report of a proceeding’, and </w:t>
      </w:r>
      <w:r>
        <w:t xml:space="preserve">when </w:t>
      </w:r>
      <w:r w:rsidR="006F4466">
        <w:t xml:space="preserve">this </w:t>
      </w:r>
      <w:r>
        <w:t>information can be shared in private; and</w:t>
      </w:r>
    </w:p>
    <w:p w14:paraId="406286C3" w14:textId="324066C9" w:rsidR="0004063A" w:rsidRDefault="006F4466" w:rsidP="0004063A">
      <w:pPr>
        <w:pStyle w:val="Numberedparagraph"/>
        <w:numPr>
          <w:ilvl w:val="1"/>
          <w:numId w:val="13"/>
        </w:numPr>
      </w:pPr>
      <w:r>
        <w:t>any limitation</w:t>
      </w:r>
      <w:r w:rsidR="0004063A">
        <w:t xml:space="preserve"> on</w:t>
      </w:r>
      <w:r>
        <w:t xml:space="preserve"> the right to</w:t>
      </w:r>
      <w:r w:rsidR="0004063A">
        <w:t xml:space="preserve"> </w:t>
      </w:r>
      <w:r>
        <w:t xml:space="preserve">have decisions </w:t>
      </w:r>
      <w:r w:rsidR="007C7678">
        <w:t xml:space="preserve">of the Mental Health Court and the Mental Health Review Tribunal </w:t>
      </w:r>
      <w:r>
        <w:t xml:space="preserve">publicly available is </w:t>
      </w:r>
      <w:r w:rsidR="0004063A">
        <w:t xml:space="preserve">justified. </w:t>
      </w:r>
    </w:p>
    <w:p w14:paraId="4936B61C" w14:textId="415D4A89" w:rsidR="007C2C44" w:rsidRDefault="007C2C44" w:rsidP="007C2C44">
      <w:pPr>
        <w:pStyle w:val="Heading1"/>
        <w:rPr>
          <w:lang w:eastAsia="en-AU"/>
        </w:rPr>
      </w:pPr>
      <w:bookmarkStart w:id="7" w:name="_Toc92452226"/>
      <w:r>
        <w:rPr>
          <w:lang w:eastAsia="en-AU"/>
        </w:rPr>
        <w:t>Hospital and Health Boards Act 2011</w:t>
      </w:r>
      <w:bookmarkEnd w:id="7"/>
    </w:p>
    <w:p w14:paraId="55289C06" w14:textId="23397337" w:rsidR="005076D8" w:rsidRDefault="00C00761" w:rsidP="005076D8">
      <w:pPr>
        <w:pStyle w:val="Heading2"/>
        <w:rPr>
          <w:lang w:eastAsia="en-AU"/>
        </w:rPr>
      </w:pPr>
      <w:bookmarkStart w:id="8" w:name="_Toc92452227"/>
      <w:r>
        <w:rPr>
          <w:lang w:eastAsia="en-AU"/>
        </w:rPr>
        <w:t>The Viewer</w:t>
      </w:r>
      <w:bookmarkEnd w:id="8"/>
    </w:p>
    <w:p w14:paraId="6A031F9F" w14:textId="247B976D" w:rsidR="0075267C" w:rsidRDefault="0075267C" w:rsidP="00826E15">
      <w:pPr>
        <w:pStyle w:val="Numberedparagraph"/>
      </w:pPr>
      <w:r>
        <w:t xml:space="preserve">The Viewer is a read-only, secure information system </w:t>
      </w:r>
      <w:r w:rsidR="00936461">
        <w:t xml:space="preserve">that </w:t>
      </w:r>
      <w:r>
        <w:t>displays a consolidated view of a patient’s clinical and demographic information collected as a result of their interactions with Queensland Health.</w:t>
      </w:r>
      <w:r w:rsidR="00123AFE">
        <w:t xml:space="preserve"> This information can include ‘radiology and pathology results, emergency department discharge summaries, medications and alerts, outpatient appointments, as well as instructions for a patient’s follow up treatment’.</w:t>
      </w:r>
      <w:r>
        <w:rPr>
          <w:rStyle w:val="FootnoteReference"/>
        </w:rPr>
        <w:footnoteReference w:id="17"/>
      </w:r>
      <w:r>
        <w:t xml:space="preserve"> </w:t>
      </w:r>
    </w:p>
    <w:p w14:paraId="40145A51" w14:textId="347B465F" w:rsidR="009A6175" w:rsidRDefault="0075267C" w:rsidP="00826E15">
      <w:pPr>
        <w:pStyle w:val="Numberedparagraph"/>
      </w:pPr>
      <w:r>
        <w:t>Section 161C of the HHB Act, inserted in 2016</w:t>
      </w:r>
      <w:r w:rsidR="00FB2AD3">
        <w:t>,</w:t>
      </w:r>
      <w:r>
        <w:rPr>
          <w:rStyle w:val="FootnoteReference"/>
        </w:rPr>
        <w:footnoteReference w:id="18"/>
      </w:r>
      <w:r>
        <w:t xml:space="preserve"> allow</w:t>
      </w:r>
      <w:r w:rsidR="00671572">
        <w:t xml:space="preserve">s </w:t>
      </w:r>
      <w:r>
        <w:t>for ‘prescribed health practitioners’ to access The Viewer.</w:t>
      </w:r>
      <w:r w:rsidR="00123AFE">
        <w:t xml:space="preserve"> The</w:t>
      </w:r>
      <w:r w:rsidR="00671572">
        <w:t xml:space="preserve">se practitioners are prescribed by the </w:t>
      </w:r>
      <w:r w:rsidR="00671572" w:rsidRPr="007C366D">
        <w:rPr>
          <w:i/>
        </w:rPr>
        <w:t>Hospital and Health Boards Regulation 2012</w:t>
      </w:r>
      <w:r w:rsidR="00671572">
        <w:t>, which lists health professionals registered under the Health Practitioner Regulation National Law.</w:t>
      </w:r>
      <w:r w:rsidR="00671572">
        <w:rPr>
          <w:rStyle w:val="FootnoteReference"/>
        </w:rPr>
        <w:footnoteReference w:id="19"/>
      </w:r>
      <w:r w:rsidR="00671572">
        <w:t xml:space="preserve"> </w:t>
      </w:r>
    </w:p>
    <w:p w14:paraId="4DE5F16C" w14:textId="78477BF5" w:rsidR="00123AFE" w:rsidRDefault="00612898" w:rsidP="00826E15">
      <w:pPr>
        <w:pStyle w:val="Numberedparagraph"/>
      </w:pPr>
      <w:r>
        <w:t>T</w:t>
      </w:r>
      <w:r w:rsidR="00123AFE">
        <w:t>he Bill proposes to expand access to The Viewer to ‘prescribed health professionals’, which would include allied health professionals not registered under the National Law</w:t>
      </w:r>
      <w:r w:rsidR="00936461">
        <w:t>,</w:t>
      </w:r>
      <w:r w:rsidR="00123AFE">
        <w:t xml:space="preserve"> but ‘are regulated in other ways’</w:t>
      </w:r>
      <w:r>
        <w:t>.</w:t>
      </w:r>
      <w:r>
        <w:rPr>
          <w:rStyle w:val="FootnoteReference"/>
        </w:rPr>
        <w:footnoteReference w:id="20"/>
      </w:r>
      <w:r w:rsidR="00123AFE">
        <w:t xml:space="preserve"> This is for the purpose of improving transfer of care from inpatient settings to community care. </w:t>
      </w:r>
    </w:p>
    <w:p w14:paraId="67808991" w14:textId="3CD5AE3A" w:rsidR="00612898" w:rsidRDefault="00612898" w:rsidP="00826E15">
      <w:pPr>
        <w:pStyle w:val="Numberedparagraph"/>
      </w:pPr>
      <w:r>
        <w:t xml:space="preserve">The Bill itself does not </w:t>
      </w:r>
      <w:r w:rsidR="00A06D40">
        <w:t xml:space="preserve">articulate </w:t>
      </w:r>
      <w:r>
        <w:t>the</w:t>
      </w:r>
      <w:r w:rsidR="00A06D40">
        <w:t xml:space="preserve"> expanded</w:t>
      </w:r>
      <w:r>
        <w:t xml:space="preserve"> categories of people with access to </w:t>
      </w:r>
      <w:r w:rsidR="00936461">
        <w:t>T</w:t>
      </w:r>
      <w:r>
        <w:t>he Viewer; this is a matter for regulation. However, the Explanatory Notes state:</w:t>
      </w:r>
    </w:p>
    <w:p w14:paraId="2DFD16BC" w14:textId="642F1395" w:rsidR="00612898" w:rsidRDefault="00612898" w:rsidP="00826E15">
      <w:pPr>
        <w:pStyle w:val="Numberedparagraph"/>
        <w:numPr>
          <w:ilvl w:val="0"/>
          <w:numId w:val="0"/>
        </w:numPr>
        <w:ind w:left="1440"/>
      </w:pPr>
      <w:r w:rsidRPr="007C7678">
        <w:t>It is intended to prescribe audiologists, social workers, dietitians,</w:t>
      </w:r>
      <w:r>
        <w:t xml:space="preserve"> speech pathologists, exercise physiologists, orthoptists, and orthotists and prosthetists as relevant health professionals.</w:t>
      </w:r>
    </w:p>
    <w:p w14:paraId="1A341C5D" w14:textId="2CF094D3" w:rsidR="00123AFE" w:rsidRDefault="00612898" w:rsidP="00826E15">
      <w:pPr>
        <w:pStyle w:val="Numberedparagraph"/>
        <w:numPr>
          <w:ilvl w:val="0"/>
          <w:numId w:val="0"/>
        </w:numPr>
        <w:ind w:left="567"/>
      </w:pPr>
      <w:r>
        <w:lastRenderedPageBreak/>
        <w:t>The regulation will also list the health professional’s qualification requirements.</w:t>
      </w:r>
      <w:r>
        <w:rPr>
          <w:rStyle w:val="FootnoteReference"/>
        </w:rPr>
        <w:footnoteReference w:id="21"/>
      </w:r>
      <w:r>
        <w:t xml:space="preserve"> </w:t>
      </w:r>
    </w:p>
    <w:p w14:paraId="41010FC1" w14:textId="03C9D0FC" w:rsidR="00344906" w:rsidRDefault="00344906" w:rsidP="00826E15">
      <w:pPr>
        <w:pStyle w:val="Numberedparagraph"/>
      </w:pPr>
      <w:r>
        <w:t>Information on The Viewer can only be accessed if necessary, or incidental, to facilitate the care or treatment of the individual</w:t>
      </w:r>
      <w:r w:rsidR="005076D8">
        <w:t>, and is otherwise an offence.</w:t>
      </w:r>
      <w:r w:rsidR="005076D8">
        <w:rPr>
          <w:rStyle w:val="FootnoteReference"/>
        </w:rPr>
        <w:footnoteReference w:id="22"/>
      </w:r>
      <w:r w:rsidR="005076D8">
        <w:t xml:space="preserve"> This restriction would remain the same for all prescribed health professionals under the Bill. </w:t>
      </w:r>
    </w:p>
    <w:p w14:paraId="2D5E1304" w14:textId="0041CE01" w:rsidR="005076D8" w:rsidRPr="006A245C" w:rsidRDefault="005076D8" w:rsidP="006A245C">
      <w:pPr>
        <w:spacing w:after="240"/>
        <w:rPr>
          <w:rFonts w:ascii="Arial" w:hAnsi="Arial" w:cs="Arial"/>
          <w:b/>
        </w:rPr>
      </w:pPr>
      <w:bookmarkStart w:id="9" w:name="_Toc92208937"/>
      <w:r w:rsidRPr="006A245C">
        <w:rPr>
          <w:rFonts w:ascii="Arial" w:hAnsi="Arial" w:cs="Arial"/>
          <w:b/>
        </w:rPr>
        <w:t>Right to privacy and safeguards</w:t>
      </w:r>
      <w:bookmarkEnd w:id="9"/>
    </w:p>
    <w:p w14:paraId="69A11844" w14:textId="74724FF9" w:rsidR="005076D8" w:rsidRDefault="00344906" w:rsidP="00F4789F">
      <w:pPr>
        <w:pStyle w:val="Numberedparagraph"/>
      </w:pPr>
      <w:r>
        <w:t xml:space="preserve">Section 25 of the HR Act protects a person from arbitrary or unlawful interference with their privacy. </w:t>
      </w:r>
      <w:r w:rsidR="00055FD6">
        <w:t xml:space="preserve">The collection, use and disclosure of private information has the potential to limit this right. </w:t>
      </w:r>
      <w:r w:rsidR="00F4789F">
        <w:t xml:space="preserve">In particular, the Commission holds concerns regarding access to sensitive medical information </w:t>
      </w:r>
      <w:r w:rsidR="001C0294">
        <w:t>without the individual’s knowledge,</w:t>
      </w:r>
      <w:r w:rsidR="00F4789F">
        <w:t xml:space="preserve"> that could </w:t>
      </w:r>
      <w:r w:rsidR="001C0294">
        <w:t xml:space="preserve">contribute to </w:t>
      </w:r>
      <w:r w:rsidR="00185F33">
        <w:t xml:space="preserve">stigma </w:t>
      </w:r>
      <w:r w:rsidR="00F4789F">
        <w:t xml:space="preserve">and </w:t>
      </w:r>
      <w:r w:rsidR="00C27B77">
        <w:t xml:space="preserve">conscious or </w:t>
      </w:r>
      <w:r w:rsidR="00F4789F">
        <w:t>u</w:t>
      </w:r>
      <w:r w:rsidR="00F4789F" w:rsidRPr="00F4789F">
        <w:t>nconscious bias</w:t>
      </w:r>
      <w:r w:rsidR="00F4789F">
        <w:t xml:space="preserve"> in health service delivery</w:t>
      </w:r>
      <w:r w:rsidR="00F4789F" w:rsidRPr="00F4789F">
        <w:t>.</w:t>
      </w:r>
    </w:p>
    <w:p w14:paraId="55A4E36D" w14:textId="435247D3" w:rsidR="00E723C8" w:rsidRDefault="00F4789F" w:rsidP="00F4789F">
      <w:pPr>
        <w:pStyle w:val="Numberedparagraph"/>
      </w:pPr>
      <w:r>
        <w:t xml:space="preserve">While the purpose of allowing access to </w:t>
      </w:r>
      <w:r w:rsidR="00936461">
        <w:t>T</w:t>
      </w:r>
      <w:r>
        <w:t xml:space="preserve">he Viewer by health professionals outside of Queensland Health may be a legitimate purpose, it should still be done in the least restrictive way. This means ensuring that there are adequate procedural safeguards against unauthorised access and disclosure. </w:t>
      </w:r>
      <w:r w:rsidR="0093160F">
        <w:t>Further, the person to whom the information belongs should be made aware of who else may have access to that information, and as far as possible, be able to control who can access their information.</w:t>
      </w:r>
      <w:r w:rsidR="00055FD6">
        <w:rPr>
          <w:rStyle w:val="FootnoteReference"/>
        </w:rPr>
        <w:footnoteReference w:id="23"/>
      </w:r>
      <w:r w:rsidR="0093160F">
        <w:t xml:space="preserve"> These responsibilities are consistent with</w:t>
      </w:r>
      <w:r w:rsidR="00F363D9">
        <w:t xml:space="preserve"> the</w:t>
      </w:r>
      <w:r w:rsidR="00E723C8">
        <w:t>:</w:t>
      </w:r>
    </w:p>
    <w:p w14:paraId="0EBFA45C" w14:textId="2832DDE7" w:rsidR="00C92F0C" w:rsidRDefault="0093160F" w:rsidP="007C7678">
      <w:pPr>
        <w:pStyle w:val="Numberedparagraph"/>
        <w:numPr>
          <w:ilvl w:val="1"/>
          <w:numId w:val="13"/>
        </w:numPr>
      </w:pPr>
      <w:r>
        <w:t>National Privacy Principles</w:t>
      </w:r>
      <w:r w:rsidR="009D060F">
        <w:t xml:space="preserve">, which apply to Queensland Health and Hospital and Health Services, </w:t>
      </w:r>
      <w:r w:rsidR="00936461">
        <w:t xml:space="preserve">as </w:t>
      </w:r>
      <w:r>
        <w:t xml:space="preserve">set out in the </w:t>
      </w:r>
      <w:r w:rsidRPr="0093160F">
        <w:rPr>
          <w:i/>
        </w:rPr>
        <w:t>Information Privacy Act 2009</w:t>
      </w:r>
      <w:r>
        <w:t xml:space="preserve"> (Qld)</w:t>
      </w:r>
      <w:r w:rsidR="00E723C8">
        <w:t xml:space="preserve">; </w:t>
      </w:r>
      <w:r w:rsidR="00F461E3">
        <w:rPr>
          <w:rStyle w:val="FootnoteReference"/>
        </w:rPr>
        <w:footnoteReference w:id="24"/>
      </w:r>
      <w:r w:rsidR="00E723C8">
        <w:t xml:space="preserve"> and </w:t>
      </w:r>
    </w:p>
    <w:p w14:paraId="216CB02D" w14:textId="04AF60BC" w:rsidR="00E723C8" w:rsidRDefault="00E723C8" w:rsidP="007C7678">
      <w:pPr>
        <w:pStyle w:val="Numberedparagraph"/>
        <w:numPr>
          <w:ilvl w:val="1"/>
          <w:numId w:val="13"/>
        </w:numPr>
      </w:pPr>
      <w:r>
        <w:t xml:space="preserve">Australian Privacy Principles, which apply to health service providers, </w:t>
      </w:r>
      <w:r w:rsidR="00936461">
        <w:t xml:space="preserve">as </w:t>
      </w:r>
      <w:r>
        <w:t xml:space="preserve">set out under the </w:t>
      </w:r>
      <w:r w:rsidRPr="00E723C8">
        <w:rPr>
          <w:i/>
        </w:rPr>
        <w:t>Privacy Act 1988</w:t>
      </w:r>
      <w:r>
        <w:t xml:space="preserve"> (Cth).</w:t>
      </w:r>
      <w:r>
        <w:rPr>
          <w:rStyle w:val="FootnoteReference"/>
        </w:rPr>
        <w:footnoteReference w:id="25"/>
      </w:r>
      <w:r>
        <w:t xml:space="preserve">  </w:t>
      </w:r>
    </w:p>
    <w:p w14:paraId="3CAF46CC" w14:textId="258DF88E" w:rsidR="00242E6B" w:rsidRDefault="00242E6B" w:rsidP="00826E15">
      <w:pPr>
        <w:pStyle w:val="Numberedparagraph"/>
      </w:pPr>
      <w:r>
        <w:t xml:space="preserve">It is important that any additional allied health professionals included in regulations to access to The Viewer are covered by the Australian Privacy Principles. The list of providers set out in the Explanatory Notes </w:t>
      </w:r>
      <w:r w:rsidR="00BA32BA">
        <w:t>appear</w:t>
      </w:r>
      <w:r w:rsidR="00F363D9">
        <w:t>s</w:t>
      </w:r>
      <w:r>
        <w:t xml:space="preserve"> </w:t>
      </w:r>
      <w:r>
        <w:lastRenderedPageBreak/>
        <w:t>to meet the broad definition of providers of health services set out in s</w:t>
      </w:r>
      <w:r w:rsidR="00936461">
        <w:t>ection</w:t>
      </w:r>
      <w:r>
        <w:t xml:space="preserve"> 6FB of the Commonwealth </w:t>
      </w:r>
      <w:r w:rsidRPr="00242E6B">
        <w:rPr>
          <w:i/>
        </w:rPr>
        <w:t>Privacy Act 1998</w:t>
      </w:r>
      <w:r>
        <w:t>.</w:t>
      </w:r>
      <w:r>
        <w:rPr>
          <w:rStyle w:val="FootnoteReference"/>
        </w:rPr>
        <w:footnoteReference w:id="26"/>
      </w:r>
      <w:r>
        <w:t xml:space="preserve"> </w:t>
      </w:r>
    </w:p>
    <w:p w14:paraId="02F71A09" w14:textId="36300A60" w:rsidR="00547AD6" w:rsidRPr="00F3739C" w:rsidRDefault="00F4789F" w:rsidP="00826E15">
      <w:pPr>
        <w:pStyle w:val="Numberedparagraph"/>
      </w:pPr>
      <w:r>
        <w:t>A person with access to The Viewer</w:t>
      </w:r>
      <w:r w:rsidR="00547AD6">
        <w:t xml:space="preserve"> should also be </w:t>
      </w:r>
      <w:r w:rsidR="008C0AAF">
        <w:t xml:space="preserve">a health service </w:t>
      </w:r>
      <w:r w:rsidR="00547AD6">
        <w:t xml:space="preserve">within </w:t>
      </w:r>
      <w:r w:rsidR="00547AD6" w:rsidRPr="00F3739C">
        <w:t>the scope of authority of the Health Ombudsman</w:t>
      </w:r>
      <w:r w:rsidR="005E124C">
        <w:t>,</w:t>
      </w:r>
      <w:r w:rsidR="00547AD6" w:rsidRPr="00F3739C">
        <w:t xml:space="preserve"> who can</w:t>
      </w:r>
      <w:r w:rsidR="008C0AAF" w:rsidRPr="00F3739C">
        <w:t xml:space="preserve"> also receive complaints for breaches of privacy against registered and unregistered health service providers</w:t>
      </w:r>
      <w:r w:rsidR="00547AD6" w:rsidRPr="00F3739C">
        <w:t>.</w:t>
      </w:r>
      <w:r w:rsidR="008C0AAF" w:rsidRPr="00F3739C">
        <w:rPr>
          <w:rStyle w:val="FootnoteReference"/>
        </w:rPr>
        <w:footnoteReference w:id="27"/>
      </w:r>
      <w:r w:rsidR="00547AD6" w:rsidRPr="00F3739C">
        <w:t xml:space="preserve"> </w:t>
      </w:r>
    </w:p>
    <w:p w14:paraId="100192DC" w14:textId="0367A7AA" w:rsidR="00F3739C" w:rsidRPr="00F3739C" w:rsidRDefault="00F4789F" w:rsidP="00F92CFB">
      <w:pPr>
        <w:pStyle w:val="Numberedparagraph"/>
      </w:pPr>
      <w:r w:rsidRPr="00F3739C">
        <w:t>T</w:t>
      </w:r>
      <w:r w:rsidR="00AC74B2" w:rsidRPr="00F3739C">
        <w:t>he Explanatory Note to the 2016 Bill</w:t>
      </w:r>
      <w:r w:rsidRPr="00F3739C">
        <w:t>,</w:t>
      </w:r>
      <w:r w:rsidR="00AC74B2" w:rsidRPr="00F3739C">
        <w:t xml:space="preserve"> which introduced external access to The Viewer</w:t>
      </w:r>
      <w:r w:rsidRPr="00F3739C">
        <w:t>,</w:t>
      </w:r>
      <w:r w:rsidR="00AC74B2" w:rsidRPr="00F3739C">
        <w:t xml:space="preserve"> </w:t>
      </w:r>
      <w:r w:rsidR="00ED13EC" w:rsidRPr="00F3739C">
        <w:t xml:space="preserve">envisaged </w:t>
      </w:r>
      <w:r w:rsidRPr="00F3739C">
        <w:t xml:space="preserve">further </w:t>
      </w:r>
      <w:r w:rsidR="00ED13EC" w:rsidRPr="00F3739C">
        <w:t>conditions on accessing The Viewer to be prescribed by regulation</w:t>
      </w:r>
      <w:r w:rsidRPr="00F3739C">
        <w:t xml:space="preserve">. The example given was </w:t>
      </w:r>
      <w:r w:rsidR="00ED13EC" w:rsidRPr="00F3739C">
        <w:t>‘the health practitioner must not access information for persons to whom the health practitioner has not provided care or treatment and access being subject to a direction by the patient to whom the information relates that no health practitioner can access that information’.</w:t>
      </w:r>
      <w:r w:rsidR="00ED13EC" w:rsidRPr="00F3739C">
        <w:rPr>
          <w:rStyle w:val="FootnoteReference"/>
        </w:rPr>
        <w:footnoteReference w:id="28"/>
      </w:r>
      <w:r w:rsidR="00ED13EC" w:rsidRPr="00F3739C">
        <w:t xml:space="preserve"> </w:t>
      </w:r>
      <w:r w:rsidR="00F92CFB" w:rsidRPr="00F3739C">
        <w:t>No r</w:t>
      </w:r>
      <w:r w:rsidR="00ED13EC" w:rsidRPr="00F3739C">
        <w:t>egulations have been made</w:t>
      </w:r>
      <w:r w:rsidR="00F92CFB" w:rsidRPr="00F3739C">
        <w:t xml:space="preserve">. </w:t>
      </w:r>
      <w:r w:rsidR="00F3739C" w:rsidRPr="00F3739C">
        <w:t xml:space="preserve">It might be necessary to consult with </w:t>
      </w:r>
      <w:r w:rsidR="00870B93">
        <w:t xml:space="preserve">appropriate bodies, such as those </w:t>
      </w:r>
      <w:r w:rsidR="00F3739C" w:rsidRPr="00F3739C">
        <w:t xml:space="preserve">that deal with health privacy complaints, as to whether or not further conditions are necessary to safeguard patient privacy. </w:t>
      </w:r>
    </w:p>
    <w:p w14:paraId="3A45334D" w14:textId="497E921A" w:rsidR="00BA32BA" w:rsidRDefault="00BA32BA" w:rsidP="00826E15">
      <w:pPr>
        <w:pStyle w:val="Numberedparagraph"/>
      </w:pPr>
      <w:r>
        <w:t>Other steps Queensland Health could take</w:t>
      </w:r>
      <w:r w:rsidR="00ED13EC">
        <w:t>, outside of legislative amendment,</w:t>
      </w:r>
      <w:r>
        <w:t xml:space="preserve"> to </w:t>
      </w:r>
      <w:r w:rsidR="00AC74B2">
        <w:t>ensure the right to privacy are:</w:t>
      </w:r>
    </w:p>
    <w:p w14:paraId="3DBBFE34" w14:textId="5769F70E" w:rsidR="00BF46CF" w:rsidRDefault="005E124C" w:rsidP="007C7678">
      <w:pPr>
        <w:pStyle w:val="Numberedparagraph"/>
        <w:numPr>
          <w:ilvl w:val="1"/>
          <w:numId w:val="13"/>
        </w:numPr>
      </w:pPr>
      <w:r>
        <w:t>p</w:t>
      </w:r>
      <w:r w:rsidR="00BF46CF">
        <w:t>roviding policy guidance for prescribed health professionals on privacy obligations in relation to The Viewer, including reference to the Australian Privacy Principles and the Criminal Code;</w:t>
      </w:r>
    </w:p>
    <w:p w14:paraId="1B0237B9" w14:textId="52371F4E" w:rsidR="00547AD6" w:rsidRDefault="005E124C" w:rsidP="007C7678">
      <w:pPr>
        <w:pStyle w:val="Numberedparagraph"/>
        <w:numPr>
          <w:ilvl w:val="1"/>
          <w:numId w:val="13"/>
        </w:numPr>
      </w:pPr>
      <w:r>
        <w:t>p</w:t>
      </w:r>
      <w:r w:rsidR="00BF46CF">
        <w:t>rovid</w:t>
      </w:r>
      <w:r>
        <w:t>ing</w:t>
      </w:r>
      <w:r w:rsidR="00BF46CF">
        <w:t xml:space="preserve"> confidential information access and privacy training</w:t>
      </w:r>
      <w:r w:rsidR="00AC74B2">
        <w:t xml:space="preserve"> and/or resources for prescribed health professionals</w:t>
      </w:r>
      <w:r w:rsidR="00BF46CF">
        <w:t>;</w:t>
      </w:r>
    </w:p>
    <w:p w14:paraId="2D2E127E" w14:textId="7AE2C3A4" w:rsidR="00F92CFB" w:rsidRDefault="005E124C" w:rsidP="007C7678">
      <w:pPr>
        <w:pStyle w:val="Numberedparagraph"/>
        <w:numPr>
          <w:ilvl w:val="1"/>
          <w:numId w:val="13"/>
        </w:numPr>
      </w:pPr>
      <w:r>
        <w:t>i</w:t>
      </w:r>
      <w:r w:rsidR="00870B93">
        <w:t>nvestigating whether</w:t>
      </w:r>
      <w:r w:rsidR="00F92CFB">
        <w:t xml:space="preserve"> </w:t>
      </w:r>
      <w:r>
        <w:t>T</w:t>
      </w:r>
      <w:r w:rsidR="00F92CFB">
        <w:t>he Viewer has the capability to restrict access to information by certain providers and/or to certain information, at the direction of the patient;</w:t>
      </w:r>
      <w:r w:rsidR="00F92CFB">
        <w:rPr>
          <w:rStyle w:val="FootnoteReference"/>
        </w:rPr>
        <w:footnoteReference w:id="29"/>
      </w:r>
    </w:p>
    <w:p w14:paraId="4EAFEF02" w14:textId="20FFEE6D" w:rsidR="00BF46CF" w:rsidRDefault="005E124C" w:rsidP="007C7678">
      <w:pPr>
        <w:pStyle w:val="Numberedparagraph"/>
        <w:numPr>
          <w:ilvl w:val="1"/>
          <w:numId w:val="13"/>
        </w:numPr>
      </w:pPr>
      <w:r>
        <w:t>p</w:t>
      </w:r>
      <w:r w:rsidR="00BF46CF">
        <w:t>rivacy awareness campaigns for both providers and patients</w:t>
      </w:r>
      <w:r>
        <w:t xml:space="preserve"> – p</w:t>
      </w:r>
      <w:r w:rsidR="00BF46CF">
        <w:t xml:space="preserve">atients </w:t>
      </w:r>
      <w:r w:rsidR="00A1368B">
        <w:t xml:space="preserve">should, as far as possible, be </w:t>
      </w:r>
      <w:r w:rsidR="00BF46CF">
        <w:t xml:space="preserve">aware of </w:t>
      </w:r>
      <w:r w:rsidR="00A1368B">
        <w:t xml:space="preserve">who may have access </w:t>
      </w:r>
      <w:r w:rsidR="00BF46CF">
        <w:lastRenderedPageBreak/>
        <w:t xml:space="preserve">to their Queensland Health records and </w:t>
      </w:r>
      <w:r w:rsidR="00AC6E99">
        <w:t xml:space="preserve">their </w:t>
      </w:r>
      <w:r w:rsidR="00BF46CF">
        <w:t xml:space="preserve">options for restricting access </w:t>
      </w:r>
      <w:r w:rsidR="00AC6E99">
        <w:t>if they wish</w:t>
      </w:r>
      <w:r w:rsidR="00BF46CF">
        <w:t>.</w:t>
      </w:r>
      <w:r w:rsidR="00AC6E99">
        <w:rPr>
          <w:rStyle w:val="FootnoteReference"/>
        </w:rPr>
        <w:footnoteReference w:id="30"/>
      </w:r>
      <w:r w:rsidR="00BF46CF">
        <w:t xml:space="preserve"> </w:t>
      </w:r>
    </w:p>
    <w:p w14:paraId="1B0BBE0B" w14:textId="6D0AA601" w:rsidR="00F92CFB" w:rsidRDefault="00AA1E20" w:rsidP="00AA1E20">
      <w:pPr>
        <w:pStyle w:val="Heading1"/>
      </w:pPr>
      <w:bookmarkStart w:id="10" w:name="_Toc92452228"/>
      <w:r>
        <w:t>Conclusion</w:t>
      </w:r>
      <w:bookmarkEnd w:id="10"/>
    </w:p>
    <w:p w14:paraId="1FE6DCA7" w14:textId="3BF9EEAA" w:rsidR="00AA1E20" w:rsidRDefault="00AA1E20" w:rsidP="00AA1E20">
      <w:pPr>
        <w:pStyle w:val="Numberedparagraph"/>
      </w:pPr>
      <w:r>
        <w:t xml:space="preserve">In </w:t>
      </w:r>
      <w:r w:rsidR="006A245C">
        <w:t>summary</w:t>
      </w:r>
      <w:r>
        <w:t>, the Commission recommends:</w:t>
      </w:r>
    </w:p>
    <w:p w14:paraId="717E2C9A" w14:textId="0A7F0A49" w:rsidR="00AA1E20" w:rsidRDefault="006A245C" w:rsidP="00AA1E20">
      <w:pPr>
        <w:pStyle w:val="Numberedparagraph"/>
      </w:pPr>
      <w:r>
        <w:t>The</w:t>
      </w:r>
      <w:r w:rsidR="00AA1E20">
        <w:t xml:space="preserve"> current framework for people found unfit for trial under the MH Act </w:t>
      </w:r>
      <w:r>
        <w:t xml:space="preserve">be reconsidered </w:t>
      </w:r>
      <w:r w:rsidR="00AA1E20">
        <w:t>so that</w:t>
      </w:r>
      <w:r>
        <w:t>:</w:t>
      </w:r>
      <w:r w:rsidR="00AA1E20">
        <w:t xml:space="preserve"> </w:t>
      </w:r>
    </w:p>
    <w:p w14:paraId="1081F494" w14:textId="77777777" w:rsidR="00AA1E20" w:rsidRPr="00AA1E20" w:rsidRDefault="00AA1E20" w:rsidP="00AA1E20">
      <w:pPr>
        <w:pStyle w:val="ListParagraph"/>
        <w:numPr>
          <w:ilvl w:val="0"/>
          <w:numId w:val="36"/>
        </w:numPr>
        <w:spacing w:after="160" w:line="259" w:lineRule="auto"/>
        <w:rPr>
          <w:rFonts w:ascii="Arial" w:hAnsi="Arial" w:cs="Arial"/>
        </w:rPr>
      </w:pPr>
      <w:r w:rsidRPr="00AA1E20">
        <w:rPr>
          <w:rFonts w:ascii="Arial" w:hAnsi="Arial" w:cs="Arial"/>
        </w:rPr>
        <w:t>disputes of fact are resolved in a timely way, even where the person is found unfit for trial, and which allow for the person to be found not guilty;</w:t>
      </w:r>
    </w:p>
    <w:p w14:paraId="64908324" w14:textId="77777777" w:rsidR="00AA1E20" w:rsidRPr="00AA1E20" w:rsidRDefault="00AA1E20" w:rsidP="00AA1E20">
      <w:pPr>
        <w:pStyle w:val="Numberedparagraph"/>
        <w:numPr>
          <w:ilvl w:val="0"/>
          <w:numId w:val="36"/>
        </w:numPr>
      </w:pPr>
      <w:r w:rsidRPr="00AA1E20">
        <w:t xml:space="preserve">the length of time a person can be found temporarily unfit for trial strikes the appropriate balance between allowing the person sufficient time to receive treatment and support to become fit for trial, and to have criminal charges dealt with without unreasonable delay; </w:t>
      </w:r>
    </w:p>
    <w:p w14:paraId="1703F0D2" w14:textId="75A8B33C" w:rsidR="00AA1E20" w:rsidRPr="00AA1E20" w:rsidRDefault="006A245C" w:rsidP="00AA1E20">
      <w:pPr>
        <w:pStyle w:val="Numberedparagraph"/>
        <w:numPr>
          <w:ilvl w:val="0"/>
          <w:numId w:val="36"/>
        </w:numPr>
      </w:pPr>
      <w:r>
        <w:t>w</w:t>
      </w:r>
      <w:r w:rsidR="00AA1E20" w:rsidRPr="00AA1E20">
        <w:t xml:space="preserve">here a person is unfit for trial, a determination regarding </w:t>
      </w:r>
      <w:r w:rsidR="005E124C">
        <w:t xml:space="preserve">a </w:t>
      </w:r>
      <w:r w:rsidR="00AA1E20" w:rsidRPr="00AA1E20">
        <w:t>dispute of facts under s 117</w:t>
      </w:r>
      <w:r w:rsidR="005E124C">
        <w:t>,</w:t>
      </w:r>
      <w:r w:rsidR="00AA1E20" w:rsidRPr="00AA1E20">
        <w:t xml:space="preserve"> or proposed s 117A</w:t>
      </w:r>
      <w:r w:rsidR="005E124C">
        <w:t>,</w:t>
      </w:r>
      <w:r w:rsidR="00AA1E20" w:rsidRPr="00AA1E20">
        <w:t xml:space="preserve"> of the MH Act is clearly recorded and taken into account when making, reviewing</w:t>
      </w:r>
      <w:r w:rsidR="005E124C">
        <w:t>,</w:t>
      </w:r>
      <w:r w:rsidR="00AA1E20" w:rsidRPr="00AA1E20">
        <w:t xml:space="preserve"> and implementing involuntary orders. </w:t>
      </w:r>
    </w:p>
    <w:p w14:paraId="0D3A5B9E" w14:textId="6C25422A" w:rsidR="00AA1E20" w:rsidRDefault="006A245C" w:rsidP="00AA1E20">
      <w:pPr>
        <w:pStyle w:val="Numberedparagraph"/>
      </w:pPr>
      <w:r>
        <w:t>A</w:t>
      </w:r>
      <w:r w:rsidR="00AA1E20">
        <w:t xml:space="preserve">mendment of sections 790 and 791 of the MH Act, which prohibit the publication of </w:t>
      </w:r>
      <w:r>
        <w:t xml:space="preserve">certain information relating to matters before </w:t>
      </w:r>
      <w:r w:rsidR="00AA1E20">
        <w:t>the Mental Health Court and the Mental Health Review Tribunal</w:t>
      </w:r>
      <w:r>
        <w:t>,</w:t>
      </w:r>
      <w:r w:rsidR="00AA1E20">
        <w:t xml:space="preserve"> to ensure: </w:t>
      </w:r>
    </w:p>
    <w:p w14:paraId="12D98023" w14:textId="24EF9E76" w:rsidR="00AA1E20" w:rsidRDefault="00AA1E20" w:rsidP="00AA1E20">
      <w:pPr>
        <w:pStyle w:val="Numberedparagraph"/>
        <w:numPr>
          <w:ilvl w:val="1"/>
          <w:numId w:val="13"/>
        </w:numPr>
      </w:pPr>
      <w:r>
        <w:t xml:space="preserve">the person to whom the information relates is not limited </w:t>
      </w:r>
      <w:r w:rsidR="005E124C">
        <w:t xml:space="preserve">in </w:t>
      </w:r>
      <w:r>
        <w:t>using and disclosing their own information</w:t>
      </w:r>
      <w:r w:rsidR="005E124C">
        <w:t>;</w:t>
      </w:r>
    </w:p>
    <w:p w14:paraId="3D1579FC" w14:textId="77777777" w:rsidR="00AA1E20" w:rsidRDefault="00AA1E20" w:rsidP="00AA1E20">
      <w:pPr>
        <w:pStyle w:val="Numberedparagraph"/>
        <w:numPr>
          <w:ilvl w:val="1"/>
          <w:numId w:val="13"/>
        </w:numPr>
      </w:pPr>
      <w:r>
        <w:t>the person’s privacy is sufficiently protected;</w:t>
      </w:r>
    </w:p>
    <w:p w14:paraId="7BF58605" w14:textId="77777777" w:rsidR="00AA1E20" w:rsidRDefault="00AA1E20" w:rsidP="00AA1E20">
      <w:pPr>
        <w:pStyle w:val="Numberedparagraph"/>
        <w:numPr>
          <w:ilvl w:val="1"/>
          <w:numId w:val="13"/>
        </w:numPr>
      </w:pPr>
      <w:r>
        <w:t>clarity regarding the meaning of ‘report of a proceeding’, and when this information can be shared in private; and</w:t>
      </w:r>
    </w:p>
    <w:p w14:paraId="152366FA" w14:textId="77777777" w:rsidR="00AA1E20" w:rsidRDefault="00AA1E20" w:rsidP="00AA1E20">
      <w:pPr>
        <w:pStyle w:val="Numberedparagraph"/>
        <w:numPr>
          <w:ilvl w:val="1"/>
          <w:numId w:val="13"/>
        </w:numPr>
      </w:pPr>
      <w:r>
        <w:t xml:space="preserve">any limitation on the right to have decisions of the Mental Health Court and the Mental Health Review Tribunal publicly available is justified. </w:t>
      </w:r>
    </w:p>
    <w:p w14:paraId="0A3253B9" w14:textId="0A16C420" w:rsidR="00AA1E20" w:rsidRDefault="00AA1E20" w:rsidP="00AA1E20">
      <w:pPr>
        <w:pStyle w:val="Numberedparagraph"/>
      </w:pPr>
      <w:r>
        <w:t xml:space="preserve">In relation to amendments to the HHB Act that expand the categories of health professionals </w:t>
      </w:r>
      <w:r w:rsidR="006A245C">
        <w:t xml:space="preserve">who have </w:t>
      </w:r>
      <w:r>
        <w:t xml:space="preserve">access to </w:t>
      </w:r>
      <w:r w:rsidR="00A84240">
        <w:t>T</w:t>
      </w:r>
      <w:r>
        <w:t>he Viewer:</w:t>
      </w:r>
    </w:p>
    <w:p w14:paraId="47C29DF3" w14:textId="3A4C5A39" w:rsidR="00AA1E20" w:rsidRDefault="00AA1E20" w:rsidP="00AA1E20">
      <w:pPr>
        <w:pStyle w:val="Numberedparagraph"/>
        <w:numPr>
          <w:ilvl w:val="1"/>
          <w:numId w:val="13"/>
        </w:numPr>
      </w:pPr>
      <w:r>
        <w:lastRenderedPageBreak/>
        <w:t xml:space="preserve">ensuring that people with access to </w:t>
      </w:r>
      <w:r w:rsidR="00A84240">
        <w:t>T</w:t>
      </w:r>
      <w:r>
        <w:t>he Viewer are subject to appropriate safeguards and oversight, such as the Australian Privacy Principles and the Health Ombudsman;</w:t>
      </w:r>
    </w:p>
    <w:p w14:paraId="10324088" w14:textId="5E8D8341" w:rsidR="00AA1E20" w:rsidRDefault="00AA1E20" w:rsidP="00AA1E20">
      <w:pPr>
        <w:pStyle w:val="Numberedparagraph"/>
        <w:numPr>
          <w:ilvl w:val="1"/>
          <w:numId w:val="13"/>
        </w:numPr>
      </w:pPr>
      <w:r>
        <w:t>consult</w:t>
      </w:r>
      <w:r w:rsidR="00A84240">
        <w:t>ing</w:t>
      </w:r>
      <w:r>
        <w:t xml:space="preserve"> with appropriate bodies to determine whether further conditions on accessing </w:t>
      </w:r>
      <w:r w:rsidR="00A84240">
        <w:t>T</w:t>
      </w:r>
      <w:r>
        <w:t xml:space="preserve">he Viewer are necessary, either in legislation or by regulation, to protect patient privacy; </w:t>
      </w:r>
    </w:p>
    <w:p w14:paraId="410D8B32" w14:textId="427B73B3" w:rsidR="00AA1E20" w:rsidRDefault="00AA1E20" w:rsidP="006A245C">
      <w:pPr>
        <w:pStyle w:val="Numberedparagraph"/>
        <w:numPr>
          <w:ilvl w:val="1"/>
          <w:numId w:val="13"/>
        </w:numPr>
      </w:pPr>
      <w:r>
        <w:t>while not a matter for legislative amendment, that Queensland Health provide policy guidance, training</w:t>
      </w:r>
      <w:r w:rsidR="00154F98">
        <w:t>,</w:t>
      </w:r>
      <w:r>
        <w:t xml:space="preserve"> and resources for prescribed health professionals with access to </w:t>
      </w:r>
      <w:r w:rsidR="00154F98">
        <w:t>T</w:t>
      </w:r>
      <w:r>
        <w:t xml:space="preserve">he Viewer, and </w:t>
      </w:r>
      <w:r w:rsidR="006A245C">
        <w:t xml:space="preserve">ensure patients, </w:t>
      </w:r>
      <w:r>
        <w:t xml:space="preserve">as far as possible, </w:t>
      </w:r>
      <w:r w:rsidR="006A245C">
        <w:t xml:space="preserve">are </w:t>
      </w:r>
      <w:r>
        <w:t xml:space="preserve">aware of who may have access to their information in </w:t>
      </w:r>
      <w:r w:rsidR="00154F98">
        <w:t>T</w:t>
      </w:r>
      <w:r>
        <w:t xml:space="preserve">he Viewer and the extent to which they are able to control </w:t>
      </w:r>
      <w:r w:rsidR="006A245C">
        <w:t>who can access that information.</w:t>
      </w:r>
      <w:r>
        <w:t xml:space="preserve"> </w:t>
      </w:r>
    </w:p>
    <w:p w14:paraId="7AA3BDA4" w14:textId="06A4DFD8" w:rsidR="00500633" w:rsidRDefault="00500633" w:rsidP="00826E15">
      <w:pPr>
        <w:pStyle w:val="Numberedparagraph"/>
        <w:numPr>
          <w:ilvl w:val="0"/>
          <w:numId w:val="0"/>
        </w:numPr>
        <w:ind w:left="567"/>
      </w:pPr>
    </w:p>
    <w:p w14:paraId="6E711DF3" w14:textId="77777777" w:rsidR="00500633" w:rsidRPr="007C2C44" w:rsidRDefault="00500633" w:rsidP="00826E15">
      <w:pPr>
        <w:pStyle w:val="Numberedparagraph"/>
        <w:numPr>
          <w:ilvl w:val="0"/>
          <w:numId w:val="0"/>
        </w:numPr>
      </w:pPr>
    </w:p>
    <w:sectPr w:rsidR="00500633" w:rsidRPr="007C2C44" w:rsidSect="00C03E3F">
      <w:footerReference w:type="default" r:id="rId10"/>
      <w:footerReference w:type="first" r:id="rId11"/>
      <w:pgSz w:w="11900" w:h="16840" w:code="9"/>
      <w:pgMar w:top="1440" w:right="1701" w:bottom="1361" w:left="1701" w:header="709"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48DF" w16cex:dateUtc="2021-11-10T00:41:00Z"/>
  <w16cex:commentExtensible w16cex:durableId="254F9743" w16cex:dateUtc="2021-11-29T08:15:00Z"/>
  <w16cex:commentExtensible w16cex:durableId="254F48E0" w16cex:dateUtc="2021-11-24T05:42:00Z"/>
  <w16cex:commentExtensible w16cex:durableId="254F98F9" w16cex:dateUtc="2021-11-29T08:22:00Z"/>
  <w16cex:commentExtensible w16cex:durableId="254F9B13" w16cex:dateUtc="2021-11-29T08:31:00Z"/>
  <w16cex:commentExtensible w16cex:durableId="254F48E1" w16cex:dateUtc="2021-11-24T06:14:00Z"/>
  <w16cex:commentExtensible w16cex:durableId="254F48E2" w16cex:dateUtc="2021-11-24T07:02:00Z"/>
  <w16cex:commentExtensible w16cex:durableId="254F9F02" w16cex:dateUtc="2021-11-29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28F94C" w16cid:durableId="254F48DF"/>
  <w16cid:commentId w16cid:paraId="04A5E5FE" w16cid:durableId="254F9743"/>
  <w16cid:commentId w16cid:paraId="008F50B4" w16cid:durableId="254F48E0"/>
  <w16cid:commentId w16cid:paraId="2973EB02" w16cid:durableId="254F98F9"/>
  <w16cid:commentId w16cid:paraId="63F21949" w16cid:durableId="254F9B13"/>
  <w16cid:commentId w16cid:paraId="672B926E" w16cid:durableId="254F48E1"/>
  <w16cid:commentId w16cid:paraId="371F6A12" w16cid:durableId="254F48E2"/>
  <w16cid:commentId w16cid:paraId="2557F607" w16cid:durableId="254F9F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4ACE5" w14:textId="77777777" w:rsidR="008D3220" w:rsidRDefault="008D3220" w:rsidP="0034134D">
      <w:r>
        <w:separator/>
      </w:r>
    </w:p>
  </w:endnote>
  <w:endnote w:type="continuationSeparator" w:id="0">
    <w:p w14:paraId="7C3ADE3F" w14:textId="77777777" w:rsidR="008D3220" w:rsidRDefault="008D3220" w:rsidP="00341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B220" w14:textId="7C56C2A6" w:rsidR="008D3220" w:rsidRPr="00C03E3F" w:rsidRDefault="008D3220" w:rsidP="00C03E3F">
    <w:pPr>
      <w:tabs>
        <w:tab w:val="center" w:pos="4513"/>
        <w:tab w:val="right" w:pos="9026"/>
      </w:tabs>
      <w:jc w:val="right"/>
      <w:rPr>
        <w:rFonts w:ascii="Arial" w:hAnsi="Arial" w:cs="Arial"/>
        <w:color w:val="404040" w:themeColor="text1" w:themeTint="BF"/>
        <w:sz w:val="16"/>
        <w:szCs w:val="20"/>
      </w:rPr>
    </w:pPr>
    <w:r w:rsidRPr="00C03E3F">
      <w:rPr>
        <w:rFonts w:ascii="Arial" w:hAnsi="Arial" w:cs="Arial"/>
        <w:noProof/>
        <w:sz w:val="20"/>
        <w:szCs w:val="20"/>
        <w:vertAlign w:val="subscript"/>
        <w:lang w:eastAsia="en-AU"/>
      </w:rPr>
      <w:drawing>
        <wp:inline distT="0" distB="0" distL="0" distR="0" wp14:anchorId="5EE93C96" wp14:editId="34C63889">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C03E3F">
      <w:rPr>
        <w:rFonts w:ascii="Arial" w:hAnsi="Arial" w:cs="Arial"/>
        <w:color w:val="404040" w:themeColor="text1" w:themeTint="BF"/>
        <w:sz w:val="16"/>
        <w:szCs w:val="20"/>
      </w:rPr>
      <w:t>Queensland Human Rights Commission | www.qhrc.qld.gov.au</w:t>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tab/>
    </w:r>
    <w:r w:rsidRPr="00C03E3F">
      <w:rPr>
        <w:rFonts w:ascii="Arial" w:hAnsi="Arial" w:cs="Arial"/>
        <w:color w:val="404040" w:themeColor="text1" w:themeTint="BF"/>
        <w:sz w:val="16"/>
        <w:szCs w:val="20"/>
      </w:rPr>
      <w:fldChar w:fldCharType="begin"/>
    </w:r>
    <w:r w:rsidRPr="00C03E3F">
      <w:rPr>
        <w:rFonts w:ascii="Arial" w:hAnsi="Arial" w:cs="Arial"/>
        <w:color w:val="404040" w:themeColor="text1" w:themeTint="BF"/>
        <w:sz w:val="16"/>
        <w:szCs w:val="20"/>
      </w:rPr>
      <w:instrText xml:space="preserve"> PAGE   \* MERGEFORMAT </w:instrText>
    </w:r>
    <w:r w:rsidRPr="00C03E3F">
      <w:rPr>
        <w:rFonts w:ascii="Arial" w:hAnsi="Arial" w:cs="Arial"/>
        <w:color w:val="404040" w:themeColor="text1" w:themeTint="BF"/>
        <w:sz w:val="16"/>
        <w:szCs w:val="20"/>
      </w:rPr>
      <w:fldChar w:fldCharType="separate"/>
    </w:r>
    <w:r w:rsidR="00A14D73">
      <w:rPr>
        <w:rFonts w:ascii="Arial" w:hAnsi="Arial" w:cs="Arial"/>
        <w:noProof/>
        <w:color w:val="404040" w:themeColor="text1" w:themeTint="BF"/>
        <w:sz w:val="16"/>
        <w:szCs w:val="20"/>
      </w:rPr>
      <w:t>14</w:t>
    </w:r>
    <w:r w:rsidRPr="00C03E3F">
      <w:rPr>
        <w:rFonts w:ascii="Arial" w:hAnsi="Arial" w:cs="Arial"/>
        <w:noProof/>
        <w:color w:val="404040" w:themeColor="text1" w:themeTint="BF"/>
        <w:sz w:val="16"/>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CA9C" w14:textId="77777777" w:rsidR="008D3220" w:rsidRDefault="008D3220" w:rsidP="000731D3">
    <w:pPr>
      <w:pStyle w:val="Footer"/>
      <w:pBdr>
        <w:top w:val="single" w:sz="4" w:space="1" w:color="auto"/>
      </w:pBdr>
      <w:jc w:val="right"/>
      <w:rPr>
        <w:rFonts w:ascii="Arial" w:hAnsi="Arial" w:cs="Arial"/>
        <w:sz w:val="20"/>
        <w:szCs w:val="20"/>
      </w:rPr>
    </w:pPr>
  </w:p>
  <w:p w14:paraId="50DEBF21" w14:textId="744ADDE6" w:rsidR="008D3220" w:rsidRPr="004A2375" w:rsidRDefault="008D3220" w:rsidP="00E7746A">
    <w:pPr>
      <w:pStyle w:val="Footer"/>
      <w:tabs>
        <w:tab w:val="left" w:pos="1905"/>
        <w:tab w:val="right" w:pos="8498"/>
      </w:tabs>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76AA9" w14:textId="77777777" w:rsidR="008D3220" w:rsidRDefault="008D3220" w:rsidP="0034134D">
      <w:r>
        <w:separator/>
      </w:r>
    </w:p>
  </w:footnote>
  <w:footnote w:type="continuationSeparator" w:id="0">
    <w:p w14:paraId="06A870D8" w14:textId="77777777" w:rsidR="008D3220" w:rsidRDefault="008D3220" w:rsidP="0034134D">
      <w:r>
        <w:continuationSeparator/>
      </w:r>
    </w:p>
  </w:footnote>
  <w:footnote w:id="1">
    <w:p w14:paraId="3CEAF139" w14:textId="3CC1C473" w:rsidR="008D3220" w:rsidRPr="00B976F8" w:rsidRDefault="008D3220">
      <w:pPr>
        <w:pStyle w:val="FootnoteText"/>
        <w:rPr>
          <w:lang w:val="en-US"/>
        </w:rPr>
      </w:pPr>
      <w:r>
        <w:rPr>
          <w:rStyle w:val="FootnoteReference"/>
        </w:rPr>
        <w:footnoteRef/>
      </w:r>
      <w:r>
        <w:t xml:space="preserve"> </w:t>
      </w:r>
      <w:r>
        <w:rPr>
          <w:lang w:val="en-US"/>
        </w:rPr>
        <w:t xml:space="preserve">Explanatory Notes, Health and Other Legislation Amendment Bill 2021  1. </w:t>
      </w:r>
    </w:p>
  </w:footnote>
  <w:footnote w:id="2">
    <w:p w14:paraId="1446BB1F" w14:textId="0E54F836" w:rsidR="008D3220" w:rsidRPr="00C210E5" w:rsidRDefault="008D3220">
      <w:pPr>
        <w:pStyle w:val="FootnoteText"/>
        <w:rPr>
          <w:lang w:val="en-US"/>
        </w:rPr>
      </w:pPr>
      <w:r>
        <w:rPr>
          <w:rStyle w:val="FootnoteReference"/>
        </w:rPr>
        <w:footnoteRef/>
      </w:r>
      <w:r>
        <w:t xml:space="preserve"> </w:t>
      </w:r>
      <w:r w:rsidRPr="00C11D46">
        <w:rPr>
          <w:i/>
        </w:rPr>
        <w:t>Mental Health Act 2016</w:t>
      </w:r>
      <w:r>
        <w:t xml:space="preserve"> s 117.</w:t>
      </w:r>
    </w:p>
  </w:footnote>
  <w:footnote w:id="3">
    <w:p w14:paraId="44BBA171" w14:textId="77777777" w:rsidR="008D3220" w:rsidRPr="00C210E5" w:rsidRDefault="008D3220">
      <w:pPr>
        <w:pStyle w:val="FootnoteText"/>
        <w:rPr>
          <w:lang w:val="en-US"/>
        </w:rPr>
      </w:pPr>
      <w:r>
        <w:rPr>
          <w:rStyle w:val="FootnoteReference"/>
        </w:rPr>
        <w:footnoteRef/>
      </w:r>
      <w:r>
        <w:t xml:space="preserve"> Health and Other Legislation Amendment Bill 2021 s 54 (proposed s 117A).</w:t>
      </w:r>
    </w:p>
  </w:footnote>
  <w:footnote w:id="4">
    <w:p w14:paraId="73C63F0E" w14:textId="7F54BFF6" w:rsidR="008D3220" w:rsidRPr="00C210E5" w:rsidRDefault="008D3220">
      <w:pPr>
        <w:pStyle w:val="FootnoteText"/>
        <w:rPr>
          <w:lang w:val="en-US"/>
        </w:rPr>
      </w:pPr>
      <w:r>
        <w:rPr>
          <w:rStyle w:val="FootnoteReference"/>
        </w:rPr>
        <w:footnoteRef/>
      </w:r>
      <w:r>
        <w:t xml:space="preserve"> </w:t>
      </w:r>
      <w:r w:rsidRPr="00C11D46">
        <w:rPr>
          <w:i/>
        </w:rPr>
        <w:t>Mental Health Act 2016</w:t>
      </w:r>
      <w:r>
        <w:t xml:space="preserve"> s 118.</w:t>
      </w:r>
    </w:p>
  </w:footnote>
  <w:footnote w:id="5">
    <w:p w14:paraId="4A2B9457" w14:textId="51908DF6" w:rsidR="008D3220" w:rsidRPr="00304242" w:rsidRDefault="008D3220">
      <w:pPr>
        <w:pStyle w:val="FootnoteText"/>
        <w:rPr>
          <w:lang w:val="en-US"/>
        </w:rPr>
      </w:pPr>
      <w:r>
        <w:rPr>
          <w:rStyle w:val="FootnoteReference"/>
        </w:rPr>
        <w:footnoteRef/>
      </w:r>
      <w:r>
        <w:t xml:space="preserve"> </w:t>
      </w:r>
      <w:r w:rsidRPr="00C11D46">
        <w:rPr>
          <w:i/>
        </w:rPr>
        <w:t>Mental Health Act 2016</w:t>
      </w:r>
      <w:r>
        <w:t xml:space="preserve"> s 131.</w:t>
      </w:r>
    </w:p>
  </w:footnote>
  <w:footnote w:id="6">
    <w:p w14:paraId="0C25A214" w14:textId="31A308DC" w:rsidR="008D3220" w:rsidRPr="00304242" w:rsidRDefault="008D3220">
      <w:pPr>
        <w:pStyle w:val="FootnoteText"/>
        <w:rPr>
          <w:lang w:val="en-US"/>
        </w:rPr>
      </w:pPr>
      <w:r>
        <w:rPr>
          <w:rStyle w:val="FootnoteReference"/>
        </w:rPr>
        <w:footnoteRef/>
      </w:r>
      <w:r>
        <w:t xml:space="preserve"> </w:t>
      </w:r>
      <w:r w:rsidRPr="00AA29F5">
        <w:rPr>
          <w:i/>
        </w:rPr>
        <w:t>Mental Health Act 2016</w:t>
      </w:r>
      <w:r>
        <w:t xml:space="preserve"> </w:t>
      </w:r>
      <w:r>
        <w:rPr>
          <w:lang w:val="en-US"/>
        </w:rPr>
        <w:t>s 132.</w:t>
      </w:r>
    </w:p>
  </w:footnote>
  <w:footnote w:id="7">
    <w:p w14:paraId="3B31586B" w14:textId="185CBAF9" w:rsidR="008D3220" w:rsidRPr="00644586" w:rsidRDefault="008D3220" w:rsidP="00C00761">
      <w:pPr>
        <w:pStyle w:val="FootnoteText"/>
        <w:rPr>
          <w:lang w:val="en-US"/>
        </w:rPr>
      </w:pPr>
      <w:r>
        <w:rPr>
          <w:rStyle w:val="FootnoteReference"/>
        </w:rPr>
        <w:footnoteRef/>
      </w:r>
      <w:r>
        <w:t xml:space="preserve"> See United Nations Human Rights Council, </w:t>
      </w:r>
      <w:r w:rsidRPr="00AF0BB8">
        <w:rPr>
          <w:i/>
        </w:rPr>
        <w:t>Right to access justice under article 13 of the</w:t>
      </w:r>
      <w:r>
        <w:t xml:space="preserve"> </w:t>
      </w:r>
      <w:r w:rsidRPr="00AF0BB8">
        <w:rPr>
          <w:i/>
        </w:rPr>
        <w:t>Convention of the Rights of Persons with Disabilities</w:t>
      </w:r>
      <w:r>
        <w:rPr>
          <w:i/>
        </w:rPr>
        <w:t>: Report of the Office of the United Nations High Commissioner for Human Rights,</w:t>
      </w:r>
      <w:r>
        <w:t xml:space="preserve"> UN Doc A/HRC/37/25 (27 December 2017) </w:t>
      </w:r>
      <w:r>
        <w:rPr>
          <w:lang w:val="en-US"/>
        </w:rPr>
        <w:t>[39].</w:t>
      </w:r>
    </w:p>
  </w:footnote>
  <w:footnote w:id="8">
    <w:p w14:paraId="6F19E546" w14:textId="387DABD0" w:rsidR="008D3220" w:rsidRPr="00DC3FF9" w:rsidRDefault="008D3220" w:rsidP="00C00761">
      <w:pPr>
        <w:pStyle w:val="FootnoteText"/>
        <w:rPr>
          <w:lang w:val="en-US"/>
        </w:rPr>
      </w:pPr>
      <w:r>
        <w:rPr>
          <w:rStyle w:val="FootnoteReference"/>
        </w:rPr>
        <w:footnoteRef/>
      </w:r>
      <w:r>
        <w:t xml:space="preserve"> </w:t>
      </w:r>
      <w:r w:rsidRPr="00DC3FF9">
        <w:rPr>
          <w:i/>
          <w:lang w:val="en-US"/>
        </w:rPr>
        <w:t>Criminal Law Consolidation Act 1935</w:t>
      </w:r>
      <w:r>
        <w:rPr>
          <w:lang w:val="en-US"/>
        </w:rPr>
        <w:t xml:space="preserve"> (SA) ss 269M–269N.</w:t>
      </w:r>
    </w:p>
  </w:footnote>
  <w:footnote w:id="9">
    <w:p w14:paraId="4F7D978E" w14:textId="73048790" w:rsidR="008D3220" w:rsidRPr="00F35FD5" w:rsidRDefault="008D3220" w:rsidP="00C00761">
      <w:pPr>
        <w:pStyle w:val="FootnoteText"/>
        <w:rPr>
          <w:lang w:val="en-US"/>
        </w:rPr>
      </w:pPr>
      <w:r>
        <w:rPr>
          <w:rStyle w:val="FootnoteReference"/>
        </w:rPr>
        <w:footnoteRef/>
      </w:r>
      <w:r>
        <w:t xml:space="preserve"> </w:t>
      </w:r>
      <w:r>
        <w:rPr>
          <w:lang w:val="en-US"/>
        </w:rPr>
        <w:t xml:space="preserve">For detailed discussion on each jurisdiction, see Ellen Limerick et al, </w:t>
      </w:r>
      <w:r w:rsidRPr="00F35FD5">
        <w:rPr>
          <w:i/>
          <w:lang w:val="en-US"/>
        </w:rPr>
        <w:t>Declared unfit to plead</w:t>
      </w:r>
      <w:r>
        <w:rPr>
          <w:i/>
          <w:lang w:val="en-US"/>
        </w:rPr>
        <w:t>:</w:t>
      </w:r>
      <w:r w:rsidRPr="00F35FD5">
        <w:rPr>
          <w:i/>
          <w:lang w:val="en-US"/>
        </w:rPr>
        <w:t xml:space="preserve"> Research report</w:t>
      </w:r>
      <w:r>
        <w:rPr>
          <w:lang w:val="en-US"/>
        </w:rPr>
        <w:t xml:space="preserve"> (TC Beirne School of Law, The University of Queensland, 2018). The report does not take into account changes as a result of the </w:t>
      </w:r>
      <w:r w:rsidRPr="00AD0E57">
        <w:rPr>
          <w:i/>
          <w:lang w:val="en-US"/>
        </w:rPr>
        <w:t xml:space="preserve">Mental Health And Cognitive Impairment Forensic Provisions Act 2020 </w:t>
      </w:r>
      <w:r>
        <w:rPr>
          <w:lang w:val="en-US"/>
        </w:rPr>
        <w:t>(NSW).</w:t>
      </w:r>
    </w:p>
  </w:footnote>
  <w:footnote w:id="10">
    <w:p w14:paraId="202BF66F" w14:textId="19E9384D" w:rsidR="008D3220" w:rsidRPr="00DA4793" w:rsidRDefault="008D3220" w:rsidP="00C00761">
      <w:pPr>
        <w:pStyle w:val="FootnoteText"/>
        <w:rPr>
          <w:lang w:val="en-US"/>
        </w:rPr>
      </w:pPr>
      <w:r>
        <w:rPr>
          <w:rStyle w:val="FootnoteReference"/>
        </w:rPr>
        <w:footnoteRef/>
      </w:r>
      <w:r>
        <w:t xml:space="preserve"> If the offence is one that may attract a life sentence, this can be up to 7 years, although there is nothing to prevent the proceedings from being discontinued earlier: MH Act s 491.</w:t>
      </w:r>
    </w:p>
  </w:footnote>
  <w:footnote w:id="11">
    <w:p w14:paraId="15CE16C4" w14:textId="77CCF5FF" w:rsidR="008D3220" w:rsidRPr="00C11D46" w:rsidRDefault="008D3220">
      <w:pPr>
        <w:pStyle w:val="FootnoteText"/>
        <w:rPr>
          <w:lang w:val="en-US"/>
        </w:rPr>
      </w:pPr>
      <w:r>
        <w:rPr>
          <w:rStyle w:val="FootnoteReference"/>
        </w:rPr>
        <w:footnoteRef/>
      </w:r>
      <w:r>
        <w:t xml:space="preserve"> </w:t>
      </w:r>
      <w:r w:rsidRPr="00AA29F5">
        <w:rPr>
          <w:i/>
        </w:rPr>
        <w:t>Mental Health Act 2016</w:t>
      </w:r>
      <w:r>
        <w:t xml:space="preserve"> </w:t>
      </w:r>
      <w:r>
        <w:rPr>
          <w:lang w:val="en-US"/>
        </w:rPr>
        <w:t>ss 133, 432, 464.</w:t>
      </w:r>
    </w:p>
  </w:footnote>
  <w:footnote w:id="12">
    <w:p w14:paraId="3F29A673" w14:textId="5AFE337A" w:rsidR="008D3220" w:rsidRPr="00F3739C" w:rsidRDefault="008D3220">
      <w:pPr>
        <w:pStyle w:val="FootnoteText"/>
        <w:rPr>
          <w:lang w:val="en-US"/>
        </w:rPr>
      </w:pPr>
      <w:r>
        <w:rPr>
          <w:rStyle w:val="FootnoteReference"/>
        </w:rPr>
        <w:footnoteRef/>
      </w:r>
      <w:r>
        <w:t xml:space="preserve"> Statement of Compatibility, Health and Other Legislation Amendment Bill 2021</w:t>
      </w:r>
      <w:r>
        <w:rPr>
          <w:lang w:val="en-US"/>
        </w:rPr>
        <w:t xml:space="preserve"> 17.</w:t>
      </w:r>
    </w:p>
  </w:footnote>
  <w:footnote w:id="13">
    <w:p w14:paraId="7FE85565" w14:textId="52F0A568" w:rsidR="008D3220" w:rsidRPr="008655B9" w:rsidRDefault="008D3220" w:rsidP="00B30681">
      <w:pPr>
        <w:pStyle w:val="FootnoteText"/>
        <w:rPr>
          <w:lang w:val="en-US"/>
        </w:rPr>
      </w:pPr>
      <w:r>
        <w:rPr>
          <w:rStyle w:val="FootnoteReference"/>
        </w:rPr>
        <w:footnoteRef/>
      </w:r>
      <w:r>
        <w:t xml:space="preserve"> Queensland Mental Health Court, </w:t>
      </w:r>
      <w:r w:rsidRPr="00C11D46">
        <w:rPr>
          <w:i/>
        </w:rPr>
        <w:t>Mental Health Court Annual Report 2016–2017</w:t>
      </w:r>
      <w:r>
        <w:t xml:space="preserve"> (Report) 6; Queensland </w:t>
      </w:r>
      <w:r>
        <w:rPr>
          <w:lang w:val="en-US"/>
        </w:rPr>
        <w:t xml:space="preserve">Mental Health Court, </w:t>
      </w:r>
      <w:r w:rsidRPr="00C11D46">
        <w:rPr>
          <w:i/>
          <w:lang w:val="en-US"/>
        </w:rPr>
        <w:t>Mental Health Court Annual Report 2017–2018</w:t>
      </w:r>
      <w:r>
        <w:rPr>
          <w:lang w:val="en-US"/>
        </w:rPr>
        <w:t xml:space="preserve"> (Report) 7; Queensland  Mental Health Court</w:t>
      </w:r>
      <w:r w:rsidRPr="00C11D46">
        <w:rPr>
          <w:i/>
          <w:lang w:val="en-US"/>
        </w:rPr>
        <w:t>, Mental Health Court Annual Report 2018</w:t>
      </w:r>
      <w:r>
        <w:rPr>
          <w:i/>
          <w:lang w:val="en-US"/>
        </w:rPr>
        <w:t>–</w:t>
      </w:r>
      <w:r w:rsidRPr="00C11D46">
        <w:rPr>
          <w:i/>
          <w:lang w:val="en-US"/>
        </w:rPr>
        <w:t>2019</w:t>
      </w:r>
      <w:r>
        <w:rPr>
          <w:lang w:val="en-US"/>
        </w:rPr>
        <w:t xml:space="preserve"> (Report) 7.</w:t>
      </w:r>
    </w:p>
  </w:footnote>
  <w:footnote w:id="14">
    <w:p w14:paraId="4F88CB8D" w14:textId="67EFDE12" w:rsidR="008D3220" w:rsidRPr="00BC4D93" w:rsidRDefault="008D3220">
      <w:pPr>
        <w:pStyle w:val="FootnoteText"/>
        <w:rPr>
          <w:lang w:val="en-US"/>
        </w:rPr>
      </w:pPr>
      <w:r>
        <w:rPr>
          <w:rStyle w:val="FootnoteReference"/>
        </w:rPr>
        <w:footnoteRef/>
      </w:r>
      <w:r>
        <w:t xml:space="preserve"> </w:t>
      </w:r>
      <w:r w:rsidRPr="00BC4D93">
        <w:rPr>
          <w:i/>
          <w:lang w:val="en-US"/>
        </w:rPr>
        <w:t>A</w:t>
      </w:r>
      <w:r>
        <w:rPr>
          <w:i/>
          <w:lang w:val="en-US"/>
        </w:rPr>
        <w:t>ttorney-</w:t>
      </w:r>
      <w:r w:rsidRPr="00BC4D93">
        <w:rPr>
          <w:i/>
          <w:lang w:val="en-US"/>
        </w:rPr>
        <w:t>G</w:t>
      </w:r>
      <w:r>
        <w:rPr>
          <w:i/>
          <w:lang w:val="en-US"/>
        </w:rPr>
        <w:t>eneral for the State of Queensland</w:t>
      </w:r>
      <w:r w:rsidRPr="00BC4D93">
        <w:rPr>
          <w:i/>
          <w:lang w:val="en-US"/>
        </w:rPr>
        <w:t xml:space="preserve"> v GLH</w:t>
      </w:r>
      <w:r>
        <w:rPr>
          <w:lang w:val="en-US"/>
        </w:rPr>
        <w:t xml:space="preserve"> [2021] QMHC 4</w:t>
      </w:r>
      <w:r w:rsidR="000F46DC">
        <w:rPr>
          <w:lang w:val="en-US"/>
        </w:rPr>
        <w:t>.</w:t>
      </w:r>
    </w:p>
  </w:footnote>
  <w:footnote w:id="15">
    <w:p w14:paraId="4EFD68CD" w14:textId="733F98D4" w:rsidR="008D3220" w:rsidRPr="00AA2348" w:rsidRDefault="008D3220">
      <w:pPr>
        <w:pStyle w:val="FootnoteText"/>
        <w:rPr>
          <w:lang w:val="en-US"/>
        </w:rPr>
      </w:pPr>
      <w:r>
        <w:rPr>
          <w:rStyle w:val="FootnoteReference"/>
        </w:rPr>
        <w:footnoteRef/>
      </w:r>
      <w:r>
        <w:t xml:space="preserve"> </w:t>
      </w:r>
      <w:r>
        <w:rPr>
          <w:lang w:val="en-US"/>
        </w:rPr>
        <w:t xml:space="preserve">This is based on a review of annual reports of the Mental Health Court from 2011-12 to 2018-19. </w:t>
      </w:r>
    </w:p>
  </w:footnote>
  <w:footnote w:id="16">
    <w:p w14:paraId="462B4576" w14:textId="476F4507" w:rsidR="008D3220" w:rsidRPr="00AA2348" w:rsidRDefault="008D3220">
      <w:pPr>
        <w:pStyle w:val="FootnoteText"/>
        <w:rPr>
          <w:lang w:val="en-US"/>
        </w:rPr>
      </w:pPr>
      <w:r>
        <w:rPr>
          <w:rStyle w:val="FootnoteReference"/>
        </w:rPr>
        <w:footnoteRef/>
      </w:r>
      <w:r>
        <w:t xml:space="preserve"> </w:t>
      </w:r>
      <w:r w:rsidRPr="00AA2348">
        <w:rPr>
          <w:i/>
          <w:lang w:val="en-US"/>
        </w:rPr>
        <w:t>News Digital Media Pty Ltd v Mokbel</w:t>
      </w:r>
      <w:r>
        <w:rPr>
          <w:lang w:val="en-US"/>
        </w:rPr>
        <w:t xml:space="preserve"> (2010) 30 VR 248; [2010] VSCA 51 [35]; </w:t>
      </w:r>
      <w:r w:rsidRPr="00AA2348">
        <w:rPr>
          <w:i/>
          <w:lang w:val="en-US"/>
        </w:rPr>
        <w:t>PQR v Secretary, Department of Justice and Regulation (No 1)</w:t>
      </w:r>
      <w:r>
        <w:rPr>
          <w:lang w:val="en-US"/>
        </w:rPr>
        <w:t xml:space="preserve"> (2017) 53 VR 45; [2017] VSC 513 [38]</w:t>
      </w:r>
      <w:r w:rsidR="000F46DC">
        <w:rPr>
          <w:lang w:val="en-US"/>
        </w:rPr>
        <w:t>.</w:t>
      </w:r>
    </w:p>
  </w:footnote>
  <w:footnote w:id="17">
    <w:p w14:paraId="485CF294" w14:textId="0BF2BE7B" w:rsidR="008D3220" w:rsidRPr="007C7678" w:rsidRDefault="008D3220">
      <w:pPr>
        <w:pStyle w:val="FootnoteText"/>
        <w:rPr>
          <w:lang w:val="en-US"/>
        </w:rPr>
      </w:pPr>
      <w:r>
        <w:rPr>
          <w:rStyle w:val="FootnoteReference"/>
        </w:rPr>
        <w:footnoteRef/>
      </w:r>
      <w:r>
        <w:t xml:space="preserve"> </w:t>
      </w:r>
      <w:r>
        <w:rPr>
          <w:lang w:val="en-US"/>
        </w:rPr>
        <w:t>Explanatory Notes, Health and Other Legislation Amendment Bill 2021 4.</w:t>
      </w:r>
    </w:p>
  </w:footnote>
  <w:footnote w:id="18">
    <w:p w14:paraId="58D47CD4" w14:textId="04CACC8F" w:rsidR="008D3220" w:rsidRPr="0075267C" w:rsidRDefault="008D3220">
      <w:pPr>
        <w:pStyle w:val="FootnoteText"/>
        <w:rPr>
          <w:lang w:val="en-US"/>
        </w:rPr>
      </w:pPr>
      <w:r>
        <w:rPr>
          <w:rStyle w:val="FootnoteReference"/>
        </w:rPr>
        <w:footnoteRef/>
      </w:r>
      <w:r>
        <w:t xml:space="preserve"> By the </w:t>
      </w:r>
      <w:r w:rsidRPr="00671572">
        <w:rPr>
          <w:i/>
          <w:lang w:val="en-US"/>
        </w:rPr>
        <w:t>Health and Other Legislation Amendment Act 2016</w:t>
      </w:r>
      <w:r>
        <w:rPr>
          <w:lang w:val="en-US"/>
        </w:rPr>
        <w:t xml:space="preserve"> s 31.</w:t>
      </w:r>
    </w:p>
  </w:footnote>
  <w:footnote w:id="19">
    <w:p w14:paraId="12F3ED58" w14:textId="73162CCA" w:rsidR="008D3220" w:rsidRPr="00671572" w:rsidRDefault="008D3220">
      <w:pPr>
        <w:pStyle w:val="FootnoteText"/>
        <w:rPr>
          <w:lang w:val="en-US"/>
        </w:rPr>
      </w:pPr>
      <w:r>
        <w:rPr>
          <w:rStyle w:val="FootnoteReference"/>
        </w:rPr>
        <w:footnoteRef/>
      </w:r>
      <w:r>
        <w:t xml:space="preserve"> </w:t>
      </w:r>
      <w:r>
        <w:rPr>
          <w:lang w:val="en-US"/>
        </w:rPr>
        <w:t xml:space="preserve">See </w:t>
      </w:r>
      <w:r w:rsidRPr="00C11D46">
        <w:rPr>
          <w:i/>
          <w:lang w:val="en-US"/>
        </w:rPr>
        <w:t>Hospital and Health Boards Regulation 2012</w:t>
      </w:r>
      <w:r>
        <w:rPr>
          <w:lang w:val="en-US"/>
        </w:rPr>
        <w:t xml:space="preserve"> s 34A, sch 2C.</w:t>
      </w:r>
    </w:p>
  </w:footnote>
  <w:footnote w:id="20">
    <w:p w14:paraId="2C14D6FE" w14:textId="43D28394" w:rsidR="008D3220" w:rsidRPr="00612898" w:rsidRDefault="008D3220">
      <w:pPr>
        <w:pStyle w:val="FootnoteText"/>
        <w:rPr>
          <w:lang w:val="en-US"/>
        </w:rPr>
      </w:pPr>
      <w:r>
        <w:rPr>
          <w:rStyle w:val="FootnoteReference"/>
        </w:rPr>
        <w:footnoteRef/>
      </w:r>
      <w:r>
        <w:t xml:space="preserve"> </w:t>
      </w:r>
      <w:r>
        <w:rPr>
          <w:lang w:val="en-US"/>
        </w:rPr>
        <w:t>Explanatory Notes, Health and Other Legislation Amendment Bill 2021 4.</w:t>
      </w:r>
    </w:p>
  </w:footnote>
  <w:footnote w:id="21">
    <w:p w14:paraId="248A2D35" w14:textId="32A2E8C7" w:rsidR="008D3220" w:rsidRPr="00612898" w:rsidRDefault="008D3220">
      <w:pPr>
        <w:pStyle w:val="FootnoteText"/>
        <w:rPr>
          <w:lang w:val="en-US"/>
        </w:rPr>
      </w:pPr>
      <w:r>
        <w:rPr>
          <w:rStyle w:val="FootnoteReference"/>
        </w:rPr>
        <w:footnoteRef/>
      </w:r>
      <w:r>
        <w:t xml:space="preserve"> </w:t>
      </w:r>
      <w:r>
        <w:rPr>
          <w:lang w:val="en-US"/>
        </w:rPr>
        <w:t>Explanatory Notes, Health and Other Legislation Amendment Bill 2021 15.</w:t>
      </w:r>
    </w:p>
  </w:footnote>
  <w:footnote w:id="22">
    <w:p w14:paraId="63F7A3D8" w14:textId="3D5F4F5C" w:rsidR="008D3220" w:rsidRPr="005076D8" w:rsidRDefault="008D3220">
      <w:pPr>
        <w:pStyle w:val="FootnoteText"/>
        <w:rPr>
          <w:lang w:val="en-US"/>
        </w:rPr>
      </w:pPr>
      <w:r>
        <w:rPr>
          <w:rStyle w:val="FootnoteReference"/>
        </w:rPr>
        <w:footnoteRef/>
      </w:r>
      <w:r>
        <w:t xml:space="preserve"> </w:t>
      </w:r>
      <w:r w:rsidRPr="005076D8">
        <w:rPr>
          <w:i/>
          <w:lang w:val="en-US"/>
        </w:rPr>
        <w:t>Hospital and Health Boards Act 2011</w:t>
      </w:r>
      <w:r>
        <w:rPr>
          <w:lang w:val="en-US"/>
        </w:rPr>
        <w:t xml:space="preserve"> s 161C.</w:t>
      </w:r>
    </w:p>
  </w:footnote>
  <w:footnote w:id="23">
    <w:p w14:paraId="74C4CE2B" w14:textId="55DD1D6B" w:rsidR="008D3220" w:rsidRPr="00055FD6" w:rsidRDefault="008D3220">
      <w:pPr>
        <w:pStyle w:val="FootnoteText"/>
        <w:rPr>
          <w:lang w:val="en-US"/>
        </w:rPr>
      </w:pPr>
      <w:r>
        <w:rPr>
          <w:rStyle w:val="FootnoteReference"/>
        </w:rPr>
        <w:footnoteRef/>
      </w:r>
      <w:r>
        <w:t xml:space="preserve"> </w:t>
      </w:r>
      <w:r>
        <w:rPr>
          <w:lang w:val="en-US"/>
        </w:rPr>
        <w:t xml:space="preserve">See United Nations Office of the High Commissioner for Human Rights, </w:t>
      </w:r>
      <w:r w:rsidRPr="007C366D">
        <w:rPr>
          <w:i/>
          <w:lang w:val="en-US"/>
        </w:rPr>
        <w:t>CCPR General Comment No 16: Article 17 (Right to Privacy)</w:t>
      </w:r>
      <w:r>
        <w:rPr>
          <w:lang w:val="en-US"/>
        </w:rPr>
        <w:t xml:space="preserve"> 32</w:t>
      </w:r>
      <w:r w:rsidRPr="007C366D">
        <w:rPr>
          <w:vertAlign w:val="superscript"/>
          <w:lang w:val="en-US"/>
        </w:rPr>
        <w:t>nd</w:t>
      </w:r>
      <w:r>
        <w:rPr>
          <w:lang w:val="en-US"/>
        </w:rPr>
        <w:t xml:space="preserve"> sess, Human Rights Committee (8 April 1988) 10 which states ‘</w:t>
      </w:r>
      <w:r>
        <w:t>…every individual should have the right to ascertain in an intelligible form, whether, and if so, what personal data is stored in automatic data files, and for what purposes. Every individual should also be able to ascertain which public authorities or private individuals or bodies control or may control their files. If such files contain incorrect personal data or have been collected or processed contrary to the provisions of the law, every individual should have the right to request rectification or elimination.’</w:t>
      </w:r>
    </w:p>
  </w:footnote>
  <w:footnote w:id="24">
    <w:p w14:paraId="57334708" w14:textId="4851A945" w:rsidR="008D3220" w:rsidRPr="00F461E3" w:rsidRDefault="008D3220">
      <w:pPr>
        <w:pStyle w:val="FootnoteText"/>
        <w:rPr>
          <w:lang w:val="en-US"/>
        </w:rPr>
      </w:pPr>
      <w:r>
        <w:rPr>
          <w:rStyle w:val="FootnoteReference"/>
        </w:rPr>
        <w:footnoteRef/>
      </w:r>
      <w:r>
        <w:t xml:space="preserve"> </w:t>
      </w:r>
      <w:r w:rsidRPr="007C366D">
        <w:rPr>
          <w:i/>
        </w:rPr>
        <w:t xml:space="preserve">Information Privacy Act 2009 </w:t>
      </w:r>
      <w:r>
        <w:t>(Qld) sch 4,</w:t>
      </w:r>
      <w:r>
        <w:rPr>
          <w:lang w:val="en-US"/>
        </w:rPr>
        <w:t xml:space="preserve"> see NPP 1, NPP 2 and NPP 4.</w:t>
      </w:r>
    </w:p>
  </w:footnote>
  <w:footnote w:id="25">
    <w:p w14:paraId="323039F0" w14:textId="2D980886" w:rsidR="008D3220" w:rsidRPr="00E723C8" w:rsidRDefault="008D3220">
      <w:pPr>
        <w:pStyle w:val="FootnoteText"/>
        <w:rPr>
          <w:lang w:val="en-US"/>
        </w:rPr>
      </w:pPr>
      <w:r>
        <w:rPr>
          <w:rStyle w:val="FootnoteReference"/>
        </w:rPr>
        <w:footnoteRef/>
      </w:r>
      <w:r>
        <w:t xml:space="preserve"> </w:t>
      </w:r>
      <w:r w:rsidRPr="007C366D">
        <w:rPr>
          <w:i/>
        </w:rPr>
        <w:t>Privacy Act 1988</w:t>
      </w:r>
      <w:r>
        <w:t xml:space="preserve"> (Cth) sch 1, </w:t>
      </w:r>
      <w:r>
        <w:rPr>
          <w:lang w:val="en-US"/>
        </w:rPr>
        <w:t>see APP 1, APP 3, APP 6 and APP 11.</w:t>
      </w:r>
    </w:p>
  </w:footnote>
  <w:footnote w:id="26">
    <w:p w14:paraId="75391EDC" w14:textId="0424EEB1" w:rsidR="008D3220" w:rsidRPr="00242E6B" w:rsidRDefault="008D3220">
      <w:pPr>
        <w:pStyle w:val="FootnoteText"/>
        <w:rPr>
          <w:lang w:val="en-US"/>
        </w:rPr>
      </w:pPr>
      <w:r>
        <w:rPr>
          <w:rStyle w:val="FootnoteReference"/>
        </w:rPr>
        <w:footnoteRef/>
      </w:r>
      <w:r>
        <w:t xml:space="preserve"> </w:t>
      </w:r>
      <w:r>
        <w:rPr>
          <w:lang w:val="en-US"/>
        </w:rPr>
        <w:t xml:space="preserve">See also </w:t>
      </w:r>
      <w:r w:rsidRPr="00F363D9">
        <w:rPr>
          <w:lang w:val="en-US"/>
        </w:rPr>
        <w:t>‘</w:t>
      </w:r>
      <w:r w:rsidRPr="007C366D">
        <w:rPr>
          <w:lang w:val="en-US"/>
        </w:rPr>
        <w:t>What is a health service provider?</w:t>
      </w:r>
      <w:r>
        <w:rPr>
          <w:i/>
          <w:lang w:val="en-US"/>
        </w:rPr>
        <w:t xml:space="preserve">’, </w:t>
      </w:r>
      <w:r w:rsidRPr="007C366D">
        <w:rPr>
          <w:i/>
          <w:lang w:val="en-US"/>
        </w:rPr>
        <w:t>Office of the Australian Information Commissioner</w:t>
      </w:r>
      <w:r>
        <w:rPr>
          <w:lang w:val="en-US"/>
        </w:rPr>
        <w:t xml:space="preserve">  (Web Page) &lt;</w:t>
      </w:r>
      <w:r w:rsidRPr="00242E6B">
        <w:rPr>
          <w:lang w:val="en-US"/>
        </w:rPr>
        <w:t>https://www.oaic.gov.au/privacy/health-information/what-is-a-health-service-provider</w:t>
      </w:r>
      <w:r>
        <w:rPr>
          <w:lang w:val="en-US"/>
        </w:rPr>
        <w:t xml:space="preserve">&gt;. </w:t>
      </w:r>
    </w:p>
  </w:footnote>
  <w:footnote w:id="27">
    <w:p w14:paraId="5518E47E" w14:textId="17E5B95F" w:rsidR="008D3220" w:rsidRPr="008C0AAF" w:rsidRDefault="008D3220">
      <w:pPr>
        <w:pStyle w:val="FootnoteText"/>
        <w:rPr>
          <w:lang w:val="en-US"/>
        </w:rPr>
      </w:pPr>
      <w:r>
        <w:rPr>
          <w:rStyle w:val="FootnoteReference"/>
        </w:rPr>
        <w:footnoteRef/>
      </w:r>
      <w:r>
        <w:t xml:space="preserve"> </w:t>
      </w:r>
      <w:r w:rsidRPr="008C0AAF">
        <w:rPr>
          <w:i/>
          <w:lang w:val="en-US"/>
        </w:rPr>
        <w:t>Health Ombudsman Act 2013</w:t>
      </w:r>
      <w:r>
        <w:rPr>
          <w:lang w:val="en-US"/>
        </w:rPr>
        <w:t xml:space="preserve">  s 7.</w:t>
      </w:r>
    </w:p>
  </w:footnote>
  <w:footnote w:id="28">
    <w:p w14:paraId="6476C0C8" w14:textId="432387E5" w:rsidR="008D3220" w:rsidRPr="00ED13EC" w:rsidRDefault="008D3220">
      <w:pPr>
        <w:pStyle w:val="FootnoteText"/>
        <w:rPr>
          <w:lang w:val="en-US"/>
        </w:rPr>
      </w:pPr>
      <w:r>
        <w:rPr>
          <w:rStyle w:val="FootnoteReference"/>
        </w:rPr>
        <w:footnoteRef/>
      </w:r>
      <w:r>
        <w:t xml:space="preserve"> </w:t>
      </w:r>
      <w:r>
        <w:rPr>
          <w:lang w:val="en-US"/>
        </w:rPr>
        <w:t xml:space="preserve">Explanatory Notes, Health and Other Legislation Amendment Bill 2016 24. </w:t>
      </w:r>
    </w:p>
  </w:footnote>
  <w:footnote w:id="29">
    <w:p w14:paraId="5DAC551A" w14:textId="78410BBC" w:rsidR="008D3220" w:rsidRPr="00F92CFB" w:rsidRDefault="008D3220">
      <w:pPr>
        <w:pStyle w:val="FootnoteText"/>
        <w:rPr>
          <w:lang w:val="en-US"/>
        </w:rPr>
      </w:pPr>
      <w:r>
        <w:rPr>
          <w:rStyle w:val="FootnoteReference"/>
        </w:rPr>
        <w:footnoteRef/>
      </w:r>
      <w:r>
        <w:t xml:space="preserve"> </w:t>
      </w:r>
      <w:r w:rsidR="00242085">
        <w:t xml:space="preserve">It appears that </w:t>
      </w:r>
      <w:r w:rsidR="00425643">
        <w:t>patients can limit access to The Viewer to particular professions or entirely:</w:t>
      </w:r>
      <w:r w:rsidR="00242085">
        <w:t xml:space="preserve"> see </w:t>
      </w:r>
      <w:r>
        <w:t>Public Briefing – State Development and Regional Industries Committee Inquiry into the Health and Other Legislation Amendment Bill 2021, Queensland Parliament, Transcript of Proceedings, 14 December 2021, 9 (James Liddy), &lt;</w:t>
      </w:r>
      <w:r w:rsidRPr="000F46DC">
        <w:t>https://documents.parliament.qld.gov.au/com/SDRIC-F506/HOLAB2021-09E5/Proof%20-%2014%20December%202021.pdf</w:t>
      </w:r>
      <w:r>
        <w:t>&gt;.</w:t>
      </w:r>
      <w:r>
        <w:rPr>
          <w:lang w:val="en-US"/>
        </w:rPr>
        <w:t xml:space="preserve"> </w:t>
      </w:r>
    </w:p>
  </w:footnote>
  <w:footnote w:id="30">
    <w:p w14:paraId="3C058F6F" w14:textId="30B9E90F" w:rsidR="008D3220" w:rsidRPr="00AC6E99" w:rsidRDefault="008D3220">
      <w:pPr>
        <w:pStyle w:val="FootnoteText"/>
        <w:rPr>
          <w:lang w:val="en-US"/>
        </w:rPr>
      </w:pPr>
      <w:r>
        <w:rPr>
          <w:rStyle w:val="FootnoteReference"/>
        </w:rPr>
        <w:footnoteRef/>
      </w:r>
      <w:r>
        <w:t xml:space="preserve"> </w:t>
      </w:r>
      <w:r>
        <w:rPr>
          <w:lang w:val="en-US"/>
        </w:rPr>
        <w:t xml:space="preserve">Some of these options have been adapted from recommendations made by the Crime and Corruption Commission Queensland in their report, </w:t>
      </w:r>
      <w:r w:rsidRPr="00ED13EC">
        <w:rPr>
          <w:i/>
          <w:lang w:val="en-US"/>
        </w:rPr>
        <w:t>Operation Impala</w:t>
      </w:r>
      <w:r>
        <w:rPr>
          <w:i/>
          <w:lang w:val="en-US"/>
        </w:rPr>
        <w:t>:</w:t>
      </w:r>
      <w:r>
        <w:rPr>
          <w:lang w:val="en-US"/>
        </w:rPr>
        <w:t xml:space="preserve"> </w:t>
      </w:r>
      <w:r w:rsidRPr="00547AD6">
        <w:rPr>
          <w:i/>
          <w:lang w:val="en-US"/>
        </w:rPr>
        <w:t>Report on misuse of confidential information in the Queensland public sector</w:t>
      </w:r>
      <w:r>
        <w:rPr>
          <w:i/>
          <w:lang w:val="en-US"/>
        </w:rPr>
        <w:t xml:space="preserve"> </w:t>
      </w:r>
      <w:r w:rsidRPr="00547AD6">
        <w:rPr>
          <w:lang w:val="en-US"/>
        </w:rPr>
        <w:t>(</w:t>
      </w:r>
      <w:r>
        <w:rPr>
          <w:lang w:val="en-US"/>
        </w:rPr>
        <w:t>February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FDF"/>
    <w:multiLevelType w:val="hybridMultilevel"/>
    <w:tmpl w:val="ED185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560980"/>
    <w:multiLevelType w:val="hybridMultilevel"/>
    <w:tmpl w:val="EB4E9434"/>
    <w:lvl w:ilvl="0" w:tplc="58182B38">
      <w:start w:val="5"/>
      <w:numFmt w:val="bullet"/>
      <w:lvlText w:val=""/>
      <w:lvlJc w:val="left"/>
      <w:pPr>
        <w:ind w:left="720" w:hanging="360"/>
      </w:pPr>
      <w:rPr>
        <w:rFonts w:ascii="Symbol" w:eastAsia="Times New Roman" w:hAnsi="Symbol" w:cs="Segoe U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B428D6"/>
    <w:multiLevelType w:val="hybridMultilevel"/>
    <w:tmpl w:val="FA0C5A22"/>
    <w:lvl w:ilvl="0" w:tplc="F9B65CB4">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E2C6230"/>
    <w:multiLevelType w:val="hybridMultilevel"/>
    <w:tmpl w:val="E60E4294"/>
    <w:lvl w:ilvl="0" w:tplc="2D92953E">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50E7E"/>
    <w:multiLevelType w:val="multilevel"/>
    <w:tmpl w:val="5A68C29E"/>
    <w:lvl w:ilvl="0">
      <w:start w:val="1"/>
      <w:numFmt w:val="decimal"/>
      <w:pStyle w:val="Numberedparagraph"/>
      <w:lvlText w:val="%1."/>
      <w:lvlJc w:val="left"/>
      <w:pPr>
        <w:ind w:left="3545"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6" w15:restartNumberingAfterBreak="0">
    <w:nsid w:val="1BB225F6"/>
    <w:multiLevelType w:val="hybridMultilevel"/>
    <w:tmpl w:val="6D7218F6"/>
    <w:lvl w:ilvl="0" w:tplc="0C090001">
      <w:numFmt w:val="bullet"/>
      <w:lvlText w:val=""/>
      <w:lvlJc w:val="left"/>
      <w:pPr>
        <w:ind w:left="360" w:hanging="360"/>
      </w:pPr>
      <w:rPr>
        <w:rFonts w:ascii="Symbol" w:eastAsia="Times New Roman" w:hAnsi="Symbol"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B8A1226"/>
    <w:multiLevelType w:val="hybridMultilevel"/>
    <w:tmpl w:val="8D7EA74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9" w15:restartNumberingAfterBreak="0">
    <w:nsid w:val="3C7044F7"/>
    <w:multiLevelType w:val="multilevel"/>
    <w:tmpl w:val="0AA6C450"/>
    <w:lvl w:ilvl="0">
      <w:start w:val="1"/>
      <w:numFmt w:val="decimal"/>
      <w:lvlText w:val="%1."/>
      <w:lvlJc w:val="left"/>
      <w:pPr>
        <w:ind w:left="567" w:hanging="567"/>
      </w:pPr>
      <w:rPr>
        <w:rFonts w:hint="default"/>
      </w:rPr>
    </w:lvl>
    <w:lvl w:ilvl="1">
      <w:start w:val="1"/>
      <w:numFmt w:val="bullet"/>
      <w:lvlText w:val=""/>
      <w:lvlJc w:val="left"/>
      <w:pPr>
        <w:ind w:left="907" w:hanging="283"/>
      </w:pPr>
      <w:rPr>
        <w:rFonts w:ascii="Symbol" w:hAnsi="Symbol"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0" w15:restartNumberingAfterBreak="0">
    <w:nsid w:val="3F8C2199"/>
    <w:multiLevelType w:val="hybridMultilevel"/>
    <w:tmpl w:val="43021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9A3CA2"/>
    <w:multiLevelType w:val="hybridMultilevel"/>
    <w:tmpl w:val="D66A2E66"/>
    <w:lvl w:ilvl="0" w:tplc="54ACD0C2">
      <w:numFmt w:val="bullet"/>
      <w:lvlText w:val=""/>
      <w:lvlJc w:val="left"/>
      <w:pPr>
        <w:ind w:left="720" w:hanging="360"/>
      </w:pPr>
      <w:rPr>
        <w:rFonts w:ascii="Symbol" w:eastAsia="Calibri" w:hAnsi="Symbol" w:cs="Times New Roman"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3A26D88"/>
    <w:multiLevelType w:val="hybridMultilevel"/>
    <w:tmpl w:val="B5A2A552"/>
    <w:lvl w:ilvl="0" w:tplc="49C8EC88">
      <w:start w:val="2018"/>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D04995"/>
    <w:multiLevelType w:val="hybridMultilevel"/>
    <w:tmpl w:val="34308C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FF2EB4"/>
    <w:multiLevelType w:val="hybridMultilevel"/>
    <w:tmpl w:val="CEA424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9"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967D44"/>
    <w:multiLevelType w:val="hybridMultilevel"/>
    <w:tmpl w:val="F11C3F3A"/>
    <w:lvl w:ilvl="0" w:tplc="0C090019">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3441C1"/>
    <w:multiLevelType w:val="hybridMultilevel"/>
    <w:tmpl w:val="AA46C1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4D170F"/>
    <w:multiLevelType w:val="multilevel"/>
    <w:tmpl w:val="B96AAC2A"/>
    <w:lvl w:ilvl="0">
      <w:start w:val="1"/>
      <w:numFmt w:val="lowerLetter"/>
      <w:lvlText w:val="%1."/>
      <w:lvlJc w:val="left"/>
      <w:pPr>
        <w:ind w:left="3545" w:hanging="567"/>
      </w:pPr>
      <w:rPr>
        <w:rFonts w:hint="default"/>
      </w:rPr>
    </w:lvl>
    <w:lvl w:ilvl="1">
      <w:start w:val="1"/>
      <w:numFmt w:val="lowerLetter"/>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3" w15:restartNumberingAfterBreak="0">
    <w:nsid w:val="5FB45720"/>
    <w:multiLevelType w:val="multilevel"/>
    <w:tmpl w:val="45706DBA"/>
    <w:lvl w:ilvl="0">
      <w:start w:val="1"/>
      <w:numFmt w:val="decimal"/>
      <w:lvlText w:val="%1."/>
      <w:lvlJc w:val="left"/>
      <w:pPr>
        <w:ind w:left="567" w:hanging="567"/>
      </w:pPr>
      <w:rPr>
        <w:rFonts w:hint="default"/>
      </w:rPr>
    </w:lvl>
    <w:lvl w:ilvl="1">
      <w:start w:val="1"/>
      <w:numFmt w:val="decimal"/>
      <w:lvlText w:val="%2."/>
      <w:lvlJc w:val="left"/>
      <w:pPr>
        <w:ind w:left="907" w:hanging="283"/>
      </w:pPr>
      <w:rPr>
        <w:rFonts w:hint="default"/>
        <w:b w:val="0"/>
        <w:i w:val="0"/>
        <w:sz w:val="24"/>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4"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8" w15:restartNumberingAfterBreak="0">
    <w:nsid w:val="69CE60EA"/>
    <w:multiLevelType w:val="hybridMultilevel"/>
    <w:tmpl w:val="7E7E1C18"/>
    <w:lvl w:ilvl="0" w:tplc="FA3A4D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71E6651A"/>
    <w:multiLevelType w:val="hybridMultilevel"/>
    <w:tmpl w:val="EA3CBD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32"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31"/>
  </w:num>
  <w:num w:numId="4">
    <w:abstractNumId w:val="16"/>
  </w:num>
  <w:num w:numId="5">
    <w:abstractNumId w:val="19"/>
  </w:num>
  <w:num w:numId="6">
    <w:abstractNumId w:val="25"/>
  </w:num>
  <w:num w:numId="7">
    <w:abstractNumId w:val="2"/>
  </w:num>
  <w:num w:numId="8">
    <w:abstractNumId w:val="17"/>
  </w:num>
  <w:num w:numId="9">
    <w:abstractNumId w:val="29"/>
  </w:num>
  <w:num w:numId="10">
    <w:abstractNumId w:val="32"/>
  </w:num>
  <w:num w:numId="11">
    <w:abstractNumId w:val="26"/>
  </w:num>
  <w:num w:numId="12">
    <w:abstractNumId w:val="18"/>
  </w:num>
  <w:num w:numId="13">
    <w:abstractNumId w:val="5"/>
  </w:num>
  <w:num w:numId="14">
    <w:abstractNumId w:val="8"/>
  </w:num>
  <w:num w:numId="15">
    <w:abstractNumId w:val="16"/>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7"/>
  </w:num>
  <w:num w:numId="17">
    <w:abstractNumId w:val="23"/>
  </w:num>
  <w:num w:numId="18">
    <w:abstractNumId w:val="3"/>
  </w:num>
  <w:num w:numId="19">
    <w:abstractNumId w:val="9"/>
  </w:num>
  <w:num w:numId="20">
    <w:abstractNumId w:val="30"/>
  </w:num>
  <w:num w:numId="21">
    <w:abstractNumId w:val="1"/>
  </w:num>
  <w:num w:numId="22">
    <w:abstractNumId w:val="5"/>
    <w:lvlOverride w:ilvl="0">
      <w:lvl w:ilvl="0">
        <w:start w:val="1"/>
        <w:numFmt w:val="decimal"/>
        <w:pStyle w:val="Numberedparagraph"/>
        <w:lvlText w:val="%1."/>
        <w:lvlJc w:val="left"/>
        <w:pPr>
          <w:ind w:left="567" w:hanging="567"/>
        </w:pPr>
        <w:rPr>
          <w:rFonts w:hint="default"/>
          <w:b w:val="0"/>
          <w:i w:val="0"/>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3">
    <w:abstractNumId w:val="33"/>
  </w:num>
  <w:num w:numId="24">
    <w:abstractNumId w:val="11"/>
  </w:num>
  <w:num w:numId="25">
    <w:abstractNumId w:val="7"/>
  </w:num>
  <w:num w:numId="26">
    <w:abstractNumId w:val="6"/>
  </w:num>
  <w:num w:numId="27">
    <w:abstractNumId w:val="28"/>
  </w:num>
  <w:num w:numId="28">
    <w:abstractNumId w:val="13"/>
  </w:num>
  <w:num w:numId="29">
    <w:abstractNumId w:val="0"/>
  </w:num>
  <w:num w:numId="30">
    <w:abstractNumId w:val="10"/>
  </w:num>
  <w:num w:numId="31">
    <w:abstractNumId w:val="4"/>
  </w:num>
  <w:num w:numId="32">
    <w:abstractNumId w:val="15"/>
  </w:num>
  <w:num w:numId="33">
    <w:abstractNumId w:val="22"/>
  </w:num>
  <w:num w:numId="34">
    <w:abstractNumId w:val="12"/>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53C"/>
    <w:rsid w:val="000019CD"/>
    <w:rsid w:val="00002F05"/>
    <w:rsid w:val="000050A9"/>
    <w:rsid w:val="00010413"/>
    <w:rsid w:val="00016B77"/>
    <w:rsid w:val="0002351E"/>
    <w:rsid w:val="0002359F"/>
    <w:rsid w:val="00035E3F"/>
    <w:rsid w:val="0004063A"/>
    <w:rsid w:val="00041DF0"/>
    <w:rsid w:val="00041E58"/>
    <w:rsid w:val="00044A7F"/>
    <w:rsid w:val="00045B46"/>
    <w:rsid w:val="00047983"/>
    <w:rsid w:val="00052055"/>
    <w:rsid w:val="00054120"/>
    <w:rsid w:val="00055FD6"/>
    <w:rsid w:val="00056960"/>
    <w:rsid w:val="00057023"/>
    <w:rsid w:val="00057D21"/>
    <w:rsid w:val="000608F0"/>
    <w:rsid w:val="00063EDF"/>
    <w:rsid w:val="00067841"/>
    <w:rsid w:val="00072CE6"/>
    <w:rsid w:val="000731D3"/>
    <w:rsid w:val="00074011"/>
    <w:rsid w:val="00075AB0"/>
    <w:rsid w:val="0007682B"/>
    <w:rsid w:val="000838E5"/>
    <w:rsid w:val="000911DC"/>
    <w:rsid w:val="00092BC6"/>
    <w:rsid w:val="000935D5"/>
    <w:rsid w:val="00093A89"/>
    <w:rsid w:val="00095FBB"/>
    <w:rsid w:val="00096517"/>
    <w:rsid w:val="000A201B"/>
    <w:rsid w:val="000A6594"/>
    <w:rsid w:val="000B171E"/>
    <w:rsid w:val="000B38DD"/>
    <w:rsid w:val="000B6C72"/>
    <w:rsid w:val="000B794F"/>
    <w:rsid w:val="000C1C8A"/>
    <w:rsid w:val="000C3BD6"/>
    <w:rsid w:val="000C788E"/>
    <w:rsid w:val="000D058B"/>
    <w:rsid w:val="000D49A5"/>
    <w:rsid w:val="000E0DBF"/>
    <w:rsid w:val="000E1039"/>
    <w:rsid w:val="000E1549"/>
    <w:rsid w:val="000F0BC1"/>
    <w:rsid w:val="000F2408"/>
    <w:rsid w:val="000F4098"/>
    <w:rsid w:val="000F46DC"/>
    <w:rsid w:val="00100C48"/>
    <w:rsid w:val="00105217"/>
    <w:rsid w:val="00105E8A"/>
    <w:rsid w:val="001066BD"/>
    <w:rsid w:val="00107AC4"/>
    <w:rsid w:val="0011124A"/>
    <w:rsid w:val="001148EB"/>
    <w:rsid w:val="00115A63"/>
    <w:rsid w:val="00121E6F"/>
    <w:rsid w:val="00123AFE"/>
    <w:rsid w:val="00124A35"/>
    <w:rsid w:val="001304EE"/>
    <w:rsid w:val="00135057"/>
    <w:rsid w:val="00140796"/>
    <w:rsid w:val="00142B69"/>
    <w:rsid w:val="00154F98"/>
    <w:rsid w:val="0015636B"/>
    <w:rsid w:val="00157D0F"/>
    <w:rsid w:val="00174507"/>
    <w:rsid w:val="00176FBD"/>
    <w:rsid w:val="00177C6D"/>
    <w:rsid w:val="001825CB"/>
    <w:rsid w:val="00182865"/>
    <w:rsid w:val="00182E06"/>
    <w:rsid w:val="00185F33"/>
    <w:rsid w:val="00190995"/>
    <w:rsid w:val="001916E4"/>
    <w:rsid w:val="0019203A"/>
    <w:rsid w:val="00195E9F"/>
    <w:rsid w:val="001A12BD"/>
    <w:rsid w:val="001B1A27"/>
    <w:rsid w:val="001B221A"/>
    <w:rsid w:val="001B53EE"/>
    <w:rsid w:val="001B5470"/>
    <w:rsid w:val="001B57C6"/>
    <w:rsid w:val="001C01FD"/>
    <w:rsid w:val="001C0294"/>
    <w:rsid w:val="001C127F"/>
    <w:rsid w:val="001D39E4"/>
    <w:rsid w:val="001D50C0"/>
    <w:rsid w:val="001D6B2C"/>
    <w:rsid w:val="001D7758"/>
    <w:rsid w:val="001D7BCA"/>
    <w:rsid w:val="001E3A26"/>
    <w:rsid w:val="001F3F19"/>
    <w:rsid w:val="001F5F4B"/>
    <w:rsid w:val="00212007"/>
    <w:rsid w:val="00217F93"/>
    <w:rsid w:val="0022130B"/>
    <w:rsid w:val="00227178"/>
    <w:rsid w:val="00233F52"/>
    <w:rsid w:val="00235527"/>
    <w:rsid w:val="00240EF9"/>
    <w:rsid w:val="0024194E"/>
    <w:rsid w:val="00242085"/>
    <w:rsid w:val="00242E6B"/>
    <w:rsid w:val="00244D8B"/>
    <w:rsid w:val="00247ADB"/>
    <w:rsid w:val="00250D51"/>
    <w:rsid w:val="00253B42"/>
    <w:rsid w:val="002662C5"/>
    <w:rsid w:val="00275613"/>
    <w:rsid w:val="00283D88"/>
    <w:rsid w:val="00284FF0"/>
    <w:rsid w:val="00292C50"/>
    <w:rsid w:val="0029645A"/>
    <w:rsid w:val="00296DE2"/>
    <w:rsid w:val="002A03F1"/>
    <w:rsid w:val="002B65D4"/>
    <w:rsid w:val="002C0D94"/>
    <w:rsid w:val="002C0D9A"/>
    <w:rsid w:val="002C5396"/>
    <w:rsid w:val="002D46A2"/>
    <w:rsid w:val="002D60ED"/>
    <w:rsid w:val="002D7194"/>
    <w:rsid w:val="002E433B"/>
    <w:rsid w:val="002E5D36"/>
    <w:rsid w:val="002E6E82"/>
    <w:rsid w:val="002F25CB"/>
    <w:rsid w:val="002F44D2"/>
    <w:rsid w:val="00301F40"/>
    <w:rsid w:val="00304242"/>
    <w:rsid w:val="0030694A"/>
    <w:rsid w:val="00310CB2"/>
    <w:rsid w:val="00312C2A"/>
    <w:rsid w:val="0031572D"/>
    <w:rsid w:val="003204FA"/>
    <w:rsid w:val="00321445"/>
    <w:rsid w:val="00322D54"/>
    <w:rsid w:val="0032516B"/>
    <w:rsid w:val="00325CF5"/>
    <w:rsid w:val="0033216F"/>
    <w:rsid w:val="0034134D"/>
    <w:rsid w:val="003416E6"/>
    <w:rsid w:val="00344906"/>
    <w:rsid w:val="00344F59"/>
    <w:rsid w:val="0034706A"/>
    <w:rsid w:val="00350D39"/>
    <w:rsid w:val="00352939"/>
    <w:rsid w:val="0035654D"/>
    <w:rsid w:val="003615E3"/>
    <w:rsid w:val="00362D36"/>
    <w:rsid w:val="00370336"/>
    <w:rsid w:val="00371372"/>
    <w:rsid w:val="00372E57"/>
    <w:rsid w:val="00375152"/>
    <w:rsid w:val="00375B04"/>
    <w:rsid w:val="0038345D"/>
    <w:rsid w:val="003847F0"/>
    <w:rsid w:val="00391C1E"/>
    <w:rsid w:val="00392522"/>
    <w:rsid w:val="00392F0C"/>
    <w:rsid w:val="00393009"/>
    <w:rsid w:val="00395332"/>
    <w:rsid w:val="00396692"/>
    <w:rsid w:val="003A033C"/>
    <w:rsid w:val="003A666E"/>
    <w:rsid w:val="003B197E"/>
    <w:rsid w:val="003B7A38"/>
    <w:rsid w:val="003C1633"/>
    <w:rsid w:val="003C2709"/>
    <w:rsid w:val="003C296F"/>
    <w:rsid w:val="003C6A61"/>
    <w:rsid w:val="003D0C1A"/>
    <w:rsid w:val="003D3AAC"/>
    <w:rsid w:val="003D625C"/>
    <w:rsid w:val="003E31FF"/>
    <w:rsid w:val="003E691E"/>
    <w:rsid w:val="003E77C4"/>
    <w:rsid w:val="003F04BE"/>
    <w:rsid w:val="003F4F4D"/>
    <w:rsid w:val="003F6F7E"/>
    <w:rsid w:val="00400A55"/>
    <w:rsid w:val="00405385"/>
    <w:rsid w:val="00413721"/>
    <w:rsid w:val="004170D6"/>
    <w:rsid w:val="00421429"/>
    <w:rsid w:val="00424212"/>
    <w:rsid w:val="00424DF5"/>
    <w:rsid w:val="00425643"/>
    <w:rsid w:val="0043159A"/>
    <w:rsid w:val="00431D51"/>
    <w:rsid w:val="004418EC"/>
    <w:rsid w:val="004424F3"/>
    <w:rsid w:val="00444C2A"/>
    <w:rsid w:val="00446C13"/>
    <w:rsid w:val="004502E2"/>
    <w:rsid w:val="00451416"/>
    <w:rsid w:val="004538FC"/>
    <w:rsid w:val="0045470A"/>
    <w:rsid w:val="00457400"/>
    <w:rsid w:val="0045765D"/>
    <w:rsid w:val="00462F46"/>
    <w:rsid w:val="00463BEF"/>
    <w:rsid w:val="00466216"/>
    <w:rsid w:val="004857D5"/>
    <w:rsid w:val="00487F5C"/>
    <w:rsid w:val="004952A1"/>
    <w:rsid w:val="004A2375"/>
    <w:rsid w:val="004A5969"/>
    <w:rsid w:val="004A6F71"/>
    <w:rsid w:val="004B0599"/>
    <w:rsid w:val="004B1143"/>
    <w:rsid w:val="004B71ED"/>
    <w:rsid w:val="004C153C"/>
    <w:rsid w:val="004C17FC"/>
    <w:rsid w:val="004C2886"/>
    <w:rsid w:val="004C4282"/>
    <w:rsid w:val="004D72EA"/>
    <w:rsid w:val="004E1FCA"/>
    <w:rsid w:val="004E37E2"/>
    <w:rsid w:val="004E3D6B"/>
    <w:rsid w:val="004E4397"/>
    <w:rsid w:val="004E58C1"/>
    <w:rsid w:val="004E794E"/>
    <w:rsid w:val="004F2CB8"/>
    <w:rsid w:val="004F2E67"/>
    <w:rsid w:val="004F459A"/>
    <w:rsid w:val="004F4CB1"/>
    <w:rsid w:val="00500633"/>
    <w:rsid w:val="005009D5"/>
    <w:rsid w:val="0050254D"/>
    <w:rsid w:val="00502924"/>
    <w:rsid w:val="005076D8"/>
    <w:rsid w:val="00516283"/>
    <w:rsid w:val="00517D74"/>
    <w:rsid w:val="00521153"/>
    <w:rsid w:val="00533363"/>
    <w:rsid w:val="00546CDB"/>
    <w:rsid w:val="00547AD6"/>
    <w:rsid w:val="005578C7"/>
    <w:rsid w:val="005644BB"/>
    <w:rsid w:val="00564F1D"/>
    <w:rsid w:val="00574FE9"/>
    <w:rsid w:val="00580083"/>
    <w:rsid w:val="00581FA5"/>
    <w:rsid w:val="00590C85"/>
    <w:rsid w:val="005916EB"/>
    <w:rsid w:val="00596142"/>
    <w:rsid w:val="0059734C"/>
    <w:rsid w:val="005A012E"/>
    <w:rsid w:val="005A0D95"/>
    <w:rsid w:val="005A18D5"/>
    <w:rsid w:val="005B1A49"/>
    <w:rsid w:val="005B3C83"/>
    <w:rsid w:val="005B404C"/>
    <w:rsid w:val="005B7E50"/>
    <w:rsid w:val="005C1571"/>
    <w:rsid w:val="005C2D2A"/>
    <w:rsid w:val="005C39F7"/>
    <w:rsid w:val="005C3FB8"/>
    <w:rsid w:val="005D453D"/>
    <w:rsid w:val="005D56F7"/>
    <w:rsid w:val="005D5A16"/>
    <w:rsid w:val="005E124C"/>
    <w:rsid w:val="005E1431"/>
    <w:rsid w:val="005E452A"/>
    <w:rsid w:val="005E5159"/>
    <w:rsid w:val="005F0F47"/>
    <w:rsid w:val="005F3EFE"/>
    <w:rsid w:val="00603F14"/>
    <w:rsid w:val="00612898"/>
    <w:rsid w:val="00617E4F"/>
    <w:rsid w:val="00627334"/>
    <w:rsid w:val="006335BE"/>
    <w:rsid w:val="00634C19"/>
    <w:rsid w:val="006379A4"/>
    <w:rsid w:val="00644E93"/>
    <w:rsid w:val="006466AD"/>
    <w:rsid w:val="0064670A"/>
    <w:rsid w:val="00647FEF"/>
    <w:rsid w:val="00656540"/>
    <w:rsid w:val="00670CAE"/>
    <w:rsid w:val="00671572"/>
    <w:rsid w:val="006755F8"/>
    <w:rsid w:val="006769BF"/>
    <w:rsid w:val="00680709"/>
    <w:rsid w:val="00692C96"/>
    <w:rsid w:val="00694221"/>
    <w:rsid w:val="006A245C"/>
    <w:rsid w:val="006A28D1"/>
    <w:rsid w:val="006A39A0"/>
    <w:rsid w:val="006A7B3A"/>
    <w:rsid w:val="006C77A4"/>
    <w:rsid w:val="006D0CD6"/>
    <w:rsid w:val="006E2F65"/>
    <w:rsid w:val="006E366D"/>
    <w:rsid w:val="006E7ACA"/>
    <w:rsid w:val="006F04DF"/>
    <w:rsid w:val="006F0979"/>
    <w:rsid w:val="006F1EFD"/>
    <w:rsid w:val="006F1F8D"/>
    <w:rsid w:val="006F2ACC"/>
    <w:rsid w:val="006F4466"/>
    <w:rsid w:val="006F67BA"/>
    <w:rsid w:val="006F7C74"/>
    <w:rsid w:val="00701B00"/>
    <w:rsid w:val="00701BE5"/>
    <w:rsid w:val="00703F8D"/>
    <w:rsid w:val="007069A1"/>
    <w:rsid w:val="00706A05"/>
    <w:rsid w:val="00724BF5"/>
    <w:rsid w:val="00730224"/>
    <w:rsid w:val="00735BA1"/>
    <w:rsid w:val="00736E66"/>
    <w:rsid w:val="00737B51"/>
    <w:rsid w:val="00751AE0"/>
    <w:rsid w:val="0075267C"/>
    <w:rsid w:val="007619FB"/>
    <w:rsid w:val="00763604"/>
    <w:rsid w:val="00770DD3"/>
    <w:rsid w:val="00771B3B"/>
    <w:rsid w:val="00786CF2"/>
    <w:rsid w:val="00797042"/>
    <w:rsid w:val="007A45D7"/>
    <w:rsid w:val="007A610D"/>
    <w:rsid w:val="007A7F9D"/>
    <w:rsid w:val="007B538A"/>
    <w:rsid w:val="007C1C58"/>
    <w:rsid w:val="007C238A"/>
    <w:rsid w:val="007C2C44"/>
    <w:rsid w:val="007C366D"/>
    <w:rsid w:val="007C47D8"/>
    <w:rsid w:val="007C510E"/>
    <w:rsid w:val="007C62E7"/>
    <w:rsid w:val="007C7678"/>
    <w:rsid w:val="007D0694"/>
    <w:rsid w:val="007D0AF8"/>
    <w:rsid w:val="007D6B55"/>
    <w:rsid w:val="007E06A3"/>
    <w:rsid w:val="007E3B2B"/>
    <w:rsid w:val="007F042E"/>
    <w:rsid w:val="007F4F44"/>
    <w:rsid w:val="0080290B"/>
    <w:rsid w:val="008037F9"/>
    <w:rsid w:val="00805768"/>
    <w:rsid w:val="008101EC"/>
    <w:rsid w:val="00810AFA"/>
    <w:rsid w:val="008228DE"/>
    <w:rsid w:val="00826E15"/>
    <w:rsid w:val="00827429"/>
    <w:rsid w:val="00837914"/>
    <w:rsid w:val="008470F3"/>
    <w:rsid w:val="00850155"/>
    <w:rsid w:val="0086439D"/>
    <w:rsid w:val="008655B9"/>
    <w:rsid w:val="00867AFD"/>
    <w:rsid w:val="00870B93"/>
    <w:rsid w:val="00871324"/>
    <w:rsid w:val="00875CB3"/>
    <w:rsid w:val="00877936"/>
    <w:rsid w:val="00887F02"/>
    <w:rsid w:val="00891447"/>
    <w:rsid w:val="00891B8C"/>
    <w:rsid w:val="0089208D"/>
    <w:rsid w:val="008930A1"/>
    <w:rsid w:val="008970A8"/>
    <w:rsid w:val="008B0352"/>
    <w:rsid w:val="008B3191"/>
    <w:rsid w:val="008B5C63"/>
    <w:rsid w:val="008C0A08"/>
    <w:rsid w:val="008C0AAF"/>
    <w:rsid w:val="008C3D59"/>
    <w:rsid w:val="008C6189"/>
    <w:rsid w:val="008D29B3"/>
    <w:rsid w:val="008D3220"/>
    <w:rsid w:val="008D4004"/>
    <w:rsid w:val="008D4D8D"/>
    <w:rsid w:val="008E2996"/>
    <w:rsid w:val="008E2FB8"/>
    <w:rsid w:val="008E304C"/>
    <w:rsid w:val="008E792D"/>
    <w:rsid w:val="008F4090"/>
    <w:rsid w:val="0090102E"/>
    <w:rsid w:val="00905A21"/>
    <w:rsid w:val="009116DC"/>
    <w:rsid w:val="00912E7D"/>
    <w:rsid w:val="00914828"/>
    <w:rsid w:val="0093160F"/>
    <w:rsid w:val="00936461"/>
    <w:rsid w:val="00936C1C"/>
    <w:rsid w:val="00937CB1"/>
    <w:rsid w:val="009400C2"/>
    <w:rsid w:val="00951FB9"/>
    <w:rsid w:val="00963363"/>
    <w:rsid w:val="0097281C"/>
    <w:rsid w:val="00972B08"/>
    <w:rsid w:val="0097407C"/>
    <w:rsid w:val="009746DD"/>
    <w:rsid w:val="009765CE"/>
    <w:rsid w:val="009807E0"/>
    <w:rsid w:val="0098626A"/>
    <w:rsid w:val="00987057"/>
    <w:rsid w:val="00997BC2"/>
    <w:rsid w:val="009A556B"/>
    <w:rsid w:val="009A5DA9"/>
    <w:rsid w:val="009A6175"/>
    <w:rsid w:val="009C493F"/>
    <w:rsid w:val="009C520A"/>
    <w:rsid w:val="009D060F"/>
    <w:rsid w:val="009D3109"/>
    <w:rsid w:val="009D3B40"/>
    <w:rsid w:val="009D5730"/>
    <w:rsid w:val="009E1065"/>
    <w:rsid w:val="009F25DD"/>
    <w:rsid w:val="009F3E8A"/>
    <w:rsid w:val="009F5034"/>
    <w:rsid w:val="009F7C77"/>
    <w:rsid w:val="00A0082F"/>
    <w:rsid w:val="00A01A12"/>
    <w:rsid w:val="00A023C1"/>
    <w:rsid w:val="00A06D40"/>
    <w:rsid w:val="00A1368B"/>
    <w:rsid w:val="00A14D73"/>
    <w:rsid w:val="00A16356"/>
    <w:rsid w:val="00A20F7A"/>
    <w:rsid w:val="00A30198"/>
    <w:rsid w:val="00A359CC"/>
    <w:rsid w:val="00A35BBA"/>
    <w:rsid w:val="00A419C1"/>
    <w:rsid w:val="00A45369"/>
    <w:rsid w:val="00A4708D"/>
    <w:rsid w:val="00A47F64"/>
    <w:rsid w:val="00A53D1F"/>
    <w:rsid w:val="00A62042"/>
    <w:rsid w:val="00A647AB"/>
    <w:rsid w:val="00A70E36"/>
    <w:rsid w:val="00A71B0B"/>
    <w:rsid w:val="00A75830"/>
    <w:rsid w:val="00A77386"/>
    <w:rsid w:val="00A8148B"/>
    <w:rsid w:val="00A84240"/>
    <w:rsid w:val="00A8562E"/>
    <w:rsid w:val="00A90373"/>
    <w:rsid w:val="00A93C7D"/>
    <w:rsid w:val="00A94303"/>
    <w:rsid w:val="00A95DB8"/>
    <w:rsid w:val="00A96D21"/>
    <w:rsid w:val="00AA0E56"/>
    <w:rsid w:val="00AA1E20"/>
    <w:rsid w:val="00AA2348"/>
    <w:rsid w:val="00AA2817"/>
    <w:rsid w:val="00AB3978"/>
    <w:rsid w:val="00AB3F9D"/>
    <w:rsid w:val="00AC115B"/>
    <w:rsid w:val="00AC6E99"/>
    <w:rsid w:val="00AC74B2"/>
    <w:rsid w:val="00AD2940"/>
    <w:rsid w:val="00AE176D"/>
    <w:rsid w:val="00AE2AB7"/>
    <w:rsid w:val="00AE2B8B"/>
    <w:rsid w:val="00AE3A61"/>
    <w:rsid w:val="00AE3D7B"/>
    <w:rsid w:val="00AF0BDD"/>
    <w:rsid w:val="00B03079"/>
    <w:rsid w:val="00B057B6"/>
    <w:rsid w:val="00B13804"/>
    <w:rsid w:val="00B160E3"/>
    <w:rsid w:val="00B16B33"/>
    <w:rsid w:val="00B21AA2"/>
    <w:rsid w:val="00B24620"/>
    <w:rsid w:val="00B30681"/>
    <w:rsid w:val="00B32265"/>
    <w:rsid w:val="00B32E90"/>
    <w:rsid w:val="00B3406C"/>
    <w:rsid w:val="00B34439"/>
    <w:rsid w:val="00B360EA"/>
    <w:rsid w:val="00B41356"/>
    <w:rsid w:val="00B46BAB"/>
    <w:rsid w:val="00B50F67"/>
    <w:rsid w:val="00B55C0E"/>
    <w:rsid w:val="00B573CA"/>
    <w:rsid w:val="00B60465"/>
    <w:rsid w:val="00B643B2"/>
    <w:rsid w:val="00B67E6E"/>
    <w:rsid w:val="00B82CE9"/>
    <w:rsid w:val="00B83AE9"/>
    <w:rsid w:val="00B852C7"/>
    <w:rsid w:val="00B8743D"/>
    <w:rsid w:val="00B87FB4"/>
    <w:rsid w:val="00B91EA6"/>
    <w:rsid w:val="00B92000"/>
    <w:rsid w:val="00B933A9"/>
    <w:rsid w:val="00B93B51"/>
    <w:rsid w:val="00B96D1F"/>
    <w:rsid w:val="00B976F8"/>
    <w:rsid w:val="00BA1B3B"/>
    <w:rsid w:val="00BA32BA"/>
    <w:rsid w:val="00BA5427"/>
    <w:rsid w:val="00BB0B80"/>
    <w:rsid w:val="00BB16D6"/>
    <w:rsid w:val="00BB1983"/>
    <w:rsid w:val="00BB2F50"/>
    <w:rsid w:val="00BC4D93"/>
    <w:rsid w:val="00BD652C"/>
    <w:rsid w:val="00BE3AEC"/>
    <w:rsid w:val="00BE6070"/>
    <w:rsid w:val="00BE7EED"/>
    <w:rsid w:val="00BF39BD"/>
    <w:rsid w:val="00BF46CF"/>
    <w:rsid w:val="00BF4D67"/>
    <w:rsid w:val="00C00761"/>
    <w:rsid w:val="00C036F9"/>
    <w:rsid w:val="00C03E3F"/>
    <w:rsid w:val="00C03F2A"/>
    <w:rsid w:val="00C10D28"/>
    <w:rsid w:val="00C11D46"/>
    <w:rsid w:val="00C134BD"/>
    <w:rsid w:val="00C1511D"/>
    <w:rsid w:val="00C152EE"/>
    <w:rsid w:val="00C210E5"/>
    <w:rsid w:val="00C24D6D"/>
    <w:rsid w:val="00C255F9"/>
    <w:rsid w:val="00C27B77"/>
    <w:rsid w:val="00C33416"/>
    <w:rsid w:val="00C34FB2"/>
    <w:rsid w:val="00C35743"/>
    <w:rsid w:val="00C4116E"/>
    <w:rsid w:val="00C41A1F"/>
    <w:rsid w:val="00C44EE2"/>
    <w:rsid w:val="00C526DC"/>
    <w:rsid w:val="00C57677"/>
    <w:rsid w:val="00C627FD"/>
    <w:rsid w:val="00C641D7"/>
    <w:rsid w:val="00C6563B"/>
    <w:rsid w:val="00C6577F"/>
    <w:rsid w:val="00C66B32"/>
    <w:rsid w:val="00C66E1D"/>
    <w:rsid w:val="00C717A3"/>
    <w:rsid w:val="00C72B2A"/>
    <w:rsid w:val="00C77196"/>
    <w:rsid w:val="00C8115D"/>
    <w:rsid w:val="00C8564F"/>
    <w:rsid w:val="00C92F0C"/>
    <w:rsid w:val="00C96EB1"/>
    <w:rsid w:val="00C9716F"/>
    <w:rsid w:val="00CA162B"/>
    <w:rsid w:val="00CA23CF"/>
    <w:rsid w:val="00CA3A38"/>
    <w:rsid w:val="00CA3ACA"/>
    <w:rsid w:val="00CA4879"/>
    <w:rsid w:val="00CB0BBF"/>
    <w:rsid w:val="00CB4A76"/>
    <w:rsid w:val="00CC2E5C"/>
    <w:rsid w:val="00CD1B73"/>
    <w:rsid w:val="00CD7704"/>
    <w:rsid w:val="00CE14AA"/>
    <w:rsid w:val="00CE4544"/>
    <w:rsid w:val="00CF223D"/>
    <w:rsid w:val="00D04AD7"/>
    <w:rsid w:val="00D102EC"/>
    <w:rsid w:val="00D112EB"/>
    <w:rsid w:val="00D12B14"/>
    <w:rsid w:val="00D17E5F"/>
    <w:rsid w:val="00D207AB"/>
    <w:rsid w:val="00D21103"/>
    <w:rsid w:val="00D21487"/>
    <w:rsid w:val="00D256CD"/>
    <w:rsid w:val="00D26622"/>
    <w:rsid w:val="00D27BB8"/>
    <w:rsid w:val="00D33110"/>
    <w:rsid w:val="00D33FEE"/>
    <w:rsid w:val="00D350A0"/>
    <w:rsid w:val="00D35B0E"/>
    <w:rsid w:val="00D43454"/>
    <w:rsid w:val="00D61B81"/>
    <w:rsid w:val="00D6241A"/>
    <w:rsid w:val="00D64F65"/>
    <w:rsid w:val="00D659AA"/>
    <w:rsid w:val="00D67CAF"/>
    <w:rsid w:val="00D7004A"/>
    <w:rsid w:val="00D74335"/>
    <w:rsid w:val="00D76F2A"/>
    <w:rsid w:val="00D84E3E"/>
    <w:rsid w:val="00D86386"/>
    <w:rsid w:val="00D91DF7"/>
    <w:rsid w:val="00D9310B"/>
    <w:rsid w:val="00D93368"/>
    <w:rsid w:val="00DA071A"/>
    <w:rsid w:val="00DB3826"/>
    <w:rsid w:val="00DC0A10"/>
    <w:rsid w:val="00DC0EDF"/>
    <w:rsid w:val="00DC1B76"/>
    <w:rsid w:val="00DC5000"/>
    <w:rsid w:val="00DC553C"/>
    <w:rsid w:val="00DC7280"/>
    <w:rsid w:val="00DD2998"/>
    <w:rsid w:val="00DD4168"/>
    <w:rsid w:val="00DD420F"/>
    <w:rsid w:val="00DD5B86"/>
    <w:rsid w:val="00DD7883"/>
    <w:rsid w:val="00DE07DB"/>
    <w:rsid w:val="00DE265B"/>
    <w:rsid w:val="00DE62F6"/>
    <w:rsid w:val="00DE7EF3"/>
    <w:rsid w:val="00DF110C"/>
    <w:rsid w:val="00DF50F1"/>
    <w:rsid w:val="00DF5AE3"/>
    <w:rsid w:val="00E02BF6"/>
    <w:rsid w:val="00E0447E"/>
    <w:rsid w:val="00E15E88"/>
    <w:rsid w:val="00E1631A"/>
    <w:rsid w:val="00E24D9A"/>
    <w:rsid w:val="00E3633D"/>
    <w:rsid w:val="00E442C7"/>
    <w:rsid w:val="00E476ED"/>
    <w:rsid w:val="00E52287"/>
    <w:rsid w:val="00E5275E"/>
    <w:rsid w:val="00E53F33"/>
    <w:rsid w:val="00E54B68"/>
    <w:rsid w:val="00E6776E"/>
    <w:rsid w:val="00E723C8"/>
    <w:rsid w:val="00E73F64"/>
    <w:rsid w:val="00E74E4E"/>
    <w:rsid w:val="00E7746A"/>
    <w:rsid w:val="00E91A9E"/>
    <w:rsid w:val="00E940D7"/>
    <w:rsid w:val="00EA0FB4"/>
    <w:rsid w:val="00EA1347"/>
    <w:rsid w:val="00EA4066"/>
    <w:rsid w:val="00EB0948"/>
    <w:rsid w:val="00EB3433"/>
    <w:rsid w:val="00EB5211"/>
    <w:rsid w:val="00EB5972"/>
    <w:rsid w:val="00EB6445"/>
    <w:rsid w:val="00EB7E3E"/>
    <w:rsid w:val="00EC1EA1"/>
    <w:rsid w:val="00EC3F45"/>
    <w:rsid w:val="00EC4641"/>
    <w:rsid w:val="00ED0709"/>
    <w:rsid w:val="00ED13EC"/>
    <w:rsid w:val="00ED426F"/>
    <w:rsid w:val="00ED6006"/>
    <w:rsid w:val="00EE20D8"/>
    <w:rsid w:val="00EE7EC1"/>
    <w:rsid w:val="00EF2CD3"/>
    <w:rsid w:val="00EF5D8C"/>
    <w:rsid w:val="00EF6A35"/>
    <w:rsid w:val="00EF752B"/>
    <w:rsid w:val="00F06FC8"/>
    <w:rsid w:val="00F11F99"/>
    <w:rsid w:val="00F12113"/>
    <w:rsid w:val="00F12660"/>
    <w:rsid w:val="00F1665B"/>
    <w:rsid w:val="00F27757"/>
    <w:rsid w:val="00F363D9"/>
    <w:rsid w:val="00F3739C"/>
    <w:rsid w:val="00F4420D"/>
    <w:rsid w:val="00F461E3"/>
    <w:rsid w:val="00F47033"/>
    <w:rsid w:val="00F4789F"/>
    <w:rsid w:val="00F552D1"/>
    <w:rsid w:val="00F558ED"/>
    <w:rsid w:val="00F55DEB"/>
    <w:rsid w:val="00F56139"/>
    <w:rsid w:val="00F70C03"/>
    <w:rsid w:val="00F73546"/>
    <w:rsid w:val="00F75EED"/>
    <w:rsid w:val="00F803B8"/>
    <w:rsid w:val="00F80D7A"/>
    <w:rsid w:val="00F9197E"/>
    <w:rsid w:val="00F92CFB"/>
    <w:rsid w:val="00FA7268"/>
    <w:rsid w:val="00FB1FF5"/>
    <w:rsid w:val="00FB250B"/>
    <w:rsid w:val="00FB2AD3"/>
    <w:rsid w:val="00FB4D15"/>
    <w:rsid w:val="00FC122F"/>
    <w:rsid w:val="00FC1DA8"/>
    <w:rsid w:val="00FC1E9B"/>
    <w:rsid w:val="00FD0B31"/>
    <w:rsid w:val="00FD4014"/>
    <w:rsid w:val="00FD6A37"/>
    <w:rsid w:val="00FE306A"/>
    <w:rsid w:val="00FE49E2"/>
    <w:rsid w:val="00FE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9329"/>
    <o:shapelayout v:ext="edit">
      <o:idmap v:ext="edit" data="1"/>
    </o:shapelayout>
  </w:shapeDefaults>
  <w:decimalSymbol w:val="."/>
  <w:listSeparator w:val=","/>
  <w14:docId w14:val="275B1E55"/>
  <w14:defaultImageDpi w14:val="300"/>
  <w15:docId w15:val="{346E479E-610C-4A9B-AD18-41F1AF21E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link w:val="Heading1Char"/>
    <w:uiPriority w:val="9"/>
    <w:qFormat/>
    <w:rsid w:val="00AE2AB7"/>
    <w:pPr>
      <w:keepNext/>
      <w:keepLines/>
      <w:spacing w:before="240" w:after="240"/>
      <w:outlineLvl w:val="0"/>
    </w:pPr>
    <w:rPr>
      <w:rFonts w:ascii="Arial" w:eastAsiaTheme="majorEastAsia" w:hAnsi="Arial" w:cstheme="majorBidi"/>
      <w:color w:val="004270"/>
      <w:sz w:val="48"/>
      <w:szCs w:val="32"/>
    </w:rPr>
  </w:style>
  <w:style w:type="paragraph" w:styleId="Heading2">
    <w:name w:val="heading 2"/>
    <w:basedOn w:val="Normal"/>
    <w:next w:val="Normal"/>
    <w:link w:val="Heading2Char"/>
    <w:uiPriority w:val="9"/>
    <w:unhideWhenUsed/>
    <w:qFormat/>
    <w:rsid w:val="00413721"/>
    <w:pPr>
      <w:keepNext/>
      <w:keepLines/>
      <w:spacing w:before="240" w:after="240"/>
      <w:outlineLvl w:val="1"/>
    </w:pPr>
    <w:rPr>
      <w:rFonts w:ascii="Arial" w:eastAsiaTheme="majorEastAsia" w:hAnsi="Arial" w:cstheme="majorBidi"/>
      <w:color w:val="004270"/>
      <w:sz w:val="36"/>
    </w:rPr>
  </w:style>
  <w:style w:type="paragraph" w:styleId="Heading3">
    <w:name w:val="heading 3"/>
    <w:basedOn w:val="Normal"/>
    <w:next w:val="Normal"/>
    <w:link w:val="Heading3Char"/>
    <w:uiPriority w:val="9"/>
    <w:unhideWhenUsed/>
    <w:qFormat/>
    <w:rsid w:val="00C00761"/>
    <w:pPr>
      <w:keepNext/>
      <w:keepLines/>
      <w:spacing w:before="240" w:after="240"/>
      <w:outlineLvl w:val="2"/>
    </w:pPr>
    <w:rPr>
      <w:rFonts w:ascii="Arial" w:eastAsiaTheme="majorEastAsia" w:hAnsi="Arial" w:cstheme="majorBid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5_G"/>
    <w:basedOn w:val="Normal"/>
    <w:link w:val="FootnoteTextChar"/>
    <w:unhideWhenUsed/>
    <w:rsid w:val="00C33416"/>
    <w:rPr>
      <w:rFonts w:ascii="Arial" w:hAnsi="Arial"/>
      <w:sz w:val="20"/>
    </w:rPr>
  </w:style>
  <w:style w:type="character" w:customStyle="1" w:styleId="FootnoteTextChar">
    <w:name w:val="Footnote Text Char"/>
    <w:aliases w:val="5_G Char"/>
    <w:basedOn w:val="DefaultParagraphFont"/>
    <w:link w:val="FootnoteText"/>
    <w:rsid w:val="00C33416"/>
    <w:rPr>
      <w:rFonts w:ascii="Arial" w:hAnsi="Arial"/>
      <w:sz w:val="20"/>
    </w:rPr>
  </w:style>
  <w:style w:type="character" w:styleId="FootnoteReference">
    <w:name w:val="footnote reference"/>
    <w:aliases w:val="4_G,Footnote number,Footnotes refss"/>
    <w:basedOn w:val="DefaultParagraphFont"/>
    <w:unhideWhenUsed/>
    <w:rsid w:val="0034134D"/>
    <w:rPr>
      <w:vertAlign w:val="superscript"/>
    </w:rPr>
  </w:style>
  <w:style w:type="character" w:customStyle="1" w:styleId="Heading1Char">
    <w:name w:val="Heading 1 Char"/>
    <w:basedOn w:val="DefaultParagraphFont"/>
    <w:link w:val="Heading1"/>
    <w:uiPriority w:val="9"/>
    <w:rsid w:val="00AE2AB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A16356"/>
    <w:pPr>
      <w:spacing w:line="259" w:lineRule="auto"/>
      <w:outlineLvl w:val="9"/>
    </w:pPr>
    <w:rPr>
      <w:rFonts w:asciiTheme="majorHAnsi" w:hAnsiTheme="majorHAnsi"/>
      <w:b/>
      <w:sz w:val="32"/>
    </w:rPr>
  </w:style>
  <w:style w:type="paragraph" w:styleId="TOC1">
    <w:name w:val="toc 1"/>
    <w:basedOn w:val="Normal"/>
    <w:next w:val="Normal"/>
    <w:autoRedefine/>
    <w:uiPriority w:val="39"/>
    <w:unhideWhenUsed/>
    <w:rsid w:val="00A16356"/>
    <w:pPr>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413721"/>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056960"/>
    <w:pPr>
      <w:tabs>
        <w:tab w:val="right" w:leader="dot" w:pos="8296"/>
      </w:tabs>
      <w:spacing w:before="120" w:after="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C00761"/>
    <w:rPr>
      <w:rFonts w:ascii="Arial" w:eastAsiaTheme="majorEastAsia" w:hAnsi="Arial" w:cstheme="majorBidi"/>
      <w:b/>
      <w:lang w:val="en-AU" w:eastAsia="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semiHidden/>
    <w:unhideWhenUsed/>
    <w:rsid w:val="00C526DC"/>
    <w:rPr>
      <w:sz w:val="20"/>
      <w:szCs w:val="20"/>
    </w:rPr>
  </w:style>
  <w:style w:type="character" w:customStyle="1" w:styleId="CommentTextChar">
    <w:name w:val="Comment Text Char"/>
    <w:basedOn w:val="DefaultParagraphFont"/>
    <w:link w:val="CommentText"/>
    <w:uiPriority w:val="99"/>
    <w:semiHidden/>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826E15"/>
    <w:pPr>
      <w:numPr>
        <w:numId w:val="13"/>
      </w:numPr>
      <w:spacing w:before="120" w:after="240" w:line="276" w:lineRule="auto"/>
      <w:ind w:left="567"/>
      <w:contextualSpacing w:val="0"/>
    </w:pPr>
    <w:rPr>
      <w:rFonts w:ascii="Arial" w:hAnsi="Arial" w:cs="Arial"/>
      <w:lang w:eastAsia="en-AU"/>
    </w:rPr>
  </w:style>
  <w:style w:type="paragraph" w:styleId="Quote">
    <w:name w:val="Quote"/>
    <w:basedOn w:val="Normal"/>
    <w:next w:val="Normal"/>
    <w:link w:val="QuoteChar"/>
    <w:uiPriority w:val="29"/>
    <w:qFormat/>
    <w:rsid w:val="00413721"/>
    <w:pPr>
      <w:spacing w:before="240" w:after="240" w:line="276" w:lineRule="auto"/>
      <w:ind w:left="907" w:right="843"/>
    </w:pPr>
    <w:rPr>
      <w:rFonts w:ascii="Arial" w:hAnsi="Arial" w:cs="Arial"/>
      <w:sz w:val="22"/>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826E15"/>
    <w:rPr>
      <w:rFonts w:ascii="Arial" w:hAnsi="Arial" w:cs="Arial"/>
      <w:lang w:val="en-AU" w:eastAsia="en-AU"/>
    </w:rPr>
  </w:style>
  <w:style w:type="character" w:customStyle="1" w:styleId="QuoteChar">
    <w:name w:val="Quote Char"/>
    <w:basedOn w:val="DefaultParagraphFont"/>
    <w:link w:val="Quote"/>
    <w:uiPriority w:val="29"/>
    <w:rsid w:val="00413721"/>
    <w:rPr>
      <w:rFonts w:ascii="Arial" w:hAnsi="Arial" w:cs="Arial"/>
      <w:sz w:val="22"/>
      <w:szCs w:val="20"/>
      <w:lang w:val="en-AU"/>
    </w:rPr>
  </w:style>
  <w:style w:type="paragraph" w:customStyle="1" w:styleId="Bulletedlist">
    <w:name w:val="Bulleted list"/>
    <w:basedOn w:val="ListParagraph"/>
    <w:qFormat/>
    <w:rsid w:val="00B46BAB"/>
    <w:pPr>
      <w:numPr>
        <w:numId w:val="16"/>
      </w:numPr>
      <w:spacing w:after="240"/>
    </w:pPr>
    <w:rPr>
      <w:rFonts w:ascii="Arial" w:hAnsi="Arial" w:cs="Arial"/>
    </w:rPr>
  </w:style>
  <w:style w:type="character" w:styleId="FollowedHyperlink">
    <w:name w:val="FollowedHyperlink"/>
    <w:basedOn w:val="DefaultParagraphFont"/>
    <w:uiPriority w:val="99"/>
    <w:semiHidden/>
    <w:unhideWhenUsed/>
    <w:rsid w:val="00135057"/>
    <w:rPr>
      <w:color w:val="800080" w:themeColor="followedHyperlink"/>
      <w:u w:val="single"/>
    </w:rPr>
  </w:style>
  <w:style w:type="paragraph" w:styleId="Revision">
    <w:name w:val="Revision"/>
    <w:hidden/>
    <w:uiPriority w:val="99"/>
    <w:semiHidden/>
    <w:rsid w:val="0038345D"/>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751406">
      <w:bodyDiv w:val="1"/>
      <w:marLeft w:val="0"/>
      <w:marRight w:val="0"/>
      <w:marTop w:val="0"/>
      <w:marBottom w:val="0"/>
      <w:divBdr>
        <w:top w:val="none" w:sz="0" w:space="0" w:color="auto"/>
        <w:left w:val="none" w:sz="0" w:space="0" w:color="auto"/>
        <w:bottom w:val="none" w:sz="0" w:space="0" w:color="auto"/>
        <w:right w:val="none" w:sz="0" w:space="0" w:color="auto"/>
      </w:divBdr>
    </w:div>
    <w:div w:id="13162552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720A46-E8DA-4155-9018-5AC6DCAC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14</Pages>
  <Words>3567</Words>
  <Characters>20333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Health and Other Legislation Amendment Bill 2021</vt:lpstr>
    </vt:vector>
  </TitlesOfParts>
  <Company/>
  <LinksUpToDate>false</LinksUpToDate>
  <CharactersWithSpaces>23853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Other Legislation Amendment Bill 2021</dc:title>
  <dc:subject/>
  <dc:creator>Sean Costello</dc:creator>
  <cp:keywords/>
  <dc:description/>
  <cp:lastModifiedBy>Rebekah Leong</cp:lastModifiedBy>
  <cp:revision>58</cp:revision>
  <cp:lastPrinted>2022-01-07T03:42:00Z</cp:lastPrinted>
  <dcterms:created xsi:type="dcterms:W3CDTF">2021-12-13T03:52:00Z</dcterms:created>
  <dcterms:modified xsi:type="dcterms:W3CDTF">2022-01-07T03:45:00Z</dcterms:modified>
</cp:coreProperties>
</file>