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2067608509"/>
        <w:docPartObj>
          <w:docPartGallery w:val="Cover Pages"/>
          <w:docPartUnique/>
        </w:docPartObj>
      </w:sdtPr>
      <w:sdtEndPr>
        <w:rPr>
          <w:sz w:val="2"/>
          <w:szCs w:val="2"/>
        </w:rPr>
      </w:sdtEndPr>
      <w:sdtContent>
        <w:p w14:paraId="5D316166" w14:textId="6886B574" w:rsidR="00A16356" w:rsidRDefault="00790408" w:rsidP="004A2375">
          <w:pPr>
            <w:spacing w:before="1440"/>
          </w:pPr>
          <w:r w:rsidRPr="00F63848">
            <w:rPr>
              <w:noProof/>
              <w:lang w:eastAsia="en-AU"/>
            </w:rPr>
            <w:drawing>
              <wp:inline distT="0" distB="0" distL="0" distR="0" wp14:anchorId="0B4EF706" wp14:editId="5554B458">
                <wp:extent cx="3259015" cy="1066800"/>
                <wp:effectExtent l="0" t="0" r="0" b="0"/>
                <wp:docPr id="3" name="Picture 3" descr="H:\QHRC-logo-rgb-for-digital-u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QHRC-logo-rgb-for-digital-use.png"/>
                        <pic:cNvPicPr>
                          <a:picLocks noChangeAspect="1" noChangeArrowheads="1"/>
                        </pic:cNvPicPr>
                      </pic:nvPicPr>
                      <pic:blipFill rotWithShape="1">
                        <a:blip r:embed="rId9">
                          <a:extLst>
                            <a:ext uri="{28A0092B-C50C-407E-A947-70E740481C1C}">
                              <a14:useLocalDpi xmlns:a14="http://schemas.microsoft.com/office/drawing/2010/main" val="0"/>
                            </a:ext>
                          </a:extLst>
                        </a:blip>
                        <a:srcRect l="4903" t="13919" r="4207" b="11569"/>
                        <a:stretch/>
                      </pic:blipFill>
                      <pic:spPr bwMode="auto">
                        <a:xfrm>
                          <a:off x="0" y="0"/>
                          <a:ext cx="3303563" cy="1081382"/>
                        </a:xfrm>
                        <a:prstGeom prst="rect">
                          <a:avLst/>
                        </a:prstGeom>
                        <a:noFill/>
                        <a:ln>
                          <a:noFill/>
                        </a:ln>
                        <a:extLst>
                          <a:ext uri="{53640926-AAD7-44D8-BBD7-CCE9431645EC}">
                            <a14:shadowObscured xmlns:a14="http://schemas.microsoft.com/office/drawing/2010/main"/>
                          </a:ext>
                        </a:extLst>
                      </pic:spPr>
                    </pic:pic>
                  </a:graphicData>
                </a:graphic>
              </wp:inline>
            </w:drawing>
          </w:r>
        </w:p>
        <w:p w14:paraId="50E114C7" w14:textId="77777777" w:rsidR="00790408" w:rsidRDefault="00790408" w:rsidP="00790408">
          <w:pPr>
            <w:pStyle w:val="Title"/>
          </w:pPr>
        </w:p>
        <w:p w14:paraId="699F629D" w14:textId="77777777" w:rsidR="00790408" w:rsidRDefault="00790408" w:rsidP="00790408">
          <w:pPr>
            <w:pStyle w:val="Title"/>
          </w:pPr>
        </w:p>
        <w:p w14:paraId="0F11A148" w14:textId="77777777" w:rsidR="00790408" w:rsidRDefault="00790408" w:rsidP="00790408">
          <w:pPr>
            <w:pStyle w:val="Title"/>
          </w:pPr>
        </w:p>
        <w:p w14:paraId="65D35753" w14:textId="77777777" w:rsidR="00790408" w:rsidRDefault="00790408" w:rsidP="00790408">
          <w:pPr>
            <w:pStyle w:val="Title"/>
          </w:pPr>
        </w:p>
        <w:p w14:paraId="12EC12B6" w14:textId="3EFF59AD" w:rsidR="00790408" w:rsidRDefault="00790408" w:rsidP="00790408">
          <w:pPr>
            <w:pStyle w:val="Title"/>
          </w:pPr>
          <w:r>
            <w:t>Public Health and Other Legislation (</w:t>
          </w:r>
          <w:r w:rsidR="007A6FA8">
            <w:t>COVID-19 Management</w:t>
          </w:r>
          <w:r>
            <w:t>) Amendment Bill 2022</w:t>
          </w:r>
        </w:p>
        <w:p w14:paraId="31DF3267" w14:textId="6ED8F36B" w:rsidR="00790408" w:rsidRDefault="00B639F8" w:rsidP="00790408">
          <w:r>
            <w:rPr>
              <w:noProof/>
            </w:rPr>
            <mc:AlternateContent>
              <mc:Choice Requires="wps">
                <w:drawing>
                  <wp:anchor distT="4294967295" distB="4294967295" distL="114300" distR="114300" simplePos="0" relativeHeight="251659264" behindDoc="0" locked="0" layoutInCell="1" allowOverlap="1" wp14:anchorId="581646B9" wp14:editId="597EC1AD">
                    <wp:simplePos x="0" y="0"/>
                    <wp:positionH relativeFrom="column">
                      <wp:posOffset>-12065</wp:posOffset>
                    </wp:positionH>
                    <wp:positionV relativeFrom="paragraph">
                      <wp:posOffset>179069</wp:posOffset>
                    </wp:positionV>
                    <wp:extent cx="5414645"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14645" cy="0"/>
                            </a:xfrm>
                            <a:prstGeom prst="line">
                              <a:avLst/>
                            </a:prstGeom>
                            <a:ln w="12700">
                              <a:solidFill>
                                <a:srgbClr val="004270"/>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E0F4265" id="Straight Connector 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5pt,14.1pt" to="425.4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" strokecolor="#004270" strokeweight="1pt">
                    <o:lock v:ext="edit" shapetype="f"/>
                  </v:line>
                </w:pict>
              </mc:Fallback>
            </mc:AlternateContent>
          </w:r>
        </w:p>
        <w:p w14:paraId="78F08602" w14:textId="5B4FD5F3" w:rsidR="00790408" w:rsidRDefault="00790408" w:rsidP="00790408">
          <w:pPr>
            <w:pStyle w:val="Heading2"/>
          </w:pPr>
          <w:bookmarkStart w:id="0" w:name="_Toc113531002"/>
          <w:bookmarkStart w:id="1" w:name="_Toc113531062"/>
          <w:bookmarkStart w:id="2" w:name="_Toc113555190"/>
          <w:bookmarkStart w:id="3" w:name="_Toc113640368"/>
          <w:bookmarkStart w:id="4" w:name="_Toc113982237"/>
          <w:bookmarkStart w:id="5" w:name="_Toc114040078"/>
          <w:bookmarkStart w:id="6" w:name="_Toc114123336"/>
          <w:r>
            <w:t>Submission to</w:t>
          </w:r>
          <w:bookmarkEnd w:id="0"/>
          <w:bookmarkEnd w:id="1"/>
          <w:bookmarkEnd w:id="2"/>
          <w:bookmarkEnd w:id="3"/>
          <w:bookmarkEnd w:id="4"/>
          <w:bookmarkEnd w:id="5"/>
          <w:bookmarkEnd w:id="6"/>
          <w:r>
            <w:t xml:space="preserve"> </w:t>
          </w:r>
        </w:p>
        <w:p w14:paraId="4003C7B3" w14:textId="750A22DB" w:rsidR="00790408" w:rsidRDefault="007A6FA8" w:rsidP="00790408">
          <w:pPr>
            <w:pStyle w:val="Heading2"/>
          </w:pPr>
          <w:bookmarkStart w:id="7" w:name="_Toc113531003"/>
          <w:bookmarkStart w:id="8" w:name="_Toc113531063"/>
          <w:bookmarkStart w:id="9" w:name="_Toc113555191"/>
          <w:bookmarkStart w:id="10" w:name="_Toc113640369"/>
          <w:bookmarkStart w:id="11" w:name="_Toc113982238"/>
          <w:bookmarkStart w:id="12" w:name="_Toc114040079"/>
          <w:bookmarkStart w:id="13" w:name="_Toc114123337"/>
          <w:r>
            <w:t>Health and Environment</w:t>
          </w:r>
          <w:r w:rsidR="00790408">
            <w:t xml:space="preserve"> Committee</w:t>
          </w:r>
          <w:bookmarkEnd w:id="7"/>
          <w:bookmarkEnd w:id="8"/>
          <w:bookmarkEnd w:id="9"/>
          <w:bookmarkEnd w:id="10"/>
          <w:bookmarkEnd w:id="11"/>
          <w:bookmarkEnd w:id="12"/>
          <w:bookmarkEnd w:id="13"/>
          <w:r w:rsidR="00790408">
            <w:t xml:space="preserve"> </w:t>
          </w:r>
        </w:p>
        <w:p w14:paraId="0F69F9BE" w14:textId="2FBF21D6" w:rsidR="00790408" w:rsidRDefault="00790408" w:rsidP="00790408"/>
        <w:p w14:paraId="5281E728" w14:textId="6DAA95E3" w:rsidR="00790408" w:rsidRPr="00790408" w:rsidRDefault="007A6FA8" w:rsidP="00790408">
          <w:pPr>
            <w:pStyle w:val="Heading3"/>
          </w:pPr>
          <w:bookmarkStart w:id="14" w:name="_Toc113531004"/>
          <w:bookmarkStart w:id="15" w:name="_Toc113531064"/>
          <w:bookmarkStart w:id="16" w:name="_Toc113555192"/>
          <w:bookmarkStart w:id="17" w:name="_Toc113640370"/>
          <w:bookmarkStart w:id="18" w:name="_Toc113982239"/>
          <w:bookmarkStart w:id="19" w:name="_Toc114040080"/>
          <w:bookmarkStart w:id="20" w:name="_Toc114123338"/>
          <w:r>
            <w:t>1</w:t>
          </w:r>
          <w:r w:rsidR="00193EAA">
            <w:t>5</w:t>
          </w:r>
          <w:r>
            <w:t xml:space="preserve"> </w:t>
          </w:r>
          <w:r w:rsidR="00FA6423">
            <w:t xml:space="preserve">September </w:t>
          </w:r>
          <w:r w:rsidR="00790408">
            <w:t>2022</w:t>
          </w:r>
          <w:bookmarkEnd w:id="14"/>
          <w:bookmarkEnd w:id="15"/>
          <w:bookmarkEnd w:id="16"/>
          <w:bookmarkEnd w:id="17"/>
          <w:bookmarkEnd w:id="18"/>
          <w:bookmarkEnd w:id="19"/>
          <w:bookmarkEnd w:id="20"/>
        </w:p>
        <w:p w14:paraId="1C5948FE" w14:textId="3A3D5E3D" w:rsidR="00790408" w:rsidRDefault="00790408" w:rsidP="004A2375">
          <w:pPr>
            <w:spacing w:before="1440"/>
          </w:pPr>
        </w:p>
        <w:p w14:paraId="2F1F3A2B" w14:textId="77777777" w:rsidR="00790408" w:rsidRDefault="00790408" w:rsidP="004A2375">
          <w:pPr>
            <w:spacing w:before="1440"/>
          </w:pPr>
        </w:p>
        <w:p w14:paraId="28568038" w14:textId="77777777" w:rsidR="004A2375" w:rsidRDefault="004A2375"/>
        <w:p w14:paraId="54BC9ABF" w14:textId="77777777" w:rsidR="00A16356" w:rsidRPr="00D207AB" w:rsidRDefault="009749B6">
          <w:pPr>
            <w:rPr>
              <w:rFonts w:ascii="Arial" w:eastAsiaTheme="majorEastAsia" w:hAnsi="Arial" w:cstheme="majorBidi"/>
              <w:b/>
              <w:color w:val="365F91" w:themeColor="accent1" w:themeShade="BF"/>
              <w:sz w:val="2"/>
              <w:szCs w:val="2"/>
            </w:rPr>
          </w:pPr>
        </w:p>
      </w:sdtContent>
    </w:sdt>
    <w:bookmarkStart w:id="21" w:name="_Toc113531065" w:displacedByCustomXml="next"/>
    <w:bookmarkStart w:id="22" w:name="_Toc113531005" w:displacedByCustomXml="next"/>
    <w:bookmarkStart w:id="23" w:name="_Toc113555193" w:displacedByCustomXml="next"/>
    <w:bookmarkStart w:id="24" w:name="_Toc113640371" w:displacedByCustomXml="next"/>
    <w:bookmarkStart w:id="25" w:name="_Toc113982240" w:displacedByCustomXml="next"/>
    <w:bookmarkStart w:id="26" w:name="_Toc114040081" w:displacedByCustomXml="next"/>
    <w:bookmarkStart w:id="27" w:name="_Toc114123339" w:displacedByCustomXml="next"/>
    <w:sdt>
      <w:sdtPr>
        <w:rPr>
          <w:rFonts w:asciiTheme="minorHAnsi" w:eastAsiaTheme="minorEastAsia" w:hAnsiTheme="minorHAnsi" w:cstheme="minorBidi"/>
          <w:b/>
          <w:color w:val="auto"/>
          <w:sz w:val="24"/>
          <w:szCs w:val="24"/>
          <w:lang w:val="en-US"/>
        </w:rPr>
        <w:id w:val="-331140652"/>
        <w:docPartObj>
          <w:docPartGallery w:val="Table of Contents"/>
          <w:docPartUnique/>
        </w:docPartObj>
      </w:sdtPr>
      <w:sdtEndPr>
        <w:rPr>
          <w:rFonts w:ascii="Arial" w:hAnsi="Arial" w:cs="Arial"/>
          <w:b w:val="0"/>
          <w:bCs/>
          <w:noProof/>
          <w:lang w:val="en-AU"/>
        </w:rPr>
      </w:sdtEndPr>
      <w:sdtContent>
        <w:p w14:paraId="252EB54D" w14:textId="77777777" w:rsidR="00AF57D3" w:rsidRDefault="00A16356" w:rsidP="00B64CAA">
          <w:pPr>
            <w:pStyle w:val="Heading1"/>
            <w:rPr>
              <w:noProof/>
            </w:rPr>
          </w:pPr>
          <w:r w:rsidRPr="00AE2AB7">
            <w:t xml:space="preserve">Table of </w:t>
          </w:r>
          <w:r w:rsidR="00790408">
            <w:t>c</w:t>
          </w:r>
          <w:r w:rsidRPr="00AE2AB7">
            <w:t>ontents</w:t>
          </w:r>
          <w:bookmarkEnd w:id="27"/>
          <w:bookmarkEnd w:id="26"/>
          <w:bookmarkEnd w:id="25"/>
          <w:bookmarkEnd w:id="24"/>
          <w:bookmarkEnd w:id="23"/>
          <w:bookmarkEnd w:id="22"/>
          <w:bookmarkEnd w:id="21"/>
          <w:r w:rsidRPr="00F635A1">
            <w:rPr>
              <w:rFonts w:cs="Arial"/>
              <w:b/>
              <w:bCs/>
              <w:noProof/>
              <w:sz w:val="24"/>
              <w:szCs w:val="24"/>
            </w:rPr>
            <w:fldChar w:fldCharType="begin"/>
          </w:r>
          <w:r w:rsidRPr="00F635A1">
            <w:rPr>
              <w:rFonts w:cs="Arial"/>
              <w:b/>
              <w:bCs/>
              <w:noProof/>
              <w:sz w:val="24"/>
              <w:szCs w:val="24"/>
            </w:rPr>
            <w:instrText xml:space="preserve"> TOC \o "1-3" \h \z \u </w:instrText>
          </w:r>
          <w:r w:rsidRPr="00F635A1">
            <w:rPr>
              <w:rFonts w:cs="Arial"/>
              <w:b/>
              <w:bCs/>
              <w:noProof/>
              <w:sz w:val="24"/>
              <w:szCs w:val="24"/>
            </w:rPr>
            <w:fldChar w:fldCharType="separate"/>
          </w:r>
        </w:p>
        <w:p w14:paraId="2B1DA254" w14:textId="1DE0EF0B" w:rsidR="00AF57D3" w:rsidRPr="00AF57D3" w:rsidRDefault="009749B6">
          <w:pPr>
            <w:pStyle w:val="TOC1"/>
            <w:tabs>
              <w:tab w:val="right" w:leader="dot" w:pos="8488"/>
            </w:tabs>
            <w:rPr>
              <w:rFonts w:ascii="Arial" w:hAnsi="Arial" w:cs="Arial"/>
              <w:noProof/>
              <w:sz w:val="22"/>
              <w:szCs w:val="22"/>
              <w:lang w:eastAsia="en-AU"/>
            </w:rPr>
          </w:pPr>
          <w:hyperlink w:anchor="_Toc114123340" w:history="1">
            <w:r w:rsidR="00AF57D3" w:rsidRPr="00AF57D3">
              <w:rPr>
                <w:rStyle w:val="Hyperlink"/>
                <w:rFonts w:ascii="Arial" w:hAnsi="Arial" w:cs="Arial"/>
                <w:noProof/>
              </w:rPr>
              <w:t>Summary and Recommendations</w:t>
            </w:r>
            <w:r w:rsidR="00AF57D3" w:rsidRPr="00AF57D3">
              <w:rPr>
                <w:rFonts w:ascii="Arial" w:hAnsi="Arial" w:cs="Arial"/>
                <w:noProof/>
                <w:webHidden/>
              </w:rPr>
              <w:tab/>
            </w:r>
            <w:r w:rsidR="00AF57D3" w:rsidRPr="00AF57D3">
              <w:rPr>
                <w:rFonts w:ascii="Arial" w:hAnsi="Arial" w:cs="Arial"/>
                <w:noProof/>
                <w:webHidden/>
              </w:rPr>
              <w:fldChar w:fldCharType="begin"/>
            </w:r>
            <w:r w:rsidR="00AF57D3" w:rsidRPr="00AF57D3">
              <w:rPr>
                <w:rFonts w:ascii="Arial" w:hAnsi="Arial" w:cs="Arial"/>
                <w:noProof/>
                <w:webHidden/>
              </w:rPr>
              <w:instrText xml:space="preserve"> PAGEREF _Toc114123340 \h </w:instrText>
            </w:r>
            <w:r w:rsidR="00AF57D3" w:rsidRPr="00AF57D3">
              <w:rPr>
                <w:rFonts w:ascii="Arial" w:hAnsi="Arial" w:cs="Arial"/>
                <w:noProof/>
                <w:webHidden/>
              </w:rPr>
            </w:r>
            <w:r w:rsidR="00AF57D3" w:rsidRPr="00AF57D3">
              <w:rPr>
                <w:rFonts w:ascii="Arial" w:hAnsi="Arial" w:cs="Arial"/>
                <w:noProof/>
                <w:webHidden/>
              </w:rPr>
              <w:fldChar w:fldCharType="separate"/>
            </w:r>
            <w:r w:rsidR="00A032D4">
              <w:rPr>
                <w:rFonts w:ascii="Arial" w:hAnsi="Arial" w:cs="Arial"/>
                <w:noProof/>
                <w:webHidden/>
              </w:rPr>
              <w:t>2</w:t>
            </w:r>
            <w:r w:rsidR="00AF57D3" w:rsidRPr="00AF57D3">
              <w:rPr>
                <w:rFonts w:ascii="Arial" w:hAnsi="Arial" w:cs="Arial"/>
                <w:noProof/>
                <w:webHidden/>
              </w:rPr>
              <w:fldChar w:fldCharType="end"/>
            </w:r>
          </w:hyperlink>
        </w:p>
        <w:p w14:paraId="2AE93E5E" w14:textId="3CB7CD2D" w:rsidR="00AF57D3" w:rsidRPr="00AF57D3" w:rsidRDefault="009749B6">
          <w:pPr>
            <w:pStyle w:val="TOC1"/>
            <w:tabs>
              <w:tab w:val="right" w:leader="dot" w:pos="8488"/>
            </w:tabs>
            <w:rPr>
              <w:rFonts w:ascii="Arial" w:hAnsi="Arial" w:cs="Arial"/>
              <w:noProof/>
              <w:sz w:val="22"/>
              <w:szCs w:val="22"/>
              <w:lang w:eastAsia="en-AU"/>
            </w:rPr>
          </w:pPr>
          <w:hyperlink w:anchor="_Toc114123341" w:history="1">
            <w:r w:rsidR="00AF57D3" w:rsidRPr="00AF57D3">
              <w:rPr>
                <w:rStyle w:val="Hyperlink"/>
                <w:rFonts w:ascii="Arial" w:hAnsi="Arial" w:cs="Arial"/>
                <w:noProof/>
              </w:rPr>
              <w:t>Introduction</w:t>
            </w:r>
            <w:r w:rsidR="00AF57D3" w:rsidRPr="00AF57D3">
              <w:rPr>
                <w:rFonts w:ascii="Arial" w:hAnsi="Arial" w:cs="Arial"/>
                <w:noProof/>
                <w:webHidden/>
              </w:rPr>
              <w:tab/>
            </w:r>
            <w:r w:rsidR="00AF57D3" w:rsidRPr="00AF57D3">
              <w:rPr>
                <w:rFonts w:ascii="Arial" w:hAnsi="Arial" w:cs="Arial"/>
                <w:noProof/>
                <w:webHidden/>
              </w:rPr>
              <w:fldChar w:fldCharType="begin"/>
            </w:r>
            <w:r w:rsidR="00AF57D3" w:rsidRPr="00AF57D3">
              <w:rPr>
                <w:rFonts w:ascii="Arial" w:hAnsi="Arial" w:cs="Arial"/>
                <w:noProof/>
                <w:webHidden/>
              </w:rPr>
              <w:instrText xml:space="preserve"> PAGEREF _Toc114123341 \h </w:instrText>
            </w:r>
            <w:r w:rsidR="00AF57D3" w:rsidRPr="00AF57D3">
              <w:rPr>
                <w:rFonts w:ascii="Arial" w:hAnsi="Arial" w:cs="Arial"/>
                <w:noProof/>
                <w:webHidden/>
              </w:rPr>
            </w:r>
            <w:r w:rsidR="00AF57D3" w:rsidRPr="00AF57D3">
              <w:rPr>
                <w:rFonts w:ascii="Arial" w:hAnsi="Arial" w:cs="Arial"/>
                <w:noProof/>
                <w:webHidden/>
              </w:rPr>
              <w:fldChar w:fldCharType="separate"/>
            </w:r>
            <w:r w:rsidR="00A032D4">
              <w:rPr>
                <w:rFonts w:ascii="Arial" w:hAnsi="Arial" w:cs="Arial"/>
                <w:noProof/>
                <w:webHidden/>
              </w:rPr>
              <w:t>3</w:t>
            </w:r>
            <w:r w:rsidR="00AF57D3" w:rsidRPr="00AF57D3">
              <w:rPr>
                <w:rFonts w:ascii="Arial" w:hAnsi="Arial" w:cs="Arial"/>
                <w:noProof/>
                <w:webHidden/>
              </w:rPr>
              <w:fldChar w:fldCharType="end"/>
            </w:r>
          </w:hyperlink>
        </w:p>
        <w:p w14:paraId="510A6B6C" w14:textId="294BE88E" w:rsidR="00AF57D3" w:rsidRPr="00AF57D3" w:rsidRDefault="009749B6">
          <w:pPr>
            <w:pStyle w:val="TOC1"/>
            <w:tabs>
              <w:tab w:val="right" w:leader="dot" w:pos="8488"/>
            </w:tabs>
            <w:rPr>
              <w:rFonts w:ascii="Arial" w:hAnsi="Arial" w:cs="Arial"/>
              <w:noProof/>
              <w:sz w:val="22"/>
              <w:szCs w:val="22"/>
              <w:lang w:eastAsia="en-AU"/>
            </w:rPr>
          </w:pPr>
          <w:hyperlink w:anchor="_Toc114123342" w:history="1">
            <w:r w:rsidR="00AF57D3" w:rsidRPr="00AF57D3">
              <w:rPr>
                <w:rStyle w:val="Hyperlink"/>
                <w:rFonts w:ascii="Arial" w:hAnsi="Arial" w:cs="Arial"/>
                <w:noProof/>
              </w:rPr>
              <w:t>Positive changes</w:t>
            </w:r>
            <w:r w:rsidR="00AF57D3" w:rsidRPr="00AF57D3">
              <w:rPr>
                <w:rFonts w:ascii="Arial" w:hAnsi="Arial" w:cs="Arial"/>
                <w:noProof/>
                <w:webHidden/>
              </w:rPr>
              <w:tab/>
            </w:r>
            <w:r w:rsidR="00AF57D3" w:rsidRPr="00AF57D3">
              <w:rPr>
                <w:rFonts w:ascii="Arial" w:hAnsi="Arial" w:cs="Arial"/>
                <w:noProof/>
                <w:webHidden/>
              </w:rPr>
              <w:fldChar w:fldCharType="begin"/>
            </w:r>
            <w:r w:rsidR="00AF57D3" w:rsidRPr="00AF57D3">
              <w:rPr>
                <w:rFonts w:ascii="Arial" w:hAnsi="Arial" w:cs="Arial"/>
                <w:noProof/>
                <w:webHidden/>
              </w:rPr>
              <w:instrText xml:space="preserve"> PAGEREF _Toc114123342 \h </w:instrText>
            </w:r>
            <w:r w:rsidR="00AF57D3" w:rsidRPr="00AF57D3">
              <w:rPr>
                <w:rFonts w:ascii="Arial" w:hAnsi="Arial" w:cs="Arial"/>
                <w:noProof/>
                <w:webHidden/>
              </w:rPr>
            </w:r>
            <w:r w:rsidR="00AF57D3" w:rsidRPr="00AF57D3">
              <w:rPr>
                <w:rFonts w:ascii="Arial" w:hAnsi="Arial" w:cs="Arial"/>
                <w:noProof/>
                <w:webHidden/>
              </w:rPr>
              <w:fldChar w:fldCharType="separate"/>
            </w:r>
            <w:r w:rsidR="00A032D4">
              <w:rPr>
                <w:rFonts w:ascii="Arial" w:hAnsi="Arial" w:cs="Arial"/>
                <w:noProof/>
                <w:webHidden/>
              </w:rPr>
              <w:t>4</w:t>
            </w:r>
            <w:r w:rsidR="00AF57D3" w:rsidRPr="00AF57D3">
              <w:rPr>
                <w:rFonts w:ascii="Arial" w:hAnsi="Arial" w:cs="Arial"/>
                <w:noProof/>
                <w:webHidden/>
              </w:rPr>
              <w:fldChar w:fldCharType="end"/>
            </w:r>
          </w:hyperlink>
        </w:p>
        <w:p w14:paraId="17C7EED2" w14:textId="1239BB17" w:rsidR="00AF57D3" w:rsidRPr="00AF57D3" w:rsidRDefault="009749B6">
          <w:pPr>
            <w:pStyle w:val="TOC1"/>
            <w:tabs>
              <w:tab w:val="right" w:leader="dot" w:pos="8488"/>
            </w:tabs>
            <w:rPr>
              <w:rFonts w:ascii="Arial" w:hAnsi="Arial" w:cs="Arial"/>
              <w:noProof/>
              <w:sz w:val="22"/>
              <w:szCs w:val="22"/>
              <w:lang w:eastAsia="en-AU"/>
            </w:rPr>
          </w:pPr>
          <w:hyperlink w:anchor="_Toc114123343" w:history="1">
            <w:r w:rsidR="00AF57D3" w:rsidRPr="00AF57D3">
              <w:rPr>
                <w:rStyle w:val="Hyperlink"/>
                <w:rFonts w:ascii="Arial" w:hAnsi="Arial" w:cs="Arial"/>
                <w:noProof/>
              </w:rPr>
              <w:t>Suggested improvements</w:t>
            </w:r>
            <w:r w:rsidR="00AF57D3" w:rsidRPr="00AF57D3">
              <w:rPr>
                <w:rFonts w:ascii="Arial" w:hAnsi="Arial" w:cs="Arial"/>
                <w:noProof/>
                <w:webHidden/>
              </w:rPr>
              <w:tab/>
            </w:r>
            <w:r w:rsidR="00AF57D3" w:rsidRPr="00AF57D3">
              <w:rPr>
                <w:rFonts w:ascii="Arial" w:hAnsi="Arial" w:cs="Arial"/>
                <w:noProof/>
                <w:webHidden/>
              </w:rPr>
              <w:fldChar w:fldCharType="begin"/>
            </w:r>
            <w:r w:rsidR="00AF57D3" w:rsidRPr="00AF57D3">
              <w:rPr>
                <w:rFonts w:ascii="Arial" w:hAnsi="Arial" w:cs="Arial"/>
                <w:noProof/>
                <w:webHidden/>
              </w:rPr>
              <w:instrText xml:space="preserve"> PAGEREF _Toc114123343 \h </w:instrText>
            </w:r>
            <w:r w:rsidR="00AF57D3" w:rsidRPr="00AF57D3">
              <w:rPr>
                <w:rFonts w:ascii="Arial" w:hAnsi="Arial" w:cs="Arial"/>
                <w:noProof/>
                <w:webHidden/>
              </w:rPr>
            </w:r>
            <w:r w:rsidR="00AF57D3" w:rsidRPr="00AF57D3">
              <w:rPr>
                <w:rFonts w:ascii="Arial" w:hAnsi="Arial" w:cs="Arial"/>
                <w:noProof/>
                <w:webHidden/>
              </w:rPr>
              <w:fldChar w:fldCharType="separate"/>
            </w:r>
            <w:r w:rsidR="00A032D4">
              <w:rPr>
                <w:rFonts w:ascii="Arial" w:hAnsi="Arial" w:cs="Arial"/>
                <w:noProof/>
                <w:webHidden/>
              </w:rPr>
              <w:t>5</w:t>
            </w:r>
            <w:r w:rsidR="00AF57D3" w:rsidRPr="00AF57D3">
              <w:rPr>
                <w:rFonts w:ascii="Arial" w:hAnsi="Arial" w:cs="Arial"/>
                <w:noProof/>
                <w:webHidden/>
              </w:rPr>
              <w:fldChar w:fldCharType="end"/>
            </w:r>
          </w:hyperlink>
        </w:p>
        <w:p w14:paraId="6C21A6EF" w14:textId="48330954" w:rsidR="00AF57D3" w:rsidRPr="00AF57D3" w:rsidRDefault="009749B6">
          <w:pPr>
            <w:pStyle w:val="TOC2"/>
            <w:rPr>
              <w:rFonts w:ascii="Arial" w:hAnsi="Arial" w:cs="Arial"/>
              <w:noProof/>
              <w:sz w:val="22"/>
              <w:szCs w:val="22"/>
              <w:lang w:eastAsia="en-AU"/>
            </w:rPr>
          </w:pPr>
          <w:hyperlink w:anchor="_Toc114123344" w:history="1">
            <w:r w:rsidR="00AF57D3" w:rsidRPr="00AF57D3">
              <w:rPr>
                <w:rStyle w:val="Hyperlink"/>
                <w:rFonts w:ascii="Arial" w:hAnsi="Arial" w:cs="Arial"/>
                <w:noProof/>
              </w:rPr>
              <w:t>Timeframe to table direction</w:t>
            </w:r>
            <w:r w:rsidR="00AF57D3" w:rsidRPr="00AF57D3">
              <w:rPr>
                <w:rFonts w:ascii="Arial" w:hAnsi="Arial" w:cs="Arial"/>
                <w:noProof/>
                <w:webHidden/>
              </w:rPr>
              <w:tab/>
            </w:r>
            <w:r w:rsidR="00AF57D3" w:rsidRPr="00AF57D3">
              <w:rPr>
                <w:rFonts w:ascii="Arial" w:hAnsi="Arial" w:cs="Arial"/>
                <w:noProof/>
                <w:webHidden/>
              </w:rPr>
              <w:fldChar w:fldCharType="begin"/>
            </w:r>
            <w:r w:rsidR="00AF57D3" w:rsidRPr="00AF57D3">
              <w:rPr>
                <w:rFonts w:ascii="Arial" w:hAnsi="Arial" w:cs="Arial"/>
                <w:noProof/>
                <w:webHidden/>
              </w:rPr>
              <w:instrText xml:space="preserve"> PAGEREF _Toc114123344 \h </w:instrText>
            </w:r>
            <w:r w:rsidR="00AF57D3" w:rsidRPr="00AF57D3">
              <w:rPr>
                <w:rFonts w:ascii="Arial" w:hAnsi="Arial" w:cs="Arial"/>
                <w:noProof/>
                <w:webHidden/>
              </w:rPr>
            </w:r>
            <w:r w:rsidR="00AF57D3" w:rsidRPr="00AF57D3">
              <w:rPr>
                <w:rFonts w:ascii="Arial" w:hAnsi="Arial" w:cs="Arial"/>
                <w:noProof/>
                <w:webHidden/>
              </w:rPr>
              <w:fldChar w:fldCharType="separate"/>
            </w:r>
            <w:r w:rsidR="00A032D4">
              <w:rPr>
                <w:rFonts w:ascii="Arial" w:hAnsi="Arial" w:cs="Arial"/>
                <w:noProof/>
                <w:webHidden/>
              </w:rPr>
              <w:t>5</w:t>
            </w:r>
            <w:r w:rsidR="00AF57D3" w:rsidRPr="00AF57D3">
              <w:rPr>
                <w:rFonts w:ascii="Arial" w:hAnsi="Arial" w:cs="Arial"/>
                <w:noProof/>
                <w:webHidden/>
              </w:rPr>
              <w:fldChar w:fldCharType="end"/>
            </w:r>
          </w:hyperlink>
        </w:p>
        <w:p w14:paraId="620E04F3" w14:textId="4DE5FEC8" w:rsidR="00AF57D3" w:rsidRPr="00AF57D3" w:rsidRDefault="009749B6">
          <w:pPr>
            <w:pStyle w:val="TOC2"/>
            <w:rPr>
              <w:rFonts w:ascii="Arial" w:hAnsi="Arial" w:cs="Arial"/>
              <w:noProof/>
              <w:sz w:val="22"/>
              <w:szCs w:val="22"/>
              <w:lang w:eastAsia="en-AU"/>
            </w:rPr>
          </w:pPr>
          <w:hyperlink w:anchor="_Toc114123345" w:history="1">
            <w:r w:rsidR="00AF57D3" w:rsidRPr="00AF57D3">
              <w:rPr>
                <w:rStyle w:val="Hyperlink"/>
                <w:rFonts w:ascii="Arial" w:hAnsi="Arial" w:cs="Arial"/>
                <w:noProof/>
              </w:rPr>
              <w:t>Independent review</w:t>
            </w:r>
            <w:r w:rsidR="00AF57D3" w:rsidRPr="00AF57D3">
              <w:rPr>
                <w:rFonts w:ascii="Arial" w:hAnsi="Arial" w:cs="Arial"/>
                <w:noProof/>
                <w:webHidden/>
              </w:rPr>
              <w:tab/>
            </w:r>
            <w:r w:rsidR="00AF57D3" w:rsidRPr="00AF57D3">
              <w:rPr>
                <w:rFonts w:ascii="Arial" w:hAnsi="Arial" w:cs="Arial"/>
                <w:noProof/>
                <w:webHidden/>
              </w:rPr>
              <w:fldChar w:fldCharType="begin"/>
            </w:r>
            <w:r w:rsidR="00AF57D3" w:rsidRPr="00AF57D3">
              <w:rPr>
                <w:rFonts w:ascii="Arial" w:hAnsi="Arial" w:cs="Arial"/>
                <w:noProof/>
                <w:webHidden/>
              </w:rPr>
              <w:instrText xml:space="preserve"> PAGEREF _Toc114123345 \h </w:instrText>
            </w:r>
            <w:r w:rsidR="00AF57D3" w:rsidRPr="00AF57D3">
              <w:rPr>
                <w:rFonts w:ascii="Arial" w:hAnsi="Arial" w:cs="Arial"/>
                <w:noProof/>
                <w:webHidden/>
              </w:rPr>
            </w:r>
            <w:r w:rsidR="00AF57D3" w:rsidRPr="00AF57D3">
              <w:rPr>
                <w:rFonts w:ascii="Arial" w:hAnsi="Arial" w:cs="Arial"/>
                <w:noProof/>
                <w:webHidden/>
              </w:rPr>
              <w:fldChar w:fldCharType="separate"/>
            </w:r>
            <w:r w:rsidR="00A032D4">
              <w:rPr>
                <w:rFonts w:ascii="Arial" w:hAnsi="Arial" w:cs="Arial"/>
                <w:noProof/>
                <w:webHidden/>
              </w:rPr>
              <w:t>5</w:t>
            </w:r>
            <w:r w:rsidR="00AF57D3" w:rsidRPr="00AF57D3">
              <w:rPr>
                <w:rFonts w:ascii="Arial" w:hAnsi="Arial" w:cs="Arial"/>
                <w:noProof/>
                <w:webHidden/>
              </w:rPr>
              <w:fldChar w:fldCharType="end"/>
            </w:r>
          </w:hyperlink>
        </w:p>
        <w:p w14:paraId="4EE0CE4B" w14:textId="4FDFF02F" w:rsidR="00AF57D3" w:rsidRPr="00AF57D3" w:rsidRDefault="009749B6">
          <w:pPr>
            <w:pStyle w:val="TOC2"/>
            <w:rPr>
              <w:rFonts w:ascii="Arial" w:hAnsi="Arial" w:cs="Arial"/>
              <w:noProof/>
              <w:sz w:val="22"/>
              <w:szCs w:val="22"/>
              <w:lang w:eastAsia="en-AU"/>
            </w:rPr>
          </w:pPr>
          <w:hyperlink w:anchor="_Toc114123346" w:history="1">
            <w:r w:rsidR="00AF57D3" w:rsidRPr="00AF57D3">
              <w:rPr>
                <w:rStyle w:val="Hyperlink"/>
                <w:rFonts w:ascii="Arial" w:hAnsi="Arial" w:cs="Arial"/>
                <w:noProof/>
              </w:rPr>
              <w:t>Humane conditions</w:t>
            </w:r>
            <w:r w:rsidR="00AF57D3" w:rsidRPr="00AF57D3">
              <w:rPr>
                <w:rFonts w:ascii="Arial" w:hAnsi="Arial" w:cs="Arial"/>
                <w:noProof/>
                <w:webHidden/>
              </w:rPr>
              <w:tab/>
            </w:r>
            <w:r w:rsidR="00AF57D3" w:rsidRPr="00AF57D3">
              <w:rPr>
                <w:rFonts w:ascii="Arial" w:hAnsi="Arial" w:cs="Arial"/>
                <w:noProof/>
                <w:webHidden/>
              </w:rPr>
              <w:fldChar w:fldCharType="begin"/>
            </w:r>
            <w:r w:rsidR="00AF57D3" w:rsidRPr="00AF57D3">
              <w:rPr>
                <w:rFonts w:ascii="Arial" w:hAnsi="Arial" w:cs="Arial"/>
                <w:noProof/>
                <w:webHidden/>
              </w:rPr>
              <w:instrText xml:space="preserve"> PAGEREF _Toc114123346 \h </w:instrText>
            </w:r>
            <w:r w:rsidR="00AF57D3" w:rsidRPr="00AF57D3">
              <w:rPr>
                <w:rFonts w:ascii="Arial" w:hAnsi="Arial" w:cs="Arial"/>
                <w:noProof/>
                <w:webHidden/>
              </w:rPr>
            </w:r>
            <w:r w:rsidR="00AF57D3" w:rsidRPr="00AF57D3">
              <w:rPr>
                <w:rFonts w:ascii="Arial" w:hAnsi="Arial" w:cs="Arial"/>
                <w:noProof/>
                <w:webHidden/>
              </w:rPr>
              <w:fldChar w:fldCharType="separate"/>
            </w:r>
            <w:r w:rsidR="00A032D4">
              <w:rPr>
                <w:rFonts w:ascii="Arial" w:hAnsi="Arial" w:cs="Arial"/>
                <w:noProof/>
                <w:webHidden/>
              </w:rPr>
              <w:t>6</w:t>
            </w:r>
            <w:r w:rsidR="00AF57D3" w:rsidRPr="00AF57D3">
              <w:rPr>
                <w:rFonts w:ascii="Arial" w:hAnsi="Arial" w:cs="Arial"/>
                <w:noProof/>
                <w:webHidden/>
              </w:rPr>
              <w:fldChar w:fldCharType="end"/>
            </w:r>
          </w:hyperlink>
        </w:p>
        <w:p w14:paraId="2157024B" w14:textId="009B62CE" w:rsidR="00AF57D3" w:rsidRPr="00AF57D3" w:rsidRDefault="009749B6">
          <w:pPr>
            <w:pStyle w:val="TOC2"/>
            <w:rPr>
              <w:rFonts w:ascii="Arial" w:hAnsi="Arial" w:cs="Arial"/>
              <w:noProof/>
              <w:sz w:val="22"/>
              <w:szCs w:val="22"/>
              <w:lang w:eastAsia="en-AU"/>
            </w:rPr>
          </w:pPr>
          <w:hyperlink w:anchor="_Toc114123347" w:history="1">
            <w:r w:rsidR="00AF57D3" w:rsidRPr="00AF57D3">
              <w:rPr>
                <w:rStyle w:val="Hyperlink"/>
                <w:rFonts w:ascii="Arial" w:hAnsi="Arial" w:cs="Arial"/>
                <w:noProof/>
              </w:rPr>
              <w:t>Proof of exemption</w:t>
            </w:r>
            <w:r w:rsidR="00AF57D3" w:rsidRPr="00AF57D3">
              <w:rPr>
                <w:rFonts w:ascii="Arial" w:hAnsi="Arial" w:cs="Arial"/>
                <w:noProof/>
                <w:webHidden/>
              </w:rPr>
              <w:tab/>
            </w:r>
            <w:r w:rsidR="00AF57D3" w:rsidRPr="00AF57D3">
              <w:rPr>
                <w:rFonts w:ascii="Arial" w:hAnsi="Arial" w:cs="Arial"/>
                <w:noProof/>
                <w:webHidden/>
              </w:rPr>
              <w:fldChar w:fldCharType="begin"/>
            </w:r>
            <w:r w:rsidR="00AF57D3" w:rsidRPr="00AF57D3">
              <w:rPr>
                <w:rFonts w:ascii="Arial" w:hAnsi="Arial" w:cs="Arial"/>
                <w:noProof/>
                <w:webHidden/>
              </w:rPr>
              <w:instrText xml:space="preserve"> PAGEREF _Toc114123347 \h </w:instrText>
            </w:r>
            <w:r w:rsidR="00AF57D3" w:rsidRPr="00AF57D3">
              <w:rPr>
                <w:rFonts w:ascii="Arial" w:hAnsi="Arial" w:cs="Arial"/>
                <w:noProof/>
                <w:webHidden/>
              </w:rPr>
            </w:r>
            <w:r w:rsidR="00AF57D3" w:rsidRPr="00AF57D3">
              <w:rPr>
                <w:rFonts w:ascii="Arial" w:hAnsi="Arial" w:cs="Arial"/>
                <w:noProof/>
                <w:webHidden/>
              </w:rPr>
              <w:fldChar w:fldCharType="separate"/>
            </w:r>
            <w:r w:rsidR="00A032D4">
              <w:rPr>
                <w:rFonts w:ascii="Arial" w:hAnsi="Arial" w:cs="Arial"/>
                <w:noProof/>
                <w:webHidden/>
              </w:rPr>
              <w:t>6</w:t>
            </w:r>
            <w:r w:rsidR="00AF57D3" w:rsidRPr="00AF57D3">
              <w:rPr>
                <w:rFonts w:ascii="Arial" w:hAnsi="Arial" w:cs="Arial"/>
                <w:noProof/>
                <w:webHidden/>
              </w:rPr>
              <w:fldChar w:fldCharType="end"/>
            </w:r>
          </w:hyperlink>
        </w:p>
        <w:p w14:paraId="21FFB211" w14:textId="3F99DA41" w:rsidR="00AF57D3" w:rsidRPr="00AF57D3" w:rsidRDefault="009749B6">
          <w:pPr>
            <w:pStyle w:val="TOC2"/>
            <w:rPr>
              <w:rFonts w:ascii="Arial" w:hAnsi="Arial" w:cs="Arial"/>
              <w:noProof/>
              <w:sz w:val="22"/>
              <w:szCs w:val="22"/>
              <w:lang w:eastAsia="en-AU"/>
            </w:rPr>
          </w:pPr>
          <w:hyperlink w:anchor="_Toc114123348" w:history="1">
            <w:r w:rsidR="00AF57D3" w:rsidRPr="00AF57D3">
              <w:rPr>
                <w:rStyle w:val="Hyperlink"/>
                <w:rFonts w:ascii="Arial" w:hAnsi="Arial" w:cs="Arial"/>
                <w:noProof/>
              </w:rPr>
              <w:t>Automatic exemption for critical needs</w:t>
            </w:r>
            <w:r w:rsidR="00AF57D3" w:rsidRPr="00AF57D3">
              <w:rPr>
                <w:rFonts w:ascii="Arial" w:hAnsi="Arial" w:cs="Arial"/>
                <w:noProof/>
                <w:webHidden/>
              </w:rPr>
              <w:tab/>
            </w:r>
            <w:r w:rsidR="00AF57D3" w:rsidRPr="00AF57D3">
              <w:rPr>
                <w:rFonts w:ascii="Arial" w:hAnsi="Arial" w:cs="Arial"/>
                <w:noProof/>
                <w:webHidden/>
              </w:rPr>
              <w:fldChar w:fldCharType="begin"/>
            </w:r>
            <w:r w:rsidR="00AF57D3" w:rsidRPr="00AF57D3">
              <w:rPr>
                <w:rFonts w:ascii="Arial" w:hAnsi="Arial" w:cs="Arial"/>
                <w:noProof/>
                <w:webHidden/>
              </w:rPr>
              <w:instrText xml:space="preserve"> PAGEREF _Toc114123348 \h </w:instrText>
            </w:r>
            <w:r w:rsidR="00AF57D3" w:rsidRPr="00AF57D3">
              <w:rPr>
                <w:rFonts w:ascii="Arial" w:hAnsi="Arial" w:cs="Arial"/>
                <w:noProof/>
                <w:webHidden/>
              </w:rPr>
            </w:r>
            <w:r w:rsidR="00AF57D3" w:rsidRPr="00AF57D3">
              <w:rPr>
                <w:rFonts w:ascii="Arial" w:hAnsi="Arial" w:cs="Arial"/>
                <w:noProof/>
                <w:webHidden/>
              </w:rPr>
              <w:fldChar w:fldCharType="separate"/>
            </w:r>
            <w:r w:rsidR="00A032D4">
              <w:rPr>
                <w:rFonts w:ascii="Arial" w:hAnsi="Arial" w:cs="Arial"/>
                <w:noProof/>
                <w:webHidden/>
              </w:rPr>
              <w:t>8</w:t>
            </w:r>
            <w:r w:rsidR="00AF57D3" w:rsidRPr="00AF57D3">
              <w:rPr>
                <w:rFonts w:ascii="Arial" w:hAnsi="Arial" w:cs="Arial"/>
                <w:noProof/>
                <w:webHidden/>
              </w:rPr>
              <w:fldChar w:fldCharType="end"/>
            </w:r>
          </w:hyperlink>
        </w:p>
        <w:p w14:paraId="695F0034" w14:textId="7980CD0A" w:rsidR="00AF57D3" w:rsidRPr="00AF57D3" w:rsidRDefault="009749B6">
          <w:pPr>
            <w:pStyle w:val="TOC2"/>
            <w:rPr>
              <w:rFonts w:ascii="Arial" w:hAnsi="Arial" w:cs="Arial"/>
              <w:noProof/>
              <w:sz w:val="22"/>
              <w:szCs w:val="22"/>
              <w:lang w:eastAsia="en-AU"/>
            </w:rPr>
          </w:pPr>
          <w:hyperlink w:anchor="_Toc114123349" w:history="1">
            <w:r w:rsidR="00AF57D3" w:rsidRPr="00AF57D3">
              <w:rPr>
                <w:rStyle w:val="Hyperlink"/>
                <w:rFonts w:ascii="Arial" w:hAnsi="Arial" w:cs="Arial"/>
                <w:noProof/>
              </w:rPr>
              <w:t>Powers to enter, seize and use force</w:t>
            </w:r>
            <w:r w:rsidR="00AF57D3" w:rsidRPr="00AF57D3">
              <w:rPr>
                <w:rFonts w:ascii="Arial" w:hAnsi="Arial" w:cs="Arial"/>
                <w:noProof/>
                <w:webHidden/>
              </w:rPr>
              <w:tab/>
            </w:r>
            <w:r w:rsidR="00AF57D3" w:rsidRPr="00AF57D3">
              <w:rPr>
                <w:rFonts w:ascii="Arial" w:hAnsi="Arial" w:cs="Arial"/>
                <w:noProof/>
                <w:webHidden/>
              </w:rPr>
              <w:fldChar w:fldCharType="begin"/>
            </w:r>
            <w:r w:rsidR="00AF57D3" w:rsidRPr="00AF57D3">
              <w:rPr>
                <w:rFonts w:ascii="Arial" w:hAnsi="Arial" w:cs="Arial"/>
                <w:noProof/>
                <w:webHidden/>
              </w:rPr>
              <w:instrText xml:space="preserve"> PAGEREF _Toc114123349 \h </w:instrText>
            </w:r>
            <w:r w:rsidR="00AF57D3" w:rsidRPr="00AF57D3">
              <w:rPr>
                <w:rFonts w:ascii="Arial" w:hAnsi="Arial" w:cs="Arial"/>
                <w:noProof/>
                <w:webHidden/>
              </w:rPr>
            </w:r>
            <w:r w:rsidR="00AF57D3" w:rsidRPr="00AF57D3">
              <w:rPr>
                <w:rFonts w:ascii="Arial" w:hAnsi="Arial" w:cs="Arial"/>
                <w:noProof/>
                <w:webHidden/>
              </w:rPr>
              <w:fldChar w:fldCharType="separate"/>
            </w:r>
            <w:r w:rsidR="00A032D4">
              <w:rPr>
                <w:rFonts w:ascii="Arial" w:hAnsi="Arial" w:cs="Arial"/>
                <w:noProof/>
                <w:webHidden/>
              </w:rPr>
              <w:t>8</w:t>
            </w:r>
            <w:r w:rsidR="00AF57D3" w:rsidRPr="00AF57D3">
              <w:rPr>
                <w:rFonts w:ascii="Arial" w:hAnsi="Arial" w:cs="Arial"/>
                <w:noProof/>
                <w:webHidden/>
              </w:rPr>
              <w:fldChar w:fldCharType="end"/>
            </w:r>
          </w:hyperlink>
        </w:p>
        <w:p w14:paraId="7C97B669" w14:textId="07FE4D52" w:rsidR="00AF57D3" w:rsidRPr="00AF57D3" w:rsidRDefault="009749B6">
          <w:pPr>
            <w:pStyle w:val="TOC2"/>
            <w:rPr>
              <w:rFonts w:ascii="Arial" w:hAnsi="Arial" w:cs="Arial"/>
              <w:noProof/>
              <w:sz w:val="22"/>
              <w:szCs w:val="22"/>
              <w:lang w:eastAsia="en-AU"/>
            </w:rPr>
          </w:pPr>
          <w:hyperlink w:anchor="_Toc114123350" w:history="1">
            <w:r w:rsidR="00AF57D3" w:rsidRPr="00AF57D3">
              <w:rPr>
                <w:rStyle w:val="Hyperlink"/>
                <w:rFonts w:ascii="Arial" w:hAnsi="Arial" w:cs="Arial"/>
                <w:noProof/>
              </w:rPr>
              <w:t>Corrective Services Act amendments</w:t>
            </w:r>
            <w:r w:rsidR="00AF57D3" w:rsidRPr="00AF57D3">
              <w:rPr>
                <w:rFonts w:ascii="Arial" w:hAnsi="Arial" w:cs="Arial"/>
                <w:noProof/>
                <w:webHidden/>
              </w:rPr>
              <w:tab/>
            </w:r>
            <w:r w:rsidR="00AF57D3" w:rsidRPr="00AF57D3">
              <w:rPr>
                <w:rFonts w:ascii="Arial" w:hAnsi="Arial" w:cs="Arial"/>
                <w:noProof/>
                <w:webHidden/>
              </w:rPr>
              <w:fldChar w:fldCharType="begin"/>
            </w:r>
            <w:r w:rsidR="00AF57D3" w:rsidRPr="00AF57D3">
              <w:rPr>
                <w:rFonts w:ascii="Arial" w:hAnsi="Arial" w:cs="Arial"/>
                <w:noProof/>
                <w:webHidden/>
              </w:rPr>
              <w:instrText xml:space="preserve"> PAGEREF _Toc114123350 \h </w:instrText>
            </w:r>
            <w:r w:rsidR="00AF57D3" w:rsidRPr="00AF57D3">
              <w:rPr>
                <w:rFonts w:ascii="Arial" w:hAnsi="Arial" w:cs="Arial"/>
                <w:noProof/>
                <w:webHidden/>
              </w:rPr>
            </w:r>
            <w:r w:rsidR="00AF57D3" w:rsidRPr="00AF57D3">
              <w:rPr>
                <w:rFonts w:ascii="Arial" w:hAnsi="Arial" w:cs="Arial"/>
                <w:noProof/>
                <w:webHidden/>
              </w:rPr>
              <w:fldChar w:fldCharType="separate"/>
            </w:r>
            <w:r w:rsidR="00A032D4">
              <w:rPr>
                <w:rFonts w:ascii="Arial" w:hAnsi="Arial" w:cs="Arial"/>
                <w:noProof/>
                <w:webHidden/>
              </w:rPr>
              <w:t>9</w:t>
            </w:r>
            <w:r w:rsidR="00AF57D3" w:rsidRPr="00AF57D3">
              <w:rPr>
                <w:rFonts w:ascii="Arial" w:hAnsi="Arial" w:cs="Arial"/>
                <w:noProof/>
                <w:webHidden/>
              </w:rPr>
              <w:fldChar w:fldCharType="end"/>
            </w:r>
          </w:hyperlink>
        </w:p>
        <w:p w14:paraId="633DCD15" w14:textId="22D76DE2" w:rsidR="00AF57D3" w:rsidRPr="00AF57D3" w:rsidRDefault="009749B6">
          <w:pPr>
            <w:pStyle w:val="TOC2"/>
            <w:rPr>
              <w:rFonts w:ascii="Arial" w:hAnsi="Arial" w:cs="Arial"/>
              <w:noProof/>
              <w:sz w:val="22"/>
              <w:szCs w:val="22"/>
              <w:lang w:eastAsia="en-AU"/>
            </w:rPr>
          </w:pPr>
          <w:hyperlink w:anchor="_Toc114123351" w:history="1">
            <w:r w:rsidR="00AF57D3" w:rsidRPr="00AF57D3">
              <w:rPr>
                <w:rStyle w:val="Hyperlink"/>
                <w:rFonts w:ascii="Arial" w:hAnsi="Arial" w:cs="Arial"/>
                <w:noProof/>
              </w:rPr>
              <w:t>Powers enlivened by executive</w:t>
            </w:r>
            <w:r w:rsidR="00AF57D3" w:rsidRPr="00AF57D3">
              <w:rPr>
                <w:rFonts w:ascii="Arial" w:hAnsi="Arial" w:cs="Arial"/>
                <w:noProof/>
                <w:webHidden/>
              </w:rPr>
              <w:tab/>
            </w:r>
            <w:r w:rsidR="00AF57D3" w:rsidRPr="00AF57D3">
              <w:rPr>
                <w:rFonts w:ascii="Arial" w:hAnsi="Arial" w:cs="Arial"/>
                <w:noProof/>
                <w:webHidden/>
              </w:rPr>
              <w:fldChar w:fldCharType="begin"/>
            </w:r>
            <w:r w:rsidR="00AF57D3" w:rsidRPr="00AF57D3">
              <w:rPr>
                <w:rFonts w:ascii="Arial" w:hAnsi="Arial" w:cs="Arial"/>
                <w:noProof/>
                <w:webHidden/>
              </w:rPr>
              <w:instrText xml:space="preserve"> PAGEREF _Toc114123351 \h </w:instrText>
            </w:r>
            <w:r w:rsidR="00AF57D3" w:rsidRPr="00AF57D3">
              <w:rPr>
                <w:rFonts w:ascii="Arial" w:hAnsi="Arial" w:cs="Arial"/>
                <w:noProof/>
                <w:webHidden/>
              </w:rPr>
            </w:r>
            <w:r w:rsidR="00AF57D3" w:rsidRPr="00AF57D3">
              <w:rPr>
                <w:rFonts w:ascii="Arial" w:hAnsi="Arial" w:cs="Arial"/>
                <w:noProof/>
                <w:webHidden/>
              </w:rPr>
              <w:fldChar w:fldCharType="separate"/>
            </w:r>
            <w:r w:rsidR="00A032D4">
              <w:rPr>
                <w:rFonts w:ascii="Arial" w:hAnsi="Arial" w:cs="Arial"/>
                <w:noProof/>
                <w:webHidden/>
              </w:rPr>
              <w:t>10</w:t>
            </w:r>
            <w:r w:rsidR="00AF57D3" w:rsidRPr="00AF57D3">
              <w:rPr>
                <w:rFonts w:ascii="Arial" w:hAnsi="Arial" w:cs="Arial"/>
                <w:noProof/>
                <w:webHidden/>
              </w:rPr>
              <w:fldChar w:fldCharType="end"/>
            </w:r>
          </w:hyperlink>
        </w:p>
        <w:p w14:paraId="54F1910B" w14:textId="21CBF7ED" w:rsidR="00AF57D3" w:rsidRPr="00AF57D3" w:rsidRDefault="009749B6">
          <w:pPr>
            <w:pStyle w:val="TOC1"/>
            <w:tabs>
              <w:tab w:val="right" w:leader="dot" w:pos="8488"/>
            </w:tabs>
            <w:rPr>
              <w:rFonts w:ascii="Arial" w:hAnsi="Arial" w:cs="Arial"/>
              <w:noProof/>
              <w:sz w:val="22"/>
              <w:szCs w:val="22"/>
              <w:lang w:eastAsia="en-AU"/>
            </w:rPr>
          </w:pPr>
          <w:hyperlink w:anchor="_Toc114123352" w:history="1">
            <w:r w:rsidR="00AF57D3" w:rsidRPr="00AF57D3">
              <w:rPr>
                <w:rStyle w:val="Hyperlink"/>
                <w:rFonts w:ascii="Arial" w:hAnsi="Arial" w:cs="Arial"/>
                <w:noProof/>
              </w:rPr>
              <w:t>Long term pandemic legislation</w:t>
            </w:r>
            <w:r w:rsidR="00AF57D3" w:rsidRPr="00AF57D3">
              <w:rPr>
                <w:rFonts w:ascii="Arial" w:hAnsi="Arial" w:cs="Arial"/>
                <w:noProof/>
                <w:webHidden/>
              </w:rPr>
              <w:tab/>
            </w:r>
            <w:r w:rsidR="00AF57D3" w:rsidRPr="00AF57D3">
              <w:rPr>
                <w:rFonts w:ascii="Arial" w:hAnsi="Arial" w:cs="Arial"/>
                <w:noProof/>
                <w:webHidden/>
              </w:rPr>
              <w:fldChar w:fldCharType="begin"/>
            </w:r>
            <w:r w:rsidR="00AF57D3" w:rsidRPr="00AF57D3">
              <w:rPr>
                <w:rFonts w:ascii="Arial" w:hAnsi="Arial" w:cs="Arial"/>
                <w:noProof/>
                <w:webHidden/>
              </w:rPr>
              <w:instrText xml:space="preserve"> PAGEREF _Toc114123352 \h </w:instrText>
            </w:r>
            <w:r w:rsidR="00AF57D3" w:rsidRPr="00AF57D3">
              <w:rPr>
                <w:rFonts w:ascii="Arial" w:hAnsi="Arial" w:cs="Arial"/>
                <w:noProof/>
                <w:webHidden/>
              </w:rPr>
            </w:r>
            <w:r w:rsidR="00AF57D3" w:rsidRPr="00AF57D3">
              <w:rPr>
                <w:rFonts w:ascii="Arial" w:hAnsi="Arial" w:cs="Arial"/>
                <w:noProof/>
                <w:webHidden/>
              </w:rPr>
              <w:fldChar w:fldCharType="separate"/>
            </w:r>
            <w:r w:rsidR="00A032D4">
              <w:rPr>
                <w:rFonts w:ascii="Arial" w:hAnsi="Arial" w:cs="Arial"/>
                <w:noProof/>
                <w:webHidden/>
              </w:rPr>
              <w:t>11</w:t>
            </w:r>
            <w:r w:rsidR="00AF57D3" w:rsidRPr="00AF57D3">
              <w:rPr>
                <w:rFonts w:ascii="Arial" w:hAnsi="Arial" w:cs="Arial"/>
                <w:noProof/>
                <w:webHidden/>
              </w:rPr>
              <w:fldChar w:fldCharType="end"/>
            </w:r>
          </w:hyperlink>
        </w:p>
        <w:p w14:paraId="52563AD9" w14:textId="0E394195" w:rsidR="00AF57D3" w:rsidRPr="00AF57D3" w:rsidRDefault="009749B6">
          <w:pPr>
            <w:pStyle w:val="TOC1"/>
            <w:tabs>
              <w:tab w:val="right" w:leader="dot" w:pos="8488"/>
            </w:tabs>
            <w:rPr>
              <w:rFonts w:ascii="Arial" w:hAnsi="Arial" w:cs="Arial"/>
              <w:noProof/>
              <w:sz w:val="22"/>
              <w:szCs w:val="22"/>
              <w:lang w:eastAsia="en-AU"/>
            </w:rPr>
          </w:pPr>
          <w:hyperlink w:anchor="_Toc114123353" w:history="1">
            <w:r w:rsidR="00AF57D3" w:rsidRPr="00AF57D3">
              <w:rPr>
                <w:rStyle w:val="Hyperlink"/>
                <w:rFonts w:ascii="Arial" w:hAnsi="Arial" w:cs="Arial"/>
                <w:noProof/>
              </w:rPr>
              <w:t>Conclusion</w:t>
            </w:r>
            <w:r w:rsidR="00AF57D3" w:rsidRPr="00AF57D3">
              <w:rPr>
                <w:rFonts w:ascii="Arial" w:hAnsi="Arial" w:cs="Arial"/>
                <w:noProof/>
                <w:webHidden/>
              </w:rPr>
              <w:tab/>
            </w:r>
            <w:r w:rsidR="00AF57D3" w:rsidRPr="00AF57D3">
              <w:rPr>
                <w:rFonts w:ascii="Arial" w:hAnsi="Arial" w:cs="Arial"/>
                <w:noProof/>
                <w:webHidden/>
              </w:rPr>
              <w:fldChar w:fldCharType="begin"/>
            </w:r>
            <w:r w:rsidR="00AF57D3" w:rsidRPr="00AF57D3">
              <w:rPr>
                <w:rFonts w:ascii="Arial" w:hAnsi="Arial" w:cs="Arial"/>
                <w:noProof/>
                <w:webHidden/>
              </w:rPr>
              <w:instrText xml:space="preserve"> PAGEREF _Toc114123353 \h </w:instrText>
            </w:r>
            <w:r w:rsidR="00AF57D3" w:rsidRPr="00AF57D3">
              <w:rPr>
                <w:rFonts w:ascii="Arial" w:hAnsi="Arial" w:cs="Arial"/>
                <w:noProof/>
                <w:webHidden/>
              </w:rPr>
            </w:r>
            <w:r w:rsidR="00AF57D3" w:rsidRPr="00AF57D3">
              <w:rPr>
                <w:rFonts w:ascii="Arial" w:hAnsi="Arial" w:cs="Arial"/>
                <w:noProof/>
                <w:webHidden/>
              </w:rPr>
              <w:fldChar w:fldCharType="separate"/>
            </w:r>
            <w:r w:rsidR="00A032D4">
              <w:rPr>
                <w:rFonts w:ascii="Arial" w:hAnsi="Arial" w:cs="Arial"/>
                <w:noProof/>
                <w:webHidden/>
              </w:rPr>
              <w:t>13</w:t>
            </w:r>
            <w:r w:rsidR="00AF57D3" w:rsidRPr="00AF57D3">
              <w:rPr>
                <w:rFonts w:ascii="Arial" w:hAnsi="Arial" w:cs="Arial"/>
                <w:noProof/>
                <w:webHidden/>
              </w:rPr>
              <w:fldChar w:fldCharType="end"/>
            </w:r>
          </w:hyperlink>
        </w:p>
        <w:p w14:paraId="42F3C5FB" w14:textId="00464E64" w:rsidR="00A16356" w:rsidRPr="00041E58" w:rsidRDefault="00A16356" w:rsidP="00D207AB">
          <w:pPr>
            <w:pStyle w:val="TOC1"/>
            <w:tabs>
              <w:tab w:val="right" w:leader="dot" w:pos="8488"/>
            </w:tabs>
            <w:rPr>
              <w:rFonts w:ascii="Arial" w:hAnsi="Arial" w:cs="Arial"/>
            </w:rPr>
          </w:pPr>
          <w:r w:rsidRPr="00F635A1">
            <w:rPr>
              <w:rFonts w:ascii="Arial" w:hAnsi="Arial" w:cs="Arial"/>
              <w:b/>
              <w:bCs/>
              <w:noProof/>
            </w:rPr>
            <w:fldChar w:fldCharType="end"/>
          </w:r>
        </w:p>
      </w:sdtContent>
    </w:sdt>
    <w:p w14:paraId="4E5347D6" w14:textId="509F2E8E" w:rsidR="006A28D1" w:rsidRDefault="00392F0C" w:rsidP="006A28D1">
      <w:pPr>
        <w:pStyle w:val="Heading1"/>
      </w:pPr>
      <w:bookmarkStart w:id="28" w:name="_Toc114123340"/>
      <w:r>
        <w:t>Summary</w:t>
      </w:r>
      <w:r w:rsidR="00B64CAA">
        <w:t xml:space="preserve"> and Recommendations</w:t>
      </w:r>
      <w:bookmarkEnd w:id="28"/>
    </w:p>
    <w:p w14:paraId="6BF7B8FA" w14:textId="05C9CED0" w:rsidR="006A28D1" w:rsidRDefault="00F70C03" w:rsidP="0049501E">
      <w:pPr>
        <w:pStyle w:val="Numberedparagraph"/>
      </w:pPr>
      <w:r>
        <w:t xml:space="preserve">Thank you for the opportunity to make </w:t>
      </w:r>
      <w:r w:rsidR="007F042E">
        <w:t>submission</w:t>
      </w:r>
      <w:r>
        <w:t>s</w:t>
      </w:r>
      <w:r w:rsidR="007F042E">
        <w:t xml:space="preserve"> on the </w:t>
      </w:r>
      <w:r w:rsidR="0040547D" w:rsidRPr="0040547D">
        <w:t>Public Health and Other Legislation (</w:t>
      </w:r>
      <w:r w:rsidR="007A6FA8">
        <w:t>COVID-19 Management</w:t>
      </w:r>
      <w:r w:rsidR="0040547D" w:rsidRPr="0040547D">
        <w:t xml:space="preserve">) Amendment Bill 2022 </w:t>
      </w:r>
      <w:r>
        <w:t>(</w:t>
      </w:r>
      <w:r w:rsidRPr="00B76A34">
        <w:rPr>
          <w:b/>
        </w:rPr>
        <w:t>the Bill</w:t>
      </w:r>
      <w:r>
        <w:t>)</w:t>
      </w:r>
      <w:r w:rsidR="007F042E">
        <w:t xml:space="preserve">. </w:t>
      </w:r>
    </w:p>
    <w:p w14:paraId="7D670E56" w14:textId="5F9613A4" w:rsidR="007A6FA8" w:rsidRDefault="007A6FA8" w:rsidP="007A6FA8">
      <w:pPr>
        <w:pStyle w:val="Numberedparagraph"/>
      </w:pPr>
      <w:r>
        <w:t xml:space="preserve">The </w:t>
      </w:r>
      <w:r w:rsidR="00BC4D70">
        <w:t>Bill</w:t>
      </w:r>
      <w:r>
        <w:t xml:space="preserve"> implements many previous recommendations of the Queensland Human Rights Commission (QHRC) and we are generally supportive of the Bill</w:t>
      </w:r>
      <w:r w:rsidR="000278A3">
        <w:t xml:space="preserve">. Nonetheless, </w:t>
      </w:r>
      <w:r w:rsidR="000B38D1">
        <w:t xml:space="preserve">in this submission </w:t>
      </w:r>
      <w:r w:rsidR="000278A3">
        <w:t>we</w:t>
      </w:r>
      <w:r>
        <w:t xml:space="preserve"> </w:t>
      </w:r>
      <w:r w:rsidR="000278A3">
        <w:t xml:space="preserve">suggest further amendments </w:t>
      </w:r>
      <w:r w:rsidR="000B38D1">
        <w:t>should be</w:t>
      </w:r>
      <w:r w:rsidR="000278A3">
        <w:t xml:space="preserve"> considered and highlight areas where </w:t>
      </w:r>
      <w:r w:rsidR="000B38D1">
        <w:t>further</w:t>
      </w:r>
      <w:r w:rsidR="000278A3">
        <w:t xml:space="preserve"> justification</w:t>
      </w:r>
      <w:r w:rsidR="000B38D1">
        <w:t xml:space="preserve"> is required</w:t>
      </w:r>
      <w:r w:rsidR="000278A3">
        <w:t xml:space="preserve"> for limitation</w:t>
      </w:r>
      <w:r w:rsidR="000B38D1">
        <w:t>s</w:t>
      </w:r>
      <w:r w:rsidR="000278A3">
        <w:t xml:space="preserve"> on</w:t>
      </w:r>
      <w:r w:rsidR="000B38D1">
        <w:t xml:space="preserve"> human</w:t>
      </w:r>
      <w:r w:rsidR="000278A3">
        <w:t xml:space="preserve"> rights</w:t>
      </w:r>
      <w:r>
        <w:t xml:space="preserve">.  </w:t>
      </w:r>
    </w:p>
    <w:p w14:paraId="46C0CFD3" w14:textId="149155E9" w:rsidR="007A6FA8" w:rsidRDefault="0040547D" w:rsidP="007A6FA8">
      <w:pPr>
        <w:pStyle w:val="Numberedparagraph"/>
      </w:pPr>
      <w:r>
        <w:t xml:space="preserve">The </w:t>
      </w:r>
      <w:r w:rsidR="007F4356">
        <w:t>QHRC</w:t>
      </w:r>
      <w:r>
        <w:t xml:space="preserve"> </w:t>
      </w:r>
      <w:r w:rsidRPr="0040547D">
        <w:rPr>
          <w:b/>
        </w:rPr>
        <w:t>recommends</w:t>
      </w:r>
      <w:r>
        <w:t xml:space="preserve"> that</w:t>
      </w:r>
      <w:r w:rsidR="00F5272A">
        <w:t>:</w:t>
      </w:r>
      <w:r>
        <w:t xml:space="preserve"> </w:t>
      </w:r>
    </w:p>
    <w:p w14:paraId="481F34BD" w14:textId="4A74BCDA" w:rsidR="00F5272A" w:rsidRDefault="0060796E" w:rsidP="00F055E8">
      <w:pPr>
        <w:pStyle w:val="Bulletedlist"/>
        <w:spacing w:line="276" w:lineRule="auto"/>
      </w:pPr>
      <w:r>
        <w:t xml:space="preserve">The legislation </w:t>
      </w:r>
      <w:proofErr w:type="gramStart"/>
      <w:r>
        <w:t>require</w:t>
      </w:r>
      <w:proofErr w:type="gramEnd"/>
      <w:r>
        <w:t xml:space="preserve"> a public health </w:t>
      </w:r>
      <w:r w:rsidR="005670BE">
        <w:t>direction and</w:t>
      </w:r>
      <w:r>
        <w:t xml:space="preserve"> accompanying</w:t>
      </w:r>
      <w:r w:rsidR="005670BE">
        <w:t xml:space="preserve"> human rights analysis to be tabled in parliament </w:t>
      </w:r>
      <w:r>
        <w:t xml:space="preserve">in less than the </w:t>
      </w:r>
      <w:r w:rsidRPr="00350437">
        <w:t>proposed 21 days.</w:t>
      </w:r>
      <w:r>
        <w:t xml:space="preserve"> We suggest 5 days would be more appropriate</w:t>
      </w:r>
      <w:r w:rsidR="00350437">
        <w:t xml:space="preserve"> and would align with the proposed timeframe of the human rights justification statement</w:t>
      </w:r>
      <w:r w:rsidR="005670BE">
        <w:t xml:space="preserve">. </w:t>
      </w:r>
    </w:p>
    <w:p w14:paraId="62BEF774" w14:textId="2246A98E" w:rsidR="005670BE" w:rsidRDefault="007F7188" w:rsidP="00F055E8">
      <w:pPr>
        <w:pStyle w:val="Bulletedlist"/>
        <w:spacing w:line="276" w:lineRule="auto"/>
      </w:pPr>
      <w:r>
        <w:t>The government provide f</w:t>
      </w:r>
      <w:r w:rsidR="002C1D4F">
        <w:t>urther justification for why the Bill doesn’t include</w:t>
      </w:r>
      <w:r w:rsidR="00ED0103">
        <w:t xml:space="preserve"> m</w:t>
      </w:r>
      <w:r w:rsidR="005670BE">
        <w:t xml:space="preserve">echanisms for </w:t>
      </w:r>
      <w:r w:rsidR="00FF387A">
        <w:t xml:space="preserve">a person to seek an </w:t>
      </w:r>
      <w:r w:rsidR="005670BE">
        <w:t xml:space="preserve">independent review of </w:t>
      </w:r>
      <w:r w:rsidR="00ED0103">
        <w:t>how a public health</w:t>
      </w:r>
      <w:r w:rsidR="005670BE">
        <w:t xml:space="preserve"> direction</w:t>
      </w:r>
      <w:r w:rsidR="00ED0103">
        <w:t xml:space="preserve"> applies</w:t>
      </w:r>
      <w:r w:rsidR="005670BE">
        <w:t xml:space="preserve">, particularly for those subject to </w:t>
      </w:r>
      <w:r w:rsidR="005670BE" w:rsidRPr="004F410C">
        <w:t xml:space="preserve">isolation </w:t>
      </w:r>
      <w:r w:rsidR="00D173BE" w:rsidRPr="004F410C">
        <w:t xml:space="preserve">or quarantine </w:t>
      </w:r>
      <w:r w:rsidR="005670BE" w:rsidRPr="004F410C">
        <w:t>directions</w:t>
      </w:r>
      <w:r w:rsidR="005670BE">
        <w:t xml:space="preserve">. </w:t>
      </w:r>
    </w:p>
    <w:p w14:paraId="6241913D" w14:textId="54857462" w:rsidR="005670BE" w:rsidRDefault="00FF387A" w:rsidP="00F055E8">
      <w:pPr>
        <w:pStyle w:val="Bulletedlist"/>
        <w:spacing w:line="276" w:lineRule="auto"/>
      </w:pPr>
      <w:r>
        <w:lastRenderedPageBreak/>
        <w:t>Th</w:t>
      </w:r>
      <w:r w:rsidR="002C1D4F">
        <w:t>e government</w:t>
      </w:r>
      <w:r>
        <w:t xml:space="preserve"> </w:t>
      </w:r>
      <w:r w:rsidR="007F7188">
        <w:t>develop</w:t>
      </w:r>
      <w:r w:rsidR="005670BE">
        <w:t xml:space="preserve"> a</w:t>
      </w:r>
      <w:r w:rsidR="007F4356">
        <w:t>n accessible</w:t>
      </w:r>
      <w:r w:rsidR="005670BE">
        <w:t xml:space="preserve"> </w:t>
      </w:r>
      <w:r w:rsidR="002C1D4F">
        <w:t>process</w:t>
      </w:r>
      <w:r w:rsidR="005670BE">
        <w:t xml:space="preserve"> for </w:t>
      </w:r>
      <w:r w:rsidR="002C1D4F">
        <w:t>individuals</w:t>
      </w:r>
      <w:r w:rsidR="005670BE">
        <w:t xml:space="preserve"> to </w:t>
      </w:r>
      <w:r w:rsidR="00193EAA">
        <w:t xml:space="preserve">demonstrate </w:t>
      </w:r>
      <w:r>
        <w:t>they are exempt from a direction</w:t>
      </w:r>
      <w:r w:rsidR="005670BE">
        <w:t xml:space="preserve"> to avoid the confusion and confrontation </w:t>
      </w:r>
      <w:r w:rsidR="00ED0103">
        <w:t xml:space="preserve">we have observed </w:t>
      </w:r>
      <w:r w:rsidR="005670BE">
        <w:t>to date</w:t>
      </w:r>
      <w:r w:rsidR="00ED0103">
        <w:t>,</w:t>
      </w:r>
      <w:r w:rsidR="005670BE">
        <w:t xml:space="preserve"> particularly regarding people exempted from wearing a face mask.</w:t>
      </w:r>
    </w:p>
    <w:p w14:paraId="171A1ED9" w14:textId="19982DF6" w:rsidR="009B20DA" w:rsidRDefault="00D15CFD" w:rsidP="00F055E8">
      <w:pPr>
        <w:pStyle w:val="Bulletedlist"/>
        <w:spacing w:line="276" w:lineRule="auto"/>
      </w:pPr>
      <w:r>
        <w:t>T</w:t>
      </w:r>
      <w:r w:rsidR="00353BC3">
        <w:t xml:space="preserve">he legislation </w:t>
      </w:r>
      <w:proofErr w:type="gramStart"/>
      <w:r w:rsidR="00353BC3">
        <w:t>include</w:t>
      </w:r>
      <w:proofErr w:type="gramEnd"/>
      <w:r w:rsidR="00353BC3">
        <w:t xml:space="preserve"> an automatic</w:t>
      </w:r>
      <w:r w:rsidR="009B20DA" w:rsidRPr="009B20DA">
        <w:t xml:space="preserve"> exemption for a</w:t>
      </w:r>
      <w:r w:rsidR="00353BC3">
        <w:t>ny person subject to a direction</w:t>
      </w:r>
      <w:r w:rsidR="009B20DA" w:rsidRPr="009B20DA">
        <w:t xml:space="preserve"> to leave their principal place of residence or move freely to obtain medical treatment to preserve the person’s quality of life. </w:t>
      </w:r>
    </w:p>
    <w:p w14:paraId="4CDF357C" w14:textId="5E4B1DBB" w:rsidR="005670BE" w:rsidRDefault="005670BE" w:rsidP="00F055E8">
      <w:pPr>
        <w:pStyle w:val="Bulletedlist"/>
        <w:spacing w:line="276" w:lineRule="auto"/>
      </w:pPr>
      <w:r>
        <w:t xml:space="preserve">The </w:t>
      </w:r>
      <w:r w:rsidR="00D15CFD">
        <w:t>government provide additional information</w:t>
      </w:r>
      <w:r>
        <w:t xml:space="preserve"> to justify the limitation on rights arising from </w:t>
      </w:r>
      <w:r w:rsidR="002C1D4F">
        <w:t>powers</w:t>
      </w:r>
      <w:r w:rsidR="003138BD">
        <w:t xml:space="preserve"> of authorised persons</w:t>
      </w:r>
      <w:r w:rsidR="002C1D4F">
        <w:t xml:space="preserve"> to enter premises, </w:t>
      </w:r>
      <w:r>
        <w:t>seize</w:t>
      </w:r>
      <w:r w:rsidR="002C1D4F">
        <w:t xml:space="preserve"> items and use force. </w:t>
      </w:r>
      <w:r>
        <w:t xml:space="preserve">  </w:t>
      </w:r>
    </w:p>
    <w:p w14:paraId="5B444DE5" w14:textId="4206F61B" w:rsidR="0060796E" w:rsidRDefault="00D15CFD" w:rsidP="00F055E8">
      <w:pPr>
        <w:pStyle w:val="Bulletedlist"/>
        <w:spacing w:line="276" w:lineRule="auto"/>
      </w:pPr>
      <w:r>
        <w:t>The government further ju</w:t>
      </w:r>
      <w:r w:rsidR="007F7188">
        <w:t>stif</w:t>
      </w:r>
      <w:r>
        <w:t>y several</w:t>
      </w:r>
      <w:r w:rsidR="00ED0103">
        <w:t xml:space="preserve"> of </w:t>
      </w:r>
      <w:r w:rsidR="0060796E">
        <w:t xml:space="preserve">the proposed amendments to the Corrective Services Act. </w:t>
      </w:r>
      <w:r w:rsidR="0060796E" w:rsidRPr="001D538F">
        <w:t>On the information provided, we suggest that the QCS Commissioner’s temporary powers should only be exercised in relation to COVID-19, not any emergency.</w:t>
      </w:r>
      <w:r w:rsidR="0060796E">
        <w:t xml:space="preserve"> </w:t>
      </w:r>
    </w:p>
    <w:p w14:paraId="6AD488A4" w14:textId="47B7F940" w:rsidR="00AD79D7" w:rsidRPr="001D538F" w:rsidRDefault="007F7188" w:rsidP="00F055E8">
      <w:pPr>
        <w:pStyle w:val="Bulletedlist"/>
        <w:spacing w:line="276" w:lineRule="auto"/>
      </w:pPr>
      <w:r>
        <w:t xml:space="preserve">The legislation </w:t>
      </w:r>
      <w:proofErr w:type="gramStart"/>
      <w:r>
        <w:t>provide</w:t>
      </w:r>
      <w:proofErr w:type="gramEnd"/>
      <w:r>
        <w:t xml:space="preserve"> that</w:t>
      </w:r>
      <w:r w:rsidR="00AD79D7" w:rsidRPr="001D538F">
        <w:t xml:space="preserve"> even during a declared emergency, oversight agencies be permitted (if they choose) to visit corrective services facilities. </w:t>
      </w:r>
    </w:p>
    <w:p w14:paraId="50213057" w14:textId="292B1C16" w:rsidR="00283E17" w:rsidRDefault="00283E17" w:rsidP="00F055E8">
      <w:pPr>
        <w:pStyle w:val="Bulletedlist"/>
        <w:spacing w:line="276" w:lineRule="auto"/>
      </w:pPr>
      <w:r>
        <w:t xml:space="preserve">While the time limited nature of the amendments in the Bill may be a sufficient safeguard, if </w:t>
      </w:r>
      <w:r w:rsidR="007F7188">
        <w:t>the amendments</w:t>
      </w:r>
      <w:r>
        <w:t xml:space="preserve"> proposed </w:t>
      </w:r>
      <w:r w:rsidR="007F7188">
        <w:t>in the Bill are</w:t>
      </w:r>
      <w:r>
        <w:t xml:space="preserve"> extended, consideration be given to the CHO</w:t>
      </w:r>
      <w:r w:rsidR="008A7E45">
        <w:t xml:space="preserve"> or QCS Commissioner</w:t>
      </w:r>
      <w:r>
        <w:t xml:space="preserve"> only being provided such extraordinary powers following a declaration or similar decision by the Premier. </w:t>
      </w:r>
    </w:p>
    <w:p w14:paraId="0961071C" w14:textId="5D4C8307" w:rsidR="002600FB" w:rsidRDefault="00F5272A" w:rsidP="00F055E8">
      <w:pPr>
        <w:pStyle w:val="Bulletedlist"/>
        <w:spacing w:line="276" w:lineRule="auto"/>
      </w:pPr>
      <w:r>
        <w:t xml:space="preserve">The Committee </w:t>
      </w:r>
      <w:r w:rsidR="00ED0103">
        <w:t xml:space="preserve">also </w:t>
      </w:r>
      <w:r>
        <w:t>consider if the government should continue to consult with stakeholders</w:t>
      </w:r>
      <w:r w:rsidR="000278A3">
        <w:t xml:space="preserve"> and the broader community</w:t>
      </w:r>
      <w:r>
        <w:t xml:space="preserve"> with a view to </w:t>
      </w:r>
      <w:r w:rsidR="009B06C1">
        <w:t xml:space="preserve">developing legislation to respond to </w:t>
      </w:r>
      <w:r>
        <w:t xml:space="preserve">other pandemics Queensland may face in future. </w:t>
      </w:r>
    </w:p>
    <w:p w14:paraId="19803FAA" w14:textId="76E89D1A" w:rsidR="006A28D1" w:rsidRDefault="00392F0C" w:rsidP="00392F0C">
      <w:pPr>
        <w:pStyle w:val="Heading1"/>
      </w:pPr>
      <w:bookmarkStart w:id="29" w:name="_Toc114123341"/>
      <w:r>
        <w:t>Introduction</w:t>
      </w:r>
      <w:bookmarkEnd w:id="29"/>
    </w:p>
    <w:p w14:paraId="62F7279F" w14:textId="5985A4A6" w:rsidR="00392F0C" w:rsidRDefault="00392F0C" w:rsidP="00826E15">
      <w:pPr>
        <w:pStyle w:val="Numberedparagraph"/>
      </w:pPr>
      <w:r>
        <w:t xml:space="preserve">The </w:t>
      </w:r>
      <w:r w:rsidR="007F4356">
        <w:t>QHRC</w:t>
      </w:r>
      <w:r>
        <w:t xml:space="preserve"> </w:t>
      </w:r>
      <w:r w:rsidRPr="00C35743">
        <w:t xml:space="preserve">is a statutory authority established under the </w:t>
      </w:r>
      <w:r>
        <w:t xml:space="preserve">Queensland </w:t>
      </w:r>
      <w:r w:rsidRPr="00C35743">
        <w:rPr>
          <w:i/>
        </w:rPr>
        <w:t>Anti-Discrimination Act 1991</w:t>
      </w:r>
      <w:r>
        <w:rPr>
          <w:i/>
        </w:rPr>
        <w:t xml:space="preserve"> </w:t>
      </w:r>
      <w:r>
        <w:t>(</w:t>
      </w:r>
      <w:r w:rsidRPr="003B0A61">
        <w:rPr>
          <w:b/>
        </w:rPr>
        <w:t>AD Act</w:t>
      </w:r>
      <w:r>
        <w:t>)</w:t>
      </w:r>
      <w:r>
        <w:rPr>
          <w:i/>
        </w:rPr>
        <w:t>.</w:t>
      </w:r>
    </w:p>
    <w:p w14:paraId="3EB7DCCC" w14:textId="641F33AF" w:rsidR="00392F0C" w:rsidRPr="00592493" w:rsidRDefault="00392F0C" w:rsidP="00826E15">
      <w:pPr>
        <w:pStyle w:val="Numberedparagraph"/>
      </w:pPr>
      <w:r w:rsidRPr="00A97DE1">
        <w:t xml:space="preserve">The </w:t>
      </w:r>
      <w:r w:rsidR="007F4356">
        <w:t>QHRC</w:t>
      </w:r>
      <w:r w:rsidRPr="00A97DE1">
        <w:t xml:space="preserve"> </w:t>
      </w:r>
      <w:r>
        <w:t xml:space="preserve">has functions under the AD Act and the </w:t>
      </w:r>
      <w:r>
        <w:rPr>
          <w:i/>
        </w:rPr>
        <w:t xml:space="preserve">Human Rights Act 2019 </w:t>
      </w:r>
      <w:r>
        <w:t>(</w:t>
      </w:r>
      <w:r w:rsidRPr="003B0A61">
        <w:rPr>
          <w:b/>
        </w:rPr>
        <w:t>HR Act</w:t>
      </w:r>
      <w:r>
        <w:t>)</w:t>
      </w:r>
      <w:r>
        <w:rPr>
          <w:i/>
        </w:rPr>
        <w:t xml:space="preserve"> </w:t>
      </w:r>
      <w:r>
        <w:t>to promote</w:t>
      </w:r>
      <w:r w:rsidRPr="00A97DE1">
        <w:t xml:space="preserve"> an understanding</w:t>
      </w:r>
      <w:r>
        <w:t xml:space="preserve"> </w:t>
      </w:r>
      <w:r w:rsidRPr="00A97DE1">
        <w:t>and public discussion of human rights in Queensla</w:t>
      </w:r>
      <w:r>
        <w:t xml:space="preserve">nd, and to provide information and education about human rights. </w:t>
      </w:r>
    </w:p>
    <w:p w14:paraId="2E9E5660" w14:textId="7C5FAB76" w:rsidR="00392F0C" w:rsidRPr="0040547D" w:rsidRDefault="00392F0C" w:rsidP="00826E15">
      <w:pPr>
        <w:pStyle w:val="Numberedparagraph"/>
      </w:pPr>
      <w:r>
        <w:t xml:space="preserve">The </w:t>
      </w:r>
      <w:r w:rsidR="007F4356">
        <w:t>QHRC</w:t>
      </w:r>
      <w:r>
        <w:t xml:space="preserve"> also deals with complaints of discrimination, vilification</w:t>
      </w:r>
      <w:r w:rsidR="00887F02">
        <w:t>,</w:t>
      </w:r>
      <w:r>
        <w:t xml:space="preserve"> and other objectionable conduct under the </w:t>
      </w:r>
      <w:r w:rsidRPr="003B0A61">
        <w:t>AD Act</w:t>
      </w:r>
      <w:r>
        <w:rPr>
          <w:i/>
        </w:rPr>
        <w:t xml:space="preserve">, </w:t>
      </w:r>
      <w:r>
        <w:t xml:space="preserve">reprisal under the </w:t>
      </w:r>
      <w:r>
        <w:rPr>
          <w:i/>
        </w:rPr>
        <w:t xml:space="preserve">Public Interest Disclosure Act </w:t>
      </w:r>
      <w:r w:rsidRPr="009F4BAD">
        <w:rPr>
          <w:i/>
        </w:rPr>
        <w:t>2009</w:t>
      </w:r>
      <w:r>
        <w:t>, and human rights complaints under the HR Act</w:t>
      </w:r>
      <w:r>
        <w:rPr>
          <w:i/>
        </w:rPr>
        <w:t xml:space="preserve">. </w:t>
      </w:r>
    </w:p>
    <w:p w14:paraId="2AF9689D" w14:textId="7F8360C2" w:rsidR="00D96A22" w:rsidRDefault="00D96A22" w:rsidP="00D96A22">
      <w:pPr>
        <w:pStyle w:val="Numberedparagraph"/>
      </w:pPr>
      <w:r>
        <w:t xml:space="preserve">Throughout the pandemic, the </w:t>
      </w:r>
      <w:r w:rsidR="007F4356">
        <w:t>QHRC</w:t>
      </w:r>
      <w:r>
        <w:t xml:space="preserve"> has generally supported the Government’s approach, noting in particular the obligation imposed on it to protect the right to life.  Without direct access to the relevant evidence and expertise, it is not within the capacity or functions of the </w:t>
      </w:r>
      <w:r w:rsidR="007F4356">
        <w:t>QHRC</w:t>
      </w:r>
      <w:r>
        <w:t xml:space="preserve"> to provide public commentary about </w:t>
      </w:r>
      <w:r>
        <w:lastRenderedPageBreak/>
        <w:t xml:space="preserve">whether restrictions imposed at any given time were proportionate and justified.  The </w:t>
      </w:r>
      <w:r w:rsidR="007F4356">
        <w:t>QHRC</w:t>
      </w:r>
      <w:r>
        <w:t xml:space="preserve"> has therefore been very careful throughout the pandemic not to undermine public health </w:t>
      </w:r>
      <w:r w:rsidR="005D5B7A">
        <w:t>respons</w:t>
      </w:r>
      <w:r>
        <w:t xml:space="preserve">es. </w:t>
      </w:r>
    </w:p>
    <w:p w14:paraId="30BF8BAF" w14:textId="37C76157" w:rsidR="00A65F60" w:rsidRDefault="00A65F60" w:rsidP="0049501E">
      <w:pPr>
        <w:pStyle w:val="Numberedparagraph"/>
      </w:pPr>
      <w:r>
        <w:t xml:space="preserve">We agree with the </w:t>
      </w:r>
      <w:r w:rsidR="00BA5B67">
        <w:t xml:space="preserve">Explanatory Statement that </w:t>
      </w:r>
      <w:r w:rsidR="007F7188">
        <w:t>the previous amendments to the Public Health Act</w:t>
      </w:r>
      <w:r w:rsidR="00BA5B67">
        <w:t xml:space="preserve"> were ‘</w:t>
      </w:r>
      <w:r w:rsidR="005D0A2A" w:rsidRPr="005D0A2A">
        <w:t>integral to Queensland’s successful response to COVID-19, including immediate efforts to eliminate and suppress the virus, and ongoing strategies to manage the endemic risks of COVID-19</w:t>
      </w:r>
      <w:r w:rsidR="005D0A2A">
        <w:t>’ but that now a ‘step down’ and more targeted suite of powers is necessary</w:t>
      </w:r>
      <w:r w:rsidRPr="00193EAA">
        <w:t>.</w:t>
      </w:r>
      <w:r w:rsidRPr="00193EAA">
        <w:rPr>
          <w:rStyle w:val="FootnoteReference"/>
        </w:rPr>
        <w:footnoteReference w:id="1"/>
      </w:r>
    </w:p>
    <w:p w14:paraId="36822584" w14:textId="1A1F3CF3" w:rsidR="007A6FA8" w:rsidRDefault="007A6FA8" w:rsidP="007A6FA8">
      <w:pPr>
        <w:pStyle w:val="Heading1"/>
      </w:pPr>
      <w:bookmarkStart w:id="30" w:name="_Toc114123342"/>
      <w:r>
        <w:t>Positive changes</w:t>
      </w:r>
      <w:bookmarkEnd w:id="30"/>
    </w:p>
    <w:p w14:paraId="50B4938F" w14:textId="74444D67" w:rsidR="00DD0080" w:rsidRDefault="00F5272A" w:rsidP="00DD0080">
      <w:pPr>
        <w:pStyle w:val="Numberedparagraph"/>
      </w:pPr>
      <w:r>
        <w:t xml:space="preserve">The Bill implements several previous recommendations of the </w:t>
      </w:r>
      <w:r w:rsidR="007F4356">
        <w:t>QHRC</w:t>
      </w:r>
      <w:r>
        <w:t xml:space="preserve"> to ensure any limitation on human rights arising from COVID-19 restrictions are reasonable and proportionate: </w:t>
      </w:r>
    </w:p>
    <w:p w14:paraId="378039F8" w14:textId="285E6A66" w:rsidR="002600FB" w:rsidRDefault="00F5272A" w:rsidP="00F055E8">
      <w:pPr>
        <w:pStyle w:val="Bulletedlist"/>
        <w:spacing w:line="276" w:lineRule="auto"/>
      </w:pPr>
      <w:r>
        <w:t xml:space="preserve">The Bill clarifies how the HR Act applies to the new framework, </w:t>
      </w:r>
      <w:r w:rsidR="000278A3">
        <w:t>including providing for parliamentary scrutiny and</w:t>
      </w:r>
      <w:r w:rsidR="007F4356">
        <w:t xml:space="preserve"> that parliament may</w:t>
      </w:r>
      <w:r w:rsidR="000278A3">
        <w:t xml:space="preserve"> disallow</w:t>
      </w:r>
      <w:r w:rsidR="00283E17">
        <w:t xml:space="preserve"> public health directions. </w:t>
      </w:r>
    </w:p>
    <w:p w14:paraId="13E32B7B" w14:textId="4924996E" w:rsidR="007E5EF8" w:rsidRDefault="000278A3" w:rsidP="00F055E8">
      <w:pPr>
        <w:pStyle w:val="Bulletedlist"/>
        <w:spacing w:line="276" w:lineRule="auto"/>
      </w:pPr>
      <w:r>
        <w:t xml:space="preserve">This process provides for the publication of </w:t>
      </w:r>
      <w:r w:rsidR="007E5EF8" w:rsidRPr="005D5B7A">
        <w:t xml:space="preserve">information about </w:t>
      </w:r>
      <w:r w:rsidR="00992648">
        <w:t xml:space="preserve">why any </w:t>
      </w:r>
      <w:r w:rsidR="007E5EF8" w:rsidRPr="00992648">
        <w:rPr>
          <w:bCs/>
        </w:rPr>
        <w:t>limitations on human rig</w:t>
      </w:r>
      <w:r w:rsidR="00992648">
        <w:rPr>
          <w:bCs/>
        </w:rPr>
        <w:t>hts is reasonable and proportionate</w:t>
      </w:r>
      <w:r w:rsidR="007E5EF8" w:rsidRPr="005D5B7A">
        <w:t xml:space="preserve">. </w:t>
      </w:r>
    </w:p>
    <w:p w14:paraId="5E4CABD2" w14:textId="17A73529" w:rsidR="00AD79D7" w:rsidRPr="00992648" w:rsidRDefault="00992648" w:rsidP="00F055E8">
      <w:pPr>
        <w:pStyle w:val="Bulletedlist"/>
        <w:spacing w:line="276" w:lineRule="auto"/>
      </w:pPr>
      <w:r w:rsidRPr="00992648">
        <w:t xml:space="preserve">The powers of the Chief Health Officer (CHO) are narrowed </w:t>
      </w:r>
      <w:r w:rsidR="00AD79D7" w:rsidRPr="00992648">
        <w:t xml:space="preserve">to those identified as most critical to respond to COVID-19 including seeking parliament’s express authorisation for the CHO to make directions mandating vaccination (and then only to workers). </w:t>
      </w:r>
    </w:p>
    <w:p w14:paraId="3924F049" w14:textId="16943981" w:rsidR="00AD79D7" w:rsidRPr="00E55BC8" w:rsidRDefault="00AD79D7" w:rsidP="00F055E8">
      <w:pPr>
        <w:pStyle w:val="Bulletedlist"/>
        <w:spacing w:line="276" w:lineRule="auto"/>
      </w:pPr>
      <w:r w:rsidRPr="00E55BC8">
        <w:t xml:space="preserve">Isolation </w:t>
      </w:r>
      <w:r w:rsidR="00E55BC8" w:rsidRPr="00E55BC8">
        <w:t xml:space="preserve">or quarantine </w:t>
      </w:r>
      <w:r w:rsidRPr="00E55BC8">
        <w:t xml:space="preserve">directions may only be for up to 7 days. </w:t>
      </w:r>
    </w:p>
    <w:p w14:paraId="5922FF87" w14:textId="77777777" w:rsidR="00AD79D7" w:rsidRPr="00E55BC8" w:rsidRDefault="00AD79D7" w:rsidP="00F055E8">
      <w:pPr>
        <w:pStyle w:val="Bulletedlist"/>
        <w:spacing w:line="276" w:lineRule="auto"/>
      </w:pPr>
      <w:r w:rsidRPr="00E55BC8">
        <w:t xml:space="preserve">Directions would expire automatically after 90 days. </w:t>
      </w:r>
    </w:p>
    <w:p w14:paraId="3BC96B44" w14:textId="496A6C2C" w:rsidR="00AD79D7" w:rsidRDefault="00AD79D7" w:rsidP="00F055E8">
      <w:pPr>
        <w:pStyle w:val="Bulletedlist"/>
        <w:spacing w:line="276" w:lineRule="auto"/>
      </w:pPr>
      <w:r w:rsidRPr="00DF2789">
        <w:t>Legislation expires after 12 months</w:t>
      </w:r>
      <w:r w:rsidR="00DF2789" w:rsidRPr="00DF2789">
        <w:t xml:space="preserve"> (31 October 2023)</w:t>
      </w:r>
      <w:r w:rsidR="00FF311C">
        <w:t>.</w:t>
      </w:r>
    </w:p>
    <w:p w14:paraId="12C4C042" w14:textId="7C218424" w:rsidR="00FF311C" w:rsidRPr="00DF2789" w:rsidRDefault="00FF311C" w:rsidP="00F055E8">
      <w:pPr>
        <w:pStyle w:val="Bulletedlist"/>
        <w:spacing w:line="276" w:lineRule="auto"/>
      </w:pPr>
      <w:r>
        <w:t>The Statement of Compatibility generally provides sufficient detail to justify many of the limitations on human rights</w:t>
      </w:r>
      <w:r w:rsidR="00D500C5">
        <w:t xml:space="preserve">, although we note some instances where further information is required. </w:t>
      </w:r>
      <w:r>
        <w:t xml:space="preserve"> </w:t>
      </w:r>
    </w:p>
    <w:p w14:paraId="4EED9C64" w14:textId="27937045" w:rsidR="000278A3" w:rsidRDefault="000278A3" w:rsidP="000278A3">
      <w:pPr>
        <w:pStyle w:val="Heading1"/>
      </w:pPr>
      <w:bookmarkStart w:id="31" w:name="_Toc114123343"/>
      <w:r>
        <w:lastRenderedPageBreak/>
        <w:t xml:space="preserve">Suggested </w:t>
      </w:r>
      <w:r w:rsidR="007F7188">
        <w:t>i</w:t>
      </w:r>
      <w:r>
        <w:t>mprovements</w:t>
      </w:r>
      <w:bookmarkEnd w:id="31"/>
    </w:p>
    <w:p w14:paraId="3D217743" w14:textId="77777777" w:rsidR="00BC4D70" w:rsidRDefault="00BC4D70" w:rsidP="00BC4D70">
      <w:pPr>
        <w:pStyle w:val="Heading2"/>
      </w:pPr>
      <w:bookmarkStart w:id="32" w:name="_Toc114123344"/>
      <w:r>
        <w:t>Timeframe to table direction</w:t>
      </w:r>
      <w:bookmarkEnd w:id="32"/>
      <w:r>
        <w:t xml:space="preserve"> </w:t>
      </w:r>
    </w:p>
    <w:p w14:paraId="668B11BE" w14:textId="04B3765C" w:rsidR="00BC4D70" w:rsidRPr="00BC4D70" w:rsidRDefault="00BC4D70" w:rsidP="00BC4D70">
      <w:pPr>
        <w:pStyle w:val="Numberedparagraph"/>
        <w:rPr>
          <w:rStyle w:val="NumberedparagraphChar"/>
          <w:rFonts w:cstheme="majorBidi"/>
          <w:lang w:eastAsia="en-US"/>
        </w:rPr>
      </w:pPr>
      <w:r>
        <w:rPr>
          <w:rStyle w:val="NumberedparagraphChar"/>
        </w:rPr>
        <w:t xml:space="preserve">We support the range of measures proposed in the Bill to enhance transparency of decision-making and ensure appropriate parliamentary scrutiny and consideration of human rights. </w:t>
      </w:r>
    </w:p>
    <w:p w14:paraId="73D059FF" w14:textId="6E706A9E" w:rsidR="00BC4D70" w:rsidRPr="001B54F8" w:rsidRDefault="00BC4D70" w:rsidP="00BC4D70">
      <w:pPr>
        <w:pStyle w:val="Numberedparagraph"/>
        <w:rPr>
          <w:rStyle w:val="NumberedparagraphChar"/>
          <w:rFonts w:cstheme="majorBidi"/>
          <w:lang w:eastAsia="en-US"/>
        </w:rPr>
      </w:pPr>
      <w:r>
        <w:rPr>
          <w:rStyle w:val="NumberedparagraphChar"/>
        </w:rPr>
        <w:t>A significant improvement on the current framework is that the Bill requires a public health direction to be tabled in Parliament</w:t>
      </w:r>
      <w:r w:rsidR="001B54F8">
        <w:rPr>
          <w:rStyle w:val="NumberedparagraphChar"/>
        </w:rPr>
        <w:t xml:space="preserve">. </w:t>
      </w:r>
      <w:r w:rsidR="001B54F8" w:rsidRPr="001B54F8">
        <w:rPr>
          <w:rStyle w:val="NumberedparagraphChar"/>
        </w:rPr>
        <w:t xml:space="preserve">Once the direction is tabled, it will be referred to the relevant portfolio committee of Parliament, under s 93 of the </w:t>
      </w:r>
      <w:r w:rsidR="001B54F8" w:rsidRPr="001B54F8">
        <w:rPr>
          <w:rStyle w:val="NumberedparagraphChar"/>
          <w:i/>
          <w:iCs/>
        </w:rPr>
        <w:t>Parliament of Queensland Act 2001</w:t>
      </w:r>
      <w:r w:rsidR="001B54F8" w:rsidRPr="001B54F8">
        <w:rPr>
          <w:rStyle w:val="NumberedparagraphChar"/>
        </w:rPr>
        <w:t>, so that the committee may examine the lawfulness of the direction, the policy to be given effect by the direction and whether the direction is compatible with human rights. The direction will be subject to disallowance in accordance with the procedures for disallowing subordinate legislation under s</w:t>
      </w:r>
      <w:r w:rsidR="00F055E8">
        <w:rPr>
          <w:rStyle w:val="NumberedparagraphChar"/>
        </w:rPr>
        <w:t xml:space="preserve"> </w:t>
      </w:r>
      <w:r w:rsidR="001B54F8" w:rsidRPr="001B54F8">
        <w:rPr>
          <w:rStyle w:val="NumberedparagraphChar"/>
        </w:rPr>
        <w:t xml:space="preserve">50 of the </w:t>
      </w:r>
      <w:r w:rsidR="001B54F8" w:rsidRPr="001B54F8">
        <w:rPr>
          <w:rStyle w:val="NumberedparagraphChar"/>
          <w:i/>
          <w:iCs/>
        </w:rPr>
        <w:t>Statutory Instruments Act 1992</w:t>
      </w:r>
      <w:r w:rsidR="001B54F8">
        <w:rPr>
          <w:rStyle w:val="NumberedparagraphChar"/>
        </w:rPr>
        <w:t>.</w:t>
      </w:r>
    </w:p>
    <w:p w14:paraId="5C1DC358" w14:textId="66ECFFAC" w:rsidR="001B54F8" w:rsidRPr="001B54F8" w:rsidRDefault="001B54F8" w:rsidP="001B54F8">
      <w:pPr>
        <w:pStyle w:val="Numberedparagraph"/>
        <w:rPr>
          <w:rStyle w:val="NumberedparagraphChar"/>
          <w:rFonts w:cstheme="majorBidi"/>
          <w:lang w:eastAsia="en-US"/>
        </w:rPr>
      </w:pPr>
      <w:r w:rsidRPr="001B54F8">
        <w:rPr>
          <w:rStyle w:val="NumberedparagraphChar"/>
          <w:rFonts w:cstheme="majorBidi"/>
          <w:lang w:eastAsia="en-US"/>
        </w:rPr>
        <w:t xml:space="preserve">In addition to these tabling and disallowance provisions, within five days of giving a public health direction, the </w:t>
      </w:r>
      <w:r w:rsidR="0077382F">
        <w:rPr>
          <w:rStyle w:val="NumberedparagraphChar"/>
          <w:rFonts w:cstheme="majorBidi"/>
          <w:lang w:eastAsia="en-US"/>
        </w:rPr>
        <w:t>CHO</w:t>
      </w:r>
      <w:r w:rsidRPr="001B54F8">
        <w:rPr>
          <w:rStyle w:val="NumberedparagraphChar"/>
          <w:rFonts w:cstheme="majorBidi"/>
          <w:lang w:eastAsia="en-US"/>
        </w:rPr>
        <w:t xml:space="preserve"> must publish a statement justifying the direction and the reasons for it. The justification statement must include a summary of the </w:t>
      </w:r>
      <w:r w:rsidR="0077382F">
        <w:rPr>
          <w:rStyle w:val="NumberedparagraphChar"/>
          <w:rFonts w:cstheme="majorBidi"/>
          <w:lang w:eastAsia="en-US"/>
        </w:rPr>
        <w:t>CHO</w:t>
      </w:r>
      <w:r w:rsidRPr="001B54F8">
        <w:rPr>
          <w:rStyle w:val="NumberedparagraphChar"/>
          <w:rFonts w:cstheme="majorBidi"/>
          <w:lang w:eastAsia="en-US"/>
        </w:rPr>
        <w:t xml:space="preserve">’s rationale for giving the direction and assess whether the direction is compatible with human rights. The justification statement must also be tabled in Parliament within 21 days so that the portfolio committee may consider it when examining the direction. </w:t>
      </w:r>
      <w:r w:rsidR="00B1449A">
        <w:rPr>
          <w:rStyle w:val="NumberedparagraphChar"/>
          <w:rFonts w:cstheme="majorBidi"/>
          <w:lang w:eastAsia="en-US"/>
        </w:rPr>
        <w:t>A direction is given by notice publish</w:t>
      </w:r>
      <w:r w:rsidR="00193EAA">
        <w:rPr>
          <w:rStyle w:val="NumberedparagraphChar"/>
          <w:rFonts w:cstheme="majorBidi"/>
          <w:lang w:eastAsia="en-US"/>
        </w:rPr>
        <w:t>ed</w:t>
      </w:r>
      <w:r w:rsidR="00B1449A">
        <w:rPr>
          <w:rStyle w:val="NumberedparagraphChar"/>
          <w:rFonts w:cstheme="majorBidi"/>
          <w:lang w:eastAsia="en-US"/>
        </w:rPr>
        <w:t xml:space="preserve"> on the department’s website or in the gazette. </w:t>
      </w:r>
    </w:p>
    <w:p w14:paraId="29BE2DBE" w14:textId="474C02B8" w:rsidR="001B54F8" w:rsidRPr="00BC4D70" w:rsidRDefault="001B54F8" w:rsidP="00BC4D70">
      <w:pPr>
        <w:pStyle w:val="Numberedparagraph"/>
        <w:rPr>
          <w:rStyle w:val="NumberedparagraphChar"/>
          <w:rFonts w:cstheme="majorBidi"/>
          <w:lang w:eastAsia="en-US"/>
        </w:rPr>
      </w:pPr>
      <w:r>
        <w:rPr>
          <w:rStyle w:val="NumberedparagraphChar"/>
          <w:rFonts w:cstheme="majorBidi"/>
          <w:lang w:eastAsia="en-US"/>
        </w:rPr>
        <w:t>While it would be preferable for the human rights justification statement to</w:t>
      </w:r>
      <w:r w:rsidR="0075464E">
        <w:rPr>
          <w:rStyle w:val="NumberedparagraphChar"/>
          <w:rFonts w:cstheme="majorBidi"/>
          <w:lang w:eastAsia="en-US"/>
        </w:rPr>
        <w:t xml:space="preserve"> be</w:t>
      </w:r>
      <w:r>
        <w:rPr>
          <w:rStyle w:val="NumberedparagraphChar"/>
          <w:rFonts w:cstheme="majorBidi"/>
          <w:lang w:eastAsia="en-US"/>
        </w:rPr>
        <w:t xml:space="preserve"> published at the same time as the direction, we accept there may be good reasons to delay its publication. However, the period of 21 days between direction being given and its tabling in parliament appears too long. For the parliamentary scrutiny to be </w:t>
      </w:r>
      <w:r w:rsidR="003834A5">
        <w:rPr>
          <w:rStyle w:val="NumberedparagraphChar"/>
          <w:rFonts w:cstheme="majorBidi"/>
          <w:lang w:eastAsia="en-US"/>
        </w:rPr>
        <w:t>meaningful</w:t>
      </w:r>
      <w:r>
        <w:rPr>
          <w:rStyle w:val="NumberedparagraphChar"/>
          <w:rFonts w:cstheme="majorBidi"/>
          <w:lang w:eastAsia="en-US"/>
        </w:rPr>
        <w:t xml:space="preserve"> it must take place in a timely fashion, and we anticipate that it will take some time for the committee to report and the parliament to then consider and debate any motion of disallowance that may arise. On this basis we suggest a more appropriate timeframe would be to require the direction and accompanying human rights certificate to be tabled within 5 days of the direction being made. This would align with the timeframe for the human rights justification statement to be finalised. </w:t>
      </w:r>
    </w:p>
    <w:p w14:paraId="620816C1" w14:textId="5DFB8F4D" w:rsidR="000278A3" w:rsidRDefault="00B64CAA" w:rsidP="00B64CAA">
      <w:pPr>
        <w:pStyle w:val="Heading2"/>
      </w:pPr>
      <w:bookmarkStart w:id="33" w:name="_Toc114123345"/>
      <w:r>
        <w:t xml:space="preserve">Independent </w:t>
      </w:r>
      <w:r w:rsidR="007F7188">
        <w:t>r</w:t>
      </w:r>
      <w:r>
        <w:t>eview</w:t>
      </w:r>
      <w:bookmarkEnd w:id="33"/>
    </w:p>
    <w:p w14:paraId="2F0DE94E" w14:textId="77F335DD" w:rsidR="004F410C" w:rsidRPr="00E55BC8" w:rsidRDefault="00E55BC8" w:rsidP="00B64CAA">
      <w:pPr>
        <w:pStyle w:val="Numberedparagraph"/>
      </w:pPr>
      <w:r w:rsidRPr="00E55BC8">
        <w:t xml:space="preserve">The Bill authorises the CHO to issue directions requiring individuals to isolate or quarantine for periods of up to 7 days. </w:t>
      </w:r>
    </w:p>
    <w:p w14:paraId="2878CD00" w14:textId="40D8EFBB" w:rsidR="00B65C2F" w:rsidRDefault="00B64CAA" w:rsidP="004F271A">
      <w:pPr>
        <w:pStyle w:val="Numberedparagraph"/>
      </w:pPr>
      <w:r>
        <w:t xml:space="preserve">The new framework does not appear to include any </w:t>
      </w:r>
      <w:r w:rsidR="001F1927">
        <w:t>mechanism</w:t>
      </w:r>
      <w:r>
        <w:t xml:space="preserve"> for a person subject to quarantine</w:t>
      </w:r>
      <w:r w:rsidR="007F4356">
        <w:t xml:space="preserve"> or isolation direction</w:t>
      </w:r>
      <w:r>
        <w:t xml:space="preserve"> to seek an independent review of their situation. </w:t>
      </w:r>
      <w:r w:rsidRPr="00B65C2F">
        <w:t xml:space="preserve">In contrast, in Victoria pandemic detention quarantine is reviewed by an authorised officer at least once every 24 hours, unless that is not reasonably </w:t>
      </w:r>
      <w:r w:rsidRPr="00B65C2F">
        <w:lastRenderedPageBreak/>
        <w:t>practical.</w:t>
      </w:r>
      <w:r w:rsidRPr="00B65C2F">
        <w:rPr>
          <w:rStyle w:val="FootnoteReference"/>
        </w:rPr>
        <w:footnoteReference w:id="2"/>
      </w:r>
      <w:r w:rsidRPr="00B65C2F">
        <w:t xml:space="preserve"> A person subject to quarantine may ask for their detention to be reviewed by a Detention Appeals Officer, which may lead to confirmation of detention, changes to the conditions of detention, or release.</w:t>
      </w:r>
      <w:r w:rsidRPr="00B65C2F">
        <w:rPr>
          <w:rStyle w:val="FootnoteReference"/>
        </w:rPr>
        <w:footnoteReference w:id="3"/>
      </w:r>
      <w:r w:rsidRPr="00B65C2F">
        <w:t xml:space="preserve"> The review may consider many aspects of the detention including the reasons for it, the period, the place, the conditions and any other matter relating to the detention. The review must generally be completed within 72 hours.</w:t>
      </w:r>
      <w:r w:rsidRPr="00B65C2F">
        <w:rPr>
          <w:rStyle w:val="FootnoteReference"/>
        </w:rPr>
        <w:footnoteReference w:id="4"/>
      </w:r>
      <w:r w:rsidRPr="00B65C2F">
        <w:t xml:space="preserve"> The person may also complain to the Victorian Ombudsman, and may also make a complaint to the Secretary of the Department of Health or seek review in a court.</w:t>
      </w:r>
      <w:r w:rsidRPr="00B65C2F">
        <w:rPr>
          <w:rStyle w:val="FootnoteReference"/>
        </w:rPr>
        <w:footnoteReference w:id="5"/>
      </w:r>
    </w:p>
    <w:p w14:paraId="5EC73A35" w14:textId="2C1F4A4B" w:rsidR="00793EE6" w:rsidRPr="00793EE6" w:rsidRDefault="00B65C2F" w:rsidP="00AD79D7">
      <w:pPr>
        <w:pStyle w:val="Numberedparagraph"/>
      </w:pPr>
      <w:r w:rsidRPr="00793EE6">
        <w:t>At a minimum we suggest that where a person is subject to quarantine or isolation at a state</w:t>
      </w:r>
      <w:r w:rsidR="00193EAA">
        <w:t>-</w:t>
      </w:r>
      <w:r w:rsidRPr="00793EE6">
        <w:t xml:space="preserve">managed or operated facility, including hotel quarantine (should it again be used), </w:t>
      </w:r>
      <w:r w:rsidR="00793EE6" w:rsidRPr="00793EE6">
        <w:t>then</w:t>
      </w:r>
      <w:r w:rsidR="00AD79D7" w:rsidRPr="00793EE6">
        <w:t xml:space="preserve"> review measures </w:t>
      </w:r>
      <w:r w:rsidR="00793EE6" w:rsidRPr="00793EE6">
        <w:t>should</w:t>
      </w:r>
      <w:r w:rsidR="00AD79D7" w:rsidRPr="00793EE6">
        <w:t xml:space="preserve"> allow </w:t>
      </w:r>
      <w:r w:rsidR="00793EE6" w:rsidRPr="00793EE6">
        <w:t xml:space="preserve">such </w:t>
      </w:r>
      <w:r w:rsidR="00AD79D7" w:rsidRPr="00793EE6">
        <w:t xml:space="preserve">individuals to </w:t>
      </w:r>
      <w:r w:rsidR="00793EE6" w:rsidRPr="00793EE6">
        <w:t>seek a review of their isolation.</w:t>
      </w:r>
      <w:r w:rsidR="00AD79D7" w:rsidRPr="00793EE6">
        <w:t xml:space="preserve"> Subsequent reviews, many months afterwards</w:t>
      </w:r>
      <w:r w:rsidR="001F1927">
        <w:t>,</w:t>
      </w:r>
      <w:r w:rsidR="00AD79D7" w:rsidRPr="00793EE6">
        <w:t xml:space="preserve"> whether through this Commission, the Ombudsman or a Court is not a sufficient safeguard to rights. </w:t>
      </w:r>
    </w:p>
    <w:p w14:paraId="38E20E56" w14:textId="65B4A913" w:rsidR="00AD79D7" w:rsidRPr="00793EE6" w:rsidRDefault="00AD79D7" w:rsidP="00AD79D7">
      <w:pPr>
        <w:pStyle w:val="Numberedparagraph"/>
      </w:pPr>
      <w:r w:rsidRPr="00793EE6">
        <w:t xml:space="preserve">Consideration should also be given to providing </w:t>
      </w:r>
      <w:proofErr w:type="gramStart"/>
      <w:r w:rsidRPr="00793EE6">
        <w:t>those subject</w:t>
      </w:r>
      <w:proofErr w:type="gramEnd"/>
      <w:r w:rsidRPr="00793EE6">
        <w:t xml:space="preserve"> to vaccination mandates with a review process such as that provided for in the ACT legislation.</w:t>
      </w:r>
      <w:r w:rsidRPr="00793EE6">
        <w:rPr>
          <w:rStyle w:val="FootnoteReference"/>
        </w:rPr>
        <w:footnoteReference w:id="6"/>
      </w:r>
      <w:r w:rsidRPr="00793EE6">
        <w:t xml:space="preserve"> </w:t>
      </w:r>
    </w:p>
    <w:p w14:paraId="3883CE2F" w14:textId="6E5162AF" w:rsidR="00B64CAA" w:rsidRPr="00B64CAA" w:rsidRDefault="00B64CAA" w:rsidP="00B64CAA">
      <w:pPr>
        <w:pStyle w:val="Heading2"/>
      </w:pPr>
      <w:bookmarkStart w:id="34" w:name="_Toc114123346"/>
      <w:r w:rsidRPr="00B64CAA">
        <w:t xml:space="preserve">Humane </w:t>
      </w:r>
      <w:r w:rsidR="001F1927">
        <w:t>c</w:t>
      </w:r>
      <w:r w:rsidRPr="00B64CAA">
        <w:t>onditions</w:t>
      </w:r>
      <w:bookmarkEnd w:id="34"/>
    </w:p>
    <w:p w14:paraId="2AC1949B" w14:textId="1FDF62A3" w:rsidR="008F4684" w:rsidRDefault="00723B5E" w:rsidP="00B64CAA">
      <w:pPr>
        <w:pStyle w:val="Numberedparagraph"/>
      </w:pPr>
      <w:r>
        <w:t xml:space="preserve">Throughout the pandemic the </w:t>
      </w:r>
      <w:r w:rsidR="007F4356">
        <w:t>QHRC</w:t>
      </w:r>
      <w:r>
        <w:t xml:space="preserve"> has advocated for more humane treatment for those subject to isolation, quarantine or detention</w:t>
      </w:r>
      <w:r w:rsidR="0072476F">
        <w:t>. We have previously made recommendations to Government about improvements to the previous hotel quarantine arrangements.</w:t>
      </w:r>
      <w:r w:rsidR="00024B07">
        <w:rPr>
          <w:rStyle w:val="FootnoteReference"/>
        </w:rPr>
        <w:footnoteReference w:id="7"/>
      </w:r>
      <w:r w:rsidR="0072476F">
        <w:t xml:space="preserve"> While it appears the government’s use of such facilities </w:t>
      </w:r>
      <w:r w:rsidR="007F4356">
        <w:t>has</w:t>
      </w:r>
      <w:r w:rsidR="008F4684">
        <w:t xml:space="preserve"> ceased</w:t>
      </w:r>
      <w:r w:rsidR="007F4356">
        <w:t>,</w:t>
      </w:r>
      <w:r w:rsidR="008F4684">
        <w:t xml:space="preserve"> the powers proposed in the Bill would still allow the CHO to direct a person to quarantine or isolate at a facility managed or operated by the government. </w:t>
      </w:r>
    </w:p>
    <w:p w14:paraId="160E9675" w14:textId="3A57F57D" w:rsidR="0060796E" w:rsidRDefault="008F4684" w:rsidP="00742762">
      <w:pPr>
        <w:pStyle w:val="Numberedparagraph"/>
      </w:pPr>
      <w:r>
        <w:t>Therefore, t</w:t>
      </w:r>
      <w:r w:rsidR="000278A3">
        <w:t xml:space="preserve">he </w:t>
      </w:r>
      <w:r w:rsidR="007F4356">
        <w:t>QHRC</w:t>
      </w:r>
      <w:r w:rsidR="00723B5E">
        <w:t xml:space="preserve"> suggests that the </w:t>
      </w:r>
      <w:r w:rsidR="000278A3">
        <w:t>legislation</w:t>
      </w:r>
      <w:r w:rsidR="00DD0080">
        <w:t xml:space="preserve"> should</w:t>
      </w:r>
      <w:r w:rsidR="000278A3">
        <w:t xml:space="preserve"> ensure anyone subject to an isolation direction</w:t>
      </w:r>
      <w:r w:rsidR="0060796E">
        <w:t xml:space="preserve"> at a state operated facility</w:t>
      </w:r>
      <w:r w:rsidR="000278A3">
        <w:t xml:space="preserve"> is</w:t>
      </w:r>
      <w:r w:rsidR="00DD0080">
        <w:t xml:space="preserve"> </w:t>
      </w:r>
      <w:r w:rsidR="00DD0080" w:rsidRPr="0060796E">
        <w:rPr>
          <w:bCs/>
        </w:rPr>
        <w:t>quarantined in humane conditions</w:t>
      </w:r>
      <w:r w:rsidR="00DD0080">
        <w:t>, including with daily access to fresh air</w:t>
      </w:r>
      <w:r w:rsidR="00723B5E">
        <w:t xml:space="preserve"> and exercise.</w:t>
      </w:r>
      <w:r w:rsidR="004D469E">
        <w:t xml:space="preserve"> </w:t>
      </w:r>
      <w:r w:rsidR="00DD0080">
        <w:t xml:space="preserve"> </w:t>
      </w:r>
    </w:p>
    <w:p w14:paraId="0EA26528" w14:textId="4717CB64" w:rsidR="005670BE" w:rsidRDefault="005670BE" w:rsidP="005670BE">
      <w:pPr>
        <w:pStyle w:val="Heading2"/>
      </w:pPr>
      <w:bookmarkStart w:id="35" w:name="_Toc114123347"/>
      <w:r>
        <w:t>Proof of exemption</w:t>
      </w:r>
      <w:bookmarkEnd w:id="35"/>
    </w:p>
    <w:p w14:paraId="2303754E" w14:textId="02E05411" w:rsidR="000564C3" w:rsidRDefault="00742762" w:rsidP="00742762">
      <w:pPr>
        <w:pStyle w:val="Numberedparagraph"/>
      </w:pPr>
      <w:r>
        <w:t xml:space="preserve">The </w:t>
      </w:r>
      <w:r w:rsidR="007F4356">
        <w:t>QHRC</w:t>
      </w:r>
      <w:r>
        <w:t xml:space="preserve"> supports the practice of the CHO to date to build exceptions into public health directions, often </w:t>
      </w:r>
      <w:r w:rsidR="005670BE">
        <w:t xml:space="preserve">to ensure </w:t>
      </w:r>
      <w:r>
        <w:t xml:space="preserve">they are more compliant with human </w:t>
      </w:r>
      <w:r>
        <w:lastRenderedPageBreak/>
        <w:t xml:space="preserve">rights. </w:t>
      </w:r>
      <w:r w:rsidR="00A630FF">
        <w:t xml:space="preserve">The Statement of Compatibility acknowledges this practice is likely to continue in relation to </w:t>
      </w:r>
      <w:r w:rsidR="007F4356">
        <w:t>directions</w:t>
      </w:r>
      <w:r w:rsidR="000564C3">
        <w:t xml:space="preserve"> requiring the wearing of masks: </w:t>
      </w:r>
    </w:p>
    <w:p w14:paraId="569E790A" w14:textId="4343D02E" w:rsidR="000564C3" w:rsidRDefault="005670BE" w:rsidP="000564C3">
      <w:pPr>
        <w:pStyle w:val="Quote"/>
      </w:pPr>
      <w:r>
        <w:t>In practice, a public health direction requiring mask wearing will have exceptions, such as for people who have a disability, medical condition or illness or other reason that means they cannot wear a mask.</w:t>
      </w:r>
      <w:r w:rsidR="0040426C">
        <w:rPr>
          <w:rStyle w:val="FootnoteReference"/>
        </w:rPr>
        <w:footnoteReference w:id="8"/>
      </w:r>
    </w:p>
    <w:p w14:paraId="4B6A5655" w14:textId="7AC03833" w:rsidR="0040426C" w:rsidRPr="00F055E8" w:rsidRDefault="005670BE" w:rsidP="000564C3">
      <w:pPr>
        <w:pStyle w:val="Numberedparagraph"/>
      </w:pPr>
      <w:r w:rsidRPr="00F055E8">
        <w:t xml:space="preserve">This is welcome, but in our experience, the lack of a clear process for someone to </w:t>
      </w:r>
      <w:r w:rsidR="00F055E8" w:rsidRPr="00F055E8">
        <w:t>demonstrate</w:t>
      </w:r>
      <w:r w:rsidRPr="00F055E8">
        <w:t xml:space="preserve"> that they are exempt has led to </w:t>
      </w:r>
      <w:r w:rsidR="000564C3" w:rsidRPr="00F055E8">
        <w:t>many</w:t>
      </w:r>
      <w:r w:rsidRPr="00F055E8">
        <w:t xml:space="preserve"> issues</w:t>
      </w:r>
      <w:r w:rsidR="0040426C" w:rsidRPr="00F055E8">
        <w:t>:</w:t>
      </w:r>
    </w:p>
    <w:p w14:paraId="3243EA37" w14:textId="50B50206" w:rsidR="0040426C" w:rsidRPr="00497FCB" w:rsidRDefault="009E1FC9" w:rsidP="00F055E8">
      <w:pPr>
        <w:pStyle w:val="Numberedparagraph"/>
        <w:numPr>
          <w:ilvl w:val="1"/>
          <w:numId w:val="13"/>
        </w:numPr>
        <w:ind w:left="908" w:hanging="284"/>
      </w:pPr>
      <w:r w:rsidRPr="00497FCB">
        <w:t>The d</w:t>
      </w:r>
      <w:r w:rsidR="00BC38CA" w:rsidRPr="00497FCB">
        <w:t xml:space="preserve">irections have effectively required </w:t>
      </w:r>
      <w:r w:rsidR="0040426C" w:rsidRPr="00497FCB">
        <w:t xml:space="preserve">private sector businesses to ‘police’ the </w:t>
      </w:r>
      <w:r w:rsidR="007F4356">
        <w:t>requirements.</w:t>
      </w:r>
    </w:p>
    <w:p w14:paraId="727D1B04" w14:textId="0522D494" w:rsidR="0040426C" w:rsidRPr="00497FCB" w:rsidRDefault="00BC38CA" w:rsidP="00F055E8">
      <w:pPr>
        <w:pStyle w:val="Numberedparagraph"/>
        <w:numPr>
          <w:ilvl w:val="1"/>
          <w:numId w:val="13"/>
        </w:numPr>
        <w:ind w:left="908" w:hanging="284"/>
      </w:pPr>
      <w:r w:rsidRPr="00497FCB">
        <w:t xml:space="preserve">There </w:t>
      </w:r>
      <w:r w:rsidR="000A582A">
        <w:t>is</w:t>
      </w:r>
      <w:r w:rsidRPr="00497FCB">
        <w:t xml:space="preserve"> a l</w:t>
      </w:r>
      <w:r w:rsidR="0040426C" w:rsidRPr="00497FCB">
        <w:t xml:space="preserve">ack of understanding </w:t>
      </w:r>
      <w:r w:rsidRPr="00497FCB">
        <w:t xml:space="preserve">across the community </w:t>
      </w:r>
      <w:r w:rsidR="0040426C" w:rsidRPr="00497FCB">
        <w:t>of how exceptions work and when they apply</w:t>
      </w:r>
      <w:r w:rsidRPr="00497FCB">
        <w:t xml:space="preserve">. For example, we have seen instances of </w:t>
      </w:r>
      <w:proofErr w:type="spellStart"/>
      <w:r w:rsidR="001F1927">
        <w:t>buisnesses</w:t>
      </w:r>
      <w:proofErr w:type="spellEnd"/>
      <w:r w:rsidR="0040426C" w:rsidRPr="00497FCB">
        <w:t xml:space="preserve"> asking for medical proof of exception</w:t>
      </w:r>
      <w:r w:rsidRPr="00497FCB">
        <w:t xml:space="preserve"> which is not required under the direction for the exception to apply. </w:t>
      </w:r>
    </w:p>
    <w:p w14:paraId="44825CE4" w14:textId="3C0EDAC2" w:rsidR="0040426C" w:rsidRDefault="00624051" w:rsidP="00F055E8">
      <w:pPr>
        <w:pStyle w:val="Numberedparagraph"/>
        <w:numPr>
          <w:ilvl w:val="1"/>
          <w:numId w:val="13"/>
        </w:numPr>
        <w:ind w:left="908" w:hanging="284"/>
      </w:pPr>
      <w:r w:rsidRPr="00497FCB">
        <w:t>In responding to requests to ‘prove’ exceptions, there is a r</w:t>
      </w:r>
      <w:r w:rsidR="0040426C" w:rsidRPr="00497FCB">
        <w:t>isk of people having to disclose sensitive and private information to third parties</w:t>
      </w:r>
      <w:r w:rsidR="00FE6122">
        <w:t>.</w:t>
      </w:r>
    </w:p>
    <w:p w14:paraId="20EB255C" w14:textId="07183156" w:rsidR="00FE6122" w:rsidRPr="00497FCB" w:rsidRDefault="00FE6122" w:rsidP="00F055E8">
      <w:pPr>
        <w:pStyle w:val="Numberedparagraph"/>
        <w:numPr>
          <w:ilvl w:val="1"/>
          <w:numId w:val="13"/>
        </w:numPr>
        <w:ind w:left="908" w:hanging="284"/>
      </w:pPr>
      <w:r>
        <w:t>The response from some businesses and employers has been to refuse service or discipline employees</w:t>
      </w:r>
      <w:r w:rsidR="000A582A">
        <w:t xml:space="preserve"> when they feel insufficient proof of an exception has been provided. </w:t>
      </w:r>
    </w:p>
    <w:p w14:paraId="58327B28" w14:textId="07CCD4E4" w:rsidR="0040426C" w:rsidRPr="00497FCB" w:rsidRDefault="00497FCB" w:rsidP="00F055E8">
      <w:pPr>
        <w:pStyle w:val="Numberedparagraph"/>
        <w:numPr>
          <w:ilvl w:val="1"/>
          <w:numId w:val="13"/>
        </w:numPr>
        <w:ind w:left="908" w:hanging="284"/>
      </w:pPr>
      <w:r w:rsidRPr="00497FCB">
        <w:t>These issues have r</w:t>
      </w:r>
      <w:r w:rsidR="0040426C" w:rsidRPr="00497FCB">
        <w:t>esult</w:t>
      </w:r>
      <w:r w:rsidRPr="00497FCB">
        <w:t>ed</w:t>
      </w:r>
      <w:r w:rsidR="0040426C" w:rsidRPr="00497FCB">
        <w:t xml:space="preserve"> in many enquiries and complaints to us</w:t>
      </w:r>
      <w:r w:rsidRPr="00497FCB">
        <w:t>, particularly in relation to all</w:t>
      </w:r>
      <w:r w:rsidR="00AC628C">
        <w:t>eged</w:t>
      </w:r>
      <w:r w:rsidRPr="00497FCB">
        <w:t xml:space="preserve"> impairment discrimination under the AD Act. </w:t>
      </w:r>
    </w:p>
    <w:p w14:paraId="784B0AA6" w14:textId="12D3F6BA" w:rsidR="00402DF1" w:rsidRDefault="0040426C" w:rsidP="00497FCB">
      <w:pPr>
        <w:pStyle w:val="Numberedparagraph"/>
      </w:pPr>
      <w:r w:rsidRPr="00BC76D6">
        <w:t>To address these issues</w:t>
      </w:r>
      <w:r w:rsidR="007F4356">
        <w:t>,</w:t>
      </w:r>
      <w:r w:rsidRPr="00BC76D6">
        <w:t xml:space="preserve"> w</w:t>
      </w:r>
      <w:r w:rsidR="005670BE" w:rsidRPr="00BC76D6">
        <w:t>e suggest that</w:t>
      </w:r>
      <w:r w:rsidR="005670BE">
        <w:t xml:space="preserve"> the Government provide a mechanism for people to </w:t>
      </w:r>
      <w:r w:rsidR="002109D6">
        <w:t xml:space="preserve">be able to display or provide proof of </w:t>
      </w:r>
      <w:r w:rsidR="005670BE">
        <w:t>ex</w:t>
      </w:r>
      <w:r w:rsidR="002109D6">
        <w:t>ce</w:t>
      </w:r>
      <w:r w:rsidR="005670BE">
        <w:t xml:space="preserve">ption. This could be as simple as </w:t>
      </w:r>
      <w:r w:rsidR="00193EAA">
        <w:t xml:space="preserve">a </w:t>
      </w:r>
      <w:r w:rsidR="005670BE">
        <w:t>self-applied questionnaire</w:t>
      </w:r>
      <w:r w:rsidR="002E2EC5">
        <w:t>, similar to that</w:t>
      </w:r>
      <w:r w:rsidR="005670BE">
        <w:t xml:space="preserve"> used earlier in the pandemic for border passes, which allowed people to display a green tick after answering a series of questions about their circumstances. </w:t>
      </w:r>
      <w:r w:rsidR="00402DF1">
        <w:t>Benefits of such a system would be to increase awareness of exception categories and ensure those not wearing a mask are provide</w:t>
      </w:r>
      <w:r w:rsidR="00193EAA">
        <w:t>d</w:t>
      </w:r>
      <w:r w:rsidR="00402DF1">
        <w:t xml:space="preserve"> </w:t>
      </w:r>
      <w:r w:rsidR="00402DF1" w:rsidRPr="00BC76D6">
        <w:t xml:space="preserve">information about alternative measures they </w:t>
      </w:r>
      <w:r w:rsidR="00193EAA" w:rsidRPr="00BC76D6">
        <w:t>ma</w:t>
      </w:r>
      <w:r w:rsidR="00193EAA">
        <w:t>y</w:t>
      </w:r>
      <w:r w:rsidR="00193EAA" w:rsidRPr="00BC76D6">
        <w:t xml:space="preserve"> </w:t>
      </w:r>
      <w:r w:rsidR="00402DF1" w:rsidRPr="00BC76D6">
        <w:t>take</w:t>
      </w:r>
      <w:r w:rsidR="00193EAA">
        <w:t>,</w:t>
      </w:r>
      <w:r w:rsidR="00402DF1" w:rsidRPr="00BC76D6">
        <w:t xml:space="preserve"> such as social distancing</w:t>
      </w:r>
      <w:r w:rsidR="005A2CD2" w:rsidRPr="00BC76D6">
        <w:t xml:space="preserve">. This would reduce the burden on several parts of the community </w:t>
      </w:r>
      <w:r w:rsidR="00FB0C7F">
        <w:t xml:space="preserve">to be ‘citizen police’ and enhance trust in the process. </w:t>
      </w:r>
    </w:p>
    <w:p w14:paraId="379559E3" w14:textId="6DE04299" w:rsidR="00283E17" w:rsidRPr="00EE0097" w:rsidRDefault="002109D6" w:rsidP="00497FCB">
      <w:pPr>
        <w:pStyle w:val="Numberedparagraph"/>
      </w:pPr>
      <w:r w:rsidRPr="00EE0097">
        <w:t>Nonetheless,</w:t>
      </w:r>
      <w:r w:rsidR="00FB0C7F" w:rsidRPr="00EE0097">
        <w:t xml:space="preserve"> if </w:t>
      </w:r>
      <w:r w:rsidR="00097925">
        <w:t>applications were made via</w:t>
      </w:r>
      <w:r w:rsidR="00FB0C7F" w:rsidRPr="00EE0097">
        <w:t xml:space="preserve"> online system like </w:t>
      </w:r>
      <w:r w:rsidR="00EE0097" w:rsidRPr="00EE0097">
        <w:t>that previously used for border passes,</w:t>
      </w:r>
      <w:r w:rsidRPr="00EE0097">
        <w:t xml:space="preserve"> </w:t>
      </w:r>
      <w:r w:rsidR="00283E17" w:rsidRPr="00EE0097">
        <w:t xml:space="preserve">there </w:t>
      </w:r>
      <w:r w:rsidR="00EE0097" w:rsidRPr="00EE0097">
        <w:t>would need</w:t>
      </w:r>
      <w:r w:rsidR="00283E17" w:rsidRPr="00EE0097">
        <w:t xml:space="preserve"> to be a range of means for </w:t>
      </w:r>
      <w:r w:rsidR="00EE0097" w:rsidRPr="00EE0097">
        <w:t>applying for and demonstrating ‘proof’,</w:t>
      </w:r>
      <w:r w:rsidR="00283E17" w:rsidRPr="00EE0097">
        <w:t xml:space="preserve"> to </w:t>
      </w:r>
      <w:r w:rsidR="00EE0097" w:rsidRPr="00EE0097">
        <w:t xml:space="preserve">ensure the system is accessible for all members of the community. </w:t>
      </w:r>
    </w:p>
    <w:p w14:paraId="0C8A9DFA" w14:textId="3330F6AD" w:rsidR="00353BC3" w:rsidRDefault="00353BC3" w:rsidP="00283E17">
      <w:pPr>
        <w:pStyle w:val="Heading2"/>
      </w:pPr>
      <w:bookmarkStart w:id="36" w:name="_Toc114123348"/>
      <w:r>
        <w:lastRenderedPageBreak/>
        <w:t xml:space="preserve">Automatic exemption </w:t>
      </w:r>
      <w:r w:rsidR="00564CF8">
        <w:t>for critical needs</w:t>
      </w:r>
      <w:bookmarkEnd w:id="36"/>
      <w:r w:rsidR="00564CF8">
        <w:t xml:space="preserve"> </w:t>
      </w:r>
    </w:p>
    <w:p w14:paraId="622FDED9" w14:textId="4E02B648" w:rsidR="00564CF8" w:rsidRDefault="00564CF8" w:rsidP="00564CF8">
      <w:pPr>
        <w:pStyle w:val="Numberedparagraph"/>
      </w:pPr>
      <w:r>
        <w:t>The Statement of Compatibility notes that t</w:t>
      </w:r>
      <w:r w:rsidRPr="00564CF8">
        <w:t xml:space="preserve">he requirements in a direction may, directly or indirectly, discriminate against a person. </w:t>
      </w:r>
      <w:r>
        <w:t>It provides the</w:t>
      </w:r>
      <w:r w:rsidRPr="00564CF8">
        <w:t xml:space="preserve"> example</w:t>
      </w:r>
      <w:r>
        <w:t xml:space="preserve"> of</w:t>
      </w:r>
      <w:r w:rsidRPr="00564CF8">
        <w:t xml:space="preserve"> an isolation direction, which limits freedom of movement, may disproportionately affect access to services by people with a disability.</w:t>
      </w:r>
      <w:r>
        <w:t xml:space="preserve"> It justifies this limitation: </w:t>
      </w:r>
    </w:p>
    <w:p w14:paraId="4925E9F3" w14:textId="795F7702" w:rsidR="00564CF8" w:rsidRPr="00564CF8" w:rsidRDefault="00564CF8" w:rsidP="00564CF8">
      <w:pPr>
        <w:pStyle w:val="Quote"/>
      </w:pPr>
      <w:r w:rsidRPr="00564CF8">
        <w:t>However, in practice, any restriction on the movement of people made under a direction has included an exemption for a person to leave their principal place of residence or move freely to obtain medical treatment to preserve the person’s quality of life. This exemption has allowed people requiring medical attention or other forms of care or support, such as disability services, to access that care or support.</w:t>
      </w:r>
      <w:r w:rsidR="00660818">
        <w:rPr>
          <w:rStyle w:val="FootnoteReference"/>
        </w:rPr>
        <w:footnoteReference w:id="9"/>
      </w:r>
      <w:r w:rsidRPr="00564CF8">
        <w:t xml:space="preserve">  </w:t>
      </w:r>
    </w:p>
    <w:p w14:paraId="43007D1D" w14:textId="36988043" w:rsidR="00353BC3" w:rsidRDefault="00564CF8" w:rsidP="00564CF8">
      <w:pPr>
        <w:pStyle w:val="Numberedparagraph"/>
      </w:pPr>
      <w:r>
        <w:t xml:space="preserve">The QHRC suggests that for this to be a meaningful safeguard, it should be included in the Bill. </w:t>
      </w:r>
      <w:r w:rsidR="00907AE3">
        <w:t>A person should be able to move freely, even when subject to a public health direction, to</w:t>
      </w:r>
      <w:r w:rsidR="00660818">
        <w:t xml:space="preserve"> obtain</w:t>
      </w:r>
      <w:r w:rsidR="00907AE3">
        <w:t xml:space="preserve"> </w:t>
      </w:r>
      <w:r w:rsidR="00907AE3" w:rsidRPr="00907AE3">
        <w:t xml:space="preserve">medical treatment to preserve </w:t>
      </w:r>
      <w:r w:rsidR="001F1927">
        <w:t>their</w:t>
      </w:r>
      <w:r w:rsidR="00907AE3" w:rsidRPr="00907AE3">
        <w:t xml:space="preserve"> quality of life</w:t>
      </w:r>
      <w:r w:rsidR="00660818">
        <w:t xml:space="preserve">. </w:t>
      </w:r>
    </w:p>
    <w:p w14:paraId="76E29696" w14:textId="3CDB455B" w:rsidR="005670BE" w:rsidRDefault="00DB398D" w:rsidP="00283E17">
      <w:pPr>
        <w:pStyle w:val="Heading2"/>
      </w:pPr>
      <w:bookmarkStart w:id="37" w:name="_Toc114123349"/>
      <w:r>
        <w:t>Powers to enter, seize and use force</w:t>
      </w:r>
      <w:bookmarkEnd w:id="37"/>
    </w:p>
    <w:p w14:paraId="7B62CF9E" w14:textId="4238B6BA" w:rsidR="00EE0097" w:rsidRDefault="00D1360B" w:rsidP="00EE0097">
      <w:pPr>
        <w:pStyle w:val="Numberedparagraph"/>
      </w:pPr>
      <w:r>
        <w:t xml:space="preserve">Proposed new sections 142N and 142O would permit authorised persons </w:t>
      </w:r>
      <w:r w:rsidR="000E6F4B" w:rsidRPr="000E6F4B">
        <w:t xml:space="preserve">to enter a place where an authorised person reasonably suspects a person may be contravening a public health direction, without a warrant or consent, and seize evidence. </w:t>
      </w:r>
      <w:r w:rsidR="0085541E">
        <w:t>The</w:t>
      </w:r>
      <w:r w:rsidR="000E6F4B" w:rsidRPr="000E6F4B">
        <w:t xml:space="preserve"> power to seize evidence applies only to evidence that a person has committed the offence of contravening a public health direction under new section 142K.</w:t>
      </w:r>
    </w:p>
    <w:p w14:paraId="24992E95" w14:textId="1EFDD807" w:rsidR="00A00E97" w:rsidRDefault="00A00E97" w:rsidP="00A00E97">
      <w:pPr>
        <w:pStyle w:val="Numberedparagraph"/>
      </w:pPr>
      <w:r>
        <w:t xml:space="preserve">It is an important safeguard </w:t>
      </w:r>
      <w:r w:rsidR="001567DE">
        <w:t>that</w:t>
      </w:r>
      <w:r w:rsidR="002042F7" w:rsidRPr="002042F7">
        <w:t xml:space="preserve"> </w:t>
      </w:r>
      <w:r w:rsidR="001567DE">
        <w:t>authorised persons are not permitted</w:t>
      </w:r>
      <w:r w:rsidR="002042F7" w:rsidRPr="002042F7">
        <w:t xml:space="preserve"> to enter a dwelling or a place where health procedures or consultations are being undertaken.</w:t>
      </w:r>
    </w:p>
    <w:p w14:paraId="0AA80752" w14:textId="0CF46DFA" w:rsidR="000E6F4B" w:rsidRDefault="00A00E97" w:rsidP="00EE0097">
      <w:pPr>
        <w:pStyle w:val="Numberedparagraph"/>
      </w:pPr>
      <w:r>
        <w:t>Nonetheless, t</w:t>
      </w:r>
      <w:r w:rsidR="000E6F4B">
        <w:t>hese are significant new powers</w:t>
      </w:r>
      <w:r w:rsidR="009D798B">
        <w:t>. We are concerned there is in</w:t>
      </w:r>
      <w:r w:rsidR="000E6F4B">
        <w:t xml:space="preserve">sufficient justification for the limitation on rights included in the Statement of Compatibility. For example, the Statement briefly discusses </w:t>
      </w:r>
      <w:r w:rsidR="00C76199">
        <w:t>the limitation on</w:t>
      </w:r>
      <w:r w:rsidR="00AF57D3">
        <w:t xml:space="preserve"> the</w:t>
      </w:r>
      <w:r w:rsidR="00C76199">
        <w:t xml:space="preserve"> right</w:t>
      </w:r>
      <w:r w:rsidR="009D798B">
        <w:t xml:space="preserve"> to privacy</w:t>
      </w:r>
      <w:r w:rsidR="00C76199">
        <w:t xml:space="preserve"> arising from the powers, but does not discuss the right to property (s 24) which would likely be limited for the seizure of property.</w:t>
      </w:r>
    </w:p>
    <w:p w14:paraId="01F56EE4" w14:textId="654C475A" w:rsidR="00385E79" w:rsidRDefault="001567DE" w:rsidP="00EE0097">
      <w:pPr>
        <w:pStyle w:val="Numberedparagraph"/>
      </w:pPr>
      <w:r>
        <w:t>The</w:t>
      </w:r>
      <w:r w:rsidR="00385E79">
        <w:t xml:space="preserve"> Statement suggests</w:t>
      </w:r>
      <w:r>
        <w:t xml:space="preserve"> </w:t>
      </w:r>
      <w:r w:rsidR="00385E79">
        <w:t>these powers will allow authorised persons to act ‘swiftly’ to</w:t>
      </w:r>
      <w:r w:rsidR="001F1927">
        <w:t xml:space="preserve"> respond to</w:t>
      </w:r>
      <w:r w:rsidR="00385E79">
        <w:t xml:space="preserve"> ‘serious’ public health risks</w:t>
      </w:r>
      <w:r>
        <w:t>. However,</w:t>
      </w:r>
      <w:r w:rsidR="00385E79">
        <w:t xml:space="preserve"> the threshold for the use of these powers </w:t>
      </w:r>
      <w:r>
        <w:t>is one</w:t>
      </w:r>
      <w:r w:rsidR="00385E79">
        <w:t xml:space="preserve"> of reasonable</w:t>
      </w:r>
      <w:r w:rsidR="005414CC">
        <w:t xml:space="preserve"> suspicion (for a right of entry) </w:t>
      </w:r>
      <w:r w:rsidR="00C76199">
        <w:t xml:space="preserve">of the contravention of a public health direction. We suggest that if the power is </w:t>
      </w:r>
      <w:r w:rsidR="00C76199">
        <w:lastRenderedPageBreak/>
        <w:t xml:space="preserve">intended to respond to ‘serious’ risks to public safety, that threshold should be reflected in the Bill. </w:t>
      </w:r>
    </w:p>
    <w:p w14:paraId="7FCEA3E8" w14:textId="5CE47164" w:rsidR="004B433D" w:rsidRDefault="004B433D" w:rsidP="00EE0097">
      <w:pPr>
        <w:pStyle w:val="Numberedparagraph"/>
      </w:pPr>
      <w:r>
        <w:t>Similarly, the Statement provides very brief justification for the potentially significant power for authorised persons to use</w:t>
      </w:r>
      <w:r w:rsidR="004A5461">
        <w:t xml:space="preserve"> reasonable force to enforce a public health direction</w:t>
      </w:r>
      <w:r w:rsidR="00FD4CD7" w:rsidRPr="00FD4CD7">
        <w:t xml:space="preserve"> </w:t>
      </w:r>
      <w:r w:rsidR="00FD4CD7">
        <w:t>u</w:t>
      </w:r>
      <w:r w:rsidR="00FD4CD7" w:rsidRPr="00FD4CD7">
        <w:t>nder s 142Q</w:t>
      </w:r>
      <w:r w:rsidR="00642B14">
        <w:t>.</w:t>
      </w:r>
      <w:r w:rsidR="00A00E97">
        <w:t xml:space="preserve"> </w:t>
      </w:r>
      <w:r w:rsidR="00642B14">
        <w:t xml:space="preserve">Again, the </w:t>
      </w:r>
      <w:r w:rsidR="007F4356">
        <w:t>QHRC</w:t>
      </w:r>
      <w:r w:rsidR="00642B14">
        <w:t xml:space="preserve"> welcomes that the provision at least includes the safeguard that a person first be given the opportunity </w:t>
      </w:r>
      <w:r w:rsidR="001F1927">
        <w:t xml:space="preserve">to </w:t>
      </w:r>
      <w:r w:rsidR="00642B14">
        <w:t>voluntarily com</w:t>
      </w:r>
      <w:r w:rsidR="004A5461">
        <w:t>p</w:t>
      </w:r>
      <w:r w:rsidR="00642B14">
        <w:t xml:space="preserve">ly. </w:t>
      </w:r>
      <w:r w:rsidR="00FD4CD7">
        <w:t xml:space="preserve">However, the Statement does not discuss the limitation on the right to liberty and security that may arise through the use of this power. </w:t>
      </w:r>
    </w:p>
    <w:p w14:paraId="355F1A1E" w14:textId="0B20B300" w:rsidR="00D6536F" w:rsidRDefault="00D6536F" w:rsidP="00EE0097">
      <w:pPr>
        <w:pStyle w:val="Numberedparagraph"/>
      </w:pPr>
      <w:r>
        <w:t xml:space="preserve">In summary, we suggest there is insufficient </w:t>
      </w:r>
      <w:r w:rsidR="00E07E7B">
        <w:t>justification in the Statement to support the suggestion that ‘t</w:t>
      </w:r>
      <w:r w:rsidR="00E07E7B" w:rsidRPr="00E07E7B">
        <w:t>he Bill provides authorised persons with the minimum powers necessary to ensure compliance with a public health direction.</w:t>
      </w:r>
      <w:r w:rsidR="00E07E7B">
        <w:t>’</w:t>
      </w:r>
      <w:r w:rsidR="00E07E7B">
        <w:rPr>
          <w:rStyle w:val="FootnoteReference"/>
        </w:rPr>
        <w:footnoteReference w:id="10"/>
      </w:r>
    </w:p>
    <w:p w14:paraId="50C67818" w14:textId="1D0E5B57" w:rsidR="0060796E" w:rsidRDefault="0060796E" w:rsidP="0060796E">
      <w:pPr>
        <w:pStyle w:val="Heading2"/>
      </w:pPr>
      <w:bookmarkStart w:id="38" w:name="_Toc114123350"/>
      <w:r>
        <w:t>Corrective Services Act amendments</w:t>
      </w:r>
      <w:bookmarkEnd w:id="38"/>
    </w:p>
    <w:p w14:paraId="5B60376B" w14:textId="1FF69D51" w:rsidR="00AC7307" w:rsidRDefault="00AC7307" w:rsidP="004F271A">
      <w:pPr>
        <w:pStyle w:val="Numberedparagraph"/>
      </w:pPr>
      <w:r>
        <w:t xml:space="preserve">The </w:t>
      </w:r>
      <w:r w:rsidR="007F4356">
        <w:t>QHRC</w:t>
      </w:r>
      <w:r>
        <w:t xml:space="preserve"> accepts that prisons are high risk environments for the spread of COVID-19. However, we </w:t>
      </w:r>
      <w:r w:rsidRPr="00AC7307">
        <w:t xml:space="preserve">question whether it is reasonable to apply restrictions on </w:t>
      </w:r>
      <w:proofErr w:type="gramStart"/>
      <w:r w:rsidRPr="00AC7307">
        <w:t>prisoners, when</w:t>
      </w:r>
      <w:proofErr w:type="gramEnd"/>
      <w:r w:rsidRPr="00AC7307">
        <w:t xml:space="preserve"> there is no longer a community-wide emergency declaration in force. </w:t>
      </w:r>
      <w:r w:rsidR="001F148B">
        <w:t>While</w:t>
      </w:r>
      <w:r>
        <w:t xml:space="preserve"> the</w:t>
      </w:r>
      <w:r w:rsidR="001F148B">
        <w:t xml:space="preserve"> proposed</w:t>
      </w:r>
      <w:r>
        <w:t xml:space="preserve"> powers are at least subject to </w:t>
      </w:r>
      <w:r w:rsidR="00141D56">
        <w:t>COVID-19 being declared a controlled notifiable condition</w:t>
      </w:r>
      <w:r w:rsidR="00AD2132">
        <w:t xml:space="preserve">, as discussed further below, we would prefer an approach where these extraordinary powers </w:t>
      </w:r>
      <w:r w:rsidR="00DA55F7">
        <w:t xml:space="preserve">are </w:t>
      </w:r>
      <w:r w:rsidR="00AD2132">
        <w:t xml:space="preserve">enlivened (and ended) by a specific declaration by the Premier. </w:t>
      </w:r>
      <w:r w:rsidR="008F3C6F" w:rsidRPr="008F3C6F">
        <w:t xml:space="preserve">The making of a declaration </w:t>
      </w:r>
      <w:r w:rsidR="008F3C6F">
        <w:t>under s 268 continues to be</w:t>
      </w:r>
      <w:r w:rsidR="008F3C6F" w:rsidRPr="008F3C6F">
        <w:t xml:space="preserve"> subject to the approval of the Minister</w:t>
      </w:r>
      <w:r w:rsidR="008F3C6F">
        <w:t xml:space="preserve">, but this applies to all declarations when they are made, rather than being a formal step taken to enliven these </w:t>
      </w:r>
      <w:r w:rsidR="00F55E17">
        <w:t>extraordinary new</w:t>
      </w:r>
      <w:r w:rsidR="008F3C6F">
        <w:t xml:space="preserve"> powers.</w:t>
      </w:r>
    </w:p>
    <w:p w14:paraId="12A33597" w14:textId="1693203C" w:rsidR="00AC7307" w:rsidRDefault="00AC7307" w:rsidP="004F271A">
      <w:pPr>
        <w:pStyle w:val="Numberedparagraph"/>
      </w:pPr>
      <w:r w:rsidRPr="00AC7307">
        <w:t xml:space="preserve">Subject to adequate justification being provided for such an approach, we </w:t>
      </w:r>
      <w:r w:rsidR="0044578D">
        <w:t>note that:</w:t>
      </w:r>
    </w:p>
    <w:p w14:paraId="0F62DB2F" w14:textId="52FDF029" w:rsidR="007C326B" w:rsidRDefault="00AD2132" w:rsidP="006E164F">
      <w:pPr>
        <w:pStyle w:val="Numberedparagraph"/>
        <w:numPr>
          <w:ilvl w:val="1"/>
          <w:numId w:val="13"/>
        </w:numPr>
      </w:pPr>
      <w:r>
        <w:t>Further justification is needed as to</w:t>
      </w:r>
      <w:r w:rsidRPr="00875C46">
        <w:t xml:space="preserve"> why </w:t>
      </w:r>
      <w:r>
        <w:t>these powers should</w:t>
      </w:r>
      <w:r w:rsidRPr="00875C46">
        <w:t xml:space="preserve"> be extended to </w:t>
      </w:r>
      <w:r w:rsidRPr="001F148B">
        <w:rPr>
          <w:b/>
          <w:bCs/>
        </w:rPr>
        <w:t>lower risk custodial environments such as work camps</w:t>
      </w:r>
      <w:r w:rsidR="00F847FC">
        <w:rPr>
          <w:b/>
          <w:bCs/>
        </w:rPr>
        <w:t xml:space="preserve"> </w:t>
      </w:r>
      <w:r w:rsidR="00F847FC">
        <w:t xml:space="preserve">and the </w:t>
      </w:r>
      <w:proofErr w:type="spellStart"/>
      <w:r w:rsidR="00F847FC" w:rsidRPr="00F847FC">
        <w:t>Helana</w:t>
      </w:r>
      <w:proofErr w:type="spellEnd"/>
      <w:r w:rsidR="00F847FC" w:rsidRPr="00F847FC">
        <w:t xml:space="preserve"> Jones Centre (a community corrections centre)</w:t>
      </w:r>
      <w:r>
        <w:t xml:space="preserve">. </w:t>
      </w:r>
      <w:r w:rsidR="007C326B">
        <w:t xml:space="preserve">Section 268 of the Corrective Services Act usually only provides for an emergency declaration </w:t>
      </w:r>
      <w:r w:rsidR="00DB5CC8">
        <w:t>for prisons</w:t>
      </w:r>
      <w:r w:rsidR="007C326B">
        <w:t xml:space="preserve">. </w:t>
      </w:r>
      <w:r w:rsidR="000B0093">
        <w:t>The Statement of Compatibility suggests this is</w:t>
      </w:r>
      <w:r w:rsidR="000B0093" w:rsidRPr="000B0093">
        <w:t xml:space="preserve"> essential to prevent loss of life, ensure QCS can respond to the unique risks surrounding COVID-19, and ensure the safety of staff, prisoners and visitors.</w:t>
      </w:r>
      <w:r w:rsidR="00F55E17">
        <w:rPr>
          <w:rStyle w:val="FootnoteReference"/>
        </w:rPr>
        <w:footnoteReference w:id="11"/>
      </w:r>
      <w:r w:rsidR="000B0093" w:rsidRPr="000B0093">
        <w:t xml:space="preserve"> </w:t>
      </w:r>
      <w:r w:rsidR="007C326B">
        <w:t xml:space="preserve"> </w:t>
      </w:r>
    </w:p>
    <w:p w14:paraId="7BC35C30" w14:textId="3148929A" w:rsidR="007C326B" w:rsidRDefault="007C326B" w:rsidP="006E164F">
      <w:pPr>
        <w:pStyle w:val="Numberedparagraph"/>
        <w:numPr>
          <w:ilvl w:val="0"/>
          <w:numId w:val="0"/>
        </w:numPr>
        <w:ind w:left="907"/>
      </w:pPr>
      <w:r>
        <w:t xml:space="preserve">In light of the widespread circulation of the virus in the community now, as well as greater understanding of how to limit its transmission, this justification may no longer be valid. Considering the developments and learning about the </w:t>
      </w:r>
      <w:r>
        <w:lastRenderedPageBreak/>
        <w:t xml:space="preserve">pandemic since May 2020, </w:t>
      </w:r>
      <w:r w:rsidR="006E164F">
        <w:t>we</w:t>
      </w:r>
      <w:r>
        <w:t xml:space="preserve"> suggest further justification is necessary to demonstrate why the powers should continue to apply </w:t>
      </w:r>
      <w:r w:rsidR="006E164F">
        <w:t xml:space="preserve">beyond prisons to lower risk </w:t>
      </w:r>
      <w:r>
        <w:t xml:space="preserve">corrective services facilities such as work camps. </w:t>
      </w:r>
    </w:p>
    <w:p w14:paraId="1E3FCA08" w14:textId="6419C813" w:rsidR="006E164F" w:rsidRDefault="006E164F" w:rsidP="006E164F">
      <w:pPr>
        <w:pStyle w:val="Numberedparagraph"/>
        <w:numPr>
          <w:ilvl w:val="1"/>
          <w:numId w:val="13"/>
        </w:numPr>
      </w:pPr>
      <w:r>
        <w:t xml:space="preserve">It appears if s 268 were amended in the manner suggested, the additional extraordinary powers of the QCS Commissioner could </w:t>
      </w:r>
      <w:r w:rsidR="00C620D0">
        <w:t xml:space="preserve">be </w:t>
      </w:r>
      <w:r w:rsidR="00C620D0" w:rsidRPr="00C620D0">
        <w:rPr>
          <w:b/>
          <w:bCs/>
        </w:rPr>
        <w:t>used to respond</w:t>
      </w:r>
      <w:r w:rsidRPr="00C620D0">
        <w:rPr>
          <w:b/>
          <w:bCs/>
        </w:rPr>
        <w:t xml:space="preserve"> to any emergency</w:t>
      </w:r>
      <w:r>
        <w:t>. While th</w:t>
      </w:r>
      <w:r w:rsidR="00C620D0">
        <w:t>e new</w:t>
      </w:r>
      <w:r>
        <w:t xml:space="preserve"> power may be contingent on COVID-19 being declared a controlled notifiable condition, it seems likely </w:t>
      </w:r>
      <w:r w:rsidR="002D7653">
        <w:t xml:space="preserve">that </w:t>
      </w:r>
      <w:r w:rsidR="00C620D0">
        <w:t>COVID-19 will be declared such a condition for a lengthy period</w:t>
      </w:r>
      <w:r w:rsidR="002D7653">
        <w:t>. W</w:t>
      </w:r>
      <w:r>
        <w:t xml:space="preserve">e suggest that the proposed </w:t>
      </w:r>
      <w:r w:rsidR="002D7653">
        <w:t xml:space="preserve">emergency power </w:t>
      </w:r>
      <w:r>
        <w:t xml:space="preserve">be narrowed to </w:t>
      </w:r>
      <w:r w:rsidR="002D7653">
        <w:t>only be permitted to respond</w:t>
      </w:r>
      <w:r>
        <w:t xml:space="preserve"> to the COVID-19 pandemic. </w:t>
      </w:r>
    </w:p>
    <w:p w14:paraId="61312E0C" w14:textId="5F184B42" w:rsidR="002D7653" w:rsidRPr="00875C46" w:rsidRDefault="00C620D0" w:rsidP="002D7653">
      <w:pPr>
        <w:pStyle w:val="Numberedparagraph"/>
        <w:numPr>
          <w:ilvl w:val="1"/>
          <w:numId w:val="13"/>
        </w:numPr>
      </w:pPr>
      <w:r w:rsidRPr="00F466D5">
        <w:rPr>
          <w:b/>
          <w:bCs/>
        </w:rPr>
        <w:t>Oversight and transparency</w:t>
      </w:r>
      <w:r>
        <w:t xml:space="preserve"> </w:t>
      </w:r>
      <w:proofErr w:type="gramStart"/>
      <w:r>
        <w:t>is</w:t>
      </w:r>
      <w:proofErr w:type="gramEnd"/>
      <w:r>
        <w:t xml:space="preserve"> particularly important during emergencies. </w:t>
      </w:r>
      <w:r w:rsidRPr="00C620D0">
        <w:t>While it does not appear to be an intended consequence of the proposed amendments, the QHRC suggests that any changes should explicitly confirm that key oversight agencies such as the Ombudsman, Inspector of Detention Services, Official Visitors and the United Nations Subcommittee on the Prevention of Torture (SPT) may visit a facility even if it is subject to an emergency declaration or direction. This will maintain confidence in the corrective services system and ensure any human rights issues are identified quickly.</w:t>
      </w:r>
      <w:r w:rsidR="002D7653" w:rsidRPr="00875C46">
        <w:t xml:space="preserve"> </w:t>
      </w:r>
    </w:p>
    <w:p w14:paraId="3E00EF2D" w14:textId="67336B6C" w:rsidR="008F33CD" w:rsidRDefault="00FB3BAB" w:rsidP="008F33CD">
      <w:pPr>
        <w:pStyle w:val="Numberedparagraph"/>
        <w:numPr>
          <w:ilvl w:val="1"/>
          <w:numId w:val="13"/>
        </w:numPr>
      </w:pPr>
      <w:r>
        <w:t>The Statement of Compatibility notes that ‘w</w:t>
      </w:r>
      <w:r w:rsidRPr="00FB3BAB">
        <w:t>hile not required by statute, all declarations made under section 268 in response to COVID-19 have been made publicly available. This will continue to occur</w:t>
      </w:r>
      <w:r>
        <w:t>’</w:t>
      </w:r>
      <w:r w:rsidRPr="00FB3BAB">
        <w:t>.</w:t>
      </w:r>
      <w:r>
        <w:t xml:space="preserve"> The QHRC welcomes QCS’ commitment to transparency to date, but</w:t>
      </w:r>
      <w:r w:rsidR="004F2105" w:rsidRPr="00576BD1">
        <w:t xml:space="preserve"> suggests </w:t>
      </w:r>
      <w:r w:rsidR="000E47F8" w:rsidRPr="00576BD1">
        <w:t xml:space="preserve">that </w:t>
      </w:r>
      <w:r w:rsidR="00F466D5">
        <w:t>the Bill</w:t>
      </w:r>
      <w:r w:rsidR="004F2105" w:rsidRPr="00576BD1">
        <w:t xml:space="preserve"> should require that all such emergency directions and declarations </w:t>
      </w:r>
      <w:r w:rsidR="00F55E17">
        <w:t>be</w:t>
      </w:r>
      <w:r w:rsidR="004F2105" w:rsidRPr="00576BD1">
        <w:t xml:space="preserve"> published.</w:t>
      </w:r>
      <w:r w:rsidR="004F2105" w:rsidRPr="00576BD1">
        <w:rPr>
          <w:rStyle w:val="FootnoteReference"/>
        </w:rPr>
        <w:footnoteReference w:id="12"/>
      </w:r>
      <w:r w:rsidR="004F2105" w:rsidRPr="00576BD1">
        <w:t xml:space="preserve"> </w:t>
      </w:r>
    </w:p>
    <w:p w14:paraId="53AC2D8D" w14:textId="420A61B5" w:rsidR="00283E17" w:rsidRDefault="00283E17" w:rsidP="00283E17">
      <w:pPr>
        <w:pStyle w:val="Heading2"/>
      </w:pPr>
      <w:bookmarkStart w:id="39" w:name="_Toc114123351"/>
      <w:r>
        <w:t>Powers enlivened by executive</w:t>
      </w:r>
      <w:bookmarkEnd w:id="39"/>
    </w:p>
    <w:p w14:paraId="4988C5FD" w14:textId="7F2C83E2" w:rsidR="00B84CC7" w:rsidRPr="001D538F" w:rsidRDefault="00AD79D7" w:rsidP="00A02F3B">
      <w:pPr>
        <w:pStyle w:val="Numberedparagraph"/>
      </w:pPr>
      <w:r w:rsidRPr="001D538F">
        <w:t xml:space="preserve">The </w:t>
      </w:r>
      <w:r w:rsidR="00576BD1" w:rsidRPr="001D538F">
        <w:t xml:space="preserve">Bill </w:t>
      </w:r>
      <w:r w:rsidR="007110AA" w:rsidRPr="001D538F">
        <w:t>provide</w:t>
      </w:r>
      <w:r w:rsidR="008F33CD" w:rsidRPr="001D538F">
        <w:t>s</w:t>
      </w:r>
      <w:r w:rsidR="007110AA" w:rsidRPr="001D538F">
        <w:t xml:space="preserve"> </w:t>
      </w:r>
      <w:r w:rsidR="008F33CD" w:rsidRPr="001D538F">
        <w:t xml:space="preserve">for </w:t>
      </w:r>
      <w:r w:rsidR="007110AA" w:rsidRPr="001D538F">
        <w:t>the CHO and QCS Commissioner</w:t>
      </w:r>
      <w:r w:rsidRPr="001D538F">
        <w:t xml:space="preserve"> </w:t>
      </w:r>
      <w:r w:rsidR="008F33CD" w:rsidRPr="001D538F">
        <w:t xml:space="preserve">to exercise powers </w:t>
      </w:r>
      <w:r w:rsidRPr="001D538F">
        <w:t xml:space="preserve">without any overarching decision by the Executive. </w:t>
      </w:r>
      <w:r w:rsidR="00B84CC7" w:rsidRPr="001D538F">
        <w:t xml:space="preserve">As already noted, while the QCS Commissioner’s powers are contingent on </w:t>
      </w:r>
      <w:r w:rsidR="00365A00" w:rsidRPr="001D538F">
        <w:t xml:space="preserve">COVID-19 being declared a controlled notifiable condition, this is likely for the foreseeable future. </w:t>
      </w:r>
      <w:r w:rsidR="00AD1C36">
        <w:t xml:space="preserve">The CHO’s powers would begin on commencement. </w:t>
      </w:r>
    </w:p>
    <w:p w14:paraId="0102EDD7" w14:textId="7A1E12A8" w:rsidR="00AD79D7" w:rsidRDefault="007110AA" w:rsidP="00A02F3B">
      <w:pPr>
        <w:pStyle w:val="Numberedparagraph"/>
      </w:pPr>
      <w:r w:rsidRPr="001D538F">
        <w:t>While</w:t>
      </w:r>
      <w:r w:rsidR="00AD79D7" w:rsidRPr="001D538F">
        <w:t xml:space="preserve"> each jurisdiction has taken a slightly different approach to its COVID-19 response, the human rights jurisdictions of the ACT and Victoria have both adopted models where elected members of the ministry, including the Premier and Health Minister, make directions of broad application to the community. This is based on the advice of the chief health officer, whose advice must be published with the direction, along with a human rights assessment.</w:t>
      </w:r>
      <w:r w:rsidR="00AD79D7" w:rsidRPr="001D538F">
        <w:rPr>
          <w:rStyle w:val="FootnoteReference"/>
        </w:rPr>
        <w:footnoteReference w:id="13"/>
      </w:r>
      <w:r w:rsidR="00AD79D7" w:rsidRPr="001D538F">
        <w:t xml:space="preserve"> </w:t>
      </w:r>
      <w:r w:rsidR="003101BA" w:rsidRPr="001D538F">
        <w:t>The Explanatory Note</w:t>
      </w:r>
      <w:r w:rsidR="002A320F">
        <w:t xml:space="preserve">s </w:t>
      </w:r>
      <w:r w:rsidR="00F55E17">
        <w:t xml:space="preserve">discuss the reason for a different approach in the </w:t>
      </w:r>
      <w:proofErr w:type="spellStart"/>
      <w:r w:rsidR="00F55E17">
        <w:t>Billl</w:t>
      </w:r>
      <w:proofErr w:type="spellEnd"/>
      <w:r w:rsidR="003101BA" w:rsidRPr="001D538F">
        <w:t xml:space="preserve">: </w:t>
      </w:r>
    </w:p>
    <w:p w14:paraId="4516ECF1" w14:textId="798CA049" w:rsidR="00045327" w:rsidRPr="001D538F" w:rsidRDefault="00045327" w:rsidP="00045327">
      <w:pPr>
        <w:pStyle w:val="Quote"/>
      </w:pPr>
      <w:r w:rsidRPr="00045327">
        <w:lastRenderedPageBreak/>
        <w:t>There was also some support for public health directions to be issued by an elected representative, who is accountable to the community, rather than by the Chief Health Officer. Given the ongoing uncertainty around the risks, severity and impacts of COVID-19 at this time, the Chief Health Officer is considered best placed to access relevant information locally and internationally to assess the health risk to the community and impacts on the public health system and determine whether a public health direction is needed, and the exact nature of any such direction.</w:t>
      </w:r>
      <w:r>
        <w:rPr>
          <w:rStyle w:val="FootnoteReference"/>
        </w:rPr>
        <w:footnoteReference w:id="14"/>
      </w:r>
    </w:p>
    <w:p w14:paraId="381BC744" w14:textId="168D32F1" w:rsidR="00AD79D7" w:rsidRPr="001D538F" w:rsidRDefault="003101BA" w:rsidP="00A02F3B">
      <w:pPr>
        <w:pStyle w:val="Numberedparagraph"/>
      </w:pPr>
      <w:r w:rsidRPr="001D538F">
        <w:t>W</w:t>
      </w:r>
      <w:r w:rsidR="00AD79D7" w:rsidRPr="001D538F">
        <w:t>e support the excellent work of the CHO to date in Queensland in responding to COVID-19, and acknowledge their significant public health expertise</w:t>
      </w:r>
      <w:r w:rsidRPr="001D538F">
        <w:t>.</w:t>
      </w:r>
      <w:r w:rsidR="009E5257" w:rsidRPr="001D538F">
        <w:t xml:space="preserve"> Nonetheless, e</w:t>
      </w:r>
      <w:r w:rsidR="00AD79D7" w:rsidRPr="001D538F">
        <w:t>lected representatives are accountable to the Queensland community for their decisions. When significant community wide decisions are made that substantially limit human rights, the decision maker ought to be a person that is ultimately accountable to the community.</w:t>
      </w:r>
    </w:p>
    <w:p w14:paraId="41E80A89" w14:textId="1C77D2F4" w:rsidR="00AA7115" w:rsidRPr="001D538F" w:rsidRDefault="0074322C" w:rsidP="00A02F3B">
      <w:pPr>
        <w:pStyle w:val="Numberedparagraph"/>
      </w:pPr>
      <w:r>
        <w:t xml:space="preserve">While </w:t>
      </w:r>
      <w:r w:rsidR="00FF3861">
        <w:t>the QHRC’s preferred position is that the Premier should formally ‘declare’ an emergency for these powers to be enlivened</w:t>
      </w:r>
      <w:r w:rsidR="00AA7115" w:rsidRPr="001D538F">
        <w:t>, the proposed approach may be reasonable</w:t>
      </w:r>
      <w:r w:rsidR="003C0058">
        <w:t xml:space="preserve"> as the CHO and QCS Commissioner would cease to have these powers on 23 October 2023</w:t>
      </w:r>
      <w:r w:rsidR="00AA7115" w:rsidRPr="001D538F">
        <w:t xml:space="preserve">. However, if, like earlier </w:t>
      </w:r>
      <w:r w:rsidR="00390CBC" w:rsidRPr="001D538F">
        <w:t>legislation, these changes were to be</w:t>
      </w:r>
      <w:r w:rsidR="00AA7115" w:rsidRPr="001D538F">
        <w:t xml:space="preserve"> extended</w:t>
      </w:r>
      <w:r w:rsidR="00390CBC" w:rsidRPr="001D538F">
        <w:t>,</w:t>
      </w:r>
      <w:r w:rsidR="00AA7115" w:rsidRPr="001D538F">
        <w:t xml:space="preserve"> we would expect to see more checks and balances to avoid these</w:t>
      </w:r>
      <w:r w:rsidR="007163DF">
        <w:t xml:space="preserve"> extraordinary</w:t>
      </w:r>
      <w:r w:rsidR="00AA7115" w:rsidRPr="001D538F">
        <w:t xml:space="preserve"> powers effectively being </w:t>
      </w:r>
      <w:r w:rsidR="001D538F" w:rsidRPr="001D538F">
        <w:t>permanent</w:t>
      </w:r>
      <w:r w:rsidR="007163DF">
        <w:t>ly provided to both</w:t>
      </w:r>
      <w:r w:rsidR="001D538F" w:rsidRPr="001D538F">
        <w:t xml:space="preserve">. </w:t>
      </w:r>
      <w:r w:rsidR="00390CBC" w:rsidRPr="001D538F">
        <w:t xml:space="preserve"> </w:t>
      </w:r>
    </w:p>
    <w:p w14:paraId="13152DE4" w14:textId="30C780D0" w:rsidR="00D96A22" w:rsidRDefault="006C2A98" w:rsidP="00353B6E">
      <w:pPr>
        <w:pStyle w:val="Heading1"/>
      </w:pPr>
      <w:bookmarkStart w:id="40" w:name="_Toc114123352"/>
      <w:r>
        <w:t xml:space="preserve">Long term </w:t>
      </w:r>
      <w:r w:rsidR="00353B6E">
        <w:t>pandemic legislation</w:t>
      </w:r>
      <w:bookmarkEnd w:id="40"/>
    </w:p>
    <w:p w14:paraId="434BF9C2" w14:textId="3BBA3F32" w:rsidR="00435C6D" w:rsidRDefault="000278A3" w:rsidP="00353B6E">
      <w:pPr>
        <w:pStyle w:val="Numberedparagraph"/>
      </w:pPr>
      <w:r>
        <w:t>The Queensland Government and broader community have</w:t>
      </w:r>
      <w:r w:rsidR="0086716F">
        <w:t xml:space="preserve"> learnt much in</w:t>
      </w:r>
      <w:r>
        <w:t xml:space="preserve"> recent years about how to respond to a pandemic. In many ways, the amendments proposed in this Bill reflect that </w:t>
      </w:r>
      <w:r w:rsidR="0086716F">
        <w:t>growing understanding</w:t>
      </w:r>
      <w:r>
        <w:t xml:space="preserve">, and </w:t>
      </w:r>
      <w:r w:rsidR="0086716F">
        <w:t>an acceptance that</w:t>
      </w:r>
      <w:r>
        <w:t xml:space="preserve"> initial legislation passed urgently in early 2020 was</w:t>
      </w:r>
      <w:r w:rsidR="0086716F">
        <w:t xml:space="preserve"> imperfect. </w:t>
      </w:r>
    </w:p>
    <w:p w14:paraId="40FF6F3A" w14:textId="0A75B43B" w:rsidR="00353B6E" w:rsidRDefault="00353B6E" w:rsidP="00353B6E">
      <w:pPr>
        <w:pStyle w:val="Numberedparagraph"/>
      </w:pPr>
      <w:r>
        <w:t>In response to similar c</w:t>
      </w:r>
      <w:r w:rsidR="007602A4">
        <w:t xml:space="preserve">oncerns, Victoria, </w:t>
      </w:r>
      <w:r>
        <w:t xml:space="preserve">which </w:t>
      </w:r>
      <w:r w:rsidR="0086716F">
        <w:t>is also a</w:t>
      </w:r>
      <w:r>
        <w:t xml:space="preserve"> human rights jurisdiction, </w:t>
      </w:r>
      <w:r w:rsidR="0086716F">
        <w:t xml:space="preserve">has sought to legislate on a </w:t>
      </w:r>
      <w:r w:rsidR="00DB1E95">
        <w:t>long-term</w:t>
      </w:r>
      <w:r w:rsidR="0086716F">
        <w:t xml:space="preserve"> basis a framework for dealing with future pandemics</w:t>
      </w:r>
      <w:r>
        <w:t>.</w:t>
      </w:r>
      <w:r w:rsidR="0049501E">
        <w:rPr>
          <w:rStyle w:val="FootnoteReference"/>
        </w:rPr>
        <w:footnoteReference w:id="15"/>
      </w:r>
      <w:r>
        <w:t xml:space="preserve"> </w:t>
      </w:r>
      <w:r w:rsidR="0086716F">
        <w:t>Victoria</w:t>
      </w:r>
      <w:r>
        <w:t xml:space="preserve"> previously </w:t>
      </w:r>
      <w:r w:rsidR="0086716F">
        <w:t xml:space="preserve">used a similar framework to the current </w:t>
      </w:r>
      <w:r>
        <w:t>Queensland</w:t>
      </w:r>
      <w:r w:rsidR="0086716F">
        <w:t xml:space="preserve"> model (which will expire in October 2022)</w:t>
      </w:r>
      <w:r>
        <w:t>. In December 2021, new legislation commenced</w:t>
      </w:r>
      <w:r w:rsidR="0086716F">
        <w:t xml:space="preserve"> in Victoria</w:t>
      </w:r>
      <w:r>
        <w:t xml:space="preserve"> that comprehensively changed its approach to restrictions imposed in response to pandemics.  </w:t>
      </w:r>
    </w:p>
    <w:p w14:paraId="225ACB54" w14:textId="77777777" w:rsidR="00353B6E" w:rsidRDefault="00353B6E" w:rsidP="00353B6E">
      <w:pPr>
        <w:pStyle w:val="Numberedparagraph"/>
      </w:pPr>
      <w:r>
        <w:t>As the Victorian Government acknowledges, the new Victorian legislation is now ‘fit-for-purpose’. It meets many of the key human rights principles of such legislation:</w:t>
      </w:r>
    </w:p>
    <w:p w14:paraId="10372564" w14:textId="772FDF2D" w:rsidR="00353B6E" w:rsidRDefault="00353B6E" w:rsidP="000B38D1">
      <w:pPr>
        <w:pStyle w:val="Bulletedlist"/>
      </w:pPr>
      <w:r>
        <w:lastRenderedPageBreak/>
        <w:t>The Premier is responsible for making pandemic declarations.</w:t>
      </w:r>
      <w:r w:rsidR="007602A4">
        <w:rPr>
          <w:rStyle w:val="FootnoteReference"/>
        </w:rPr>
        <w:footnoteReference w:id="16"/>
      </w:r>
      <w:r>
        <w:t xml:space="preserve"> </w:t>
      </w:r>
    </w:p>
    <w:p w14:paraId="6E73D658" w14:textId="29CFB199" w:rsidR="001C0FB8" w:rsidRDefault="001C0FB8" w:rsidP="000B38D1">
      <w:pPr>
        <w:pStyle w:val="Bulletedlist"/>
      </w:pPr>
      <w:r>
        <w:t>Compulsory powers are subject to different safeguards depending on their breadth of coverage.</w:t>
      </w:r>
      <w:r>
        <w:rPr>
          <w:rStyle w:val="FootnoteReference"/>
        </w:rPr>
        <w:footnoteReference w:id="17"/>
      </w:r>
    </w:p>
    <w:p w14:paraId="2EA238EF" w14:textId="1FDCF1E2" w:rsidR="00353B6E" w:rsidRDefault="00353B6E" w:rsidP="000B38D1">
      <w:pPr>
        <w:pStyle w:val="Bulletedlist"/>
      </w:pPr>
      <w:r>
        <w:t>T</w:t>
      </w:r>
      <w:r w:rsidR="001C0FB8">
        <w:t xml:space="preserve">he Minister for Health’s </w:t>
      </w:r>
      <w:r>
        <w:t>pandemic orders</w:t>
      </w:r>
      <w:r w:rsidR="001C0FB8">
        <w:t xml:space="preserve"> are made</w:t>
      </w:r>
      <w:r>
        <w:t xml:space="preserve"> to protect public health if a pandemic declaration has been made by the Premier.</w:t>
      </w:r>
      <w:r w:rsidR="007602A4">
        <w:rPr>
          <w:rStyle w:val="FootnoteReference"/>
        </w:rPr>
        <w:footnoteReference w:id="18"/>
      </w:r>
      <w:r>
        <w:t xml:space="preserve"> A pandemic order can include restrictions that are necessary to protect the community during a pandemic such as restricting movement or requiring people to wear a face mask</w:t>
      </w:r>
      <w:r w:rsidRPr="001C0FB8">
        <w:t xml:space="preserve">. </w:t>
      </w:r>
      <w:r w:rsidR="00251959" w:rsidRPr="001C0FB8">
        <w:t>Parliament may disallow a pandemic order.</w:t>
      </w:r>
      <w:r w:rsidR="001C0FB8" w:rsidRPr="001C0FB8">
        <w:rPr>
          <w:rStyle w:val="FootnoteReference"/>
        </w:rPr>
        <w:footnoteReference w:id="19"/>
      </w:r>
    </w:p>
    <w:p w14:paraId="206EE6DE" w14:textId="607B90BE" w:rsidR="00353B6E" w:rsidRDefault="0086716F" w:rsidP="000B38D1">
      <w:pPr>
        <w:pStyle w:val="Bulletedlist"/>
      </w:pPr>
      <w:r>
        <w:t>T</w:t>
      </w:r>
      <w:r w:rsidR="00353B6E">
        <w:t xml:space="preserve">he Minister for Health </w:t>
      </w:r>
      <w:r>
        <w:t>makes</w:t>
      </w:r>
      <w:r w:rsidR="00353B6E">
        <w:t xml:space="preserve"> pandemic orders accompanied by</w:t>
      </w:r>
      <w:r w:rsidR="0049501E">
        <w:rPr>
          <w:rStyle w:val="FootnoteReference"/>
        </w:rPr>
        <w:footnoteReference w:id="20"/>
      </w:r>
      <w:r w:rsidR="00353B6E">
        <w:t>:</w:t>
      </w:r>
    </w:p>
    <w:p w14:paraId="599B9569" w14:textId="77777777" w:rsidR="00353B6E" w:rsidRDefault="00353B6E" w:rsidP="00196C85">
      <w:pPr>
        <w:pStyle w:val="Bulletedlist"/>
        <w:numPr>
          <w:ilvl w:val="1"/>
          <w:numId w:val="16"/>
        </w:numPr>
      </w:pPr>
      <w:r>
        <w:t xml:space="preserve">A statement of reasons explaining why the pandemic order was reasonably necessary to protect public health. </w:t>
      </w:r>
    </w:p>
    <w:p w14:paraId="40BFB0EA" w14:textId="77777777" w:rsidR="00353B6E" w:rsidRDefault="00353B6E" w:rsidP="00196C85">
      <w:pPr>
        <w:pStyle w:val="Bulletedlist"/>
        <w:numPr>
          <w:ilvl w:val="1"/>
          <w:numId w:val="16"/>
        </w:numPr>
      </w:pPr>
      <w:r>
        <w:t>The Chief Health Officer’s advice.</w:t>
      </w:r>
    </w:p>
    <w:p w14:paraId="14F2DDB2" w14:textId="67D1A0E1" w:rsidR="00353B6E" w:rsidRDefault="00353B6E" w:rsidP="00196C85">
      <w:pPr>
        <w:pStyle w:val="Bulletedlist"/>
        <w:numPr>
          <w:ilvl w:val="1"/>
          <w:numId w:val="16"/>
        </w:numPr>
      </w:pPr>
      <w:r>
        <w:t>An assessment of any human rights that are limited by the pandemic orders.</w:t>
      </w:r>
      <w:r w:rsidR="007602A4">
        <w:rPr>
          <w:rStyle w:val="FootnoteReference"/>
        </w:rPr>
        <w:footnoteReference w:id="21"/>
      </w:r>
    </w:p>
    <w:p w14:paraId="776F4E18" w14:textId="2DD9B9E7" w:rsidR="00353B6E" w:rsidRDefault="00353B6E" w:rsidP="000B38D1">
      <w:pPr>
        <w:pStyle w:val="Bulletedlist"/>
      </w:pPr>
      <w:r>
        <w:t xml:space="preserve">Government decision-making is </w:t>
      </w:r>
      <w:r w:rsidR="00193EAA">
        <w:t>subject to</w:t>
      </w:r>
      <w:r>
        <w:t xml:space="preserve"> parliamentary scrutiny</w:t>
      </w:r>
      <w:r w:rsidRPr="001E1FCE">
        <w:t xml:space="preserve">. </w:t>
      </w:r>
    </w:p>
    <w:p w14:paraId="0C264108" w14:textId="4D3A175D" w:rsidR="00353B6E" w:rsidRDefault="0086716F" w:rsidP="000B38D1">
      <w:pPr>
        <w:pStyle w:val="Bulletedlist"/>
      </w:pPr>
      <w:r>
        <w:t>As outlined above, p</w:t>
      </w:r>
      <w:r w:rsidR="00353B6E">
        <w:t>andemic detention quarantine is reviewed by an authorised officer at least once every 24 hours, unless that is not reasonably practical.</w:t>
      </w:r>
      <w:r w:rsidR="00495CF4">
        <w:rPr>
          <w:rStyle w:val="FootnoteReference"/>
        </w:rPr>
        <w:footnoteReference w:id="22"/>
      </w:r>
      <w:r w:rsidR="00353B6E">
        <w:t xml:space="preserve"> A person subject to quarantine may ask for their detention to be reviewed by a Detention Appeals Officer, which may lead to confirmation of detention, changes to the conditions of detention, or release.</w:t>
      </w:r>
      <w:r w:rsidR="00613B75">
        <w:rPr>
          <w:rStyle w:val="FootnoteReference"/>
        </w:rPr>
        <w:footnoteReference w:id="23"/>
      </w:r>
      <w:r w:rsidR="00353B6E">
        <w:t xml:space="preserve"> </w:t>
      </w:r>
      <w:r w:rsidR="00E109D5">
        <w:t xml:space="preserve">The review may consider many aspects of the detention including the reasons for it, the period, the place, the conditions and any other matter relating to the detention. The review must generally </w:t>
      </w:r>
      <w:r w:rsidR="00384444">
        <w:t>be completed within 72 hours.</w:t>
      </w:r>
      <w:r w:rsidR="00384444">
        <w:rPr>
          <w:rStyle w:val="FootnoteReference"/>
        </w:rPr>
        <w:footnoteReference w:id="24"/>
      </w:r>
      <w:r w:rsidR="00384444">
        <w:t xml:space="preserve"> </w:t>
      </w:r>
      <w:r w:rsidR="00353B6E">
        <w:t>The person may also complain to the Victorian Ombudsman, and may also make a complaint to the Secretary of the Department of Health or seek review in a court.</w:t>
      </w:r>
      <w:r w:rsidR="00613B75">
        <w:rPr>
          <w:rStyle w:val="FootnoteReference"/>
        </w:rPr>
        <w:footnoteReference w:id="25"/>
      </w:r>
    </w:p>
    <w:p w14:paraId="0BB34D2C" w14:textId="280E7638" w:rsidR="00353B6E" w:rsidRDefault="0086716F" w:rsidP="00353B6E">
      <w:pPr>
        <w:pStyle w:val="Numberedparagraph"/>
      </w:pPr>
      <w:r>
        <w:t xml:space="preserve">While welcoming the changes in the Bill, the </w:t>
      </w:r>
      <w:r w:rsidR="007F4356">
        <w:t>QHRC</w:t>
      </w:r>
      <w:r>
        <w:t xml:space="preserve"> continues to suggest that consideration should be given as to whether Queensland should also legislate a similar framework for any future pandemic, beyond just COVID-19. </w:t>
      </w:r>
    </w:p>
    <w:p w14:paraId="1B0BBE0B" w14:textId="00DC11DC" w:rsidR="00F92CFB" w:rsidRDefault="00AA1E20" w:rsidP="00AA1E20">
      <w:pPr>
        <w:pStyle w:val="Heading1"/>
      </w:pPr>
      <w:bookmarkStart w:id="41" w:name="_Toc114123353"/>
      <w:r>
        <w:lastRenderedPageBreak/>
        <w:t>Conclusion</w:t>
      </w:r>
      <w:bookmarkEnd w:id="41"/>
    </w:p>
    <w:p w14:paraId="15A5CCA3" w14:textId="298018E9" w:rsidR="00DB4252" w:rsidRPr="00DB4252" w:rsidRDefault="00DB4252" w:rsidP="00DB4252">
      <w:pPr>
        <w:pStyle w:val="Numberedparagraph"/>
      </w:pPr>
      <w:r>
        <w:t>Thank you for the opportunity to comment on the Bill. We support the important changes it includes</w:t>
      </w:r>
      <w:r w:rsidR="0093262D">
        <w:t xml:space="preserve">, subject to further refinements and justification to ensure </w:t>
      </w:r>
      <w:r w:rsidR="009F5ECC">
        <w:t>the Bill</w:t>
      </w:r>
      <w:r w:rsidR="0093262D">
        <w:t xml:space="preserve"> is compatible with human rights. </w:t>
      </w:r>
    </w:p>
    <w:sectPr w:rsidR="00DB4252" w:rsidRPr="00DB4252" w:rsidSect="00C03E3F">
      <w:footerReference w:type="default" r:id="rId10"/>
      <w:footerReference w:type="first" r:id="rId11"/>
      <w:pgSz w:w="11900" w:h="16840" w:code="9"/>
      <w:pgMar w:top="1440" w:right="1701" w:bottom="1361" w:left="1701" w:header="709"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CBA3A3" w14:textId="77777777" w:rsidR="00510E1B" w:rsidRDefault="00510E1B" w:rsidP="0034134D">
      <w:r>
        <w:separator/>
      </w:r>
    </w:p>
    <w:p w14:paraId="44518F5D" w14:textId="77777777" w:rsidR="00510E1B" w:rsidRDefault="00510E1B"/>
  </w:endnote>
  <w:endnote w:type="continuationSeparator" w:id="0">
    <w:p w14:paraId="77DC689B" w14:textId="77777777" w:rsidR="00510E1B" w:rsidRDefault="00510E1B" w:rsidP="0034134D">
      <w:r>
        <w:continuationSeparator/>
      </w:r>
    </w:p>
    <w:p w14:paraId="5DA600B6" w14:textId="77777777" w:rsidR="00510E1B" w:rsidRDefault="00510E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5B220" w14:textId="728F0999" w:rsidR="0049501E" w:rsidRPr="00C03E3F" w:rsidRDefault="0049501E" w:rsidP="00C03E3F">
    <w:pPr>
      <w:tabs>
        <w:tab w:val="center" w:pos="4513"/>
        <w:tab w:val="right" w:pos="9026"/>
      </w:tabs>
      <w:jc w:val="right"/>
      <w:rPr>
        <w:rFonts w:ascii="Arial" w:hAnsi="Arial" w:cs="Arial"/>
        <w:color w:val="404040" w:themeColor="text1" w:themeTint="BF"/>
        <w:sz w:val="16"/>
        <w:szCs w:val="20"/>
      </w:rPr>
    </w:pPr>
    <w:r w:rsidRPr="00C03E3F">
      <w:rPr>
        <w:rFonts w:ascii="Arial" w:hAnsi="Arial" w:cs="Arial"/>
        <w:noProof/>
        <w:sz w:val="20"/>
        <w:szCs w:val="20"/>
        <w:vertAlign w:val="subscript"/>
        <w:lang w:eastAsia="en-AU"/>
      </w:rPr>
      <w:drawing>
        <wp:inline distT="0" distB="0" distL="0" distR="0" wp14:anchorId="5EE93C96" wp14:editId="34C63889">
          <wp:extent cx="5296278" cy="4655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lour bar - thin cmyk.png"/>
                  <pic:cNvPicPr/>
                </pic:nvPicPr>
                <pic:blipFill>
                  <a:blip r:embed="rId1">
                    <a:extLst>
                      <a:ext uri="{28A0092B-C50C-407E-A947-70E740481C1C}">
                        <a14:useLocalDpi xmlns:a14="http://schemas.microsoft.com/office/drawing/2010/main" val="0"/>
                      </a:ext>
                    </a:extLst>
                  </a:blip>
                  <a:stretch>
                    <a:fillRect/>
                  </a:stretch>
                </pic:blipFill>
                <pic:spPr>
                  <a:xfrm>
                    <a:off x="0" y="0"/>
                    <a:ext cx="16283241" cy="143135"/>
                  </a:xfrm>
                  <a:prstGeom prst="rect">
                    <a:avLst/>
                  </a:prstGeom>
                </pic:spPr>
              </pic:pic>
            </a:graphicData>
          </a:graphic>
        </wp:inline>
      </w:drawing>
    </w:r>
    <w:r w:rsidRPr="00C03E3F">
      <w:rPr>
        <w:rFonts w:ascii="Arial" w:hAnsi="Arial" w:cs="Arial"/>
        <w:color w:val="404040" w:themeColor="text1" w:themeTint="BF"/>
        <w:sz w:val="16"/>
        <w:szCs w:val="20"/>
      </w:rPr>
      <w:t>Queensland Human Rights Commission | www.qhrc.qld.gov.au</w:t>
    </w:r>
    <w:r w:rsidRPr="00C03E3F">
      <w:rPr>
        <w:rFonts w:ascii="Arial" w:hAnsi="Arial" w:cs="Arial"/>
        <w:color w:val="404040" w:themeColor="text1" w:themeTint="BF"/>
        <w:sz w:val="16"/>
        <w:szCs w:val="20"/>
      </w:rPr>
      <w:tab/>
    </w:r>
    <w:r w:rsidRPr="00C03E3F">
      <w:rPr>
        <w:rFonts w:ascii="Arial" w:hAnsi="Arial" w:cs="Arial"/>
        <w:color w:val="404040" w:themeColor="text1" w:themeTint="BF"/>
        <w:sz w:val="16"/>
        <w:szCs w:val="20"/>
      </w:rPr>
      <w:tab/>
    </w:r>
    <w:r w:rsidRPr="00C03E3F">
      <w:rPr>
        <w:rFonts w:ascii="Arial" w:hAnsi="Arial" w:cs="Arial"/>
        <w:color w:val="404040" w:themeColor="text1" w:themeTint="BF"/>
        <w:sz w:val="16"/>
        <w:szCs w:val="20"/>
      </w:rPr>
      <w:fldChar w:fldCharType="begin"/>
    </w:r>
    <w:r w:rsidRPr="00C03E3F">
      <w:rPr>
        <w:rFonts w:ascii="Arial" w:hAnsi="Arial" w:cs="Arial"/>
        <w:color w:val="404040" w:themeColor="text1" w:themeTint="BF"/>
        <w:sz w:val="16"/>
        <w:szCs w:val="20"/>
      </w:rPr>
      <w:instrText xml:space="preserve"> PAGE   \* MERGEFORMAT </w:instrText>
    </w:r>
    <w:r w:rsidRPr="00C03E3F">
      <w:rPr>
        <w:rFonts w:ascii="Arial" w:hAnsi="Arial" w:cs="Arial"/>
        <w:color w:val="404040" w:themeColor="text1" w:themeTint="BF"/>
        <w:sz w:val="16"/>
        <w:szCs w:val="20"/>
      </w:rPr>
      <w:fldChar w:fldCharType="separate"/>
    </w:r>
    <w:r w:rsidR="00E457E0">
      <w:rPr>
        <w:rFonts w:ascii="Arial" w:hAnsi="Arial" w:cs="Arial"/>
        <w:noProof/>
        <w:color w:val="404040" w:themeColor="text1" w:themeTint="BF"/>
        <w:sz w:val="16"/>
        <w:szCs w:val="20"/>
      </w:rPr>
      <w:t>12</w:t>
    </w:r>
    <w:r w:rsidRPr="00C03E3F">
      <w:rPr>
        <w:rFonts w:ascii="Arial" w:hAnsi="Arial" w:cs="Arial"/>
        <w:noProof/>
        <w:color w:val="404040" w:themeColor="text1" w:themeTint="BF"/>
        <w:sz w:val="16"/>
        <w:szCs w:val="20"/>
      </w:rPr>
      <w:fldChar w:fldCharType="end"/>
    </w:r>
  </w:p>
  <w:p w14:paraId="22D33834" w14:textId="77777777" w:rsidR="0049501E" w:rsidRDefault="0049501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9CA9C" w14:textId="77777777" w:rsidR="0049501E" w:rsidRDefault="0049501E" w:rsidP="000731D3">
    <w:pPr>
      <w:pStyle w:val="Footer"/>
      <w:pBdr>
        <w:top w:val="single" w:sz="4" w:space="1" w:color="auto"/>
      </w:pBdr>
      <w:jc w:val="right"/>
      <w:rPr>
        <w:rFonts w:ascii="Arial" w:hAnsi="Arial" w:cs="Arial"/>
        <w:sz w:val="20"/>
        <w:szCs w:val="20"/>
      </w:rPr>
    </w:pPr>
  </w:p>
  <w:p w14:paraId="50DEBF21" w14:textId="744ADDE6" w:rsidR="0049501E" w:rsidRPr="004A2375" w:rsidRDefault="0049501E" w:rsidP="00E7746A">
    <w:pPr>
      <w:pStyle w:val="Footer"/>
      <w:tabs>
        <w:tab w:val="left" w:pos="1905"/>
        <w:tab w:val="right" w:pos="8498"/>
      </w:tabs>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1C0CD" w14:textId="77777777" w:rsidR="00510E1B" w:rsidRDefault="00510E1B" w:rsidP="0034134D">
      <w:r>
        <w:separator/>
      </w:r>
    </w:p>
    <w:p w14:paraId="4D3E6831" w14:textId="77777777" w:rsidR="00510E1B" w:rsidRDefault="00510E1B"/>
  </w:footnote>
  <w:footnote w:type="continuationSeparator" w:id="0">
    <w:p w14:paraId="408905C3" w14:textId="77777777" w:rsidR="00510E1B" w:rsidRDefault="00510E1B" w:rsidP="0034134D">
      <w:r>
        <w:continuationSeparator/>
      </w:r>
    </w:p>
    <w:p w14:paraId="63AED272" w14:textId="77777777" w:rsidR="00510E1B" w:rsidRDefault="00510E1B"/>
  </w:footnote>
  <w:footnote w:id="1">
    <w:p w14:paraId="4C159396" w14:textId="3F181B99" w:rsidR="0049501E" w:rsidRDefault="0049501E">
      <w:pPr>
        <w:pStyle w:val="FootnoteText"/>
      </w:pPr>
      <w:r>
        <w:rPr>
          <w:rStyle w:val="FootnoteReference"/>
        </w:rPr>
        <w:footnoteRef/>
      </w:r>
      <w:r>
        <w:t xml:space="preserve"> </w:t>
      </w:r>
      <w:r w:rsidR="00AB3F38" w:rsidRPr="002A320F">
        <w:rPr>
          <w:lang w:val="en-US"/>
        </w:rPr>
        <w:t xml:space="preserve">Explanatory </w:t>
      </w:r>
      <w:r w:rsidR="002A320F">
        <w:rPr>
          <w:lang w:val="en-US"/>
        </w:rPr>
        <w:t>Notes</w:t>
      </w:r>
      <w:r w:rsidRPr="002A320F">
        <w:rPr>
          <w:lang w:val="en-US"/>
        </w:rPr>
        <w:t xml:space="preserve">, </w:t>
      </w:r>
      <w:r w:rsidR="00F055E8" w:rsidRPr="002A320F">
        <w:rPr>
          <w:lang w:val="en-US"/>
        </w:rPr>
        <w:t>Public Health and Other Legislation (COVID-19 Management) Amendment Bill 2022</w:t>
      </w:r>
      <w:r w:rsidRPr="002A320F">
        <w:rPr>
          <w:lang w:val="en-US"/>
        </w:rPr>
        <w:t>, 1.</w:t>
      </w:r>
      <w:r>
        <w:rPr>
          <w:lang w:val="en-US"/>
        </w:rPr>
        <w:t xml:space="preserve"> </w:t>
      </w:r>
    </w:p>
  </w:footnote>
  <w:footnote w:id="2">
    <w:p w14:paraId="578B3962" w14:textId="0A2465E0" w:rsidR="00B64CAA" w:rsidRDefault="00B64CAA" w:rsidP="00B64CAA">
      <w:pPr>
        <w:pStyle w:val="FootnoteText"/>
      </w:pPr>
      <w:r>
        <w:rPr>
          <w:rStyle w:val="FootnoteReference"/>
        </w:rPr>
        <w:footnoteRef/>
      </w:r>
      <w:r>
        <w:t xml:space="preserve"> </w:t>
      </w:r>
      <w:r>
        <w:rPr>
          <w:i/>
        </w:rPr>
        <w:t xml:space="preserve">Public Health and Wellbeing Act 2008 </w:t>
      </w:r>
      <w:r>
        <w:t>(Vic)</w:t>
      </w:r>
      <w:r w:rsidR="003E1EC9">
        <w:t xml:space="preserve"> s 165BG</w:t>
      </w:r>
      <w:r>
        <w:t>.</w:t>
      </w:r>
    </w:p>
  </w:footnote>
  <w:footnote w:id="3">
    <w:p w14:paraId="13254B7B" w14:textId="7F5FE33D" w:rsidR="00B64CAA" w:rsidRDefault="00B64CAA" w:rsidP="00B64CAA">
      <w:pPr>
        <w:pStyle w:val="FootnoteText"/>
      </w:pPr>
      <w:r>
        <w:rPr>
          <w:rStyle w:val="FootnoteReference"/>
        </w:rPr>
        <w:footnoteRef/>
      </w:r>
      <w:r>
        <w:t xml:space="preserve"> </w:t>
      </w:r>
      <w:r>
        <w:rPr>
          <w:i/>
        </w:rPr>
        <w:t xml:space="preserve">Public Health and Wellbeing Act 2008 </w:t>
      </w:r>
      <w:r>
        <w:t>(Vic)</w:t>
      </w:r>
      <w:r w:rsidR="003E1EC9">
        <w:t xml:space="preserve"> s 165BI</w:t>
      </w:r>
      <w:r>
        <w:t>.</w:t>
      </w:r>
    </w:p>
  </w:footnote>
  <w:footnote w:id="4">
    <w:p w14:paraId="18CD7039" w14:textId="4D1A273B" w:rsidR="00B64CAA" w:rsidRDefault="00B64CAA" w:rsidP="00B64CAA">
      <w:pPr>
        <w:pStyle w:val="FootnoteText"/>
      </w:pPr>
      <w:r>
        <w:rPr>
          <w:rStyle w:val="FootnoteReference"/>
        </w:rPr>
        <w:footnoteRef/>
      </w:r>
      <w:r>
        <w:t xml:space="preserve"> </w:t>
      </w:r>
      <w:r>
        <w:rPr>
          <w:i/>
        </w:rPr>
        <w:t xml:space="preserve">Public Health and Wellbeing Act 2008 </w:t>
      </w:r>
      <w:r>
        <w:t>(Vic)</w:t>
      </w:r>
      <w:r w:rsidR="003E1EC9">
        <w:t xml:space="preserve"> s 165BJ</w:t>
      </w:r>
      <w:r>
        <w:t>.</w:t>
      </w:r>
    </w:p>
  </w:footnote>
  <w:footnote w:id="5">
    <w:p w14:paraId="1C56F993" w14:textId="77777777" w:rsidR="00B64CAA" w:rsidRDefault="00B64CAA" w:rsidP="00B64CAA">
      <w:pPr>
        <w:pStyle w:val="FootnoteText"/>
      </w:pPr>
      <w:r>
        <w:rPr>
          <w:rStyle w:val="FootnoteReference"/>
        </w:rPr>
        <w:footnoteRef/>
      </w:r>
      <w:r>
        <w:t xml:space="preserve"> Ibid. </w:t>
      </w:r>
    </w:p>
  </w:footnote>
  <w:footnote w:id="6">
    <w:p w14:paraId="45E01793" w14:textId="77777777" w:rsidR="00AD79D7" w:rsidRPr="00D617C6" w:rsidRDefault="00AD79D7" w:rsidP="00AD79D7">
      <w:pPr>
        <w:pStyle w:val="FootnoteText"/>
      </w:pPr>
      <w:r>
        <w:rPr>
          <w:rStyle w:val="FootnoteReference"/>
        </w:rPr>
        <w:footnoteRef/>
      </w:r>
      <w:r>
        <w:t xml:space="preserve"> </w:t>
      </w:r>
      <w:r>
        <w:rPr>
          <w:i/>
          <w:iCs/>
        </w:rPr>
        <w:t xml:space="preserve">Public Health Act 1997 </w:t>
      </w:r>
      <w:r w:rsidRPr="00C53E49">
        <w:t>(ACT)</w:t>
      </w:r>
      <w:r>
        <w:rPr>
          <w:i/>
          <w:iCs/>
        </w:rPr>
        <w:t xml:space="preserve"> </w:t>
      </w:r>
      <w:r>
        <w:t>subdivision 6C.6.5</w:t>
      </w:r>
    </w:p>
  </w:footnote>
  <w:footnote w:id="7">
    <w:p w14:paraId="6DA8D6ED" w14:textId="24A07291" w:rsidR="00024B07" w:rsidRPr="00F055E8" w:rsidRDefault="00024B07">
      <w:pPr>
        <w:pStyle w:val="FootnoteText"/>
      </w:pPr>
      <w:r w:rsidRPr="00F055E8">
        <w:rPr>
          <w:rStyle w:val="FootnoteReference"/>
        </w:rPr>
        <w:footnoteRef/>
      </w:r>
      <w:r w:rsidRPr="00F055E8">
        <w:t xml:space="preserve"> </w:t>
      </w:r>
      <w:r w:rsidR="00F055E8" w:rsidRPr="00F055E8">
        <w:t xml:space="preserve">Queensland Human Rights Commission </w:t>
      </w:r>
      <w:r w:rsidR="00F055E8" w:rsidRPr="00F055E8">
        <w:rPr>
          <w:i/>
        </w:rPr>
        <w:t>Hotel quarantine: Unresolved complaint report under section 88 Human Rights Act 2019</w:t>
      </w:r>
      <w:r w:rsidR="00F055E8" w:rsidRPr="00F055E8">
        <w:t xml:space="preserve"> (15 October 2020) &lt;https://www.qhrc.qld.gov.au/resources/legal-information/reports-on-unresolved-human-rights-complaints&gt;</w:t>
      </w:r>
    </w:p>
  </w:footnote>
  <w:footnote w:id="8">
    <w:p w14:paraId="6BD7D89D" w14:textId="2C9C4204" w:rsidR="0040426C" w:rsidRDefault="0040426C">
      <w:pPr>
        <w:pStyle w:val="FootnoteText"/>
      </w:pPr>
      <w:r w:rsidRPr="00F055E8">
        <w:rPr>
          <w:rStyle w:val="FootnoteReference"/>
        </w:rPr>
        <w:footnoteRef/>
      </w:r>
      <w:r w:rsidRPr="00F055E8">
        <w:t xml:space="preserve"> </w:t>
      </w:r>
      <w:r w:rsidR="00F055E8">
        <w:t xml:space="preserve">Statement of Compatibility, </w:t>
      </w:r>
      <w:r w:rsidR="00F055E8" w:rsidRPr="00F055E8">
        <w:t>Public Health and Other Legislation (COVID-19 Management) Amendment Bill 2022</w:t>
      </w:r>
      <w:r w:rsidR="00F055E8">
        <w:t>,</w:t>
      </w:r>
      <w:r w:rsidRPr="00F055E8">
        <w:t xml:space="preserve"> 10</w:t>
      </w:r>
      <w:r w:rsidR="00F055E8">
        <w:t>-</w:t>
      </w:r>
      <w:r w:rsidRPr="00F055E8">
        <w:t>11</w:t>
      </w:r>
      <w:r w:rsidRPr="0040426C">
        <w:t xml:space="preserve"> </w:t>
      </w:r>
    </w:p>
  </w:footnote>
  <w:footnote w:id="9">
    <w:p w14:paraId="5E657053" w14:textId="2111EF0C" w:rsidR="00660818" w:rsidRPr="00660818" w:rsidRDefault="00660818">
      <w:pPr>
        <w:pStyle w:val="FootnoteText"/>
        <w:rPr>
          <w:lang w:val="en-US"/>
        </w:rPr>
      </w:pPr>
      <w:r w:rsidRPr="00F055E8">
        <w:rPr>
          <w:rStyle w:val="FootnoteReference"/>
        </w:rPr>
        <w:footnoteRef/>
      </w:r>
      <w:r w:rsidRPr="00F055E8">
        <w:t xml:space="preserve"> </w:t>
      </w:r>
      <w:r w:rsidR="00F055E8" w:rsidRPr="00F055E8">
        <w:t xml:space="preserve">Statement of Compatibility, Public Health and Other Legislation (COVID-19 Management) Amendment Bill 2022, </w:t>
      </w:r>
      <w:r w:rsidRPr="00F055E8">
        <w:rPr>
          <w:lang w:val="en-US"/>
        </w:rPr>
        <w:t>10.</w:t>
      </w:r>
      <w:r>
        <w:rPr>
          <w:lang w:val="en-US"/>
        </w:rPr>
        <w:t xml:space="preserve"> </w:t>
      </w:r>
    </w:p>
  </w:footnote>
  <w:footnote w:id="10">
    <w:p w14:paraId="007FAECB" w14:textId="7A751E84" w:rsidR="00E07E7B" w:rsidRDefault="00E07E7B">
      <w:pPr>
        <w:pStyle w:val="FootnoteText"/>
      </w:pPr>
      <w:r w:rsidRPr="00F55E17">
        <w:rPr>
          <w:rStyle w:val="FootnoteReference"/>
        </w:rPr>
        <w:footnoteRef/>
      </w:r>
      <w:r w:rsidRPr="00F55E17">
        <w:t xml:space="preserve"> </w:t>
      </w:r>
      <w:r w:rsidR="00F55E17" w:rsidRPr="00F55E17">
        <w:t>Statement of Compatibility, Public Health and Other Legislation (COVID-19 Management) Amendment Bill 2022, 14.</w:t>
      </w:r>
    </w:p>
  </w:footnote>
  <w:footnote w:id="11">
    <w:p w14:paraId="72F33686" w14:textId="089534D4" w:rsidR="00F55E17" w:rsidRDefault="00F55E17">
      <w:pPr>
        <w:pStyle w:val="FootnoteText"/>
      </w:pPr>
      <w:r>
        <w:rPr>
          <w:rStyle w:val="FootnoteReference"/>
        </w:rPr>
        <w:footnoteRef/>
      </w:r>
      <w:r>
        <w:t xml:space="preserve"> </w:t>
      </w:r>
      <w:r w:rsidRPr="00F055E8">
        <w:t>Statement of Compatibility, Public Health and Other Legislation (COVID-19 Management) Amendment Bill 2022</w:t>
      </w:r>
      <w:r>
        <w:t xml:space="preserve">, 27. </w:t>
      </w:r>
    </w:p>
  </w:footnote>
  <w:footnote w:id="12">
    <w:p w14:paraId="45E07C7C" w14:textId="77777777" w:rsidR="004F2105" w:rsidRPr="00555D01" w:rsidRDefault="004F2105" w:rsidP="004F2105">
      <w:pPr>
        <w:pStyle w:val="FootnoteText"/>
      </w:pPr>
      <w:r>
        <w:rPr>
          <w:rStyle w:val="FootnoteReference"/>
        </w:rPr>
        <w:footnoteRef/>
      </w:r>
      <w:r>
        <w:t xml:space="preserve"> Noting this may already be required under the </w:t>
      </w:r>
      <w:r>
        <w:rPr>
          <w:i/>
          <w:iCs/>
        </w:rPr>
        <w:t xml:space="preserve">Right to Information Act 2009. </w:t>
      </w:r>
    </w:p>
  </w:footnote>
  <w:footnote w:id="13">
    <w:p w14:paraId="1CB84C8E" w14:textId="77777777" w:rsidR="00AD79D7" w:rsidRDefault="00AD79D7" w:rsidP="00AD79D7">
      <w:pPr>
        <w:pStyle w:val="FootnoteText"/>
      </w:pPr>
      <w:r>
        <w:rPr>
          <w:rStyle w:val="FootnoteReference"/>
        </w:rPr>
        <w:footnoteRef/>
      </w:r>
      <w:r>
        <w:t xml:space="preserve"> </w:t>
      </w:r>
      <w:r w:rsidRPr="005C3BD1">
        <w:t xml:space="preserve">See </w:t>
      </w:r>
      <w:r w:rsidRPr="005C3BD1">
        <w:rPr>
          <w:i/>
          <w:iCs/>
        </w:rPr>
        <w:t xml:space="preserve">Public Health and Wellbeing Act 2008 </w:t>
      </w:r>
      <w:r w:rsidRPr="005C3BD1">
        <w:t xml:space="preserve">(Vic), Part 8A. Also, </w:t>
      </w:r>
      <w:r w:rsidRPr="005C3BD1">
        <w:rPr>
          <w:i/>
          <w:iCs/>
        </w:rPr>
        <w:t xml:space="preserve">Public Health Amendment Act </w:t>
      </w:r>
      <w:r>
        <w:rPr>
          <w:i/>
          <w:iCs/>
        </w:rPr>
        <w:t>2022</w:t>
      </w:r>
      <w:r w:rsidRPr="005C3BD1">
        <w:t xml:space="preserve"> </w:t>
      </w:r>
      <w:r>
        <w:t xml:space="preserve">(ACT). </w:t>
      </w:r>
    </w:p>
  </w:footnote>
  <w:footnote w:id="14">
    <w:p w14:paraId="22EE1645" w14:textId="6EBEACBE" w:rsidR="00045327" w:rsidRDefault="00045327">
      <w:pPr>
        <w:pStyle w:val="FootnoteText"/>
      </w:pPr>
      <w:r w:rsidRPr="00F55E17">
        <w:rPr>
          <w:rStyle w:val="FootnoteReference"/>
        </w:rPr>
        <w:footnoteRef/>
      </w:r>
      <w:r w:rsidRPr="00F55E17">
        <w:t xml:space="preserve"> </w:t>
      </w:r>
      <w:r w:rsidR="00F55E17" w:rsidRPr="00F55E17">
        <w:t>Explanatory</w:t>
      </w:r>
      <w:r w:rsidR="00F55E17">
        <w:t xml:space="preserve"> Note</w:t>
      </w:r>
      <w:r w:rsidR="002A320F">
        <w:t>s</w:t>
      </w:r>
      <w:r w:rsidR="00F55E17">
        <w:t xml:space="preserve">, </w:t>
      </w:r>
      <w:r w:rsidR="00F55E17" w:rsidRPr="00F55E17">
        <w:t>Public Health and Other Legislation (COVID-19 Management) Amendment Bill 2022</w:t>
      </w:r>
      <w:r w:rsidR="00F55E17">
        <w:t xml:space="preserve">, 19. </w:t>
      </w:r>
    </w:p>
  </w:footnote>
  <w:footnote w:id="15">
    <w:p w14:paraId="2D53A794" w14:textId="1C9D8F14" w:rsidR="0049501E" w:rsidRPr="0049501E" w:rsidRDefault="0049501E">
      <w:pPr>
        <w:pStyle w:val="FootnoteText"/>
      </w:pPr>
      <w:r w:rsidRPr="00DB1E95">
        <w:rPr>
          <w:rStyle w:val="FootnoteReference"/>
        </w:rPr>
        <w:footnoteRef/>
      </w:r>
      <w:r w:rsidRPr="00DB1E95">
        <w:t xml:space="preserve"> See </w:t>
      </w:r>
      <w:r w:rsidRPr="00DB1E95">
        <w:rPr>
          <w:i/>
        </w:rPr>
        <w:t xml:space="preserve">Public Health and Wellbeing Act 2008 </w:t>
      </w:r>
      <w:r w:rsidRPr="00DB1E95">
        <w:t xml:space="preserve">(Vic) Part 8A. </w:t>
      </w:r>
      <w:r w:rsidR="00DB1E95" w:rsidRPr="00DB1E95">
        <w:t xml:space="preserve">Also, </w:t>
      </w:r>
      <w:r w:rsidR="00DB1E95" w:rsidRPr="00DB1E95">
        <w:rPr>
          <w:i/>
          <w:iCs/>
        </w:rPr>
        <w:t>Public Health Amendment Act 2022</w:t>
      </w:r>
      <w:r w:rsidR="00DB1E95" w:rsidRPr="00DB1E95">
        <w:t xml:space="preserve"> (ACT).</w:t>
      </w:r>
      <w:r w:rsidR="00DB1E95">
        <w:t xml:space="preserve"> </w:t>
      </w:r>
      <w:r>
        <w:t xml:space="preserve"> </w:t>
      </w:r>
    </w:p>
  </w:footnote>
  <w:footnote w:id="16">
    <w:p w14:paraId="45045BAC" w14:textId="63556720" w:rsidR="0049501E" w:rsidRDefault="0049501E">
      <w:pPr>
        <w:pStyle w:val="FootnoteText"/>
      </w:pPr>
      <w:r>
        <w:rPr>
          <w:rStyle w:val="FootnoteReference"/>
        </w:rPr>
        <w:footnoteRef/>
      </w:r>
      <w:r>
        <w:t xml:space="preserve"> </w:t>
      </w:r>
      <w:r>
        <w:rPr>
          <w:i/>
        </w:rPr>
        <w:t xml:space="preserve">Public Health and Wellbeing Act 2008 </w:t>
      </w:r>
      <w:r>
        <w:t>(Vic)</w:t>
      </w:r>
      <w:r w:rsidR="007875AD">
        <w:t xml:space="preserve"> s</w:t>
      </w:r>
      <w:r w:rsidR="007875AD">
        <w:t>s 165AB – 165AG</w:t>
      </w:r>
      <w:r>
        <w:t xml:space="preserve">. </w:t>
      </w:r>
    </w:p>
  </w:footnote>
  <w:footnote w:id="17">
    <w:p w14:paraId="0D4D2795" w14:textId="6FE310E2" w:rsidR="0049501E" w:rsidRDefault="0049501E">
      <w:pPr>
        <w:pStyle w:val="FootnoteText"/>
      </w:pPr>
      <w:r>
        <w:rPr>
          <w:rStyle w:val="FootnoteReference"/>
        </w:rPr>
        <w:footnoteRef/>
      </w:r>
      <w:r>
        <w:t xml:space="preserve"> Statement of Compatibility, Public Health and Wellbeing Amendment (Pandemic Management) Bill 2021 (Vic). </w:t>
      </w:r>
    </w:p>
  </w:footnote>
  <w:footnote w:id="18">
    <w:p w14:paraId="72F632C3" w14:textId="147A3735" w:rsidR="0049501E" w:rsidRDefault="0049501E">
      <w:pPr>
        <w:pStyle w:val="FootnoteText"/>
      </w:pPr>
      <w:r>
        <w:rPr>
          <w:rStyle w:val="FootnoteReference"/>
        </w:rPr>
        <w:footnoteRef/>
      </w:r>
      <w:r>
        <w:t xml:space="preserve"> </w:t>
      </w:r>
      <w:r>
        <w:rPr>
          <w:i/>
        </w:rPr>
        <w:t xml:space="preserve">Public Health and Wellbeing Act 2008 </w:t>
      </w:r>
      <w:r>
        <w:t>(Vic)</w:t>
      </w:r>
      <w:r w:rsidR="003E1EC9">
        <w:t xml:space="preserve"> s 165AI</w:t>
      </w:r>
      <w:r>
        <w:t>.</w:t>
      </w:r>
    </w:p>
  </w:footnote>
  <w:footnote w:id="19">
    <w:p w14:paraId="0611B08E" w14:textId="2FA4A13B" w:rsidR="0049501E" w:rsidRDefault="0049501E">
      <w:pPr>
        <w:pStyle w:val="FootnoteText"/>
      </w:pPr>
      <w:r>
        <w:rPr>
          <w:rStyle w:val="FootnoteReference"/>
        </w:rPr>
        <w:footnoteRef/>
      </w:r>
      <w:r>
        <w:t xml:space="preserve"> </w:t>
      </w:r>
      <w:r>
        <w:rPr>
          <w:i/>
        </w:rPr>
        <w:t xml:space="preserve">Public Health and Wellbeing Act 2008 </w:t>
      </w:r>
      <w:r>
        <w:t>(Vic)</w:t>
      </w:r>
      <w:r w:rsidR="005F158A">
        <w:t xml:space="preserve"> s 165AU</w:t>
      </w:r>
      <w:r>
        <w:t xml:space="preserve">. </w:t>
      </w:r>
    </w:p>
  </w:footnote>
  <w:footnote w:id="20">
    <w:p w14:paraId="5F29D4E7" w14:textId="5F9DF4FC" w:rsidR="0049501E" w:rsidRDefault="0049501E">
      <w:pPr>
        <w:pStyle w:val="FootnoteText"/>
      </w:pPr>
      <w:r>
        <w:rPr>
          <w:rStyle w:val="FootnoteReference"/>
        </w:rPr>
        <w:footnoteRef/>
      </w:r>
      <w:r>
        <w:t xml:space="preserve"> </w:t>
      </w:r>
      <w:r>
        <w:rPr>
          <w:i/>
        </w:rPr>
        <w:t xml:space="preserve">Public Health and Wellbeing Act 2008 </w:t>
      </w:r>
      <w:r>
        <w:t>(Vic)</w:t>
      </w:r>
      <w:r w:rsidR="005F158A">
        <w:t xml:space="preserve"> s 165AP</w:t>
      </w:r>
      <w:r>
        <w:t xml:space="preserve">. </w:t>
      </w:r>
    </w:p>
  </w:footnote>
  <w:footnote w:id="21">
    <w:p w14:paraId="7015BD90" w14:textId="070BEF40" w:rsidR="0049501E" w:rsidRDefault="0049501E">
      <w:pPr>
        <w:pStyle w:val="FootnoteText"/>
      </w:pPr>
      <w:r>
        <w:rPr>
          <w:rStyle w:val="FootnoteReference"/>
        </w:rPr>
        <w:footnoteRef/>
      </w:r>
      <w:r>
        <w:t xml:space="preserve"> </w:t>
      </w:r>
      <w:r w:rsidRPr="001E1FCE">
        <w:t xml:space="preserve">See </w:t>
      </w:r>
      <w:r w:rsidR="001E1FCE">
        <w:t xml:space="preserve">Department of Health (Victoria), </w:t>
      </w:r>
      <w:r w:rsidR="001E1FCE" w:rsidRPr="001E1FCE">
        <w:rPr>
          <w:i/>
        </w:rPr>
        <w:t>Pandemic Order Register</w:t>
      </w:r>
      <w:r w:rsidR="001E1FCE">
        <w:t xml:space="preserve"> (Web Page)</w:t>
      </w:r>
      <w:r>
        <w:t xml:space="preserve"> </w:t>
      </w:r>
      <w:r w:rsidR="001E1FCE">
        <w:t>&lt;</w:t>
      </w:r>
      <w:hyperlink r:id="rId1" w:history="1">
        <w:r w:rsidR="001E1FCE" w:rsidRPr="00AF687D">
          <w:rPr>
            <w:rStyle w:val="Hyperlink"/>
          </w:rPr>
          <w:t>https://www.health.vic.gov.au/covid-19/pandemic-order-register</w:t>
        </w:r>
      </w:hyperlink>
      <w:r w:rsidR="001E1FCE">
        <w:t xml:space="preserve">&gt; </w:t>
      </w:r>
    </w:p>
  </w:footnote>
  <w:footnote w:id="22">
    <w:p w14:paraId="4172AD79" w14:textId="40FC56EB" w:rsidR="00495CF4" w:rsidRDefault="00495CF4">
      <w:pPr>
        <w:pStyle w:val="FootnoteText"/>
      </w:pPr>
      <w:r>
        <w:rPr>
          <w:rStyle w:val="FootnoteReference"/>
        </w:rPr>
        <w:footnoteRef/>
      </w:r>
      <w:r>
        <w:t xml:space="preserve"> </w:t>
      </w:r>
      <w:r>
        <w:rPr>
          <w:i/>
        </w:rPr>
        <w:t xml:space="preserve">Public Health and Wellbeing Act 2008 </w:t>
      </w:r>
      <w:r>
        <w:t>(Vic)</w:t>
      </w:r>
      <w:r w:rsidR="005F158A">
        <w:t xml:space="preserve"> s 165BG</w:t>
      </w:r>
      <w:r>
        <w:t>.</w:t>
      </w:r>
    </w:p>
  </w:footnote>
  <w:footnote w:id="23">
    <w:p w14:paraId="709812AE" w14:textId="1896C7E9" w:rsidR="0049501E" w:rsidRDefault="0049501E">
      <w:pPr>
        <w:pStyle w:val="FootnoteText"/>
      </w:pPr>
      <w:r>
        <w:rPr>
          <w:rStyle w:val="FootnoteReference"/>
        </w:rPr>
        <w:footnoteRef/>
      </w:r>
      <w:r>
        <w:t xml:space="preserve"> </w:t>
      </w:r>
      <w:r w:rsidR="00E109D5">
        <w:rPr>
          <w:i/>
        </w:rPr>
        <w:t xml:space="preserve">Public Health and Wellbeing Act 2008 </w:t>
      </w:r>
      <w:r w:rsidR="00E109D5">
        <w:t>(Vic)</w:t>
      </w:r>
      <w:r w:rsidR="005F158A">
        <w:t xml:space="preserve"> s 165BI</w:t>
      </w:r>
      <w:r w:rsidR="00E109D5">
        <w:t>.</w:t>
      </w:r>
    </w:p>
  </w:footnote>
  <w:footnote w:id="24">
    <w:p w14:paraId="10669A5B" w14:textId="32332D9C" w:rsidR="00384444" w:rsidRDefault="00384444">
      <w:pPr>
        <w:pStyle w:val="FootnoteText"/>
      </w:pPr>
      <w:r>
        <w:rPr>
          <w:rStyle w:val="FootnoteReference"/>
        </w:rPr>
        <w:footnoteRef/>
      </w:r>
      <w:r>
        <w:t xml:space="preserve"> </w:t>
      </w:r>
      <w:r>
        <w:rPr>
          <w:i/>
        </w:rPr>
        <w:t xml:space="preserve">Public Health and Wellbeing Act 2008 </w:t>
      </w:r>
      <w:r>
        <w:t>(Vic)</w:t>
      </w:r>
      <w:r w:rsidR="005F158A">
        <w:t xml:space="preserve"> s 165BJ</w:t>
      </w:r>
      <w:r>
        <w:t>.</w:t>
      </w:r>
    </w:p>
  </w:footnote>
  <w:footnote w:id="25">
    <w:p w14:paraId="5BE98412" w14:textId="2F2E51AC" w:rsidR="0049501E" w:rsidRDefault="0049501E">
      <w:pPr>
        <w:pStyle w:val="FootnoteText"/>
      </w:pPr>
      <w:r>
        <w:rPr>
          <w:rStyle w:val="FootnoteReference"/>
        </w:rPr>
        <w:footnoteRef/>
      </w:r>
      <w:r>
        <w:t xml:space="preserve"> </w:t>
      </w:r>
      <w:r w:rsidR="00384444">
        <w:t xml:space="preserve">Ibid.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81FDF"/>
    <w:multiLevelType w:val="hybridMultilevel"/>
    <w:tmpl w:val="ED185CA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4560980"/>
    <w:multiLevelType w:val="hybridMultilevel"/>
    <w:tmpl w:val="EB4E9434"/>
    <w:lvl w:ilvl="0" w:tplc="58182B38">
      <w:start w:val="5"/>
      <w:numFmt w:val="bullet"/>
      <w:lvlText w:val=""/>
      <w:lvlJc w:val="left"/>
      <w:pPr>
        <w:ind w:left="720" w:hanging="360"/>
      </w:pPr>
      <w:rPr>
        <w:rFonts w:ascii="Symbol" w:eastAsia="Times New Roman" w:hAnsi="Symbol" w:cs="Segoe U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8D6E33"/>
    <w:multiLevelType w:val="multilevel"/>
    <w:tmpl w:val="30AEE7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7B428D6"/>
    <w:multiLevelType w:val="hybridMultilevel"/>
    <w:tmpl w:val="FA0C5A22"/>
    <w:lvl w:ilvl="0" w:tplc="F9B65CB4">
      <w:start w:val="1"/>
      <w:numFmt w:val="lowerLetter"/>
      <w:lvlText w:val="(%1)"/>
      <w:lvlJc w:val="lef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07C11693"/>
    <w:multiLevelType w:val="hybridMultilevel"/>
    <w:tmpl w:val="E26CD6AE"/>
    <w:lvl w:ilvl="0" w:tplc="F59C0C1C">
      <w:numFmt w:val="bullet"/>
      <w:lvlText w:val=""/>
      <w:lvlJc w:val="left"/>
      <w:pPr>
        <w:ind w:left="363" w:hanging="360"/>
      </w:pPr>
      <w:rPr>
        <w:rFonts w:ascii="Symbol" w:eastAsia="Times New Roman" w:hAnsi="Symbol" w:cs="Arial" w:hint="default"/>
      </w:rPr>
    </w:lvl>
    <w:lvl w:ilvl="1" w:tplc="0C090003" w:tentative="1">
      <w:start w:val="1"/>
      <w:numFmt w:val="bullet"/>
      <w:lvlText w:val="o"/>
      <w:lvlJc w:val="left"/>
      <w:pPr>
        <w:ind w:left="1083" w:hanging="360"/>
      </w:pPr>
      <w:rPr>
        <w:rFonts w:ascii="Courier New" w:hAnsi="Courier New" w:cs="Courier New" w:hint="default"/>
      </w:rPr>
    </w:lvl>
    <w:lvl w:ilvl="2" w:tplc="0C090005" w:tentative="1">
      <w:start w:val="1"/>
      <w:numFmt w:val="bullet"/>
      <w:lvlText w:val=""/>
      <w:lvlJc w:val="left"/>
      <w:pPr>
        <w:ind w:left="1803" w:hanging="360"/>
      </w:pPr>
      <w:rPr>
        <w:rFonts w:ascii="Wingdings" w:hAnsi="Wingdings" w:hint="default"/>
      </w:rPr>
    </w:lvl>
    <w:lvl w:ilvl="3" w:tplc="0C090001" w:tentative="1">
      <w:start w:val="1"/>
      <w:numFmt w:val="bullet"/>
      <w:lvlText w:val=""/>
      <w:lvlJc w:val="left"/>
      <w:pPr>
        <w:ind w:left="2523" w:hanging="360"/>
      </w:pPr>
      <w:rPr>
        <w:rFonts w:ascii="Symbol" w:hAnsi="Symbol" w:hint="default"/>
      </w:rPr>
    </w:lvl>
    <w:lvl w:ilvl="4" w:tplc="0C090003" w:tentative="1">
      <w:start w:val="1"/>
      <w:numFmt w:val="bullet"/>
      <w:lvlText w:val="o"/>
      <w:lvlJc w:val="left"/>
      <w:pPr>
        <w:ind w:left="3243" w:hanging="360"/>
      </w:pPr>
      <w:rPr>
        <w:rFonts w:ascii="Courier New" w:hAnsi="Courier New" w:cs="Courier New" w:hint="default"/>
      </w:rPr>
    </w:lvl>
    <w:lvl w:ilvl="5" w:tplc="0C090005" w:tentative="1">
      <w:start w:val="1"/>
      <w:numFmt w:val="bullet"/>
      <w:lvlText w:val=""/>
      <w:lvlJc w:val="left"/>
      <w:pPr>
        <w:ind w:left="3963" w:hanging="360"/>
      </w:pPr>
      <w:rPr>
        <w:rFonts w:ascii="Wingdings" w:hAnsi="Wingdings" w:hint="default"/>
      </w:rPr>
    </w:lvl>
    <w:lvl w:ilvl="6" w:tplc="0C090001" w:tentative="1">
      <w:start w:val="1"/>
      <w:numFmt w:val="bullet"/>
      <w:lvlText w:val=""/>
      <w:lvlJc w:val="left"/>
      <w:pPr>
        <w:ind w:left="4683" w:hanging="360"/>
      </w:pPr>
      <w:rPr>
        <w:rFonts w:ascii="Symbol" w:hAnsi="Symbol" w:hint="default"/>
      </w:rPr>
    </w:lvl>
    <w:lvl w:ilvl="7" w:tplc="0C090003" w:tentative="1">
      <w:start w:val="1"/>
      <w:numFmt w:val="bullet"/>
      <w:lvlText w:val="o"/>
      <w:lvlJc w:val="left"/>
      <w:pPr>
        <w:ind w:left="5403" w:hanging="360"/>
      </w:pPr>
      <w:rPr>
        <w:rFonts w:ascii="Courier New" w:hAnsi="Courier New" w:cs="Courier New" w:hint="default"/>
      </w:rPr>
    </w:lvl>
    <w:lvl w:ilvl="8" w:tplc="0C090005" w:tentative="1">
      <w:start w:val="1"/>
      <w:numFmt w:val="bullet"/>
      <w:lvlText w:val=""/>
      <w:lvlJc w:val="left"/>
      <w:pPr>
        <w:ind w:left="6123" w:hanging="360"/>
      </w:pPr>
      <w:rPr>
        <w:rFonts w:ascii="Wingdings" w:hAnsi="Wingdings" w:hint="default"/>
      </w:rPr>
    </w:lvl>
  </w:abstractNum>
  <w:abstractNum w:abstractNumId="5" w15:restartNumberingAfterBreak="0">
    <w:nsid w:val="0E17487A"/>
    <w:multiLevelType w:val="hybridMultilevel"/>
    <w:tmpl w:val="479CAA1C"/>
    <w:lvl w:ilvl="0" w:tplc="0C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0E2C6230"/>
    <w:multiLevelType w:val="hybridMultilevel"/>
    <w:tmpl w:val="E60E4294"/>
    <w:lvl w:ilvl="0" w:tplc="2D92953E">
      <w:numFmt w:val="bullet"/>
      <w:lvlText w:val=""/>
      <w:lvlJc w:val="left"/>
      <w:pPr>
        <w:ind w:left="720" w:hanging="360"/>
      </w:pPr>
      <w:rPr>
        <w:rFonts w:ascii="Symbol" w:eastAsiaTheme="minorEastAsia"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0250E7E"/>
    <w:multiLevelType w:val="multilevel"/>
    <w:tmpl w:val="15B64670"/>
    <w:lvl w:ilvl="0">
      <w:start w:val="1"/>
      <w:numFmt w:val="decimal"/>
      <w:pStyle w:val="Numberedparagraph"/>
      <w:lvlText w:val="%1."/>
      <w:lvlJc w:val="left"/>
      <w:pPr>
        <w:ind w:left="3545" w:hanging="567"/>
      </w:pPr>
      <w:rPr>
        <w:rFonts w:hint="default"/>
        <w:i w:val="0"/>
      </w:rPr>
    </w:lvl>
    <w:lvl w:ilvl="1">
      <w:start w:val="1"/>
      <w:numFmt w:val="lowerLetter"/>
      <w:lvlText w:val="%2."/>
      <w:lvlJc w:val="left"/>
      <w:pPr>
        <w:ind w:left="907" w:hanging="283"/>
      </w:pPr>
      <w:rPr>
        <w:rFonts w:hint="default"/>
        <w:b w:val="0"/>
        <w:i w:val="0"/>
        <w:sz w:val="24"/>
      </w:rPr>
    </w:lvl>
    <w:lvl w:ilvl="2">
      <w:start w:val="1"/>
      <w:numFmt w:val="lowerRoman"/>
      <w:lvlText w:val="%3."/>
      <w:lvlJc w:val="right"/>
      <w:pPr>
        <w:ind w:left="1247" w:hanging="113"/>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8" w15:restartNumberingAfterBreak="0">
    <w:nsid w:val="1BB225F6"/>
    <w:multiLevelType w:val="hybridMultilevel"/>
    <w:tmpl w:val="6D7218F6"/>
    <w:lvl w:ilvl="0" w:tplc="0C090001">
      <w:numFmt w:val="bullet"/>
      <w:lvlText w:val=""/>
      <w:lvlJc w:val="left"/>
      <w:pPr>
        <w:ind w:left="360" w:hanging="360"/>
      </w:pPr>
      <w:rPr>
        <w:rFonts w:ascii="Symbol" w:eastAsia="Times New Roman" w:hAnsi="Symbol" w:cs="Times New Roman"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B8A1226"/>
    <w:multiLevelType w:val="hybridMultilevel"/>
    <w:tmpl w:val="8D7EA74C"/>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DF2624F"/>
    <w:multiLevelType w:val="multilevel"/>
    <w:tmpl w:val="4918A2D8"/>
    <w:lvl w:ilvl="0">
      <w:start w:val="1"/>
      <w:numFmt w:val="decimal"/>
      <w:lvlText w:val="%1."/>
      <w:lvlJc w:val="left"/>
      <w:pPr>
        <w:ind w:left="357" w:hanging="357"/>
      </w:pPr>
      <w:rPr>
        <w:rFonts w:hint="default"/>
      </w:rPr>
    </w:lvl>
    <w:lvl w:ilvl="1">
      <w:start w:val="1"/>
      <w:numFmt w:val="lowerLetter"/>
      <w:lvlText w:val="(%2)"/>
      <w:lvlJc w:val="left"/>
      <w:pPr>
        <w:ind w:left="714" w:hanging="357"/>
      </w:pPr>
      <w:rPr>
        <w:rFonts w:ascii="Arial" w:hAnsi="Arial" w:hint="default"/>
        <w:b w:val="0"/>
        <w:i w:val="0"/>
        <w:sz w:val="24"/>
      </w:rPr>
    </w:lvl>
    <w:lvl w:ilvl="2">
      <w:start w:val="1"/>
      <w:numFmt w:val="lowerRoman"/>
      <w:lvlText w:val="(%3)"/>
      <w:lvlJc w:val="left"/>
      <w:pPr>
        <w:ind w:left="1134" w:hanging="420"/>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11" w15:restartNumberingAfterBreak="0">
    <w:nsid w:val="2ECB6D30"/>
    <w:multiLevelType w:val="hybridMultilevel"/>
    <w:tmpl w:val="C3820A92"/>
    <w:lvl w:ilvl="0" w:tplc="B546C43C">
      <w:numFmt w:val="bullet"/>
      <w:lvlText w:val=""/>
      <w:lvlJc w:val="left"/>
      <w:pPr>
        <w:ind w:left="720" w:hanging="360"/>
      </w:pPr>
      <w:rPr>
        <w:rFonts w:ascii="Symbol" w:eastAsia="Calibri" w:hAnsi="Symbol" w:cs="Aria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3C7044F7"/>
    <w:multiLevelType w:val="multilevel"/>
    <w:tmpl w:val="0AA6C450"/>
    <w:lvl w:ilvl="0">
      <w:start w:val="1"/>
      <w:numFmt w:val="decimal"/>
      <w:lvlText w:val="%1."/>
      <w:lvlJc w:val="left"/>
      <w:pPr>
        <w:ind w:left="567" w:hanging="567"/>
      </w:pPr>
      <w:rPr>
        <w:rFonts w:hint="default"/>
      </w:rPr>
    </w:lvl>
    <w:lvl w:ilvl="1">
      <w:start w:val="1"/>
      <w:numFmt w:val="bullet"/>
      <w:lvlText w:val=""/>
      <w:lvlJc w:val="left"/>
      <w:pPr>
        <w:ind w:left="907" w:hanging="283"/>
      </w:pPr>
      <w:rPr>
        <w:rFonts w:ascii="Symbol" w:hAnsi="Symbol" w:hint="default"/>
        <w:b w:val="0"/>
        <w:i w:val="0"/>
        <w:sz w:val="24"/>
      </w:rPr>
    </w:lvl>
    <w:lvl w:ilvl="2">
      <w:start w:val="1"/>
      <w:numFmt w:val="lowerRoman"/>
      <w:lvlText w:val="%3."/>
      <w:lvlJc w:val="right"/>
      <w:pPr>
        <w:ind w:left="1247" w:hanging="113"/>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13" w15:restartNumberingAfterBreak="0">
    <w:nsid w:val="3F8C2199"/>
    <w:multiLevelType w:val="hybridMultilevel"/>
    <w:tmpl w:val="430214A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0BE03D4"/>
    <w:multiLevelType w:val="hybridMultilevel"/>
    <w:tmpl w:val="3822D8B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5" w15:restartNumberingAfterBreak="0">
    <w:nsid w:val="439A3CA2"/>
    <w:multiLevelType w:val="hybridMultilevel"/>
    <w:tmpl w:val="D66A2E66"/>
    <w:lvl w:ilvl="0" w:tplc="54ACD0C2">
      <w:numFmt w:val="bullet"/>
      <w:lvlText w:val=""/>
      <w:lvlJc w:val="left"/>
      <w:pPr>
        <w:ind w:left="720" w:hanging="360"/>
      </w:pPr>
      <w:rPr>
        <w:rFonts w:ascii="Symbol" w:eastAsia="Calibri" w:hAnsi="Symbol" w:cs="Times New Roman" w:hint="default"/>
        <w:sz w:val="22"/>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43A26D88"/>
    <w:multiLevelType w:val="hybridMultilevel"/>
    <w:tmpl w:val="B5A2A552"/>
    <w:lvl w:ilvl="0" w:tplc="49C8EC88">
      <w:start w:val="2018"/>
      <w:numFmt w:val="bullet"/>
      <w:lvlText w:val=""/>
      <w:lvlJc w:val="left"/>
      <w:pPr>
        <w:ind w:left="720" w:hanging="360"/>
      </w:pPr>
      <w:rPr>
        <w:rFonts w:ascii="Symbol" w:eastAsiaTheme="minorHAnsi"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7D04995"/>
    <w:multiLevelType w:val="hybridMultilevel"/>
    <w:tmpl w:val="34308C7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487F77D8"/>
    <w:multiLevelType w:val="multilevel"/>
    <w:tmpl w:val="88BE498E"/>
    <w:lvl w:ilvl="0">
      <w:start w:val="1"/>
      <w:numFmt w:val="bullet"/>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BFF2EB4"/>
    <w:multiLevelType w:val="hybridMultilevel"/>
    <w:tmpl w:val="CEA4242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DB14587"/>
    <w:multiLevelType w:val="hybridMultilevel"/>
    <w:tmpl w:val="949A464C"/>
    <w:lvl w:ilvl="0" w:tplc="40928A58">
      <w:start w:val="1"/>
      <w:numFmt w:val="decimal"/>
      <w:lvlText w:val="%1."/>
      <w:lvlJc w:val="left"/>
      <w:pPr>
        <w:ind w:left="1077" w:hanging="360"/>
      </w:pPr>
    </w:lvl>
    <w:lvl w:ilvl="1" w:tplc="7098FF66">
      <w:start w:val="1"/>
      <w:numFmt w:val="lowerLetter"/>
      <w:lvlText w:val="(%2)"/>
      <w:lvlJc w:val="left"/>
      <w:pPr>
        <w:ind w:left="1797" w:hanging="360"/>
      </w:pPr>
      <w:rPr>
        <w:rFonts w:ascii="Arial" w:hAnsi="Arial" w:hint="default"/>
        <w:b w:val="0"/>
        <w:i w:val="0"/>
        <w:sz w:val="24"/>
      </w:rPr>
    </w:lvl>
    <w:lvl w:ilvl="2" w:tplc="B908F1CC">
      <w:start w:val="1"/>
      <w:numFmt w:val="lowerRoman"/>
      <w:lvlText w:val="(%3)"/>
      <w:lvlJc w:val="right"/>
      <w:pPr>
        <w:ind w:left="2517" w:hanging="180"/>
      </w:pPr>
      <w:rPr>
        <w:rFonts w:hint="default"/>
      </w:r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1" w15:restartNumberingAfterBreak="0">
    <w:nsid w:val="4E5F5D97"/>
    <w:multiLevelType w:val="hybridMultilevel"/>
    <w:tmpl w:val="8030149C"/>
    <w:lvl w:ilvl="0" w:tplc="5F944412">
      <w:start w:val="1"/>
      <w:numFmt w:val="bullet"/>
      <w:lvlText w:val=""/>
      <w:lvlJc w:val="left"/>
      <w:pPr>
        <w:ind w:left="1440" w:hanging="360"/>
      </w:pPr>
      <w:rPr>
        <w:rFonts w:ascii="Wingdings" w:hAnsi="Wingdings" w:hint="default"/>
        <w:sz w:val="20"/>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15:restartNumberingAfterBreak="0">
    <w:nsid w:val="4FB80E0A"/>
    <w:multiLevelType w:val="hybridMultilevel"/>
    <w:tmpl w:val="6518AFD2"/>
    <w:lvl w:ilvl="0" w:tplc="59FC7D9C">
      <w:start w:val="1"/>
      <w:numFmt w:val="lowerLetter"/>
      <w:lvlText w:val="(%1)"/>
      <w:lvlJc w:val="left"/>
      <w:pPr>
        <w:ind w:left="1636" w:hanging="360"/>
      </w:pPr>
      <w:rPr>
        <w:rFonts w:hint="default"/>
      </w:rPr>
    </w:lvl>
    <w:lvl w:ilvl="1" w:tplc="0C090019" w:tentative="1">
      <w:start w:val="1"/>
      <w:numFmt w:val="lowerLetter"/>
      <w:lvlText w:val="%2."/>
      <w:lvlJc w:val="left"/>
      <w:pPr>
        <w:ind w:left="2356" w:hanging="360"/>
      </w:pPr>
    </w:lvl>
    <w:lvl w:ilvl="2" w:tplc="0C09001B" w:tentative="1">
      <w:start w:val="1"/>
      <w:numFmt w:val="lowerRoman"/>
      <w:lvlText w:val="%3."/>
      <w:lvlJc w:val="right"/>
      <w:pPr>
        <w:ind w:left="3076" w:hanging="180"/>
      </w:pPr>
    </w:lvl>
    <w:lvl w:ilvl="3" w:tplc="0C09000F" w:tentative="1">
      <w:start w:val="1"/>
      <w:numFmt w:val="decimal"/>
      <w:lvlText w:val="%4."/>
      <w:lvlJc w:val="left"/>
      <w:pPr>
        <w:ind w:left="3796" w:hanging="360"/>
      </w:pPr>
    </w:lvl>
    <w:lvl w:ilvl="4" w:tplc="0C090019" w:tentative="1">
      <w:start w:val="1"/>
      <w:numFmt w:val="lowerLetter"/>
      <w:lvlText w:val="%5."/>
      <w:lvlJc w:val="left"/>
      <w:pPr>
        <w:ind w:left="4516" w:hanging="360"/>
      </w:pPr>
    </w:lvl>
    <w:lvl w:ilvl="5" w:tplc="0C09001B" w:tentative="1">
      <w:start w:val="1"/>
      <w:numFmt w:val="lowerRoman"/>
      <w:lvlText w:val="%6."/>
      <w:lvlJc w:val="right"/>
      <w:pPr>
        <w:ind w:left="5236" w:hanging="180"/>
      </w:pPr>
    </w:lvl>
    <w:lvl w:ilvl="6" w:tplc="0C09000F" w:tentative="1">
      <w:start w:val="1"/>
      <w:numFmt w:val="decimal"/>
      <w:lvlText w:val="%7."/>
      <w:lvlJc w:val="left"/>
      <w:pPr>
        <w:ind w:left="5956" w:hanging="360"/>
      </w:pPr>
    </w:lvl>
    <w:lvl w:ilvl="7" w:tplc="0C090019" w:tentative="1">
      <w:start w:val="1"/>
      <w:numFmt w:val="lowerLetter"/>
      <w:lvlText w:val="%8."/>
      <w:lvlJc w:val="left"/>
      <w:pPr>
        <w:ind w:left="6676" w:hanging="360"/>
      </w:pPr>
    </w:lvl>
    <w:lvl w:ilvl="8" w:tplc="0C09001B" w:tentative="1">
      <w:start w:val="1"/>
      <w:numFmt w:val="lowerRoman"/>
      <w:lvlText w:val="%9."/>
      <w:lvlJc w:val="right"/>
      <w:pPr>
        <w:ind w:left="7396" w:hanging="180"/>
      </w:pPr>
    </w:lvl>
  </w:abstractNum>
  <w:abstractNum w:abstractNumId="23" w15:restartNumberingAfterBreak="0">
    <w:nsid w:val="50657E41"/>
    <w:multiLevelType w:val="multilevel"/>
    <w:tmpl w:val="30AEE7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123007F"/>
    <w:multiLevelType w:val="hybridMultilevel"/>
    <w:tmpl w:val="14D6DAC8"/>
    <w:lvl w:ilvl="0" w:tplc="4B06A20C">
      <w:numFmt w:val="bullet"/>
      <w:lvlText w:val=""/>
      <w:lvlJc w:val="left"/>
      <w:pPr>
        <w:ind w:left="360" w:hanging="360"/>
      </w:pPr>
      <w:rPr>
        <w:rFonts w:ascii="Symbol" w:eastAsia="Calibri" w:hAnsi="Symbo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52967D44"/>
    <w:multiLevelType w:val="hybridMultilevel"/>
    <w:tmpl w:val="F11C3F3A"/>
    <w:lvl w:ilvl="0" w:tplc="0C090019">
      <w:start w:val="1"/>
      <w:numFmt w:val="lowerLetter"/>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63441C1"/>
    <w:multiLevelType w:val="hybridMultilevel"/>
    <w:tmpl w:val="AA46C156"/>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A4D170F"/>
    <w:multiLevelType w:val="multilevel"/>
    <w:tmpl w:val="B96AAC2A"/>
    <w:lvl w:ilvl="0">
      <w:start w:val="1"/>
      <w:numFmt w:val="lowerLetter"/>
      <w:lvlText w:val="%1."/>
      <w:lvlJc w:val="left"/>
      <w:pPr>
        <w:ind w:left="3545" w:hanging="567"/>
      </w:pPr>
      <w:rPr>
        <w:rFonts w:hint="default"/>
      </w:rPr>
    </w:lvl>
    <w:lvl w:ilvl="1">
      <w:start w:val="1"/>
      <w:numFmt w:val="lowerLetter"/>
      <w:lvlText w:val="%2."/>
      <w:lvlJc w:val="left"/>
      <w:pPr>
        <w:ind w:left="907" w:hanging="283"/>
      </w:pPr>
      <w:rPr>
        <w:rFonts w:hint="default"/>
        <w:b w:val="0"/>
        <w:i w:val="0"/>
        <w:sz w:val="24"/>
      </w:rPr>
    </w:lvl>
    <w:lvl w:ilvl="2">
      <w:start w:val="1"/>
      <w:numFmt w:val="lowerRoman"/>
      <w:lvlText w:val="%3."/>
      <w:lvlJc w:val="right"/>
      <w:pPr>
        <w:ind w:left="1247" w:hanging="113"/>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28" w15:restartNumberingAfterBreak="0">
    <w:nsid w:val="5FB45720"/>
    <w:multiLevelType w:val="multilevel"/>
    <w:tmpl w:val="45706DBA"/>
    <w:lvl w:ilvl="0">
      <w:start w:val="1"/>
      <w:numFmt w:val="decimal"/>
      <w:lvlText w:val="%1."/>
      <w:lvlJc w:val="left"/>
      <w:pPr>
        <w:ind w:left="567" w:hanging="567"/>
      </w:pPr>
      <w:rPr>
        <w:rFonts w:hint="default"/>
      </w:rPr>
    </w:lvl>
    <w:lvl w:ilvl="1">
      <w:start w:val="1"/>
      <w:numFmt w:val="decimal"/>
      <w:lvlText w:val="%2."/>
      <w:lvlJc w:val="left"/>
      <w:pPr>
        <w:ind w:left="907" w:hanging="283"/>
      </w:pPr>
      <w:rPr>
        <w:rFonts w:hint="default"/>
        <w:b w:val="0"/>
        <w:i w:val="0"/>
        <w:sz w:val="24"/>
      </w:rPr>
    </w:lvl>
    <w:lvl w:ilvl="2">
      <w:start w:val="1"/>
      <w:numFmt w:val="lowerRoman"/>
      <w:lvlText w:val="%3."/>
      <w:lvlJc w:val="right"/>
      <w:pPr>
        <w:ind w:left="1247" w:hanging="113"/>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29" w15:restartNumberingAfterBreak="0">
    <w:nsid w:val="62AE01D7"/>
    <w:multiLevelType w:val="hybridMultilevel"/>
    <w:tmpl w:val="88BE498E"/>
    <w:lvl w:ilvl="0" w:tplc="7CC885D6">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8E4DE9"/>
    <w:multiLevelType w:val="multilevel"/>
    <w:tmpl w:val="30AEE7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65D5C79"/>
    <w:multiLevelType w:val="hybridMultilevel"/>
    <w:tmpl w:val="14A6805C"/>
    <w:lvl w:ilvl="0" w:tplc="7DCC6138">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2" w15:restartNumberingAfterBreak="0">
    <w:nsid w:val="680E217B"/>
    <w:multiLevelType w:val="multilevel"/>
    <w:tmpl w:val="1A42BABA"/>
    <w:lvl w:ilvl="0">
      <w:start w:val="1"/>
      <w:numFmt w:val="bullet"/>
      <w:pStyle w:val="Bulletedlist"/>
      <w:lvlText w:val=""/>
      <w:lvlJc w:val="left"/>
      <w:pPr>
        <w:ind w:left="1287" w:hanging="567"/>
      </w:pPr>
      <w:rPr>
        <w:rFonts w:ascii="Symbol" w:hAnsi="Symbol" w:hint="default"/>
      </w:rPr>
    </w:lvl>
    <w:lvl w:ilvl="1">
      <w:start w:val="1"/>
      <w:numFmt w:val="bullet"/>
      <w:lvlText w:val=""/>
      <w:lvlJc w:val="left"/>
      <w:pPr>
        <w:ind w:left="1627" w:hanging="283"/>
      </w:pPr>
      <w:rPr>
        <w:rFonts w:ascii="Symbol" w:hAnsi="Symbol" w:hint="default"/>
        <w:b w:val="0"/>
        <w:i w:val="0"/>
        <w:sz w:val="24"/>
      </w:rPr>
    </w:lvl>
    <w:lvl w:ilvl="2">
      <w:start w:val="1"/>
      <w:numFmt w:val="lowerRoman"/>
      <w:lvlText w:val="%3."/>
      <w:lvlJc w:val="right"/>
      <w:pPr>
        <w:ind w:left="1967" w:hanging="113"/>
      </w:pPr>
      <w:rPr>
        <w:rFonts w:hint="default"/>
      </w:rPr>
    </w:lvl>
    <w:lvl w:ilvl="3">
      <w:start w:val="1"/>
      <w:numFmt w:val="decimal"/>
      <w:lvlText w:val="%4."/>
      <w:lvlJc w:val="left"/>
      <w:pPr>
        <w:ind w:left="2148" w:hanging="357"/>
      </w:pPr>
      <w:rPr>
        <w:rFonts w:hint="default"/>
      </w:rPr>
    </w:lvl>
    <w:lvl w:ilvl="4">
      <w:start w:val="1"/>
      <w:numFmt w:val="lowerLetter"/>
      <w:lvlText w:val="%5."/>
      <w:lvlJc w:val="left"/>
      <w:pPr>
        <w:ind w:left="2505" w:hanging="357"/>
      </w:pPr>
      <w:rPr>
        <w:rFonts w:hint="default"/>
      </w:rPr>
    </w:lvl>
    <w:lvl w:ilvl="5">
      <w:start w:val="1"/>
      <w:numFmt w:val="lowerRoman"/>
      <w:lvlText w:val="%6."/>
      <w:lvlJc w:val="right"/>
      <w:pPr>
        <w:ind w:left="2862" w:hanging="357"/>
      </w:pPr>
      <w:rPr>
        <w:rFonts w:hint="default"/>
      </w:rPr>
    </w:lvl>
    <w:lvl w:ilvl="6">
      <w:start w:val="1"/>
      <w:numFmt w:val="decimal"/>
      <w:lvlText w:val="%7."/>
      <w:lvlJc w:val="left"/>
      <w:pPr>
        <w:ind w:left="3219" w:hanging="357"/>
      </w:pPr>
      <w:rPr>
        <w:rFonts w:hint="default"/>
      </w:rPr>
    </w:lvl>
    <w:lvl w:ilvl="7">
      <w:start w:val="1"/>
      <w:numFmt w:val="lowerLetter"/>
      <w:lvlText w:val="%8."/>
      <w:lvlJc w:val="left"/>
      <w:pPr>
        <w:ind w:left="3576" w:hanging="357"/>
      </w:pPr>
      <w:rPr>
        <w:rFonts w:hint="default"/>
      </w:rPr>
    </w:lvl>
    <w:lvl w:ilvl="8">
      <w:start w:val="1"/>
      <w:numFmt w:val="lowerRoman"/>
      <w:lvlText w:val="%9."/>
      <w:lvlJc w:val="right"/>
      <w:pPr>
        <w:ind w:left="3933" w:hanging="357"/>
      </w:pPr>
      <w:rPr>
        <w:rFonts w:hint="default"/>
      </w:rPr>
    </w:lvl>
  </w:abstractNum>
  <w:abstractNum w:abstractNumId="33" w15:restartNumberingAfterBreak="0">
    <w:nsid w:val="69CE60EA"/>
    <w:multiLevelType w:val="hybridMultilevel"/>
    <w:tmpl w:val="7E7E1C18"/>
    <w:lvl w:ilvl="0" w:tplc="FA3A4DC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ABC7826"/>
    <w:multiLevelType w:val="hybridMultilevel"/>
    <w:tmpl w:val="A86E13A4"/>
    <w:lvl w:ilvl="0" w:tplc="E94248AE">
      <w:start w:val="1"/>
      <w:numFmt w:val="decimal"/>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35" w15:restartNumberingAfterBreak="0">
    <w:nsid w:val="71E6651A"/>
    <w:multiLevelType w:val="hybridMultilevel"/>
    <w:tmpl w:val="EA3CBD2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721C5E17"/>
    <w:multiLevelType w:val="hybridMultilevel"/>
    <w:tmpl w:val="9F448C52"/>
    <w:lvl w:ilvl="0" w:tplc="13620EE4">
      <w:start w:val="1"/>
      <w:numFmt w:val="bullet"/>
      <w:lvlText w:val=""/>
      <w:lvlJc w:val="left"/>
      <w:pPr>
        <w:ind w:left="2030" w:hanging="360"/>
      </w:pPr>
      <w:rPr>
        <w:rFonts w:ascii="Wingdings" w:hAnsi="Wingdings" w:hint="default"/>
      </w:rPr>
    </w:lvl>
    <w:lvl w:ilvl="1" w:tplc="04090003" w:tentative="1">
      <w:start w:val="1"/>
      <w:numFmt w:val="bullet"/>
      <w:lvlText w:val="o"/>
      <w:lvlJc w:val="left"/>
      <w:pPr>
        <w:ind w:left="2750" w:hanging="360"/>
      </w:pPr>
      <w:rPr>
        <w:rFonts w:ascii="Courier New" w:hAnsi="Courier New" w:hint="default"/>
      </w:rPr>
    </w:lvl>
    <w:lvl w:ilvl="2" w:tplc="04090005" w:tentative="1">
      <w:start w:val="1"/>
      <w:numFmt w:val="bullet"/>
      <w:lvlText w:val=""/>
      <w:lvlJc w:val="left"/>
      <w:pPr>
        <w:ind w:left="3470" w:hanging="360"/>
      </w:pPr>
      <w:rPr>
        <w:rFonts w:ascii="Wingdings" w:hAnsi="Wingdings" w:hint="default"/>
      </w:rPr>
    </w:lvl>
    <w:lvl w:ilvl="3" w:tplc="04090001" w:tentative="1">
      <w:start w:val="1"/>
      <w:numFmt w:val="bullet"/>
      <w:lvlText w:val=""/>
      <w:lvlJc w:val="left"/>
      <w:pPr>
        <w:ind w:left="4190" w:hanging="360"/>
      </w:pPr>
      <w:rPr>
        <w:rFonts w:ascii="Symbol" w:hAnsi="Symbol" w:hint="default"/>
      </w:rPr>
    </w:lvl>
    <w:lvl w:ilvl="4" w:tplc="04090003" w:tentative="1">
      <w:start w:val="1"/>
      <w:numFmt w:val="bullet"/>
      <w:lvlText w:val="o"/>
      <w:lvlJc w:val="left"/>
      <w:pPr>
        <w:ind w:left="4910" w:hanging="360"/>
      </w:pPr>
      <w:rPr>
        <w:rFonts w:ascii="Courier New" w:hAnsi="Courier New" w:hint="default"/>
      </w:rPr>
    </w:lvl>
    <w:lvl w:ilvl="5" w:tplc="04090005" w:tentative="1">
      <w:start w:val="1"/>
      <w:numFmt w:val="bullet"/>
      <w:lvlText w:val=""/>
      <w:lvlJc w:val="left"/>
      <w:pPr>
        <w:ind w:left="5630" w:hanging="360"/>
      </w:pPr>
      <w:rPr>
        <w:rFonts w:ascii="Wingdings" w:hAnsi="Wingdings" w:hint="default"/>
      </w:rPr>
    </w:lvl>
    <w:lvl w:ilvl="6" w:tplc="04090001" w:tentative="1">
      <w:start w:val="1"/>
      <w:numFmt w:val="bullet"/>
      <w:lvlText w:val=""/>
      <w:lvlJc w:val="left"/>
      <w:pPr>
        <w:ind w:left="6350" w:hanging="360"/>
      </w:pPr>
      <w:rPr>
        <w:rFonts w:ascii="Symbol" w:hAnsi="Symbol" w:hint="default"/>
      </w:rPr>
    </w:lvl>
    <w:lvl w:ilvl="7" w:tplc="04090003" w:tentative="1">
      <w:start w:val="1"/>
      <w:numFmt w:val="bullet"/>
      <w:lvlText w:val="o"/>
      <w:lvlJc w:val="left"/>
      <w:pPr>
        <w:ind w:left="7070" w:hanging="360"/>
      </w:pPr>
      <w:rPr>
        <w:rFonts w:ascii="Courier New" w:hAnsi="Courier New" w:hint="default"/>
      </w:rPr>
    </w:lvl>
    <w:lvl w:ilvl="8" w:tplc="04090005" w:tentative="1">
      <w:start w:val="1"/>
      <w:numFmt w:val="bullet"/>
      <w:lvlText w:val=""/>
      <w:lvlJc w:val="left"/>
      <w:pPr>
        <w:ind w:left="7790" w:hanging="360"/>
      </w:pPr>
      <w:rPr>
        <w:rFonts w:ascii="Wingdings" w:hAnsi="Wingdings" w:hint="default"/>
      </w:rPr>
    </w:lvl>
  </w:abstractNum>
  <w:abstractNum w:abstractNumId="37" w15:restartNumberingAfterBreak="0">
    <w:nsid w:val="745E0806"/>
    <w:multiLevelType w:val="hybridMultilevel"/>
    <w:tmpl w:val="BCEA0F00"/>
    <w:lvl w:ilvl="0" w:tplc="02885366">
      <w:start w:val="1"/>
      <w:numFmt w:val="decimal"/>
      <w:lvlText w:val="(%1)"/>
      <w:lvlJc w:val="left"/>
      <w:pPr>
        <w:ind w:left="1800" w:hanging="360"/>
      </w:pPr>
      <w:rPr>
        <w:rFonts w:hint="default"/>
      </w:rPr>
    </w:lvl>
    <w:lvl w:ilvl="1" w:tplc="9DE4B894">
      <w:start w:val="1"/>
      <w:numFmt w:val="lowerLetter"/>
      <w:lvlText w:val="(%2)"/>
      <w:lvlJc w:val="left"/>
      <w:pPr>
        <w:ind w:left="2520" w:hanging="360"/>
      </w:pPr>
      <w:rPr>
        <w:rFonts w:hint="default"/>
      </w:r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8" w15:restartNumberingAfterBreak="0">
    <w:nsid w:val="7F3B4C5D"/>
    <w:multiLevelType w:val="hybridMultilevel"/>
    <w:tmpl w:val="E384D9A2"/>
    <w:lvl w:ilvl="0" w:tplc="BBD8F7F8">
      <w:start w:val="1"/>
      <w:numFmt w:val="bullet"/>
      <w:lvlText w:val=""/>
      <w:lvlJc w:val="left"/>
      <w:pPr>
        <w:ind w:left="720" w:hanging="360"/>
      </w:pPr>
      <w:rPr>
        <w:rFonts w:ascii="Symbol" w:hAnsi="Symbol" w:hint="default"/>
      </w:rPr>
    </w:lvl>
    <w:lvl w:ilvl="1" w:tplc="035AD808">
      <w:start w:val="1"/>
      <w:numFmt w:val="bullet"/>
      <w:lvlText w:val="o"/>
      <w:lvlJc w:val="left"/>
      <w:pPr>
        <w:ind w:left="1440" w:hanging="360"/>
      </w:pPr>
      <w:rPr>
        <w:rFonts w:ascii="Courier New" w:hAnsi="Courier New" w:hint="default"/>
      </w:rPr>
    </w:lvl>
    <w:lvl w:ilvl="2" w:tplc="5E1AA426">
      <w:start w:val="1"/>
      <w:numFmt w:val="bullet"/>
      <w:lvlText w:val=""/>
      <w:lvlJc w:val="left"/>
      <w:pPr>
        <w:ind w:left="2160" w:hanging="360"/>
      </w:pPr>
      <w:rPr>
        <w:rFonts w:ascii="Wingdings" w:hAnsi="Wingdings" w:hint="default"/>
      </w:rPr>
    </w:lvl>
    <w:lvl w:ilvl="3" w:tplc="B35C5942">
      <w:start w:val="1"/>
      <w:numFmt w:val="bullet"/>
      <w:lvlText w:val=""/>
      <w:lvlJc w:val="left"/>
      <w:pPr>
        <w:ind w:left="2880" w:hanging="360"/>
      </w:pPr>
      <w:rPr>
        <w:rFonts w:ascii="Symbol" w:hAnsi="Symbol" w:hint="default"/>
      </w:rPr>
    </w:lvl>
    <w:lvl w:ilvl="4" w:tplc="A9861044">
      <w:start w:val="1"/>
      <w:numFmt w:val="bullet"/>
      <w:lvlText w:val="o"/>
      <w:lvlJc w:val="left"/>
      <w:pPr>
        <w:ind w:left="3600" w:hanging="360"/>
      </w:pPr>
      <w:rPr>
        <w:rFonts w:ascii="Courier New" w:hAnsi="Courier New" w:hint="default"/>
      </w:rPr>
    </w:lvl>
    <w:lvl w:ilvl="5" w:tplc="420AC81E">
      <w:start w:val="1"/>
      <w:numFmt w:val="bullet"/>
      <w:lvlText w:val=""/>
      <w:lvlJc w:val="left"/>
      <w:pPr>
        <w:ind w:left="4320" w:hanging="360"/>
      </w:pPr>
      <w:rPr>
        <w:rFonts w:ascii="Wingdings" w:hAnsi="Wingdings" w:hint="default"/>
      </w:rPr>
    </w:lvl>
    <w:lvl w:ilvl="6" w:tplc="E006F5CA">
      <w:start w:val="1"/>
      <w:numFmt w:val="bullet"/>
      <w:lvlText w:val=""/>
      <w:lvlJc w:val="left"/>
      <w:pPr>
        <w:ind w:left="5040" w:hanging="360"/>
      </w:pPr>
      <w:rPr>
        <w:rFonts w:ascii="Symbol" w:hAnsi="Symbol" w:hint="default"/>
      </w:rPr>
    </w:lvl>
    <w:lvl w:ilvl="7" w:tplc="F63A8F88">
      <w:start w:val="1"/>
      <w:numFmt w:val="bullet"/>
      <w:lvlText w:val="o"/>
      <w:lvlJc w:val="left"/>
      <w:pPr>
        <w:ind w:left="5760" w:hanging="360"/>
      </w:pPr>
      <w:rPr>
        <w:rFonts w:ascii="Courier New" w:hAnsi="Courier New" w:hint="default"/>
      </w:rPr>
    </w:lvl>
    <w:lvl w:ilvl="8" w:tplc="C474088E">
      <w:start w:val="1"/>
      <w:numFmt w:val="bullet"/>
      <w:lvlText w:val=""/>
      <w:lvlJc w:val="left"/>
      <w:pPr>
        <w:ind w:left="6480" w:hanging="360"/>
      </w:pPr>
      <w:rPr>
        <w:rFonts w:ascii="Wingdings" w:hAnsi="Wingdings" w:hint="default"/>
      </w:rPr>
    </w:lvl>
  </w:abstractNum>
  <w:num w:numId="1">
    <w:abstractNumId w:val="29"/>
  </w:num>
  <w:num w:numId="2">
    <w:abstractNumId w:val="18"/>
  </w:num>
  <w:num w:numId="3">
    <w:abstractNumId w:val="36"/>
  </w:num>
  <w:num w:numId="4">
    <w:abstractNumId w:val="20"/>
  </w:num>
  <w:num w:numId="5">
    <w:abstractNumId w:val="23"/>
  </w:num>
  <w:num w:numId="6">
    <w:abstractNumId w:val="30"/>
  </w:num>
  <w:num w:numId="7">
    <w:abstractNumId w:val="2"/>
  </w:num>
  <w:num w:numId="8">
    <w:abstractNumId w:val="21"/>
  </w:num>
  <w:num w:numId="9">
    <w:abstractNumId w:val="34"/>
  </w:num>
  <w:num w:numId="10">
    <w:abstractNumId w:val="37"/>
  </w:num>
  <w:num w:numId="11">
    <w:abstractNumId w:val="31"/>
  </w:num>
  <w:num w:numId="12">
    <w:abstractNumId w:val="22"/>
  </w:num>
  <w:num w:numId="13">
    <w:abstractNumId w:val="7"/>
  </w:num>
  <w:num w:numId="14">
    <w:abstractNumId w:val="10"/>
  </w:num>
  <w:num w:numId="15">
    <w:abstractNumId w:val="20"/>
    <w:lvlOverride w:ilvl="0">
      <w:lvl w:ilvl="0" w:tplc="40928A58">
        <w:start w:val="1"/>
        <w:numFmt w:val="decimal"/>
        <w:lvlText w:val="%1."/>
        <w:lvlJc w:val="left"/>
        <w:pPr>
          <w:ind w:left="720" w:hanging="360"/>
        </w:pPr>
        <w:rPr>
          <w:rFonts w:hint="default"/>
        </w:rPr>
      </w:lvl>
    </w:lvlOverride>
    <w:lvlOverride w:ilvl="1">
      <w:lvl w:ilvl="1" w:tplc="7098FF66">
        <w:start w:val="1"/>
        <w:numFmt w:val="lowerLetter"/>
        <w:lvlText w:val="(%2)"/>
        <w:lvlJc w:val="left"/>
        <w:pPr>
          <w:ind w:left="1440" w:hanging="1083"/>
        </w:pPr>
        <w:rPr>
          <w:rFonts w:ascii="Arial" w:hAnsi="Arial" w:hint="default"/>
          <w:b w:val="0"/>
          <w:i w:val="0"/>
          <w:sz w:val="24"/>
        </w:rPr>
      </w:lvl>
    </w:lvlOverride>
    <w:lvlOverride w:ilvl="2">
      <w:lvl w:ilvl="2" w:tplc="B908F1CC">
        <w:start w:val="1"/>
        <w:numFmt w:val="lowerRoman"/>
        <w:lvlText w:val="(%3)"/>
        <w:lvlJc w:val="right"/>
        <w:pPr>
          <w:ind w:left="2160" w:hanging="180"/>
        </w:pPr>
        <w:rPr>
          <w:rFonts w:hint="default"/>
        </w:rPr>
      </w:lvl>
    </w:lvlOverride>
    <w:lvlOverride w:ilvl="3">
      <w:lvl w:ilvl="3" w:tplc="0409000F">
        <w:start w:val="1"/>
        <w:numFmt w:val="decimal"/>
        <w:lvlText w:val="%4."/>
        <w:lvlJc w:val="left"/>
        <w:pPr>
          <w:ind w:left="2880" w:hanging="360"/>
        </w:pPr>
        <w:rPr>
          <w:rFonts w:hint="default"/>
        </w:rPr>
      </w:lvl>
    </w:lvlOverride>
    <w:lvlOverride w:ilvl="4">
      <w:lvl w:ilvl="4" w:tplc="04090019">
        <w:start w:val="1"/>
        <w:numFmt w:val="lowerLetter"/>
        <w:lvlText w:val="%5."/>
        <w:lvlJc w:val="left"/>
        <w:pPr>
          <w:ind w:left="3600" w:hanging="360"/>
        </w:pPr>
        <w:rPr>
          <w:rFonts w:hint="default"/>
        </w:rPr>
      </w:lvl>
    </w:lvlOverride>
    <w:lvlOverride w:ilvl="5">
      <w:lvl w:ilvl="5" w:tplc="0409001B">
        <w:start w:val="1"/>
        <w:numFmt w:val="lowerRoman"/>
        <w:lvlText w:val="%6."/>
        <w:lvlJc w:val="right"/>
        <w:pPr>
          <w:ind w:left="4320" w:hanging="180"/>
        </w:pPr>
        <w:rPr>
          <w:rFonts w:hint="default"/>
        </w:rPr>
      </w:lvl>
    </w:lvlOverride>
    <w:lvlOverride w:ilvl="6">
      <w:lvl w:ilvl="6" w:tplc="0409000F">
        <w:start w:val="1"/>
        <w:numFmt w:val="decimal"/>
        <w:lvlText w:val="%7."/>
        <w:lvlJc w:val="left"/>
        <w:pPr>
          <w:ind w:left="5040" w:hanging="360"/>
        </w:pPr>
        <w:rPr>
          <w:rFonts w:hint="default"/>
        </w:rPr>
      </w:lvl>
    </w:lvlOverride>
    <w:lvlOverride w:ilvl="7">
      <w:lvl w:ilvl="7" w:tplc="04090019">
        <w:start w:val="1"/>
        <w:numFmt w:val="lowerLetter"/>
        <w:lvlText w:val="%8."/>
        <w:lvlJc w:val="left"/>
        <w:pPr>
          <w:ind w:left="5760" w:hanging="360"/>
        </w:pPr>
        <w:rPr>
          <w:rFonts w:hint="default"/>
        </w:rPr>
      </w:lvl>
    </w:lvlOverride>
    <w:lvlOverride w:ilvl="8">
      <w:lvl w:ilvl="8" w:tplc="0409001B">
        <w:start w:val="1"/>
        <w:numFmt w:val="lowerRoman"/>
        <w:lvlText w:val="%9."/>
        <w:lvlJc w:val="right"/>
        <w:pPr>
          <w:ind w:left="6480" w:hanging="180"/>
        </w:pPr>
        <w:rPr>
          <w:rFonts w:hint="default"/>
        </w:rPr>
      </w:lvl>
    </w:lvlOverride>
  </w:num>
  <w:num w:numId="16">
    <w:abstractNumId w:val="32"/>
  </w:num>
  <w:num w:numId="17">
    <w:abstractNumId w:val="28"/>
  </w:num>
  <w:num w:numId="18">
    <w:abstractNumId w:val="3"/>
  </w:num>
  <w:num w:numId="19">
    <w:abstractNumId w:val="12"/>
  </w:num>
  <w:num w:numId="20">
    <w:abstractNumId w:val="35"/>
  </w:num>
  <w:num w:numId="21">
    <w:abstractNumId w:val="1"/>
  </w:num>
  <w:num w:numId="22">
    <w:abstractNumId w:val="7"/>
    <w:lvlOverride w:ilvl="0">
      <w:lvl w:ilvl="0">
        <w:start w:val="1"/>
        <w:numFmt w:val="decimal"/>
        <w:pStyle w:val="Numberedparagraph"/>
        <w:lvlText w:val="%1."/>
        <w:lvlJc w:val="left"/>
        <w:pPr>
          <w:ind w:left="567" w:hanging="567"/>
        </w:pPr>
        <w:rPr>
          <w:rFonts w:hint="default"/>
          <w:b w:val="0"/>
          <w:i w:val="0"/>
        </w:rPr>
      </w:lvl>
    </w:lvlOverride>
    <w:lvlOverride w:ilvl="1">
      <w:lvl w:ilvl="1">
        <w:start w:val="1"/>
        <w:numFmt w:val="lowerLetter"/>
        <w:lvlText w:val="%2."/>
        <w:lvlJc w:val="left"/>
        <w:pPr>
          <w:ind w:left="1440" w:hanging="360"/>
        </w:pPr>
      </w:lvl>
    </w:lvlOverride>
    <w:lvlOverride w:ilvl="2">
      <w:lvl w:ilvl="2">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23">
    <w:abstractNumId w:val="38"/>
  </w:num>
  <w:num w:numId="24">
    <w:abstractNumId w:val="15"/>
  </w:num>
  <w:num w:numId="25">
    <w:abstractNumId w:val="9"/>
  </w:num>
  <w:num w:numId="26">
    <w:abstractNumId w:val="8"/>
  </w:num>
  <w:num w:numId="27">
    <w:abstractNumId w:val="33"/>
  </w:num>
  <w:num w:numId="28">
    <w:abstractNumId w:val="17"/>
  </w:num>
  <w:num w:numId="29">
    <w:abstractNumId w:val="0"/>
  </w:num>
  <w:num w:numId="30">
    <w:abstractNumId w:val="13"/>
  </w:num>
  <w:num w:numId="31">
    <w:abstractNumId w:val="6"/>
  </w:num>
  <w:num w:numId="32">
    <w:abstractNumId w:val="19"/>
  </w:num>
  <w:num w:numId="33">
    <w:abstractNumId w:val="27"/>
  </w:num>
  <w:num w:numId="34">
    <w:abstractNumId w:val="16"/>
  </w:num>
  <w:num w:numId="35">
    <w:abstractNumId w:val="26"/>
  </w:num>
  <w:num w:numId="36">
    <w:abstractNumId w:val="25"/>
  </w:num>
  <w:num w:numId="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num>
  <w:num w:numId="39">
    <w:abstractNumId w:val="11"/>
  </w:num>
  <w:num w:numId="40">
    <w:abstractNumId w:val="5"/>
  </w:num>
  <w:num w:numId="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53C"/>
    <w:rsid w:val="000019CD"/>
    <w:rsid w:val="00002F05"/>
    <w:rsid w:val="000050A9"/>
    <w:rsid w:val="00006090"/>
    <w:rsid w:val="00010413"/>
    <w:rsid w:val="00016B77"/>
    <w:rsid w:val="0002351E"/>
    <w:rsid w:val="0002359F"/>
    <w:rsid w:val="00024B07"/>
    <w:rsid w:val="000278A3"/>
    <w:rsid w:val="00035E3F"/>
    <w:rsid w:val="0004063A"/>
    <w:rsid w:val="00041DF0"/>
    <w:rsid w:val="00041E58"/>
    <w:rsid w:val="00044A7F"/>
    <w:rsid w:val="00045327"/>
    <w:rsid w:val="00045663"/>
    <w:rsid w:val="00045B46"/>
    <w:rsid w:val="00047983"/>
    <w:rsid w:val="00052055"/>
    <w:rsid w:val="00054120"/>
    <w:rsid w:val="00055FD6"/>
    <w:rsid w:val="000564C3"/>
    <w:rsid w:val="00056960"/>
    <w:rsid w:val="00057023"/>
    <w:rsid w:val="00057BAB"/>
    <w:rsid w:val="00057D21"/>
    <w:rsid w:val="000608F0"/>
    <w:rsid w:val="00063EDF"/>
    <w:rsid w:val="00067841"/>
    <w:rsid w:val="00072CE6"/>
    <w:rsid w:val="000731D3"/>
    <w:rsid w:val="00074011"/>
    <w:rsid w:val="00075AB0"/>
    <w:rsid w:val="0007682B"/>
    <w:rsid w:val="0008104F"/>
    <w:rsid w:val="000838E5"/>
    <w:rsid w:val="000911DC"/>
    <w:rsid w:val="00092228"/>
    <w:rsid w:val="00092BC6"/>
    <w:rsid w:val="000935D5"/>
    <w:rsid w:val="00093A89"/>
    <w:rsid w:val="00095FBB"/>
    <w:rsid w:val="00096517"/>
    <w:rsid w:val="00097925"/>
    <w:rsid w:val="000A201B"/>
    <w:rsid w:val="000A582A"/>
    <w:rsid w:val="000A6594"/>
    <w:rsid w:val="000B0093"/>
    <w:rsid w:val="000B171E"/>
    <w:rsid w:val="000B185F"/>
    <w:rsid w:val="000B38D1"/>
    <w:rsid w:val="000B38DD"/>
    <w:rsid w:val="000B6C72"/>
    <w:rsid w:val="000B794F"/>
    <w:rsid w:val="000C1C8A"/>
    <w:rsid w:val="000C3BD6"/>
    <w:rsid w:val="000C788E"/>
    <w:rsid w:val="000D058B"/>
    <w:rsid w:val="000D49A5"/>
    <w:rsid w:val="000E0DBF"/>
    <w:rsid w:val="000E1039"/>
    <w:rsid w:val="000E1549"/>
    <w:rsid w:val="000E47F8"/>
    <w:rsid w:val="000E6F4B"/>
    <w:rsid w:val="000F0BC1"/>
    <w:rsid w:val="000F2408"/>
    <w:rsid w:val="000F4098"/>
    <w:rsid w:val="000F46DC"/>
    <w:rsid w:val="00100C48"/>
    <w:rsid w:val="00105217"/>
    <w:rsid w:val="00105E8A"/>
    <w:rsid w:val="001066BD"/>
    <w:rsid w:val="00107AC4"/>
    <w:rsid w:val="0011124A"/>
    <w:rsid w:val="0011237E"/>
    <w:rsid w:val="001148EB"/>
    <w:rsid w:val="00115A63"/>
    <w:rsid w:val="00121E6F"/>
    <w:rsid w:val="00123AFE"/>
    <w:rsid w:val="00124A35"/>
    <w:rsid w:val="001304EE"/>
    <w:rsid w:val="00135057"/>
    <w:rsid w:val="00140796"/>
    <w:rsid w:val="00141D56"/>
    <w:rsid w:val="00142B69"/>
    <w:rsid w:val="00154F98"/>
    <w:rsid w:val="0015636B"/>
    <w:rsid w:val="001567DE"/>
    <w:rsid w:val="00157D0F"/>
    <w:rsid w:val="0016589D"/>
    <w:rsid w:val="00174507"/>
    <w:rsid w:val="00176FBD"/>
    <w:rsid w:val="00177C6D"/>
    <w:rsid w:val="001825CB"/>
    <w:rsid w:val="00182865"/>
    <w:rsid w:val="00182E06"/>
    <w:rsid w:val="00185F33"/>
    <w:rsid w:val="00190995"/>
    <w:rsid w:val="001916E4"/>
    <w:rsid w:val="0019203A"/>
    <w:rsid w:val="00193EAA"/>
    <w:rsid w:val="00195E9F"/>
    <w:rsid w:val="00196C85"/>
    <w:rsid w:val="001A12BD"/>
    <w:rsid w:val="001B1A27"/>
    <w:rsid w:val="001B221A"/>
    <w:rsid w:val="001B53EE"/>
    <w:rsid w:val="001B5470"/>
    <w:rsid w:val="001B54F8"/>
    <w:rsid w:val="001B57C6"/>
    <w:rsid w:val="001C01FD"/>
    <w:rsid w:val="001C0294"/>
    <w:rsid w:val="001C0FB8"/>
    <w:rsid w:val="001C127F"/>
    <w:rsid w:val="001D39E4"/>
    <w:rsid w:val="001D50C0"/>
    <w:rsid w:val="001D538F"/>
    <w:rsid w:val="001D6B2C"/>
    <w:rsid w:val="001D7758"/>
    <w:rsid w:val="001D7BCA"/>
    <w:rsid w:val="001E1FCE"/>
    <w:rsid w:val="001E3A26"/>
    <w:rsid w:val="001F148B"/>
    <w:rsid w:val="001F1927"/>
    <w:rsid w:val="001F3F19"/>
    <w:rsid w:val="001F5F4B"/>
    <w:rsid w:val="002026FB"/>
    <w:rsid w:val="002042F7"/>
    <w:rsid w:val="002109D6"/>
    <w:rsid w:val="00212007"/>
    <w:rsid w:val="002123C6"/>
    <w:rsid w:val="00216626"/>
    <w:rsid w:val="00217F93"/>
    <w:rsid w:val="0022130B"/>
    <w:rsid w:val="00227178"/>
    <w:rsid w:val="00233F52"/>
    <w:rsid w:val="00235527"/>
    <w:rsid w:val="002407A9"/>
    <w:rsid w:val="00240EF9"/>
    <w:rsid w:val="0024194E"/>
    <w:rsid w:val="00242085"/>
    <w:rsid w:val="00242E6B"/>
    <w:rsid w:val="00244D8B"/>
    <w:rsid w:val="00247ADB"/>
    <w:rsid w:val="00250D51"/>
    <w:rsid w:val="00251959"/>
    <w:rsid w:val="002536C9"/>
    <w:rsid w:val="00253B42"/>
    <w:rsid w:val="00254C95"/>
    <w:rsid w:val="002600FB"/>
    <w:rsid w:val="002662C5"/>
    <w:rsid w:val="00270BE1"/>
    <w:rsid w:val="00275613"/>
    <w:rsid w:val="00283D88"/>
    <w:rsid w:val="00283E17"/>
    <w:rsid w:val="00284FF0"/>
    <w:rsid w:val="0028784E"/>
    <w:rsid w:val="00292C50"/>
    <w:rsid w:val="0029645A"/>
    <w:rsid w:val="00296DE2"/>
    <w:rsid w:val="002A03F1"/>
    <w:rsid w:val="002A320F"/>
    <w:rsid w:val="002B12A3"/>
    <w:rsid w:val="002B65D4"/>
    <w:rsid w:val="002C0D94"/>
    <w:rsid w:val="002C0D9A"/>
    <w:rsid w:val="002C1D4F"/>
    <w:rsid w:val="002C5396"/>
    <w:rsid w:val="002D0923"/>
    <w:rsid w:val="002D46A2"/>
    <w:rsid w:val="002D60ED"/>
    <w:rsid w:val="002D7194"/>
    <w:rsid w:val="002D7653"/>
    <w:rsid w:val="002E2EC5"/>
    <w:rsid w:val="002E433B"/>
    <w:rsid w:val="002E5D36"/>
    <w:rsid w:val="002E6E82"/>
    <w:rsid w:val="002F25CB"/>
    <w:rsid w:val="002F44D2"/>
    <w:rsid w:val="00300190"/>
    <w:rsid w:val="00301F40"/>
    <w:rsid w:val="00304242"/>
    <w:rsid w:val="0030694A"/>
    <w:rsid w:val="003101BA"/>
    <w:rsid w:val="00310CB2"/>
    <w:rsid w:val="00312C2A"/>
    <w:rsid w:val="003138BD"/>
    <w:rsid w:val="0031572D"/>
    <w:rsid w:val="00316AE1"/>
    <w:rsid w:val="003204FA"/>
    <w:rsid w:val="00321445"/>
    <w:rsid w:val="00322D54"/>
    <w:rsid w:val="0032516B"/>
    <w:rsid w:val="00325CF5"/>
    <w:rsid w:val="0033216F"/>
    <w:rsid w:val="0034134D"/>
    <w:rsid w:val="003416E6"/>
    <w:rsid w:val="00344906"/>
    <w:rsid w:val="00344F59"/>
    <w:rsid w:val="0034706A"/>
    <w:rsid w:val="00350437"/>
    <w:rsid w:val="00350D39"/>
    <w:rsid w:val="00352939"/>
    <w:rsid w:val="00353B6E"/>
    <w:rsid w:val="00353BC3"/>
    <w:rsid w:val="0035654D"/>
    <w:rsid w:val="003613F3"/>
    <w:rsid w:val="003615E3"/>
    <w:rsid w:val="00362D36"/>
    <w:rsid w:val="00365A00"/>
    <w:rsid w:val="00370336"/>
    <w:rsid w:val="00371372"/>
    <w:rsid w:val="00372D8B"/>
    <w:rsid w:val="00372E57"/>
    <w:rsid w:val="00375152"/>
    <w:rsid w:val="00375B04"/>
    <w:rsid w:val="0038345D"/>
    <w:rsid w:val="003834A5"/>
    <w:rsid w:val="00384444"/>
    <w:rsid w:val="003847F0"/>
    <w:rsid w:val="00385E79"/>
    <w:rsid w:val="00390CBC"/>
    <w:rsid w:val="00390CC2"/>
    <w:rsid w:val="00391C1E"/>
    <w:rsid w:val="00392522"/>
    <w:rsid w:val="00392F0C"/>
    <w:rsid w:val="00393009"/>
    <w:rsid w:val="00395332"/>
    <w:rsid w:val="00396692"/>
    <w:rsid w:val="003A033C"/>
    <w:rsid w:val="003A666E"/>
    <w:rsid w:val="003B197E"/>
    <w:rsid w:val="003B7A38"/>
    <w:rsid w:val="003C0058"/>
    <w:rsid w:val="003C1633"/>
    <w:rsid w:val="003C1EE6"/>
    <w:rsid w:val="003C2709"/>
    <w:rsid w:val="003C296F"/>
    <w:rsid w:val="003C6A61"/>
    <w:rsid w:val="003D0C1A"/>
    <w:rsid w:val="003D3AAC"/>
    <w:rsid w:val="003D533E"/>
    <w:rsid w:val="003D625C"/>
    <w:rsid w:val="003E1EC9"/>
    <w:rsid w:val="003E31FF"/>
    <w:rsid w:val="003E691E"/>
    <w:rsid w:val="003E75F9"/>
    <w:rsid w:val="003E77C4"/>
    <w:rsid w:val="003F04BE"/>
    <w:rsid w:val="003F4F4D"/>
    <w:rsid w:val="003F6F7E"/>
    <w:rsid w:val="00400A55"/>
    <w:rsid w:val="00402DF1"/>
    <w:rsid w:val="0040426C"/>
    <w:rsid w:val="00405385"/>
    <w:rsid w:val="0040547D"/>
    <w:rsid w:val="004114D0"/>
    <w:rsid w:val="00412228"/>
    <w:rsid w:val="00413721"/>
    <w:rsid w:val="004170D6"/>
    <w:rsid w:val="00421429"/>
    <w:rsid w:val="0042153A"/>
    <w:rsid w:val="0042373B"/>
    <w:rsid w:val="00424212"/>
    <w:rsid w:val="00424A46"/>
    <w:rsid w:val="00424DF5"/>
    <w:rsid w:val="00425643"/>
    <w:rsid w:val="0043159A"/>
    <w:rsid w:val="00431D51"/>
    <w:rsid w:val="00435C6D"/>
    <w:rsid w:val="004418EC"/>
    <w:rsid w:val="004424F3"/>
    <w:rsid w:val="00444C2A"/>
    <w:rsid w:val="0044578D"/>
    <w:rsid w:val="00446C13"/>
    <w:rsid w:val="004502E2"/>
    <w:rsid w:val="00451416"/>
    <w:rsid w:val="004538FC"/>
    <w:rsid w:val="0045470A"/>
    <w:rsid w:val="004558F6"/>
    <w:rsid w:val="00457400"/>
    <w:rsid w:val="0045765D"/>
    <w:rsid w:val="00460000"/>
    <w:rsid w:val="00462F46"/>
    <w:rsid w:val="00463BEF"/>
    <w:rsid w:val="00466216"/>
    <w:rsid w:val="004857D5"/>
    <w:rsid w:val="00487F5C"/>
    <w:rsid w:val="0049501E"/>
    <w:rsid w:val="004952A1"/>
    <w:rsid w:val="00495CF4"/>
    <w:rsid w:val="00497FCB"/>
    <w:rsid w:val="004A2375"/>
    <w:rsid w:val="004A3CCA"/>
    <w:rsid w:val="004A5461"/>
    <w:rsid w:val="004A5969"/>
    <w:rsid w:val="004A6F71"/>
    <w:rsid w:val="004A7261"/>
    <w:rsid w:val="004B0599"/>
    <w:rsid w:val="004B1143"/>
    <w:rsid w:val="004B1FB1"/>
    <w:rsid w:val="004B433D"/>
    <w:rsid w:val="004B71ED"/>
    <w:rsid w:val="004C153C"/>
    <w:rsid w:val="004C17FC"/>
    <w:rsid w:val="004C2886"/>
    <w:rsid w:val="004C4282"/>
    <w:rsid w:val="004D06C5"/>
    <w:rsid w:val="004D469E"/>
    <w:rsid w:val="004D72EA"/>
    <w:rsid w:val="004E1FCA"/>
    <w:rsid w:val="004E37E2"/>
    <w:rsid w:val="004E3D6B"/>
    <w:rsid w:val="004E4397"/>
    <w:rsid w:val="004E58C1"/>
    <w:rsid w:val="004E794E"/>
    <w:rsid w:val="004F2105"/>
    <w:rsid w:val="004F271A"/>
    <w:rsid w:val="004F2CB8"/>
    <w:rsid w:val="004F2E67"/>
    <w:rsid w:val="004F410C"/>
    <w:rsid w:val="004F459A"/>
    <w:rsid w:val="004F4CB1"/>
    <w:rsid w:val="00500633"/>
    <w:rsid w:val="005009D5"/>
    <w:rsid w:val="0050254D"/>
    <w:rsid w:val="00502924"/>
    <w:rsid w:val="005076D8"/>
    <w:rsid w:val="00510E1B"/>
    <w:rsid w:val="00516283"/>
    <w:rsid w:val="00517D74"/>
    <w:rsid w:val="00521153"/>
    <w:rsid w:val="0052346F"/>
    <w:rsid w:val="0052543C"/>
    <w:rsid w:val="00533363"/>
    <w:rsid w:val="005414CC"/>
    <w:rsid w:val="00546CDB"/>
    <w:rsid w:val="00547AD6"/>
    <w:rsid w:val="005578C7"/>
    <w:rsid w:val="005644BB"/>
    <w:rsid w:val="00564CF8"/>
    <w:rsid w:val="00564F1D"/>
    <w:rsid w:val="005670BE"/>
    <w:rsid w:val="00574FE9"/>
    <w:rsid w:val="00576BD1"/>
    <w:rsid w:val="00580083"/>
    <w:rsid w:val="00581ACE"/>
    <w:rsid w:val="00581FA5"/>
    <w:rsid w:val="00590C85"/>
    <w:rsid w:val="005916EB"/>
    <w:rsid w:val="00595DAC"/>
    <w:rsid w:val="00596142"/>
    <w:rsid w:val="0059734C"/>
    <w:rsid w:val="005A012E"/>
    <w:rsid w:val="005A0D95"/>
    <w:rsid w:val="005A18D5"/>
    <w:rsid w:val="005A2CD2"/>
    <w:rsid w:val="005B1A49"/>
    <w:rsid w:val="005B3C83"/>
    <w:rsid w:val="005B404C"/>
    <w:rsid w:val="005B7E50"/>
    <w:rsid w:val="005C1571"/>
    <w:rsid w:val="005C2D2A"/>
    <w:rsid w:val="005C39F7"/>
    <w:rsid w:val="005C3FB8"/>
    <w:rsid w:val="005D0A2A"/>
    <w:rsid w:val="005D453D"/>
    <w:rsid w:val="005D56F7"/>
    <w:rsid w:val="005D5A16"/>
    <w:rsid w:val="005D5B7A"/>
    <w:rsid w:val="005E124C"/>
    <w:rsid w:val="005E1431"/>
    <w:rsid w:val="005E452A"/>
    <w:rsid w:val="005E5159"/>
    <w:rsid w:val="005F0F47"/>
    <w:rsid w:val="005F158A"/>
    <w:rsid w:val="005F3EFE"/>
    <w:rsid w:val="00603F14"/>
    <w:rsid w:val="0060796E"/>
    <w:rsid w:val="00612898"/>
    <w:rsid w:val="00613B75"/>
    <w:rsid w:val="00617E4F"/>
    <w:rsid w:val="00624051"/>
    <w:rsid w:val="00627334"/>
    <w:rsid w:val="006335BE"/>
    <w:rsid w:val="00634C19"/>
    <w:rsid w:val="006379A4"/>
    <w:rsid w:val="00642B14"/>
    <w:rsid w:val="00644E93"/>
    <w:rsid w:val="006466AD"/>
    <w:rsid w:val="0064670A"/>
    <w:rsid w:val="00647FEF"/>
    <w:rsid w:val="00656540"/>
    <w:rsid w:val="00660818"/>
    <w:rsid w:val="00670CAE"/>
    <w:rsid w:val="00671572"/>
    <w:rsid w:val="0067484D"/>
    <w:rsid w:val="006755F8"/>
    <w:rsid w:val="006769BF"/>
    <w:rsid w:val="00680709"/>
    <w:rsid w:val="00684995"/>
    <w:rsid w:val="00692C96"/>
    <w:rsid w:val="00694221"/>
    <w:rsid w:val="006A245C"/>
    <w:rsid w:val="006A28D1"/>
    <w:rsid w:val="006A39A0"/>
    <w:rsid w:val="006A7B3A"/>
    <w:rsid w:val="006C2A98"/>
    <w:rsid w:val="006C77A4"/>
    <w:rsid w:val="006D0CD6"/>
    <w:rsid w:val="006E164F"/>
    <w:rsid w:val="006E2F65"/>
    <w:rsid w:val="006E366D"/>
    <w:rsid w:val="006E7ACA"/>
    <w:rsid w:val="006F04DF"/>
    <w:rsid w:val="006F0979"/>
    <w:rsid w:val="006F1EFD"/>
    <w:rsid w:val="006F1F8D"/>
    <w:rsid w:val="006F2ACC"/>
    <w:rsid w:val="006F4466"/>
    <w:rsid w:val="006F67BA"/>
    <w:rsid w:val="006F7C74"/>
    <w:rsid w:val="00701B00"/>
    <w:rsid w:val="00701BE5"/>
    <w:rsid w:val="00703F8D"/>
    <w:rsid w:val="007069A1"/>
    <w:rsid w:val="00706A05"/>
    <w:rsid w:val="007110AA"/>
    <w:rsid w:val="00711296"/>
    <w:rsid w:val="007163DF"/>
    <w:rsid w:val="00723B5E"/>
    <w:rsid w:val="0072476F"/>
    <w:rsid w:val="00724BF5"/>
    <w:rsid w:val="00730224"/>
    <w:rsid w:val="00735BA1"/>
    <w:rsid w:val="00736E66"/>
    <w:rsid w:val="00737B51"/>
    <w:rsid w:val="00740741"/>
    <w:rsid w:val="00742762"/>
    <w:rsid w:val="0074322C"/>
    <w:rsid w:val="00744148"/>
    <w:rsid w:val="00751AE0"/>
    <w:rsid w:val="0075267C"/>
    <w:rsid w:val="0075464E"/>
    <w:rsid w:val="007563AD"/>
    <w:rsid w:val="007602A4"/>
    <w:rsid w:val="007619FB"/>
    <w:rsid w:val="00763604"/>
    <w:rsid w:val="00770DD3"/>
    <w:rsid w:val="00771B3B"/>
    <w:rsid w:val="00772846"/>
    <w:rsid w:val="0077382F"/>
    <w:rsid w:val="00786CF2"/>
    <w:rsid w:val="007875AD"/>
    <w:rsid w:val="00790408"/>
    <w:rsid w:val="00793EE6"/>
    <w:rsid w:val="00797042"/>
    <w:rsid w:val="007A45D7"/>
    <w:rsid w:val="007A610D"/>
    <w:rsid w:val="007A6FA8"/>
    <w:rsid w:val="007A7F9D"/>
    <w:rsid w:val="007B538A"/>
    <w:rsid w:val="007C1C58"/>
    <w:rsid w:val="007C238A"/>
    <w:rsid w:val="007C2C44"/>
    <w:rsid w:val="007C326B"/>
    <w:rsid w:val="007C366D"/>
    <w:rsid w:val="007C47D8"/>
    <w:rsid w:val="007C510E"/>
    <w:rsid w:val="007C62E7"/>
    <w:rsid w:val="007C7678"/>
    <w:rsid w:val="007D0694"/>
    <w:rsid w:val="007D0AF8"/>
    <w:rsid w:val="007D6B55"/>
    <w:rsid w:val="007E06A3"/>
    <w:rsid w:val="007E3B2B"/>
    <w:rsid w:val="007E5EF8"/>
    <w:rsid w:val="007F042E"/>
    <w:rsid w:val="007F08B5"/>
    <w:rsid w:val="007F4356"/>
    <w:rsid w:val="007F4F44"/>
    <w:rsid w:val="007F5ECF"/>
    <w:rsid w:val="007F7188"/>
    <w:rsid w:val="0080290B"/>
    <w:rsid w:val="008037F9"/>
    <w:rsid w:val="00805768"/>
    <w:rsid w:val="008101EC"/>
    <w:rsid w:val="00810AFA"/>
    <w:rsid w:val="008228DE"/>
    <w:rsid w:val="00825390"/>
    <w:rsid w:val="00826E15"/>
    <w:rsid w:val="00827429"/>
    <w:rsid w:val="00837914"/>
    <w:rsid w:val="008470F3"/>
    <w:rsid w:val="00850155"/>
    <w:rsid w:val="0085541E"/>
    <w:rsid w:val="0086439D"/>
    <w:rsid w:val="008655B9"/>
    <w:rsid w:val="00865CCE"/>
    <w:rsid w:val="0086716F"/>
    <w:rsid w:val="00867AFD"/>
    <w:rsid w:val="00870B93"/>
    <w:rsid w:val="00871324"/>
    <w:rsid w:val="00875B37"/>
    <w:rsid w:val="00875CB3"/>
    <w:rsid w:val="00877936"/>
    <w:rsid w:val="00887F02"/>
    <w:rsid w:val="00891447"/>
    <w:rsid w:val="00891B8C"/>
    <w:rsid w:val="0089208D"/>
    <w:rsid w:val="008930A1"/>
    <w:rsid w:val="008970A8"/>
    <w:rsid w:val="008A7E45"/>
    <w:rsid w:val="008B0352"/>
    <w:rsid w:val="008B3191"/>
    <w:rsid w:val="008B372E"/>
    <w:rsid w:val="008B5C63"/>
    <w:rsid w:val="008C0A08"/>
    <w:rsid w:val="008C0AAF"/>
    <w:rsid w:val="008C3D59"/>
    <w:rsid w:val="008C6189"/>
    <w:rsid w:val="008D29B3"/>
    <w:rsid w:val="008D3220"/>
    <w:rsid w:val="008D4004"/>
    <w:rsid w:val="008D4D8D"/>
    <w:rsid w:val="008E2996"/>
    <w:rsid w:val="008E2FB8"/>
    <w:rsid w:val="008E304C"/>
    <w:rsid w:val="008E792D"/>
    <w:rsid w:val="008F33CD"/>
    <w:rsid w:val="008F3C6F"/>
    <w:rsid w:val="008F4090"/>
    <w:rsid w:val="008F4684"/>
    <w:rsid w:val="0090102E"/>
    <w:rsid w:val="00905A21"/>
    <w:rsid w:val="00907AE3"/>
    <w:rsid w:val="009116DC"/>
    <w:rsid w:val="00912E7D"/>
    <w:rsid w:val="00914828"/>
    <w:rsid w:val="00914B89"/>
    <w:rsid w:val="0093160F"/>
    <w:rsid w:val="0093262D"/>
    <w:rsid w:val="00936461"/>
    <w:rsid w:val="00936C1C"/>
    <w:rsid w:val="00937CB1"/>
    <w:rsid w:val="009400C2"/>
    <w:rsid w:val="00951FB9"/>
    <w:rsid w:val="00963363"/>
    <w:rsid w:val="0097281C"/>
    <w:rsid w:val="00972B08"/>
    <w:rsid w:val="0097407C"/>
    <w:rsid w:val="009746DD"/>
    <w:rsid w:val="009749B6"/>
    <w:rsid w:val="009765CE"/>
    <w:rsid w:val="009807E0"/>
    <w:rsid w:val="0098626A"/>
    <w:rsid w:val="00987057"/>
    <w:rsid w:val="00992648"/>
    <w:rsid w:val="00997BC2"/>
    <w:rsid w:val="009A10C8"/>
    <w:rsid w:val="009A556B"/>
    <w:rsid w:val="009A5DA9"/>
    <w:rsid w:val="009A6175"/>
    <w:rsid w:val="009B06C1"/>
    <w:rsid w:val="009B20DA"/>
    <w:rsid w:val="009C493F"/>
    <w:rsid w:val="009C520A"/>
    <w:rsid w:val="009C722D"/>
    <w:rsid w:val="009D060F"/>
    <w:rsid w:val="009D3109"/>
    <w:rsid w:val="009D3549"/>
    <w:rsid w:val="009D3B40"/>
    <w:rsid w:val="009D5730"/>
    <w:rsid w:val="009D798B"/>
    <w:rsid w:val="009E1065"/>
    <w:rsid w:val="009E1FC9"/>
    <w:rsid w:val="009E5257"/>
    <w:rsid w:val="009F25DD"/>
    <w:rsid w:val="009F3E8A"/>
    <w:rsid w:val="009F5034"/>
    <w:rsid w:val="009F5ECC"/>
    <w:rsid w:val="009F7C77"/>
    <w:rsid w:val="00A0082F"/>
    <w:rsid w:val="00A00E97"/>
    <w:rsid w:val="00A01A12"/>
    <w:rsid w:val="00A023C1"/>
    <w:rsid w:val="00A02F3B"/>
    <w:rsid w:val="00A032D4"/>
    <w:rsid w:val="00A06D40"/>
    <w:rsid w:val="00A1368B"/>
    <w:rsid w:val="00A14D73"/>
    <w:rsid w:val="00A16356"/>
    <w:rsid w:val="00A20F7A"/>
    <w:rsid w:val="00A27208"/>
    <w:rsid w:val="00A30198"/>
    <w:rsid w:val="00A359CC"/>
    <w:rsid w:val="00A35BBA"/>
    <w:rsid w:val="00A419C1"/>
    <w:rsid w:val="00A45369"/>
    <w:rsid w:val="00A4708D"/>
    <w:rsid w:val="00A47F64"/>
    <w:rsid w:val="00A53D1F"/>
    <w:rsid w:val="00A62042"/>
    <w:rsid w:val="00A630FF"/>
    <w:rsid w:val="00A647AB"/>
    <w:rsid w:val="00A65F60"/>
    <w:rsid w:val="00A70E36"/>
    <w:rsid w:val="00A71B0B"/>
    <w:rsid w:val="00A75830"/>
    <w:rsid w:val="00A77386"/>
    <w:rsid w:val="00A8148B"/>
    <w:rsid w:val="00A84240"/>
    <w:rsid w:val="00A8562E"/>
    <w:rsid w:val="00A90373"/>
    <w:rsid w:val="00A93C7D"/>
    <w:rsid w:val="00A94303"/>
    <w:rsid w:val="00A95DB8"/>
    <w:rsid w:val="00A96D21"/>
    <w:rsid w:val="00AA0E56"/>
    <w:rsid w:val="00AA1E20"/>
    <w:rsid w:val="00AA2348"/>
    <w:rsid w:val="00AA2817"/>
    <w:rsid w:val="00AA7115"/>
    <w:rsid w:val="00AB3978"/>
    <w:rsid w:val="00AB3F38"/>
    <w:rsid w:val="00AB3F9D"/>
    <w:rsid w:val="00AC115B"/>
    <w:rsid w:val="00AC2788"/>
    <w:rsid w:val="00AC628C"/>
    <w:rsid w:val="00AC6E99"/>
    <w:rsid w:val="00AC7307"/>
    <w:rsid w:val="00AC74B2"/>
    <w:rsid w:val="00AD1C36"/>
    <w:rsid w:val="00AD2132"/>
    <w:rsid w:val="00AD2940"/>
    <w:rsid w:val="00AD79D7"/>
    <w:rsid w:val="00AE176D"/>
    <w:rsid w:val="00AE2AB7"/>
    <w:rsid w:val="00AE2B8B"/>
    <w:rsid w:val="00AE3A61"/>
    <w:rsid w:val="00AE3D7B"/>
    <w:rsid w:val="00AE5EA3"/>
    <w:rsid w:val="00AF0BDD"/>
    <w:rsid w:val="00AF57D3"/>
    <w:rsid w:val="00B03079"/>
    <w:rsid w:val="00B057B6"/>
    <w:rsid w:val="00B13804"/>
    <w:rsid w:val="00B1449A"/>
    <w:rsid w:val="00B160E3"/>
    <w:rsid w:val="00B16B33"/>
    <w:rsid w:val="00B21AA2"/>
    <w:rsid w:val="00B24620"/>
    <w:rsid w:val="00B30681"/>
    <w:rsid w:val="00B32265"/>
    <w:rsid w:val="00B32E90"/>
    <w:rsid w:val="00B3406C"/>
    <w:rsid w:val="00B34439"/>
    <w:rsid w:val="00B360EA"/>
    <w:rsid w:val="00B41356"/>
    <w:rsid w:val="00B46135"/>
    <w:rsid w:val="00B46BAB"/>
    <w:rsid w:val="00B50F67"/>
    <w:rsid w:val="00B54395"/>
    <w:rsid w:val="00B55C0E"/>
    <w:rsid w:val="00B573CA"/>
    <w:rsid w:val="00B60465"/>
    <w:rsid w:val="00B639F8"/>
    <w:rsid w:val="00B643B2"/>
    <w:rsid w:val="00B64CAA"/>
    <w:rsid w:val="00B65C2F"/>
    <w:rsid w:val="00B67E6E"/>
    <w:rsid w:val="00B76A34"/>
    <w:rsid w:val="00B76BC4"/>
    <w:rsid w:val="00B82CE9"/>
    <w:rsid w:val="00B83AE9"/>
    <w:rsid w:val="00B84CC7"/>
    <w:rsid w:val="00B852C7"/>
    <w:rsid w:val="00B8743D"/>
    <w:rsid w:val="00B87FB4"/>
    <w:rsid w:val="00B91EA6"/>
    <w:rsid w:val="00B92000"/>
    <w:rsid w:val="00B933A9"/>
    <w:rsid w:val="00B93B51"/>
    <w:rsid w:val="00B96D1F"/>
    <w:rsid w:val="00B976F8"/>
    <w:rsid w:val="00BA12E3"/>
    <w:rsid w:val="00BA1B3B"/>
    <w:rsid w:val="00BA32BA"/>
    <w:rsid w:val="00BA5427"/>
    <w:rsid w:val="00BA5B67"/>
    <w:rsid w:val="00BB0B80"/>
    <w:rsid w:val="00BB16D6"/>
    <w:rsid w:val="00BB1983"/>
    <w:rsid w:val="00BB2F50"/>
    <w:rsid w:val="00BC38CA"/>
    <w:rsid w:val="00BC4D70"/>
    <w:rsid w:val="00BC4D93"/>
    <w:rsid w:val="00BC76D6"/>
    <w:rsid w:val="00BD652C"/>
    <w:rsid w:val="00BE3AEC"/>
    <w:rsid w:val="00BE6070"/>
    <w:rsid w:val="00BE7EED"/>
    <w:rsid w:val="00BF39BD"/>
    <w:rsid w:val="00BF46CF"/>
    <w:rsid w:val="00BF4D67"/>
    <w:rsid w:val="00C00761"/>
    <w:rsid w:val="00C036F9"/>
    <w:rsid w:val="00C03E3F"/>
    <w:rsid w:val="00C03F2A"/>
    <w:rsid w:val="00C10D28"/>
    <w:rsid w:val="00C11D46"/>
    <w:rsid w:val="00C134BD"/>
    <w:rsid w:val="00C1511D"/>
    <w:rsid w:val="00C152EE"/>
    <w:rsid w:val="00C210E5"/>
    <w:rsid w:val="00C24D6D"/>
    <w:rsid w:val="00C255F9"/>
    <w:rsid w:val="00C27B77"/>
    <w:rsid w:val="00C33416"/>
    <w:rsid w:val="00C34FB2"/>
    <w:rsid w:val="00C35743"/>
    <w:rsid w:val="00C4116E"/>
    <w:rsid w:val="00C41A1F"/>
    <w:rsid w:val="00C44EE2"/>
    <w:rsid w:val="00C461DE"/>
    <w:rsid w:val="00C47984"/>
    <w:rsid w:val="00C526DC"/>
    <w:rsid w:val="00C57677"/>
    <w:rsid w:val="00C620D0"/>
    <w:rsid w:val="00C627FD"/>
    <w:rsid w:val="00C641D7"/>
    <w:rsid w:val="00C6563B"/>
    <w:rsid w:val="00C6577F"/>
    <w:rsid w:val="00C66B32"/>
    <w:rsid w:val="00C66E1D"/>
    <w:rsid w:val="00C717A3"/>
    <w:rsid w:val="00C72B2A"/>
    <w:rsid w:val="00C76199"/>
    <w:rsid w:val="00C77196"/>
    <w:rsid w:val="00C8115D"/>
    <w:rsid w:val="00C8564F"/>
    <w:rsid w:val="00C92F0C"/>
    <w:rsid w:val="00C96EB1"/>
    <w:rsid w:val="00C9716F"/>
    <w:rsid w:val="00CA162B"/>
    <w:rsid w:val="00CA23CF"/>
    <w:rsid w:val="00CA3A38"/>
    <w:rsid w:val="00CA3ACA"/>
    <w:rsid w:val="00CA4879"/>
    <w:rsid w:val="00CB0BBF"/>
    <w:rsid w:val="00CB12D8"/>
    <w:rsid w:val="00CB4A76"/>
    <w:rsid w:val="00CC2E5C"/>
    <w:rsid w:val="00CD1B73"/>
    <w:rsid w:val="00CD7704"/>
    <w:rsid w:val="00CE14AA"/>
    <w:rsid w:val="00CE4544"/>
    <w:rsid w:val="00CF223D"/>
    <w:rsid w:val="00D04AD7"/>
    <w:rsid w:val="00D102EC"/>
    <w:rsid w:val="00D112EB"/>
    <w:rsid w:val="00D12B14"/>
    <w:rsid w:val="00D1360B"/>
    <w:rsid w:val="00D15CFD"/>
    <w:rsid w:val="00D173BE"/>
    <w:rsid w:val="00D17E5F"/>
    <w:rsid w:val="00D207AB"/>
    <w:rsid w:val="00D21103"/>
    <w:rsid w:val="00D21487"/>
    <w:rsid w:val="00D256CD"/>
    <w:rsid w:val="00D26622"/>
    <w:rsid w:val="00D27BB8"/>
    <w:rsid w:val="00D33110"/>
    <w:rsid w:val="00D33B7B"/>
    <w:rsid w:val="00D33FEE"/>
    <w:rsid w:val="00D350A0"/>
    <w:rsid w:val="00D35B0E"/>
    <w:rsid w:val="00D43454"/>
    <w:rsid w:val="00D478C3"/>
    <w:rsid w:val="00D500C5"/>
    <w:rsid w:val="00D61B81"/>
    <w:rsid w:val="00D6241A"/>
    <w:rsid w:val="00D64F65"/>
    <w:rsid w:val="00D6536F"/>
    <w:rsid w:val="00D659AA"/>
    <w:rsid w:val="00D67CAF"/>
    <w:rsid w:val="00D7004A"/>
    <w:rsid w:val="00D74335"/>
    <w:rsid w:val="00D76F2A"/>
    <w:rsid w:val="00D81BF8"/>
    <w:rsid w:val="00D84E3E"/>
    <w:rsid w:val="00D86386"/>
    <w:rsid w:val="00D91DF7"/>
    <w:rsid w:val="00D9310B"/>
    <w:rsid w:val="00D93368"/>
    <w:rsid w:val="00D96A22"/>
    <w:rsid w:val="00DA071A"/>
    <w:rsid w:val="00DA1F1F"/>
    <w:rsid w:val="00DA55F7"/>
    <w:rsid w:val="00DB1E95"/>
    <w:rsid w:val="00DB3826"/>
    <w:rsid w:val="00DB398D"/>
    <w:rsid w:val="00DB4252"/>
    <w:rsid w:val="00DB5CC8"/>
    <w:rsid w:val="00DC0A10"/>
    <w:rsid w:val="00DC0EDF"/>
    <w:rsid w:val="00DC1B76"/>
    <w:rsid w:val="00DC5000"/>
    <w:rsid w:val="00DC553C"/>
    <w:rsid w:val="00DC7280"/>
    <w:rsid w:val="00DD0080"/>
    <w:rsid w:val="00DD2998"/>
    <w:rsid w:val="00DD4168"/>
    <w:rsid w:val="00DD420F"/>
    <w:rsid w:val="00DD5B86"/>
    <w:rsid w:val="00DD7883"/>
    <w:rsid w:val="00DE07DB"/>
    <w:rsid w:val="00DE265B"/>
    <w:rsid w:val="00DE62F6"/>
    <w:rsid w:val="00DE7EF3"/>
    <w:rsid w:val="00DF110C"/>
    <w:rsid w:val="00DF2789"/>
    <w:rsid w:val="00DF50F1"/>
    <w:rsid w:val="00DF5AE3"/>
    <w:rsid w:val="00E02BF6"/>
    <w:rsid w:val="00E03F22"/>
    <w:rsid w:val="00E0447E"/>
    <w:rsid w:val="00E07E7B"/>
    <w:rsid w:val="00E109D5"/>
    <w:rsid w:val="00E11D55"/>
    <w:rsid w:val="00E15E88"/>
    <w:rsid w:val="00E1631A"/>
    <w:rsid w:val="00E24D9A"/>
    <w:rsid w:val="00E31D86"/>
    <w:rsid w:val="00E3633D"/>
    <w:rsid w:val="00E442C7"/>
    <w:rsid w:val="00E457E0"/>
    <w:rsid w:val="00E45D4A"/>
    <w:rsid w:val="00E476ED"/>
    <w:rsid w:val="00E52287"/>
    <w:rsid w:val="00E5275E"/>
    <w:rsid w:val="00E53F33"/>
    <w:rsid w:val="00E54B68"/>
    <w:rsid w:val="00E55BC8"/>
    <w:rsid w:val="00E61DB7"/>
    <w:rsid w:val="00E6776E"/>
    <w:rsid w:val="00E723C8"/>
    <w:rsid w:val="00E73F64"/>
    <w:rsid w:val="00E74E4E"/>
    <w:rsid w:val="00E7746A"/>
    <w:rsid w:val="00E91A9E"/>
    <w:rsid w:val="00E940D7"/>
    <w:rsid w:val="00EA0FB4"/>
    <w:rsid w:val="00EA1347"/>
    <w:rsid w:val="00EA4066"/>
    <w:rsid w:val="00EB0948"/>
    <w:rsid w:val="00EB3433"/>
    <w:rsid w:val="00EB47B9"/>
    <w:rsid w:val="00EB5211"/>
    <w:rsid w:val="00EB5972"/>
    <w:rsid w:val="00EB6445"/>
    <w:rsid w:val="00EB648E"/>
    <w:rsid w:val="00EB7E3E"/>
    <w:rsid w:val="00EC1EA1"/>
    <w:rsid w:val="00EC3F45"/>
    <w:rsid w:val="00EC4641"/>
    <w:rsid w:val="00EC7D94"/>
    <w:rsid w:val="00ED0103"/>
    <w:rsid w:val="00ED0709"/>
    <w:rsid w:val="00ED13EC"/>
    <w:rsid w:val="00ED426F"/>
    <w:rsid w:val="00ED6006"/>
    <w:rsid w:val="00EE0097"/>
    <w:rsid w:val="00EE20D8"/>
    <w:rsid w:val="00EE7EC1"/>
    <w:rsid w:val="00EF2CD3"/>
    <w:rsid w:val="00EF5D8C"/>
    <w:rsid w:val="00EF6A35"/>
    <w:rsid w:val="00EF752B"/>
    <w:rsid w:val="00F055E8"/>
    <w:rsid w:val="00F06FC8"/>
    <w:rsid w:val="00F11F99"/>
    <w:rsid w:val="00F12113"/>
    <w:rsid w:val="00F12660"/>
    <w:rsid w:val="00F1665B"/>
    <w:rsid w:val="00F27757"/>
    <w:rsid w:val="00F3054E"/>
    <w:rsid w:val="00F325A1"/>
    <w:rsid w:val="00F363D9"/>
    <w:rsid w:val="00F3739C"/>
    <w:rsid w:val="00F4420D"/>
    <w:rsid w:val="00F461E3"/>
    <w:rsid w:val="00F466D5"/>
    <w:rsid w:val="00F47033"/>
    <w:rsid w:val="00F4789F"/>
    <w:rsid w:val="00F5272A"/>
    <w:rsid w:val="00F552D1"/>
    <w:rsid w:val="00F558ED"/>
    <w:rsid w:val="00F55DEB"/>
    <w:rsid w:val="00F55E17"/>
    <w:rsid w:val="00F56139"/>
    <w:rsid w:val="00F635A1"/>
    <w:rsid w:val="00F70C03"/>
    <w:rsid w:val="00F73546"/>
    <w:rsid w:val="00F75EED"/>
    <w:rsid w:val="00F803B8"/>
    <w:rsid w:val="00F80D7A"/>
    <w:rsid w:val="00F847FC"/>
    <w:rsid w:val="00F87179"/>
    <w:rsid w:val="00F9197E"/>
    <w:rsid w:val="00F92CFB"/>
    <w:rsid w:val="00FA6423"/>
    <w:rsid w:val="00FA7268"/>
    <w:rsid w:val="00FB0C7F"/>
    <w:rsid w:val="00FB1FF5"/>
    <w:rsid w:val="00FB250B"/>
    <w:rsid w:val="00FB2AD3"/>
    <w:rsid w:val="00FB3BAB"/>
    <w:rsid w:val="00FB4D15"/>
    <w:rsid w:val="00FC122F"/>
    <w:rsid w:val="00FC1DA8"/>
    <w:rsid w:val="00FC1E9B"/>
    <w:rsid w:val="00FD0B31"/>
    <w:rsid w:val="00FD4014"/>
    <w:rsid w:val="00FD4CD7"/>
    <w:rsid w:val="00FD6A37"/>
    <w:rsid w:val="00FE306A"/>
    <w:rsid w:val="00FE49E2"/>
    <w:rsid w:val="00FE6122"/>
    <w:rsid w:val="00FE7FE2"/>
    <w:rsid w:val="00FF311C"/>
    <w:rsid w:val="00FF3861"/>
    <w:rsid w:val="00FF38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75B1E55"/>
  <w15:docId w15:val="{235AF241-4339-4AED-99D1-751B3E0F6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AU"/>
    </w:rPr>
  </w:style>
  <w:style w:type="paragraph" w:styleId="Heading1">
    <w:name w:val="heading 1"/>
    <w:basedOn w:val="Normal"/>
    <w:next w:val="Normal"/>
    <w:link w:val="Heading1Char"/>
    <w:uiPriority w:val="9"/>
    <w:qFormat/>
    <w:rsid w:val="00AE2AB7"/>
    <w:pPr>
      <w:keepNext/>
      <w:keepLines/>
      <w:spacing w:before="240" w:after="240"/>
      <w:outlineLvl w:val="0"/>
    </w:pPr>
    <w:rPr>
      <w:rFonts w:ascii="Arial" w:eastAsiaTheme="majorEastAsia" w:hAnsi="Arial" w:cstheme="majorBidi"/>
      <w:color w:val="004270"/>
      <w:sz w:val="48"/>
      <w:szCs w:val="32"/>
    </w:rPr>
  </w:style>
  <w:style w:type="paragraph" w:styleId="Heading2">
    <w:name w:val="heading 2"/>
    <w:basedOn w:val="Normal"/>
    <w:next w:val="Normal"/>
    <w:link w:val="Heading2Char"/>
    <w:uiPriority w:val="9"/>
    <w:unhideWhenUsed/>
    <w:qFormat/>
    <w:rsid w:val="00413721"/>
    <w:pPr>
      <w:keepNext/>
      <w:keepLines/>
      <w:spacing w:before="240" w:after="240"/>
      <w:outlineLvl w:val="1"/>
    </w:pPr>
    <w:rPr>
      <w:rFonts w:ascii="Arial" w:eastAsiaTheme="majorEastAsia" w:hAnsi="Arial" w:cstheme="majorBidi"/>
      <w:color w:val="004270"/>
      <w:sz w:val="36"/>
    </w:rPr>
  </w:style>
  <w:style w:type="paragraph" w:styleId="Heading3">
    <w:name w:val="heading 3"/>
    <w:basedOn w:val="Normal"/>
    <w:next w:val="Normal"/>
    <w:link w:val="Heading3Char"/>
    <w:uiPriority w:val="9"/>
    <w:unhideWhenUsed/>
    <w:qFormat/>
    <w:rsid w:val="00790408"/>
    <w:pPr>
      <w:keepNext/>
      <w:keepLines/>
      <w:spacing w:before="240" w:after="240"/>
      <w:outlineLvl w:val="2"/>
    </w:pPr>
    <w:rPr>
      <w:rFonts w:ascii="Arial" w:eastAsiaTheme="majorEastAsia" w:hAnsi="Arial" w:cstheme="majorBidi"/>
      <w:color w:val="004270"/>
      <w:sz w:val="28"/>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List Paragraph1,List Paragraph11,Bullet point,bullet point list,List Paragraph111,L,F5 List Paragraph,Dot pt,CV text,Medium Grid 1 - Accent 21,Numbered Paragraph,List Paragraph2,NFP GP Bulleted List,FooterText,列出段,列"/>
    <w:basedOn w:val="Normal"/>
    <w:link w:val="ListParagraphChar"/>
    <w:uiPriority w:val="7"/>
    <w:qFormat/>
    <w:rsid w:val="00B82CE9"/>
    <w:pPr>
      <w:ind w:left="720"/>
      <w:contextualSpacing/>
    </w:pPr>
  </w:style>
  <w:style w:type="paragraph" w:styleId="FootnoteText">
    <w:name w:val="footnote text"/>
    <w:aliases w:val="5_G"/>
    <w:basedOn w:val="Normal"/>
    <w:link w:val="FootnoteTextChar"/>
    <w:uiPriority w:val="99"/>
    <w:unhideWhenUsed/>
    <w:rsid w:val="00C33416"/>
    <w:rPr>
      <w:rFonts w:ascii="Arial" w:hAnsi="Arial"/>
      <w:sz w:val="20"/>
    </w:rPr>
  </w:style>
  <w:style w:type="character" w:customStyle="1" w:styleId="FootnoteTextChar">
    <w:name w:val="Footnote Text Char"/>
    <w:aliases w:val="5_G Char"/>
    <w:basedOn w:val="DefaultParagraphFont"/>
    <w:link w:val="FootnoteText"/>
    <w:uiPriority w:val="99"/>
    <w:rsid w:val="00C33416"/>
    <w:rPr>
      <w:rFonts w:ascii="Arial" w:hAnsi="Arial"/>
      <w:sz w:val="20"/>
    </w:rPr>
  </w:style>
  <w:style w:type="character" w:styleId="FootnoteReference">
    <w:name w:val="footnote reference"/>
    <w:aliases w:val="4_G,Footnote number,Footnotes refss"/>
    <w:basedOn w:val="DefaultParagraphFont"/>
    <w:uiPriority w:val="99"/>
    <w:unhideWhenUsed/>
    <w:rsid w:val="0034134D"/>
    <w:rPr>
      <w:vertAlign w:val="superscript"/>
    </w:rPr>
  </w:style>
  <w:style w:type="character" w:customStyle="1" w:styleId="Heading1Char">
    <w:name w:val="Heading 1 Char"/>
    <w:basedOn w:val="DefaultParagraphFont"/>
    <w:link w:val="Heading1"/>
    <w:uiPriority w:val="9"/>
    <w:rsid w:val="00AE2AB7"/>
    <w:rPr>
      <w:rFonts w:ascii="Arial" w:eastAsiaTheme="majorEastAsia" w:hAnsi="Arial" w:cstheme="majorBidi"/>
      <w:color w:val="004270"/>
      <w:sz w:val="48"/>
      <w:szCs w:val="32"/>
      <w:lang w:val="en-AU"/>
    </w:rPr>
  </w:style>
  <w:style w:type="paragraph" w:styleId="NoSpacing">
    <w:name w:val="No Spacing"/>
    <w:link w:val="NoSpacingChar"/>
    <w:uiPriority w:val="1"/>
    <w:qFormat/>
    <w:rsid w:val="00A16356"/>
    <w:rPr>
      <w:sz w:val="22"/>
      <w:szCs w:val="22"/>
    </w:rPr>
  </w:style>
  <w:style w:type="character" w:customStyle="1" w:styleId="NoSpacingChar">
    <w:name w:val="No Spacing Char"/>
    <w:basedOn w:val="DefaultParagraphFont"/>
    <w:link w:val="NoSpacing"/>
    <w:uiPriority w:val="1"/>
    <w:rsid w:val="00A16356"/>
    <w:rPr>
      <w:sz w:val="22"/>
      <w:szCs w:val="22"/>
    </w:rPr>
  </w:style>
  <w:style w:type="paragraph" w:styleId="TOCHeading">
    <w:name w:val="TOC Heading"/>
    <w:basedOn w:val="Heading1"/>
    <w:next w:val="Normal"/>
    <w:uiPriority w:val="39"/>
    <w:unhideWhenUsed/>
    <w:qFormat/>
    <w:rsid w:val="00A16356"/>
    <w:pPr>
      <w:spacing w:line="259" w:lineRule="auto"/>
      <w:outlineLvl w:val="9"/>
    </w:pPr>
    <w:rPr>
      <w:rFonts w:asciiTheme="majorHAnsi" w:hAnsiTheme="majorHAnsi"/>
      <w:b/>
      <w:sz w:val="32"/>
    </w:rPr>
  </w:style>
  <w:style w:type="paragraph" w:styleId="TOC1">
    <w:name w:val="toc 1"/>
    <w:basedOn w:val="Normal"/>
    <w:next w:val="Normal"/>
    <w:autoRedefine/>
    <w:uiPriority w:val="39"/>
    <w:unhideWhenUsed/>
    <w:rsid w:val="00A16356"/>
    <w:pPr>
      <w:spacing w:after="100"/>
    </w:pPr>
  </w:style>
  <w:style w:type="character" w:styleId="Hyperlink">
    <w:name w:val="Hyperlink"/>
    <w:basedOn w:val="DefaultParagraphFont"/>
    <w:uiPriority w:val="99"/>
    <w:unhideWhenUsed/>
    <w:rsid w:val="00A16356"/>
    <w:rPr>
      <w:color w:val="0000FF" w:themeColor="hyperlink"/>
      <w:u w:val="single"/>
    </w:rPr>
  </w:style>
  <w:style w:type="paragraph" w:styleId="Header">
    <w:name w:val="header"/>
    <w:basedOn w:val="Normal"/>
    <w:link w:val="HeaderChar"/>
    <w:uiPriority w:val="99"/>
    <w:unhideWhenUsed/>
    <w:rsid w:val="004A2375"/>
    <w:pPr>
      <w:tabs>
        <w:tab w:val="center" w:pos="4513"/>
        <w:tab w:val="right" w:pos="9026"/>
      </w:tabs>
    </w:pPr>
  </w:style>
  <w:style w:type="character" w:customStyle="1" w:styleId="HeaderChar">
    <w:name w:val="Header Char"/>
    <w:basedOn w:val="DefaultParagraphFont"/>
    <w:link w:val="Header"/>
    <w:uiPriority w:val="99"/>
    <w:rsid w:val="004A2375"/>
  </w:style>
  <w:style w:type="paragraph" w:styleId="Footer">
    <w:name w:val="footer"/>
    <w:basedOn w:val="Normal"/>
    <w:link w:val="FooterChar"/>
    <w:uiPriority w:val="99"/>
    <w:unhideWhenUsed/>
    <w:rsid w:val="004A2375"/>
    <w:pPr>
      <w:tabs>
        <w:tab w:val="center" w:pos="4513"/>
        <w:tab w:val="right" w:pos="9026"/>
      </w:tabs>
    </w:pPr>
  </w:style>
  <w:style w:type="character" w:customStyle="1" w:styleId="FooterChar">
    <w:name w:val="Footer Char"/>
    <w:basedOn w:val="DefaultParagraphFont"/>
    <w:link w:val="Footer"/>
    <w:uiPriority w:val="99"/>
    <w:rsid w:val="004A2375"/>
  </w:style>
  <w:style w:type="character" w:customStyle="1" w:styleId="Heading2Char">
    <w:name w:val="Heading 2 Char"/>
    <w:basedOn w:val="DefaultParagraphFont"/>
    <w:link w:val="Heading2"/>
    <w:uiPriority w:val="9"/>
    <w:rsid w:val="00413721"/>
    <w:rPr>
      <w:rFonts w:ascii="Arial" w:eastAsiaTheme="majorEastAsia" w:hAnsi="Arial" w:cstheme="majorBidi"/>
      <w:color w:val="004270"/>
      <w:sz w:val="36"/>
      <w:lang w:val="en-AU"/>
    </w:rPr>
  </w:style>
  <w:style w:type="paragraph" w:styleId="TOC2">
    <w:name w:val="toc 2"/>
    <w:basedOn w:val="Normal"/>
    <w:next w:val="Normal"/>
    <w:autoRedefine/>
    <w:uiPriority w:val="39"/>
    <w:unhideWhenUsed/>
    <w:rsid w:val="00056960"/>
    <w:pPr>
      <w:tabs>
        <w:tab w:val="right" w:leader="dot" w:pos="8296"/>
      </w:tabs>
      <w:spacing w:before="120" w:after="120"/>
      <w:ind w:left="238"/>
    </w:pPr>
  </w:style>
  <w:style w:type="character" w:styleId="HTMLCite">
    <w:name w:val="HTML Cite"/>
    <w:uiPriority w:val="99"/>
    <w:unhideWhenUsed/>
    <w:rsid w:val="00D74335"/>
    <w:rPr>
      <w:i/>
      <w:iCs/>
    </w:rPr>
  </w:style>
  <w:style w:type="table" w:styleId="TableGrid">
    <w:name w:val="Table Grid"/>
    <w:basedOn w:val="TableNormal"/>
    <w:rsid w:val="00E7746A"/>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713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1324"/>
    <w:rPr>
      <w:rFonts w:ascii="Segoe UI" w:hAnsi="Segoe UI" w:cs="Segoe UI"/>
      <w:sz w:val="18"/>
      <w:szCs w:val="18"/>
    </w:rPr>
  </w:style>
  <w:style w:type="character" w:customStyle="1" w:styleId="Heading3Char">
    <w:name w:val="Heading 3 Char"/>
    <w:basedOn w:val="DefaultParagraphFont"/>
    <w:link w:val="Heading3"/>
    <w:uiPriority w:val="9"/>
    <w:rsid w:val="00790408"/>
    <w:rPr>
      <w:rFonts w:ascii="Arial" w:eastAsiaTheme="majorEastAsia" w:hAnsi="Arial" w:cstheme="majorBidi"/>
      <w:color w:val="004270"/>
      <w:sz w:val="28"/>
      <w:lang w:val="en-AU" w:eastAsia="en-AU"/>
    </w:rPr>
  </w:style>
  <w:style w:type="paragraph" w:styleId="TOC3">
    <w:name w:val="toc 3"/>
    <w:basedOn w:val="Normal"/>
    <w:next w:val="Normal"/>
    <w:autoRedefine/>
    <w:uiPriority w:val="39"/>
    <w:unhideWhenUsed/>
    <w:rsid w:val="00041E58"/>
    <w:pPr>
      <w:spacing w:after="100"/>
      <w:ind w:left="480"/>
    </w:pPr>
  </w:style>
  <w:style w:type="character" w:styleId="CommentReference">
    <w:name w:val="annotation reference"/>
    <w:basedOn w:val="DefaultParagraphFont"/>
    <w:uiPriority w:val="99"/>
    <w:semiHidden/>
    <w:unhideWhenUsed/>
    <w:rsid w:val="00C526DC"/>
    <w:rPr>
      <w:sz w:val="16"/>
      <w:szCs w:val="16"/>
    </w:rPr>
  </w:style>
  <w:style w:type="paragraph" w:styleId="CommentText">
    <w:name w:val="annotation text"/>
    <w:basedOn w:val="Normal"/>
    <w:link w:val="CommentTextChar"/>
    <w:uiPriority w:val="99"/>
    <w:unhideWhenUsed/>
    <w:rsid w:val="00C526DC"/>
    <w:rPr>
      <w:sz w:val="20"/>
      <w:szCs w:val="20"/>
    </w:rPr>
  </w:style>
  <w:style w:type="character" w:customStyle="1" w:styleId="CommentTextChar">
    <w:name w:val="Comment Text Char"/>
    <w:basedOn w:val="DefaultParagraphFont"/>
    <w:link w:val="CommentText"/>
    <w:uiPriority w:val="99"/>
    <w:rsid w:val="00C526DC"/>
    <w:rPr>
      <w:sz w:val="20"/>
      <w:szCs w:val="20"/>
    </w:rPr>
  </w:style>
  <w:style w:type="paragraph" w:styleId="CommentSubject">
    <w:name w:val="annotation subject"/>
    <w:basedOn w:val="CommentText"/>
    <w:next w:val="CommentText"/>
    <w:link w:val="CommentSubjectChar"/>
    <w:uiPriority w:val="99"/>
    <w:semiHidden/>
    <w:unhideWhenUsed/>
    <w:rsid w:val="00C526DC"/>
    <w:rPr>
      <w:b/>
      <w:bCs/>
    </w:rPr>
  </w:style>
  <w:style w:type="character" w:customStyle="1" w:styleId="CommentSubjectChar">
    <w:name w:val="Comment Subject Char"/>
    <w:basedOn w:val="CommentTextChar"/>
    <w:link w:val="CommentSubject"/>
    <w:uiPriority w:val="99"/>
    <w:semiHidden/>
    <w:rsid w:val="00C526DC"/>
    <w:rPr>
      <w:b/>
      <w:bCs/>
      <w:sz w:val="20"/>
      <w:szCs w:val="20"/>
    </w:rPr>
  </w:style>
  <w:style w:type="paragraph" w:customStyle="1" w:styleId="Numberedparagraph">
    <w:name w:val="Numbered paragraph"/>
    <w:basedOn w:val="ListParagraph"/>
    <w:link w:val="NumberedparagraphChar"/>
    <w:qFormat/>
    <w:rsid w:val="002A320F"/>
    <w:pPr>
      <w:numPr>
        <w:numId w:val="13"/>
      </w:numPr>
      <w:spacing w:before="120" w:after="240" w:line="276" w:lineRule="auto"/>
      <w:ind w:left="567"/>
      <w:contextualSpacing w:val="0"/>
    </w:pPr>
    <w:rPr>
      <w:rFonts w:ascii="Arial" w:hAnsi="Arial" w:cs="Arial"/>
      <w:sz w:val="22"/>
      <w:lang w:eastAsia="en-AU"/>
    </w:rPr>
  </w:style>
  <w:style w:type="paragraph" w:styleId="Quote">
    <w:name w:val="Quote"/>
    <w:basedOn w:val="Normal"/>
    <w:next w:val="Normal"/>
    <w:link w:val="QuoteChar"/>
    <w:uiPriority w:val="29"/>
    <w:qFormat/>
    <w:rsid w:val="00413721"/>
    <w:pPr>
      <w:spacing w:before="240" w:after="240" w:line="276" w:lineRule="auto"/>
      <w:ind w:left="907" w:right="843"/>
    </w:pPr>
    <w:rPr>
      <w:rFonts w:ascii="Arial" w:hAnsi="Arial" w:cs="Arial"/>
      <w:sz w:val="22"/>
      <w:szCs w:val="20"/>
    </w:rPr>
  </w:style>
  <w:style w:type="character" w:customStyle="1" w:styleId="ListParagraphChar">
    <w:name w:val="List Paragraph Char"/>
    <w:aliases w:val="Bullet List Char,List Paragraph1 Char,List Paragraph11 Char,Bullet point Char,bullet point list Char,List Paragraph111 Char,L Char,F5 List Paragraph Char,Dot pt Char,CV text Char,Medium Grid 1 - Accent 21 Char,Numbered Paragraph Char"/>
    <w:basedOn w:val="DefaultParagraphFont"/>
    <w:link w:val="ListParagraph"/>
    <w:uiPriority w:val="7"/>
    <w:qFormat/>
    <w:rsid w:val="00502924"/>
  </w:style>
  <w:style w:type="character" w:customStyle="1" w:styleId="NumberedparagraphChar">
    <w:name w:val="Numbered paragraph Char"/>
    <w:basedOn w:val="ListParagraphChar"/>
    <w:link w:val="Numberedparagraph"/>
    <w:rsid w:val="002A320F"/>
    <w:rPr>
      <w:rFonts w:ascii="Arial" w:hAnsi="Arial" w:cs="Arial"/>
      <w:sz w:val="22"/>
      <w:lang w:val="en-AU" w:eastAsia="en-AU"/>
    </w:rPr>
  </w:style>
  <w:style w:type="character" w:customStyle="1" w:styleId="QuoteChar">
    <w:name w:val="Quote Char"/>
    <w:basedOn w:val="DefaultParagraphFont"/>
    <w:link w:val="Quote"/>
    <w:uiPriority w:val="29"/>
    <w:rsid w:val="00413721"/>
    <w:rPr>
      <w:rFonts w:ascii="Arial" w:hAnsi="Arial" w:cs="Arial"/>
      <w:sz w:val="22"/>
      <w:szCs w:val="20"/>
      <w:lang w:val="en-AU"/>
    </w:rPr>
  </w:style>
  <w:style w:type="paragraph" w:customStyle="1" w:styleId="Bulletedlist">
    <w:name w:val="Bulleted list"/>
    <w:basedOn w:val="ListParagraph"/>
    <w:qFormat/>
    <w:rsid w:val="002A320F"/>
    <w:pPr>
      <w:numPr>
        <w:numId w:val="16"/>
      </w:numPr>
      <w:spacing w:after="240"/>
      <w:contextualSpacing w:val="0"/>
    </w:pPr>
    <w:rPr>
      <w:rFonts w:ascii="Arial" w:hAnsi="Arial" w:cs="Arial"/>
      <w:sz w:val="22"/>
    </w:rPr>
  </w:style>
  <w:style w:type="character" w:styleId="FollowedHyperlink">
    <w:name w:val="FollowedHyperlink"/>
    <w:basedOn w:val="DefaultParagraphFont"/>
    <w:uiPriority w:val="99"/>
    <w:semiHidden/>
    <w:unhideWhenUsed/>
    <w:rsid w:val="00135057"/>
    <w:rPr>
      <w:color w:val="800080" w:themeColor="followedHyperlink"/>
      <w:u w:val="single"/>
    </w:rPr>
  </w:style>
  <w:style w:type="paragraph" w:styleId="Revision">
    <w:name w:val="Revision"/>
    <w:hidden/>
    <w:uiPriority w:val="99"/>
    <w:semiHidden/>
    <w:rsid w:val="0038345D"/>
    <w:rPr>
      <w:lang w:val="en-AU"/>
    </w:rPr>
  </w:style>
  <w:style w:type="paragraph" w:customStyle="1" w:styleId="Heading2black">
    <w:name w:val="Heading 2 (black)"/>
    <w:basedOn w:val="Normal"/>
    <w:qFormat/>
    <w:rsid w:val="00DD0080"/>
    <w:pPr>
      <w:spacing w:before="100" w:beforeAutospacing="1" w:after="100" w:afterAutospacing="1"/>
      <w:outlineLvl w:val="0"/>
    </w:pPr>
    <w:rPr>
      <w:rFonts w:ascii="Arial" w:eastAsia="Times New Roman" w:hAnsi="Arial" w:cs="Times New Roman"/>
      <w:bCs/>
      <w:color w:val="000000" w:themeColor="text1"/>
      <w:kern w:val="36"/>
      <w:sz w:val="36"/>
      <w:szCs w:val="48"/>
      <w:lang w:eastAsia="en-AU"/>
    </w:rPr>
  </w:style>
  <w:style w:type="paragraph" w:customStyle="1" w:styleId="Indent">
    <w:name w:val="Indent"/>
    <w:basedOn w:val="Normal"/>
    <w:qFormat/>
    <w:rsid w:val="001C0FB8"/>
    <w:pPr>
      <w:spacing w:before="100" w:beforeAutospacing="1" w:after="100" w:afterAutospacing="1" w:line="276" w:lineRule="auto"/>
      <w:ind w:left="907"/>
    </w:pPr>
    <w:rPr>
      <w:rFonts w:ascii="Arial" w:hAnsi="Arial" w:cs="Arial"/>
    </w:rPr>
  </w:style>
  <w:style w:type="paragraph" w:styleId="Title">
    <w:name w:val="Title"/>
    <w:basedOn w:val="Normal"/>
    <w:next w:val="Normal"/>
    <w:link w:val="TitleChar"/>
    <w:uiPriority w:val="10"/>
    <w:qFormat/>
    <w:rsid w:val="00790408"/>
    <w:pPr>
      <w:contextualSpacing/>
    </w:pPr>
    <w:rPr>
      <w:rFonts w:ascii="Arial" w:eastAsiaTheme="majorEastAsia" w:hAnsi="Arial" w:cstheme="majorBidi"/>
      <w:color w:val="004270"/>
      <w:spacing w:val="-10"/>
      <w:kern w:val="28"/>
      <w:sz w:val="56"/>
      <w:szCs w:val="56"/>
    </w:rPr>
  </w:style>
  <w:style w:type="character" w:customStyle="1" w:styleId="TitleChar">
    <w:name w:val="Title Char"/>
    <w:basedOn w:val="DefaultParagraphFont"/>
    <w:link w:val="Title"/>
    <w:uiPriority w:val="10"/>
    <w:rsid w:val="00790408"/>
    <w:rPr>
      <w:rFonts w:ascii="Arial" w:eastAsiaTheme="majorEastAsia" w:hAnsi="Arial" w:cstheme="majorBidi"/>
      <w:color w:val="004270"/>
      <w:spacing w:val="-10"/>
      <w:kern w:val="28"/>
      <w:sz w:val="56"/>
      <w:szCs w:val="56"/>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208852">
      <w:bodyDiv w:val="1"/>
      <w:marLeft w:val="0"/>
      <w:marRight w:val="0"/>
      <w:marTop w:val="0"/>
      <w:marBottom w:val="0"/>
      <w:divBdr>
        <w:top w:val="none" w:sz="0" w:space="0" w:color="auto"/>
        <w:left w:val="none" w:sz="0" w:space="0" w:color="auto"/>
        <w:bottom w:val="none" w:sz="0" w:space="0" w:color="auto"/>
        <w:right w:val="none" w:sz="0" w:space="0" w:color="auto"/>
      </w:divBdr>
    </w:div>
    <w:div w:id="179861545">
      <w:bodyDiv w:val="1"/>
      <w:marLeft w:val="0"/>
      <w:marRight w:val="0"/>
      <w:marTop w:val="0"/>
      <w:marBottom w:val="0"/>
      <w:divBdr>
        <w:top w:val="none" w:sz="0" w:space="0" w:color="auto"/>
        <w:left w:val="none" w:sz="0" w:space="0" w:color="auto"/>
        <w:bottom w:val="none" w:sz="0" w:space="0" w:color="auto"/>
        <w:right w:val="none" w:sz="0" w:space="0" w:color="auto"/>
      </w:divBdr>
    </w:div>
    <w:div w:id="204173072">
      <w:bodyDiv w:val="1"/>
      <w:marLeft w:val="0"/>
      <w:marRight w:val="0"/>
      <w:marTop w:val="0"/>
      <w:marBottom w:val="0"/>
      <w:divBdr>
        <w:top w:val="none" w:sz="0" w:space="0" w:color="auto"/>
        <w:left w:val="none" w:sz="0" w:space="0" w:color="auto"/>
        <w:bottom w:val="none" w:sz="0" w:space="0" w:color="auto"/>
        <w:right w:val="none" w:sz="0" w:space="0" w:color="auto"/>
      </w:divBdr>
    </w:div>
    <w:div w:id="437456286">
      <w:bodyDiv w:val="1"/>
      <w:marLeft w:val="0"/>
      <w:marRight w:val="0"/>
      <w:marTop w:val="0"/>
      <w:marBottom w:val="0"/>
      <w:divBdr>
        <w:top w:val="none" w:sz="0" w:space="0" w:color="auto"/>
        <w:left w:val="none" w:sz="0" w:space="0" w:color="auto"/>
        <w:bottom w:val="none" w:sz="0" w:space="0" w:color="auto"/>
        <w:right w:val="none" w:sz="0" w:space="0" w:color="auto"/>
      </w:divBdr>
    </w:div>
    <w:div w:id="681057338">
      <w:bodyDiv w:val="1"/>
      <w:marLeft w:val="0"/>
      <w:marRight w:val="0"/>
      <w:marTop w:val="0"/>
      <w:marBottom w:val="0"/>
      <w:divBdr>
        <w:top w:val="none" w:sz="0" w:space="0" w:color="auto"/>
        <w:left w:val="none" w:sz="0" w:space="0" w:color="auto"/>
        <w:bottom w:val="none" w:sz="0" w:space="0" w:color="auto"/>
        <w:right w:val="none" w:sz="0" w:space="0" w:color="auto"/>
      </w:divBdr>
    </w:div>
    <w:div w:id="934751406">
      <w:bodyDiv w:val="1"/>
      <w:marLeft w:val="0"/>
      <w:marRight w:val="0"/>
      <w:marTop w:val="0"/>
      <w:marBottom w:val="0"/>
      <w:divBdr>
        <w:top w:val="none" w:sz="0" w:space="0" w:color="auto"/>
        <w:left w:val="none" w:sz="0" w:space="0" w:color="auto"/>
        <w:bottom w:val="none" w:sz="0" w:space="0" w:color="auto"/>
        <w:right w:val="none" w:sz="0" w:space="0" w:color="auto"/>
      </w:divBdr>
    </w:div>
    <w:div w:id="1316255211">
      <w:bodyDiv w:val="1"/>
      <w:marLeft w:val="0"/>
      <w:marRight w:val="0"/>
      <w:marTop w:val="0"/>
      <w:marBottom w:val="0"/>
      <w:divBdr>
        <w:top w:val="none" w:sz="0" w:space="0" w:color="auto"/>
        <w:left w:val="none" w:sz="0" w:space="0" w:color="auto"/>
        <w:bottom w:val="none" w:sz="0" w:space="0" w:color="auto"/>
        <w:right w:val="none" w:sz="0" w:space="0" w:color="auto"/>
      </w:divBdr>
    </w:div>
    <w:div w:id="1659764813">
      <w:bodyDiv w:val="1"/>
      <w:marLeft w:val="0"/>
      <w:marRight w:val="0"/>
      <w:marTop w:val="0"/>
      <w:marBottom w:val="0"/>
      <w:divBdr>
        <w:top w:val="none" w:sz="0" w:space="0" w:color="auto"/>
        <w:left w:val="none" w:sz="0" w:space="0" w:color="auto"/>
        <w:bottom w:val="none" w:sz="0" w:space="0" w:color="auto"/>
        <w:right w:val="none" w:sz="0" w:space="0" w:color="auto"/>
      </w:divBdr>
    </w:div>
    <w:div w:id="18243505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www.health.vic.gov.au/covid-19/pandemic-order-regis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2018-11-19T00:00:00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280378A-3B75-45A4-937F-FA4992D56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13</Pages>
  <Words>3802</Words>
  <Characters>21672</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Public Health and Other Legislation (COVID-19 Management) Amendment Bill 2022</vt:lpstr>
    </vt:vector>
  </TitlesOfParts>
  <Company/>
  <LinksUpToDate>false</LinksUpToDate>
  <CharactersWithSpaces>25424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Health and Other Legislation (COVID-19 Management) Amendment Bill 2022</dc:title>
  <dc:subject/>
  <dc:creator>Sean Costello</dc:creator>
  <cp:keywords/>
  <dc:description/>
  <cp:lastModifiedBy>Sean Costello</cp:lastModifiedBy>
  <cp:revision>9</cp:revision>
  <cp:lastPrinted>2022-09-15T02:05:00Z</cp:lastPrinted>
  <dcterms:created xsi:type="dcterms:W3CDTF">2022-09-14T22:26:00Z</dcterms:created>
  <dcterms:modified xsi:type="dcterms:W3CDTF">2022-09-15T02:09:00Z</dcterms:modified>
</cp:coreProperties>
</file>