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Cs/>
          <w:color w:val="000000" w:themeColor="text1"/>
          <w:sz w:val="28"/>
          <w:szCs w:val="24"/>
          <w:lang w:val="en-AU"/>
        </w:rPr>
        <w:id w:val="2067608509"/>
        <w:docPartObj>
          <w:docPartGallery w:val="Cover Pages"/>
          <w:docPartUnique/>
        </w:docPartObj>
      </w:sdtPr>
      <w:sdtEndPr>
        <w:rPr>
          <w:rFonts w:cstheme="minorBidi"/>
          <w:bCs w:val="0"/>
          <w:sz w:val="16"/>
          <w:szCs w:val="16"/>
        </w:rPr>
      </w:sdtEndPr>
      <w:sdtContent>
        <w:p w14:paraId="54105ADD" w14:textId="77777777" w:rsidR="0035517B" w:rsidRDefault="0035517B" w:rsidP="00260847">
          <w:pPr>
            <w:pStyle w:val="NoSpacing"/>
            <w:spacing w:before="120" w:after="120"/>
            <w:rPr>
              <w:rFonts w:ascii="Arial" w:hAnsi="Arial" w:cs="Arial"/>
              <w:bCs/>
              <w:sz w:val="28"/>
            </w:rPr>
          </w:pPr>
        </w:p>
        <w:p w14:paraId="127AA46F" w14:textId="77777777" w:rsidR="0035517B" w:rsidRDefault="0035517B" w:rsidP="00260847">
          <w:pPr>
            <w:pStyle w:val="NoSpacing"/>
            <w:spacing w:before="120" w:after="120"/>
            <w:rPr>
              <w:rFonts w:ascii="Arial" w:hAnsi="Arial" w:cs="Arial"/>
              <w:bCs/>
              <w:sz w:val="28"/>
            </w:rPr>
          </w:pPr>
        </w:p>
        <w:p w14:paraId="0602E921" w14:textId="77777777" w:rsidR="0035517B" w:rsidRDefault="0035517B" w:rsidP="00260847">
          <w:pPr>
            <w:pStyle w:val="NoSpacing"/>
            <w:spacing w:before="120" w:after="120"/>
            <w:rPr>
              <w:rFonts w:ascii="Arial" w:hAnsi="Arial" w:cs="Arial"/>
              <w:bCs/>
              <w:sz w:val="28"/>
            </w:rPr>
          </w:pPr>
          <w:r w:rsidRPr="00F63848">
            <w:rPr>
              <w:noProof/>
              <w:lang w:val="en-AU" w:eastAsia="en-AU"/>
            </w:rPr>
            <w:drawing>
              <wp:inline distT="0" distB="0" distL="0" distR="0" wp14:anchorId="0FB4D2D5" wp14:editId="2708E616">
                <wp:extent cx="3259015" cy="1066800"/>
                <wp:effectExtent l="0" t="0" r="0" b="0"/>
                <wp:docPr id="3" name="Picture 3" descr="H:\QHRC-logo-rgb-for-digital-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QHRC-logo-rgb-for-digital-use.png"/>
                        <pic:cNvPicPr>
                          <a:picLocks noChangeAspect="1" noChangeArrowheads="1"/>
                        </pic:cNvPicPr>
                      </pic:nvPicPr>
                      <pic:blipFill rotWithShape="1">
                        <a:blip r:embed="rId12">
                          <a:extLst>
                            <a:ext uri="{28A0092B-C50C-407E-A947-70E740481C1C}">
                              <a14:useLocalDpi xmlns:a14="http://schemas.microsoft.com/office/drawing/2010/main" val="0"/>
                            </a:ext>
                          </a:extLst>
                        </a:blip>
                        <a:srcRect l="4903" t="13919" r="4207" b="11569"/>
                        <a:stretch/>
                      </pic:blipFill>
                      <pic:spPr bwMode="auto">
                        <a:xfrm>
                          <a:off x="0" y="0"/>
                          <a:ext cx="3303563" cy="1081382"/>
                        </a:xfrm>
                        <a:prstGeom prst="rect">
                          <a:avLst/>
                        </a:prstGeom>
                        <a:noFill/>
                        <a:ln>
                          <a:noFill/>
                        </a:ln>
                        <a:extLst>
                          <a:ext uri="{53640926-AAD7-44D8-BBD7-CCE9431645EC}">
                            <a14:shadowObscured xmlns:a14="http://schemas.microsoft.com/office/drawing/2010/main"/>
                          </a:ext>
                        </a:extLst>
                      </pic:spPr>
                    </pic:pic>
                  </a:graphicData>
                </a:graphic>
              </wp:inline>
            </w:drawing>
          </w:r>
        </w:p>
        <w:p w14:paraId="38B6504F" w14:textId="77777777" w:rsidR="0035517B" w:rsidRDefault="0035517B" w:rsidP="00260847">
          <w:pPr>
            <w:pStyle w:val="NoSpacing"/>
            <w:spacing w:before="120" w:after="120"/>
            <w:rPr>
              <w:rFonts w:ascii="Arial" w:hAnsi="Arial" w:cs="Arial"/>
              <w:bCs/>
              <w:sz w:val="28"/>
            </w:rPr>
          </w:pPr>
        </w:p>
        <w:p w14:paraId="4533BED1" w14:textId="77777777" w:rsidR="0035517B" w:rsidRDefault="0035517B" w:rsidP="00260847">
          <w:pPr>
            <w:pStyle w:val="NoSpacing"/>
            <w:spacing w:before="120" w:after="120"/>
            <w:rPr>
              <w:rFonts w:ascii="Arial" w:hAnsi="Arial" w:cs="Arial"/>
              <w:bCs/>
              <w:sz w:val="28"/>
            </w:rPr>
          </w:pPr>
        </w:p>
        <w:p w14:paraId="6D2C22C7" w14:textId="77777777" w:rsidR="0035517B" w:rsidRDefault="0035517B" w:rsidP="00260847">
          <w:pPr>
            <w:pStyle w:val="NoSpacing"/>
            <w:spacing w:before="120" w:after="120"/>
            <w:rPr>
              <w:rFonts w:ascii="Arial" w:hAnsi="Arial" w:cs="Arial"/>
              <w:bCs/>
              <w:sz w:val="28"/>
            </w:rPr>
          </w:pPr>
        </w:p>
        <w:p w14:paraId="513F17BD" w14:textId="77777777" w:rsidR="0035517B" w:rsidRDefault="0035517B" w:rsidP="00260847">
          <w:pPr>
            <w:pStyle w:val="NoSpacing"/>
            <w:spacing w:before="120" w:after="120"/>
            <w:rPr>
              <w:rFonts w:ascii="Arial" w:hAnsi="Arial" w:cs="Arial"/>
              <w:bCs/>
              <w:sz w:val="28"/>
            </w:rPr>
          </w:pPr>
        </w:p>
        <w:p w14:paraId="7C7E99C7" w14:textId="77777777" w:rsidR="0035517B" w:rsidRDefault="0035517B" w:rsidP="00260847">
          <w:pPr>
            <w:pStyle w:val="NoSpacing"/>
            <w:spacing w:before="120" w:after="120"/>
            <w:rPr>
              <w:rFonts w:ascii="Arial" w:hAnsi="Arial" w:cs="Arial"/>
              <w:bCs/>
              <w:sz w:val="28"/>
            </w:rPr>
          </w:pPr>
        </w:p>
        <w:p w14:paraId="1FDE6B9E" w14:textId="77777777" w:rsidR="0035517B" w:rsidRDefault="0035517B" w:rsidP="00260847">
          <w:pPr>
            <w:pStyle w:val="NoSpacing"/>
            <w:spacing w:before="120" w:after="120"/>
            <w:rPr>
              <w:rFonts w:ascii="Arial" w:hAnsi="Arial" w:cs="Arial"/>
              <w:bCs/>
              <w:sz w:val="28"/>
            </w:rPr>
          </w:pPr>
        </w:p>
        <w:p w14:paraId="32D35DD9" w14:textId="16A4444E" w:rsidR="0035517B" w:rsidRPr="0035517B" w:rsidRDefault="00A23269" w:rsidP="0035517B">
          <w:pPr>
            <w:pStyle w:val="Title"/>
          </w:pPr>
          <w:r w:rsidRPr="00A23269">
            <w:t>Public Sector Bill 2022</w:t>
          </w:r>
          <w:r w:rsidR="0035517B">
            <w:t xml:space="preserve"> </w:t>
          </w:r>
        </w:p>
        <w:p w14:paraId="71C41250" w14:textId="6C890357" w:rsidR="00260847" w:rsidRDefault="00260847" w:rsidP="0035517B">
          <w:pPr>
            <w:pStyle w:val="Heading2"/>
          </w:pPr>
          <w:bookmarkStart w:id="0" w:name="_Toc117664661"/>
          <w:bookmarkStart w:id="1" w:name="_Toc117664690"/>
          <w:bookmarkStart w:id="2" w:name="_Toc117671517"/>
          <w:bookmarkStart w:id="3" w:name="_Toc117782673"/>
          <w:bookmarkStart w:id="4" w:name="_Toc117837700"/>
          <w:bookmarkStart w:id="5" w:name="_Toc117842223"/>
          <w:r w:rsidRPr="00260847">
            <w:t>Submission</w:t>
          </w:r>
          <w:r>
            <w:t xml:space="preserve"> </w:t>
          </w:r>
          <w:r w:rsidRPr="00260847">
            <w:t>to</w:t>
          </w:r>
          <w:r>
            <w:t xml:space="preserve"> </w:t>
          </w:r>
          <w:r w:rsidR="00FD22A6">
            <w:br/>
          </w:r>
          <w:r w:rsidR="00A23269">
            <w:t>Economics and Governance Committee</w:t>
          </w:r>
          <w:bookmarkEnd w:id="0"/>
          <w:bookmarkEnd w:id="1"/>
          <w:bookmarkEnd w:id="2"/>
          <w:bookmarkEnd w:id="3"/>
          <w:bookmarkEnd w:id="4"/>
          <w:bookmarkEnd w:id="5"/>
          <w:r w:rsidR="00A23269">
            <w:t xml:space="preserve"> </w:t>
          </w:r>
        </w:p>
        <w:p w14:paraId="5F522407" w14:textId="77777777" w:rsidR="00FD22A6" w:rsidRPr="00FD22A6" w:rsidRDefault="00FD22A6" w:rsidP="00FD22A6"/>
        <w:p w14:paraId="09FF8805" w14:textId="6DC48E63" w:rsidR="00260847" w:rsidRPr="00FD22A6" w:rsidRDefault="00A23269" w:rsidP="0035517B">
          <w:pPr>
            <w:pStyle w:val="Heading2"/>
            <w:rPr>
              <w:sz w:val="28"/>
              <w:szCs w:val="20"/>
            </w:rPr>
          </w:pPr>
          <w:bookmarkStart w:id="6" w:name="_Toc117664662"/>
          <w:bookmarkStart w:id="7" w:name="_Toc117664691"/>
          <w:bookmarkStart w:id="8" w:name="_Toc117671518"/>
          <w:bookmarkStart w:id="9" w:name="_Toc117782674"/>
          <w:bookmarkStart w:id="10" w:name="_Toc117837701"/>
          <w:bookmarkStart w:id="11" w:name="_Toc117842224"/>
          <w:r w:rsidRPr="00FD22A6">
            <w:rPr>
              <w:sz w:val="28"/>
              <w:szCs w:val="20"/>
            </w:rPr>
            <w:t>28 October 2022</w:t>
          </w:r>
          <w:bookmarkEnd w:id="6"/>
          <w:bookmarkEnd w:id="7"/>
          <w:bookmarkEnd w:id="8"/>
          <w:bookmarkEnd w:id="9"/>
          <w:bookmarkEnd w:id="10"/>
          <w:bookmarkEnd w:id="11"/>
        </w:p>
        <w:p w14:paraId="2B11CC29" w14:textId="77777777" w:rsidR="00260847" w:rsidRDefault="00260847">
          <w:pPr>
            <w:rPr>
              <w:rFonts w:cs="Arial"/>
              <w:bCs/>
              <w:sz w:val="28"/>
              <w:szCs w:val="22"/>
              <w:lang w:val="en-US"/>
            </w:rPr>
          </w:pPr>
          <w:r>
            <w:rPr>
              <w:rFonts w:cs="Arial"/>
              <w:bCs/>
              <w:sz w:val="28"/>
            </w:rPr>
            <w:br w:type="page"/>
          </w:r>
        </w:p>
        <w:p w14:paraId="64D1F80A" w14:textId="77777777" w:rsidR="004A2375" w:rsidRDefault="004A2375" w:rsidP="00260847">
          <w:pPr>
            <w:pStyle w:val="NoSpacing"/>
            <w:spacing w:before="120" w:after="120"/>
          </w:pPr>
        </w:p>
        <w:p w14:paraId="66258BD8" w14:textId="77777777" w:rsidR="00A16356" w:rsidRPr="004A2375" w:rsidRDefault="00454717">
          <w:pPr>
            <w:rPr>
              <w:rFonts w:eastAsiaTheme="majorEastAsia" w:cstheme="majorBidi"/>
              <w:b/>
              <w:color w:val="365F91" w:themeColor="accent1" w:themeShade="BF"/>
              <w:sz w:val="16"/>
              <w:szCs w:val="16"/>
            </w:rPr>
          </w:pPr>
        </w:p>
      </w:sdtContent>
    </w:sdt>
    <w:bookmarkStart w:id="12" w:name="_Toc117664663" w:displacedByCustomXml="next"/>
    <w:bookmarkStart w:id="13" w:name="_Toc117664692" w:displacedByCustomXml="next"/>
    <w:bookmarkStart w:id="14" w:name="_Toc117671519" w:displacedByCustomXml="next"/>
    <w:bookmarkStart w:id="15" w:name="_Toc117782675" w:displacedByCustomXml="next"/>
    <w:bookmarkStart w:id="16" w:name="_Toc117837702" w:displacedByCustomXml="next"/>
    <w:bookmarkStart w:id="17" w:name="_Toc117842225" w:displacedByCustomXml="next"/>
    <w:sdt>
      <w:sdtPr>
        <w:rPr>
          <w:rFonts w:asciiTheme="minorHAnsi" w:eastAsiaTheme="minorEastAsia" w:hAnsiTheme="minorHAnsi" w:cstheme="minorBidi"/>
          <w:color w:val="auto"/>
          <w:sz w:val="24"/>
          <w:szCs w:val="24"/>
          <w:lang w:val="en-US"/>
        </w:rPr>
        <w:id w:val="-331140652"/>
        <w:docPartObj>
          <w:docPartGallery w:val="Table of Contents"/>
          <w:docPartUnique/>
        </w:docPartObj>
      </w:sdtPr>
      <w:sdtEndPr>
        <w:rPr>
          <w:rFonts w:ascii="Arial" w:hAnsi="Arial" w:cs="Arial"/>
          <w:b/>
          <w:bCs/>
          <w:noProof/>
          <w:color w:val="000000" w:themeColor="text1"/>
          <w:sz w:val="22"/>
          <w:lang w:val="en-AU"/>
        </w:rPr>
      </w:sdtEndPr>
      <w:sdtContent>
        <w:bookmarkEnd w:id="16" w:displacedByCustomXml="prev"/>
        <w:bookmarkEnd w:id="15" w:displacedByCustomXml="prev"/>
        <w:bookmarkEnd w:id="14" w:displacedByCustomXml="prev"/>
        <w:bookmarkEnd w:id="13" w:displacedByCustomXml="prev"/>
        <w:bookmarkEnd w:id="12" w:displacedByCustomXml="prev"/>
        <w:p w14:paraId="201D7868" w14:textId="77777777" w:rsidR="0016255C" w:rsidRDefault="007D0A37" w:rsidP="008027CC">
          <w:pPr>
            <w:pStyle w:val="Heading1"/>
            <w:rPr>
              <w:noProof/>
            </w:rPr>
          </w:pPr>
          <w:r>
            <w:t>C</w:t>
          </w:r>
          <w:r w:rsidR="00A16356" w:rsidRPr="00A16356">
            <w:t>ontents</w:t>
          </w:r>
          <w:bookmarkEnd w:id="17"/>
          <w:r w:rsidR="00A16356" w:rsidRPr="00041E58">
            <w:rPr>
              <w:rFonts w:cs="Arial"/>
              <w:b/>
              <w:bCs/>
              <w:noProof/>
            </w:rPr>
            <w:fldChar w:fldCharType="begin"/>
          </w:r>
          <w:r w:rsidR="00A16356" w:rsidRPr="00041E58">
            <w:rPr>
              <w:rFonts w:cs="Arial"/>
              <w:b/>
              <w:bCs/>
              <w:noProof/>
            </w:rPr>
            <w:instrText xml:space="preserve"> TOC \o "1-3" \h \z \u </w:instrText>
          </w:r>
          <w:r w:rsidR="00A16356" w:rsidRPr="00041E58">
            <w:rPr>
              <w:rFonts w:cs="Arial"/>
              <w:b/>
              <w:bCs/>
              <w:noProof/>
            </w:rPr>
            <w:fldChar w:fldCharType="separate"/>
          </w:r>
        </w:p>
        <w:p w14:paraId="3821C3CF" w14:textId="38BDC1F4" w:rsidR="0016255C" w:rsidRDefault="0016255C">
          <w:pPr>
            <w:pStyle w:val="TOC1"/>
            <w:rPr>
              <w:rFonts w:asciiTheme="minorHAnsi" w:hAnsiTheme="minorHAnsi"/>
              <w:noProof/>
              <w:color w:val="auto"/>
              <w:szCs w:val="22"/>
              <w:lang w:eastAsia="en-AU"/>
            </w:rPr>
          </w:pPr>
          <w:hyperlink w:anchor="_Toc117842226" w:history="1">
            <w:r w:rsidRPr="00157495">
              <w:rPr>
                <w:rStyle w:val="Hyperlink"/>
                <w:noProof/>
              </w:rPr>
              <w:t>Summary and recommendations</w:t>
            </w:r>
            <w:r>
              <w:rPr>
                <w:noProof/>
                <w:webHidden/>
              </w:rPr>
              <w:tab/>
            </w:r>
            <w:r>
              <w:rPr>
                <w:noProof/>
                <w:webHidden/>
              </w:rPr>
              <w:fldChar w:fldCharType="begin"/>
            </w:r>
            <w:r>
              <w:rPr>
                <w:noProof/>
                <w:webHidden/>
              </w:rPr>
              <w:instrText xml:space="preserve"> PAGEREF _Toc117842226 \h </w:instrText>
            </w:r>
            <w:r>
              <w:rPr>
                <w:noProof/>
                <w:webHidden/>
              </w:rPr>
            </w:r>
            <w:r>
              <w:rPr>
                <w:noProof/>
                <w:webHidden/>
              </w:rPr>
              <w:fldChar w:fldCharType="separate"/>
            </w:r>
            <w:r w:rsidR="00466272">
              <w:rPr>
                <w:noProof/>
                <w:webHidden/>
              </w:rPr>
              <w:t>2</w:t>
            </w:r>
            <w:r>
              <w:rPr>
                <w:noProof/>
                <w:webHidden/>
              </w:rPr>
              <w:fldChar w:fldCharType="end"/>
            </w:r>
          </w:hyperlink>
        </w:p>
        <w:p w14:paraId="0261A4A9" w14:textId="4B45FD97" w:rsidR="0016255C" w:rsidRDefault="0016255C">
          <w:pPr>
            <w:pStyle w:val="TOC1"/>
            <w:rPr>
              <w:rFonts w:asciiTheme="minorHAnsi" w:hAnsiTheme="minorHAnsi"/>
              <w:noProof/>
              <w:color w:val="auto"/>
              <w:szCs w:val="22"/>
              <w:lang w:eastAsia="en-AU"/>
            </w:rPr>
          </w:pPr>
          <w:hyperlink w:anchor="_Toc117842227" w:history="1">
            <w:r w:rsidRPr="00157495">
              <w:rPr>
                <w:rStyle w:val="Hyperlink"/>
                <w:noProof/>
              </w:rPr>
              <w:t>Introduction</w:t>
            </w:r>
            <w:r>
              <w:rPr>
                <w:noProof/>
                <w:webHidden/>
              </w:rPr>
              <w:tab/>
            </w:r>
            <w:r>
              <w:rPr>
                <w:noProof/>
                <w:webHidden/>
              </w:rPr>
              <w:fldChar w:fldCharType="begin"/>
            </w:r>
            <w:r>
              <w:rPr>
                <w:noProof/>
                <w:webHidden/>
              </w:rPr>
              <w:instrText xml:space="preserve"> PAGEREF _Toc117842227 \h </w:instrText>
            </w:r>
            <w:r>
              <w:rPr>
                <w:noProof/>
                <w:webHidden/>
              </w:rPr>
            </w:r>
            <w:r>
              <w:rPr>
                <w:noProof/>
                <w:webHidden/>
              </w:rPr>
              <w:fldChar w:fldCharType="separate"/>
            </w:r>
            <w:r w:rsidR="00466272">
              <w:rPr>
                <w:noProof/>
                <w:webHidden/>
              </w:rPr>
              <w:t>2</w:t>
            </w:r>
            <w:r>
              <w:rPr>
                <w:noProof/>
                <w:webHidden/>
              </w:rPr>
              <w:fldChar w:fldCharType="end"/>
            </w:r>
          </w:hyperlink>
        </w:p>
        <w:p w14:paraId="76F68D4E" w14:textId="4242A817" w:rsidR="0016255C" w:rsidRDefault="0016255C">
          <w:pPr>
            <w:pStyle w:val="TOC1"/>
            <w:rPr>
              <w:rFonts w:asciiTheme="minorHAnsi" w:hAnsiTheme="minorHAnsi"/>
              <w:noProof/>
              <w:color w:val="auto"/>
              <w:szCs w:val="22"/>
              <w:lang w:eastAsia="en-AU"/>
            </w:rPr>
          </w:pPr>
          <w:hyperlink w:anchor="_Toc117842228" w:history="1">
            <w:r w:rsidRPr="00157495">
              <w:rPr>
                <w:rStyle w:val="Hyperlink"/>
                <w:noProof/>
              </w:rPr>
              <w:t>Equity, diversity, respect, and inclusion</w:t>
            </w:r>
            <w:r>
              <w:rPr>
                <w:noProof/>
                <w:webHidden/>
              </w:rPr>
              <w:tab/>
            </w:r>
            <w:r>
              <w:rPr>
                <w:noProof/>
                <w:webHidden/>
              </w:rPr>
              <w:fldChar w:fldCharType="begin"/>
            </w:r>
            <w:r>
              <w:rPr>
                <w:noProof/>
                <w:webHidden/>
              </w:rPr>
              <w:instrText xml:space="preserve"> PAGEREF _Toc117842228 \h </w:instrText>
            </w:r>
            <w:r>
              <w:rPr>
                <w:noProof/>
                <w:webHidden/>
              </w:rPr>
            </w:r>
            <w:r>
              <w:rPr>
                <w:noProof/>
                <w:webHidden/>
              </w:rPr>
              <w:fldChar w:fldCharType="separate"/>
            </w:r>
            <w:r w:rsidR="00466272">
              <w:rPr>
                <w:noProof/>
                <w:webHidden/>
              </w:rPr>
              <w:t>3</w:t>
            </w:r>
            <w:r>
              <w:rPr>
                <w:noProof/>
                <w:webHidden/>
              </w:rPr>
              <w:fldChar w:fldCharType="end"/>
            </w:r>
          </w:hyperlink>
        </w:p>
        <w:p w14:paraId="6B97E617" w14:textId="6D24D0AC" w:rsidR="0016255C" w:rsidRDefault="0016255C" w:rsidP="0016255C">
          <w:pPr>
            <w:pStyle w:val="TOC2"/>
            <w:rPr>
              <w:rFonts w:asciiTheme="minorHAnsi" w:hAnsiTheme="minorHAnsi"/>
              <w:noProof/>
              <w:color w:val="auto"/>
              <w:szCs w:val="22"/>
              <w:lang w:eastAsia="en-AU"/>
            </w:rPr>
          </w:pPr>
          <w:hyperlink w:anchor="_Toc117842229" w:history="1">
            <w:r w:rsidRPr="00157495">
              <w:rPr>
                <w:rStyle w:val="Hyperlink"/>
                <w:noProof/>
              </w:rPr>
              <w:t>Actively progressing gender pay equity</w:t>
            </w:r>
            <w:r>
              <w:rPr>
                <w:noProof/>
                <w:webHidden/>
              </w:rPr>
              <w:tab/>
            </w:r>
            <w:r>
              <w:rPr>
                <w:noProof/>
                <w:webHidden/>
              </w:rPr>
              <w:fldChar w:fldCharType="begin"/>
            </w:r>
            <w:r>
              <w:rPr>
                <w:noProof/>
                <w:webHidden/>
              </w:rPr>
              <w:instrText xml:space="preserve"> PAGEREF _Toc117842229 \h </w:instrText>
            </w:r>
            <w:r>
              <w:rPr>
                <w:noProof/>
                <w:webHidden/>
              </w:rPr>
            </w:r>
            <w:r>
              <w:rPr>
                <w:noProof/>
                <w:webHidden/>
              </w:rPr>
              <w:fldChar w:fldCharType="separate"/>
            </w:r>
            <w:r w:rsidR="00466272">
              <w:rPr>
                <w:noProof/>
                <w:webHidden/>
              </w:rPr>
              <w:t>3</w:t>
            </w:r>
            <w:r>
              <w:rPr>
                <w:noProof/>
                <w:webHidden/>
              </w:rPr>
              <w:fldChar w:fldCharType="end"/>
            </w:r>
          </w:hyperlink>
        </w:p>
        <w:p w14:paraId="3D6301C2" w14:textId="48C51382" w:rsidR="0016255C" w:rsidRDefault="0016255C" w:rsidP="0016255C">
          <w:pPr>
            <w:pStyle w:val="TOC2"/>
            <w:rPr>
              <w:rFonts w:asciiTheme="minorHAnsi" w:hAnsiTheme="minorHAnsi"/>
              <w:noProof/>
              <w:color w:val="auto"/>
              <w:szCs w:val="22"/>
              <w:lang w:eastAsia="en-AU"/>
            </w:rPr>
          </w:pPr>
          <w:hyperlink w:anchor="_Toc117842230" w:history="1">
            <w:r w:rsidRPr="00157495">
              <w:rPr>
                <w:rStyle w:val="Hyperlink"/>
                <w:noProof/>
              </w:rPr>
              <w:t>Positive duties</w:t>
            </w:r>
            <w:r>
              <w:rPr>
                <w:noProof/>
                <w:webHidden/>
              </w:rPr>
              <w:tab/>
            </w:r>
            <w:r>
              <w:rPr>
                <w:noProof/>
                <w:webHidden/>
              </w:rPr>
              <w:fldChar w:fldCharType="begin"/>
            </w:r>
            <w:r>
              <w:rPr>
                <w:noProof/>
                <w:webHidden/>
              </w:rPr>
              <w:instrText xml:space="preserve"> PAGEREF _Toc117842230 \h </w:instrText>
            </w:r>
            <w:r>
              <w:rPr>
                <w:noProof/>
                <w:webHidden/>
              </w:rPr>
            </w:r>
            <w:r>
              <w:rPr>
                <w:noProof/>
                <w:webHidden/>
              </w:rPr>
              <w:fldChar w:fldCharType="separate"/>
            </w:r>
            <w:r w:rsidR="00466272">
              <w:rPr>
                <w:noProof/>
                <w:webHidden/>
              </w:rPr>
              <w:t>4</w:t>
            </w:r>
            <w:r>
              <w:rPr>
                <w:noProof/>
                <w:webHidden/>
              </w:rPr>
              <w:fldChar w:fldCharType="end"/>
            </w:r>
          </w:hyperlink>
        </w:p>
        <w:p w14:paraId="1A473DA1" w14:textId="13DE2AF1" w:rsidR="0016255C" w:rsidRDefault="0016255C">
          <w:pPr>
            <w:pStyle w:val="TOC3"/>
            <w:tabs>
              <w:tab w:val="right" w:leader="dot" w:pos="8296"/>
            </w:tabs>
            <w:rPr>
              <w:rFonts w:asciiTheme="minorHAnsi" w:hAnsiTheme="minorHAnsi"/>
              <w:noProof/>
              <w:color w:val="auto"/>
              <w:szCs w:val="22"/>
              <w:lang w:eastAsia="en-AU"/>
            </w:rPr>
          </w:pPr>
          <w:hyperlink w:anchor="_Toc117842231" w:history="1">
            <w:r w:rsidRPr="00157495">
              <w:rPr>
                <w:rStyle w:val="Hyperlink"/>
                <w:noProof/>
              </w:rPr>
              <w:t>Promoting equity and diversity</w:t>
            </w:r>
            <w:r>
              <w:rPr>
                <w:noProof/>
                <w:webHidden/>
              </w:rPr>
              <w:tab/>
            </w:r>
            <w:r>
              <w:rPr>
                <w:noProof/>
                <w:webHidden/>
              </w:rPr>
              <w:fldChar w:fldCharType="begin"/>
            </w:r>
            <w:r>
              <w:rPr>
                <w:noProof/>
                <w:webHidden/>
              </w:rPr>
              <w:instrText xml:space="preserve"> PAGEREF _Toc117842231 \h </w:instrText>
            </w:r>
            <w:r>
              <w:rPr>
                <w:noProof/>
                <w:webHidden/>
              </w:rPr>
            </w:r>
            <w:r>
              <w:rPr>
                <w:noProof/>
                <w:webHidden/>
              </w:rPr>
              <w:fldChar w:fldCharType="separate"/>
            </w:r>
            <w:r w:rsidR="00466272">
              <w:rPr>
                <w:noProof/>
                <w:webHidden/>
              </w:rPr>
              <w:t>5</w:t>
            </w:r>
            <w:r>
              <w:rPr>
                <w:noProof/>
                <w:webHidden/>
              </w:rPr>
              <w:fldChar w:fldCharType="end"/>
            </w:r>
          </w:hyperlink>
        </w:p>
        <w:p w14:paraId="3A140E46" w14:textId="310F9065" w:rsidR="0016255C" w:rsidRDefault="0016255C" w:rsidP="0016255C">
          <w:pPr>
            <w:pStyle w:val="TOC2"/>
            <w:rPr>
              <w:rFonts w:asciiTheme="minorHAnsi" w:hAnsiTheme="minorHAnsi"/>
              <w:noProof/>
              <w:color w:val="auto"/>
              <w:szCs w:val="22"/>
              <w:lang w:eastAsia="en-AU"/>
            </w:rPr>
          </w:pPr>
          <w:hyperlink w:anchor="_Toc117842232" w:history="1">
            <w:r w:rsidRPr="00157495">
              <w:rPr>
                <w:rStyle w:val="Hyperlink"/>
                <w:noProof/>
              </w:rPr>
              <w:t>Diversity target groups</w:t>
            </w:r>
            <w:r>
              <w:rPr>
                <w:noProof/>
                <w:webHidden/>
              </w:rPr>
              <w:tab/>
            </w:r>
            <w:r>
              <w:rPr>
                <w:noProof/>
                <w:webHidden/>
              </w:rPr>
              <w:fldChar w:fldCharType="begin"/>
            </w:r>
            <w:r>
              <w:rPr>
                <w:noProof/>
                <w:webHidden/>
              </w:rPr>
              <w:instrText xml:space="preserve"> PAGEREF _Toc117842232 \h </w:instrText>
            </w:r>
            <w:r>
              <w:rPr>
                <w:noProof/>
                <w:webHidden/>
              </w:rPr>
            </w:r>
            <w:r>
              <w:rPr>
                <w:noProof/>
                <w:webHidden/>
              </w:rPr>
              <w:fldChar w:fldCharType="separate"/>
            </w:r>
            <w:r w:rsidR="00466272">
              <w:rPr>
                <w:noProof/>
                <w:webHidden/>
              </w:rPr>
              <w:t>6</w:t>
            </w:r>
            <w:r>
              <w:rPr>
                <w:noProof/>
                <w:webHidden/>
              </w:rPr>
              <w:fldChar w:fldCharType="end"/>
            </w:r>
          </w:hyperlink>
        </w:p>
        <w:p w14:paraId="2E746388" w14:textId="0C788363" w:rsidR="0016255C" w:rsidRDefault="0016255C">
          <w:pPr>
            <w:pStyle w:val="TOC3"/>
            <w:tabs>
              <w:tab w:val="right" w:leader="dot" w:pos="8296"/>
            </w:tabs>
            <w:rPr>
              <w:rFonts w:asciiTheme="minorHAnsi" w:hAnsiTheme="minorHAnsi"/>
              <w:noProof/>
              <w:color w:val="auto"/>
              <w:szCs w:val="22"/>
              <w:lang w:eastAsia="en-AU"/>
            </w:rPr>
          </w:pPr>
          <w:hyperlink w:anchor="_Toc117842233" w:history="1">
            <w:r w:rsidRPr="00157495">
              <w:rPr>
                <w:rStyle w:val="Hyperlink"/>
                <w:noProof/>
              </w:rPr>
              <w:t>Target groups</w:t>
            </w:r>
            <w:r>
              <w:rPr>
                <w:noProof/>
                <w:webHidden/>
              </w:rPr>
              <w:tab/>
            </w:r>
            <w:r>
              <w:rPr>
                <w:noProof/>
                <w:webHidden/>
              </w:rPr>
              <w:fldChar w:fldCharType="begin"/>
            </w:r>
            <w:r>
              <w:rPr>
                <w:noProof/>
                <w:webHidden/>
              </w:rPr>
              <w:instrText xml:space="preserve"> PAGEREF _Toc117842233 \h </w:instrText>
            </w:r>
            <w:r>
              <w:rPr>
                <w:noProof/>
                <w:webHidden/>
              </w:rPr>
            </w:r>
            <w:r>
              <w:rPr>
                <w:noProof/>
                <w:webHidden/>
              </w:rPr>
              <w:fldChar w:fldCharType="separate"/>
            </w:r>
            <w:r w:rsidR="00466272">
              <w:rPr>
                <w:noProof/>
                <w:webHidden/>
              </w:rPr>
              <w:t>6</w:t>
            </w:r>
            <w:r>
              <w:rPr>
                <w:noProof/>
                <w:webHidden/>
              </w:rPr>
              <w:fldChar w:fldCharType="end"/>
            </w:r>
          </w:hyperlink>
        </w:p>
        <w:p w14:paraId="421B128D" w14:textId="09F2CA6D" w:rsidR="0016255C" w:rsidRDefault="0016255C">
          <w:pPr>
            <w:pStyle w:val="TOC3"/>
            <w:tabs>
              <w:tab w:val="right" w:leader="dot" w:pos="8296"/>
            </w:tabs>
            <w:rPr>
              <w:rFonts w:asciiTheme="minorHAnsi" w:hAnsiTheme="minorHAnsi"/>
              <w:noProof/>
              <w:color w:val="auto"/>
              <w:szCs w:val="22"/>
              <w:lang w:eastAsia="en-AU"/>
            </w:rPr>
          </w:pPr>
          <w:hyperlink w:anchor="_Toc117842234" w:history="1">
            <w:r w:rsidRPr="00157495">
              <w:rPr>
                <w:rStyle w:val="Hyperlink"/>
                <w:noProof/>
              </w:rPr>
              <w:t>LGBTIQ+ employees</w:t>
            </w:r>
            <w:r>
              <w:rPr>
                <w:noProof/>
                <w:webHidden/>
              </w:rPr>
              <w:tab/>
            </w:r>
            <w:r>
              <w:rPr>
                <w:noProof/>
                <w:webHidden/>
              </w:rPr>
              <w:fldChar w:fldCharType="begin"/>
            </w:r>
            <w:r>
              <w:rPr>
                <w:noProof/>
                <w:webHidden/>
              </w:rPr>
              <w:instrText xml:space="preserve"> PAGEREF _Toc117842234 \h </w:instrText>
            </w:r>
            <w:r>
              <w:rPr>
                <w:noProof/>
                <w:webHidden/>
              </w:rPr>
            </w:r>
            <w:r>
              <w:rPr>
                <w:noProof/>
                <w:webHidden/>
              </w:rPr>
              <w:fldChar w:fldCharType="separate"/>
            </w:r>
            <w:r w:rsidR="00466272">
              <w:rPr>
                <w:noProof/>
                <w:webHidden/>
              </w:rPr>
              <w:t>6</w:t>
            </w:r>
            <w:r>
              <w:rPr>
                <w:noProof/>
                <w:webHidden/>
              </w:rPr>
              <w:fldChar w:fldCharType="end"/>
            </w:r>
          </w:hyperlink>
        </w:p>
        <w:p w14:paraId="23A38344" w14:textId="08F6A69A" w:rsidR="0016255C" w:rsidRDefault="0016255C">
          <w:pPr>
            <w:pStyle w:val="TOC1"/>
            <w:rPr>
              <w:rFonts w:asciiTheme="minorHAnsi" w:hAnsiTheme="minorHAnsi"/>
              <w:noProof/>
              <w:color w:val="auto"/>
              <w:szCs w:val="22"/>
              <w:lang w:eastAsia="en-AU"/>
            </w:rPr>
          </w:pPr>
          <w:hyperlink w:anchor="_Toc117842235" w:history="1">
            <w:r w:rsidRPr="00157495">
              <w:rPr>
                <w:rStyle w:val="Hyperlink"/>
                <w:noProof/>
              </w:rPr>
              <w:t>Independent role of the QHRC</w:t>
            </w:r>
            <w:r>
              <w:rPr>
                <w:noProof/>
                <w:webHidden/>
              </w:rPr>
              <w:tab/>
            </w:r>
            <w:r>
              <w:rPr>
                <w:noProof/>
                <w:webHidden/>
              </w:rPr>
              <w:fldChar w:fldCharType="begin"/>
            </w:r>
            <w:r>
              <w:rPr>
                <w:noProof/>
                <w:webHidden/>
              </w:rPr>
              <w:instrText xml:space="preserve"> PAGEREF _Toc117842235 \h </w:instrText>
            </w:r>
            <w:r>
              <w:rPr>
                <w:noProof/>
                <w:webHidden/>
              </w:rPr>
            </w:r>
            <w:r>
              <w:rPr>
                <w:noProof/>
                <w:webHidden/>
              </w:rPr>
              <w:fldChar w:fldCharType="separate"/>
            </w:r>
            <w:r w:rsidR="00466272">
              <w:rPr>
                <w:noProof/>
                <w:webHidden/>
              </w:rPr>
              <w:t>7</w:t>
            </w:r>
            <w:r>
              <w:rPr>
                <w:noProof/>
                <w:webHidden/>
              </w:rPr>
              <w:fldChar w:fldCharType="end"/>
            </w:r>
          </w:hyperlink>
        </w:p>
        <w:p w14:paraId="52EF8B96" w14:textId="45D65FA3" w:rsidR="0016255C" w:rsidRDefault="0016255C" w:rsidP="0016255C">
          <w:pPr>
            <w:pStyle w:val="TOC2"/>
            <w:rPr>
              <w:rFonts w:asciiTheme="minorHAnsi" w:hAnsiTheme="minorHAnsi"/>
              <w:noProof/>
              <w:color w:val="auto"/>
              <w:szCs w:val="22"/>
              <w:lang w:eastAsia="en-AU"/>
            </w:rPr>
          </w:pPr>
          <w:hyperlink w:anchor="_Toc117842236" w:history="1">
            <w:r w:rsidRPr="00157495">
              <w:rPr>
                <w:rStyle w:val="Hyperlink"/>
                <w:noProof/>
              </w:rPr>
              <w:t>Classification of the QHRC</w:t>
            </w:r>
            <w:r>
              <w:rPr>
                <w:noProof/>
                <w:webHidden/>
              </w:rPr>
              <w:tab/>
            </w:r>
            <w:r>
              <w:rPr>
                <w:noProof/>
                <w:webHidden/>
              </w:rPr>
              <w:fldChar w:fldCharType="begin"/>
            </w:r>
            <w:r>
              <w:rPr>
                <w:noProof/>
                <w:webHidden/>
              </w:rPr>
              <w:instrText xml:space="preserve"> PAGEREF _Toc117842236 \h </w:instrText>
            </w:r>
            <w:r>
              <w:rPr>
                <w:noProof/>
                <w:webHidden/>
              </w:rPr>
            </w:r>
            <w:r>
              <w:rPr>
                <w:noProof/>
                <w:webHidden/>
              </w:rPr>
              <w:fldChar w:fldCharType="separate"/>
            </w:r>
            <w:r w:rsidR="00466272">
              <w:rPr>
                <w:noProof/>
                <w:webHidden/>
              </w:rPr>
              <w:t>9</w:t>
            </w:r>
            <w:r>
              <w:rPr>
                <w:noProof/>
                <w:webHidden/>
              </w:rPr>
              <w:fldChar w:fldCharType="end"/>
            </w:r>
          </w:hyperlink>
        </w:p>
        <w:p w14:paraId="4ACAE90F" w14:textId="77D9EC4F" w:rsidR="0016255C" w:rsidRDefault="0016255C" w:rsidP="0016255C">
          <w:pPr>
            <w:pStyle w:val="TOC2"/>
            <w:rPr>
              <w:rFonts w:asciiTheme="minorHAnsi" w:hAnsiTheme="minorHAnsi"/>
              <w:noProof/>
              <w:color w:val="auto"/>
              <w:szCs w:val="22"/>
              <w:lang w:eastAsia="en-AU"/>
            </w:rPr>
          </w:pPr>
          <w:hyperlink w:anchor="_Toc117842237" w:history="1">
            <w:r w:rsidRPr="00157495">
              <w:rPr>
                <w:rStyle w:val="Hyperlink"/>
                <w:noProof/>
              </w:rPr>
              <w:t>Relevant functions of the QHRC</w:t>
            </w:r>
            <w:r>
              <w:rPr>
                <w:noProof/>
                <w:webHidden/>
              </w:rPr>
              <w:tab/>
            </w:r>
            <w:r>
              <w:rPr>
                <w:noProof/>
                <w:webHidden/>
              </w:rPr>
              <w:fldChar w:fldCharType="begin"/>
            </w:r>
            <w:r>
              <w:rPr>
                <w:noProof/>
                <w:webHidden/>
              </w:rPr>
              <w:instrText xml:space="preserve"> PAGEREF _Toc117842237 \h </w:instrText>
            </w:r>
            <w:r>
              <w:rPr>
                <w:noProof/>
                <w:webHidden/>
              </w:rPr>
            </w:r>
            <w:r>
              <w:rPr>
                <w:noProof/>
                <w:webHidden/>
              </w:rPr>
              <w:fldChar w:fldCharType="separate"/>
            </w:r>
            <w:r w:rsidR="00466272">
              <w:rPr>
                <w:noProof/>
                <w:webHidden/>
              </w:rPr>
              <w:t>10</w:t>
            </w:r>
            <w:r>
              <w:rPr>
                <w:noProof/>
                <w:webHidden/>
              </w:rPr>
              <w:fldChar w:fldCharType="end"/>
            </w:r>
          </w:hyperlink>
        </w:p>
        <w:p w14:paraId="655BD00B" w14:textId="3574AC79" w:rsidR="0016255C" w:rsidRDefault="0016255C" w:rsidP="0016255C">
          <w:pPr>
            <w:pStyle w:val="TOC2"/>
            <w:rPr>
              <w:rFonts w:asciiTheme="minorHAnsi" w:hAnsiTheme="minorHAnsi"/>
              <w:noProof/>
              <w:color w:val="auto"/>
              <w:szCs w:val="22"/>
              <w:lang w:eastAsia="en-AU"/>
            </w:rPr>
          </w:pPr>
          <w:hyperlink w:anchor="_Toc117842238" w:history="1">
            <w:r w:rsidRPr="00157495">
              <w:rPr>
                <w:rStyle w:val="Hyperlink"/>
                <w:noProof/>
              </w:rPr>
              <w:t>Potential implications for information disclosure</w:t>
            </w:r>
            <w:r>
              <w:rPr>
                <w:noProof/>
                <w:webHidden/>
              </w:rPr>
              <w:tab/>
            </w:r>
            <w:r>
              <w:rPr>
                <w:noProof/>
                <w:webHidden/>
              </w:rPr>
              <w:fldChar w:fldCharType="begin"/>
            </w:r>
            <w:r>
              <w:rPr>
                <w:noProof/>
                <w:webHidden/>
              </w:rPr>
              <w:instrText xml:space="preserve"> PAGEREF _Toc117842238 \h </w:instrText>
            </w:r>
            <w:r>
              <w:rPr>
                <w:noProof/>
                <w:webHidden/>
              </w:rPr>
            </w:r>
            <w:r>
              <w:rPr>
                <w:noProof/>
                <w:webHidden/>
              </w:rPr>
              <w:fldChar w:fldCharType="separate"/>
            </w:r>
            <w:r w:rsidR="00466272">
              <w:rPr>
                <w:noProof/>
                <w:webHidden/>
              </w:rPr>
              <w:t>12</w:t>
            </w:r>
            <w:r>
              <w:rPr>
                <w:noProof/>
                <w:webHidden/>
              </w:rPr>
              <w:fldChar w:fldCharType="end"/>
            </w:r>
          </w:hyperlink>
        </w:p>
        <w:p w14:paraId="0E492FE8" w14:textId="7F81D08D" w:rsidR="0016255C" w:rsidRDefault="0016255C" w:rsidP="0016255C">
          <w:pPr>
            <w:pStyle w:val="TOC2"/>
            <w:rPr>
              <w:rFonts w:asciiTheme="minorHAnsi" w:hAnsiTheme="minorHAnsi"/>
              <w:noProof/>
              <w:color w:val="auto"/>
              <w:szCs w:val="22"/>
              <w:lang w:eastAsia="en-AU"/>
            </w:rPr>
          </w:pPr>
          <w:hyperlink w:anchor="_Toc117842239" w:history="1">
            <w:r w:rsidRPr="00157495">
              <w:rPr>
                <w:rStyle w:val="Hyperlink"/>
                <w:noProof/>
              </w:rPr>
              <w:t>Proposed amendments</w:t>
            </w:r>
            <w:r>
              <w:rPr>
                <w:noProof/>
                <w:webHidden/>
              </w:rPr>
              <w:tab/>
            </w:r>
            <w:r>
              <w:rPr>
                <w:noProof/>
                <w:webHidden/>
              </w:rPr>
              <w:fldChar w:fldCharType="begin"/>
            </w:r>
            <w:r>
              <w:rPr>
                <w:noProof/>
                <w:webHidden/>
              </w:rPr>
              <w:instrText xml:space="preserve"> PAGEREF _Toc117842239 \h </w:instrText>
            </w:r>
            <w:r>
              <w:rPr>
                <w:noProof/>
                <w:webHidden/>
              </w:rPr>
            </w:r>
            <w:r>
              <w:rPr>
                <w:noProof/>
                <w:webHidden/>
              </w:rPr>
              <w:fldChar w:fldCharType="separate"/>
            </w:r>
            <w:r w:rsidR="00466272">
              <w:rPr>
                <w:noProof/>
                <w:webHidden/>
              </w:rPr>
              <w:t>13</w:t>
            </w:r>
            <w:r>
              <w:rPr>
                <w:noProof/>
                <w:webHidden/>
              </w:rPr>
              <w:fldChar w:fldCharType="end"/>
            </w:r>
          </w:hyperlink>
        </w:p>
        <w:p w14:paraId="1C1A5802" w14:textId="584DDBBE" w:rsidR="00A16356" w:rsidRPr="00041E58" w:rsidRDefault="00A16356" w:rsidP="00466216">
          <w:pPr>
            <w:spacing w:before="120"/>
            <w:rPr>
              <w:rFonts w:cs="Arial"/>
            </w:rPr>
          </w:pPr>
          <w:r w:rsidRPr="00041E58">
            <w:rPr>
              <w:rFonts w:cs="Arial"/>
              <w:b/>
              <w:bCs/>
              <w:noProof/>
            </w:rPr>
            <w:fldChar w:fldCharType="end"/>
          </w:r>
        </w:p>
      </w:sdtContent>
    </w:sdt>
    <w:p w14:paraId="39AF0624" w14:textId="77777777" w:rsidR="004A2375" w:rsidRDefault="004A2375">
      <w:pPr>
        <w:rPr>
          <w:rFonts w:eastAsiaTheme="majorEastAsia" w:cstheme="majorBidi"/>
          <w:b/>
          <w:color w:val="365F91" w:themeColor="accent1" w:themeShade="BF"/>
          <w:sz w:val="28"/>
          <w:szCs w:val="32"/>
        </w:rPr>
        <w:sectPr w:rsidR="004A2375" w:rsidSect="00A16356">
          <w:footerReference w:type="default" r:id="rId13"/>
          <w:headerReference w:type="first" r:id="rId14"/>
          <w:pgSz w:w="11900" w:h="16840" w:code="9"/>
          <w:pgMar w:top="1440" w:right="1797" w:bottom="1440" w:left="1797" w:header="709" w:footer="709" w:gutter="0"/>
          <w:pgNumType w:start="0"/>
          <w:cols w:space="708"/>
          <w:titlePg/>
          <w:docGrid w:linePitch="360"/>
        </w:sectPr>
      </w:pPr>
    </w:p>
    <w:p w14:paraId="0A8B5C83" w14:textId="2BAC2DB9" w:rsidR="00B82CE9" w:rsidRDefault="00A23269" w:rsidP="007C510E">
      <w:pPr>
        <w:pStyle w:val="Heading1"/>
      </w:pPr>
      <w:bookmarkStart w:id="18" w:name="_Toc117842226"/>
      <w:r>
        <w:t>Summary and recommendations</w:t>
      </w:r>
      <w:bookmarkEnd w:id="18"/>
      <w:r>
        <w:t xml:space="preserve"> </w:t>
      </w:r>
    </w:p>
    <w:p w14:paraId="636A77B0" w14:textId="591ADFAC" w:rsidR="00C43469" w:rsidRDefault="00A23269" w:rsidP="00DA19EC">
      <w:pPr>
        <w:pStyle w:val="Numberedparagraph"/>
      </w:pPr>
      <w:r w:rsidRPr="00C43469">
        <w:t>Thank you for the opportunity to make submissions on the Public Sector Bill 2022 (</w:t>
      </w:r>
      <w:r w:rsidRPr="00C43469">
        <w:rPr>
          <w:b/>
          <w:bCs/>
        </w:rPr>
        <w:t>the Bill</w:t>
      </w:r>
      <w:r w:rsidR="00C43469">
        <w:rPr>
          <w:b/>
          <w:bCs/>
        </w:rPr>
        <w:t>)</w:t>
      </w:r>
      <w:r w:rsidR="00C43469" w:rsidRPr="00C14748">
        <w:t>.</w:t>
      </w:r>
      <w:r w:rsidR="00C43469">
        <w:rPr>
          <w:b/>
          <w:bCs/>
        </w:rPr>
        <w:t xml:space="preserve"> </w:t>
      </w:r>
      <w:r w:rsidR="00C43469">
        <w:t>We note that the Committee is also considering the Integrity and Other Legislation Amendment Bill 2022, but the Queensland Human Rights Commission (</w:t>
      </w:r>
      <w:r w:rsidR="00C43469" w:rsidRPr="002F638E">
        <w:rPr>
          <w:b/>
          <w:bCs/>
        </w:rPr>
        <w:t>QHRC</w:t>
      </w:r>
      <w:r w:rsidR="00C43469">
        <w:t>) does not seek to make a submission in relation to that Bill.</w:t>
      </w:r>
    </w:p>
    <w:p w14:paraId="4EFDBB58" w14:textId="692181C4" w:rsidR="00C43469" w:rsidRDefault="00C43469" w:rsidP="00DA19EC">
      <w:pPr>
        <w:pStyle w:val="Numberedparagraph"/>
      </w:pPr>
      <w:r>
        <w:t>This submission considers two aspects of the Bill:</w:t>
      </w:r>
    </w:p>
    <w:p w14:paraId="09829DD7" w14:textId="0DE62D0D" w:rsidR="00C14748" w:rsidRDefault="00FD22A6">
      <w:pPr>
        <w:pStyle w:val="Numberedparagraph"/>
        <w:numPr>
          <w:ilvl w:val="1"/>
          <w:numId w:val="1"/>
        </w:numPr>
      </w:pPr>
      <w:r>
        <w:t>positive duties to eliminate discrimination</w:t>
      </w:r>
      <w:r w:rsidR="00847F2E">
        <w:t>; and</w:t>
      </w:r>
    </w:p>
    <w:p w14:paraId="36B956A7" w14:textId="42D53C99" w:rsidR="00FD22A6" w:rsidRDefault="00FD22A6">
      <w:pPr>
        <w:pStyle w:val="Numberedparagraph"/>
        <w:numPr>
          <w:ilvl w:val="1"/>
          <w:numId w:val="1"/>
        </w:numPr>
      </w:pPr>
      <w:r>
        <w:t xml:space="preserve">application of the powers of the Public </w:t>
      </w:r>
      <w:r w:rsidR="007C7832">
        <w:t xml:space="preserve">Sector </w:t>
      </w:r>
      <w:r>
        <w:t>Commission</w:t>
      </w:r>
      <w:r w:rsidR="007C7832">
        <w:t>er</w:t>
      </w:r>
      <w:r>
        <w:t xml:space="preserve"> to the QHRC as an independent agency tasked with reviewing the government’s compatibility with human rights. </w:t>
      </w:r>
    </w:p>
    <w:p w14:paraId="7F4957E9" w14:textId="77777777" w:rsidR="00F46FAB" w:rsidRPr="00445489" w:rsidRDefault="00FD22A6" w:rsidP="00DA19EC">
      <w:pPr>
        <w:pStyle w:val="Numberedparagraph"/>
      </w:pPr>
      <w:r w:rsidRPr="00445489">
        <w:t xml:space="preserve">The QHRC </w:t>
      </w:r>
      <w:r w:rsidRPr="00445489">
        <w:rPr>
          <w:b/>
        </w:rPr>
        <w:t xml:space="preserve">recommends </w:t>
      </w:r>
      <w:r w:rsidRPr="00445489">
        <w:t>that</w:t>
      </w:r>
      <w:r w:rsidR="009F70A2" w:rsidRPr="00445489">
        <w:t xml:space="preserve"> </w:t>
      </w:r>
    </w:p>
    <w:p w14:paraId="43C55DAF" w14:textId="73DBC836" w:rsidR="009F70A2" w:rsidRPr="00445489" w:rsidRDefault="00B12469" w:rsidP="00DA19EC">
      <w:pPr>
        <w:pStyle w:val="Numberedparagraph"/>
        <w:numPr>
          <w:ilvl w:val="1"/>
          <w:numId w:val="1"/>
        </w:numPr>
      </w:pPr>
      <w:r>
        <w:t>I</w:t>
      </w:r>
      <w:r w:rsidR="001F0F45" w:rsidRPr="009F70A2">
        <w:t>n</w:t>
      </w:r>
      <w:r w:rsidR="001F0F45">
        <w:t xml:space="preserve"> </w:t>
      </w:r>
      <w:r w:rsidR="001F0F45" w:rsidRPr="00445489">
        <w:t xml:space="preserve">relation to </w:t>
      </w:r>
      <w:r w:rsidR="0051523C" w:rsidRPr="00445489">
        <w:t>Chapter 2 of the Bill</w:t>
      </w:r>
      <w:r w:rsidR="009F70A2" w:rsidRPr="00445489">
        <w:t>:</w:t>
      </w:r>
    </w:p>
    <w:p w14:paraId="12AE8C78" w14:textId="5F5E5234" w:rsidR="009F70A2" w:rsidRDefault="00B605DC" w:rsidP="00DA19EC">
      <w:pPr>
        <w:pStyle w:val="Numberedparagraph"/>
        <w:numPr>
          <w:ilvl w:val="2"/>
          <w:numId w:val="1"/>
        </w:numPr>
      </w:pPr>
      <w:r>
        <w:t>T</w:t>
      </w:r>
      <w:r w:rsidR="009F70A2" w:rsidRPr="00445489">
        <w:t xml:space="preserve">he wording of the positive duties be strengthened to meet the purposes of the Chapter, and to ensure that </w:t>
      </w:r>
      <w:r>
        <w:t xml:space="preserve">the </w:t>
      </w:r>
      <w:r w:rsidR="009F70A2" w:rsidRPr="00445489">
        <w:t xml:space="preserve">Queensland Government </w:t>
      </w:r>
      <w:r>
        <w:t>is</w:t>
      </w:r>
      <w:r w:rsidR="009F70A2" w:rsidRPr="00445489">
        <w:t xml:space="preserve"> leading the way in promoting substantive</w:t>
      </w:r>
      <w:r>
        <w:t>,</w:t>
      </w:r>
      <w:r w:rsidR="009F70A2" w:rsidRPr="00445489">
        <w:t xml:space="preserve"> rather than only formal</w:t>
      </w:r>
      <w:r>
        <w:t>,</w:t>
      </w:r>
      <w:r w:rsidR="009F70A2" w:rsidRPr="00445489">
        <w:t xml:space="preserve"> equality. </w:t>
      </w:r>
    </w:p>
    <w:p w14:paraId="611F64C5" w14:textId="786C900E" w:rsidR="000F4827" w:rsidRPr="00445489" w:rsidRDefault="00B93CCD" w:rsidP="00DA19EC">
      <w:pPr>
        <w:pStyle w:val="Numberedparagraph"/>
        <w:numPr>
          <w:ilvl w:val="2"/>
          <w:numId w:val="1"/>
        </w:numPr>
      </w:pPr>
      <w:r>
        <w:t>T</w:t>
      </w:r>
      <w:r w:rsidR="00AF2E92">
        <w:t xml:space="preserve">he </w:t>
      </w:r>
      <w:r w:rsidR="00C15B25">
        <w:t>phrase</w:t>
      </w:r>
      <w:r w:rsidR="00321266">
        <w:t xml:space="preserve"> </w:t>
      </w:r>
      <w:r w:rsidR="00880E72">
        <w:t>‘ensure people…</w:t>
      </w:r>
      <w:r w:rsidR="00E858F8">
        <w:t xml:space="preserve">are able to’ in clause 27(b) </w:t>
      </w:r>
      <w:r w:rsidR="00880E72">
        <w:t xml:space="preserve">be </w:t>
      </w:r>
      <w:r w:rsidR="00A12702">
        <w:t xml:space="preserve">replaced with </w:t>
      </w:r>
      <w:r w:rsidR="003C21E9">
        <w:t>a</w:t>
      </w:r>
      <w:r w:rsidR="00920EB4">
        <w:t>n</w:t>
      </w:r>
      <w:r w:rsidR="009262C5">
        <w:t xml:space="preserve"> active and</w:t>
      </w:r>
      <w:r w:rsidR="00432111">
        <w:t xml:space="preserve"> imperative</w:t>
      </w:r>
      <w:r w:rsidR="00A12702">
        <w:t xml:space="preserve"> </w:t>
      </w:r>
      <w:r w:rsidR="003C21E9">
        <w:t>requirement</w:t>
      </w:r>
      <w:r w:rsidR="00432111">
        <w:t>.</w:t>
      </w:r>
    </w:p>
    <w:p w14:paraId="2EB565EC" w14:textId="54F83E71" w:rsidR="002A6D23" w:rsidRPr="00445489" w:rsidRDefault="00920EB4" w:rsidP="00DA19EC">
      <w:pPr>
        <w:pStyle w:val="Numberedparagraph"/>
        <w:numPr>
          <w:ilvl w:val="2"/>
          <w:numId w:val="1"/>
        </w:numPr>
      </w:pPr>
      <w:r>
        <w:t xml:space="preserve">The </w:t>
      </w:r>
      <w:r w:rsidR="00CB3C8A" w:rsidRPr="00445489">
        <w:t xml:space="preserve">‘diversity </w:t>
      </w:r>
      <w:r w:rsidR="002A6D23" w:rsidRPr="00445489">
        <w:t xml:space="preserve">target groups’ </w:t>
      </w:r>
      <w:r w:rsidR="00F757D9">
        <w:t>be</w:t>
      </w:r>
      <w:r w:rsidR="00F757D9" w:rsidRPr="00445489">
        <w:t xml:space="preserve"> </w:t>
      </w:r>
      <w:r w:rsidR="002A6D23" w:rsidRPr="00445489">
        <w:t xml:space="preserve">expanded, in particular to ensure that equity and diversity measures in government agencies </w:t>
      </w:r>
      <w:r>
        <w:t xml:space="preserve">are in place </w:t>
      </w:r>
      <w:r w:rsidR="002A6D23" w:rsidRPr="00445489">
        <w:t xml:space="preserve">for LGBTIQ+ employees. </w:t>
      </w:r>
    </w:p>
    <w:p w14:paraId="62B54D83" w14:textId="20900240" w:rsidR="00A23269" w:rsidRPr="00A23269" w:rsidRDefault="00F46FAB" w:rsidP="00DA19EC">
      <w:pPr>
        <w:pStyle w:val="Numberedparagraph"/>
        <w:numPr>
          <w:ilvl w:val="1"/>
          <w:numId w:val="1"/>
        </w:numPr>
      </w:pPr>
      <w:r w:rsidRPr="00445489">
        <w:t xml:space="preserve">In relation to the powers of the </w:t>
      </w:r>
      <w:r w:rsidR="00B23C46" w:rsidRPr="00445489">
        <w:t>Public Sector Commissioner</w:t>
      </w:r>
      <w:r w:rsidR="002D5320" w:rsidRPr="00445489">
        <w:t>,</w:t>
      </w:r>
      <w:r w:rsidR="00FB3B02" w:rsidRPr="00445489">
        <w:t xml:space="preserve"> t</w:t>
      </w:r>
      <w:r w:rsidR="000F4E42" w:rsidRPr="00445489">
        <w:t xml:space="preserve">hat </w:t>
      </w:r>
      <w:r w:rsidR="00D16516">
        <w:t xml:space="preserve">clause 254 of </w:t>
      </w:r>
      <w:r w:rsidR="000F4E42" w:rsidRPr="00445489">
        <w:t>the</w:t>
      </w:r>
      <w:r w:rsidR="00FB3B02" w:rsidRPr="00445489">
        <w:t xml:space="preserve"> Bill </w:t>
      </w:r>
      <w:r w:rsidR="00F80339">
        <w:t>be</w:t>
      </w:r>
      <w:r w:rsidR="00FB3B02" w:rsidRPr="00445489">
        <w:t xml:space="preserve"> amended to </w:t>
      </w:r>
      <w:r w:rsidR="00D16516">
        <w:t>exclude</w:t>
      </w:r>
      <w:r w:rsidR="00FB3B02" w:rsidRPr="00445489">
        <w:t xml:space="preserve"> </w:t>
      </w:r>
      <w:r w:rsidR="00D16516">
        <w:t xml:space="preserve">the QHRC from a public sector review. </w:t>
      </w:r>
    </w:p>
    <w:p w14:paraId="3BBC716A" w14:textId="401C8CB1" w:rsidR="00FD22A6" w:rsidRDefault="00FD22A6" w:rsidP="00FD22A6">
      <w:pPr>
        <w:pStyle w:val="Heading1"/>
      </w:pPr>
      <w:bookmarkStart w:id="19" w:name="_Toc117842227"/>
      <w:r>
        <w:t>Introduction</w:t>
      </w:r>
      <w:bookmarkEnd w:id="19"/>
    </w:p>
    <w:p w14:paraId="2D496F8E" w14:textId="455AFC2D" w:rsidR="002978EB" w:rsidRDefault="002978EB" w:rsidP="00DA19EC">
      <w:pPr>
        <w:pStyle w:val="Numberedparagraph"/>
      </w:pPr>
      <w:r>
        <w:t xml:space="preserve">The QHRC </w:t>
      </w:r>
      <w:r w:rsidRPr="00C35743">
        <w:t xml:space="preserve">is a statutory authority established under the </w:t>
      </w:r>
      <w:r>
        <w:t xml:space="preserve">Queensland </w:t>
      </w:r>
      <w:r w:rsidRPr="00C35743">
        <w:rPr>
          <w:i/>
        </w:rPr>
        <w:t>Anti-Discrimination Act 1991</w:t>
      </w:r>
      <w:r>
        <w:rPr>
          <w:i/>
        </w:rPr>
        <w:t xml:space="preserve"> </w:t>
      </w:r>
      <w:r>
        <w:t>(</w:t>
      </w:r>
      <w:r w:rsidR="00B43C43">
        <w:t xml:space="preserve">the </w:t>
      </w:r>
      <w:r w:rsidRPr="003B0A61">
        <w:rPr>
          <w:b/>
        </w:rPr>
        <w:t>AD Act</w:t>
      </w:r>
      <w:r>
        <w:t>)</w:t>
      </w:r>
      <w:r>
        <w:rPr>
          <w:i/>
        </w:rPr>
        <w:t>.</w:t>
      </w:r>
    </w:p>
    <w:p w14:paraId="754965F6" w14:textId="4CE11C56" w:rsidR="002978EB" w:rsidRPr="00592493" w:rsidRDefault="002978EB" w:rsidP="00DA19EC">
      <w:pPr>
        <w:pStyle w:val="Numberedparagraph"/>
      </w:pPr>
      <w:r w:rsidRPr="00A97DE1">
        <w:t xml:space="preserve">The </w:t>
      </w:r>
      <w:r>
        <w:t>QHRC</w:t>
      </w:r>
      <w:r w:rsidRPr="00A97DE1">
        <w:t xml:space="preserve"> </w:t>
      </w:r>
      <w:r>
        <w:t xml:space="preserve">has functions under the AD Act and the </w:t>
      </w:r>
      <w:r>
        <w:rPr>
          <w:i/>
        </w:rPr>
        <w:t xml:space="preserve">Human Rights Act 2019 </w:t>
      </w:r>
      <w:r>
        <w:t>(</w:t>
      </w:r>
      <w:r w:rsidR="00B43C43">
        <w:t xml:space="preserve">the </w:t>
      </w:r>
      <w:r w:rsidRPr="003B0A61">
        <w:rPr>
          <w:b/>
        </w:rPr>
        <w:t>HR Act</w:t>
      </w:r>
      <w:r>
        <w:t>)</w:t>
      </w:r>
      <w:r>
        <w:rPr>
          <w:i/>
        </w:rPr>
        <w:t xml:space="preserve"> </w:t>
      </w:r>
      <w:r>
        <w:t>to promote</w:t>
      </w:r>
      <w:r w:rsidRPr="00A97DE1">
        <w:t xml:space="preserve"> an understanding</w:t>
      </w:r>
      <w:r>
        <w:t xml:space="preserve"> </w:t>
      </w:r>
      <w:r w:rsidRPr="00A97DE1">
        <w:t>and public discussion of human rights in Queensla</w:t>
      </w:r>
      <w:r>
        <w:t xml:space="preserve">nd, and to provide information and education about human rights. </w:t>
      </w:r>
    </w:p>
    <w:p w14:paraId="1BD9843B" w14:textId="48B1C70C" w:rsidR="002978EB" w:rsidRPr="002978EB" w:rsidRDefault="002978EB" w:rsidP="00DA19EC">
      <w:pPr>
        <w:pStyle w:val="Numberedparagraph"/>
      </w:pPr>
      <w:r>
        <w:t xml:space="preserve">The QHRC also deals with complaints of discrimination, vilification, and other objectionable conduct under the </w:t>
      </w:r>
      <w:r w:rsidRPr="003B0A61">
        <w:t>AD Act</w:t>
      </w:r>
      <w:r>
        <w:rPr>
          <w:i/>
        </w:rPr>
        <w:t xml:space="preserve">, </w:t>
      </w:r>
      <w:r>
        <w:t xml:space="preserve">reprisal under the </w:t>
      </w:r>
      <w:r>
        <w:rPr>
          <w:i/>
        </w:rPr>
        <w:t xml:space="preserve">Public Interest Disclosure Act </w:t>
      </w:r>
      <w:r w:rsidRPr="009F4BAD">
        <w:rPr>
          <w:i/>
        </w:rPr>
        <w:t>2009</w:t>
      </w:r>
      <w:r>
        <w:t>, and human rights complaints under the HR Act</w:t>
      </w:r>
      <w:r>
        <w:rPr>
          <w:i/>
        </w:rPr>
        <w:t xml:space="preserve">. </w:t>
      </w:r>
    </w:p>
    <w:p w14:paraId="672DFE3C" w14:textId="7308E8DB" w:rsidR="002978EB" w:rsidRPr="0040547D" w:rsidRDefault="00020C0E" w:rsidP="002978EB">
      <w:pPr>
        <w:pStyle w:val="Heading1"/>
      </w:pPr>
      <w:bookmarkStart w:id="20" w:name="_Toc117842228"/>
      <w:r>
        <w:t>Equity, diversity, respect</w:t>
      </w:r>
      <w:r w:rsidR="00B43C43">
        <w:t>,</w:t>
      </w:r>
      <w:r>
        <w:t xml:space="preserve"> and inclusion</w:t>
      </w:r>
      <w:bookmarkEnd w:id="20"/>
    </w:p>
    <w:p w14:paraId="247E4884" w14:textId="3A773415" w:rsidR="00E8631D" w:rsidRDefault="00F11345" w:rsidP="00DA19EC">
      <w:pPr>
        <w:pStyle w:val="Numberedparagraph"/>
      </w:pPr>
      <w:r>
        <w:t xml:space="preserve">Chapter 2 of the Bill </w:t>
      </w:r>
      <w:r w:rsidR="006F3336">
        <w:t>contains a purpose clause</w:t>
      </w:r>
      <w:r w:rsidR="00F40369">
        <w:t xml:space="preserve">, which </w:t>
      </w:r>
      <w:r w:rsidR="00B43C43">
        <w:t xml:space="preserve">states </w:t>
      </w:r>
      <w:r w:rsidR="001D1B85">
        <w:t>that the</w:t>
      </w:r>
      <w:r w:rsidR="00F40369">
        <w:t xml:space="preserve"> purposes</w:t>
      </w:r>
      <w:r w:rsidR="00DA15A0">
        <w:t xml:space="preserve"> of </w:t>
      </w:r>
      <w:r w:rsidR="005C42FA">
        <w:t>this</w:t>
      </w:r>
      <w:r w:rsidR="00DA15A0">
        <w:t xml:space="preserve"> chapter </w:t>
      </w:r>
      <w:r w:rsidR="001D1B85">
        <w:t xml:space="preserve">are </w:t>
      </w:r>
      <w:r w:rsidR="00DA15A0">
        <w:t xml:space="preserve">to ensure that </w:t>
      </w:r>
      <w:r w:rsidR="00EC7E31">
        <w:t xml:space="preserve">public sector </w:t>
      </w:r>
      <w:r w:rsidR="00AD4B8B">
        <w:t>agencie</w:t>
      </w:r>
      <w:r w:rsidR="00EC7E31">
        <w:t>s</w:t>
      </w:r>
      <w:r w:rsidR="00DA15A0">
        <w:t>:</w:t>
      </w:r>
      <w:r w:rsidR="00F40369">
        <w:t xml:space="preserve"> </w:t>
      </w:r>
    </w:p>
    <w:p w14:paraId="1D79FD64" w14:textId="331C1C10" w:rsidR="006115BF" w:rsidRDefault="00012E8E" w:rsidP="00DA19EC">
      <w:pPr>
        <w:pStyle w:val="Bulletedlist"/>
      </w:pPr>
      <w:r>
        <w:t>develop diverse workforces</w:t>
      </w:r>
      <w:r w:rsidR="00DA15A0">
        <w:t xml:space="preserve"> in the public sector</w:t>
      </w:r>
    </w:p>
    <w:p w14:paraId="08857FD9" w14:textId="56804435" w:rsidR="006115BF" w:rsidRDefault="00012E8E" w:rsidP="00DA19EC">
      <w:pPr>
        <w:pStyle w:val="Bulletedlist"/>
      </w:pPr>
      <w:r>
        <w:t>actively progress equity and diversity</w:t>
      </w:r>
      <w:r w:rsidR="00862137">
        <w:t xml:space="preserve">, including </w:t>
      </w:r>
      <w:r w:rsidR="00846D23">
        <w:t>actively progressing gender pay equity</w:t>
      </w:r>
    </w:p>
    <w:p w14:paraId="30390515" w14:textId="06057CE9" w:rsidR="006115BF" w:rsidRDefault="00EC7E31" w:rsidP="00DA19EC">
      <w:pPr>
        <w:pStyle w:val="Bulletedlist"/>
      </w:pPr>
      <w:r>
        <w:t xml:space="preserve">can </w:t>
      </w:r>
      <w:r w:rsidR="006F3336">
        <w:t>demonstrate equal conditions of employment and equality in access to opportunities and leadership</w:t>
      </w:r>
    </w:p>
    <w:p w14:paraId="7CA686A6" w14:textId="54F4983B" w:rsidR="006115BF" w:rsidRDefault="00F40369" w:rsidP="00DA19EC">
      <w:pPr>
        <w:pStyle w:val="Bulletedlist"/>
      </w:pPr>
      <w:r>
        <w:t>foster respectful and inclusive workplaces</w:t>
      </w:r>
    </w:p>
    <w:p w14:paraId="700EC3B9" w14:textId="33B0FB09" w:rsidR="00E05355" w:rsidRDefault="00F40369" w:rsidP="00DA19EC">
      <w:pPr>
        <w:pStyle w:val="Bulletedlist"/>
      </w:pPr>
      <w:r>
        <w:t>create workplaces free from unlawful discrimination.</w:t>
      </w:r>
      <w:r w:rsidR="005C42FA">
        <w:rPr>
          <w:rStyle w:val="FootnoteReference"/>
        </w:rPr>
        <w:footnoteReference w:id="2"/>
      </w:r>
      <w:r>
        <w:t xml:space="preserve"> </w:t>
      </w:r>
    </w:p>
    <w:p w14:paraId="2C164092" w14:textId="6EC64B5C" w:rsidR="00F47011" w:rsidRDefault="008F498D" w:rsidP="00DA19EC">
      <w:pPr>
        <w:pStyle w:val="Numberedparagraph"/>
      </w:pPr>
      <w:r>
        <w:t>The</w:t>
      </w:r>
      <w:r w:rsidR="00D62D4E">
        <w:t xml:space="preserve">se </w:t>
      </w:r>
      <w:r>
        <w:t>purposes</w:t>
      </w:r>
      <w:r w:rsidR="00F47011">
        <w:t xml:space="preserve"> </w:t>
      </w:r>
      <w:r>
        <w:t>align with the</w:t>
      </w:r>
      <w:r w:rsidR="00F47011">
        <w:t xml:space="preserve"> recommendations of the </w:t>
      </w:r>
      <w:r w:rsidR="00641EA2">
        <w:t>QHRC’s</w:t>
      </w:r>
      <w:r w:rsidR="00F47011">
        <w:t xml:space="preserve"> recent</w:t>
      </w:r>
      <w:r w:rsidR="006C14B2">
        <w:t xml:space="preserve"> </w:t>
      </w:r>
      <w:r w:rsidR="00D92D49" w:rsidRPr="00C14748">
        <w:rPr>
          <w:i/>
        </w:rPr>
        <w:t>Building Belonging</w:t>
      </w:r>
      <w:r w:rsidR="006C14B2">
        <w:t xml:space="preserve"> report on its review of discrimination law in Queensland.</w:t>
      </w:r>
      <w:r w:rsidR="006C14B2">
        <w:rPr>
          <w:rStyle w:val="FootnoteReference"/>
        </w:rPr>
        <w:footnoteReference w:id="3"/>
      </w:r>
      <w:r w:rsidR="00EC7E31">
        <w:t xml:space="preserve"> </w:t>
      </w:r>
      <w:r w:rsidR="006115BF">
        <w:t xml:space="preserve">In </w:t>
      </w:r>
      <w:r w:rsidR="00A7137C">
        <w:t>the</w:t>
      </w:r>
      <w:r w:rsidR="006115BF">
        <w:t xml:space="preserve"> report, the </w:t>
      </w:r>
      <w:r w:rsidR="00641EA2">
        <w:t>QHRC</w:t>
      </w:r>
      <w:r w:rsidR="006115BF">
        <w:t xml:space="preserve"> recommended </w:t>
      </w:r>
      <w:r w:rsidR="00F02A25">
        <w:t xml:space="preserve">a shift in focus </w:t>
      </w:r>
      <w:r w:rsidR="00A7137C">
        <w:t xml:space="preserve">towards </w:t>
      </w:r>
      <w:r w:rsidR="00F02A25">
        <w:t>prevent</w:t>
      </w:r>
      <w:r w:rsidR="00A7137C">
        <w:t>ative measures</w:t>
      </w:r>
      <w:r w:rsidR="00F02A25">
        <w:t xml:space="preserve"> to address systemic discrimination</w:t>
      </w:r>
      <w:r w:rsidR="00224D61">
        <w:t xml:space="preserve"> and promote substantive equality.</w:t>
      </w:r>
      <w:r w:rsidR="00D10AD3">
        <w:t xml:space="preserve"> The report is currently with the government for their response.</w:t>
      </w:r>
    </w:p>
    <w:p w14:paraId="604F85A6" w14:textId="23CC1B0F" w:rsidR="00E8631D" w:rsidRDefault="009948B0" w:rsidP="00DA19EC">
      <w:pPr>
        <w:pStyle w:val="Numberedparagraph"/>
      </w:pPr>
      <w:r>
        <w:t>T</w:t>
      </w:r>
      <w:r w:rsidR="00594380">
        <w:t xml:space="preserve">he QHRC supports the </w:t>
      </w:r>
      <w:r>
        <w:t>purposes</w:t>
      </w:r>
      <w:r w:rsidR="00594380">
        <w:t xml:space="preserve"> of </w:t>
      </w:r>
      <w:r w:rsidR="0037743D">
        <w:t>the Public Sector</w:t>
      </w:r>
      <w:r w:rsidR="00594380">
        <w:t xml:space="preserve"> Bill</w:t>
      </w:r>
      <w:r>
        <w:t xml:space="preserve"> and the </w:t>
      </w:r>
      <w:r w:rsidR="00594380">
        <w:t xml:space="preserve">inclusion of positive duties to </w:t>
      </w:r>
      <w:r w:rsidR="005D1D94">
        <w:t xml:space="preserve">ensure a more proactive approach to </w:t>
      </w:r>
      <w:r w:rsidR="00B8309C">
        <w:t>achieving equity</w:t>
      </w:r>
      <w:r>
        <w:t xml:space="preserve"> and inclusion</w:t>
      </w:r>
      <w:r w:rsidR="0037743D">
        <w:t>. However,</w:t>
      </w:r>
      <w:r>
        <w:t xml:space="preserve"> </w:t>
      </w:r>
      <w:r w:rsidR="009E31FB">
        <w:t xml:space="preserve">the </w:t>
      </w:r>
      <w:r w:rsidR="00194013">
        <w:t>QHRC</w:t>
      </w:r>
      <w:r w:rsidR="009E31FB">
        <w:t xml:space="preserve"> submits that</w:t>
      </w:r>
      <w:r>
        <w:t xml:space="preserve"> some</w:t>
      </w:r>
      <w:r w:rsidR="008708F0">
        <w:t xml:space="preserve"> definitions</w:t>
      </w:r>
      <w:r w:rsidR="00846D23">
        <w:t xml:space="preserve"> included in the Bill</w:t>
      </w:r>
      <w:r w:rsidR="008708F0">
        <w:t xml:space="preserve"> </w:t>
      </w:r>
      <w:r w:rsidR="0046439C">
        <w:t>require further consideration.</w:t>
      </w:r>
      <w:r w:rsidR="009F2D52">
        <w:t xml:space="preserve"> </w:t>
      </w:r>
    </w:p>
    <w:p w14:paraId="4DDA87FF" w14:textId="34F31F5F" w:rsidR="008A3098" w:rsidRPr="008A3098" w:rsidRDefault="008A3098" w:rsidP="008A3098">
      <w:pPr>
        <w:pStyle w:val="Heading2"/>
      </w:pPr>
      <w:bookmarkStart w:id="21" w:name="_Toc117842229"/>
      <w:r w:rsidRPr="008A3098">
        <w:t>Actively progressing gender pay equity</w:t>
      </w:r>
      <w:bookmarkEnd w:id="21"/>
    </w:p>
    <w:p w14:paraId="56ED7EE4" w14:textId="77777777" w:rsidR="009521B1" w:rsidRDefault="009F2D52" w:rsidP="00DA19EC">
      <w:pPr>
        <w:pStyle w:val="Numberedparagraph"/>
      </w:pPr>
      <w:r>
        <w:t>Clause 24(2)</w:t>
      </w:r>
      <w:r w:rsidR="00846D23">
        <w:t xml:space="preserve"> </w:t>
      </w:r>
      <w:r w:rsidR="00232E78">
        <w:t>defines</w:t>
      </w:r>
      <w:r w:rsidR="00846D23">
        <w:t xml:space="preserve"> the meaning of ‘actively progressing gender pay equity’ </w:t>
      </w:r>
      <w:r w:rsidR="00232E78">
        <w:t>as</w:t>
      </w:r>
      <w:r w:rsidR="00846D23">
        <w:t xml:space="preserve"> </w:t>
      </w:r>
      <w:r w:rsidR="004B106B">
        <w:t xml:space="preserve">including </w:t>
      </w:r>
      <w:r w:rsidR="00846D23">
        <w:t>taking measures to achieve</w:t>
      </w:r>
      <w:r w:rsidR="009521B1">
        <w:t>:</w:t>
      </w:r>
    </w:p>
    <w:p w14:paraId="23E23C82" w14:textId="4FE59ED6" w:rsidR="009521B1" w:rsidRDefault="005210F9" w:rsidP="005D0B1E">
      <w:pPr>
        <w:pStyle w:val="Bulletedlist"/>
      </w:pPr>
      <w:r>
        <w:t xml:space="preserve">equal renumeration for work of equal or comparable value </w:t>
      </w:r>
    </w:p>
    <w:p w14:paraId="48FD3E9F" w14:textId="77777777" w:rsidR="009521B1" w:rsidRDefault="005210F9" w:rsidP="005D0B1E">
      <w:pPr>
        <w:pStyle w:val="Bulletedlist"/>
      </w:pPr>
      <w:r>
        <w:t xml:space="preserve">equity for women in employment conditions </w:t>
      </w:r>
    </w:p>
    <w:p w14:paraId="728AC1CF" w14:textId="0A4EA3E5" w:rsidR="009F2D52" w:rsidRDefault="005210F9" w:rsidP="005D0B1E">
      <w:pPr>
        <w:pStyle w:val="Bulletedlist"/>
      </w:pPr>
      <w:r>
        <w:t>equity in women’s access to working arrangements and employment and development opportunities.</w:t>
      </w:r>
    </w:p>
    <w:p w14:paraId="63711465" w14:textId="33F98AA7" w:rsidR="00CA09EB" w:rsidRDefault="003C1174" w:rsidP="00DA19EC">
      <w:pPr>
        <w:pStyle w:val="Numberedparagraph"/>
      </w:pPr>
      <w:r>
        <w:t xml:space="preserve">The measures required of public sector </w:t>
      </w:r>
      <w:r w:rsidR="00AD4B8B">
        <w:t>agencie</w:t>
      </w:r>
      <w:r>
        <w:t xml:space="preserve">s </w:t>
      </w:r>
      <w:r w:rsidR="00D502C7">
        <w:t>to</w:t>
      </w:r>
      <w:r w:rsidR="001A303A">
        <w:t xml:space="preserve"> address pay equity </w:t>
      </w:r>
      <w:r>
        <w:t xml:space="preserve">should </w:t>
      </w:r>
      <w:r w:rsidR="00D502C7">
        <w:t>take account of</w:t>
      </w:r>
      <w:r>
        <w:t xml:space="preserve"> underlying </w:t>
      </w:r>
      <w:r w:rsidR="00AB2202">
        <w:t>issues</w:t>
      </w:r>
      <w:r w:rsidR="001A303A">
        <w:t xml:space="preserve"> </w:t>
      </w:r>
      <w:r w:rsidR="007B331E">
        <w:t>in</w:t>
      </w:r>
      <w:r w:rsidR="001A303A">
        <w:t xml:space="preserve"> the specific context of the Queensland public sector</w:t>
      </w:r>
      <w:r w:rsidR="00D502C7">
        <w:t>,</w:t>
      </w:r>
      <w:r w:rsidR="00AB2202">
        <w:t xml:space="preserve"> based on the evidence available</w:t>
      </w:r>
      <w:r>
        <w:t xml:space="preserve">. </w:t>
      </w:r>
      <w:r w:rsidR="005F45D0">
        <w:t xml:space="preserve">While </w:t>
      </w:r>
      <w:r w:rsidR="00232E78">
        <w:t xml:space="preserve">not </w:t>
      </w:r>
      <w:r w:rsidR="00D74BF7">
        <w:t>necessarily the</w:t>
      </w:r>
      <w:r w:rsidR="005F45D0">
        <w:t xml:space="preserve"> case in the private sector, </w:t>
      </w:r>
      <w:r w:rsidR="00C14BF8">
        <w:t xml:space="preserve">women working in the </w:t>
      </w:r>
      <w:r w:rsidR="005F45D0">
        <w:t xml:space="preserve">Queensland public sector are guaranteed the same pay and conditions </w:t>
      </w:r>
      <w:r w:rsidR="008B752A">
        <w:t xml:space="preserve">when working in the same </w:t>
      </w:r>
      <w:r w:rsidR="00D74BF7">
        <w:t>positions</w:t>
      </w:r>
      <w:r w:rsidR="00C14BF8">
        <w:t xml:space="preserve"> as men</w:t>
      </w:r>
      <w:r w:rsidR="008B752A">
        <w:t>.</w:t>
      </w:r>
      <w:r w:rsidR="00A76D11">
        <w:t xml:space="preserve"> Therefore, </w:t>
      </w:r>
      <w:r w:rsidR="008F4A5D">
        <w:t>the measures included</w:t>
      </w:r>
      <w:r w:rsidR="007F189A">
        <w:t xml:space="preserve"> in this definition</w:t>
      </w:r>
      <w:r w:rsidR="008F4A5D">
        <w:t xml:space="preserve"> only restate</w:t>
      </w:r>
      <w:r w:rsidR="007F189A">
        <w:t xml:space="preserve"> the minimum already required</w:t>
      </w:r>
      <w:r>
        <w:t xml:space="preserve"> by</w:t>
      </w:r>
      <w:r w:rsidR="00A0509D">
        <w:t xml:space="preserve"> </w:t>
      </w:r>
      <w:r w:rsidR="006E0B7D">
        <w:t>the Queensland E</w:t>
      </w:r>
      <w:r w:rsidR="00A0509D">
        <w:t xml:space="preserve">mployment </w:t>
      </w:r>
      <w:r w:rsidR="006E0B7D">
        <w:t>S</w:t>
      </w:r>
      <w:r w:rsidR="00A0509D">
        <w:t xml:space="preserve">tandards in the </w:t>
      </w:r>
      <w:r w:rsidR="00A0509D" w:rsidRPr="00A0509D">
        <w:rPr>
          <w:i/>
          <w:iCs/>
        </w:rPr>
        <w:t>Industrial Relations Act 2016</w:t>
      </w:r>
      <w:r w:rsidR="00352D59">
        <w:rPr>
          <w:rStyle w:val="FootnoteReference"/>
          <w:i/>
          <w:iCs/>
        </w:rPr>
        <w:footnoteReference w:id="4"/>
      </w:r>
      <w:r w:rsidR="00EB76FF">
        <w:t xml:space="preserve"> and in </w:t>
      </w:r>
      <w:r w:rsidR="007F1963">
        <w:t>collective</w:t>
      </w:r>
      <w:r w:rsidR="00410E68">
        <w:t xml:space="preserve"> agreements</w:t>
      </w:r>
      <w:r w:rsidR="00A0509D">
        <w:t>.</w:t>
      </w:r>
      <w:r w:rsidR="00A76D11">
        <w:t xml:space="preserve"> </w:t>
      </w:r>
    </w:p>
    <w:p w14:paraId="19A79768" w14:textId="4640A15B" w:rsidR="00CA09EB" w:rsidRDefault="00EE570B" w:rsidP="00DA19EC">
      <w:pPr>
        <w:pStyle w:val="Numberedparagraph"/>
      </w:pPr>
      <w:r>
        <w:t>However, b</w:t>
      </w:r>
      <w:r w:rsidR="00497A21">
        <w:t xml:space="preserve">ased on gender pay equity statistics, the </w:t>
      </w:r>
      <w:r w:rsidR="001F0AA0">
        <w:t xml:space="preserve">gender pay gap in the public sector </w:t>
      </w:r>
      <w:r w:rsidR="00E56085">
        <w:t>appears</w:t>
      </w:r>
      <w:r w:rsidR="001F0AA0">
        <w:t xml:space="preserve"> to be linked to an over</w:t>
      </w:r>
      <w:r w:rsidR="009001C5">
        <w:t>-</w:t>
      </w:r>
      <w:r w:rsidR="001F0AA0">
        <w:t>representation of women in temporary, casual</w:t>
      </w:r>
      <w:r w:rsidR="00395FFF">
        <w:t>,</w:t>
      </w:r>
      <w:r w:rsidR="001F0AA0">
        <w:t xml:space="preserve"> and </w:t>
      </w:r>
      <w:r w:rsidR="004B106B">
        <w:t>part-time</w:t>
      </w:r>
      <w:r w:rsidR="001F0AA0">
        <w:t xml:space="preserve"> work.</w:t>
      </w:r>
      <w:r w:rsidR="001F0AA0">
        <w:rPr>
          <w:rStyle w:val="FootnoteReference"/>
        </w:rPr>
        <w:footnoteReference w:id="5"/>
      </w:r>
      <w:r w:rsidR="00E56085">
        <w:t xml:space="preserve"> </w:t>
      </w:r>
    </w:p>
    <w:p w14:paraId="042F841D" w14:textId="3CA50D07" w:rsidR="006B2F10" w:rsidRDefault="00866A4D" w:rsidP="00DA19EC">
      <w:pPr>
        <w:pStyle w:val="Numberedparagraph"/>
      </w:pPr>
      <w:r>
        <w:t xml:space="preserve">Noting that the measures are included </w:t>
      </w:r>
      <w:r w:rsidR="000436CE">
        <w:t>as</w:t>
      </w:r>
      <w:r>
        <w:t xml:space="preserve"> a non-exhaustive list in Clause 24(2), t</w:t>
      </w:r>
      <w:r w:rsidR="000A45B4">
        <w:t xml:space="preserve">he </w:t>
      </w:r>
      <w:r w:rsidR="007F7FB9">
        <w:t xml:space="preserve">QHRC suggests </w:t>
      </w:r>
      <w:r w:rsidR="00A51B5D">
        <w:t>that addressing the gender pay gap require</w:t>
      </w:r>
      <w:r w:rsidR="00014674">
        <w:t>s</w:t>
      </w:r>
      <w:r w:rsidR="00A51B5D">
        <w:t xml:space="preserve"> </w:t>
      </w:r>
      <w:r w:rsidR="009B1DA2">
        <w:t xml:space="preserve">taking </w:t>
      </w:r>
      <w:r w:rsidR="00014674">
        <w:t xml:space="preserve">additional </w:t>
      </w:r>
      <w:r w:rsidR="009B1DA2">
        <w:t>active steps beyond</w:t>
      </w:r>
      <w:r w:rsidR="000436CE">
        <w:t xml:space="preserve"> reinforcing</w:t>
      </w:r>
      <w:r w:rsidR="009B1DA2">
        <w:t xml:space="preserve"> </w:t>
      </w:r>
      <w:r w:rsidR="00D56AC5">
        <w:t>existing minimum requirements.</w:t>
      </w:r>
    </w:p>
    <w:p w14:paraId="53E704F0" w14:textId="576EE5E6" w:rsidR="00D92D49" w:rsidRDefault="00D92D49" w:rsidP="00D92D49">
      <w:pPr>
        <w:pStyle w:val="Heading2"/>
      </w:pPr>
      <w:bookmarkStart w:id="22" w:name="_Toc117842230"/>
      <w:r>
        <w:t>Positive duties</w:t>
      </w:r>
      <w:bookmarkEnd w:id="22"/>
    </w:p>
    <w:p w14:paraId="341E6BDD" w14:textId="7843831B" w:rsidR="00D95D85" w:rsidRDefault="007404AF" w:rsidP="00DA19EC">
      <w:pPr>
        <w:pStyle w:val="Numberedparagraph"/>
      </w:pPr>
      <w:r>
        <w:t>Having identified</w:t>
      </w:r>
      <w:r w:rsidR="0052452A">
        <w:t xml:space="preserve"> the</w:t>
      </w:r>
      <w:r w:rsidR="00950E4E">
        <w:t xml:space="preserve"> limitations </w:t>
      </w:r>
      <w:r w:rsidR="009E69A8">
        <w:t>inherent in</w:t>
      </w:r>
      <w:r w:rsidR="00950E4E">
        <w:t xml:space="preserve"> a reactive system, t</w:t>
      </w:r>
      <w:r w:rsidR="00D92D49">
        <w:t xml:space="preserve">he </w:t>
      </w:r>
      <w:r w:rsidR="001946E8">
        <w:t>QHRC’s</w:t>
      </w:r>
      <w:r w:rsidR="00D92D49">
        <w:t xml:space="preserve"> </w:t>
      </w:r>
      <w:r w:rsidR="00D92D49" w:rsidRPr="00FA41D5">
        <w:rPr>
          <w:i/>
        </w:rPr>
        <w:t>Building Belonging</w:t>
      </w:r>
      <w:r w:rsidR="00D92D49">
        <w:t xml:space="preserve"> report </w:t>
      </w:r>
      <w:r w:rsidR="00C10901">
        <w:t>recommended a positive duty to eliminate discrimination</w:t>
      </w:r>
      <w:r w:rsidR="0001250D">
        <w:t xml:space="preserve"> </w:t>
      </w:r>
      <w:r w:rsidR="00151625">
        <w:t xml:space="preserve">to </w:t>
      </w:r>
      <w:r w:rsidR="00542B53">
        <w:t>apply</w:t>
      </w:r>
      <w:r w:rsidR="00C10901">
        <w:t xml:space="preserve"> to all duty holders under the Act. </w:t>
      </w:r>
      <w:r w:rsidR="00542B53">
        <w:t>This would include the Queensland Government as an employer.</w:t>
      </w:r>
      <w:r w:rsidR="00C10901">
        <w:t xml:space="preserve"> </w:t>
      </w:r>
    </w:p>
    <w:p w14:paraId="2973289B" w14:textId="0FBACF08" w:rsidR="008915DA" w:rsidRDefault="008D4D77" w:rsidP="00DA19EC">
      <w:pPr>
        <w:pStyle w:val="Numberedparagraph"/>
      </w:pPr>
      <w:r>
        <w:t xml:space="preserve">Chapter 2 </w:t>
      </w:r>
      <w:r w:rsidR="00D95D85">
        <w:t>of the Bill</w:t>
      </w:r>
      <w:r>
        <w:t xml:space="preserve"> contains two positive duty clauses, clause 27 and clause </w:t>
      </w:r>
      <w:r w:rsidR="001A303A">
        <w:t xml:space="preserve">33, </w:t>
      </w:r>
      <w:r w:rsidR="004F403D">
        <w:t xml:space="preserve">including </w:t>
      </w:r>
      <w:r w:rsidR="0085571C">
        <w:t>to</w:t>
      </w:r>
      <w:r w:rsidR="001A303A">
        <w:t xml:space="preserve"> eliminate unlawful discrimination in the entity in relation to employment matters.</w:t>
      </w:r>
      <w:r w:rsidR="001A303A">
        <w:rPr>
          <w:rStyle w:val="FootnoteReference"/>
        </w:rPr>
        <w:footnoteReference w:id="6"/>
      </w:r>
      <w:r w:rsidR="00104CC3">
        <w:t xml:space="preserve"> </w:t>
      </w:r>
    </w:p>
    <w:p w14:paraId="5CB45FBC" w14:textId="6C0EB356" w:rsidR="00D75614" w:rsidRDefault="00A957EB" w:rsidP="00DA19EC">
      <w:pPr>
        <w:pStyle w:val="Numberedparagraph"/>
      </w:pPr>
      <w:r>
        <w:t>Public</w:t>
      </w:r>
      <w:r w:rsidR="00D63602">
        <w:t xml:space="preserve"> sector </w:t>
      </w:r>
      <w:r w:rsidR="00AD4B8B">
        <w:t>agencie</w:t>
      </w:r>
      <w:r w:rsidR="00D63602">
        <w:t xml:space="preserve">s </w:t>
      </w:r>
      <w:r w:rsidR="002B0463">
        <w:t>would</w:t>
      </w:r>
      <w:r w:rsidR="00D75614">
        <w:t xml:space="preserve"> </w:t>
      </w:r>
      <w:r>
        <w:t>be required to take action to create</w:t>
      </w:r>
      <w:r w:rsidR="00D75614">
        <w:t xml:space="preserve"> equity and diversity plan</w:t>
      </w:r>
      <w:r>
        <w:t>s</w:t>
      </w:r>
      <w:r w:rsidR="00D75614">
        <w:t xml:space="preserve">, </w:t>
      </w:r>
      <w:r w:rsidR="00B75CDC">
        <w:t>conduct equity and diversity audit</w:t>
      </w:r>
      <w:r>
        <w:t>s</w:t>
      </w:r>
      <w:r w:rsidR="00DA5450">
        <w:t>,</w:t>
      </w:r>
      <w:r w:rsidR="00B75CDC">
        <w:t xml:space="preserve"> and </w:t>
      </w:r>
      <w:r>
        <w:t>report</w:t>
      </w:r>
      <w:r w:rsidR="00B75CDC">
        <w:t xml:space="preserve"> on an annual basis.</w:t>
      </w:r>
      <w:r w:rsidR="00B75CDC">
        <w:rPr>
          <w:rStyle w:val="FootnoteReference"/>
        </w:rPr>
        <w:footnoteReference w:id="7"/>
      </w:r>
      <w:r>
        <w:t xml:space="preserve"> </w:t>
      </w:r>
    </w:p>
    <w:p w14:paraId="4396B837" w14:textId="77777777" w:rsidR="00B64FBD" w:rsidRDefault="00B64FBD" w:rsidP="00DA19EC">
      <w:pPr>
        <w:pStyle w:val="Numberedparagraph"/>
      </w:pPr>
      <w:r>
        <w:t>The Explanatory Notes envisage that the Bill will be implemented as follows:</w:t>
      </w:r>
    </w:p>
    <w:p w14:paraId="57FDEDC0" w14:textId="1E4D8591" w:rsidR="00B64FBD" w:rsidRPr="00372F89" w:rsidRDefault="00B64FBD" w:rsidP="0031234F">
      <w:pPr>
        <w:pStyle w:val="Quote"/>
        <w:rPr>
          <w:rStyle w:val="Emphasis"/>
        </w:rPr>
      </w:pPr>
      <w:r w:rsidRPr="00AF2290">
        <w:t>…equity and diversity audits and reports will inform the entity’s equity and diversity plan, which will in turn be the subject of subsequent equity and diversity audits and reports. The intent is to create an ongoing program of planning, verification and evaluation within each prescribed entity to improve equity and diversity in employment matters.</w:t>
      </w:r>
      <w:r w:rsidR="00CD5BFC" w:rsidRPr="00362F81">
        <w:rPr>
          <w:rStyle w:val="FootnoteReference"/>
        </w:rPr>
        <w:footnoteReference w:id="8"/>
      </w:r>
      <w:r w:rsidRPr="00AF2290">
        <w:rPr>
          <w:rStyle w:val="Emphasis"/>
          <w:iCs w:val="0"/>
        </w:rPr>
        <w:t xml:space="preserve"> </w:t>
      </w:r>
    </w:p>
    <w:p w14:paraId="5540FD3C" w14:textId="479F19F8" w:rsidR="0055115A" w:rsidRPr="0055115A" w:rsidRDefault="00362F81" w:rsidP="00DA19EC">
      <w:pPr>
        <w:pStyle w:val="Numberedparagraph"/>
      </w:pPr>
      <w:r>
        <w:t>E</w:t>
      </w:r>
      <w:r w:rsidR="0055115A">
        <w:t>quity, diversity, respect</w:t>
      </w:r>
      <w:r w:rsidR="00045D90">
        <w:t>,</w:t>
      </w:r>
      <w:r w:rsidR="0055115A">
        <w:t xml:space="preserve"> and inclusion </w:t>
      </w:r>
      <w:r w:rsidR="009A644B">
        <w:t>also become considerations in</w:t>
      </w:r>
      <w:r w:rsidR="0055115A">
        <w:t xml:space="preserve"> the selection and recruitment process. Chapter 3 of the Bill requires that selection processes reflect the obligations set out under chapter 2 in regard to equity, diversity</w:t>
      </w:r>
      <w:r w:rsidR="00045D90">
        <w:t>,</w:t>
      </w:r>
      <w:r w:rsidR="0055115A">
        <w:t xml:space="preserve"> respect</w:t>
      </w:r>
      <w:r w:rsidR="00045D90">
        <w:t>,</w:t>
      </w:r>
      <w:r w:rsidR="0055115A">
        <w:t xml:space="preserve"> and inclusion.</w:t>
      </w:r>
    </w:p>
    <w:p w14:paraId="129CA024" w14:textId="78D6A662" w:rsidR="00E775D5" w:rsidRDefault="00E6337F" w:rsidP="00DA19EC">
      <w:pPr>
        <w:pStyle w:val="Numberedparagraph"/>
      </w:pPr>
      <w:r>
        <w:t>The</w:t>
      </w:r>
      <w:r w:rsidR="0049773C">
        <w:t xml:space="preserve"> inclusion of </w:t>
      </w:r>
      <w:r w:rsidR="009B3E60">
        <w:t>positive</w:t>
      </w:r>
      <w:r w:rsidR="0049773C">
        <w:t xml:space="preserve"> dut</w:t>
      </w:r>
      <w:r w:rsidR="0039492F">
        <w:t>ies</w:t>
      </w:r>
      <w:r w:rsidR="002F4490">
        <w:t xml:space="preserve"> on public sector entities set out</w:t>
      </w:r>
      <w:r w:rsidR="00E573B0">
        <w:t xml:space="preserve"> in clause</w:t>
      </w:r>
      <w:r w:rsidR="002F4490">
        <w:t>s</w:t>
      </w:r>
      <w:r w:rsidR="00E573B0">
        <w:t xml:space="preserve"> 27 and 33</w:t>
      </w:r>
      <w:r>
        <w:t xml:space="preserve"> is an encouraging development</w:t>
      </w:r>
      <w:r w:rsidR="002F4490">
        <w:t xml:space="preserve">. </w:t>
      </w:r>
      <w:r w:rsidR="00E775D5">
        <w:t xml:space="preserve">While many agencies already take steps to address equity and diversity, the QHRC considers that making this a requirement </w:t>
      </w:r>
      <w:r w:rsidR="0061695E">
        <w:t>will</w:t>
      </w:r>
      <w:r w:rsidR="00E775D5">
        <w:t xml:space="preserve"> ensure that promoting equity and diversity becomes a priority for agencies.</w:t>
      </w:r>
      <w:r w:rsidR="0070093F">
        <w:t xml:space="preserve"> </w:t>
      </w:r>
    </w:p>
    <w:p w14:paraId="21642A9B" w14:textId="5DB9FFD3" w:rsidR="002927AB" w:rsidRDefault="0046190A" w:rsidP="00DA19EC">
      <w:pPr>
        <w:pStyle w:val="Numberedparagraph"/>
      </w:pPr>
      <w:r>
        <w:t>The</w:t>
      </w:r>
      <w:r w:rsidR="002927AB">
        <w:t xml:space="preserve"> acknowledgement that employees may be members of </w:t>
      </w:r>
      <w:r w:rsidR="007D7D03">
        <w:t>‘</w:t>
      </w:r>
      <w:r w:rsidR="002927AB">
        <w:t>1 or more diversity target groups</w:t>
      </w:r>
      <w:r w:rsidR="007D7D03">
        <w:t>’</w:t>
      </w:r>
      <w:r w:rsidR="005E181F">
        <w:rPr>
          <w:rStyle w:val="FootnoteReference"/>
        </w:rPr>
        <w:footnoteReference w:id="9"/>
      </w:r>
      <w:r w:rsidR="002927AB">
        <w:t xml:space="preserve"> also </w:t>
      </w:r>
      <w:r w:rsidR="007D7D03">
        <w:t xml:space="preserve">aligns with the proposed reforms to the definition of discrimination in the </w:t>
      </w:r>
      <w:r w:rsidR="007D7D03" w:rsidRPr="00FA41D5">
        <w:rPr>
          <w:i/>
        </w:rPr>
        <w:t>Building Belonging</w:t>
      </w:r>
      <w:r w:rsidR="007D7D03">
        <w:t xml:space="preserve"> </w:t>
      </w:r>
      <w:r w:rsidR="00FA41D5">
        <w:t>r</w:t>
      </w:r>
      <w:r w:rsidR="007D7D03">
        <w:t>eport, which recommended that a person should be able to complain about discrimination on the basis of ‘combined grounds’.</w:t>
      </w:r>
      <w:r w:rsidR="007D7D03">
        <w:rPr>
          <w:rStyle w:val="FootnoteReference"/>
        </w:rPr>
        <w:footnoteReference w:id="10"/>
      </w:r>
    </w:p>
    <w:p w14:paraId="560359AF" w14:textId="469B8BB7" w:rsidR="002860FB" w:rsidRDefault="00554B76" w:rsidP="00DA19EC">
      <w:pPr>
        <w:pStyle w:val="Numberedparagraph"/>
      </w:pPr>
      <w:r>
        <w:t>In the QHRC’s view, the</w:t>
      </w:r>
      <w:r w:rsidR="002860FB">
        <w:t xml:space="preserve"> Bill complement</w:t>
      </w:r>
      <w:r>
        <w:t>s</w:t>
      </w:r>
      <w:r w:rsidR="002860FB">
        <w:t xml:space="preserve"> the proposed reforms to the AD Act recommended in the </w:t>
      </w:r>
      <w:r w:rsidR="002860FB" w:rsidRPr="00554B76">
        <w:rPr>
          <w:i/>
          <w:iCs/>
        </w:rPr>
        <w:t>Building Belonging</w:t>
      </w:r>
      <w:r w:rsidR="002860FB">
        <w:t xml:space="preserve"> report. </w:t>
      </w:r>
      <w:r w:rsidR="00594BF7">
        <w:t>Taking positive</w:t>
      </w:r>
      <w:r w:rsidR="002860FB">
        <w:t xml:space="preserve"> measures </w:t>
      </w:r>
      <w:r w:rsidR="00594BF7">
        <w:t>is</w:t>
      </w:r>
      <w:r w:rsidR="002860FB">
        <w:t xml:space="preserve"> also consistent with and promote</w:t>
      </w:r>
      <w:r w:rsidR="00594BF7">
        <w:t>s</w:t>
      </w:r>
      <w:r w:rsidR="002860FB">
        <w:t xml:space="preserve"> the right to equality under the HR Act.</w:t>
      </w:r>
      <w:r w:rsidR="002860FB">
        <w:rPr>
          <w:rStyle w:val="FootnoteReference"/>
        </w:rPr>
        <w:footnoteReference w:id="11"/>
      </w:r>
      <w:r w:rsidR="002860FB">
        <w:t xml:space="preserve"> The many benefits of promoting diversity and inclusion in the workplace include increased productivity, improved staff retention and job satisfaction, and reduced health and safety risks.</w:t>
      </w:r>
      <w:r w:rsidR="004373A6">
        <w:rPr>
          <w:rStyle w:val="FootnoteReference"/>
        </w:rPr>
        <w:footnoteReference w:id="12"/>
      </w:r>
    </w:p>
    <w:p w14:paraId="57C83004" w14:textId="4398362A" w:rsidR="003201AA" w:rsidRDefault="003201AA" w:rsidP="00DA19EC">
      <w:pPr>
        <w:pStyle w:val="Numberedparagraph"/>
      </w:pPr>
      <w:r>
        <w:t xml:space="preserve">Nonetheless, the </w:t>
      </w:r>
      <w:r w:rsidR="00641EA2">
        <w:t>QHRC</w:t>
      </w:r>
      <w:r>
        <w:t xml:space="preserve"> is of the view that the wording of the positive duties should be strengthened to meet the purposes of Chapter</w:t>
      </w:r>
      <w:r w:rsidR="00AB787E">
        <w:t xml:space="preserve"> 2</w:t>
      </w:r>
      <w:r w:rsidR="00EB0384">
        <w:t xml:space="preserve">, and to </w:t>
      </w:r>
      <w:r w:rsidR="000B3ED6">
        <w:t xml:space="preserve">ensure that </w:t>
      </w:r>
      <w:r w:rsidR="0046190A">
        <w:t xml:space="preserve">the </w:t>
      </w:r>
      <w:r w:rsidR="000B3ED6">
        <w:t xml:space="preserve">Queensland Government </w:t>
      </w:r>
      <w:r w:rsidR="0046190A">
        <w:t xml:space="preserve">is </w:t>
      </w:r>
      <w:r w:rsidR="000B3ED6">
        <w:t xml:space="preserve">leading the way in promoting </w:t>
      </w:r>
      <w:r w:rsidR="00EB0384">
        <w:t>substantive</w:t>
      </w:r>
      <w:r w:rsidR="0046190A">
        <w:t>,</w:t>
      </w:r>
      <w:r w:rsidR="00EB0384">
        <w:t xml:space="preserve"> rather than only formal</w:t>
      </w:r>
      <w:r w:rsidR="0046190A">
        <w:t>,</w:t>
      </w:r>
      <w:r w:rsidR="00EB0384">
        <w:t xml:space="preserve"> equality</w:t>
      </w:r>
      <w:r>
        <w:t xml:space="preserve">. </w:t>
      </w:r>
    </w:p>
    <w:p w14:paraId="636F749E" w14:textId="41A83495" w:rsidR="00FB7CA4" w:rsidRDefault="005D1922" w:rsidP="005D1922">
      <w:pPr>
        <w:pStyle w:val="Heading3"/>
      </w:pPr>
      <w:bookmarkStart w:id="23" w:name="_Toc117842231"/>
      <w:r>
        <w:t>Promoting equity and diversity</w:t>
      </w:r>
      <w:bookmarkEnd w:id="23"/>
    </w:p>
    <w:p w14:paraId="3312BD3D" w14:textId="5102DE17" w:rsidR="002F3A08" w:rsidRDefault="00021CF0" w:rsidP="00DA19EC">
      <w:pPr>
        <w:pStyle w:val="Numberedparagraph"/>
      </w:pPr>
      <w:r>
        <w:t xml:space="preserve">Clause 27(b) </w:t>
      </w:r>
      <w:r w:rsidR="008128F8">
        <w:t xml:space="preserve">states that </w:t>
      </w:r>
      <w:r w:rsidR="00AA6FC4">
        <w:t>reasonable action must be taken</w:t>
      </w:r>
      <w:r w:rsidR="001A1793">
        <w:t xml:space="preserve"> to ensure</w:t>
      </w:r>
      <w:r>
        <w:t xml:space="preserve"> that members of diverse groups ‘</w:t>
      </w:r>
      <w:r w:rsidRPr="00C14748">
        <w:rPr>
          <w:i/>
        </w:rPr>
        <w:t>are able to</w:t>
      </w:r>
      <w:r>
        <w:t xml:space="preserve"> pursue careers, compete for recruitment, </w:t>
      </w:r>
      <w:r w:rsidR="006F1495">
        <w:t>selection</w:t>
      </w:r>
      <w:r>
        <w:t xml:space="preserve"> and promotion opportunities</w:t>
      </w:r>
      <w:r w:rsidR="006C31FE">
        <w:t>’ (emphasis added</w:t>
      </w:r>
      <w:r w:rsidR="00541093">
        <w:t>)</w:t>
      </w:r>
      <w:r>
        <w:t xml:space="preserve">. </w:t>
      </w:r>
      <w:r w:rsidR="008B07EB">
        <w:t xml:space="preserve">Merely </w:t>
      </w:r>
      <w:r w:rsidR="00F205D7">
        <w:t xml:space="preserve">asserting </w:t>
      </w:r>
      <w:r w:rsidR="006F1495">
        <w:t xml:space="preserve">the ‘ability’ </w:t>
      </w:r>
      <w:r w:rsidR="009D4C78">
        <w:t>of</w:t>
      </w:r>
      <w:r w:rsidR="006F1495">
        <w:t xml:space="preserve"> a person to pursue their career and opportunities is </w:t>
      </w:r>
      <w:r>
        <w:t xml:space="preserve">no more </w:t>
      </w:r>
      <w:r w:rsidR="002001B4">
        <w:t>than restating</w:t>
      </w:r>
      <w:r>
        <w:t xml:space="preserve"> the status quo. </w:t>
      </w:r>
      <w:r w:rsidR="006C3415">
        <w:t xml:space="preserve">Any person </w:t>
      </w:r>
      <w:r w:rsidR="00930928">
        <w:t xml:space="preserve">may </w:t>
      </w:r>
      <w:r w:rsidR="003A74A7">
        <w:t xml:space="preserve">technically </w:t>
      </w:r>
      <w:r w:rsidR="00930928">
        <w:t>be</w:t>
      </w:r>
      <w:r w:rsidR="006C3415">
        <w:t xml:space="preserve"> </w:t>
      </w:r>
      <w:r w:rsidR="00D8340D">
        <w:t>‘</w:t>
      </w:r>
      <w:r w:rsidR="006C3415">
        <w:t>able to</w:t>
      </w:r>
      <w:r w:rsidR="00D8340D">
        <w:t>’</w:t>
      </w:r>
      <w:r w:rsidR="006C3415">
        <w:t xml:space="preserve"> apply for work</w:t>
      </w:r>
      <w:r w:rsidR="00D8340D">
        <w:t xml:space="preserve"> currently</w:t>
      </w:r>
      <w:r w:rsidR="006C3415">
        <w:t xml:space="preserve">, but </w:t>
      </w:r>
      <w:r w:rsidR="008B07EB">
        <w:t xml:space="preserve">some marginalised groups encounter </w:t>
      </w:r>
      <w:r w:rsidR="006C3415">
        <w:t xml:space="preserve">barriers </w:t>
      </w:r>
      <w:r w:rsidR="00880037">
        <w:t>in applying for and</w:t>
      </w:r>
      <w:r w:rsidR="006C3415">
        <w:t xml:space="preserve"> obtaining work in the public sector. </w:t>
      </w:r>
      <w:r w:rsidR="00D8340D">
        <w:t>Without acknowledging and addressing these barriers</w:t>
      </w:r>
      <w:r w:rsidR="00880037">
        <w:t>,</w:t>
      </w:r>
      <w:r w:rsidR="00D8340D">
        <w:t xml:space="preserve"> </w:t>
      </w:r>
      <w:r w:rsidR="004A54FA">
        <w:t>this duty as currently stated</w:t>
      </w:r>
      <w:r w:rsidR="00D8340D">
        <w:t xml:space="preserve"> is unlikely </w:t>
      </w:r>
      <w:r w:rsidR="004A54FA">
        <w:t xml:space="preserve">to result in meaningful </w:t>
      </w:r>
      <w:r w:rsidR="001A60A6">
        <w:t>outcomes</w:t>
      </w:r>
      <w:r w:rsidR="00D8340D">
        <w:t>.</w:t>
      </w:r>
      <w:r w:rsidR="001A1793">
        <w:t xml:space="preserve"> </w:t>
      </w:r>
    </w:p>
    <w:p w14:paraId="6C974494" w14:textId="28DAC4F9" w:rsidR="00021CF0" w:rsidRDefault="001A60A6" w:rsidP="00DA19EC">
      <w:pPr>
        <w:pStyle w:val="Numberedparagraph"/>
      </w:pPr>
      <w:r>
        <w:t>The</w:t>
      </w:r>
      <w:r w:rsidR="008E6D92">
        <w:t xml:space="preserve"> wording</w:t>
      </w:r>
      <w:r>
        <w:t xml:space="preserve"> of clause 27(b)</w:t>
      </w:r>
      <w:r w:rsidR="008E6D92">
        <w:t xml:space="preserve"> also water</w:t>
      </w:r>
      <w:r w:rsidR="00223D53">
        <w:t>s</w:t>
      </w:r>
      <w:r w:rsidR="008E6D92">
        <w:t xml:space="preserve"> down the current EEO </w:t>
      </w:r>
      <w:r w:rsidR="00223D53">
        <w:t>(equal employment opportunit</w:t>
      </w:r>
      <w:r w:rsidR="00F931E6">
        <w:t>y</w:t>
      </w:r>
      <w:r w:rsidR="00223D53">
        <w:t>)</w:t>
      </w:r>
      <w:r w:rsidR="00690AC7">
        <w:t xml:space="preserve"> </w:t>
      </w:r>
      <w:r w:rsidR="008E6D92">
        <w:t>obligation</w:t>
      </w:r>
      <w:r w:rsidR="008B17C2">
        <w:t xml:space="preserve"> in the </w:t>
      </w:r>
      <w:r w:rsidR="008B17C2" w:rsidRPr="001A60A6">
        <w:rPr>
          <w:i/>
          <w:iCs/>
        </w:rPr>
        <w:t>Public Service Act 2008</w:t>
      </w:r>
      <w:r w:rsidR="008E6D92">
        <w:t xml:space="preserve"> </w:t>
      </w:r>
      <w:r w:rsidR="00690AC7">
        <w:t xml:space="preserve">that </w:t>
      </w:r>
      <w:r w:rsidR="008B17C2">
        <w:t xml:space="preserve">requires </w:t>
      </w:r>
      <w:r w:rsidR="000528E0">
        <w:t xml:space="preserve">public sector </w:t>
      </w:r>
      <w:r w:rsidR="00DD21F2">
        <w:t>agencies</w:t>
      </w:r>
      <w:r w:rsidR="008E6D92">
        <w:t xml:space="preserve"> to ‘enable</w:t>
      </w:r>
      <w:r w:rsidR="00832B17">
        <w:t xml:space="preserve">’ </w:t>
      </w:r>
      <w:r w:rsidR="008E6D92">
        <w:t>members of the EEO target groups to</w:t>
      </w:r>
      <w:r w:rsidR="00832B17">
        <w:t xml:space="preserve"> compete for recruitment, selection, promotion and transfer and to pursue careers</w:t>
      </w:r>
      <w:r w:rsidR="004C4E1B">
        <w:t xml:space="preserve"> ‘as effectively as people who are not members of those groups.’</w:t>
      </w:r>
      <w:r w:rsidR="00560393">
        <w:rPr>
          <w:rStyle w:val="FootnoteReference"/>
        </w:rPr>
        <w:footnoteReference w:id="13"/>
      </w:r>
      <w:r w:rsidR="00832B17">
        <w:t xml:space="preserve"> </w:t>
      </w:r>
      <w:r w:rsidR="004C4E1B">
        <w:t xml:space="preserve">Aside from </w:t>
      </w:r>
      <w:r w:rsidR="00477839">
        <w:t>the word</w:t>
      </w:r>
      <w:r w:rsidR="004C4E1B">
        <w:t xml:space="preserve"> ‘enable’, </w:t>
      </w:r>
      <w:r w:rsidR="001A1793">
        <w:t>alternative</w:t>
      </w:r>
      <w:r>
        <w:t xml:space="preserve"> words to ensure the purposes of the chapter are achieved </w:t>
      </w:r>
      <w:r w:rsidR="001A1793">
        <w:t xml:space="preserve">may </w:t>
      </w:r>
      <w:r>
        <w:t xml:space="preserve">include </w:t>
      </w:r>
      <w:r w:rsidR="001A1793">
        <w:t>‘</w:t>
      </w:r>
      <w:r w:rsidR="00D05677">
        <w:t>empowered’ or ‘supported’.</w:t>
      </w:r>
    </w:p>
    <w:p w14:paraId="471727B1" w14:textId="3CBFB96A" w:rsidR="00A970D0" w:rsidRDefault="00D75614" w:rsidP="00375A42">
      <w:pPr>
        <w:pStyle w:val="Heading2"/>
      </w:pPr>
      <w:bookmarkStart w:id="24" w:name="_Toc117842232"/>
      <w:r>
        <w:t>Diversity target groups</w:t>
      </w:r>
      <w:bookmarkEnd w:id="24"/>
    </w:p>
    <w:p w14:paraId="09D44C55" w14:textId="3A381CAC" w:rsidR="002E07F0" w:rsidRDefault="002E07F0" w:rsidP="002E07F0">
      <w:pPr>
        <w:pStyle w:val="Heading3"/>
      </w:pPr>
      <w:bookmarkStart w:id="25" w:name="_Toc117842233"/>
      <w:r>
        <w:t>Target groups</w:t>
      </w:r>
      <w:bookmarkEnd w:id="25"/>
    </w:p>
    <w:p w14:paraId="4CA5B86F" w14:textId="4C3DE648" w:rsidR="007E4900" w:rsidRDefault="00A970D0" w:rsidP="00DA19EC">
      <w:pPr>
        <w:pStyle w:val="Numberedparagraph"/>
      </w:pPr>
      <w:r>
        <w:t>Equal opp</w:t>
      </w:r>
      <w:r w:rsidR="00A76A8B">
        <w:t xml:space="preserve">ortunity measures </w:t>
      </w:r>
      <w:r w:rsidR="00B713BD">
        <w:t xml:space="preserve">in the public sector </w:t>
      </w:r>
      <w:r w:rsidR="00A76A8B">
        <w:t>were first i</w:t>
      </w:r>
      <w:r w:rsidR="00B713BD">
        <w:t xml:space="preserve">ntroduced </w:t>
      </w:r>
      <w:r w:rsidR="00A76A8B">
        <w:t>in March 1992.</w:t>
      </w:r>
      <w:r w:rsidR="00A76A8B">
        <w:rPr>
          <w:rStyle w:val="FootnoteReference"/>
        </w:rPr>
        <w:footnoteReference w:id="14"/>
      </w:r>
      <w:r w:rsidR="002074D5">
        <w:t xml:space="preserve"> </w:t>
      </w:r>
      <w:r w:rsidR="00E55081">
        <w:t xml:space="preserve">The </w:t>
      </w:r>
      <w:r w:rsidR="00390A66">
        <w:t xml:space="preserve">same </w:t>
      </w:r>
      <w:r w:rsidR="00E55081">
        <w:t xml:space="preserve">‘target groups’ in </w:t>
      </w:r>
      <w:r w:rsidR="00B61532">
        <w:t>the 1992 legislation</w:t>
      </w:r>
      <w:r w:rsidR="00E55081">
        <w:t xml:space="preserve"> </w:t>
      </w:r>
      <w:r w:rsidR="00462720">
        <w:t>were included</w:t>
      </w:r>
      <w:r w:rsidR="008E2994">
        <w:t xml:space="preserve"> as ‘EEO target groups’ </w:t>
      </w:r>
      <w:r w:rsidR="00462720">
        <w:t>in the</w:t>
      </w:r>
      <w:r w:rsidR="008E2994">
        <w:t xml:space="preserve"> </w:t>
      </w:r>
      <w:r w:rsidR="008E2994">
        <w:rPr>
          <w:i/>
          <w:iCs/>
        </w:rPr>
        <w:t>Public Service Act 2008</w:t>
      </w:r>
      <w:r w:rsidR="00390A66">
        <w:rPr>
          <w:i/>
          <w:iCs/>
        </w:rPr>
        <w:t xml:space="preserve">. </w:t>
      </w:r>
      <w:r w:rsidR="00390A66">
        <w:t xml:space="preserve">In </w:t>
      </w:r>
      <w:r w:rsidR="00587144">
        <w:t>effect</w:t>
      </w:r>
      <w:r w:rsidR="00455F30">
        <w:t>,</w:t>
      </w:r>
      <w:r w:rsidR="00390A66">
        <w:t xml:space="preserve"> these same target groups have carried over into the </w:t>
      </w:r>
      <w:r w:rsidR="00753698">
        <w:t>current Bill</w:t>
      </w:r>
      <w:r w:rsidR="00390A66">
        <w:t xml:space="preserve"> as ‘diversity target groups</w:t>
      </w:r>
      <w:r w:rsidR="00132487">
        <w:t>.</w:t>
      </w:r>
      <w:r w:rsidR="00390A66">
        <w:t>’</w:t>
      </w:r>
      <w:r w:rsidR="00646E28">
        <w:t xml:space="preserve"> While</w:t>
      </w:r>
      <w:r w:rsidR="004A0500">
        <w:t xml:space="preserve"> </w:t>
      </w:r>
      <w:r w:rsidR="00646E28">
        <w:t>legislation</w:t>
      </w:r>
      <w:r w:rsidR="004A0500">
        <w:t xml:space="preserve"> passed in 1992 and 2008</w:t>
      </w:r>
      <w:r w:rsidR="00646E28">
        <w:t xml:space="preserve"> </w:t>
      </w:r>
      <w:r w:rsidR="00664DFD">
        <w:t xml:space="preserve">included the possibility of </w:t>
      </w:r>
      <w:r w:rsidR="00455F30">
        <w:t>additional</w:t>
      </w:r>
      <w:r w:rsidR="00664DFD">
        <w:t xml:space="preserve"> </w:t>
      </w:r>
      <w:r w:rsidR="00390A66">
        <w:t xml:space="preserve">target </w:t>
      </w:r>
      <w:r w:rsidR="00664DFD">
        <w:t>group</w:t>
      </w:r>
      <w:r w:rsidR="00455F30">
        <w:t>s</w:t>
      </w:r>
      <w:r w:rsidR="00664DFD">
        <w:t xml:space="preserve"> being prescribed by regulation, the </w:t>
      </w:r>
      <w:r w:rsidR="00284A8D">
        <w:t>QHRC</w:t>
      </w:r>
      <w:r w:rsidR="00664DFD">
        <w:t xml:space="preserve"> understands this has </w:t>
      </w:r>
      <w:r w:rsidR="00462720">
        <w:t>not</w:t>
      </w:r>
      <w:r w:rsidR="00664DFD">
        <w:t xml:space="preserve"> occurred.</w:t>
      </w:r>
    </w:p>
    <w:p w14:paraId="124F650D" w14:textId="0451A62A" w:rsidR="00FD60C0" w:rsidRDefault="00465B05" w:rsidP="00DA19EC">
      <w:pPr>
        <w:pStyle w:val="Numberedparagraph"/>
      </w:pPr>
      <w:r>
        <w:t>The QHRC urges the government to consider</w:t>
      </w:r>
      <w:r w:rsidR="00FD60C0" w:rsidRPr="00AB3A31">
        <w:t xml:space="preserve"> whether the target groups</w:t>
      </w:r>
      <w:r w:rsidR="004A0500">
        <w:t xml:space="preserve"> </w:t>
      </w:r>
      <w:r w:rsidR="000E18C7">
        <w:t>that were</w:t>
      </w:r>
      <w:r w:rsidR="004A0500">
        <w:t xml:space="preserve"> first included in legislation 30 years ago </w:t>
      </w:r>
      <w:r w:rsidR="00FD60C0" w:rsidRPr="00AB3A31">
        <w:t>should be expanded, and</w:t>
      </w:r>
      <w:r w:rsidR="000B3AD7">
        <w:t>,</w:t>
      </w:r>
      <w:r w:rsidR="00FD60C0" w:rsidRPr="00AB3A31">
        <w:t xml:space="preserve"> in particular</w:t>
      </w:r>
      <w:r w:rsidR="000B3AD7">
        <w:t>,</w:t>
      </w:r>
      <w:r w:rsidR="00FD60C0" w:rsidRPr="00AB3A31">
        <w:t xml:space="preserve"> whether </w:t>
      </w:r>
      <w:r w:rsidR="00462720">
        <w:t>the</w:t>
      </w:r>
      <w:r w:rsidR="001E29FE">
        <w:t xml:space="preserve"> Bill</w:t>
      </w:r>
      <w:r w:rsidR="00FD60C0" w:rsidRPr="00AB3A31">
        <w:t xml:space="preserve"> should </w:t>
      </w:r>
      <w:r w:rsidR="00117BDF">
        <w:t>ensure</w:t>
      </w:r>
      <w:r w:rsidR="00CA5B0E">
        <w:t xml:space="preserve"> that equity and diversity measures </w:t>
      </w:r>
      <w:r w:rsidR="000B3AD7">
        <w:t xml:space="preserve">are </w:t>
      </w:r>
      <w:r w:rsidR="00117BDF">
        <w:t xml:space="preserve">in </w:t>
      </w:r>
      <w:r w:rsidR="00A9431B">
        <w:t>place</w:t>
      </w:r>
      <w:r w:rsidR="00117BDF">
        <w:t xml:space="preserve"> </w:t>
      </w:r>
      <w:r w:rsidR="00CA5B0E">
        <w:t>for</w:t>
      </w:r>
      <w:r w:rsidR="00FD60C0" w:rsidRPr="00AB3A31">
        <w:t xml:space="preserve"> </w:t>
      </w:r>
      <w:r w:rsidR="00674C5B">
        <w:t xml:space="preserve">LGBTIQ+ employees. </w:t>
      </w:r>
    </w:p>
    <w:p w14:paraId="4660F319" w14:textId="4FA5301E" w:rsidR="002E07F0" w:rsidRDefault="002E07F0" w:rsidP="002E07F0">
      <w:pPr>
        <w:pStyle w:val="Heading3"/>
      </w:pPr>
      <w:bookmarkStart w:id="26" w:name="_Toc117842234"/>
      <w:r>
        <w:t>LGBTIQ+ employees</w:t>
      </w:r>
      <w:bookmarkEnd w:id="26"/>
    </w:p>
    <w:p w14:paraId="39AC47A4" w14:textId="77777777" w:rsidR="00356771" w:rsidRDefault="00356771" w:rsidP="00DA19EC">
      <w:pPr>
        <w:pStyle w:val="Numberedparagraph"/>
      </w:pPr>
      <w:r>
        <w:t>As stated in the current Queensland public sector LGBTIQ+ inclusion strategy, ‘the public sector has a unique opportunity and responsibility to make a positive contribution to LGBTIQ+ inclusion.’</w:t>
      </w:r>
      <w:r>
        <w:rPr>
          <w:rStyle w:val="FootnoteReference"/>
        </w:rPr>
        <w:footnoteReference w:id="15"/>
      </w:r>
    </w:p>
    <w:p w14:paraId="2E4F8E28" w14:textId="1BE9297A" w:rsidR="000320AA" w:rsidRDefault="00D84FD5" w:rsidP="00DA19EC">
      <w:pPr>
        <w:pStyle w:val="Numberedparagraph"/>
      </w:pPr>
      <w:r>
        <w:t xml:space="preserve">In 2021, </w:t>
      </w:r>
      <w:r w:rsidR="002304F8">
        <w:t>one</w:t>
      </w:r>
      <w:r>
        <w:t xml:space="preserve"> in </w:t>
      </w:r>
      <w:r w:rsidR="00F962B5">
        <w:t>three</w:t>
      </w:r>
      <w:r>
        <w:t xml:space="preserve"> </w:t>
      </w:r>
      <w:r w:rsidR="00C17B6C">
        <w:t xml:space="preserve">(out of over 80,000) </w:t>
      </w:r>
      <w:r w:rsidR="008C0092">
        <w:t>public sector</w:t>
      </w:r>
      <w:r>
        <w:t xml:space="preserve"> respondents to the Working for Queensland Survey</w:t>
      </w:r>
      <w:r w:rsidR="00D132E4">
        <w:t xml:space="preserve"> </w:t>
      </w:r>
      <w:r>
        <w:t>indicated that sexual orientation is a barrier to success in their organisation.</w:t>
      </w:r>
      <w:r>
        <w:rPr>
          <w:rStyle w:val="FootnoteReference"/>
        </w:rPr>
        <w:footnoteReference w:id="16"/>
      </w:r>
      <w:r>
        <w:t xml:space="preserve"> </w:t>
      </w:r>
      <w:r w:rsidR="002E07F0">
        <w:t>The survey did not ask about gender identity in 2021.</w:t>
      </w:r>
    </w:p>
    <w:p w14:paraId="78C37570" w14:textId="54CC9B21" w:rsidR="007978F2" w:rsidRDefault="00D47A88" w:rsidP="00DA19EC">
      <w:pPr>
        <w:pStyle w:val="Numberedparagraph"/>
      </w:pPr>
      <w:r>
        <w:t>R</w:t>
      </w:r>
      <w:r w:rsidR="00003C12">
        <w:t>esearch</w:t>
      </w:r>
      <w:r w:rsidR="000320AA">
        <w:t xml:space="preserve"> across public and private sectors </w:t>
      </w:r>
      <w:r w:rsidR="00604B7F">
        <w:t>indicates</w:t>
      </w:r>
      <w:r w:rsidR="000320AA">
        <w:t xml:space="preserve"> that LGBTIQ+ employees, and particularly trans and gender diverse employees, experience barriers to inclusion in employment. </w:t>
      </w:r>
      <w:r w:rsidR="007978F2">
        <w:t xml:space="preserve">Nearly 10% of respondents to the Australian </w:t>
      </w:r>
      <w:r w:rsidR="007978F2" w:rsidRPr="000320AA">
        <w:rPr>
          <w:i/>
          <w:iCs/>
        </w:rPr>
        <w:t xml:space="preserve">Private Lives 3 </w:t>
      </w:r>
      <w:r w:rsidR="007978F2">
        <w:t>study reported being refused employment or promotion in the last 12 months on the basis of sexuality or gender identity discrimination.</w:t>
      </w:r>
      <w:r w:rsidR="007978F2">
        <w:rPr>
          <w:rStyle w:val="FootnoteReference"/>
        </w:rPr>
        <w:footnoteReference w:id="17"/>
      </w:r>
      <w:r w:rsidR="000320AA">
        <w:t xml:space="preserve"> </w:t>
      </w:r>
      <w:r w:rsidR="00737E80">
        <w:t xml:space="preserve">Around 1 in 3 </w:t>
      </w:r>
      <w:r w:rsidR="00863051">
        <w:t xml:space="preserve">LGBTIQ+ employees hide their identity to at least some staff at work, </w:t>
      </w:r>
      <w:r w:rsidR="00E97A7C">
        <w:t>and this</w:t>
      </w:r>
      <w:r w:rsidR="00A30E72">
        <w:t xml:space="preserve"> </w:t>
      </w:r>
      <w:r w:rsidR="00A90094">
        <w:t>subterfuge</w:t>
      </w:r>
      <w:r w:rsidR="00E97A7C">
        <w:t xml:space="preserve"> </w:t>
      </w:r>
      <w:r w:rsidR="00E772E7">
        <w:t>has been linked to higher rates of depression</w:t>
      </w:r>
      <w:r w:rsidR="00F07EB2">
        <w:t>,</w:t>
      </w:r>
      <w:r w:rsidR="00E772E7">
        <w:t xml:space="preserve"> low job satisfaction</w:t>
      </w:r>
      <w:r w:rsidR="00F07EB2">
        <w:t>,</w:t>
      </w:r>
      <w:r w:rsidR="005776B7">
        <w:t xml:space="preserve"> and reduced work performance</w:t>
      </w:r>
      <w:r w:rsidR="00E772E7">
        <w:t>.</w:t>
      </w:r>
      <w:r w:rsidR="005776B7">
        <w:rPr>
          <w:rStyle w:val="FootnoteReference"/>
        </w:rPr>
        <w:footnoteReference w:id="18"/>
      </w:r>
      <w:r w:rsidR="000320AA">
        <w:t xml:space="preserve"> </w:t>
      </w:r>
      <w:r w:rsidR="00604B7F">
        <w:t>T</w:t>
      </w:r>
      <w:r w:rsidR="007978F2">
        <w:t xml:space="preserve">he 2020 Australian Workplace Equality Index employee survey of over 33,000 employees </w:t>
      </w:r>
      <w:r w:rsidR="006A7295">
        <w:t>sho</w:t>
      </w:r>
      <w:r w:rsidR="008D5F1D">
        <w:t>we</w:t>
      </w:r>
      <w:r w:rsidR="006A7295">
        <w:t>d that</w:t>
      </w:r>
      <w:r w:rsidR="007978F2">
        <w:t xml:space="preserve"> only 47.4% of trans and gender diverse employees reported feeling safe and included in their immediate team and 63.9% felt mentally well at work.</w:t>
      </w:r>
      <w:r w:rsidR="007978F2">
        <w:rPr>
          <w:rStyle w:val="FootnoteReference"/>
        </w:rPr>
        <w:footnoteReference w:id="19"/>
      </w:r>
      <w:r w:rsidR="007978F2">
        <w:t xml:space="preserve"> </w:t>
      </w:r>
    </w:p>
    <w:p w14:paraId="63CB0F94" w14:textId="48681608" w:rsidR="00A36149" w:rsidRDefault="00356771" w:rsidP="00DA19EC">
      <w:pPr>
        <w:pStyle w:val="Numberedparagraph"/>
      </w:pPr>
      <w:r>
        <w:t xml:space="preserve">In the </w:t>
      </w:r>
      <w:r w:rsidR="00284A8D">
        <w:t>QHRC’s</w:t>
      </w:r>
      <w:r>
        <w:t xml:space="preserve"> experience with </w:t>
      </w:r>
      <w:r w:rsidR="004C07E6">
        <w:t xml:space="preserve">handling </w:t>
      </w:r>
      <w:r>
        <w:t>enquiries and complaints</w:t>
      </w:r>
      <w:r w:rsidR="004C07E6">
        <w:t xml:space="preserve"> about sexuality and gender identity discrimination</w:t>
      </w:r>
      <w:r>
        <w:t xml:space="preserve">, specific measures </w:t>
      </w:r>
      <w:r w:rsidR="005E4883">
        <w:t>may be</w:t>
      </w:r>
      <w:r>
        <w:t xml:space="preserve"> necessary </w:t>
      </w:r>
      <w:r w:rsidR="0015692B">
        <w:t>to ensure genuine</w:t>
      </w:r>
      <w:r>
        <w:t xml:space="preserve"> inclusion of LGBTIQ+ employees</w:t>
      </w:r>
      <w:r w:rsidR="00151D9E">
        <w:t>,</w:t>
      </w:r>
      <w:r w:rsidR="005E4883">
        <w:t xml:space="preserve"> as distinct from other diversity target groups</w:t>
      </w:r>
      <w:r>
        <w:t>.</w:t>
      </w:r>
    </w:p>
    <w:p w14:paraId="3A986012" w14:textId="56F6B3D8" w:rsidR="00AB3A31" w:rsidRDefault="006E4842" w:rsidP="00DA19EC">
      <w:pPr>
        <w:pStyle w:val="Numberedparagraph"/>
      </w:pPr>
      <w:r>
        <w:t>C</w:t>
      </w:r>
      <w:r w:rsidR="00B53F88">
        <w:t xml:space="preserve">hapter </w:t>
      </w:r>
      <w:r>
        <w:t xml:space="preserve">2 of the Bill </w:t>
      </w:r>
      <w:r w:rsidR="004F7A61" w:rsidRPr="00AB3A31">
        <w:t>refer</w:t>
      </w:r>
      <w:r w:rsidR="00F171D5">
        <w:t>s</w:t>
      </w:r>
      <w:r w:rsidR="004F7A61" w:rsidRPr="00AB3A31">
        <w:t xml:space="preserve"> to </w:t>
      </w:r>
      <w:r w:rsidR="00674C5B" w:rsidRPr="00AB3A31">
        <w:t>people with diverse sexual orientations, gender identities</w:t>
      </w:r>
      <w:r w:rsidR="00151D9E">
        <w:t>,</w:t>
      </w:r>
      <w:r w:rsidR="00674C5B" w:rsidRPr="00AB3A31">
        <w:t xml:space="preserve"> or intersex variations</w:t>
      </w:r>
      <w:r w:rsidR="004F7A61" w:rsidRPr="00AB3A31">
        <w:t xml:space="preserve"> as an example of </w:t>
      </w:r>
      <w:r w:rsidR="002C672E" w:rsidRPr="00AB3A31">
        <w:t xml:space="preserve">a group </w:t>
      </w:r>
      <w:r w:rsidR="00151D9E">
        <w:t>that</w:t>
      </w:r>
      <w:r w:rsidR="00151D9E" w:rsidRPr="00AB3A31">
        <w:t xml:space="preserve"> </w:t>
      </w:r>
      <w:r w:rsidR="002C672E" w:rsidRPr="00AB3A31">
        <w:t xml:space="preserve">is not a diversity </w:t>
      </w:r>
      <w:r w:rsidR="00AE44BC" w:rsidRPr="00AB3A31">
        <w:t xml:space="preserve">target </w:t>
      </w:r>
      <w:r w:rsidR="002C672E" w:rsidRPr="00AB3A31">
        <w:t>grou</w:t>
      </w:r>
      <w:r w:rsidR="00816B4D">
        <w:t>p</w:t>
      </w:r>
      <w:r w:rsidR="007978F2">
        <w:t>.</w:t>
      </w:r>
      <w:r w:rsidR="00117BDF">
        <w:rPr>
          <w:rStyle w:val="FootnoteReference"/>
        </w:rPr>
        <w:footnoteReference w:id="20"/>
      </w:r>
      <w:r w:rsidR="00B53F88">
        <w:t xml:space="preserve"> </w:t>
      </w:r>
      <w:r w:rsidR="00674C5B">
        <w:t>By referring to LGBTIQ+ employees, t</w:t>
      </w:r>
      <w:r w:rsidR="003E53F7">
        <w:t>he</w:t>
      </w:r>
      <w:r w:rsidR="008470EE" w:rsidRPr="00AB3A31">
        <w:t xml:space="preserve"> Bill signals that</w:t>
      </w:r>
      <w:r w:rsidR="00D426E3" w:rsidRPr="00AB3A31">
        <w:t xml:space="preserve"> </w:t>
      </w:r>
      <w:r w:rsidR="008470EE" w:rsidRPr="00AB3A31">
        <w:t xml:space="preserve">public sector </w:t>
      </w:r>
      <w:r w:rsidR="00DD21F2">
        <w:t>agencies</w:t>
      </w:r>
      <w:r w:rsidR="008470EE" w:rsidRPr="00AB3A31">
        <w:t xml:space="preserve"> need to give particular consideration to LGBTIQ+ employees when planning for</w:t>
      </w:r>
      <w:r w:rsidR="00AB3A31" w:rsidRPr="00AB3A31">
        <w:t xml:space="preserve"> equity</w:t>
      </w:r>
      <w:r w:rsidR="008470EE" w:rsidRPr="00AB3A31">
        <w:t xml:space="preserve"> </w:t>
      </w:r>
      <w:r w:rsidR="003E53F7">
        <w:t xml:space="preserve">and </w:t>
      </w:r>
      <w:r w:rsidR="008470EE" w:rsidRPr="00AB3A31">
        <w:t xml:space="preserve">diversity </w:t>
      </w:r>
      <w:r w:rsidR="00AB3A31" w:rsidRPr="00AB3A31">
        <w:t>and in</w:t>
      </w:r>
      <w:r w:rsidR="008470EE" w:rsidRPr="00AB3A31">
        <w:t xml:space="preserve"> creating a culture of respect and inclusion</w:t>
      </w:r>
      <w:r w:rsidR="003E53F7">
        <w:t xml:space="preserve">. </w:t>
      </w:r>
      <w:r w:rsidR="00133F1F">
        <w:t xml:space="preserve">However, because </w:t>
      </w:r>
      <w:r w:rsidR="008470EE" w:rsidRPr="00AB3A31">
        <w:t>this group is not included as a diversity target group, it is unclear</w:t>
      </w:r>
      <w:r w:rsidR="00185F45">
        <w:t xml:space="preserve"> </w:t>
      </w:r>
      <w:r w:rsidR="008470EE" w:rsidRPr="00AB3A31">
        <w:t>how effective the outcomes will be</w:t>
      </w:r>
      <w:r w:rsidR="00AB3A31" w:rsidRPr="00AB3A31">
        <w:t xml:space="preserve"> for this cohort</w:t>
      </w:r>
      <w:r w:rsidR="008470EE" w:rsidRPr="00AB3A31">
        <w:t>.</w:t>
      </w:r>
      <w:r w:rsidR="003E53F7">
        <w:t xml:space="preserve"> </w:t>
      </w:r>
    </w:p>
    <w:p w14:paraId="312D985C" w14:textId="6EBDDD10" w:rsidR="003E53F7" w:rsidRDefault="0015717A" w:rsidP="00DA19EC">
      <w:pPr>
        <w:pStyle w:val="Numberedparagraph"/>
      </w:pPr>
      <w:r>
        <w:t>The Bill requires that e</w:t>
      </w:r>
      <w:r w:rsidR="00185F45">
        <w:t xml:space="preserve">quity and diversity planning </w:t>
      </w:r>
      <w:r w:rsidR="00185F45" w:rsidRPr="00983A86">
        <w:rPr>
          <w:i/>
          <w:iCs/>
        </w:rPr>
        <w:t>must</w:t>
      </w:r>
      <w:r w:rsidR="00185F45">
        <w:t xml:space="preserve"> include the </w:t>
      </w:r>
      <w:r w:rsidR="00F65788">
        <w:t>establishment of objectives, strategies and targets for the target groups</w:t>
      </w:r>
      <w:r w:rsidR="008F7D00">
        <w:t xml:space="preserve"> </w:t>
      </w:r>
      <w:r w:rsidR="00EE545B">
        <w:t>(section 28</w:t>
      </w:r>
      <w:r w:rsidR="005E1167">
        <w:t>(2)</w:t>
      </w:r>
      <w:r w:rsidR="00021DCD">
        <w:t xml:space="preserve">) </w:t>
      </w:r>
      <w:r w:rsidR="008F7D00">
        <w:t xml:space="preserve">but </w:t>
      </w:r>
      <w:r>
        <w:t xml:space="preserve">only </w:t>
      </w:r>
      <w:r w:rsidR="008F7D00">
        <w:rPr>
          <w:i/>
          <w:iCs/>
        </w:rPr>
        <w:t xml:space="preserve">may </w:t>
      </w:r>
      <w:r w:rsidR="00983A86">
        <w:t>consider matters</w:t>
      </w:r>
      <w:r w:rsidR="008F7D00">
        <w:t xml:space="preserve"> relevant to other groups</w:t>
      </w:r>
      <w:r w:rsidR="009C4086">
        <w:t xml:space="preserve"> (section 28(5))</w:t>
      </w:r>
      <w:r w:rsidR="00F65788">
        <w:t>.</w:t>
      </w:r>
      <w:r w:rsidR="00983A86">
        <w:rPr>
          <w:rStyle w:val="FootnoteReference"/>
        </w:rPr>
        <w:footnoteReference w:id="21"/>
      </w:r>
      <w:r w:rsidR="00F65788">
        <w:t xml:space="preserve"> </w:t>
      </w:r>
      <w:r w:rsidR="008F7D00">
        <w:t>E</w:t>
      </w:r>
      <w:r w:rsidR="00A55477">
        <w:t>quity and diversity</w:t>
      </w:r>
      <w:r w:rsidR="0082284E">
        <w:t xml:space="preserve"> report</w:t>
      </w:r>
      <w:r w:rsidR="00515D76">
        <w:t xml:space="preserve">ing </w:t>
      </w:r>
      <w:r w:rsidR="00962040">
        <w:t>is</w:t>
      </w:r>
      <w:r w:rsidR="00515D76">
        <w:t xml:space="preserve"> linked to </w:t>
      </w:r>
      <w:r w:rsidR="002A3CD7">
        <w:t>an annual</w:t>
      </w:r>
      <w:r w:rsidR="00515D76">
        <w:t xml:space="preserve"> audit</w:t>
      </w:r>
      <w:r w:rsidR="002A3CD7">
        <w:t xml:space="preserve">, which </w:t>
      </w:r>
      <w:r w:rsidR="00A042D6">
        <w:t xml:space="preserve">would </w:t>
      </w:r>
      <w:r w:rsidR="002A3CD7">
        <w:t>include</w:t>
      </w:r>
      <w:r w:rsidR="00515D76">
        <w:t xml:space="preserve"> information</w:t>
      </w:r>
      <w:r w:rsidR="002A3CD7">
        <w:t xml:space="preserve"> gathered</w:t>
      </w:r>
      <w:r w:rsidR="00515D76">
        <w:t xml:space="preserve"> about the composition of the entity’s workforce</w:t>
      </w:r>
      <w:r w:rsidR="005D183D">
        <w:t>.</w:t>
      </w:r>
      <w:r w:rsidR="00D01985">
        <w:t xml:space="preserve"> While it is not clear what </w:t>
      </w:r>
      <w:r w:rsidR="000906DD">
        <w:t xml:space="preserve">this </w:t>
      </w:r>
      <w:r w:rsidR="00D01985">
        <w:t xml:space="preserve">‘composition’ refers to, </w:t>
      </w:r>
      <w:r w:rsidR="007A0603">
        <w:t>considering</w:t>
      </w:r>
      <w:r w:rsidR="00466A83">
        <w:t xml:space="preserve"> the</w:t>
      </w:r>
      <w:r w:rsidR="007A0603">
        <w:t xml:space="preserve"> </w:t>
      </w:r>
      <w:r w:rsidR="00AA225E">
        <w:t xml:space="preserve">current </w:t>
      </w:r>
      <w:r w:rsidR="00466A83">
        <w:t>reporting</w:t>
      </w:r>
      <w:r w:rsidR="00A042D6">
        <w:t xml:space="preserve"> pressures</w:t>
      </w:r>
      <w:r w:rsidR="007A0603">
        <w:t xml:space="preserve"> on government agencies, </w:t>
      </w:r>
      <w:r w:rsidR="00466A83">
        <w:t>many</w:t>
      </w:r>
      <w:r w:rsidR="00D01985">
        <w:t xml:space="preserve"> </w:t>
      </w:r>
      <w:r w:rsidR="00466A83">
        <w:t>agencies</w:t>
      </w:r>
      <w:r w:rsidR="000906DD">
        <w:t xml:space="preserve"> </w:t>
      </w:r>
      <w:r w:rsidR="000E4004">
        <w:t>are</w:t>
      </w:r>
      <w:r w:rsidR="000906DD">
        <w:t xml:space="preserve"> </w:t>
      </w:r>
      <w:r w:rsidR="00A7237C">
        <w:t xml:space="preserve">only </w:t>
      </w:r>
      <w:r w:rsidR="000E4004">
        <w:t>likely to</w:t>
      </w:r>
      <w:r w:rsidR="00A7237C">
        <w:t xml:space="preserve"> report on the statistics for the diversity target groups.</w:t>
      </w:r>
      <w:r w:rsidR="00F67111">
        <w:t xml:space="preserve"> </w:t>
      </w:r>
      <w:r w:rsidR="00872E6E">
        <w:t>In the absence of an audit and reporting requirement, many agencies</w:t>
      </w:r>
      <w:r w:rsidR="007C7D70">
        <w:t xml:space="preserve"> </w:t>
      </w:r>
      <w:r w:rsidR="003838D9">
        <w:t>are unlikely to</w:t>
      </w:r>
      <w:r w:rsidR="00872E6E">
        <w:t xml:space="preserve"> </w:t>
      </w:r>
      <w:r w:rsidR="00466A83">
        <w:t>prioritise</w:t>
      </w:r>
      <w:r w:rsidR="007C7D70">
        <w:t xml:space="preserve"> the strategies </w:t>
      </w:r>
      <w:r w:rsidR="00E9326F">
        <w:t>necessary to progress equity</w:t>
      </w:r>
      <w:r w:rsidR="005753A9">
        <w:t>, diversity</w:t>
      </w:r>
      <w:r w:rsidR="00D17D0C">
        <w:t>,</w:t>
      </w:r>
      <w:r w:rsidR="00E9326F">
        <w:t xml:space="preserve"> and inclusion</w:t>
      </w:r>
      <w:r w:rsidR="00466A83">
        <w:t xml:space="preserve"> specific to</w:t>
      </w:r>
      <w:r w:rsidR="007C7D70">
        <w:t xml:space="preserve"> LGBTIQ+ employees</w:t>
      </w:r>
      <w:r w:rsidR="00E9326F">
        <w:t>.</w:t>
      </w:r>
    </w:p>
    <w:p w14:paraId="67BF8DF0" w14:textId="1434376C" w:rsidR="00262AAD" w:rsidRDefault="00393625" w:rsidP="00DA19EC">
      <w:pPr>
        <w:pStyle w:val="Numberedparagraph"/>
      </w:pPr>
      <w:r>
        <w:t xml:space="preserve">The </w:t>
      </w:r>
      <w:r w:rsidR="00284A8D">
        <w:t>QHRC</w:t>
      </w:r>
      <w:r>
        <w:t xml:space="preserve"> recommends that the Bill be amended to </w:t>
      </w:r>
      <w:r w:rsidR="006E4842">
        <w:t xml:space="preserve">include </w:t>
      </w:r>
      <w:r w:rsidR="004F292D">
        <w:t>people with diverse sexual orientations, gender identities</w:t>
      </w:r>
      <w:r w:rsidR="00D17D0C">
        <w:t>,</w:t>
      </w:r>
      <w:r w:rsidR="004F292D">
        <w:t xml:space="preserve"> or intersex variations as a diversity target group</w:t>
      </w:r>
      <w:r w:rsidR="00564F13">
        <w:t>.</w:t>
      </w:r>
    </w:p>
    <w:p w14:paraId="1F68C15E" w14:textId="1F1C273A" w:rsidR="00502924" w:rsidRDefault="002978EB" w:rsidP="002978EB">
      <w:pPr>
        <w:pStyle w:val="Heading1"/>
      </w:pPr>
      <w:bookmarkStart w:id="27" w:name="_Toc117842235"/>
      <w:r>
        <w:t xml:space="preserve">Independent </w:t>
      </w:r>
      <w:r w:rsidR="00E05355">
        <w:t>r</w:t>
      </w:r>
      <w:r>
        <w:t>ole of the QHRC</w:t>
      </w:r>
      <w:bookmarkEnd w:id="27"/>
    </w:p>
    <w:p w14:paraId="57C8C464" w14:textId="7A227AE8" w:rsidR="00885058" w:rsidRDefault="00070A77" w:rsidP="00DA19EC">
      <w:pPr>
        <w:pStyle w:val="Numberedparagraph"/>
      </w:pPr>
      <w:r>
        <w:t>Clause</w:t>
      </w:r>
      <w:r w:rsidR="00A9338B">
        <w:t xml:space="preserve"> </w:t>
      </w:r>
      <w:r w:rsidR="006533BF">
        <w:t xml:space="preserve">254 </w:t>
      </w:r>
      <w:r w:rsidR="00260162">
        <w:t xml:space="preserve">of the Bill </w:t>
      </w:r>
      <w:r w:rsidR="006533BF">
        <w:t xml:space="preserve">provides that </w:t>
      </w:r>
      <w:r w:rsidR="003068B8">
        <w:t xml:space="preserve">the Minister or </w:t>
      </w:r>
      <w:r w:rsidR="00224552">
        <w:t>the council</w:t>
      </w:r>
      <w:r w:rsidR="009D6218">
        <w:t xml:space="preserve"> </w:t>
      </w:r>
      <w:r w:rsidR="00A35C23">
        <w:t>(a</w:t>
      </w:r>
      <w:r w:rsidR="009D6218">
        <w:t xml:space="preserve"> </w:t>
      </w:r>
      <w:r w:rsidR="009D6218">
        <w:rPr>
          <w:b/>
          <w:bCs/>
        </w:rPr>
        <w:t>referring entit</w:t>
      </w:r>
      <w:r w:rsidR="00A35C23">
        <w:rPr>
          <w:b/>
          <w:bCs/>
        </w:rPr>
        <w:t>y)</w:t>
      </w:r>
      <w:r w:rsidR="00224552">
        <w:t xml:space="preserve"> may ask a </w:t>
      </w:r>
      <w:r w:rsidR="00224552" w:rsidRPr="00DB660F">
        <w:rPr>
          <w:b/>
        </w:rPr>
        <w:t>reviewing entity</w:t>
      </w:r>
      <w:r w:rsidR="00224552">
        <w:t xml:space="preserve"> to conduct a public sector review. </w:t>
      </w:r>
      <w:r w:rsidR="00885058">
        <w:t>Under clause 257</w:t>
      </w:r>
      <w:r w:rsidR="004661DC">
        <w:t>,</w:t>
      </w:r>
      <w:r w:rsidR="00885058">
        <w:t xml:space="preserve"> the reviewing entity </w:t>
      </w:r>
      <w:r w:rsidR="0059530B">
        <w:t xml:space="preserve">has powers </w:t>
      </w:r>
      <w:r w:rsidR="002E25B7">
        <w:t>including entering the official premises of the public sector entity,</w:t>
      </w:r>
      <w:r w:rsidR="001A0C03">
        <w:t xml:space="preserve"> </w:t>
      </w:r>
      <w:r w:rsidR="002E25B7">
        <w:t>requiring the production of documents</w:t>
      </w:r>
      <w:r w:rsidR="00D200A1">
        <w:t>,</w:t>
      </w:r>
      <w:r w:rsidR="002E25B7">
        <w:t xml:space="preserve"> and interviewing employees. </w:t>
      </w:r>
      <w:r w:rsidR="00CA7023">
        <w:t>The chief executive of a public sector entity and each other person employed in the public sector entity must provide the assistance reasonably required by the reviewing entity to conduct the public sector review, including, for example, giving the reviewing entity an official document required</w:t>
      </w:r>
      <w:r w:rsidR="00A93F9B">
        <w:t xml:space="preserve">. </w:t>
      </w:r>
    </w:p>
    <w:p w14:paraId="51AE0C2D" w14:textId="3A1A08C0" w:rsidR="00885058" w:rsidRDefault="00885058" w:rsidP="00DA19EC">
      <w:pPr>
        <w:pStyle w:val="Numberedparagraph"/>
      </w:pPr>
      <w:r>
        <w:t>The reviewing entity is</w:t>
      </w:r>
      <w:r w:rsidR="00FE7FDD">
        <w:t xml:space="preserve"> the </w:t>
      </w:r>
      <w:r w:rsidR="00863FCD">
        <w:t>Public Sector Commissioner</w:t>
      </w:r>
      <w:r w:rsidR="00FE7FDD" w:rsidRPr="002120B6">
        <w:t>,</w:t>
      </w:r>
      <w:r w:rsidR="00FE7FDD">
        <w:t xml:space="preserve"> a special commission</w:t>
      </w:r>
      <w:r w:rsidR="006523AF">
        <w:t>,</w:t>
      </w:r>
      <w:r w:rsidR="00FE7FDD">
        <w:t xml:space="preserve"> or another appropriately qualified person</w:t>
      </w:r>
      <w:r>
        <w:t xml:space="preserve">. </w:t>
      </w:r>
    </w:p>
    <w:p w14:paraId="51D76C0A" w14:textId="77777777" w:rsidR="00577669" w:rsidRDefault="00577669" w:rsidP="00DA19EC">
      <w:pPr>
        <w:pStyle w:val="Numberedparagraph"/>
      </w:pPr>
      <w:r>
        <w:t>A public sector review is defined in clause 253 as:</w:t>
      </w:r>
    </w:p>
    <w:p w14:paraId="2A4FD884" w14:textId="1D67E4AD" w:rsidR="00577669" w:rsidRDefault="00577669" w:rsidP="00DA19EC">
      <w:pPr>
        <w:pStyle w:val="Numberedparagraph"/>
        <w:numPr>
          <w:ilvl w:val="1"/>
          <w:numId w:val="1"/>
        </w:numPr>
      </w:pPr>
      <w:r>
        <w:t>a review about any matter or aspect of public administration, or of public sector management, relating to the main purpose of this Act; and</w:t>
      </w:r>
    </w:p>
    <w:p w14:paraId="1C4CFFAB" w14:textId="25D8F96C" w:rsidR="00577669" w:rsidRDefault="00577669" w:rsidP="00DA19EC">
      <w:pPr>
        <w:pStyle w:val="Numberedparagraph"/>
        <w:numPr>
          <w:ilvl w:val="1"/>
          <w:numId w:val="1"/>
        </w:numPr>
      </w:pPr>
      <w:r>
        <w:t>includes a review about the effectiveness, efficiency, functions or activities of a public sector entity</w:t>
      </w:r>
      <w:r w:rsidR="002971F0">
        <w:t>.</w:t>
      </w:r>
    </w:p>
    <w:p w14:paraId="64782C14" w14:textId="3F9A77BA" w:rsidR="007F196F" w:rsidRDefault="007F196F" w:rsidP="00DA19EC">
      <w:pPr>
        <w:pStyle w:val="Numberedparagraph"/>
      </w:pPr>
      <w:r>
        <w:t>Under clause 3, the main purpose of th</w:t>
      </w:r>
      <w:r w:rsidR="00952EF6">
        <w:t>e</w:t>
      </w:r>
      <w:r>
        <w:t xml:space="preserve"> Act </w:t>
      </w:r>
      <w:r w:rsidR="000A1FEF">
        <w:t>will be</w:t>
      </w:r>
      <w:r>
        <w:t xml:space="preserve"> to provide </w:t>
      </w:r>
      <w:r w:rsidR="000A1FEF">
        <w:t>‘</w:t>
      </w:r>
      <w:r>
        <w:t>a framework for a fair and integrated public sector that serves the people of Queensland and the State</w:t>
      </w:r>
      <w:r w:rsidR="000A1FEF">
        <w:t>’</w:t>
      </w:r>
      <w:r>
        <w:t xml:space="preserve">. Clause 4 sets out </w:t>
      </w:r>
      <w:r w:rsidR="00EF18FA">
        <w:t xml:space="preserve">that </w:t>
      </w:r>
      <w:r>
        <w:t xml:space="preserve">the main purpose is </w:t>
      </w:r>
      <w:r w:rsidR="00EF18FA">
        <w:t xml:space="preserve">to be </w:t>
      </w:r>
      <w:r>
        <w:t xml:space="preserve">achieved </w:t>
      </w:r>
      <w:r w:rsidR="00221ED4">
        <w:t>by</w:t>
      </w:r>
      <w:r w:rsidR="00A7470C">
        <w:t xml:space="preserve"> </w:t>
      </w:r>
      <w:r w:rsidR="00422924">
        <w:t>measures including</w:t>
      </w:r>
      <w:r w:rsidR="00A7470C">
        <w:t xml:space="preserve"> </w:t>
      </w:r>
      <w:r w:rsidR="00ED6C9C">
        <w:t>‘taking measures to promote the effectiveness and efficiency of public sector entities’</w:t>
      </w:r>
      <w:r w:rsidR="003B0F11">
        <w:t xml:space="preserve"> (</w:t>
      </w:r>
      <w:r w:rsidR="00A7058B">
        <w:t>c</w:t>
      </w:r>
      <w:r w:rsidR="003B0F11">
        <w:t>lause 4</w:t>
      </w:r>
      <w:r w:rsidR="00682D5A">
        <w:t>(a)(iv)).</w:t>
      </w:r>
    </w:p>
    <w:p w14:paraId="7D0B3FF6" w14:textId="5CACD3E2" w:rsidR="00A9338B" w:rsidRDefault="00395741" w:rsidP="00DA19EC">
      <w:pPr>
        <w:pStyle w:val="Numberedparagraph"/>
      </w:pPr>
      <w:r>
        <w:t>T</w:t>
      </w:r>
      <w:r w:rsidR="00224552">
        <w:t>he following entities are exempt from such a review</w:t>
      </w:r>
      <w:r w:rsidR="006709D5">
        <w:t xml:space="preserve"> (clause 254</w:t>
      </w:r>
      <w:r w:rsidR="000135D8">
        <w:t>(2)</w:t>
      </w:r>
      <w:r w:rsidR="006709D5">
        <w:t>):</w:t>
      </w:r>
    </w:p>
    <w:p w14:paraId="4F3B0528" w14:textId="4C72AE78" w:rsidR="006709D5" w:rsidRDefault="006709D5" w:rsidP="00DA19EC">
      <w:pPr>
        <w:pStyle w:val="Numberedparagraph"/>
        <w:numPr>
          <w:ilvl w:val="1"/>
          <w:numId w:val="1"/>
        </w:numPr>
      </w:pPr>
      <w:r>
        <w:t>the Crime and Corruption Commission;</w:t>
      </w:r>
    </w:p>
    <w:p w14:paraId="405ECF6F" w14:textId="79F99550" w:rsidR="006709D5" w:rsidRPr="002120B6" w:rsidRDefault="006709D5" w:rsidP="00DA19EC">
      <w:pPr>
        <w:pStyle w:val="Numberedparagraph"/>
        <w:numPr>
          <w:ilvl w:val="1"/>
          <w:numId w:val="1"/>
        </w:numPr>
      </w:pPr>
      <w:r w:rsidRPr="002120B6">
        <w:t xml:space="preserve">the Office of the Information Commissioner established under the </w:t>
      </w:r>
      <w:r w:rsidRPr="002120B6">
        <w:rPr>
          <w:i/>
          <w:iCs/>
        </w:rPr>
        <w:t>Right to Information Act 2009</w:t>
      </w:r>
      <w:r w:rsidRPr="002120B6">
        <w:t>;</w:t>
      </w:r>
    </w:p>
    <w:p w14:paraId="4EB9D856" w14:textId="7C3E281C" w:rsidR="006709D5" w:rsidRDefault="006709D5" w:rsidP="00DA19EC">
      <w:pPr>
        <w:pStyle w:val="Numberedparagraph"/>
        <w:numPr>
          <w:ilvl w:val="1"/>
          <w:numId w:val="1"/>
        </w:numPr>
      </w:pPr>
      <w:r>
        <w:t xml:space="preserve">the Queensland Integrity Commissioner under the </w:t>
      </w:r>
      <w:r w:rsidRPr="006709D5">
        <w:rPr>
          <w:i/>
          <w:iCs/>
        </w:rPr>
        <w:t>Integrity Act 2009</w:t>
      </w:r>
      <w:r>
        <w:t>;</w:t>
      </w:r>
    </w:p>
    <w:p w14:paraId="71AF1A3D" w14:textId="26516710" w:rsidR="006709D5" w:rsidRDefault="006709D5" w:rsidP="00DA19EC">
      <w:pPr>
        <w:pStyle w:val="Numberedparagraph"/>
        <w:numPr>
          <w:ilvl w:val="1"/>
          <w:numId w:val="1"/>
        </w:numPr>
      </w:pPr>
      <w:r>
        <w:t xml:space="preserve">the Office of the Ombudsman established under the </w:t>
      </w:r>
      <w:r w:rsidRPr="006709D5">
        <w:rPr>
          <w:i/>
          <w:iCs/>
        </w:rPr>
        <w:t>Ombudsman Act 2001</w:t>
      </w:r>
      <w:r>
        <w:t>;</w:t>
      </w:r>
    </w:p>
    <w:p w14:paraId="658E8700" w14:textId="50AA66CC" w:rsidR="006709D5" w:rsidRDefault="006709D5" w:rsidP="00DA19EC">
      <w:pPr>
        <w:pStyle w:val="Numberedparagraph"/>
        <w:numPr>
          <w:ilvl w:val="1"/>
          <w:numId w:val="1"/>
        </w:numPr>
      </w:pPr>
      <w:r>
        <w:t>the audit office;</w:t>
      </w:r>
    </w:p>
    <w:p w14:paraId="3598D276" w14:textId="03F487B8" w:rsidR="006709D5" w:rsidRDefault="006709D5" w:rsidP="00DA19EC">
      <w:pPr>
        <w:pStyle w:val="Numberedparagraph"/>
        <w:numPr>
          <w:ilvl w:val="1"/>
          <w:numId w:val="1"/>
        </w:numPr>
      </w:pPr>
      <w:r>
        <w:t>another entity prescribed by regulation</w:t>
      </w:r>
      <w:r w:rsidR="00E453C5">
        <w:t>.</w:t>
      </w:r>
    </w:p>
    <w:p w14:paraId="58FE3766" w14:textId="4AEFF087" w:rsidR="00E01EF4" w:rsidRDefault="001F1FA4" w:rsidP="00DA19EC">
      <w:pPr>
        <w:pStyle w:val="Numberedparagraph"/>
      </w:pPr>
      <w:r>
        <w:t>T</w:t>
      </w:r>
      <w:r w:rsidR="00334A4D">
        <w:t>he Explanatory Note</w:t>
      </w:r>
      <w:r>
        <w:t xml:space="preserve"> states that</w:t>
      </w:r>
      <w:r w:rsidR="00334A4D">
        <w:t xml:space="preserve"> t</w:t>
      </w:r>
      <w:r w:rsidR="009371E2">
        <w:t xml:space="preserve">he reason for these entities being excluded is that they </w:t>
      </w:r>
      <w:r w:rsidR="006C725D">
        <w:t xml:space="preserve">have been identified as ‘certain core integrity </w:t>
      </w:r>
      <w:r w:rsidR="008F71A6">
        <w:t>bodies</w:t>
      </w:r>
      <w:r w:rsidR="009E30E4">
        <w:t>.</w:t>
      </w:r>
      <w:r w:rsidR="008F71A6">
        <w:t>’</w:t>
      </w:r>
      <w:r w:rsidR="009E30E4">
        <w:t xml:space="preserve"> Other than by reference to </w:t>
      </w:r>
      <w:r w:rsidR="00221ED4">
        <w:rPr>
          <w:i/>
          <w:iCs/>
        </w:rPr>
        <w:t xml:space="preserve">Let the sunshine in, </w:t>
      </w:r>
      <w:r w:rsidR="00221ED4">
        <w:t>the final report on culture and accountability in the Queensland public sector by Professor Peter Coaldrake AO (</w:t>
      </w:r>
      <w:r w:rsidR="009E30E4" w:rsidRPr="00221ED4">
        <w:rPr>
          <w:b/>
        </w:rPr>
        <w:t>Coaldrake Report</w:t>
      </w:r>
      <w:r w:rsidR="00221ED4">
        <w:t>)</w:t>
      </w:r>
      <w:r w:rsidR="009E30E4">
        <w:t xml:space="preserve">, no further explanation is provided as to why these </w:t>
      </w:r>
      <w:r>
        <w:t>particular</w:t>
      </w:r>
      <w:r w:rsidR="00847DA1">
        <w:t xml:space="preserve"> </w:t>
      </w:r>
      <w:r w:rsidR="001B6FC9">
        <w:t>core integrity bodies have been identified.</w:t>
      </w:r>
      <w:r w:rsidR="00617CA1">
        <w:rPr>
          <w:rStyle w:val="FootnoteReference"/>
        </w:rPr>
        <w:footnoteReference w:id="22"/>
      </w:r>
      <w:r w:rsidR="001B6FC9">
        <w:t xml:space="preserve"> </w:t>
      </w:r>
    </w:p>
    <w:p w14:paraId="01920FEF" w14:textId="7319456F" w:rsidR="000B0D16" w:rsidRDefault="000B0D16" w:rsidP="000B0D16">
      <w:pPr>
        <w:pStyle w:val="Heading2"/>
      </w:pPr>
      <w:bookmarkStart w:id="28" w:name="_Toc117842236"/>
      <w:r>
        <w:t>Classification of the QHRC</w:t>
      </w:r>
      <w:bookmarkEnd w:id="28"/>
    </w:p>
    <w:p w14:paraId="62498057" w14:textId="2CCD1B5A" w:rsidR="00221ED4" w:rsidRDefault="00221ED4" w:rsidP="00DA19EC">
      <w:pPr>
        <w:pStyle w:val="Numberedparagraph"/>
      </w:pPr>
      <w:r>
        <w:t>The Coaldrake Report adopt</w:t>
      </w:r>
      <w:r w:rsidR="00643E46">
        <w:t xml:space="preserve">ed </w:t>
      </w:r>
      <w:r>
        <w:t>the classification of</w:t>
      </w:r>
      <w:r w:rsidR="00643E46">
        <w:t xml:space="preserve"> integrity agencies based on the work of</w:t>
      </w:r>
      <w:r>
        <w:t xml:space="preserve"> Professor A J Brown,</w:t>
      </w:r>
      <w:r w:rsidR="00643E46">
        <w:t xml:space="preserve"> as cited by David Solomon (then Queensland Integrity Commissioner)</w:t>
      </w:r>
      <w:r w:rsidR="00847DA1">
        <w:t xml:space="preserve"> in 2013</w:t>
      </w:r>
      <w:r w:rsidR="004501A5">
        <w:t>.</w:t>
      </w:r>
      <w:r w:rsidR="00643E46">
        <w:t xml:space="preserve"> </w:t>
      </w:r>
      <w:r w:rsidR="00C14748">
        <w:t xml:space="preserve">This </w:t>
      </w:r>
      <w:r w:rsidR="00643E46">
        <w:t>classification</w:t>
      </w:r>
      <w:r>
        <w:t xml:space="preserve"> distinguishe</w:t>
      </w:r>
      <w:r w:rsidR="004501A5">
        <w:t>s</w:t>
      </w:r>
      <w:r>
        <w:t xml:space="preserve"> </w:t>
      </w:r>
      <w:r w:rsidR="009D6850">
        <w:t xml:space="preserve">integrity bodies </w:t>
      </w:r>
      <w:r>
        <w:t xml:space="preserve">from ‘the many other publicly funded agencies which contain an integrity function’. ‘Core’ integrity institutions are those </w:t>
      </w:r>
      <w:r w:rsidR="001F35F1">
        <w:t xml:space="preserve">that </w:t>
      </w:r>
      <w:r w:rsidR="009D6850">
        <w:t xml:space="preserve">are established </w:t>
      </w:r>
      <w:r>
        <w:t xml:space="preserve">solely or </w:t>
      </w:r>
      <w:r w:rsidR="009D6850">
        <w:t>primarily to carry out integrity functions</w:t>
      </w:r>
      <w:r w:rsidR="00B058C9">
        <w:t>,</w:t>
      </w:r>
      <w:r w:rsidR="009D6850">
        <w:t xml:space="preserve"> whereas </w:t>
      </w:r>
      <w:r>
        <w:t>‘distributed’ integrity institutions</w:t>
      </w:r>
      <w:r w:rsidR="009D6850">
        <w:t xml:space="preserve"> are ‘embedded in the internal accountability and governance systems of every organisation</w:t>
      </w:r>
      <w:r w:rsidR="0016605E">
        <w:t>’</w:t>
      </w:r>
      <w:r w:rsidR="009D6850">
        <w:t>’</w:t>
      </w:r>
      <w:r w:rsidR="000A4E6D">
        <w:t>.</w:t>
      </w:r>
      <w:r w:rsidR="00617CA1">
        <w:rPr>
          <w:rStyle w:val="FootnoteReference"/>
        </w:rPr>
        <w:footnoteReference w:id="23"/>
      </w:r>
      <w:r w:rsidR="009B449C">
        <w:t xml:space="preserve"> As the</w:t>
      </w:r>
      <w:r>
        <w:t xml:space="preserve"> </w:t>
      </w:r>
      <w:r w:rsidR="006A3AAF">
        <w:t>Coaldrake Report put it:</w:t>
      </w:r>
    </w:p>
    <w:p w14:paraId="6AAFD26A" w14:textId="227A1C28" w:rsidR="00374E31" w:rsidRDefault="00374E31" w:rsidP="00374E31">
      <w:pPr>
        <w:pStyle w:val="Quote"/>
      </w:pPr>
      <w:r>
        <w:t xml:space="preserve">It has been said that those core bodies constitute the ‘integrity </w:t>
      </w:r>
      <w:r w:rsidRPr="00AD1739">
        <w:rPr>
          <w:i/>
          <w:iCs/>
        </w:rPr>
        <w:t>branch</w:t>
      </w:r>
      <w:r>
        <w:t xml:space="preserve">’ while the ‘integrity </w:t>
      </w:r>
      <w:r w:rsidRPr="00AD1739">
        <w:rPr>
          <w:i/>
          <w:iCs/>
        </w:rPr>
        <w:t>system</w:t>
      </w:r>
      <w:r>
        <w:t>’ comprises the entire collection of bodies which have some integrity function.</w:t>
      </w:r>
      <w:r>
        <w:rPr>
          <w:rStyle w:val="FootnoteReference"/>
        </w:rPr>
        <w:footnoteReference w:id="24"/>
      </w:r>
    </w:p>
    <w:p w14:paraId="6804EAB3" w14:textId="68908B19" w:rsidR="004501A5" w:rsidRDefault="00643E46" w:rsidP="00DA19EC">
      <w:pPr>
        <w:pStyle w:val="Numberedparagraph"/>
      </w:pPr>
      <w:r>
        <w:t xml:space="preserve">This 2013 assessment of Queensland’s integrity system pre-dates the passage of the </w:t>
      </w:r>
      <w:r w:rsidR="009D51B7">
        <w:t>HR Act</w:t>
      </w:r>
      <w:r w:rsidR="006D4DB1">
        <w:t xml:space="preserve">, </w:t>
      </w:r>
      <w:r w:rsidR="00D532E9">
        <w:t xml:space="preserve">under </w:t>
      </w:r>
      <w:r w:rsidR="006D4DB1">
        <w:t xml:space="preserve">which the QHRC </w:t>
      </w:r>
      <w:r w:rsidR="00D532E9">
        <w:t>has</w:t>
      </w:r>
      <w:r w:rsidR="00C14748">
        <w:t xml:space="preserve"> new</w:t>
      </w:r>
      <w:r w:rsidR="00D532E9">
        <w:t xml:space="preserve"> functions</w:t>
      </w:r>
      <w:r>
        <w:t xml:space="preserve">. </w:t>
      </w:r>
      <w:r w:rsidR="00570DAF">
        <w:t xml:space="preserve">The breadth of potential application of the human rights protected in the </w:t>
      </w:r>
      <w:r w:rsidR="00393A1A">
        <w:t>HR</w:t>
      </w:r>
      <w:r w:rsidR="00570DAF">
        <w:t xml:space="preserve"> Act </w:t>
      </w:r>
      <w:r w:rsidR="00AB25A4">
        <w:t xml:space="preserve">should not </w:t>
      </w:r>
      <w:r w:rsidR="00570DAF">
        <w:t xml:space="preserve">be underestimated. </w:t>
      </w:r>
      <w:r w:rsidR="00001DDC">
        <w:t>The HR Act</w:t>
      </w:r>
      <w:r w:rsidR="004374F5">
        <w:t xml:space="preserve"> </w:t>
      </w:r>
      <w:r w:rsidR="000956E5">
        <w:t>create</w:t>
      </w:r>
      <w:r w:rsidR="00001DDC">
        <w:t>s</w:t>
      </w:r>
      <w:r w:rsidR="004374F5">
        <w:t xml:space="preserve"> obligations on</w:t>
      </w:r>
      <w:r w:rsidR="00570DAF">
        <w:t xml:space="preserve"> all </w:t>
      </w:r>
      <w:r w:rsidR="000956E5">
        <w:t xml:space="preserve">public sector entities to </w:t>
      </w:r>
      <w:r w:rsidR="00351960">
        <w:t xml:space="preserve">act </w:t>
      </w:r>
      <w:r w:rsidR="002A73E0">
        <w:t>and</w:t>
      </w:r>
      <w:r w:rsidR="00351960">
        <w:t xml:space="preserve"> make decisions in a way that is compatible with human rights and give proper consideration to human rights when making decisions</w:t>
      </w:r>
      <w:r w:rsidR="00570DAF">
        <w:t xml:space="preserve">. At its core, </w:t>
      </w:r>
      <w:r w:rsidR="00203C52">
        <w:t>the HR</w:t>
      </w:r>
      <w:r w:rsidR="00570DAF">
        <w:t xml:space="preserve"> Act compels </w:t>
      </w:r>
      <w:r w:rsidR="00A6520B">
        <w:t>E</w:t>
      </w:r>
      <w:r w:rsidR="0074421E">
        <w:t>xecutive</w:t>
      </w:r>
      <w:r w:rsidR="00570DAF">
        <w:t xml:space="preserve"> government to consider the </w:t>
      </w:r>
      <w:r w:rsidR="00181C0B">
        <w:t>human</w:t>
      </w:r>
      <w:r w:rsidR="00570DAF">
        <w:t xml:space="preserve"> rights of all Queenslanders when making decisions. </w:t>
      </w:r>
    </w:p>
    <w:p w14:paraId="34677780" w14:textId="0C353599" w:rsidR="008673DB" w:rsidRDefault="00A51044" w:rsidP="00DA19EC">
      <w:pPr>
        <w:pStyle w:val="Numberedparagraph"/>
      </w:pPr>
      <w:r>
        <w:t xml:space="preserve">The QHRC performs functions that are a key part of the integrity system as a ‘distributed integrity institution’. </w:t>
      </w:r>
      <w:r w:rsidR="000F69D6">
        <w:t>The QHRC</w:t>
      </w:r>
      <w:r w:rsidR="00BA761F">
        <w:t xml:space="preserve"> </w:t>
      </w:r>
      <w:r w:rsidR="008673DB">
        <w:t>a</w:t>
      </w:r>
      <w:r w:rsidR="000F69D6">
        <w:t>cknowledges</w:t>
      </w:r>
      <w:r w:rsidR="008673DB">
        <w:t xml:space="preserve"> that</w:t>
      </w:r>
      <w:r w:rsidR="000B554B">
        <w:t xml:space="preserve"> a relevant consideration may be that, </w:t>
      </w:r>
      <w:r w:rsidR="000B554B" w:rsidRPr="00570DAF">
        <w:t>unlike core integrity bodies</w:t>
      </w:r>
      <w:r w:rsidR="000B554B">
        <w:t>, i</w:t>
      </w:r>
      <w:r w:rsidR="008673DB">
        <w:t xml:space="preserve">t is not </w:t>
      </w:r>
      <w:r w:rsidR="00570DAF" w:rsidRPr="00570DAF">
        <w:t>presently</w:t>
      </w:r>
      <w:r w:rsidR="008673DB" w:rsidRPr="00570DAF">
        <w:t xml:space="preserve"> </w:t>
      </w:r>
      <w:r w:rsidR="008673DB">
        <w:t>subject to direct parliamentary scrutiny</w:t>
      </w:r>
      <w:r w:rsidR="000B554B">
        <w:t>. As such,</w:t>
      </w:r>
      <w:r w:rsidR="008673DB">
        <w:t xml:space="preserve"> there must be a process for independent oversight and accountability </w:t>
      </w:r>
      <w:r w:rsidR="000B554B">
        <w:t>as to how the QHRC discharges its functions</w:t>
      </w:r>
      <w:r w:rsidR="008673DB">
        <w:t xml:space="preserve">. </w:t>
      </w:r>
      <w:r w:rsidR="00B45422">
        <w:t>As the Coaldrake Report put it:</w:t>
      </w:r>
    </w:p>
    <w:p w14:paraId="6E3F6BCA" w14:textId="37328586" w:rsidR="00B45422" w:rsidRPr="00570DAF" w:rsidRDefault="00B45422" w:rsidP="00B45422">
      <w:pPr>
        <w:pStyle w:val="Quote"/>
      </w:pPr>
      <w:r>
        <w:t>That a body is ‘independent’ does not mean it can act in an unfettered way. While an independent body must be able to exercise its functions free from external direction, it must remain accountable for the way in which it performs its legislated functions and exercises its powers.</w:t>
      </w:r>
      <w:r>
        <w:rPr>
          <w:rStyle w:val="FootnoteReference"/>
        </w:rPr>
        <w:footnoteReference w:id="25"/>
      </w:r>
    </w:p>
    <w:p w14:paraId="74B9AADD" w14:textId="7055D731" w:rsidR="00C865BE" w:rsidRDefault="008673DB" w:rsidP="00DA19EC">
      <w:pPr>
        <w:pStyle w:val="Numberedparagraph"/>
      </w:pPr>
      <w:r>
        <w:t>Nonetheless, i</w:t>
      </w:r>
      <w:r w:rsidR="007A0DFF">
        <w:t>n order to fulfil its statutory functions, and to ensure public confidence in its independence, there are</w:t>
      </w:r>
      <w:r w:rsidR="00BA761F">
        <w:t xml:space="preserve"> sound reasons</w:t>
      </w:r>
      <w:r>
        <w:t xml:space="preserve"> why the public sector review function should not </w:t>
      </w:r>
      <w:r w:rsidR="004501A5">
        <w:t>apply to the QHRC</w:t>
      </w:r>
      <w:r>
        <w:t xml:space="preserve"> as set out in the Bill.</w:t>
      </w:r>
    </w:p>
    <w:p w14:paraId="60843B3F" w14:textId="42F25355" w:rsidR="00A729FC" w:rsidRDefault="00367470" w:rsidP="00DA19EC">
      <w:pPr>
        <w:pStyle w:val="Numberedparagraph"/>
      </w:pPr>
      <w:r w:rsidRPr="00367470">
        <w:t xml:space="preserve">The potential for such powers to be misused and the ‘chilling effect’ of the mere presence of the powers, would seriously undermine the </w:t>
      </w:r>
      <w:r w:rsidR="000D71D6">
        <w:t>QHRC’s</w:t>
      </w:r>
      <w:r w:rsidRPr="00367470">
        <w:t xml:space="preserve"> statutory independence from the Executive</w:t>
      </w:r>
      <w:r w:rsidR="00374E31">
        <w:t xml:space="preserve"> and as </w:t>
      </w:r>
      <w:r w:rsidR="00A6520B">
        <w:t xml:space="preserve">an inherent </w:t>
      </w:r>
      <w:r w:rsidR="00374E31">
        <w:t xml:space="preserve">part of the state’s integrity system. </w:t>
      </w:r>
      <w:r w:rsidR="009F3632">
        <w:t>Such a concern</w:t>
      </w:r>
      <w:r w:rsidR="00413C04">
        <w:t xml:space="preserve"> is reflected in the review of the </w:t>
      </w:r>
      <w:r w:rsidR="00413C04">
        <w:rPr>
          <w:i/>
          <w:iCs/>
        </w:rPr>
        <w:t xml:space="preserve">Public Service Act 2008 </w:t>
      </w:r>
      <w:r w:rsidR="00413C04">
        <w:t>undertaken by Peter Bridgman</w:t>
      </w:r>
      <w:r w:rsidR="002D019E">
        <w:t xml:space="preserve"> in 2019</w:t>
      </w:r>
      <w:r w:rsidR="00F16EEB">
        <w:t xml:space="preserve"> </w:t>
      </w:r>
      <w:r w:rsidR="002265A4">
        <w:t>that</w:t>
      </w:r>
      <w:r w:rsidR="00F16EEB">
        <w:t xml:space="preserve"> </w:t>
      </w:r>
      <w:r w:rsidR="00413C04">
        <w:t xml:space="preserve">identified the </w:t>
      </w:r>
      <w:r w:rsidR="00431368">
        <w:t>QHRC</w:t>
      </w:r>
      <w:r w:rsidR="00413C04">
        <w:t>:</w:t>
      </w:r>
    </w:p>
    <w:p w14:paraId="6BC92A14" w14:textId="3A99831D" w:rsidR="002406CF" w:rsidRDefault="002406CF" w:rsidP="00DA19EC">
      <w:pPr>
        <w:pStyle w:val="Bulletedlist"/>
      </w:pPr>
      <w:r w:rsidRPr="003628A2">
        <w:rPr>
          <w:lang w:val="en-US"/>
        </w:rPr>
        <w:t xml:space="preserve">as one of several </w:t>
      </w:r>
      <w:r>
        <w:rPr>
          <w:lang w:val="en-US"/>
        </w:rPr>
        <w:t>‘</w:t>
      </w:r>
      <w:r w:rsidRPr="003628A2">
        <w:t>agencies with accountability obligations and statutory independence from the Executive Government</w:t>
      </w:r>
      <w:r>
        <w:t>’</w:t>
      </w:r>
      <w:r w:rsidRPr="003628A2">
        <w:t xml:space="preserve"> for which </w:t>
      </w:r>
      <w:r>
        <w:t>‘</w:t>
      </w:r>
      <w:r w:rsidRPr="003628A2">
        <w:t>concurrence</w:t>
      </w:r>
      <w:r>
        <w:t>’</w:t>
      </w:r>
      <w:r w:rsidRPr="003628A2">
        <w:t xml:space="preserve"> would be required in order to conduct a review or inquiry,</w:t>
      </w:r>
      <w:r w:rsidRPr="003628A2">
        <w:rPr>
          <w:rStyle w:val="FootnoteReference"/>
        </w:rPr>
        <w:footnoteReference w:id="26"/>
      </w:r>
      <w:r w:rsidR="00B7099B">
        <w:t>;</w:t>
      </w:r>
      <w:r w:rsidRPr="003628A2">
        <w:t xml:space="preserve"> and </w:t>
      </w:r>
    </w:p>
    <w:p w14:paraId="2D7A39BC" w14:textId="485801B5" w:rsidR="002406CF" w:rsidRPr="003628A2" w:rsidRDefault="002406CF" w:rsidP="00DA19EC">
      <w:pPr>
        <w:pStyle w:val="Bulletedlist"/>
      </w:pPr>
      <w:r w:rsidRPr="003628A2">
        <w:t xml:space="preserve">included the Commission as part of the </w:t>
      </w:r>
      <w:r>
        <w:t>‘</w:t>
      </w:r>
      <w:r w:rsidRPr="003628A2">
        <w:t>integrity network</w:t>
      </w:r>
      <w:r>
        <w:t>’</w:t>
      </w:r>
      <w:r w:rsidRPr="003628A2">
        <w:t xml:space="preserve"> with whom the Queensland Governance Council should engage in undertaking the </w:t>
      </w:r>
      <w:r>
        <w:t>‘</w:t>
      </w:r>
      <w:r w:rsidRPr="003628A2">
        <w:t>task of building a new integrity model for the next 20 years</w:t>
      </w:r>
      <w:r>
        <w:t>’</w:t>
      </w:r>
      <w:r w:rsidRPr="003628A2">
        <w:rPr>
          <w:rStyle w:val="FootnoteReference"/>
        </w:rPr>
        <w:footnoteReference w:id="27"/>
      </w:r>
      <w:r w:rsidRPr="003628A2">
        <w:t>.</w:t>
      </w:r>
      <w:r w:rsidR="00B63BB2">
        <w:t xml:space="preserve"> Relevantly, along with the Integrity Commissioner, Crime and Corruption Commission, Information Commissioner and Ombudsman. </w:t>
      </w:r>
    </w:p>
    <w:p w14:paraId="75D80375" w14:textId="5D9CBCE6" w:rsidR="00413C04" w:rsidRDefault="0040309A" w:rsidP="00413C04">
      <w:pPr>
        <w:pStyle w:val="Heading2"/>
      </w:pPr>
      <w:bookmarkStart w:id="29" w:name="_Toc117842237"/>
      <w:r>
        <w:t>Relevant</w:t>
      </w:r>
      <w:r w:rsidR="00413C04">
        <w:t xml:space="preserve"> functions of the QHRC</w:t>
      </w:r>
      <w:bookmarkEnd w:id="29"/>
    </w:p>
    <w:p w14:paraId="65934185" w14:textId="1A8F7E0A" w:rsidR="00360476" w:rsidRDefault="00360476" w:rsidP="00DA19EC">
      <w:pPr>
        <w:pStyle w:val="Numberedparagraph"/>
      </w:pPr>
      <w:r>
        <w:t>The QHRC’s</w:t>
      </w:r>
      <w:r w:rsidRPr="0020599D">
        <w:t xml:space="preserve"> functions </w:t>
      </w:r>
      <w:r>
        <w:t>include promoting an understanding and acceptance, and public discussion, of human rights and the Act in Queensland,</w:t>
      </w:r>
      <w:r w:rsidR="00BC39E0">
        <w:rPr>
          <w:rStyle w:val="FootnoteReference"/>
        </w:rPr>
        <w:footnoteReference w:id="28"/>
      </w:r>
      <w:r w:rsidRPr="0020599D">
        <w:t xml:space="preserve"> intervening in proceedings before a court or tribunal in which a question of law arises that relates to the </w:t>
      </w:r>
      <w:r w:rsidR="1AE1F76F" w:rsidRPr="0020599D">
        <w:t>HR</w:t>
      </w:r>
      <w:r w:rsidR="3EA0E268" w:rsidRPr="0020599D">
        <w:t xml:space="preserve"> Act</w:t>
      </w:r>
      <w:r w:rsidR="00C50AC6">
        <w:t>;</w:t>
      </w:r>
      <w:r w:rsidRPr="0020599D">
        <w:rPr>
          <w:rStyle w:val="FootnoteReference"/>
        </w:rPr>
        <w:footnoteReference w:id="29"/>
      </w:r>
      <w:r w:rsidRPr="0020599D">
        <w:t xml:space="preserve"> reviewing public entities’ policies, programs, procedures, practices and services in relation to their compatibility with human rights;</w:t>
      </w:r>
      <w:r w:rsidR="00865E4C" w:rsidRPr="00865E4C">
        <w:rPr>
          <w:rStyle w:val="FootnoteReference"/>
        </w:rPr>
        <w:t xml:space="preserve"> </w:t>
      </w:r>
      <w:r w:rsidR="00865E4C" w:rsidRPr="0020599D">
        <w:rPr>
          <w:rStyle w:val="FootnoteReference"/>
        </w:rPr>
        <w:footnoteReference w:id="30"/>
      </w:r>
      <w:r w:rsidRPr="0020599D">
        <w:t xml:space="preserve"> and reporting on actions the </w:t>
      </w:r>
      <w:r w:rsidR="00431368">
        <w:t>QHRC</w:t>
      </w:r>
      <w:r w:rsidRPr="0020599D">
        <w:t xml:space="preserve"> considers a public entity should take to ensure its acts and decisions are compatible with human rights.</w:t>
      </w:r>
      <w:r w:rsidRPr="0020599D">
        <w:rPr>
          <w:rStyle w:val="FootnoteReference"/>
        </w:rPr>
        <w:footnoteReference w:id="31"/>
      </w:r>
      <w:r w:rsidRPr="0020599D">
        <w:t xml:space="preserve"> </w:t>
      </w:r>
    </w:p>
    <w:p w14:paraId="57515D3B" w14:textId="5A0ADB5B" w:rsidR="008673DB" w:rsidRDefault="00360476" w:rsidP="00DA19EC">
      <w:pPr>
        <w:pStyle w:val="Numberedparagraph"/>
      </w:pPr>
      <w:r>
        <w:t>In carrying out these functions, the QHRC may be required to take</w:t>
      </w:r>
      <w:r w:rsidR="008673DB" w:rsidRPr="0020599D">
        <w:t xml:space="preserve"> actions that are critical of decisions of the government, ministers</w:t>
      </w:r>
      <w:r w:rsidR="0081513D">
        <w:t>,</w:t>
      </w:r>
      <w:r w:rsidR="008673DB" w:rsidRPr="0020599D">
        <w:t xml:space="preserve"> and/or public entities</w:t>
      </w:r>
      <w:r w:rsidR="0081513D">
        <w:t>,</w:t>
      </w:r>
      <w:r w:rsidR="008673DB" w:rsidRPr="0020599D">
        <w:t xml:space="preserve"> where those decisions </w:t>
      </w:r>
      <w:r w:rsidR="0081513D">
        <w:t>(</w:t>
      </w:r>
      <w:r w:rsidR="008673DB" w:rsidRPr="0020599D">
        <w:t>in the QHRC’s view</w:t>
      </w:r>
      <w:r w:rsidR="0081513D">
        <w:t>)</w:t>
      </w:r>
      <w:r w:rsidR="008673DB" w:rsidRPr="0020599D">
        <w:t xml:space="preserve"> disproportionally and unreasonably impact on human rights. </w:t>
      </w:r>
      <w:r w:rsidR="00A73F1E" w:rsidRPr="0020599D">
        <w:t>For instance, the QHRC is currently intervening in several Supreme Court proceedings involving various public entities</w:t>
      </w:r>
      <w:r w:rsidR="00DC7FA8">
        <w:t>’</w:t>
      </w:r>
      <w:r w:rsidR="00A73F1E" w:rsidRPr="0020599D">
        <w:t xml:space="preserve"> </w:t>
      </w:r>
      <w:r w:rsidR="00F921F4">
        <w:t xml:space="preserve">COVID-19 </w:t>
      </w:r>
      <w:r w:rsidR="00A73F1E" w:rsidRPr="0020599D">
        <w:t>vaccine mandates</w:t>
      </w:r>
      <w:r w:rsidR="00A73F1E">
        <w:t xml:space="preserve">. </w:t>
      </w:r>
    </w:p>
    <w:p w14:paraId="2B4492E2" w14:textId="3AFCF0B5" w:rsidR="00896C69" w:rsidRDefault="00896C69" w:rsidP="00DA19EC">
      <w:pPr>
        <w:pStyle w:val="Numberedparagraph"/>
      </w:pPr>
      <w:r>
        <w:t xml:space="preserve">The QHRC also handles complaints </w:t>
      </w:r>
      <w:r w:rsidR="007A6EC5">
        <w:t xml:space="preserve">under the </w:t>
      </w:r>
      <w:r w:rsidR="00F921F4">
        <w:t>AD Act</w:t>
      </w:r>
      <w:r w:rsidR="007A6EC5">
        <w:rPr>
          <w:i/>
          <w:iCs/>
        </w:rPr>
        <w:t xml:space="preserve"> </w:t>
      </w:r>
      <w:r w:rsidR="007A6EC5">
        <w:t xml:space="preserve">that may be made against public sector agencies, as well as complaints under the </w:t>
      </w:r>
      <w:r w:rsidR="000A4E6D">
        <w:t>HR Act</w:t>
      </w:r>
      <w:r w:rsidR="007A6EC5">
        <w:t xml:space="preserve">, which can only be made against public entities. </w:t>
      </w:r>
    </w:p>
    <w:p w14:paraId="46B3D725" w14:textId="21782F54" w:rsidR="00961336" w:rsidRPr="00CC4C4C" w:rsidRDefault="00961336" w:rsidP="00DA19EC">
      <w:pPr>
        <w:pStyle w:val="Numberedparagraph"/>
      </w:pPr>
      <w:r>
        <w:t>Historically</w:t>
      </w:r>
      <w:r w:rsidR="00DC7FA8">
        <w:t>,</w:t>
      </w:r>
      <w:r>
        <w:t xml:space="preserve"> the QHRC</w:t>
      </w:r>
      <w:r w:rsidRPr="00CC4C4C">
        <w:t xml:space="preserve"> has handled complaints of acute political sensitivity</w:t>
      </w:r>
      <w:r w:rsidR="00DC7FA8">
        <w:t>,</w:t>
      </w:r>
      <w:r w:rsidRPr="00CC4C4C">
        <w:t xml:space="preserve"> including some involving</w:t>
      </w:r>
      <w:r w:rsidR="00E650E2">
        <w:t xml:space="preserve"> </w:t>
      </w:r>
      <w:r w:rsidR="005A0CF3">
        <w:t>m</w:t>
      </w:r>
      <w:r w:rsidR="00E650E2">
        <w:t>inisters,</w:t>
      </w:r>
      <w:r w:rsidRPr="00CC4C4C">
        <w:t xml:space="preserve"> </w:t>
      </w:r>
      <w:r w:rsidR="005A0CF3">
        <w:t>m</w:t>
      </w:r>
      <w:r w:rsidRPr="00CC4C4C">
        <w:t xml:space="preserve">embers of </w:t>
      </w:r>
      <w:r w:rsidR="005A0CF3">
        <w:t>p</w:t>
      </w:r>
      <w:r w:rsidRPr="00CC4C4C">
        <w:t>arliament</w:t>
      </w:r>
      <w:r w:rsidR="00DC7FA8">
        <w:t>,</w:t>
      </w:r>
      <w:r w:rsidRPr="00CC4C4C">
        <w:t xml:space="preserve"> and senior public officials.</w:t>
      </w:r>
    </w:p>
    <w:p w14:paraId="67AE2F44" w14:textId="00456762" w:rsidR="00CC4CA1" w:rsidRDefault="001A05E5" w:rsidP="00DA19EC">
      <w:pPr>
        <w:pStyle w:val="Numberedparagraph"/>
      </w:pPr>
      <w:r w:rsidRPr="00CC4CA1">
        <w:t xml:space="preserve">The QHRC acknowledges that </w:t>
      </w:r>
      <w:r w:rsidR="004501A5" w:rsidRPr="00CC4CA1">
        <w:t>it</w:t>
      </w:r>
      <w:r w:rsidRPr="00CC4CA1">
        <w:t xml:space="preserve"> </w:t>
      </w:r>
      <w:r w:rsidR="00CC4CA1">
        <w:t xml:space="preserve">may be </w:t>
      </w:r>
      <w:r>
        <w:t xml:space="preserve">subject to </w:t>
      </w:r>
      <w:r w:rsidRPr="00CC4CA1">
        <w:t>review powers</w:t>
      </w:r>
      <w:r w:rsidR="001934B2">
        <w:t xml:space="preserve"> under </w:t>
      </w:r>
      <w:r w:rsidRPr="00CC4CA1">
        <w:t xml:space="preserve">the </w:t>
      </w:r>
      <w:r w:rsidR="00CC4CA1">
        <w:t xml:space="preserve">current </w:t>
      </w:r>
      <w:r w:rsidRPr="00CC4CA1">
        <w:rPr>
          <w:i/>
        </w:rPr>
        <w:t>Public Service Act</w:t>
      </w:r>
      <w:r w:rsidRPr="00CC4CA1">
        <w:t xml:space="preserve"> </w:t>
      </w:r>
      <w:r w:rsidRPr="00CC4CA1">
        <w:rPr>
          <w:i/>
        </w:rPr>
        <w:t xml:space="preserve">2008 </w:t>
      </w:r>
      <w:r w:rsidRPr="00CC4CA1">
        <w:t>(see section</w:t>
      </w:r>
      <w:r w:rsidR="00CC4CA1">
        <w:t>s</w:t>
      </w:r>
      <w:r w:rsidRPr="00CC4CA1">
        <w:t xml:space="preserve"> 37 and 88O</w:t>
      </w:r>
      <w:r w:rsidR="00CC4CA1">
        <w:t>)</w:t>
      </w:r>
      <w:r w:rsidR="00F05404">
        <w:t>, which are similar to those proposed in the Bill</w:t>
      </w:r>
      <w:r w:rsidRPr="00CC4CA1">
        <w:t>.</w:t>
      </w:r>
      <w:r w:rsidR="00E625D2" w:rsidRPr="00CC4CA1">
        <w:rPr>
          <w:rStyle w:val="FootnoteReference"/>
        </w:rPr>
        <w:footnoteReference w:id="32"/>
      </w:r>
      <w:r w:rsidRPr="001A05E5">
        <w:t xml:space="preserve"> </w:t>
      </w:r>
      <w:r>
        <w:t xml:space="preserve">However, </w:t>
      </w:r>
      <w:r w:rsidR="00CC4CA1">
        <w:t xml:space="preserve">it is unclear to what extent the functions of the QHRC, particularly the relevant new functions under the </w:t>
      </w:r>
      <w:r w:rsidR="00D9583F">
        <w:t>HR Act</w:t>
      </w:r>
      <w:r w:rsidR="00CC4CA1">
        <w:t>, were considered in drafting those provisions.</w:t>
      </w:r>
    </w:p>
    <w:p w14:paraId="512F7225" w14:textId="1E55CB4C" w:rsidR="00590FB3" w:rsidRDefault="00793DF0" w:rsidP="00DA19EC">
      <w:pPr>
        <w:pStyle w:val="Numberedparagraph"/>
      </w:pPr>
      <w:r>
        <w:t xml:space="preserve">The Explanatory Note to </w:t>
      </w:r>
      <w:r w:rsidR="001D1889">
        <w:t>the Human Rights Bill 2018</w:t>
      </w:r>
      <w:r>
        <w:t xml:space="preserve"> ma</w:t>
      </w:r>
      <w:r w:rsidR="00BA69B5">
        <w:t>k</w:t>
      </w:r>
      <w:r>
        <w:t>e</w:t>
      </w:r>
      <w:r w:rsidR="00BA69B5">
        <w:t>s</w:t>
      </w:r>
      <w:r>
        <w:t xml:space="preserve"> parliament’s intention </w:t>
      </w:r>
      <w:r w:rsidR="00BA69B5">
        <w:t xml:space="preserve">clear </w:t>
      </w:r>
      <w:r>
        <w:t xml:space="preserve">about </w:t>
      </w:r>
      <w:r w:rsidR="00A700F6">
        <w:t xml:space="preserve">how </w:t>
      </w:r>
      <w:r>
        <w:t>th</w:t>
      </w:r>
      <w:r w:rsidR="00A700F6">
        <w:t xml:space="preserve">e QHRC’s </w:t>
      </w:r>
      <w:r>
        <w:t xml:space="preserve">functions </w:t>
      </w:r>
      <w:r w:rsidR="00BA69B5">
        <w:t xml:space="preserve">are </w:t>
      </w:r>
      <w:r>
        <w:t>to be fulfilled and th</w:t>
      </w:r>
      <w:r w:rsidR="00887B0C">
        <w:t xml:space="preserve">at the </w:t>
      </w:r>
      <w:r w:rsidR="00431368">
        <w:t xml:space="preserve">QHRC </w:t>
      </w:r>
      <w:r w:rsidR="00887B0C">
        <w:t>ha</w:t>
      </w:r>
      <w:r w:rsidR="008F7DC4">
        <w:t>s</w:t>
      </w:r>
      <w:r w:rsidR="00887B0C">
        <w:t xml:space="preserve"> much in common with </w:t>
      </w:r>
      <w:r w:rsidR="000401F5">
        <w:t xml:space="preserve">the other ‘core integrity’ agencies </w:t>
      </w:r>
      <w:r w:rsidR="00BC5D59">
        <w:t xml:space="preserve">that are </w:t>
      </w:r>
      <w:r w:rsidR="000401F5">
        <w:t>exempt from a public sector review:</w:t>
      </w:r>
    </w:p>
    <w:p w14:paraId="25A0401E" w14:textId="77777777" w:rsidR="001862CA" w:rsidRPr="003628A2" w:rsidRDefault="001862CA" w:rsidP="001862CA">
      <w:pPr>
        <w:pStyle w:val="Quote"/>
      </w:pPr>
      <w:r w:rsidRPr="003628A2">
        <w:t xml:space="preserve">In this way the Bill </w:t>
      </w:r>
      <w:r w:rsidRPr="00DA6B5D">
        <w:t>will form part of the suite of other administrative law obligations and oversight mechanisms that aim to hold the government accountable</w:t>
      </w:r>
      <w:r w:rsidRPr="003628A2">
        <w:t xml:space="preserve">, such as the: </w:t>
      </w:r>
    </w:p>
    <w:p w14:paraId="0FC879B8" w14:textId="77777777" w:rsidR="001862CA" w:rsidRPr="00B63BB2" w:rsidRDefault="001862CA" w:rsidP="00DA19EC">
      <w:pPr>
        <w:pStyle w:val="Quote"/>
        <w:numPr>
          <w:ilvl w:val="0"/>
          <w:numId w:val="3"/>
        </w:numPr>
        <w:rPr>
          <w:i/>
        </w:rPr>
      </w:pPr>
      <w:r w:rsidRPr="00B63BB2">
        <w:rPr>
          <w:i/>
        </w:rPr>
        <w:t>Right to Information Act 2009;</w:t>
      </w:r>
    </w:p>
    <w:p w14:paraId="18F251E0" w14:textId="77777777" w:rsidR="001862CA" w:rsidRPr="00B63BB2" w:rsidRDefault="001862CA" w:rsidP="00DA19EC">
      <w:pPr>
        <w:pStyle w:val="Quote"/>
        <w:numPr>
          <w:ilvl w:val="0"/>
          <w:numId w:val="3"/>
        </w:numPr>
        <w:rPr>
          <w:i/>
        </w:rPr>
      </w:pPr>
      <w:r w:rsidRPr="00B63BB2">
        <w:rPr>
          <w:i/>
        </w:rPr>
        <w:t>Information Privacy Act 2009;</w:t>
      </w:r>
    </w:p>
    <w:p w14:paraId="233BC389" w14:textId="77777777" w:rsidR="001862CA" w:rsidRPr="00B63BB2" w:rsidRDefault="001862CA" w:rsidP="00DA19EC">
      <w:pPr>
        <w:pStyle w:val="Quote"/>
        <w:numPr>
          <w:ilvl w:val="0"/>
          <w:numId w:val="3"/>
        </w:numPr>
        <w:rPr>
          <w:i/>
        </w:rPr>
      </w:pPr>
      <w:r w:rsidRPr="00B63BB2">
        <w:rPr>
          <w:i/>
        </w:rPr>
        <w:t>Judicial Review Act 1991;</w:t>
      </w:r>
    </w:p>
    <w:p w14:paraId="46C92B59" w14:textId="77777777" w:rsidR="001862CA" w:rsidRPr="00B63BB2" w:rsidRDefault="001862CA" w:rsidP="00DA19EC">
      <w:pPr>
        <w:pStyle w:val="Quote"/>
        <w:numPr>
          <w:ilvl w:val="0"/>
          <w:numId w:val="3"/>
        </w:numPr>
        <w:rPr>
          <w:i/>
        </w:rPr>
      </w:pPr>
      <w:r w:rsidRPr="00B63BB2">
        <w:rPr>
          <w:i/>
        </w:rPr>
        <w:t>Ombudsman Act 2001;</w:t>
      </w:r>
    </w:p>
    <w:p w14:paraId="2E90C13C" w14:textId="77777777" w:rsidR="001862CA" w:rsidRPr="00B63BB2" w:rsidRDefault="001862CA" w:rsidP="00DA19EC">
      <w:pPr>
        <w:pStyle w:val="Quote"/>
        <w:numPr>
          <w:ilvl w:val="0"/>
          <w:numId w:val="3"/>
        </w:numPr>
        <w:rPr>
          <w:i/>
        </w:rPr>
      </w:pPr>
      <w:r w:rsidRPr="00B63BB2">
        <w:rPr>
          <w:i/>
        </w:rPr>
        <w:t>Anti-Discrimination Act 1991; and</w:t>
      </w:r>
    </w:p>
    <w:p w14:paraId="0251F4B7" w14:textId="04DA65C2" w:rsidR="001862CA" w:rsidRPr="00B25954" w:rsidRDefault="001862CA" w:rsidP="00DA19EC">
      <w:pPr>
        <w:pStyle w:val="Quote"/>
        <w:numPr>
          <w:ilvl w:val="0"/>
          <w:numId w:val="3"/>
        </w:numPr>
      </w:pPr>
      <w:r w:rsidRPr="00B63BB2">
        <w:rPr>
          <w:i/>
        </w:rPr>
        <w:t>Crime and Corruption Act 2001</w:t>
      </w:r>
      <w:r w:rsidRPr="00B25954">
        <w:t>.</w:t>
      </w:r>
      <w:r>
        <w:rPr>
          <w:rStyle w:val="FootnoteReference"/>
        </w:rPr>
        <w:footnoteReference w:id="33"/>
      </w:r>
    </w:p>
    <w:p w14:paraId="729503CA" w14:textId="4B6B4D92" w:rsidR="00072D77" w:rsidRDefault="00CD6417" w:rsidP="00DA19EC">
      <w:pPr>
        <w:pStyle w:val="Numberedparagraph"/>
      </w:pPr>
      <w:r>
        <w:t>In support of this position</w:t>
      </w:r>
      <w:r w:rsidR="00CC4C4C" w:rsidRPr="00CC4C4C">
        <w:t>, a review of</w:t>
      </w:r>
      <w:r w:rsidR="00223D39">
        <w:t xml:space="preserve"> submissions made by</w:t>
      </w:r>
      <w:r w:rsidR="00CC4C4C" w:rsidRPr="00CC4C4C">
        <w:t xml:space="preserve"> the </w:t>
      </w:r>
      <w:r w:rsidR="00A700F6">
        <w:t>QHRC</w:t>
      </w:r>
      <w:r w:rsidR="00CC4C4C" w:rsidRPr="00CC4C4C">
        <w:t xml:space="preserve"> to various parliamentary and other inquiries reveals that, in performing its functions impartially and in accordance with the objects of its enabling legislation, the </w:t>
      </w:r>
      <w:r w:rsidR="00A700F6">
        <w:t>QHRC</w:t>
      </w:r>
      <w:r w:rsidR="00CC4C4C" w:rsidRPr="00CC4C4C">
        <w:t xml:space="preserve"> has</w:t>
      </w:r>
      <w:r w:rsidR="00223D39">
        <w:t>,</w:t>
      </w:r>
      <w:r w:rsidR="00CC4C4C" w:rsidRPr="00CC4C4C">
        <w:t xml:space="preserve"> from time to time, been required to take public positions at odds with the prevailing views of both the </w:t>
      </w:r>
      <w:r w:rsidR="00A6520B">
        <w:t>E</w:t>
      </w:r>
      <w:r w:rsidR="008A4C92" w:rsidRPr="00CC4C4C">
        <w:t xml:space="preserve">xecutive </w:t>
      </w:r>
      <w:r w:rsidR="00CC4C4C" w:rsidRPr="00CC4C4C">
        <w:t xml:space="preserve">and the </w:t>
      </w:r>
      <w:r w:rsidR="008A4C92">
        <w:t>p</w:t>
      </w:r>
      <w:r w:rsidR="008A4C92" w:rsidRPr="00CC4C4C">
        <w:t>arliament</w:t>
      </w:r>
      <w:r w:rsidR="00CC4C4C" w:rsidRPr="00CC4C4C">
        <w:t xml:space="preserve">. </w:t>
      </w:r>
    </w:p>
    <w:p w14:paraId="4ABF0C72" w14:textId="43DC4403" w:rsidR="003B0F04" w:rsidRDefault="008A4C92" w:rsidP="00DA19EC">
      <w:pPr>
        <w:pStyle w:val="Numberedparagraph"/>
      </w:pPr>
      <w:r>
        <w:t>The</w:t>
      </w:r>
      <w:r w:rsidR="00CC4C4C" w:rsidRPr="00CC4C4C">
        <w:t xml:space="preserve"> </w:t>
      </w:r>
      <w:r w:rsidR="00A700F6">
        <w:t>QHRC</w:t>
      </w:r>
      <w:r w:rsidR="00F90D91">
        <w:t>’s</w:t>
      </w:r>
      <w:r w:rsidR="00CC4C4C" w:rsidRPr="00CC4C4C">
        <w:t xml:space="preserve"> role </w:t>
      </w:r>
      <w:r w:rsidR="003B3D65">
        <w:t>is integral to</w:t>
      </w:r>
      <w:r w:rsidR="00CC4C4C" w:rsidRPr="00CC4C4C">
        <w:t xml:space="preserve"> maintaining ‘a dialogue’ about the limits on human rights that can (or cannot) be ‘justified in a free and democratic society’.</w:t>
      </w:r>
      <w:r>
        <w:rPr>
          <w:rStyle w:val="FootnoteReference"/>
        </w:rPr>
        <w:footnoteReference w:id="34"/>
      </w:r>
      <w:r w:rsidR="00CC4C4C" w:rsidRPr="00CC4C4C">
        <w:t xml:space="preserve"> </w:t>
      </w:r>
      <w:r w:rsidR="0040537D">
        <w:t>This role cannot be performed without maintaining the QHRC’s</w:t>
      </w:r>
      <w:r w:rsidR="00CC4C4C" w:rsidRPr="00CC4C4C">
        <w:t xml:space="preserve"> independence, which would be clearly compromised by the review powers</w:t>
      </w:r>
      <w:r w:rsidR="00A700F6">
        <w:t xml:space="preserve"> in the Bill</w:t>
      </w:r>
      <w:r w:rsidR="00CC4C4C" w:rsidRPr="00CC4C4C">
        <w:t>.</w:t>
      </w:r>
      <w:r w:rsidR="003B0F04" w:rsidRPr="003B0F04">
        <w:t xml:space="preserve"> </w:t>
      </w:r>
      <w:r w:rsidR="003B0F04" w:rsidRPr="00CC4C4C">
        <w:t xml:space="preserve">Structural and functional independence </w:t>
      </w:r>
      <w:r w:rsidR="006802B6">
        <w:t>of the QHRC</w:t>
      </w:r>
      <w:r w:rsidR="003B0F04" w:rsidRPr="00CC4C4C">
        <w:t xml:space="preserve"> from the </w:t>
      </w:r>
      <w:r w:rsidR="00A6520B">
        <w:t>E</w:t>
      </w:r>
      <w:r w:rsidR="00072D77" w:rsidRPr="00CC4C4C">
        <w:t xml:space="preserve">xecutive </w:t>
      </w:r>
      <w:r w:rsidR="003B0F04" w:rsidRPr="00CC4C4C">
        <w:t xml:space="preserve">is essential in order </w:t>
      </w:r>
      <w:r w:rsidR="00A700F6">
        <w:t xml:space="preserve">for the QHRC </w:t>
      </w:r>
      <w:r w:rsidR="003B0F04" w:rsidRPr="00CC4C4C">
        <w:t xml:space="preserve">to </w:t>
      </w:r>
      <w:r w:rsidR="0040537D">
        <w:t>hold government to account</w:t>
      </w:r>
      <w:r w:rsidR="003B0F04" w:rsidRPr="00CC4C4C">
        <w:t xml:space="preserve">. The proposed review powers would constitute an intolerable restriction on the </w:t>
      </w:r>
      <w:r w:rsidR="00431368">
        <w:t>QHRC</w:t>
      </w:r>
      <w:r w:rsidR="00431368" w:rsidRPr="00CC4C4C">
        <w:t xml:space="preserve">’s </w:t>
      </w:r>
      <w:r w:rsidR="003B0F04" w:rsidRPr="00CC4C4C">
        <w:t>independence and impede its ability to impartially perform its functions.</w:t>
      </w:r>
    </w:p>
    <w:p w14:paraId="7C825E6B" w14:textId="0D6E316F" w:rsidR="00632B5F" w:rsidRDefault="00632B5F" w:rsidP="00632B5F">
      <w:pPr>
        <w:pStyle w:val="Heading2"/>
      </w:pPr>
      <w:bookmarkStart w:id="30" w:name="_Toc117842238"/>
      <w:r>
        <w:t>Potential implications for information disclosure</w:t>
      </w:r>
      <w:bookmarkEnd w:id="30"/>
    </w:p>
    <w:p w14:paraId="3D7FF189" w14:textId="7862CE93" w:rsidR="00707B56" w:rsidRPr="003D0E08" w:rsidRDefault="00A700F6" w:rsidP="00DA19EC">
      <w:pPr>
        <w:pStyle w:val="Numberedparagraph"/>
      </w:pPr>
      <w:r w:rsidRPr="003D0E08">
        <w:t>T</w:t>
      </w:r>
      <w:r w:rsidR="00707B56" w:rsidRPr="003D0E08">
        <w:t xml:space="preserve">here are also </w:t>
      </w:r>
      <w:r w:rsidR="005D1713" w:rsidRPr="003D0E08">
        <w:t xml:space="preserve">potential </w:t>
      </w:r>
      <w:r w:rsidR="00707B56" w:rsidRPr="003D0E08">
        <w:t>inconsistencies between the</w:t>
      </w:r>
      <w:r w:rsidRPr="003D0E08">
        <w:t xml:space="preserve"> proposed new powers </w:t>
      </w:r>
      <w:r w:rsidR="005D1713" w:rsidRPr="003D0E08">
        <w:t>and</w:t>
      </w:r>
      <w:r w:rsidRPr="003D0E08">
        <w:t xml:space="preserve"> the</w:t>
      </w:r>
      <w:r w:rsidR="00707B56" w:rsidRPr="003D0E08">
        <w:t xml:space="preserve"> QHRC’s obligation in its legislation.</w:t>
      </w:r>
    </w:p>
    <w:p w14:paraId="5C55F71D" w14:textId="2B280056" w:rsidR="00DB660F" w:rsidRPr="003D0E08" w:rsidRDefault="00DB660F" w:rsidP="00DA19EC">
      <w:pPr>
        <w:pStyle w:val="Numberedparagraph"/>
      </w:pPr>
      <w:r w:rsidRPr="003D0E08">
        <w:t xml:space="preserve">Section 220 of the </w:t>
      </w:r>
      <w:r w:rsidR="00582291">
        <w:t>AD Act</w:t>
      </w:r>
      <w:r w:rsidRPr="003D0E08">
        <w:rPr>
          <w:i/>
          <w:iCs/>
        </w:rPr>
        <w:t xml:space="preserve"> </w:t>
      </w:r>
      <w:r w:rsidRPr="003D0E08">
        <w:t xml:space="preserve">prohibits the QHRC </w:t>
      </w:r>
      <w:r w:rsidR="00582291">
        <w:t xml:space="preserve">from </w:t>
      </w:r>
      <w:r w:rsidRPr="003D0E08">
        <w:t xml:space="preserve">disclosing information about a person’s affairs. </w:t>
      </w:r>
      <w:r w:rsidR="00445D56" w:rsidRPr="003D0E08">
        <w:t xml:space="preserve">Clause 260 of the Bill gives a person a discretion to disclose a document or information to the reviewing entity, and that would likely constitute an exemption under s220(2)(a) of the </w:t>
      </w:r>
      <w:r w:rsidR="00582291">
        <w:t>AD Act.</w:t>
      </w:r>
    </w:p>
    <w:p w14:paraId="594AAF53" w14:textId="1F15A2AC" w:rsidR="00353A99" w:rsidRPr="003D0E08" w:rsidRDefault="00445D56" w:rsidP="00DA19EC">
      <w:pPr>
        <w:pStyle w:val="Numberedparagraph"/>
      </w:pPr>
      <w:r w:rsidRPr="003D0E08">
        <w:t>Under clause 261</w:t>
      </w:r>
      <w:r w:rsidR="00DA7FD7">
        <w:t xml:space="preserve"> of the Bill</w:t>
      </w:r>
      <w:r w:rsidRPr="003D0E08">
        <w:t>, the reviewing entity is to prepare a report</w:t>
      </w:r>
      <w:r w:rsidR="00066309" w:rsidRPr="003D0E08">
        <w:t xml:space="preserve">. </w:t>
      </w:r>
      <w:r w:rsidR="00353A99" w:rsidRPr="003D0E08">
        <w:t xml:space="preserve">Clause </w:t>
      </w:r>
      <w:r w:rsidR="00DB660F" w:rsidRPr="003D0E08">
        <w:t>262</w:t>
      </w:r>
      <w:r w:rsidR="00353A99" w:rsidRPr="003D0E08">
        <w:t xml:space="preserve"> provides that ‘sensitive information’ need not be included in a report</w:t>
      </w:r>
      <w:r w:rsidR="00066309" w:rsidRPr="003D0E08">
        <w:t>, although this is discretionary:</w:t>
      </w:r>
    </w:p>
    <w:p w14:paraId="61F2693B" w14:textId="77777777" w:rsidR="00066309" w:rsidRPr="003D0E08" w:rsidRDefault="00066309" w:rsidP="00066309">
      <w:pPr>
        <w:pStyle w:val="Quote"/>
        <w:rPr>
          <w:lang w:eastAsia="en-AU"/>
        </w:rPr>
      </w:pPr>
      <w:r w:rsidRPr="003D0E08">
        <w:rPr>
          <w:b/>
          <w:bCs/>
          <w:lang w:eastAsia="en-AU"/>
        </w:rPr>
        <w:t>sensitive information</w:t>
      </w:r>
      <w:r w:rsidRPr="003D0E08">
        <w:rPr>
          <w:lang w:eastAsia="en-AU"/>
        </w:rPr>
        <w:t> means information—</w:t>
      </w:r>
    </w:p>
    <w:p w14:paraId="2BBBDC4F" w14:textId="08111802" w:rsidR="00066309" w:rsidRPr="003D0E08" w:rsidRDefault="00066309" w:rsidP="00DA19EC">
      <w:pPr>
        <w:pStyle w:val="Quote"/>
        <w:numPr>
          <w:ilvl w:val="0"/>
          <w:numId w:val="4"/>
        </w:numPr>
        <w:rPr>
          <w:lang w:eastAsia="en-AU"/>
        </w:rPr>
      </w:pPr>
      <w:r w:rsidRPr="003D0E08">
        <w:rPr>
          <w:lang w:eastAsia="en-AU"/>
        </w:rPr>
        <w:t>that would be contrary to the public interest to disclose; or</w:t>
      </w:r>
    </w:p>
    <w:p w14:paraId="60FF7E31" w14:textId="77777777" w:rsidR="00066309" w:rsidRPr="003D0E08" w:rsidRDefault="00066309" w:rsidP="00066309">
      <w:pPr>
        <w:pStyle w:val="Quote"/>
        <w:ind w:left="1267"/>
        <w:rPr>
          <w:i/>
          <w:iCs/>
          <w:lang w:eastAsia="en-AU"/>
        </w:rPr>
      </w:pPr>
      <w:r w:rsidRPr="003D0E08">
        <w:rPr>
          <w:i/>
          <w:iCs/>
          <w:lang w:eastAsia="en-AU"/>
        </w:rPr>
        <w:t>Examples of when disclosing information may be contrary to the public interest—</w:t>
      </w:r>
    </w:p>
    <w:p w14:paraId="4499002F" w14:textId="286E95C2" w:rsidR="00066309" w:rsidRPr="003D0E08" w:rsidRDefault="00066309" w:rsidP="00066309">
      <w:pPr>
        <w:pStyle w:val="Quote"/>
        <w:ind w:left="1267"/>
        <w:rPr>
          <w:i/>
          <w:iCs/>
          <w:lang w:eastAsia="en-AU"/>
        </w:rPr>
      </w:pPr>
      <w:r w:rsidRPr="003D0E08">
        <w:rPr>
          <w:i/>
          <w:iCs/>
          <w:lang w:eastAsia="en-AU"/>
        </w:rPr>
        <w:t>1</w:t>
      </w:r>
      <w:r w:rsidR="00E15A76">
        <w:rPr>
          <w:i/>
          <w:iCs/>
          <w:lang w:eastAsia="en-AU"/>
        </w:rPr>
        <w:t xml:space="preserve"> </w:t>
      </w:r>
      <w:r w:rsidRPr="003D0E08">
        <w:rPr>
          <w:i/>
          <w:iCs/>
          <w:lang w:eastAsia="en-AU"/>
        </w:rPr>
        <w:t>The disclosure would have a serious adverse effect on an entity’s commercial interests.</w:t>
      </w:r>
    </w:p>
    <w:p w14:paraId="3CA8D182" w14:textId="0DE86B71" w:rsidR="00066309" w:rsidRPr="003D0E08" w:rsidRDefault="00066309" w:rsidP="00066309">
      <w:pPr>
        <w:pStyle w:val="Quote"/>
        <w:ind w:left="1267"/>
        <w:rPr>
          <w:i/>
          <w:iCs/>
          <w:lang w:eastAsia="en-AU"/>
        </w:rPr>
      </w:pPr>
      <w:r w:rsidRPr="003D0E08">
        <w:rPr>
          <w:i/>
          <w:iCs/>
          <w:lang w:eastAsia="en-AU"/>
        </w:rPr>
        <w:t>2</w:t>
      </w:r>
      <w:r w:rsidR="00E15A76">
        <w:rPr>
          <w:i/>
          <w:iCs/>
          <w:lang w:eastAsia="en-AU"/>
        </w:rPr>
        <w:t xml:space="preserve"> </w:t>
      </w:r>
      <w:r w:rsidRPr="003D0E08">
        <w:rPr>
          <w:i/>
          <w:iCs/>
          <w:lang w:eastAsia="en-AU"/>
        </w:rPr>
        <w:t>The disclosure would reveal trade secrets.</w:t>
      </w:r>
    </w:p>
    <w:p w14:paraId="337A382D" w14:textId="1A641E3B" w:rsidR="00066309" w:rsidRPr="003D0E08" w:rsidRDefault="00066309" w:rsidP="00066309">
      <w:pPr>
        <w:pStyle w:val="Quote"/>
        <w:ind w:left="1267"/>
        <w:rPr>
          <w:i/>
          <w:iCs/>
          <w:lang w:eastAsia="en-AU"/>
        </w:rPr>
      </w:pPr>
      <w:r w:rsidRPr="003D0E08">
        <w:rPr>
          <w:i/>
          <w:iCs/>
          <w:lang w:eastAsia="en-AU"/>
        </w:rPr>
        <w:t>3</w:t>
      </w:r>
      <w:r w:rsidR="00E15A76">
        <w:rPr>
          <w:i/>
          <w:iCs/>
          <w:lang w:eastAsia="en-AU"/>
        </w:rPr>
        <w:t xml:space="preserve"> </w:t>
      </w:r>
      <w:r w:rsidRPr="003D0E08">
        <w:rPr>
          <w:i/>
          <w:iCs/>
          <w:lang w:eastAsia="en-AU"/>
        </w:rPr>
        <w:t>The disclosure would cause damage to relations between the State government and another government.</w:t>
      </w:r>
    </w:p>
    <w:p w14:paraId="72C9E8EA" w14:textId="01D6923D" w:rsidR="00066309" w:rsidRPr="003D0E08" w:rsidRDefault="00066309" w:rsidP="00DA19EC">
      <w:pPr>
        <w:pStyle w:val="Quote"/>
        <w:numPr>
          <w:ilvl w:val="0"/>
          <w:numId w:val="4"/>
        </w:numPr>
        <w:rPr>
          <w:lang w:eastAsia="en-AU"/>
        </w:rPr>
      </w:pPr>
      <w:r w:rsidRPr="003D0E08">
        <w:rPr>
          <w:lang w:eastAsia="en-AU"/>
        </w:rPr>
        <w:t>for which, in any judicial proceeding, the State would have a basis for claiming that disclosure should not be permitted.</w:t>
      </w:r>
    </w:p>
    <w:p w14:paraId="6C5DA81B" w14:textId="3EFFA66F" w:rsidR="00195FD6" w:rsidRDefault="00195FD6" w:rsidP="00DA19EC">
      <w:pPr>
        <w:pStyle w:val="Numberedparagraph"/>
      </w:pPr>
      <w:r>
        <w:t xml:space="preserve">The reviewing entity may include the information in a separate document given to the referring entity. </w:t>
      </w:r>
      <w:r w:rsidRPr="003D0E08">
        <w:t>Clause 259 of the Bill</w:t>
      </w:r>
      <w:r>
        <w:t xml:space="preserve"> also</w:t>
      </w:r>
      <w:r w:rsidRPr="003D0E08">
        <w:t xml:space="preserve"> requires that the reviewing entity give the referring entity information that it asks for, and that information is described as ‘confidential’.</w:t>
      </w:r>
    </w:p>
    <w:p w14:paraId="2134F4E5" w14:textId="1A186D31" w:rsidR="00353A99" w:rsidRPr="003D0E08" w:rsidRDefault="00353A99" w:rsidP="00DA19EC">
      <w:pPr>
        <w:pStyle w:val="Numberedparagraph"/>
      </w:pPr>
      <w:r w:rsidRPr="003D0E08">
        <w:t>Clause 2</w:t>
      </w:r>
      <w:r w:rsidR="00610072" w:rsidRPr="003D0E08">
        <w:t>6</w:t>
      </w:r>
      <w:r w:rsidR="00E70F55" w:rsidRPr="003D0E08">
        <w:t>3</w:t>
      </w:r>
      <w:r w:rsidRPr="003D0E08">
        <w:t xml:space="preserve"> requires ‘confidential information’ to be removed before any report is tabled or published. The definition of ‘confidential information’ is confined to personal information (as defined in the </w:t>
      </w:r>
      <w:r w:rsidR="00066309" w:rsidRPr="003D0E08">
        <w:rPr>
          <w:i/>
          <w:iCs/>
        </w:rPr>
        <w:t>Information Privacy</w:t>
      </w:r>
      <w:r w:rsidRPr="003D0E08">
        <w:rPr>
          <w:i/>
        </w:rPr>
        <w:t xml:space="preserve"> Act</w:t>
      </w:r>
      <w:r w:rsidR="00066309" w:rsidRPr="003D0E08">
        <w:rPr>
          <w:i/>
          <w:iCs/>
        </w:rPr>
        <w:t xml:space="preserve"> 2009</w:t>
      </w:r>
      <w:r w:rsidRPr="003D0E08">
        <w:t xml:space="preserve">) that </w:t>
      </w:r>
      <w:r w:rsidR="00E05AB0">
        <w:t xml:space="preserve">is </w:t>
      </w:r>
      <w:r w:rsidR="003D0E08" w:rsidRPr="003D0E08">
        <w:t xml:space="preserve">not already publicly available unless further disclosure of the information is prohibited by law. </w:t>
      </w:r>
    </w:p>
    <w:p w14:paraId="7E7A6F08" w14:textId="3A2A16EE" w:rsidR="003657B1" w:rsidRPr="003D0E08" w:rsidRDefault="000D3F7F" w:rsidP="00DA19EC">
      <w:pPr>
        <w:pStyle w:val="Numberedparagraph"/>
      </w:pPr>
      <w:r w:rsidRPr="003D0E08">
        <w:t xml:space="preserve">In comparison, </w:t>
      </w:r>
      <w:r w:rsidR="00066309" w:rsidRPr="003D0E08">
        <w:t>s</w:t>
      </w:r>
      <w:r w:rsidRPr="003D0E08">
        <w:t xml:space="preserve">ection 220 of the Anti-Discrimination Act prohibits the QHRC </w:t>
      </w:r>
      <w:r w:rsidR="00A517A0">
        <w:t xml:space="preserve">from </w:t>
      </w:r>
      <w:r w:rsidRPr="003D0E08">
        <w:t>disclosing ‘information about a person’s affairs’, which is broader than ‘personal information’ under the Information Privacy Act. The former can include information about an organisation and the latter is limited to certain information about individuals.</w:t>
      </w:r>
      <w:r w:rsidR="003657B1" w:rsidRPr="003D0E08">
        <w:t xml:space="preserve"> </w:t>
      </w:r>
    </w:p>
    <w:p w14:paraId="07A3C4B2" w14:textId="43E525BE" w:rsidR="00353A99" w:rsidRPr="003D0E08" w:rsidRDefault="00353A99" w:rsidP="00DA19EC">
      <w:pPr>
        <w:pStyle w:val="Numberedparagraph"/>
      </w:pPr>
      <w:r w:rsidRPr="003D0E08">
        <w:t>In essence, th</w:t>
      </w:r>
      <w:r w:rsidR="00066309" w:rsidRPr="003D0E08">
        <w:t xml:space="preserve">is means </w:t>
      </w:r>
      <w:r w:rsidRPr="003D0E08">
        <w:t>the reviewing entity and referring entity can obtain information (</w:t>
      </w:r>
      <w:r w:rsidR="00066309" w:rsidRPr="003D0E08">
        <w:t>including</w:t>
      </w:r>
      <w:r w:rsidR="00067179">
        <w:t>,</w:t>
      </w:r>
      <w:r w:rsidR="00066309" w:rsidRPr="003D0E08">
        <w:t xml:space="preserve"> it appears</w:t>
      </w:r>
      <w:r w:rsidR="00067179">
        <w:t>,</w:t>
      </w:r>
      <w:r w:rsidR="00066309" w:rsidRPr="003D0E08">
        <w:t xml:space="preserve"> material contained</w:t>
      </w:r>
      <w:r w:rsidRPr="003D0E08">
        <w:t xml:space="preserve"> in </w:t>
      </w:r>
      <w:r w:rsidR="00066309" w:rsidRPr="003D0E08">
        <w:t>the complaint files of the QHRC</w:t>
      </w:r>
      <w:r w:rsidRPr="003D0E08">
        <w:t xml:space="preserve">) that </w:t>
      </w:r>
      <w:r w:rsidR="000D3F7F" w:rsidRPr="003D0E08">
        <w:t>the QHRC is</w:t>
      </w:r>
      <w:r w:rsidRPr="003D0E08">
        <w:t xml:space="preserve"> prohibited from disclosing, and c</w:t>
      </w:r>
      <w:r w:rsidR="00066309" w:rsidRPr="003D0E08">
        <w:t xml:space="preserve">ould then </w:t>
      </w:r>
      <w:r w:rsidR="00257F4F" w:rsidRPr="003D0E08">
        <w:t>potentially include</w:t>
      </w:r>
      <w:r w:rsidRPr="003D0E08">
        <w:t xml:space="preserve"> that </w:t>
      </w:r>
      <w:r w:rsidR="00066309" w:rsidRPr="003D0E08">
        <w:t>material</w:t>
      </w:r>
      <w:r w:rsidRPr="003D0E08">
        <w:t xml:space="preserve"> in a public report.</w:t>
      </w:r>
    </w:p>
    <w:p w14:paraId="7FFFD24A" w14:textId="125AE971" w:rsidR="00845210" w:rsidRDefault="00845210" w:rsidP="00DF36E2">
      <w:pPr>
        <w:pStyle w:val="Heading2"/>
      </w:pPr>
      <w:bookmarkStart w:id="31" w:name="_Toc117842239"/>
      <w:r>
        <w:t>Proposed amendments</w:t>
      </w:r>
      <w:bookmarkEnd w:id="31"/>
    </w:p>
    <w:p w14:paraId="69481A19" w14:textId="13685E85" w:rsidR="00766BAC" w:rsidRDefault="008D3EFA" w:rsidP="00DA19EC">
      <w:pPr>
        <w:pStyle w:val="Numberedparagraph"/>
      </w:pPr>
      <w:r>
        <w:t>To protect the independence</w:t>
      </w:r>
      <w:r w:rsidR="005D44BE">
        <w:t xml:space="preserve"> of the QHRC and</w:t>
      </w:r>
      <w:r>
        <w:t xml:space="preserve"> </w:t>
      </w:r>
      <w:r w:rsidR="005D44BE">
        <w:t xml:space="preserve">ensure it can continue to carry out its </w:t>
      </w:r>
      <w:r w:rsidR="00440927">
        <w:t xml:space="preserve">key </w:t>
      </w:r>
      <w:r w:rsidR="005D44BE">
        <w:t>functions,</w:t>
      </w:r>
      <w:r>
        <w:t xml:space="preserve"> it should not be</w:t>
      </w:r>
      <w:r w:rsidR="00766BAC">
        <w:t xml:space="preserve"> subject to the public sector review process set out in the Bill.</w:t>
      </w:r>
    </w:p>
    <w:p w14:paraId="2196E728" w14:textId="097F326F" w:rsidR="004B3E8E" w:rsidRDefault="004B3E8E" w:rsidP="00DA19EC">
      <w:pPr>
        <w:pStyle w:val="Numberedparagraph"/>
      </w:pPr>
      <w:r>
        <w:t xml:space="preserve">There may be other agencies not considered core integrity bodies who are in a similar situation. </w:t>
      </w:r>
    </w:p>
    <w:p w14:paraId="11F0FC7D" w14:textId="0D97EC57" w:rsidR="00D16516" w:rsidRDefault="00D16516" w:rsidP="00DA19EC">
      <w:pPr>
        <w:pStyle w:val="Numberedparagraph"/>
      </w:pPr>
      <w:r w:rsidRPr="003628A2">
        <w:t xml:space="preserve">The </w:t>
      </w:r>
      <w:r w:rsidR="00A41CCA">
        <w:t xml:space="preserve">QHRC </w:t>
      </w:r>
      <w:r>
        <w:t xml:space="preserve">appreciates that it must be answerable for the performance of its functions. </w:t>
      </w:r>
      <w:r w:rsidR="006723A1">
        <w:t xml:space="preserve">As </w:t>
      </w:r>
      <w:r w:rsidR="00AE6E3A">
        <w:t>already discussed</w:t>
      </w:r>
      <w:r w:rsidR="006723A1">
        <w:t xml:space="preserve">, the QHRC recently completed the </w:t>
      </w:r>
      <w:r w:rsidR="006723A1" w:rsidRPr="00C14748">
        <w:rPr>
          <w:i/>
        </w:rPr>
        <w:t>Building Belonging</w:t>
      </w:r>
      <w:r w:rsidR="006723A1">
        <w:t xml:space="preserve"> report, which </w:t>
      </w:r>
      <w:r w:rsidR="00412834">
        <w:t>made recommendations about</w:t>
      </w:r>
      <w:r w:rsidR="006723A1">
        <w:t xml:space="preserve"> discrimination law in Queensland</w:t>
      </w:r>
      <w:r>
        <w:t xml:space="preserve">. As the QHRC’s governance and accountability mechanisms did not fall within the terms of reference of the review, the </w:t>
      </w:r>
      <w:r w:rsidR="0005418E">
        <w:t xml:space="preserve">QHRC </w:t>
      </w:r>
      <w:r>
        <w:t xml:space="preserve">did not comment </w:t>
      </w:r>
      <w:r w:rsidR="00C95A22">
        <w:t xml:space="preserve">on </w:t>
      </w:r>
      <w:r>
        <w:t xml:space="preserve">these mechanisms in the report. However, the QHRC considers it would be appropriate for the </w:t>
      </w:r>
      <w:r w:rsidR="00E26824">
        <w:t>AD</w:t>
      </w:r>
      <w:r>
        <w:t xml:space="preserve"> Act to be amended to provide for direct oversight of the </w:t>
      </w:r>
      <w:r w:rsidR="0005418E">
        <w:t>QHRC</w:t>
      </w:r>
      <w:r w:rsidR="00E26824">
        <w:t xml:space="preserve"> </w:t>
      </w:r>
      <w:r>
        <w:t xml:space="preserve">by a parliamentary committee. Such an amendment would remove </w:t>
      </w:r>
      <w:r w:rsidR="00F52F37">
        <w:t>the</w:t>
      </w:r>
      <w:r w:rsidR="005C540F">
        <w:t xml:space="preserve"> </w:t>
      </w:r>
      <w:r>
        <w:t xml:space="preserve">distinction between the </w:t>
      </w:r>
      <w:r w:rsidR="0005418E">
        <w:t xml:space="preserve">QHRC </w:t>
      </w:r>
      <w:r>
        <w:t>and other</w:t>
      </w:r>
      <w:r w:rsidR="005C540F">
        <w:t xml:space="preserve"> core</w:t>
      </w:r>
      <w:r>
        <w:t xml:space="preserve"> bodies </w:t>
      </w:r>
      <w:r w:rsidR="006941A1">
        <w:t xml:space="preserve">that </w:t>
      </w:r>
      <w:r>
        <w:t>compris</w:t>
      </w:r>
      <w:r w:rsidR="006941A1">
        <w:t>e</w:t>
      </w:r>
      <w:r>
        <w:t xml:space="preserve"> Queensland’s integrity network.</w:t>
      </w:r>
    </w:p>
    <w:p w14:paraId="405BE02E" w14:textId="36DD7D84" w:rsidR="00E30793" w:rsidRDefault="00E30793" w:rsidP="009A0222">
      <w:pPr>
        <w:pStyle w:val="Numberedparagraph"/>
      </w:pPr>
      <w:r>
        <w:t xml:space="preserve">Thank you for the </w:t>
      </w:r>
      <w:r w:rsidRPr="009A0222">
        <w:t>opportunity</w:t>
      </w:r>
      <w:r>
        <w:t xml:space="preserve"> to make a submission in relation to the Bill. </w:t>
      </w:r>
    </w:p>
    <w:sectPr w:rsidR="00E30793" w:rsidSect="00CB0BBF">
      <w:pgSz w:w="11900" w:h="16840" w:code="9"/>
      <w:pgMar w:top="1440" w:right="1701" w:bottom="1361" w:left="170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92E73" w14:textId="77777777" w:rsidR="00D56DBB" w:rsidRDefault="00D56DBB" w:rsidP="0034134D">
      <w:r>
        <w:separator/>
      </w:r>
    </w:p>
  </w:endnote>
  <w:endnote w:type="continuationSeparator" w:id="0">
    <w:p w14:paraId="23363CED" w14:textId="77777777" w:rsidR="00D56DBB" w:rsidRDefault="00D56DBB" w:rsidP="0034134D">
      <w:r>
        <w:continuationSeparator/>
      </w:r>
    </w:p>
  </w:endnote>
  <w:endnote w:type="continuationNotice" w:id="1">
    <w:p w14:paraId="18D16325" w14:textId="77777777" w:rsidR="00D56DBB" w:rsidRDefault="00D56D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161F7" w14:textId="77777777" w:rsidR="006D0CD6" w:rsidRPr="00260847" w:rsidRDefault="00260847" w:rsidP="006D0CD6">
    <w:pPr>
      <w:pStyle w:val="Footer"/>
      <w:jc w:val="right"/>
      <w:rPr>
        <w:rFonts w:cs="Arial"/>
        <w:color w:val="404040" w:themeColor="text1" w:themeTint="BF"/>
        <w:sz w:val="16"/>
        <w:szCs w:val="20"/>
      </w:rPr>
    </w:pPr>
    <w:r w:rsidRPr="00260847">
      <w:rPr>
        <w:rFonts w:cs="Arial"/>
        <w:noProof/>
        <w:sz w:val="20"/>
        <w:szCs w:val="20"/>
        <w:vertAlign w:val="subscript"/>
        <w:lang w:eastAsia="en-AU"/>
      </w:rPr>
      <w:drawing>
        <wp:inline distT="0" distB="0" distL="0" distR="0" wp14:anchorId="29F8E811" wp14:editId="4CEB943D">
          <wp:extent cx="5463606" cy="4802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our bar - thin cmyk.png"/>
                  <pic:cNvPicPr/>
                </pic:nvPicPr>
                <pic:blipFill>
                  <a:blip r:embed="rId1">
                    <a:extLst>
                      <a:ext uri="{28A0092B-C50C-407E-A947-70E740481C1C}">
                        <a14:useLocalDpi xmlns:a14="http://schemas.microsoft.com/office/drawing/2010/main" val="0"/>
                      </a:ext>
                    </a:extLst>
                  </a:blip>
                  <a:stretch>
                    <a:fillRect/>
                  </a:stretch>
                </pic:blipFill>
                <pic:spPr>
                  <a:xfrm>
                    <a:off x="0" y="0"/>
                    <a:ext cx="17558567" cy="154346"/>
                  </a:xfrm>
                  <a:prstGeom prst="rect">
                    <a:avLst/>
                  </a:prstGeom>
                </pic:spPr>
              </pic:pic>
            </a:graphicData>
          </a:graphic>
        </wp:inline>
      </w:drawing>
    </w:r>
    <w:r w:rsidRPr="00260847">
      <w:rPr>
        <w:rFonts w:cs="Arial"/>
        <w:color w:val="404040" w:themeColor="text1" w:themeTint="BF"/>
        <w:sz w:val="16"/>
        <w:szCs w:val="20"/>
      </w:rPr>
      <w:t>Queensland Human Rights Commission | www.qhrc.qld.gov.au</w:t>
    </w:r>
    <w:r>
      <w:rPr>
        <w:rFonts w:cs="Arial"/>
        <w:color w:val="404040" w:themeColor="text1" w:themeTint="BF"/>
        <w:sz w:val="16"/>
        <w:szCs w:val="20"/>
      </w:rPr>
      <w:tab/>
    </w:r>
    <w:r w:rsidRPr="00260847">
      <w:rPr>
        <w:rFonts w:cs="Arial"/>
        <w:color w:val="404040" w:themeColor="text1" w:themeTint="BF"/>
        <w:sz w:val="16"/>
        <w:szCs w:val="20"/>
      </w:rPr>
      <w:tab/>
    </w:r>
    <w:r w:rsidR="006D0CD6" w:rsidRPr="00260847">
      <w:rPr>
        <w:rFonts w:cs="Arial"/>
        <w:color w:val="404040" w:themeColor="text1" w:themeTint="BF"/>
        <w:sz w:val="16"/>
        <w:szCs w:val="20"/>
      </w:rPr>
      <w:fldChar w:fldCharType="begin"/>
    </w:r>
    <w:r w:rsidR="006D0CD6" w:rsidRPr="00260847">
      <w:rPr>
        <w:rFonts w:cs="Arial"/>
        <w:color w:val="404040" w:themeColor="text1" w:themeTint="BF"/>
        <w:sz w:val="16"/>
        <w:szCs w:val="20"/>
      </w:rPr>
      <w:instrText xml:space="preserve"> PAGE   \* MERGEFORMAT </w:instrText>
    </w:r>
    <w:r w:rsidR="006D0CD6" w:rsidRPr="00260847">
      <w:rPr>
        <w:rFonts w:cs="Arial"/>
        <w:color w:val="404040" w:themeColor="text1" w:themeTint="BF"/>
        <w:sz w:val="16"/>
        <w:szCs w:val="20"/>
      </w:rPr>
      <w:fldChar w:fldCharType="separate"/>
    </w:r>
    <w:r w:rsidR="0035517B">
      <w:rPr>
        <w:rFonts w:cs="Arial"/>
        <w:noProof/>
        <w:color w:val="404040" w:themeColor="text1" w:themeTint="BF"/>
        <w:sz w:val="16"/>
        <w:szCs w:val="20"/>
      </w:rPr>
      <w:t>3</w:t>
    </w:r>
    <w:r w:rsidR="006D0CD6" w:rsidRPr="00260847">
      <w:rPr>
        <w:rFonts w:cs="Arial"/>
        <w:noProof/>
        <w:color w:val="404040" w:themeColor="text1" w:themeTint="BF"/>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E8EB8" w14:textId="77777777" w:rsidR="00D56DBB" w:rsidRDefault="00D56DBB" w:rsidP="0034134D">
      <w:r>
        <w:separator/>
      </w:r>
    </w:p>
  </w:footnote>
  <w:footnote w:type="continuationSeparator" w:id="0">
    <w:p w14:paraId="21622085" w14:textId="77777777" w:rsidR="00D56DBB" w:rsidRDefault="00D56DBB" w:rsidP="0034134D">
      <w:r>
        <w:continuationSeparator/>
      </w:r>
    </w:p>
  </w:footnote>
  <w:footnote w:type="continuationNotice" w:id="1">
    <w:p w14:paraId="5859FA9A" w14:textId="77777777" w:rsidR="00D56DBB" w:rsidRDefault="00D56DBB">
      <w:pPr>
        <w:spacing w:after="0"/>
      </w:pPr>
    </w:p>
  </w:footnote>
  <w:footnote w:id="2">
    <w:p w14:paraId="2F2E91A8" w14:textId="0D84ED4B" w:rsidR="005C42FA" w:rsidRDefault="005C42FA" w:rsidP="005C42FA">
      <w:pPr>
        <w:pStyle w:val="FootnoteText"/>
      </w:pPr>
      <w:r>
        <w:rPr>
          <w:rStyle w:val="FootnoteReference"/>
        </w:rPr>
        <w:footnoteRef/>
      </w:r>
      <w:r>
        <w:t xml:space="preserve"> </w:t>
      </w:r>
      <w:r w:rsidR="00D91690">
        <w:t xml:space="preserve">Public Sector Bill 2022 </w:t>
      </w:r>
      <w:r w:rsidR="0088306B">
        <w:t>(Qld)</w:t>
      </w:r>
      <w:r w:rsidR="00C575CB">
        <w:t xml:space="preserve"> </w:t>
      </w:r>
      <w:r w:rsidR="00265BE2">
        <w:t>cl</w:t>
      </w:r>
      <w:r>
        <w:t xml:space="preserve"> 24.</w:t>
      </w:r>
    </w:p>
  </w:footnote>
  <w:footnote w:id="3">
    <w:p w14:paraId="036E2CE9" w14:textId="72F61345" w:rsidR="006C14B2" w:rsidRDefault="006C14B2">
      <w:pPr>
        <w:pStyle w:val="FootnoteText"/>
      </w:pPr>
      <w:r>
        <w:rPr>
          <w:rStyle w:val="FootnoteReference"/>
        </w:rPr>
        <w:footnoteRef/>
      </w:r>
      <w:r>
        <w:t xml:space="preserve"> </w:t>
      </w:r>
      <w:r w:rsidR="00DA15A0">
        <w:t xml:space="preserve">Queensland Human Rights Commission, </w:t>
      </w:r>
      <w:r w:rsidRPr="00AE6195">
        <w:rPr>
          <w:i/>
        </w:rPr>
        <w:t xml:space="preserve">Building Belonging: Review of Queensland’s </w:t>
      </w:r>
      <w:r w:rsidRPr="00DA15A0">
        <w:rPr>
          <w:i/>
          <w:iCs/>
        </w:rPr>
        <w:t>Anti-Discrimination Act 1991</w:t>
      </w:r>
      <w:r w:rsidR="00DA15A0">
        <w:t xml:space="preserve"> (</w:t>
      </w:r>
      <w:r w:rsidR="00C318EE">
        <w:t xml:space="preserve">Report, </w:t>
      </w:r>
      <w:r w:rsidR="00DA15A0">
        <w:t>July 2022).</w:t>
      </w:r>
      <w:r>
        <w:t xml:space="preserve"> </w:t>
      </w:r>
    </w:p>
  </w:footnote>
  <w:footnote w:id="4">
    <w:p w14:paraId="383EF2C2" w14:textId="3F63ADB8" w:rsidR="00352D59" w:rsidRDefault="00352D59">
      <w:pPr>
        <w:pStyle w:val="FootnoteText"/>
      </w:pPr>
      <w:r>
        <w:rPr>
          <w:rStyle w:val="FootnoteReference"/>
        </w:rPr>
        <w:footnoteRef/>
      </w:r>
      <w:r>
        <w:t xml:space="preserve"> </w:t>
      </w:r>
      <w:r w:rsidR="006E0B7D" w:rsidRPr="00F328D4">
        <w:rPr>
          <w:i/>
          <w:iCs/>
        </w:rPr>
        <w:t xml:space="preserve">Industrial Relations Act </w:t>
      </w:r>
      <w:r w:rsidR="00434DE6" w:rsidRPr="00F328D4">
        <w:rPr>
          <w:i/>
          <w:iCs/>
        </w:rPr>
        <w:t>2016</w:t>
      </w:r>
      <w:r w:rsidR="00434DE6">
        <w:t xml:space="preserve"> </w:t>
      </w:r>
      <w:r w:rsidR="00A774C7">
        <w:t xml:space="preserve">(Qld) </w:t>
      </w:r>
      <w:r w:rsidR="002C64BD">
        <w:t>c</w:t>
      </w:r>
      <w:r w:rsidR="00241145">
        <w:t xml:space="preserve">h 2 </w:t>
      </w:r>
      <w:r w:rsidR="003F541D">
        <w:t>pt</w:t>
      </w:r>
      <w:r w:rsidR="00241145">
        <w:t xml:space="preserve"> 3.</w:t>
      </w:r>
    </w:p>
  </w:footnote>
  <w:footnote w:id="5">
    <w:p w14:paraId="09E665B5" w14:textId="056AAA89" w:rsidR="001F0AA0" w:rsidRDefault="001F0AA0">
      <w:pPr>
        <w:pStyle w:val="FootnoteText"/>
      </w:pPr>
      <w:r>
        <w:rPr>
          <w:rStyle w:val="FootnoteReference"/>
        </w:rPr>
        <w:footnoteRef/>
      </w:r>
      <w:r w:rsidR="00F30D6A">
        <w:t xml:space="preserve"> Office of the Special Commissioner, Equity and Diversity</w:t>
      </w:r>
      <w:r w:rsidR="00AF5665">
        <w:t xml:space="preserve"> (Qld)</w:t>
      </w:r>
      <w:r w:rsidR="00AC7C88">
        <w:t xml:space="preserve">, </w:t>
      </w:r>
      <w:r w:rsidR="00B821C3">
        <w:t>‘</w:t>
      </w:r>
      <w:r w:rsidR="00880E72" w:rsidRPr="00880E72">
        <w:t>Queensland</w:t>
      </w:r>
      <w:r w:rsidR="00322D4D">
        <w:t xml:space="preserve"> </w:t>
      </w:r>
      <w:r w:rsidR="00880E72" w:rsidRPr="00880E72">
        <w:t>public</w:t>
      </w:r>
      <w:r w:rsidR="00813A67">
        <w:t xml:space="preserve"> </w:t>
      </w:r>
      <w:r w:rsidR="00880E72" w:rsidRPr="00880E72">
        <w:t>sector</w:t>
      </w:r>
      <w:r w:rsidR="00813A67">
        <w:t xml:space="preserve"> </w:t>
      </w:r>
      <w:r w:rsidR="00880E72" w:rsidRPr="00880E72">
        <w:t>Gender</w:t>
      </w:r>
      <w:r w:rsidR="00813A67">
        <w:t xml:space="preserve"> </w:t>
      </w:r>
      <w:r w:rsidR="00880E72" w:rsidRPr="00880E72">
        <w:t>pay</w:t>
      </w:r>
      <w:r w:rsidR="00813A67">
        <w:t xml:space="preserve"> </w:t>
      </w:r>
      <w:r w:rsidR="00880E72" w:rsidRPr="00880E72">
        <w:t>equity</w:t>
      </w:r>
      <w:r w:rsidR="00813A67">
        <w:t xml:space="preserve"> </w:t>
      </w:r>
      <w:r w:rsidR="00880E72" w:rsidRPr="00880E72">
        <w:t>dashboard</w:t>
      </w:r>
      <w:r w:rsidR="00D631FC">
        <w:t xml:space="preserve"> (Web page</w:t>
      </w:r>
      <w:r w:rsidR="00B821C3">
        <w:t>, 2021</w:t>
      </w:r>
      <w:r w:rsidR="00D631FC">
        <w:t>)</w:t>
      </w:r>
      <w:r w:rsidR="00DF4FF4">
        <w:t>.</w:t>
      </w:r>
      <w:r w:rsidR="00DF4FF4" w:rsidDel="00DF4FF4">
        <w:t xml:space="preserve"> </w:t>
      </w:r>
    </w:p>
  </w:footnote>
  <w:footnote w:id="6">
    <w:p w14:paraId="784A8369" w14:textId="6DCA9435" w:rsidR="001A303A" w:rsidRDefault="001A303A">
      <w:pPr>
        <w:pStyle w:val="FootnoteText"/>
      </w:pPr>
      <w:r>
        <w:rPr>
          <w:rStyle w:val="FootnoteReference"/>
        </w:rPr>
        <w:footnoteRef/>
      </w:r>
      <w:r>
        <w:t xml:space="preserve"> </w:t>
      </w:r>
      <w:r w:rsidR="00134ABD">
        <w:t xml:space="preserve">Public Sector Bill 2022 </w:t>
      </w:r>
      <w:r w:rsidR="008C54E5">
        <w:t xml:space="preserve">(Qld) </w:t>
      </w:r>
      <w:r w:rsidR="00134ABD">
        <w:t>c</w:t>
      </w:r>
      <w:r>
        <w:t>l 27(c).</w:t>
      </w:r>
    </w:p>
  </w:footnote>
  <w:footnote w:id="7">
    <w:p w14:paraId="37F4511B" w14:textId="3CE91A37" w:rsidR="00B75CDC" w:rsidRDefault="00B75CDC">
      <w:pPr>
        <w:pStyle w:val="FootnoteText"/>
      </w:pPr>
      <w:r>
        <w:rPr>
          <w:rStyle w:val="FootnoteReference"/>
        </w:rPr>
        <w:footnoteRef/>
      </w:r>
      <w:r>
        <w:t xml:space="preserve"> </w:t>
      </w:r>
      <w:r w:rsidR="00DD30B2">
        <w:t>Public Sector Bill 2022</w:t>
      </w:r>
      <w:r w:rsidR="006C1E86">
        <w:t xml:space="preserve"> </w:t>
      </w:r>
      <w:r w:rsidR="008C54E5">
        <w:t xml:space="preserve">(Qld) </w:t>
      </w:r>
      <w:r w:rsidR="009104AA">
        <w:t xml:space="preserve">cls </w:t>
      </w:r>
      <w:r w:rsidR="00D63602">
        <w:t>28</w:t>
      </w:r>
      <w:r w:rsidR="00792B47">
        <w:t>–</w:t>
      </w:r>
      <w:r w:rsidR="00D63602">
        <w:t>29.</w:t>
      </w:r>
    </w:p>
  </w:footnote>
  <w:footnote w:id="8">
    <w:p w14:paraId="1F09E0B9" w14:textId="5790E654" w:rsidR="00CD5BFC" w:rsidRDefault="00CD5BFC">
      <w:pPr>
        <w:pStyle w:val="FootnoteText"/>
      </w:pPr>
      <w:r>
        <w:rPr>
          <w:rStyle w:val="FootnoteReference"/>
        </w:rPr>
        <w:footnoteRef/>
      </w:r>
      <w:r>
        <w:t xml:space="preserve"> E</w:t>
      </w:r>
      <w:r w:rsidR="0045380E">
        <w:t>xpla</w:t>
      </w:r>
      <w:r w:rsidR="006974AF">
        <w:t xml:space="preserve">natory </w:t>
      </w:r>
      <w:r>
        <w:t>N</w:t>
      </w:r>
      <w:r w:rsidR="006974AF">
        <w:t>ot</w:t>
      </w:r>
      <w:r w:rsidR="0027498C">
        <w:t xml:space="preserve">es, </w:t>
      </w:r>
      <w:r w:rsidR="00893AAC">
        <w:t>Public Sector Bill 2022</w:t>
      </w:r>
      <w:r w:rsidR="00535EDD">
        <w:t xml:space="preserve"> </w:t>
      </w:r>
      <w:r w:rsidR="00C61398">
        <w:t xml:space="preserve">(Qld) </w:t>
      </w:r>
      <w:r w:rsidR="002B0463">
        <w:t>20.</w:t>
      </w:r>
    </w:p>
  </w:footnote>
  <w:footnote w:id="9">
    <w:p w14:paraId="2D2FDC62" w14:textId="107084E1" w:rsidR="005E181F" w:rsidRDefault="005E181F">
      <w:pPr>
        <w:pStyle w:val="FootnoteText"/>
      </w:pPr>
      <w:r>
        <w:rPr>
          <w:rStyle w:val="FootnoteReference"/>
        </w:rPr>
        <w:footnoteRef/>
      </w:r>
      <w:r>
        <w:t xml:space="preserve"> </w:t>
      </w:r>
      <w:r w:rsidR="00D05827">
        <w:t xml:space="preserve">Public Sector Bill 2022 </w:t>
      </w:r>
      <w:r w:rsidR="00C61398">
        <w:t>(Qld)</w:t>
      </w:r>
      <w:r w:rsidR="00713109">
        <w:t xml:space="preserve"> </w:t>
      </w:r>
      <w:r w:rsidR="0076293E">
        <w:t>c</w:t>
      </w:r>
      <w:r>
        <w:t>l 27(b).</w:t>
      </w:r>
    </w:p>
  </w:footnote>
  <w:footnote w:id="10">
    <w:p w14:paraId="2D0369DD" w14:textId="70E2315D" w:rsidR="007D7D03" w:rsidRDefault="007D7D03">
      <w:pPr>
        <w:pStyle w:val="FootnoteText"/>
      </w:pPr>
      <w:r w:rsidRPr="00322AD6">
        <w:rPr>
          <w:rStyle w:val="FootnoteReference"/>
        </w:rPr>
        <w:footnoteRef/>
      </w:r>
      <w:r w:rsidR="00740981" w:rsidRPr="00740981">
        <w:t xml:space="preserve"> </w:t>
      </w:r>
      <w:r w:rsidR="00740981">
        <w:t xml:space="preserve">Queensland Human Rights Commission, </w:t>
      </w:r>
      <w:r w:rsidR="0076384C">
        <w:t>‘Discrimination on combined grounds’</w:t>
      </w:r>
      <w:r w:rsidR="00666C8C">
        <w:t xml:space="preserve"> </w:t>
      </w:r>
      <w:r w:rsidR="00740981" w:rsidRPr="0094051E">
        <w:rPr>
          <w:i/>
          <w:iCs/>
        </w:rPr>
        <w:t xml:space="preserve">Building Belonging: Review of Queensland’s </w:t>
      </w:r>
      <w:r w:rsidR="00740981" w:rsidRPr="00C318EE">
        <w:rPr>
          <w:i/>
          <w:iCs/>
        </w:rPr>
        <w:t>Anti-Discrimination Act 199</w:t>
      </w:r>
      <w:r w:rsidR="00740981" w:rsidRPr="00DA15A0">
        <w:rPr>
          <w:i/>
          <w:iCs/>
        </w:rPr>
        <w:t>1</w:t>
      </w:r>
      <w:r w:rsidR="00740981">
        <w:t xml:space="preserve"> (Report, July 2022)</w:t>
      </w:r>
      <w:r w:rsidR="00D51C0B">
        <w:t xml:space="preserve"> </w:t>
      </w:r>
      <w:r w:rsidR="00A75E6A">
        <w:t>103–</w:t>
      </w:r>
      <w:r w:rsidR="008D50E8">
        <w:t>110</w:t>
      </w:r>
      <w:r w:rsidR="004D0B9D">
        <w:t xml:space="preserve">, and </w:t>
      </w:r>
      <w:r w:rsidR="00D51C0B">
        <w:t>Recommendation 3.3</w:t>
      </w:r>
      <w:r w:rsidR="00740981">
        <w:t>.</w:t>
      </w:r>
    </w:p>
  </w:footnote>
  <w:footnote w:id="11">
    <w:p w14:paraId="59946890" w14:textId="691A2341" w:rsidR="002860FB" w:rsidRDefault="002860FB" w:rsidP="002860FB">
      <w:pPr>
        <w:pStyle w:val="FootnoteText"/>
      </w:pPr>
      <w:r>
        <w:rPr>
          <w:rStyle w:val="FootnoteReference"/>
        </w:rPr>
        <w:footnoteRef/>
      </w:r>
      <w:r>
        <w:t xml:space="preserve"> </w:t>
      </w:r>
      <w:r>
        <w:rPr>
          <w:i/>
          <w:iCs/>
        </w:rPr>
        <w:t xml:space="preserve">Human Rights Act 2019 </w:t>
      </w:r>
      <w:r>
        <w:t>(Qld) s 15.</w:t>
      </w:r>
    </w:p>
  </w:footnote>
  <w:footnote w:id="12">
    <w:p w14:paraId="584BD188" w14:textId="70A892F1" w:rsidR="004373A6" w:rsidRPr="00DA6B18" w:rsidRDefault="004373A6">
      <w:pPr>
        <w:pStyle w:val="FootnoteText"/>
        <w:rPr>
          <w:lang w:val="en-US"/>
        </w:rPr>
      </w:pPr>
      <w:r>
        <w:rPr>
          <w:rStyle w:val="FootnoteReference"/>
        </w:rPr>
        <w:footnoteRef/>
      </w:r>
      <w:r>
        <w:t xml:space="preserve"> </w:t>
      </w:r>
      <w:r>
        <w:rPr>
          <w:lang w:val="en-US"/>
        </w:rPr>
        <w:t>See for example</w:t>
      </w:r>
      <w:r w:rsidR="00B44E97">
        <w:rPr>
          <w:lang w:val="en-US"/>
        </w:rPr>
        <w:t xml:space="preserve"> McKinsey &amp; Company, </w:t>
      </w:r>
      <w:r w:rsidR="00DA6B18">
        <w:rPr>
          <w:i/>
          <w:iCs/>
          <w:lang w:val="en-US"/>
        </w:rPr>
        <w:t xml:space="preserve">Diversity wins: how inclusion matters </w:t>
      </w:r>
      <w:r w:rsidR="00DA6B18">
        <w:rPr>
          <w:lang w:val="en-US"/>
        </w:rPr>
        <w:t>(</w:t>
      </w:r>
      <w:r w:rsidR="00DD5DB9">
        <w:rPr>
          <w:lang w:val="en-US"/>
        </w:rPr>
        <w:t>Report,</w:t>
      </w:r>
      <w:r w:rsidR="00CB3170">
        <w:rPr>
          <w:lang w:val="en-US"/>
        </w:rPr>
        <w:t xml:space="preserve"> May</w:t>
      </w:r>
      <w:r w:rsidR="00DD5DB9">
        <w:rPr>
          <w:lang w:val="en-US"/>
        </w:rPr>
        <w:t xml:space="preserve"> 2020). </w:t>
      </w:r>
    </w:p>
  </w:footnote>
  <w:footnote w:id="13">
    <w:p w14:paraId="538D140B" w14:textId="4B2039C3" w:rsidR="00560393" w:rsidRDefault="00560393">
      <w:pPr>
        <w:pStyle w:val="FootnoteText"/>
      </w:pPr>
      <w:r>
        <w:rPr>
          <w:rStyle w:val="FootnoteReference"/>
        </w:rPr>
        <w:footnoteRef/>
      </w:r>
      <w:r>
        <w:t xml:space="preserve"> </w:t>
      </w:r>
      <w:r w:rsidRPr="00880E72">
        <w:rPr>
          <w:i/>
        </w:rPr>
        <w:t>Public Service Act 2008</w:t>
      </w:r>
      <w:r>
        <w:t xml:space="preserve"> (Qld) s 30</w:t>
      </w:r>
      <w:r w:rsidR="00026AB2">
        <w:t>(2)</w:t>
      </w:r>
      <w:r>
        <w:t>.</w:t>
      </w:r>
    </w:p>
  </w:footnote>
  <w:footnote w:id="14">
    <w:p w14:paraId="49FA22DD" w14:textId="0170F96D" w:rsidR="00A76A8B" w:rsidRDefault="00A76A8B">
      <w:pPr>
        <w:pStyle w:val="FootnoteText"/>
      </w:pPr>
      <w:r>
        <w:rPr>
          <w:rStyle w:val="FootnoteReference"/>
        </w:rPr>
        <w:footnoteRef/>
      </w:r>
      <w:r>
        <w:t xml:space="preserve"> </w:t>
      </w:r>
      <w:r w:rsidRPr="00880E72">
        <w:rPr>
          <w:i/>
        </w:rPr>
        <w:t xml:space="preserve">Equal Opportunity in Public Employment Act </w:t>
      </w:r>
      <w:r w:rsidR="003D4882" w:rsidRPr="00880E72">
        <w:rPr>
          <w:i/>
          <w:iCs/>
        </w:rPr>
        <w:t>1992</w:t>
      </w:r>
      <w:r w:rsidR="003D4882">
        <w:t xml:space="preserve"> </w:t>
      </w:r>
      <w:r>
        <w:t>(Qld).</w:t>
      </w:r>
    </w:p>
  </w:footnote>
  <w:footnote w:id="15">
    <w:p w14:paraId="7253EB3B" w14:textId="75A75F64" w:rsidR="00356771" w:rsidRPr="008C2432" w:rsidRDefault="00356771" w:rsidP="00356771">
      <w:pPr>
        <w:pStyle w:val="FootnoteText"/>
      </w:pPr>
      <w:r>
        <w:rPr>
          <w:rStyle w:val="FootnoteReference"/>
        </w:rPr>
        <w:footnoteRef/>
      </w:r>
      <w:r>
        <w:t xml:space="preserve"> </w:t>
      </w:r>
      <w:r w:rsidR="00307BBE" w:rsidRPr="00262538">
        <w:t xml:space="preserve">Public Service Commission (Qld), </w:t>
      </w:r>
      <w:r w:rsidR="0078482E" w:rsidRPr="00262538">
        <w:t>‘</w:t>
      </w:r>
      <w:r w:rsidR="00262538" w:rsidRPr="00262538">
        <w:t xml:space="preserve">Queensland Public Sector LGBTIQ+ Inclusion Strategy 2017–2022: a strategy for sexual orientation, gender diversity and intersex inclusion’ </w:t>
      </w:r>
      <w:r w:rsidR="00262538" w:rsidRPr="008C2432">
        <w:t xml:space="preserve">(Web Page, 2017) 4. </w:t>
      </w:r>
    </w:p>
  </w:footnote>
  <w:footnote w:id="16">
    <w:p w14:paraId="1E8E3E4F" w14:textId="4F6FC44F" w:rsidR="00D84FD5" w:rsidRPr="005776B7" w:rsidRDefault="00D84FD5" w:rsidP="00D84FD5">
      <w:pPr>
        <w:pStyle w:val="FootnoteText"/>
        <w:rPr>
          <w:highlight w:val="yellow"/>
        </w:rPr>
      </w:pPr>
      <w:r w:rsidRPr="008C2432">
        <w:rPr>
          <w:rStyle w:val="FootnoteReference"/>
        </w:rPr>
        <w:footnoteRef/>
      </w:r>
      <w:r w:rsidRPr="008C2432">
        <w:t xml:space="preserve"> </w:t>
      </w:r>
      <w:r w:rsidR="00DA48A6" w:rsidRPr="008C2432">
        <w:t xml:space="preserve">Queensland Government, </w:t>
      </w:r>
      <w:r w:rsidR="00887AC2" w:rsidRPr="008C2432">
        <w:t>‘</w:t>
      </w:r>
      <w:r w:rsidR="006729B5" w:rsidRPr="008C2432">
        <w:t xml:space="preserve">Working for Queensland Survey: Highlights report – Queensland public sector’ (Web Page, 2021) </w:t>
      </w:r>
      <w:r w:rsidRPr="008C2432">
        <w:t>7</w:t>
      </w:r>
      <w:r w:rsidR="00B76DB2" w:rsidRPr="008C2432">
        <w:t>.</w:t>
      </w:r>
    </w:p>
  </w:footnote>
  <w:footnote w:id="17">
    <w:p w14:paraId="4946900F" w14:textId="41D07079" w:rsidR="007978F2" w:rsidRPr="009F39DE" w:rsidRDefault="007978F2" w:rsidP="007978F2">
      <w:pPr>
        <w:pStyle w:val="FootnoteText"/>
      </w:pPr>
      <w:r w:rsidRPr="009F39DE">
        <w:rPr>
          <w:rStyle w:val="FootnoteReference"/>
        </w:rPr>
        <w:footnoteRef/>
      </w:r>
      <w:r w:rsidRPr="009F39DE">
        <w:t xml:space="preserve"> </w:t>
      </w:r>
      <w:r w:rsidR="00040686" w:rsidRPr="009F39DE">
        <w:t>Adam Hill et al</w:t>
      </w:r>
      <w:r w:rsidR="00F30D05" w:rsidRPr="009F39DE">
        <w:t>,</w:t>
      </w:r>
      <w:r w:rsidRPr="009F39DE">
        <w:t xml:space="preserve">. </w:t>
      </w:r>
      <w:r w:rsidRPr="009F39DE">
        <w:rPr>
          <w:i/>
        </w:rPr>
        <w:t xml:space="preserve">Private Lives 3: The </w:t>
      </w:r>
      <w:r w:rsidR="00766703" w:rsidRPr="009F39DE">
        <w:rPr>
          <w:i/>
          <w:iCs/>
        </w:rPr>
        <w:t>H</w:t>
      </w:r>
      <w:r w:rsidRPr="009F39DE">
        <w:rPr>
          <w:i/>
          <w:iCs/>
        </w:rPr>
        <w:t>ealth</w:t>
      </w:r>
      <w:r w:rsidRPr="009F39DE">
        <w:rPr>
          <w:i/>
        </w:rPr>
        <w:t xml:space="preserve"> and </w:t>
      </w:r>
      <w:r w:rsidR="00766703" w:rsidRPr="009F39DE">
        <w:rPr>
          <w:i/>
          <w:iCs/>
        </w:rPr>
        <w:t>W</w:t>
      </w:r>
      <w:r w:rsidRPr="009F39DE">
        <w:rPr>
          <w:i/>
          <w:iCs/>
        </w:rPr>
        <w:t>ellbeing</w:t>
      </w:r>
      <w:r w:rsidRPr="009F39DE">
        <w:rPr>
          <w:i/>
        </w:rPr>
        <w:t xml:space="preserve"> of LGBTIQ people in Australia</w:t>
      </w:r>
      <w:r w:rsidRPr="009F39DE">
        <w:t xml:space="preserve">. </w:t>
      </w:r>
      <w:r w:rsidR="009136EF" w:rsidRPr="009F39DE">
        <w:t>(</w:t>
      </w:r>
      <w:r w:rsidRPr="009F39DE">
        <w:t>La Trobe University</w:t>
      </w:r>
      <w:r w:rsidR="00E119ED" w:rsidRPr="009F39DE">
        <w:t>, 2020)</w:t>
      </w:r>
      <w:r w:rsidR="002C5B39" w:rsidRPr="009F39DE">
        <w:t xml:space="preserve"> </w:t>
      </w:r>
      <w:r w:rsidRPr="009F39DE">
        <w:t>40.</w:t>
      </w:r>
    </w:p>
  </w:footnote>
  <w:footnote w:id="18">
    <w:p w14:paraId="1B167E08" w14:textId="39314F22" w:rsidR="005776B7" w:rsidRDefault="005776B7">
      <w:pPr>
        <w:pStyle w:val="FootnoteText"/>
      </w:pPr>
      <w:r w:rsidRPr="009F39DE">
        <w:rPr>
          <w:rStyle w:val="FootnoteReference"/>
        </w:rPr>
        <w:footnoteRef/>
      </w:r>
      <w:r w:rsidRPr="009F39DE">
        <w:t xml:space="preserve"> </w:t>
      </w:r>
      <w:r w:rsidRPr="009F39DE">
        <w:rPr>
          <w:rFonts w:cs="Arial"/>
          <w:szCs w:val="20"/>
        </w:rPr>
        <w:t>Diversity Council Australia</w:t>
      </w:r>
      <w:r w:rsidR="00D040B6" w:rsidRPr="009F39DE">
        <w:rPr>
          <w:rFonts w:cs="Arial"/>
          <w:szCs w:val="20"/>
        </w:rPr>
        <w:t>,</w:t>
      </w:r>
      <w:r w:rsidRPr="009F39DE">
        <w:rPr>
          <w:rFonts w:cs="Arial"/>
          <w:szCs w:val="20"/>
        </w:rPr>
        <w:t xml:space="preserve"> </w:t>
      </w:r>
      <w:r w:rsidR="00902C2D" w:rsidRPr="009F39DE">
        <w:rPr>
          <w:rFonts w:cs="Arial"/>
          <w:szCs w:val="20"/>
        </w:rPr>
        <w:t>‘</w:t>
      </w:r>
      <w:r w:rsidRPr="009F39DE">
        <w:rPr>
          <w:rFonts w:cs="Arial"/>
          <w:i/>
          <w:szCs w:val="20"/>
        </w:rPr>
        <w:t xml:space="preserve">Out At Work: From Prejudice to </w:t>
      </w:r>
      <w:r w:rsidRPr="009F39DE">
        <w:rPr>
          <w:rFonts w:cs="Arial"/>
          <w:i/>
          <w:iCs/>
          <w:szCs w:val="20"/>
        </w:rPr>
        <w:t>Pride</w:t>
      </w:r>
      <w:r w:rsidR="0016199C" w:rsidRPr="009F39DE">
        <w:rPr>
          <w:rFonts w:cs="Arial"/>
          <w:i/>
          <w:iCs/>
          <w:szCs w:val="20"/>
        </w:rPr>
        <w:t>’</w:t>
      </w:r>
      <w:r w:rsidRPr="009F39DE">
        <w:rPr>
          <w:rFonts w:cs="Arial"/>
          <w:szCs w:val="20"/>
        </w:rPr>
        <w:t xml:space="preserve"> </w:t>
      </w:r>
      <w:r w:rsidR="0000184F" w:rsidRPr="009F39DE">
        <w:rPr>
          <w:rFonts w:cs="Arial"/>
          <w:szCs w:val="20"/>
        </w:rPr>
        <w:t>(Web page</w:t>
      </w:r>
      <w:r w:rsidRPr="009F39DE">
        <w:rPr>
          <w:rFonts w:cs="Arial"/>
          <w:szCs w:val="20"/>
        </w:rPr>
        <w:t>, 2018</w:t>
      </w:r>
      <w:r w:rsidR="00C41EBC" w:rsidRPr="009F39DE">
        <w:rPr>
          <w:rFonts w:cs="Arial"/>
          <w:szCs w:val="20"/>
        </w:rPr>
        <w:t>)</w:t>
      </w:r>
      <w:r w:rsidRPr="009F39DE">
        <w:rPr>
          <w:rFonts w:cs="Arial"/>
          <w:szCs w:val="20"/>
        </w:rPr>
        <w:t>.</w:t>
      </w:r>
    </w:p>
  </w:footnote>
  <w:footnote w:id="19">
    <w:p w14:paraId="33117115" w14:textId="4E7D5933" w:rsidR="007978F2" w:rsidRPr="00DB3E09" w:rsidRDefault="007978F2" w:rsidP="007978F2">
      <w:pPr>
        <w:pStyle w:val="FootnoteText"/>
      </w:pPr>
      <w:r>
        <w:rPr>
          <w:rStyle w:val="FootnoteReference"/>
        </w:rPr>
        <w:footnoteRef/>
      </w:r>
      <w:r>
        <w:t xml:space="preserve"> </w:t>
      </w:r>
      <w:r w:rsidR="00DB3E09">
        <w:t xml:space="preserve">Dawn Hough, ‘How </w:t>
      </w:r>
      <w:r w:rsidR="00A73357">
        <w:t>I</w:t>
      </w:r>
      <w:r w:rsidR="00DB3E09">
        <w:t xml:space="preserve">nclusive </w:t>
      </w:r>
      <w:r w:rsidR="00B1122A">
        <w:t>A</w:t>
      </w:r>
      <w:r w:rsidR="00DB3E09">
        <w:t xml:space="preserve">re </w:t>
      </w:r>
      <w:r w:rsidR="00B1122A">
        <w:t>O</w:t>
      </w:r>
      <w:r w:rsidR="00DB3E09">
        <w:t xml:space="preserve">ur </w:t>
      </w:r>
      <w:r w:rsidR="00B1122A">
        <w:t>W</w:t>
      </w:r>
      <w:r w:rsidR="00DB3E09">
        <w:t xml:space="preserve">orkplaces of </w:t>
      </w:r>
      <w:r w:rsidR="00B1122A">
        <w:t>T</w:t>
      </w:r>
      <w:r w:rsidR="00DB3E09">
        <w:t xml:space="preserve">rans and </w:t>
      </w:r>
      <w:r w:rsidR="00B1122A">
        <w:t>G</w:t>
      </w:r>
      <w:r w:rsidR="00DB3E09">
        <w:t xml:space="preserve">ender </w:t>
      </w:r>
      <w:r w:rsidR="00B1122A">
        <w:t>D</w:t>
      </w:r>
      <w:r w:rsidR="00DB3E09">
        <w:t xml:space="preserve">iverse </w:t>
      </w:r>
      <w:r w:rsidR="00B1122A">
        <w:t>E</w:t>
      </w:r>
      <w:r w:rsidR="00DB3E09">
        <w:t xml:space="preserve">mployees?’ </w:t>
      </w:r>
      <w:r w:rsidR="00DB3E09">
        <w:rPr>
          <w:i/>
          <w:iCs/>
        </w:rPr>
        <w:t xml:space="preserve">Australian Workplace Equality Index </w:t>
      </w:r>
      <w:r w:rsidR="00DB3E09">
        <w:t>(</w:t>
      </w:r>
      <w:r w:rsidR="00F43ED4">
        <w:t xml:space="preserve">Web Page, </w:t>
      </w:r>
      <w:r w:rsidR="00DB3E09">
        <w:t>2 September 2020).</w:t>
      </w:r>
    </w:p>
  </w:footnote>
  <w:footnote w:id="20">
    <w:p w14:paraId="5AAD5A48" w14:textId="0B4DD28E" w:rsidR="00117BDF" w:rsidRDefault="00117BDF">
      <w:pPr>
        <w:pStyle w:val="FootnoteText"/>
      </w:pPr>
      <w:r>
        <w:rPr>
          <w:rStyle w:val="FootnoteReference"/>
        </w:rPr>
        <w:footnoteRef/>
      </w:r>
      <w:r>
        <w:t xml:space="preserve"> </w:t>
      </w:r>
      <w:r w:rsidR="002600A2">
        <w:t xml:space="preserve">Three clauses refer to groups of employees that are not diversity target groups, providing the same example in each instance of people with diverse sexual orientations, gender identities or intersex variations. </w:t>
      </w:r>
      <w:r w:rsidR="007978F2" w:rsidRPr="00AB3A31">
        <w:t xml:space="preserve">Clause 28 confirms that an equity and diversity plan can also address matters about other groups, and clause 32 states that a culture of inclusion includes the experiences and perspectives of groups other than the diversity target groups. </w:t>
      </w:r>
      <w:r w:rsidR="007978F2">
        <w:t>Clause 33 confirms that a chief executive must ensure training programs, policies and practices promote a culture of respect and inclusion, and such measures may also be included in the agency’s equity and diversity plan.</w:t>
      </w:r>
      <w:r w:rsidR="008B21CB">
        <w:t xml:space="preserve"> </w:t>
      </w:r>
    </w:p>
  </w:footnote>
  <w:footnote w:id="21">
    <w:p w14:paraId="0E88BE5C" w14:textId="03DABA4B" w:rsidR="00983A86" w:rsidRDefault="00983A86">
      <w:pPr>
        <w:pStyle w:val="FootnoteText"/>
      </w:pPr>
      <w:r>
        <w:rPr>
          <w:rStyle w:val="FootnoteReference"/>
        </w:rPr>
        <w:footnoteRef/>
      </w:r>
      <w:r>
        <w:t xml:space="preserve"> </w:t>
      </w:r>
      <w:r w:rsidR="00BB6D9D">
        <w:t xml:space="preserve">Public Sector Bill 2022 </w:t>
      </w:r>
      <w:r w:rsidR="00020C88">
        <w:t xml:space="preserve">(Qld) </w:t>
      </w:r>
      <w:r w:rsidR="000A1942">
        <w:t>c</w:t>
      </w:r>
      <w:r>
        <w:t>l 28(2)</w:t>
      </w:r>
      <w:r w:rsidR="00042EDB">
        <w:t>,</w:t>
      </w:r>
      <w:r>
        <w:t xml:space="preserve"> (5).</w:t>
      </w:r>
    </w:p>
  </w:footnote>
  <w:footnote w:id="22">
    <w:p w14:paraId="2EE26713" w14:textId="51D525FB" w:rsidR="00617CA1" w:rsidRPr="00617CA1" w:rsidRDefault="00617CA1">
      <w:pPr>
        <w:pStyle w:val="FootnoteText"/>
        <w:rPr>
          <w:lang w:val="en-US"/>
        </w:rPr>
      </w:pPr>
      <w:r>
        <w:rPr>
          <w:rStyle w:val="FootnoteReference"/>
        </w:rPr>
        <w:footnoteRef/>
      </w:r>
      <w:r>
        <w:t xml:space="preserve"> </w:t>
      </w:r>
      <w:r w:rsidR="004E5327">
        <w:t>Explanatory Note</w:t>
      </w:r>
      <w:r w:rsidR="00F42148">
        <w:t>s</w:t>
      </w:r>
      <w:r w:rsidR="004E5327">
        <w:t>, Public Sector Bill 2022</w:t>
      </w:r>
      <w:r w:rsidR="00F42148">
        <w:t xml:space="preserve"> (Qld)</w:t>
      </w:r>
      <w:r w:rsidR="004E5327">
        <w:t xml:space="preserve"> 2.</w:t>
      </w:r>
    </w:p>
  </w:footnote>
  <w:footnote w:id="23">
    <w:p w14:paraId="0C22033F" w14:textId="113B3DFD" w:rsidR="00617CA1" w:rsidRPr="00617CA1" w:rsidRDefault="00617CA1" w:rsidP="00445489">
      <w:pPr>
        <w:pStyle w:val="FootnoteText"/>
        <w:rPr>
          <w:lang w:val="en-US"/>
        </w:rPr>
      </w:pPr>
      <w:r>
        <w:rPr>
          <w:rStyle w:val="FootnoteReference"/>
        </w:rPr>
        <w:footnoteRef/>
      </w:r>
      <w:r w:rsidR="00374E31">
        <w:t xml:space="preserve"> Professor Peter Coaldrake AO, </w:t>
      </w:r>
      <w:r w:rsidR="00374E31">
        <w:rPr>
          <w:i/>
          <w:iCs/>
        </w:rPr>
        <w:t xml:space="preserve">Let the </w:t>
      </w:r>
      <w:r w:rsidR="00B95110">
        <w:rPr>
          <w:i/>
          <w:iCs/>
        </w:rPr>
        <w:t>S</w:t>
      </w:r>
      <w:r w:rsidR="00374E31">
        <w:rPr>
          <w:i/>
          <w:iCs/>
        </w:rPr>
        <w:t xml:space="preserve">unshine </w:t>
      </w:r>
      <w:r w:rsidR="00B95110">
        <w:rPr>
          <w:i/>
          <w:iCs/>
        </w:rPr>
        <w:t>I</w:t>
      </w:r>
      <w:r w:rsidR="00374E31">
        <w:rPr>
          <w:i/>
          <w:iCs/>
        </w:rPr>
        <w:t xml:space="preserve">n: Review of </w:t>
      </w:r>
      <w:r w:rsidR="00B95110">
        <w:rPr>
          <w:i/>
          <w:iCs/>
        </w:rPr>
        <w:t>C</w:t>
      </w:r>
      <w:r w:rsidR="00374E31">
        <w:rPr>
          <w:i/>
          <w:iCs/>
        </w:rPr>
        <w:t xml:space="preserve">ulture and </w:t>
      </w:r>
      <w:r w:rsidR="00B95110">
        <w:rPr>
          <w:i/>
          <w:iCs/>
        </w:rPr>
        <w:t>A</w:t>
      </w:r>
      <w:r w:rsidR="00374E31">
        <w:rPr>
          <w:i/>
          <w:iCs/>
        </w:rPr>
        <w:t xml:space="preserve">ccountability in the Queensland </w:t>
      </w:r>
      <w:r w:rsidR="00B95110">
        <w:rPr>
          <w:i/>
          <w:iCs/>
        </w:rPr>
        <w:t>P</w:t>
      </w:r>
      <w:r w:rsidR="00374E31">
        <w:rPr>
          <w:i/>
          <w:iCs/>
        </w:rPr>
        <w:t xml:space="preserve">ublic </w:t>
      </w:r>
      <w:r w:rsidR="00B95110">
        <w:rPr>
          <w:i/>
          <w:iCs/>
        </w:rPr>
        <w:t>S</w:t>
      </w:r>
      <w:r w:rsidR="00374E31">
        <w:rPr>
          <w:i/>
          <w:iCs/>
        </w:rPr>
        <w:t xml:space="preserve">ector </w:t>
      </w:r>
      <w:r w:rsidR="00374E31">
        <w:t>(Final Report, 28 June 2022) 6</w:t>
      </w:r>
      <w:r w:rsidR="00896CE5">
        <w:t>,</w:t>
      </w:r>
      <w:r w:rsidR="00374E31">
        <w:t xml:space="preserve"> </w:t>
      </w:r>
      <w:r w:rsidR="00577A36">
        <w:t>c</w:t>
      </w:r>
      <w:r w:rsidR="00643E46">
        <w:t xml:space="preserve">iting </w:t>
      </w:r>
      <w:r w:rsidR="00643E46" w:rsidRPr="00643E46">
        <w:t xml:space="preserve">David Solomon, </w:t>
      </w:r>
      <w:r w:rsidR="003451C6">
        <w:t>‘</w:t>
      </w:r>
      <w:r w:rsidR="00643E46" w:rsidRPr="00C14748">
        <w:t>The Integrity branch – parliament’s failure or opportunity?</w:t>
      </w:r>
      <w:r w:rsidR="003451C6">
        <w:t>’</w:t>
      </w:r>
      <w:r w:rsidR="00643E46" w:rsidRPr="003451C6">
        <w:t>,</w:t>
      </w:r>
      <w:r w:rsidR="00643E46" w:rsidRPr="00643E46">
        <w:t xml:space="preserve"> </w:t>
      </w:r>
      <w:r w:rsidR="00B85AD6">
        <w:t>(2013)</w:t>
      </w:r>
      <w:r w:rsidR="00643E46" w:rsidRPr="00643E46">
        <w:t xml:space="preserve"> </w:t>
      </w:r>
      <w:r w:rsidR="00643E46" w:rsidRPr="00C14748">
        <w:rPr>
          <w:i/>
        </w:rPr>
        <w:t>Australasian Parliamentary Review</w:t>
      </w:r>
      <w:r w:rsidR="00B85AD6">
        <w:t>,</w:t>
      </w:r>
      <w:r w:rsidR="00643E46">
        <w:t xml:space="preserve"> </w:t>
      </w:r>
      <w:r w:rsidR="00B85AD6">
        <w:t>w</w:t>
      </w:r>
      <w:r w:rsidR="00643E46">
        <w:t xml:space="preserve">hich in turns cites a </w:t>
      </w:r>
      <w:r w:rsidR="001B1A9A">
        <w:t>‘</w:t>
      </w:r>
      <w:r w:rsidR="00643E46">
        <w:t>forthcoming chapter</w:t>
      </w:r>
      <w:r w:rsidR="001B1A9A">
        <w:t>’</w:t>
      </w:r>
      <w:r w:rsidR="00643E46">
        <w:t xml:space="preserve"> by Professor A J Brown on the integrity branch in ‘Groves book on Administrative Law’.</w:t>
      </w:r>
    </w:p>
  </w:footnote>
  <w:footnote w:id="24">
    <w:p w14:paraId="4196FC0E" w14:textId="5B210F8E" w:rsidR="00374E31" w:rsidRPr="00374E31" w:rsidRDefault="00374E31">
      <w:pPr>
        <w:pStyle w:val="FootnoteText"/>
        <w:rPr>
          <w:lang w:val="en-US"/>
        </w:rPr>
      </w:pPr>
      <w:r>
        <w:rPr>
          <w:rStyle w:val="FootnoteReference"/>
        </w:rPr>
        <w:footnoteRef/>
      </w:r>
      <w:r>
        <w:t xml:space="preserve"> Professor Peter Coaldrake AO, </w:t>
      </w:r>
      <w:r>
        <w:rPr>
          <w:i/>
          <w:iCs/>
        </w:rPr>
        <w:t xml:space="preserve">Let the </w:t>
      </w:r>
      <w:r w:rsidR="00681FE6">
        <w:rPr>
          <w:i/>
          <w:iCs/>
        </w:rPr>
        <w:t>S</w:t>
      </w:r>
      <w:r>
        <w:rPr>
          <w:i/>
          <w:iCs/>
        </w:rPr>
        <w:t xml:space="preserve">unshine </w:t>
      </w:r>
      <w:r w:rsidR="00681FE6">
        <w:rPr>
          <w:i/>
          <w:iCs/>
        </w:rPr>
        <w:t>I</w:t>
      </w:r>
      <w:r>
        <w:rPr>
          <w:i/>
          <w:iCs/>
        </w:rPr>
        <w:t xml:space="preserve">n: Review of </w:t>
      </w:r>
      <w:r w:rsidR="00681FE6">
        <w:rPr>
          <w:i/>
          <w:iCs/>
        </w:rPr>
        <w:t>C</w:t>
      </w:r>
      <w:r>
        <w:rPr>
          <w:i/>
          <w:iCs/>
        </w:rPr>
        <w:t xml:space="preserve">ulture and </w:t>
      </w:r>
      <w:r w:rsidR="00681FE6">
        <w:rPr>
          <w:i/>
          <w:iCs/>
        </w:rPr>
        <w:t>A</w:t>
      </w:r>
      <w:r>
        <w:rPr>
          <w:i/>
          <w:iCs/>
        </w:rPr>
        <w:t xml:space="preserve">ccountability in the Queensland </w:t>
      </w:r>
      <w:r w:rsidR="00681FE6">
        <w:rPr>
          <w:i/>
          <w:iCs/>
        </w:rPr>
        <w:t>P</w:t>
      </w:r>
      <w:r>
        <w:rPr>
          <w:i/>
          <w:iCs/>
        </w:rPr>
        <w:t xml:space="preserve">ublic </w:t>
      </w:r>
      <w:r w:rsidR="00681FE6">
        <w:rPr>
          <w:i/>
          <w:iCs/>
        </w:rPr>
        <w:t>S</w:t>
      </w:r>
      <w:r>
        <w:rPr>
          <w:i/>
          <w:iCs/>
        </w:rPr>
        <w:t xml:space="preserve">ector </w:t>
      </w:r>
      <w:r>
        <w:t>(Final Report, 28 June 2022) 6.</w:t>
      </w:r>
    </w:p>
  </w:footnote>
  <w:footnote w:id="25">
    <w:p w14:paraId="2839255F" w14:textId="64886F73" w:rsidR="00B45422" w:rsidRPr="00B63BB2" w:rsidRDefault="00B45422">
      <w:pPr>
        <w:pStyle w:val="FootnoteText"/>
        <w:rPr>
          <w:lang w:val="en-US"/>
        </w:rPr>
      </w:pPr>
      <w:r>
        <w:rPr>
          <w:rStyle w:val="FootnoteReference"/>
        </w:rPr>
        <w:footnoteRef/>
      </w:r>
      <w:r>
        <w:t xml:space="preserve"> </w:t>
      </w:r>
      <w:r w:rsidRPr="00B63BB2">
        <w:t xml:space="preserve">Professor Peter Coaldrake AO, </w:t>
      </w:r>
      <w:r w:rsidRPr="00B63BB2">
        <w:rPr>
          <w:i/>
          <w:iCs/>
        </w:rPr>
        <w:t xml:space="preserve">Let the </w:t>
      </w:r>
      <w:r w:rsidR="00290FA2">
        <w:rPr>
          <w:i/>
          <w:iCs/>
        </w:rPr>
        <w:t>S</w:t>
      </w:r>
      <w:r w:rsidRPr="00B63BB2">
        <w:rPr>
          <w:i/>
          <w:iCs/>
        </w:rPr>
        <w:t xml:space="preserve">unshine </w:t>
      </w:r>
      <w:r w:rsidR="00290FA2">
        <w:rPr>
          <w:i/>
          <w:iCs/>
        </w:rPr>
        <w:t>I</w:t>
      </w:r>
      <w:r w:rsidRPr="00B63BB2">
        <w:rPr>
          <w:i/>
          <w:iCs/>
        </w:rPr>
        <w:t xml:space="preserve">n: Review of </w:t>
      </w:r>
      <w:r w:rsidR="00290FA2">
        <w:rPr>
          <w:i/>
          <w:iCs/>
        </w:rPr>
        <w:t>C</w:t>
      </w:r>
      <w:r w:rsidRPr="00B63BB2">
        <w:rPr>
          <w:i/>
          <w:iCs/>
        </w:rPr>
        <w:t xml:space="preserve">ulture and </w:t>
      </w:r>
      <w:r w:rsidR="00290FA2">
        <w:rPr>
          <w:i/>
          <w:iCs/>
        </w:rPr>
        <w:t>A</w:t>
      </w:r>
      <w:r w:rsidRPr="00B63BB2">
        <w:rPr>
          <w:i/>
          <w:iCs/>
        </w:rPr>
        <w:t xml:space="preserve">ccountability in the Queensland </w:t>
      </w:r>
      <w:r w:rsidR="00290FA2">
        <w:rPr>
          <w:i/>
          <w:iCs/>
        </w:rPr>
        <w:t>P</w:t>
      </w:r>
      <w:r w:rsidRPr="00B63BB2">
        <w:rPr>
          <w:i/>
          <w:iCs/>
        </w:rPr>
        <w:t xml:space="preserve">ublic </w:t>
      </w:r>
      <w:r w:rsidR="00290FA2">
        <w:rPr>
          <w:i/>
          <w:iCs/>
        </w:rPr>
        <w:t>S</w:t>
      </w:r>
      <w:r w:rsidRPr="00B63BB2">
        <w:rPr>
          <w:i/>
          <w:iCs/>
        </w:rPr>
        <w:t xml:space="preserve">ector </w:t>
      </w:r>
      <w:r w:rsidRPr="00B63BB2">
        <w:t>(Final Report, 28 June 2022) 6.</w:t>
      </w:r>
    </w:p>
  </w:footnote>
  <w:footnote w:id="26">
    <w:p w14:paraId="4505B3DE" w14:textId="629B4C8D" w:rsidR="002406CF" w:rsidRPr="00B5558D" w:rsidRDefault="002406CF" w:rsidP="002406CF">
      <w:pPr>
        <w:pStyle w:val="FootnoteText"/>
        <w:rPr>
          <w:lang w:val="en-US"/>
        </w:rPr>
      </w:pPr>
      <w:r>
        <w:rPr>
          <w:rStyle w:val="FootnoteReference"/>
        </w:rPr>
        <w:footnoteRef/>
      </w:r>
      <w:r w:rsidR="00A700F6" w:rsidRPr="00B63BB2">
        <w:t xml:space="preserve"> </w:t>
      </w:r>
      <w:r w:rsidR="00B63BB2" w:rsidRPr="00B63BB2">
        <w:t xml:space="preserve">Peter Bridgman, </w:t>
      </w:r>
      <w:r w:rsidR="00B63BB2" w:rsidRPr="00B63BB2">
        <w:rPr>
          <w:i/>
          <w:iCs/>
        </w:rPr>
        <w:t xml:space="preserve">A </w:t>
      </w:r>
      <w:r w:rsidR="009E19E0">
        <w:rPr>
          <w:i/>
          <w:iCs/>
        </w:rPr>
        <w:t>F</w:t>
      </w:r>
      <w:r w:rsidR="00B63BB2" w:rsidRPr="00B63BB2">
        <w:rPr>
          <w:i/>
          <w:iCs/>
        </w:rPr>
        <w:t xml:space="preserve">air and </w:t>
      </w:r>
      <w:r w:rsidR="009E19E0">
        <w:rPr>
          <w:i/>
          <w:iCs/>
        </w:rPr>
        <w:t>R</w:t>
      </w:r>
      <w:r w:rsidR="00B63BB2" w:rsidRPr="00B63BB2">
        <w:rPr>
          <w:i/>
          <w:iCs/>
        </w:rPr>
        <w:t xml:space="preserve">esponsive </w:t>
      </w:r>
      <w:r w:rsidR="009E19E0">
        <w:rPr>
          <w:i/>
          <w:iCs/>
        </w:rPr>
        <w:t>P</w:t>
      </w:r>
      <w:r w:rsidR="00B63BB2" w:rsidRPr="00B63BB2">
        <w:rPr>
          <w:i/>
          <w:iCs/>
        </w:rPr>
        <w:t xml:space="preserve">ublic </w:t>
      </w:r>
      <w:r w:rsidR="009E19E0">
        <w:rPr>
          <w:i/>
          <w:iCs/>
        </w:rPr>
        <w:t>S</w:t>
      </w:r>
      <w:r w:rsidR="00B63BB2" w:rsidRPr="00B63BB2">
        <w:rPr>
          <w:i/>
          <w:iCs/>
        </w:rPr>
        <w:t xml:space="preserve">ervice for </w:t>
      </w:r>
      <w:r w:rsidR="009E19E0">
        <w:rPr>
          <w:i/>
          <w:iCs/>
        </w:rPr>
        <w:t>A</w:t>
      </w:r>
      <w:r w:rsidR="00B63BB2" w:rsidRPr="00B63BB2">
        <w:rPr>
          <w:i/>
          <w:iCs/>
        </w:rPr>
        <w:t xml:space="preserve">ll: </w:t>
      </w:r>
      <w:r w:rsidR="009E19E0">
        <w:rPr>
          <w:i/>
          <w:iCs/>
        </w:rPr>
        <w:t>I</w:t>
      </w:r>
      <w:r w:rsidR="00B63BB2" w:rsidRPr="00B63BB2">
        <w:rPr>
          <w:i/>
          <w:iCs/>
        </w:rPr>
        <w:t xml:space="preserve">ndependent </w:t>
      </w:r>
      <w:r w:rsidR="009E19E0">
        <w:rPr>
          <w:i/>
          <w:iCs/>
        </w:rPr>
        <w:t>R</w:t>
      </w:r>
      <w:r w:rsidR="00B63BB2" w:rsidRPr="00B63BB2">
        <w:rPr>
          <w:i/>
          <w:iCs/>
        </w:rPr>
        <w:t xml:space="preserve">eview of Queensland’s </w:t>
      </w:r>
      <w:r w:rsidR="009E19E0">
        <w:rPr>
          <w:i/>
          <w:iCs/>
        </w:rPr>
        <w:t>S</w:t>
      </w:r>
      <w:r w:rsidR="00B63BB2" w:rsidRPr="00B63BB2">
        <w:rPr>
          <w:i/>
          <w:iCs/>
        </w:rPr>
        <w:t xml:space="preserve">tate </w:t>
      </w:r>
      <w:r w:rsidR="009E19E0">
        <w:rPr>
          <w:i/>
          <w:iCs/>
        </w:rPr>
        <w:t>E</w:t>
      </w:r>
      <w:r w:rsidR="00B63BB2" w:rsidRPr="00B63BB2">
        <w:rPr>
          <w:i/>
          <w:iCs/>
        </w:rPr>
        <w:t xml:space="preserve">mployment </w:t>
      </w:r>
      <w:r w:rsidR="009E19E0">
        <w:rPr>
          <w:i/>
          <w:iCs/>
        </w:rPr>
        <w:t>L</w:t>
      </w:r>
      <w:r w:rsidR="00B63BB2" w:rsidRPr="00B63BB2">
        <w:rPr>
          <w:i/>
          <w:iCs/>
        </w:rPr>
        <w:t xml:space="preserve">aws </w:t>
      </w:r>
      <w:r w:rsidR="00B63BB2" w:rsidRPr="00B63BB2">
        <w:t xml:space="preserve">(Report, May 2019), </w:t>
      </w:r>
      <w:r w:rsidRPr="00B63BB2">
        <w:t>56.</w:t>
      </w:r>
    </w:p>
  </w:footnote>
  <w:footnote w:id="27">
    <w:p w14:paraId="06D22BEF" w14:textId="4C6948B4" w:rsidR="002406CF" w:rsidRPr="003D4345" w:rsidRDefault="002406CF" w:rsidP="002406CF">
      <w:pPr>
        <w:pStyle w:val="FootnoteText"/>
        <w:rPr>
          <w:lang w:val="en-US"/>
        </w:rPr>
      </w:pPr>
      <w:r>
        <w:rPr>
          <w:rStyle w:val="FootnoteReference"/>
        </w:rPr>
        <w:footnoteRef/>
      </w:r>
      <w:r w:rsidRPr="00B63BB2">
        <w:t xml:space="preserve"> </w:t>
      </w:r>
      <w:r w:rsidR="00B63BB2" w:rsidRPr="00B63BB2">
        <w:t xml:space="preserve">Peter Bridgman, </w:t>
      </w:r>
      <w:r w:rsidR="00B63BB2" w:rsidRPr="00B63BB2">
        <w:rPr>
          <w:i/>
          <w:iCs/>
        </w:rPr>
        <w:t xml:space="preserve">A </w:t>
      </w:r>
      <w:r w:rsidR="009E19E0">
        <w:rPr>
          <w:i/>
          <w:iCs/>
        </w:rPr>
        <w:t>F</w:t>
      </w:r>
      <w:r w:rsidR="00B63BB2" w:rsidRPr="00B63BB2">
        <w:rPr>
          <w:i/>
          <w:iCs/>
        </w:rPr>
        <w:t xml:space="preserve">air and </w:t>
      </w:r>
      <w:r w:rsidR="009E19E0">
        <w:rPr>
          <w:i/>
          <w:iCs/>
        </w:rPr>
        <w:t>R</w:t>
      </w:r>
      <w:r w:rsidR="00B63BB2" w:rsidRPr="00B63BB2">
        <w:rPr>
          <w:i/>
          <w:iCs/>
        </w:rPr>
        <w:t xml:space="preserve">esponsive </w:t>
      </w:r>
      <w:r w:rsidR="009E19E0">
        <w:rPr>
          <w:i/>
          <w:iCs/>
        </w:rPr>
        <w:t>P</w:t>
      </w:r>
      <w:r w:rsidR="00B63BB2" w:rsidRPr="00B63BB2">
        <w:rPr>
          <w:i/>
          <w:iCs/>
        </w:rPr>
        <w:t xml:space="preserve">ublic </w:t>
      </w:r>
      <w:r w:rsidR="009E19E0">
        <w:rPr>
          <w:i/>
          <w:iCs/>
        </w:rPr>
        <w:t>S</w:t>
      </w:r>
      <w:r w:rsidR="00B63BB2" w:rsidRPr="00B63BB2">
        <w:rPr>
          <w:i/>
          <w:iCs/>
        </w:rPr>
        <w:t xml:space="preserve">ervice for </w:t>
      </w:r>
      <w:r w:rsidR="009E19E0">
        <w:rPr>
          <w:i/>
          <w:iCs/>
        </w:rPr>
        <w:t>A</w:t>
      </w:r>
      <w:r w:rsidR="00B63BB2" w:rsidRPr="00B63BB2">
        <w:rPr>
          <w:i/>
          <w:iCs/>
        </w:rPr>
        <w:t xml:space="preserve">ll: </w:t>
      </w:r>
      <w:r w:rsidR="009E19E0">
        <w:rPr>
          <w:i/>
          <w:iCs/>
        </w:rPr>
        <w:t>I</w:t>
      </w:r>
      <w:r w:rsidR="00B63BB2" w:rsidRPr="00B63BB2">
        <w:rPr>
          <w:i/>
          <w:iCs/>
        </w:rPr>
        <w:t xml:space="preserve">ndependent </w:t>
      </w:r>
      <w:r w:rsidR="009E19E0">
        <w:rPr>
          <w:i/>
          <w:iCs/>
        </w:rPr>
        <w:t>R</w:t>
      </w:r>
      <w:r w:rsidR="00B63BB2" w:rsidRPr="00B63BB2">
        <w:rPr>
          <w:i/>
          <w:iCs/>
        </w:rPr>
        <w:t xml:space="preserve">eview of Queensland’s </w:t>
      </w:r>
      <w:r w:rsidR="009E19E0">
        <w:rPr>
          <w:i/>
          <w:iCs/>
        </w:rPr>
        <w:t>S</w:t>
      </w:r>
      <w:r w:rsidR="00B63BB2" w:rsidRPr="00B63BB2">
        <w:rPr>
          <w:i/>
          <w:iCs/>
        </w:rPr>
        <w:t xml:space="preserve">tate </w:t>
      </w:r>
      <w:r w:rsidR="009E19E0">
        <w:rPr>
          <w:i/>
          <w:iCs/>
        </w:rPr>
        <w:t>E</w:t>
      </w:r>
      <w:r w:rsidR="00B63BB2" w:rsidRPr="00B63BB2">
        <w:rPr>
          <w:i/>
          <w:iCs/>
        </w:rPr>
        <w:t xml:space="preserve">mployment </w:t>
      </w:r>
      <w:r w:rsidR="009E19E0">
        <w:rPr>
          <w:i/>
          <w:iCs/>
        </w:rPr>
        <w:t>L</w:t>
      </w:r>
      <w:r w:rsidR="00B63BB2" w:rsidRPr="00B63BB2">
        <w:rPr>
          <w:i/>
          <w:iCs/>
        </w:rPr>
        <w:t xml:space="preserve">aws </w:t>
      </w:r>
      <w:r w:rsidR="00B63BB2" w:rsidRPr="00B63BB2">
        <w:t xml:space="preserve">(Report, May 2019), </w:t>
      </w:r>
      <w:r w:rsidR="00B63BB2">
        <w:t>121</w:t>
      </w:r>
      <w:r>
        <w:rPr>
          <w:lang w:val="en-US"/>
        </w:rPr>
        <w:t>.</w:t>
      </w:r>
    </w:p>
  </w:footnote>
  <w:footnote w:id="28">
    <w:p w14:paraId="32CE654C" w14:textId="0D8CC4E2" w:rsidR="00BC39E0" w:rsidRPr="00BC39E0" w:rsidRDefault="00BC39E0">
      <w:pPr>
        <w:pStyle w:val="FootnoteText"/>
        <w:rPr>
          <w:iCs/>
        </w:rPr>
      </w:pPr>
      <w:r>
        <w:rPr>
          <w:rStyle w:val="FootnoteReference"/>
        </w:rPr>
        <w:footnoteRef/>
      </w:r>
      <w:r>
        <w:t xml:space="preserve"> </w:t>
      </w:r>
      <w:r>
        <w:rPr>
          <w:i/>
          <w:iCs/>
        </w:rPr>
        <w:t xml:space="preserve">Human Rights Act 2019 </w:t>
      </w:r>
      <w:r>
        <w:rPr>
          <w:iCs/>
        </w:rPr>
        <w:t>(Qld) s 61(</w:t>
      </w:r>
      <w:r w:rsidR="00A73F1E">
        <w:rPr>
          <w:iCs/>
        </w:rPr>
        <w:t>d).</w:t>
      </w:r>
    </w:p>
  </w:footnote>
  <w:footnote w:id="29">
    <w:p w14:paraId="5D45653B" w14:textId="654E454F" w:rsidR="00360476" w:rsidRPr="004F3996" w:rsidRDefault="00360476" w:rsidP="00360476">
      <w:pPr>
        <w:pStyle w:val="FootnoteText"/>
        <w:rPr>
          <w:lang w:val="en-US"/>
        </w:rPr>
      </w:pPr>
      <w:r>
        <w:rPr>
          <w:rStyle w:val="FootnoteReference"/>
        </w:rPr>
        <w:footnoteRef/>
      </w:r>
      <w:r w:rsidR="069648C3">
        <w:t xml:space="preserve"> </w:t>
      </w:r>
      <w:r w:rsidR="00A73F1E">
        <w:rPr>
          <w:i/>
          <w:iCs/>
        </w:rPr>
        <w:t xml:space="preserve">Human Rights Act 2019 </w:t>
      </w:r>
      <w:r w:rsidR="00A73F1E">
        <w:rPr>
          <w:iCs/>
        </w:rPr>
        <w:t>(Qld) s 51.</w:t>
      </w:r>
    </w:p>
  </w:footnote>
  <w:footnote w:id="30">
    <w:p w14:paraId="115CCCDC" w14:textId="547143EE" w:rsidR="00865E4C" w:rsidRPr="004F3996" w:rsidRDefault="00865E4C" w:rsidP="00865E4C">
      <w:pPr>
        <w:pStyle w:val="FootnoteText"/>
        <w:rPr>
          <w:lang w:val="en-US"/>
        </w:rPr>
      </w:pPr>
      <w:r>
        <w:rPr>
          <w:rStyle w:val="FootnoteReference"/>
        </w:rPr>
        <w:footnoteRef/>
      </w:r>
      <w:r>
        <w:t xml:space="preserve"> </w:t>
      </w:r>
      <w:r w:rsidR="009E19E0" w:rsidRPr="005543B1">
        <w:rPr>
          <w:i/>
          <w:iCs/>
        </w:rPr>
        <w:t>H</w:t>
      </w:r>
      <w:r w:rsidR="00463194" w:rsidRPr="005543B1">
        <w:rPr>
          <w:i/>
          <w:iCs/>
        </w:rPr>
        <w:t>uman Rights Act 2019</w:t>
      </w:r>
      <w:r w:rsidR="00463194">
        <w:t xml:space="preserve"> (Qld) s</w:t>
      </w:r>
      <w:r w:rsidR="00463194">
        <w:rPr>
          <w:lang w:val="en-US"/>
        </w:rPr>
        <w:t xml:space="preserve"> </w:t>
      </w:r>
      <w:r>
        <w:rPr>
          <w:lang w:val="en-US"/>
        </w:rPr>
        <w:t>61</w:t>
      </w:r>
      <w:r w:rsidR="00463194">
        <w:rPr>
          <w:lang w:val="en-US"/>
        </w:rPr>
        <w:t>.</w:t>
      </w:r>
    </w:p>
  </w:footnote>
  <w:footnote w:id="31">
    <w:p w14:paraId="7E2913A1" w14:textId="190DDB21" w:rsidR="00360476" w:rsidRPr="004F3996" w:rsidRDefault="00360476" w:rsidP="00360476">
      <w:pPr>
        <w:pStyle w:val="FootnoteText"/>
        <w:rPr>
          <w:lang w:val="en-US"/>
        </w:rPr>
      </w:pPr>
      <w:r>
        <w:rPr>
          <w:rStyle w:val="FootnoteReference"/>
        </w:rPr>
        <w:footnoteRef/>
      </w:r>
      <w:r>
        <w:t xml:space="preserve"> </w:t>
      </w:r>
      <w:r w:rsidR="005D7CD1" w:rsidRPr="0094051E">
        <w:rPr>
          <w:i/>
          <w:iCs/>
        </w:rPr>
        <w:t>Human Rights Act 2019</w:t>
      </w:r>
      <w:r w:rsidR="005D7CD1">
        <w:t xml:space="preserve"> </w:t>
      </w:r>
      <w:r w:rsidR="007836AC">
        <w:t xml:space="preserve">(Qld) </w:t>
      </w:r>
      <w:r w:rsidR="007836AC">
        <w:rPr>
          <w:lang w:val="en-US"/>
        </w:rPr>
        <w:t>s</w:t>
      </w:r>
      <w:r w:rsidR="001127D1">
        <w:rPr>
          <w:lang w:val="en-US"/>
        </w:rPr>
        <w:t xml:space="preserve"> </w:t>
      </w:r>
      <w:r>
        <w:rPr>
          <w:lang w:val="en-US"/>
        </w:rPr>
        <w:t>88(4)</w:t>
      </w:r>
      <w:r w:rsidR="007836AC">
        <w:rPr>
          <w:lang w:val="en-US"/>
        </w:rPr>
        <w:t>.</w:t>
      </w:r>
    </w:p>
  </w:footnote>
  <w:footnote w:id="32">
    <w:p w14:paraId="17DB4B2A" w14:textId="69C1154C" w:rsidR="00E625D2" w:rsidRPr="00E625D2" w:rsidRDefault="00E625D2">
      <w:pPr>
        <w:pStyle w:val="FootnoteText"/>
        <w:rPr>
          <w:lang w:val="en-US"/>
        </w:rPr>
      </w:pPr>
      <w:r>
        <w:rPr>
          <w:rStyle w:val="FootnoteReference"/>
        </w:rPr>
        <w:footnoteRef/>
      </w:r>
      <w:r>
        <w:t xml:space="preserve"> </w:t>
      </w:r>
      <w:r w:rsidR="007836AC" w:rsidRPr="005543B1">
        <w:rPr>
          <w:i/>
          <w:iCs/>
        </w:rPr>
        <w:t>Public Services Act 2008</w:t>
      </w:r>
      <w:r w:rsidR="007836AC">
        <w:t xml:space="preserve"> (Qld) </w:t>
      </w:r>
      <w:r w:rsidR="00E57E7E">
        <w:t xml:space="preserve">sch 1 </w:t>
      </w:r>
      <w:r w:rsidR="00682588">
        <w:t>(P</w:t>
      </w:r>
      <w:r w:rsidRPr="00E625D2">
        <w:t>ublic service office</w:t>
      </w:r>
      <w:r w:rsidR="00682588">
        <w:t>s and their heads).</w:t>
      </w:r>
    </w:p>
  </w:footnote>
  <w:footnote w:id="33">
    <w:p w14:paraId="497E7740" w14:textId="0D80FA53" w:rsidR="001862CA" w:rsidRPr="001862CA" w:rsidRDefault="001862CA">
      <w:pPr>
        <w:pStyle w:val="FootnoteText"/>
        <w:rPr>
          <w:lang w:val="en-US"/>
        </w:rPr>
      </w:pPr>
      <w:r>
        <w:rPr>
          <w:rStyle w:val="FootnoteReference"/>
        </w:rPr>
        <w:footnoteRef/>
      </w:r>
      <w:r>
        <w:t xml:space="preserve"> </w:t>
      </w:r>
      <w:r w:rsidR="00B63BB2">
        <w:t>Explanatory Note</w:t>
      </w:r>
      <w:r w:rsidR="00531C6D">
        <w:t>s</w:t>
      </w:r>
      <w:r w:rsidR="00B63BB2">
        <w:t>, Human Rights Bill 2018</w:t>
      </w:r>
      <w:r w:rsidR="00F23BB6">
        <w:t xml:space="preserve"> (Qld)</w:t>
      </w:r>
      <w:r w:rsidR="00B63BB2">
        <w:t xml:space="preserve"> 5</w:t>
      </w:r>
      <w:r w:rsidR="00B313C0">
        <w:t>–</w:t>
      </w:r>
      <w:r w:rsidR="00B63BB2">
        <w:t>6.</w:t>
      </w:r>
    </w:p>
  </w:footnote>
  <w:footnote w:id="34">
    <w:p w14:paraId="48EC68DA" w14:textId="4B2ACA41" w:rsidR="008A4C92" w:rsidRDefault="008A4C92">
      <w:pPr>
        <w:pStyle w:val="FootnoteText"/>
      </w:pPr>
      <w:r>
        <w:rPr>
          <w:rStyle w:val="FootnoteReference"/>
        </w:rPr>
        <w:footnoteRef/>
      </w:r>
      <w:r>
        <w:t xml:space="preserve"> </w:t>
      </w:r>
      <w:r w:rsidR="00B313C0" w:rsidRPr="005543B1">
        <w:rPr>
          <w:i/>
          <w:iCs/>
        </w:rPr>
        <w:t>Human Rights Act 2019</w:t>
      </w:r>
      <w:r w:rsidR="00B313C0">
        <w:t xml:space="preserve"> </w:t>
      </w:r>
      <w:r w:rsidR="00B313C0" w:rsidRPr="00D85145">
        <w:t xml:space="preserve">(Qld) </w:t>
      </w:r>
      <w:r w:rsidR="0051205F" w:rsidRPr="00D85145">
        <w:t>s</w:t>
      </w:r>
      <w:r w:rsidRPr="00D85145">
        <w:t xml:space="preserve"> </w:t>
      </w:r>
      <w:r w:rsidR="00983C8F" w:rsidRPr="00D85145">
        <w:t>13(1)</w:t>
      </w:r>
      <w:r w:rsidR="00D85145" w:rsidRPr="00D85145">
        <w:t xml:space="preserve"> and the Preamble</w:t>
      </w:r>
      <w:r w:rsidR="00D8514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4A53A" w14:textId="77777777" w:rsidR="007C510E" w:rsidRDefault="007C510E" w:rsidP="00260847">
    <w:pPr>
      <w:pStyle w:val="Header"/>
      <w:tabs>
        <w:tab w:val="clear" w:pos="4513"/>
        <w:tab w:val="clear" w:pos="9026"/>
      </w:tabs>
      <w:spacing w:before="240"/>
    </w:pPr>
  </w:p>
  <w:p w14:paraId="40538BF2" w14:textId="77777777" w:rsidR="007C510E" w:rsidRDefault="007C51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50E7E"/>
    <w:multiLevelType w:val="multilevel"/>
    <w:tmpl w:val="5DACFA68"/>
    <w:lvl w:ilvl="0">
      <w:start w:val="1"/>
      <w:numFmt w:val="decimal"/>
      <w:pStyle w:val="Numberedparagraph"/>
      <w:lvlText w:val="%1."/>
      <w:lvlJc w:val="left"/>
      <w:pPr>
        <w:ind w:left="567" w:hanging="567"/>
      </w:pPr>
      <w:rPr>
        <w:rFonts w:hint="default"/>
      </w:rPr>
    </w:lvl>
    <w:lvl w:ilvl="1">
      <w:start w:val="1"/>
      <w:numFmt w:val="lowerLetter"/>
      <w:lvlText w:val="%2."/>
      <w:lvlJc w:val="left"/>
      <w:pPr>
        <w:ind w:left="907" w:hanging="283"/>
      </w:pPr>
      <w:rPr>
        <w:rFonts w:hint="default"/>
        <w:b w:val="0"/>
        <w:i w:val="0"/>
        <w:sz w:val="22"/>
        <w:szCs w:val="22"/>
      </w:rPr>
    </w:lvl>
    <w:lvl w:ilvl="2">
      <w:start w:val="1"/>
      <w:numFmt w:val="lowerRoman"/>
      <w:lvlText w:val="%3."/>
      <w:lvlJc w:val="right"/>
      <w:pPr>
        <w:ind w:left="1247" w:hanging="113"/>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 w15:restartNumberingAfterBreak="0">
    <w:nsid w:val="105127DA"/>
    <w:multiLevelType w:val="hybridMultilevel"/>
    <w:tmpl w:val="1862ADCE"/>
    <w:lvl w:ilvl="0" w:tplc="0C090001">
      <w:start w:val="1"/>
      <w:numFmt w:val="bullet"/>
      <w:lvlText w:val=""/>
      <w:lvlJc w:val="left"/>
      <w:pPr>
        <w:ind w:left="2220" w:hanging="360"/>
      </w:pPr>
      <w:rPr>
        <w:rFonts w:ascii="Symbol" w:hAnsi="Symbol" w:hint="default"/>
      </w:rPr>
    </w:lvl>
    <w:lvl w:ilvl="1" w:tplc="0C090003" w:tentative="1">
      <w:start w:val="1"/>
      <w:numFmt w:val="bullet"/>
      <w:lvlText w:val="o"/>
      <w:lvlJc w:val="left"/>
      <w:pPr>
        <w:ind w:left="2940" w:hanging="360"/>
      </w:pPr>
      <w:rPr>
        <w:rFonts w:ascii="Courier New" w:hAnsi="Courier New" w:cs="Courier New" w:hint="default"/>
      </w:rPr>
    </w:lvl>
    <w:lvl w:ilvl="2" w:tplc="0C090005" w:tentative="1">
      <w:start w:val="1"/>
      <w:numFmt w:val="bullet"/>
      <w:lvlText w:val=""/>
      <w:lvlJc w:val="left"/>
      <w:pPr>
        <w:ind w:left="3660" w:hanging="360"/>
      </w:pPr>
      <w:rPr>
        <w:rFonts w:ascii="Wingdings" w:hAnsi="Wingdings" w:hint="default"/>
      </w:rPr>
    </w:lvl>
    <w:lvl w:ilvl="3" w:tplc="0C090001" w:tentative="1">
      <w:start w:val="1"/>
      <w:numFmt w:val="bullet"/>
      <w:lvlText w:val=""/>
      <w:lvlJc w:val="left"/>
      <w:pPr>
        <w:ind w:left="4380" w:hanging="360"/>
      </w:pPr>
      <w:rPr>
        <w:rFonts w:ascii="Symbol" w:hAnsi="Symbol" w:hint="default"/>
      </w:rPr>
    </w:lvl>
    <w:lvl w:ilvl="4" w:tplc="0C090003" w:tentative="1">
      <w:start w:val="1"/>
      <w:numFmt w:val="bullet"/>
      <w:lvlText w:val="o"/>
      <w:lvlJc w:val="left"/>
      <w:pPr>
        <w:ind w:left="5100" w:hanging="360"/>
      </w:pPr>
      <w:rPr>
        <w:rFonts w:ascii="Courier New" w:hAnsi="Courier New" w:cs="Courier New" w:hint="default"/>
      </w:rPr>
    </w:lvl>
    <w:lvl w:ilvl="5" w:tplc="0C090005" w:tentative="1">
      <w:start w:val="1"/>
      <w:numFmt w:val="bullet"/>
      <w:lvlText w:val=""/>
      <w:lvlJc w:val="left"/>
      <w:pPr>
        <w:ind w:left="5820" w:hanging="360"/>
      </w:pPr>
      <w:rPr>
        <w:rFonts w:ascii="Wingdings" w:hAnsi="Wingdings" w:hint="default"/>
      </w:rPr>
    </w:lvl>
    <w:lvl w:ilvl="6" w:tplc="0C090001" w:tentative="1">
      <w:start w:val="1"/>
      <w:numFmt w:val="bullet"/>
      <w:lvlText w:val=""/>
      <w:lvlJc w:val="left"/>
      <w:pPr>
        <w:ind w:left="6540" w:hanging="360"/>
      </w:pPr>
      <w:rPr>
        <w:rFonts w:ascii="Symbol" w:hAnsi="Symbol" w:hint="default"/>
      </w:rPr>
    </w:lvl>
    <w:lvl w:ilvl="7" w:tplc="0C090003" w:tentative="1">
      <w:start w:val="1"/>
      <w:numFmt w:val="bullet"/>
      <w:lvlText w:val="o"/>
      <w:lvlJc w:val="left"/>
      <w:pPr>
        <w:ind w:left="7260" w:hanging="360"/>
      </w:pPr>
      <w:rPr>
        <w:rFonts w:ascii="Courier New" w:hAnsi="Courier New" w:cs="Courier New" w:hint="default"/>
      </w:rPr>
    </w:lvl>
    <w:lvl w:ilvl="8" w:tplc="0C090005" w:tentative="1">
      <w:start w:val="1"/>
      <w:numFmt w:val="bullet"/>
      <w:lvlText w:val=""/>
      <w:lvlJc w:val="left"/>
      <w:pPr>
        <w:ind w:left="7980" w:hanging="360"/>
      </w:pPr>
      <w:rPr>
        <w:rFonts w:ascii="Wingdings" w:hAnsi="Wingdings" w:hint="default"/>
      </w:rPr>
    </w:lvl>
  </w:abstractNum>
  <w:abstractNum w:abstractNumId="2" w15:restartNumberingAfterBreak="0">
    <w:nsid w:val="12D2384A"/>
    <w:multiLevelType w:val="hybridMultilevel"/>
    <w:tmpl w:val="F0C0B106"/>
    <w:lvl w:ilvl="0" w:tplc="8D1013C6">
      <w:start w:val="1"/>
      <w:numFmt w:val="lowerLetter"/>
      <w:lvlText w:val="(%1)"/>
      <w:lvlJc w:val="left"/>
      <w:pPr>
        <w:ind w:left="1267" w:hanging="360"/>
      </w:pPr>
      <w:rPr>
        <w:rFonts w:hint="default"/>
      </w:rPr>
    </w:lvl>
    <w:lvl w:ilvl="1" w:tplc="0C090019" w:tentative="1">
      <w:start w:val="1"/>
      <w:numFmt w:val="lowerLetter"/>
      <w:lvlText w:val="%2."/>
      <w:lvlJc w:val="left"/>
      <w:pPr>
        <w:ind w:left="1987" w:hanging="360"/>
      </w:pPr>
    </w:lvl>
    <w:lvl w:ilvl="2" w:tplc="0C09001B" w:tentative="1">
      <w:start w:val="1"/>
      <w:numFmt w:val="lowerRoman"/>
      <w:lvlText w:val="%3."/>
      <w:lvlJc w:val="right"/>
      <w:pPr>
        <w:ind w:left="2707" w:hanging="180"/>
      </w:pPr>
    </w:lvl>
    <w:lvl w:ilvl="3" w:tplc="0C09000F" w:tentative="1">
      <w:start w:val="1"/>
      <w:numFmt w:val="decimal"/>
      <w:lvlText w:val="%4."/>
      <w:lvlJc w:val="left"/>
      <w:pPr>
        <w:ind w:left="3427" w:hanging="360"/>
      </w:pPr>
    </w:lvl>
    <w:lvl w:ilvl="4" w:tplc="0C090019" w:tentative="1">
      <w:start w:val="1"/>
      <w:numFmt w:val="lowerLetter"/>
      <w:lvlText w:val="%5."/>
      <w:lvlJc w:val="left"/>
      <w:pPr>
        <w:ind w:left="4147" w:hanging="360"/>
      </w:pPr>
    </w:lvl>
    <w:lvl w:ilvl="5" w:tplc="0C09001B" w:tentative="1">
      <w:start w:val="1"/>
      <w:numFmt w:val="lowerRoman"/>
      <w:lvlText w:val="%6."/>
      <w:lvlJc w:val="right"/>
      <w:pPr>
        <w:ind w:left="4867" w:hanging="180"/>
      </w:pPr>
    </w:lvl>
    <w:lvl w:ilvl="6" w:tplc="0C09000F" w:tentative="1">
      <w:start w:val="1"/>
      <w:numFmt w:val="decimal"/>
      <w:lvlText w:val="%7."/>
      <w:lvlJc w:val="left"/>
      <w:pPr>
        <w:ind w:left="5587" w:hanging="360"/>
      </w:pPr>
    </w:lvl>
    <w:lvl w:ilvl="7" w:tplc="0C090019" w:tentative="1">
      <w:start w:val="1"/>
      <w:numFmt w:val="lowerLetter"/>
      <w:lvlText w:val="%8."/>
      <w:lvlJc w:val="left"/>
      <w:pPr>
        <w:ind w:left="6307" w:hanging="360"/>
      </w:pPr>
    </w:lvl>
    <w:lvl w:ilvl="8" w:tplc="0C09001B" w:tentative="1">
      <w:start w:val="1"/>
      <w:numFmt w:val="lowerRoman"/>
      <w:lvlText w:val="%9."/>
      <w:lvlJc w:val="right"/>
      <w:pPr>
        <w:ind w:left="7027" w:hanging="180"/>
      </w:pPr>
    </w:lvl>
  </w:abstractNum>
  <w:abstractNum w:abstractNumId="3" w15:restartNumberingAfterBreak="0">
    <w:nsid w:val="2E90091E"/>
    <w:multiLevelType w:val="hybridMultilevel"/>
    <w:tmpl w:val="EBA6D904"/>
    <w:lvl w:ilvl="0" w:tplc="0C090001">
      <w:start w:val="1"/>
      <w:numFmt w:val="bullet"/>
      <w:lvlText w:val=""/>
      <w:lvlJc w:val="left"/>
      <w:pPr>
        <w:ind w:left="1627" w:hanging="360"/>
      </w:pPr>
      <w:rPr>
        <w:rFonts w:ascii="Symbol" w:hAnsi="Symbol" w:hint="default"/>
      </w:rPr>
    </w:lvl>
    <w:lvl w:ilvl="1" w:tplc="0C090003" w:tentative="1">
      <w:start w:val="1"/>
      <w:numFmt w:val="bullet"/>
      <w:lvlText w:val="o"/>
      <w:lvlJc w:val="left"/>
      <w:pPr>
        <w:ind w:left="2347" w:hanging="360"/>
      </w:pPr>
      <w:rPr>
        <w:rFonts w:ascii="Courier New" w:hAnsi="Courier New" w:cs="Courier New" w:hint="default"/>
      </w:rPr>
    </w:lvl>
    <w:lvl w:ilvl="2" w:tplc="0C090005" w:tentative="1">
      <w:start w:val="1"/>
      <w:numFmt w:val="bullet"/>
      <w:lvlText w:val=""/>
      <w:lvlJc w:val="left"/>
      <w:pPr>
        <w:ind w:left="3067" w:hanging="360"/>
      </w:pPr>
      <w:rPr>
        <w:rFonts w:ascii="Wingdings" w:hAnsi="Wingdings" w:hint="default"/>
      </w:rPr>
    </w:lvl>
    <w:lvl w:ilvl="3" w:tplc="0C090001" w:tentative="1">
      <w:start w:val="1"/>
      <w:numFmt w:val="bullet"/>
      <w:lvlText w:val=""/>
      <w:lvlJc w:val="left"/>
      <w:pPr>
        <w:ind w:left="3787" w:hanging="360"/>
      </w:pPr>
      <w:rPr>
        <w:rFonts w:ascii="Symbol" w:hAnsi="Symbol" w:hint="default"/>
      </w:rPr>
    </w:lvl>
    <w:lvl w:ilvl="4" w:tplc="0C090003" w:tentative="1">
      <w:start w:val="1"/>
      <w:numFmt w:val="bullet"/>
      <w:lvlText w:val="o"/>
      <w:lvlJc w:val="left"/>
      <w:pPr>
        <w:ind w:left="4507" w:hanging="360"/>
      </w:pPr>
      <w:rPr>
        <w:rFonts w:ascii="Courier New" w:hAnsi="Courier New" w:cs="Courier New" w:hint="default"/>
      </w:rPr>
    </w:lvl>
    <w:lvl w:ilvl="5" w:tplc="0C090005" w:tentative="1">
      <w:start w:val="1"/>
      <w:numFmt w:val="bullet"/>
      <w:lvlText w:val=""/>
      <w:lvlJc w:val="left"/>
      <w:pPr>
        <w:ind w:left="5227" w:hanging="360"/>
      </w:pPr>
      <w:rPr>
        <w:rFonts w:ascii="Wingdings" w:hAnsi="Wingdings" w:hint="default"/>
      </w:rPr>
    </w:lvl>
    <w:lvl w:ilvl="6" w:tplc="0C090001" w:tentative="1">
      <w:start w:val="1"/>
      <w:numFmt w:val="bullet"/>
      <w:lvlText w:val=""/>
      <w:lvlJc w:val="left"/>
      <w:pPr>
        <w:ind w:left="5947" w:hanging="360"/>
      </w:pPr>
      <w:rPr>
        <w:rFonts w:ascii="Symbol" w:hAnsi="Symbol" w:hint="default"/>
      </w:rPr>
    </w:lvl>
    <w:lvl w:ilvl="7" w:tplc="0C090003" w:tentative="1">
      <w:start w:val="1"/>
      <w:numFmt w:val="bullet"/>
      <w:lvlText w:val="o"/>
      <w:lvlJc w:val="left"/>
      <w:pPr>
        <w:ind w:left="6667" w:hanging="360"/>
      </w:pPr>
      <w:rPr>
        <w:rFonts w:ascii="Courier New" w:hAnsi="Courier New" w:cs="Courier New" w:hint="default"/>
      </w:rPr>
    </w:lvl>
    <w:lvl w:ilvl="8" w:tplc="0C090005" w:tentative="1">
      <w:start w:val="1"/>
      <w:numFmt w:val="bullet"/>
      <w:lvlText w:val=""/>
      <w:lvlJc w:val="left"/>
      <w:pPr>
        <w:ind w:left="7387" w:hanging="360"/>
      </w:pPr>
      <w:rPr>
        <w:rFonts w:ascii="Wingdings" w:hAnsi="Wingdings" w:hint="default"/>
      </w:rPr>
    </w:lvl>
  </w:abstractNum>
  <w:abstractNum w:abstractNumId="4" w15:restartNumberingAfterBreak="0">
    <w:nsid w:val="680E217B"/>
    <w:multiLevelType w:val="multilevel"/>
    <w:tmpl w:val="97A06F3E"/>
    <w:lvl w:ilvl="0">
      <w:start w:val="1"/>
      <w:numFmt w:val="bullet"/>
      <w:pStyle w:val="Bulletedlist"/>
      <w:lvlText w:val=""/>
      <w:lvlJc w:val="left"/>
      <w:pPr>
        <w:ind w:left="1287" w:hanging="567"/>
      </w:pPr>
      <w:rPr>
        <w:rFonts w:ascii="Symbol" w:hAnsi="Symbol" w:hint="default"/>
      </w:rPr>
    </w:lvl>
    <w:lvl w:ilvl="1">
      <w:start w:val="1"/>
      <w:numFmt w:val="bullet"/>
      <w:lvlText w:val=""/>
      <w:lvlJc w:val="left"/>
      <w:pPr>
        <w:ind w:left="1627" w:hanging="283"/>
      </w:pPr>
      <w:rPr>
        <w:rFonts w:ascii="Symbol" w:hAnsi="Symbol" w:hint="default"/>
        <w:b w:val="0"/>
        <w:i w:val="0"/>
        <w:sz w:val="24"/>
      </w:rPr>
    </w:lvl>
    <w:lvl w:ilvl="2">
      <w:start w:val="1"/>
      <w:numFmt w:val="lowerRoman"/>
      <w:lvlText w:val="%3."/>
      <w:lvlJc w:val="right"/>
      <w:pPr>
        <w:ind w:left="1967" w:hanging="113"/>
      </w:pPr>
      <w:rPr>
        <w:rFonts w:hint="default"/>
      </w:rPr>
    </w:lvl>
    <w:lvl w:ilvl="3">
      <w:start w:val="1"/>
      <w:numFmt w:val="decimal"/>
      <w:lvlText w:val="%4."/>
      <w:lvlJc w:val="left"/>
      <w:pPr>
        <w:ind w:left="2148" w:hanging="357"/>
      </w:pPr>
      <w:rPr>
        <w:rFonts w:hint="default"/>
      </w:rPr>
    </w:lvl>
    <w:lvl w:ilvl="4">
      <w:start w:val="1"/>
      <w:numFmt w:val="lowerLetter"/>
      <w:lvlText w:val="%5."/>
      <w:lvlJc w:val="left"/>
      <w:pPr>
        <w:ind w:left="2505" w:hanging="357"/>
      </w:pPr>
      <w:rPr>
        <w:rFonts w:hint="default"/>
      </w:rPr>
    </w:lvl>
    <w:lvl w:ilvl="5">
      <w:start w:val="1"/>
      <w:numFmt w:val="lowerRoman"/>
      <w:lvlText w:val="%6."/>
      <w:lvlJc w:val="right"/>
      <w:pPr>
        <w:ind w:left="2862" w:hanging="357"/>
      </w:pPr>
      <w:rPr>
        <w:rFonts w:hint="default"/>
      </w:rPr>
    </w:lvl>
    <w:lvl w:ilvl="6">
      <w:start w:val="1"/>
      <w:numFmt w:val="decimal"/>
      <w:lvlText w:val="%7."/>
      <w:lvlJc w:val="left"/>
      <w:pPr>
        <w:ind w:left="3219" w:hanging="357"/>
      </w:pPr>
      <w:rPr>
        <w:rFonts w:hint="default"/>
      </w:rPr>
    </w:lvl>
    <w:lvl w:ilvl="7">
      <w:start w:val="1"/>
      <w:numFmt w:val="lowerLetter"/>
      <w:lvlText w:val="%8."/>
      <w:lvlJc w:val="left"/>
      <w:pPr>
        <w:ind w:left="3576" w:hanging="357"/>
      </w:pPr>
      <w:rPr>
        <w:rFonts w:hint="default"/>
      </w:rPr>
    </w:lvl>
    <w:lvl w:ilvl="8">
      <w:start w:val="1"/>
      <w:numFmt w:val="lowerRoman"/>
      <w:lvlText w:val="%9."/>
      <w:lvlJc w:val="right"/>
      <w:pPr>
        <w:ind w:left="3933" w:hanging="357"/>
      </w:pPr>
      <w:rPr>
        <w:rFonts w:hint="default"/>
      </w:rPr>
    </w:lvl>
  </w:abstractNum>
  <w:num w:numId="1" w16cid:durableId="929511682">
    <w:abstractNumId w:val="0"/>
  </w:num>
  <w:num w:numId="2" w16cid:durableId="1241914406">
    <w:abstractNumId w:val="4"/>
  </w:num>
  <w:num w:numId="3" w16cid:durableId="562258135">
    <w:abstractNumId w:val="3"/>
  </w:num>
  <w:num w:numId="4" w16cid:durableId="1368599462">
    <w:abstractNumId w:val="2"/>
  </w:num>
  <w:num w:numId="5" w16cid:durableId="36124992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4AE"/>
    <w:rsid w:val="0000184F"/>
    <w:rsid w:val="00001BC6"/>
    <w:rsid w:val="00001DDC"/>
    <w:rsid w:val="00002F05"/>
    <w:rsid w:val="00003C12"/>
    <w:rsid w:val="0001250D"/>
    <w:rsid w:val="00012E8E"/>
    <w:rsid w:val="000135D8"/>
    <w:rsid w:val="0001439E"/>
    <w:rsid w:val="00014674"/>
    <w:rsid w:val="00014FB0"/>
    <w:rsid w:val="00015149"/>
    <w:rsid w:val="00017656"/>
    <w:rsid w:val="000177DA"/>
    <w:rsid w:val="00020167"/>
    <w:rsid w:val="00020C0E"/>
    <w:rsid w:val="00020C88"/>
    <w:rsid w:val="00021272"/>
    <w:rsid w:val="00021CF0"/>
    <w:rsid w:val="00021DCD"/>
    <w:rsid w:val="0002351E"/>
    <w:rsid w:val="00025A59"/>
    <w:rsid w:val="00026AB2"/>
    <w:rsid w:val="000320AA"/>
    <w:rsid w:val="000401F5"/>
    <w:rsid w:val="00040686"/>
    <w:rsid w:val="00041E58"/>
    <w:rsid w:val="00042EDB"/>
    <w:rsid w:val="000436CE"/>
    <w:rsid w:val="0004380D"/>
    <w:rsid w:val="00044A7F"/>
    <w:rsid w:val="00045B46"/>
    <w:rsid w:val="00045D90"/>
    <w:rsid w:val="00046ADD"/>
    <w:rsid w:val="0004761D"/>
    <w:rsid w:val="00047983"/>
    <w:rsid w:val="000528E0"/>
    <w:rsid w:val="00052E9A"/>
    <w:rsid w:val="00053F91"/>
    <w:rsid w:val="00054120"/>
    <w:rsid w:val="0005418E"/>
    <w:rsid w:val="00056307"/>
    <w:rsid w:val="00056960"/>
    <w:rsid w:val="00057023"/>
    <w:rsid w:val="00057D21"/>
    <w:rsid w:val="00063EDF"/>
    <w:rsid w:val="00066309"/>
    <w:rsid w:val="00067179"/>
    <w:rsid w:val="00067B90"/>
    <w:rsid w:val="00067BB1"/>
    <w:rsid w:val="00070A77"/>
    <w:rsid w:val="00070A92"/>
    <w:rsid w:val="00071C03"/>
    <w:rsid w:val="00072CE6"/>
    <w:rsid w:val="00072D77"/>
    <w:rsid w:val="000731D3"/>
    <w:rsid w:val="00073229"/>
    <w:rsid w:val="00075AB0"/>
    <w:rsid w:val="00076316"/>
    <w:rsid w:val="0007682B"/>
    <w:rsid w:val="00084771"/>
    <w:rsid w:val="00085CA2"/>
    <w:rsid w:val="000906DD"/>
    <w:rsid w:val="00092BC2"/>
    <w:rsid w:val="000956E5"/>
    <w:rsid w:val="00095E9A"/>
    <w:rsid w:val="00095FBB"/>
    <w:rsid w:val="00096517"/>
    <w:rsid w:val="000A1942"/>
    <w:rsid w:val="000A1FEF"/>
    <w:rsid w:val="000A201B"/>
    <w:rsid w:val="000A45B4"/>
    <w:rsid w:val="000A4E6D"/>
    <w:rsid w:val="000A549A"/>
    <w:rsid w:val="000A61D5"/>
    <w:rsid w:val="000A654B"/>
    <w:rsid w:val="000B03E4"/>
    <w:rsid w:val="000B0D16"/>
    <w:rsid w:val="000B201C"/>
    <w:rsid w:val="000B3AD7"/>
    <w:rsid w:val="000B3ED6"/>
    <w:rsid w:val="000B554B"/>
    <w:rsid w:val="000B58F4"/>
    <w:rsid w:val="000B6C72"/>
    <w:rsid w:val="000B6C74"/>
    <w:rsid w:val="000B794F"/>
    <w:rsid w:val="000C34B0"/>
    <w:rsid w:val="000D0673"/>
    <w:rsid w:val="000D1386"/>
    <w:rsid w:val="000D2D33"/>
    <w:rsid w:val="000D3F7F"/>
    <w:rsid w:val="000D49A5"/>
    <w:rsid w:val="000D71D6"/>
    <w:rsid w:val="000E1039"/>
    <w:rsid w:val="000E18C7"/>
    <w:rsid w:val="000E2E74"/>
    <w:rsid w:val="000E4004"/>
    <w:rsid w:val="000E4D64"/>
    <w:rsid w:val="000F0BC1"/>
    <w:rsid w:val="000F1953"/>
    <w:rsid w:val="000F2689"/>
    <w:rsid w:val="000F4098"/>
    <w:rsid w:val="000F4827"/>
    <w:rsid w:val="000F4E42"/>
    <w:rsid w:val="000F69D6"/>
    <w:rsid w:val="00104CC3"/>
    <w:rsid w:val="00104EDD"/>
    <w:rsid w:val="00105217"/>
    <w:rsid w:val="001060A0"/>
    <w:rsid w:val="001066BD"/>
    <w:rsid w:val="001068C0"/>
    <w:rsid w:val="00107BDC"/>
    <w:rsid w:val="001127D1"/>
    <w:rsid w:val="00117BDF"/>
    <w:rsid w:val="00117C98"/>
    <w:rsid w:val="00121E6F"/>
    <w:rsid w:val="001221C7"/>
    <w:rsid w:val="00122DB0"/>
    <w:rsid w:val="00124A35"/>
    <w:rsid w:val="0012581F"/>
    <w:rsid w:val="00125B63"/>
    <w:rsid w:val="001304EE"/>
    <w:rsid w:val="00131D94"/>
    <w:rsid w:val="00132487"/>
    <w:rsid w:val="00132EB7"/>
    <w:rsid w:val="00133F1F"/>
    <w:rsid w:val="001340E4"/>
    <w:rsid w:val="00134245"/>
    <w:rsid w:val="001346C2"/>
    <w:rsid w:val="00134ABD"/>
    <w:rsid w:val="00137F16"/>
    <w:rsid w:val="00143B27"/>
    <w:rsid w:val="0014559B"/>
    <w:rsid w:val="0014688F"/>
    <w:rsid w:val="00146EFB"/>
    <w:rsid w:val="00151625"/>
    <w:rsid w:val="00151AF0"/>
    <w:rsid w:val="00151D9E"/>
    <w:rsid w:val="00155D91"/>
    <w:rsid w:val="0015692B"/>
    <w:rsid w:val="00156C4D"/>
    <w:rsid w:val="0015717A"/>
    <w:rsid w:val="0016199C"/>
    <w:rsid w:val="0016255C"/>
    <w:rsid w:val="00162EC5"/>
    <w:rsid w:val="0016475F"/>
    <w:rsid w:val="0016524C"/>
    <w:rsid w:val="0016605E"/>
    <w:rsid w:val="00172751"/>
    <w:rsid w:val="00174272"/>
    <w:rsid w:val="00177915"/>
    <w:rsid w:val="00181C0B"/>
    <w:rsid w:val="001824E6"/>
    <w:rsid w:val="001825CB"/>
    <w:rsid w:val="00182865"/>
    <w:rsid w:val="00182E06"/>
    <w:rsid w:val="00183C21"/>
    <w:rsid w:val="00184E31"/>
    <w:rsid w:val="001850BE"/>
    <w:rsid w:val="001851A7"/>
    <w:rsid w:val="00185F45"/>
    <w:rsid w:val="001862CA"/>
    <w:rsid w:val="001916E4"/>
    <w:rsid w:val="0019203A"/>
    <w:rsid w:val="001928DD"/>
    <w:rsid w:val="001934B2"/>
    <w:rsid w:val="0019381B"/>
    <w:rsid w:val="00193947"/>
    <w:rsid w:val="00194013"/>
    <w:rsid w:val="001946E8"/>
    <w:rsid w:val="001957BC"/>
    <w:rsid w:val="00195E9F"/>
    <w:rsid w:val="00195FD6"/>
    <w:rsid w:val="001A05E5"/>
    <w:rsid w:val="001A0C03"/>
    <w:rsid w:val="001A12BD"/>
    <w:rsid w:val="001A1793"/>
    <w:rsid w:val="001A303A"/>
    <w:rsid w:val="001A60A6"/>
    <w:rsid w:val="001B1A27"/>
    <w:rsid w:val="001B1A9A"/>
    <w:rsid w:val="001B5470"/>
    <w:rsid w:val="001B57C6"/>
    <w:rsid w:val="001B624B"/>
    <w:rsid w:val="001B6543"/>
    <w:rsid w:val="001B6FC9"/>
    <w:rsid w:val="001C01FD"/>
    <w:rsid w:val="001C127F"/>
    <w:rsid w:val="001C13B2"/>
    <w:rsid w:val="001C46AE"/>
    <w:rsid w:val="001C6ADB"/>
    <w:rsid w:val="001D0CEE"/>
    <w:rsid w:val="001D1889"/>
    <w:rsid w:val="001D1B85"/>
    <w:rsid w:val="001D4514"/>
    <w:rsid w:val="001D50C0"/>
    <w:rsid w:val="001D5254"/>
    <w:rsid w:val="001D68EE"/>
    <w:rsid w:val="001D7758"/>
    <w:rsid w:val="001E29FE"/>
    <w:rsid w:val="001E3A26"/>
    <w:rsid w:val="001E53F4"/>
    <w:rsid w:val="001E5685"/>
    <w:rsid w:val="001E5C0C"/>
    <w:rsid w:val="001E671B"/>
    <w:rsid w:val="001F051F"/>
    <w:rsid w:val="001F0AA0"/>
    <w:rsid w:val="001F0F45"/>
    <w:rsid w:val="001F1FA4"/>
    <w:rsid w:val="001F35F1"/>
    <w:rsid w:val="001F3F19"/>
    <w:rsid w:val="001F5F4B"/>
    <w:rsid w:val="001F728A"/>
    <w:rsid w:val="002001B4"/>
    <w:rsid w:val="00200382"/>
    <w:rsid w:val="00202CE6"/>
    <w:rsid w:val="00203C52"/>
    <w:rsid w:val="00203E09"/>
    <w:rsid w:val="002059AD"/>
    <w:rsid w:val="002074D5"/>
    <w:rsid w:val="002120B6"/>
    <w:rsid w:val="002129B4"/>
    <w:rsid w:val="00214DDA"/>
    <w:rsid w:val="00216AA2"/>
    <w:rsid w:val="00217030"/>
    <w:rsid w:val="00217AC5"/>
    <w:rsid w:val="002206A6"/>
    <w:rsid w:val="00221ED4"/>
    <w:rsid w:val="00223D39"/>
    <w:rsid w:val="00223D53"/>
    <w:rsid w:val="00224552"/>
    <w:rsid w:val="00224D61"/>
    <w:rsid w:val="002265A4"/>
    <w:rsid w:val="002266E6"/>
    <w:rsid w:val="00227178"/>
    <w:rsid w:val="002304F8"/>
    <w:rsid w:val="002322A6"/>
    <w:rsid w:val="00232E78"/>
    <w:rsid w:val="00233F52"/>
    <w:rsid w:val="00233F68"/>
    <w:rsid w:val="00235527"/>
    <w:rsid w:val="00237BFD"/>
    <w:rsid w:val="002401D5"/>
    <w:rsid w:val="002406CF"/>
    <w:rsid w:val="00240ABC"/>
    <w:rsid w:val="00240EF9"/>
    <w:rsid w:val="00240F63"/>
    <w:rsid w:val="00241145"/>
    <w:rsid w:val="0024194E"/>
    <w:rsid w:val="00242284"/>
    <w:rsid w:val="00244B56"/>
    <w:rsid w:val="002456A9"/>
    <w:rsid w:val="00245BFB"/>
    <w:rsid w:val="00251060"/>
    <w:rsid w:val="00252722"/>
    <w:rsid w:val="002533FE"/>
    <w:rsid w:val="00253B42"/>
    <w:rsid w:val="00256E00"/>
    <w:rsid w:val="00257CAF"/>
    <w:rsid w:val="00257F4F"/>
    <w:rsid w:val="002600A2"/>
    <w:rsid w:val="00260162"/>
    <w:rsid w:val="00260847"/>
    <w:rsid w:val="00260BE0"/>
    <w:rsid w:val="00262538"/>
    <w:rsid w:val="00262AAD"/>
    <w:rsid w:val="0026315B"/>
    <w:rsid w:val="002634A3"/>
    <w:rsid w:val="00263867"/>
    <w:rsid w:val="00265BE2"/>
    <w:rsid w:val="00267376"/>
    <w:rsid w:val="00270FD3"/>
    <w:rsid w:val="0027498C"/>
    <w:rsid w:val="00274A96"/>
    <w:rsid w:val="002756EA"/>
    <w:rsid w:val="00276164"/>
    <w:rsid w:val="00282920"/>
    <w:rsid w:val="00282C4E"/>
    <w:rsid w:val="002838BB"/>
    <w:rsid w:val="00283D88"/>
    <w:rsid w:val="00284A8D"/>
    <w:rsid w:val="00284FF0"/>
    <w:rsid w:val="002860FB"/>
    <w:rsid w:val="00286344"/>
    <w:rsid w:val="00290FA2"/>
    <w:rsid w:val="002927AB"/>
    <w:rsid w:val="00292C50"/>
    <w:rsid w:val="002944BC"/>
    <w:rsid w:val="002971F0"/>
    <w:rsid w:val="002978EB"/>
    <w:rsid w:val="002A03F1"/>
    <w:rsid w:val="002A0657"/>
    <w:rsid w:val="002A2E19"/>
    <w:rsid w:val="002A3CD7"/>
    <w:rsid w:val="002A43A3"/>
    <w:rsid w:val="002A6D23"/>
    <w:rsid w:val="002A73E0"/>
    <w:rsid w:val="002A77EF"/>
    <w:rsid w:val="002B0463"/>
    <w:rsid w:val="002B233F"/>
    <w:rsid w:val="002B4FA6"/>
    <w:rsid w:val="002B65D4"/>
    <w:rsid w:val="002B66A6"/>
    <w:rsid w:val="002B7717"/>
    <w:rsid w:val="002C1FB1"/>
    <w:rsid w:val="002C2D0E"/>
    <w:rsid w:val="002C321A"/>
    <w:rsid w:val="002C47A2"/>
    <w:rsid w:val="002C513A"/>
    <w:rsid w:val="002C5B39"/>
    <w:rsid w:val="002C5BB7"/>
    <w:rsid w:val="002C64BD"/>
    <w:rsid w:val="002C672E"/>
    <w:rsid w:val="002D019E"/>
    <w:rsid w:val="002D0B5C"/>
    <w:rsid w:val="002D14FB"/>
    <w:rsid w:val="002D46A2"/>
    <w:rsid w:val="002D5320"/>
    <w:rsid w:val="002D5AA2"/>
    <w:rsid w:val="002E07F0"/>
    <w:rsid w:val="002E2003"/>
    <w:rsid w:val="002E25B7"/>
    <w:rsid w:val="002E433B"/>
    <w:rsid w:val="002E525A"/>
    <w:rsid w:val="002E53C0"/>
    <w:rsid w:val="002E67B1"/>
    <w:rsid w:val="002E716B"/>
    <w:rsid w:val="002E7367"/>
    <w:rsid w:val="002F2317"/>
    <w:rsid w:val="002F3A08"/>
    <w:rsid w:val="002F4490"/>
    <w:rsid w:val="002F472F"/>
    <w:rsid w:val="002F4CA7"/>
    <w:rsid w:val="002F638E"/>
    <w:rsid w:val="002F7AD7"/>
    <w:rsid w:val="00303C98"/>
    <w:rsid w:val="003040BE"/>
    <w:rsid w:val="0030455A"/>
    <w:rsid w:val="003068B8"/>
    <w:rsid w:val="00307309"/>
    <w:rsid w:val="00307BBE"/>
    <w:rsid w:val="0031033D"/>
    <w:rsid w:val="00310CB2"/>
    <w:rsid w:val="00311D2C"/>
    <w:rsid w:val="0031234F"/>
    <w:rsid w:val="00312C2A"/>
    <w:rsid w:val="0031508F"/>
    <w:rsid w:val="003201AA"/>
    <w:rsid w:val="003204FA"/>
    <w:rsid w:val="00320D02"/>
    <w:rsid w:val="00321266"/>
    <w:rsid w:val="00321445"/>
    <w:rsid w:val="00322AD6"/>
    <w:rsid w:val="00322D4D"/>
    <w:rsid w:val="0032509A"/>
    <w:rsid w:val="0032516B"/>
    <w:rsid w:val="003264E6"/>
    <w:rsid w:val="00331B32"/>
    <w:rsid w:val="0033216F"/>
    <w:rsid w:val="00332AD9"/>
    <w:rsid w:val="00333FA8"/>
    <w:rsid w:val="00334A4D"/>
    <w:rsid w:val="00334CF4"/>
    <w:rsid w:val="0034071C"/>
    <w:rsid w:val="00340F79"/>
    <w:rsid w:val="0034134D"/>
    <w:rsid w:val="00344585"/>
    <w:rsid w:val="00344E0D"/>
    <w:rsid w:val="00344F59"/>
    <w:rsid w:val="003451C6"/>
    <w:rsid w:val="00345A8C"/>
    <w:rsid w:val="00350914"/>
    <w:rsid w:val="00350CAB"/>
    <w:rsid w:val="00350D39"/>
    <w:rsid w:val="00351960"/>
    <w:rsid w:val="00351A2F"/>
    <w:rsid w:val="00352D59"/>
    <w:rsid w:val="00353A99"/>
    <w:rsid w:val="0035517B"/>
    <w:rsid w:val="0035654D"/>
    <w:rsid w:val="00356771"/>
    <w:rsid w:val="00360476"/>
    <w:rsid w:val="00362F81"/>
    <w:rsid w:val="003657B1"/>
    <w:rsid w:val="00367470"/>
    <w:rsid w:val="00370336"/>
    <w:rsid w:val="00370896"/>
    <w:rsid w:val="00370EC3"/>
    <w:rsid w:val="00372A29"/>
    <w:rsid w:val="00372F89"/>
    <w:rsid w:val="00374E31"/>
    <w:rsid w:val="00375A42"/>
    <w:rsid w:val="0037601F"/>
    <w:rsid w:val="0037743D"/>
    <w:rsid w:val="00380F5F"/>
    <w:rsid w:val="003838D9"/>
    <w:rsid w:val="00384648"/>
    <w:rsid w:val="003847F0"/>
    <w:rsid w:val="00385812"/>
    <w:rsid w:val="00386D29"/>
    <w:rsid w:val="003904F2"/>
    <w:rsid w:val="00390A66"/>
    <w:rsid w:val="00392522"/>
    <w:rsid w:val="00393625"/>
    <w:rsid w:val="00393A1A"/>
    <w:rsid w:val="003948D5"/>
    <w:rsid w:val="0039492F"/>
    <w:rsid w:val="00395332"/>
    <w:rsid w:val="00395741"/>
    <w:rsid w:val="00395FFF"/>
    <w:rsid w:val="00396F54"/>
    <w:rsid w:val="003A666E"/>
    <w:rsid w:val="003A74A7"/>
    <w:rsid w:val="003A767C"/>
    <w:rsid w:val="003A786D"/>
    <w:rsid w:val="003B0F04"/>
    <w:rsid w:val="003B0F11"/>
    <w:rsid w:val="003B197E"/>
    <w:rsid w:val="003B3559"/>
    <w:rsid w:val="003B3D65"/>
    <w:rsid w:val="003B4DD5"/>
    <w:rsid w:val="003B52C2"/>
    <w:rsid w:val="003B7020"/>
    <w:rsid w:val="003B79CE"/>
    <w:rsid w:val="003C0525"/>
    <w:rsid w:val="003C1174"/>
    <w:rsid w:val="003C21E9"/>
    <w:rsid w:val="003C2709"/>
    <w:rsid w:val="003C375C"/>
    <w:rsid w:val="003C443B"/>
    <w:rsid w:val="003C6A61"/>
    <w:rsid w:val="003C6E16"/>
    <w:rsid w:val="003D0E08"/>
    <w:rsid w:val="003D17C8"/>
    <w:rsid w:val="003D3AAC"/>
    <w:rsid w:val="003D4882"/>
    <w:rsid w:val="003D5C71"/>
    <w:rsid w:val="003D6206"/>
    <w:rsid w:val="003D625C"/>
    <w:rsid w:val="003D766F"/>
    <w:rsid w:val="003E037B"/>
    <w:rsid w:val="003E0A6B"/>
    <w:rsid w:val="003E322E"/>
    <w:rsid w:val="003E53F7"/>
    <w:rsid w:val="003F4A0B"/>
    <w:rsid w:val="003F541D"/>
    <w:rsid w:val="003F6F7E"/>
    <w:rsid w:val="003F76BE"/>
    <w:rsid w:val="003F7EFB"/>
    <w:rsid w:val="00400692"/>
    <w:rsid w:val="00402C7F"/>
    <w:rsid w:val="0040309A"/>
    <w:rsid w:val="004043BC"/>
    <w:rsid w:val="0040537D"/>
    <w:rsid w:val="00407A86"/>
    <w:rsid w:val="00410505"/>
    <w:rsid w:val="00410E68"/>
    <w:rsid w:val="0041268A"/>
    <w:rsid w:val="00412834"/>
    <w:rsid w:val="004136C8"/>
    <w:rsid w:val="00413C04"/>
    <w:rsid w:val="00416052"/>
    <w:rsid w:val="004201EB"/>
    <w:rsid w:val="00421429"/>
    <w:rsid w:val="00422924"/>
    <w:rsid w:val="00431368"/>
    <w:rsid w:val="00431D51"/>
    <w:rsid w:val="00432111"/>
    <w:rsid w:val="004342F5"/>
    <w:rsid w:val="00434DE6"/>
    <w:rsid w:val="00434FBD"/>
    <w:rsid w:val="004369BC"/>
    <w:rsid w:val="004373A6"/>
    <w:rsid w:val="004374F5"/>
    <w:rsid w:val="00440927"/>
    <w:rsid w:val="004418EC"/>
    <w:rsid w:val="00441C20"/>
    <w:rsid w:val="004422F5"/>
    <w:rsid w:val="004424F3"/>
    <w:rsid w:val="00445489"/>
    <w:rsid w:val="00445D56"/>
    <w:rsid w:val="0044717D"/>
    <w:rsid w:val="004479A7"/>
    <w:rsid w:val="004501A5"/>
    <w:rsid w:val="00450A2C"/>
    <w:rsid w:val="004510E6"/>
    <w:rsid w:val="00451416"/>
    <w:rsid w:val="0045380E"/>
    <w:rsid w:val="004538FC"/>
    <w:rsid w:val="00454717"/>
    <w:rsid w:val="0045598C"/>
    <w:rsid w:val="00455F30"/>
    <w:rsid w:val="00456591"/>
    <w:rsid w:val="0045765D"/>
    <w:rsid w:val="0046190A"/>
    <w:rsid w:val="00462720"/>
    <w:rsid w:val="00463194"/>
    <w:rsid w:val="00463A7C"/>
    <w:rsid w:val="00463BEF"/>
    <w:rsid w:val="0046439C"/>
    <w:rsid w:val="00465B05"/>
    <w:rsid w:val="004661DC"/>
    <w:rsid w:val="00466216"/>
    <w:rsid w:val="00466272"/>
    <w:rsid w:val="00466A83"/>
    <w:rsid w:val="00466CB7"/>
    <w:rsid w:val="004756B8"/>
    <w:rsid w:val="00475C01"/>
    <w:rsid w:val="00476C4F"/>
    <w:rsid w:val="00477839"/>
    <w:rsid w:val="0048161D"/>
    <w:rsid w:val="00484DCB"/>
    <w:rsid w:val="00485807"/>
    <w:rsid w:val="00486F21"/>
    <w:rsid w:val="00490DB6"/>
    <w:rsid w:val="00491D02"/>
    <w:rsid w:val="00494DF8"/>
    <w:rsid w:val="0049773C"/>
    <w:rsid w:val="00497A21"/>
    <w:rsid w:val="00497B72"/>
    <w:rsid w:val="00497C48"/>
    <w:rsid w:val="004A0500"/>
    <w:rsid w:val="004A2375"/>
    <w:rsid w:val="004A54FA"/>
    <w:rsid w:val="004A5653"/>
    <w:rsid w:val="004A6F71"/>
    <w:rsid w:val="004B0599"/>
    <w:rsid w:val="004B1024"/>
    <w:rsid w:val="004B106B"/>
    <w:rsid w:val="004B1EB9"/>
    <w:rsid w:val="004B3E8E"/>
    <w:rsid w:val="004B45E5"/>
    <w:rsid w:val="004B6325"/>
    <w:rsid w:val="004B6703"/>
    <w:rsid w:val="004B71ED"/>
    <w:rsid w:val="004B78DB"/>
    <w:rsid w:val="004C07E6"/>
    <w:rsid w:val="004C17FC"/>
    <w:rsid w:val="004C2140"/>
    <w:rsid w:val="004C2886"/>
    <w:rsid w:val="004C47A1"/>
    <w:rsid w:val="004C4E1B"/>
    <w:rsid w:val="004D0B9D"/>
    <w:rsid w:val="004D0F24"/>
    <w:rsid w:val="004D5A7D"/>
    <w:rsid w:val="004D6093"/>
    <w:rsid w:val="004E074A"/>
    <w:rsid w:val="004E13D3"/>
    <w:rsid w:val="004E3D6B"/>
    <w:rsid w:val="004E5327"/>
    <w:rsid w:val="004E58C1"/>
    <w:rsid w:val="004E7CFB"/>
    <w:rsid w:val="004F292D"/>
    <w:rsid w:val="004F2CB8"/>
    <w:rsid w:val="004F403D"/>
    <w:rsid w:val="004F4CB1"/>
    <w:rsid w:val="004F60DD"/>
    <w:rsid w:val="004F6EC1"/>
    <w:rsid w:val="004F7A61"/>
    <w:rsid w:val="005009D5"/>
    <w:rsid w:val="00502924"/>
    <w:rsid w:val="0051205F"/>
    <w:rsid w:val="005127DD"/>
    <w:rsid w:val="0051523C"/>
    <w:rsid w:val="00515D76"/>
    <w:rsid w:val="00516283"/>
    <w:rsid w:val="00517D74"/>
    <w:rsid w:val="005210F9"/>
    <w:rsid w:val="0052452A"/>
    <w:rsid w:val="00524B57"/>
    <w:rsid w:val="0052584F"/>
    <w:rsid w:val="00525EC2"/>
    <w:rsid w:val="00527321"/>
    <w:rsid w:val="0053036B"/>
    <w:rsid w:val="00531C6D"/>
    <w:rsid w:val="00535EDD"/>
    <w:rsid w:val="00536755"/>
    <w:rsid w:val="00541093"/>
    <w:rsid w:val="00542B53"/>
    <w:rsid w:val="00543990"/>
    <w:rsid w:val="00544C43"/>
    <w:rsid w:val="00550EDE"/>
    <w:rsid w:val="0055115A"/>
    <w:rsid w:val="00553F85"/>
    <w:rsid w:val="005543B1"/>
    <w:rsid w:val="0055479E"/>
    <w:rsid w:val="00554B76"/>
    <w:rsid w:val="00560393"/>
    <w:rsid w:val="00564A66"/>
    <w:rsid w:val="00564F13"/>
    <w:rsid w:val="005663B8"/>
    <w:rsid w:val="0056667F"/>
    <w:rsid w:val="00566D9D"/>
    <w:rsid w:val="00570DAF"/>
    <w:rsid w:val="00572AB5"/>
    <w:rsid w:val="005753A9"/>
    <w:rsid w:val="00577669"/>
    <w:rsid w:val="005776B7"/>
    <w:rsid w:val="00577A36"/>
    <w:rsid w:val="00580083"/>
    <w:rsid w:val="00582291"/>
    <w:rsid w:val="00582501"/>
    <w:rsid w:val="005860DB"/>
    <w:rsid w:val="005867BD"/>
    <w:rsid w:val="00586C63"/>
    <w:rsid w:val="00587144"/>
    <w:rsid w:val="00590FB3"/>
    <w:rsid w:val="005910B6"/>
    <w:rsid w:val="005916EB"/>
    <w:rsid w:val="00591FC3"/>
    <w:rsid w:val="00593378"/>
    <w:rsid w:val="00594380"/>
    <w:rsid w:val="00594BF7"/>
    <w:rsid w:val="0059530B"/>
    <w:rsid w:val="005A0CF3"/>
    <w:rsid w:val="005A3258"/>
    <w:rsid w:val="005A3F66"/>
    <w:rsid w:val="005A4A7C"/>
    <w:rsid w:val="005A5870"/>
    <w:rsid w:val="005B378B"/>
    <w:rsid w:val="005B3E97"/>
    <w:rsid w:val="005B404C"/>
    <w:rsid w:val="005B5A6A"/>
    <w:rsid w:val="005B618A"/>
    <w:rsid w:val="005B6FCA"/>
    <w:rsid w:val="005B7E50"/>
    <w:rsid w:val="005C0A46"/>
    <w:rsid w:val="005C1954"/>
    <w:rsid w:val="005C27B7"/>
    <w:rsid w:val="005C3FB8"/>
    <w:rsid w:val="005C42FA"/>
    <w:rsid w:val="005C445B"/>
    <w:rsid w:val="005C540F"/>
    <w:rsid w:val="005D06F3"/>
    <w:rsid w:val="005D0AF1"/>
    <w:rsid w:val="005D0B1E"/>
    <w:rsid w:val="005D1713"/>
    <w:rsid w:val="005D183D"/>
    <w:rsid w:val="005D1922"/>
    <w:rsid w:val="005D1D94"/>
    <w:rsid w:val="005D3340"/>
    <w:rsid w:val="005D3857"/>
    <w:rsid w:val="005D44BE"/>
    <w:rsid w:val="005D5A16"/>
    <w:rsid w:val="005D7CD1"/>
    <w:rsid w:val="005E0579"/>
    <w:rsid w:val="005E1167"/>
    <w:rsid w:val="005E181F"/>
    <w:rsid w:val="005E2089"/>
    <w:rsid w:val="005E2213"/>
    <w:rsid w:val="005E3594"/>
    <w:rsid w:val="005E3AC1"/>
    <w:rsid w:val="005E452A"/>
    <w:rsid w:val="005E4883"/>
    <w:rsid w:val="005E5159"/>
    <w:rsid w:val="005E6923"/>
    <w:rsid w:val="005E6B64"/>
    <w:rsid w:val="005F093A"/>
    <w:rsid w:val="005F09F8"/>
    <w:rsid w:val="005F0F47"/>
    <w:rsid w:val="005F0FFD"/>
    <w:rsid w:val="005F45D0"/>
    <w:rsid w:val="005F60FF"/>
    <w:rsid w:val="006008BA"/>
    <w:rsid w:val="00601E09"/>
    <w:rsid w:val="00604B7F"/>
    <w:rsid w:val="00607CF8"/>
    <w:rsid w:val="00610072"/>
    <w:rsid w:val="006115BF"/>
    <w:rsid w:val="006153AF"/>
    <w:rsid w:val="0061695E"/>
    <w:rsid w:val="00617CA1"/>
    <w:rsid w:val="00617E4F"/>
    <w:rsid w:val="00621848"/>
    <w:rsid w:val="00623FDB"/>
    <w:rsid w:val="006267AB"/>
    <w:rsid w:val="00627334"/>
    <w:rsid w:val="00632B5F"/>
    <w:rsid w:val="006335BE"/>
    <w:rsid w:val="00633C27"/>
    <w:rsid w:val="00637105"/>
    <w:rsid w:val="006371BE"/>
    <w:rsid w:val="00637A38"/>
    <w:rsid w:val="00640AC5"/>
    <w:rsid w:val="00641EA2"/>
    <w:rsid w:val="00643E46"/>
    <w:rsid w:val="00644E93"/>
    <w:rsid w:val="006466AD"/>
    <w:rsid w:val="00646E28"/>
    <w:rsid w:val="006516E0"/>
    <w:rsid w:val="00651716"/>
    <w:rsid w:val="006523AF"/>
    <w:rsid w:val="006533BF"/>
    <w:rsid w:val="006557A2"/>
    <w:rsid w:val="00655A54"/>
    <w:rsid w:val="00663105"/>
    <w:rsid w:val="00664DFD"/>
    <w:rsid w:val="006653B8"/>
    <w:rsid w:val="006654A7"/>
    <w:rsid w:val="00665C7B"/>
    <w:rsid w:val="00666C8C"/>
    <w:rsid w:val="00666E6A"/>
    <w:rsid w:val="006707B6"/>
    <w:rsid w:val="006709D5"/>
    <w:rsid w:val="006723A1"/>
    <w:rsid w:val="006729B5"/>
    <w:rsid w:val="00674C5B"/>
    <w:rsid w:val="00676187"/>
    <w:rsid w:val="006769BF"/>
    <w:rsid w:val="00677347"/>
    <w:rsid w:val="006802B6"/>
    <w:rsid w:val="00680726"/>
    <w:rsid w:val="00680DD4"/>
    <w:rsid w:val="00681402"/>
    <w:rsid w:val="00681B0A"/>
    <w:rsid w:val="00681FE6"/>
    <w:rsid w:val="00682588"/>
    <w:rsid w:val="00682D5A"/>
    <w:rsid w:val="00685CF7"/>
    <w:rsid w:val="00690AC7"/>
    <w:rsid w:val="006914C5"/>
    <w:rsid w:val="006941A1"/>
    <w:rsid w:val="00694221"/>
    <w:rsid w:val="0069681F"/>
    <w:rsid w:val="006974AF"/>
    <w:rsid w:val="006A39A0"/>
    <w:rsid w:val="006A3AAF"/>
    <w:rsid w:val="006A57D1"/>
    <w:rsid w:val="006A7295"/>
    <w:rsid w:val="006A7850"/>
    <w:rsid w:val="006A7B3A"/>
    <w:rsid w:val="006B212C"/>
    <w:rsid w:val="006B2F10"/>
    <w:rsid w:val="006B3BE0"/>
    <w:rsid w:val="006B61CE"/>
    <w:rsid w:val="006B699F"/>
    <w:rsid w:val="006C14B2"/>
    <w:rsid w:val="006C1E86"/>
    <w:rsid w:val="006C3036"/>
    <w:rsid w:val="006C31FE"/>
    <w:rsid w:val="006C3415"/>
    <w:rsid w:val="006C725D"/>
    <w:rsid w:val="006D0767"/>
    <w:rsid w:val="006D0CD6"/>
    <w:rsid w:val="006D1C86"/>
    <w:rsid w:val="006D4DB1"/>
    <w:rsid w:val="006D5540"/>
    <w:rsid w:val="006D5D62"/>
    <w:rsid w:val="006E0B7D"/>
    <w:rsid w:val="006E2B60"/>
    <w:rsid w:val="006E2C1D"/>
    <w:rsid w:val="006E4842"/>
    <w:rsid w:val="006E7ACA"/>
    <w:rsid w:val="006F0979"/>
    <w:rsid w:val="006F1029"/>
    <w:rsid w:val="006F1495"/>
    <w:rsid w:val="006F1EFD"/>
    <w:rsid w:val="006F1F8D"/>
    <w:rsid w:val="006F3336"/>
    <w:rsid w:val="006F73EB"/>
    <w:rsid w:val="0070093F"/>
    <w:rsid w:val="00701BE5"/>
    <w:rsid w:val="007069A1"/>
    <w:rsid w:val="00706A05"/>
    <w:rsid w:val="00707544"/>
    <w:rsid w:val="00707B56"/>
    <w:rsid w:val="0071045E"/>
    <w:rsid w:val="00713109"/>
    <w:rsid w:val="00714893"/>
    <w:rsid w:val="00715AAD"/>
    <w:rsid w:val="00715F2A"/>
    <w:rsid w:val="00717F4C"/>
    <w:rsid w:val="007255DE"/>
    <w:rsid w:val="0072760D"/>
    <w:rsid w:val="00730224"/>
    <w:rsid w:val="0073112A"/>
    <w:rsid w:val="00732AE5"/>
    <w:rsid w:val="007330C1"/>
    <w:rsid w:val="0073500C"/>
    <w:rsid w:val="00735BA1"/>
    <w:rsid w:val="00735C39"/>
    <w:rsid w:val="00737E80"/>
    <w:rsid w:val="0074039D"/>
    <w:rsid w:val="007404AF"/>
    <w:rsid w:val="00740981"/>
    <w:rsid w:val="0074421E"/>
    <w:rsid w:val="00745904"/>
    <w:rsid w:val="007500D6"/>
    <w:rsid w:val="00751957"/>
    <w:rsid w:val="00751AE0"/>
    <w:rsid w:val="00752382"/>
    <w:rsid w:val="00753698"/>
    <w:rsid w:val="00754119"/>
    <w:rsid w:val="007619FB"/>
    <w:rsid w:val="00762300"/>
    <w:rsid w:val="007624F4"/>
    <w:rsid w:val="007627A5"/>
    <w:rsid w:val="0076293E"/>
    <w:rsid w:val="00762A9D"/>
    <w:rsid w:val="00763604"/>
    <w:rsid w:val="0076384C"/>
    <w:rsid w:val="00766703"/>
    <w:rsid w:val="00766BAC"/>
    <w:rsid w:val="00772297"/>
    <w:rsid w:val="00777FD5"/>
    <w:rsid w:val="007836AC"/>
    <w:rsid w:val="0078482E"/>
    <w:rsid w:val="00786B14"/>
    <w:rsid w:val="007878E6"/>
    <w:rsid w:val="00790948"/>
    <w:rsid w:val="00790EA2"/>
    <w:rsid w:val="00792B47"/>
    <w:rsid w:val="00793DF0"/>
    <w:rsid w:val="007978F2"/>
    <w:rsid w:val="00797E74"/>
    <w:rsid w:val="007A0603"/>
    <w:rsid w:val="007A0DFF"/>
    <w:rsid w:val="007A201C"/>
    <w:rsid w:val="007A3CF5"/>
    <w:rsid w:val="007A45D7"/>
    <w:rsid w:val="007A4FD4"/>
    <w:rsid w:val="007A6EC5"/>
    <w:rsid w:val="007B31E0"/>
    <w:rsid w:val="007B32EE"/>
    <w:rsid w:val="007B331E"/>
    <w:rsid w:val="007B384E"/>
    <w:rsid w:val="007B538A"/>
    <w:rsid w:val="007B5E68"/>
    <w:rsid w:val="007C1A69"/>
    <w:rsid w:val="007C1C87"/>
    <w:rsid w:val="007C2519"/>
    <w:rsid w:val="007C47D8"/>
    <w:rsid w:val="007C4E8A"/>
    <w:rsid w:val="007C510E"/>
    <w:rsid w:val="007C62E7"/>
    <w:rsid w:val="007C768F"/>
    <w:rsid w:val="007C7832"/>
    <w:rsid w:val="007C7D70"/>
    <w:rsid w:val="007D0694"/>
    <w:rsid w:val="007D0A37"/>
    <w:rsid w:val="007D0AF8"/>
    <w:rsid w:val="007D3B5B"/>
    <w:rsid w:val="007D4F37"/>
    <w:rsid w:val="007D7D03"/>
    <w:rsid w:val="007E0F38"/>
    <w:rsid w:val="007E128A"/>
    <w:rsid w:val="007E162A"/>
    <w:rsid w:val="007E29E2"/>
    <w:rsid w:val="007E3207"/>
    <w:rsid w:val="007E4900"/>
    <w:rsid w:val="007E66CA"/>
    <w:rsid w:val="007F04A7"/>
    <w:rsid w:val="007F189A"/>
    <w:rsid w:val="007F1963"/>
    <w:rsid w:val="007F196F"/>
    <w:rsid w:val="007F20B2"/>
    <w:rsid w:val="007F2D7B"/>
    <w:rsid w:val="007F4EE2"/>
    <w:rsid w:val="007F4F44"/>
    <w:rsid w:val="007F665A"/>
    <w:rsid w:val="007F7FB9"/>
    <w:rsid w:val="00800138"/>
    <w:rsid w:val="008014AC"/>
    <w:rsid w:val="008027CC"/>
    <w:rsid w:val="0080290B"/>
    <w:rsid w:val="008037F9"/>
    <w:rsid w:val="008050D5"/>
    <w:rsid w:val="00805768"/>
    <w:rsid w:val="008101EC"/>
    <w:rsid w:val="0081047E"/>
    <w:rsid w:val="00811EC7"/>
    <w:rsid w:val="008128F8"/>
    <w:rsid w:val="00813A67"/>
    <w:rsid w:val="00814B4B"/>
    <w:rsid w:val="0081513D"/>
    <w:rsid w:val="00815318"/>
    <w:rsid w:val="00816561"/>
    <w:rsid w:val="00816B4D"/>
    <w:rsid w:val="0082284E"/>
    <w:rsid w:val="00827429"/>
    <w:rsid w:val="0083124A"/>
    <w:rsid w:val="008329A8"/>
    <w:rsid w:val="00832B17"/>
    <w:rsid w:val="00833127"/>
    <w:rsid w:val="00833573"/>
    <w:rsid w:val="00833FF6"/>
    <w:rsid w:val="0084311A"/>
    <w:rsid w:val="00845210"/>
    <w:rsid w:val="00846D23"/>
    <w:rsid w:val="00846DCB"/>
    <w:rsid w:val="008470EE"/>
    <w:rsid w:val="008470F3"/>
    <w:rsid w:val="0084739C"/>
    <w:rsid w:val="00847DA1"/>
    <w:rsid w:val="00847F2E"/>
    <w:rsid w:val="00850155"/>
    <w:rsid w:val="0085571C"/>
    <w:rsid w:val="00862137"/>
    <w:rsid w:val="00862461"/>
    <w:rsid w:val="00863051"/>
    <w:rsid w:val="00863FCD"/>
    <w:rsid w:val="0086439D"/>
    <w:rsid w:val="00865E4C"/>
    <w:rsid w:val="00866037"/>
    <w:rsid w:val="00866A4D"/>
    <w:rsid w:val="008673DB"/>
    <w:rsid w:val="00867AFD"/>
    <w:rsid w:val="008708F0"/>
    <w:rsid w:val="00870A7B"/>
    <w:rsid w:val="00871324"/>
    <w:rsid w:val="00872E6E"/>
    <w:rsid w:val="00877BD7"/>
    <w:rsid w:val="00880037"/>
    <w:rsid w:val="00880E72"/>
    <w:rsid w:val="0088155F"/>
    <w:rsid w:val="0088306B"/>
    <w:rsid w:val="00883A21"/>
    <w:rsid w:val="00885058"/>
    <w:rsid w:val="00885B2D"/>
    <w:rsid w:val="00886C8B"/>
    <w:rsid w:val="008873DA"/>
    <w:rsid w:val="00887AC2"/>
    <w:rsid w:val="00887B0C"/>
    <w:rsid w:val="008915DA"/>
    <w:rsid w:val="0089208D"/>
    <w:rsid w:val="008930A1"/>
    <w:rsid w:val="00893AAC"/>
    <w:rsid w:val="00894CBD"/>
    <w:rsid w:val="008951F9"/>
    <w:rsid w:val="008957B1"/>
    <w:rsid w:val="00896C69"/>
    <w:rsid w:val="00896CE5"/>
    <w:rsid w:val="008970A8"/>
    <w:rsid w:val="0089737A"/>
    <w:rsid w:val="008A224B"/>
    <w:rsid w:val="008A3098"/>
    <w:rsid w:val="008A4C92"/>
    <w:rsid w:val="008A6342"/>
    <w:rsid w:val="008B0352"/>
    <w:rsid w:val="008B07EB"/>
    <w:rsid w:val="008B17C2"/>
    <w:rsid w:val="008B21CB"/>
    <w:rsid w:val="008B3191"/>
    <w:rsid w:val="008B40E7"/>
    <w:rsid w:val="008B6BDF"/>
    <w:rsid w:val="008B752A"/>
    <w:rsid w:val="008B7F3E"/>
    <w:rsid w:val="008C0092"/>
    <w:rsid w:val="008C2432"/>
    <w:rsid w:val="008C3D59"/>
    <w:rsid w:val="008C54E5"/>
    <w:rsid w:val="008C6189"/>
    <w:rsid w:val="008D07EF"/>
    <w:rsid w:val="008D29B3"/>
    <w:rsid w:val="008D3EFA"/>
    <w:rsid w:val="008D4D77"/>
    <w:rsid w:val="008D4D8D"/>
    <w:rsid w:val="008D50E8"/>
    <w:rsid w:val="008D5F1D"/>
    <w:rsid w:val="008D7163"/>
    <w:rsid w:val="008D7750"/>
    <w:rsid w:val="008E003B"/>
    <w:rsid w:val="008E1B28"/>
    <w:rsid w:val="008E2994"/>
    <w:rsid w:val="008E2FB8"/>
    <w:rsid w:val="008E304C"/>
    <w:rsid w:val="008E51B3"/>
    <w:rsid w:val="008E63FF"/>
    <w:rsid w:val="008E6D92"/>
    <w:rsid w:val="008E792D"/>
    <w:rsid w:val="008E7B65"/>
    <w:rsid w:val="008F0DFE"/>
    <w:rsid w:val="008F21C1"/>
    <w:rsid w:val="008F3DA3"/>
    <w:rsid w:val="008F498D"/>
    <w:rsid w:val="008F4A5D"/>
    <w:rsid w:val="008F55CB"/>
    <w:rsid w:val="008F71A6"/>
    <w:rsid w:val="008F7D00"/>
    <w:rsid w:val="008F7DC4"/>
    <w:rsid w:val="009001C5"/>
    <w:rsid w:val="0090102E"/>
    <w:rsid w:val="00902C2D"/>
    <w:rsid w:val="00902E16"/>
    <w:rsid w:val="00904531"/>
    <w:rsid w:val="00905A21"/>
    <w:rsid w:val="009067F6"/>
    <w:rsid w:val="009104AA"/>
    <w:rsid w:val="00910DF7"/>
    <w:rsid w:val="009116DC"/>
    <w:rsid w:val="00912D2F"/>
    <w:rsid w:val="00912E7D"/>
    <w:rsid w:val="00912F6C"/>
    <w:rsid w:val="009136EF"/>
    <w:rsid w:val="00914828"/>
    <w:rsid w:val="00917141"/>
    <w:rsid w:val="00920EB4"/>
    <w:rsid w:val="00922C26"/>
    <w:rsid w:val="009262C5"/>
    <w:rsid w:val="00926682"/>
    <w:rsid w:val="00930928"/>
    <w:rsid w:val="009320FF"/>
    <w:rsid w:val="009348AB"/>
    <w:rsid w:val="009371E2"/>
    <w:rsid w:val="00941ED6"/>
    <w:rsid w:val="00943641"/>
    <w:rsid w:val="00945707"/>
    <w:rsid w:val="009468D4"/>
    <w:rsid w:val="00947184"/>
    <w:rsid w:val="00950E4E"/>
    <w:rsid w:val="0095152D"/>
    <w:rsid w:val="009515E5"/>
    <w:rsid w:val="00951C2A"/>
    <w:rsid w:val="009521B1"/>
    <w:rsid w:val="00952EF6"/>
    <w:rsid w:val="00956F34"/>
    <w:rsid w:val="00957224"/>
    <w:rsid w:val="00960BD8"/>
    <w:rsid w:val="0096105B"/>
    <w:rsid w:val="00961336"/>
    <w:rsid w:val="00962040"/>
    <w:rsid w:val="009643CE"/>
    <w:rsid w:val="009644CA"/>
    <w:rsid w:val="009654BA"/>
    <w:rsid w:val="00973098"/>
    <w:rsid w:val="009746DD"/>
    <w:rsid w:val="009768EE"/>
    <w:rsid w:val="00976DE0"/>
    <w:rsid w:val="00977EB4"/>
    <w:rsid w:val="00980A7B"/>
    <w:rsid w:val="00983A86"/>
    <w:rsid w:val="00983C8F"/>
    <w:rsid w:val="009841B8"/>
    <w:rsid w:val="0098438D"/>
    <w:rsid w:val="00987057"/>
    <w:rsid w:val="00990397"/>
    <w:rsid w:val="00993893"/>
    <w:rsid w:val="009948B0"/>
    <w:rsid w:val="00994A99"/>
    <w:rsid w:val="00994F51"/>
    <w:rsid w:val="009A0222"/>
    <w:rsid w:val="009A121F"/>
    <w:rsid w:val="009A355B"/>
    <w:rsid w:val="009A556B"/>
    <w:rsid w:val="009A613E"/>
    <w:rsid w:val="009A644B"/>
    <w:rsid w:val="009B08DF"/>
    <w:rsid w:val="009B1DA2"/>
    <w:rsid w:val="009B392C"/>
    <w:rsid w:val="009B3E60"/>
    <w:rsid w:val="009B4271"/>
    <w:rsid w:val="009B449C"/>
    <w:rsid w:val="009B4B7A"/>
    <w:rsid w:val="009B69B2"/>
    <w:rsid w:val="009B749F"/>
    <w:rsid w:val="009B7719"/>
    <w:rsid w:val="009C177E"/>
    <w:rsid w:val="009C4086"/>
    <w:rsid w:val="009CF7BF"/>
    <w:rsid w:val="009D073B"/>
    <w:rsid w:val="009D3109"/>
    <w:rsid w:val="009D3265"/>
    <w:rsid w:val="009D3B40"/>
    <w:rsid w:val="009D4BA3"/>
    <w:rsid w:val="009D4C78"/>
    <w:rsid w:val="009D51B7"/>
    <w:rsid w:val="009D6218"/>
    <w:rsid w:val="009D6644"/>
    <w:rsid w:val="009D6850"/>
    <w:rsid w:val="009D7744"/>
    <w:rsid w:val="009E078B"/>
    <w:rsid w:val="009E19E0"/>
    <w:rsid w:val="009E21D6"/>
    <w:rsid w:val="009E30E4"/>
    <w:rsid w:val="009E31FB"/>
    <w:rsid w:val="009E500B"/>
    <w:rsid w:val="009E56D1"/>
    <w:rsid w:val="009E5D68"/>
    <w:rsid w:val="009E69A8"/>
    <w:rsid w:val="009E6F0A"/>
    <w:rsid w:val="009F152B"/>
    <w:rsid w:val="009F273B"/>
    <w:rsid w:val="009F2D52"/>
    <w:rsid w:val="009F3632"/>
    <w:rsid w:val="009F39DE"/>
    <w:rsid w:val="009F3E8A"/>
    <w:rsid w:val="009F70A2"/>
    <w:rsid w:val="00A0082F"/>
    <w:rsid w:val="00A023C1"/>
    <w:rsid w:val="00A02EE4"/>
    <w:rsid w:val="00A02EF9"/>
    <w:rsid w:val="00A042D6"/>
    <w:rsid w:val="00A0509D"/>
    <w:rsid w:val="00A07FDD"/>
    <w:rsid w:val="00A12702"/>
    <w:rsid w:val="00A16356"/>
    <w:rsid w:val="00A225F0"/>
    <w:rsid w:val="00A23269"/>
    <w:rsid w:val="00A24A69"/>
    <w:rsid w:val="00A30198"/>
    <w:rsid w:val="00A30E72"/>
    <w:rsid w:val="00A32B5B"/>
    <w:rsid w:val="00A35BBA"/>
    <w:rsid w:val="00A35C23"/>
    <w:rsid w:val="00A36149"/>
    <w:rsid w:val="00A41CCA"/>
    <w:rsid w:val="00A44186"/>
    <w:rsid w:val="00A45369"/>
    <w:rsid w:val="00A4558C"/>
    <w:rsid w:val="00A51044"/>
    <w:rsid w:val="00A517A0"/>
    <w:rsid w:val="00A51B5D"/>
    <w:rsid w:val="00A53343"/>
    <w:rsid w:val="00A53D1F"/>
    <w:rsid w:val="00A55477"/>
    <w:rsid w:val="00A5571B"/>
    <w:rsid w:val="00A60164"/>
    <w:rsid w:val="00A6520B"/>
    <w:rsid w:val="00A700F6"/>
    <w:rsid w:val="00A7058B"/>
    <w:rsid w:val="00A70E36"/>
    <w:rsid w:val="00A70EE5"/>
    <w:rsid w:val="00A7137C"/>
    <w:rsid w:val="00A7237C"/>
    <w:rsid w:val="00A729FC"/>
    <w:rsid w:val="00A73357"/>
    <w:rsid w:val="00A73BDE"/>
    <w:rsid w:val="00A73F1E"/>
    <w:rsid w:val="00A7470C"/>
    <w:rsid w:val="00A75330"/>
    <w:rsid w:val="00A75E6A"/>
    <w:rsid w:val="00A7659F"/>
    <w:rsid w:val="00A76715"/>
    <w:rsid w:val="00A76A8B"/>
    <w:rsid w:val="00A76D11"/>
    <w:rsid w:val="00A774C7"/>
    <w:rsid w:val="00A8230C"/>
    <w:rsid w:val="00A84814"/>
    <w:rsid w:val="00A90094"/>
    <w:rsid w:val="00A90373"/>
    <w:rsid w:val="00A9338B"/>
    <w:rsid w:val="00A93F9B"/>
    <w:rsid w:val="00A9431B"/>
    <w:rsid w:val="00A94FF6"/>
    <w:rsid w:val="00A957EB"/>
    <w:rsid w:val="00A966CE"/>
    <w:rsid w:val="00A970D0"/>
    <w:rsid w:val="00AA225E"/>
    <w:rsid w:val="00AA2352"/>
    <w:rsid w:val="00AA6367"/>
    <w:rsid w:val="00AA6FC4"/>
    <w:rsid w:val="00AB2202"/>
    <w:rsid w:val="00AB25A4"/>
    <w:rsid w:val="00AB3A31"/>
    <w:rsid w:val="00AB3E60"/>
    <w:rsid w:val="00AB4FC7"/>
    <w:rsid w:val="00AB65B5"/>
    <w:rsid w:val="00AB787E"/>
    <w:rsid w:val="00AC35B7"/>
    <w:rsid w:val="00AC373D"/>
    <w:rsid w:val="00AC7C88"/>
    <w:rsid w:val="00AD1342"/>
    <w:rsid w:val="00AD1739"/>
    <w:rsid w:val="00AD4B8B"/>
    <w:rsid w:val="00AD5ED8"/>
    <w:rsid w:val="00AD6342"/>
    <w:rsid w:val="00AE1641"/>
    <w:rsid w:val="00AE176D"/>
    <w:rsid w:val="00AE349D"/>
    <w:rsid w:val="00AE3A61"/>
    <w:rsid w:val="00AE44BC"/>
    <w:rsid w:val="00AE471F"/>
    <w:rsid w:val="00AE6195"/>
    <w:rsid w:val="00AE6E3A"/>
    <w:rsid w:val="00AF0714"/>
    <w:rsid w:val="00AF0BDD"/>
    <w:rsid w:val="00AF15AE"/>
    <w:rsid w:val="00AF2290"/>
    <w:rsid w:val="00AF2E92"/>
    <w:rsid w:val="00AF42BE"/>
    <w:rsid w:val="00AF53F8"/>
    <w:rsid w:val="00AF5665"/>
    <w:rsid w:val="00B00FD7"/>
    <w:rsid w:val="00B01EC8"/>
    <w:rsid w:val="00B02B15"/>
    <w:rsid w:val="00B03079"/>
    <w:rsid w:val="00B036C6"/>
    <w:rsid w:val="00B05511"/>
    <w:rsid w:val="00B058C9"/>
    <w:rsid w:val="00B1122A"/>
    <w:rsid w:val="00B12469"/>
    <w:rsid w:val="00B140EB"/>
    <w:rsid w:val="00B14935"/>
    <w:rsid w:val="00B15D5F"/>
    <w:rsid w:val="00B17929"/>
    <w:rsid w:val="00B23C46"/>
    <w:rsid w:val="00B24C9E"/>
    <w:rsid w:val="00B27FB6"/>
    <w:rsid w:val="00B30FCE"/>
    <w:rsid w:val="00B313C0"/>
    <w:rsid w:val="00B31DD8"/>
    <w:rsid w:val="00B34038"/>
    <w:rsid w:val="00B35655"/>
    <w:rsid w:val="00B360EA"/>
    <w:rsid w:val="00B41356"/>
    <w:rsid w:val="00B42D07"/>
    <w:rsid w:val="00B43C43"/>
    <w:rsid w:val="00B44E97"/>
    <w:rsid w:val="00B45422"/>
    <w:rsid w:val="00B454B4"/>
    <w:rsid w:val="00B45620"/>
    <w:rsid w:val="00B46283"/>
    <w:rsid w:val="00B46BAB"/>
    <w:rsid w:val="00B46FA8"/>
    <w:rsid w:val="00B50350"/>
    <w:rsid w:val="00B50F67"/>
    <w:rsid w:val="00B51C34"/>
    <w:rsid w:val="00B539A0"/>
    <w:rsid w:val="00B53F88"/>
    <w:rsid w:val="00B55750"/>
    <w:rsid w:val="00B605DC"/>
    <w:rsid w:val="00B60FE9"/>
    <w:rsid w:val="00B61532"/>
    <w:rsid w:val="00B627A8"/>
    <w:rsid w:val="00B63BB2"/>
    <w:rsid w:val="00B64FBD"/>
    <w:rsid w:val="00B65600"/>
    <w:rsid w:val="00B65980"/>
    <w:rsid w:val="00B6720C"/>
    <w:rsid w:val="00B67E6E"/>
    <w:rsid w:val="00B7099B"/>
    <w:rsid w:val="00B713BD"/>
    <w:rsid w:val="00B74355"/>
    <w:rsid w:val="00B75CDC"/>
    <w:rsid w:val="00B76DB2"/>
    <w:rsid w:val="00B821C3"/>
    <w:rsid w:val="00B82CE9"/>
    <w:rsid w:val="00B82FB0"/>
    <w:rsid w:val="00B8309C"/>
    <w:rsid w:val="00B83AE9"/>
    <w:rsid w:val="00B85691"/>
    <w:rsid w:val="00B85AD6"/>
    <w:rsid w:val="00B86B5F"/>
    <w:rsid w:val="00B8743D"/>
    <w:rsid w:val="00B87FB4"/>
    <w:rsid w:val="00B90DB5"/>
    <w:rsid w:val="00B919FC"/>
    <w:rsid w:val="00B91EA6"/>
    <w:rsid w:val="00B92AD0"/>
    <w:rsid w:val="00B9300E"/>
    <w:rsid w:val="00B933A9"/>
    <w:rsid w:val="00B93CCD"/>
    <w:rsid w:val="00B95110"/>
    <w:rsid w:val="00B957DE"/>
    <w:rsid w:val="00BA3B3B"/>
    <w:rsid w:val="00BA3C71"/>
    <w:rsid w:val="00BA5918"/>
    <w:rsid w:val="00BA6785"/>
    <w:rsid w:val="00BA69B5"/>
    <w:rsid w:val="00BA761F"/>
    <w:rsid w:val="00BB0068"/>
    <w:rsid w:val="00BB0B80"/>
    <w:rsid w:val="00BB2F50"/>
    <w:rsid w:val="00BB6D9D"/>
    <w:rsid w:val="00BC128B"/>
    <w:rsid w:val="00BC39E0"/>
    <w:rsid w:val="00BC56F0"/>
    <w:rsid w:val="00BC5D59"/>
    <w:rsid w:val="00BC683E"/>
    <w:rsid w:val="00BD1B9F"/>
    <w:rsid w:val="00BE19D1"/>
    <w:rsid w:val="00BE23E1"/>
    <w:rsid w:val="00BE2F59"/>
    <w:rsid w:val="00BE4A9A"/>
    <w:rsid w:val="00BE6192"/>
    <w:rsid w:val="00BE78D0"/>
    <w:rsid w:val="00BF00D6"/>
    <w:rsid w:val="00BF0EF9"/>
    <w:rsid w:val="00BF41E0"/>
    <w:rsid w:val="00BF495F"/>
    <w:rsid w:val="00BF658D"/>
    <w:rsid w:val="00BF7AF3"/>
    <w:rsid w:val="00C02BF6"/>
    <w:rsid w:val="00C044DC"/>
    <w:rsid w:val="00C07A5F"/>
    <w:rsid w:val="00C10901"/>
    <w:rsid w:val="00C14748"/>
    <w:rsid w:val="00C14BF8"/>
    <w:rsid w:val="00C15B25"/>
    <w:rsid w:val="00C15F9D"/>
    <w:rsid w:val="00C17B6C"/>
    <w:rsid w:val="00C203CE"/>
    <w:rsid w:val="00C218AA"/>
    <w:rsid w:val="00C22E5D"/>
    <w:rsid w:val="00C2419D"/>
    <w:rsid w:val="00C255F9"/>
    <w:rsid w:val="00C30323"/>
    <w:rsid w:val="00C30877"/>
    <w:rsid w:val="00C318EE"/>
    <w:rsid w:val="00C32D85"/>
    <w:rsid w:val="00C33416"/>
    <w:rsid w:val="00C356D1"/>
    <w:rsid w:val="00C35743"/>
    <w:rsid w:val="00C4116E"/>
    <w:rsid w:val="00C41EBC"/>
    <w:rsid w:val="00C424AE"/>
    <w:rsid w:val="00C42D48"/>
    <w:rsid w:val="00C43469"/>
    <w:rsid w:val="00C45F52"/>
    <w:rsid w:val="00C46A5C"/>
    <w:rsid w:val="00C50AC6"/>
    <w:rsid w:val="00C526DC"/>
    <w:rsid w:val="00C575CB"/>
    <w:rsid w:val="00C61398"/>
    <w:rsid w:val="00C627FD"/>
    <w:rsid w:val="00C641D7"/>
    <w:rsid w:val="00C64908"/>
    <w:rsid w:val="00C66E1D"/>
    <w:rsid w:val="00C70A75"/>
    <w:rsid w:val="00C71B02"/>
    <w:rsid w:val="00C7284F"/>
    <w:rsid w:val="00C72F1F"/>
    <w:rsid w:val="00C7366B"/>
    <w:rsid w:val="00C77F64"/>
    <w:rsid w:val="00C806FB"/>
    <w:rsid w:val="00C81234"/>
    <w:rsid w:val="00C81B6A"/>
    <w:rsid w:val="00C8206B"/>
    <w:rsid w:val="00C82825"/>
    <w:rsid w:val="00C82C63"/>
    <w:rsid w:val="00C844BB"/>
    <w:rsid w:val="00C8564F"/>
    <w:rsid w:val="00C85904"/>
    <w:rsid w:val="00C865BE"/>
    <w:rsid w:val="00C9097C"/>
    <w:rsid w:val="00C91581"/>
    <w:rsid w:val="00C95633"/>
    <w:rsid w:val="00C95A22"/>
    <w:rsid w:val="00C9716F"/>
    <w:rsid w:val="00C97A6D"/>
    <w:rsid w:val="00CA07EB"/>
    <w:rsid w:val="00CA09EB"/>
    <w:rsid w:val="00CA162B"/>
    <w:rsid w:val="00CA23CF"/>
    <w:rsid w:val="00CA4879"/>
    <w:rsid w:val="00CA4EDB"/>
    <w:rsid w:val="00CA5B0E"/>
    <w:rsid w:val="00CA6E90"/>
    <w:rsid w:val="00CA7023"/>
    <w:rsid w:val="00CA752D"/>
    <w:rsid w:val="00CB09BD"/>
    <w:rsid w:val="00CB0BBF"/>
    <w:rsid w:val="00CB2FE3"/>
    <w:rsid w:val="00CB3170"/>
    <w:rsid w:val="00CB3C8A"/>
    <w:rsid w:val="00CB4403"/>
    <w:rsid w:val="00CB65EC"/>
    <w:rsid w:val="00CB6832"/>
    <w:rsid w:val="00CC0D25"/>
    <w:rsid w:val="00CC2E5C"/>
    <w:rsid w:val="00CC3AF8"/>
    <w:rsid w:val="00CC4C4C"/>
    <w:rsid w:val="00CC4CA1"/>
    <w:rsid w:val="00CC5872"/>
    <w:rsid w:val="00CC6182"/>
    <w:rsid w:val="00CD04A8"/>
    <w:rsid w:val="00CD1DD6"/>
    <w:rsid w:val="00CD2BF8"/>
    <w:rsid w:val="00CD5404"/>
    <w:rsid w:val="00CD5BFC"/>
    <w:rsid w:val="00CD6417"/>
    <w:rsid w:val="00CD7704"/>
    <w:rsid w:val="00CE14AA"/>
    <w:rsid w:val="00CE4544"/>
    <w:rsid w:val="00CF7D48"/>
    <w:rsid w:val="00D0185E"/>
    <w:rsid w:val="00D01985"/>
    <w:rsid w:val="00D01ACB"/>
    <w:rsid w:val="00D01E75"/>
    <w:rsid w:val="00D0284F"/>
    <w:rsid w:val="00D040B6"/>
    <w:rsid w:val="00D05677"/>
    <w:rsid w:val="00D05827"/>
    <w:rsid w:val="00D102EC"/>
    <w:rsid w:val="00D10AD3"/>
    <w:rsid w:val="00D132E4"/>
    <w:rsid w:val="00D15DD1"/>
    <w:rsid w:val="00D16516"/>
    <w:rsid w:val="00D17D0C"/>
    <w:rsid w:val="00D200A1"/>
    <w:rsid w:val="00D21103"/>
    <w:rsid w:val="00D21163"/>
    <w:rsid w:val="00D21376"/>
    <w:rsid w:val="00D23719"/>
    <w:rsid w:val="00D32724"/>
    <w:rsid w:val="00D33110"/>
    <w:rsid w:val="00D33FEE"/>
    <w:rsid w:val="00D349E9"/>
    <w:rsid w:val="00D35B0E"/>
    <w:rsid w:val="00D36BBF"/>
    <w:rsid w:val="00D37267"/>
    <w:rsid w:val="00D4238D"/>
    <w:rsid w:val="00D426E3"/>
    <w:rsid w:val="00D434AA"/>
    <w:rsid w:val="00D445BB"/>
    <w:rsid w:val="00D45745"/>
    <w:rsid w:val="00D47036"/>
    <w:rsid w:val="00D47A88"/>
    <w:rsid w:val="00D502C7"/>
    <w:rsid w:val="00D50326"/>
    <w:rsid w:val="00D51C0B"/>
    <w:rsid w:val="00D52C2F"/>
    <w:rsid w:val="00D532E9"/>
    <w:rsid w:val="00D56AC5"/>
    <w:rsid w:val="00D56DBB"/>
    <w:rsid w:val="00D619D5"/>
    <w:rsid w:val="00D61B81"/>
    <w:rsid w:val="00D6241A"/>
    <w:rsid w:val="00D62D4E"/>
    <w:rsid w:val="00D631FC"/>
    <w:rsid w:val="00D63602"/>
    <w:rsid w:val="00D651DF"/>
    <w:rsid w:val="00D667D0"/>
    <w:rsid w:val="00D6774F"/>
    <w:rsid w:val="00D71F4B"/>
    <w:rsid w:val="00D7299A"/>
    <w:rsid w:val="00D73AE9"/>
    <w:rsid w:val="00D74335"/>
    <w:rsid w:val="00D745FA"/>
    <w:rsid w:val="00D74BF7"/>
    <w:rsid w:val="00D75614"/>
    <w:rsid w:val="00D7608F"/>
    <w:rsid w:val="00D76F2A"/>
    <w:rsid w:val="00D8340D"/>
    <w:rsid w:val="00D84FD5"/>
    <w:rsid w:val="00D85145"/>
    <w:rsid w:val="00D86386"/>
    <w:rsid w:val="00D91690"/>
    <w:rsid w:val="00D92D49"/>
    <w:rsid w:val="00D93D9E"/>
    <w:rsid w:val="00D9583F"/>
    <w:rsid w:val="00D95B83"/>
    <w:rsid w:val="00D95D85"/>
    <w:rsid w:val="00DA15A0"/>
    <w:rsid w:val="00DA19EC"/>
    <w:rsid w:val="00DA48A6"/>
    <w:rsid w:val="00DA5450"/>
    <w:rsid w:val="00DA6B18"/>
    <w:rsid w:val="00DA6CF4"/>
    <w:rsid w:val="00DA7D43"/>
    <w:rsid w:val="00DA7D7A"/>
    <w:rsid w:val="00DA7FD7"/>
    <w:rsid w:val="00DB3E09"/>
    <w:rsid w:val="00DB660F"/>
    <w:rsid w:val="00DC0A10"/>
    <w:rsid w:val="00DC0EDF"/>
    <w:rsid w:val="00DC2890"/>
    <w:rsid w:val="00DC4860"/>
    <w:rsid w:val="00DC553C"/>
    <w:rsid w:val="00DC5CF7"/>
    <w:rsid w:val="00DC7280"/>
    <w:rsid w:val="00DC7FA8"/>
    <w:rsid w:val="00DD21F2"/>
    <w:rsid w:val="00DD2998"/>
    <w:rsid w:val="00DD30B2"/>
    <w:rsid w:val="00DD35BA"/>
    <w:rsid w:val="00DD4168"/>
    <w:rsid w:val="00DD5B86"/>
    <w:rsid w:val="00DD5DB9"/>
    <w:rsid w:val="00DD7883"/>
    <w:rsid w:val="00DE62F6"/>
    <w:rsid w:val="00DF0078"/>
    <w:rsid w:val="00DF272A"/>
    <w:rsid w:val="00DF36E2"/>
    <w:rsid w:val="00DF4FF4"/>
    <w:rsid w:val="00DF5AE3"/>
    <w:rsid w:val="00DF61FA"/>
    <w:rsid w:val="00DF782C"/>
    <w:rsid w:val="00E01EF4"/>
    <w:rsid w:val="00E0282E"/>
    <w:rsid w:val="00E02BF6"/>
    <w:rsid w:val="00E05355"/>
    <w:rsid w:val="00E05AB0"/>
    <w:rsid w:val="00E061E3"/>
    <w:rsid w:val="00E06543"/>
    <w:rsid w:val="00E066FD"/>
    <w:rsid w:val="00E1158C"/>
    <w:rsid w:val="00E1193A"/>
    <w:rsid w:val="00E119ED"/>
    <w:rsid w:val="00E12365"/>
    <w:rsid w:val="00E149A7"/>
    <w:rsid w:val="00E15A76"/>
    <w:rsid w:val="00E15E88"/>
    <w:rsid w:val="00E1626C"/>
    <w:rsid w:val="00E1631A"/>
    <w:rsid w:val="00E218E5"/>
    <w:rsid w:val="00E25FC6"/>
    <w:rsid w:val="00E26824"/>
    <w:rsid w:val="00E26D27"/>
    <w:rsid w:val="00E27979"/>
    <w:rsid w:val="00E30793"/>
    <w:rsid w:val="00E35BAB"/>
    <w:rsid w:val="00E424A6"/>
    <w:rsid w:val="00E42A72"/>
    <w:rsid w:val="00E449DC"/>
    <w:rsid w:val="00E4503B"/>
    <w:rsid w:val="00E453C5"/>
    <w:rsid w:val="00E54B68"/>
    <w:rsid w:val="00E55081"/>
    <w:rsid w:val="00E552AF"/>
    <w:rsid w:val="00E56085"/>
    <w:rsid w:val="00E573B0"/>
    <w:rsid w:val="00E57A29"/>
    <w:rsid w:val="00E57E7E"/>
    <w:rsid w:val="00E60511"/>
    <w:rsid w:val="00E61096"/>
    <w:rsid w:val="00E625D2"/>
    <w:rsid w:val="00E6337F"/>
    <w:rsid w:val="00E650E2"/>
    <w:rsid w:val="00E6776E"/>
    <w:rsid w:val="00E70F55"/>
    <w:rsid w:val="00E74F44"/>
    <w:rsid w:val="00E772E7"/>
    <w:rsid w:val="00E7746A"/>
    <w:rsid w:val="00E775C0"/>
    <w:rsid w:val="00E775D5"/>
    <w:rsid w:val="00E84BE6"/>
    <w:rsid w:val="00E85206"/>
    <w:rsid w:val="00E858F8"/>
    <w:rsid w:val="00E8631D"/>
    <w:rsid w:val="00E8635A"/>
    <w:rsid w:val="00E87E76"/>
    <w:rsid w:val="00E91A9E"/>
    <w:rsid w:val="00E92C3D"/>
    <w:rsid w:val="00E9326F"/>
    <w:rsid w:val="00E940D7"/>
    <w:rsid w:val="00E97946"/>
    <w:rsid w:val="00E97A7C"/>
    <w:rsid w:val="00EA0FB4"/>
    <w:rsid w:val="00EA2721"/>
    <w:rsid w:val="00EA4066"/>
    <w:rsid w:val="00EB0384"/>
    <w:rsid w:val="00EB3433"/>
    <w:rsid w:val="00EB38B3"/>
    <w:rsid w:val="00EB5211"/>
    <w:rsid w:val="00EB523E"/>
    <w:rsid w:val="00EB6445"/>
    <w:rsid w:val="00EB6638"/>
    <w:rsid w:val="00EB76FF"/>
    <w:rsid w:val="00EB7E3E"/>
    <w:rsid w:val="00EC09D7"/>
    <w:rsid w:val="00EC12C4"/>
    <w:rsid w:val="00EC4641"/>
    <w:rsid w:val="00EC4A40"/>
    <w:rsid w:val="00EC63A5"/>
    <w:rsid w:val="00EC766F"/>
    <w:rsid w:val="00EC7E31"/>
    <w:rsid w:val="00ED0709"/>
    <w:rsid w:val="00ED33FA"/>
    <w:rsid w:val="00ED426F"/>
    <w:rsid w:val="00ED6006"/>
    <w:rsid w:val="00ED6C9C"/>
    <w:rsid w:val="00EE031A"/>
    <w:rsid w:val="00EE20D8"/>
    <w:rsid w:val="00EE2C83"/>
    <w:rsid w:val="00EE4726"/>
    <w:rsid w:val="00EE545B"/>
    <w:rsid w:val="00EE570B"/>
    <w:rsid w:val="00EE65F2"/>
    <w:rsid w:val="00EE6E2F"/>
    <w:rsid w:val="00EE79A9"/>
    <w:rsid w:val="00EE7C5F"/>
    <w:rsid w:val="00EF18FA"/>
    <w:rsid w:val="00EF2CD3"/>
    <w:rsid w:val="00EF3C88"/>
    <w:rsid w:val="00EF43AF"/>
    <w:rsid w:val="00EF6527"/>
    <w:rsid w:val="00EF7FF7"/>
    <w:rsid w:val="00F01493"/>
    <w:rsid w:val="00F02A25"/>
    <w:rsid w:val="00F05404"/>
    <w:rsid w:val="00F05DB5"/>
    <w:rsid w:val="00F07EB2"/>
    <w:rsid w:val="00F10D95"/>
    <w:rsid w:val="00F11345"/>
    <w:rsid w:val="00F11EC7"/>
    <w:rsid w:val="00F12660"/>
    <w:rsid w:val="00F16EEB"/>
    <w:rsid w:val="00F171D5"/>
    <w:rsid w:val="00F205D7"/>
    <w:rsid w:val="00F206EC"/>
    <w:rsid w:val="00F23AF2"/>
    <w:rsid w:val="00F23BB6"/>
    <w:rsid w:val="00F261B5"/>
    <w:rsid w:val="00F30D05"/>
    <w:rsid w:val="00F30D6A"/>
    <w:rsid w:val="00F328D4"/>
    <w:rsid w:val="00F329B6"/>
    <w:rsid w:val="00F33643"/>
    <w:rsid w:val="00F37315"/>
    <w:rsid w:val="00F40369"/>
    <w:rsid w:val="00F4184D"/>
    <w:rsid w:val="00F42148"/>
    <w:rsid w:val="00F43ED4"/>
    <w:rsid w:val="00F4420D"/>
    <w:rsid w:val="00F44BB7"/>
    <w:rsid w:val="00F4517A"/>
    <w:rsid w:val="00F468DD"/>
    <w:rsid w:val="00F46FAB"/>
    <w:rsid w:val="00F47011"/>
    <w:rsid w:val="00F512CA"/>
    <w:rsid w:val="00F51632"/>
    <w:rsid w:val="00F52F37"/>
    <w:rsid w:val="00F552D1"/>
    <w:rsid w:val="00F558ED"/>
    <w:rsid w:val="00F55DEB"/>
    <w:rsid w:val="00F56DDC"/>
    <w:rsid w:val="00F627E0"/>
    <w:rsid w:val="00F62822"/>
    <w:rsid w:val="00F65788"/>
    <w:rsid w:val="00F65AE8"/>
    <w:rsid w:val="00F67111"/>
    <w:rsid w:val="00F70B2D"/>
    <w:rsid w:val="00F7239D"/>
    <w:rsid w:val="00F73546"/>
    <w:rsid w:val="00F748F3"/>
    <w:rsid w:val="00F757D9"/>
    <w:rsid w:val="00F77713"/>
    <w:rsid w:val="00F77B5C"/>
    <w:rsid w:val="00F80339"/>
    <w:rsid w:val="00F807D6"/>
    <w:rsid w:val="00F8470F"/>
    <w:rsid w:val="00F86483"/>
    <w:rsid w:val="00F86694"/>
    <w:rsid w:val="00F90D91"/>
    <w:rsid w:val="00F9103C"/>
    <w:rsid w:val="00F921F4"/>
    <w:rsid w:val="00F92292"/>
    <w:rsid w:val="00F927AD"/>
    <w:rsid w:val="00F931E6"/>
    <w:rsid w:val="00F9603A"/>
    <w:rsid w:val="00F962B5"/>
    <w:rsid w:val="00FA120B"/>
    <w:rsid w:val="00FA41D5"/>
    <w:rsid w:val="00FA6DCA"/>
    <w:rsid w:val="00FB367A"/>
    <w:rsid w:val="00FB3B02"/>
    <w:rsid w:val="00FB43D9"/>
    <w:rsid w:val="00FB4D15"/>
    <w:rsid w:val="00FB5ED6"/>
    <w:rsid w:val="00FB7CA4"/>
    <w:rsid w:val="00FC0127"/>
    <w:rsid w:val="00FC2FFE"/>
    <w:rsid w:val="00FC5CAD"/>
    <w:rsid w:val="00FD131D"/>
    <w:rsid w:val="00FD22A6"/>
    <w:rsid w:val="00FD2962"/>
    <w:rsid w:val="00FD2A7E"/>
    <w:rsid w:val="00FD4014"/>
    <w:rsid w:val="00FD60C0"/>
    <w:rsid w:val="00FE542D"/>
    <w:rsid w:val="00FE7EE5"/>
    <w:rsid w:val="00FE7FDD"/>
    <w:rsid w:val="00FE7FE2"/>
    <w:rsid w:val="00FF03D6"/>
    <w:rsid w:val="00FF4293"/>
    <w:rsid w:val="00FF67F9"/>
    <w:rsid w:val="00FF742D"/>
    <w:rsid w:val="011B61AA"/>
    <w:rsid w:val="040F133B"/>
    <w:rsid w:val="04C8C1AE"/>
    <w:rsid w:val="069648C3"/>
    <w:rsid w:val="09F904D2"/>
    <w:rsid w:val="0BB69E5B"/>
    <w:rsid w:val="0CCED9D2"/>
    <w:rsid w:val="10D49B47"/>
    <w:rsid w:val="151E4B2E"/>
    <w:rsid w:val="15BE5345"/>
    <w:rsid w:val="166FE5D4"/>
    <w:rsid w:val="191FAA95"/>
    <w:rsid w:val="1AE1F76F"/>
    <w:rsid w:val="1BA4572F"/>
    <w:rsid w:val="1C7AF6B1"/>
    <w:rsid w:val="1C9DF4FF"/>
    <w:rsid w:val="1DDFB0FB"/>
    <w:rsid w:val="1F0DA060"/>
    <w:rsid w:val="201E0863"/>
    <w:rsid w:val="2173AAA1"/>
    <w:rsid w:val="21EF5EEB"/>
    <w:rsid w:val="2293A0CD"/>
    <w:rsid w:val="242880C2"/>
    <w:rsid w:val="24925893"/>
    <w:rsid w:val="263F93E0"/>
    <w:rsid w:val="290EE268"/>
    <w:rsid w:val="300116A1"/>
    <w:rsid w:val="3020EFD9"/>
    <w:rsid w:val="32FD887B"/>
    <w:rsid w:val="3A77359B"/>
    <w:rsid w:val="3EA0E268"/>
    <w:rsid w:val="400CE340"/>
    <w:rsid w:val="40384293"/>
    <w:rsid w:val="40ECD013"/>
    <w:rsid w:val="452D19F8"/>
    <w:rsid w:val="48038888"/>
    <w:rsid w:val="4AB127A3"/>
    <w:rsid w:val="4E7A1F1F"/>
    <w:rsid w:val="4E99D341"/>
    <w:rsid w:val="4F15A54B"/>
    <w:rsid w:val="4F750E23"/>
    <w:rsid w:val="50F41579"/>
    <w:rsid w:val="520E18C5"/>
    <w:rsid w:val="54FDEC0F"/>
    <w:rsid w:val="562858BB"/>
    <w:rsid w:val="5665183B"/>
    <w:rsid w:val="596A0010"/>
    <w:rsid w:val="5A728E36"/>
    <w:rsid w:val="5B128B90"/>
    <w:rsid w:val="5DD8D56B"/>
    <w:rsid w:val="61665B8D"/>
    <w:rsid w:val="63D70028"/>
    <w:rsid w:val="66240E88"/>
    <w:rsid w:val="69849749"/>
    <w:rsid w:val="6A83D3BC"/>
    <w:rsid w:val="6D72AB51"/>
    <w:rsid w:val="6EF58103"/>
    <w:rsid w:val="6FBB7DC8"/>
    <w:rsid w:val="77F04B53"/>
    <w:rsid w:val="7E4C99DD"/>
    <w:rsid w:val="7FA29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F9507"/>
  <w14:defaultImageDpi w14:val="300"/>
  <w15:docId w15:val="{2DD568C1-43A8-4F9A-B2EF-D2A035338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EC3"/>
    <w:pPr>
      <w:spacing w:after="120"/>
    </w:pPr>
    <w:rPr>
      <w:rFonts w:ascii="Arial" w:hAnsi="Arial"/>
      <w:color w:val="000000" w:themeColor="text1"/>
      <w:sz w:val="22"/>
      <w:lang w:val="en-AU"/>
    </w:rPr>
  </w:style>
  <w:style w:type="paragraph" w:styleId="Heading1">
    <w:name w:val="heading 1"/>
    <w:basedOn w:val="Normal"/>
    <w:next w:val="Normal"/>
    <w:link w:val="Heading1Char"/>
    <w:uiPriority w:val="9"/>
    <w:qFormat/>
    <w:rsid w:val="00260847"/>
    <w:pPr>
      <w:keepNext/>
      <w:keepLines/>
      <w:spacing w:before="240" w:after="240"/>
      <w:outlineLvl w:val="0"/>
    </w:pPr>
    <w:rPr>
      <w:rFonts w:eastAsiaTheme="majorEastAsia" w:cstheme="majorBidi"/>
      <w:color w:val="004270"/>
      <w:sz w:val="48"/>
      <w:szCs w:val="32"/>
    </w:rPr>
  </w:style>
  <w:style w:type="paragraph" w:styleId="Heading2">
    <w:name w:val="heading 2"/>
    <w:basedOn w:val="Normal"/>
    <w:next w:val="Normal"/>
    <w:link w:val="Heading2Char"/>
    <w:uiPriority w:val="9"/>
    <w:unhideWhenUsed/>
    <w:qFormat/>
    <w:rsid w:val="0035517B"/>
    <w:pPr>
      <w:keepNext/>
      <w:keepLines/>
      <w:spacing w:before="240"/>
      <w:outlineLvl w:val="1"/>
    </w:pPr>
    <w:rPr>
      <w:rFonts w:eastAsiaTheme="majorEastAsia" w:cstheme="majorBidi"/>
      <w:color w:val="004270"/>
      <w:sz w:val="36"/>
    </w:rPr>
  </w:style>
  <w:style w:type="paragraph" w:styleId="Heading3">
    <w:name w:val="heading 3"/>
    <w:basedOn w:val="Normal"/>
    <w:next w:val="Normal"/>
    <w:link w:val="Heading3Char"/>
    <w:uiPriority w:val="9"/>
    <w:unhideWhenUsed/>
    <w:qFormat/>
    <w:rsid w:val="0035517B"/>
    <w:pPr>
      <w:keepNext/>
      <w:keepLines/>
      <w:spacing w:before="240"/>
      <w:outlineLvl w:val="2"/>
    </w:pPr>
    <w:rPr>
      <w:rFonts w:eastAsiaTheme="majorEastAsia" w:cstheme="majorBidi"/>
      <w:color w:val="00427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2CE9"/>
    <w:pPr>
      <w:ind w:left="720"/>
      <w:contextualSpacing/>
    </w:pPr>
  </w:style>
  <w:style w:type="paragraph" w:styleId="FootnoteText">
    <w:name w:val="footnote text"/>
    <w:basedOn w:val="Normal"/>
    <w:link w:val="FootnoteTextChar"/>
    <w:uiPriority w:val="99"/>
    <w:unhideWhenUsed/>
    <w:rsid w:val="00C33416"/>
    <w:rPr>
      <w:sz w:val="20"/>
    </w:rPr>
  </w:style>
  <w:style w:type="character" w:customStyle="1" w:styleId="FootnoteTextChar">
    <w:name w:val="Footnote Text Char"/>
    <w:basedOn w:val="DefaultParagraphFont"/>
    <w:link w:val="FootnoteText"/>
    <w:uiPriority w:val="99"/>
    <w:rsid w:val="00C33416"/>
    <w:rPr>
      <w:rFonts w:ascii="Arial" w:hAnsi="Arial"/>
      <w:sz w:val="20"/>
    </w:rPr>
  </w:style>
  <w:style w:type="character" w:styleId="FootnoteReference">
    <w:name w:val="footnote reference"/>
    <w:basedOn w:val="DefaultParagraphFont"/>
    <w:uiPriority w:val="99"/>
    <w:unhideWhenUsed/>
    <w:rsid w:val="0034134D"/>
    <w:rPr>
      <w:vertAlign w:val="superscript"/>
    </w:rPr>
  </w:style>
  <w:style w:type="character" w:customStyle="1" w:styleId="Heading1Char">
    <w:name w:val="Heading 1 Char"/>
    <w:basedOn w:val="DefaultParagraphFont"/>
    <w:link w:val="Heading1"/>
    <w:uiPriority w:val="9"/>
    <w:rsid w:val="00260847"/>
    <w:rPr>
      <w:rFonts w:ascii="Arial" w:eastAsiaTheme="majorEastAsia" w:hAnsi="Arial" w:cstheme="majorBidi"/>
      <w:color w:val="004270"/>
      <w:sz w:val="48"/>
      <w:szCs w:val="32"/>
      <w:lang w:val="en-AU"/>
    </w:rPr>
  </w:style>
  <w:style w:type="paragraph" w:styleId="NoSpacing">
    <w:name w:val="No Spacing"/>
    <w:link w:val="NoSpacingChar"/>
    <w:uiPriority w:val="1"/>
    <w:qFormat/>
    <w:rsid w:val="00A16356"/>
    <w:rPr>
      <w:sz w:val="22"/>
      <w:szCs w:val="22"/>
    </w:rPr>
  </w:style>
  <w:style w:type="character" w:customStyle="1" w:styleId="NoSpacingChar">
    <w:name w:val="No Spacing Char"/>
    <w:basedOn w:val="DefaultParagraphFont"/>
    <w:link w:val="NoSpacing"/>
    <w:uiPriority w:val="1"/>
    <w:rsid w:val="00A16356"/>
    <w:rPr>
      <w:sz w:val="22"/>
      <w:szCs w:val="22"/>
    </w:rPr>
  </w:style>
  <w:style w:type="paragraph" w:styleId="TOCHeading">
    <w:name w:val="TOC Heading"/>
    <w:basedOn w:val="Heading1"/>
    <w:next w:val="Normal"/>
    <w:uiPriority w:val="39"/>
    <w:unhideWhenUsed/>
    <w:qFormat/>
    <w:rsid w:val="0035517B"/>
    <w:pPr>
      <w:spacing w:line="259" w:lineRule="auto"/>
      <w:outlineLvl w:val="9"/>
    </w:pPr>
  </w:style>
  <w:style w:type="paragraph" w:styleId="TOC1">
    <w:name w:val="toc 1"/>
    <w:basedOn w:val="Normal"/>
    <w:next w:val="Normal"/>
    <w:autoRedefine/>
    <w:uiPriority w:val="39"/>
    <w:unhideWhenUsed/>
    <w:rsid w:val="0019381B"/>
    <w:pPr>
      <w:tabs>
        <w:tab w:val="right" w:leader="dot" w:pos="8296"/>
      </w:tabs>
      <w:spacing w:after="100"/>
    </w:pPr>
  </w:style>
  <w:style w:type="character" w:styleId="Hyperlink">
    <w:name w:val="Hyperlink"/>
    <w:basedOn w:val="DefaultParagraphFont"/>
    <w:uiPriority w:val="99"/>
    <w:unhideWhenUsed/>
    <w:rsid w:val="00A16356"/>
    <w:rPr>
      <w:color w:val="0000FF" w:themeColor="hyperlink"/>
      <w:u w:val="single"/>
    </w:rPr>
  </w:style>
  <w:style w:type="paragraph" w:styleId="Header">
    <w:name w:val="header"/>
    <w:basedOn w:val="Normal"/>
    <w:link w:val="HeaderChar"/>
    <w:uiPriority w:val="99"/>
    <w:unhideWhenUsed/>
    <w:rsid w:val="004A2375"/>
    <w:pPr>
      <w:tabs>
        <w:tab w:val="center" w:pos="4513"/>
        <w:tab w:val="right" w:pos="9026"/>
      </w:tabs>
    </w:pPr>
  </w:style>
  <w:style w:type="character" w:customStyle="1" w:styleId="HeaderChar">
    <w:name w:val="Header Char"/>
    <w:basedOn w:val="DefaultParagraphFont"/>
    <w:link w:val="Header"/>
    <w:uiPriority w:val="99"/>
    <w:rsid w:val="004A2375"/>
  </w:style>
  <w:style w:type="paragraph" w:styleId="Footer">
    <w:name w:val="footer"/>
    <w:basedOn w:val="Normal"/>
    <w:link w:val="FooterChar"/>
    <w:uiPriority w:val="99"/>
    <w:unhideWhenUsed/>
    <w:rsid w:val="004A2375"/>
    <w:pPr>
      <w:tabs>
        <w:tab w:val="center" w:pos="4513"/>
        <w:tab w:val="right" w:pos="9026"/>
      </w:tabs>
    </w:pPr>
  </w:style>
  <w:style w:type="character" w:customStyle="1" w:styleId="FooterChar">
    <w:name w:val="Footer Char"/>
    <w:basedOn w:val="DefaultParagraphFont"/>
    <w:link w:val="Footer"/>
    <w:uiPriority w:val="99"/>
    <w:rsid w:val="004A2375"/>
  </w:style>
  <w:style w:type="character" w:customStyle="1" w:styleId="Heading2Char">
    <w:name w:val="Heading 2 Char"/>
    <w:basedOn w:val="DefaultParagraphFont"/>
    <w:link w:val="Heading2"/>
    <w:uiPriority w:val="9"/>
    <w:rsid w:val="0035517B"/>
    <w:rPr>
      <w:rFonts w:ascii="Arial" w:eastAsiaTheme="majorEastAsia" w:hAnsi="Arial" w:cstheme="majorBidi"/>
      <w:color w:val="004270"/>
      <w:sz w:val="36"/>
      <w:lang w:val="en-AU"/>
    </w:rPr>
  </w:style>
  <w:style w:type="paragraph" w:styleId="TOC2">
    <w:name w:val="toc 2"/>
    <w:basedOn w:val="Normal"/>
    <w:next w:val="Normal"/>
    <w:autoRedefine/>
    <w:uiPriority w:val="39"/>
    <w:unhideWhenUsed/>
    <w:rsid w:val="0016255C"/>
    <w:pPr>
      <w:tabs>
        <w:tab w:val="right" w:leader="dot" w:pos="8296"/>
      </w:tabs>
      <w:spacing w:before="120"/>
      <w:ind w:left="238"/>
    </w:pPr>
  </w:style>
  <w:style w:type="character" w:styleId="HTMLCite">
    <w:name w:val="HTML Cite"/>
    <w:uiPriority w:val="99"/>
    <w:unhideWhenUsed/>
    <w:rsid w:val="00D74335"/>
    <w:rPr>
      <w:i/>
      <w:iCs/>
    </w:rPr>
  </w:style>
  <w:style w:type="table" w:styleId="TableGrid">
    <w:name w:val="Table Grid"/>
    <w:basedOn w:val="TableNormal"/>
    <w:rsid w:val="00E7746A"/>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13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324"/>
    <w:rPr>
      <w:rFonts w:ascii="Segoe UI" w:hAnsi="Segoe UI" w:cs="Segoe UI"/>
      <w:sz w:val="18"/>
      <w:szCs w:val="18"/>
    </w:rPr>
  </w:style>
  <w:style w:type="character" w:customStyle="1" w:styleId="Heading3Char">
    <w:name w:val="Heading 3 Char"/>
    <w:basedOn w:val="DefaultParagraphFont"/>
    <w:link w:val="Heading3"/>
    <w:uiPriority w:val="9"/>
    <w:rsid w:val="0035517B"/>
    <w:rPr>
      <w:rFonts w:ascii="Arial" w:eastAsiaTheme="majorEastAsia" w:hAnsi="Arial" w:cstheme="majorBidi"/>
      <w:color w:val="004270"/>
      <w:sz w:val="28"/>
      <w:lang w:val="en-AU"/>
    </w:rPr>
  </w:style>
  <w:style w:type="paragraph" w:styleId="TOC3">
    <w:name w:val="toc 3"/>
    <w:basedOn w:val="Normal"/>
    <w:next w:val="Normal"/>
    <w:autoRedefine/>
    <w:uiPriority w:val="39"/>
    <w:unhideWhenUsed/>
    <w:rsid w:val="00041E58"/>
    <w:pPr>
      <w:spacing w:after="100"/>
      <w:ind w:left="480"/>
    </w:pPr>
  </w:style>
  <w:style w:type="character" w:styleId="CommentReference">
    <w:name w:val="annotation reference"/>
    <w:basedOn w:val="DefaultParagraphFont"/>
    <w:uiPriority w:val="99"/>
    <w:semiHidden/>
    <w:unhideWhenUsed/>
    <w:rsid w:val="00C526DC"/>
    <w:rPr>
      <w:sz w:val="16"/>
      <w:szCs w:val="16"/>
    </w:rPr>
  </w:style>
  <w:style w:type="paragraph" w:styleId="CommentText">
    <w:name w:val="annotation text"/>
    <w:basedOn w:val="Normal"/>
    <w:link w:val="CommentTextChar"/>
    <w:uiPriority w:val="99"/>
    <w:unhideWhenUsed/>
    <w:rsid w:val="00C526DC"/>
    <w:rPr>
      <w:sz w:val="20"/>
      <w:szCs w:val="20"/>
    </w:rPr>
  </w:style>
  <w:style w:type="character" w:customStyle="1" w:styleId="CommentTextChar">
    <w:name w:val="Comment Text Char"/>
    <w:basedOn w:val="DefaultParagraphFont"/>
    <w:link w:val="CommentText"/>
    <w:uiPriority w:val="99"/>
    <w:rsid w:val="00C526DC"/>
    <w:rPr>
      <w:sz w:val="20"/>
      <w:szCs w:val="20"/>
    </w:rPr>
  </w:style>
  <w:style w:type="paragraph" w:styleId="CommentSubject">
    <w:name w:val="annotation subject"/>
    <w:basedOn w:val="CommentText"/>
    <w:next w:val="CommentText"/>
    <w:link w:val="CommentSubjectChar"/>
    <w:uiPriority w:val="99"/>
    <w:semiHidden/>
    <w:unhideWhenUsed/>
    <w:rsid w:val="00C526DC"/>
    <w:rPr>
      <w:b/>
      <w:bCs/>
    </w:rPr>
  </w:style>
  <w:style w:type="character" w:customStyle="1" w:styleId="CommentSubjectChar">
    <w:name w:val="Comment Subject Char"/>
    <w:basedOn w:val="CommentTextChar"/>
    <w:link w:val="CommentSubject"/>
    <w:uiPriority w:val="99"/>
    <w:semiHidden/>
    <w:rsid w:val="00C526DC"/>
    <w:rPr>
      <w:b/>
      <w:bCs/>
      <w:sz w:val="20"/>
      <w:szCs w:val="20"/>
    </w:rPr>
  </w:style>
  <w:style w:type="paragraph" w:customStyle="1" w:styleId="Numberedparagraph">
    <w:name w:val="Numbered paragraph"/>
    <w:basedOn w:val="ListParagraph"/>
    <w:link w:val="NumberedparagraphChar"/>
    <w:qFormat/>
    <w:rsid w:val="00370EC3"/>
    <w:pPr>
      <w:numPr>
        <w:numId w:val="1"/>
      </w:numPr>
      <w:spacing w:before="120" w:after="240" w:line="276" w:lineRule="auto"/>
      <w:contextualSpacing w:val="0"/>
    </w:pPr>
    <w:rPr>
      <w:rFonts w:cs="Arial"/>
    </w:rPr>
  </w:style>
  <w:style w:type="paragraph" w:styleId="Quote">
    <w:name w:val="Quote"/>
    <w:basedOn w:val="Normal"/>
    <w:next w:val="Normal"/>
    <w:link w:val="QuoteChar"/>
    <w:uiPriority w:val="29"/>
    <w:qFormat/>
    <w:rsid w:val="003C2709"/>
    <w:pPr>
      <w:spacing w:before="240" w:after="240" w:line="276" w:lineRule="auto"/>
      <w:ind w:left="907" w:right="843"/>
    </w:pPr>
    <w:rPr>
      <w:rFonts w:cs="Arial"/>
      <w:sz w:val="20"/>
      <w:szCs w:val="20"/>
    </w:rPr>
  </w:style>
  <w:style w:type="character" w:customStyle="1" w:styleId="ListParagraphChar">
    <w:name w:val="List Paragraph Char"/>
    <w:basedOn w:val="DefaultParagraphFont"/>
    <w:link w:val="ListParagraph"/>
    <w:uiPriority w:val="34"/>
    <w:rsid w:val="00502924"/>
  </w:style>
  <w:style w:type="character" w:customStyle="1" w:styleId="NumberedparagraphChar">
    <w:name w:val="Numbered paragraph Char"/>
    <w:basedOn w:val="ListParagraphChar"/>
    <w:link w:val="Numberedparagraph"/>
    <w:rsid w:val="00370EC3"/>
    <w:rPr>
      <w:rFonts w:ascii="Arial" w:hAnsi="Arial" w:cs="Arial"/>
      <w:color w:val="000000" w:themeColor="text1"/>
      <w:sz w:val="22"/>
      <w:lang w:val="en-AU"/>
    </w:rPr>
  </w:style>
  <w:style w:type="character" w:customStyle="1" w:styleId="QuoteChar">
    <w:name w:val="Quote Char"/>
    <w:basedOn w:val="DefaultParagraphFont"/>
    <w:link w:val="Quote"/>
    <w:uiPriority w:val="29"/>
    <w:rsid w:val="003C2709"/>
    <w:rPr>
      <w:rFonts w:ascii="Arial" w:hAnsi="Arial" w:cs="Arial"/>
      <w:sz w:val="20"/>
      <w:szCs w:val="20"/>
    </w:rPr>
  </w:style>
  <w:style w:type="paragraph" w:customStyle="1" w:styleId="Bulletedlist">
    <w:name w:val="Bulleted list"/>
    <w:basedOn w:val="ListParagraph"/>
    <w:qFormat/>
    <w:rsid w:val="00370EC3"/>
    <w:pPr>
      <w:numPr>
        <w:numId w:val="2"/>
      </w:numPr>
      <w:spacing w:after="240"/>
    </w:pPr>
    <w:rPr>
      <w:rFonts w:cs="Arial"/>
    </w:rPr>
  </w:style>
  <w:style w:type="paragraph" w:styleId="Title">
    <w:name w:val="Title"/>
    <w:basedOn w:val="Normal"/>
    <w:next w:val="Normal"/>
    <w:link w:val="TitleChar"/>
    <w:uiPriority w:val="10"/>
    <w:qFormat/>
    <w:rsid w:val="0035517B"/>
    <w:pPr>
      <w:pBdr>
        <w:bottom w:val="single" w:sz="8" w:space="12" w:color="004270"/>
      </w:pBdr>
      <w:spacing w:after="240"/>
      <w:contextualSpacing/>
    </w:pPr>
    <w:rPr>
      <w:rFonts w:eastAsiaTheme="majorEastAsia" w:cstheme="majorBidi"/>
      <w:color w:val="004270"/>
      <w:spacing w:val="-10"/>
      <w:kern w:val="28"/>
      <w:sz w:val="60"/>
      <w:szCs w:val="56"/>
    </w:rPr>
  </w:style>
  <w:style w:type="character" w:customStyle="1" w:styleId="TitleChar">
    <w:name w:val="Title Char"/>
    <w:basedOn w:val="DefaultParagraphFont"/>
    <w:link w:val="Title"/>
    <w:uiPriority w:val="10"/>
    <w:rsid w:val="0035517B"/>
    <w:rPr>
      <w:rFonts w:ascii="Arial" w:eastAsiaTheme="majorEastAsia" w:hAnsi="Arial" w:cstheme="majorBidi"/>
      <w:color w:val="004270"/>
      <w:spacing w:val="-10"/>
      <w:kern w:val="28"/>
      <w:sz w:val="60"/>
      <w:szCs w:val="56"/>
      <w:lang w:val="en-AU"/>
    </w:rPr>
  </w:style>
  <w:style w:type="paragraph" w:customStyle="1" w:styleId="pf0">
    <w:name w:val="pf0"/>
    <w:basedOn w:val="Normal"/>
    <w:rsid w:val="00EB6638"/>
    <w:pPr>
      <w:spacing w:before="100" w:beforeAutospacing="1" w:after="100" w:afterAutospacing="1"/>
    </w:pPr>
    <w:rPr>
      <w:rFonts w:ascii="Times New Roman" w:eastAsia="Times New Roman" w:hAnsi="Times New Roman" w:cs="Times New Roman"/>
      <w:color w:val="auto"/>
      <w:sz w:val="24"/>
      <w:lang w:eastAsia="en-AU"/>
    </w:rPr>
  </w:style>
  <w:style w:type="character" w:customStyle="1" w:styleId="cf01">
    <w:name w:val="cf01"/>
    <w:basedOn w:val="DefaultParagraphFont"/>
    <w:rsid w:val="00EB6638"/>
    <w:rPr>
      <w:rFonts w:ascii="Segoe UI" w:hAnsi="Segoe UI" w:cs="Segoe UI" w:hint="default"/>
      <w:sz w:val="18"/>
      <w:szCs w:val="18"/>
    </w:rPr>
  </w:style>
  <w:style w:type="character" w:customStyle="1" w:styleId="A15">
    <w:name w:val="A15"/>
    <w:uiPriority w:val="99"/>
    <w:rsid w:val="004422F5"/>
    <w:rPr>
      <w:rFonts w:ascii="Myriad Pro" w:hAnsi="Myriad Pro" w:cs="Myriad Pro" w:hint="default"/>
      <w:color w:val="000000"/>
      <w:sz w:val="11"/>
      <w:szCs w:val="11"/>
    </w:rPr>
  </w:style>
  <w:style w:type="character" w:customStyle="1" w:styleId="listnumber">
    <w:name w:val="listnumber"/>
    <w:basedOn w:val="DefaultParagraphFont"/>
    <w:rsid w:val="006C3036"/>
  </w:style>
  <w:style w:type="paragraph" w:customStyle="1" w:styleId="note">
    <w:name w:val="note"/>
    <w:basedOn w:val="Normal"/>
    <w:rsid w:val="006C3036"/>
    <w:pPr>
      <w:spacing w:before="100" w:beforeAutospacing="1" w:after="100" w:afterAutospacing="1"/>
    </w:pPr>
    <w:rPr>
      <w:rFonts w:ascii="Times New Roman" w:eastAsia="Times New Roman" w:hAnsi="Times New Roman" w:cs="Times New Roman"/>
      <w:color w:val="auto"/>
      <w:sz w:val="24"/>
      <w:lang w:eastAsia="en-AU"/>
    </w:rPr>
  </w:style>
  <w:style w:type="character" w:customStyle="1" w:styleId="noteheadingname">
    <w:name w:val="noteheadingname"/>
    <w:basedOn w:val="DefaultParagraphFont"/>
    <w:rsid w:val="006C3036"/>
  </w:style>
  <w:style w:type="character" w:styleId="FollowedHyperlink">
    <w:name w:val="FollowedHyperlink"/>
    <w:basedOn w:val="DefaultParagraphFont"/>
    <w:uiPriority w:val="99"/>
    <w:semiHidden/>
    <w:unhideWhenUsed/>
    <w:rsid w:val="006C3036"/>
    <w:rPr>
      <w:color w:val="800080" w:themeColor="followedHyperlink"/>
      <w:u w:val="single"/>
    </w:rPr>
  </w:style>
  <w:style w:type="character" w:styleId="UnresolvedMention">
    <w:name w:val="Unresolved Mention"/>
    <w:basedOn w:val="DefaultParagraphFont"/>
    <w:uiPriority w:val="99"/>
    <w:semiHidden/>
    <w:unhideWhenUsed/>
    <w:rsid w:val="006C3036"/>
    <w:rPr>
      <w:color w:val="605E5C"/>
      <w:shd w:val="clear" w:color="auto" w:fill="E1DFDD"/>
    </w:rPr>
  </w:style>
  <w:style w:type="paragraph" w:styleId="IntenseQuote">
    <w:name w:val="Intense Quote"/>
    <w:basedOn w:val="Normal"/>
    <w:next w:val="Normal"/>
    <w:link w:val="IntenseQuoteChar"/>
    <w:uiPriority w:val="30"/>
    <w:rsid w:val="0031234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1234F"/>
    <w:rPr>
      <w:rFonts w:ascii="Arial" w:hAnsi="Arial"/>
      <w:i/>
      <w:iCs/>
      <w:color w:val="4F81BD" w:themeColor="accent1"/>
      <w:sz w:val="22"/>
      <w:lang w:val="en-AU"/>
    </w:rPr>
  </w:style>
  <w:style w:type="character" w:styleId="Emphasis">
    <w:name w:val="Emphasis"/>
    <w:basedOn w:val="DefaultParagraphFont"/>
    <w:uiPriority w:val="20"/>
    <w:qFormat/>
    <w:rsid w:val="00491D02"/>
    <w:rPr>
      <w:i/>
      <w:iCs/>
    </w:rPr>
  </w:style>
  <w:style w:type="paragraph" w:styleId="Revision">
    <w:name w:val="Revision"/>
    <w:hidden/>
    <w:uiPriority w:val="99"/>
    <w:semiHidden/>
    <w:rsid w:val="001C46AE"/>
    <w:rPr>
      <w:rFonts w:ascii="Arial" w:hAnsi="Arial"/>
      <w:color w:val="000000" w:themeColor="text1"/>
      <w:sz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790425">
      <w:bodyDiv w:val="1"/>
      <w:marLeft w:val="0"/>
      <w:marRight w:val="0"/>
      <w:marTop w:val="0"/>
      <w:marBottom w:val="0"/>
      <w:divBdr>
        <w:top w:val="none" w:sz="0" w:space="0" w:color="auto"/>
        <w:left w:val="none" w:sz="0" w:space="0" w:color="auto"/>
        <w:bottom w:val="none" w:sz="0" w:space="0" w:color="auto"/>
        <w:right w:val="none" w:sz="0" w:space="0" w:color="auto"/>
      </w:divBdr>
    </w:div>
    <w:div w:id="757558144">
      <w:bodyDiv w:val="1"/>
      <w:marLeft w:val="0"/>
      <w:marRight w:val="0"/>
      <w:marTop w:val="0"/>
      <w:marBottom w:val="0"/>
      <w:divBdr>
        <w:top w:val="none" w:sz="0" w:space="0" w:color="auto"/>
        <w:left w:val="none" w:sz="0" w:space="0" w:color="auto"/>
        <w:bottom w:val="none" w:sz="0" w:space="0" w:color="auto"/>
        <w:right w:val="none" w:sz="0" w:space="0" w:color="auto"/>
      </w:divBdr>
    </w:div>
    <w:div w:id="928470089">
      <w:bodyDiv w:val="1"/>
      <w:marLeft w:val="0"/>
      <w:marRight w:val="0"/>
      <w:marTop w:val="0"/>
      <w:marBottom w:val="0"/>
      <w:divBdr>
        <w:top w:val="none" w:sz="0" w:space="0" w:color="auto"/>
        <w:left w:val="none" w:sz="0" w:space="0" w:color="auto"/>
        <w:bottom w:val="none" w:sz="0" w:space="0" w:color="auto"/>
        <w:right w:val="none" w:sz="0" w:space="0" w:color="auto"/>
      </w:divBdr>
    </w:div>
    <w:div w:id="1140925666">
      <w:bodyDiv w:val="1"/>
      <w:marLeft w:val="0"/>
      <w:marRight w:val="0"/>
      <w:marTop w:val="0"/>
      <w:marBottom w:val="0"/>
      <w:divBdr>
        <w:top w:val="none" w:sz="0" w:space="0" w:color="auto"/>
        <w:left w:val="none" w:sz="0" w:space="0" w:color="auto"/>
        <w:bottom w:val="none" w:sz="0" w:space="0" w:color="auto"/>
        <w:right w:val="none" w:sz="0" w:space="0" w:color="auto"/>
      </w:divBdr>
      <w:divsChild>
        <w:div w:id="686447669">
          <w:blockQuote w:val="1"/>
          <w:marLeft w:val="0"/>
          <w:marRight w:val="0"/>
          <w:marTop w:val="120"/>
          <w:marBottom w:val="120"/>
          <w:divBdr>
            <w:top w:val="none" w:sz="0" w:space="0" w:color="auto"/>
            <w:left w:val="none" w:sz="0" w:space="0" w:color="auto"/>
            <w:bottom w:val="none" w:sz="0" w:space="0" w:color="auto"/>
            <w:right w:val="none" w:sz="0" w:space="0" w:color="auto"/>
          </w:divBdr>
        </w:div>
        <w:div w:id="1824347779">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974214251">
              <w:blockQuote w:val="1"/>
              <w:marLeft w:val="340"/>
              <w:marRight w:val="0"/>
              <w:marTop w:val="120"/>
              <w:marBottom w:val="120"/>
              <w:divBdr>
                <w:top w:val="none" w:sz="0" w:space="0" w:color="auto"/>
                <w:left w:val="none" w:sz="0" w:space="0" w:color="auto"/>
                <w:bottom w:val="none" w:sz="0" w:space="0" w:color="auto"/>
                <w:right w:val="none" w:sz="0" w:space="0" w:color="auto"/>
              </w:divBdr>
              <w:divsChild>
                <w:div w:id="318922090">
                  <w:blockQuote w:val="1"/>
                  <w:marLeft w:val="600"/>
                  <w:marRight w:val="0"/>
                  <w:marTop w:val="80"/>
                  <w:marBottom w:val="80"/>
                  <w:divBdr>
                    <w:top w:val="none" w:sz="0" w:space="0" w:color="auto"/>
                    <w:left w:val="none" w:sz="0" w:space="0" w:color="auto"/>
                    <w:bottom w:val="none" w:sz="0" w:space="0" w:color="auto"/>
                    <w:right w:val="none" w:sz="0" w:space="0" w:color="auto"/>
                  </w:divBdr>
                </w:div>
                <w:div w:id="1457483079">
                  <w:blockQuote w:val="1"/>
                  <w:marLeft w:val="600"/>
                  <w:marRight w:val="0"/>
                  <w:marTop w:val="80"/>
                  <w:marBottom w:val="80"/>
                  <w:divBdr>
                    <w:top w:val="none" w:sz="0" w:space="0" w:color="auto"/>
                    <w:left w:val="none" w:sz="0" w:space="0" w:color="auto"/>
                    <w:bottom w:val="none" w:sz="0" w:space="0" w:color="auto"/>
                    <w:right w:val="none" w:sz="0" w:space="0" w:color="auto"/>
                  </w:divBdr>
                </w:div>
                <w:div w:id="1555510138">
                  <w:blockQuote w:val="1"/>
                  <w:marLeft w:val="600"/>
                  <w:marRight w:val="0"/>
                  <w:marTop w:val="80"/>
                  <w:marBottom w:val="80"/>
                  <w:divBdr>
                    <w:top w:val="none" w:sz="0" w:space="0" w:color="auto"/>
                    <w:left w:val="none" w:sz="0" w:space="0" w:color="auto"/>
                    <w:bottom w:val="none" w:sz="0" w:space="0" w:color="auto"/>
                    <w:right w:val="none" w:sz="0" w:space="0" w:color="auto"/>
                  </w:divBdr>
                </w:div>
              </w:divsChild>
            </w:div>
          </w:divsChild>
        </w:div>
        <w:div w:id="190194074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974288961">
      <w:bodyDiv w:val="1"/>
      <w:marLeft w:val="0"/>
      <w:marRight w:val="0"/>
      <w:marTop w:val="0"/>
      <w:marBottom w:val="0"/>
      <w:divBdr>
        <w:top w:val="none" w:sz="0" w:space="0" w:color="auto"/>
        <w:left w:val="none" w:sz="0" w:space="0" w:color="auto"/>
        <w:bottom w:val="none" w:sz="0" w:space="0" w:color="auto"/>
        <w:right w:val="none" w:sz="0" w:space="0" w:color="auto"/>
      </w:divBdr>
    </w:div>
    <w:div w:id="20761249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LEGAL%20RESEARCH%20&amp;%20POLICY%20(Team)\Sandpit\QHRC%20submi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0E670C0B708384A9FE68EDDD2FCA27F" ma:contentTypeVersion="6" ma:contentTypeDescription="Create a new document." ma:contentTypeScope="" ma:versionID="53d2c0ebbdff21b1db8e96859467d49a">
  <xsd:schema xmlns:xsd="http://www.w3.org/2001/XMLSchema" xmlns:xs="http://www.w3.org/2001/XMLSchema" xmlns:p="http://schemas.microsoft.com/office/2006/metadata/properties" xmlns:ns2="4895baa6-ac4c-4d1e-b231-8483c88111dc" xmlns:ns3="a9ec758c-7b29-4bbd-836f-c599af6fef2b" targetNamespace="http://schemas.microsoft.com/office/2006/metadata/properties" ma:root="true" ma:fieldsID="56e95127693a5ff57be01e98b0260ae5" ns2:_="" ns3:_="">
    <xsd:import namespace="4895baa6-ac4c-4d1e-b231-8483c88111dc"/>
    <xsd:import namespace="a9ec758c-7b29-4bbd-836f-c599af6fef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95baa6-ac4c-4d1e-b231-8483c8811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ec758c-7b29-4bbd-836f-c599af6fef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7DC833-81BF-4820-A55E-25E6B8F37DBC}">
  <ds:schemaRefs>
    <ds:schemaRef ds:uri="http://schemas.openxmlformats.org/officeDocument/2006/bibliography"/>
  </ds:schemaRefs>
</ds:datastoreItem>
</file>

<file path=customXml/itemProps3.xml><?xml version="1.0" encoding="utf-8"?>
<ds:datastoreItem xmlns:ds="http://schemas.openxmlformats.org/officeDocument/2006/customXml" ds:itemID="{21AA548B-9926-40F9-9549-28DEBA42602B}">
  <ds:schemaRefs>
    <ds:schemaRef ds:uri="http://schemas.microsoft.com/sharepoint/v3/contenttype/forms"/>
  </ds:schemaRefs>
</ds:datastoreItem>
</file>

<file path=customXml/itemProps4.xml><?xml version="1.0" encoding="utf-8"?>
<ds:datastoreItem xmlns:ds="http://schemas.openxmlformats.org/officeDocument/2006/customXml" ds:itemID="{1B53F5C7-766B-4AF9-86CA-00DD2DB0E49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6EE73E3-EFBA-48D2-836C-3012519B7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95baa6-ac4c-4d1e-b231-8483c88111dc"/>
    <ds:schemaRef ds:uri="a9ec758c-7b29-4bbd-836f-c599af6fe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QHRC submission template.dotx</Template>
  <TotalTime>140</TotalTime>
  <Pages>1</Pages>
  <Words>3842</Words>
  <Characters>21900</Characters>
  <Application>Microsoft Office Word</Application>
  <DocSecurity>4</DocSecurity>
  <Lines>182</Lines>
  <Paragraphs>51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25691</CharactersWithSpaces>
  <SharedDoc>false</SharedDoc>
  <HLinks>
    <vt:vector size="84" baseType="variant">
      <vt:variant>
        <vt:i4>2031664</vt:i4>
      </vt:variant>
      <vt:variant>
        <vt:i4>80</vt:i4>
      </vt:variant>
      <vt:variant>
        <vt:i4>0</vt:i4>
      </vt:variant>
      <vt:variant>
        <vt:i4>5</vt:i4>
      </vt:variant>
      <vt:variant>
        <vt:lpwstr/>
      </vt:variant>
      <vt:variant>
        <vt:lpwstr>_Toc117842239</vt:lpwstr>
      </vt:variant>
      <vt:variant>
        <vt:i4>2031664</vt:i4>
      </vt:variant>
      <vt:variant>
        <vt:i4>74</vt:i4>
      </vt:variant>
      <vt:variant>
        <vt:i4>0</vt:i4>
      </vt:variant>
      <vt:variant>
        <vt:i4>5</vt:i4>
      </vt:variant>
      <vt:variant>
        <vt:lpwstr/>
      </vt:variant>
      <vt:variant>
        <vt:lpwstr>_Toc117842238</vt:lpwstr>
      </vt:variant>
      <vt:variant>
        <vt:i4>2031664</vt:i4>
      </vt:variant>
      <vt:variant>
        <vt:i4>68</vt:i4>
      </vt:variant>
      <vt:variant>
        <vt:i4>0</vt:i4>
      </vt:variant>
      <vt:variant>
        <vt:i4>5</vt:i4>
      </vt:variant>
      <vt:variant>
        <vt:lpwstr/>
      </vt:variant>
      <vt:variant>
        <vt:lpwstr>_Toc117842237</vt:lpwstr>
      </vt:variant>
      <vt:variant>
        <vt:i4>2031664</vt:i4>
      </vt:variant>
      <vt:variant>
        <vt:i4>62</vt:i4>
      </vt:variant>
      <vt:variant>
        <vt:i4>0</vt:i4>
      </vt:variant>
      <vt:variant>
        <vt:i4>5</vt:i4>
      </vt:variant>
      <vt:variant>
        <vt:lpwstr/>
      </vt:variant>
      <vt:variant>
        <vt:lpwstr>_Toc117842236</vt:lpwstr>
      </vt:variant>
      <vt:variant>
        <vt:i4>2031664</vt:i4>
      </vt:variant>
      <vt:variant>
        <vt:i4>56</vt:i4>
      </vt:variant>
      <vt:variant>
        <vt:i4>0</vt:i4>
      </vt:variant>
      <vt:variant>
        <vt:i4>5</vt:i4>
      </vt:variant>
      <vt:variant>
        <vt:lpwstr/>
      </vt:variant>
      <vt:variant>
        <vt:lpwstr>_Toc117842235</vt:lpwstr>
      </vt:variant>
      <vt:variant>
        <vt:i4>2031664</vt:i4>
      </vt:variant>
      <vt:variant>
        <vt:i4>50</vt:i4>
      </vt:variant>
      <vt:variant>
        <vt:i4>0</vt:i4>
      </vt:variant>
      <vt:variant>
        <vt:i4>5</vt:i4>
      </vt:variant>
      <vt:variant>
        <vt:lpwstr/>
      </vt:variant>
      <vt:variant>
        <vt:lpwstr>_Toc117842234</vt:lpwstr>
      </vt:variant>
      <vt:variant>
        <vt:i4>2031664</vt:i4>
      </vt:variant>
      <vt:variant>
        <vt:i4>44</vt:i4>
      </vt:variant>
      <vt:variant>
        <vt:i4>0</vt:i4>
      </vt:variant>
      <vt:variant>
        <vt:i4>5</vt:i4>
      </vt:variant>
      <vt:variant>
        <vt:lpwstr/>
      </vt:variant>
      <vt:variant>
        <vt:lpwstr>_Toc117842233</vt:lpwstr>
      </vt:variant>
      <vt:variant>
        <vt:i4>2031664</vt:i4>
      </vt:variant>
      <vt:variant>
        <vt:i4>38</vt:i4>
      </vt:variant>
      <vt:variant>
        <vt:i4>0</vt:i4>
      </vt:variant>
      <vt:variant>
        <vt:i4>5</vt:i4>
      </vt:variant>
      <vt:variant>
        <vt:lpwstr/>
      </vt:variant>
      <vt:variant>
        <vt:lpwstr>_Toc117842232</vt:lpwstr>
      </vt:variant>
      <vt:variant>
        <vt:i4>2031664</vt:i4>
      </vt:variant>
      <vt:variant>
        <vt:i4>32</vt:i4>
      </vt:variant>
      <vt:variant>
        <vt:i4>0</vt:i4>
      </vt:variant>
      <vt:variant>
        <vt:i4>5</vt:i4>
      </vt:variant>
      <vt:variant>
        <vt:lpwstr/>
      </vt:variant>
      <vt:variant>
        <vt:lpwstr>_Toc117842231</vt:lpwstr>
      </vt:variant>
      <vt:variant>
        <vt:i4>2031664</vt:i4>
      </vt:variant>
      <vt:variant>
        <vt:i4>26</vt:i4>
      </vt:variant>
      <vt:variant>
        <vt:i4>0</vt:i4>
      </vt:variant>
      <vt:variant>
        <vt:i4>5</vt:i4>
      </vt:variant>
      <vt:variant>
        <vt:lpwstr/>
      </vt:variant>
      <vt:variant>
        <vt:lpwstr>_Toc117842230</vt:lpwstr>
      </vt:variant>
      <vt:variant>
        <vt:i4>1966128</vt:i4>
      </vt:variant>
      <vt:variant>
        <vt:i4>20</vt:i4>
      </vt:variant>
      <vt:variant>
        <vt:i4>0</vt:i4>
      </vt:variant>
      <vt:variant>
        <vt:i4>5</vt:i4>
      </vt:variant>
      <vt:variant>
        <vt:lpwstr/>
      </vt:variant>
      <vt:variant>
        <vt:lpwstr>_Toc117842229</vt:lpwstr>
      </vt:variant>
      <vt:variant>
        <vt:i4>1966128</vt:i4>
      </vt:variant>
      <vt:variant>
        <vt:i4>14</vt:i4>
      </vt:variant>
      <vt:variant>
        <vt:i4>0</vt:i4>
      </vt:variant>
      <vt:variant>
        <vt:i4>5</vt:i4>
      </vt:variant>
      <vt:variant>
        <vt:lpwstr/>
      </vt:variant>
      <vt:variant>
        <vt:lpwstr>_Toc117842228</vt:lpwstr>
      </vt:variant>
      <vt:variant>
        <vt:i4>1966128</vt:i4>
      </vt:variant>
      <vt:variant>
        <vt:i4>8</vt:i4>
      </vt:variant>
      <vt:variant>
        <vt:i4>0</vt:i4>
      </vt:variant>
      <vt:variant>
        <vt:i4>5</vt:i4>
      </vt:variant>
      <vt:variant>
        <vt:lpwstr/>
      </vt:variant>
      <vt:variant>
        <vt:lpwstr>_Toc117842227</vt:lpwstr>
      </vt:variant>
      <vt:variant>
        <vt:i4>1966128</vt:i4>
      </vt:variant>
      <vt:variant>
        <vt:i4>2</vt:i4>
      </vt:variant>
      <vt:variant>
        <vt:i4>0</vt:i4>
      </vt:variant>
      <vt:variant>
        <vt:i4>5</vt:i4>
      </vt:variant>
      <vt:variant>
        <vt:lpwstr/>
      </vt:variant>
      <vt:variant>
        <vt:lpwstr>_Toc117842226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Sector Bill 2022</dc:title>
  <dc:subject/>
  <dc:creator>Sean Costello</dc:creator>
  <cp:keywords/>
  <dc:description/>
  <cp:lastModifiedBy>Sean Costello</cp:lastModifiedBy>
  <cp:revision>89</cp:revision>
  <cp:lastPrinted>2022-10-28T17:05:00Z</cp:lastPrinted>
  <dcterms:created xsi:type="dcterms:W3CDTF">2022-10-28T15:53:00Z</dcterms:created>
  <dcterms:modified xsi:type="dcterms:W3CDTF">2022-10-28T17:05:00Z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0x01010050E670C0B708384A9FE68EDDD2FCA27F</vt:lpwstr>
  </property>
</Properties>
</file>