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67608509"/>
        <w:docPartObj>
          <w:docPartGallery w:val="Cover Pages"/>
          <w:docPartUnique/>
        </w:docPartObj>
      </w:sdtPr>
      <w:sdtEndPr>
        <w:rPr>
          <w:sz w:val="16"/>
          <w:szCs w:val="16"/>
        </w:rPr>
      </w:sdtEndPr>
      <w:sdtContent>
        <w:p w14:paraId="2FED991D" w14:textId="77777777" w:rsidR="00A16356" w:rsidRDefault="00A16356" w:rsidP="004A2375">
          <w:pPr>
            <w:spacing w:before="1440"/>
          </w:pPr>
        </w:p>
        <w:tbl>
          <w:tblPr>
            <w:tblW w:w="5000" w:type="pct"/>
            <w:jc w:val="center"/>
            <w:tblLook w:val="04A0" w:firstRow="1" w:lastRow="0" w:firstColumn="1" w:lastColumn="0" w:noHBand="0" w:noVBand="1"/>
          </w:tblPr>
          <w:tblGrid>
            <w:gridCol w:w="8306"/>
          </w:tblGrid>
          <w:tr w:rsidR="004A2375" w:rsidRPr="00D95D9E" w14:paraId="2E9952F2" w14:textId="77777777" w:rsidTr="004A2375">
            <w:trPr>
              <w:trHeight w:val="360"/>
              <w:jc w:val="center"/>
            </w:trPr>
            <w:tc>
              <w:tcPr>
                <w:tcW w:w="5000" w:type="pct"/>
                <w:tcBorders>
                  <w:top w:val="thinThickSmallGap" w:sz="24" w:space="0" w:color="1F497D" w:themeColor="text2"/>
                </w:tcBorders>
                <w:vAlign w:val="center"/>
              </w:tcPr>
              <w:p w14:paraId="4917BC22" w14:textId="77777777" w:rsidR="004A2375" w:rsidRPr="00D95D9E" w:rsidRDefault="004A2375" w:rsidP="004A2375">
                <w:pPr>
                  <w:pStyle w:val="NoSpacing"/>
                  <w:spacing w:before="720" w:after="240"/>
                  <w:jc w:val="center"/>
                  <w:rPr>
                    <w:b/>
                    <w:bCs/>
                    <w:sz w:val="28"/>
                  </w:rPr>
                </w:pPr>
              </w:p>
            </w:tc>
          </w:tr>
          <w:tr w:rsidR="004A2375" w:rsidRPr="00D95D9E" w14:paraId="3CD02210" w14:textId="77777777" w:rsidTr="004A2375">
            <w:trPr>
              <w:trHeight w:val="2506"/>
              <w:jc w:val="center"/>
            </w:trPr>
            <w:sdt>
              <w:sdtPr>
                <w:rPr>
                  <w:rFonts w:ascii="Arial" w:eastAsiaTheme="majorEastAsia" w:hAnsi="Arial" w:cs="Arial"/>
                  <w:color w:val="1F497D" w:themeColor="text2"/>
                  <w:sz w:val="44"/>
                  <w:szCs w:val="44"/>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14:paraId="4B0FEBA6" w14:textId="00A49929" w:rsidR="004A2375" w:rsidRPr="00D95D9E" w:rsidRDefault="00E7715C" w:rsidP="00AA5E30">
                    <w:pPr>
                      <w:pStyle w:val="NoSpacing"/>
                      <w:spacing w:after="240"/>
                      <w:jc w:val="center"/>
                      <w:rPr>
                        <w:rFonts w:asciiTheme="majorHAnsi" w:eastAsiaTheme="majorEastAsia" w:hAnsiTheme="majorHAnsi" w:cstheme="majorBidi"/>
                        <w:sz w:val="80"/>
                        <w:szCs w:val="80"/>
                      </w:rPr>
                    </w:pPr>
                    <w:r>
                      <w:rPr>
                        <w:rFonts w:ascii="Arial" w:eastAsiaTheme="majorEastAsia" w:hAnsi="Arial" w:cs="Arial"/>
                        <w:color w:val="1F497D" w:themeColor="text2"/>
                        <w:sz w:val="44"/>
                        <w:szCs w:val="44"/>
                      </w:rPr>
                      <w:t>Corrective Services (Emerging Technologies and Security) and Other Legislation Amendment Bill 2022</w:t>
                    </w:r>
                  </w:p>
                </w:tc>
              </w:sdtContent>
            </w:sdt>
          </w:tr>
          <w:tr w:rsidR="004A2375" w:rsidRPr="00D95D9E" w14:paraId="761ED4E9" w14:textId="77777777" w:rsidTr="004A2375">
            <w:trPr>
              <w:trHeight w:val="360"/>
              <w:jc w:val="center"/>
            </w:trPr>
            <w:tc>
              <w:tcPr>
                <w:tcW w:w="5000" w:type="pct"/>
                <w:vAlign w:val="center"/>
              </w:tcPr>
              <w:p w14:paraId="17B782BA" w14:textId="77777777" w:rsidR="004A2375" w:rsidRPr="00D95D9E" w:rsidRDefault="004A2375" w:rsidP="004A2375">
                <w:pPr>
                  <w:pStyle w:val="NoSpacing"/>
                  <w:spacing w:after="240"/>
                  <w:jc w:val="center"/>
                  <w:rPr>
                    <w:b/>
                    <w:bCs/>
                    <w:sz w:val="28"/>
                  </w:rPr>
                </w:pPr>
              </w:p>
            </w:tc>
          </w:tr>
          <w:tr w:rsidR="004A2375" w:rsidRPr="00D95D9E" w14:paraId="75DA5A7D" w14:textId="77777777" w:rsidTr="004A2375">
            <w:trPr>
              <w:trHeight w:val="360"/>
              <w:jc w:val="center"/>
            </w:trPr>
            <w:tc>
              <w:tcPr>
                <w:tcW w:w="5000" w:type="pct"/>
                <w:tcBorders>
                  <w:bottom w:val="thickThinSmallGap" w:sz="24" w:space="0" w:color="1F497D" w:themeColor="text2"/>
                </w:tcBorders>
                <w:vAlign w:val="center"/>
              </w:tcPr>
              <w:p w14:paraId="17DAE974" w14:textId="77777777" w:rsidR="00182865" w:rsidRPr="00E7715C" w:rsidRDefault="00182865" w:rsidP="00182865">
                <w:pPr>
                  <w:pStyle w:val="NoSpacing"/>
                  <w:spacing w:before="120" w:after="120"/>
                  <w:jc w:val="right"/>
                  <w:rPr>
                    <w:rFonts w:ascii="Arial" w:hAnsi="Arial" w:cs="Arial"/>
                    <w:sz w:val="28"/>
                  </w:rPr>
                </w:pPr>
                <w:r w:rsidRPr="00E7715C">
                  <w:rPr>
                    <w:rFonts w:ascii="Arial" w:hAnsi="Arial" w:cs="Arial"/>
                    <w:sz w:val="28"/>
                  </w:rPr>
                  <w:t>Submission</w:t>
                </w:r>
              </w:p>
              <w:p w14:paraId="443AD5E4" w14:textId="090F24FC" w:rsidR="00182865" w:rsidRPr="00E7715C" w:rsidRDefault="00E7715C" w:rsidP="00182865">
                <w:pPr>
                  <w:pStyle w:val="NoSpacing"/>
                  <w:spacing w:before="120" w:after="120"/>
                  <w:jc w:val="right"/>
                  <w:rPr>
                    <w:rFonts w:ascii="Arial" w:hAnsi="Arial" w:cs="Arial"/>
                    <w:sz w:val="28"/>
                  </w:rPr>
                </w:pPr>
                <w:r>
                  <w:rPr>
                    <w:rFonts w:ascii="Arial" w:hAnsi="Arial" w:cs="Arial"/>
                    <w:sz w:val="28"/>
                  </w:rPr>
                  <w:t>to the</w:t>
                </w:r>
              </w:p>
              <w:p w14:paraId="202C61FF" w14:textId="448C459E" w:rsidR="004A2375" w:rsidRPr="00E7715C" w:rsidRDefault="00E7715C" w:rsidP="009746DD">
                <w:pPr>
                  <w:pStyle w:val="NoSpacing"/>
                  <w:spacing w:before="120" w:after="120"/>
                  <w:jc w:val="right"/>
                  <w:rPr>
                    <w:rFonts w:ascii="Arial" w:hAnsi="Arial" w:cs="Arial"/>
                    <w:sz w:val="28"/>
                  </w:rPr>
                </w:pPr>
                <w:r>
                  <w:rPr>
                    <w:rFonts w:ascii="Arial" w:hAnsi="Arial" w:cs="Arial"/>
                    <w:sz w:val="28"/>
                  </w:rPr>
                  <w:t>Education, Employment and Training Committee</w:t>
                </w:r>
              </w:p>
              <w:p w14:paraId="61B84921" w14:textId="77777777" w:rsidR="00240EF9" w:rsidRPr="00D95D9E" w:rsidRDefault="00240EF9" w:rsidP="009746DD">
                <w:pPr>
                  <w:pStyle w:val="NoSpacing"/>
                  <w:spacing w:before="120" w:after="120"/>
                  <w:jc w:val="right"/>
                  <w:rPr>
                    <w:b/>
                    <w:bCs/>
                    <w:sz w:val="28"/>
                  </w:rPr>
                </w:pPr>
              </w:p>
            </w:tc>
          </w:tr>
        </w:tbl>
        <w:p w14:paraId="54CE7601" w14:textId="77777777" w:rsidR="004A2375" w:rsidRDefault="004A2375"/>
        <w:tbl>
          <w:tblPr>
            <w:tblpPr w:leftFromText="187" w:rightFromText="187" w:horzAnchor="margin" w:tblpXSpec="center" w:tblpYSpec="bottom"/>
            <w:tblW w:w="3857" w:type="pct"/>
            <w:tblLook w:val="04A0" w:firstRow="1" w:lastRow="0" w:firstColumn="1" w:lastColumn="0" w:noHBand="0" w:noVBand="1"/>
          </w:tblPr>
          <w:tblGrid>
            <w:gridCol w:w="6407"/>
          </w:tblGrid>
          <w:tr w:rsidR="00A16356" w14:paraId="57E88844" w14:textId="77777777" w:rsidTr="00392522">
            <w:tc>
              <w:tcPr>
                <w:tcW w:w="6585" w:type="dxa"/>
                <w:tcMar>
                  <w:top w:w="216" w:type="dxa"/>
                  <w:left w:w="115" w:type="dxa"/>
                  <w:bottom w:w="216" w:type="dxa"/>
                  <w:right w:w="115" w:type="dxa"/>
                </w:tcMar>
              </w:tcPr>
              <w:p w14:paraId="0F91E34D" w14:textId="31EE4C25" w:rsidR="00A16356" w:rsidRPr="00A16356" w:rsidRDefault="009A6BD2" w:rsidP="004A2375">
                <w:pPr>
                  <w:pStyle w:val="NoSpacing"/>
                  <w:jc w:val="center"/>
                  <w:rPr>
                    <w:rFonts w:ascii="Arial" w:hAnsi="Arial" w:cs="Arial"/>
                    <w:color w:val="4F81BD" w:themeColor="accent1"/>
                    <w:sz w:val="28"/>
                    <w:szCs w:val="28"/>
                  </w:rPr>
                </w:pPr>
                <w:r>
                  <w:rPr>
                    <w:rFonts w:ascii="Arial" w:hAnsi="Arial" w:cs="Arial"/>
                    <w:color w:val="4F81BD" w:themeColor="accent1"/>
                    <w:sz w:val="28"/>
                    <w:szCs w:val="28"/>
                  </w:rPr>
                  <w:t>23 December 2022</w:t>
                </w:r>
              </w:p>
              <w:p w14:paraId="6AC9B9C4" w14:textId="77777777" w:rsidR="00A16356" w:rsidRDefault="00A16356">
                <w:pPr>
                  <w:pStyle w:val="NoSpacing"/>
                  <w:rPr>
                    <w:color w:val="4F81BD" w:themeColor="accent1"/>
                  </w:rPr>
                </w:pPr>
              </w:p>
            </w:tc>
          </w:tr>
        </w:tbl>
        <w:p w14:paraId="0EC0807B" w14:textId="77777777" w:rsidR="004A2375" w:rsidRDefault="00A16356">
          <w:r>
            <w:br w:type="page"/>
          </w:r>
        </w:p>
        <w:p w14:paraId="0A0DB81E" w14:textId="77777777" w:rsidR="00A16356" w:rsidRPr="004A2375" w:rsidRDefault="000364EF">
          <w:pPr>
            <w:rPr>
              <w:rFonts w:ascii="Arial" w:eastAsiaTheme="majorEastAsia" w:hAnsi="Arial" w:cstheme="majorBidi"/>
              <w:b/>
              <w:color w:val="365F91" w:themeColor="accent1" w:themeShade="BF"/>
              <w:sz w:val="16"/>
              <w:szCs w:val="16"/>
            </w:rPr>
          </w:pPr>
        </w:p>
      </w:sdtContent>
    </w:sdt>
    <w:sdt>
      <w:sdtPr>
        <w:rPr>
          <w:rFonts w:asciiTheme="minorHAnsi" w:eastAsiaTheme="minorEastAsia" w:hAnsiTheme="minorHAnsi" w:cstheme="minorBidi"/>
          <w:color w:val="auto"/>
          <w:sz w:val="24"/>
          <w:szCs w:val="24"/>
          <w:lang w:val="en-US"/>
        </w:rPr>
        <w:id w:val="-331140652"/>
        <w:docPartObj>
          <w:docPartGallery w:val="Table of Contents"/>
          <w:docPartUnique/>
        </w:docPartObj>
      </w:sdtPr>
      <w:sdtEndPr>
        <w:rPr>
          <w:rFonts w:ascii="Arial" w:hAnsi="Arial" w:cs="Arial"/>
          <w:b/>
          <w:bCs/>
          <w:noProof/>
          <w:lang w:val="en-AU"/>
        </w:rPr>
      </w:sdtEndPr>
      <w:sdtContent>
        <w:p w14:paraId="4B5D0AAC" w14:textId="77777777" w:rsidR="00A16356" w:rsidRPr="00183FA4" w:rsidRDefault="00A16356" w:rsidP="0022037D">
          <w:pPr>
            <w:pStyle w:val="TOCHeading"/>
            <w:spacing w:before="120" w:after="120"/>
            <w:rPr>
              <w:rFonts w:ascii="Arial" w:hAnsi="Arial" w:cs="Arial"/>
              <w:b/>
            </w:rPr>
          </w:pPr>
          <w:r w:rsidRPr="00183FA4">
            <w:rPr>
              <w:rFonts w:ascii="Arial" w:hAnsi="Arial" w:cs="Arial"/>
              <w:b/>
            </w:rPr>
            <w:t>Table of Contents</w:t>
          </w:r>
        </w:p>
        <w:p w14:paraId="2FACBEE7" w14:textId="734586E6" w:rsidR="003F02E0" w:rsidRPr="003F02E0" w:rsidRDefault="00A16356">
          <w:pPr>
            <w:pStyle w:val="TOC1"/>
            <w:tabs>
              <w:tab w:val="right" w:leader="dot" w:pos="8296"/>
            </w:tabs>
            <w:rPr>
              <w:rFonts w:ascii="Arial" w:hAnsi="Arial" w:cs="Arial"/>
              <w:noProof/>
              <w:sz w:val="22"/>
              <w:szCs w:val="22"/>
              <w:lang w:eastAsia="en-AU"/>
            </w:rPr>
          </w:pPr>
          <w:r w:rsidRPr="000A623E">
            <w:rPr>
              <w:rFonts w:ascii="Arial" w:hAnsi="Arial" w:cs="Arial"/>
              <w:b/>
              <w:bCs/>
              <w:noProof/>
            </w:rPr>
            <w:fldChar w:fldCharType="begin"/>
          </w:r>
          <w:r w:rsidRPr="000A623E">
            <w:rPr>
              <w:rFonts w:ascii="Arial" w:hAnsi="Arial" w:cs="Arial"/>
              <w:b/>
              <w:bCs/>
              <w:noProof/>
            </w:rPr>
            <w:instrText xml:space="preserve"> TOC \o "1-3" \h \z \u </w:instrText>
          </w:r>
          <w:r w:rsidRPr="000A623E">
            <w:rPr>
              <w:rFonts w:ascii="Arial" w:hAnsi="Arial" w:cs="Arial"/>
              <w:b/>
              <w:bCs/>
              <w:noProof/>
            </w:rPr>
            <w:fldChar w:fldCharType="separate"/>
          </w:r>
          <w:hyperlink w:anchor="_Toc122696960" w:history="1">
            <w:r w:rsidR="003F02E0" w:rsidRPr="003F02E0">
              <w:rPr>
                <w:rStyle w:val="Hyperlink"/>
                <w:rFonts w:ascii="Arial" w:hAnsi="Arial" w:cs="Arial"/>
                <w:noProof/>
              </w:rPr>
              <w:t>Summary</w:t>
            </w:r>
            <w:r w:rsidR="003F02E0" w:rsidRPr="003F02E0">
              <w:rPr>
                <w:rFonts w:ascii="Arial" w:hAnsi="Arial" w:cs="Arial"/>
                <w:noProof/>
                <w:webHidden/>
              </w:rPr>
              <w:tab/>
            </w:r>
            <w:r w:rsidR="003F02E0" w:rsidRPr="003F02E0">
              <w:rPr>
                <w:rFonts w:ascii="Arial" w:hAnsi="Arial" w:cs="Arial"/>
                <w:noProof/>
                <w:webHidden/>
              </w:rPr>
              <w:fldChar w:fldCharType="begin"/>
            </w:r>
            <w:r w:rsidR="003F02E0" w:rsidRPr="003F02E0">
              <w:rPr>
                <w:rFonts w:ascii="Arial" w:hAnsi="Arial" w:cs="Arial"/>
                <w:noProof/>
                <w:webHidden/>
              </w:rPr>
              <w:instrText xml:space="preserve"> PAGEREF _Toc122696960 \h </w:instrText>
            </w:r>
            <w:r w:rsidR="003F02E0" w:rsidRPr="003F02E0">
              <w:rPr>
                <w:rFonts w:ascii="Arial" w:hAnsi="Arial" w:cs="Arial"/>
                <w:noProof/>
                <w:webHidden/>
              </w:rPr>
            </w:r>
            <w:r w:rsidR="003F02E0" w:rsidRPr="003F02E0">
              <w:rPr>
                <w:rFonts w:ascii="Arial" w:hAnsi="Arial" w:cs="Arial"/>
                <w:noProof/>
                <w:webHidden/>
              </w:rPr>
              <w:fldChar w:fldCharType="separate"/>
            </w:r>
            <w:r w:rsidR="000364EF">
              <w:rPr>
                <w:rFonts w:ascii="Arial" w:hAnsi="Arial" w:cs="Arial"/>
                <w:noProof/>
                <w:webHidden/>
              </w:rPr>
              <w:t>2</w:t>
            </w:r>
            <w:r w:rsidR="003F02E0" w:rsidRPr="003F02E0">
              <w:rPr>
                <w:rFonts w:ascii="Arial" w:hAnsi="Arial" w:cs="Arial"/>
                <w:noProof/>
                <w:webHidden/>
              </w:rPr>
              <w:fldChar w:fldCharType="end"/>
            </w:r>
          </w:hyperlink>
        </w:p>
        <w:p w14:paraId="11247DFC" w14:textId="7E001707" w:rsidR="003F02E0" w:rsidRPr="003F02E0" w:rsidRDefault="000364EF">
          <w:pPr>
            <w:pStyle w:val="TOC1"/>
            <w:tabs>
              <w:tab w:val="right" w:leader="dot" w:pos="8296"/>
            </w:tabs>
            <w:rPr>
              <w:rFonts w:ascii="Arial" w:hAnsi="Arial" w:cs="Arial"/>
              <w:noProof/>
              <w:sz w:val="22"/>
              <w:szCs w:val="22"/>
              <w:lang w:eastAsia="en-AU"/>
            </w:rPr>
          </w:pPr>
          <w:hyperlink w:anchor="_Toc122696961" w:history="1">
            <w:r w:rsidR="003F02E0" w:rsidRPr="003F02E0">
              <w:rPr>
                <w:rStyle w:val="Hyperlink"/>
                <w:rFonts w:ascii="Arial" w:hAnsi="Arial" w:cs="Arial"/>
                <w:noProof/>
              </w:rPr>
              <w:t>Introduction</w:t>
            </w:r>
            <w:r w:rsidR="003F02E0" w:rsidRPr="003F02E0">
              <w:rPr>
                <w:rFonts w:ascii="Arial" w:hAnsi="Arial" w:cs="Arial"/>
                <w:noProof/>
                <w:webHidden/>
              </w:rPr>
              <w:tab/>
            </w:r>
            <w:r w:rsidR="003F02E0" w:rsidRPr="003F02E0">
              <w:rPr>
                <w:rFonts w:ascii="Arial" w:hAnsi="Arial" w:cs="Arial"/>
                <w:noProof/>
                <w:webHidden/>
              </w:rPr>
              <w:fldChar w:fldCharType="begin"/>
            </w:r>
            <w:r w:rsidR="003F02E0" w:rsidRPr="003F02E0">
              <w:rPr>
                <w:rFonts w:ascii="Arial" w:hAnsi="Arial" w:cs="Arial"/>
                <w:noProof/>
                <w:webHidden/>
              </w:rPr>
              <w:instrText xml:space="preserve"> PAGEREF _Toc122696961 \h </w:instrText>
            </w:r>
            <w:r w:rsidR="003F02E0" w:rsidRPr="003F02E0">
              <w:rPr>
                <w:rFonts w:ascii="Arial" w:hAnsi="Arial" w:cs="Arial"/>
                <w:noProof/>
                <w:webHidden/>
              </w:rPr>
            </w:r>
            <w:r w:rsidR="003F02E0" w:rsidRPr="003F02E0">
              <w:rPr>
                <w:rFonts w:ascii="Arial" w:hAnsi="Arial" w:cs="Arial"/>
                <w:noProof/>
                <w:webHidden/>
              </w:rPr>
              <w:fldChar w:fldCharType="separate"/>
            </w:r>
            <w:r>
              <w:rPr>
                <w:rFonts w:ascii="Arial" w:hAnsi="Arial" w:cs="Arial"/>
                <w:noProof/>
                <w:webHidden/>
              </w:rPr>
              <w:t>3</w:t>
            </w:r>
            <w:r w:rsidR="003F02E0" w:rsidRPr="003F02E0">
              <w:rPr>
                <w:rFonts w:ascii="Arial" w:hAnsi="Arial" w:cs="Arial"/>
                <w:noProof/>
                <w:webHidden/>
              </w:rPr>
              <w:fldChar w:fldCharType="end"/>
            </w:r>
          </w:hyperlink>
        </w:p>
        <w:p w14:paraId="4001ECC3" w14:textId="2C5E049E" w:rsidR="003F02E0" w:rsidRPr="003F02E0" w:rsidRDefault="000364EF">
          <w:pPr>
            <w:pStyle w:val="TOC1"/>
            <w:tabs>
              <w:tab w:val="right" w:leader="dot" w:pos="8296"/>
            </w:tabs>
            <w:rPr>
              <w:rFonts w:ascii="Arial" w:hAnsi="Arial" w:cs="Arial"/>
              <w:noProof/>
              <w:sz w:val="22"/>
              <w:szCs w:val="22"/>
              <w:lang w:eastAsia="en-AU"/>
            </w:rPr>
          </w:pPr>
          <w:hyperlink w:anchor="_Toc122696962" w:history="1">
            <w:r w:rsidR="003F02E0" w:rsidRPr="003F02E0">
              <w:rPr>
                <w:rStyle w:val="Hyperlink"/>
                <w:rFonts w:ascii="Arial" w:hAnsi="Arial" w:cs="Arial"/>
                <w:noProof/>
              </w:rPr>
              <w:t>Emergency response framework</w:t>
            </w:r>
            <w:r w:rsidR="003F02E0" w:rsidRPr="003F02E0">
              <w:rPr>
                <w:rFonts w:ascii="Arial" w:hAnsi="Arial" w:cs="Arial"/>
                <w:noProof/>
                <w:webHidden/>
              </w:rPr>
              <w:tab/>
            </w:r>
            <w:r w:rsidR="003F02E0" w:rsidRPr="003F02E0">
              <w:rPr>
                <w:rFonts w:ascii="Arial" w:hAnsi="Arial" w:cs="Arial"/>
                <w:noProof/>
                <w:webHidden/>
              </w:rPr>
              <w:fldChar w:fldCharType="begin"/>
            </w:r>
            <w:r w:rsidR="003F02E0" w:rsidRPr="003F02E0">
              <w:rPr>
                <w:rFonts w:ascii="Arial" w:hAnsi="Arial" w:cs="Arial"/>
                <w:noProof/>
                <w:webHidden/>
              </w:rPr>
              <w:instrText xml:space="preserve"> PAGEREF _Toc122696962 \h </w:instrText>
            </w:r>
            <w:r w:rsidR="003F02E0" w:rsidRPr="003F02E0">
              <w:rPr>
                <w:rFonts w:ascii="Arial" w:hAnsi="Arial" w:cs="Arial"/>
                <w:noProof/>
                <w:webHidden/>
              </w:rPr>
            </w:r>
            <w:r w:rsidR="003F02E0" w:rsidRPr="003F02E0">
              <w:rPr>
                <w:rFonts w:ascii="Arial" w:hAnsi="Arial" w:cs="Arial"/>
                <w:noProof/>
                <w:webHidden/>
              </w:rPr>
              <w:fldChar w:fldCharType="separate"/>
            </w:r>
            <w:r>
              <w:rPr>
                <w:rFonts w:ascii="Arial" w:hAnsi="Arial" w:cs="Arial"/>
                <w:noProof/>
                <w:webHidden/>
              </w:rPr>
              <w:t>3</w:t>
            </w:r>
            <w:r w:rsidR="003F02E0" w:rsidRPr="003F02E0">
              <w:rPr>
                <w:rFonts w:ascii="Arial" w:hAnsi="Arial" w:cs="Arial"/>
                <w:noProof/>
                <w:webHidden/>
              </w:rPr>
              <w:fldChar w:fldCharType="end"/>
            </w:r>
          </w:hyperlink>
        </w:p>
        <w:p w14:paraId="24E4C1DE" w14:textId="1A55F0EF" w:rsidR="003F02E0" w:rsidRPr="003F02E0" w:rsidRDefault="000364EF">
          <w:pPr>
            <w:pStyle w:val="TOC2"/>
            <w:rPr>
              <w:rFonts w:ascii="Arial" w:hAnsi="Arial" w:cs="Arial"/>
              <w:noProof/>
              <w:sz w:val="22"/>
              <w:szCs w:val="22"/>
              <w:lang w:eastAsia="en-AU"/>
            </w:rPr>
          </w:pPr>
          <w:hyperlink w:anchor="_Toc122696963" w:history="1">
            <w:r w:rsidR="003F02E0" w:rsidRPr="003F02E0">
              <w:rPr>
                <w:rStyle w:val="Hyperlink"/>
                <w:rFonts w:ascii="Arial" w:hAnsi="Arial" w:cs="Arial"/>
                <w:noProof/>
              </w:rPr>
              <w:t>Threshold for declaring an emergency</w:t>
            </w:r>
            <w:r w:rsidR="003F02E0" w:rsidRPr="003F02E0">
              <w:rPr>
                <w:rFonts w:ascii="Arial" w:hAnsi="Arial" w:cs="Arial"/>
                <w:noProof/>
                <w:webHidden/>
              </w:rPr>
              <w:tab/>
            </w:r>
            <w:r w:rsidR="003F02E0" w:rsidRPr="003F02E0">
              <w:rPr>
                <w:rFonts w:ascii="Arial" w:hAnsi="Arial" w:cs="Arial"/>
                <w:noProof/>
                <w:webHidden/>
              </w:rPr>
              <w:fldChar w:fldCharType="begin"/>
            </w:r>
            <w:r w:rsidR="003F02E0" w:rsidRPr="003F02E0">
              <w:rPr>
                <w:rFonts w:ascii="Arial" w:hAnsi="Arial" w:cs="Arial"/>
                <w:noProof/>
                <w:webHidden/>
              </w:rPr>
              <w:instrText xml:space="preserve"> PAGEREF _Toc122696963 \h </w:instrText>
            </w:r>
            <w:r w:rsidR="003F02E0" w:rsidRPr="003F02E0">
              <w:rPr>
                <w:rFonts w:ascii="Arial" w:hAnsi="Arial" w:cs="Arial"/>
                <w:noProof/>
                <w:webHidden/>
              </w:rPr>
            </w:r>
            <w:r w:rsidR="003F02E0" w:rsidRPr="003F02E0">
              <w:rPr>
                <w:rFonts w:ascii="Arial" w:hAnsi="Arial" w:cs="Arial"/>
                <w:noProof/>
                <w:webHidden/>
              </w:rPr>
              <w:fldChar w:fldCharType="separate"/>
            </w:r>
            <w:r>
              <w:rPr>
                <w:rFonts w:ascii="Arial" w:hAnsi="Arial" w:cs="Arial"/>
                <w:noProof/>
                <w:webHidden/>
              </w:rPr>
              <w:t>3</w:t>
            </w:r>
            <w:r w:rsidR="003F02E0" w:rsidRPr="003F02E0">
              <w:rPr>
                <w:rFonts w:ascii="Arial" w:hAnsi="Arial" w:cs="Arial"/>
                <w:noProof/>
                <w:webHidden/>
              </w:rPr>
              <w:fldChar w:fldCharType="end"/>
            </w:r>
          </w:hyperlink>
        </w:p>
        <w:p w14:paraId="76EE30FF" w14:textId="6288F6A5" w:rsidR="003F02E0" w:rsidRPr="003F02E0" w:rsidRDefault="000364EF">
          <w:pPr>
            <w:pStyle w:val="TOC2"/>
            <w:rPr>
              <w:rFonts w:ascii="Arial" w:hAnsi="Arial" w:cs="Arial"/>
              <w:noProof/>
              <w:sz w:val="22"/>
              <w:szCs w:val="22"/>
              <w:lang w:eastAsia="en-AU"/>
            </w:rPr>
          </w:pPr>
          <w:hyperlink w:anchor="_Toc122696964" w:history="1">
            <w:r w:rsidR="003F02E0" w:rsidRPr="003F02E0">
              <w:rPr>
                <w:rStyle w:val="Hyperlink"/>
                <w:rFonts w:ascii="Arial" w:hAnsi="Arial" w:cs="Arial"/>
                <w:noProof/>
              </w:rPr>
              <w:t>Emergency powers</w:t>
            </w:r>
            <w:r w:rsidR="003F02E0" w:rsidRPr="003F02E0">
              <w:rPr>
                <w:rFonts w:ascii="Arial" w:hAnsi="Arial" w:cs="Arial"/>
                <w:noProof/>
                <w:webHidden/>
              </w:rPr>
              <w:tab/>
            </w:r>
            <w:r w:rsidR="003F02E0" w:rsidRPr="003F02E0">
              <w:rPr>
                <w:rFonts w:ascii="Arial" w:hAnsi="Arial" w:cs="Arial"/>
                <w:noProof/>
                <w:webHidden/>
              </w:rPr>
              <w:fldChar w:fldCharType="begin"/>
            </w:r>
            <w:r w:rsidR="003F02E0" w:rsidRPr="003F02E0">
              <w:rPr>
                <w:rFonts w:ascii="Arial" w:hAnsi="Arial" w:cs="Arial"/>
                <w:noProof/>
                <w:webHidden/>
              </w:rPr>
              <w:instrText xml:space="preserve"> PAGEREF _Toc122696964 \h </w:instrText>
            </w:r>
            <w:r w:rsidR="003F02E0" w:rsidRPr="003F02E0">
              <w:rPr>
                <w:rFonts w:ascii="Arial" w:hAnsi="Arial" w:cs="Arial"/>
                <w:noProof/>
                <w:webHidden/>
              </w:rPr>
            </w:r>
            <w:r w:rsidR="003F02E0" w:rsidRPr="003F02E0">
              <w:rPr>
                <w:rFonts w:ascii="Arial" w:hAnsi="Arial" w:cs="Arial"/>
                <w:noProof/>
                <w:webHidden/>
              </w:rPr>
              <w:fldChar w:fldCharType="separate"/>
            </w:r>
            <w:r>
              <w:rPr>
                <w:rFonts w:ascii="Arial" w:hAnsi="Arial" w:cs="Arial"/>
                <w:noProof/>
                <w:webHidden/>
              </w:rPr>
              <w:t>4</w:t>
            </w:r>
            <w:r w:rsidR="003F02E0" w:rsidRPr="003F02E0">
              <w:rPr>
                <w:rFonts w:ascii="Arial" w:hAnsi="Arial" w:cs="Arial"/>
                <w:noProof/>
                <w:webHidden/>
              </w:rPr>
              <w:fldChar w:fldCharType="end"/>
            </w:r>
          </w:hyperlink>
        </w:p>
        <w:p w14:paraId="2ADA8E30" w14:textId="162E1941" w:rsidR="003F02E0" w:rsidRPr="003F02E0" w:rsidRDefault="000364EF">
          <w:pPr>
            <w:pStyle w:val="TOC2"/>
            <w:rPr>
              <w:rFonts w:ascii="Arial" w:hAnsi="Arial" w:cs="Arial"/>
              <w:noProof/>
              <w:sz w:val="22"/>
              <w:szCs w:val="22"/>
              <w:lang w:eastAsia="en-AU"/>
            </w:rPr>
          </w:pPr>
          <w:hyperlink w:anchor="_Toc122696965" w:history="1">
            <w:r w:rsidR="003F02E0" w:rsidRPr="003F02E0">
              <w:rPr>
                <w:rStyle w:val="Hyperlink"/>
                <w:rFonts w:ascii="Arial" w:hAnsi="Arial" w:cs="Arial"/>
                <w:noProof/>
              </w:rPr>
              <w:t>Access to corrective services facilities</w:t>
            </w:r>
            <w:r w:rsidR="003F02E0" w:rsidRPr="003F02E0">
              <w:rPr>
                <w:rFonts w:ascii="Arial" w:hAnsi="Arial" w:cs="Arial"/>
                <w:noProof/>
                <w:webHidden/>
              </w:rPr>
              <w:tab/>
            </w:r>
            <w:r w:rsidR="003F02E0" w:rsidRPr="003F02E0">
              <w:rPr>
                <w:rFonts w:ascii="Arial" w:hAnsi="Arial" w:cs="Arial"/>
                <w:noProof/>
                <w:webHidden/>
              </w:rPr>
              <w:fldChar w:fldCharType="begin"/>
            </w:r>
            <w:r w:rsidR="003F02E0" w:rsidRPr="003F02E0">
              <w:rPr>
                <w:rFonts w:ascii="Arial" w:hAnsi="Arial" w:cs="Arial"/>
                <w:noProof/>
                <w:webHidden/>
              </w:rPr>
              <w:instrText xml:space="preserve"> PAGEREF _Toc122696965 \h </w:instrText>
            </w:r>
            <w:r w:rsidR="003F02E0" w:rsidRPr="003F02E0">
              <w:rPr>
                <w:rFonts w:ascii="Arial" w:hAnsi="Arial" w:cs="Arial"/>
                <w:noProof/>
                <w:webHidden/>
              </w:rPr>
            </w:r>
            <w:r w:rsidR="003F02E0" w:rsidRPr="003F02E0">
              <w:rPr>
                <w:rFonts w:ascii="Arial" w:hAnsi="Arial" w:cs="Arial"/>
                <w:noProof/>
                <w:webHidden/>
              </w:rPr>
              <w:fldChar w:fldCharType="separate"/>
            </w:r>
            <w:r>
              <w:rPr>
                <w:rFonts w:ascii="Arial" w:hAnsi="Arial" w:cs="Arial"/>
                <w:noProof/>
                <w:webHidden/>
              </w:rPr>
              <w:t>4</w:t>
            </w:r>
            <w:r w:rsidR="003F02E0" w:rsidRPr="003F02E0">
              <w:rPr>
                <w:rFonts w:ascii="Arial" w:hAnsi="Arial" w:cs="Arial"/>
                <w:noProof/>
                <w:webHidden/>
              </w:rPr>
              <w:fldChar w:fldCharType="end"/>
            </w:r>
          </w:hyperlink>
        </w:p>
        <w:p w14:paraId="1D8DA27A" w14:textId="631695D5" w:rsidR="003F02E0" w:rsidRPr="003F02E0" w:rsidRDefault="000364EF">
          <w:pPr>
            <w:pStyle w:val="TOC2"/>
            <w:rPr>
              <w:rFonts w:ascii="Arial" w:hAnsi="Arial" w:cs="Arial"/>
              <w:noProof/>
              <w:sz w:val="22"/>
              <w:szCs w:val="22"/>
              <w:lang w:eastAsia="en-AU"/>
            </w:rPr>
          </w:pPr>
          <w:hyperlink w:anchor="_Toc122696966" w:history="1">
            <w:r w:rsidR="003F02E0" w:rsidRPr="003F02E0">
              <w:rPr>
                <w:rStyle w:val="Hyperlink"/>
                <w:rFonts w:ascii="Arial" w:hAnsi="Arial" w:cs="Arial"/>
                <w:noProof/>
              </w:rPr>
              <w:t>Telephone contact with family</w:t>
            </w:r>
            <w:r w:rsidR="003F02E0" w:rsidRPr="003F02E0">
              <w:rPr>
                <w:rFonts w:ascii="Arial" w:hAnsi="Arial" w:cs="Arial"/>
                <w:noProof/>
                <w:webHidden/>
              </w:rPr>
              <w:tab/>
            </w:r>
            <w:r w:rsidR="003F02E0" w:rsidRPr="003F02E0">
              <w:rPr>
                <w:rFonts w:ascii="Arial" w:hAnsi="Arial" w:cs="Arial"/>
                <w:noProof/>
                <w:webHidden/>
              </w:rPr>
              <w:fldChar w:fldCharType="begin"/>
            </w:r>
            <w:r w:rsidR="003F02E0" w:rsidRPr="003F02E0">
              <w:rPr>
                <w:rFonts w:ascii="Arial" w:hAnsi="Arial" w:cs="Arial"/>
                <w:noProof/>
                <w:webHidden/>
              </w:rPr>
              <w:instrText xml:space="preserve"> PAGEREF _Toc122696966 \h </w:instrText>
            </w:r>
            <w:r w:rsidR="003F02E0" w:rsidRPr="003F02E0">
              <w:rPr>
                <w:rFonts w:ascii="Arial" w:hAnsi="Arial" w:cs="Arial"/>
                <w:noProof/>
                <w:webHidden/>
              </w:rPr>
            </w:r>
            <w:r w:rsidR="003F02E0" w:rsidRPr="003F02E0">
              <w:rPr>
                <w:rFonts w:ascii="Arial" w:hAnsi="Arial" w:cs="Arial"/>
                <w:noProof/>
                <w:webHidden/>
              </w:rPr>
              <w:fldChar w:fldCharType="separate"/>
            </w:r>
            <w:r>
              <w:rPr>
                <w:rFonts w:ascii="Arial" w:hAnsi="Arial" w:cs="Arial"/>
                <w:noProof/>
                <w:webHidden/>
              </w:rPr>
              <w:t>4</w:t>
            </w:r>
            <w:r w:rsidR="003F02E0" w:rsidRPr="003F02E0">
              <w:rPr>
                <w:rFonts w:ascii="Arial" w:hAnsi="Arial" w:cs="Arial"/>
                <w:noProof/>
                <w:webHidden/>
              </w:rPr>
              <w:fldChar w:fldCharType="end"/>
            </w:r>
          </w:hyperlink>
        </w:p>
        <w:p w14:paraId="5D9EF065" w14:textId="469A29B7" w:rsidR="003F02E0" w:rsidRPr="003F02E0" w:rsidRDefault="000364EF">
          <w:pPr>
            <w:pStyle w:val="TOC2"/>
            <w:rPr>
              <w:rFonts w:ascii="Arial" w:hAnsi="Arial" w:cs="Arial"/>
              <w:noProof/>
              <w:sz w:val="22"/>
              <w:szCs w:val="22"/>
              <w:lang w:eastAsia="en-AU"/>
            </w:rPr>
          </w:pPr>
          <w:hyperlink w:anchor="_Toc122696967" w:history="1">
            <w:r w:rsidR="003F02E0" w:rsidRPr="003F02E0">
              <w:rPr>
                <w:rStyle w:val="Hyperlink"/>
                <w:rFonts w:ascii="Arial" w:hAnsi="Arial" w:cs="Arial"/>
                <w:noProof/>
              </w:rPr>
              <w:t>Publication of information</w:t>
            </w:r>
            <w:r w:rsidR="003F02E0" w:rsidRPr="003F02E0">
              <w:rPr>
                <w:rFonts w:ascii="Arial" w:hAnsi="Arial" w:cs="Arial"/>
                <w:noProof/>
                <w:webHidden/>
              </w:rPr>
              <w:tab/>
            </w:r>
            <w:r w:rsidR="003F02E0" w:rsidRPr="003F02E0">
              <w:rPr>
                <w:rFonts w:ascii="Arial" w:hAnsi="Arial" w:cs="Arial"/>
                <w:noProof/>
                <w:webHidden/>
              </w:rPr>
              <w:fldChar w:fldCharType="begin"/>
            </w:r>
            <w:r w:rsidR="003F02E0" w:rsidRPr="003F02E0">
              <w:rPr>
                <w:rFonts w:ascii="Arial" w:hAnsi="Arial" w:cs="Arial"/>
                <w:noProof/>
                <w:webHidden/>
              </w:rPr>
              <w:instrText xml:space="preserve"> PAGEREF _Toc122696967 \h </w:instrText>
            </w:r>
            <w:r w:rsidR="003F02E0" w:rsidRPr="003F02E0">
              <w:rPr>
                <w:rFonts w:ascii="Arial" w:hAnsi="Arial" w:cs="Arial"/>
                <w:noProof/>
                <w:webHidden/>
              </w:rPr>
            </w:r>
            <w:r w:rsidR="003F02E0" w:rsidRPr="003F02E0">
              <w:rPr>
                <w:rFonts w:ascii="Arial" w:hAnsi="Arial" w:cs="Arial"/>
                <w:noProof/>
                <w:webHidden/>
              </w:rPr>
              <w:fldChar w:fldCharType="separate"/>
            </w:r>
            <w:r>
              <w:rPr>
                <w:rFonts w:ascii="Arial" w:hAnsi="Arial" w:cs="Arial"/>
                <w:noProof/>
                <w:webHidden/>
              </w:rPr>
              <w:t>4</w:t>
            </w:r>
            <w:r w:rsidR="003F02E0" w:rsidRPr="003F02E0">
              <w:rPr>
                <w:rFonts w:ascii="Arial" w:hAnsi="Arial" w:cs="Arial"/>
                <w:noProof/>
                <w:webHidden/>
              </w:rPr>
              <w:fldChar w:fldCharType="end"/>
            </w:r>
          </w:hyperlink>
        </w:p>
        <w:p w14:paraId="357936DF" w14:textId="4BCF1F0B" w:rsidR="003F02E0" w:rsidRPr="003F02E0" w:rsidRDefault="000364EF">
          <w:pPr>
            <w:pStyle w:val="TOC1"/>
            <w:tabs>
              <w:tab w:val="right" w:leader="dot" w:pos="8296"/>
            </w:tabs>
            <w:rPr>
              <w:rFonts w:ascii="Arial" w:hAnsi="Arial" w:cs="Arial"/>
              <w:noProof/>
              <w:sz w:val="22"/>
              <w:szCs w:val="22"/>
              <w:lang w:eastAsia="en-AU"/>
            </w:rPr>
          </w:pPr>
          <w:hyperlink w:anchor="_Toc122696968" w:history="1">
            <w:r w:rsidR="003F02E0" w:rsidRPr="003F02E0">
              <w:rPr>
                <w:rStyle w:val="Hyperlink"/>
                <w:rFonts w:ascii="Arial" w:hAnsi="Arial" w:cs="Arial"/>
                <w:noProof/>
              </w:rPr>
              <w:t>Sharing prisoner health information</w:t>
            </w:r>
            <w:r w:rsidR="003F02E0" w:rsidRPr="003F02E0">
              <w:rPr>
                <w:rFonts w:ascii="Arial" w:hAnsi="Arial" w:cs="Arial"/>
                <w:noProof/>
                <w:webHidden/>
              </w:rPr>
              <w:tab/>
            </w:r>
            <w:r w:rsidR="003F02E0" w:rsidRPr="003F02E0">
              <w:rPr>
                <w:rFonts w:ascii="Arial" w:hAnsi="Arial" w:cs="Arial"/>
                <w:noProof/>
                <w:webHidden/>
              </w:rPr>
              <w:fldChar w:fldCharType="begin"/>
            </w:r>
            <w:r w:rsidR="003F02E0" w:rsidRPr="003F02E0">
              <w:rPr>
                <w:rFonts w:ascii="Arial" w:hAnsi="Arial" w:cs="Arial"/>
                <w:noProof/>
                <w:webHidden/>
              </w:rPr>
              <w:instrText xml:space="preserve"> PAGEREF _Toc122696968 \h </w:instrText>
            </w:r>
            <w:r w:rsidR="003F02E0" w:rsidRPr="003F02E0">
              <w:rPr>
                <w:rFonts w:ascii="Arial" w:hAnsi="Arial" w:cs="Arial"/>
                <w:noProof/>
                <w:webHidden/>
              </w:rPr>
            </w:r>
            <w:r w:rsidR="003F02E0" w:rsidRPr="003F02E0">
              <w:rPr>
                <w:rFonts w:ascii="Arial" w:hAnsi="Arial" w:cs="Arial"/>
                <w:noProof/>
                <w:webHidden/>
              </w:rPr>
              <w:fldChar w:fldCharType="separate"/>
            </w:r>
            <w:r>
              <w:rPr>
                <w:rFonts w:ascii="Arial" w:hAnsi="Arial" w:cs="Arial"/>
                <w:noProof/>
                <w:webHidden/>
              </w:rPr>
              <w:t>5</w:t>
            </w:r>
            <w:r w:rsidR="003F02E0" w:rsidRPr="003F02E0">
              <w:rPr>
                <w:rFonts w:ascii="Arial" w:hAnsi="Arial" w:cs="Arial"/>
                <w:noProof/>
                <w:webHidden/>
              </w:rPr>
              <w:fldChar w:fldCharType="end"/>
            </w:r>
          </w:hyperlink>
        </w:p>
        <w:p w14:paraId="063ADD3C" w14:textId="28098F31" w:rsidR="003F02E0" w:rsidRPr="003F02E0" w:rsidRDefault="000364EF">
          <w:pPr>
            <w:pStyle w:val="TOC1"/>
            <w:tabs>
              <w:tab w:val="right" w:leader="dot" w:pos="8296"/>
            </w:tabs>
            <w:rPr>
              <w:rFonts w:ascii="Arial" w:hAnsi="Arial" w:cs="Arial"/>
              <w:noProof/>
              <w:sz w:val="22"/>
              <w:szCs w:val="22"/>
              <w:lang w:eastAsia="en-AU"/>
            </w:rPr>
          </w:pPr>
          <w:hyperlink w:anchor="_Toc122696969" w:history="1">
            <w:r w:rsidR="003F02E0" w:rsidRPr="003F02E0">
              <w:rPr>
                <w:rStyle w:val="Hyperlink"/>
                <w:rFonts w:ascii="Arial" w:hAnsi="Arial" w:cs="Arial"/>
                <w:noProof/>
              </w:rPr>
              <w:t>Restrictions on transfer to low custody facility</w:t>
            </w:r>
            <w:r w:rsidR="003F02E0" w:rsidRPr="003F02E0">
              <w:rPr>
                <w:rFonts w:ascii="Arial" w:hAnsi="Arial" w:cs="Arial"/>
                <w:noProof/>
                <w:webHidden/>
              </w:rPr>
              <w:tab/>
            </w:r>
            <w:r w:rsidR="003F02E0" w:rsidRPr="003F02E0">
              <w:rPr>
                <w:rFonts w:ascii="Arial" w:hAnsi="Arial" w:cs="Arial"/>
                <w:noProof/>
                <w:webHidden/>
              </w:rPr>
              <w:fldChar w:fldCharType="begin"/>
            </w:r>
            <w:r w:rsidR="003F02E0" w:rsidRPr="003F02E0">
              <w:rPr>
                <w:rFonts w:ascii="Arial" w:hAnsi="Arial" w:cs="Arial"/>
                <w:noProof/>
                <w:webHidden/>
              </w:rPr>
              <w:instrText xml:space="preserve"> PAGEREF _Toc122696969 \h </w:instrText>
            </w:r>
            <w:r w:rsidR="003F02E0" w:rsidRPr="003F02E0">
              <w:rPr>
                <w:rFonts w:ascii="Arial" w:hAnsi="Arial" w:cs="Arial"/>
                <w:noProof/>
                <w:webHidden/>
              </w:rPr>
            </w:r>
            <w:r w:rsidR="003F02E0" w:rsidRPr="003F02E0">
              <w:rPr>
                <w:rFonts w:ascii="Arial" w:hAnsi="Arial" w:cs="Arial"/>
                <w:noProof/>
                <w:webHidden/>
              </w:rPr>
              <w:fldChar w:fldCharType="separate"/>
            </w:r>
            <w:r>
              <w:rPr>
                <w:rFonts w:ascii="Arial" w:hAnsi="Arial" w:cs="Arial"/>
                <w:noProof/>
                <w:webHidden/>
              </w:rPr>
              <w:t>6</w:t>
            </w:r>
            <w:r w:rsidR="003F02E0" w:rsidRPr="003F02E0">
              <w:rPr>
                <w:rFonts w:ascii="Arial" w:hAnsi="Arial" w:cs="Arial"/>
                <w:noProof/>
                <w:webHidden/>
              </w:rPr>
              <w:fldChar w:fldCharType="end"/>
            </w:r>
          </w:hyperlink>
        </w:p>
        <w:p w14:paraId="1B460092" w14:textId="1B12B016" w:rsidR="003F02E0" w:rsidRPr="003F02E0" w:rsidRDefault="000364EF">
          <w:pPr>
            <w:pStyle w:val="TOC1"/>
            <w:tabs>
              <w:tab w:val="right" w:leader="dot" w:pos="8296"/>
            </w:tabs>
            <w:rPr>
              <w:rFonts w:ascii="Arial" w:hAnsi="Arial" w:cs="Arial"/>
              <w:noProof/>
              <w:sz w:val="22"/>
              <w:szCs w:val="22"/>
              <w:lang w:eastAsia="en-AU"/>
            </w:rPr>
          </w:pPr>
          <w:hyperlink w:anchor="_Toc122696970" w:history="1">
            <w:r w:rsidR="003F02E0" w:rsidRPr="003F02E0">
              <w:rPr>
                <w:rStyle w:val="Hyperlink"/>
                <w:rFonts w:ascii="Arial" w:hAnsi="Arial" w:cs="Arial"/>
                <w:noProof/>
              </w:rPr>
              <w:t>Conclusion</w:t>
            </w:r>
            <w:r w:rsidR="003F02E0" w:rsidRPr="003F02E0">
              <w:rPr>
                <w:rFonts w:ascii="Arial" w:hAnsi="Arial" w:cs="Arial"/>
                <w:noProof/>
                <w:webHidden/>
              </w:rPr>
              <w:tab/>
            </w:r>
            <w:r w:rsidR="003F02E0" w:rsidRPr="003F02E0">
              <w:rPr>
                <w:rFonts w:ascii="Arial" w:hAnsi="Arial" w:cs="Arial"/>
                <w:noProof/>
                <w:webHidden/>
              </w:rPr>
              <w:fldChar w:fldCharType="begin"/>
            </w:r>
            <w:r w:rsidR="003F02E0" w:rsidRPr="003F02E0">
              <w:rPr>
                <w:rFonts w:ascii="Arial" w:hAnsi="Arial" w:cs="Arial"/>
                <w:noProof/>
                <w:webHidden/>
              </w:rPr>
              <w:instrText xml:space="preserve"> PAGEREF _Toc122696970 \h </w:instrText>
            </w:r>
            <w:r w:rsidR="003F02E0" w:rsidRPr="003F02E0">
              <w:rPr>
                <w:rFonts w:ascii="Arial" w:hAnsi="Arial" w:cs="Arial"/>
                <w:noProof/>
                <w:webHidden/>
              </w:rPr>
            </w:r>
            <w:r w:rsidR="003F02E0" w:rsidRPr="003F02E0">
              <w:rPr>
                <w:rFonts w:ascii="Arial" w:hAnsi="Arial" w:cs="Arial"/>
                <w:noProof/>
                <w:webHidden/>
              </w:rPr>
              <w:fldChar w:fldCharType="separate"/>
            </w:r>
            <w:r>
              <w:rPr>
                <w:rFonts w:ascii="Arial" w:hAnsi="Arial" w:cs="Arial"/>
                <w:noProof/>
                <w:webHidden/>
              </w:rPr>
              <w:t>8</w:t>
            </w:r>
            <w:r w:rsidR="003F02E0" w:rsidRPr="003F02E0">
              <w:rPr>
                <w:rFonts w:ascii="Arial" w:hAnsi="Arial" w:cs="Arial"/>
                <w:noProof/>
                <w:webHidden/>
              </w:rPr>
              <w:fldChar w:fldCharType="end"/>
            </w:r>
          </w:hyperlink>
        </w:p>
        <w:p w14:paraId="3D3F6708" w14:textId="6790963C" w:rsidR="00A16356" w:rsidRPr="000A623E" w:rsidRDefault="00A16356" w:rsidP="0022037D">
          <w:pPr>
            <w:spacing w:before="120" w:after="120"/>
            <w:rPr>
              <w:rFonts w:ascii="Arial" w:hAnsi="Arial" w:cs="Arial"/>
            </w:rPr>
          </w:pPr>
          <w:r w:rsidRPr="000A623E">
            <w:rPr>
              <w:rFonts w:ascii="Arial" w:hAnsi="Arial" w:cs="Arial"/>
              <w:b/>
              <w:bCs/>
              <w:noProof/>
            </w:rPr>
            <w:fldChar w:fldCharType="end"/>
          </w:r>
        </w:p>
      </w:sdtContent>
    </w:sdt>
    <w:p w14:paraId="44607B91" w14:textId="77777777" w:rsidR="004A2375" w:rsidRDefault="004A2375">
      <w:pPr>
        <w:rPr>
          <w:rFonts w:ascii="Arial" w:eastAsiaTheme="majorEastAsia" w:hAnsi="Arial" w:cstheme="majorBidi"/>
          <w:b/>
          <w:color w:val="365F91" w:themeColor="accent1" w:themeShade="BF"/>
          <w:sz w:val="28"/>
          <w:szCs w:val="32"/>
        </w:rPr>
        <w:sectPr w:rsidR="004A2375" w:rsidSect="00A16356">
          <w:footerReference w:type="default" r:id="rId9"/>
          <w:headerReference w:type="first" r:id="rId10"/>
          <w:pgSz w:w="11900" w:h="16840" w:code="9"/>
          <w:pgMar w:top="1440" w:right="1797" w:bottom="1440" w:left="1797" w:header="709" w:footer="709" w:gutter="0"/>
          <w:pgNumType w:start="0"/>
          <w:cols w:space="708"/>
          <w:titlePg/>
          <w:docGrid w:linePitch="360"/>
        </w:sectPr>
      </w:pPr>
    </w:p>
    <w:p w14:paraId="0F70E559" w14:textId="607538E8" w:rsidR="00E7715C" w:rsidRDefault="00E7715C" w:rsidP="0066111A">
      <w:pPr>
        <w:pStyle w:val="Heading1"/>
        <w:spacing w:before="0"/>
      </w:pPr>
      <w:bookmarkStart w:id="0" w:name="_Toc122696960"/>
      <w:r>
        <w:lastRenderedPageBreak/>
        <w:t>Summary</w:t>
      </w:r>
      <w:bookmarkEnd w:id="0"/>
      <w:r>
        <w:t xml:space="preserve"> </w:t>
      </w:r>
    </w:p>
    <w:p w14:paraId="3B65F331" w14:textId="77777777" w:rsidR="00E7715C" w:rsidRPr="00E7715C" w:rsidRDefault="00E7715C" w:rsidP="00E7715C">
      <w:pPr>
        <w:pStyle w:val="ListParagraph"/>
        <w:numPr>
          <w:ilvl w:val="0"/>
          <w:numId w:val="30"/>
        </w:numPr>
        <w:spacing w:before="120" w:after="240" w:line="276" w:lineRule="auto"/>
        <w:ind w:left="567" w:hanging="567"/>
        <w:contextualSpacing w:val="0"/>
        <w:rPr>
          <w:rFonts w:ascii="Arial" w:hAnsi="Arial" w:cs="Arial"/>
        </w:rPr>
      </w:pPr>
      <w:r w:rsidRPr="00E7715C">
        <w:rPr>
          <w:rFonts w:ascii="Arial" w:hAnsi="Arial" w:cs="Arial"/>
        </w:rPr>
        <w:t xml:space="preserve">The Corrective Services (Emerging Technologies and Security) and Other Legislation Amendment Bill 2022 (the </w:t>
      </w:r>
      <w:r w:rsidRPr="00E7715C">
        <w:rPr>
          <w:rFonts w:ascii="Arial" w:hAnsi="Arial" w:cs="Arial"/>
          <w:b/>
          <w:bCs/>
        </w:rPr>
        <w:t>Bill</w:t>
      </w:r>
      <w:r w:rsidRPr="00E7715C">
        <w:rPr>
          <w:rFonts w:ascii="Arial" w:hAnsi="Arial" w:cs="Arial"/>
        </w:rPr>
        <w:t>) would amend various legislation with the aim to ensure the safety and security of the custodial environment.</w:t>
      </w:r>
    </w:p>
    <w:p w14:paraId="512F61C9" w14:textId="77777777" w:rsidR="00E7715C" w:rsidRPr="00E7715C" w:rsidRDefault="00E7715C" w:rsidP="00E7715C">
      <w:pPr>
        <w:pStyle w:val="ListParagraph"/>
        <w:numPr>
          <w:ilvl w:val="0"/>
          <w:numId w:val="4"/>
        </w:numPr>
        <w:spacing w:before="120" w:after="120" w:line="276" w:lineRule="auto"/>
        <w:ind w:left="567" w:hanging="567"/>
        <w:contextualSpacing w:val="0"/>
        <w:rPr>
          <w:rFonts w:ascii="Arial" w:hAnsi="Arial" w:cs="Arial"/>
        </w:rPr>
      </w:pPr>
      <w:r w:rsidRPr="00E7715C">
        <w:rPr>
          <w:rFonts w:ascii="Arial" w:hAnsi="Arial" w:cs="Arial"/>
        </w:rPr>
        <w:t>This submission of the Queensland Human Rights Commission is limited to the following subject matter:</w:t>
      </w:r>
    </w:p>
    <w:p w14:paraId="74A330FC" w14:textId="77777777" w:rsidR="00E7715C" w:rsidRPr="00E7715C" w:rsidRDefault="00E7715C" w:rsidP="00E7715C">
      <w:pPr>
        <w:pStyle w:val="ListParagraph"/>
        <w:numPr>
          <w:ilvl w:val="1"/>
          <w:numId w:val="31"/>
        </w:numPr>
        <w:spacing w:before="120" w:after="120" w:line="276" w:lineRule="auto"/>
        <w:ind w:left="1276" w:hanging="567"/>
        <w:contextualSpacing w:val="0"/>
        <w:rPr>
          <w:rFonts w:ascii="Arial" w:hAnsi="Arial" w:cs="Arial"/>
        </w:rPr>
      </w:pPr>
      <w:r w:rsidRPr="00E7715C">
        <w:rPr>
          <w:rFonts w:ascii="Arial" w:hAnsi="Arial" w:cs="Arial"/>
        </w:rPr>
        <w:t>The emergency response framework.</w:t>
      </w:r>
    </w:p>
    <w:p w14:paraId="339B28F6" w14:textId="40931B39" w:rsidR="00E7715C" w:rsidRPr="00E7715C" w:rsidRDefault="002C5C9B" w:rsidP="00E7715C">
      <w:pPr>
        <w:pStyle w:val="ListParagraph"/>
        <w:numPr>
          <w:ilvl w:val="1"/>
          <w:numId w:val="31"/>
        </w:numPr>
        <w:spacing w:before="120" w:after="120" w:line="276" w:lineRule="auto"/>
        <w:ind w:left="1276" w:hanging="567"/>
        <w:contextualSpacing w:val="0"/>
        <w:rPr>
          <w:rFonts w:ascii="Arial" w:hAnsi="Arial" w:cs="Arial"/>
        </w:rPr>
      </w:pPr>
      <w:r>
        <w:rPr>
          <w:rFonts w:ascii="Arial" w:hAnsi="Arial" w:cs="Arial"/>
        </w:rPr>
        <w:t>Sharing p</w:t>
      </w:r>
      <w:r w:rsidR="00E7715C" w:rsidRPr="00E7715C">
        <w:rPr>
          <w:rFonts w:ascii="Arial" w:hAnsi="Arial" w:cs="Arial"/>
        </w:rPr>
        <w:t xml:space="preserve">risoner health information. </w:t>
      </w:r>
    </w:p>
    <w:p w14:paraId="627F311E" w14:textId="7B47FD23" w:rsidR="00E7715C" w:rsidRPr="0010042D" w:rsidRDefault="00542B76" w:rsidP="0095739B">
      <w:pPr>
        <w:pStyle w:val="ListParagraph"/>
        <w:numPr>
          <w:ilvl w:val="1"/>
          <w:numId w:val="31"/>
        </w:numPr>
        <w:spacing w:before="120" w:after="240" w:line="276" w:lineRule="auto"/>
        <w:ind w:left="1276" w:hanging="567"/>
        <w:contextualSpacing w:val="0"/>
        <w:rPr>
          <w:rFonts w:ascii="Arial" w:hAnsi="Arial" w:cs="Arial"/>
        </w:rPr>
      </w:pPr>
      <w:r w:rsidRPr="0010042D">
        <w:rPr>
          <w:rFonts w:ascii="Arial" w:hAnsi="Arial" w:cs="Arial"/>
        </w:rPr>
        <w:t xml:space="preserve">Restrictions on transfer to </w:t>
      </w:r>
      <w:r w:rsidR="00540331">
        <w:rPr>
          <w:rFonts w:ascii="Arial" w:hAnsi="Arial" w:cs="Arial"/>
        </w:rPr>
        <w:t xml:space="preserve">a </w:t>
      </w:r>
      <w:r w:rsidRPr="0010042D">
        <w:rPr>
          <w:rFonts w:ascii="Arial" w:hAnsi="Arial" w:cs="Arial"/>
        </w:rPr>
        <w:t>low custody facility</w:t>
      </w:r>
      <w:r w:rsidR="00E7715C" w:rsidRPr="0010042D">
        <w:rPr>
          <w:rFonts w:ascii="Arial" w:hAnsi="Arial" w:cs="Arial"/>
        </w:rPr>
        <w:t>.</w:t>
      </w:r>
    </w:p>
    <w:p w14:paraId="448C3E3D" w14:textId="77777777" w:rsidR="00E7715C" w:rsidRPr="008D6D52" w:rsidRDefault="00E7715C" w:rsidP="008D6D52">
      <w:pPr>
        <w:pStyle w:val="ListParagraph"/>
        <w:numPr>
          <w:ilvl w:val="0"/>
          <w:numId w:val="4"/>
        </w:numPr>
        <w:spacing w:before="120" w:after="120" w:line="276" w:lineRule="auto"/>
        <w:ind w:left="567" w:hanging="567"/>
        <w:contextualSpacing w:val="0"/>
        <w:rPr>
          <w:rFonts w:ascii="Arial" w:hAnsi="Arial" w:cs="Arial"/>
        </w:rPr>
      </w:pPr>
      <w:r w:rsidRPr="008D6D52">
        <w:rPr>
          <w:rFonts w:ascii="Arial" w:hAnsi="Arial" w:cs="Arial"/>
        </w:rPr>
        <w:t>The Queensland Human Rights Commission recommends:</w:t>
      </w:r>
    </w:p>
    <w:p w14:paraId="533C8B0B" w14:textId="09EE35EC" w:rsidR="00E7715C" w:rsidRPr="008D6D52" w:rsidRDefault="004B432F" w:rsidP="005B07CF">
      <w:pPr>
        <w:pStyle w:val="ListParagraph"/>
        <w:numPr>
          <w:ilvl w:val="1"/>
          <w:numId w:val="30"/>
        </w:numPr>
        <w:spacing w:before="120" w:after="120" w:line="276" w:lineRule="auto"/>
        <w:ind w:left="1276" w:hanging="425"/>
        <w:contextualSpacing w:val="0"/>
        <w:rPr>
          <w:rFonts w:ascii="Arial" w:hAnsi="Arial" w:cs="Arial"/>
        </w:rPr>
      </w:pPr>
      <w:r w:rsidRPr="008D6D52">
        <w:rPr>
          <w:rFonts w:ascii="Arial" w:hAnsi="Arial" w:cs="Arial"/>
        </w:rPr>
        <w:t>The threshold in proposed new section 271B</w:t>
      </w:r>
      <w:r w:rsidR="003B0993" w:rsidRPr="008D6D52">
        <w:rPr>
          <w:rFonts w:ascii="Arial" w:hAnsi="Arial" w:cs="Arial"/>
        </w:rPr>
        <w:t xml:space="preserve"> </w:t>
      </w:r>
      <w:r w:rsidRPr="008D6D52">
        <w:rPr>
          <w:rFonts w:ascii="Arial" w:hAnsi="Arial" w:cs="Arial"/>
        </w:rPr>
        <w:t xml:space="preserve">for the declaration of an emergency should </w:t>
      </w:r>
      <w:r w:rsidR="00E51B90">
        <w:rPr>
          <w:rFonts w:ascii="Arial" w:hAnsi="Arial" w:cs="Arial"/>
        </w:rPr>
        <w:t xml:space="preserve">be </w:t>
      </w:r>
      <w:r w:rsidRPr="008D6D52">
        <w:rPr>
          <w:rFonts w:ascii="Arial" w:hAnsi="Arial" w:cs="Arial"/>
        </w:rPr>
        <w:t xml:space="preserve">limited to </w:t>
      </w:r>
      <w:r w:rsidRPr="008D6D52">
        <w:rPr>
          <w:rFonts w:ascii="Arial" w:hAnsi="Arial" w:cs="Arial"/>
          <w:color w:val="000000"/>
        </w:rPr>
        <w:t>an urgent, unexpected, or dangerous situation that poses an immediate risk to health, life, or property</w:t>
      </w:r>
      <w:r w:rsidR="005B07CF" w:rsidRPr="008D6D52">
        <w:rPr>
          <w:rFonts w:ascii="Arial" w:hAnsi="Arial" w:cs="Arial"/>
          <w:color w:val="000000"/>
        </w:rPr>
        <w:t>.</w:t>
      </w:r>
    </w:p>
    <w:p w14:paraId="6A7E7471" w14:textId="042BE8F5" w:rsidR="005B07CF" w:rsidRPr="008D6D52" w:rsidRDefault="005B07CF" w:rsidP="005B07CF">
      <w:pPr>
        <w:pStyle w:val="ListParagraph"/>
        <w:numPr>
          <w:ilvl w:val="1"/>
          <w:numId w:val="30"/>
        </w:numPr>
        <w:spacing w:before="120" w:after="120" w:line="276" w:lineRule="auto"/>
        <w:ind w:left="1276" w:hanging="425"/>
        <w:contextualSpacing w:val="0"/>
        <w:rPr>
          <w:rFonts w:ascii="Arial" w:hAnsi="Arial" w:cs="Arial"/>
        </w:rPr>
      </w:pPr>
      <w:r w:rsidRPr="008D6D52">
        <w:rPr>
          <w:rFonts w:ascii="Arial" w:hAnsi="Arial" w:cs="Arial"/>
          <w:color w:val="000000"/>
        </w:rPr>
        <w:t>The power to restrict access to a corrective services facility during a period of declared emergency should not extend to key oversight agencies such as the Queensland Ombudsman, the Inspector of Detention Services, the Official Visitor, and the United Nations Subcommittee on the Prevention of Torture.</w:t>
      </w:r>
    </w:p>
    <w:p w14:paraId="2394A54B" w14:textId="481DC44C" w:rsidR="008D6D52" w:rsidRPr="009A6BD2" w:rsidRDefault="008D6D52" w:rsidP="005B07CF">
      <w:pPr>
        <w:pStyle w:val="ListParagraph"/>
        <w:numPr>
          <w:ilvl w:val="1"/>
          <w:numId w:val="30"/>
        </w:numPr>
        <w:spacing w:before="120" w:after="120" w:line="276" w:lineRule="auto"/>
        <w:ind w:left="1276" w:hanging="425"/>
        <w:contextualSpacing w:val="0"/>
        <w:rPr>
          <w:rFonts w:ascii="Arial" w:hAnsi="Arial" w:cs="Arial"/>
        </w:rPr>
      </w:pPr>
      <w:r w:rsidRPr="009A6BD2">
        <w:rPr>
          <w:rFonts w:ascii="Arial" w:hAnsi="Arial" w:cs="Arial"/>
          <w:color w:val="000000"/>
        </w:rPr>
        <w:t xml:space="preserve">The power to withhold or limit phones calls between a prisoner and their family should be limited to times when it is necessary to respond to the emergency. </w:t>
      </w:r>
    </w:p>
    <w:p w14:paraId="390080BC" w14:textId="064DAC59" w:rsidR="007E735F" w:rsidRPr="003E6B8D" w:rsidRDefault="007E735F" w:rsidP="005B07CF">
      <w:pPr>
        <w:pStyle w:val="ListParagraph"/>
        <w:numPr>
          <w:ilvl w:val="1"/>
          <w:numId w:val="30"/>
        </w:numPr>
        <w:spacing w:before="120" w:after="120" w:line="276" w:lineRule="auto"/>
        <w:ind w:left="1276" w:hanging="425"/>
        <w:contextualSpacing w:val="0"/>
        <w:rPr>
          <w:rFonts w:ascii="Arial" w:hAnsi="Arial" w:cs="Arial"/>
        </w:rPr>
      </w:pPr>
      <w:r>
        <w:rPr>
          <w:rFonts w:ascii="Arial" w:hAnsi="Arial" w:cs="Arial"/>
          <w:color w:val="000000"/>
        </w:rPr>
        <w:t>An assessment of compatibility with human rights should be included with the information that is required to be published after a declaration of emergency is made.</w:t>
      </w:r>
    </w:p>
    <w:p w14:paraId="6CD9850E" w14:textId="2B0A9353" w:rsidR="003E6B8D" w:rsidRPr="00EB259E" w:rsidRDefault="00406776" w:rsidP="005B07CF">
      <w:pPr>
        <w:pStyle w:val="ListParagraph"/>
        <w:numPr>
          <w:ilvl w:val="1"/>
          <w:numId w:val="30"/>
        </w:numPr>
        <w:spacing w:before="120" w:after="120" w:line="276" w:lineRule="auto"/>
        <w:ind w:left="1276" w:hanging="425"/>
        <w:contextualSpacing w:val="0"/>
        <w:rPr>
          <w:rFonts w:ascii="Arial" w:hAnsi="Arial" w:cs="Arial"/>
        </w:rPr>
      </w:pPr>
      <w:r>
        <w:rPr>
          <w:rFonts w:ascii="Arial" w:hAnsi="Arial" w:cs="Arial"/>
        </w:rPr>
        <w:t xml:space="preserve">The Committee consider how </w:t>
      </w:r>
      <w:r w:rsidRPr="00406776">
        <w:rPr>
          <w:rFonts w:ascii="Arial" w:hAnsi="Arial" w:cstheme="majorBidi"/>
        </w:rPr>
        <w:t>medical recommendations about the accommodation for prisoners are given directly from the health service to the prison management</w:t>
      </w:r>
      <w:r>
        <w:rPr>
          <w:rFonts w:ascii="Arial" w:hAnsi="Arial" w:cs="Arial"/>
        </w:rPr>
        <w:t xml:space="preserve"> to better achieve the policy objective of </w:t>
      </w:r>
      <w:r w:rsidRPr="00406776">
        <w:rPr>
          <w:rFonts w:ascii="Arial" w:hAnsi="Arial" w:cstheme="majorBidi"/>
        </w:rPr>
        <w:t xml:space="preserve">supporting prisoner and offender health and welfare by enhancing information sharing.  </w:t>
      </w:r>
    </w:p>
    <w:p w14:paraId="47A04B4D" w14:textId="043BF1E1" w:rsidR="00EB259E" w:rsidRPr="008D6D52" w:rsidRDefault="00EB259E" w:rsidP="005B07CF">
      <w:pPr>
        <w:pStyle w:val="ListParagraph"/>
        <w:numPr>
          <w:ilvl w:val="1"/>
          <w:numId w:val="30"/>
        </w:numPr>
        <w:spacing w:before="120" w:after="120" w:line="276" w:lineRule="auto"/>
        <w:ind w:left="1276" w:hanging="425"/>
        <w:contextualSpacing w:val="0"/>
        <w:rPr>
          <w:rFonts w:ascii="Arial" w:hAnsi="Arial" w:cs="Arial"/>
        </w:rPr>
      </w:pPr>
      <w:r>
        <w:rPr>
          <w:rFonts w:ascii="Arial" w:hAnsi="Arial" w:cs="Arial"/>
          <w:color w:val="000000"/>
        </w:rPr>
        <w:t>The Committee recommend the repeal of the mandatory restriction of certain prisoners being placed only in high security prisons.</w:t>
      </w:r>
    </w:p>
    <w:p w14:paraId="132B8D9D" w14:textId="77777777" w:rsidR="00E7715C" w:rsidRPr="00E7715C" w:rsidRDefault="00E7715C" w:rsidP="00E7715C"/>
    <w:p w14:paraId="44714577" w14:textId="67BE6D38" w:rsidR="00B82CE9" w:rsidRDefault="00575A2B" w:rsidP="003560DD">
      <w:pPr>
        <w:pStyle w:val="Heading1"/>
      </w:pPr>
      <w:bookmarkStart w:id="1" w:name="_Toc122696961"/>
      <w:r>
        <w:lastRenderedPageBreak/>
        <w:t>Introduction</w:t>
      </w:r>
      <w:bookmarkEnd w:id="1"/>
    </w:p>
    <w:p w14:paraId="4882AD43" w14:textId="30347D55" w:rsidR="00303936" w:rsidRDefault="00303936" w:rsidP="00810D74">
      <w:pPr>
        <w:pStyle w:val="ListParagraph"/>
        <w:numPr>
          <w:ilvl w:val="0"/>
          <w:numId w:val="4"/>
        </w:numPr>
        <w:spacing w:before="120" w:after="240" w:line="276" w:lineRule="auto"/>
        <w:ind w:left="567" w:hanging="567"/>
        <w:contextualSpacing w:val="0"/>
        <w:rPr>
          <w:rFonts w:ascii="Arial" w:hAnsi="Arial" w:cs="Arial"/>
        </w:rPr>
      </w:pPr>
      <w:r w:rsidRPr="00C35743">
        <w:rPr>
          <w:rFonts w:ascii="Arial" w:hAnsi="Arial" w:cs="Arial"/>
        </w:rPr>
        <w:t xml:space="preserve">The </w:t>
      </w:r>
      <w:r>
        <w:rPr>
          <w:rFonts w:ascii="Arial" w:hAnsi="Arial" w:cs="Arial"/>
        </w:rPr>
        <w:t>Queensland Human Rights</w:t>
      </w:r>
      <w:r w:rsidRPr="00C35743">
        <w:rPr>
          <w:rFonts w:ascii="Arial" w:hAnsi="Arial" w:cs="Arial"/>
        </w:rPr>
        <w:t xml:space="preserve"> Commission </w:t>
      </w:r>
      <w:r>
        <w:rPr>
          <w:rFonts w:ascii="Arial" w:hAnsi="Arial" w:cs="Arial"/>
        </w:rPr>
        <w:t xml:space="preserve">(the </w:t>
      </w:r>
      <w:r w:rsidRPr="00F70469">
        <w:rPr>
          <w:rFonts w:ascii="Arial" w:hAnsi="Arial" w:cs="Arial"/>
          <w:b/>
        </w:rPr>
        <w:t>Commission</w:t>
      </w:r>
      <w:r>
        <w:rPr>
          <w:rFonts w:ascii="Arial" w:hAnsi="Arial" w:cs="Arial"/>
        </w:rPr>
        <w:t xml:space="preserve">) </w:t>
      </w:r>
      <w:r w:rsidRPr="00C35743">
        <w:rPr>
          <w:rFonts w:ascii="Arial" w:hAnsi="Arial" w:cs="Arial"/>
        </w:rPr>
        <w:t xml:space="preserve">is a statutory authority established under the </w:t>
      </w:r>
      <w:r>
        <w:rPr>
          <w:rFonts w:ascii="Arial" w:hAnsi="Arial" w:cs="Arial"/>
        </w:rPr>
        <w:t xml:space="preserve">Queensland </w:t>
      </w:r>
      <w:r w:rsidRPr="00C35743">
        <w:rPr>
          <w:rFonts w:ascii="Arial" w:hAnsi="Arial" w:cs="Arial"/>
          <w:i/>
        </w:rPr>
        <w:t>Anti-Discrimination Act 1991</w:t>
      </w:r>
      <w:r w:rsidR="0095739B">
        <w:rPr>
          <w:rFonts w:ascii="Arial" w:hAnsi="Arial" w:cs="Arial"/>
          <w:i/>
        </w:rPr>
        <w:t xml:space="preserve">, </w:t>
      </w:r>
      <w:r w:rsidR="0095739B">
        <w:rPr>
          <w:rFonts w:ascii="Arial" w:hAnsi="Arial" w:cs="Arial"/>
          <w:iCs/>
        </w:rPr>
        <w:t xml:space="preserve">with functions under the </w:t>
      </w:r>
      <w:r w:rsidR="0095739B" w:rsidRPr="00C35743">
        <w:rPr>
          <w:rFonts w:ascii="Arial" w:hAnsi="Arial" w:cs="Arial"/>
          <w:i/>
        </w:rPr>
        <w:t>Anti-Discrimination Act 1991</w:t>
      </w:r>
      <w:r w:rsidR="00BC6217">
        <w:rPr>
          <w:rFonts w:ascii="Arial" w:hAnsi="Arial" w:cs="Arial"/>
          <w:i/>
        </w:rPr>
        <w:t xml:space="preserve"> </w:t>
      </w:r>
      <w:r w:rsidR="0095739B">
        <w:rPr>
          <w:rFonts w:ascii="Arial" w:hAnsi="Arial" w:cs="Arial"/>
          <w:iCs/>
        </w:rPr>
        <w:t xml:space="preserve">and the </w:t>
      </w:r>
      <w:r w:rsidR="0095739B">
        <w:rPr>
          <w:rFonts w:ascii="Arial" w:hAnsi="Arial" w:cs="Arial"/>
          <w:i/>
        </w:rPr>
        <w:t>Human Rights Act 2019</w:t>
      </w:r>
      <w:r w:rsidR="00407CE3">
        <w:rPr>
          <w:rFonts w:ascii="Arial" w:hAnsi="Arial" w:cs="Arial"/>
          <w:i/>
        </w:rPr>
        <w:t>.</w:t>
      </w:r>
    </w:p>
    <w:p w14:paraId="62F41AD9" w14:textId="77777777" w:rsidR="0095739B" w:rsidRPr="0095739B" w:rsidRDefault="00303936" w:rsidP="00810D74">
      <w:pPr>
        <w:pStyle w:val="ListParagraph"/>
        <w:numPr>
          <w:ilvl w:val="0"/>
          <w:numId w:val="4"/>
        </w:numPr>
        <w:spacing w:before="120" w:after="240" w:line="276" w:lineRule="auto"/>
        <w:ind w:left="567" w:hanging="567"/>
        <w:contextualSpacing w:val="0"/>
        <w:rPr>
          <w:rFonts w:ascii="Arial" w:hAnsi="Arial" w:cs="Arial"/>
        </w:rPr>
      </w:pPr>
      <w:r w:rsidRPr="00A97DE1">
        <w:rPr>
          <w:rFonts w:ascii="Arial" w:hAnsi="Arial" w:cs="Arial"/>
          <w:color w:val="000000"/>
        </w:rPr>
        <w:t xml:space="preserve">The </w:t>
      </w:r>
      <w:r w:rsidR="00BC2D69">
        <w:rPr>
          <w:rFonts w:ascii="Arial" w:hAnsi="Arial" w:cs="Arial"/>
          <w:color w:val="000000"/>
        </w:rPr>
        <w:t xml:space="preserve">functions </w:t>
      </w:r>
      <w:r w:rsidR="0095739B">
        <w:rPr>
          <w:rFonts w:ascii="Arial" w:hAnsi="Arial" w:cs="Arial"/>
          <w:color w:val="000000"/>
        </w:rPr>
        <w:t>of the Commission include promoting an understanding and public discussion of human rights in</w:t>
      </w:r>
      <w:r w:rsidR="00BC2D69">
        <w:rPr>
          <w:rFonts w:ascii="Arial" w:hAnsi="Arial" w:cs="Arial"/>
          <w:color w:val="000000"/>
        </w:rPr>
        <w:t xml:space="preserve"> </w:t>
      </w:r>
      <w:r w:rsidR="00BC2D69">
        <w:rPr>
          <w:rFonts w:ascii="Arial" w:hAnsi="Arial" w:cs="Arial"/>
        </w:rPr>
        <w:t xml:space="preserve">Queensland </w:t>
      </w:r>
      <w:r w:rsidR="0095739B" w:rsidRPr="0095739B">
        <w:rPr>
          <w:rFonts w:ascii="Arial" w:hAnsi="Arial" w:cs="Arial"/>
          <w:iCs/>
        </w:rPr>
        <w:t>and</w:t>
      </w:r>
      <w:r w:rsidR="00BC2D69">
        <w:rPr>
          <w:rFonts w:ascii="Arial" w:hAnsi="Arial" w:cs="Arial"/>
          <w:color w:val="000000"/>
        </w:rPr>
        <w:t xml:space="preserve"> provid</w:t>
      </w:r>
      <w:r w:rsidR="0095739B">
        <w:rPr>
          <w:rFonts w:ascii="Arial" w:hAnsi="Arial" w:cs="Arial"/>
          <w:color w:val="000000"/>
        </w:rPr>
        <w:t>ing</w:t>
      </w:r>
      <w:r w:rsidR="00BC2D69">
        <w:rPr>
          <w:rFonts w:ascii="Arial" w:hAnsi="Arial" w:cs="Arial"/>
          <w:color w:val="000000"/>
        </w:rPr>
        <w:t xml:space="preserve"> information and education about human rights.  </w:t>
      </w:r>
    </w:p>
    <w:p w14:paraId="583DC4AC" w14:textId="5AC4CA3C" w:rsidR="00303936" w:rsidRPr="002E78FD" w:rsidRDefault="00BC2D69" w:rsidP="00810D74">
      <w:pPr>
        <w:pStyle w:val="ListParagraph"/>
        <w:numPr>
          <w:ilvl w:val="0"/>
          <w:numId w:val="4"/>
        </w:numPr>
        <w:spacing w:before="120" w:after="240" w:line="276" w:lineRule="auto"/>
        <w:ind w:left="567" w:hanging="567"/>
        <w:contextualSpacing w:val="0"/>
        <w:rPr>
          <w:rFonts w:ascii="Arial" w:hAnsi="Arial" w:cs="Arial"/>
        </w:rPr>
      </w:pPr>
      <w:r>
        <w:rPr>
          <w:rFonts w:ascii="Arial" w:hAnsi="Arial" w:cs="Arial"/>
          <w:color w:val="000000"/>
        </w:rPr>
        <w:t xml:space="preserve">The Commission also deals with complaints of discrimination, vilification and other objectionable conduct under the </w:t>
      </w:r>
      <w:r w:rsidRPr="00C35743">
        <w:rPr>
          <w:rFonts w:ascii="Arial" w:hAnsi="Arial" w:cs="Arial"/>
          <w:i/>
        </w:rPr>
        <w:t xml:space="preserve">Anti-Discrimination Act </w:t>
      </w:r>
      <w:r w:rsidRPr="00BC2D69">
        <w:rPr>
          <w:rFonts w:ascii="Arial" w:hAnsi="Arial" w:cs="Arial"/>
          <w:i/>
        </w:rPr>
        <w:t>1991</w:t>
      </w:r>
      <w:r>
        <w:rPr>
          <w:rFonts w:ascii="Arial" w:hAnsi="Arial" w:cs="Arial"/>
        </w:rPr>
        <w:t xml:space="preserve">, reprisal under the </w:t>
      </w:r>
      <w:r>
        <w:rPr>
          <w:rFonts w:ascii="Arial" w:hAnsi="Arial" w:cs="Arial"/>
          <w:i/>
        </w:rPr>
        <w:t xml:space="preserve">Public Interest Disclosure Act </w:t>
      </w:r>
      <w:r w:rsidRPr="00BC2D69">
        <w:rPr>
          <w:rFonts w:ascii="Arial" w:hAnsi="Arial" w:cs="Arial"/>
        </w:rPr>
        <w:t>2009</w:t>
      </w:r>
      <w:r>
        <w:rPr>
          <w:rFonts w:ascii="Arial" w:hAnsi="Arial" w:cs="Arial"/>
        </w:rPr>
        <w:t xml:space="preserve">, and human rights </w:t>
      </w:r>
      <w:r w:rsidR="00E51B90">
        <w:rPr>
          <w:rFonts w:ascii="Arial" w:hAnsi="Arial" w:cs="Arial"/>
        </w:rPr>
        <w:t xml:space="preserve">complaints </w:t>
      </w:r>
      <w:r>
        <w:rPr>
          <w:rFonts w:ascii="Arial" w:hAnsi="Arial" w:cs="Arial"/>
        </w:rPr>
        <w:t xml:space="preserve">under the </w:t>
      </w:r>
      <w:r>
        <w:rPr>
          <w:rFonts w:ascii="Arial" w:hAnsi="Arial" w:cs="Arial"/>
          <w:i/>
        </w:rPr>
        <w:t>Human Rights Act 2019.</w:t>
      </w:r>
      <w:r w:rsidR="003560DD">
        <w:rPr>
          <w:rFonts w:ascii="Arial" w:hAnsi="Arial" w:cs="Arial"/>
          <w:i/>
        </w:rPr>
        <w:t xml:space="preserve">  </w:t>
      </w:r>
      <w:r w:rsidR="003560DD">
        <w:rPr>
          <w:rFonts w:ascii="Arial" w:hAnsi="Arial" w:cs="Arial"/>
          <w:iCs/>
        </w:rPr>
        <w:t xml:space="preserve">Unresolved complaints dealt with under the </w:t>
      </w:r>
      <w:r w:rsidR="003560DD" w:rsidRPr="00C35743">
        <w:rPr>
          <w:rFonts w:ascii="Arial" w:hAnsi="Arial" w:cs="Arial"/>
          <w:i/>
        </w:rPr>
        <w:t xml:space="preserve">Anti-Discrimination Act </w:t>
      </w:r>
      <w:r w:rsidR="003560DD" w:rsidRPr="00BC2D69">
        <w:rPr>
          <w:rFonts w:ascii="Arial" w:hAnsi="Arial" w:cs="Arial"/>
          <w:i/>
        </w:rPr>
        <w:t>1991</w:t>
      </w:r>
      <w:r w:rsidR="003560DD">
        <w:rPr>
          <w:rFonts w:ascii="Arial" w:hAnsi="Arial" w:cs="Arial"/>
          <w:i/>
        </w:rPr>
        <w:t xml:space="preserve"> </w:t>
      </w:r>
      <w:r w:rsidR="003560DD">
        <w:rPr>
          <w:rFonts w:ascii="Arial" w:hAnsi="Arial" w:cs="Arial"/>
          <w:iCs/>
        </w:rPr>
        <w:t>may be referred to a tribunal for hearing and determination.</w:t>
      </w:r>
      <w:r w:rsidR="003560DD">
        <w:rPr>
          <w:rStyle w:val="FootnoteReference"/>
          <w:rFonts w:ascii="Arial" w:hAnsi="Arial" w:cs="Arial"/>
          <w:iCs/>
        </w:rPr>
        <w:footnoteReference w:id="1"/>
      </w:r>
    </w:p>
    <w:p w14:paraId="4A8F38BD" w14:textId="6C1EDA88" w:rsidR="002E78FD" w:rsidRPr="00227178" w:rsidRDefault="002E78FD" w:rsidP="00810D74">
      <w:pPr>
        <w:pStyle w:val="ListParagraph"/>
        <w:numPr>
          <w:ilvl w:val="0"/>
          <w:numId w:val="4"/>
        </w:numPr>
        <w:spacing w:before="120" w:after="240" w:line="276" w:lineRule="auto"/>
        <w:ind w:left="567" w:hanging="567"/>
        <w:contextualSpacing w:val="0"/>
        <w:rPr>
          <w:rFonts w:ascii="Arial" w:hAnsi="Arial" w:cs="Arial"/>
        </w:rPr>
      </w:pPr>
      <w:r>
        <w:rPr>
          <w:rFonts w:ascii="Arial" w:hAnsi="Arial" w:cs="Arial"/>
          <w:iCs/>
        </w:rPr>
        <w:t xml:space="preserve">The Commission deals with complaints by prisoners about a range of issues in the prison environment, including health services.  Some health service complaints </w:t>
      </w:r>
      <w:r w:rsidR="005F79AD">
        <w:rPr>
          <w:rFonts w:ascii="Arial" w:hAnsi="Arial" w:cs="Arial"/>
          <w:iCs/>
        </w:rPr>
        <w:t>may</w:t>
      </w:r>
      <w:r>
        <w:rPr>
          <w:rFonts w:ascii="Arial" w:hAnsi="Arial" w:cs="Arial"/>
          <w:iCs/>
        </w:rPr>
        <w:t xml:space="preserve"> be dealt with as complaints of </w:t>
      </w:r>
      <w:r w:rsidR="00540331">
        <w:rPr>
          <w:rFonts w:ascii="Arial" w:hAnsi="Arial" w:cs="Arial"/>
          <w:iCs/>
        </w:rPr>
        <w:t>discrimination,</w:t>
      </w:r>
      <w:r>
        <w:rPr>
          <w:rFonts w:ascii="Arial" w:hAnsi="Arial" w:cs="Arial"/>
          <w:iCs/>
        </w:rPr>
        <w:t xml:space="preserve"> and some </w:t>
      </w:r>
      <w:r w:rsidR="005F79AD">
        <w:rPr>
          <w:rFonts w:ascii="Arial" w:hAnsi="Arial" w:cs="Arial"/>
          <w:iCs/>
        </w:rPr>
        <w:t>may</w:t>
      </w:r>
      <w:r>
        <w:rPr>
          <w:rFonts w:ascii="Arial" w:hAnsi="Arial" w:cs="Arial"/>
          <w:iCs/>
        </w:rPr>
        <w:t xml:space="preserve"> be dealt with as human rights complaints.</w:t>
      </w:r>
    </w:p>
    <w:p w14:paraId="3DBA3175" w14:textId="4B98D1FE" w:rsidR="00AB02E9" w:rsidRPr="00AB02E9" w:rsidRDefault="003560DD" w:rsidP="00F37F4E">
      <w:pPr>
        <w:pStyle w:val="Heading1"/>
        <w:spacing w:before="360"/>
      </w:pPr>
      <w:bookmarkStart w:id="2" w:name="_Toc122696962"/>
      <w:r>
        <w:t>Emergency response framework</w:t>
      </w:r>
      <w:bookmarkEnd w:id="2"/>
    </w:p>
    <w:p w14:paraId="2B08362A" w14:textId="21E6ECAE" w:rsidR="00AB02E9" w:rsidRDefault="00A5667A" w:rsidP="00007FD2">
      <w:pPr>
        <w:pStyle w:val="ListParagraph"/>
        <w:numPr>
          <w:ilvl w:val="0"/>
          <w:numId w:val="4"/>
        </w:numPr>
        <w:spacing w:before="120" w:after="240" w:line="276" w:lineRule="auto"/>
        <w:ind w:left="567" w:hanging="567"/>
        <w:contextualSpacing w:val="0"/>
        <w:rPr>
          <w:rFonts w:ascii="Arial" w:hAnsi="Arial" w:cs="Arial"/>
          <w:color w:val="000000"/>
        </w:rPr>
      </w:pPr>
      <w:r>
        <w:rPr>
          <w:rFonts w:ascii="Arial" w:hAnsi="Arial" w:cs="Arial"/>
          <w:color w:val="000000"/>
        </w:rPr>
        <w:t>Clause 28 of the Bill would insert a new Part 2 Division 3 in chapter 6</w:t>
      </w:r>
      <w:r w:rsidR="00AD3678">
        <w:rPr>
          <w:rFonts w:ascii="Arial" w:hAnsi="Arial" w:cs="Arial"/>
          <w:color w:val="000000"/>
        </w:rPr>
        <w:t xml:space="preserve"> </w:t>
      </w:r>
      <w:r w:rsidR="002C5C9B">
        <w:rPr>
          <w:rFonts w:ascii="Arial" w:hAnsi="Arial" w:cs="Arial"/>
          <w:color w:val="000000"/>
        </w:rPr>
        <w:t xml:space="preserve">of </w:t>
      </w:r>
      <w:r w:rsidR="00E51B90">
        <w:rPr>
          <w:rFonts w:ascii="Arial" w:hAnsi="Arial" w:cs="Arial"/>
          <w:color w:val="000000"/>
        </w:rPr>
        <w:t xml:space="preserve">the </w:t>
      </w:r>
      <w:r w:rsidR="00E51B90">
        <w:rPr>
          <w:rFonts w:ascii="Arial" w:hAnsi="Arial" w:cs="Arial"/>
          <w:i/>
          <w:iCs/>
          <w:color w:val="000000"/>
        </w:rPr>
        <w:t xml:space="preserve">Corrective Services Act 2005 </w:t>
      </w:r>
      <w:r w:rsidR="00E51B90">
        <w:rPr>
          <w:rFonts w:ascii="Arial" w:hAnsi="Arial" w:cs="Arial"/>
          <w:color w:val="000000"/>
        </w:rPr>
        <w:t>(</w:t>
      </w:r>
      <w:r w:rsidR="002C5C9B" w:rsidRPr="00E51B90">
        <w:rPr>
          <w:rFonts w:ascii="Arial" w:hAnsi="Arial" w:cs="Arial"/>
          <w:color w:val="000000"/>
        </w:rPr>
        <w:t xml:space="preserve">the </w:t>
      </w:r>
      <w:r w:rsidR="002C5C9B" w:rsidRPr="00E51B90">
        <w:rPr>
          <w:rFonts w:ascii="Arial" w:hAnsi="Arial" w:cs="Arial"/>
          <w:b/>
          <w:bCs/>
          <w:color w:val="000000"/>
        </w:rPr>
        <w:t>CS Act</w:t>
      </w:r>
      <w:r w:rsidR="00E51B90">
        <w:rPr>
          <w:rFonts w:ascii="Arial" w:hAnsi="Arial" w:cs="Arial"/>
          <w:color w:val="000000"/>
        </w:rPr>
        <w:t>)</w:t>
      </w:r>
      <w:r w:rsidR="002C5C9B">
        <w:rPr>
          <w:rFonts w:ascii="Arial" w:hAnsi="Arial" w:cs="Arial"/>
          <w:color w:val="000000"/>
        </w:rPr>
        <w:t xml:space="preserve"> </w:t>
      </w:r>
      <w:r w:rsidR="00AD3678">
        <w:rPr>
          <w:rFonts w:ascii="Arial" w:hAnsi="Arial" w:cs="Arial"/>
          <w:color w:val="000000"/>
        </w:rPr>
        <w:t>to facilitate the declaration of an emergency.  The purpose is to modernise the emergency response framework.</w:t>
      </w:r>
    </w:p>
    <w:p w14:paraId="62EA02AA" w14:textId="39BAF466" w:rsidR="00547DA1" w:rsidRPr="00547DA1" w:rsidRDefault="00547DA1" w:rsidP="002E7001">
      <w:pPr>
        <w:pStyle w:val="Heading2"/>
      </w:pPr>
      <w:bookmarkStart w:id="3" w:name="_Toc122696963"/>
      <w:r w:rsidRPr="00547DA1">
        <w:t>Threshold for declaring an emergency</w:t>
      </w:r>
      <w:bookmarkEnd w:id="3"/>
    </w:p>
    <w:p w14:paraId="6E9082FD" w14:textId="1DEBEC01" w:rsidR="002C5C9B" w:rsidRDefault="002C5C9B" w:rsidP="00007FD2">
      <w:pPr>
        <w:pStyle w:val="ListParagraph"/>
        <w:numPr>
          <w:ilvl w:val="0"/>
          <w:numId w:val="4"/>
        </w:numPr>
        <w:spacing w:before="120" w:after="240" w:line="276" w:lineRule="auto"/>
        <w:ind w:left="567" w:hanging="567"/>
        <w:contextualSpacing w:val="0"/>
        <w:rPr>
          <w:rFonts w:ascii="Arial" w:hAnsi="Arial" w:cs="Arial"/>
          <w:color w:val="000000"/>
        </w:rPr>
      </w:pPr>
      <w:r>
        <w:rPr>
          <w:rFonts w:ascii="Arial" w:hAnsi="Arial" w:cs="Arial"/>
          <w:color w:val="000000"/>
        </w:rPr>
        <w:t>A new section 271B of the CS Act would provide a threshold for when a declaration can be made.  The chief executive must reasonably belie</w:t>
      </w:r>
      <w:r w:rsidR="00BC6217">
        <w:rPr>
          <w:rFonts w:ascii="Arial" w:hAnsi="Arial" w:cs="Arial"/>
          <w:color w:val="000000"/>
        </w:rPr>
        <w:t>ve</w:t>
      </w:r>
      <w:r>
        <w:rPr>
          <w:rFonts w:ascii="Arial" w:hAnsi="Arial" w:cs="Arial"/>
          <w:color w:val="000000"/>
        </w:rPr>
        <w:t xml:space="preserve"> a situation exists that is likely to threaten the security or good order of a corrective services facility, or the health or safety of a prisoner or another person at a corrective services facility.  The chief executive must also be satisfied the situation justifies making a declaration.</w:t>
      </w:r>
    </w:p>
    <w:p w14:paraId="3002B138" w14:textId="326F985F" w:rsidR="0029315E" w:rsidRDefault="003F07C5" w:rsidP="00007FD2">
      <w:pPr>
        <w:pStyle w:val="ListParagraph"/>
        <w:numPr>
          <w:ilvl w:val="0"/>
          <w:numId w:val="4"/>
        </w:numPr>
        <w:spacing w:before="120" w:after="240" w:line="276" w:lineRule="auto"/>
        <w:ind w:left="567" w:hanging="567"/>
        <w:contextualSpacing w:val="0"/>
        <w:rPr>
          <w:rFonts w:ascii="Arial" w:hAnsi="Arial" w:cs="Arial"/>
          <w:color w:val="000000"/>
        </w:rPr>
      </w:pPr>
      <w:r>
        <w:rPr>
          <w:rFonts w:ascii="Arial" w:hAnsi="Arial" w:cs="Arial"/>
          <w:color w:val="000000"/>
        </w:rPr>
        <w:t>This threshold is low and could result in disproportionate limitations of human rights.  Given that a declaration of emergency triggers significant limitations of rights, the threshold should be higher than that proposed in the Bill.  The Commission</w:t>
      </w:r>
      <w:r w:rsidR="004B432F">
        <w:rPr>
          <w:rFonts w:ascii="Arial" w:hAnsi="Arial" w:cs="Arial"/>
          <w:color w:val="000000"/>
        </w:rPr>
        <w:t xml:space="preserve"> considers that an emergency would usually </w:t>
      </w:r>
      <w:r w:rsidR="004B432F">
        <w:rPr>
          <w:rFonts w:ascii="Arial" w:hAnsi="Arial" w:cs="Arial"/>
          <w:color w:val="000000"/>
        </w:rPr>
        <w:lastRenderedPageBreak/>
        <w:t>involve an urgent, unexpected, or dangerous situation that poses an immediate risk to health, life, or property.</w:t>
      </w:r>
    </w:p>
    <w:p w14:paraId="7E3546C8" w14:textId="206D3658" w:rsidR="00547DA1" w:rsidRPr="00547DA1" w:rsidRDefault="00547DA1" w:rsidP="002E7001">
      <w:pPr>
        <w:pStyle w:val="Heading2"/>
      </w:pPr>
      <w:bookmarkStart w:id="4" w:name="_Toc122696964"/>
      <w:r w:rsidRPr="00547DA1">
        <w:t>Emergency powers</w:t>
      </w:r>
      <w:bookmarkEnd w:id="4"/>
    </w:p>
    <w:p w14:paraId="79D741B2" w14:textId="75A78F43" w:rsidR="00FE01B0" w:rsidRDefault="00FE01B0" w:rsidP="00007FD2">
      <w:pPr>
        <w:pStyle w:val="ListParagraph"/>
        <w:numPr>
          <w:ilvl w:val="0"/>
          <w:numId w:val="4"/>
        </w:numPr>
        <w:spacing w:before="120" w:after="240" w:line="276" w:lineRule="auto"/>
        <w:ind w:left="567" w:hanging="567"/>
        <w:contextualSpacing w:val="0"/>
        <w:rPr>
          <w:rFonts w:ascii="Arial" w:hAnsi="Arial" w:cs="Arial"/>
          <w:color w:val="000000"/>
        </w:rPr>
      </w:pPr>
      <w:r>
        <w:rPr>
          <w:rFonts w:ascii="Arial" w:hAnsi="Arial" w:cs="Arial"/>
          <w:color w:val="000000"/>
        </w:rPr>
        <w:t xml:space="preserve">A new section 271C would give the chief executive </w:t>
      </w:r>
      <w:r w:rsidR="00A93E9B">
        <w:rPr>
          <w:rFonts w:ascii="Arial" w:hAnsi="Arial" w:cs="Arial"/>
          <w:color w:val="000000"/>
        </w:rPr>
        <w:t xml:space="preserve">broad </w:t>
      </w:r>
      <w:r>
        <w:rPr>
          <w:rFonts w:ascii="Arial" w:hAnsi="Arial" w:cs="Arial"/>
          <w:color w:val="000000"/>
        </w:rPr>
        <w:t>additional powers during a period of emergency</w:t>
      </w:r>
      <w:r w:rsidR="00A93E9B">
        <w:rPr>
          <w:rFonts w:ascii="Arial" w:hAnsi="Arial" w:cs="Arial"/>
          <w:color w:val="000000"/>
        </w:rPr>
        <w:t xml:space="preserve">.  These </w:t>
      </w:r>
      <w:r>
        <w:rPr>
          <w:rFonts w:ascii="Arial" w:hAnsi="Arial" w:cs="Arial"/>
          <w:color w:val="000000"/>
        </w:rPr>
        <w:t>include restricting movement within a corrective services facility, restricting access to a corrective services facility, isolating prisoners, limiting or withholding the privileges of a prisoner, and transferring prisoners to another corrective services facility.</w:t>
      </w:r>
    </w:p>
    <w:p w14:paraId="382FF2FA" w14:textId="043FE2B6" w:rsidR="00547DA1" w:rsidRPr="00547DA1" w:rsidRDefault="00547DA1" w:rsidP="002E7001">
      <w:pPr>
        <w:pStyle w:val="Heading2"/>
      </w:pPr>
      <w:bookmarkStart w:id="5" w:name="_Toc122696965"/>
      <w:r w:rsidRPr="00547DA1">
        <w:t>Access to corrective services facilities</w:t>
      </w:r>
      <w:bookmarkEnd w:id="5"/>
    </w:p>
    <w:p w14:paraId="5D59044D" w14:textId="52F886C8" w:rsidR="00A93E9B" w:rsidRDefault="00A93E9B" w:rsidP="00007FD2">
      <w:pPr>
        <w:pStyle w:val="ListParagraph"/>
        <w:numPr>
          <w:ilvl w:val="0"/>
          <w:numId w:val="4"/>
        </w:numPr>
        <w:spacing w:before="120" w:after="240" w:line="276" w:lineRule="auto"/>
        <w:ind w:left="567" w:hanging="567"/>
        <w:contextualSpacing w:val="0"/>
        <w:rPr>
          <w:rFonts w:ascii="Arial" w:hAnsi="Arial" w:cs="Arial"/>
          <w:color w:val="000000"/>
        </w:rPr>
      </w:pPr>
      <w:r>
        <w:rPr>
          <w:rFonts w:ascii="Arial" w:hAnsi="Arial" w:cs="Arial"/>
          <w:color w:val="000000"/>
        </w:rPr>
        <w:t xml:space="preserve">The power to restrict access to </w:t>
      </w:r>
      <w:r w:rsidR="0069499B">
        <w:rPr>
          <w:rFonts w:ascii="Arial" w:hAnsi="Arial" w:cs="Arial"/>
          <w:color w:val="000000"/>
        </w:rPr>
        <w:t xml:space="preserve">a corrective services facility should be circumscribed so as not to prevent access by key oversight agencies such as the Queensland Ombudsman, the </w:t>
      </w:r>
      <w:r w:rsidR="005B07CF">
        <w:rPr>
          <w:rFonts w:ascii="Arial" w:hAnsi="Arial" w:cs="Arial"/>
          <w:color w:val="000000"/>
        </w:rPr>
        <w:t>Inspector of Detention Services, the Official Visitor, and the United Nations Subcommittee on the Prevention of Torture.  This would maintain transparency and confidence in the corrective services system and ensure any disproportionate limitations of human rights are identified and resolved promptly.</w:t>
      </w:r>
    </w:p>
    <w:p w14:paraId="23578D76" w14:textId="416536A2" w:rsidR="00547DA1" w:rsidRPr="00547DA1" w:rsidRDefault="00547DA1" w:rsidP="002E7001">
      <w:pPr>
        <w:pStyle w:val="Heading2"/>
      </w:pPr>
      <w:bookmarkStart w:id="6" w:name="_Toc122696966"/>
      <w:r w:rsidRPr="00547DA1">
        <w:t>Telephone contact with family</w:t>
      </w:r>
      <w:bookmarkEnd w:id="6"/>
    </w:p>
    <w:p w14:paraId="7CC323C7" w14:textId="4A5D9893" w:rsidR="00F84E9D" w:rsidRDefault="00F84E9D" w:rsidP="00007FD2">
      <w:pPr>
        <w:pStyle w:val="ListParagraph"/>
        <w:numPr>
          <w:ilvl w:val="0"/>
          <w:numId w:val="4"/>
        </w:numPr>
        <w:spacing w:before="120" w:after="240" w:line="276" w:lineRule="auto"/>
        <w:ind w:left="567" w:hanging="567"/>
        <w:contextualSpacing w:val="0"/>
        <w:rPr>
          <w:rFonts w:ascii="Arial" w:hAnsi="Arial" w:cs="Arial"/>
          <w:color w:val="000000"/>
        </w:rPr>
      </w:pPr>
      <w:r>
        <w:rPr>
          <w:rFonts w:ascii="Arial" w:hAnsi="Arial" w:cs="Arial"/>
          <w:color w:val="000000"/>
        </w:rPr>
        <w:t xml:space="preserve">Prisoner privileges are </w:t>
      </w:r>
      <w:r w:rsidR="004F6F84">
        <w:rPr>
          <w:rFonts w:ascii="Arial" w:hAnsi="Arial" w:cs="Arial"/>
          <w:color w:val="000000"/>
        </w:rPr>
        <w:t xml:space="preserve">broadly </w:t>
      </w:r>
      <w:r>
        <w:rPr>
          <w:rFonts w:ascii="Arial" w:hAnsi="Arial" w:cs="Arial"/>
          <w:color w:val="000000"/>
        </w:rPr>
        <w:t>defined in the Corrective Services Regulation 201</w:t>
      </w:r>
      <w:r w:rsidR="004F6F84">
        <w:rPr>
          <w:rFonts w:ascii="Arial" w:hAnsi="Arial" w:cs="Arial"/>
          <w:color w:val="000000"/>
        </w:rPr>
        <w:t>7 section 18 and include making or receiving phones calls other than to or from the prisoner’s lawyer or the Ombudsman</w:t>
      </w:r>
      <w:r w:rsidR="00F476A3">
        <w:rPr>
          <w:rFonts w:ascii="Arial" w:hAnsi="Arial" w:cs="Arial"/>
          <w:color w:val="000000"/>
        </w:rPr>
        <w:t>.  Under the new section 271C(2)(d) phone calls between a prisoner and their family could be limited or withheld if the chief executive reasonably believes it would not be practicable for the prisoner to make or receive phone calls.</w:t>
      </w:r>
    </w:p>
    <w:p w14:paraId="03B324DC" w14:textId="7EC99D8E" w:rsidR="00F476A3" w:rsidRDefault="00F476A3" w:rsidP="00007FD2">
      <w:pPr>
        <w:pStyle w:val="ListParagraph"/>
        <w:numPr>
          <w:ilvl w:val="0"/>
          <w:numId w:val="4"/>
        </w:numPr>
        <w:spacing w:before="120" w:after="240" w:line="276" w:lineRule="auto"/>
        <w:ind w:left="567" w:hanging="567"/>
        <w:contextualSpacing w:val="0"/>
        <w:rPr>
          <w:rFonts w:ascii="Arial" w:hAnsi="Arial" w:cs="Arial"/>
          <w:color w:val="000000"/>
        </w:rPr>
      </w:pPr>
      <w:r>
        <w:rPr>
          <w:rFonts w:ascii="Arial" w:hAnsi="Arial" w:cs="Arial"/>
          <w:color w:val="000000"/>
        </w:rPr>
        <w:t>The COVI</w:t>
      </w:r>
      <w:r w:rsidR="00E06CCA">
        <w:rPr>
          <w:rFonts w:ascii="Arial" w:hAnsi="Arial" w:cs="Arial"/>
          <w:color w:val="000000"/>
        </w:rPr>
        <w:t>D</w:t>
      </w:r>
      <w:r>
        <w:rPr>
          <w:rFonts w:ascii="Arial" w:hAnsi="Arial" w:cs="Arial"/>
          <w:color w:val="000000"/>
        </w:rPr>
        <w:t xml:space="preserve">-19 emergency has demonstrated the need for prisoners to remain in contact with family and other supports during a pandemic.  </w:t>
      </w:r>
      <w:r w:rsidR="008D6D52">
        <w:rPr>
          <w:rFonts w:ascii="Arial" w:hAnsi="Arial" w:cs="Arial"/>
          <w:color w:val="000000"/>
        </w:rPr>
        <w:t xml:space="preserve">Withholding and limiting this type of contact can severely limit the rights of the prisoner and their family.  </w:t>
      </w:r>
      <w:r>
        <w:rPr>
          <w:rFonts w:ascii="Arial" w:hAnsi="Arial" w:cs="Arial"/>
          <w:color w:val="000000"/>
        </w:rPr>
        <w:t xml:space="preserve">The Commission considers that a less </w:t>
      </w:r>
      <w:r w:rsidR="008D6D52">
        <w:rPr>
          <w:rFonts w:ascii="Arial" w:hAnsi="Arial" w:cs="Arial"/>
          <w:color w:val="000000"/>
        </w:rPr>
        <w:t xml:space="preserve">restrictive approach is to confine the use of this power </w:t>
      </w:r>
      <w:r w:rsidR="006E7F3B">
        <w:rPr>
          <w:rFonts w:ascii="Arial" w:hAnsi="Arial" w:cs="Arial"/>
          <w:color w:val="000000"/>
        </w:rPr>
        <w:t xml:space="preserve">in relation to telephone contact with family </w:t>
      </w:r>
      <w:r w:rsidR="008D6D52">
        <w:rPr>
          <w:rFonts w:ascii="Arial" w:hAnsi="Arial" w:cs="Arial"/>
          <w:color w:val="000000"/>
        </w:rPr>
        <w:t>to when it is necessary to respond to the emergency.</w:t>
      </w:r>
    </w:p>
    <w:p w14:paraId="564136FA" w14:textId="15F964F2" w:rsidR="00547DA1" w:rsidRPr="00547DA1" w:rsidRDefault="00547DA1" w:rsidP="002E7001">
      <w:pPr>
        <w:pStyle w:val="Heading2"/>
      </w:pPr>
      <w:bookmarkStart w:id="7" w:name="_Toc122696967"/>
      <w:r w:rsidRPr="00547DA1">
        <w:t>Publication of information</w:t>
      </w:r>
      <w:bookmarkEnd w:id="7"/>
    </w:p>
    <w:p w14:paraId="1FD11833" w14:textId="2D0FADEB" w:rsidR="00DF79A9" w:rsidRDefault="00E87A07" w:rsidP="00007FD2">
      <w:pPr>
        <w:pStyle w:val="ListParagraph"/>
        <w:numPr>
          <w:ilvl w:val="0"/>
          <w:numId w:val="4"/>
        </w:numPr>
        <w:spacing w:before="120" w:after="240" w:line="276" w:lineRule="auto"/>
        <w:ind w:left="567" w:hanging="567"/>
        <w:contextualSpacing w:val="0"/>
        <w:rPr>
          <w:rFonts w:ascii="Arial" w:hAnsi="Arial" w:cs="Arial"/>
          <w:color w:val="000000"/>
        </w:rPr>
      </w:pPr>
      <w:r>
        <w:rPr>
          <w:rFonts w:ascii="Arial" w:hAnsi="Arial" w:cs="Arial"/>
          <w:color w:val="000000"/>
        </w:rPr>
        <w:t xml:space="preserve">The obligations to properly consider human rights and to act and make decisions in a way that is compatible with human rights will apply to the </w:t>
      </w:r>
      <w:r w:rsidR="006E7F3B">
        <w:rPr>
          <w:rFonts w:ascii="Arial" w:hAnsi="Arial" w:cs="Arial"/>
          <w:color w:val="000000"/>
        </w:rPr>
        <w:t xml:space="preserve">making </w:t>
      </w:r>
      <w:r w:rsidR="00BC6217">
        <w:rPr>
          <w:rFonts w:ascii="Arial" w:hAnsi="Arial" w:cs="Arial"/>
          <w:color w:val="000000"/>
        </w:rPr>
        <w:t xml:space="preserve">of </w:t>
      </w:r>
      <w:r w:rsidR="006E7F3B">
        <w:rPr>
          <w:rFonts w:ascii="Arial" w:hAnsi="Arial" w:cs="Arial"/>
          <w:color w:val="000000"/>
        </w:rPr>
        <w:t>a declaration of emergency</w:t>
      </w:r>
      <w:r>
        <w:rPr>
          <w:rFonts w:ascii="Arial" w:hAnsi="Arial" w:cs="Arial"/>
          <w:color w:val="000000"/>
        </w:rPr>
        <w:t>.</w:t>
      </w:r>
      <w:r>
        <w:rPr>
          <w:rStyle w:val="FootnoteReference"/>
          <w:rFonts w:ascii="Arial" w:hAnsi="Arial" w:cs="Arial"/>
          <w:color w:val="000000"/>
        </w:rPr>
        <w:footnoteReference w:id="2"/>
      </w:r>
      <w:r w:rsidR="00DF79A9">
        <w:rPr>
          <w:rFonts w:ascii="Arial" w:hAnsi="Arial" w:cs="Arial"/>
          <w:color w:val="000000"/>
        </w:rPr>
        <w:t xml:space="preserve">  These obligations will also apply to the exercise of consequential powers.</w:t>
      </w:r>
    </w:p>
    <w:p w14:paraId="2C11531B" w14:textId="170E2EC2" w:rsidR="006E7F3B" w:rsidRDefault="00DF79A9" w:rsidP="00007FD2">
      <w:pPr>
        <w:pStyle w:val="ListParagraph"/>
        <w:numPr>
          <w:ilvl w:val="0"/>
          <w:numId w:val="4"/>
        </w:numPr>
        <w:spacing w:before="120" w:after="240" w:line="276" w:lineRule="auto"/>
        <w:ind w:left="567" w:hanging="567"/>
        <w:contextualSpacing w:val="0"/>
        <w:rPr>
          <w:rFonts w:ascii="Arial" w:hAnsi="Arial" w:cs="Arial"/>
          <w:color w:val="000000"/>
        </w:rPr>
      </w:pPr>
      <w:r>
        <w:rPr>
          <w:rFonts w:ascii="Arial" w:hAnsi="Arial" w:cs="Arial"/>
          <w:color w:val="000000"/>
        </w:rPr>
        <w:lastRenderedPageBreak/>
        <w:t xml:space="preserve">Proper consideration of human rights </w:t>
      </w:r>
      <w:r w:rsidR="00B00731">
        <w:rPr>
          <w:rFonts w:ascii="Arial" w:hAnsi="Arial" w:cs="Arial"/>
          <w:color w:val="000000"/>
        </w:rPr>
        <w:t>includes</w:t>
      </w:r>
      <w:r>
        <w:rPr>
          <w:rFonts w:ascii="Arial" w:hAnsi="Arial" w:cs="Arial"/>
          <w:color w:val="000000"/>
        </w:rPr>
        <w:t xml:space="preserve"> identifying all human rights </w:t>
      </w:r>
      <w:r w:rsidR="004B7FD0">
        <w:rPr>
          <w:rFonts w:ascii="Arial" w:hAnsi="Arial" w:cs="Arial"/>
          <w:color w:val="000000"/>
        </w:rPr>
        <w:t xml:space="preserve">that may be </w:t>
      </w:r>
      <w:r>
        <w:rPr>
          <w:rFonts w:ascii="Arial" w:hAnsi="Arial" w:cs="Arial"/>
          <w:color w:val="000000"/>
        </w:rPr>
        <w:t xml:space="preserve">affected by the decision and </w:t>
      </w:r>
      <w:r w:rsidR="004B7FD0">
        <w:rPr>
          <w:rFonts w:ascii="Arial" w:hAnsi="Arial" w:cs="Arial"/>
          <w:color w:val="000000"/>
        </w:rPr>
        <w:t>considering whether the decision would be compatible with human rights.</w:t>
      </w:r>
      <w:r w:rsidR="004B7FD0">
        <w:rPr>
          <w:rStyle w:val="FootnoteReference"/>
          <w:rFonts w:ascii="Arial" w:hAnsi="Arial" w:cs="Arial"/>
          <w:color w:val="000000"/>
        </w:rPr>
        <w:footnoteReference w:id="3"/>
      </w:r>
      <w:r w:rsidR="00DA1764">
        <w:rPr>
          <w:rFonts w:ascii="Arial" w:hAnsi="Arial" w:cs="Arial"/>
          <w:color w:val="000000"/>
        </w:rPr>
        <w:t xml:space="preserve">  Given that a declaration and the consequential exercise of powers will limit human rights, the decisions will </w:t>
      </w:r>
      <w:r w:rsidR="00B00731">
        <w:rPr>
          <w:rFonts w:ascii="Arial" w:hAnsi="Arial" w:cs="Arial"/>
          <w:color w:val="000000"/>
        </w:rPr>
        <w:t xml:space="preserve">be compatible with human rights if the identified human rights are limited only to the extent that is reasonable and demonstrably justified in accordance with section 13 of the </w:t>
      </w:r>
      <w:r w:rsidR="00B00731">
        <w:rPr>
          <w:rFonts w:ascii="Arial" w:hAnsi="Arial" w:cs="Arial"/>
          <w:i/>
        </w:rPr>
        <w:t xml:space="preserve">Human Rights Act 2019.  </w:t>
      </w:r>
    </w:p>
    <w:p w14:paraId="4C7D56A8" w14:textId="77777777" w:rsidR="00374ABC" w:rsidRDefault="00374ABC" w:rsidP="00374ABC">
      <w:pPr>
        <w:pStyle w:val="ListParagraph"/>
        <w:numPr>
          <w:ilvl w:val="0"/>
          <w:numId w:val="4"/>
        </w:numPr>
        <w:spacing w:before="120" w:after="240" w:line="276" w:lineRule="auto"/>
        <w:ind w:left="567" w:hanging="567"/>
        <w:contextualSpacing w:val="0"/>
        <w:rPr>
          <w:rFonts w:ascii="Arial" w:hAnsi="Arial" w:cs="Arial"/>
          <w:color w:val="000000"/>
        </w:rPr>
      </w:pPr>
      <w:r>
        <w:rPr>
          <w:rFonts w:ascii="Arial" w:hAnsi="Arial" w:cs="Arial"/>
          <w:color w:val="000000"/>
        </w:rPr>
        <w:t>A new section 271D would require the chief executive to publish on the department’s website information about a declaration of emergency, including the reasons for making the declaration.</w:t>
      </w:r>
    </w:p>
    <w:p w14:paraId="0FEE8552" w14:textId="434234A6" w:rsidR="00374ABC" w:rsidRDefault="00374ABC" w:rsidP="00007FD2">
      <w:pPr>
        <w:pStyle w:val="ListParagraph"/>
        <w:numPr>
          <w:ilvl w:val="0"/>
          <w:numId w:val="4"/>
        </w:numPr>
        <w:spacing w:before="120" w:after="240" w:line="276" w:lineRule="auto"/>
        <w:ind w:left="567" w:hanging="567"/>
        <w:contextualSpacing w:val="0"/>
        <w:rPr>
          <w:rFonts w:ascii="Arial" w:hAnsi="Arial" w:cs="Arial"/>
          <w:color w:val="000000"/>
        </w:rPr>
      </w:pPr>
      <w:r>
        <w:rPr>
          <w:rFonts w:ascii="Arial" w:hAnsi="Arial" w:cs="Arial"/>
          <w:color w:val="000000"/>
        </w:rPr>
        <w:t xml:space="preserve">The Commission considers that the assessment of compatibility with human rights should be required to be published with the other information set out in the new section 271D.  This would promote transparency and compliance with the </w:t>
      </w:r>
      <w:r>
        <w:rPr>
          <w:rFonts w:ascii="Arial" w:hAnsi="Arial" w:cs="Arial"/>
          <w:i/>
        </w:rPr>
        <w:t xml:space="preserve">Human Rights Act 2019.  </w:t>
      </w:r>
      <w:r w:rsidR="00432F2F">
        <w:rPr>
          <w:rFonts w:ascii="Arial" w:hAnsi="Arial" w:cs="Arial"/>
          <w:iCs/>
        </w:rPr>
        <w:t>It would also be consistent with the obligation on the Chief Health Officer</w:t>
      </w:r>
      <w:r w:rsidR="00DF590B">
        <w:rPr>
          <w:rFonts w:ascii="Arial" w:hAnsi="Arial" w:cs="Arial"/>
          <w:iCs/>
        </w:rPr>
        <w:t xml:space="preserve"> to publish a justification statement for a public health direction.  A justification statement must include the Chief Health Officer’s opinion as to whether the direction is compatible with human rights and the nature and extent of any incompatibility.</w:t>
      </w:r>
      <w:r w:rsidR="00DF590B">
        <w:rPr>
          <w:rStyle w:val="FootnoteReference"/>
          <w:rFonts w:ascii="Arial" w:hAnsi="Arial" w:cs="Arial"/>
          <w:iCs/>
        </w:rPr>
        <w:footnoteReference w:id="4"/>
      </w:r>
    </w:p>
    <w:p w14:paraId="75E2CA70" w14:textId="3F7F622F" w:rsidR="00896225" w:rsidRPr="004C5F91" w:rsidRDefault="00CF1826" w:rsidP="00F37F4E">
      <w:pPr>
        <w:pStyle w:val="Heading1"/>
        <w:spacing w:before="360"/>
      </w:pPr>
      <w:bookmarkStart w:id="8" w:name="_Toc122696968"/>
      <w:r>
        <w:t>Sharing p</w:t>
      </w:r>
      <w:r w:rsidR="003560DD">
        <w:t>risoner health information</w:t>
      </w:r>
      <w:bookmarkEnd w:id="8"/>
    </w:p>
    <w:p w14:paraId="187D2BCB" w14:textId="2F5A019D" w:rsidR="00896225" w:rsidRPr="00CF1826" w:rsidRDefault="0049334B" w:rsidP="0004571C">
      <w:pPr>
        <w:pStyle w:val="ListParagraph"/>
        <w:numPr>
          <w:ilvl w:val="0"/>
          <w:numId w:val="4"/>
        </w:numPr>
        <w:spacing w:before="120" w:after="240" w:line="276" w:lineRule="auto"/>
        <w:ind w:left="567" w:hanging="567"/>
        <w:contextualSpacing w:val="0"/>
        <w:rPr>
          <w:rFonts w:ascii="Arial" w:hAnsi="Arial" w:cs="Arial"/>
        </w:rPr>
      </w:pPr>
      <w:r>
        <w:rPr>
          <w:rFonts w:ascii="Arial" w:hAnsi="Arial" w:cstheme="majorBidi"/>
        </w:rPr>
        <w:t xml:space="preserve">The </w:t>
      </w:r>
      <w:r w:rsidR="00DE32C2">
        <w:rPr>
          <w:rFonts w:ascii="Arial" w:hAnsi="Arial" w:cstheme="majorBidi"/>
        </w:rPr>
        <w:t>policy objective of a</w:t>
      </w:r>
      <w:r>
        <w:rPr>
          <w:rFonts w:ascii="Arial" w:hAnsi="Arial" w:cstheme="majorBidi"/>
        </w:rPr>
        <w:t>mend</w:t>
      </w:r>
      <w:r w:rsidR="0026691F">
        <w:rPr>
          <w:rFonts w:ascii="Arial" w:hAnsi="Arial" w:cstheme="majorBidi"/>
        </w:rPr>
        <w:t>ments to</w:t>
      </w:r>
      <w:r>
        <w:rPr>
          <w:rFonts w:ascii="Arial" w:hAnsi="Arial" w:cstheme="majorBidi"/>
        </w:rPr>
        <w:t xml:space="preserve"> section 341 of the CS Act</w:t>
      </w:r>
      <w:r w:rsidR="0026691F">
        <w:rPr>
          <w:rFonts w:ascii="Arial" w:hAnsi="Arial" w:cstheme="majorBidi"/>
        </w:rPr>
        <w:t xml:space="preserve"> in clause 32 of the Bill </w:t>
      </w:r>
      <w:r w:rsidR="00DE32C2">
        <w:rPr>
          <w:rFonts w:ascii="Arial" w:hAnsi="Arial" w:cstheme="majorBidi"/>
        </w:rPr>
        <w:t>is to</w:t>
      </w:r>
      <w:r w:rsidR="0026691F">
        <w:rPr>
          <w:rFonts w:ascii="Arial" w:hAnsi="Arial" w:cstheme="majorBidi"/>
        </w:rPr>
        <w:t xml:space="preserve"> enhanc</w:t>
      </w:r>
      <w:r w:rsidR="00DE32C2">
        <w:rPr>
          <w:rFonts w:ascii="Arial" w:hAnsi="Arial" w:cstheme="majorBidi"/>
        </w:rPr>
        <w:t>e</w:t>
      </w:r>
      <w:r w:rsidR="0026691F">
        <w:rPr>
          <w:rFonts w:ascii="Arial" w:hAnsi="Arial" w:cstheme="majorBidi"/>
        </w:rPr>
        <w:t xml:space="preserve"> information sharing.  The </w:t>
      </w:r>
      <w:r w:rsidR="00DE32C2">
        <w:rPr>
          <w:rFonts w:ascii="Arial" w:hAnsi="Arial" w:cstheme="majorBidi"/>
        </w:rPr>
        <w:t xml:space="preserve">Explanatory Notes say that </w:t>
      </w:r>
      <w:r w:rsidR="0026691F">
        <w:rPr>
          <w:rFonts w:ascii="Arial" w:hAnsi="Arial" w:cstheme="majorBidi"/>
        </w:rPr>
        <w:t>amendments are ‘to clarify that confidential information about a prisoner can proactively be shared with a health practitioner, if the person disclosing the information reasonably believes the disclosure is relevant for the care, treatment or rehabilitation of the prisoner’.  The Explanatory Notes also state that information sharing is already occurring under section 341 of the CS Act.</w:t>
      </w:r>
    </w:p>
    <w:p w14:paraId="69ED4C3E" w14:textId="6C24B4E2" w:rsidR="00DE4D44" w:rsidRPr="00DE4D44" w:rsidRDefault="00AA43FB" w:rsidP="0004571C">
      <w:pPr>
        <w:pStyle w:val="ListParagraph"/>
        <w:numPr>
          <w:ilvl w:val="0"/>
          <w:numId w:val="4"/>
        </w:numPr>
        <w:spacing w:before="120" w:after="240" w:line="276" w:lineRule="auto"/>
        <w:ind w:left="567" w:hanging="567"/>
        <w:contextualSpacing w:val="0"/>
        <w:rPr>
          <w:rFonts w:ascii="Arial" w:hAnsi="Arial" w:cs="Arial"/>
        </w:rPr>
      </w:pPr>
      <w:r>
        <w:rPr>
          <w:rFonts w:ascii="Arial" w:hAnsi="Arial" w:cstheme="majorBidi"/>
        </w:rPr>
        <w:t>However, t</w:t>
      </w:r>
      <w:r w:rsidR="00C01B1B">
        <w:rPr>
          <w:rFonts w:ascii="Arial" w:hAnsi="Arial" w:cstheme="majorBidi"/>
        </w:rPr>
        <w:t>he communication by health practitioners of recommendations</w:t>
      </w:r>
      <w:r w:rsidR="005B7DE4">
        <w:rPr>
          <w:rFonts w:ascii="Arial" w:hAnsi="Arial" w:cstheme="majorBidi"/>
        </w:rPr>
        <w:t xml:space="preserve"> regarding a prisoner’s health and wellbeing may not be occurring under section 341 of the CS Act or at all</w:t>
      </w:r>
      <w:r>
        <w:rPr>
          <w:rFonts w:ascii="Arial" w:hAnsi="Arial" w:cstheme="majorBidi"/>
        </w:rPr>
        <w:t xml:space="preserve">, as demonstrated by a complaint </w:t>
      </w:r>
      <w:r w:rsidR="00EB4C3D">
        <w:rPr>
          <w:rFonts w:ascii="Arial" w:hAnsi="Arial" w:cstheme="majorBidi"/>
        </w:rPr>
        <w:t>to the</w:t>
      </w:r>
      <w:r>
        <w:rPr>
          <w:rFonts w:ascii="Arial" w:hAnsi="Arial" w:cstheme="majorBidi"/>
        </w:rPr>
        <w:t xml:space="preserve"> Commission.</w:t>
      </w:r>
    </w:p>
    <w:p w14:paraId="6AADE7FC" w14:textId="1F156983" w:rsidR="00CF1826" w:rsidRPr="00F83AE9" w:rsidRDefault="00EB4C3D" w:rsidP="0004571C">
      <w:pPr>
        <w:pStyle w:val="ListParagraph"/>
        <w:numPr>
          <w:ilvl w:val="0"/>
          <w:numId w:val="4"/>
        </w:numPr>
        <w:spacing w:before="120" w:after="240" w:line="276" w:lineRule="auto"/>
        <w:ind w:left="567" w:hanging="567"/>
        <w:contextualSpacing w:val="0"/>
        <w:rPr>
          <w:rFonts w:ascii="Arial" w:hAnsi="Arial" w:cs="Arial"/>
        </w:rPr>
      </w:pPr>
      <w:r>
        <w:rPr>
          <w:rFonts w:ascii="Arial" w:hAnsi="Arial" w:cstheme="majorBidi"/>
        </w:rPr>
        <w:t xml:space="preserve">In the complaint, the prisoner alleged that he had been given a medical recommendation that he be accommodated in a single cell due to the </w:t>
      </w:r>
      <w:r>
        <w:rPr>
          <w:rFonts w:ascii="Arial" w:hAnsi="Arial" w:cstheme="majorBidi"/>
        </w:rPr>
        <w:lastRenderedPageBreak/>
        <w:t>medical conditions that he was enduring.</w:t>
      </w:r>
      <w:r w:rsidR="008B027F">
        <w:rPr>
          <w:rFonts w:ascii="Arial" w:hAnsi="Arial" w:cstheme="majorBidi"/>
        </w:rPr>
        <w:t xml:space="preserve">  The practice is for the health practitioner to give such a recommendation directly to the prisoner who is then responsible to submit it to the prison management.  While in this complaint there was a dispute as to whether the prisoner passed the medical recommendation on to a corrective services officer, the fact </w:t>
      </w:r>
      <w:r w:rsidR="00F83AE9">
        <w:rPr>
          <w:rFonts w:ascii="Arial" w:hAnsi="Arial" w:cstheme="majorBidi"/>
        </w:rPr>
        <w:t xml:space="preserve">was that the prisoner remained accommodated in a shared cell for a significant </w:t>
      </w:r>
      <w:r w:rsidR="003C63C6">
        <w:rPr>
          <w:rFonts w:ascii="Arial" w:hAnsi="Arial" w:cstheme="majorBidi"/>
        </w:rPr>
        <w:t>period</w:t>
      </w:r>
      <w:r w:rsidR="00F83AE9">
        <w:rPr>
          <w:rFonts w:ascii="Arial" w:hAnsi="Arial" w:cstheme="majorBidi"/>
        </w:rPr>
        <w:t>.</w:t>
      </w:r>
    </w:p>
    <w:p w14:paraId="72F567CA" w14:textId="79CFA6F6" w:rsidR="00F83AE9" w:rsidRPr="00F83AE9" w:rsidRDefault="00F83AE9" w:rsidP="0004571C">
      <w:pPr>
        <w:pStyle w:val="ListParagraph"/>
        <w:numPr>
          <w:ilvl w:val="0"/>
          <w:numId w:val="4"/>
        </w:numPr>
        <w:spacing w:before="120" w:after="240" w:line="276" w:lineRule="auto"/>
        <w:ind w:left="567" w:hanging="567"/>
        <w:contextualSpacing w:val="0"/>
        <w:rPr>
          <w:rFonts w:ascii="Arial" w:hAnsi="Arial" w:cs="Arial"/>
        </w:rPr>
      </w:pPr>
      <w:r>
        <w:rPr>
          <w:rFonts w:ascii="Arial" w:hAnsi="Arial" w:cstheme="majorBidi"/>
        </w:rPr>
        <w:t>The Commission considers that medical recommendations about the placement of a prisoner in a single cell should be made by the health service directly to the prison management.</w:t>
      </w:r>
      <w:r w:rsidR="00401004">
        <w:rPr>
          <w:rFonts w:ascii="Arial" w:hAnsi="Arial" w:cstheme="majorBidi"/>
        </w:rPr>
        <w:t xml:space="preserve">  Relying on prisoners to pursue the implementation of </w:t>
      </w:r>
      <w:r w:rsidR="00934A1E">
        <w:rPr>
          <w:rFonts w:ascii="Arial" w:hAnsi="Arial" w:cstheme="majorBidi"/>
        </w:rPr>
        <w:t>health-based</w:t>
      </w:r>
      <w:r w:rsidR="00401004">
        <w:rPr>
          <w:rFonts w:ascii="Arial" w:hAnsi="Arial" w:cstheme="majorBidi"/>
        </w:rPr>
        <w:t xml:space="preserve"> recommendations</w:t>
      </w:r>
      <w:r w:rsidR="00934A1E">
        <w:rPr>
          <w:rFonts w:ascii="Arial" w:hAnsi="Arial" w:cstheme="majorBidi"/>
        </w:rPr>
        <w:t xml:space="preserve"> may lead to confusion and delays such as those in the complaint.  There is a significant risk that written documents will be lost as well as privacy concerns in expecting a prisoner to manage the information in a prison environment.  A prisoner’s rights to humane treatment when deprived of liberty and </w:t>
      </w:r>
      <w:r w:rsidR="00C71A36">
        <w:rPr>
          <w:rFonts w:ascii="Arial" w:hAnsi="Arial" w:cstheme="majorBidi"/>
        </w:rPr>
        <w:t xml:space="preserve">to privacy would be better </w:t>
      </w:r>
      <w:r w:rsidR="002E78FD">
        <w:rPr>
          <w:rFonts w:ascii="Arial" w:hAnsi="Arial" w:cstheme="majorBidi"/>
        </w:rPr>
        <w:t>aligned</w:t>
      </w:r>
      <w:r w:rsidR="00C71A36">
        <w:rPr>
          <w:rFonts w:ascii="Arial" w:hAnsi="Arial" w:cstheme="majorBidi"/>
        </w:rPr>
        <w:t xml:space="preserve"> </w:t>
      </w:r>
      <w:r w:rsidR="002E78FD">
        <w:rPr>
          <w:rFonts w:ascii="Arial" w:hAnsi="Arial" w:cstheme="majorBidi"/>
        </w:rPr>
        <w:t>if</w:t>
      </w:r>
      <w:r w:rsidR="00C71A36">
        <w:rPr>
          <w:rFonts w:ascii="Arial" w:hAnsi="Arial" w:cstheme="majorBidi"/>
        </w:rPr>
        <w:t xml:space="preserve"> </w:t>
      </w:r>
      <w:r w:rsidR="002E78FD">
        <w:rPr>
          <w:rFonts w:ascii="Arial" w:hAnsi="Arial" w:cstheme="majorBidi"/>
        </w:rPr>
        <w:t xml:space="preserve">health-based recommendations were </w:t>
      </w:r>
      <w:r w:rsidR="00C71A36">
        <w:rPr>
          <w:rFonts w:ascii="Arial" w:hAnsi="Arial" w:cstheme="majorBidi"/>
        </w:rPr>
        <w:t>given directly from the health service to the prison management.</w:t>
      </w:r>
    </w:p>
    <w:p w14:paraId="2D15680F" w14:textId="77777777" w:rsidR="00406776" w:rsidRPr="00406776" w:rsidRDefault="00F83AE9" w:rsidP="00406776">
      <w:pPr>
        <w:pStyle w:val="ListParagraph"/>
        <w:numPr>
          <w:ilvl w:val="0"/>
          <w:numId w:val="4"/>
        </w:numPr>
        <w:spacing w:before="120" w:after="240" w:line="276" w:lineRule="auto"/>
        <w:ind w:left="567" w:hanging="567"/>
        <w:contextualSpacing w:val="0"/>
        <w:rPr>
          <w:rFonts w:ascii="Arial" w:hAnsi="Arial" w:cs="Arial"/>
        </w:rPr>
      </w:pPr>
      <w:r>
        <w:rPr>
          <w:rFonts w:ascii="Arial" w:hAnsi="Arial" w:cstheme="majorBidi"/>
        </w:rPr>
        <w:t xml:space="preserve">It may be that health practitioners feel constrained in providing this type of medical information directly to the prison management, despite section 341 of the CS Act and the proposed amendments to it.  Under sections 142 and 142A of the </w:t>
      </w:r>
      <w:r w:rsidRPr="00401004">
        <w:rPr>
          <w:rFonts w:ascii="Arial" w:hAnsi="Arial" w:cstheme="majorBidi"/>
          <w:i/>
          <w:iCs/>
        </w:rPr>
        <w:t>Hospital and Health Boards Act 2011</w:t>
      </w:r>
      <w:r>
        <w:rPr>
          <w:rFonts w:ascii="Arial" w:hAnsi="Arial" w:cstheme="majorBidi"/>
        </w:rPr>
        <w:t xml:space="preserve">, a designated person (health service employee and others) or a prescribed health </w:t>
      </w:r>
      <w:r w:rsidRPr="00406776">
        <w:rPr>
          <w:rFonts w:ascii="Arial" w:hAnsi="Arial" w:cstheme="majorBidi"/>
        </w:rPr>
        <w:t>professional</w:t>
      </w:r>
      <w:r w:rsidR="00401004" w:rsidRPr="00406776">
        <w:rPr>
          <w:rFonts w:ascii="Arial" w:hAnsi="Arial" w:cstheme="majorBidi"/>
        </w:rPr>
        <w:t xml:space="preserve"> (in a regulation) is prohibited from disclosing confidential information about a person unless required or permitted under that Act, that is, under the </w:t>
      </w:r>
      <w:r w:rsidR="00401004" w:rsidRPr="00406776">
        <w:rPr>
          <w:rFonts w:ascii="Arial" w:hAnsi="Arial" w:cstheme="majorBidi"/>
          <w:i/>
          <w:iCs/>
        </w:rPr>
        <w:t xml:space="preserve">Hospital and Health Boards Act 2011.  </w:t>
      </w:r>
    </w:p>
    <w:p w14:paraId="17A77D71" w14:textId="21761720" w:rsidR="00C71A36" w:rsidRPr="00406776" w:rsidRDefault="00C71A36" w:rsidP="00406776">
      <w:pPr>
        <w:pStyle w:val="ListParagraph"/>
        <w:numPr>
          <w:ilvl w:val="0"/>
          <w:numId w:val="4"/>
        </w:numPr>
        <w:spacing w:before="120" w:after="240" w:line="276" w:lineRule="auto"/>
        <w:ind w:left="567" w:hanging="567"/>
        <w:contextualSpacing w:val="0"/>
        <w:rPr>
          <w:rFonts w:ascii="Arial" w:hAnsi="Arial" w:cs="Arial"/>
        </w:rPr>
      </w:pPr>
      <w:r w:rsidRPr="00406776">
        <w:rPr>
          <w:rFonts w:ascii="Arial" w:hAnsi="Arial" w:cstheme="majorBidi"/>
        </w:rPr>
        <w:t xml:space="preserve">The Commissions asks the Committee to </w:t>
      </w:r>
      <w:r w:rsidR="003E6B8D" w:rsidRPr="00406776">
        <w:rPr>
          <w:rFonts w:ascii="Arial" w:hAnsi="Arial" w:cstheme="majorBidi"/>
        </w:rPr>
        <w:t>consider</w:t>
      </w:r>
      <w:r w:rsidRPr="00406776">
        <w:rPr>
          <w:rFonts w:ascii="Arial" w:hAnsi="Arial" w:cstheme="majorBidi"/>
        </w:rPr>
        <w:t xml:space="preserve"> means of better implementing the policy objective of supporting prisoner and offender health an</w:t>
      </w:r>
      <w:r w:rsidR="007451BD" w:rsidRPr="00406776">
        <w:rPr>
          <w:rFonts w:ascii="Arial" w:hAnsi="Arial" w:cstheme="majorBidi"/>
        </w:rPr>
        <w:t xml:space="preserve">d welfare by </w:t>
      </w:r>
      <w:r w:rsidRPr="00406776">
        <w:rPr>
          <w:rFonts w:ascii="Arial" w:hAnsi="Arial" w:cstheme="majorBidi"/>
        </w:rPr>
        <w:t xml:space="preserve">enhancing </w:t>
      </w:r>
      <w:r w:rsidR="007451BD" w:rsidRPr="00406776">
        <w:rPr>
          <w:rFonts w:ascii="Arial" w:hAnsi="Arial" w:cstheme="majorBidi"/>
        </w:rPr>
        <w:t xml:space="preserve">information sharing </w:t>
      </w:r>
      <w:r w:rsidR="003E6B8D" w:rsidRPr="00406776">
        <w:rPr>
          <w:rFonts w:ascii="Arial" w:hAnsi="Arial" w:cstheme="majorBidi"/>
        </w:rPr>
        <w:t xml:space="preserve">so that medical recommendations about the accommodation for prisoners are given directly from the health service to the prison management.  This might include an example in section 341 of the CS Act and </w:t>
      </w:r>
      <w:r w:rsidR="00FC7ED7" w:rsidRPr="00406776">
        <w:rPr>
          <w:rFonts w:ascii="Arial" w:hAnsi="Arial" w:cstheme="majorBidi"/>
        </w:rPr>
        <w:t>specific reference to the CS Act in</w:t>
      </w:r>
      <w:r w:rsidR="003E6B8D" w:rsidRPr="00406776">
        <w:rPr>
          <w:rFonts w:ascii="Arial" w:hAnsi="Arial" w:cstheme="majorBidi"/>
        </w:rPr>
        <w:t xml:space="preserve"> </w:t>
      </w:r>
      <w:r w:rsidR="00406776" w:rsidRPr="00406776">
        <w:rPr>
          <w:rFonts w:ascii="Arial" w:hAnsi="Arial" w:cstheme="majorBidi"/>
        </w:rPr>
        <w:t xml:space="preserve">section </w:t>
      </w:r>
      <w:r w:rsidR="003E6B8D" w:rsidRPr="00406776">
        <w:rPr>
          <w:rFonts w:ascii="Arial" w:hAnsi="Arial" w:cstheme="majorBidi"/>
        </w:rPr>
        <w:t>14</w:t>
      </w:r>
      <w:r w:rsidR="00406776" w:rsidRPr="00406776">
        <w:rPr>
          <w:rFonts w:ascii="Arial" w:hAnsi="Arial" w:cstheme="majorBidi"/>
        </w:rPr>
        <w:t xml:space="preserve">3 of the </w:t>
      </w:r>
      <w:r w:rsidR="00406776" w:rsidRPr="00406776">
        <w:rPr>
          <w:rFonts w:ascii="Arial" w:hAnsi="Arial" w:cstheme="majorBidi"/>
          <w:i/>
          <w:iCs/>
        </w:rPr>
        <w:t xml:space="preserve">Hospital and Health Boards Act 2011 </w:t>
      </w:r>
      <w:r w:rsidR="00406776" w:rsidRPr="00406776">
        <w:rPr>
          <w:rFonts w:ascii="Arial" w:hAnsi="Arial" w:cstheme="majorBidi"/>
        </w:rPr>
        <w:t>(Disclosure required or permitted by an Act).</w:t>
      </w:r>
    </w:p>
    <w:p w14:paraId="652BB9B3" w14:textId="1DC6545F" w:rsidR="004C5F91" w:rsidRPr="008F5474" w:rsidRDefault="00542B76" w:rsidP="00F37F4E">
      <w:pPr>
        <w:pStyle w:val="Heading1"/>
        <w:spacing w:before="360"/>
      </w:pPr>
      <w:bookmarkStart w:id="9" w:name="_Toc122696969"/>
      <w:r>
        <w:t>Restrictions on transfer to low custody facility</w:t>
      </w:r>
      <w:bookmarkEnd w:id="9"/>
    </w:p>
    <w:p w14:paraId="0420EF47" w14:textId="5A014B7B" w:rsidR="002C1019" w:rsidRDefault="00A66585" w:rsidP="00A66585">
      <w:pPr>
        <w:pStyle w:val="ListParagraph"/>
        <w:numPr>
          <w:ilvl w:val="0"/>
          <w:numId w:val="4"/>
        </w:numPr>
        <w:spacing w:before="120" w:after="120" w:line="276" w:lineRule="auto"/>
        <w:ind w:left="567" w:hanging="567"/>
        <w:contextualSpacing w:val="0"/>
        <w:rPr>
          <w:rFonts w:ascii="Arial" w:hAnsi="Arial" w:cs="Arial"/>
        </w:rPr>
      </w:pPr>
      <w:r>
        <w:rPr>
          <w:rFonts w:ascii="Arial" w:hAnsi="Arial" w:cs="Arial"/>
        </w:rPr>
        <w:t>Section 68A of the CS Act prohibits the transfer to a low custody facility of a prisoner who:</w:t>
      </w:r>
    </w:p>
    <w:p w14:paraId="7EB989D8" w14:textId="4855F0C2" w:rsidR="00A66585" w:rsidRDefault="00A66585" w:rsidP="00A66585">
      <w:pPr>
        <w:pStyle w:val="ListParagraph"/>
        <w:numPr>
          <w:ilvl w:val="1"/>
          <w:numId w:val="4"/>
        </w:numPr>
        <w:spacing w:before="120" w:after="120" w:line="276" w:lineRule="auto"/>
        <w:ind w:left="1276" w:hanging="425"/>
        <w:contextualSpacing w:val="0"/>
        <w:rPr>
          <w:rFonts w:ascii="Arial" w:hAnsi="Arial" w:cs="Arial"/>
        </w:rPr>
      </w:pPr>
      <w:r>
        <w:rPr>
          <w:rFonts w:ascii="Arial" w:hAnsi="Arial" w:cs="Arial"/>
        </w:rPr>
        <w:t>has been convicted of a sexual offence;</w:t>
      </w:r>
    </w:p>
    <w:p w14:paraId="2402284E" w14:textId="5AE874A0" w:rsidR="00A66585" w:rsidRDefault="00A66585" w:rsidP="00A66585">
      <w:pPr>
        <w:pStyle w:val="ListParagraph"/>
        <w:numPr>
          <w:ilvl w:val="1"/>
          <w:numId w:val="4"/>
        </w:numPr>
        <w:spacing w:before="120" w:after="120" w:line="276" w:lineRule="auto"/>
        <w:ind w:left="1276" w:hanging="425"/>
        <w:contextualSpacing w:val="0"/>
        <w:rPr>
          <w:rFonts w:ascii="Arial" w:hAnsi="Arial" w:cs="Arial"/>
        </w:rPr>
      </w:pPr>
      <w:r>
        <w:rPr>
          <w:rFonts w:ascii="Arial" w:hAnsi="Arial" w:cs="Arial"/>
        </w:rPr>
        <w:lastRenderedPageBreak/>
        <w:t>has been convicted of murder; or</w:t>
      </w:r>
    </w:p>
    <w:p w14:paraId="22CF0800" w14:textId="69865D52" w:rsidR="00A66585" w:rsidRDefault="00A66585" w:rsidP="00A66585">
      <w:pPr>
        <w:pStyle w:val="ListParagraph"/>
        <w:numPr>
          <w:ilvl w:val="1"/>
          <w:numId w:val="4"/>
        </w:numPr>
        <w:spacing w:before="120" w:after="240" w:line="276" w:lineRule="auto"/>
        <w:ind w:left="1276" w:hanging="425"/>
        <w:contextualSpacing w:val="0"/>
        <w:rPr>
          <w:rFonts w:ascii="Arial" w:hAnsi="Arial" w:cs="Arial"/>
        </w:rPr>
      </w:pPr>
      <w:r>
        <w:rPr>
          <w:rFonts w:ascii="Arial" w:hAnsi="Arial" w:cs="Arial"/>
        </w:rPr>
        <w:t>is serving a life sentence.</w:t>
      </w:r>
    </w:p>
    <w:p w14:paraId="2B3335AB" w14:textId="3D4545F7" w:rsidR="00CF1826" w:rsidRDefault="006B6EA5" w:rsidP="00CF1826">
      <w:pPr>
        <w:pStyle w:val="ListParagraph"/>
        <w:numPr>
          <w:ilvl w:val="0"/>
          <w:numId w:val="4"/>
        </w:numPr>
        <w:spacing w:before="120" w:after="240" w:line="276" w:lineRule="auto"/>
        <w:ind w:left="567" w:hanging="567"/>
        <w:contextualSpacing w:val="0"/>
        <w:rPr>
          <w:rFonts w:ascii="Arial" w:hAnsi="Arial" w:cs="Arial"/>
        </w:rPr>
      </w:pPr>
      <w:r>
        <w:rPr>
          <w:rFonts w:ascii="Arial" w:hAnsi="Arial" w:cs="Arial"/>
        </w:rPr>
        <w:t>The section was introduced in 2020 by the Corrective Services and Other Legislation Amendment Act 2020.  It was said to implement the Government’s position on recommendation 58 of the Queensland Parole System Review.</w:t>
      </w:r>
      <w:r>
        <w:rPr>
          <w:rStyle w:val="FootnoteReference"/>
          <w:rFonts w:ascii="Arial" w:hAnsi="Arial" w:cs="Arial"/>
        </w:rPr>
        <w:footnoteReference w:id="5"/>
      </w:r>
    </w:p>
    <w:p w14:paraId="0B3C0478" w14:textId="46F36C6C" w:rsidR="001273FB" w:rsidRDefault="001273FB" w:rsidP="007E7274">
      <w:pPr>
        <w:pStyle w:val="ListParagraph"/>
        <w:numPr>
          <w:ilvl w:val="0"/>
          <w:numId w:val="4"/>
        </w:numPr>
        <w:spacing w:before="120" w:after="120" w:line="276" w:lineRule="auto"/>
        <w:ind w:left="567" w:hanging="567"/>
        <w:contextualSpacing w:val="0"/>
        <w:rPr>
          <w:rFonts w:ascii="Arial" w:hAnsi="Arial" w:cs="Arial"/>
        </w:rPr>
      </w:pPr>
      <w:r>
        <w:rPr>
          <w:rFonts w:ascii="Arial" w:hAnsi="Arial" w:cs="Arial"/>
        </w:rPr>
        <w:t>Recommendation 58 of the Queensland Parole System Revie</w:t>
      </w:r>
      <w:r w:rsidR="00B227A0">
        <w:rPr>
          <w:rFonts w:ascii="Arial" w:hAnsi="Arial" w:cs="Arial"/>
        </w:rPr>
        <w:t>w</w:t>
      </w:r>
      <w:r>
        <w:rPr>
          <w:rFonts w:ascii="Arial" w:hAnsi="Arial" w:cs="Arial"/>
        </w:rPr>
        <w:t xml:space="preserve"> conducted by Walter Sofronoff KC</w:t>
      </w:r>
      <w:r>
        <w:rPr>
          <w:rStyle w:val="FootnoteReference"/>
          <w:rFonts w:ascii="Arial" w:hAnsi="Arial" w:cs="Arial"/>
        </w:rPr>
        <w:footnoteReference w:id="6"/>
      </w:r>
      <w:r>
        <w:rPr>
          <w:rFonts w:ascii="Arial" w:hAnsi="Arial" w:cs="Arial"/>
        </w:rPr>
        <w:t xml:space="preserve"> was:</w:t>
      </w:r>
    </w:p>
    <w:p w14:paraId="461363BB" w14:textId="560428BC" w:rsidR="001273FB" w:rsidRPr="001273FB" w:rsidRDefault="001273FB" w:rsidP="001273FB">
      <w:pPr>
        <w:spacing w:before="120" w:after="240" w:line="276" w:lineRule="auto"/>
        <w:ind w:left="993" w:right="843"/>
        <w:rPr>
          <w:rFonts w:ascii="Arial" w:hAnsi="Arial" w:cs="Arial"/>
          <w:sz w:val="22"/>
          <w:szCs w:val="22"/>
        </w:rPr>
      </w:pPr>
      <w:r>
        <w:rPr>
          <w:rFonts w:ascii="Arial" w:hAnsi="Arial" w:cs="Arial"/>
          <w:sz w:val="22"/>
          <w:szCs w:val="22"/>
        </w:rPr>
        <w:t xml:space="preserve">The government should review the </w:t>
      </w:r>
      <w:r>
        <w:rPr>
          <w:rFonts w:ascii="Arial" w:hAnsi="Arial" w:cs="Arial"/>
          <w:i/>
          <w:iCs/>
          <w:sz w:val="22"/>
          <w:szCs w:val="22"/>
        </w:rPr>
        <w:t xml:space="preserve">policy </w:t>
      </w:r>
      <w:r>
        <w:rPr>
          <w:rFonts w:ascii="Arial" w:hAnsi="Arial" w:cs="Arial"/>
          <w:sz w:val="22"/>
          <w:szCs w:val="22"/>
        </w:rPr>
        <w:t>restricting placement of sexual offenders and those prisoners convicted for murder or those with a serious violent offence declaration with a view to reintroducing appropriate candidates to low security facilities.</w:t>
      </w:r>
    </w:p>
    <w:p w14:paraId="7F9162EC" w14:textId="6A348BA6" w:rsidR="001273FB" w:rsidRDefault="000815AB" w:rsidP="00CF1826">
      <w:pPr>
        <w:pStyle w:val="ListParagraph"/>
        <w:numPr>
          <w:ilvl w:val="0"/>
          <w:numId w:val="4"/>
        </w:numPr>
        <w:spacing w:before="120" w:after="240" w:line="276" w:lineRule="auto"/>
        <w:ind w:left="567" w:hanging="567"/>
        <w:contextualSpacing w:val="0"/>
        <w:rPr>
          <w:rFonts w:ascii="Arial" w:hAnsi="Arial" w:cs="Arial"/>
        </w:rPr>
      </w:pPr>
      <w:r>
        <w:rPr>
          <w:rFonts w:ascii="Arial" w:hAnsi="Arial" w:cs="Arial"/>
        </w:rPr>
        <w:t>The recommendation formed part of improvement of reintegration of long-term prisoners into community on parole.  The report noted that ‘Prisoners may be sentenced for very serious crimes but pose very little risk to prison security and some also pose very little risk of reoffending’.  It considered that seriously overcrowded high security prisons must be reserved for the placement of prisoners who are dangerous or unsuitable due to the risk they pose to the security of the correctional system and the community.</w:t>
      </w:r>
    </w:p>
    <w:p w14:paraId="7CDE5B62" w14:textId="1EF87FFC" w:rsidR="00572826" w:rsidRDefault="00572826" w:rsidP="00CF1826">
      <w:pPr>
        <w:pStyle w:val="ListParagraph"/>
        <w:numPr>
          <w:ilvl w:val="0"/>
          <w:numId w:val="4"/>
        </w:numPr>
        <w:spacing w:before="120" w:after="240" w:line="276" w:lineRule="auto"/>
        <w:ind w:left="567" w:hanging="567"/>
        <w:contextualSpacing w:val="0"/>
        <w:rPr>
          <w:rFonts w:ascii="Arial" w:hAnsi="Arial" w:cs="Arial"/>
        </w:rPr>
      </w:pPr>
      <w:r>
        <w:rPr>
          <w:rFonts w:ascii="Arial" w:hAnsi="Arial" w:cs="Arial"/>
        </w:rPr>
        <w:t>The government response</w:t>
      </w:r>
      <w:r w:rsidR="00E16088">
        <w:rPr>
          <w:rFonts w:ascii="Arial" w:hAnsi="Arial" w:cs="Arial"/>
        </w:rPr>
        <w:t xml:space="preserve"> released on 16 February 2017</w:t>
      </w:r>
      <w:r>
        <w:rPr>
          <w:rFonts w:ascii="Arial" w:hAnsi="Arial" w:cs="Arial"/>
        </w:rPr>
        <w:t xml:space="preserve"> said the recommendation could not be supported at that </w:t>
      </w:r>
      <w:r w:rsidR="00E16088">
        <w:rPr>
          <w:rFonts w:ascii="Arial" w:hAnsi="Arial" w:cs="Arial"/>
        </w:rPr>
        <w:t xml:space="preserve">point in </w:t>
      </w:r>
      <w:r>
        <w:rPr>
          <w:rFonts w:ascii="Arial" w:hAnsi="Arial" w:cs="Arial"/>
        </w:rPr>
        <w:t>time, because the risk of escape has a high potential to undermine public confidence in the low security program.</w:t>
      </w:r>
      <w:r w:rsidR="00E16088">
        <w:rPr>
          <w:rFonts w:ascii="Arial" w:hAnsi="Arial" w:cs="Arial"/>
        </w:rPr>
        <w:t xml:space="preserve">  Rather than reverse the policy as suggested</w:t>
      </w:r>
      <w:r w:rsidR="00E15BB4">
        <w:rPr>
          <w:rFonts w:ascii="Arial" w:hAnsi="Arial" w:cs="Arial"/>
        </w:rPr>
        <w:t xml:space="preserve"> by the reviewer</w:t>
      </w:r>
      <w:r w:rsidR="00E16088">
        <w:rPr>
          <w:rFonts w:ascii="Arial" w:hAnsi="Arial" w:cs="Arial"/>
        </w:rPr>
        <w:t xml:space="preserve">, the government later enshrined the policy into legislation.  </w:t>
      </w:r>
    </w:p>
    <w:p w14:paraId="3E52AF87" w14:textId="6C170975" w:rsidR="00E15BB4" w:rsidRDefault="00076511" w:rsidP="00CF1826">
      <w:pPr>
        <w:pStyle w:val="ListParagraph"/>
        <w:numPr>
          <w:ilvl w:val="0"/>
          <w:numId w:val="4"/>
        </w:numPr>
        <w:spacing w:before="120" w:after="240" w:line="276" w:lineRule="auto"/>
        <w:ind w:left="567" w:hanging="567"/>
        <w:contextualSpacing w:val="0"/>
        <w:rPr>
          <w:rFonts w:ascii="Arial" w:hAnsi="Arial" w:cs="Arial"/>
        </w:rPr>
      </w:pPr>
      <w:r>
        <w:rPr>
          <w:rFonts w:ascii="Arial" w:hAnsi="Arial" w:cs="Arial"/>
        </w:rPr>
        <w:t xml:space="preserve">Section 68A is arbitrary in nature.  It does not allow prison authorities to consider risks on a case-by-case basis.  It also removes incentive for good behaviour and limits reintegration and is inconsistent with the object of rehabilitation. </w:t>
      </w:r>
    </w:p>
    <w:p w14:paraId="4AD2AB8A" w14:textId="5ACE96A5" w:rsidR="007171A6" w:rsidRDefault="007171A6" w:rsidP="00CF1826">
      <w:pPr>
        <w:pStyle w:val="ListParagraph"/>
        <w:numPr>
          <w:ilvl w:val="0"/>
          <w:numId w:val="4"/>
        </w:numPr>
        <w:spacing w:before="120" w:after="240" w:line="276" w:lineRule="auto"/>
        <w:ind w:left="567" w:hanging="567"/>
        <w:contextualSpacing w:val="0"/>
        <w:rPr>
          <w:rFonts w:ascii="Arial" w:hAnsi="Arial" w:cs="Arial"/>
        </w:rPr>
      </w:pPr>
      <w:r>
        <w:rPr>
          <w:rFonts w:ascii="Arial" w:hAnsi="Arial" w:cs="Arial"/>
        </w:rPr>
        <w:t>In the 2019 Women in Prison Report</w:t>
      </w:r>
      <w:r>
        <w:rPr>
          <w:rStyle w:val="FootnoteReference"/>
          <w:rFonts w:ascii="Arial" w:hAnsi="Arial" w:cs="Arial"/>
        </w:rPr>
        <w:footnoteReference w:id="7"/>
      </w:r>
      <w:r>
        <w:rPr>
          <w:rFonts w:ascii="Arial" w:hAnsi="Arial" w:cs="Arial"/>
        </w:rPr>
        <w:t xml:space="preserve"> the Commission expressed concern of the policy at the time on the impact on women who had been sentenced to life imprisonment.  It noted that Queensland Corrective Services staff expressed the view that</w:t>
      </w:r>
      <w:r w:rsidR="00EB259E">
        <w:rPr>
          <w:rFonts w:ascii="Arial" w:hAnsi="Arial" w:cs="Arial"/>
        </w:rPr>
        <w:t xml:space="preserve"> suitable</w:t>
      </w:r>
      <w:r>
        <w:rPr>
          <w:rFonts w:ascii="Arial" w:hAnsi="Arial" w:cs="Arial"/>
        </w:rPr>
        <w:t xml:space="preserve"> ‘lifers’ should be placed in low security prisons as they assist with the stability, culture, and grounding of the </w:t>
      </w:r>
      <w:r>
        <w:rPr>
          <w:rFonts w:ascii="Arial" w:hAnsi="Arial" w:cs="Arial"/>
        </w:rPr>
        <w:lastRenderedPageBreak/>
        <w:t>prison population.  The report found that keeping all women ‘lifers’ in the secure Brisbane Women’s Correctional Centre or the Townsville Women’s Correctional Centre for their whole sentence did not assist their reintegration into the community.</w:t>
      </w:r>
    </w:p>
    <w:p w14:paraId="3083F9A8" w14:textId="49A61710" w:rsidR="00EB259E" w:rsidRDefault="00EB259E" w:rsidP="00CF1826">
      <w:pPr>
        <w:pStyle w:val="ListParagraph"/>
        <w:numPr>
          <w:ilvl w:val="0"/>
          <w:numId w:val="4"/>
        </w:numPr>
        <w:spacing w:before="120" w:after="240" w:line="276" w:lineRule="auto"/>
        <w:ind w:left="567" w:hanging="567"/>
        <w:contextualSpacing w:val="0"/>
        <w:rPr>
          <w:rFonts w:ascii="Arial" w:hAnsi="Arial" w:cs="Arial"/>
        </w:rPr>
      </w:pPr>
      <w:r>
        <w:rPr>
          <w:rFonts w:ascii="Arial" w:hAnsi="Arial" w:cs="Arial"/>
        </w:rPr>
        <w:t>The Commission urges the Committee to recommend the repeal of section 68A of the CS Act.</w:t>
      </w:r>
    </w:p>
    <w:p w14:paraId="03CFA90B" w14:textId="33971F67" w:rsidR="003E04EB" w:rsidRPr="003E04EB" w:rsidRDefault="003E04EB" w:rsidP="003E04EB">
      <w:pPr>
        <w:pStyle w:val="Heading1"/>
        <w:spacing w:before="360"/>
      </w:pPr>
      <w:bookmarkStart w:id="10" w:name="_Toc122696970"/>
      <w:r w:rsidRPr="003E04EB">
        <w:t>Conclusion</w:t>
      </w:r>
      <w:bookmarkEnd w:id="10"/>
    </w:p>
    <w:p w14:paraId="479C91F4" w14:textId="5F24338B" w:rsidR="003E04EB" w:rsidRDefault="00146F58" w:rsidP="00CF1826">
      <w:pPr>
        <w:pStyle w:val="ListParagraph"/>
        <w:numPr>
          <w:ilvl w:val="0"/>
          <w:numId w:val="4"/>
        </w:numPr>
        <w:spacing w:before="120" w:after="240" w:line="276" w:lineRule="auto"/>
        <w:ind w:left="567" w:hanging="567"/>
        <w:contextualSpacing w:val="0"/>
        <w:rPr>
          <w:rFonts w:ascii="Arial" w:hAnsi="Arial" w:cs="Arial"/>
        </w:rPr>
      </w:pPr>
      <w:r>
        <w:rPr>
          <w:rFonts w:ascii="Arial" w:hAnsi="Arial" w:cs="Arial"/>
        </w:rPr>
        <w:t>The Commission thanks the Committee for the opportunity to make a submission on the Bill.</w:t>
      </w:r>
      <w:r w:rsidR="00297526">
        <w:rPr>
          <w:rFonts w:ascii="Arial" w:hAnsi="Arial" w:cs="Arial"/>
        </w:rPr>
        <w:t xml:space="preserve">  As noted in the Explanatory Notes, the Commission was consulted on a Consultation draft of the Bill</w:t>
      </w:r>
      <w:r w:rsidR="003677F9">
        <w:rPr>
          <w:rFonts w:ascii="Arial" w:hAnsi="Arial" w:cs="Arial"/>
        </w:rPr>
        <w:t>, and some feedback is reflected in the current Bill.</w:t>
      </w:r>
    </w:p>
    <w:sectPr w:rsidR="003E04EB" w:rsidSect="00CB0BBF">
      <w:headerReference w:type="default" r:id="rId11"/>
      <w:headerReference w:type="first" r:id="rId12"/>
      <w:footerReference w:type="first" r:id="rId13"/>
      <w:pgSz w:w="11900" w:h="16840" w:code="9"/>
      <w:pgMar w:top="1440" w:right="1701" w:bottom="1361"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1F2EF" w14:textId="77777777" w:rsidR="00495766" w:rsidRDefault="00495766" w:rsidP="0034134D">
      <w:r>
        <w:separator/>
      </w:r>
    </w:p>
  </w:endnote>
  <w:endnote w:type="continuationSeparator" w:id="0">
    <w:p w14:paraId="24041069" w14:textId="77777777" w:rsidR="00495766" w:rsidRDefault="00495766" w:rsidP="0034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40F37" w14:textId="77777777" w:rsidR="00495766" w:rsidRDefault="00495766" w:rsidP="006D0CD6">
    <w:pPr>
      <w:pStyle w:val="Footer"/>
      <w:pBdr>
        <w:top w:val="single" w:sz="4" w:space="1" w:color="auto"/>
      </w:pBdr>
      <w:jc w:val="right"/>
      <w:rPr>
        <w:rFonts w:ascii="Arial" w:hAnsi="Arial" w:cs="Arial"/>
        <w:sz w:val="20"/>
        <w:szCs w:val="20"/>
      </w:rPr>
    </w:pPr>
  </w:p>
  <w:p w14:paraId="10688C65" w14:textId="1BFEF417" w:rsidR="00495766" w:rsidRPr="006D0CD6" w:rsidRDefault="00495766" w:rsidP="006D0CD6">
    <w:pPr>
      <w:pStyle w:val="Footer"/>
      <w:jc w:val="right"/>
      <w:rPr>
        <w:rFonts w:ascii="Arial" w:hAnsi="Arial" w:cs="Arial"/>
        <w:sz w:val="20"/>
        <w:szCs w:val="20"/>
      </w:rPr>
    </w:pPr>
    <w:r w:rsidRPr="004A2375">
      <w:rPr>
        <w:rFonts w:ascii="Arial" w:hAnsi="Arial" w:cs="Arial"/>
        <w:sz w:val="20"/>
        <w:szCs w:val="20"/>
      </w:rPr>
      <w:t xml:space="preserve">Page | </w:t>
    </w:r>
    <w:r w:rsidRPr="004A2375">
      <w:rPr>
        <w:rFonts w:ascii="Arial" w:hAnsi="Arial" w:cs="Arial"/>
        <w:sz w:val="20"/>
        <w:szCs w:val="20"/>
      </w:rPr>
      <w:fldChar w:fldCharType="begin"/>
    </w:r>
    <w:r w:rsidRPr="004A2375">
      <w:rPr>
        <w:rFonts w:ascii="Arial" w:hAnsi="Arial" w:cs="Arial"/>
        <w:sz w:val="20"/>
        <w:szCs w:val="20"/>
      </w:rPr>
      <w:instrText xml:space="preserve"> PAGE   \* MERGEFORMAT </w:instrText>
    </w:r>
    <w:r w:rsidRPr="004A2375">
      <w:rPr>
        <w:rFonts w:ascii="Arial" w:hAnsi="Arial" w:cs="Arial"/>
        <w:sz w:val="20"/>
        <w:szCs w:val="20"/>
      </w:rPr>
      <w:fldChar w:fldCharType="separate"/>
    </w:r>
    <w:r w:rsidR="00010976">
      <w:rPr>
        <w:rFonts w:ascii="Arial" w:hAnsi="Arial" w:cs="Arial"/>
        <w:noProof/>
        <w:sz w:val="20"/>
        <w:szCs w:val="20"/>
      </w:rPr>
      <w:t>4</w:t>
    </w:r>
    <w:r w:rsidRPr="004A2375">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7433A" w14:textId="77777777" w:rsidR="00495766" w:rsidRDefault="00495766" w:rsidP="000731D3">
    <w:pPr>
      <w:pStyle w:val="Footer"/>
      <w:pBdr>
        <w:top w:val="single" w:sz="4" w:space="1" w:color="auto"/>
      </w:pBdr>
      <w:jc w:val="right"/>
      <w:rPr>
        <w:rFonts w:ascii="Arial" w:hAnsi="Arial" w:cs="Arial"/>
        <w:sz w:val="20"/>
        <w:szCs w:val="20"/>
      </w:rPr>
    </w:pPr>
  </w:p>
  <w:p w14:paraId="6FAAE13B" w14:textId="77777777" w:rsidR="00495766" w:rsidRPr="004A2375" w:rsidRDefault="00495766" w:rsidP="00E7746A">
    <w:pPr>
      <w:pStyle w:val="Footer"/>
      <w:tabs>
        <w:tab w:val="left" w:pos="1905"/>
        <w:tab w:val="right" w:pos="8498"/>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4A2375">
      <w:rPr>
        <w:rFonts w:ascii="Arial" w:hAnsi="Arial" w:cs="Arial"/>
        <w:sz w:val="20"/>
        <w:szCs w:val="20"/>
      </w:rPr>
      <w:t xml:space="preserve">Page | </w:t>
    </w:r>
    <w:r w:rsidRPr="004A2375">
      <w:rPr>
        <w:rFonts w:ascii="Arial" w:hAnsi="Arial" w:cs="Arial"/>
        <w:sz w:val="20"/>
        <w:szCs w:val="20"/>
      </w:rPr>
      <w:fldChar w:fldCharType="begin"/>
    </w:r>
    <w:r w:rsidRPr="004A2375">
      <w:rPr>
        <w:rFonts w:ascii="Arial" w:hAnsi="Arial" w:cs="Arial"/>
        <w:sz w:val="20"/>
        <w:szCs w:val="20"/>
      </w:rPr>
      <w:instrText xml:space="preserve"> PAGE   \* MERGEFORMAT </w:instrText>
    </w:r>
    <w:r w:rsidRPr="004A2375">
      <w:rPr>
        <w:rFonts w:ascii="Arial" w:hAnsi="Arial" w:cs="Arial"/>
        <w:sz w:val="20"/>
        <w:szCs w:val="20"/>
      </w:rPr>
      <w:fldChar w:fldCharType="separate"/>
    </w:r>
    <w:r>
      <w:rPr>
        <w:rFonts w:ascii="Arial" w:hAnsi="Arial" w:cs="Arial"/>
        <w:noProof/>
        <w:sz w:val="20"/>
        <w:szCs w:val="20"/>
      </w:rPr>
      <w:t>3</w:t>
    </w:r>
    <w:r w:rsidRPr="004A2375">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A0672" w14:textId="77777777" w:rsidR="00495766" w:rsidRDefault="00495766" w:rsidP="0034134D">
      <w:r>
        <w:separator/>
      </w:r>
    </w:p>
  </w:footnote>
  <w:footnote w:type="continuationSeparator" w:id="0">
    <w:p w14:paraId="59CDCEE7" w14:textId="77777777" w:rsidR="00495766" w:rsidRDefault="00495766" w:rsidP="0034134D">
      <w:r>
        <w:continuationSeparator/>
      </w:r>
    </w:p>
  </w:footnote>
  <w:footnote w:id="1">
    <w:p w14:paraId="5511A1B3" w14:textId="59E6704C" w:rsidR="003560DD" w:rsidRPr="003560DD" w:rsidRDefault="003560DD">
      <w:pPr>
        <w:pStyle w:val="FootnoteText"/>
        <w:rPr>
          <w:lang w:val="en-US"/>
        </w:rPr>
      </w:pPr>
      <w:r>
        <w:rPr>
          <w:rStyle w:val="FootnoteReference"/>
        </w:rPr>
        <w:footnoteRef/>
      </w:r>
      <w:r>
        <w:t xml:space="preserve"> </w:t>
      </w:r>
      <w:r>
        <w:rPr>
          <w:i/>
          <w:lang w:val="en-US"/>
        </w:rPr>
        <w:t>Anti-Discrimination Act 1991</w:t>
      </w:r>
      <w:r>
        <w:rPr>
          <w:lang w:val="en-US"/>
        </w:rPr>
        <w:t xml:space="preserve"> sections 164A, 166, and 167</w:t>
      </w:r>
      <w:r>
        <w:rPr>
          <w:i/>
          <w:lang w:val="en-US"/>
        </w:rPr>
        <w:t>.</w:t>
      </w:r>
    </w:p>
  </w:footnote>
  <w:footnote w:id="2">
    <w:p w14:paraId="771A49E2" w14:textId="341DF79E" w:rsidR="00E87A07" w:rsidRPr="002010B4" w:rsidRDefault="00E87A07">
      <w:pPr>
        <w:pStyle w:val="FootnoteText"/>
        <w:rPr>
          <w:lang w:val="en-US"/>
        </w:rPr>
      </w:pPr>
      <w:r>
        <w:rPr>
          <w:rStyle w:val="FootnoteReference"/>
        </w:rPr>
        <w:footnoteRef/>
      </w:r>
      <w:r>
        <w:t xml:space="preserve"> </w:t>
      </w:r>
      <w:r w:rsidR="002010B4">
        <w:rPr>
          <w:i/>
          <w:iCs/>
          <w:lang w:val="en-US"/>
        </w:rPr>
        <w:t xml:space="preserve">Human Rights Act 2019 </w:t>
      </w:r>
      <w:r w:rsidR="002010B4">
        <w:rPr>
          <w:lang w:val="en-US"/>
        </w:rPr>
        <w:t>section 58.</w:t>
      </w:r>
    </w:p>
  </w:footnote>
  <w:footnote w:id="3">
    <w:p w14:paraId="09133C14" w14:textId="42575828" w:rsidR="004B7FD0" w:rsidRPr="004B7FD0" w:rsidRDefault="004B7FD0">
      <w:pPr>
        <w:pStyle w:val="FootnoteText"/>
        <w:rPr>
          <w:lang w:val="en-US"/>
        </w:rPr>
      </w:pPr>
      <w:r>
        <w:rPr>
          <w:rStyle w:val="FootnoteReference"/>
        </w:rPr>
        <w:footnoteRef/>
      </w:r>
      <w:r>
        <w:t xml:space="preserve"> </w:t>
      </w:r>
      <w:r>
        <w:rPr>
          <w:i/>
          <w:iCs/>
          <w:lang w:val="en-US"/>
        </w:rPr>
        <w:t xml:space="preserve">Human Rights Act 2019 </w:t>
      </w:r>
      <w:r>
        <w:rPr>
          <w:lang w:val="en-US"/>
        </w:rPr>
        <w:t xml:space="preserve">section 58(5); see also </w:t>
      </w:r>
      <w:r>
        <w:rPr>
          <w:i/>
          <w:iCs/>
          <w:lang w:val="en-US"/>
        </w:rPr>
        <w:t xml:space="preserve">Owen-D’Arcy v Chief Executive, Queensland Corrective Services </w:t>
      </w:r>
      <w:r>
        <w:rPr>
          <w:lang w:val="en-US"/>
        </w:rPr>
        <w:t>[2021] QSC 273</w:t>
      </w:r>
      <w:r w:rsidR="00DA1764">
        <w:rPr>
          <w:lang w:val="en-US"/>
        </w:rPr>
        <w:t xml:space="preserve"> (22 October 2021) </w:t>
      </w:r>
      <w:r w:rsidR="00B00731">
        <w:rPr>
          <w:lang w:val="en-US"/>
        </w:rPr>
        <w:t>[134] to [141].</w:t>
      </w:r>
    </w:p>
  </w:footnote>
  <w:footnote w:id="4">
    <w:p w14:paraId="5DEA96B9" w14:textId="098F5C48" w:rsidR="00DF590B" w:rsidRPr="00DF590B" w:rsidRDefault="00DF590B">
      <w:pPr>
        <w:pStyle w:val="FootnoteText"/>
        <w:rPr>
          <w:lang w:val="en-US"/>
        </w:rPr>
      </w:pPr>
      <w:r>
        <w:rPr>
          <w:rStyle w:val="FootnoteReference"/>
        </w:rPr>
        <w:footnoteRef/>
      </w:r>
      <w:r>
        <w:t xml:space="preserve"> </w:t>
      </w:r>
      <w:r>
        <w:rPr>
          <w:i/>
          <w:iCs/>
          <w:lang w:val="en-US"/>
        </w:rPr>
        <w:t xml:space="preserve">Public Health Act 2005 </w:t>
      </w:r>
      <w:r>
        <w:rPr>
          <w:lang w:val="en-US"/>
        </w:rPr>
        <w:t>section 142C (Meaning of justification statement) and section 142H (Requirement to prepare and publish justification statement and inform affected persons).</w:t>
      </w:r>
    </w:p>
  </w:footnote>
  <w:footnote w:id="5">
    <w:p w14:paraId="5A82048A" w14:textId="1A198F49" w:rsidR="006B6EA5" w:rsidRPr="006B6EA5" w:rsidRDefault="006B6EA5">
      <w:pPr>
        <w:pStyle w:val="FootnoteText"/>
        <w:rPr>
          <w:lang w:val="en-US"/>
        </w:rPr>
      </w:pPr>
      <w:r>
        <w:rPr>
          <w:rStyle w:val="FootnoteReference"/>
        </w:rPr>
        <w:footnoteRef/>
      </w:r>
      <w:r>
        <w:t xml:space="preserve"> </w:t>
      </w:r>
      <w:r>
        <w:rPr>
          <w:lang w:val="en-US"/>
        </w:rPr>
        <w:t>Explanatory Notes to the Corrective Services and Other Legislation Amendment Bill 2020 at page 3.</w:t>
      </w:r>
    </w:p>
  </w:footnote>
  <w:footnote w:id="6">
    <w:p w14:paraId="3AB16BD9" w14:textId="7B46C26C" w:rsidR="001273FB" w:rsidRPr="001273FB" w:rsidRDefault="001273FB">
      <w:pPr>
        <w:pStyle w:val="FootnoteText"/>
        <w:rPr>
          <w:lang w:val="en-US"/>
        </w:rPr>
      </w:pPr>
      <w:r>
        <w:rPr>
          <w:rStyle w:val="FootnoteReference"/>
        </w:rPr>
        <w:footnoteRef/>
      </w:r>
      <w:r>
        <w:rPr>
          <w:rStyle w:val="FootnoteReference"/>
        </w:rPr>
        <w:footnoteRef/>
      </w:r>
      <w:r>
        <w:t xml:space="preserve"> Queensland Parole System Review, Final Report 2016.</w:t>
      </w:r>
    </w:p>
  </w:footnote>
  <w:footnote w:id="7">
    <w:p w14:paraId="4407AF69" w14:textId="6DC9986C" w:rsidR="007171A6" w:rsidRPr="007171A6" w:rsidRDefault="007171A6">
      <w:pPr>
        <w:pStyle w:val="FootnoteText"/>
        <w:rPr>
          <w:lang w:val="en-US"/>
        </w:rPr>
      </w:pPr>
      <w:r>
        <w:rPr>
          <w:rStyle w:val="FootnoteReference"/>
        </w:rPr>
        <w:footnoteRef/>
      </w:r>
      <w:r>
        <w:t xml:space="preserve"> </w:t>
      </w:r>
      <w:r>
        <w:rPr>
          <w:i/>
          <w:iCs/>
          <w:lang w:val="en-US"/>
        </w:rPr>
        <w:t>Women in Prison 2019: A human rights consultation report</w:t>
      </w:r>
      <w:r>
        <w:rPr>
          <w:lang w:val="en-US"/>
        </w:rPr>
        <w:t>, Anti-Discrimination Commission Queensland,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B4577" w14:textId="77777777" w:rsidR="00495766" w:rsidRDefault="00495766" w:rsidP="000731D3">
    <w:pPr>
      <w:pStyle w:val="Header"/>
      <w:tabs>
        <w:tab w:val="clear" w:pos="4513"/>
        <w:tab w:val="clear" w:pos="9026"/>
      </w:tabs>
      <w:spacing w:before="240"/>
      <w:jc w:val="center"/>
    </w:pPr>
    <w:r w:rsidRPr="00F63848">
      <w:rPr>
        <w:noProof/>
        <w:lang w:eastAsia="en-AU"/>
      </w:rPr>
      <w:drawing>
        <wp:inline distT="0" distB="0" distL="0" distR="0" wp14:anchorId="0660BB33" wp14:editId="47FA547D">
          <wp:extent cx="4095750" cy="1635396"/>
          <wp:effectExtent l="0" t="0" r="0" b="0"/>
          <wp:docPr id="2" name="Picture 2"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5565" cy="1647301"/>
                  </a:xfrm>
                  <a:prstGeom prst="rect">
                    <a:avLst/>
                  </a:prstGeom>
                  <a:noFill/>
                  <a:ln>
                    <a:noFill/>
                  </a:ln>
                </pic:spPr>
              </pic:pic>
            </a:graphicData>
          </a:graphic>
        </wp:inline>
      </w:drawing>
    </w:r>
  </w:p>
  <w:p w14:paraId="5D0495F5" w14:textId="77777777" w:rsidR="00495766" w:rsidRDefault="004957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62E74" w14:textId="1C403F05" w:rsidR="00495766" w:rsidRPr="00303936" w:rsidRDefault="00E7715C" w:rsidP="000731D3">
    <w:pPr>
      <w:pStyle w:val="Header"/>
      <w:rPr>
        <w:rFonts w:ascii="Arial" w:hAnsi="Arial" w:cs="Arial"/>
        <w:color w:val="365F91" w:themeColor="accent1" w:themeShade="BF"/>
        <w:sz w:val="22"/>
        <w:szCs w:val="22"/>
      </w:rPr>
    </w:pPr>
    <w:r>
      <w:rPr>
        <w:rFonts w:ascii="Arial" w:hAnsi="Arial" w:cs="Arial"/>
        <w:color w:val="365F91" w:themeColor="accent1" w:themeShade="BF"/>
        <w:sz w:val="22"/>
        <w:szCs w:val="22"/>
      </w:rPr>
      <w:t>Corrective Services (Emerging Technologies and Security) and Other Legislation Amendment Bill 2022</w:t>
    </w:r>
  </w:p>
  <w:p w14:paraId="46A0F9FF" w14:textId="77777777" w:rsidR="00495766" w:rsidRPr="000731D3" w:rsidRDefault="00495766" w:rsidP="000731D3">
    <w:pPr>
      <w:pStyle w:val="Header"/>
      <w:pBdr>
        <w:bottom w:val="single" w:sz="4" w:space="1" w:color="auto"/>
      </w:pBdr>
      <w:rPr>
        <w:rFonts w:ascii="Arial" w:hAnsi="Arial" w:cs="Arial"/>
        <w:sz w:val="20"/>
        <w:szCs w:val="20"/>
      </w:rPr>
    </w:pPr>
  </w:p>
  <w:p w14:paraId="28A38E2B" w14:textId="77777777" w:rsidR="00495766" w:rsidRPr="000731D3" w:rsidRDefault="00495766" w:rsidP="000731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87E82" w14:textId="77777777" w:rsidR="00495766" w:rsidRPr="000731D3" w:rsidRDefault="00495766" w:rsidP="000731D3">
    <w:pPr>
      <w:pStyle w:val="Header"/>
      <w:pBdr>
        <w:bottom w:val="single" w:sz="4" w:space="1" w:color="auto"/>
      </w:pBdr>
      <w:rPr>
        <w:rFonts w:ascii="Arial" w:hAnsi="Arial" w:cs="Arial"/>
        <w:sz w:val="20"/>
        <w:szCs w:val="20"/>
      </w:rPr>
    </w:pPr>
  </w:p>
  <w:p w14:paraId="75A9F41A" w14:textId="77777777" w:rsidR="00495766" w:rsidRPr="000731D3" w:rsidRDefault="00495766" w:rsidP="000731D3">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5937C2"/>
    <w:multiLevelType w:val="hybridMultilevel"/>
    <w:tmpl w:val="A91280EA"/>
    <w:lvl w:ilvl="0" w:tplc="2C4234D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 w15:restartNumberingAfterBreak="0">
    <w:nsid w:val="10250E7E"/>
    <w:multiLevelType w:val="multilevel"/>
    <w:tmpl w:val="A980FD30"/>
    <w:lvl w:ilvl="0">
      <w:start w:val="1"/>
      <w:numFmt w:val="decimal"/>
      <w:pStyle w:val="Numberedparagraph"/>
      <w:lvlText w:val="%1."/>
      <w:lvlJc w:val="left"/>
      <w:pPr>
        <w:ind w:left="567" w:hanging="567"/>
      </w:pPr>
      <w:rPr>
        <w:rFonts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3" w15:restartNumberingAfterBreak="0">
    <w:nsid w:val="2B255B06"/>
    <w:multiLevelType w:val="hybridMultilevel"/>
    <w:tmpl w:val="66E4B922"/>
    <w:lvl w:ilvl="0" w:tplc="FEF24A5E">
      <w:start w:val="1"/>
      <w:numFmt w:val="decimal"/>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5" w15:restartNumberingAfterBreak="0">
    <w:nsid w:val="456575ED"/>
    <w:multiLevelType w:val="hybridMultilevel"/>
    <w:tmpl w:val="9000E4E6"/>
    <w:lvl w:ilvl="0" w:tplc="0F4A01B4">
      <w:start w:val="1"/>
      <w:numFmt w:val="lowerLetter"/>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DB14587"/>
    <w:multiLevelType w:val="hybridMultilevel"/>
    <w:tmpl w:val="9A565250"/>
    <w:lvl w:ilvl="0" w:tplc="354E57D4">
      <w:start w:val="1"/>
      <w:numFmt w:val="decimal"/>
      <w:lvlText w:val="%1."/>
      <w:lvlJc w:val="left"/>
      <w:pPr>
        <w:ind w:left="1077" w:hanging="360"/>
      </w:pPr>
      <w:rPr>
        <w:rFonts w:ascii="Arial" w:hAnsi="Arial" w:cs="Arial" w:hint="default"/>
      </w:rPr>
    </w:lvl>
    <w:lvl w:ilvl="1" w:tplc="DE3E9B08">
      <w:start w:val="1"/>
      <w:numFmt w:val="lowerLetter"/>
      <w:lvlText w:val="(%2)"/>
      <w:lvlJc w:val="left"/>
      <w:pPr>
        <w:ind w:left="1797" w:hanging="360"/>
      </w:pPr>
      <w:rPr>
        <w:rFonts w:ascii="Arial" w:hAnsi="Arial" w:cs="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0"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4558DD"/>
    <w:multiLevelType w:val="hybridMultilevel"/>
    <w:tmpl w:val="56209DFA"/>
    <w:lvl w:ilvl="0" w:tplc="3010389E">
      <w:start w:val="1"/>
      <w:numFmt w:val="decimal"/>
      <w:lvlText w:val="(%1)"/>
      <w:lvlJc w:val="left"/>
      <w:pPr>
        <w:ind w:left="1287" w:hanging="360"/>
      </w:pPr>
      <w:rPr>
        <w:rFonts w:ascii="Arial" w:hAnsi="Arial"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4C54977"/>
    <w:multiLevelType w:val="hybridMultilevel"/>
    <w:tmpl w:val="2D4406A6"/>
    <w:lvl w:ilvl="0" w:tplc="FFFFFFFF">
      <w:start w:val="1"/>
      <w:numFmt w:val="decimal"/>
      <w:lvlText w:val="%1."/>
      <w:lvlJc w:val="left"/>
      <w:pPr>
        <w:ind w:left="928" w:hanging="360"/>
      </w:pPr>
      <w:rPr>
        <w:rFonts w:ascii="Arial" w:hAnsi="Arial" w:cs="Times New Roman" w:hint="default"/>
        <w:b w:val="0"/>
        <w:i w:val="0"/>
        <w:color w:val="000000" w:themeColor="text1"/>
        <w:sz w:val="24"/>
      </w:rPr>
    </w:lvl>
    <w:lvl w:ilvl="1" w:tplc="DE3E9B08">
      <w:start w:val="1"/>
      <w:numFmt w:val="lowerLetter"/>
      <w:lvlText w:val="(%2)"/>
      <w:lvlJc w:val="left"/>
      <w:pPr>
        <w:ind w:left="1797" w:hanging="360"/>
      </w:pPr>
      <w:rPr>
        <w:rFonts w:ascii="Arial" w:hAnsi="Arial" w:cs="Arial" w:hint="default"/>
        <w:b w:val="0"/>
        <w:i w:val="0"/>
        <w:sz w:val="24"/>
      </w:rPr>
    </w:lvl>
    <w:lvl w:ilvl="2" w:tplc="FFFFFFFF">
      <w:start w:val="1"/>
      <w:numFmt w:val="bullet"/>
      <w:lvlText w:val=""/>
      <w:lvlJc w:val="left"/>
      <w:pPr>
        <w:ind w:left="2517" w:hanging="180"/>
      </w:pPr>
      <w:rPr>
        <w:rFonts w:ascii="Symbol" w:hAnsi="Symbol" w:hint="default"/>
        <w:sz w:val="20"/>
        <w:szCs w:val="20"/>
      </w:rPr>
    </w:lvl>
    <w:lvl w:ilvl="3" w:tplc="FFFFFFFF">
      <w:start w:val="1"/>
      <w:numFmt w:val="decimal"/>
      <w:lvlText w:val="%4."/>
      <w:lvlJc w:val="left"/>
      <w:pPr>
        <w:ind w:left="3237" w:hanging="360"/>
      </w:pPr>
    </w:lvl>
    <w:lvl w:ilvl="4" w:tplc="FFFFFFFF">
      <w:start w:val="1"/>
      <w:numFmt w:val="lowerLetter"/>
      <w:lvlText w:val="%5."/>
      <w:lvlJc w:val="left"/>
      <w:pPr>
        <w:ind w:left="3957" w:hanging="360"/>
      </w:pPr>
    </w:lvl>
    <w:lvl w:ilvl="5" w:tplc="FFFFFFFF">
      <w:start w:val="1"/>
      <w:numFmt w:val="lowerRoman"/>
      <w:lvlText w:val="%6."/>
      <w:lvlJc w:val="right"/>
      <w:pPr>
        <w:ind w:left="4677" w:hanging="180"/>
      </w:pPr>
    </w:lvl>
    <w:lvl w:ilvl="6" w:tplc="FFFFFFFF">
      <w:start w:val="1"/>
      <w:numFmt w:val="decimal"/>
      <w:lvlText w:val="%7."/>
      <w:lvlJc w:val="left"/>
      <w:pPr>
        <w:ind w:left="5397" w:hanging="360"/>
      </w:pPr>
    </w:lvl>
    <w:lvl w:ilvl="7" w:tplc="FFFFFFFF">
      <w:start w:val="1"/>
      <w:numFmt w:val="lowerLetter"/>
      <w:lvlText w:val="%8."/>
      <w:lvlJc w:val="left"/>
      <w:pPr>
        <w:ind w:left="6117" w:hanging="360"/>
      </w:pPr>
    </w:lvl>
    <w:lvl w:ilvl="8" w:tplc="FFFFFFFF">
      <w:start w:val="1"/>
      <w:numFmt w:val="lowerRoman"/>
      <w:lvlText w:val="%9."/>
      <w:lvlJc w:val="right"/>
      <w:pPr>
        <w:ind w:left="6837" w:hanging="180"/>
      </w:pPr>
    </w:lvl>
  </w:abstractNum>
  <w:abstractNum w:abstractNumId="13" w15:restartNumberingAfterBreak="0">
    <w:nsid w:val="62471753"/>
    <w:multiLevelType w:val="hybridMultilevel"/>
    <w:tmpl w:val="B52002EC"/>
    <w:lvl w:ilvl="0" w:tplc="0C090005">
      <w:start w:val="1"/>
      <w:numFmt w:val="bullet"/>
      <w:lvlText w:val=""/>
      <w:lvlJc w:val="left"/>
      <w:pPr>
        <w:ind w:left="1211" w:hanging="360"/>
      </w:pPr>
      <w:rPr>
        <w:rFonts w:ascii="Wingdings" w:hAnsi="Wingdings" w:hint="default"/>
      </w:rPr>
    </w:lvl>
    <w:lvl w:ilvl="1" w:tplc="0C090001">
      <w:start w:val="1"/>
      <w:numFmt w:val="bullet"/>
      <w:lvlText w:val=""/>
      <w:lvlJc w:val="left"/>
      <w:pPr>
        <w:ind w:left="1931" w:hanging="360"/>
      </w:pPr>
      <w:rPr>
        <w:rFonts w:ascii="Symbol" w:hAnsi="Symbol" w:hint="default"/>
      </w:rPr>
    </w:lvl>
    <w:lvl w:ilvl="2" w:tplc="5FDAB712">
      <w:start w:val="1"/>
      <w:numFmt w:val="bullet"/>
      <w:lvlText w:val=""/>
      <w:lvlJc w:val="left"/>
      <w:pPr>
        <w:ind w:left="2651" w:hanging="360"/>
      </w:pPr>
      <w:rPr>
        <w:rFonts w:ascii="Symbol" w:hAnsi="Symbol" w:hint="default"/>
        <w:sz w:val="20"/>
        <w:szCs w:val="20"/>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4"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18"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9" w15:restartNumberingAfterBreak="0">
    <w:nsid w:val="6F0E4257"/>
    <w:multiLevelType w:val="hybridMultilevel"/>
    <w:tmpl w:val="B0E273B6"/>
    <w:lvl w:ilvl="0" w:tplc="8A603042">
      <w:start w:val="1"/>
      <w:numFmt w:val="bullet"/>
      <w:lvlText w:val=""/>
      <w:lvlJc w:val="left"/>
      <w:pPr>
        <w:ind w:left="2070" w:hanging="360"/>
      </w:pPr>
      <w:rPr>
        <w:rFonts w:ascii="Wingdings" w:hAnsi="Wingdings" w:hint="default"/>
        <w:sz w:val="24"/>
      </w:rPr>
    </w:lvl>
    <w:lvl w:ilvl="1" w:tplc="0C090003" w:tentative="1">
      <w:start w:val="1"/>
      <w:numFmt w:val="bullet"/>
      <w:lvlText w:val="o"/>
      <w:lvlJc w:val="left"/>
      <w:pPr>
        <w:ind w:left="2790" w:hanging="360"/>
      </w:pPr>
      <w:rPr>
        <w:rFonts w:ascii="Courier New" w:hAnsi="Courier New" w:cs="Courier New" w:hint="default"/>
      </w:rPr>
    </w:lvl>
    <w:lvl w:ilvl="2" w:tplc="0C090005" w:tentative="1">
      <w:start w:val="1"/>
      <w:numFmt w:val="bullet"/>
      <w:lvlText w:val=""/>
      <w:lvlJc w:val="left"/>
      <w:pPr>
        <w:ind w:left="3510" w:hanging="360"/>
      </w:pPr>
      <w:rPr>
        <w:rFonts w:ascii="Wingdings" w:hAnsi="Wingdings" w:hint="default"/>
      </w:rPr>
    </w:lvl>
    <w:lvl w:ilvl="3" w:tplc="0C090001" w:tentative="1">
      <w:start w:val="1"/>
      <w:numFmt w:val="bullet"/>
      <w:lvlText w:val=""/>
      <w:lvlJc w:val="left"/>
      <w:pPr>
        <w:ind w:left="4230" w:hanging="360"/>
      </w:pPr>
      <w:rPr>
        <w:rFonts w:ascii="Symbol" w:hAnsi="Symbol" w:hint="default"/>
      </w:rPr>
    </w:lvl>
    <w:lvl w:ilvl="4" w:tplc="0C090003" w:tentative="1">
      <w:start w:val="1"/>
      <w:numFmt w:val="bullet"/>
      <w:lvlText w:val="o"/>
      <w:lvlJc w:val="left"/>
      <w:pPr>
        <w:ind w:left="4950" w:hanging="360"/>
      </w:pPr>
      <w:rPr>
        <w:rFonts w:ascii="Courier New" w:hAnsi="Courier New" w:cs="Courier New" w:hint="default"/>
      </w:rPr>
    </w:lvl>
    <w:lvl w:ilvl="5" w:tplc="0C090005" w:tentative="1">
      <w:start w:val="1"/>
      <w:numFmt w:val="bullet"/>
      <w:lvlText w:val=""/>
      <w:lvlJc w:val="left"/>
      <w:pPr>
        <w:ind w:left="5670" w:hanging="360"/>
      </w:pPr>
      <w:rPr>
        <w:rFonts w:ascii="Wingdings" w:hAnsi="Wingdings" w:hint="default"/>
      </w:rPr>
    </w:lvl>
    <w:lvl w:ilvl="6" w:tplc="0C090001" w:tentative="1">
      <w:start w:val="1"/>
      <w:numFmt w:val="bullet"/>
      <w:lvlText w:val=""/>
      <w:lvlJc w:val="left"/>
      <w:pPr>
        <w:ind w:left="6390" w:hanging="360"/>
      </w:pPr>
      <w:rPr>
        <w:rFonts w:ascii="Symbol" w:hAnsi="Symbol" w:hint="default"/>
      </w:rPr>
    </w:lvl>
    <w:lvl w:ilvl="7" w:tplc="0C090003" w:tentative="1">
      <w:start w:val="1"/>
      <w:numFmt w:val="bullet"/>
      <w:lvlText w:val="o"/>
      <w:lvlJc w:val="left"/>
      <w:pPr>
        <w:ind w:left="7110" w:hanging="360"/>
      </w:pPr>
      <w:rPr>
        <w:rFonts w:ascii="Courier New" w:hAnsi="Courier New" w:cs="Courier New" w:hint="default"/>
      </w:rPr>
    </w:lvl>
    <w:lvl w:ilvl="8" w:tplc="0C090005" w:tentative="1">
      <w:start w:val="1"/>
      <w:numFmt w:val="bullet"/>
      <w:lvlText w:val=""/>
      <w:lvlJc w:val="left"/>
      <w:pPr>
        <w:ind w:left="7830" w:hanging="360"/>
      </w:pPr>
      <w:rPr>
        <w:rFonts w:ascii="Wingdings" w:hAnsi="Wingdings" w:hint="default"/>
      </w:rPr>
    </w:lvl>
  </w:abstractNum>
  <w:abstractNum w:abstractNumId="20" w15:restartNumberingAfterBreak="0">
    <w:nsid w:val="6FE208DC"/>
    <w:multiLevelType w:val="hybridMultilevel"/>
    <w:tmpl w:val="FFB8D19C"/>
    <w:lvl w:ilvl="0" w:tplc="DE3E9B08">
      <w:start w:val="1"/>
      <w:numFmt w:val="lowerLetter"/>
      <w:lvlText w:val="(%1)"/>
      <w:lvlJc w:val="left"/>
      <w:pPr>
        <w:ind w:left="1440" w:hanging="360"/>
      </w:pPr>
      <w:rPr>
        <w:rFonts w:ascii="Arial" w:hAnsi="Arial" w:cs="Arial" w:hint="default"/>
        <w:b w:val="0"/>
        <w:i w:val="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22" w15:restartNumberingAfterBreak="0">
    <w:nsid w:val="735E3F04"/>
    <w:multiLevelType w:val="hybridMultilevel"/>
    <w:tmpl w:val="6AA6C4AC"/>
    <w:lvl w:ilvl="0" w:tplc="8A603042">
      <w:start w:val="1"/>
      <w:numFmt w:val="bullet"/>
      <w:lvlText w:val=""/>
      <w:lvlJc w:val="left"/>
      <w:pPr>
        <w:ind w:left="927" w:hanging="360"/>
      </w:pPr>
      <w:rPr>
        <w:rFonts w:ascii="Wingdings" w:hAnsi="Wingdings" w:hint="default"/>
        <w:sz w:val="24"/>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3" w15:restartNumberingAfterBreak="0">
    <w:nsid w:val="74287E9C"/>
    <w:multiLevelType w:val="hybridMultilevel"/>
    <w:tmpl w:val="10145656"/>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5" w15:restartNumberingAfterBreak="0">
    <w:nsid w:val="74761907"/>
    <w:multiLevelType w:val="hybridMultilevel"/>
    <w:tmpl w:val="727C7E42"/>
    <w:lvl w:ilvl="0" w:tplc="0C090005">
      <w:start w:val="1"/>
      <w:numFmt w:val="bullet"/>
      <w:lvlText w:val=""/>
      <w:lvlJc w:val="left"/>
      <w:pPr>
        <w:ind w:left="1211" w:hanging="360"/>
      </w:pPr>
      <w:rPr>
        <w:rFonts w:ascii="Wingdings" w:hAnsi="Wingdings" w:hint="default"/>
      </w:rPr>
    </w:lvl>
    <w:lvl w:ilvl="1" w:tplc="0C090001">
      <w:start w:val="1"/>
      <w:numFmt w:val="bullet"/>
      <w:lvlText w:val=""/>
      <w:lvlJc w:val="left"/>
      <w:pPr>
        <w:ind w:left="1931" w:hanging="360"/>
      </w:pPr>
      <w:rPr>
        <w:rFonts w:ascii="Symbol" w:hAnsi="Symbol" w:hint="default"/>
      </w:rPr>
    </w:lvl>
    <w:lvl w:ilvl="2" w:tplc="0C090005">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6" w15:restartNumberingAfterBreak="0">
    <w:nsid w:val="763519DC"/>
    <w:multiLevelType w:val="hybridMultilevel"/>
    <w:tmpl w:val="6BA65338"/>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15:restartNumberingAfterBreak="0">
    <w:nsid w:val="79B913F1"/>
    <w:multiLevelType w:val="hybridMultilevel"/>
    <w:tmpl w:val="C69AA63A"/>
    <w:lvl w:ilvl="0" w:tplc="E3E69788">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14"/>
  </w:num>
  <w:num w:numId="2">
    <w:abstractNumId w:val="6"/>
  </w:num>
  <w:num w:numId="3">
    <w:abstractNumId w:val="21"/>
  </w:num>
  <w:num w:numId="4">
    <w:abstractNumId w:val="7"/>
  </w:num>
  <w:num w:numId="5">
    <w:abstractNumId w:val="10"/>
  </w:num>
  <w:num w:numId="6">
    <w:abstractNumId w:val="15"/>
  </w:num>
  <w:num w:numId="7">
    <w:abstractNumId w:val="0"/>
  </w:num>
  <w:num w:numId="8">
    <w:abstractNumId w:val="8"/>
  </w:num>
  <w:num w:numId="9">
    <w:abstractNumId w:val="18"/>
  </w:num>
  <w:num w:numId="10">
    <w:abstractNumId w:val="24"/>
  </w:num>
  <w:num w:numId="11">
    <w:abstractNumId w:val="16"/>
  </w:num>
  <w:num w:numId="12">
    <w:abstractNumId w:val="9"/>
  </w:num>
  <w:num w:numId="13">
    <w:abstractNumId w:val="2"/>
  </w:num>
  <w:num w:numId="14">
    <w:abstractNumId w:val="4"/>
  </w:num>
  <w:num w:numId="15">
    <w:abstractNumId w:val="7"/>
    <w:lvlOverride w:ilvl="0">
      <w:lvl w:ilvl="0" w:tplc="354E57D4">
        <w:start w:val="1"/>
        <w:numFmt w:val="decimal"/>
        <w:lvlText w:val="%1."/>
        <w:lvlJc w:val="left"/>
        <w:pPr>
          <w:ind w:left="720" w:hanging="360"/>
        </w:pPr>
        <w:rPr>
          <w:rFonts w:hint="default"/>
        </w:rPr>
      </w:lvl>
    </w:lvlOverride>
    <w:lvlOverride w:ilvl="1">
      <w:lvl w:ilvl="1" w:tplc="DE3E9B08">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abstractNumId w:val="17"/>
  </w:num>
  <w:num w:numId="17">
    <w:abstractNumId w:val="2"/>
  </w:num>
  <w:num w:numId="18">
    <w:abstractNumId w:val="27"/>
  </w:num>
  <w:num w:numId="19">
    <w:abstractNumId w:val="19"/>
  </w:num>
  <w:num w:numId="20">
    <w:abstractNumId w:val="5"/>
  </w:num>
  <w:num w:numId="21">
    <w:abstractNumId w:val="22"/>
  </w:num>
  <w:num w:numId="22">
    <w:abstractNumId w:val="1"/>
  </w:num>
  <w:num w:numId="23">
    <w:abstractNumId w:val="23"/>
  </w:num>
  <w:num w:numId="24">
    <w:abstractNumId w:val="3"/>
  </w:num>
  <w:num w:numId="25">
    <w:abstractNumId w:val="26"/>
  </w:num>
  <w:num w:numId="26">
    <w:abstractNumId w:val="25"/>
  </w:num>
  <w:num w:numId="27">
    <w:abstractNumId w:val="13"/>
  </w:num>
  <w:num w:numId="28">
    <w:abstractNumId w:val="11"/>
  </w:num>
  <w:num w:numId="29">
    <w:abstractNumId w:val="20"/>
  </w:num>
  <w:num w:numId="30">
    <w:abstractNumId w:val="7"/>
  </w:num>
  <w:num w:numId="31">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A2B"/>
    <w:rsid w:val="00002F05"/>
    <w:rsid w:val="00005BD1"/>
    <w:rsid w:val="00007FD2"/>
    <w:rsid w:val="00010976"/>
    <w:rsid w:val="000120E1"/>
    <w:rsid w:val="0002351E"/>
    <w:rsid w:val="00034B87"/>
    <w:rsid w:val="000364EF"/>
    <w:rsid w:val="00037E68"/>
    <w:rsid w:val="00041E58"/>
    <w:rsid w:val="00044A7F"/>
    <w:rsid w:val="0004571C"/>
    <w:rsid w:val="00045B46"/>
    <w:rsid w:val="00047983"/>
    <w:rsid w:val="00054120"/>
    <w:rsid w:val="0005503C"/>
    <w:rsid w:val="00055693"/>
    <w:rsid w:val="00056960"/>
    <w:rsid w:val="00057023"/>
    <w:rsid w:val="00057D21"/>
    <w:rsid w:val="00063EDF"/>
    <w:rsid w:val="00071CD9"/>
    <w:rsid w:val="00072CE6"/>
    <w:rsid w:val="000731D3"/>
    <w:rsid w:val="00075AB0"/>
    <w:rsid w:val="00076511"/>
    <w:rsid w:val="0007682B"/>
    <w:rsid w:val="000815AB"/>
    <w:rsid w:val="00092207"/>
    <w:rsid w:val="000936BA"/>
    <w:rsid w:val="00095FBB"/>
    <w:rsid w:val="00096517"/>
    <w:rsid w:val="000A201B"/>
    <w:rsid w:val="000A623E"/>
    <w:rsid w:val="000B0669"/>
    <w:rsid w:val="000B6C72"/>
    <w:rsid w:val="000B794F"/>
    <w:rsid w:val="000C585D"/>
    <w:rsid w:val="000D49A5"/>
    <w:rsid w:val="000E1039"/>
    <w:rsid w:val="000E1B5B"/>
    <w:rsid w:val="000F0BC1"/>
    <w:rsid w:val="000F4098"/>
    <w:rsid w:val="0010042D"/>
    <w:rsid w:val="001047F1"/>
    <w:rsid w:val="00105217"/>
    <w:rsid w:val="001066BD"/>
    <w:rsid w:val="00121E6F"/>
    <w:rsid w:val="00124A35"/>
    <w:rsid w:val="001273FB"/>
    <w:rsid w:val="001304EE"/>
    <w:rsid w:val="00143D93"/>
    <w:rsid w:val="00146F58"/>
    <w:rsid w:val="00152FA3"/>
    <w:rsid w:val="001825CB"/>
    <w:rsid w:val="00182865"/>
    <w:rsid w:val="00182E06"/>
    <w:rsid w:val="00183FA4"/>
    <w:rsid w:val="001900B6"/>
    <w:rsid w:val="001916E4"/>
    <w:rsid w:val="0019203A"/>
    <w:rsid w:val="00195E9F"/>
    <w:rsid w:val="0019775E"/>
    <w:rsid w:val="00197E86"/>
    <w:rsid w:val="001A12BD"/>
    <w:rsid w:val="001B1A27"/>
    <w:rsid w:val="001B5470"/>
    <w:rsid w:val="001B57C6"/>
    <w:rsid w:val="001B5957"/>
    <w:rsid w:val="001C01FD"/>
    <w:rsid w:val="001C127F"/>
    <w:rsid w:val="001C56D3"/>
    <w:rsid w:val="001C68DC"/>
    <w:rsid w:val="001D50C0"/>
    <w:rsid w:val="001D7758"/>
    <w:rsid w:val="001E3A26"/>
    <w:rsid w:val="001F3F19"/>
    <w:rsid w:val="001F5F4B"/>
    <w:rsid w:val="002010B4"/>
    <w:rsid w:val="00212C2B"/>
    <w:rsid w:val="0022037D"/>
    <w:rsid w:val="00226686"/>
    <w:rsid w:val="00227178"/>
    <w:rsid w:val="00233F52"/>
    <w:rsid w:val="0023451F"/>
    <w:rsid w:val="00235527"/>
    <w:rsid w:val="002375F3"/>
    <w:rsid w:val="00240EF9"/>
    <w:rsid w:val="0024194E"/>
    <w:rsid w:val="00244359"/>
    <w:rsid w:val="00245A89"/>
    <w:rsid w:val="00253B42"/>
    <w:rsid w:val="002649CE"/>
    <w:rsid w:val="0026691F"/>
    <w:rsid w:val="00273FE3"/>
    <w:rsid w:val="00283D88"/>
    <w:rsid w:val="00284FF0"/>
    <w:rsid w:val="00292C50"/>
    <w:rsid w:val="0029315E"/>
    <w:rsid w:val="00297526"/>
    <w:rsid w:val="002A03F1"/>
    <w:rsid w:val="002B65D4"/>
    <w:rsid w:val="002C1019"/>
    <w:rsid w:val="002C5C9B"/>
    <w:rsid w:val="002D0A46"/>
    <w:rsid w:val="002D1B6C"/>
    <w:rsid w:val="002D46A2"/>
    <w:rsid w:val="002E433B"/>
    <w:rsid w:val="002E7001"/>
    <w:rsid w:val="002E78FD"/>
    <w:rsid w:val="002F238A"/>
    <w:rsid w:val="002F4AB4"/>
    <w:rsid w:val="00303936"/>
    <w:rsid w:val="00306DD0"/>
    <w:rsid w:val="00310CB2"/>
    <w:rsid w:val="00312C2A"/>
    <w:rsid w:val="0031657C"/>
    <w:rsid w:val="003204FA"/>
    <w:rsid w:val="00321445"/>
    <w:rsid w:val="00321EE0"/>
    <w:rsid w:val="0032516B"/>
    <w:rsid w:val="0033216F"/>
    <w:rsid w:val="00334C0E"/>
    <w:rsid w:val="0034134D"/>
    <w:rsid w:val="00344F59"/>
    <w:rsid w:val="00350D39"/>
    <w:rsid w:val="003510D5"/>
    <w:rsid w:val="003560DD"/>
    <w:rsid w:val="0035654D"/>
    <w:rsid w:val="003677F9"/>
    <w:rsid w:val="00370336"/>
    <w:rsid w:val="00374ABC"/>
    <w:rsid w:val="00380598"/>
    <w:rsid w:val="003847F0"/>
    <w:rsid w:val="00392522"/>
    <w:rsid w:val="00395332"/>
    <w:rsid w:val="003977F4"/>
    <w:rsid w:val="003A666E"/>
    <w:rsid w:val="003B0993"/>
    <w:rsid w:val="003B197E"/>
    <w:rsid w:val="003C2709"/>
    <w:rsid w:val="003C63C6"/>
    <w:rsid w:val="003C6A61"/>
    <w:rsid w:val="003D0373"/>
    <w:rsid w:val="003D3AAC"/>
    <w:rsid w:val="003D625C"/>
    <w:rsid w:val="003E04EB"/>
    <w:rsid w:val="003E17F8"/>
    <w:rsid w:val="003E6B8D"/>
    <w:rsid w:val="003F02E0"/>
    <w:rsid w:val="003F07C5"/>
    <w:rsid w:val="003F6F7E"/>
    <w:rsid w:val="00400445"/>
    <w:rsid w:val="00401004"/>
    <w:rsid w:val="00406776"/>
    <w:rsid w:val="00407CE3"/>
    <w:rsid w:val="004140C3"/>
    <w:rsid w:val="00420BFC"/>
    <w:rsid w:val="00421429"/>
    <w:rsid w:val="00422D04"/>
    <w:rsid w:val="00431D51"/>
    <w:rsid w:val="004328B6"/>
    <w:rsid w:val="00432F2F"/>
    <w:rsid w:val="00435A37"/>
    <w:rsid w:val="00437F35"/>
    <w:rsid w:val="004418EC"/>
    <w:rsid w:val="004424F3"/>
    <w:rsid w:val="00444D7E"/>
    <w:rsid w:val="00451416"/>
    <w:rsid w:val="00451AB9"/>
    <w:rsid w:val="004538FC"/>
    <w:rsid w:val="0045765D"/>
    <w:rsid w:val="00463BEF"/>
    <w:rsid w:val="00466216"/>
    <w:rsid w:val="00490073"/>
    <w:rsid w:val="0049334B"/>
    <w:rsid w:val="00495766"/>
    <w:rsid w:val="004A2375"/>
    <w:rsid w:val="004A6F71"/>
    <w:rsid w:val="004A78D2"/>
    <w:rsid w:val="004B0599"/>
    <w:rsid w:val="004B3141"/>
    <w:rsid w:val="004B432F"/>
    <w:rsid w:val="004B586B"/>
    <w:rsid w:val="004B71ED"/>
    <w:rsid w:val="004B7FD0"/>
    <w:rsid w:val="004C17FC"/>
    <w:rsid w:val="004C2886"/>
    <w:rsid w:val="004C4B87"/>
    <w:rsid w:val="004C5F91"/>
    <w:rsid w:val="004C74C7"/>
    <w:rsid w:val="004D1763"/>
    <w:rsid w:val="004D3C69"/>
    <w:rsid w:val="004E021B"/>
    <w:rsid w:val="004E278F"/>
    <w:rsid w:val="004E3D6B"/>
    <w:rsid w:val="004E58C1"/>
    <w:rsid w:val="004F2CB8"/>
    <w:rsid w:val="004F4CB1"/>
    <w:rsid w:val="004F6F84"/>
    <w:rsid w:val="005009D5"/>
    <w:rsid w:val="00502924"/>
    <w:rsid w:val="00511C03"/>
    <w:rsid w:val="00516283"/>
    <w:rsid w:val="00517D74"/>
    <w:rsid w:val="00540331"/>
    <w:rsid w:val="00542B76"/>
    <w:rsid w:val="00546F24"/>
    <w:rsid w:val="00547DA1"/>
    <w:rsid w:val="005557EC"/>
    <w:rsid w:val="0056244F"/>
    <w:rsid w:val="00571028"/>
    <w:rsid w:val="00572826"/>
    <w:rsid w:val="00575A2B"/>
    <w:rsid w:val="00580083"/>
    <w:rsid w:val="00584A22"/>
    <w:rsid w:val="005916EB"/>
    <w:rsid w:val="00592597"/>
    <w:rsid w:val="00596E0C"/>
    <w:rsid w:val="005B07CF"/>
    <w:rsid w:val="005B404C"/>
    <w:rsid w:val="005B7DE4"/>
    <w:rsid w:val="005B7E50"/>
    <w:rsid w:val="005C1954"/>
    <w:rsid w:val="005C2605"/>
    <w:rsid w:val="005C3FB8"/>
    <w:rsid w:val="005C551D"/>
    <w:rsid w:val="005D5A16"/>
    <w:rsid w:val="005E210F"/>
    <w:rsid w:val="005E3526"/>
    <w:rsid w:val="005E452A"/>
    <w:rsid w:val="005E5159"/>
    <w:rsid w:val="005F0F47"/>
    <w:rsid w:val="005F4E56"/>
    <w:rsid w:val="005F79AD"/>
    <w:rsid w:val="006044B0"/>
    <w:rsid w:val="006150F0"/>
    <w:rsid w:val="00617E4F"/>
    <w:rsid w:val="00627334"/>
    <w:rsid w:val="006335BE"/>
    <w:rsid w:val="00644E93"/>
    <w:rsid w:val="006466AD"/>
    <w:rsid w:val="006530FA"/>
    <w:rsid w:val="006551F5"/>
    <w:rsid w:val="0066111A"/>
    <w:rsid w:val="006769BF"/>
    <w:rsid w:val="00680A8A"/>
    <w:rsid w:val="00687941"/>
    <w:rsid w:val="00694221"/>
    <w:rsid w:val="0069499B"/>
    <w:rsid w:val="006A39A0"/>
    <w:rsid w:val="006A6906"/>
    <w:rsid w:val="006A7B3A"/>
    <w:rsid w:val="006B6EA5"/>
    <w:rsid w:val="006C613F"/>
    <w:rsid w:val="006D0CD6"/>
    <w:rsid w:val="006D1FAF"/>
    <w:rsid w:val="006D31E5"/>
    <w:rsid w:val="006D46BA"/>
    <w:rsid w:val="006E2878"/>
    <w:rsid w:val="006E7ACA"/>
    <w:rsid w:val="006E7F3B"/>
    <w:rsid w:val="006F0979"/>
    <w:rsid w:val="006F1EFD"/>
    <w:rsid w:val="006F1F8D"/>
    <w:rsid w:val="0070042E"/>
    <w:rsid w:val="00700740"/>
    <w:rsid w:val="00701BE5"/>
    <w:rsid w:val="007069A1"/>
    <w:rsid w:val="00706A05"/>
    <w:rsid w:val="00715F6C"/>
    <w:rsid w:val="007171A6"/>
    <w:rsid w:val="00730224"/>
    <w:rsid w:val="00735BA1"/>
    <w:rsid w:val="00743B55"/>
    <w:rsid w:val="007451BD"/>
    <w:rsid w:val="00751AE0"/>
    <w:rsid w:val="00756C87"/>
    <w:rsid w:val="0075733E"/>
    <w:rsid w:val="007619FB"/>
    <w:rsid w:val="00763604"/>
    <w:rsid w:val="00772CF8"/>
    <w:rsid w:val="00774AA2"/>
    <w:rsid w:val="007817EC"/>
    <w:rsid w:val="007A2C0D"/>
    <w:rsid w:val="007A45D7"/>
    <w:rsid w:val="007B16AE"/>
    <w:rsid w:val="007B538A"/>
    <w:rsid w:val="007B589F"/>
    <w:rsid w:val="007C1562"/>
    <w:rsid w:val="007C1BF2"/>
    <w:rsid w:val="007C2EA5"/>
    <w:rsid w:val="007C3139"/>
    <w:rsid w:val="007C47D8"/>
    <w:rsid w:val="007C510E"/>
    <w:rsid w:val="007C62E7"/>
    <w:rsid w:val="007C6727"/>
    <w:rsid w:val="007D0694"/>
    <w:rsid w:val="007D0AF8"/>
    <w:rsid w:val="007E7274"/>
    <w:rsid w:val="007E735F"/>
    <w:rsid w:val="007E7857"/>
    <w:rsid w:val="007F4F44"/>
    <w:rsid w:val="0080290B"/>
    <w:rsid w:val="008037F9"/>
    <w:rsid w:val="00805768"/>
    <w:rsid w:val="008101EC"/>
    <w:rsid w:val="00810D74"/>
    <w:rsid w:val="008148FC"/>
    <w:rsid w:val="00821712"/>
    <w:rsid w:val="00827429"/>
    <w:rsid w:val="008449A2"/>
    <w:rsid w:val="008470F3"/>
    <w:rsid w:val="00850155"/>
    <w:rsid w:val="008514B0"/>
    <w:rsid w:val="00856C7A"/>
    <w:rsid w:val="00857062"/>
    <w:rsid w:val="0086439D"/>
    <w:rsid w:val="00867AFD"/>
    <w:rsid w:val="00871324"/>
    <w:rsid w:val="008852AA"/>
    <w:rsid w:val="0088607A"/>
    <w:rsid w:val="0089208D"/>
    <w:rsid w:val="008930A1"/>
    <w:rsid w:val="008961FC"/>
    <w:rsid w:val="00896225"/>
    <w:rsid w:val="008970A8"/>
    <w:rsid w:val="008B027F"/>
    <w:rsid w:val="008B0352"/>
    <w:rsid w:val="008B3191"/>
    <w:rsid w:val="008C37D3"/>
    <w:rsid w:val="008C3D59"/>
    <w:rsid w:val="008C4979"/>
    <w:rsid w:val="008C6189"/>
    <w:rsid w:val="008D29B3"/>
    <w:rsid w:val="008D4D8D"/>
    <w:rsid w:val="008D6D52"/>
    <w:rsid w:val="008E2FB8"/>
    <w:rsid w:val="008E304C"/>
    <w:rsid w:val="008E4BEE"/>
    <w:rsid w:val="008E792D"/>
    <w:rsid w:val="008F06B2"/>
    <w:rsid w:val="008F5474"/>
    <w:rsid w:val="0090102E"/>
    <w:rsid w:val="00905A21"/>
    <w:rsid w:val="009116DC"/>
    <w:rsid w:val="00912E7D"/>
    <w:rsid w:val="00914828"/>
    <w:rsid w:val="00927432"/>
    <w:rsid w:val="00934A1E"/>
    <w:rsid w:val="00934B1C"/>
    <w:rsid w:val="0095739B"/>
    <w:rsid w:val="0096351D"/>
    <w:rsid w:val="009653A7"/>
    <w:rsid w:val="009746DD"/>
    <w:rsid w:val="00975687"/>
    <w:rsid w:val="00987057"/>
    <w:rsid w:val="0099507C"/>
    <w:rsid w:val="009A556B"/>
    <w:rsid w:val="009A6BD2"/>
    <w:rsid w:val="009A6CEA"/>
    <w:rsid w:val="009A7A7F"/>
    <w:rsid w:val="009B630C"/>
    <w:rsid w:val="009D3109"/>
    <w:rsid w:val="009D3B40"/>
    <w:rsid w:val="009F3E8A"/>
    <w:rsid w:val="009F5082"/>
    <w:rsid w:val="00A0082F"/>
    <w:rsid w:val="00A023C1"/>
    <w:rsid w:val="00A12A3C"/>
    <w:rsid w:val="00A16356"/>
    <w:rsid w:val="00A222AC"/>
    <w:rsid w:val="00A2275D"/>
    <w:rsid w:val="00A30198"/>
    <w:rsid w:val="00A35BBA"/>
    <w:rsid w:val="00A3604A"/>
    <w:rsid w:val="00A45369"/>
    <w:rsid w:val="00A520C6"/>
    <w:rsid w:val="00A53D1F"/>
    <w:rsid w:val="00A5667A"/>
    <w:rsid w:val="00A66585"/>
    <w:rsid w:val="00A70E36"/>
    <w:rsid w:val="00A76116"/>
    <w:rsid w:val="00A90373"/>
    <w:rsid w:val="00A93E9B"/>
    <w:rsid w:val="00AA43FB"/>
    <w:rsid w:val="00AA5E30"/>
    <w:rsid w:val="00AA7716"/>
    <w:rsid w:val="00AB02E9"/>
    <w:rsid w:val="00AB2514"/>
    <w:rsid w:val="00AB7C0D"/>
    <w:rsid w:val="00AD3678"/>
    <w:rsid w:val="00AD667A"/>
    <w:rsid w:val="00AE176D"/>
    <w:rsid w:val="00AE3A61"/>
    <w:rsid w:val="00AF0BDD"/>
    <w:rsid w:val="00B00731"/>
    <w:rsid w:val="00B01FE2"/>
    <w:rsid w:val="00B03079"/>
    <w:rsid w:val="00B12919"/>
    <w:rsid w:val="00B14BA0"/>
    <w:rsid w:val="00B15778"/>
    <w:rsid w:val="00B16D65"/>
    <w:rsid w:val="00B17261"/>
    <w:rsid w:val="00B227A0"/>
    <w:rsid w:val="00B22A3E"/>
    <w:rsid w:val="00B27A4D"/>
    <w:rsid w:val="00B360EA"/>
    <w:rsid w:val="00B41356"/>
    <w:rsid w:val="00B46BAB"/>
    <w:rsid w:val="00B50F67"/>
    <w:rsid w:val="00B54D50"/>
    <w:rsid w:val="00B666A3"/>
    <w:rsid w:val="00B67E6E"/>
    <w:rsid w:val="00B80D77"/>
    <w:rsid w:val="00B82CE9"/>
    <w:rsid w:val="00B83AE9"/>
    <w:rsid w:val="00B84EDD"/>
    <w:rsid w:val="00B8743D"/>
    <w:rsid w:val="00B87FB4"/>
    <w:rsid w:val="00B91EA6"/>
    <w:rsid w:val="00B933A9"/>
    <w:rsid w:val="00B972B2"/>
    <w:rsid w:val="00BA6E38"/>
    <w:rsid w:val="00BB0B80"/>
    <w:rsid w:val="00BB238A"/>
    <w:rsid w:val="00BB2D66"/>
    <w:rsid w:val="00BB2F50"/>
    <w:rsid w:val="00BC2D69"/>
    <w:rsid w:val="00BC6217"/>
    <w:rsid w:val="00BD2707"/>
    <w:rsid w:val="00BE34DD"/>
    <w:rsid w:val="00BE7F5B"/>
    <w:rsid w:val="00BF016F"/>
    <w:rsid w:val="00C01B1B"/>
    <w:rsid w:val="00C03B64"/>
    <w:rsid w:val="00C2074A"/>
    <w:rsid w:val="00C24A0F"/>
    <w:rsid w:val="00C255F9"/>
    <w:rsid w:val="00C3049E"/>
    <w:rsid w:val="00C31053"/>
    <w:rsid w:val="00C321C0"/>
    <w:rsid w:val="00C33416"/>
    <w:rsid w:val="00C35743"/>
    <w:rsid w:val="00C4116E"/>
    <w:rsid w:val="00C43A49"/>
    <w:rsid w:val="00C526DC"/>
    <w:rsid w:val="00C546E5"/>
    <w:rsid w:val="00C6264C"/>
    <w:rsid w:val="00C627FD"/>
    <w:rsid w:val="00C641D7"/>
    <w:rsid w:val="00C66E1D"/>
    <w:rsid w:val="00C71A36"/>
    <w:rsid w:val="00C83C9F"/>
    <w:rsid w:val="00C8564F"/>
    <w:rsid w:val="00C9568E"/>
    <w:rsid w:val="00C9716F"/>
    <w:rsid w:val="00CA162B"/>
    <w:rsid w:val="00CA23CF"/>
    <w:rsid w:val="00CA4879"/>
    <w:rsid w:val="00CB0BBF"/>
    <w:rsid w:val="00CC2930"/>
    <w:rsid w:val="00CC2E5C"/>
    <w:rsid w:val="00CD4FA1"/>
    <w:rsid w:val="00CD7704"/>
    <w:rsid w:val="00CE14AA"/>
    <w:rsid w:val="00CE1D81"/>
    <w:rsid w:val="00CE403B"/>
    <w:rsid w:val="00CE4544"/>
    <w:rsid w:val="00CF1625"/>
    <w:rsid w:val="00CF1826"/>
    <w:rsid w:val="00D102EC"/>
    <w:rsid w:val="00D17866"/>
    <w:rsid w:val="00D21103"/>
    <w:rsid w:val="00D33110"/>
    <w:rsid w:val="00D33FEE"/>
    <w:rsid w:val="00D35B0E"/>
    <w:rsid w:val="00D42939"/>
    <w:rsid w:val="00D46260"/>
    <w:rsid w:val="00D50215"/>
    <w:rsid w:val="00D61B81"/>
    <w:rsid w:val="00D6241A"/>
    <w:rsid w:val="00D74335"/>
    <w:rsid w:val="00D74372"/>
    <w:rsid w:val="00D76F2A"/>
    <w:rsid w:val="00D8484F"/>
    <w:rsid w:val="00D86187"/>
    <w:rsid w:val="00D86386"/>
    <w:rsid w:val="00D87A14"/>
    <w:rsid w:val="00D92201"/>
    <w:rsid w:val="00D93C4A"/>
    <w:rsid w:val="00D941EB"/>
    <w:rsid w:val="00D9481C"/>
    <w:rsid w:val="00DA1764"/>
    <w:rsid w:val="00DA27DB"/>
    <w:rsid w:val="00DC0A10"/>
    <w:rsid w:val="00DC0EDF"/>
    <w:rsid w:val="00DC1BAC"/>
    <w:rsid w:val="00DC553C"/>
    <w:rsid w:val="00DC7280"/>
    <w:rsid w:val="00DD2998"/>
    <w:rsid w:val="00DD4168"/>
    <w:rsid w:val="00DD5B86"/>
    <w:rsid w:val="00DD698D"/>
    <w:rsid w:val="00DD7883"/>
    <w:rsid w:val="00DE32C2"/>
    <w:rsid w:val="00DE4D44"/>
    <w:rsid w:val="00DE62F6"/>
    <w:rsid w:val="00DF098A"/>
    <w:rsid w:val="00DF50CE"/>
    <w:rsid w:val="00DF590B"/>
    <w:rsid w:val="00DF5AE3"/>
    <w:rsid w:val="00DF79A9"/>
    <w:rsid w:val="00E02BF6"/>
    <w:rsid w:val="00E06CCA"/>
    <w:rsid w:val="00E15BB4"/>
    <w:rsid w:val="00E15E88"/>
    <w:rsid w:val="00E16088"/>
    <w:rsid w:val="00E1631A"/>
    <w:rsid w:val="00E3092A"/>
    <w:rsid w:val="00E45E08"/>
    <w:rsid w:val="00E51B90"/>
    <w:rsid w:val="00E54B68"/>
    <w:rsid w:val="00E60AB2"/>
    <w:rsid w:val="00E64195"/>
    <w:rsid w:val="00E6776E"/>
    <w:rsid w:val="00E7715C"/>
    <w:rsid w:val="00E7746A"/>
    <w:rsid w:val="00E83035"/>
    <w:rsid w:val="00E87A07"/>
    <w:rsid w:val="00E91A9E"/>
    <w:rsid w:val="00E940D7"/>
    <w:rsid w:val="00EA0FB4"/>
    <w:rsid w:val="00EA2E9D"/>
    <w:rsid w:val="00EA4066"/>
    <w:rsid w:val="00EB259E"/>
    <w:rsid w:val="00EB3433"/>
    <w:rsid w:val="00EB4C3D"/>
    <w:rsid w:val="00EB5211"/>
    <w:rsid w:val="00EB6445"/>
    <w:rsid w:val="00EB7E3E"/>
    <w:rsid w:val="00EC4278"/>
    <w:rsid w:val="00EC4641"/>
    <w:rsid w:val="00EC4E7E"/>
    <w:rsid w:val="00EC7EBD"/>
    <w:rsid w:val="00ED0709"/>
    <w:rsid w:val="00ED3A08"/>
    <w:rsid w:val="00ED426F"/>
    <w:rsid w:val="00ED6006"/>
    <w:rsid w:val="00ED6ADD"/>
    <w:rsid w:val="00ED723C"/>
    <w:rsid w:val="00EE20D8"/>
    <w:rsid w:val="00EE5677"/>
    <w:rsid w:val="00EF27B1"/>
    <w:rsid w:val="00EF2CD3"/>
    <w:rsid w:val="00F01DA4"/>
    <w:rsid w:val="00F12660"/>
    <w:rsid w:val="00F30CE2"/>
    <w:rsid w:val="00F37F4E"/>
    <w:rsid w:val="00F4420D"/>
    <w:rsid w:val="00F476A3"/>
    <w:rsid w:val="00F51A83"/>
    <w:rsid w:val="00F552D1"/>
    <w:rsid w:val="00F558ED"/>
    <w:rsid w:val="00F55DEB"/>
    <w:rsid w:val="00F656F5"/>
    <w:rsid w:val="00F65A43"/>
    <w:rsid w:val="00F70469"/>
    <w:rsid w:val="00F73546"/>
    <w:rsid w:val="00F83AE9"/>
    <w:rsid w:val="00F84E9D"/>
    <w:rsid w:val="00FA4A39"/>
    <w:rsid w:val="00FB4D15"/>
    <w:rsid w:val="00FC7ED7"/>
    <w:rsid w:val="00FD4014"/>
    <w:rsid w:val="00FD6271"/>
    <w:rsid w:val="00FE01B0"/>
    <w:rsid w:val="00FE7FE2"/>
    <w:rsid w:val="00FF7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9633"/>
    <o:shapelayout v:ext="edit">
      <o:idmap v:ext="edit" data="1"/>
    </o:shapelayout>
  </w:shapeDefaults>
  <w:decimalSymbol w:val="."/>
  <w:listSeparator w:val=","/>
  <w14:docId w14:val="4246F3B7"/>
  <w14:defaultImageDpi w14:val="300"/>
  <w15:docId w15:val="{0CE49C09-DCE1-4A32-A0B1-9C6E00342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3560DD"/>
    <w:pPr>
      <w:keepNext/>
      <w:keepLines/>
      <w:spacing w:before="240" w:after="240"/>
      <w:outlineLvl w:val="0"/>
    </w:pPr>
    <w:rPr>
      <w:rFonts w:ascii="Arial" w:eastAsiaTheme="majorEastAsia" w:hAnsi="Arial" w:cstheme="majorBidi"/>
      <w:b/>
      <w:color w:val="365F91" w:themeColor="accent1" w:themeShade="BF"/>
      <w:sz w:val="32"/>
      <w:szCs w:val="32"/>
    </w:rPr>
  </w:style>
  <w:style w:type="paragraph" w:styleId="Heading2">
    <w:name w:val="heading 2"/>
    <w:basedOn w:val="Normal"/>
    <w:next w:val="Normal"/>
    <w:link w:val="Heading2Char"/>
    <w:uiPriority w:val="9"/>
    <w:unhideWhenUsed/>
    <w:qFormat/>
    <w:rsid w:val="00502924"/>
    <w:pPr>
      <w:keepNext/>
      <w:keepLines/>
      <w:spacing w:before="240" w:after="120"/>
      <w:outlineLvl w:val="1"/>
    </w:pPr>
    <w:rPr>
      <w:rFonts w:ascii="Arial" w:eastAsiaTheme="majorEastAsia" w:hAnsi="Arial" w:cstheme="majorBidi"/>
      <w:b/>
      <w:color w:val="365F91" w:themeColor="accent1" w:themeShade="BF"/>
    </w:rPr>
  </w:style>
  <w:style w:type="paragraph" w:styleId="Heading3">
    <w:name w:val="heading 3"/>
    <w:basedOn w:val="Normal"/>
    <w:next w:val="Normal"/>
    <w:link w:val="Heading3Char"/>
    <w:uiPriority w:val="9"/>
    <w:unhideWhenUsed/>
    <w:qFormat/>
    <w:rsid w:val="00502924"/>
    <w:pPr>
      <w:keepNext/>
      <w:keepLines/>
      <w:spacing w:before="240" w:after="120"/>
      <w:outlineLvl w:val="2"/>
    </w:pPr>
    <w:rPr>
      <w:rFonts w:ascii="Arial" w:eastAsiaTheme="majorEastAsia" w:hAnsi="Arial"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7"/>
    <w:qFormat/>
    <w:rsid w:val="00B82CE9"/>
    <w:pPr>
      <w:ind w:left="720"/>
      <w:contextualSpacing/>
    </w:pPr>
  </w:style>
  <w:style w:type="paragraph" w:styleId="FootnoteText">
    <w:name w:val="footnote text"/>
    <w:basedOn w:val="Normal"/>
    <w:link w:val="FootnoteTextChar"/>
    <w:uiPriority w:val="99"/>
    <w:unhideWhenUsed/>
    <w:rsid w:val="00C33416"/>
    <w:rPr>
      <w:rFonts w:ascii="Arial" w:hAnsi="Arial"/>
      <w:sz w:val="20"/>
    </w:rPr>
  </w:style>
  <w:style w:type="character" w:customStyle="1" w:styleId="FootnoteTextChar">
    <w:name w:val="Footnote Text Char"/>
    <w:basedOn w:val="DefaultParagraphFont"/>
    <w:link w:val="FootnoteText"/>
    <w:uiPriority w:val="99"/>
    <w:rsid w:val="00C33416"/>
    <w:rPr>
      <w:rFonts w:ascii="Arial" w:hAnsi="Arial"/>
      <w:sz w:val="20"/>
    </w:rPr>
  </w:style>
  <w:style w:type="character" w:styleId="FootnoteReference">
    <w:name w:val="footnote reference"/>
    <w:basedOn w:val="DefaultParagraphFont"/>
    <w:uiPriority w:val="99"/>
    <w:unhideWhenUsed/>
    <w:rsid w:val="0034134D"/>
    <w:rPr>
      <w:vertAlign w:val="superscript"/>
    </w:rPr>
  </w:style>
  <w:style w:type="character" w:customStyle="1" w:styleId="Heading1Char">
    <w:name w:val="Heading 1 Char"/>
    <w:basedOn w:val="DefaultParagraphFont"/>
    <w:link w:val="Heading1"/>
    <w:uiPriority w:val="9"/>
    <w:rsid w:val="003560DD"/>
    <w:rPr>
      <w:rFonts w:ascii="Arial" w:eastAsiaTheme="majorEastAsia" w:hAnsi="Arial" w:cstheme="majorBidi"/>
      <w:b/>
      <w:color w:val="365F91" w:themeColor="accent1" w:themeShade="BF"/>
      <w:sz w:val="32"/>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A16356"/>
    <w:pPr>
      <w:spacing w:line="259" w:lineRule="auto"/>
      <w:outlineLvl w:val="9"/>
    </w:pPr>
    <w:rPr>
      <w:rFonts w:asciiTheme="majorHAnsi" w:hAnsiTheme="majorHAnsi"/>
      <w:b w:val="0"/>
    </w:r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502924"/>
    <w:rPr>
      <w:rFonts w:ascii="Arial" w:eastAsiaTheme="majorEastAsia" w:hAnsi="Arial" w:cstheme="majorBidi"/>
      <w:b/>
      <w:color w:val="365F91" w:themeColor="accent1" w:themeShade="BF"/>
      <w:lang w:val="en-AU"/>
    </w:rPr>
  </w:style>
  <w:style w:type="paragraph" w:styleId="TOC2">
    <w:name w:val="toc 2"/>
    <w:basedOn w:val="Normal"/>
    <w:next w:val="Normal"/>
    <w:autoRedefine/>
    <w:uiPriority w:val="39"/>
    <w:unhideWhenUsed/>
    <w:rsid w:val="00056960"/>
    <w:pPr>
      <w:tabs>
        <w:tab w:val="right" w:leader="dot" w:pos="8296"/>
      </w:tabs>
      <w:spacing w:before="120" w:after="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502924"/>
    <w:rPr>
      <w:rFonts w:ascii="Arial" w:eastAsiaTheme="majorEastAsia" w:hAnsi="Arial" w:cstheme="majorBidi"/>
      <w:i/>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unhideWhenUsed/>
    <w:rsid w:val="00C526DC"/>
    <w:rPr>
      <w:sz w:val="20"/>
      <w:szCs w:val="20"/>
    </w:rPr>
  </w:style>
  <w:style w:type="character" w:customStyle="1" w:styleId="CommentTextChar">
    <w:name w:val="Comment Text Char"/>
    <w:basedOn w:val="DefaultParagraphFont"/>
    <w:link w:val="CommentText"/>
    <w:uiPriority w:val="99"/>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9116DC"/>
    <w:pPr>
      <w:numPr>
        <w:numId w:val="13"/>
      </w:numPr>
      <w:spacing w:before="120" w:after="240" w:line="276" w:lineRule="auto"/>
      <w:contextualSpacing w:val="0"/>
    </w:pPr>
    <w:rPr>
      <w:rFonts w:ascii="Arial" w:hAnsi="Arial" w:cs="Arial"/>
    </w:rPr>
  </w:style>
  <w:style w:type="paragraph" w:styleId="Quote">
    <w:name w:val="Quote"/>
    <w:basedOn w:val="Normal"/>
    <w:next w:val="Normal"/>
    <w:link w:val="QuoteChar"/>
    <w:uiPriority w:val="29"/>
    <w:qFormat/>
    <w:rsid w:val="003C2709"/>
    <w:pPr>
      <w:spacing w:before="240" w:after="240" w:line="276" w:lineRule="auto"/>
      <w:ind w:left="907" w:right="843"/>
    </w:pPr>
    <w:rPr>
      <w:rFonts w:ascii="Arial" w:hAnsi="Arial" w:cs="Arial"/>
      <w:sz w:val="20"/>
      <w:szCs w:val="20"/>
    </w:rPr>
  </w:style>
  <w:style w:type="character" w:customStyle="1" w:styleId="ListParagraphChar">
    <w:name w:val="List Paragraph Char"/>
    <w:basedOn w:val="DefaultParagraphFont"/>
    <w:link w:val="ListParagraph"/>
    <w:uiPriority w:val="7"/>
    <w:rsid w:val="00502924"/>
  </w:style>
  <w:style w:type="character" w:customStyle="1" w:styleId="NumberedparagraphChar">
    <w:name w:val="Numbered paragraph Char"/>
    <w:basedOn w:val="ListParagraphChar"/>
    <w:link w:val="Numberedparagraph"/>
    <w:rsid w:val="009116DC"/>
    <w:rPr>
      <w:rFonts w:ascii="Arial" w:hAnsi="Arial" w:cs="Arial"/>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B46BAB"/>
    <w:pPr>
      <w:numPr>
        <w:numId w:val="16"/>
      </w:numPr>
      <w:spacing w:after="240"/>
    </w:pPr>
    <w:rPr>
      <w:rFonts w:ascii="Arial" w:hAnsi="Arial" w:cs="Arial"/>
    </w:rPr>
  </w:style>
  <w:style w:type="paragraph" w:styleId="NormalWeb">
    <w:name w:val="Normal (Web)"/>
    <w:basedOn w:val="Normal"/>
    <w:uiPriority w:val="99"/>
    <w:semiHidden/>
    <w:unhideWhenUsed/>
    <w:rsid w:val="008C37D3"/>
    <w:pPr>
      <w:spacing w:before="100" w:beforeAutospacing="1" w:after="100" w:afterAutospacing="1"/>
    </w:pPr>
    <w:rPr>
      <w:rFonts w:ascii="Times New Roman" w:eastAsia="Times New Roman" w:hAnsi="Times New Roman" w:cs="Times New Roman"/>
      <w:lang w:eastAsia="en-AU"/>
    </w:rPr>
  </w:style>
  <w:style w:type="character" w:customStyle="1" w:styleId="content-elementreference">
    <w:name w:val="content-element__reference"/>
    <w:basedOn w:val="DefaultParagraphFont"/>
    <w:rsid w:val="008C37D3"/>
  </w:style>
  <w:style w:type="character" w:styleId="Emphasis">
    <w:name w:val="Emphasis"/>
    <w:basedOn w:val="DefaultParagraphFont"/>
    <w:uiPriority w:val="20"/>
    <w:qFormat/>
    <w:rsid w:val="008C37D3"/>
    <w:rPr>
      <w:i/>
      <w:iCs/>
    </w:rPr>
  </w:style>
  <w:style w:type="paragraph" w:styleId="Revision">
    <w:name w:val="Revision"/>
    <w:hidden/>
    <w:uiPriority w:val="99"/>
    <w:semiHidden/>
    <w:rsid w:val="00BC6217"/>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027781">
      <w:bodyDiv w:val="1"/>
      <w:marLeft w:val="0"/>
      <w:marRight w:val="0"/>
      <w:marTop w:val="0"/>
      <w:marBottom w:val="0"/>
      <w:divBdr>
        <w:top w:val="none" w:sz="0" w:space="0" w:color="auto"/>
        <w:left w:val="none" w:sz="0" w:space="0" w:color="auto"/>
        <w:bottom w:val="none" w:sz="0" w:space="0" w:color="auto"/>
        <w:right w:val="none" w:sz="0" w:space="0" w:color="auto"/>
      </w:divBdr>
    </w:div>
    <w:div w:id="884760016">
      <w:bodyDiv w:val="1"/>
      <w:marLeft w:val="0"/>
      <w:marRight w:val="0"/>
      <w:marTop w:val="0"/>
      <w:marBottom w:val="0"/>
      <w:divBdr>
        <w:top w:val="none" w:sz="0" w:space="0" w:color="auto"/>
        <w:left w:val="none" w:sz="0" w:space="0" w:color="auto"/>
        <w:bottom w:val="none" w:sz="0" w:space="0" w:color="auto"/>
        <w:right w:val="none" w:sz="0" w:space="0" w:color="auto"/>
      </w:divBdr>
    </w:div>
    <w:div w:id="19053335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C88DA1-21A0-41E2-89CC-BA0EB3044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2189</Words>
  <Characters>12479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Corrective Services (Emerging Technologies and Security) and Other Legislation Amendment Bill 2022</vt:lpstr>
    </vt:vector>
  </TitlesOfParts>
  <Company/>
  <LinksUpToDate>false</LinksUpToDate>
  <CharactersWithSpaces>14639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Corrective Services (Emerging Technologies and Security) and Other Legislation Amendment Bill 2022</dc:title>
  <dc:subject/>
  <dc:creator>Julie Ball</dc:creator>
  <cp:keywords/>
  <dc:description/>
  <cp:lastModifiedBy>Julie Ball</cp:lastModifiedBy>
  <cp:revision>6</cp:revision>
  <cp:lastPrinted>2023-01-10T21:35:00Z</cp:lastPrinted>
  <dcterms:created xsi:type="dcterms:W3CDTF">2022-12-23T04:04:00Z</dcterms:created>
  <dcterms:modified xsi:type="dcterms:W3CDTF">2023-01-10T21:35:00Z</dcterms:modified>
</cp:coreProperties>
</file>