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color w:val="4F81BD" w:themeColor="accent1"/>
        </w:rPr>
        <w:id w:val="2067608509"/>
        <w:docPartObj>
          <w:docPartGallery w:val="Cover Pages"/>
          <w:docPartUnique/>
        </w:docPartObj>
      </w:sdtPr>
      <w:sdtEndPr>
        <w:rPr>
          <w:color w:val="auto"/>
        </w:rPr>
      </w:sdtEndPr>
      <w:sdtContent>
        <w:tbl>
          <w:tblPr>
            <w:tblpPr w:leftFromText="187" w:rightFromText="187" w:horzAnchor="margin" w:tblpXSpec="center" w:tblpYSpec="bottom"/>
            <w:tblW w:w="3857" w:type="pct"/>
            <w:tblLook w:val="04A0" w:firstRow="1" w:lastRow="0" w:firstColumn="1" w:lastColumn="0" w:noHBand="0" w:noVBand="1"/>
          </w:tblPr>
          <w:tblGrid>
            <w:gridCol w:w="6910"/>
          </w:tblGrid>
          <w:tr w:rsidR="00A5796F" w:rsidRPr="000E6120" w14:paraId="5AD57D96" w14:textId="77777777" w:rsidTr="005F4DF5">
            <w:tc>
              <w:tcPr>
                <w:tcW w:w="6910" w:type="dxa"/>
                <w:tcMar>
                  <w:top w:w="216" w:type="dxa"/>
                  <w:left w:w="115" w:type="dxa"/>
                  <w:bottom w:w="216" w:type="dxa"/>
                  <w:right w:w="115" w:type="dxa"/>
                </w:tcMar>
              </w:tcPr>
              <w:p w14:paraId="355A0DF0" w14:textId="21A90F68" w:rsidR="00A5796F" w:rsidRPr="000E6120" w:rsidRDefault="00A5796F" w:rsidP="00125F3A">
                <w:pPr>
                  <w:pStyle w:val="NoSpacing"/>
                  <w:spacing w:before="120" w:after="120"/>
                  <w:jc w:val="center"/>
                  <w:rPr>
                    <w:rFonts w:ascii="Arial" w:hAnsi="Arial" w:cs="Arial"/>
                    <w:color w:val="4F81BD" w:themeColor="accent1"/>
                  </w:rPr>
                </w:pPr>
              </w:p>
            </w:tc>
          </w:tr>
        </w:tbl>
        <w:p w14:paraId="0E43DD99" w14:textId="77777777" w:rsidR="005F4DF5" w:rsidRDefault="005F4DF5" w:rsidP="00A5796F">
          <w:pPr>
            <w:pStyle w:val="NoSpacing"/>
            <w:spacing w:before="120" w:after="120"/>
            <w:rPr>
              <w:rFonts w:ascii="Arial" w:eastAsiaTheme="majorEastAsia" w:hAnsi="Arial" w:cs="Arial"/>
              <w:color w:val="004270"/>
              <w:sz w:val="36"/>
              <w:szCs w:val="24"/>
              <w:lang w:val="en-AU"/>
            </w:rPr>
          </w:pPr>
        </w:p>
        <w:p w14:paraId="734C481E" w14:textId="77777777" w:rsidR="005F4DF5" w:rsidRDefault="005F4DF5" w:rsidP="00A5796F">
          <w:pPr>
            <w:pStyle w:val="NoSpacing"/>
            <w:spacing w:before="120" w:after="120"/>
            <w:rPr>
              <w:rFonts w:ascii="Arial" w:eastAsiaTheme="majorEastAsia" w:hAnsi="Arial" w:cs="Arial"/>
              <w:color w:val="004270"/>
              <w:sz w:val="36"/>
              <w:szCs w:val="24"/>
              <w:lang w:val="en-AU"/>
            </w:rPr>
          </w:pPr>
        </w:p>
        <w:p w14:paraId="1778179C" w14:textId="77777777" w:rsidR="005F4DF5" w:rsidRDefault="005F4DF5" w:rsidP="00A5796F">
          <w:pPr>
            <w:pStyle w:val="NoSpacing"/>
            <w:spacing w:before="120" w:after="120"/>
            <w:rPr>
              <w:rFonts w:ascii="Arial" w:eastAsiaTheme="majorEastAsia" w:hAnsi="Arial" w:cs="Arial"/>
              <w:color w:val="004270"/>
              <w:sz w:val="36"/>
              <w:szCs w:val="24"/>
              <w:lang w:val="en-AU"/>
            </w:rPr>
          </w:pPr>
        </w:p>
        <w:p w14:paraId="11DAF170" w14:textId="77777777" w:rsidR="005F4DF5" w:rsidRDefault="005F4DF5" w:rsidP="00A5796F">
          <w:pPr>
            <w:pStyle w:val="NoSpacing"/>
            <w:spacing w:before="120" w:after="120"/>
            <w:rPr>
              <w:rFonts w:ascii="Arial" w:eastAsiaTheme="majorEastAsia" w:hAnsi="Arial" w:cs="Arial"/>
              <w:color w:val="004270"/>
              <w:sz w:val="36"/>
              <w:szCs w:val="24"/>
              <w:lang w:val="en-AU"/>
            </w:rPr>
          </w:pPr>
        </w:p>
        <w:p w14:paraId="4BE02F1F" w14:textId="77777777" w:rsidR="005F4DF5" w:rsidRDefault="005F4DF5" w:rsidP="00A5796F">
          <w:pPr>
            <w:pStyle w:val="NoSpacing"/>
            <w:spacing w:before="120" w:after="120"/>
            <w:rPr>
              <w:rFonts w:ascii="Arial" w:eastAsiaTheme="majorEastAsia" w:hAnsi="Arial" w:cs="Arial"/>
              <w:color w:val="004270"/>
              <w:sz w:val="36"/>
              <w:szCs w:val="24"/>
              <w:lang w:val="en-AU"/>
            </w:rPr>
          </w:pPr>
        </w:p>
        <w:p w14:paraId="2FAD44BD" w14:textId="77777777" w:rsidR="005F4DF5" w:rsidRDefault="005F4DF5" w:rsidP="00A5796F">
          <w:pPr>
            <w:pStyle w:val="NoSpacing"/>
            <w:spacing w:before="120" w:after="120"/>
            <w:rPr>
              <w:rFonts w:ascii="Arial" w:eastAsiaTheme="majorEastAsia" w:hAnsi="Arial" w:cs="Arial"/>
              <w:color w:val="004270"/>
              <w:sz w:val="36"/>
              <w:szCs w:val="24"/>
              <w:lang w:val="en-AU"/>
            </w:rPr>
          </w:pPr>
        </w:p>
        <w:p w14:paraId="6F2A536A" w14:textId="727C9000" w:rsidR="005F4DF5" w:rsidRDefault="005F4DF5" w:rsidP="00A5796F">
          <w:pPr>
            <w:pStyle w:val="NoSpacing"/>
            <w:spacing w:before="120" w:after="120"/>
            <w:rPr>
              <w:rFonts w:ascii="Arial" w:eastAsiaTheme="majorEastAsia" w:hAnsi="Arial" w:cs="Arial"/>
              <w:color w:val="004270"/>
              <w:sz w:val="36"/>
              <w:szCs w:val="24"/>
              <w:lang w:val="en-AU"/>
            </w:rPr>
          </w:pPr>
          <w:r w:rsidRPr="000E6120">
            <w:rPr>
              <w:rFonts w:ascii="Arial" w:hAnsi="Arial" w:cs="Arial"/>
              <w:noProof/>
              <w:lang w:val="en-AU" w:eastAsia="en-AU"/>
            </w:rPr>
            <w:drawing>
              <wp:inline distT="0" distB="0" distL="0" distR="0" wp14:anchorId="3EC57B92" wp14:editId="3922787D">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74E71571" w14:textId="77777777" w:rsidR="005F4DF5" w:rsidRDefault="005F4DF5" w:rsidP="00A5796F">
          <w:pPr>
            <w:pStyle w:val="NoSpacing"/>
            <w:spacing w:before="120" w:after="120"/>
            <w:rPr>
              <w:rFonts w:ascii="Arial" w:eastAsiaTheme="majorEastAsia" w:hAnsi="Arial" w:cs="Arial"/>
              <w:color w:val="004270"/>
              <w:sz w:val="36"/>
              <w:szCs w:val="24"/>
              <w:lang w:val="en-AU"/>
            </w:rPr>
          </w:pPr>
        </w:p>
        <w:p w14:paraId="3339F42D" w14:textId="6D5318B3" w:rsidR="005F4DF5" w:rsidRDefault="005F4DF5" w:rsidP="005F4DF5">
          <w:pPr>
            <w:pStyle w:val="Title"/>
            <w:rPr>
              <w:rFonts w:cs="Arial"/>
            </w:rPr>
          </w:pPr>
        </w:p>
        <w:p w14:paraId="773DC982" w14:textId="77777777" w:rsidR="005F4DF5" w:rsidRDefault="005F4DF5" w:rsidP="00A5796F">
          <w:pPr>
            <w:pStyle w:val="NoSpacing"/>
            <w:spacing w:before="120" w:after="120"/>
            <w:rPr>
              <w:rFonts w:ascii="Arial" w:eastAsiaTheme="majorEastAsia" w:hAnsi="Arial" w:cs="Arial"/>
              <w:color w:val="004270"/>
              <w:sz w:val="36"/>
              <w:szCs w:val="24"/>
              <w:lang w:val="en-AU"/>
            </w:rPr>
          </w:pPr>
        </w:p>
        <w:p w14:paraId="2E6038C9" w14:textId="77777777" w:rsidR="005F4DF5" w:rsidRPr="005F4DF5" w:rsidRDefault="005F4DF5" w:rsidP="005F4DF5">
          <w:pPr>
            <w:pStyle w:val="Heading1"/>
            <w:rPr>
              <w:sz w:val="56"/>
              <w:szCs w:val="56"/>
            </w:rPr>
          </w:pPr>
          <w:r w:rsidRPr="005F4DF5">
            <w:rPr>
              <w:sz w:val="56"/>
              <w:szCs w:val="56"/>
            </w:rPr>
            <w:t xml:space="preserve">Criminal Procedure Review: </w:t>
          </w:r>
        </w:p>
        <w:p w14:paraId="332FF761" w14:textId="756B3F17" w:rsidR="005F4DF5" w:rsidRPr="005F4DF5" w:rsidRDefault="005F4DF5" w:rsidP="005F4DF5">
          <w:pPr>
            <w:pStyle w:val="Heading1"/>
            <w:rPr>
              <w:sz w:val="56"/>
              <w:szCs w:val="56"/>
            </w:rPr>
          </w:pPr>
          <w:r w:rsidRPr="005F4DF5">
            <w:rPr>
              <w:sz w:val="56"/>
              <w:szCs w:val="56"/>
            </w:rPr>
            <w:t>Magistrates Courts</w:t>
          </w:r>
        </w:p>
        <w:p w14:paraId="44D3337E" w14:textId="2BDB602C" w:rsidR="005F4DF5" w:rsidRDefault="005F4DF5" w:rsidP="00A5796F">
          <w:pPr>
            <w:pStyle w:val="NoSpacing"/>
            <w:spacing w:before="120" w:after="120"/>
            <w:rPr>
              <w:rFonts w:ascii="Arial" w:eastAsiaTheme="majorEastAsia" w:hAnsi="Arial" w:cs="Arial"/>
              <w:color w:val="004270"/>
              <w:sz w:val="36"/>
              <w:szCs w:val="24"/>
              <w:lang w:val="en-AU"/>
            </w:rPr>
          </w:pPr>
          <w:r>
            <w:rPr>
              <w:rFonts w:ascii="Arial" w:eastAsiaTheme="majorEastAsia" w:hAnsi="Arial" w:cs="Arial"/>
              <w:noProof/>
              <w:color w:val="004270"/>
              <w:sz w:val="36"/>
              <w:szCs w:val="24"/>
              <w:lang w:val="en-AU"/>
            </w:rPr>
            <mc:AlternateContent>
              <mc:Choice Requires="wps">
                <w:drawing>
                  <wp:anchor distT="0" distB="0" distL="114300" distR="114300" simplePos="0" relativeHeight="251659264" behindDoc="0" locked="0" layoutInCell="1" allowOverlap="1" wp14:anchorId="1A055160" wp14:editId="4153CB81">
                    <wp:simplePos x="0" y="0"/>
                    <wp:positionH relativeFrom="column">
                      <wp:posOffset>6984</wp:posOffset>
                    </wp:positionH>
                    <wp:positionV relativeFrom="paragraph">
                      <wp:posOffset>217170</wp:posOffset>
                    </wp:positionV>
                    <wp:extent cx="43719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371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9D9C8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7.1pt" to="344.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" strokecolor="#4579b8 [3044]"/>
                </w:pict>
              </mc:Fallback>
            </mc:AlternateContent>
          </w:r>
        </w:p>
        <w:p w14:paraId="0A8B733E" w14:textId="744FB0F7" w:rsidR="00FA3E60" w:rsidRPr="000E6120" w:rsidRDefault="00A5796F" w:rsidP="005F4DF5">
          <w:pPr>
            <w:pStyle w:val="Heading2"/>
            <w:rPr>
              <w:bCs/>
              <w:sz w:val="28"/>
            </w:rPr>
          </w:pPr>
          <w:r w:rsidRPr="000E6120">
            <w:t>Submission to</w:t>
          </w:r>
          <w:r w:rsidRPr="000E6120">
            <w:rPr>
              <w:bCs/>
              <w:sz w:val="28"/>
            </w:rPr>
            <w:t xml:space="preserve"> </w:t>
          </w:r>
          <w:r w:rsidR="0038470B" w:rsidRPr="000E6120">
            <w:t>Consultation Paper</w:t>
          </w:r>
        </w:p>
        <w:p w14:paraId="5F6041F6" w14:textId="77777777" w:rsidR="00FA3E60" w:rsidRPr="000E6120" w:rsidRDefault="00FA3E60" w:rsidP="00A5796F">
          <w:pPr>
            <w:pStyle w:val="NoSpacing"/>
            <w:spacing w:before="120" w:after="120"/>
            <w:rPr>
              <w:rFonts w:ascii="Arial" w:hAnsi="Arial" w:cs="Arial"/>
              <w:bCs/>
              <w:sz w:val="28"/>
            </w:rPr>
          </w:pPr>
        </w:p>
        <w:p w14:paraId="4EEF8626" w14:textId="77777777" w:rsidR="00FA3E60" w:rsidRPr="000E6120" w:rsidRDefault="00FA3E60" w:rsidP="00A5796F">
          <w:pPr>
            <w:pStyle w:val="NoSpacing"/>
            <w:spacing w:before="120" w:after="120"/>
            <w:rPr>
              <w:rFonts w:ascii="Arial" w:hAnsi="Arial" w:cs="Arial"/>
              <w:bCs/>
              <w:sz w:val="28"/>
            </w:rPr>
          </w:pPr>
        </w:p>
        <w:p w14:paraId="0790A378" w14:textId="0439A692" w:rsidR="004B0B0B" w:rsidRPr="000E6120" w:rsidRDefault="00820B66" w:rsidP="00A5796F">
          <w:pPr>
            <w:pStyle w:val="NoSpacing"/>
            <w:spacing w:before="120" w:after="120"/>
            <w:rPr>
              <w:rFonts w:ascii="Arial" w:eastAsiaTheme="majorEastAsia" w:hAnsi="Arial" w:cs="Arial"/>
              <w:color w:val="004270"/>
              <w:sz w:val="28"/>
              <w:szCs w:val="20"/>
              <w:lang w:val="en-AU"/>
            </w:rPr>
            <w:sectPr w:rsidR="004B0B0B" w:rsidRPr="000E6120" w:rsidSect="006B3DD8">
              <w:headerReference w:type="default" r:id="rId9"/>
              <w:footerReference w:type="default" r:id="rId10"/>
              <w:headerReference w:type="first" r:id="rId11"/>
              <w:footerReference w:type="first" r:id="rId12"/>
              <w:pgSz w:w="11906" w:h="16838" w:code="9"/>
              <w:pgMar w:top="1559" w:right="1474" w:bottom="1440" w:left="1474" w:header="709" w:footer="658" w:gutter="0"/>
              <w:cols w:space="708"/>
              <w:docGrid w:linePitch="360"/>
            </w:sectPr>
          </w:pPr>
          <w:r>
            <w:rPr>
              <w:rFonts w:ascii="Arial" w:eastAsiaTheme="majorEastAsia" w:hAnsi="Arial" w:cs="Arial"/>
              <w:color w:val="004270"/>
              <w:sz w:val="28"/>
              <w:szCs w:val="20"/>
              <w:lang w:val="en-AU"/>
            </w:rPr>
            <w:t>30</w:t>
          </w:r>
          <w:r w:rsidR="00AE4BF1" w:rsidRPr="000E6120">
            <w:rPr>
              <w:rFonts w:ascii="Arial" w:eastAsiaTheme="majorEastAsia" w:hAnsi="Arial" w:cs="Arial"/>
              <w:color w:val="004270"/>
              <w:sz w:val="28"/>
              <w:szCs w:val="20"/>
              <w:lang w:val="en-AU"/>
            </w:rPr>
            <w:t xml:space="preserve"> </w:t>
          </w:r>
          <w:r w:rsidR="0038470B" w:rsidRPr="000E6120">
            <w:rPr>
              <w:rFonts w:ascii="Arial" w:eastAsiaTheme="majorEastAsia" w:hAnsi="Arial" w:cs="Arial"/>
              <w:color w:val="004270"/>
              <w:sz w:val="28"/>
              <w:szCs w:val="20"/>
              <w:lang w:val="en-AU"/>
            </w:rPr>
            <w:t>June</w:t>
          </w:r>
          <w:r w:rsidR="00FA3E60" w:rsidRPr="000E6120">
            <w:rPr>
              <w:rFonts w:ascii="Arial" w:eastAsiaTheme="majorEastAsia" w:hAnsi="Arial" w:cs="Arial"/>
              <w:color w:val="004270"/>
              <w:sz w:val="28"/>
              <w:szCs w:val="20"/>
              <w:lang w:val="en-AU"/>
            </w:rPr>
            <w:t xml:space="preserve"> 2022</w:t>
          </w:r>
        </w:p>
        <w:p w14:paraId="4B3FD5AF" w14:textId="0ACF54A9" w:rsidR="00A5796F" w:rsidRPr="000E6120" w:rsidRDefault="005F4DF5" w:rsidP="00A5796F">
          <w:pPr>
            <w:pStyle w:val="NoSpacing"/>
            <w:spacing w:before="120" w:after="120"/>
            <w:rPr>
              <w:rFonts w:ascii="Arial" w:hAnsi="Arial" w:cs="Arial"/>
            </w:rPr>
          </w:pPr>
        </w:p>
      </w:sdtContent>
    </w:sdt>
    <w:p w14:paraId="216D9511" w14:textId="77777777" w:rsidR="00A5796F" w:rsidRPr="000E6120" w:rsidRDefault="00A5796F" w:rsidP="00FA3E60">
      <w:pPr>
        <w:spacing w:after="200" w:line="276" w:lineRule="auto"/>
        <w:jc w:val="both"/>
        <w:rPr>
          <w:rFonts w:ascii="Arial" w:eastAsiaTheme="majorEastAsia" w:hAnsi="Arial" w:cs="Arial"/>
          <w:b/>
          <w:bCs/>
          <w:color w:val="auto"/>
          <w:sz w:val="28"/>
          <w:szCs w:val="28"/>
        </w:rPr>
      </w:pPr>
      <w:r w:rsidRPr="000E6120">
        <w:rPr>
          <w:rFonts w:ascii="Arial" w:hAnsi="Arial" w:cs="Arial"/>
        </w:rPr>
        <w:br w:type="page"/>
      </w:r>
    </w:p>
    <w:p w14:paraId="5CDA8A80" w14:textId="77777777" w:rsidR="00B1657F" w:rsidRPr="00B1657F" w:rsidRDefault="00CB0768" w:rsidP="00B1657F">
      <w:pPr>
        <w:pStyle w:val="TOC1"/>
        <w:rPr>
          <w:sz w:val="2"/>
          <w:szCs w:val="2"/>
        </w:rPr>
      </w:pPr>
      <w:r w:rsidRPr="00CB0768">
        <w:lastRenderedPageBreak/>
        <w:fldChar w:fldCharType="begin"/>
      </w:r>
      <w:r w:rsidRPr="00CB0768">
        <w:instrText xml:space="preserve"> TOC \o "1-2" \h \z \u </w:instrText>
      </w:r>
      <w:r w:rsidRPr="00CB0768">
        <w:fldChar w:fldCharType="separate"/>
      </w:r>
    </w:p>
    <w:sdt>
      <w:sdtPr>
        <w:rPr>
          <w:rFonts w:ascii="Calibri" w:eastAsia="Calibri" w:hAnsi="Calibri" w:cs="Calibri"/>
          <w:color w:val="000000"/>
          <w:sz w:val="22"/>
          <w:szCs w:val="22"/>
        </w:rPr>
        <w:id w:val="-920794727"/>
        <w:docPartObj>
          <w:docPartGallery w:val="Table of Contents"/>
          <w:docPartUnique/>
        </w:docPartObj>
      </w:sdtPr>
      <w:sdtEndPr>
        <w:rPr>
          <w:b/>
          <w:bCs/>
          <w:noProof/>
        </w:rPr>
      </w:sdtEndPr>
      <w:sdtContent>
        <w:p w14:paraId="470042B1" w14:textId="359ADF56" w:rsidR="00B1657F" w:rsidRDefault="00B1657F" w:rsidP="005F4DF5">
          <w:pPr>
            <w:pStyle w:val="Heading1"/>
          </w:pPr>
          <w:r w:rsidRPr="007445F1">
            <w:t>Contents</w:t>
          </w:r>
        </w:p>
        <w:p w14:paraId="1176C5DB" w14:textId="77777777" w:rsidR="005F4DF5" w:rsidRPr="005F4DF5" w:rsidRDefault="005F4DF5" w:rsidP="005F4DF5"/>
        <w:p w14:paraId="3D96A99E" w14:textId="6244E7D9" w:rsidR="00B1657F" w:rsidRPr="00B1657F" w:rsidRDefault="00B1657F" w:rsidP="00B1657F">
          <w:pPr>
            <w:pStyle w:val="TOC1"/>
            <w:rPr>
              <w:rFonts w:ascii="Arial" w:hAnsi="Arial" w:cs="Arial"/>
              <w:sz w:val="24"/>
              <w:szCs w:val="24"/>
            </w:rPr>
          </w:pPr>
          <w:r w:rsidRPr="00B1657F">
            <w:rPr>
              <w:rFonts w:ascii="Arial" w:hAnsi="Arial" w:cs="Arial"/>
              <w:sz w:val="24"/>
              <w:szCs w:val="24"/>
            </w:rPr>
            <w:fldChar w:fldCharType="begin"/>
          </w:r>
          <w:r w:rsidRPr="00B1657F">
            <w:rPr>
              <w:rFonts w:ascii="Arial" w:hAnsi="Arial" w:cs="Arial"/>
              <w:sz w:val="24"/>
              <w:szCs w:val="24"/>
            </w:rPr>
            <w:instrText xml:space="preserve"> TOC \o "1-3" \h \z \u </w:instrText>
          </w:r>
          <w:r w:rsidRPr="00B1657F">
            <w:rPr>
              <w:rFonts w:ascii="Arial" w:hAnsi="Arial" w:cs="Arial"/>
              <w:sz w:val="24"/>
              <w:szCs w:val="24"/>
            </w:rPr>
            <w:fldChar w:fldCharType="separate"/>
          </w:r>
          <w:hyperlink w:anchor="_Toc107478090" w:history="1">
            <w:r w:rsidRPr="00B1657F">
              <w:rPr>
                <w:rStyle w:val="Hyperlink"/>
                <w:rFonts w:ascii="Arial" w:hAnsi="Arial" w:cs="Arial"/>
                <w:sz w:val="24"/>
                <w:szCs w:val="24"/>
              </w:rPr>
              <w:t>Introduction</w:t>
            </w:r>
            <w:r w:rsidRPr="00B1657F">
              <w:rPr>
                <w:rFonts w:ascii="Arial" w:hAnsi="Arial" w:cs="Arial"/>
                <w:webHidden/>
                <w:sz w:val="24"/>
                <w:szCs w:val="24"/>
              </w:rPr>
              <w:tab/>
            </w:r>
            <w:r w:rsidRPr="00B1657F">
              <w:rPr>
                <w:rFonts w:ascii="Arial" w:hAnsi="Arial" w:cs="Arial"/>
                <w:webHidden/>
                <w:sz w:val="24"/>
                <w:szCs w:val="24"/>
              </w:rPr>
              <w:fldChar w:fldCharType="begin"/>
            </w:r>
            <w:r w:rsidRPr="00B1657F">
              <w:rPr>
                <w:rFonts w:ascii="Arial" w:hAnsi="Arial" w:cs="Arial"/>
                <w:webHidden/>
                <w:sz w:val="24"/>
                <w:szCs w:val="24"/>
              </w:rPr>
              <w:instrText xml:space="preserve"> PAGEREF _Toc107478090 \h </w:instrText>
            </w:r>
            <w:r w:rsidRPr="00B1657F">
              <w:rPr>
                <w:rFonts w:ascii="Arial" w:hAnsi="Arial" w:cs="Arial"/>
                <w:webHidden/>
                <w:sz w:val="24"/>
                <w:szCs w:val="24"/>
              </w:rPr>
            </w:r>
            <w:r w:rsidRPr="00B1657F">
              <w:rPr>
                <w:rFonts w:ascii="Arial" w:hAnsi="Arial" w:cs="Arial"/>
                <w:webHidden/>
                <w:sz w:val="24"/>
                <w:szCs w:val="24"/>
              </w:rPr>
              <w:fldChar w:fldCharType="separate"/>
            </w:r>
            <w:r w:rsidR="00860DEB">
              <w:rPr>
                <w:rFonts w:ascii="Arial" w:hAnsi="Arial" w:cs="Arial"/>
                <w:webHidden/>
                <w:sz w:val="24"/>
                <w:szCs w:val="24"/>
              </w:rPr>
              <w:t>3</w:t>
            </w:r>
            <w:r w:rsidRPr="00B1657F">
              <w:rPr>
                <w:rFonts w:ascii="Arial" w:hAnsi="Arial" w:cs="Arial"/>
                <w:webHidden/>
                <w:sz w:val="24"/>
                <w:szCs w:val="24"/>
              </w:rPr>
              <w:fldChar w:fldCharType="end"/>
            </w:r>
          </w:hyperlink>
        </w:p>
        <w:p w14:paraId="57F5F11B" w14:textId="42096810" w:rsidR="00B1657F" w:rsidRPr="00B1657F" w:rsidRDefault="005F4DF5" w:rsidP="00B1657F">
          <w:pPr>
            <w:pStyle w:val="TOC1"/>
            <w:rPr>
              <w:rFonts w:ascii="Arial" w:hAnsi="Arial" w:cs="Arial"/>
              <w:sz w:val="24"/>
              <w:szCs w:val="24"/>
            </w:rPr>
          </w:pPr>
          <w:hyperlink w:anchor="_Toc107478091" w:history="1">
            <w:r w:rsidR="00B1657F" w:rsidRPr="00B1657F">
              <w:rPr>
                <w:rStyle w:val="Hyperlink"/>
                <w:rFonts w:ascii="Arial" w:hAnsi="Arial" w:cs="Arial"/>
                <w:sz w:val="24"/>
                <w:szCs w:val="24"/>
              </w:rPr>
              <w:t xml:space="preserve">Human </w:t>
            </w:r>
            <w:r>
              <w:rPr>
                <w:rStyle w:val="Hyperlink"/>
                <w:rFonts w:ascii="Arial" w:hAnsi="Arial" w:cs="Arial"/>
                <w:sz w:val="24"/>
                <w:szCs w:val="24"/>
              </w:rPr>
              <w:t>r</w:t>
            </w:r>
            <w:r w:rsidR="00B1657F" w:rsidRPr="00B1657F">
              <w:rPr>
                <w:rStyle w:val="Hyperlink"/>
                <w:rFonts w:ascii="Arial" w:hAnsi="Arial" w:cs="Arial"/>
                <w:sz w:val="24"/>
                <w:szCs w:val="24"/>
              </w:rPr>
              <w:t>ights in Queensland</w:t>
            </w:r>
            <w:r w:rsidR="00B1657F" w:rsidRPr="00B1657F">
              <w:rPr>
                <w:rFonts w:ascii="Arial" w:hAnsi="Arial" w:cs="Arial"/>
                <w:webHidden/>
                <w:sz w:val="24"/>
                <w:szCs w:val="24"/>
              </w:rPr>
              <w:tab/>
            </w:r>
            <w:r w:rsidR="00B1657F" w:rsidRPr="00B1657F">
              <w:rPr>
                <w:rFonts w:ascii="Arial" w:hAnsi="Arial" w:cs="Arial"/>
                <w:webHidden/>
                <w:sz w:val="24"/>
                <w:szCs w:val="24"/>
              </w:rPr>
              <w:fldChar w:fldCharType="begin"/>
            </w:r>
            <w:r w:rsidR="00B1657F" w:rsidRPr="00B1657F">
              <w:rPr>
                <w:rFonts w:ascii="Arial" w:hAnsi="Arial" w:cs="Arial"/>
                <w:webHidden/>
                <w:sz w:val="24"/>
                <w:szCs w:val="24"/>
              </w:rPr>
              <w:instrText xml:space="preserve"> PAGEREF _Toc107478091 \h </w:instrText>
            </w:r>
            <w:r w:rsidR="00B1657F" w:rsidRPr="00B1657F">
              <w:rPr>
                <w:rFonts w:ascii="Arial" w:hAnsi="Arial" w:cs="Arial"/>
                <w:webHidden/>
                <w:sz w:val="24"/>
                <w:szCs w:val="24"/>
              </w:rPr>
            </w:r>
            <w:r w:rsidR="00B1657F" w:rsidRPr="00B1657F">
              <w:rPr>
                <w:rFonts w:ascii="Arial" w:hAnsi="Arial" w:cs="Arial"/>
                <w:webHidden/>
                <w:sz w:val="24"/>
                <w:szCs w:val="24"/>
              </w:rPr>
              <w:fldChar w:fldCharType="separate"/>
            </w:r>
            <w:r w:rsidR="00860DEB">
              <w:rPr>
                <w:rFonts w:ascii="Arial" w:hAnsi="Arial" w:cs="Arial"/>
                <w:webHidden/>
                <w:sz w:val="24"/>
                <w:szCs w:val="24"/>
              </w:rPr>
              <w:t>3</w:t>
            </w:r>
            <w:r w:rsidR="00B1657F" w:rsidRPr="00B1657F">
              <w:rPr>
                <w:rFonts w:ascii="Arial" w:hAnsi="Arial" w:cs="Arial"/>
                <w:webHidden/>
                <w:sz w:val="24"/>
                <w:szCs w:val="24"/>
              </w:rPr>
              <w:fldChar w:fldCharType="end"/>
            </w:r>
          </w:hyperlink>
        </w:p>
        <w:p w14:paraId="112F896E" w14:textId="72D26329" w:rsidR="00B1657F" w:rsidRPr="00B1657F" w:rsidRDefault="005F4DF5">
          <w:pPr>
            <w:pStyle w:val="TOC2"/>
            <w:tabs>
              <w:tab w:val="right" w:leader="dot" w:pos="8948"/>
            </w:tabs>
            <w:rPr>
              <w:rFonts w:ascii="Arial" w:eastAsiaTheme="minorEastAsia" w:hAnsi="Arial" w:cs="Arial"/>
              <w:noProof/>
              <w:color w:val="auto"/>
              <w:sz w:val="24"/>
              <w:szCs w:val="24"/>
            </w:rPr>
          </w:pPr>
          <w:hyperlink w:anchor="_Toc107478092" w:history="1">
            <w:r w:rsidR="00B1657F" w:rsidRPr="00B1657F">
              <w:rPr>
                <w:rStyle w:val="Hyperlink"/>
                <w:rFonts w:ascii="Arial" w:hAnsi="Arial" w:cs="Arial"/>
                <w:noProof/>
                <w:sz w:val="24"/>
                <w:szCs w:val="24"/>
              </w:rPr>
              <w:t>Compatible with human rights</w:t>
            </w:r>
            <w:r w:rsidR="00B1657F" w:rsidRPr="00B1657F">
              <w:rPr>
                <w:rFonts w:ascii="Arial" w:hAnsi="Arial" w:cs="Arial"/>
                <w:noProof/>
                <w:webHidden/>
                <w:sz w:val="24"/>
                <w:szCs w:val="24"/>
              </w:rPr>
              <w:tab/>
            </w:r>
            <w:r w:rsidR="00B1657F" w:rsidRPr="00B1657F">
              <w:rPr>
                <w:rFonts w:ascii="Arial" w:hAnsi="Arial" w:cs="Arial"/>
                <w:noProof/>
                <w:webHidden/>
                <w:sz w:val="24"/>
                <w:szCs w:val="24"/>
              </w:rPr>
              <w:fldChar w:fldCharType="begin"/>
            </w:r>
            <w:r w:rsidR="00B1657F" w:rsidRPr="00B1657F">
              <w:rPr>
                <w:rFonts w:ascii="Arial" w:hAnsi="Arial" w:cs="Arial"/>
                <w:noProof/>
                <w:webHidden/>
                <w:sz w:val="24"/>
                <w:szCs w:val="24"/>
              </w:rPr>
              <w:instrText xml:space="preserve"> PAGEREF _Toc107478092 \h </w:instrText>
            </w:r>
            <w:r w:rsidR="00B1657F" w:rsidRPr="00B1657F">
              <w:rPr>
                <w:rFonts w:ascii="Arial" w:hAnsi="Arial" w:cs="Arial"/>
                <w:noProof/>
                <w:webHidden/>
                <w:sz w:val="24"/>
                <w:szCs w:val="24"/>
              </w:rPr>
            </w:r>
            <w:r w:rsidR="00B1657F" w:rsidRPr="00B1657F">
              <w:rPr>
                <w:rFonts w:ascii="Arial" w:hAnsi="Arial" w:cs="Arial"/>
                <w:noProof/>
                <w:webHidden/>
                <w:sz w:val="24"/>
                <w:szCs w:val="24"/>
              </w:rPr>
              <w:fldChar w:fldCharType="separate"/>
            </w:r>
            <w:r w:rsidR="00860DEB">
              <w:rPr>
                <w:rFonts w:ascii="Arial" w:hAnsi="Arial" w:cs="Arial"/>
                <w:noProof/>
                <w:webHidden/>
                <w:sz w:val="24"/>
                <w:szCs w:val="24"/>
              </w:rPr>
              <w:t>3</w:t>
            </w:r>
            <w:r w:rsidR="00B1657F" w:rsidRPr="00B1657F">
              <w:rPr>
                <w:rFonts w:ascii="Arial" w:hAnsi="Arial" w:cs="Arial"/>
                <w:noProof/>
                <w:webHidden/>
                <w:sz w:val="24"/>
                <w:szCs w:val="24"/>
              </w:rPr>
              <w:fldChar w:fldCharType="end"/>
            </w:r>
          </w:hyperlink>
        </w:p>
        <w:p w14:paraId="67B7F4A9" w14:textId="1DD59355" w:rsidR="00B1657F" w:rsidRPr="00B1657F" w:rsidRDefault="005F4DF5">
          <w:pPr>
            <w:pStyle w:val="TOC2"/>
            <w:tabs>
              <w:tab w:val="right" w:leader="dot" w:pos="8948"/>
            </w:tabs>
            <w:rPr>
              <w:rFonts w:ascii="Arial" w:eastAsiaTheme="minorEastAsia" w:hAnsi="Arial" w:cs="Arial"/>
              <w:noProof/>
              <w:color w:val="auto"/>
              <w:sz w:val="24"/>
              <w:szCs w:val="24"/>
            </w:rPr>
          </w:pPr>
          <w:hyperlink w:anchor="_Toc107478093" w:history="1">
            <w:r w:rsidR="00B1657F" w:rsidRPr="00B1657F">
              <w:rPr>
                <w:rStyle w:val="Hyperlink"/>
                <w:rFonts w:ascii="Arial" w:hAnsi="Arial" w:cs="Arial"/>
                <w:noProof/>
                <w:sz w:val="24"/>
                <w:szCs w:val="24"/>
              </w:rPr>
              <w:t>Obligations on public entities</w:t>
            </w:r>
            <w:r w:rsidR="00B1657F" w:rsidRPr="00B1657F">
              <w:rPr>
                <w:rFonts w:ascii="Arial" w:hAnsi="Arial" w:cs="Arial"/>
                <w:noProof/>
                <w:webHidden/>
                <w:sz w:val="24"/>
                <w:szCs w:val="24"/>
              </w:rPr>
              <w:tab/>
            </w:r>
            <w:r w:rsidR="00B1657F" w:rsidRPr="00B1657F">
              <w:rPr>
                <w:rFonts w:ascii="Arial" w:hAnsi="Arial" w:cs="Arial"/>
                <w:noProof/>
                <w:webHidden/>
                <w:sz w:val="24"/>
                <w:szCs w:val="24"/>
              </w:rPr>
              <w:fldChar w:fldCharType="begin"/>
            </w:r>
            <w:r w:rsidR="00B1657F" w:rsidRPr="00B1657F">
              <w:rPr>
                <w:rFonts w:ascii="Arial" w:hAnsi="Arial" w:cs="Arial"/>
                <w:noProof/>
                <w:webHidden/>
                <w:sz w:val="24"/>
                <w:szCs w:val="24"/>
              </w:rPr>
              <w:instrText xml:space="preserve"> PAGEREF _Toc107478093 \h </w:instrText>
            </w:r>
            <w:r w:rsidR="00B1657F" w:rsidRPr="00B1657F">
              <w:rPr>
                <w:rFonts w:ascii="Arial" w:hAnsi="Arial" w:cs="Arial"/>
                <w:noProof/>
                <w:webHidden/>
                <w:sz w:val="24"/>
                <w:szCs w:val="24"/>
              </w:rPr>
            </w:r>
            <w:r w:rsidR="00B1657F" w:rsidRPr="00B1657F">
              <w:rPr>
                <w:rFonts w:ascii="Arial" w:hAnsi="Arial" w:cs="Arial"/>
                <w:noProof/>
                <w:webHidden/>
                <w:sz w:val="24"/>
                <w:szCs w:val="24"/>
              </w:rPr>
              <w:fldChar w:fldCharType="separate"/>
            </w:r>
            <w:r w:rsidR="00860DEB">
              <w:rPr>
                <w:rFonts w:ascii="Arial" w:hAnsi="Arial" w:cs="Arial"/>
                <w:noProof/>
                <w:webHidden/>
                <w:sz w:val="24"/>
                <w:szCs w:val="24"/>
              </w:rPr>
              <w:t>5</w:t>
            </w:r>
            <w:r w:rsidR="00B1657F" w:rsidRPr="00B1657F">
              <w:rPr>
                <w:rFonts w:ascii="Arial" w:hAnsi="Arial" w:cs="Arial"/>
                <w:noProof/>
                <w:webHidden/>
                <w:sz w:val="24"/>
                <w:szCs w:val="24"/>
              </w:rPr>
              <w:fldChar w:fldCharType="end"/>
            </w:r>
          </w:hyperlink>
        </w:p>
        <w:p w14:paraId="1731DDF9" w14:textId="062336B4" w:rsidR="00B1657F" w:rsidRPr="00B1657F" w:rsidRDefault="005F4DF5">
          <w:pPr>
            <w:pStyle w:val="TOC2"/>
            <w:tabs>
              <w:tab w:val="right" w:leader="dot" w:pos="8948"/>
            </w:tabs>
            <w:rPr>
              <w:rFonts w:ascii="Arial" w:eastAsiaTheme="minorEastAsia" w:hAnsi="Arial" w:cs="Arial"/>
              <w:noProof/>
              <w:color w:val="auto"/>
              <w:sz w:val="24"/>
              <w:szCs w:val="24"/>
            </w:rPr>
          </w:pPr>
          <w:hyperlink w:anchor="_Toc107478094" w:history="1">
            <w:r w:rsidR="00B1657F" w:rsidRPr="00B1657F">
              <w:rPr>
                <w:rStyle w:val="Hyperlink"/>
                <w:rFonts w:ascii="Arial" w:eastAsia="Times New Roman" w:hAnsi="Arial" w:cs="Arial"/>
                <w:noProof/>
                <w:sz w:val="24"/>
                <w:szCs w:val="24"/>
              </w:rPr>
              <w:t>Application of the HR Act to the Magistrates Courts</w:t>
            </w:r>
            <w:r w:rsidR="00B1657F" w:rsidRPr="00B1657F">
              <w:rPr>
                <w:rFonts w:ascii="Arial" w:hAnsi="Arial" w:cs="Arial"/>
                <w:noProof/>
                <w:webHidden/>
                <w:sz w:val="24"/>
                <w:szCs w:val="24"/>
              </w:rPr>
              <w:tab/>
            </w:r>
            <w:r w:rsidR="00B1657F" w:rsidRPr="00B1657F">
              <w:rPr>
                <w:rFonts w:ascii="Arial" w:hAnsi="Arial" w:cs="Arial"/>
                <w:noProof/>
                <w:webHidden/>
                <w:sz w:val="24"/>
                <w:szCs w:val="24"/>
              </w:rPr>
              <w:fldChar w:fldCharType="begin"/>
            </w:r>
            <w:r w:rsidR="00B1657F" w:rsidRPr="00B1657F">
              <w:rPr>
                <w:rFonts w:ascii="Arial" w:hAnsi="Arial" w:cs="Arial"/>
                <w:noProof/>
                <w:webHidden/>
                <w:sz w:val="24"/>
                <w:szCs w:val="24"/>
              </w:rPr>
              <w:instrText xml:space="preserve"> PAGEREF _Toc107478094 \h </w:instrText>
            </w:r>
            <w:r w:rsidR="00B1657F" w:rsidRPr="00B1657F">
              <w:rPr>
                <w:rFonts w:ascii="Arial" w:hAnsi="Arial" w:cs="Arial"/>
                <w:noProof/>
                <w:webHidden/>
                <w:sz w:val="24"/>
                <w:szCs w:val="24"/>
              </w:rPr>
            </w:r>
            <w:r w:rsidR="00B1657F" w:rsidRPr="00B1657F">
              <w:rPr>
                <w:rFonts w:ascii="Arial" w:hAnsi="Arial" w:cs="Arial"/>
                <w:noProof/>
                <w:webHidden/>
                <w:sz w:val="24"/>
                <w:szCs w:val="24"/>
              </w:rPr>
              <w:fldChar w:fldCharType="separate"/>
            </w:r>
            <w:r w:rsidR="00860DEB">
              <w:rPr>
                <w:rFonts w:ascii="Arial" w:hAnsi="Arial" w:cs="Arial"/>
                <w:noProof/>
                <w:webHidden/>
                <w:sz w:val="24"/>
                <w:szCs w:val="24"/>
              </w:rPr>
              <w:t>6</w:t>
            </w:r>
            <w:r w:rsidR="00B1657F" w:rsidRPr="00B1657F">
              <w:rPr>
                <w:rFonts w:ascii="Arial" w:hAnsi="Arial" w:cs="Arial"/>
                <w:noProof/>
                <w:webHidden/>
                <w:sz w:val="24"/>
                <w:szCs w:val="24"/>
              </w:rPr>
              <w:fldChar w:fldCharType="end"/>
            </w:r>
          </w:hyperlink>
        </w:p>
        <w:p w14:paraId="6F1D667B" w14:textId="746CB1CB" w:rsidR="00B1657F" w:rsidRPr="00B1657F" w:rsidRDefault="005F4DF5">
          <w:pPr>
            <w:pStyle w:val="TOC3"/>
            <w:tabs>
              <w:tab w:val="right" w:leader="dot" w:pos="8948"/>
            </w:tabs>
            <w:rPr>
              <w:rFonts w:ascii="Arial" w:eastAsiaTheme="minorEastAsia" w:hAnsi="Arial" w:cs="Arial"/>
              <w:noProof/>
              <w:color w:val="auto"/>
              <w:sz w:val="24"/>
              <w:szCs w:val="24"/>
            </w:rPr>
          </w:pPr>
          <w:hyperlink w:anchor="_Toc107478095" w:history="1">
            <w:r w:rsidR="00B1657F" w:rsidRPr="00B1657F">
              <w:rPr>
                <w:rStyle w:val="Hyperlink"/>
                <w:rFonts w:ascii="Arial" w:hAnsi="Arial" w:cs="Arial"/>
                <w:noProof/>
                <w:sz w:val="24"/>
                <w:szCs w:val="24"/>
              </w:rPr>
              <w:t>Acting in an administrative capacity</w:t>
            </w:r>
            <w:r w:rsidR="00B1657F" w:rsidRPr="00B1657F">
              <w:rPr>
                <w:rFonts w:ascii="Arial" w:hAnsi="Arial" w:cs="Arial"/>
                <w:noProof/>
                <w:webHidden/>
                <w:sz w:val="24"/>
                <w:szCs w:val="24"/>
              </w:rPr>
              <w:tab/>
            </w:r>
            <w:r w:rsidR="00B1657F" w:rsidRPr="00B1657F">
              <w:rPr>
                <w:rFonts w:ascii="Arial" w:hAnsi="Arial" w:cs="Arial"/>
                <w:noProof/>
                <w:webHidden/>
                <w:sz w:val="24"/>
                <w:szCs w:val="24"/>
              </w:rPr>
              <w:fldChar w:fldCharType="begin"/>
            </w:r>
            <w:r w:rsidR="00B1657F" w:rsidRPr="00B1657F">
              <w:rPr>
                <w:rFonts w:ascii="Arial" w:hAnsi="Arial" w:cs="Arial"/>
                <w:noProof/>
                <w:webHidden/>
                <w:sz w:val="24"/>
                <w:szCs w:val="24"/>
              </w:rPr>
              <w:instrText xml:space="preserve"> PAGEREF _Toc107478095 \h </w:instrText>
            </w:r>
            <w:r w:rsidR="00B1657F" w:rsidRPr="00B1657F">
              <w:rPr>
                <w:rFonts w:ascii="Arial" w:hAnsi="Arial" w:cs="Arial"/>
                <w:noProof/>
                <w:webHidden/>
                <w:sz w:val="24"/>
                <w:szCs w:val="24"/>
              </w:rPr>
            </w:r>
            <w:r w:rsidR="00B1657F" w:rsidRPr="00B1657F">
              <w:rPr>
                <w:rFonts w:ascii="Arial" w:hAnsi="Arial" w:cs="Arial"/>
                <w:noProof/>
                <w:webHidden/>
                <w:sz w:val="24"/>
                <w:szCs w:val="24"/>
              </w:rPr>
              <w:fldChar w:fldCharType="separate"/>
            </w:r>
            <w:r w:rsidR="00860DEB">
              <w:rPr>
                <w:rFonts w:ascii="Arial" w:hAnsi="Arial" w:cs="Arial"/>
                <w:noProof/>
                <w:webHidden/>
                <w:sz w:val="24"/>
                <w:szCs w:val="24"/>
              </w:rPr>
              <w:t>6</w:t>
            </w:r>
            <w:r w:rsidR="00B1657F" w:rsidRPr="00B1657F">
              <w:rPr>
                <w:rFonts w:ascii="Arial" w:hAnsi="Arial" w:cs="Arial"/>
                <w:noProof/>
                <w:webHidden/>
                <w:sz w:val="24"/>
                <w:szCs w:val="24"/>
              </w:rPr>
              <w:fldChar w:fldCharType="end"/>
            </w:r>
          </w:hyperlink>
        </w:p>
        <w:p w14:paraId="55F17265" w14:textId="23BA69FE" w:rsidR="00B1657F" w:rsidRPr="00B1657F" w:rsidRDefault="005F4DF5">
          <w:pPr>
            <w:pStyle w:val="TOC3"/>
            <w:tabs>
              <w:tab w:val="right" w:leader="dot" w:pos="8948"/>
            </w:tabs>
            <w:rPr>
              <w:rFonts w:ascii="Arial" w:eastAsiaTheme="minorEastAsia" w:hAnsi="Arial" w:cs="Arial"/>
              <w:noProof/>
              <w:color w:val="auto"/>
              <w:sz w:val="24"/>
              <w:szCs w:val="24"/>
            </w:rPr>
          </w:pPr>
          <w:hyperlink w:anchor="_Toc107478096" w:history="1">
            <w:r w:rsidR="00B1657F" w:rsidRPr="00B1657F">
              <w:rPr>
                <w:rStyle w:val="Hyperlink"/>
                <w:rFonts w:ascii="Arial" w:hAnsi="Arial" w:cs="Arial"/>
                <w:noProof/>
                <w:sz w:val="24"/>
                <w:szCs w:val="24"/>
              </w:rPr>
              <w:t>Performing functions relevant to human rights</w:t>
            </w:r>
            <w:r w:rsidR="00B1657F" w:rsidRPr="00B1657F">
              <w:rPr>
                <w:rFonts w:ascii="Arial" w:hAnsi="Arial" w:cs="Arial"/>
                <w:noProof/>
                <w:webHidden/>
                <w:sz w:val="24"/>
                <w:szCs w:val="24"/>
              </w:rPr>
              <w:tab/>
            </w:r>
            <w:r w:rsidR="00B1657F" w:rsidRPr="00B1657F">
              <w:rPr>
                <w:rFonts w:ascii="Arial" w:hAnsi="Arial" w:cs="Arial"/>
                <w:noProof/>
                <w:webHidden/>
                <w:sz w:val="24"/>
                <w:szCs w:val="24"/>
              </w:rPr>
              <w:fldChar w:fldCharType="begin"/>
            </w:r>
            <w:r w:rsidR="00B1657F" w:rsidRPr="00B1657F">
              <w:rPr>
                <w:rFonts w:ascii="Arial" w:hAnsi="Arial" w:cs="Arial"/>
                <w:noProof/>
                <w:webHidden/>
                <w:sz w:val="24"/>
                <w:szCs w:val="24"/>
              </w:rPr>
              <w:instrText xml:space="preserve"> PAGEREF _Toc107478096 \h </w:instrText>
            </w:r>
            <w:r w:rsidR="00B1657F" w:rsidRPr="00B1657F">
              <w:rPr>
                <w:rFonts w:ascii="Arial" w:hAnsi="Arial" w:cs="Arial"/>
                <w:noProof/>
                <w:webHidden/>
                <w:sz w:val="24"/>
                <w:szCs w:val="24"/>
              </w:rPr>
            </w:r>
            <w:r w:rsidR="00B1657F" w:rsidRPr="00B1657F">
              <w:rPr>
                <w:rFonts w:ascii="Arial" w:hAnsi="Arial" w:cs="Arial"/>
                <w:noProof/>
                <w:webHidden/>
                <w:sz w:val="24"/>
                <w:szCs w:val="24"/>
              </w:rPr>
              <w:fldChar w:fldCharType="separate"/>
            </w:r>
            <w:r w:rsidR="00860DEB">
              <w:rPr>
                <w:rFonts w:ascii="Arial" w:hAnsi="Arial" w:cs="Arial"/>
                <w:noProof/>
                <w:webHidden/>
                <w:sz w:val="24"/>
                <w:szCs w:val="24"/>
              </w:rPr>
              <w:t>6</w:t>
            </w:r>
            <w:r w:rsidR="00B1657F" w:rsidRPr="00B1657F">
              <w:rPr>
                <w:rFonts w:ascii="Arial" w:hAnsi="Arial" w:cs="Arial"/>
                <w:noProof/>
                <w:webHidden/>
                <w:sz w:val="24"/>
                <w:szCs w:val="24"/>
              </w:rPr>
              <w:fldChar w:fldCharType="end"/>
            </w:r>
          </w:hyperlink>
        </w:p>
        <w:p w14:paraId="2ABE7452" w14:textId="0D8CCFF6" w:rsidR="00B1657F" w:rsidRPr="00B1657F" w:rsidRDefault="005F4DF5">
          <w:pPr>
            <w:pStyle w:val="TOC3"/>
            <w:tabs>
              <w:tab w:val="right" w:leader="dot" w:pos="8948"/>
            </w:tabs>
            <w:rPr>
              <w:rFonts w:ascii="Arial" w:eastAsiaTheme="minorEastAsia" w:hAnsi="Arial" w:cs="Arial"/>
              <w:noProof/>
              <w:color w:val="auto"/>
              <w:sz w:val="24"/>
              <w:szCs w:val="24"/>
            </w:rPr>
          </w:pPr>
          <w:hyperlink w:anchor="_Toc107478097" w:history="1">
            <w:r w:rsidR="00B1657F" w:rsidRPr="00B1657F">
              <w:rPr>
                <w:rStyle w:val="Hyperlink"/>
                <w:rFonts w:ascii="Arial" w:hAnsi="Arial" w:cs="Arial"/>
                <w:noProof/>
                <w:sz w:val="24"/>
                <w:szCs w:val="24"/>
              </w:rPr>
              <w:t>Statutory interpretation</w:t>
            </w:r>
            <w:r w:rsidR="00B1657F" w:rsidRPr="00B1657F">
              <w:rPr>
                <w:rFonts w:ascii="Arial" w:hAnsi="Arial" w:cs="Arial"/>
                <w:noProof/>
                <w:webHidden/>
                <w:sz w:val="24"/>
                <w:szCs w:val="24"/>
              </w:rPr>
              <w:tab/>
            </w:r>
            <w:r w:rsidR="00B1657F" w:rsidRPr="00B1657F">
              <w:rPr>
                <w:rFonts w:ascii="Arial" w:hAnsi="Arial" w:cs="Arial"/>
                <w:noProof/>
                <w:webHidden/>
                <w:sz w:val="24"/>
                <w:szCs w:val="24"/>
              </w:rPr>
              <w:fldChar w:fldCharType="begin"/>
            </w:r>
            <w:r w:rsidR="00B1657F" w:rsidRPr="00B1657F">
              <w:rPr>
                <w:rFonts w:ascii="Arial" w:hAnsi="Arial" w:cs="Arial"/>
                <w:noProof/>
                <w:webHidden/>
                <w:sz w:val="24"/>
                <w:szCs w:val="24"/>
              </w:rPr>
              <w:instrText xml:space="preserve"> PAGEREF _Toc107478097 \h </w:instrText>
            </w:r>
            <w:r w:rsidR="00B1657F" w:rsidRPr="00B1657F">
              <w:rPr>
                <w:rFonts w:ascii="Arial" w:hAnsi="Arial" w:cs="Arial"/>
                <w:noProof/>
                <w:webHidden/>
                <w:sz w:val="24"/>
                <w:szCs w:val="24"/>
              </w:rPr>
            </w:r>
            <w:r w:rsidR="00B1657F" w:rsidRPr="00B1657F">
              <w:rPr>
                <w:rFonts w:ascii="Arial" w:hAnsi="Arial" w:cs="Arial"/>
                <w:noProof/>
                <w:webHidden/>
                <w:sz w:val="24"/>
                <w:szCs w:val="24"/>
              </w:rPr>
              <w:fldChar w:fldCharType="separate"/>
            </w:r>
            <w:r w:rsidR="00860DEB">
              <w:rPr>
                <w:rFonts w:ascii="Arial" w:hAnsi="Arial" w:cs="Arial"/>
                <w:noProof/>
                <w:webHidden/>
                <w:sz w:val="24"/>
                <w:szCs w:val="24"/>
              </w:rPr>
              <w:t>7</w:t>
            </w:r>
            <w:r w:rsidR="00B1657F" w:rsidRPr="00B1657F">
              <w:rPr>
                <w:rFonts w:ascii="Arial" w:hAnsi="Arial" w:cs="Arial"/>
                <w:noProof/>
                <w:webHidden/>
                <w:sz w:val="24"/>
                <w:szCs w:val="24"/>
              </w:rPr>
              <w:fldChar w:fldCharType="end"/>
            </w:r>
          </w:hyperlink>
        </w:p>
        <w:p w14:paraId="67812948" w14:textId="642EC1C3" w:rsidR="00B1657F" w:rsidRPr="00B1657F" w:rsidRDefault="005F4DF5">
          <w:pPr>
            <w:pStyle w:val="TOC2"/>
            <w:tabs>
              <w:tab w:val="right" w:leader="dot" w:pos="8948"/>
            </w:tabs>
            <w:rPr>
              <w:rFonts w:ascii="Arial" w:eastAsiaTheme="minorEastAsia" w:hAnsi="Arial" w:cs="Arial"/>
              <w:noProof/>
              <w:color w:val="auto"/>
              <w:sz w:val="24"/>
              <w:szCs w:val="24"/>
            </w:rPr>
          </w:pPr>
          <w:hyperlink w:anchor="_Toc107478098" w:history="1">
            <w:r w:rsidR="00B1657F" w:rsidRPr="00B1657F">
              <w:rPr>
                <w:rStyle w:val="Hyperlink"/>
                <w:rFonts w:ascii="Arial" w:hAnsi="Arial" w:cs="Arial"/>
                <w:noProof/>
                <w:sz w:val="24"/>
                <w:szCs w:val="24"/>
              </w:rPr>
              <w:t>Relevant human rights</w:t>
            </w:r>
            <w:r w:rsidR="00B1657F" w:rsidRPr="00B1657F">
              <w:rPr>
                <w:rFonts w:ascii="Arial" w:hAnsi="Arial" w:cs="Arial"/>
                <w:noProof/>
                <w:webHidden/>
                <w:sz w:val="24"/>
                <w:szCs w:val="24"/>
              </w:rPr>
              <w:tab/>
            </w:r>
            <w:r w:rsidR="00B1657F" w:rsidRPr="00B1657F">
              <w:rPr>
                <w:rFonts w:ascii="Arial" w:hAnsi="Arial" w:cs="Arial"/>
                <w:noProof/>
                <w:webHidden/>
                <w:sz w:val="24"/>
                <w:szCs w:val="24"/>
              </w:rPr>
              <w:fldChar w:fldCharType="begin"/>
            </w:r>
            <w:r w:rsidR="00B1657F" w:rsidRPr="00B1657F">
              <w:rPr>
                <w:rFonts w:ascii="Arial" w:hAnsi="Arial" w:cs="Arial"/>
                <w:noProof/>
                <w:webHidden/>
                <w:sz w:val="24"/>
                <w:szCs w:val="24"/>
              </w:rPr>
              <w:instrText xml:space="preserve"> PAGEREF _Toc107478098 \h </w:instrText>
            </w:r>
            <w:r w:rsidR="00B1657F" w:rsidRPr="00B1657F">
              <w:rPr>
                <w:rFonts w:ascii="Arial" w:hAnsi="Arial" w:cs="Arial"/>
                <w:noProof/>
                <w:webHidden/>
                <w:sz w:val="24"/>
                <w:szCs w:val="24"/>
              </w:rPr>
            </w:r>
            <w:r w:rsidR="00B1657F" w:rsidRPr="00B1657F">
              <w:rPr>
                <w:rFonts w:ascii="Arial" w:hAnsi="Arial" w:cs="Arial"/>
                <w:noProof/>
                <w:webHidden/>
                <w:sz w:val="24"/>
                <w:szCs w:val="24"/>
              </w:rPr>
              <w:fldChar w:fldCharType="separate"/>
            </w:r>
            <w:r w:rsidR="00860DEB">
              <w:rPr>
                <w:rFonts w:ascii="Arial" w:hAnsi="Arial" w:cs="Arial"/>
                <w:noProof/>
                <w:webHidden/>
                <w:sz w:val="24"/>
                <w:szCs w:val="24"/>
              </w:rPr>
              <w:t>7</w:t>
            </w:r>
            <w:r w:rsidR="00B1657F" w:rsidRPr="00B1657F">
              <w:rPr>
                <w:rFonts w:ascii="Arial" w:hAnsi="Arial" w:cs="Arial"/>
                <w:noProof/>
                <w:webHidden/>
                <w:sz w:val="24"/>
                <w:szCs w:val="24"/>
              </w:rPr>
              <w:fldChar w:fldCharType="end"/>
            </w:r>
          </w:hyperlink>
        </w:p>
        <w:p w14:paraId="61199189" w14:textId="69BD3949" w:rsidR="00B1657F" w:rsidRPr="00B1657F" w:rsidRDefault="005F4DF5" w:rsidP="00B1657F">
          <w:pPr>
            <w:pStyle w:val="TOC1"/>
            <w:rPr>
              <w:rFonts w:ascii="Arial" w:hAnsi="Arial" w:cs="Arial"/>
              <w:sz w:val="24"/>
              <w:szCs w:val="24"/>
            </w:rPr>
          </w:pPr>
          <w:hyperlink w:anchor="_Toc107478099" w:history="1">
            <w:r w:rsidR="00B1657F" w:rsidRPr="00B1657F">
              <w:rPr>
                <w:rStyle w:val="Hyperlink"/>
                <w:rFonts w:ascii="Arial" w:hAnsi="Arial" w:cs="Arial"/>
                <w:sz w:val="24"/>
                <w:szCs w:val="24"/>
              </w:rPr>
              <w:t>Response to consultation questions</w:t>
            </w:r>
            <w:r w:rsidR="00B1657F" w:rsidRPr="00B1657F">
              <w:rPr>
                <w:rFonts w:ascii="Arial" w:hAnsi="Arial" w:cs="Arial"/>
                <w:webHidden/>
                <w:sz w:val="24"/>
                <w:szCs w:val="24"/>
              </w:rPr>
              <w:tab/>
            </w:r>
            <w:r w:rsidR="00B1657F" w:rsidRPr="00B1657F">
              <w:rPr>
                <w:rFonts w:ascii="Arial" w:hAnsi="Arial" w:cs="Arial"/>
                <w:webHidden/>
                <w:sz w:val="24"/>
                <w:szCs w:val="24"/>
              </w:rPr>
              <w:fldChar w:fldCharType="begin"/>
            </w:r>
            <w:r w:rsidR="00B1657F" w:rsidRPr="00B1657F">
              <w:rPr>
                <w:rFonts w:ascii="Arial" w:hAnsi="Arial" w:cs="Arial"/>
                <w:webHidden/>
                <w:sz w:val="24"/>
                <w:szCs w:val="24"/>
              </w:rPr>
              <w:instrText xml:space="preserve"> PAGEREF _Toc107478099 \h </w:instrText>
            </w:r>
            <w:r w:rsidR="00B1657F" w:rsidRPr="00B1657F">
              <w:rPr>
                <w:rFonts w:ascii="Arial" w:hAnsi="Arial" w:cs="Arial"/>
                <w:webHidden/>
                <w:sz w:val="24"/>
                <w:szCs w:val="24"/>
              </w:rPr>
            </w:r>
            <w:r w:rsidR="00B1657F" w:rsidRPr="00B1657F">
              <w:rPr>
                <w:rFonts w:ascii="Arial" w:hAnsi="Arial" w:cs="Arial"/>
                <w:webHidden/>
                <w:sz w:val="24"/>
                <w:szCs w:val="24"/>
              </w:rPr>
              <w:fldChar w:fldCharType="separate"/>
            </w:r>
            <w:r w:rsidR="00860DEB">
              <w:rPr>
                <w:rFonts w:ascii="Arial" w:hAnsi="Arial" w:cs="Arial"/>
                <w:webHidden/>
                <w:sz w:val="24"/>
                <w:szCs w:val="24"/>
              </w:rPr>
              <w:t>8</w:t>
            </w:r>
            <w:r w:rsidR="00B1657F" w:rsidRPr="00B1657F">
              <w:rPr>
                <w:rFonts w:ascii="Arial" w:hAnsi="Arial" w:cs="Arial"/>
                <w:webHidden/>
                <w:sz w:val="24"/>
                <w:szCs w:val="24"/>
              </w:rPr>
              <w:fldChar w:fldCharType="end"/>
            </w:r>
          </w:hyperlink>
        </w:p>
        <w:p w14:paraId="2CF12191" w14:textId="40217BE1" w:rsidR="00B1657F" w:rsidRPr="00B1657F" w:rsidRDefault="005F4DF5" w:rsidP="00B1657F">
          <w:pPr>
            <w:pStyle w:val="TOC1"/>
            <w:rPr>
              <w:rFonts w:ascii="Arial" w:hAnsi="Arial" w:cs="Arial"/>
              <w:sz w:val="24"/>
              <w:szCs w:val="24"/>
            </w:rPr>
          </w:pPr>
          <w:hyperlink w:anchor="_Toc107478100" w:history="1">
            <w:r w:rsidR="00B1657F" w:rsidRPr="00B1657F">
              <w:rPr>
                <w:rStyle w:val="Hyperlink"/>
                <w:rFonts w:ascii="Arial" w:hAnsi="Arial" w:cs="Arial"/>
                <w:sz w:val="24"/>
                <w:szCs w:val="24"/>
              </w:rPr>
              <w:t>Conclusion</w:t>
            </w:r>
            <w:r w:rsidR="00B1657F" w:rsidRPr="00B1657F">
              <w:rPr>
                <w:rFonts w:ascii="Arial" w:hAnsi="Arial" w:cs="Arial"/>
                <w:webHidden/>
                <w:sz w:val="24"/>
                <w:szCs w:val="24"/>
              </w:rPr>
              <w:tab/>
            </w:r>
            <w:r w:rsidR="00B1657F" w:rsidRPr="00B1657F">
              <w:rPr>
                <w:rFonts w:ascii="Arial" w:hAnsi="Arial" w:cs="Arial"/>
                <w:webHidden/>
                <w:sz w:val="24"/>
                <w:szCs w:val="24"/>
              </w:rPr>
              <w:fldChar w:fldCharType="begin"/>
            </w:r>
            <w:r w:rsidR="00B1657F" w:rsidRPr="00B1657F">
              <w:rPr>
                <w:rFonts w:ascii="Arial" w:hAnsi="Arial" w:cs="Arial"/>
                <w:webHidden/>
                <w:sz w:val="24"/>
                <w:szCs w:val="24"/>
              </w:rPr>
              <w:instrText xml:space="preserve"> PAGEREF _Toc107478100 \h </w:instrText>
            </w:r>
            <w:r w:rsidR="00B1657F" w:rsidRPr="00B1657F">
              <w:rPr>
                <w:rFonts w:ascii="Arial" w:hAnsi="Arial" w:cs="Arial"/>
                <w:webHidden/>
                <w:sz w:val="24"/>
                <w:szCs w:val="24"/>
              </w:rPr>
            </w:r>
            <w:r w:rsidR="00B1657F" w:rsidRPr="00B1657F">
              <w:rPr>
                <w:rFonts w:ascii="Arial" w:hAnsi="Arial" w:cs="Arial"/>
                <w:webHidden/>
                <w:sz w:val="24"/>
                <w:szCs w:val="24"/>
              </w:rPr>
              <w:fldChar w:fldCharType="separate"/>
            </w:r>
            <w:r w:rsidR="00860DEB">
              <w:rPr>
                <w:rFonts w:ascii="Arial" w:hAnsi="Arial" w:cs="Arial"/>
                <w:webHidden/>
                <w:sz w:val="24"/>
                <w:szCs w:val="24"/>
              </w:rPr>
              <w:t>12</w:t>
            </w:r>
            <w:r w:rsidR="00B1657F" w:rsidRPr="00B1657F">
              <w:rPr>
                <w:rFonts w:ascii="Arial" w:hAnsi="Arial" w:cs="Arial"/>
                <w:webHidden/>
                <w:sz w:val="24"/>
                <w:szCs w:val="24"/>
              </w:rPr>
              <w:fldChar w:fldCharType="end"/>
            </w:r>
          </w:hyperlink>
        </w:p>
        <w:p w14:paraId="700B533E" w14:textId="39A187A0" w:rsidR="00B1657F" w:rsidRDefault="00B1657F">
          <w:r w:rsidRPr="00B1657F">
            <w:rPr>
              <w:rFonts w:ascii="Arial" w:hAnsi="Arial" w:cs="Arial"/>
              <w:b/>
              <w:bCs/>
              <w:noProof/>
              <w:sz w:val="24"/>
              <w:szCs w:val="24"/>
            </w:rPr>
            <w:fldChar w:fldCharType="end"/>
          </w:r>
        </w:p>
      </w:sdtContent>
    </w:sdt>
    <w:p w14:paraId="68EADC2A" w14:textId="37FF6BE2" w:rsidR="00B1657F" w:rsidRDefault="00B1657F" w:rsidP="00B1657F">
      <w:pPr>
        <w:pStyle w:val="TOC1"/>
      </w:pPr>
    </w:p>
    <w:p w14:paraId="3202E938" w14:textId="150D1871" w:rsidR="00CB0768" w:rsidRDefault="00CB0768">
      <w:pPr>
        <w:spacing w:after="200" w:line="276" w:lineRule="auto"/>
        <w:rPr>
          <w:rFonts w:ascii="Arial" w:eastAsiaTheme="majorEastAsia" w:hAnsi="Arial" w:cs="Arial"/>
          <w:color w:val="365F91" w:themeColor="accent1" w:themeShade="BF"/>
          <w:sz w:val="48"/>
          <w:szCs w:val="48"/>
        </w:rPr>
      </w:pPr>
      <w:r w:rsidRPr="00CB0768">
        <w:rPr>
          <w:rFonts w:ascii="Arial" w:hAnsi="Arial" w:cs="Arial"/>
          <w:sz w:val="24"/>
          <w:szCs w:val="24"/>
        </w:rPr>
        <w:fldChar w:fldCharType="end"/>
      </w:r>
      <w:r>
        <w:br w:type="page"/>
      </w:r>
    </w:p>
    <w:p w14:paraId="2B93F428" w14:textId="18954849" w:rsidR="00A5796F" w:rsidRPr="000E6120" w:rsidRDefault="00A5796F" w:rsidP="00A5796F">
      <w:pPr>
        <w:pStyle w:val="Heading1"/>
      </w:pPr>
      <w:bookmarkStart w:id="0" w:name="_Toc107477915"/>
      <w:bookmarkStart w:id="1" w:name="_Toc107478090"/>
      <w:r w:rsidRPr="000E6120">
        <w:lastRenderedPageBreak/>
        <w:t>Introduction</w:t>
      </w:r>
      <w:bookmarkEnd w:id="0"/>
      <w:bookmarkEnd w:id="1"/>
    </w:p>
    <w:p w14:paraId="0CA3BD3B" w14:textId="56B755EB" w:rsidR="00A52FB8" w:rsidRPr="000E6120" w:rsidRDefault="00A52FB8" w:rsidP="00BD338A">
      <w:pPr>
        <w:pStyle w:val="NumberedPara"/>
      </w:pPr>
      <w:r w:rsidRPr="000E6120">
        <w:t xml:space="preserve">Thank you for the opportunity to make submissions to this </w:t>
      </w:r>
      <w:r w:rsidR="0038470B" w:rsidRPr="000E6120">
        <w:t>Review</w:t>
      </w:r>
      <w:r w:rsidR="00C56746">
        <w:t>.</w:t>
      </w:r>
    </w:p>
    <w:p w14:paraId="149FC5B6" w14:textId="139C0424" w:rsidR="00A52FB8" w:rsidRPr="000E6120" w:rsidRDefault="00A52FB8" w:rsidP="00BD338A">
      <w:pPr>
        <w:pStyle w:val="NumberedPara"/>
      </w:pPr>
      <w:r w:rsidRPr="000E6120">
        <w:t xml:space="preserve">The </w:t>
      </w:r>
      <w:r w:rsidR="004B0B0B" w:rsidRPr="000E6120">
        <w:t xml:space="preserve">Queensland Human Rights </w:t>
      </w:r>
      <w:r w:rsidRPr="000E6120">
        <w:t>Commission</w:t>
      </w:r>
      <w:r w:rsidR="004B0B0B" w:rsidRPr="000E6120">
        <w:t xml:space="preserve"> (QHRC)</w:t>
      </w:r>
      <w:r w:rsidRPr="000E6120">
        <w:t xml:space="preserve"> is a statutory authority established under the Queensland </w:t>
      </w:r>
      <w:r w:rsidRPr="000E6120">
        <w:rPr>
          <w:i/>
          <w:iCs/>
        </w:rPr>
        <w:t>Anti-Discrimination Act 1991</w:t>
      </w:r>
      <w:r w:rsidRPr="000E6120">
        <w:t xml:space="preserve"> (</w:t>
      </w:r>
      <w:r w:rsidRPr="000E6120">
        <w:rPr>
          <w:b/>
          <w:bCs/>
        </w:rPr>
        <w:t>AD Act</w:t>
      </w:r>
      <w:r w:rsidRPr="000E6120">
        <w:t>).</w:t>
      </w:r>
    </w:p>
    <w:p w14:paraId="50708379" w14:textId="5B2491BF" w:rsidR="00A52FB8" w:rsidRPr="000E6120" w:rsidRDefault="00A52FB8" w:rsidP="00BD338A">
      <w:pPr>
        <w:pStyle w:val="NumberedPara"/>
        <w:rPr>
          <w:i/>
          <w:iCs/>
        </w:rPr>
      </w:pPr>
      <w:r w:rsidRPr="000E6120">
        <w:t xml:space="preserve">The </w:t>
      </w:r>
      <w:r w:rsidR="00AF402F" w:rsidRPr="000E6120">
        <w:t>QHRC</w:t>
      </w:r>
      <w:r w:rsidRPr="000E6120">
        <w:t xml:space="preserve"> has functions under the AD Act and the </w:t>
      </w:r>
      <w:r w:rsidRPr="000E6120">
        <w:rPr>
          <w:i/>
          <w:iCs/>
        </w:rPr>
        <w:t>Human Rights Act 2019</w:t>
      </w:r>
      <w:r w:rsidRPr="000E6120">
        <w:t xml:space="preserve"> (</w:t>
      </w:r>
      <w:r w:rsidRPr="000E6120">
        <w:rPr>
          <w:b/>
          <w:bCs/>
        </w:rPr>
        <w:t>HR Act</w:t>
      </w:r>
      <w:r w:rsidRPr="000E6120">
        <w:t xml:space="preserve">) to promote an understanding and public discussion of human rights in Queensland, and to provide information and education about human rights. It includes rights drawn from the </w:t>
      </w:r>
      <w:r w:rsidRPr="000E6120">
        <w:rPr>
          <w:i/>
          <w:iCs/>
        </w:rPr>
        <w:t>International Covenant on Civil and Political Rights</w:t>
      </w:r>
      <w:r w:rsidRPr="000E6120">
        <w:t xml:space="preserve"> and the </w:t>
      </w:r>
      <w:r w:rsidRPr="000E6120">
        <w:rPr>
          <w:i/>
          <w:iCs/>
        </w:rPr>
        <w:t xml:space="preserve">International Covenant on Economic, Social and Cultural Rights. </w:t>
      </w:r>
    </w:p>
    <w:p w14:paraId="3E75979C" w14:textId="452F1283" w:rsidR="00A5796F" w:rsidRPr="000E6120" w:rsidRDefault="00A52FB8" w:rsidP="00BD338A">
      <w:pPr>
        <w:pStyle w:val="NumberedPara"/>
      </w:pPr>
      <w:r w:rsidRPr="000E6120">
        <w:t xml:space="preserve">The </w:t>
      </w:r>
      <w:r w:rsidR="00AF402F" w:rsidRPr="000E6120">
        <w:t xml:space="preserve">QHRC </w:t>
      </w:r>
      <w:r w:rsidRPr="000E6120">
        <w:t xml:space="preserve">also deals with complaints of discrimination, vilification and other objectionable conduct under the AD Act, reprisal under the </w:t>
      </w:r>
      <w:r w:rsidRPr="000E6120">
        <w:rPr>
          <w:i/>
          <w:iCs/>
        </w:rPr>
        <w:t>Public Interest Disclosure Act 2009</w:t>
      </w:r>
      <w:r w:rsidRPr="000E6120">
        <w:t xml:space="preserve">, and human rights complaints under the HR Act. </w:t>
      </w:r>
    </w:p>
    <w:p w14:paraId="39E5FADD" w14:textId="748DE347" w:rsidR="0038470B" w:rsidRPr="000E6120" w:rsidRDefault="006C4370" w:rsidP="00BD338A">
      <w:pPr>
        <w:pStyle w:val="NumberedPara"/>
      </w:pPr>
      <w:r w:rsidRPr="000E6120">
        <w:t xml:space="preserve">The QHRC does not regularly </w:t>
      </w:r>
      <w:r w:rsidR="004460EA">
        <w:t>appear in</w:t>
      </w:r>
      <w:r w:rsidRPr="000E6120">
        <w:t xml:space="preserve"> the Magistrates Court</w:t>
      </w:r>
      <w:r w:rsidR="00AE4BF1">
        <w:t>s</w:t>
      </w:r>
      <w:r w:rsidRPr="000E6120">
        <w:t xml:space="preserve"> and so cannot provide detailed submissions on the operation of the </w:t>
      </w:r>
      <w:r w:rsidR="00661B09" w:rsidRPr="000E6120">
        <w:rPr>
          <w:i/>
          <w:iCs/>
        </w:rPr>
        <w:t xml:space="preserve">Justices Act 1886 </w:t>
      </w:r>
      <w:r w:rsidR="00661B09" w:rsidRPr="000E6120">
        <w:t>(Justices Act)</w:t>
      </w:r>
      <w:r w:rsidRPr="000E6120">
        <w:t xml:space="preserve">. The QHRC may be able to provide more detailed submissions in relation to specific changes </w:t>
      </w:r>
      <w:r w:rsidR="004460EA">
        <w:t>to the</w:t>
      </w:r>
      <w:r w:rsidRPr="000E6120">
        <w:t xml:space="preserve"> Magistrates Court</w:t>
      </w:r>
      <w:r w:rsidR="00AE4BF1">
        <w:t>s</w:t>
      </w:r>
      <w:r w:rsidR="00D739E9" w:rsidRPr="000E6120">
        <w:t xml:space="preserve">, </w:t>
      </w:r>
      <w:r w:rsidRPr="000E6120">
        <w:t>Justices Act</w:t>
      </w:r>
      <w:r w:rsidR="00D739E9" w:rsidRPr="000E6120">
        <w:t xml:space="preserve"> or </w:t>
      </w:r>
      <w:r w:rsidR="00D739E9" w:rsidRPr="000E6120">
        <w:rPr>
          <w:i/>
          <w:iCs/>
        </w:rPr>
        <w:t>Criminal Practice Rules 1999</w:t>
      </w:r>
      <w:r w:rsidRPr="000E6120">
        <w:t xml:space="preserve">. </w:t>
      </w:r>
    </w:p>
    <w:p w14:paraId="3E4D82A3" w14:textId="02551109" w:rsidR="006C4370" w:rsidRPr="000E6120" w:rsidRDefault="006C4370" w:rsidP="00BD338A">
      <w:pPr>
        <w:pStyle w:val="NumberedPara"/>
      </w:pPr>
      <w:r w:rsidRPr="000E6120">
        <w:t>This submission therefore focusses primarily on the potential application of the HR Act and AD Act to the Magistrates Court</w:t>
      </w:r>
      <w:r w:rsidR="00AE4BF1">
        <w:t>s</w:t>
      </w:r>
      <w:r w:rsidRPr="000E6120">
        <w:t>,</w:t>
      </w:r>
      <w:r w:rsidR="006B3DD8" w:rsidRPr="000E6120">
        <w:t xml:space="preserve"> with reference to the relevant Terms of Reference,</w:t>
      </w:r>
      <w:r w:rsidRPr="000E6120">
        <w:t xml:space="preserve"> and only provides brief responses to some of the consultation questions. </w:t>
      </w:r>
    </w:p>
    <w:p w14:paraId="619E876D" w14:textId="1895C7ED" w:rsidR="000A4544" w:rsidRDefault="00B1657F" w:rsidP="00A5796F">
      <w:pPr>
        <w:pStyle w:val="Heading1"/>
      </w:pPr>
      <w:bookmarkStart w:id="2" w:name="_Toc107477916"/>
      <w:bookmarkStart w:id="3" w:name="_Toc107478091"/>
      <w:r>
        <w:t xml:space="preserve">Human </w:t>
      </w:r>
      <w:r w:rsidR="005F4DF5">
        <w:t>r</w:t>
      </w:r>
      <w:r>
        <w:t>ights in Queensland</w:t>
      </w:r>
      <w:bookmarkEnd w:id="2"/>
      <w:bookmarkEnd w:id="3"/>
    </w:p>
    <w:p w14:paraId="67B9DEF6" w14:textId="77777777" w:rsidR="00B1657F" w:rsidRDefault="00B1657F" w:rsidP="00B1657F">
      <w:pPr>
        <w:pStyle w:val="NumberedPara"/>
      </w:pPr>
      <w:r>
        <w:t xml:space="preserve">The substantive provisions of the HR Act commenced on 1 January 2020. The HR Act establishes and consolidates statutory protections for human rights, primarily drawn from the United Nations </w:t>
      </w:r>
      <w:r w:rsidRPr="004F56B4">
        <w:rPr>
          <w:i/>
        </w:rPr>
        <w:t>International Covenant on Civil and Politic</w:t>
      </w:r>
      <w:r>
        <w:rPr>
          <w:i/>
        </w:rPr>
        <w:t>al</w:t>
      </w:r>
      <w:r w:rsidRPr="004F56B4">
        <w:rPr>
          <w:i/>
        </w:rPr>
        <w:t xml:space="preserve"> Rights</w:t>
      </w:r>
      <w:r>
        <w:t xml:space="preserve">, and two rights from the </w:t>
      </w:r>
      <w:r w:rsidRPr="004F56B4">
        <w:rPr>
          <w:i/>
        </w:rPr>
        <w:t>International Covenant on Economic, Social and Cultural Rights</w:t>
      </w:r>
      <w:r>
        <w:t xml:space="preserve">. </w:t>
      </w:r>
    </w:p>
    <w:p w14:paraId="63BAD800" w14:textId="77777777" w:rsidR="00E33693" w:rsidRPr="000E6120" w:rsidRDefault="00E33693" w:rsidP="00E33693">
      <w:pPr>
        <w:pStyle w:val="Heading2"/>
        <w:spacing w:after="200"/>
        <w:rPr>
          <w:rFonts w:cs="Arial"/>
        </w:rPr>
      </w:pPr>
      <w:bookmarkStart w:id="4" w:name="_Toc107477917"/>
      <w:bookmarkStart w:id="5" w:name="_Toc107478092"/>
      <w:r w:rsidRPr="000E6120">
        <w:rPr>
          <w:rFonts w:cs="Arial"/>
        </w:rPr>
        <w:t>Compatible with human rights</w:t>
      </w:r>
      <w:bookmarkEnd w:id="4"/>
      <w:bookmarkEnd w:id="5"/>
    </w:p>
    <w:p w14:paraId="2D383789" w14:textId="05BD85F9" w:rsidR="00E33693" w:rsidRPr="000E6120" w:rsidRDefault="006C4370" w:rsidP="00BD338A">
      <w:pPr>
        <w:pStyle w:val="NumberedPara"/>
      </w:pPr>
      <w:r w:rsidRPr="000E6120">
        <w:t xml:space="preserve">As summarised at paragraph 1.15 of the Consultation Paper, the Terms of Reference </w:t>
      </w:r>
      <w:r w:rsidR="00661B09" w:rsidRPr="000E6120">
        <w:t>for</w:t>
      </w:r>
      <w:r w:rsidRPr="000E6120">
        <w:t xml:space="preserve"> the review </w:t>
      </w:r>
      <w:r w:rsidR="00661B09" w:rsidRPr="000E6120">
        <w:t>include</w:t>
      </w:r>
      <w:r w:rsidRPr="000E6120">
        <w:t xml:space="preserve"> balancing the interests of victims and accused persons, and more generally the need to protect and promote rights. </w:t>
      </w:r>
    </w:p>
    <w:p w14:paraId="5A156FA2" w14:textId="5D2345C3" w:rsidR="00E33693" w:rsidRPr="000E6120" w:rsidRDefault="00E33693" w:rsidP="00BD338A">
      <w:pPr>
        <w:pStyle w:val="NumberedPara"/>
      </w:pPr>
      <w:r w:rsidRPr="000E6120">
        <w:t xml:space="preserve">The HR Act provides a framework for assessing whether an act, decision or statutory provision is ‘compatible with human </w:t>
      </w:r>
      <w:proofErr w:type="gramStart"/>
      <w:r w:rsidRPr="000E6120">
        <w:t>rights’</w:t>
      </w:r>
      <w:proofErr w:type="gramEnd"/>
      <w:r w:rsidRPr="000E6120">
        <w:t>. A decision or action is compatible with human rights if the action or decision either:</w:t>
      </w:r>
    </w:p>
    <w:p w14:paraId="03688202" w14:textId="77777777" w:rsidR="00E33693" w:rsidRPr="000E6120" w:rsidRDefault="00E33693" w:rsidP="00BD338A">
      <w:pPr>
        <w:pStyle w:val="NumberedPara"/>
        <w:numPr>
          <w:ilvl w:val="1"/>
          <w:numId w:val="12"/>
        </w:numPr>
      </w:pPr>
      <w:r w:rsidRPr="000E6120">
        <w:t xml:space="preserve">does not </w:t>
      </w:r>
      <w:r w:rsidRPr="00BD338A">
        <w:t>limit</w:t>
      </w:r>
      <w:r w:rsidRPr="000E6120">
        <w:t xml:space="preserve"> a human right, or </w:t>
      </w:r>
    </w:p>
    <w:p w14:paraId="180381E0" w14:textId="77777777" w:rsidR="00E33693" w:rsidRPr="000E6120" w:rsidRDefault="00E33693" w:rsidP="00BD338A">
      <w:pPr>
        <w:pStyle w:val="NumberedPara"/>
        <w:numPr>
          <w:ilvl w:val="1"/>
          <w:numId w:val="12"/>
        </w:numPr>
      </w:pPr>
      <w:r w:rsidRPr="000E6120">
        <w:lastRenderedPageBreak/>
        <w:t>limits a human right only to the extent that is reasonably and demonstrably justifiable in accordance with section 13.</w:t>
      </w:r>
      <w:r w:rsidRPr="000E6120">
        <w:rPr>
          <w:rStyle w:val="FootnoteReference"/>
        </w:rPr>
        <w:footnoteReference w:id="1"/>
      </w:r>
      <w:r w:rsidRPr="000E6120">
        <w:t xml:space="preserve"> </w:t>
      </w:r>
    </w:p>
    <w:p w14:paraId="2CD910F7" w14:textId="144AE36D" w:rsidR="00E33693" w:rsidRPr="000E6120" w:rsidRDefault="00E33693" w:rsidP="00BD338A">
      <w:pPr>
        <w:pStyle w:val="NumberedPara"/>
      </w:pPr>
      <w:r w:rsidRPr="000E6120">
        <w:t xml:space="preserve">An act or decision (or statutory provision) will ‘limit’ a human right if it ‘places limitations or restrictions </w:t>
      </w:r>
      <w:proofErr w:type="gramStart"/>
      <w:r w:rsidRPr="000E6120">
        <w:t>on, or</w:t>
      </w:r>
      <w:proofErr w:type="gramEnd"/>
      <w:r w:rsidRPr="000E6120">
        <w:t xml:space="preserve"> interferes with’ a human right.</w:t>
      </w:r>
      <w:bookmarkStart w:id="6" w:name="_Ref104911834"/>
      <w:r w:rsidRPr="000E6120">
        <w:rPr>
          <w:rStyle w:val="FootnoteReference"/>
          <w:color w:val="000000" w:themeColor="text1"/>
        </w:rPr>
        <w:footnoteReference w:id="2"/>
      </w:r>
      <w:bookmarkEnd w:id="6"/>
    </w:p>
    <w:p w14:paraId="1E6C9CCA" w14:textId="77777777" w:rsidR="00E33693" w:rsidRPr="000E6120" w:rsidRDefault="00E33693" w:rsidP="00BD338A">
      <w:pPr>
        <w:pStyle w:val="NumberedPara"/>
      </w:pPr>
      <w:r w:rsidRPr="000E6120">
        <w:t xml:space="preserve">Section 13(1) of the HR Act provides that a human right may be subject under law only to reasonable limits that can be demonstrably justified in a free and democratic society based on human dignity, </w:t>
      </w:r>
      <w:proofErr w:type="gramStart"/>
      <w:r w:rsidRPr="000E6120">
        <w:t>equality</w:t>
      </w:r>
      <w:proofErr w:type="gramEnd"/>
      <w:r w:rsidRPr="000E6120">
        <w:t xml:space="preserve"> and freedom. Factors relevant to deciding whether a limit is reasonable and justifiable are set out in section 13(2) of the HR Act as including:</w:t>
      </w:r>
    </w:p>
    <w:p w14:paraId="47C7A8AE" w14:textId="77777777" w:rsidR="00E33693" w:rsidRPr="000E6120" w:rsidRDefault="00E33693" w:rsidP="00BD338A">
      <w:pPr>
        <w:pStyle w:val="NumberedPara"/>
        <w:numPr>
          <w:ilvl w:val="1"/>
          <w:numId w:val="12"/>
        </w:numPr>
      </w:pPr>
      <w:r w:rsidRPr="000E6120">
        <w:t xml:space="preserve">the nature of the human </w:t>
      </w:r>
      <w:proofErr w:type="gramStart"/>
      <w:r w:rsidRPr="000E6120">
        <w:t>right;</w:t>
      </w:r>
      <w:proofErr w:type="gramEnd"/>
    </w:p>
    <w:p w14:paraId="519EF6FF" w14:textId="77777777" w:rsidR="00E33693" w:rsidRPr="000E6120" w:rsidRDefault="00E33693" w:rsidP="00BD338A">
      <w:pPr>
        <w:pStyle w:val="NumberedPara"/>
        <w:numPr>
          <w:ilvl w:val="1"/>
          <w:numId w:val="12"/>
        </w:numPr>
      </w:pPr>
      <w:r w:rsidRPr="000E6120">
        <w:t xml:space="preserve">the nature of the purpose of the limitation, including whether it is consistent with a free and democratic society based on human dignity, equality and </w:t>
      </w:r>
      <w:proofErr w:type="gramStart"/>
      <w:r w:rsidRPr="000E6120">
        <w:t>freedom;</w:t>
      </w:r>
      <w:proofErr w:type="gramEnd"/>
    </w:p>
    <w:p w14:paraId="5A768208" w14:textId="77777777" w:rsidR="00E33693" w:rsidRPr="000E6120" w:rsidRDefault="00E33693" w:rsidP="00BD338A">
      <w:pPr>
        <w:pStyle w:val="NumberedPara"/>
        <w:numPr>
          <w:ilvl w:val="1"/>
          <w:numId w:val="12"/>
        </w:numPr>
      </w:pPr>
      <w:r w:rsidRPr="000E6120">
        <w:t xml:space="preserve">the relationship between the limitation and its purpose, including whether the limitation helps to achieve the </w:t>
      </w:r>
      <w:proofErr w:type="gramStart"/>
      <w:r w:rsidRPr="000E6120">
        <w:t>purpose;</w:t>
      </w:r>
      <w:proofErr w:type="gramEnd"/>
    </w:p>
    <w:p w14:paraId="0F674E3E" w14:textId="77777777" w:rsidR="00E33693" w:rsidRPr="000E6120" w:rsidRDefault="00E33693" w:rsidP="00BD338A">
      <w:pPr>
        <w:pStyle w:val="NumberedPara"/>
        <w:numPr>
          <w:ilvl w:val="1"/>
          <w:numId w:val="12"/>
        </w:numPr>
      </w:pPr>
      <w:r w:rsidRPr="000E6120">
        <w:t xml:space="preserve">whether there are any less restrictive and reasonably available ways to achieve the </w:t>
      </w:r>
      <w:proofErr w:type="gramStart"/>
      <w:r w:rsidRPr="000E6120">
        <w:t>purpose;</w:t>
      </w:r>
      <w:proofErr w:type="gramEnd"/>
    </w:p>
    <w:p w14:paraId="09315221" w14:textId="77777777" w:rsidR="00E33693" w:rsidRPr="000E6120" w:rsidRDefault="00E33693" w:rsidP="00BD338A">
      <w:pPr>
        <w:pStyle w:val="NumberedPara"/>
        <w:numPr>
          <w:ilvl w:val="1"/>
          <w:numId w:val="12"/>
        </w:numPr>
      </w:pPr>
      <w:r w:rsidRPr="000E6120">
        <w:t xml:space="preserve">the importance of the purpose of the </w:t>
      </w:r>
      <w:proofErr w:type="gramStart"/>
      <w:r w:rsidRPr="000E6120">
        <w:t>limitation;</w:t>
      </w:r>
      <w:proofErr w:type="gramEnd"/>
    </w:p>
    <w:p w14:paraId="442878E8" w14:textId="77777777" w:rsidR="00E33693" w:rsidRPr="000E6120" w:rsidRDefault="00E33693" w:rsidP="00BD338A">
      <w:pPr>
        <w:pStyle w:val="NumberedPara"/>
        <w:numPr>
          <w:ilvl w:val="1"/>
          <w:numId w:val="12"/>
        </w:numPr>
      </w:pPr>
      <w:r w:rsidRPr="000E6120">
        <w:t xml:space="preserve">the importance of preserving the human right, taking into account the nature and extent of the limitation on the human </w:t>
      </w:r>
      <w:proofErr w:type="gramStart"/>
      <w:r w:rsidRPr="000E6120">
        <w:t>right;</w:t>
      </w:r>
      <w:proofErr w:type="gramEnd"/>
    </w:p>
    <w:p w14:paraId="5FB3299B" w14:textId="77777777" w:rsidR="00E33693" w:rsidRPr="000E6120" w:rsidRDefault="00E33693" w:rsidP="00BD338A">
      <w:pPr>
        <w:pStyle w:val="NumberedPara"/>
        <w:numPr>
          <w:ilvl w:val="1"/>
          <w:numId w:val="12"/>
        </w:numPr>
      </w:pPr>
      <w:r w:rsidRPr="000E6120">
        <w:t>the balance between the matters mentioned in paragraphs (e) and (f).</w:t>
      </w:r>
      <w:r w:rsidRPr="000E6120">
        <w:rPr>
          <w:rStyle w:val="FootnoteReference"/>
        </w:rPr>
        <w:footnoteReference w:id="3"/>
      </w:r>
    </w:p>
    <w:p w14:paraId="77500A87" w14:textId="77777777" w:rsidR="00E33693" w:rsidRPr="000E6120" w:rsidRDefault="00E33693" w:rsidP="00BD338A">
      <w:pPr>
        <w:pStyle w:val="NumberedPara"/>
      </w:pPr>
      <w:r w:rsidRPr="000E6120">
        <w:t>A ‘pressing and substantial’ public or social concern is more likely to be capable of justifying a limit placed upon human rights. The more important the right, and the greater the incursion, the more important the purpose will need to be.</w:t>
      </w:r>
      <w:r w:rsidRPr="000E6120">
        <w:rPr>
          <w:rStyle w:val="FootnoteReference"/>
        </w:rPr>
        <w:footnoteReference w:id="4"/>
      </w:r>
    </w:p>
    <w:p w14:paraId="5F0FA6CA" w14:textId="7BC3440C" w:rsidR="00DC46E0" w:rsidRDefault="00DC46E0" w:rsidP="00BD338A">
      <w:pPr>
        <w:pStyle w:val="NumberedPara"/>
        <w:rPr>
          <w:i/>
          <w:color w:val="000000" w:themeColor="text1"/>
        </w:rPr>
      </w:pPr>
      <w:r w:rsidRPr="000E6120">
        <w:t xml:space="preserve">Limitation provisions in very similar terms to s 13 are contained in s 7(2) of the </w:t>
      </w:r>
      <w:r w:rsidRPr="000E6120">
        <w:rPr>
          <w:i/>
          <w:iCs/>
        </w:rPr>
        <w:t xml:space="preserve">Charter of </w:t>
      </w:r>
      <w:r w:rsidR="000E6120" w:rsidRPr="000E6120">
        <w:rPr>
          <w:i/>
          <w:lang w:val="en-US"/>
        </w:rPr>
        <w:t>Charter of Human Rights and Responsibilities Act 2006</w:t>
      </w:r>
      <w:r w:rsidR="00483255">
        <w:rPr>
          <w:i/>
          <w:lang w:val="en-US"/>
        </w:rPr>
        <w:t xml:space="preserve"> </w:t>
      </w:r>
      <w:r w:rsidR="00483255">
        <w:rPr>
          <w:iCs/>
          <w:lang w:val="en-US"/>
        </w:rPr>
        <w:t>(Vic)</w:t>
      </w:r>
      <w:r w:rsidR="000E6120" w:rsidRPr="000E6120">
        <w:rPr>
          <w:i/>
          <w:lang w:val="en-US"/>
        </w:rPr>
        <w:t xml:space="preserve"> </w:t>
      </w:r>
      <w:r w:rsidR="000E6120" w:rsidRPr="000E6120">
        <w:rPr>
          <w:lang w:val="en-US"/>
        </w:rPr>
        <w:t>(</w:t>
      </w:r>
      <w:r w:rsidR="000E6120" w:rsidRPr="000E6120">
        <w:rPr>
          <w:b/>
          <w:lang w:val="en-US"/>
        </w:rPr>
        <w:t>Charter</w:t>
      </w:r>
      <w:r w:rsidR="000E6120" w:rsidRPr="000E6120">
        <w:rPr>
          <w:lang w:val="en-US"/>
        </w:rPr>
        <w:t xml:space="preserve">), </w:t>
      </w:r>
      <w:r w:rsidRPr="000E6120">
        <w:t xml:space="preserve">and s 28 of the </w:t>
      </w:r>
      <w:r w:rsidRPr="000E6120">
        <w:rPr>
          <w:i/>
          <w:iCs/>
        </w:rPr>
        <w:t xml:space="preserve">Human Rights Act 2004 </w:t>
      </w:r>
      <w:r w:rsidRPr="000E6120">
        <w:t xml:space="preserve">(ACT). These, in turn, </w:t>
      </w:r>
      <w:r w:rsidRPr="000E6120">
        <w:rPr>
          <w:color w:val="000000" w:themeColor="text1"/>
        </w:rPr>
        <w:t xml:space="preserve">drew upon similar human rights legislation in Canada, New Zealand and the </w:t>
      </w:r>
      <w:r w:rsidRPr="000E6120">
        <w:rPr>
          <w:i/>
          <w:color w:val="000000" w:themeColor="text1"/>
        </w:rPr>
        <w:t xml:space="preserve">Constitution of the Republic of South Africa. </w:t>
      </w:r>
    </w:p>
    <w:p w14:paraId="313D61C6" w14:textId="3B90411B" w:rsidR="00067DB9" w:rsidRPr="000E6120" w:rsidRDefault="00067DB9" w:rsidP="00BD338A">
      <w:pPr>
        <w:pStyle w:val="NumberedPara"/>
        <w:rPr>
          <w:i/>
        </w:rPr>
      </w:pPr>
      <w:r>
        <w:lastRenderedPageBreak/>
        <w:t xml:space="preserve">Any practice or legislative change recommended by the review should be compatible with human rights. </w:t>
      </w:r>
    </w:p>
    <w:p w14:paraId="136453B8" w14:textId="77777777" w:rsidR="00E33693" w:rsidRPr="000E6120" w:rsidRDefault="00E33693" w:rsidP="00E33693">
      <w:pPr>
        <w:pStyle w:val="Heading2"/>
        <w:spacing w:after="200"/>
        <w:rPr>
          <w:rFonts w:cs="Arial"/>
        </w:rPr>
      </w:pPr>
      <w:bookmarkStart w:id="7" w:name="_Toc107477918"/>
      <w:bookmarkStart w:id="8" w:name="_Toc107478093"/>
      <w:r w:rsidRPr="000E6120">
        <w:rPr>
          <w:rFonts w:cs="Arial"/>
        </w:rPr>
        <w:t>Obligations on public entities</w:t>
      </w:r>
      <w:bookmarkEnd w:id="7"/>
      <w:bookmarkEnd w:id="8"/>
    </w:p>
    <w:p w14:paraId="0AEC69BA" w14:textId="77777777" w:rsidR="00E33693" w:rsidRPr="000E6120" w:rsidRDefault="00E33693" w:rsidP="00BD338A">
      <w:pPr>
        <w:pStyle w:val="NumberedPara"/>
      </w:pPr>
      <w:r w:rsidRPr="000E6120">
        <w:t xml:space="preserve">Section 58 of the HR Act requires public entities to act and make decisions compatibly with human rights, and to </w:t>
      </w:r>
      <w:proofErr w:type="gramStart"/>
      <w:r w:rsidRPr="000E6120">
        <w:t>give proper consideration to</w:t>
      </w:r>
      <w:proofErr w:type="gramEnd"/>
      <w:r w:rsidRPr="000E6120">
        <w:t xml:space="preserve"> human rights when making decisions.</w:t>
      </w:r>
      <w:r w:rsidRPr="000E6120">
        <w:rPr>
          <w:rStyle w:val="FootnoteReference"/>
        </w:rPr>
        <w:footnoteReference w:id="5"/>
      </w:r>
      <w:r w:rsidRPr="000E6120">
        <w:t xml:space="preserve"> </w:t>
      </w:r>
    </w:p>
    <w:p w14:paraId="2AA0BAAC" w14:textId="77777777" w:rsidR="00E33693" w:rsidRPr="000E6120" w:rsidRDefault="00E33693" w:rsidP="00BD338A">
      <w:pPr>
        <w:pStyle w:val="NumberedPara"/>
      </w:pPr>
      <w:r w:rsidRPr="000E6120">
        <w:t xml:space="preserve">Explicit guidance has been given as to the content of the second or ‘procedural’ limb of the obligation in relation to decision-making. Section 58(5) provides that proper consideration includes, but is not limited to: </w:t>
      </w:r>
    </w:p>
    <w:p w14:paraId="73261181" w14:textId="77777777" w:rsidR="00E33693" w:rsidRPr="000E6120" w:rsidRDefault="00E33693" w:rsidP="00BD338A">
      <w:pPr>
        <w:pStyle w:val="NumberedPara"/>
        <w:numPr>
          <w:ilvl w:val="1"/>
          <w:numId w:val="12"/>
        </w:numPr>
      </w:pPr>
      <w:r w:rsidRPr="000E6120">
        <w:t>Identifying the human rights that may be affected by the decision; and</w:t>
      </w:r>
    </w:p>
    <w:p w14:paraId="167A6479" w14:textId="77777777" w:rsidR="00E33693" w:rsidRPr="000E6120" w:rsidRDefault="00E33693" w:rsidP="00BD338A">
      <w:pPr>
        <w:pStyle w:val="NumberedPara"/>
        <w:numPr>
          <w:ilvl w:val="1"/>
          <w:numId w:val="12"/>
        </w:numPr>
      </w:pPr>
      <w:r w:rsidRPr="000E6120">
        <w:t>Considering whether the decision would be compatible with human rights.</w:t>
      </w:r>
      <w:r w:rsidRPr="000E6120">
        <w:rPr>
          <w:rStyle w:val="FootnoteReference"/>
        </w:rPr>
        <w:footnoteReference w:id="6"/>
      </w:r>
    </w:p>
    <w:p w14:paraId="706D2AEE" w14:textId="57BAB37F" w:rsidR="00E33693" w:rsidRPr="000E6120" w:rsidRDefault="00E33693" w:rsidP="00BD338A">
      <w:pPr>
        <w:pStyle w:val="NumberedPara"/>
      </w:pPr>
      <w:r w:rsidRPr="000E6120">
        <w:rPr>
          <w:lang w:val="en-US"/>
        </w:rPr>
        <w:t>In</w:t>
      </w:r>
      <w:r w:rsidRPr="000E6120">
        <w:rPr>
          <w:i/>
        </w:rPr>
        <w:t xml:space="preserve"> Owen-D’Arcy v Chief Executive, Queensland Corrective Services, </w:t>
      </w:r>
      <w:r w:rsidRPr="000E6120">
        <w:t>Martin J</w:t>
      </w:r>
      <w:r w:rsidRPr="000E6120">
        <w:rPr>
          <w:i/>
        </w:rPr>
        <w:t xml:space="preserve"> </w:t>
      </w:r>
      <w:r w:rsidRPr="000E6120">
        <w:rPr>
          <w:lang w:val="en-US"/>
        </w:rPr>
        <w:t xml:space="preserve">concluded that the inclusion of section 58(5) in the HR Act, which is absent from the Victorian </w:t>
      </w:r>
      <w:r w:rsidRPr="00617B74">
        <w:rPr>
          <w:bCs/>
          <w:i/>
          <w:iCs/>
          <w:lang w:val="en-US"/>
        </w:rPr>
        <w:t>Charter</w:t>
      </w:r>
      <w:r w:rsidRPr="000E6120">
        <w:rPr>
          <w:lang w:val="en-US"/>
        </w:rPr>
        <w:t>, had the effect of requiring a decision maker to correctly identify all rights that may be affected by a decision.</w:t>
      </w:r>
      <w:r w:rsidRPr="000E6120">
        <w:rPr>
          <w:rStyle w:val="FootnoteReference"/>
          <w:lang w:val="en-US"/>
        </w:rPr>
        <w:footnoteReference w:id="7"/>
      </w:r>
      <w:r w:rsidRPr="000E6120">
        <w:rPr>
          <w:lang w:val="en-US"/>
        </w:rPr>
        <w:t xml:space="preserve"> However, Martin J still considered that the identification of rights must still be approached in a common sense and practical manner, and referred to and applied the test paraphrased by Tate J in</w:t>
      </w:r>
      <w:r w:rsidRPr="000E6120">
        <w:rPr>
          <w:i/>
          <w:lang w:val="en-US"/>
        </w:rPr>
        <w:t xml:space="preserve"> Bare v Independent Broad-Based Anti-Corruption Commission</w:t>
      </w:r>
      <w:r w:rsidRPr="000E6120">
        <w:rPr>
          <w:lang w:val="en-US"/>
        </w:rPr>
        <w:t xml:space="preserve">  </w:t>
      </w:r>
      <w:r w:rsidRPr="000E6120">
        <w:t>(2015) 48 VR 129</w:t>
      </w:r>
      <w:r w:rsidRPr="000E6120">
        <w:rPr>
          <w:color w:val="333333"/>
        </w:rPr>
        <w:t xml:space="preserve"> at 223 [288] </w:t>
      </w:r>
    </w:p>
    <w:p w14:paraId="2714D669" w14:textId="77777777" w:rsidR="00E33693" w:rsidRPr="000E6120" w:rsidRDefault="00E33693" w:rsidP="00BD338A">
      <w:pPr>
        <w:pStyle w:val="Quote"/>
      </w:pPr>
      <w:r w:rsidRPr="000E6120">
        <w:rPr>
          <w:lang w:val="en-US"/>
        </w:rPr>
        <w:t xml:space="preserve">…for a decision-maker to give ‘proper’ consideration to a relevant human right, he or she must: </w:t>
      </w:r>
      <w:r w:rsidRPr="000E6120">
        <w:rPr>
          <w:shd w:val="clear" w:color="auto" w:fill="FFFFFF"/>
        </w:rPr>
        <w:t>(1) understand in general terms which of the rights of the person affected by the decision may be relevant and whether, and if so how, those rights will be interfered with by the decision; (2) seriously turn his or her mind to the possible impact of the decision on a person’s human rights and the implications thereof for the affected person; (3) identify the countervailing interests or obligations; and (4) balance competing private and public interests as part of the exercise of justification.</w:t>
      </w:r>
      <w:r w:rsidRPr="000E6120">
        <w:rPr>
          <w:rStyle w:val="FootnoteReference"/>
          <w:lang w:val="en-US"/>
        </w:rPr>
        <w:footnoteReference w:id="8"/>
      </w:r>
    </w:p>
    <w:p w14:paraId="65724DFD" w14:textId="77777777" w:rsidR="00E33693" w:rsidRPr="000E6120" w:rsidRDefault="00E33693" w:rsidP="00BD338A">
      <w:pPr>
        <w:pStyle w:val="NumberedPara"/>
      </w:pPr>
      <w:r w:rsidRPr="000E6120">
        <w:t xml:space="preserve">In relation to assessing the compatibility of an act or decision of a public entity, the following process suggested in </w:t>
      </w:r>
      <w:r w:rsidRPr="000E6120">
        <w:rPr>
          <w:i/>
        </w:rPr>
        <w:t>Certain Children v Minister for Families and Children (No 2)</w:t>
      </w:r>
      <w:r w:rsidRPr="000E6120">
        <w:t xml:space="preserve"> was adopted by the Queensland Supreme Court: </w:t>
      </w:r>
    </w:p>
    <w:p w14:paraId="6D26C690" w14:textId="77777777" w:rsidR="00E33693" w:rsidRPr="000E6120" w:rsidRDefault="00E33693" w:rsidP="00BD338A">
      <w:pPr>
        <w:pStyle w:val="NumberedPara"/>
        <w:numPr>
          <w:ilvl w:val="1"/>
          <w:numId w:val="12"/>
        </w:numPr>
      </w:pPr>
      <w:r w:rsidRPr="000E6120">
        <w:lastRenderedPageBreak/>
        <w:t xml:space="preserve">The plaintiff/applicant for human rights relief need only establish prima facie </w:t>
      </w:r>
      <w:proofErr w:type="gramStart"/>
      <w:r w:rsidRPr="000E6120">
        <w:t>incompatibility, before</w:t>
      </w:r>
      <w:proofErr w:type="gramEnd"/>
      <w:r w:rsidRPr="000E6120">
        <w:t xml:space="preserve"> the burden shifts to the defendant public entity to justify the limitations caused by their action/decision.</w:t>
      </w:r>
    </w:p>
    <w:p w14:paraId="039C727C" w14:textId="77777777" w:rsidR="00E33693" w:rsidRPr="000E6120" w:rsidRDefault="00E33693" w:rsidP="00BD338A">
      <w:pPr>
        <w:pStyle w:val="NumberedPara"/>
        <w:numPr>
          <w:ilvl w:val="1"/>
          <w:numId w:val="12"/>
        </w:numPr>
      </w:pPr>
      <w:r w:rsidRPr="000E6120">
        <w:t>The burden on the public entity to justify limitations is high, requiring a degree of probability commensurate with the occasion, and must be strictly imposed in circumstances where the individual concerned is particularly vulnerable.</w:t>
      </w:r>
      <w:r w:rsidRPr="000E6120">
        <w:rPr>
          <w:rStyle w:val="FootnoteReference"/>
        </w:rPr>
        <w:footnoteReference w:id="9"/>
      </w:r>
      <w:r w:rsidRPr="000E6120">
        <w:t xml:space="preserve"> </w:t>
      </w:r>
    </w:p>
    <w:p w14:paraId="23E0AF61" w14:textId="5446BE60" w:rsidR="00E33693" w:rsidRPr="000E6120" w:rsidRDefault="00E33693" w:rsidP="00C5732A">
      <w:pPr>
        <w:pStyle w:val="Heading2"/>
        <w:rPr>
          <w:rFonts w:eastAsia="Times New Roman" w:cs="Arial"/>
        </w:rPr>
      </w:pPr>
      <w:bookmarkStart w:id="9" w:name="_Toc107477919"/>
      <w:bookmarkStart w:id="10" w:name="_Toc107478094"/>
      <w:r w:rsidRPr="000E6120">
        <w:rPr>
          <w:rFonts w:eastAsia="Times New Roman" w:cs="Arial"/>
        </w:rPr>
        <w:t xml:space="preserve">Application of the HR Act to the </w:t>
      </w:r>
      <w:r w:rsidR="00C5732A" w:rsidRPr="000E6120">
        <w:rPr>
          <w:rFonts w:eastAsia="Times New Roman" w:cs="Arial"/>
        </w:rPr>
        <w:t>Magistrates</w:t>
      </w:r>
      <w:r w:rsidRPr="000E6120">
        <w:rPr>
          <w:rFonts w:eastAsia="Times New Roman" w:cs="Arial"/>
        </w:rPr>
        <w:t xml:space="preserve"> Court</w:t>
      </w:r>
      <w:r w:rsidR="00AE4BF1">
        <w:rPr>
          <w:rFonts w:eastAsia="Times New Roman" w:cs="Arial"/>
        </w:rPr>
        <w:t>s</w:t>
      </w:r>
      <w:bookmarkEnd w:id="9"/>
      <w:bookmarkEnd w:id="10"/>
    </w:p>
    <w:p w14:paraId="7DB4D5C8" w14:textId="3BCCCBBF" w:rsidR="00E33693" w:rsidRPr="000E6120" w:rsidRDefault="00E33693" w:rsidP="00E33693">
      <w:pPr>
        <w:spacing w:after="200" w:line="276" w:lineRule="auto"/>
        <w:rPr>
          <w:rFonts w:ascii="Arial" w:hAnsi="Arial" w:cs="Arial"/>
        </w:rPr>
      </w:pPr>
      <w:r w:rsidRPr="000E6120">
        <w:rPr>
          <w:rFonts w:ascii="Arial" w:hAnsi="Arial" w:cs="Arial"/>
        </w:rPr>
        <w:t xml:space="preserve">The HR Act applies to </w:t>
      </w:r>
      <w:r w:rsidR="00DC4DDA">
        <w:rPr>
          <w:rFonts w:ascii="Arial" w:hAnsi="Arial" w:cs="Arial"/>
        </w:rPr>
        <w:t>a</w:t>
      </w:r>
      <w:r w:rsidR="00DC4DDA" w:rsidRPr="000E6120">
        <w:rPr>
          <w:rFonts w:ascii="Arial" w:hAnsi="Arial" w:cs="Arial"/>
        </w:rPr>
        <w:t xml:space="preserve"> </w:t>
      </w:r>
      <w:r w:rsidR="00C5732A" w:rsidRPr="000E6120">
        <w:rPr>
          <w:rFonts w:ascii="Arial" w:hAnsi="Arial" w:cs="Arial"/>
        </w:rPr>
        <w:t>Magistrate</w:t>
      </w:r>
      <w:r w:rsidRPr="000E6120">
        <w:rPr>
          <w:rFonts w:ascii="Arial" w:hAnsi="Arial" w:cs="Arial"/>
        </w:rPr>
        <w:t>s Court when it is:</w:t>
      </w:r>
    </w:p>
    <w:p w14:paraId="1D7A46AE" w14:textId="77777777" w:rsidR="00E33693" w:rsidRPr="00BD338A" w:rsidRDefault="00E33693" w:rsidP="00BD338A">
      <w:pPr>
        <w:pStyle w:val="ListParagraph"/>
      </w:pPr>
      <w:r w:rsidRPr="00BD338A">
        <w:t>Acting in an administrative capacity, as a public entity with obligations under section 58(1) of the HR Act; and</w:t>
      </w:r>
    </w:p>
    <w:p w14:paraId="76F63FC6" w14:textId="77777777" w:rsidR="00E33693" w:rsidRPr="00BD338A" w:rsidRDefault="00E33693" w:rsidP="00BD338A">
      <w:pPr>
        <w:pStyle w:val="ListParagraph"/>
      </w:pPr>
      <w:r w:rsidRPr="00BD338A">
        <w:t>Performing functions relevant to human rights, under section 5(2)(a) of the HR Act; and</w:t>
      </w:r>
    </w:p>
    <w:p w14:paraId="5FF98278" w14:textId="77777777" w:rsidR="00E33693" w:rsidRPr="00BD338A" w:rsidRDefault="00E33693" w:rsidP="00BD338A">
      <w:pPr>
        <w:pStyle w:val="ListParagraph"/>
      </w:pPr>
      <w:r w:rsidRPr="00BD338A">
        <w:t xml:space="preserve">Interpreting statutory provisions, under section 48 of the HR Act. </w:t>
      </w:r>
    </w:p>
    <w:p w14:paraId="1759E0CB" w14:textId="77777777" w:rsidR="00E33693" w:rsidRPr="000E6120" w:rsidRDefault="00E33693" w:rsidP="00C5732A">
      <w:pPr>
        <w:pStyle w:val="Heading3"/>
        <w:rPr>
          <w:rFonts w:cs="Arial"/>
        </w:rPr>
      </w:pPr>
      <w:bookmarkStart w:id="11" w:name="_Toc107478095"/>
      <w:r w:rsidRPr="000E6120">
        <w:rPr>
          <w:rFonts w:cs="Arial"/>
        </w:rPr>
        <w:t>Acting in an administrative capacity</w:t>
      </w:r>
      <w:bookmarkEnd w:id="11"/>
      <w:r w:rsidRPr="000E6120">
        <w:rPr>
          <w:rFonts w:cs="Arial"/>
        </w:rPr>
        <w:t xml:space="preserve"> </w:t>
      </w:r>
    </w:p>
    <w:p w14:paraId="6E1178C7" w14:textId="3084FCD5" w:rsidR="00E33693" w:rsidRPr="000E6120" w:rsidRDefault="00E33693" w:rsidP="00BD338A">
      <w:pPr>
        <w:pStyle w:val="NumberedPara"/>
      </w:pPr>
      <w:r w:rsidRPr="000E6120">
        <w:t>Public entities are defined in section 9 of the HR Act, and include entities established under an Act when the entity is performing functions of a public nature.</w:t>
      </w:r>
      <w:r w:rsidRPr="000E6120">
        <w:rPr>
          <w:rStyle w:val="FootnoteReference"/>
        </w:rPr>
        <w:footnoteReference w:id="10"/>
      </w:r>
      <w:r w:rsidRPr="000E6120">
        <w:t xml:space="preserve"> However, section 9(4)(b) of the HR Act provides that a public entity does </w:t>
      </w:r>
      <w:r w:rsidRPr="000E6120">
        <w:rPr>
          <w:u w:val="single"/>
        </w:rPr>
        <w:t>not</w:t>
      </w:r>
      <w:r w:rsidRPr="000E6120">
        <w:t xml:space="preserve"> include ‘a court or tribunal, except when acting in an administrative capacity.’ The definition of ‘court’ in Schedule 1 of the HR Act includes the </w:t>
      </w:r>
      <w:r w:rsidR="00C5732A" w:rsidRPr="000E6120">
        <w:t>Magistrates</w:t>
      </w:r>
      <w:r w:rsidRPr="000E6120">
        <w:t xml:space="preserve"> Court. </w:t>
      </w:r>
    </w:p>
    <w:p w14:paraId="2F536181" w14:textId="02882A11" w:rsidR="00E33693" w:rsidRPr="000E6120" w:rsidRDefault="00E33693" w:rsidP="00BD338A">
      <w:pPr>
        <w:pStyle w:val="NumberedPara"/>
      </w:pPr>
      <w:r w:rsidRPr="000E6120">
        <w:t xml:space="preserve">Case law from Victoria establishes that ‘administrative capacity’ is taken to mean in the exercise of administrative power in the public law sense. The relevant question is what capacity </w:t>
      </w:r>
      <w:r w:rsidR="00426A17" w:rsidRPr="000E6120">
        <w:t>a Magistrates Court is</w:t>
      </w:r>
      <w:r w:rsidRPr="000E6120">
        <w:t xml:space="preserve"> acting in when exercising the </w:t>
      </w:r>
      <w:proofErr w:type="gramStart"/>
      <w:r w:rsidRPr="000E6120">
        <w:t>particular power</w:t>
      </w:r>
      <w:proofErr w:type="gramEnd"/>
      <w:r w:rsidRPr="000E6120">
        <w:t>.</w:t>
      </w:r>
      <w:bookmarkStart w:id="12" w:name="_Hlk104644105"/>
      <w:r w:rsidRPr="000E6120">
        <w:rPr>
          <w:rStyle w:val="FootnoteReference"/>
        </w:rPr>
        <w:footnoteReference w:id="11"/>
      </w:r>
      <w:r w:rsidR="00C5732A" w:rsidRPr="000E6120">
        <w:t xml:space="preserve"> That will depend on the specific circumstances, but as way of example,</w:t>
      </w:r>
      <w:r w:rsidR="000F6205" w:rsidRPr="000E6120">
        <w:t xml:space="preserve"> s 4(1)(j) of</w:t>
      </w:r>
      <w:r w:rsidR="00C5732A" w:rsidRPr="000E6120">
        <w:t xml:space="preserve"> </w:t>
      </w:r>
      <w:r w:rsidR="000F6205" w:rsidRPr="000E6120">
        <w:t xml:space="preserve">the </w:t>
      </w:r>
      <w:r w:rsidR="00FC24B0" w:rsidRPr="00617B74">
        <w:rPr>
          <w:i/>
          <w:iCs/>
        </w:rPr>
        <w:t>Charter</w:t>
      </w:r>
      <w:r w:rsidR="000F6205" w:rsidRPr="000E6120">
        <w:rPr>
          <w:i/>
          <w:iCs/>
        </w:rPr>
        <w:t xml:space="preserve"> </w:t>
      </w:r>
      <w:r w:rsidR="000F6205" w:rsidRPr="000E6120">
        <w:t>suggests a court will be operating in an administrative capacity in committal proceedings, issuing of warrants, listing cases and adopting practices and procedures.</w:t>
      </w:r>
      <w:r w:rsidR="00FC24B0">
        <w:rPr>
          <w:rStyle w:val="FootnoteReference"/>
        </w:rPr>
        <w:footnoteReference w:id="12"/>
      </w:r>
      <w:r w:rsidR="000F6205" w:rsidRPr="000E6120">
        <w:t xml:space="preserve"> </w:t>
      </w:r>
    </w:p>
    <w:p w14:paraId="0B2F59A5" w14:textId="77777777" w:rsidR="00E33693" w:rsidRPr="000E6120" w:rsidRDefault="00E33693" w:rsidP="00C5732A">
      <w:pPr>
        <w:pStyle w:val="Heading3"/>
        <w:rPr>
          <w:rFonts w:cs="Arial"/>
        </w:rPr>
      </w:pPr>
      <w:bookmarkStart w:id="13" w:name="_Toc107478096"/>
      <w:bookmarkEnd w:id="12"/>
      <w:r w:rsidRPr="000E6120">
        <w:rPr>
          <w:rFonts w:cs="Arial"/>
        </w:rPr>
        <w:t>Performing functions relevant to human rights</w:t>
      </w:r>
      <w:bookmarkEnd w:id="13"/>
    </w:p>
    <w:p w14:paraId="328EB54E" w14:textId="77777777" w:rsidR="00E33693" w:rsidRPr="000E6120" w:rsidRDefault="00E33693" w:rsidP="00BD338A">
      <w:pPr>
        <w:pStyle w:val="NumberedPara"/>
      </w:pPr>
      <w:r w:rsidRPr="000E6120">
        <w:t xml:space="preserve">Section 5(2)(a) of the HR Act states that the Act applies to ‘a court or tribunal, to the extent the court or tribunal has functions under </w:t>
      </w:r>
      <w:proofErr w:type="spellStart"/>
      <w:r w:rsidRPr="000E6120">
        <w:t>part</w:t>
      </w:r>
      <w:proofErr w:type="spellEnd"/>
      <w:r w:rsidRPr="000E6120">
        <w:t xml:space="preserve"> 2 and part 3, division 3’. Part 2 of the HR Act sets out who has human rights, how human rights may be limited, and the </w:t>
      </w:r>
      <w:r w:rsidRPr="000E6120">
        <w:lastRenderedPageBreak/>
        <w:t>human rights that are protected by the Act. Part 3 Division 3 relates to, among other things, the interpretation of statutory provisions.</w:t>
      </w:r>
    </w:p>
    <w:p w14:paraId="27CE4B2D" w14:textId="16580F3C" w:rsidR="00E33693" w:rsidRPr="000E6120" w:rsidRDefault="00E33693" w:rsidP="00BD338A">
      <w:pPr>
        <w:pStyle w:val="NumberedPara"/>
      </w:pPr>
      <w:r w:rsidRPr="000E6120">
        <w:t xml:space="preserve">Queensland has favoured the ‘intermediate construction’ adopted by Victorian Courts, </w:t>
      </w:r>
      <w:r w:rsidR="00426A17">
        <w:t xml:space="preserve">being </w:t>
      </w:r>
      <w:r w:rsidRPr="000E6120">
        <w:t>that the functions under Part 2 referred to in section 5(2)(a) of the HR Act ‘are the functions of applying or enforcing those human rights that relate to court and tribunal proceedings.’</w:t>
      </w:r>
      <w:r w:rsidRPr="000E6120">
        <w:rPr>
          <w:rStyle w:val="FootnoteReference"/>
        </w:rPr>
        <w:footnoteReference w:id="13"/>
      </w:r>
      <w:r w:rsidRPr="000E6120">
        <w:t xml:space="preserve"> Relevant rights are identified by focusing on the function that the court or tribunal is performing and the rights which relate to that function, rather than focusing on the nature of each right to determine whether it conferred a function on the Court (such as the right to fair hearing). </w:t>
      </w:r>
    </w:p>
    <w:p w14:paraId="0168BD97" w14:textId="16C41E50" w:rsidR="00D739E9" w:rsidRPr="000E6120" w:rsidRDefault="00D739E9" w:rsidP="00BD338A">
      <w:pPr>
        <w:pStyle w:val="NumberedPara"/>
      </w:pPr>
      <w:r w:rsidRPr="000E6120">
        <w:t xml:space="preserve">Due to the potential uncertainty as to when </w:t>
      </w:r>
      <w:r w:rsidR="00DC4DDA">
        <w:t>a</w:t>
      </w:r>
      <w:r w:rsidR="00DC4DDA" w:rsidRPr="000E6120">
        <w:t xml:space="preserve"> </w:t>
      </w:r>
      <w:r w:rsidRPr="000E6120">
        <w:t xml:space="preserve">Magistrates Court has obligations under the HR Act, the Justices Act </w:t>
      </w:r>
      <w:r w:rsidR="00DC4DDA">
        <w:t xml:space="preserve">could be amended to specify </w:t>
      </w:r>
      <w:r w:rsidRPr="000E6120">
        <w:t>when and how these obligations arise</w:t>
      </w:r>
      <w:r w:rsidR="00DC4DDA">
        <w:t>, such as providing examples, which is the approach taken</w:t>
      </w:r>
      <w:r w:rsidR="001E7439">
        <w:t xml:space="preserve"> in the Victorian </w:t>
      </w:r>
      <w:r w:rsidR="001E7439" w:rsidRPr="00617B74">
        <w:rPr>
          <w:i/>
          <w:iCs/>
        </w:rPr>
        <w:t>Charter</w:t>
      </w:r>
      <w:r w:rsidR="001E7439">
        <w:t xml:space="preserve">. </w:t>
      </w:r>
    </w:p>
    <w:p w14:paraId="5BE0CC34" w14:textId="77777777" w:rsidR="00E33693" w:rsidRPr="000E6120" w:rsidRDefault="00E33693" w:rsidP="00C5732A">
      <w:pPr>
        <w:pStyle w:val="Heading3"/>
        <w:rPr>
          <w:rFonts w:cs="Arial"/>
        </w:rPr>
      </w:pPr>
      <w:bookmarkStart w:id="14" w:name="_Toc107478097"/>
      <w:r w:rsidRPr="000E6120">
        <w:rPr>
          <w:rFonts w:cs="Arial"/>
        </w:rPr>
        <w:t>Statutory interpretation</w:t>
      </w:r>
      <w:bookmarkEnd w:id="14"/>
    </w:p>
    <w:p w14:paraId="350B7297" w14:textId="77777777" w:rsidR="00D739E9" w:rsidRPr="000E6120" w:rsidRDefault="00D739E9" w:rsidP="00BD338A">
      <w:pPr>
        <w:pStyle w:val="NumberedPara"/>
      </w:pPr>
      <w:r w:rsidRPr="000E6120">
        <w:t>Subject to an override declaration by parliament at the time a bill is passed,</w:t>
      </w:r>
      <w:r w:rsidRPr="000E6120">
        <w:rPr>
          <w:rStyle w:val="FootnoteReference"/>
        </w:rPr>
        <w:footnoteReference w:id="14"/>
      </w:r>
      <w:r w:rsidRPr="000E6120">
        <w:t xml:space="preserve"> section 48(1) HR Act applies to all statutory provisions, whenever enacted.  It requires:</w:t>
      </w:r>
    </w:p>
    <w:p w14:paraId="1337CC1F" w14:textId="77777777" w:rsidR="00D739E9" w:rsidRPr="000E6120" w:rsidRDefault="00D739E9" w:rsidP="00BD338A">
      <w:pPr>
        <w:pStyle w:val="ListParagraph"/>
        <w:numPr>
          <w:ilvl w:val="0"/>
          <w:numId w:val="5"/>
        </w:numPr>
      </w:pPr>
      <w:r w:rsidRPr="000E6120">
        <w:t>consistency of interpretation with the statutory provision’s intended meaning; and</w:t>
      </w:r>
    </w:p>
    <w:p w14:paraId="5E9E7CC1" w14:textId="77777777" w:rsidR="00D739E9" w:rsidRPr="000E6120" w:rsidRDefault="00D739E9" w:rsidP="00BD338A">
      <w:pPr>
        <w:pStyle w:val="ListParagraph"/>
        <w:numPr>
          <w:ilvl w:val="0"/>
          <w:numId w:val="5"/>
        </w:numPr>
      </w:pPr>
      <w:r w:rsidRPr="000E6120">
        <w:t>an interpretation which is compatible with human rights.</w:t>
      </w:r>
    </w:p>
    <w:p w14:paraId="0124DA80" w14:textId="77777777" w:rsidR="00D739E9" w:rsidRPr="000E6120" w:rsidRDefault="00D739E9" w:rsidP="00BD338A">
      <w:pPr>
        <w:pStyle w:val="NumberedPara"/>
      </w:pPr>
      <w:r w:rsidRPr="000E6120">
        <w:t>An act or decision will be ‘compatible with human rights’ if it (s 8 HR Act):</w:t>
      </w:r>
    </w:p>
    <w:p w14:paraId="7DDF0091" w14:textId="77777777" w:rsidR="00D739E9" w:rsidRPr="000E6120" w:rsidRDefault="00D739E9" w:rsidP="00BD338A">
      <w:pPr>
        <w:pStyle w:val="NumberedPara"/>
        <w:numPr>
          <w:ilvl w:val="1"/>
          <w:numId w:val="12"/>
        </w:numPr>
      </w:pPr>
      <w:r w:rsidRPr="000E6120">
        <w:t>Does not limit a human right; or</w:t>
      </w:r>
    </w:p>
    <w:p w14:paraId="6F25B0FC" w14:textId="77777777" w:rsidR="00D739E9" w:rsidRPr="000E6120" w:rsidRDefault="00D739E9" w:rsidP="00BD338A">
      <w:pPr>
        <w:pStyle w:val="NumberedPara"/>
        <w:numPr>
          <w:ilvl w:val="1"/>
          <w:numId w:val="12"/>
        </w:numPr>
      </w:pPr>
      <w:r w:rsidRPr="000E6120">
        <w:t>Limits a human right only to the extent that is reasonable and demonstrably justifiable in accordance with section 13.</w:t>
      </w:r>
    </w:p>
    <w:p w14:paraId="05FF43E9" w14:textId="1CD57D75" w:rsidR="006B3DD8" w:rsidRPr="000E6120" w:rsidRDefault="00D739E9" w:rsidP="00BD338A">
      <w:pPr>
        <w:pStyle w:val="NumberedPara"/>
      </w:pPr>
      <w:r w:rsidRPr="000E6120">
        <w:t>Section 48 will be relevant to how the Justices Act is interpreted, and how other legislation is applied by the Magistrates Court</w:t>
      </w:r>
      <w:r w:rsidR="00DC4DDA">
        <w:t>s</w:t>
      </w:r>
      <w:r w:rsidRPr="000E6120">
        <w:t xml:space="preserve">. </w:t>
      </w:r>
    </w:p>
    <w:p w14:paraId="735E6A8D" w14:textId="7F143983" w:rsidR="0038470B" w:rsidRPr="000E6120" w:rsidRDefault="00956CE4" w:rsidP="00B1657F">
      <w:pPr>
        <w:pStyle w:val="Heading2"/>
      </w:pPr>
      <w:bookmarkStart w:id="15" w:name="_Toc107477920"/>
      <w:bookmarkStart w:id="16" w:name="_Toc107478098"/>
      <w:r w:rsidRPr="000E6120">
        <w:t xml:space="preserve">Relevant </w:t>
      </w:r>
      <w:r w:rsidR="00B1657F">
        <w:t>h</w:t>
      </w:r>
      <w:r w:rsidRPr="000E6120">
        <w:t xml:space="preserve">uman </w:t>
      </w:r>
      <w:r w:rsidR="00B1657F">
        <w:t>r</w:t>
      </w:r>
      <w:r w:rsidRPr="000E6120">
        <w:t>ights</w:t>
      </w:r>
      <w:bookmarkEnd w:id="15"/>
      <w:bookmarkEnd w:id="16"/>
    </w:p>
    <w:p w14:paraId="3F5A5D8A" w14:textId="453AAF9F" w:rsidR="00516153" w:rsidRPr="000E6120" w:rsidRDefault="00516153" w:rsidP="00BD338A">
      <w:pPr>
        <w:pStyle w:val="NumberedPara"/>
      </w:pPr>
      <w:r w:rsidRPr="000E6120">
        <w:t>The HR Act will be potentially relevant to the human rights of all individuals working in or appearing before the Magistrates Court</w:t>
      </w:r>
      <w:r w:rsidR="00DC4DDA">
        <w:t>s</w:t>
      </w:r>
      <w:r w:rsidRPr="000E6120">
        <w:t xml:space="preserve"> including staff, accused and victims. </w:t>
      </w:r>
    </w:p>
    <w:p w14:paraId="64BDAC1B" w14:textId="27B44DC5" w:rsidR="00956CE4" w:rsidRPr="000E6120" w:rsidRDefault="00516153" w:rsidP="00BD338A">
      <w:pPr>
        <w:pStyle w:val="NumberedPara"/>
      </w:pPr>
      <w:r w:rsidRPr="000E6120">
        <w:t>These rights will be particularly relevant to those with vulnerable needs and vulnerabilities</w:t>
      </w:r>
      <w:r w:rsidR="00CF4B0D">
        <w:t xml:space="preserve"> as</w:t>
      </w:r>
      <w:r w:rsidRPr="000E6120">
        <w:t xml:space="preserve"> identified in the Consultation Paper. These include people with disability, women, people from culturally and linguistically diverse backgrounds and First Nations people.</w:t>
      </w:r>
      <w:r w:rsidR="00956CE4" w:rsidRPr="000E6120">
        <w:t xml:space="preserve"> The QRHC suggests that a proper consideration of human rights will assist in the Review’s aim of developing contemporary and effective criminal </w:t>
      </w:r>
      <w:r w:rsidR="00956CE4" w:rsidRPr="000E6120">
        <w:lastRenderedPageBreak/>
        <w:t xml:space="preserve">procedure that </w:t>
      </w:r>
      <w:proofErr w:type="gramStart"/>
      <w:r w:rsidR="00956CE4" w:rsidRPr="000E6120">
        <w:t>takes into account</w:t>
      </w:r>
      <w:proofErr w:type="gramEnd"/>
      <w:r w:rsidR="00956CE4" w:rsidRPr="000E6120">
        <w:t xml:space="preserve"> the needs and preferences of people who use the Magistrates Courts, including groups of people that have specific needs or vulnerabilities.</w:t>
      </w:r>
    </w:p>
    <w:p w14:paraId="0252144D" w14:textId="6CBE312C" w:rsidR="00516153" w:rsidRPr="000E6120" w:rsidRDefault="00956CE4" w:rsidP="00BD338A">
      <w:pPr>
        <w:pStyle w:val="NumberedPara"/>
      </w:pPr>
      <w:r w:rsidRPr="000E6120">
        <w:t xml:space="preserve">The QHRC agrees with the rights identified at paragraph 2.45 as being the most relevant to the Review, which include: </w:t>
      </w:r>
    </w:p>
    <w:p w14:paraId="4AD77930" w14:textId="7048AC6A" w:rsidR="005110EF" w:rsidRPr="000E6120" w:rsidRDefault="005110EF" w:rsidP="00BD338A">
      <w:pPr>
        <w:pStyle w:val="ListParagraph"/>
      </w:pPr>
      <w:r w:rsidRPr="000E6120">
        <w:t>Cultural rights for Aboriginal and Torres Strait Islander people (s 28)</w:t>
      </w:r>
    </w:p>
    <w:p w14:paraId="2F0B5A38" w14:textId="33111ABE" w:rsidR="005110EF" w:rsidRPr="000E6120" w:rsidRDefault="005110EF" w:rsidP="00BD338A">
      <w:pPr>
        <w:pStyle w:val="ListParagraph"/>
      </w:pPr>
      <w:r w:rsidRPr="000E6120">
        <w:t>Right to liberty and security of the person (s 29)</w:t>
      </w:r>
    </w:p>
    <w:p w14:paraId="323BAADD" w14:textId="2C6AF09D" w:rsidR="005110EF" w:rsidRPr="000E6120" w:rsidRDefault="005110EF" w:rsidP="00BD338A">
      <w:pPr>
        <w:pStyle w:val="ListParagraph"/>
      </w:pPr>
      <w:r w:rsidRPr="000E6120">
        <w:t>Right to fair hearing (s 31)</w:t>
      </w:r>
    </w:p>
    <w:p w14:paraId="0735E28C" w14:textId="3C9B8349" w:rsidR="005110EF" w:rsidRPr="000E6120" w:rsidRDefault="005110EF" w:rsidP="00BD338A">
      <w:pPr>
        <w:pStyle w:val="ListParagraph"/>
      </w:pPr>
      <w:r w:rsidRPr="000E6120">
        <w:t>Rights in criminal proceedings (s 32)</w:t>
      </w:r>
    </w:p>
    <w:p w14:paraId="35086388" w14:textId="77F53302" w:rsidR="005110EF" w:rsidRPr="000E6120" w:rsidRDefault="005110EF" w:rsidP="00BD338A">
      <w:pPr>
        <w:pStyle w:val="ListParagraph"/>
      </w:pPr>
      <w:r w:rsidRPr="000E6120">
        <w:t>Right not to be tried or punished more than once (s 34)</w:t>
      </w:r>
    </w:p>
    <w:p w14:paraId="47511153" w14:textId="7D0CBADB" w:rsidR="005110EF" w:rsidRPr="000E6120" w:rsidRDefault="005110EF" w:rsidP="00BD338A">
      <w:pPr>
        <w:pStyle w:val="NumberedPara"/>
      </w:pPr>
      <w:r w:rsidRPr="000E6120">
        <w:t>To that the QHRC would add:</w:t>
      </w:r>
    </w:p>
    <w:p w14:paraId="6C696D59" w14:textId="5267FB5A" w:rsidR="005110EF" w:rsidRDefault="005110EF" w:rsidP="00BD338A">
      <w:pPr>
        <w:pStyle w:val="ListParagraph"/>
      </w:pPr>
      <w:r w:rsidRPr="000E6120">
        <w:t>Right to equality and non-discrimination (s 15)</w:t>
      </w:r>
    </w:p>
    <w:p w14:paraId="7A228382" w14:textId="420E9664" w:rsidR="00C56746" w:rsidRPr="000E6120" w:rsidRDefault="00C56746" w:rsidP="00BD338A">
      <w:pPr>
        <w:pStyle w:val="ListParagraph"/>
      </w:pPr>
      <w:r>
        <w:t>Right to life (s 16)</w:t>
      </w:r>
    </w:p>
    <w:p w14:paraId="4BA52C26" w14:textId="7361548A" w:rsidR="005110EF" w:rsidRPr="000E6120" w:rsidRDefault="005110EF" w:rsidP="00BD338A">
      <w:pPr>
        <w:pStyle w:val="ListParagraph"/>
      </w:pPr>
      <w:r w:rsidRPr="000E6120">
        <w:t>Rights of children in the criminal process (s 33)</w:t>
      </w:r>
    </w:p>
    <w:p w14:paraId="0ED4CD15" w14:textId="14B2BDC1" w:rsidR="0038470B" w:rsidRPr="000E6120" w:rsidRDefault="0038470B" w:rsidP="00A52FB8">
      <w:pPr>
        <w:pStyle w:val="Heading1"/>
      </w:pPr>
      <w:bookmarkStart w:id="17" w:name="_Toc107477921"/>
      <w:bookmarkStart w:id="18" w:name="_Toc107478099"/>
      <w:r w:rsidRPr="000E6120">
        <w:t>Response to consultation questions</w:t>
      </w:r>
      <w:bookmarkEnd w:id="17"/>
      <w:bookmarkEnd w:id="18"/>
    </w:p>
    <w:p w14:paraId="38301096" w14:textId="132C072B" w:rsidR="00534333" w:rsidRPr="00B1657F" w:rsidRDefault="00534333" w:rsidP="00B1657F">
      <w:pPr>
        <w:pStyle w:val="Heading4"/>
      </w:pPr>
      <w:r w:rsidRPr="00B1657F">
        <w:t>1: Generally, how are criminal procedures in the Magistrates Courts working? What could be changed or improved?</w:t>
      </w:r>
      <w:r w:rsidRPr="00B1657F">
        <w:br/>
        <w:t>2: What does ‘contemporary and effective’ mean to you? How should those concepts be applied to criminal procedure laws in the Magistrates Courts?</w:t>
      </w:r>
    </w:p>
    <w:p w14:paraId="675D1326" w14:textId="5FCFF167" w:rsidR="00534333" w:rsidRPr="00534333" w:rsidRDefault="00067DB9" w:rsidP="00BD338A">
      <w:pPr>
        <w:pStyle w:val="NumberedPara"/>
      </w:pPr>
      <w:r>
        <w:t>Several reports have highlighted the over representation of Aboriginal and Torres Strait Islander peoples in the criminal justice system.</w:t>
      </w:r>
      <w:r>
        <w:rPr>
          <w:rStyle w:val="FootnoteReference"/>
        </w:rPr>
        <w:footnoteReference w:id="15"/>
      </w:r>
      <w:r>
        <w:t xml:space="preserve"> The QHRC recommends </w:t>
      </w:r>
      <w:r w:rsidR="00CF1A23">
        <w:t xml:space="preserve">this Review consider the recommendations of previous reports, and further </w:t>
      </w:r>
      <w:r>
        <w:t>engage with First Nations stakeholders to identify how criminal procedures can better address this issue</w:t>
      </w:r>
      <w:r w:rsidR="00CF1A23">
        <w:t>. This includes</w:t>
      </w:r>
      <w:r>
        <w:t xml:space="preserve"> in relation to better cultural awareness throughout the</w:t>
      </w:r>
      <w:r w:rsidR="00CF1A23">
        <w:t xml:space="preserve"> criminal justice</w:t>
      </w:r>
      <w:r>
        <w:t xml:space="preserve"> system</w:t>
      </w:r>
      <w:r>
        <w:rPr>
          <w:rStyle w:val="FootnoteReference"/>
        </w:rPr>
        <w:footnoteReference w:id="16"/>
      </w:r>
      <w:r>
        <w:t>, addressing communication issues,</w:t>
      </w:r>
      <w:r>
        <w:rPr>
          <w:rStyle w:val="FootnoteReference"/>
        </w:rPr>
        <w:footnoteReference w:id="17"/>
      </w:r>
      <w:r w:rsidR="00FF6DF0">
        <w:t xml:space="preserve"> as well as greater investment in diversion and referral pathways. </w:t>
      </w:r>
    </w:p>
    <w:p w14:paraId="22E9F14D" w14:textId="1CC7CDD4" w:rsidR="005110EF" w:rsidRPr="000E6120" w:rsidRDefault="005110EF" w:rsidP="00B1657F">
      <w:pPr>
        <w:pStyle w:val="Heading4"/>
      </w:pPr>
      <w:r w:rsidRPr="000E6120">
        <w:t>4:</w:t>
      </w:r>
      <w:r w:rsidRPr="000E6120">
        <w:rPr>
          <w:b/>
          <w:bCs/>
        </w:rPr>
        <w:t xml:space="preserve"> </w:t>
      </w:r>
      <w:r w:rsidRPr="000E6120">
        <w:t xml:space="preserve">Should the new legislation include guiding principles? If so, what should the main themes of those principles be? </w:t>
      </w:r>
    </w:p>
    <w:p w14:paraId="2826497D" w14:textId="0ECA064A" w:rsidR="005110EF" w:rsidRPr="000E6120" w:rsidRDefault="005110EF" w:rsidP="00BD338A">
      <w:pPr>
        <w:pStyle w:val="NumberedPara"/>
      </w:pPr>
      <w:r w:rsidRPr="000E6120">
        <w:t>The QHRC suggests that if the new legislation does include guiding principles, these should be informed by and reflect relevant rights in the HR Act</w:t>
      </w:r>
      <w:r w:rsidR="00E3111C">
        <w:t>.</w:t>
      </w:r>
    </w:p>
    <w:p w14:paraId="071E961C" w14:textId="51114C3D" w:rsidR="005110EF" w:rsidRPr="000E6120" w:rsidRDefault="005110EF" w:rsidP="00B1657F">
      <w:pPr>
        <w:pStyle w:val="Heading4"/>
      </w:pPr>
      <w:r w:rsidRPr="000E6120">
        <w:lastRenderedPageBreak/>
        <w:t>5:</w:t>
      </w:r>
      <w:r w:rsidRPr="000E6120">
        <w:rPr>
          <w:b/>
          <w:bCs/>
        </w:rPr>
        <w:t xml:space="preserve"> </w:t>
      </w:r>
      <w:r w:rsidRPr="000E6120">
        <w:t xml:space="preserve">Should the law be changed to create a single Magistrates Court of Queensland? </w:t>
      </w:r>
    </w:p>
    <w:p w14:paraId="695FCB9E" w14:textId="79E85C5B" w:rsidR="005110EF" w:rsidRPr="000E6120" w:rsidRDefault="005110EF" w:rsidP="00BD338A">
      <w:pPr>
        <w:pStyle w:val="NumberedPara"/>
      </w:pPr>
      <w:r w:rsidRPr="000E6120">
        <w:t>The QHRC suggests there is potential for a single Magistrates Court, however named, to address potential human rights limitations in the current system.</w:t>
      </w:r>
    </w:p>
    <w:p w14:paraId="5AC2DEEA" w14:textId="5CF59C19" w:rsidR="005110EF" w:rsidRPr="000E6120" w:rsidRDefault="005110EF" w:rsidP="00BD338A">
      <w:pPr>
        <w:pStyle w:val="NumberedPara"/>
      </w:pPr>
      <w:r w:rsidRPr="000E6120">
        <w:t xml:space="preserve">For example, in </w:t>
      </w:r>
      <w:proofErr w:type="spellStart"/>
      <w:r w:rsidR="006A3B71" w:rsidRPr="000E6120">
        <w:rPr>
          <w:i/>
          <w:iCs/>
        </w:rPr>
        <w:t>Cemino</w:t>
      </w:r>
      <w:proofErr w:type="spellEnd"/>
      <w:r w:rsidR="006A3B71" w:rsidRPr="000E6120">
        <w:rPr>
          <w:i/>
          <w:iCs/>
        </w:rPr>
        <w:t xml:space="preserve"> v </w:t>
      </w:r>
      <w:proofErr w:type="spellStart"/>
      <w:r w:rsidR="006A3B71" w:rsidRPr="000E6120">
        <w:rPr>
          <w:i/>
          <w:iCs/>
        </w:rPr>
        <w:t>Cann</w:t>
      </w:r>
      <w:r w:rsidR="00D73497" w:rsidRPr="000E6120">
        <w:rPr>
          <w:i/>
          <w:iCs/>
        </w:rPr>
        <w:t>a</w:t>
      </w:r>
      <w:r w:rsidR="006A3B71" w:rsidRPr="000E6120">
        <w:rPr>
          <w:i/>
          <w:iCs/>
        </w:rPr>
        <w:t>n</w:t>
      </w:r>
      <w:proofErr w:type="spellEnd"/>
      <w:r w:rsidR="006A3B71" w:rsidRPr="000E6120">
        <w:rPr>
          <w:i/>
          <w:iCs/>
        </w:rPr>
        <w:t xml:space="preserve"> </w:t>
      </w:r>
      <w:r w:rsidR="006A3B71" w:rsidRPr="000E6120">
        <w:t xml:space="preserve">[2018] VSC 535, the Victorian Supreme Court </w:t>
      </w:r>
      <w:r w:rsidR="00D73497" w:rsidRPr="000E6120">
        <w:t xml:space="preserve">found </w:t>
      </w:r>
      <w:r w:rsidR="006A3B71" w:rsidRPr="000E6120">
        <w:t xml:space="preserve">that when </w:t>
      </w:r>
      <w:r w:rsidR="00D73497" w:rsidRPr="000E6120">
        <w:t>considering the</w:t>
      </w:r>
      <w:r w:rsidR="006A3B71" w:rsidRPr="000E6120">
        <w:t xml:space="preserve"> transfer</w:t>
      </w:r>
      <w:r w:rsidR="00D73497" w:rsidRPr="000E6120">
        <w:t xml:space="preserve"> of</w:t>
      </w:r>
      <w:r w:rsidR="006A3B71" w:rsidRPr="000E6120">
        <w:t xml:space="preserve"> proceedings to the Koori Court Division of the</w:t>
      </w:r>
      <w:r w:rsidR="00D73497" w:rsidRPr="000E6120">
        <w:t xml:space="preserve"> Victorian</w:t>
      </w:r>
      <w:r w:rsidR="006A3B71" w:rsidRPr="000E6120">
        <w:t xml:space="preserve"> Magistrates Court, </w:t>
      </w:r>
      <w:r w:rsidR="00D73497" w:rsidRPr="000E6120">
        <w:t>a</w:t>
      </w:r>
      <w:r w:rsidR="006A3B71" w:rsidRPr="000E6120">
        <w:t xml:space="preserve"> Magistrate was obliged to consider human rights under the </w:t>
      </w:r>
      <w:r w:rsidR="006A3B71" w:rsidRPr="00617B74">
        <w:rPr>
          <w:i/>
          <w:iCs/>
        </w:rPr>
        <w:t>Charter</w:t>
      </w:r>
      <w:r w:rsidR="00D73497" w:rsidRPr="000E6120">
        <w:rPr>
          <w:i/>
          <w:iCs/>
        </w:rPr>
        <w:t xml:space="preserve">. </w:t>
      </w:r>
      <w:r w:rsidR="00D73497" w:rsidRPr="000E6120">
        <w:t>The relevant rights being</w:t>
      </w:r>
      <w:r w:rsidR="006A3B71" w:rsidRPr="000E6120">
        <w:t xml:space="preserve"> the right to equality a</w:t>
      </w:r>
      <w:r w:rsidR="007C4573" w:rsidRPr="000E6120">
        <w:t>nd cultural rights of Aboriginal pe</w:t>
      </w:r>
      <w:r w:rsidR="00D73497" w:rsidRPr="000E6120">
        <w:t>rsons</w:t>
      </w:r>
      <w:r w:rsidR="006A3B71" w:rsidRPr="000E6120">
        <w:t xml:space="preserve">. In that case an Aboriginal man who lived in northern Victoria sought to have charges against him transferred to the closest Koori Court in Shepparton. The Magistrate refused the application deciding that the case should be heard in the locality in which the </w:t>
      </w:r>
      <w:r w:rsidR="004966E8">
        <w:t>offences</w:t>
      </w:r>
      <w:r w:rsidR="004966E8" w:rsidRPr="000E6120">
        <w:t xml:space="preserve"> </w:t>
      </w:r>
      <w:r w:rsidR="006A3B71" w:rsidRPr="000E6120">
        <w:t xml:space="preserve">occurred. The Supreme Court found that the exercise of discretion was a judicial, rather than administrative power, and so the Magistrates Court was not a public authority for the purposes of the </w:t>
      </w:r>
      <w:r w:rsidR="006A3B71" w:rsidRPr="000E6120">
        <w:rPr>
          <w:i/>
          <w:iCs/>
        </w:rPr>
        <w:t xml:space="preserve">Charter. </w:t>
      </w:r>
      <w:r w:rsidRPr="000E6120">
        <w:rPr>
          <w:i/>
          <w:iCs/>
        </w:rPr>
        <w:t xml:space="preserve"> </w:t>
      </w:r>
      <w:r w:rsidR="006A3B71" w:rsidRPr="000E6120">
        <w:t>However, in adop</w:t>
      </w:r>
      <w:r w:rsidR="00D73497" w:rsidRPr="000E6120">
        <w:t>t</w:t>
      </w:r>
      <w:r w:rsidR="006A3B71" w:rsidRPr="000E6120">
        <w:t>ing the intermediate construction</w:t>
      </w:r>
      <w:r w:rsidR="00617B74">
        <w:t xml:space="preserve"> of the </w:t>
      </w:r>
      <w:r w:rsidR="00617B74" w:rsidRPr="00617B74">
        <w:rPr>
          <w:i/>
          <w:iCs/>
        </w:rPr>
        <w:t>Charter</w:t>
      </w:r>
      <w:r w:rsidR="006A3B71" w:rsidRPr="000E6120">
        <w:t>, the Suprem</w:t>
      </w:r>
      <w:r w:rsidR="00D73497" w:rsidRPr="000E6120">
        <w:t>e</w:t>
      </w:r>
      <w:r w:rsidR="006A3B71" w:rsidRPr="000E6120">
        <w:t xml:space="preserve"> Court found that the </w:t>
      </w:r>
      <w:r w:rsidR="006A3B71" w:rsidRPr="00617B74">
        <w:rPr>
          <w:i/>
          <w:iCs/>
        </w:rPr>
        <w:t>Charter</w:t>
      </w:r>
      <w:r w:rsidR="006A3B71" w:rsidRPr="000E6120">
        <w:t xml:space="preserve"> directly applied to the Magistrates Court proceedings. </w:t>
      </w:r>
      <w:r w:rsidR="001E7439">
        <w:t>The Court ordered that a different</w:t>
      </w:r>
      <w:r w:rsidR="00DC4DDA">
        <w:t>ly</w:t>
      </w:r>
      <w:r w:rsidR="001E7439">
        <w:t xml:space="preserve"> constituted Magistrates’ Court at Echuca rehear the application. </w:t>
      </w:r>
    </w:p>
    <w:p w14:paraId="13D9D271" w14:textId="1912FFF8" w:rsidR="005110EF" w:rsidRPr="000E6120" w:rsidRDefault="005110EF" w:rsidP="00BD338A">
      <w:pPr>
        <w:pStyle w:val="NumberedPara"/>
      </w:pPr>
      <w:r w:rsidRPr="000E6120">
        <w:t>While the QHRC is not familiar with the specifics of the Magistrates Courts</w:t>
      </w:r>
      <w:r w:rsidR="00DC4DDA">
        <w:t>’</w:t>
      </w:r>
      <w:r w:rsidRPr="000E6120">
        <w:t xml:space="preserve"> current operating framework, the specific </w:t>
      </w:r>
      <w:r w:rsidR="006A3B71" w:rsidRPr="000E6120">
        <w:t>geographic</w:t>
      </w:r>
      <w:r w:rsidRPr="000E6120">
        <w:t xml:space="preserve"> nature of the present courts may </w:t>
      </w:r>
      <w:r w:rsidR="00CF4B0D">
        <w:t>unnecessarily complicate the</w:t>
      </w:r>
      <w:r w:rsidRPr="000E6120">
        <w:t xml:space="preserve"> transfers of matters in </w:t>
      </w:r>
      <w:r w:rsidR="00DF3635">
        <w:t xml:space="preserve">similar </w:t>
      </w:r>
      <w:r w:rsidRPr="000E6120">
        <w:t>situations (</w:t>
      </w:r>
      <w:r w:rsidR="001074FE">
        <w:t>for example</w:t>
      </w:r>
      <w:r w:rsidRPr="000E6120">
        <w:t xml:space="preserve"> </w:t>
      </w:r>
      <w:r w:rsidR="006A3B71" w:rsidRPr="000E6120">
        <w:t xml:space="preserve">those </w:t>
      </w:r>
      <w:r w:rsidRPr="000E6120">
        <w:t>involving</w:t>
      </w:r>
      <w:r w:rsidR="006A3B71" w:rsidRPr="000E6120">
        <w:t xml:space="preserve"> specialist courts such as</w:t>
      </w:r>
      <w:r w:rsidRPr="000E6120">
        <w:t xml:space="preserve"> the Murri Court</w:t>
      </w:r>
      <w:r w:rsidR="0019105F">
        <w:t>,</w:t>
      </w:r>
      <w:r w:rsidR="00DF3635">
        <w:t xml:space="preserve"> the Domestic</w:t>
      </w:r>
      <w:r w:rsidR="00E3111C">
        <w:t xml:space="preserve"> and Family</w:t>
      </w:r>
      <w:r w:rsidR="00DF3635">
        <w:t xml:space="preserve"> Violence Court </w:t>
      </w:r>
      <w:r w:rsidR="00CF4B0D">
        <w:t xml:space="preserve">and </w:t>
      </w:r>
      <w:r w:rsidR="00DF3635">
        <w:t xml:space="preserve">the </w:t>
      </w:r>
      <w:r w:rsidR="00E3111C" w:rsidRPr="00E3111C">
        <w:t>Drug and Alcohol Court</w:t>
      </w:r>
      <w:r w:rsidRPr="000E6120">
        <w:t>)</w:t>
      </w:r>
      <w:r w:rsidR="006A3B71" w:rsidRPr="000E6120">
        <w:t xml:space="preserve">. </w:t>
      </w:r>
    </w:p>
    <w:p w14:paraId="235B40DD" w14:textId="1FA69355" w:rsidR="00D73497" w:rsidRPr="000E6120" w:rsidRDefault="00D73497" w:rsidP="00B1657F">
      <w:pPr>
        <w:pStyle w:val="Heading4"/>
      </w:pPr>
      <w:r w:rsidRPr="000E6120">
        <w:rPr>
          <w:b/>
          <w:bCs/>
        </w:rPr>
        <w:t xml:space="preserve">8: </w:t>
      </w:r>
      <w:r w:rsidRPr="000E6120">
        <w:t xml:space="preserve">Should the new Act contain general provisions to allow for electronic processes and procedures? If yes, are any safeguards required? </w:t>
      </w:r>
    </w:p>
    <w:p w14:paraId="7ED42765" w14:textId="546EEF2E" w:rsidR="00D73497" w:rsidRPr="000E6120" w:rsidRDefault="00D73497" w:rsidP="00B1657F">
      <w:pPr>
        <w:pStyle w:val="Heading4"/>
      </w:pPr>
      <w:r w:rsidRPr="000E6120">
        <w:rPr>
          <w:b/>
          <w:bCs/>
        </w:rPr>
        <w:t xml:space="preserve">9: </w:t>
      </w:r>
      <w:r w:rsidRPr="000E6120">
        <w:t xml:space="preserve">What criminal procedures in the Magistrates Court could be improved by using technological solutions? Are there any criminal procedures for which technology should not be used? Please provide examples. </w:t>
      </w:r>
    </w:p>
    <w:p w14:paraId="210880CD" w14:textId="3EDAA69B" w:rsidR="00A52FB8" w:rsidRPr="000E6120" w:rsidRDefault="00D73497" w:rsidP="00B1657F">
      <w:pPr>
        <w:pStyle w:val="Heading4"/>
      </w:pPr>
      <w:r w:rsidRPr="000E6120">
        <w:rPr>
          <w:b/>
          <w:bCs/>
        </w:rPr>
        <w:t xml:space="preserve">10: </w:t>
      </w:r>
      <w:r w:rsidRPr="000E6120">
        <w:t xml:space="preserve">Should summary hearings be conducted remotely? Why or why not? </w:t>
      </w:r>
      <w:r w:rsidR="00736B60" w:rsidRPr="000E6120">
        <w:t>Conclusion</w:t>
      </w:r>
    </w:p>
    <w:p w14:paraId="05AD70A2" w14:textId="5B36D33D" w:rsidR="00D73497" w:rsidRPr="000E6120" w:rsidRDefault="00D73497" w:rsidP="00BD338A">
      <w:pPr>
        <w:pStyle w:val="NumberedPara"/>
      </w:pPr>
      <w:r w:rsidRPr="000E6120">
        <w:t xml:space="preserve">The </w:t>
      </w:r>
      <w:r w:rsidR="00CB0768">
        <w:t>QHRC</w:t>
      </w:r>
      <w:r w:rsidRPr="000E6120">
        <w:t xml:space="preserve"> appreciates that the use of technology may potentially </w:t>
      </w:r>
      <w:r w:rsidR="00685BAC" w:rsidRPr="000E6120">
        <w:t>uphold several human rights and offer greater protection from discrimination, particularly for people with disability. For example,</w:t>
      </w:r>
      <w:r w:rsidR="00EA7DB1" w:rsidRPr="000E6120">
        <w:t xml:space="preserve"> the </w:t>
      </w:r>
      <w:r w:rsidR="004F7559" w:rsidRPr="000E6120">
        <w:t>need for greater supports to ensure people with disabilities can participate in legal processes</w:t>
      </w:r>
      <w:r w:rsidR="006319E1" w:rsidRPr="000E6120">
        <w:t xml:space="preserve"> has been the subject of </w:t>
      </w:r>
      <w:r w:rsidR="00FA5E8E" w:rsidRPr="000E6120">
        <w:t>several r</w:t>
      </w:r>
      <w:r w:rsidR="009356D9">
        <w:t>eviews</w:t>
      </w:r>
      <w:r w:rsidR="004F7559" w:rsidRPr="000E6120">
        <w:t xml:space="preserve">, often with reference to relevant international human rights law such as the </w:t>
      </w:r>
      <w:r w:rsidR="00EA76AD">
        <w:t xml:space="preserve">UN </w:t>
      </w:r>
      <w:r w:rsidR="004F7559" w:rsidRPr="000E6120">
        <w:t>Convention on the Rights of Persons with Disabilities</w:t>
      </w:r>
      <w:r w:rsidR="00EA76AD">
        <w:t xml:space="preserve"> (</w:t>
      </w:r>
      <w:r w:rsidR="00EA76AD">
        <w:rPr>
          <w:b/>
          <w:bCs/>
        </w:rPr>
        <w:t>UN CRPD)</w:t>
      </w:r>
      <w:r w:rsidR="004F7559" w:rsidRPr="000E6120">
        <w:t>.</w:t>
      </w:r>
      <w:r w:rsidR="004F7559" w:rsidRPr="000E6120">
        <w:rPr>
          <w:rStyle w:val="FootnoteReference"/>
        </w:rPr>
        <w:footnoteReference w:id="18"/>
      </w:r>
      <w:r w:rsidR="004F7559" w:rsidRPr="000E6120">
        <w:t xml:space="preserve"> </w:t>
      </w:r>
    </w:p>
    <w:p w14:paraId="723C44B0" w14:textId="49DE4C69" w:rsidR="00162B32" w:rsidRPr="000E6120" w:rsidRDefault="00685BAC" w:rsidP="00BD338A">
      <w:pPr>
        <w:pStyle w:val="NumberedPara"/>
      </w:pPr>
      <w:r w:rsidRPr="000E6120">
        <w:t xml:space="preserve">Nonetheless, it must be recognised that the use of technology can also potentially limit rights. </w:t>
      </w:r>
      <w:r w:rsidR="00FA5E8E" w:rsidRPr="000E6120">
        <w:t xml:space="preserve">The Australian Human Rights Commission’s </w:t>
      </w:r>
      <w:r w:rsidR="00FA5E8E" w:rsidRPr="000E6120">
        <w:rPr>
          <w:i/>
          <w:iCs/>
        </w:rPr>
        <w:t xml:space="preserve">Human Rights and </w:t>
      </w:r>
      <w:r w:rsidR="00FA5E8E" w:rsidRPr="000E6120">
        <w:rPr>
          <w:i/>
          <w:iCs/>
        </w:rPr>
        <w:lastRenderedPageBreak/>
        <w:t xml:space="preserve">Technology Report </w:t>
      </w:r>
      <w:r w:rsidR="00FA5E8E" w:rsidRPr="000E6120">
        <w:t>discusses how inaccessible technology can limit the right to equality for many, including people with disability.</w:t>
      </w:r>
      <w:r w:rsidR="00CF4B0D">
        <w:rPr>
          <w:rStyle w:val="FootnoteReference"/>
        </w:rPr>
        <w:footnoteReference w:id="19"/>
      </w:r>
      <w:r w:rsidR="00FA5E8E" w:rsidRPr="000E6120">
        <w:t xml:space="preserve"> </w:t>
      </w:r>
      <w:r w:rsidR="00331644">
        <w:t>The introduction of technology should ensure</w:t>
      </w:r>
      <w:r w:rsidR="00162B32" w:rsidRPr="000E6120">
        <w:t xml:space="preserve"> </w:t>
      </w:r>
      <w:r w:rsidR="00331644" w:rsidRPr="00331644">
        <w:t>that persons with disabilities enjoy legal capacity on an equal basis with others in all aspects of life</w:t>
      </w:r>
      <w:r w:rsidR="00162B32" w:rsidRPr="000E6120">
        <w:t>.</w:t>
      </w:r>
      <w:r w:rsidR="00162B32" w:rsidRPr="000E6120">
        <w:rPr>
          <w:rStyle w:val="FootnoteReference"/>
        </w:rPr>
        <w:footnoteReference w:id="20"/>
      </w:r>
      <w:r w:rsidR="00162B32" w:rsidRPr="000E6120">
        <w:t xml:space="preserve"> </w:t>
      </w:r>
    </w:p>
    <w:p w14:paraId="66E38782" w14:textId="539C48DC" w:rsidR="00992E24" w:rsidRPr="000E6120" w:rsidRDefault="00992E24" w:rsidP="00BD338A">
      <w:pPr>
        <w:pStyle w:val="NumberedPara"/>
      </w:pPr>
      <w:r>
        <w:t>Discrimination is defined inclusively</w:t>
      </w:r>
      <w:r w:rsidR="00CE7D5F">
        <w:t xml:space="preserve"> in the</w:t>
      </w:r>
      <w:r w:rsidR="00162B32" w:rsidRPr="000E6120">
        <w:t xml:space="preserve"> HR Act </w:t>
      </w:r>
      <w:r w:rsidR="00CE7D5F">
        <w:t>to include direct an</w:t>
      </w:r>
      <w:r w:rsidR="00C56746">
        <w:t>d</w:t>
      </w:r>
      <w:r w:rsidR="00CE7D5F">
        <w:t xml:space="preserve"> indirect</w:t>
      </w:r>
      <w:r w:rsidR="00C56746">
        <w:t xml:space="preserve"> discrimination</w:t>
      </w:r>
      <w:r w:rsidR="00CE7D5F">
        <w:t xml:space="preserve"> as defined i</w:t>
      </w:r>
      <w:r w:rsidR="00162B32" w:rsidRPr="000E6120">
        <w:t>n the AD Act</w:t>
      </w:r>
      <w:r w:rsidR="00CE7D5F">
        <w:t xml:space="preserve"> </w:t>
      </w:r>
      <w:proofErr w:type="gramStart"/>
      <w:r w:rsidR="00CE7D5F">
        <w:t>on the basis of</w:t>
      </w:r>
      <w:proofErr w:type="gramEnd"/>
      <w:r w:rsidR="00CE7D5F">
        <w:t xml:space="preserve"> one or more of the attributes listed in s 7 of that Act. This inclusive definition may also include additional attributes</w:t>
      </w:r>
      <w:r w:rsidR="00162B32" w:rsidRPr="000E6120">
        <w:t>. Based on</w:t>
      </w:r>
      <w:r w:rsidR="00CF4B0D">
        <w:t xml:space="preserve"> the experience of</w:t>
      </w:r>
      <w:r w:rsidR="00162B32" w:rsidRPr="000E6120">
        <w:t xml:space="preserve"> other</w:t>
      </w:r>
      <w:r w:rsidR="00CF4B0D">
        <w:t xml:space="preserve"> human rights</w:t>
      </w:r>
      <w:r w:rsidR="00162B32" w:rsidRPr="000E6120">
        <w:t xml:space="preserve"> jurisdictions, </w:t>
      </w:r>
      <w:r w:rsidR="00C56746">
        <w:t>any additional protected attributes</w:t>
      </w:r>
      <w:r w:rsidR="00CF4B0D">
        <w:t xml:space="preserve"> </w:t>
      </w:r>
      <w:r w:rsidR="00CE7D5F">
        <w:t>are likely to be</w:t>
      </w:r>
      <w:r w:rsidR="00CF4B0D">
        <w:t xml:space="preserve"> </w:t>
      </w:r>
      <w:r w:rsidR="00162B32" w:rsidRPr="000E6120">
        <w:t xml:space="preserve">analogous to those already in the </w:t>
      </w:r>
      <w:r w:rsidR="00C56746">
        <w:t>AD</w:t>
      </w:r>
      <w:r w:rsidR="00162B32" w:rsidRPr="000E6120">
        <w:t xml:space="preserve"> </w:t>
      </w:r>
      <w:proofErr w:type="gramStart"/>
      <w:r w:rsidR="00162B32" w:rsidRPr="000E6120">
        <w:t>Act</w:t>
      </w:r>
      <w:r w:rsidR="00CF4B0D">
        <w:t xml:space="preserve">, </w:t>
      </w:r>
      <w:r w:rsidR="00CE7D5F">
        <w:t>and</w:t>
      </w:r>
      <w:proofErr w:type="gramEnd"/>
      <w:r w:rsidR="00CE7D5F">
        <w:t xml:space="preserve"> </w:t>
      </w:r>
      <w:r w:rsidR="00162B32" w:rsidRPr="000E6120">
        <w:t xml:space="preserve">based on characteristics that </w:t>
      </w:r>
      <w:r w:rsidR="00CF4B0D">
        <w:t>a person</w:t>
      </w:r>
      <w:r w:rsidR="00162B32" w:rsidRPr="000E6120">
        <w:t xml:space="preserve"> cannot change</w:t>
      </w:r>
      <w:r w:rsidR="00FF270D">
        <w:t xml:space="preserve"> (or cannot change</w:t>
      </w:r>
      <w:r w:rsidR="00162B32" w:rsidRPr="000E6120">
        <w:t xml:space="preserve"> without unacceptable personal cost</w:t>
      </w:r>
      <w:r w:rsidR="00FF270D">
        <w:t>)</w:t>
      </w:r>
      <w:r w:rsidR="00162B32" w:rsidRPr="000E6120">
        <w:t xml:space="preserve"> </w:t>
      </w:r>
      <w:r w:rsidR="00CE7D5F">
        <w:t>in circumstances where the targeted group has suffered historic disadvantage</w:t>
      </w:r>
      <w:r w:rsidR="00162B32" w:rsidRPr="000E6120">
        <w:t>.</w:t>
      </w:r>
      <w:r w:rsidR="00162B32" w:rsidRPr="000E6120">
        <w:rPr>
          <w:rStyle w:val="FootnoteReference"/>
        </w:rPr>
        <w:footnoteReference w:id="21"/>
      </w:r>
      <w:r w:rsidR="00162B32" w:rsidRPr="000E6120">
        <w:t xml:space="preserve"> </w:t>
      </w:r>
      <w:r>
        <w:t>In the absence of jurisprudence, the</w:t>
      </w:r>
      <w:r w:rsidRPr="000E6120">
        <w:t xml:space="preserve"> protection under the Queensland HR Act remains unclear.</w:t>
      </w:r>
    </w:p>
    <w:p w14:paraId="7ED2AA02" w14:textId="5347CCCC" w:rsidR="007B0327" w:rsidRDefault="009407A8" w:rsidP="00BD338A">
      <w:pPr>
        <w:pStyle w:val="NumberedPara"/>
      </w:pPr>
      <w:r>
        <w:t xml:space="preserve">In some circumstances, </w:t>
      </w:r>
      <w:proofErr w:type="gramStart"/>
      <w:r>
        <w:t>this criteria</w:t>
      </w:r>
      <w:proofErr w:type="gramEnd"/>
      <w:r>
        <w:t xml:space="preserve"> might lead to protection for person</w:t>
      </w:r>
      <w:r w:rsidR="00FF270D">
        <w:t xml:space="preserve"> based on where they</w:t>
      </w:r>
      <w:r>
        <w:t xml:space="preserve"> live, particularly </w:t>
      </w:r>
      <w:r w:rsidR="00162B32" w:rsidRPr="000E6120">
        <w:t xml:space="preserve">an Aboriginal or Torres Strait Islander person </w:t>
      </w:r>
      <w:r w:rsidR="001074FE">
        <w:t>living</w:t>
      </w:r>
      <w:r w:rsidR="00162B32" w:rsidRPr="000E6120">
        <w:t xml:space="preserve"> on country. </w:t>
      </w:r>
      <w:proofErr w:type="gramStart"/>
      <w:r w:rsidR="00CF4B0D">
        <w:t>With this in mind, the</w:t>
      </w:r>
      <w:proofErr w:type="gramEnd"/>
      <w:r w:rsidR="00CF4B0D">
        <w:t xml:space="preserve"> QHRC submits</w:t>
      </w:r>
      <w:r w:rsidR="00162B32" w:rsidRPr="000E6120">
        <w:t xml:space="preserve"> it is important the improvements made to the Magistrates Court</w:t>
      </w:r>
      <w:r w:rsidR="00DC4DDA">
        <w:t>s</w:t>
      </w:r>
      <w:r w:rsidR="00162B32" w:rsidRPr="000E6120">
        <w:t xml:space="preserve"> are as consistent and universal as possible, so that those living in regional and remote communities are not unreasonably disadvantaged.</w:t>
      </w:r>
    </w:p>
    <w:p w14:paraId="19BBD306" w14:textId="77777777" w:rsidR="00661B09" w:rsidRPr="000E6120" w:rsidRDefault="00661B09" w:rsidP="00B1657F">
      <w:pPr>
        <w:pStyle w:val="Heading4"/>
      </w:pPr>
      <w:r w:rsidRPr="000E6120">
        <w:t>27: If the new legislation does include requirements about case management:</w:t>
      </w:r>
    </w:p>
    <w:p w14:paraId="559B478C" w14:textId="77777777" w:rsidR="00661B09" w:rsidRPr="000E6120" w:rsidRDefault="00661B09" w:rsidP="00B1657F">
      <w:pPr>
        <w:pStyle w:val="Heading4"/>
      </w:pPr>
      <w:r w:rsidRPr="000E6120">
        <w:t>(a) should they be mandatory? Why or why not?</w:t>
      </w:r>
    </w:p>
    <w:p w14:paraId="521C66B8" w14:textId="4C3B79D7" w:rsidR="00661B09" w:rsidRDefault="00661B09" w:rsidP="00B1657F">
      <w:pPr>
        <w:pStyle w:val="Heading4"/>
      </w:pPr>
      <w:r w:rsidRPr="000E6120">
        <w:t>(b) how should they apply when a defendant is self-represented?</w:t>
      </w:r>
    </w:p>
    <w:p w14:paraId="20BE1C87" w14:textId="16C593F3" w:rsidR="00F87689" w:rsidRDefault="00F87689" w:rsidP="00BD338A">
      <w:pPr>
        <w:pStyle w:val="NumberedPara"/>
      </w:pPr>
      <w:r>
        <w:t xml:space="preserve">Victorian Courts have recognised that human rights must be considered by courts when dealing with self-represented litigants. The right to fair hearing in s 31 of the HR Act will be particularly relevant, as courts may need to play a greater role to ensure </w:t>
      </w:r>
      <w:r w:rsidR="00D94038">
        <w:t>proceedings</w:t>
      </w:r>
      <w:r>
        <w:t xml:space="preserve"> are fair for such litigants.</w:t>
      </w:r>
      <w:r>
        <w:rPr>
          <w:rStyle w:val="FootnoteReference"/>
        </w:rPr>
        <w:footnoteReference w:id="22"/>
      </w:r>
    </w:p>
    <w:p w14:paraId="34C97D69" w14:textId="2DA402C1" w:rsidR="00D94038" w:rsidRPr="00F87689" w:rsidRDefault="00D94038" w:rsidP="00BD338A">
      <w:pPr>
        <w:pStyle w:val="NumberedPara"/>
      </w:pPr>
      <w:r>
        <w:t xml:space="preserve">In </w:t>
      </w:r>
      <w:proofErr w:type="spellStart"/>
      <w:r>
        <w:rPr>
          <w:i/>
          <w:iCs/>
        </w:rPr>
        <w:t>Matsoukatidou</w:t>
      </w:r>
      <w:proofErr w:type="spellEnd"/>
      <w:r>
        <w:rPr>
          <w:i/>
          <w:iCs/>
        </w:rPr>
        <w:t xml:space="preserve"> v Yarra Ranges Council </w:t>
      </w:r>
      <w:r>
        <w:t xml:space="preserve">(2017) 51 VR 624 the Victorian Supreme Court considered the obligations on the Victorian County Court in conducting criminal proceedings involving self-represented litigants. One such litigant had a learning disability and the applicants sought judicial review of orders made on the basis that the hearing was conducted in away that failed to ensure their right to equality and fair hearing. </w:t>
      </w:r>
      <w:r w:rsidR="00D81231">
        <w:t xml:space="preserve">The Supreme Court applied the ‘intermediate construction’ of direct application of the </w:t>
      </w:r>
      <w:proofErr w:type="gramStart"/>
      <w:r w:rsidR="00D81231" w:rsidRPr="00617B74">
        <w:rPr>
          <w:i/>
          <w:iCs/>
        </w:rPr>
        <w:t>Charter</w:t>
      </w:r>
      <w:r w:rsidR="00D81231">
        <w:t>, and</w:t>
      </w:r>
      <w:proofErr w:type="gramEnd"/>
      <w:r w:rsidR="00D81231">
        <w:t xml:space="preserve"> </w:t>
      </w:r>
      <w:r w:rsidR="00D81231" w:rsidRPr="00D81231">
        <w:t>held that courts must directly apply the right to equality before the law in considering modifications of processes to accommodate the needs of self-represented litigants or parties with particular needs</w:t>
      </w:r>
      <w:r w:rsidR="00D81231">
        <w:t xml:space="preserve">. </w:t>
      </w:r>
      <w:r w:rsidR="00D81231" w:rsidRPr="00D81231">
        <w:t xml:space="preserve">A court’s duty under </w:t>
      </w:r>
      <w:r w:rsidR="00D81231">
        <w:t>the right to fair hearing</w:t>
      </w:r>
      <w:r w:rsidR="00D81231" w:rsidRPr="00D81231">
        <w:t xml:space="preserve"> is to ensure that a self-represented litigant can effectively </w:t>
      </w:r>
      <w:r w:rsidR="00D81231" w:rsidRPr="00D81231">
        <w:lastRenderedPageBreak/>
        <w:t xml:space="preserve">participate in the proceeding and have ‘equality of arms’ with the opposition, subject to considerations of judicial independence, </w:t>
      </w:r>
      <w:proofErr w:type="gramStart"/>
      <w:r w:rsidR="00D81231" w:rsidRPr="00D81231">
        <w:t>impartiality</w:t>
      </w:r>
      <w:proofErr w:type="gramEnd"/>
      <w:r w:rsidR="00D81231" w:rsidRPr="00D81231">
        <w:t xml:space="preserve"> and fairness to other parties.</w:t>
      </w:r>
    </w:p>
    <w:p w14:paraId="29075412" w14:textId="04234456" w:rsidR="00162B32" w:rsidRPr="000E6120" w:rsidRDefault="00162B32" w:rsidP="00B1657F">
      <w:pPr>
        <w:pStyle w:val="Heading4"/>
      </w:pPr>
      <w:r w:rsidRPr="000E6120">
        <w:t>29 – 42: Diversion and related issues</w:t>
      </w:r>
    </w:p>
    <w:p w14:paraId="630CAF27" w14:textId="174E6F59" w:rsidR="00F87689" w:rsidRDefault="00162B32" w:rsidP="00BD338A">
      <w:pPr>
        <w:pStyle w:val="NumberedPara"/>
      </w:pPr>
      <w:r w:rsidRPr="000E6120">
        <w:t>The QHRC has some concerns with recent changes to</w:t>
      </w:r>
      <w:r w:rsidR="00F87689">
        <w:t xml:space="preserve"> t</w:t>
      </w:r>
      <w:r w:rsidRPr="000E6120">
        <w:t xml:space="preserve">he </w:t>
      </w:r>
      <w:r w:rsidRPr="00CA69EE">
        <w:rPr>
          <w:i/>
          <w:iCs/>
        </w:rPr>
        <w:t xml:space="preserve">Youth </w:t>
      </w:r>
      <w:r w:rsidR="00F87689" w:rsidRPr="00CA69EE">
        <w:rPr>
          <w:i/>
          <w:iCs/>
        </w:rPr>
        <w:t>J</w:t>
      </w:r>
      <w:r w:rsidRPr="00CA69EE">
        <w:rPr>
          <w:i/>
          <w:iCs/>
        </w:rPr>
        <w:t>ustice Act</w:t>
      </w:r>
      <w:r w:rsidR="00CA69EE" w:rsidRPr="00CA69EE">
        <w:rPr>
          <w:i/>
          <w:iCs/>
        </w:rPr>
        <w:t xml:space="preserve"> 1992</w:t>
      </w:r>
      <w:r w:rsidR="00F87689">
        <w:t>, particularly regarding bail,</w:t>
      </w:r>
      <w:r w:rsidRPr="000E6120">
        <w:t xml:space="preserve"> but notes that </w:t>
      </w:r>
      <w:r w:rsidR="00F87689">
        <w:t>a review of this legislation is</w:t>
      </w:r>
      <w:r w:rsidRPr="000E6120">
        <w:t xml:space="preserve"> outside the terms of reference.</w:t>
      </w:r>
      <w:r w:rsidR="00F87689">
        <w:t xml:space="preserve"> </w:t>
      </w:r>
    </w:p>
    <w:p w14:paraId="1EE63823" w14:textId="7E4FE62C" w:rsidR="001D40D6" w:rsidRDefault="00F87689" w:rsidP="00BD338A">
      <w:pPr>
        <w:pStyle w:val="NumberedPara"/>
      </w:pPr>
      <w:r>
        <w:t>In relation to the questions regarding diversion</w:t>
      </w:r>
      <w:r w:rsidR="00162B32" w:rsidRPr="000E6120">
        <w:t>, the QHRC considers that far greater emphasis should be placed on diversion</w:t>
      </w:r>
      <w:r>
        <w:t>, particularly for children and young people</w:t>
      </w:r>
      <w:r w:rsidR="00C56746">
        <w:t xml:space="preserve"> and people with intellectual disability</w:t>
      </w:r>
      <w:r>
        <w:t xml:space="preserve">. </w:t>
      </w:r>
      <w:proofErr w:type="gramStart"/>
      <w:r w:rsidR="001D40D6">
        <w:t>In order for</w:t>
      </w:r>
      <w:proofErr w:type="gramEnd"/>
      <w:r w:rsidR="001D40D6">
        <w:t xml:space="preserve"> such strategies to be effect</w:t>
      </w:r>
      <w:r w:rsidR="00C56746">
        <w:t>ive</w:t>
      </w:r>
      <w:r w:rsidR="001D40D6">
        <w:t>, the QHRC suggests further investment is needed in diversionary options to support families and prevent children</w:t>
      </w:r>
      <w:r w:rsidR="00C56746">
        <w:t xml:space="preserve"> and people with disability</w:t>
      </w:r>
      <w:r w:rsidR="001D40D6">
        <w:t xml:space="preserve"> unnecessarily being involved in the criminal justice system.</w:t>
      </w:r>
      <w:r w:rsidR="001D40D6">
        <w:rPr>
          <w:rStyle w:val="FootnoteReference"/>
        </w:rPr>
        <w:footnoteReference w:id="23"/>
      </w:r>
      <w:r w:rsidR="001D40D6">
        <w:t xml:space="preserve"> </w:t>
      </w:r>
    </w:p>
    <w:p w14:paraId="2EF0AE22" w14:textId="269D918A" w:rsidR="00162B32" w:rsidRPr="000E6120" w:rsidRDefault="00162B32" w:rsidP="00B1657F">
      <w:pPr>
        <w:pStyle w:val="Heading4"/>
      </w:pPr>
      <w:r w:rsidRPr="000E6120">
        <w:t>49: How can victims’ interests be incorporated into Magistrates Court criminal procedures? This includes decisions to divert a defendant out of the criminal justice system, diversionary processes and outcomes, and court proceedings (for example, in closing the court room or considering adjournment applications).</w:t>
      </w:r>
    </w:p>
    <w:p w14:paraId="0DA90C70" w14:textId="5BA1D9C2" w:rsidR="00162B32" w:rsidRDefault="00F0234A" w:rsidP="00BD338A">
      <w:pPr>
        <w:pStyle w:val="NumberedPara"/>
      </w:pPr>
      <w:r>
        <w:t xml:space="preserve">The QHRC agrees that the rights of victims must be </w:t>
      </w:r>
      <w:proofErr w:type="gramStart"/>
      <w:r>
        <w:t>considered</w:t>
      </w:r>
      <w:proofErr w:type="gramEnd"/>
      <w:r>
        <w:t xml:space="preserve"> and relevant rights are likely to include the right to security, right to life, right to equality and right to fair trial. </w:t>
      </w:r>
    </w:p>
    <w:p w14:paraId="163D1267" w14:textId="781329BF" w:rsidR="004460EA" w:rsidRDefault="00F0234A" w:rsidP="00BD338A">
      <w:pPr>
        <w:pStyle w:val="NumberedPara"/>
      </w:pPr>
      <w:r w:rsidRPr="00F0234A">
        <w:t xml:space="preserve">The Victorian Law Reform Commission’s 2016 </w:t>
      </w:r>
      <w:r w:rsidRPr="00F0234A">
        <w:rPr>
          <w:i/>
          <w:iCs/>
        </w:rPr>
        <w:t>Report on the Role of Victims of Crime in the Criminal Trial Process</w:t>
      </w:r>
      <w:r w:rsidRPr="00F0234A">
        <w:t xml:space="preserve"> discussed the principles of a fair trial. It noted that the state’s control of all elements of the criminal process has resulted in a focus on how to address the power imbalance and ‘equality of arms’ with the accused. This focus has eclipsed the recognition of the victim’s inherent interest in the response by the criminal</w:t>
      </w:r>
      <w:r w:rsidR="004460EA" w:rsidRPr="004460EA">
        <w:t xml:space="preserve"> </w:t>
      </w:r>
      <w:r w:rsidR="004460EA">
        <w:t xml:space="preserve">justice to the crime. The report notes that the Victorian </w:t>
      </w:r>
      <w:r w:rsidR="004460EA" w:rsidRPr="00617B74">
        <w:rPr>
          <w:i/>
          <w:iCs/>
        </w:rPr>
        <w:t>Charter</w:t>
      </w:r>
      <w:r w:rsidR="004460EA">
        <w:t xml:space="preserve"> reinforces several rights of the accused relevant to receiving a fair trial. This however does not prevent the interests of the victim being considered.</w:t>
      </w:r>
    </w:p>
    <w:p w14:paraId="6A50F3A5" w14:textId="167092A2" w:rsidR="004460EA" w:rsidRDefault="004460EA" w:rsidP="004460EA">
      <w:pPr>
        <w:pStyle w:val="Quote"/>
      </w:pPr>
      <w:r>
        <w:t>The</w:t>
      </w:r>
      <w:r w:rsidRPr="004460EA">
        <w:t xml:space="preserve"> </w:t>
      </w:r>
      <w:r w:rsidRPr="004460EA">
        <w:rPr>
          <w:rStyle w:val="Strong"/>
          <w:b w:val="0"/>
          <w:bCs w:val="0"/>
        </w:rPr>
        <w:t>legitimate</w:t>
      </w:r>
      <w:r>
        <w:t xml:space="preserve"> rights of the accused should be protected and fulfilled. So too the rights of the community. The legitimate rights of victims, properly understood, do not undermine those of the accused or of the community. The true interrelationship of the three is complementary. There is a public interest in ensuring that trials are fair. This interest can be served not only by safeguarding the rights of the accused and the objectivity of the prosecution but also by acknowledging the victim’s interest. </w:t>
      </w:r>
      <w:r>
        <w:rPr>
          <w:rStyle w:val="FootnoteReference"/>
        </w:rPr>
        <w:footnoteReference w:id="24"/>
      </w:r>
    </w:p>
    <w:p w14:paraId="725A70F4" w14:textId="0513C59A" w:rsidR="004460EA" w:rsidRDefault="004460EA" w:rsidP="00BD338A">
      <w:pPr>
        <w:pStyle w:val="NumberedPara"/>
      </w:pPr>
      <w:r>
        <w:t xml:space="preserve">That report recommended that the Victorian </w:t>
      </w:r>
      <w:r w:rsidRPr="00617B74">
        <w:rPr>
          <w:i/>
          <w:iCs/>
        </w:rPr>
        <w:t xml:space="preserve">Charter </w:t>
      </w:r>
      <w:r>
        <w:t xml:space="preserve">should be amended to include a right for a victim of a criminal offence to have certain specific minimum guarantees including to be acknowledged as a participant with an interest in the proceedings, to </w:t>
      </w:r>
      <w:r>
        <w:lastRenderedPageBreak/>
        <w:t xml:space="preserve">be </w:t>
      </w:r>
      <w:proofErr w:type="gramStart"/>
      <w:r>
        <w:t>treated with respect at all times</w:t>
      </w:r>
      <w:proofErr w:type="gramEnd"/>
      <w:r>
        <w:t xml:space="preserve"> and to be protected from unnecessary trauma, intimidation and distress when giving evidence.</w:t>
      </w:r>
    </w:p>
    <w:p w14:paraId="77B601B4" w14:textId="48F9A63C" w:rsidR="004460EA" w:rsidRPr="004460EA" w:rsidRDefault="004460EA" w:rsidP="00BD338A">
      <w:pPr>
        <w:pStyle w:val="NumberedPara"/>
      </w:pPr>
      <w:r>
        <w:t xml:space="preserve">The right to fair trial under the ACT </w:t>
      </w:r>
      <w:r w:rsidRPr="00A40DBF">
        <w:rPr>
          <w:i/>
          <w:iCs/>
        </w:rPr>
        <w:t>Human Rights Act 2004</w:t>
      </w:r>
      <w:r>
        <w:t xml:space="preserve"> (ACT) arguably already provides some of these protections, as it refers to </w:t>
      </w:r>
      <w:r w:rsidRPr="00A40DBF">
        <w:rPr>
          <w:u w:val="single"/>
        </w:rPr>
        <w:t>everyone</w:t>
      </w:r>
      <w:r>
        <w:t xml:space="preserve"> holding the right to have criminal charges, decided by a competent, </w:t>
      </w:r>
      <w:proofErr w:type="gramStart"/>
      <w:r>
        <w:t>independent</w:t>
      </w:r>
      <w:proofErr w:type="gramEnd"/>
      <w:r>
        <w:t xml:space="preserve"> and impartial court or tribunal after a fair and public hearing. In contrast, s 31 of the HR Act, based on the same right in the </w:t>
      </w:r>
      <w:r w:rsidRPr="00617B74">
        <w:rPr>
          <w:i/>
          <w:iCs/>
        </w:rPr>
        <w:t>Charter</w:t>
      </w:r>
      <w:r>
        <w:t xml:space="preserve">, refers only to a </w:t>
      </w:r>
      <w:r w:rsidRPr="00A40DBF">
        <w:rPr>
          <w:u w:val="single"/>
        </w:rPr>
        <w:t>person charged</w:t>
      </w:r>
      <w:r>
        <w:t xml:space="preserve"> with a criminal offence enjoying a similar right. </w:t>
      </w:r>
      <w:r w:rsidR="00A40DBF">
        <w:t>These issues may be outside the scope of this review, but</w:t>
      </w:r>
      <w:r>
        <w:t xml:space="preserve"> the </w:t>
      </w:r>
      <w:r w:rsidR="00A40DBF">
        <w:t xml:space="preserve">QHRC is hopeful the </w:t>
      </w:r>
      <w:r>
        <w:t>recommendations of the Victorian Law Reform Commission</w:t>
      </w:r>
      <w:r w:rsidR="00A40DBF">
        <w:t xml:space="preserve"> </w:t>
      </w:r>
      <w:r>
        <w:t>are further explored during the 4-year review of the HR Act</w:t>
      </w:r>
      <w:r w:rsidR="00617B74">
        <w:t xml:space="preserve">. </w:t>
      </w:r>
    </w:p>
    <w:p w14:paraId="2F814FE0" w14:textId="03BEF944" w:rsidR="00685BAC" w:rsidRPr="000E6120" w:rsidRDefault="00685BAC" w:rsidP="00CB0768">
      <w:pPr>
        <w:pStyle w:val="Heading1"/>
      </w:pPr>
      <w:bookmarkStart w:id="19" w:name="_Toc107477922"/>
      <w:bookmarkStart w:id="20" w:name="_Toc107478100"/>
      <w:r w:rsidRPr="000E6120">
        <w:t>Conclusion</w:t>
      </w:r>
      <w:bookmarkEnd w:id="19"/>
      <w:bookmarkEnd w:id="20"/>
      <w:r w:rsidRPr="000E6120">
        <w:t xml:space="preserve"> </w:t>
      </w:r>
    </w:p>
    <w:p w14:paraId="772A0C92" w14:textId="22A4563B" w:rsidR="00736B60" w:rsidRPr="000E6120" w:rsidRDefault="00736B60" w:rsidP="00BD338A">
      <w:pPr>
        <w:pStyle w:val="NumberedPara"/>
        <w:rPr>
          <w:iCs/>
        </w:rPr>
      </w:pPr>
      <w:r w:rsidRPr="000E6120">
        <w:t xml:space="preserve">Thank you for the opportunity to make a submission to the </w:t>
      </w:r>
      <w:r w:rsidR="006B3DD8" w:rsidRPr="000E6120">
        <w:t>Review and the QHRC</w:t>
      </w:r>
      <w:r w:rsidRPr="000E6120">
        <w:t xml:space="preserve"> would be happy to </w:t>
      </w:r>
      <w:r w:rsidR="00F00151" w:rsidRPr="000E6120">
        <w:t>further</w:t>
      </w:r>
      <w:r w:rsidRPr="000E6120">
        <w:t xml:space="preserve"> assist the</w:t>
      </w:r>
      <w:r w:rsidR="009C7CD0" w:rsidRPr="000E6120">
        <w:t xml:space="preserve"> </w:t>
      </w:r>
      <w:r w:rsidR="006B3DD8" w:rsidRPr="000E6120">
        <w:t>Review</w:t>
      </w:r>
      <w:r w:rsidRPr="000E6120">
        <w:t xml:space="preserve"> as required. </w:t>
      </w:r>
    </w:p>
    <w:p w14:paraId="31F11780" w14:textId="3113298D" w:rsidR="000A4544" w:rsidRPr="000E6120" w:rsidRDefault="00F90A85" w:rsidP="008F13BD">
      <w:pPr>
        <w:spacing w:after="0" w:line="240" w:lineRule="auto"/>
        <w:rPr>
          <w:rFonts w:ascii="Arial" w:hAnsi="Arial" w:cs="Arial"/>
          <w:sz w:val="24"/>
          <w:szCs w:val="24"/>
        </w:rPr>
      </w:pPr>
      <w:r w:rsidRPr="000E6120">
        <w:rPr>
          <w:rFonts w:ascii="Arial" w:hAnsi="Arial" w:cs="Arial"/>
          <w:sz w:val="24"/>
          <w:szCs w:val="24"/>
        </w:rPr>
        <w:t xml:space="preserve"> </w:t>
      </w:r>
    </w:p>
    <w:p w14:paraId="0FC12C4A" w14:textId="00CCD1D4" w:rsidR="005E2B3C" w:rsidRPr="000E6120" w:rsidRDefault="005E2B3C" w:rsidP="008F13BD">
      <w:pPr>
        <w:spacing w:after="0" w:line="240" w:lineRule="auto"/>
        <w:rPr>
          <w:rFonts w:ascii="Arial" w:hAnsi="Arial" w:cs="Arial"/>
          <w:sz w:val="24"/>
          <w:szCs w:val="24"/>
        </w:rPr>
      </w:pPr>
    </w:p>
    <w:p w14:paraId="6B734B54" w14:textId="0F24F9D7" w:rsidR="005E2B3C" w:rsidRPr="000E6120" w:rsidRDefault="005E2B3C" w:rsidP="005E2B3C">
      <w:pPr>
        <w:spacing w:after="0" w:line="240" w:lineRule="auto"/>
        <w:rPr>
          <w:rFonts w:ascii="Arial" w:hAnsi="Arial" w:cs="Arial"/>
          <w:b/>
          <w:bCs/>
          <w:sz w:val="24"/>
          <w:szCs w:val="24"/>
        </w:rPr>
      </w:pPr>
    </w:p>
    <w:sectPr w:rsidR="005E2B3C" w:rsidRPr="000E6120" w:rsidSect="004B0B0B">
      <w:footerReference w:type="default" r:id="rId13"/>
      <w:type w:val="continuous"/>
      <w:pgSz w:w="11906" w:h="16838" w:code="9"/>
      <w:pgMar w:top="1559" w:right="1474" w:bottom="1440" w:left="1474" w:header="709" w:footer="65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4AF74" w14:textId="77777777" w:rsidR="0011709F" w:rsidRDefault="0011709F" w:rsidP="00304408">
      <w:pPr>
        <w:spacing w:after="0" w:line="240" w:lineRule="auto"/>
      </w:pPr>
      <w:r>
        <w:separator/>
      </w:r>
    </w:p>
  </w:endnote>
  <w:endnote w:type="continuationSeparator" w:id="0">
    <w:p w14:paraId="4B289399" w14:textId="77777777" w:rsidR="0011709F" w:rsidRDefault="0011709F" w:rsidP="0030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85EE" w14:textId="77777777" w:rsidR="007E1FFA" w:rsidRDefault="007E1FFA" w:rsidP="00911F7B">
    <w:pPr>
      <w:pStyle w:val="Footer"/>
      <w:tabs>
        <w:tab w:val="clear" w:pos="4513"/>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2555E" w14:textId="77777777" w:rsidR="007E1FFA" w:rsidRDefault="007E1FFA" w:rsidP="000C13C7">
    <w:pPr>
      <w:pStyle w:val="Footer"/>
      <w:tabs>
        <w:tab w:val="clear" w:pos="4513"/>
        <w:tab w:val="clear" w:pos="9026"/>
      </w:tabs>
    </w:pPr>
    <w:r>
      <w:rPr>
        <w:noProof/>
      </w:rPr>
      <w:drawing>
        <wp:inline distT="0" distB="0" distL="0" distR="0" wp14:anchorId="213D5E84" wp14:editId="4A5FC146">
          <wp:extent cx="5657578" cy="1085182"/>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HRC FOOTER.png"/>
                  <pic:cNvPicPr/>
                </pic:nvPicPr>
                <pic:blipFill>
                  <a:blip r:embed="rId1">
                    <a:extLst>
                      <a:ext uri="{28A0092B-C50C-407E-A947-70E740481C1C}">
                        <a14:useLocalDpi xmlns:a14="http://schemas.microsoft.com/office/drawing/2010/main" val="0"/>
                      </a:ext>
                    </a:extLst>
                  </a:blip>
                  <a:stretch>
                    <a:fillRect/>
                  </a:stretch>
                </pic:blipFill>
                <pic:spPr>
                  <a:xfrm>
                    <a:off x="0" y="0"/>
                    <a:ext cx="5657578" cy="108518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1185" w14:textId="77777777" w:rsidR="004B0B0B" w:rsidRPr="00C03E3F" w:rsidRDefault="004B0B0B" w:rsidP="004B0B0B">
    <w:pPr>
      <w:tabs>
        <w:tab w:val="center" w:pos="4513"/>
        <w:tab w:val="right" w:pos="9026"/>
      </w:tabs>
      <w:jc w:val="right"/>
      <w:rPr>
        <w:rFonts w:ascii="Arial" w:hAnsi="Arial" w:cs="Arial"/>
        <w:color w:val="404040" w:themeColor="text1" w:themeTint="BF"/>
        <w:sz w:val="16"/>
        <w:szCs w:val="20"/>
      </w:rPr>
    </w:pPr>
    <w:r w:rsidRPr="00C03E3F">
      <w:rPr>
        <w:rFonts w:ascii="Arial" w:hAnsi="Arial" w:cs="Arial"/>
        <w:noProof/>
        <w:sz w:val="20"/>
        <w:szCs w:val="20"/>
        <w:vertAlign w:val="subscript"/>
      </w:rPr>
      <w:drawing>
        <wp:inline distT="0" distB="0" distL="0" distR="0" wp14:anchorId="3990D588" wp14:editId="2BC57888">
          <wp:extent cx="5743575" cy="5048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flipV="1">
                    <a:off x="0" y="0"/>
                    <a:ext cx="31009122" cy="272581"/>
                  </a:xfrm>
                  <a:prstGeom prst="rect">
                    <a:avLst/>
                  </a:prstGeom>
                </pic:spPr>
              </pic:pic>
            </a:graphicData>
          </a:graphic>
        </wp:inline>
      </w:drawing>
    </w:r>
    <w:r w:rsidRPr="00C03E3F">
      <w:rPr>
        <w:rFonts w:ascii="Arial" w:hAnsi="Arial" w:cs="Arial"/>
        <w:color w:val="404040" w:themeColor="text1" w:themeTint="BF"/>
        <w:sz w:val="16"/>
        <w:szCs w:val="20"/>
      </w:rPr>
      <w:t>Queensland Human Rights Commission | www.qhrc.qld.gov.au</w:t>
    </w:r>
    <w:r w:rsidRPr="00C03E3F">
      <w:rPr>
        <w:rFonts w:ascii="Arial" w:hAnsi="Arial" w:cs="Arial"/>
        <w:color w:val="404040" w:themeColor="text1" w:themeTint="BF"/>
        <w:sz w:val="16"/>
        <w:szCs w:val="20"/>
      </w:rPr>
      <w:tab/>
    </w:r>
    <w:r w:rsidRPr="00C03E3F">
      <w:rPr>
        <w:rFonts w:ascii="Arial" w:hAnsi="Arial" w:cs="Arial"/>
        <w:color w:val="404040" w:themeColor="text1" w:themeTint="BF"/>
        <w:sz w:val="16"/>
        <w:szCs w:val="20"/>
      </w:rPr>
      <w:tab/>
    </w:r>
    <w:r w:rsidRPr="00C03E3F">
      <w:rPr>
        <w:rFonts w:ascii="Arial" w:hAnsi="Arial" w:cs="Arial"/>
        <w:color w:val="404040" w:themeColor="text1" w:themeTint="BF"/>
        <w:sz w:val="16"/>
        <w:szCs w:val="20"/>
      </w:rPr>
      <w:fldChar w:fldCharType="begin"/>
    </w:r>
    <w:r w:rsidRPr="00C03E3F">
      <w:rPr>
        <w:rFonts w:ascii="Arial" w:hAnsi="Arial" w:cs="Arial"/>
        <w:color w:val="404040" w:themeColor="text1" w:themeTint="BF"/>
        <w:sz w:val="16"/>
        <w:szCs w:val="20"/>
      </w:rPr>
      <w:instrText xml:space="preserve"> PAGE   \* MERGEFORMAT </w:instrText>
    </w:r>
    <w:r w:rsidRPr="00C03E3F">
      <w:rPr>
        <w:rFonts w:ascii="Arial" w:hAnsi="Arial" w:cs="Arial"/>
        <w:color w:val="404040" w:themeColor="text1" w:themeTint="BF"/>
        <w:sz w:val="16"/>
        <w:szCs w:val="20"/>
      </w:rPr>
      <w:fldChar w:fldCharType="separate"/>
    </w:r>
    <w:r>
      <w:rPr>
        <w:rFonts w:ascii="Arial" w:hAnsi="Arial" w:cs="Arial"/>
        <w:color w:val="404040" w:themeColor="text1" w:themeTint="BF"/>
        <w:sz w:val="16"/>
        <w:szCs w:val="20"/>
      </w:rPr>
      <w:t>2</w:t>
    </w:r>
    <w:r w:rsidRPr="00C03E3F">
      <w:rPr>
        <w:rFonts w:ascii="Arial" w:hAnsi="Arial" w:cs="Arial"/>
        <w:noProof/>
        <w:color w:val="404040" w:themeColor="text1" w:themeTint="BF"/>
        <w:sz w:val="16"/>
        <w:szCs w:val="20"/>
      </w:rPr>
      <w:fldChar w:fldCharType="end"/>
    </w:r>
  </w:p>
  <w:p w14:paraId="6F8417C5" w14:textId="77777777" w:rsidR="004B0B0B" w:rsidRDefault="004B0B0B" w:rsidP="004B0B0B"/>
  <w:p w14:paraId="3EEEE48F" w14:textId="77777777" w:rsidR="004B0B0B" w:rsidRDefault="004B0B0B" w:rsidP="004B0B0B">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F70C6" w14:textId="77777777" w:rsidR="0011709F" w:rsidRDefault="0011709F" w:rsidP="00304408">
      <w:pPr>
        <w:spacing w:after="0" w:line="240" w:lineRule="auto"/>
      </w:pPr>
      <w:r>
        <w:separator/>
      </w:r>
    </w:p>
  </w:footnote>
  <w:footnote w:type="continuationSeparator" w:id="0">
    <w:p w14:paraId="563A6FE3" w14:textId="77777777" w:rsidR="0011709F" w:rsidRDefault="0011709F" w:rsidP="00304408">
      <w:pPr>
        <w:spacing w:after="0" w:line="240" w:lineRule="auto"/>
      </w:pPr>
      <w:r>
        <w:continuationSeparator/>
      </w:r>
    </w:p>
  </w:footnote>
  <w:footnote w:id="1">
    <w:p w14:paraId="54B0DA79" w14:textId="77777777" w:rsidR="00E33693" w:rsidRPr="00393E59" w:rsidRDefault="00E33693" w:rsidP="00E33693">
      <w:pPr>
        <w:pStyle w:val="FootnoteText"/>
        <w:rPr>
          <w:lang w:val="en-US"/>
        </w:rPr>
      </w:pPr>
      <w:r>
        <w:rPr>
          <w:rStyle w:val="FootnoteReference"/>
        </w:rPr>
        <w:footnoteRef/>
      </w:r>
      <w:r>
        <w:t xml:space="preserve"> </w:t>
      </w:r>
      <w:r w:rsidRPr="00757CD2">
        <w:rPr>
          <w:i/>
          <w:iCs/>
          <w:lang w:val="en-US"/>
        </w:rPr>
        <w:t>Human Rights Act 2019</w:t>
      </w:r>
      <w:r>
        <w:rPr>
          <w:lang w:val="en-US"/>
        </w:rPr>
        <w:t xml:space="preserve"> s 8.  </w:t>
      </w:r>
    </w:p>
  </w:footnote>
  <w:footnote w:id="2">
    <w:p w14:paraId="1FBA307F" w14:textId="77777777" w:rsidR="00E33693" w:rsidRPr="00FC7310" w:rsidRDefault="00E33693" w:rsidP="00E33693">
      <w:pPr>
        <w:pStyle w:val="FootnoteText"/>
        <w:rPr>
          <w:color w:val="000000" w:themeColor="text1"/>
        </w:rPr>
      </w:pPr>
      <w:r w:rsidRPr="00FC7310">
        <w:rPr>
          <w:rStyle w:val="FootnoteReference"/>
          <w:color w:val="000000" w:themeColor="text1"/>
        </w:rPr>
        <w:footnoteRef/>
      </w:r>
      <w:r w:rsidRPr="00FC7310">
        <w:rPr>
          <w:color w:val="000000" w:themeColor="text1"/>
        </w:rPr>
        <w:t xml:space="preserve"> </w:t>
      </w:r>
      <w:r w:rsidRPr="00FC7310">
        <w:rPr>
          <w:i/>
          <w:iCs/>
          <w:color w:val="000000" w:themeColor="text1"/>
        </w:rPr>
        <w:t>Innes v Electoral Commission of Queensland (No 2)</w:t>
      </w:r>
      <w:r w:rsidRPr="00FC7310">
        <w:rPr>
          <w:color w:val="000000" w:themeColor="text1"/>
        </w:rPr>
        <w:t xml:space="preserve"> [2020] QSC 293</w:t>
      </w:r>
      <w:r>
        <w:rPr>
          <w:color w:val="000000" w:themeColor="text1"/>
        </w:rPr>
        <w:t>; (2020) 5 QR 623</w:t>
      </w:r>
      <w:r w:rsidRPr="00FC7310">
        <w:rPr>
          <w:color w:val="000000" w:themeColor="text1"/>
        </w:rPr>
        <w:t xml:space="preserve"> (Ryan J) [291]-[292]; </w:t>
      </w:r>
      <w:r w:rsidRPr="00BE42C0">
        <w:rPr>
          <w:i/>
        </w:rPr>
        <w:t>Owen-D’Arcy v Chief Executive, Queensland Corrective Services</w:t>
      </w:r>
      <w:r>
        <w:rPr>
          <w:i/>
        </w:rPr>
        <w:t xml:space="preserve"> </w:t>
      </w:r>
      <w:r>
        <w:rPr>
          <w:iCs/>
        </w:rPr>
        <w:t>[2021] QSC 273 (Martin J)</w:t>
      </w:r>
      <w:r w:rsidRPr="00FC7310">
        <w:rPr>
          <w:color w:val="000000" w:themeColor="text1"/>
        </w:rPr>
        <w:t xml:space="preserve"> [130]; </w:t>
      </w:r>
      <w:r w:rsidRPr="00FC7310">
        <w:rPr>
          <w:i/>
          <w:iCs/>
          <w:color w:val="000000" w:themeColor="text1"/>
        </w:rPr>
        <w:t xml:space="preserve">PJB v Melbourne Health (Patrick’s case) </w:t>
      </w:r>
      <w:r w:rsidRPr="00FC7310">
        <w:rPr>
          <w:color w:val="000000" w:themeColor="text1"/>
        </w:rPr>
        <w:t>(2011) 39 VR 373 (Bell J)</w:t>
      </w:r>
      <w:r>
        <w:rPr>
          <w:color w:val="000000" w:themeColor="text1"/>
        </w:rPr>
        <w:t xml:space="preserve"> </w:t>
      </w:r>
      <w:r w:rsidRPr="00FC7310">
        <w:rPr>
          <w:color w:val="000000" w:themeColor="text1"/>
        </w:rPr>
        <w:t>384 [36].</w:t>
      </w:r>
    </w:p>
  </w:footnote>
  <w:footnote w:id="3">
    <w:p w14:paraId="44E33820" w14:textId="77777777" w:rsidR="00E33693" w:rsidRPr="00807729" w:rsidRDefault="00E33693" w:rsidP="00E33693">
      <w:pPr>
        <w:pStyle w:val="FootnoteText"/>
        <w:rPr>
          <w:lang w:val="en-US"/>
        </w:rPr>
      </w:pPr>
      <w:r>
        <w:rPr>
          <w:rStyle w:val="FootnoteReference"/>
        </w:rPr>
        <w:footnoteRef/>
      </w:r>
      <w:r>
        <w:t xml:space="preserve"> </w:t>
      </w:r>
      <w:r w:rsidRPr="00807729">
        <w:rPr>
          <w:i/>
          <w:iCs/>
          <w:lang w:val="en-US"/>
        </w:rPr>
        <w:t>Human Rights Act 2019</w:t>
      </w:r>
      <w:r>
        <w:rPr>
          <w:lang w:val="en-US"/>
        </w:rPr>
        <w:t xml:space="preserve"> s 13(2).</w:t>
      </w:r>
    </w:p>
  </w:footnote>
  <w:footnote w:id="4">
    <w:p w14:paraId="5BED021C" w14:textId="0F964EC9" w:rsidR="00E33693" w:rsidRPr="00D97BFE" w:rsidRDefault="00E33693" w:rsidP="00E33693">
      <w:pPr>
        <w:pStyle w:val="FootnoteText"/>
        <w:rPr>
          <w:lang w:val="en-US"/>
        </w:rPr>
      </w:pPr>
      <w:r>
        <w:rPr>
          <w:rStyle w:val="FootnoteReference"/>
        </w:rPr>
        <w:footnoteRef/>
      </w:r>
      <w:r>
        <w:t xml:space="preserve"> </w:t>
      </w:r>
      <w:r w:rsidRPr="00A978EE">
        <w:rPr>
          <w:color w:val="000000" w:themeColor="text1"/>
        </w:rPr>
        <w:t>Explanatory Notes,</w:t>
      </w:r>
      <w:r w:rsidRPr="00A978EE">
        <w:rPr>
          <w:lang w:val="en-US"/>
        </w:rPr>
        <w:t xml:space="preserve"> Human Rights Bill 2018</w:t>
      </w:r>
      <w:r w:rsidR="00483255">
        <w:rPr>
          <w:lang w:val="en-US"/>
        </w:rPr>
        <w:t xml:space="preserve"> (Qld)</w:t>
      </w:r>
      <w:r w:rsidRPr="00A978EE">
        <w:rPr>
          <w:color w:val="000000" w:themeColor="text1"/>
        </w:rPr>
        <w:t xml:space="preserve"> 16-18.</w:t>
      </w:r>
    </w:p>
  </w:footnote>
  <w:footnote w:id="5">
    <w:p w14:paraId="3C2299AA" w14:textId="77777777" w:rsidR="00E33693" w:rsidRPr="009A443F" w:rsidRDefault="00E33693" w:rsidP="00E33693">
      <w:pPr>
        <w:pStyle w:val="FootnoteText"/>
        <w:rPr>
          <w:lang w:val="en-US"/>
        </w:rPr>
      </w:pPr>
      <w:r>
        <w:rPr>
          <w:rStyle w:val="FootnoteReference"/>
        </w:rPr>
        <w:footnoteRef/>
      </w:r>
      <w:r>
        <w:t xml:space="preserve"> </w:t>
      </w:r>
      <w:r w:rsidRPr="009A443F">
        <w:rPr>
          <w:i/>
          <w:iCs/>
          <w:lang w:val="en-US"/>
        </w:rPr>
        <w:t>Human Rights Act 2019</w:t>
      </w:r>
      <w:r>
        <w:rPr>
          <w:lang w:val="en-US"/>
        </w:rPr>
        <w:t xml:space="preserve"> s 58(1). Although it does not apply where to a public entity if it could not reasonably have acted differently or made a different decision because of a statutory provision, a law of the Commonwealth or another State or otherwise under law: </w:t>
      </w:r>
      <w:r w:rsidRPr="004B2066">
        <w:rPr>
          <w:i/>
          <w:iCs/>
          <w:lang w:val="en-US"/>
        </w:rPr>
        <w:t>Human Rights Act 2019</w:t>
      </w:r>
      <w:r>
        <w:rPr>
          <w:lang w:val="en-US"/>
        </w:rPr>
        <w:t xml:space="preserve"> s 58(2).</w:t>
      </w:r>
    </w:p>
  </w:footnote>
  <w:footnote w:id="6">
    <w:p w14:paraId="166DEFA5" w14:textId="77777777" w:rsidR="00E33693" w:rsidRPr="00F32A5B" w:rsidRDefault="00E33693" w:rsidP="00E33693">
      <w:pPr>
        <w:pStyle w:val="FootnoteText"/>
        <w:rPr>
          <w:lang w:val="en-US"/>
        </w:rPr>
      </w:pPr>
      <w:r>
        <w:rPr>
          <w:rStyle w:val="FootnoteReference"/>
        </w:rPr>
        <w:footnoteRef/>
      </w:r>
      <w:r>
        <w:t xml:space="preserve"> </w:t>
      </w:r>
      <w:r w:rsidRPr="00F32A5B">
        <w:rPr>
          <w:i/>
          <w:iCs/>
          <w:lang w:val="en-US"/>
        </w:rPr>
        <w:t>Human Rights Act 2019</w:t>
      </w:r>
      <w:r>
        <w:rPr>
          <w:lang w:val="en-US"/>
        </w:rPr>
        <w:t xml:space="preserve"> s 58(5). </w:t>
      </w:r>
    </w:p>
  </w:footnote>
  <w:footnote w:id="7">
    <w:p w14:paraId="128F3B1A" w14:textId="77777777" w:rsidR="00E33693" w:rsidRPr="00B57572" w:rsidRDefault="00E33693" w:rsidP="00E33693">
      <w:pPr>
        <w:pStyle w:val="FootnoteText"/>
        <w:rPr>
          <w:lang w:val="en-US"/>
        </w:rPr>
      </w:pPr>
      <w:r>
        <w:rPr>
          <w:rStyle w:val="FootnoteReference"/>
        </w:rPr>
        <w:footnoteRef/>
      </w:r>
      <w:r>
        <w:t xml:space="preserve"> </w:t>
      </w:r>
      <w:r w:rsidRPr="00BE42C0">
        <w:rPr>
          <w:i/>
        </w:rPr>
        <w:t>Owen-D’Arcy v Chief Executive, Queensland Corrective Services</w:t>
      </w:r>
      <w:r>
        <w:rPr>
          <w:i/>
        </w:rPr>
        <w:t xml:space="preserve"> </w:t>
      </w:r>
      <w:r>
        <w:rPr>
          <w:iCs/>
        </w:rPr>
        <w:t xml:space="preserve">[2021] QSC 273 </w:t>
      </w:r>
      <w:r>
        <w:rPr>
          <w:lang w:val="en-US"/>
        </w:rPr>
        <w:t>[136].</w:t>
      </w:r>
    </w:p>
  </w:footnote>
  <w:footnote w:id="8">
    <w:p w14:paraId="1BDB03BA" w14:textId="77777777" w:rsidR="00E33693" w:rsidRPr="000B4D9D" w:rsidRDefault="00E33693" w:rsidP="00E33693">
      <w:pPr>
        <w:pStyle w:val="FootnoteText"/>
        <w:rPr>
          <w:lang w:val="en-US"/>
        </w:rPr>
      </w:pPr>
      <w:r>
        <w:rPr>
          <w:rStyle w:val="FootnoteReference"/>
        </w:rPr>
        <w:footnoteRef/>
      </w:r>
      <w:r>
        <w:t xml:space="preserve"> Ibid</w:t>
      </w:r>
      <w:r w:rsidRPr="00B57572">
        <w:rPr>
          <w:lang w:val="en-US"/>
        </w:rPr>
        <w:t xml:space="preserve"> [135]- [13</w:t>
      </w:r>
      <w:r>
        <w:rPr>
          <w:lang w:val="en-US"/>
        </w:rPr>
        <w:t>8</w:t>
      </w:r>
      <w:r w:rsidRPr="00B57572">
        <w:rPr>
          <w:lang w:val="en-US"/>
        </w:rPr>
        <w:t>]</w:t>
      </w:r>
      <w:r>
        <w:rPr>
          <w:lang w:val="en-US"/>
        </w:rPr>
        <w:t>.</w:t>
      </w:r>
      <w:r w:rsidRPr="00B57572">
        <w:rPr>
          <w:lang w:val="en-US"/>
        </w:rPr>
        <w:t xml:space="preserve">  </w:t>
      </w:r>
    </w:p>
  </w:footnote>
  <w:footnote w:id="9">
    <w:p w14:paraId="3C2AC1A6" w14:textId="77777777" w:rsidR="00E33693" w:rsidRPr="00564DDA" w:rsidRDefault="00E33693" w:rsidP="00E33693">
      <w:pPr>
        <w:pStyle w:val="FootnoteText"/>
        <w:rPr>
          <w:lang w:val="en-US"/>
        </w:rPr>
      </w:pPr>
      <w:r>
        <w:rPr>
          <w:rStyle w:val="FootnoteReference"/>
        </w:rPr>
        <w:footnoteRef/>
      </w:r>
      <w:r>
        <w:t xml:space="preserve"> Ibid </w:t>
      </w:r>
      <w:r w:rsidRPr="00564DDA">
        <w:t>[131]-[132]</w:t>
      </w:r>
      <w:r>
        <w:t xml:space="preserve">, citing </w:t>
      </w:r>
      <w:r w:rsidRPr="00564DDA">
        <w:rPr>
          <w:i/>
        </w:rPr>
        <w:t>Certain Children v Minister for Families and Children (No 2)</w:t>
      </w:r>
      <w:r>
        <w:t xml:space="preserve"> (2017) VR 473</w:t>
      </w:r>
      <w:r w:rsidRPr="00564DDA">
        <w:t xml:space="preserve"> [203]</w:t>
      </w:r>
      <w:r>
        <w:t>.</w:t>
      </w:r>
      <w:r w:rsidRPr="00564DDA">
        <w:t xml:space="preserve"> </w:t>
      </w:r>
    </w:p>
  </w:footnote>
  <w:footnote w:id="10">
    <w:p w14:paraId="4F53D74B" w14:textId="77777777" w:rsidR="00E33693" w:rsidRPr="009A443F" w:rsidRDefault="00E33693" w:rsidP="00E33693">
      <w:pPr>
        <w:pStyle w:val="FootnoteText"/>
        <w:rPr>
          <w:lang w:val="en-US"/>
        </w:rPr>
      </w:pPr>
      <w:r>
        <w:rPr>
          <w:rStyle w:val="FootnoteReference"/>
        </w:rPr>
        <w:footnoteRef/>
      </w:r>
      <w:r>
        <w:t xml:space="preserve"> </w:t>
      </w:r>
      <w:r w:rsidRPr="009A443F">
        <w:rPr>
          <w:i/>
          <w:iCs/>
          <w:lang w:val="en-US"/>
        </w:rPr>
        <w:t>Human Rights Act 2019</w:t>
      </w:r>
      <w:r>
        <w:rPr>
          <w:lang w:val="en-US"/>
        </w:rPr>
        <w:t xml:space="preserve"> s 9(1)(f). </w:t>
      </w:r>
    </w:p>
  </w:footnote>
  <w:footnote w:id="11">
    <w:p w14:paraId="5E7737DA" w14:textId="77777777" w:rsidR="00E33693" w:rsidRPr="00D1116E" w:rsidRDefault="00E33693" w:rsidP="00E33693">
      <w:pPr>
        <w:pStyle w:val="FootnoteText"/>
        <w:rPr>
          <w:lang w:val="en-US"/>
        </w:rPr>
      </w:pPr>
      <w:r>
        <w:rPr>
          <w:rStyle w:val="FootnoteReference"/>
        </w:rPr>
        <w:footnoteRef/>
      </w:r>
      <w:r>
        <w:t xml:space="preserve"> </w:t>
      </w:r>
      <w:r w:rsidRPr="00FC7310">
        <w:rPr>
          <w:i/>
          <w:iCs/>
          <w:color w:val="000000" w:themeColor="text1"/>
        </w:rPr>
        <w:t xml:space="preserve">PJB v Melbourne Health (Patrick’s case) </w:t>
      </w:r>
      <w:r w:rsidRPr="00FC7310">
        <w:rPr>
          <w:color w:val="000000" w:themeColor="text1"/>
        </w:rPr>
        <w:t>(2011) 39 VR 373 (Bell J)</w:t>
      </w:r>
      <w:r>
        <w:rPr>
          <w:color w:val="000000" w:themeColor="text1"/>
        </w:rPr>
        <w:t xml:space="preserve"> </w:t>
      </w:r>
      <w:r w:rsidRPr="00FC7310">
        <w:rPr>
          <w:color w:val="000000" w:themeColor="text1"/>
        </w:rPr>
        <w:t xml:space="preserve">384 </w:t>
      </w:r>
      <w:r>
        <w:t xml:space="preserve">[124]. Cited in </w:t>
      </w:r>
      <w:r w:rsidRPr="00564AD5">
        <w:rPr>
          <w:i/>
          <w:iCs/>
          <w:lang w:val="en-US"/>
        </w:rPr>
        <w:t>Re: Ipswich City Council</w:t>
      </w:r>
      <w:r>
        <w:rPr>
          <w:lang w:val="en-US"/>
        </w:rPr>
        <w:t xml:space="preserve"> [2020] QIRC 194 [19]</w:t>
      </w:r>
    </w:p>
  </w:footnote>
  <w:footnote w:id="12">
    <w:p w14:paraId="13D3BA18" w14:textId="3F10F82A" w:rsidR="00FC24B0" w:rsidRPr="001E7439" w:rsidRDefault="00FC24B0">
      <w:pPr>
        <w:pStyle w:val="FootnoteText"/>
        <w:rPr>
          <w:i/>
          <w:iCs/>
          <w:lang w:val="en-US"/>
        </w:rPr>
      </w:pPr>
      <w:r>
        <w:rPr>
          <w:rStyle w:val="FootnoteReference"/>
        </w:rPr>
        <w:footnoteRef/>
      </w:r>
      <w:r>
        <w:t xml:space="preserve"> </w:t>
      </w:r>
      <w:r w:rsidRPr="00FC24B0">
        <w:t xml:space="preserve">While the HR Act is based the </w:t>
      </w:r>
      <w:r w:rsidRPr="00617B74">
        <w:rPr>
          <w:i/>
          <w:iCs/>
        </w:rPr>
        <w:t>Charter</w:t>
      </w:r>
      <w:r w:rsidRPr="00FC24B0">
        <w:t xml:space="preserve"> no such examples are give</w:t>
      </w:r>
      <w:r w:rsidR="00483255">
        <w:t>n</w:t>
      </w:r>
      <w:r w:rsidRPr="00FC24B0">
        <w:t xml:space="preserve"> in s 9.</w:t>
      </w:r>
      <w:r w:rsidR="001E7439">
        <w:t xml:space="preserve"> See also recent decision of State Coroner in </w:t>
      </w:r>
      <w:r w:rsidR="001E7439">
        <w:rPr>
          <w:i/>
          <w:iCs/>
        </w:rPr>
        <w:t>Inquest into the death of Selesa Tafaifa: Ruling in relation to the conduct of the police coronial investigation.</w:t>
      </w:r>
    </w:p>
  </w:footnote>
  <w:footnote w:id="13">
    <w:p w14:paraId="42367B0A" w14:textId="77777777" w:rsidR="00E33693" w:rsidRPr="00AE71B5" w:rsidRDefault="00E33693" w:rsidP="00E33693">
      <w:pPr>
        <w:pStyle w:val="FootnoteText"/>
        <w:rPr>
          <w:lang w:val="en-US"/>
        </w:rPr>
      </w:pPr>
      <w:r>
        <w:rPr>
          <w:rStyle w:val="FootnoteReference"/>
        </w:rPr>
        <w:footnoteRef/>
      </w:r>
      <w:r>
        <w:t xml:space="preserve"> </w:t>
      </w:r>
      <w:r w:rsidRPr="00FC7310">
        <w:rPr>
          <w:i/>
          <w:color w:val="000000" w:themeColor="text1"/>
        </w:rPr>
        <w:t xml:space="preserve">Re </w:t>
      </w:r>
      <w:proofErr w:type="spellStart"/>
      <w:r w:rsidRPr="00FC7310">
        <w:rPr>
          <w:i/>
          <w:color w:val="000000" w:themeColor="text1"/>
        </w:rPr>
        <w:t>Kracke</w:t>
      </w:r>
      <w:proofErr w:type="spellEnd"/>
      <w:r w:rsidRPr="00FC7310">
        <w:rPr>
          <w:color w:val="000000" w:themeColor="text1"/>
        </w:rPr>
        <w:t xml:space="preserve"> </w:t>
      </w:r>
      <w:r w:rsidRPr="00FC7310">
        <w:rPr>
          <w:i/>
          <w:iCs/>
          <w:color w:val="000000" w:themeColor="text1"/>
        </w:rPr>
        <w:t xml:space="preserve">and Mental Health Review Board </w:t>
      </w:r>
      <w:r w:rsidRPr="00FC7310">
        <w:rPr>
          <w:color w:val="000000" w:themeColor="text1"/>
        </w:rPr>
        <w:t>(2009) 29 VAR 1 (Bell J) at 29</w:t>
      </w:r>
      <w:r>
        <w:rPr>
          <w:color w:val="000000" w:themeColor="text1"/>
        </w:rPr>
        <w:t xml:space="preserve"> </w:t>
      </w:r>
      <w:r w:rsidRPr="00B87585">
        <w:rPr>
          <w:color w:val="333333"/>
          <w:shd w:val="clear" w:color="auto" w:fill="FFFFFF"/>
        </w:rPr>
        <w:t>[250]</w:t>
      </w:r>
      <w:r>
        <w:rPr>
          <w:color w:val="333333"/>
          <w:shd w:val="clear" w:color="auto" w:fill="FFFFFF"/>
        </w:rPr>
        <w:t>;</w:t>
      </w:r>
      <w:r>
        <w:rPr>
          <w:rFonts w:ascii="Open Sans" w:hAnsi="Open Sans" w:cs="Open Sans"/>
          <w:color w:val="333333"/>
          <w:sz w:val="21"/>
          <w:szCs w:val="21"/>
          <w:shd w:val="clear" w:color="auto" w:fill="FFFFFF"/>
        </w:rPr>
        <w:t xml:space="preserve"> </w:t>
      </w:r>
      <w:r w:rsidRPr="009C6C1E">
        <w:rPr>
          <w:i/>
          <w:iCs/>
        </w:rPr>
        <w:t xml:space="preserve">Innes v Electoral Commission of Queensland (No 2) </w:t>
      </w:r>
      <w:r w:rsidRPr="009C6C1E">
        <w:t>[2020] QSC 293; (2020) 5 QR 623 (Ryan J)</w:t>
      </w:r>
      <w:r w:rsidRPr="009C6C1E">
        <w:rPr>
          <w:i/>
          <w:iCs/>
        </w:rPr>
        <w:t xml:space="preserve"> </w:t>
      </w:r>
      <w:r>
        <w:t xml:space="preserve">[214]-[242]; </w:t>
      </w:r>
      <w:r w:rsidRPr="00F26EAF">
        <w:rPr>
          <w:i/>
          <w:iCs/>
          <w:lang w:val="en-US"/>
        </w:rPr>
        <w:t>BSJ</w:t>
      </w:r>
      <w:r>
        <w:rPr>
          <w:lang w:val="en-US"/>
        </w:rPr>
        <w:t xml:space="preserve"> [2022] QCAT 51 [180]-[184].</w:t>
      </w:r>
    </w:p>
  </w:footnote>
  <w:footnote w:id="14">
    <w:p w14:paraId="1403B819" w14:textId="08F73211" w:rsidR="00D739E9" w:rsidRDefault="00D739E9" w:rsidP="00D739E9">
      <w:pPr>
        <w:pStyle w:val="FootnoteText"/>
      </w:pPr>
      <w:r>
        <w:rPr>
          <w:rStyle w:val="FootnoteReference"/>
        </w:rPr>
        <w:footnoteRef/>
      </w:r>
      <w:r>
        <w:t xml:space="preserve"> </w:t>
      </w:r>
      <w:r w:rsidR="00483255" w:rsidRPr="00807729">
        <w:rPr>
          <w:i/>
          <w:iCs/>
          <w:lang w:val="en-US"/>
        </w:rPr>
        <w:t>Human Rights Act 2019</w:t>
      </w:r>
      <w:r w:rsidR="00483255">
        <w:rPr>
          <w:lang w:val="en-US"/>
        </w:rPr>
        <w:t xml:space="preserve"> </w:t>
      </w:r>
      <w:r w:rsidRPr="00CC79F7">
        <w:t>s 43.</w:t>
      </w:r>
      <w:r>
        <w:t xml:space="preserve"> </w:t>
      </w:r>
    </w:p>
  </w:footnote>
  <w:footnote w:id="15">
    <w:p w14:paraId="72EDAC44" w14:textId="7A788F9B" w:rsidR="00067DB9" w:rsidRPr="00483255" w:rsidRDefault="00067DB9">
      <w:pPr>
        <w:pStyle w:val="FootnoteText"/>
        <w:rPr>
          <w:b/>
          <w:bCs/>
        </w:rPr>
      </w:pPr>
      <w:r>
        <w:rPr>
          <w:rStyle w:val="FootnoteReference"/>
        </w:rPr>
        <w:footnoteRef/>
      </w:r>
      <w:r>
        <w:t xml:space="preserve"> </w:t>
      </w:r>
      <w:r w:rsidR="00FF6DF0" w:rsidRPr="00FF6DF0">
        <w:t xml:space="preserve">For </w:t>
      </w:r>
      <w:proofErr w:type="gramStart"/>
      <w:r w:rsidR="00FF6DF0" w:rsidRPr="00FF6DF0">
        <w:t>example</w:t>
      </w:r>
      <w:proofErr w:type="gramEnd"/>
      <w:r w:rsidR="00FF6DF0" w:rsidRPr="00FF6DF0">
        <w:t xml:space="preserve"> Queensland Productivity Commission, </w:t>
      </w:r>
      <w:r w:rsidR="00FF6DF0" w:rsidRPr="00FF6DF0">
        <w:rPr>
          <w:i/>
        </w:rPr>
        <w:t>Inquiry into Imprisonment and Recidivism</w:t>
      </w:r>
      <w:r w:rsidR="00FF6DF0" w:rsidRPr="00FF6DF0">
        <w:t xml:space="preserve"> (Report, August 2019)</w:t>
      </w:r>
      <w:r w:rsidR="007509E7">
        <w:t xml:space="preserve"> </w:t>
      </w:r>
      <w:r w:rsidR="007509E7" w:rsidRPr="007509E7">
        <w:t>(‘</w:t>
      </w:r>
      <w:r w:rsidR="007509E7" w:rsidRPr="007509E7">
        <w:rPr>
          <w:i/>
          <w:iCs/>
        </w:rPr>
        <w:t>Inquiry into imprisonment and recidivism’)</w:t>
      </w:r>
      <w:r w:rsidR="00FF6DF0" w:rsidRPr="007509E7">
        <w:t>;</w:t>
      </w:r>
      <w:r w:rsidR="00FF6DF0" w:rsidRPr="00FF6DF0">
        <w:t xml:space="preserve"> Australian Law Reform Commission, </w:t>
      </w:r>
      <w:r w:rsidR="00FF6DF0" w:rsidRPr="00FF6DF0">
        <w:rPr>
          <w:i/>
        </w:rPr>
        <w:t xml:space="preserve">Pathways to Justice – An Inquiry into the Incarceration Rate of Aboriginal and Torres Strait Islander peoples </w:t>
      </w:r>
      <w:r w:rsidR="00FF6DF0" w:rsidRPr="00FF6DF0">
        <w:t>(Report</w:t>
      </w:r>
      <w:r w:rsidR="00CA69EE">
        <w:t xml:space="preserve"> No</w:t>
      </w:r>
      <w:r w:rsidR="00FF6DF0" w:rsidRPr="00FF6DF0">
        <w:t xml:space="preserve"> 133, December 2017)</w:t>
      </w:r>
      <w:r w:rsidR="00483255">
        <w:t xml:space="preserve"> (</w:t>
      </w:r>
      <w:r w:rsidR="007203F4" w:rsidRPr="007203F4">
        <w:rPr>
          <w:i/>
          <w:iCs/>
        </w:rPr>
        <w:t>‘</w:t>
      </w:r>
      <w:r w:rsidR="00483255" w:rsidRPr="007203F4">
        <w:rPr>
          <w:i/>
          <w:iCs/>
        </w:rPr>
        <w:t>Pathways to Justice</w:t>
      </w:r>
      <w:r w:rsidR="007203F4" w:rsidRPr="007203F4">
        <w:rPr>
          <w:i/>
          <w:iCs/>
        </w:rPr>
        <w:t>’</w:t>
      </w:r>
      <w:r w:rsidR="00483255" w:rsidRPr="00483255">
        <w:t>)</w:t>
      </w:r>
    </w:p>
  </w:footnote>
  <w:footnote w:id="16">
    <w:p w14:paraId="38C82F62" w14:textId="2070F4D0" w:rsidR="00067DB9" w:rsidRPr="00CF1A23" w:rsidRDefault="00067DB9">
      <w:pPr>
        <w:pStyle w:val="FootnoteText"/>
      </w:pPr>
      <w:r>
        <w:rPr>
          <w:rStyle w:val="FootnoteReference"/>
        </w:rPr>
        <w:footnoteRef/>
      </w:r>
      <w:r>
        <w:t xml:space="preserve"> </w:t>
      </w:r>
      <w:r w:rsidR="00CF1A23">
        <w:t xml:space="preserve">‘Gratuitous concurrence’ was a particular issue identified by the Australian Law Reform Commission in its </w:t>
      </w:r>
      <w:r w:rsidR="00CF1A23">
        <w:rPr>
          <w:i/>
          <w:iCs/>
        </w:rPr>
        <w:t xml:space="preserve">Pathways to Justice </w:t>
      </w:r>
      <w:r w:rsidR="00CF1A23">
        <w:t>report</w:t>
      </w:r>
      <w:r w:rsidR="007203F4">
        <w:t xml:space="preserve">, </w:t>
      </w:r>
      <w:r w:rsidR="00CF1A23">
        <w:t xml:space="preserve">325 [10.19]. </w:t>
      </w:r>
    </w:p>
  </w:footnote>
  <w:footnote w:id="17">
    <w:p w14:paraId="223A65B7" w14:textId="7B7A19D0" w:rsidR="00FF6DF0" w:rsidRDefault="00067DB9" w:rsidP="00FF6DF0">
      <w:pPr>
        <w:pStyle w:val="FootnoteText"/>
      </w:pPr>
      <w:r>
        <w:rPr>
          <w:rStyle w:val="FootnoteReference"/>
        </w:rPr>
        <w:footnoteRef/>
      </w:r>
      <w:r>
        <w:t xml:space="preserve"> </w:t>
      </w:r>
      <w:r w:rsidR="00FF6DF0">
        <w:t>See f</w:t>
      </w:r>
      <w:r>
        <w:t>or e</w:t>
      </w:r>
      <w:r w:rsidR="00FF6DF0">
        <w:t>x</w:t>
      </w:r>
      <w:r>
        <w:t>ample</w:t>
      </w:r>
      <w:r w:rsidR="00FF6DF0" w:rsidRPr="00FF6DF0">
        <w:t xml:space="preserve"> </w:t>
      </w:r>
      <w:r w:rsidR="007203F4" w:rsidRPr="007203F4">
        <w:rPr>
          <w:i/>
          <w:iCs/>
        </w:rPr>
        <w:t>Pathways to Justice</w:t>
      </w:r>
      <w:r w:rsidR="007203F4">
        <w:t xml:space="preserve"> report</w:t>
      </w:r>
      <w:r w:rsidR="00FF6DF0">
        <w:t xml:space="preserve">, 321 [10.5]. </w:t>
      </w:r>
    </w:p>
    <w:p w14:paraId="77AC18B4" w14:textId="355CE4BD" w:rsidR="00067DB9" w:rsidRDefault="00067DB9">
      <w:pPr>
        <w:pStyle w:val="FootnoteText"/>
      </w:pPr>
    </w:p>
  </w:footnote>
  <w:footnote w:id="18">
    <w:p w14:paraId="117C2DFF" w14:textId="78CB9EEB" w:rsidR="004F7559" w:rsidRDefault="004F7559">
      <w:pPr>
        <w:pStyle w:val="FootnoteText"/>
      </w:pPr>
      <w:r>
        <w:rPr>
          <w:rStyle w:val="FootnoteReference"/>
        </w:rPr>
        <w:footnoteRef/>
      </w:r>
      <w:r>
        <w:t xml:space="preserve"> </w:t>
      </w:r>
      <w:r w:rsidR="00331644" w:rsidRPr="001C2F29">
        <w:t xml:space="preserve">United Nations, Committee on the Rights of Persons with Disabilities, </w:t>
      </w:r>
      <w:r w:rsidR="00331644" w:rsidRPr="001C2F29">
        <w:rPr>
          <w:i/>
        </w:rPr>
        <w:t>General Comment No. 1 (2014):  Article 12: Equal recognition before the law</w:t>
      </w:r>
      <w:r w:rsidR="00331644" w:rsidRPr="001C2F29">
        <w:t>, UN Doc CRPD/C/GC/1 (19 May 2014).</w:t>
      </w:r>
      <w:r w:rsidR="00331644">
        <w:t xml:space="preserve"> </w:t>
      </w:r>
      <w:r w:rsidR="00FA5E8E">
        <w:t xml:space="preserve">See </w:t>
      </w:r>
      <w:r w:rsidR="001074FE">
        <w:t>also</w:t>
      </w:r>
      <w:r w:rsidR="007203F4">
        <w:t>:</w:t>
      </w:r>
      <w:r w:rsidR="00FA5E8E">
        <w:t xml:space="preserve"> </w:t>
      </w:r>
      <w:r w:rsidR="007203F4">
        <w:t xml:space="preserve">Australian Law Reform Commission, </w:t>
      </w:r>
      <w:r w:rsidR="00FA5E8E" w:rsidRPr="007203F4">
        <w:rPr>
          <w:i/>
          <w:iCs/>
        </w:rPr>
        <w:t>Equal Before the Law: Towards Disability Justice Strategies</w:t>
      </w:r>
      <w:r w:rsidR="00FA5E8E">
        <w:t xml:space="preserve">, </w:t>
      </w:r>
      <w:r w:rsidR="007203F4">
        <w:t>(</w:t>
      </w:r>
      <w:r w:rsidR="00FA5E8E">
        <w:t>Report</w:t>
      </w:r>
      <w:r w:rsidR="007203F4">
        <w:t xml:space="preserve"> No 124, August 2014)</w:t>
      </w:r>
      <w:r w:rsidR="009356D9">
        <w:t xml:space="preserve"> 36</w:t>
      </w:r>
      <w:r w:rsidR="007203F4">
        <w:t xml:space="preserve">; Victorian Human Rights Commission, </w:t>
      </w:r>
      <w:r w:rsidR="007203F4">
        <w:rPr>
          <w:i/>
          <w:iCs/>
        </w:rPr>
        <w:t xml:space="preserve">Inclusive Juries – Access for People who are Deaf, Hard of Hearing, Blind or Have Low Vision </w:t>
      </w:r>
      <w:r w:rsidR="007203F4">
        <w:t>(Consultation Paper, December 2020)</w:t>
      </w:r>
      <w:r w:rsidR="009356D9">
        <w:t xml:space="preserve"> 2 and 41. </w:t>
      </w:r>
    </w:p>
  </w:footnote>
  <w:footnote w:id="19">
    <w:p w14:paraId="24173F13" w14:textId="64D6EECF" w:rsidR="00CF4B0D" w:rsidRPr="009356D9" w:rsidRDefault="00CF4B0D">
      <w:pPr>
        <w:pStyle w:val="FootnoteText"/>
        <w:rPr>
          <w:lang w:val="en-US"/>
        </w:rPr>
      </w:pPr>
      <w:r>
        <w:rPr>
          <w:rStyle w:val="FootnoteReference"/>
        </w:rPr>
        <w:footnoteRef/>
      </w:r>
      <w:r>
        <w:t xml:space="preserve"> </w:t>
      </w:r>
      <w:r w:rsidR="009356D9">
        <w:t xml:space="preserve">Australian Human Rights Commission, </w:t>
      </w:r>
      <w:r w:rsidR="009356D9">
        <w:rPr>
          <w:i/>
          <w:iCs/>
        </w:rPr>
        <w:t xml:space="preserve">Human Rights and Technology </w:t>
      </w:r>
      <w:r w:rsidR="009356D9">
        <w:t>(Final Report, March 2021)</w:t>
      </w:r>
      <w:r w:rsidR="00EC5AB4">
        <w:t xml:space="preserve">, Part D. </w:t>
      </w:r>
    </w:p>
  </w:footnote>
  <w:footnote w:id="20">
    <w:p w14:paraId="3449F5BF" w14:textId="7C5BA2DF" w:rsidR="00162B32" w:rsidRDefault="00162B32">
      <w:pPr>
        <w:pStyle w:val="FootnoteText"/>
      </w:pPr>
      <w:r>
        <w:rPr>
          <w:rStyle w:val="FootnoteReference"/>
        </w:rPr>
        <w:footnoteRef/>
      </w:r>
      <w:r>
        <w:t xml:space="preserve"> </w:t>
      </w:r>
      <w:r w:rsidR="00331644" w:rsidRPr="00331644">
        <w:t xml:space="preserve">Both the AD Act </w:t>
      </w:r>
      <w:r w:rsidR="00331644">
        <w:t>(preamble)</w:t>
      </w:r>
      <w:r w:rsidR="00331644" w:rsidRPr="00331644">
        <w:t xml:space="preserve"> and the HR Act </w:t>
      </w:r>
      <w:r w:rsidR="00331644">
        <w:t>(s 15)</w:t>
      </w:r>
      <w:r w:rsidR="00331644" w:rsidRPr="00331644">
        <w:t xml:space="preserve"> acknowledge every person’s right to equal recognition and protection before the law</w:t>
      </w:r>
      <w:r w:rsidR="00331644">
        <w:t xml:space="preserve">. See also </w:t>
      </w:r>
      <w:r w:rsidR="007509E7">
        <w:t xml:space="preserve">UN </w:t>
      </w:r>
      <w:r w:rsidR="00331644">
        <w:t xml:space="preserve">CRPD, Article 12. </w:t>
      </w:r>
    </w:p>
  </w:footnote>
  <w:footnote w:id="21">
    <w:p w14:paraId="69B9156E" w14:textId="78B20389" w:rsidR="00162B32" w:rsidRPr="00CE7D5F" w:rsidRDefault="00162B32">
      <w:pPr>
        <w:pStyle w:val="FootnoteText"/>
      </w:pPr>
      <w:r>
        <w:rPr>
          <w:rStyle w:val="FootnoteReference"/>
        </w:rPr>
        <w:footnoteRef/>
      </w:r>
      <w:r>
        <w:t xml:space="preserve"> </w:t>
      </w:r>
      <w:r w:rsidR="00CE7D5F">
        <w:t xml:space="preserve">See for example </w:t>
      </w:r>
      <w:proofErr w:type="spellStart"/>
      <w:r w:rsidR="00CE7D5F">
        <w:rPr>
          <w:i/>
          <w:iCs/>
        </w:rPr>
        <w:t>Miron</w:t>
      </w:r>
      <w:proofErr w:type="spellEnd"/>
      <w:r w:rsidR="00CE7D5F">
        <w:rPr>
          <w:i/>
          <w:iCs/>
        </w:rPr>
        <w:t xml:space="preserve"> v </w:t>
      </w:r>
      <w:proofErr w:type="spellStart"/>
      <w:r w:rsidR="00CE7D5F">
        <w:rPr>
          <w:i/>
          <w:iCs/>
        </w:rPr>
        <w:t>Trudel</w:t>
      </w:r>
      <w:proofErr w:type="spellEnd"/>
      <w:r w:rsidR="00CE7D5F">
        <w:rPr>
          <w:i/>
          <w:iCs/>
        </w:rPr>
        <w:t xml:space="preserve"> </w:t>
      </w:r>
      <w:r w:rsidR="00CE7D5F">
        <w:t>[1995] 2 SCR 418;</w:t>
      </w:r>
      <w:r w:rsidR="00FF270D">
        <w:t xml:space="preserve"> </w:t>
      </w:r>
      <w:proofErr w:type="spellStart"/>
      <w:r w:rsidR="00FF270D" w:rsidRPr="00FF270D">
        <w:rPr>
          <w:i/>
          <w:iCs/>
        </w:rPr>
        <w:t>Corbiere</w:t>
      </w:r>
      <w:proofErr w:type="spellEnd"/>
      <w:r w:rsidR="00FF270D" w:rsidRPr="00FF270D">
        <w:rPr>
          <w:i/>
          <w:iCs/>
        </w:rPr>
        <w:t xml:space="preserve"> v. Canada (Minister of Indian and Northern Affairs)</w:t>
      </w:r>
      <w:r w:rsidR="00FF270D" w:rsidRPr="00FF270D">
        <w:t xml:space="preserve"> [1999] 2 SCR 203</w:t>
      </w:r>
      <w:r w:rsidR="00FF270D" w:rsidRPr="00FF270D">
        <w:rPr>
          <w:i/>
          <w:iCs/>
        </w:rPr>
        <w:t xml:space="preserve">; </w:t>
      </w:r>
      <w:r w:rsidR="00CE7D5F">
        <w:rPr>
          <w:i/>
          <w:iCs/>
        </w:rPr>
        <w:t xml:space="preserve">Quebec (Attorney-General) v A </w:t>
      </w:r>
      <w:r w:rsidR="00CE7D5F">
        <w:t xml:space="preserve">[2013] 1 SCR </w:t>
      </w:r>
      <w:proofErr w:type="gramStart"/>
      <w:r w:rsidR="00CE7D5F">
        <w:t>61;</w:t>
      </w:r>
      <w:proofErr w:type="gramEnd"/>
      <w:r w:rsidR="00CE7D5F">
        <w:t xml:space="preserve"> </w:t>
      </w:r>
    </w:p>
  </w:footnote>
  <w:footnote w:id="22">
    <w:p w14:paraId="443E74EB" w14:textId="08BFA0BB" w:rsidR="00F87689" w:rsidRPr="00F87689" w:rsidRDefault="00F87689">
      <w:pPr>
        <w:pStyle w:val="FootnoteText"/>
        <w:rPr>
          <w:lang w:val="en-US"/>
        </w:rPr>
      </w:pPr>
      <w:r>
        <w:rPr>
          <w:rStyle w:val="FootnoteReference"/>
        </w:rPr>
        <w:footnoteRef/>
      </w:r>
      <w:r>
        <w:t xml:space="preserve"> </w:t>
      </w:r>
      <w:r>
        <w:rPr>
          <w:lang w:val="en-US"/>
        </w:rPr>
        <w:t xml:space="preserve">See for example </w:t>
      </w:r>
      <w:proofErr w:type="spellStart"/>
      <w:r w:rsidRPr="00F87689">
        <w:rPr>
          <w:i/>
          <w:iCs/>
          <w:lang w:val="en-US"/>
        </w:rPr>
        <w:t>Slaveski</w:t>
      </w:r>
      <w:proofErr w:type="spellEnd"/>
      <w:r w:rsidRPr="00F87689">
        <w:rPr>
          <w:i/>
          <w:iCs/>
          <w:lang w:val="en-US"/>
        </w:rPr>
        <w:t xml:space="preserve"> v Smith</w:t>
      </w:r>
      <w:r w:rsidRPr="00F87689">
        <w:rPr>
          <w:lang w:val="en-US"/>
        </w:rPr>
        <w:t xml:space="preserve"> (2012) 34 VR 206; [2012] VSCA 25 [57</w:t>
      </w:r>
      <w:proofErr w:type="gramStart"/>
      <w:r w:rsidRPr="00F87689">
        <w:rPr>
          <w:lang w:val="en-US"/>
        </w:rPr>
        <w:t>];</w:t>
      </w:r>
      <w:proofErr w:type="gramEnd"/>
    </w:p>
  </w:footnote>
  <w:footnote w:id="23">
    <w:p w14:paraId="2006044A" w14:textId="1373B8E8" w:rsidR="001D40D6" w:rsidRPr="001D40D6" w:rsidRDefault="001D40D6" w:rsidP="001125BD">
      <w:pPr>
        <w:spacing w:after="0" w:line="240" w:lineRule="auto"/>
        <w:rPr>
          <w:lang w:val="en-US"/>
        </w:rPr>
      </w:pPr>
      <w:r>
        <w:rPr>
          <w:rStyle w:val="FootnoteReference"/>
        </w:rPr>
        <w:footnoteRef/>
      </w:r>
      <w:r>
        <w:t xml:space="preserve"> </w:t>
      </w:r>
      <w:r w:rsidRPr="001125BD">
        <w:rPr>
          <w:rStyle w:val="FootnoteTextChar"/>
        </w:rPr>
        <w:t xml:space="preserve">See also the recommendations of </w:t>
      </w:r>
      <w:r w:rsidR="007509E7" w:rsidRPr="001125BD">
        <w:rPr>
          <w:rStyle w:val="FootnoteTextChar"/>
        </w:rPr>
        <w:t>Bob Atkinson,</w:t>
      </w:r>
      <w:r w:rsidRPr="001125BD">
        <w:rPr>
          <w:rStyle w:val="FootnoteTextChar"/>
        </w:rPr>
        <w:t xml:space="preserve"> </w:t>
      </w:r>
      <w:r w:rsidR="00B27E13" w:rsidRPr="001125BD">
        <w:rPr>
          <w:rStyle w:val="FootnoteTextChar"/>
        </w:rPr>
        <w:t>Report on</w:t>
      </w:r>
      <w:r w:rsidRPr="001125BD">
        <w:rPr>
          <w:rStyle w:val="FootnoteTextChar"/>
        </w:rPr>
        <w:t xml:space="preserve"> Youth </w:t>
      </w:r>
      <w:r w:rsidR="00B27E13" w:rsidRPr="001125BD">
        <w:rPr>
          <w:rStyle w:val="FootnoteTextChar"/>
        </w:rPr>
        <w:t>Justice</w:t>
      </w:r>
      <w:r w:rsidR="007509E7" w:rsidRPr="001125BD">
        <w:rPr>
          <w:rStyle w:val="FootnoteTextChar"/>
        </w:rPr>
        <w:t>, (Report, 201</w:t>
      </w:r>
      <w:r w:rsidR="00B27E13" w:rsidRPr="001125BD">
        <w:rPr>
          <w:rStyle w:val="FootnoteTextChar"/>
        </w:rPr>
        <w:t>8</w:t>
      </w:r>
      <w:r w:rsidR="007509E7" w:rsidRPr="001125BD">
        <w:rPr>
          <w:rStyle w:val="FootnoteTextChar"/>
        </w:rPr>
        <w:t>)</w:t>
      </w:r>
      <w:r w:rsidRPr="001125BD">
        <w:rPr>
          <w:rStyle w:val="FootnoteTextChar"/>
        </w:rPr>
        <w:t xml:space="preserve"> (Atkinson Report), and the </w:t>
      </w:r>
      <w:r w:rsidRPr="001125BD">
        <w:rPr>
          <w:rStyle w:val="FootnoteTextChar"/>
          <w:i/>
          <w:iCs/>
        </w:rPr>
        <w:t>Inquiry into imprisonment and recidivism</w:t>
      </w:r>
      <w:r w:rsidR="007509E7" w:rsidRPr="001125BD">
        <w:rPr>
          <w:rStyle w:val="FootnoteTextChar"/>
          <w:i/>
          <w:iCs/>
        </w:rPr>
        <w:t xml:space="preserve"> report</w:t>
      </w:r>
      <w:r w:rsidRPr="001125BD">
        <w:rPr>
          <w:rStyle w:val="FootnoteTextChar"/>
        </w:rPr>
        <w:t>.</w:t>
      </w:r>
      <w:r>
        <w:rPr>
          <w:i/>
          <w:iCs/>
        </w:rPr>
        <w:t xml:space="preserve"> </w:t>
      </w:r>
    </w:p>
  </w:footnote>
  <w:footnote w:id="24">
    <w:p w14:paraId="2CE5D38D" w14:textId="3A30FBEA" w:rsidR="004460EA" w:rsidRPr="004460EA" w:rsidRDefault="004460EA">
      <w:pPr>
        <w:pStyle w:val="FootnoteText"/>
        <w:rPr>
          <w:lang w:val="en-US"/>
        </w:rPr>
      </w:pPr>
      <w:r>
        <w:rPr>
          <w:rStyle w:val="FootnoteReference"/>
        </w:rPr>
        <w:footnoteRef/>
      </w:r>
      <w:r>
        <w:t xml:space="preserve"> </w:t>
      </w:r>
      <w:r w:rsidRPr="001125BD">
        <w:t xml:space="preserve">Victorian Law Reform Commission, Victims’ Rights in the Criminal Trial Process, </w:t>
      </w:r>
      <w:r w:rsidR="00331644" w:rsidRPr="001125BD">
        <w:t xml:space="preserve">(Report, </w:t>
      </w:r>
      <w:r w:rsidRPr="001125BD">
        <w:t>August 2016</w:t>
      </w:r>
      <w:r w:rsidR="00331644" w:rsidRPr="001125BD">
        <w:t>)</w:t>
      </w:r>
      <w:r w:rsidRPr="001125BD">
        <w:t xml:space="preserve">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9A00" w14:textId="7B0F0F65" w:rsidR="007462F6" w:rsidRDefault="007462F6">
    <w:pPr>
      <w:pStyle w:val="Header"/>
      <w:jc w:val="right"/>
    </w:pPr>
  </w:p>
  <w:p w14:paraId="5AC0DBDB" w14:textId="77777777" w:rsidR="007E1FFA" w:rsidRPr="00163A3A" w:rsidRDefault="007E1FFA" w:rsidP="00163A3A">
    <w:pPr>
      <w:pStyle w:val="Header"/>
      <w:tabs>
        <w:tab w:val="clear" w:pos="4513"/>
        <w:tab w:val="clear" w:pos="9026"/>
        <w:tab w:val="right" w:pos="9332"/>
      </w:tabs>
      <w:rPr>
        <w:rFonts w:ascii="Arial" w:hAnsi="Arial" w:cs="Arial"/>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0C6D" w14:textId="319AFD38" w:rsidR="007E1FFA" w:rsidRDefault="007E1FFA" w:rsidP="000C13C7">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24CA"/>
    <w:multiLevelType w:val="hybridMultilevel"/>
    <w:tmpl w:val="24E279E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10250E7E"/>
    <w:multiLevelType w:val="multilevel"/>
    <w:tmpl w:val="2F228978"/>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 w15:restartNumberingAfterBreak="0">
    <w:nsid w:val="166A05D9"/>
    <w:multiLevelType w:val="hybridMultilevel"/>
    <w:tmpl w:val="E9DE9F02"/>
    <w:lvl w:ilvl="0" w:tplc="FA3A4DC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F2B68F1"/>
    <w:multiLevelType w:val="hybridMultilevel"/>
    <w:tmpl w:val="65B68E1E"/>
    <w:lvl w:ilvl="0" w:tplc="19484FF8">
      <w:numFmt w:val="bullet"/>
      <w:lvlText w:val=""/>
      <w:lvlJc w:val="left"/>
      <w:pPr>
        <w:ind w:left="1080" w:hanging="360"/>
      </w:pPr>
      <w:rPr>
        <w:rFonts w:ascii="Symbol" w:eastAsia="Calibr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E6C26C6"/>
    <w:multiLevelType w:val="hybridMultilevel"/>
    <w:tmpl w:val="55BC74FA"/>
    <w:lvl w:ilvl="0" w:tplc="FA3A4DC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30696EA6"/>
    <w:multiLevelType w:val="hybridMultilevel"/>
    <w:tmpl w:val="25D0F350"/>
    <w:lvl w:ilvl="0" w:tplc="85348F9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35012D33"/>
    <w:multiLevelType w:val="hybridMultilevel"/>
    <w:tmpl w:val="73668CCE"/>
    <w:lvl w:ilvl="0" w:tplc="FA3A4DC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8B24553"/>
    <w:multiLevelType w:val="hybridMultilevel"/>
    <w:tmpl w:val="A12C97A8"/>
    <w:lvl w:ilvl="0" w:tplc="122678C0">
      <w:start w:val="1"/>
      <w:numFmt w:val="bullet"/>
      <w:lvlText w:val=""/>
      <w:lvlJc w:val="left"/>
      <w:pPr>
        <w:ind w:left="365" w:hanging="360"/>
      </w:pPr>
      <w:rPr>
        <w:rFonts w:ascii="Wingdings 2" w:hAnsi="Wingdings 2" w:hint="default"/>
      </w:rPr>
    </w:lvl>
    <w:lvl w:ilvl="1" w:tplc="0C090003" w:tentative="1">
      <w:start w:val="1"/>
      <w:numFmt w:val="bullet"/>
      <w:lvlText w:val="o"/>
      <w:lvlJc w:val="left"/>
      <w:pPr>
        <w:ind w:left="1085" w:hanging="360"/>
      </w:pPr>
      <w:rPr>
        <w:rFonts w:ascii="Courier New" w:hAnsi="Courier New" w:cs="Courier New" w:hint="default"/>
      </w:rPr>
    </w:lvl>
    <w:lvl w:ilvl="2" w:tplc="0C090005" w:tentative="1">
      <w:start w:val="1"/>
      <w:numFmt w:val="bullet"/>
      <w:lvlText w:val=""/>
      <w:lvlJc w:val="left"/>
      <w:pPr>
        <w:ind w:left="1805" w:hanging="360"/>
      </w:pPr>
      <w:rPr>
        <w:rFonts w:ascii="Wingdings" w:hAnsi="Wingdings" w:hint="default"/>
      </w:rPr>
    </w:lvl>
    <w:lvl w:ilvl="3" w:tplc="0C090001" w:tentative="1">
      <w:start w:val="1"/>
      <w:numFmt w:val="bullet"/>
      <w:lvlText w:val=""/>
      <w:lvlJc w:val="left"/>
      <w:pPr>
        <w:ind w:left="2525" w:hanging="360"/>
      </w:pPr>
      <w:rPr>
        <w:rFonts w:ascii="Symbol" w:hAnsi="Symbol" w:hint="default"/>
      </w:rPr>
    </w:lvl>
    <w:lvl w:ilvl="4" w:tplc="0C090003" w:tentative="1">
      <w:start w:val="1"/>
      <w:numFmt w:val="bullet"/>
      <w:lvlText w:val="o"/>
      <w:lvlJc w:val="left"/>
      <w:pPr>
        <w:ind w:left="3245" w:hanging="360"/>
      </w:pPr>
      <w:rPr>
        <w:rFonts w:ascii="Courier New" w:hAnsi="Courier New" w:cs="Courier New" w:hint="default"/>
      </w:rPr>
    </w:lvl>
    <w:lvl w:ilvl="5" w:tplc="0C090005" w:tentative="1">
      <w:start w:val="1"/>
      <w:numFmt w:val="bullet"/>
      <w:lvlText w:val=""/>
      <w:lvlJc w:val="left"/>
      <w:pPr>
        <w:ind w:left="3965" w:hanging="360"/>
      </w:pPr>
      <w:rPr>
        <w:rFonts w:ascii="Wingdings" w:hAnsi="Wingdings" w:hint="default"/>
      </w:rPr>
    </w:lvl>
    <w:lvl w:ilvl="6" w:tplc="0C090001" w:tentative="1">
      <w:start w:val="1"/>
      <w:numFmt w:val="bullet"/>
      <w:lvlText w:val=""/>
      <w:lvlJc w:val="left"/>
      <w:pPr>
        <w:ind w:left="4685" w:hanging="360"/>
      </w:pPr>
      <w:rPr>
        <w:rFonts w:ascii="Symbol" w:hAnsi="Symbol" w:hint="default"/>
      </w:rPr>
    </w:lvl>
    <w:lvl w:ilvl="7" w:tplc="0C090003" w:tentative="1">
      <w:start w:val="1"/>
      <w:numFmt w:val="bullet"/>
      <w:lvlText w:val="o"/>
      <w:lvlJc w:val="left"/>
      <w:pPr>
        <w:ind w:left="5405" w:hanging="360"/>
      </w:pPr>
      <w:rPr>
        <w:rFonts w:ascii="Courier New" w:hAnsi="Courier New" w:cs="Courier New" w:hint="default"/>
      </w:rPr>
    </w:lvl>
    <w:lvl w:ilvl="8" w:tplc="0C090005" w:tentative="1">
      <w:start w:val="1"/>
      <w:numFmt w:val="bullet"/>
      <w:lvlText w:val=""/>
      <w:lvlJc w:val="left"/>
      <w:pPr>
        <w:ind w:left="6125" w:hanging="360"/>
      </w:pPr>
      <w:rPr>
        <w:rFonts w:ascii="Wingdings" w:hAnsi="Wingdings" w:hint="default"/>
      </w:rPr>
    </w:lvl>
  </w:abstractNum>
  <w:abstractNum w:abstractNumId="8" w15:restartNumberingAfterBreak="0">
    <w:nsid w:val="3A631DAA"/>
    <w:multiLevelType w:val="hybridMultilevel"/>
    <w:tmpl w:val="EA600234"/>
    <w:lvl w:ilvl="0" w:tplc="FFFFFFFF">
      <w:start w:val="1"/>
      <w:numFmt w:val="lowerLetter"/>
      <w:lvlText w:val="%1)"/>
      <w:lvlJc w:val="left"/>
      <w:pPr>
        <w:ind w:left="814" w:hanging="360"/>
      </w:p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9" w15:restartNumberingAfterBreak="0">
    <w:nsid w:val="3D8E3056"/>
    <w:multiLevelType w:val="multilevel"/>
    <w:tmpl w:val="1DB2AE76"/>
    <w:lvl w:ilvl="0">
      <w:start w:val="1"/>
      <w:numFmt w:val="decimal"/>
      <w:lvlText w:val="%1."/>
      <w:lvlJc w:val="left"/>
      <w:pPr>
        <w:tabs>
          <w:tab w:val="num" w:pos="454"/>
        </w:tabs>
        <w:ind w:left="454" w:hanging="454"/>
      </w:pPr>
      <w:rPr>
        <w:rFonts w:ascii="Times New Roman" w:hAnsi="Times New Roman" w:hint="default"/>
        <w:sz w:val="20"/>
      </w:rPr>
    </w:lvl>
    <w:lvl w:ilvl="1">
      <w:start w:val="1"/>
      <w:numFmt w:val="lowerLetter"/>
      <w:lvlText w:val="(%2)"/>
      <w:lvlJc w:val="left"/>
      <w:pPr>
        <w:tabs>
          <w:tab w:val="num" w:pos="907"/>
        </w:tabs>
        <w:ind w:left="907" w:hanging="453"/>
      </w:pPr>
      <w:rPr>
        <w:rFonts w:ascii="Arial" w:hAnsi="Arial" w:cs="Arial" w:hint="default"/>
        <w:sz w:val="24"/>
        <w:szCs w:val="24"/>
      </w:rPr>
    </w:lvl>
    <w:lvl w:ilvl="2">
      <w:start w:val="1"/>
      <w:numFmt w:val="lowerRoman"/>
      <w:lvlText w:val="(%3)"/>
      <w:lvlJc w:val="left"/>
      <w:pPr>
        <w:tabs>
          <w:tab w:val="num" w:pos="1361"/>
        </w:tabs>
        <w:ind w:left="1361" w:hanging="454"/>
      </w:pPr>
      <w:rPr>
        <w:rFonts w:ascii="Times New Roman" w:hAnsi="Times New Roman"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4680653"/>
    <w:multiLevelType w:val="hybridMultilevel"/>
    <w:tmpl w:val="A2260D1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4BDC7796"/>
    <w:multiLevelType w:val="hybridMultilevel"/>
    <w:tmpl w:val="EF44BFAE"/>
    <w:lvl w:ilvl="0" w:tplc="FFFFFFFF">
      <w:numFmt w:val="bullet"/>
      <w:lvlText w:val=""/>
      <w:lvlJc w:val="left"/>
      <w:pPr>
        <w:ind w:left="720" w:hanging="360"/>
      </w:pPr>
      <w:rPr>
        <w:rFonts w:ascii="Symbol" w:eastAsia="Calibri" w:hAnsi="Symbol" w:cs="Aria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BF2584A"/>
    <w:multiLevelType w:val="hybridMultilevel"/>
    <w:tmpl w:val="D368FBA2"/>
    <w:lvl w:ilvl="0" w:tplc="85348F9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BFB3042"/>
    <w:multiLevelType w:val="hybridMultilevel"/>
    <w:tmpl w:val="6952FF26"/>
    <w:lvl w:ilvl="0" w:tplc="85348F9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F8C5085"/>
    <w:multiLevelType w:val="multilevel"/>
    <w:tmpl w:val="639853C8"/>
    <w:lvl w:ilvl="0">
      <w:start w:val="1"/>
      <w:numFmt w:val="decimal"/>
      <w:lvlText w:val="%1."/>
      <w:lvlJc w:val="left"/>
      <w:pPr>
        <w:tabs>
          <w:tab w:val="num" w:pos="454"/>
        </w:tabs>
        <w:ind w:left="454" w:hanging="454"/>
      </w:pPr>
      <w:rPr>
        <w:rFonts w:ascii="Times New Roman" w:hAnsi="Times New Roman" w:hint="default"/>
        <w:sz w:val="20"/>
      </w:rPr>
    </w:lvl>
    <w:lvl w:ilvl="1">
      <w:start w:val="1"/>
      <w:numFmt w:val="lowerLetter"/>
      <w:lvlText w:val="(%2)"/>
      <w:lvlJc w:val="left"/>
      <w:pPr>
        <w:tabs>
          <w:tab w:val="num" w:pos="907"/>
        </w:tabs>
        <w:ind w:left="907" w:hanging="453"/>
      </w:pPr>
      <w:rPr>
        <w:rFonts w:ascii="Arial" w:hAnsi="Arial" w:cs="Arial" w:hint="default"/>
        <w:sz w:val="24"/>
        <w:szCs w:val="24"/>
      </w:rPr>
    </w:lvl>
    <w:lvl w:ilvl="2">
      <w:start w:val="1"/>
      <w:numFmt w:val="lowerLetter"/>
      <w:lvlText w:val="%3)"/>
      <w:lvlJc w:val="left"/>
      <w:pPr>
        <w:ind w:left="1267"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FA4641D"/>
    <w:multiLevelType w:val="multilevel"/>
    <w:tmpl w:val="1DB2AE76"/>
    <w:lvl w:ilvl="0">
      <w:start w:val="1"/>
      <w:numFmt w:val="decimal"/>
      <w:lvlText w:val="%1."/>
      <w:lvlJc w:val="left"/>
      <w:pPr>
        <w:tabs>
          <w:tab w:val="num" w:pos="454"/>
        </w:tabs>
        <w:ind w:left="454" w:hanging="454"/>
      </w:pPr>
      <w:rPr>
        <w:rFonts w:ascii="Times New Roman" w:hAnsi="Times New Roman" w:hint="default"/>
        <w:sz w:val="20"/>
      </w:rPr>
    </w:lvl>
    <w:lvl w:ilvl="1">
      <w:start w:val="1"/>
      <w:numFmt w:val="lowerLetter"/>
      <w:lvlText w:val="(%2)"/>
      <w:lvlJc w:val="left"/>
      <w:pPr>
        <w:tabs>
          <w:tab w:val="num" w:pos="907"/>
        </w:tabs>
        <w:ind w:left="907" w:hanging="453"/>
      </w:pPr>
      <w:rPr>
        <w:rFonts w:ascii="Arial" w:hAnsi="Arial" w:cs="Arial" w:hint="default"/>
        <w:sz w:val="24"/>
        <w:szCs w:val="24"/>
      </w:rPr>
    </w:lvl>
    <w:lvl w:ilvl="2">
      <w:start w:val="1"/>
      <w:numFmt w:val="lowerRoman"/>
      <w:lvlText w:val="(%3)"/>
      <w:lvlJc w:val="left"/>
      <w:pPr>
        <w:tabs>
          <w:tab w:val="num" w:pos="1361"/>
        </w:tabs>
        <w:ind w:left="1361" w:hanging="454"/>
      </w:pPr>
      <w:rPr>
        <w:rFonts w:ascii="Times New Roman" w:hAnsi="Times New Roman"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27E4453"/>
    <w:multiLevelType w:val="hybridMultilevel"/>
    <w:tmpl w:val="ECF2B1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3504148"/>
    <w:multiLevelType w:val="hybridMultilevel"/>
    <w:tmpl w:val="45900B5C"/>
    <w:lvl w:ilvl="0" w:tplc="19484FF8">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A76568"/>
    <w:multiLevelType w:val="hybridMultilevel"/>
    <w:tmpl w:val="5D96A076"/>
    <w:lvl w:ilvl="0" w:tplc="3830E694">
      <w:start w:val="1"/>
      <w:numFmt w:val="decimal"/>
      <w:pStyle w:val="NumberedPara"/>
      <w:lvlText w:val="%1."/>
      <w:lvlJc w:val="left"/>
      <w:pPr>
        <w:ind w:left="720" w:hanging="360"/>
      </w:pPr>
      <w:rPr>
        <w:b w:val="0"/>
        <w:bCs/>
        <w:i w:val="0"/>
        <w:i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B773A8"/>
    <w:multiLevelType w:val="hybridMultilevel"/>
    <w:tmpl w:val="EA600234"/>
    <w:lvl w:ilvl="0" w:tplc="CE869B56">
      <w:start w:val="1"/>
      <w:numFmt w:val="lowerLetter"/>
      <w:lvlText w:val="%1)"/>
      <w:lvlJc w:val="left"/>
      <w:pPr>
        <w:ind w:left="814" w:hanging="360"/>
      </w:p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20" w15:restartNumberingAfterBreak="0">
    <w:nsid w:val="797B374F"/>
    <w:multiLevelType w:val="hybridMultilevel"/>
    <w:tmpl w:val="FEC6BA64"/>
    <w:lvl w:ilvl="0" w:tplc="1BA6238C">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CA940E7"/>
    <w:multiLevelType w:val="hybridMultilevel"/>
    <w:tmpl w:val="1D082A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EBA6DF0"/>
    <w:multiLevelType w:val="hybridMultilevel"/>
    <w:tmpl w:val="939EBB1E"/>
    <w:lvl w:ilvl="0" w:tplc="16B80510">
      <w:start w:val="1"/>
      <w:numFmt w:val="bullet"/>
      <w:pStyle w:val="ListParagraph"/>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0"/>
  </w:num>
  <w:num w:numId="2">
    <w:abstractNumId w:val="7"/>
  </w:num>
  <w:num w:numId="3">
    <w:abstractNumId w:val="17"/>
  </w:num>
  <w:num w:numId="4">
    <w:abstractNumId w:val="15"/>
  </w:num>
  <w:num w:numId="5">
    <w:abstractNumId w:val="3"/>
  </w:num>
  <w:num w:numId="6">
    <w:abstractNumId w:val="13"/>
  </w:num>
  <w:num w:numId="7">
    <w:abstractNumId w:val="12"/>
  </w:num>
  <w:num w:numId="8">
    <w:abstractNumId w:val="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8"/>
  </w:num>
  <w:num w:numId="13">
    <w:abstractNumId w:val="14"/>
  </w:num>
  <w:num w:numId="14">
    <w:abstractNumId w:val="16"/>
  </w:num>
  <w:num w:numId="15">
    <w:abstractNumId w:val="11"/>
  </w:num>
  <w:num w:numId="16">
    <w:abstractNumId w:val="9"/>
  </w:num>
  <w:num w:numId="17">
    <w:abstractNumId w:val="19"/>
  </w:num>
  <w:num w:numId="18">
    <w:abstractNumId w:val="19"/>
    <w:lvlOverride w:ilvl="0">
      <w:startOverride w:val="1"/>
    </w:lvlOverride>
  </w:num>
  <w:num w:numId="19">
    <w:abstractNumId w:val="6"/>
  </w:num>
  <w:num w:numId="20">
    <w:abstractNumId w:val="2"/>
  </w:num>
  <w:num w:numId="21">
    <w:abstractNumId w:val="4"/>
  </w:num>
  <w:num w:numId="22">
    <w:abstractNumId w:val="8"/>
  </w:num>
  <w:num w:numId="23">
    <w:abstractNumId w:val="22"/>
  </w:num>
  <w:num w:numId="24">
    <w:abstractNumId w:val="20"/>
  </w:num>
  <w:num w:numId="25">
    <w:abstractNumId w:val="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08"/>
    <w:rsid w:val="00013F5B"/>
    <w:rsid w:val="00030EDB"/>
    <w:rsid w:val="00037A05"/>
    <w:rsid w:val="000510CC"/>
    <w:rsid w:val="00067DB9"/>
    <w:rsid w:val="00071E3B"/>
    <w:rsid w:val="000832AF"/>
    <w:rsid w:val="000A3C12"/>
    <w:rsid w:val="000A4544"/>
    <w:rsid w:val="000B584A"/>
    <w:rsid w:val="000C13C7"/>
    <w:rsid w:val="000E6120"/>
    <w:rsid w:val="000F6205"/>
    <w:rsid w:val="001074FE"/>
    <w:rsid w:val="001125BD"/>
    <w:rsid w:val="0011709F"/>
    <w:rsid w:val="00121FFD"/>
    <w:rsid w:val="00126FA4"/>
    <w:rsid w:val="00162B32"/>
    <w:rsid w:val="00163A3A"/>
    <w:rsid w:val="0019105F"/>
    <w:rsid w:val="0019461E"/>
    <w:rsid w:val="001D40D6"/>
    <w:rsid w:val="001E7439"/>
    <w:rsid w:val="00225F39"/>
    <w:rsid w:val="002C050A"/>
    <w:rsid w:val="002D7C8B"/>
    <w:rsid w:val="002F14C5"/>
    <w:rsid w:val="00304408"/>
    <w:rsid w:val="00331644"/>
    <w:rsid w:val="00337213"/>
    <w:rsid w:val="00342F43"/>
    <w:rsid w:val="00354A32"/>
    <w:rsid w:val="0038470B"/>
    <w:rsid w:val="003C52E9"/>
    <w:rsid w:val="004150AF"/>
    <w:rsid w:val="00424ED5"/>
    <w:rsid w:val="00426A17"/>
    <w:rsid w:val="004460EA"/>
    <w:rsid w:val="00452B65"/>
    <w:rsid w:val="00466AD4"/>
    <w:rsid w:val="00475BCA"/>
    <w:rsid w:val="00483255"/>
    <w:rsid w:val="0048578C"/>
    <w:rsid w:val="004966E8"/>
    <w:rsid w:val="004B0B0B"/>
    <w:rsid w:val="004E2264"/>
    <w:rsid w:val="004F7559"/>
    <w:rsid w:val="005110EF"/>
    <w:rsid w:val="00516153"/>
    <w:rsid w:val="00534333"/>
    <w:rsid w:val="005360E5"/>
    <w:rsid w:val="00536D79"/>
    <w:rsid w:val="00554620"/>
    <w:rsid w:val="005804FB"/>
    <w:rsid w:val="0058191F"/>
    <w:rsid w:val="005D5D4D"/>
    <w:rsid w:val="005E2B3C"/>
    <w:rsid w:val="005F4DF5"/>
    <w:rsid w:val="00602A09"/>
    <w:rsid w:val="006129E9"/>
    <w:rsid w:val="00617B74"/>
    <w:rsid w:val="006319E1"/>
    <w:rsid w:val="00647A9E"/>
    <w:rsid w:val="00654011"/>
    <w:rsid w:val="00661B09"/>
    <w:rsid w:val="00662AE1"/>
    <w:rsid w:val="00685BAC"/>
    <w:rsid w:val="006A3B71"/>
    <w:rsid w:val="006A79C1"/>
    <w:rsid w:val="006B3DD8"/>
    <w:rsid w:val="006C3729"/>
    <w:rsid w:val="006C4370"/>
    <w:rsid w:val="006D06F6"/>
    <w:rsid w:val="006D0C4A"/>
    <w:rsid w:val="006D667F"/>
    <w:rsid w:val="0070630C"/>
    <w:rsid w:val="00711295"/>
    <w:rsid w:val="007203F4"/>
    <w:rsid w:val="00736B60"/>
    <w:rsid w:val="007424AE"/>
    <w:rsid w:val="007445F1"/>
    <w:rsid w:val="007462F6"/>
    <w:rsid w:val="007509E7"/>
    <w:rsid w:val="00764C7F"/>
    <w:rsid w:val="007832E0"/>
    <w:rsid w:val="007B0327"/>
    <w:rsid w:val="007C4573"/>
    <w:rsid w:val="007E1FFA"/>
    <w:rsid w:val="00820B66"/>
    <w:rsid w:val="00830974"/>
    <w:rsid w:val="00856FC2"/>
    <w:rsid w:val="00860DEB"/>
    <w:rsid w:val="0087248A"/>
    <w:rsid w:val="00886C72"/>
    <w:rsid w:val="0089207A"/>
    <w:rsid w:val="008B754E"/>
    <w:rsid w:val="008F13BD"/>
    <w:rsid w:val="008F2514"/>
    <w:rsid w:val="00911F7B"/>
    <w:rsid w:val="00916895"/>
    <w:rsid w:val="009356D9"/>
    <w:rsid w:val="009407A8"/>
    <w:rsid w:val="009438EE"/>
    <w:rsid w:val="00956CE4"/>
    <w:rsid w:val="00992E24"/>
    <w:rsid w:val="009B55F6"/>
    <w:rsid w:val="009C7CD0"/>
    <w:rsid w:val="00A026E4"/>
    <w:rsid w:val="00A40DBF"/>
    <w:rsid w:val="00A52FB8"/>
    <w:rsid w:val="00A5796F"/>
    <w:rsid w:val="00A57F45"/>
    <w:rsid w:val="00A63024"/>
    <w:rsid w:val="00A72A37"/>
    <w:rsid w:val="00A97617"/>
    <w:rsid w:val="00AD24FC"/>
    <w:rsid w:val="00AE4BF1"/>
    <w:rsid w:val="00AF402F"/>
    <w:rsid w:val="00B1657F"/>
    <w:rsid w:val="00B2097C"/>
    <w:rsid w:val="00B27E13"/>
    <w:rsid w:val="00B412EB"/>
    <w:rsid w:val="00B97493"/>
    <w:rsid w:val="00BB2268"/>
    <w:rsid w:val="00BD338A"/>
    <w:rsid w:val="00BD5370"/>
    <w:rsid w:val="00C10BCB"/>
    <w:rsid w:val="00C37E6F"/>
    <w:rsid w:val="00C50030"/>
    <w:rsid w:val="00C56746"/>
    <w:rsid w:val="00C5732A"/>
    <w:rsid w:val="00CA040E"/>
    <w:rsid w:val="00CA69EE"/>
    <w:rsid w:val="00CB0768"/>
    <w:rsid w:val="00CB197F"/>
    <w:rsid w:val="00CB2ED4"/>
    <w:rsid w:val="00CC79F7"/>
    <w:rsid w:val="00CE7D5F"/>
    <w:rsid w:val="00CF1A23"/>
    <w:rsid w:val="00CF4B0D"/>
    <w:rsid w:val="00CF7438"/>
    <w:rsid w:val="00D025F7"/>
    <w:rsid w:val="00D052D1"/>
    <w:rsid w:val="00D302B9"/>
    <w:rsid w:val="00D418A6"/>
    <w:rsid w:val="00D56A5B"/>
    <w:rsid w:val="00D73497"/>
    <w:rsid w:val="00D739E9"/>
    <w:rsid w:val="00D81231"/>
    <w:rsid w:val="00D94038"/>
    <w:rsid w:val="00DC46E0"/>
    <w:rsid w:val="00DC4DDA"/>
    <w:rsid w:val="00DE53D1"/>
    <w:rsid w:val="00DF3635"/>
    <w:rsid w:val="00E15E31"/>
    <w:rsid w:val="00E3111C"/>
    <w:rsid w:val="00E33693"/>
    <w:rsid w:val="00E518DD"/>
    <w:rsid w:val="00E67C6A"/>
    <w:rsid w:val="00E95861"/>
    <w:rsid w:val="00EA76AD"/>
    <w:rsid w:val="00EA7DB1"/>
    <w:rsid w:val="00EC5AB4"/>
    <w:rsid w:val="00F00151"/>
    <w:rsid w:val="00F0234A"/>
    <w:rsid w:val="00F3537E"/>
    <w:rsid w:val="00F56DC0"/>
    <w:rsid w:val="00F87689"/>
    <w:rsid w:val="00F90A85"/>
    <w:rsid w:val="00F97CCA"/>
    <w:rsid w:val="00FA3E60"/>
    <w:rsid w:val="00FA5E8E"/>
    <w:rsid w:val="00FB04AC"/>
    <w:rsid w:val="00FB4D4E"/>
    <w:rsid w:val="00FC24B0"/>
    <w:rsid w:val="00FF270D"/>
    <w:rsid w:val="00FF6D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EF2D030"/>
  <w15:chartTrackingRefBased/>
  <w15:docId w15:val="{E18C8788-34A5-4714-A949-D5AD56ED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A3A"/>
    <w:pPr>
      <w:spacing w:after="160" w:line="256" w:lineRule="auto"/>
    </w:pPr>
    <w:rPr>
      <w:rFonts w:ascii="Calibri" w:eastAsia="Calibri" w:hAnsi="Calibri" w:cs="Calibri"/>
      <w:color w:val="000000"/>
      <w:lang w:eastAsia="en-AU"/>
    </w:rPr>
  </w:style>
  <w:style w:type="paragraph" w:styleId="Heading1">
    <w:name w:val="heading 1"/>
    <w:basedOn w:val="Normal"/>
    <w:next w:val="Normal"/>
    <w:link w:val="Heading1Char"/>
    <w:uiPriority w:val="9"/>
    <w:qFormat/>
    <w:rsid w:val="005F4DF5"/>
    <w:pPr>
      <w:keepNext/>
      <w:keepLines/>
      <w:spacing w:before="240" w:after="0"/>
      <w:outlineLvl w:val="0"/>
    </w:pPr>
    <w:rPr>
      <w:rFonts w:ascii="Arial" w:eastAsiaTheme="majorEastAsia" w:hAnsi="Arial" w:cs="Arial"/>
      <w:color w:val="004270"/>
      <w:sz w:val="48"/>
      <w:szCs w:val="48"/>
    </w:rPr>
  </w:style>
  <w:style w:type="paragraph" w:styleId="Heading2">
    <w:name w:val="heading 2"/>
    <w:basedOn w:val="Normal"/>
    <w:next w:val="Normal"/>
    <w:link w:val="Heading2Char"/>
    <w:uiPriority w:val="9"/>
    <w:unhideWhenUsed/>
    <w:qFormat/>
    <w:rsid w:val="005F4DF5"/>
    <w:pPr>
      <w:keepNext/>
      <w:keepLines/>
      <w:spacing w:before="240" w:after="120" w:line="240" w:lineRule="auto"/>
      <w:outlineLvl w:val="1"/>
    </w:pPr>
    <w:rPr>
      <w:rFonts w:ascii="Arial" w:eastAsiaTheme="majorEastAsia" w:hAnsi="Arial" w:cstheme="majorBidi"/>
      <w:color w:val="004270"/>
      <w:sz w:val="36"/>
      <w:szCs w:val="24"/>
      <w:lang w:eastAsia="en-US"/>
    </w:rPr>
  </w:style>
  <w:style w:type="paragraph" w:styleId="Heading3">
    <w:name w:val="heading 3"/>
    <w:basedOn w:val="Heading2"/>
    <w:next w:val="Normal"/>
    <w:link w:val="Heading3Char"/>
    <w:uiPriority w:val="9"/>
    <w:unhideWhenUsed/>
    <w:qFormat/>
    <w:rsid w:val="002C050A"/>
    <w:pPr>
      <w:outlineLvl w:val="2"/>
    </w:pPr>
    <w:rPr>
      <w:sz w:val="26"/>
      <w:szCs w:val="26"/>
    </w:rPr>
  </w:style>
  <w:style w:type="paragraph" w:styleId="Heading4">
    <w:name w:val="heading 4"/>
    <w:basedOn w:val="Normal"/>
    <w:next w:val="Normal"/>
    <w:link w:val="Heading4Char"/>
    <w:uiPriority w:val="9"/>
    <w:unhideWhenUsed/>
    <w:qFormat/>
    <w:rsid w:val="005F4DF5"/>
    <w:pPr>
      <w:keepNext/>
      <w:keepLines/>
      <w:spacing w:before="40" w:after="0"/>
      <w:outlineLvl w:val="3"/>
    </w:pPr>
    <w:rPr>
      <w:rFonts w:ascii="Arial" w:eastAsiaTheme="minorHAnsi" w:hAnsi="Arial" w:cs="Arial"/>
      <w:color w:val="0042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304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08"/>
  </w:style>
  <w:style w:type="character" w:styleId="Hyperlink">
    <w:name w:val="Hyperlink"/>
    <w:basedOn w:val="DefaultParagraphFont"/>
    <w:uiPriority w:val="99"/>
    <w:unhideWhenUsed/>
    <w:rsid w:val="00163A3A"/>
    <w:rPr>
      <w:color w:val="0000FF"/>
      <w:u w:val="single"/>
    </w:rPr>
  </w:style>
  <w:style w:type="paragraph" w:styleId="ListParagraph">
    <w:name w:val="List Paragraph"/>
    <w:basedOn w:val="Normal"/>
    <w:link w:val="ListParagraphChar"/>
    <w:uiPriority w:val="34"/>
    <w:qFormat/>
    <w:rsid w:val="00BD338A"/>
    <w:pPr>
      <w:numPr>
        <w:numId w:val="23"/>
      </w:numPr>
      <w:contextualSpacing/>
    </w:pPr>
    <w:rPr>
      <w:rFonts w:ascii="Arial" w:hAnsi="Arial" w:cs="Arial"/>
      <w:lang w:eastAsia="en-US"/>
    </w:rPr>
  </w:style>
  <w:style w:type="paragraph" w:styleId="BalloonText">
    <w:name w:val="Balloon Text"/>
    <w:basedOn w:val="Normal"/>
    <w:link w:val="BalloonTextChar"/>
    <w:uiPriority w:val="99"/>
    <w:semiHidden/>
    <w:unhideWhenUsed/>
    <w:rsid w:val="00916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5"/>
    <w:rPr>
      <w:rFonts w:ascii="Segoe UI" w:eastAsia="Calibri" w:hAnsi="Segoe UI" w:cs="Segoe UI"/>
      <w:color w:val="000000"/>
      <w:sz w:val="18"/>
      <w:szCs w:val="18"/>
      <w:lang w:eastAsia="en-AU"/>
    </w:rPr>
  </w:style>
  <w:style w:type="character" w:styleId="Strong">
    <w:name w:val="Strong"/>
    <w:basedOn w:val="DefaultParagraphFont"/>
    <w:uiPriority w:val="22"/>
    <w:qFormat/>
    <w:rsid w:val="007E1FFA"/>
    <w:rPr>
      <w:b/>
      <w:bCs/>
    </w:rPr>
  </w:style>
  <w:style w:type="character" w:customStyle="1" w:styleId="ListParagraphChar">
    <w:name w:val="List Paragraph Char"/>
    <w:basedOn w:val="DefaultParagraphFont"/>
    <w:link w:val="ListParagraph"/>
    <w:uiPriority w:val="34"/>
    <w:rsid w:val="00BD338A"/>
    <w:rPr>
      <w:rFonts w:ascii="Arial" w:eastAsia="Calibri" w:hAnsi="Arial" w:cs="Arial"/>
      <w:color w:val="000000"/>
    </w:rPr>
  </w:style>
  <w:style w:type="character" w:styleId="FootnoteReference">
    <w:name w:val="footnote reference"/>
    <w:aliases w:val="4_G,Footnote number,Footnotes refss"/>
    <w:basedOn w:val="DefaultParagraphFont"/>
    <w:unhideWhenUsed/>
    <w:rsid w:val="009B55F6"/>
    <w:rPr>
      <w:vertAlign w:val="superscript"/>
    </w:rPr>
  </w:style>
  <w:style w:type="paragraph" w:styleId="FootnoteText">
    <w:name w:val="footnote text"/>
    <w:aliases w:val="5_G"/>
    <w:basedOn w:val="Normal"/>
    <w:link w:val="FootnoteTextChar"/>
    <w:unhideWhenUsed/>
    <w:rsid w:val="001125BD"/>
    <w:pPr>
      <w:spacing w:after="0" w:line="240" w:lineRule="auto"/>
    </w:pPr>
    <w:rPr>
      <w:rFonts w:ascii="Arial" w:hAnsi="Arial" w:cs="Arial"/>
      <w:sz w:val="20"/>
      <w:szCs w:val="20"/>
    </w:rPr>
  </w:style>
  <w:style w:type="character" w:customStyle="1" w:styleId="FootnoteTextChar">
    <w:name w:val="Footnote Text Char"/>
    <w:aliases w:val="5_G Char"/>
    <w:basedOn w:val="DefaultParagraphFont"/>
    <w:link w:val="FootnoteText"/>
    <w:rsid w:val="001125BD"/>
    <w:rPr>
      <w:rFonts w:ascii="Arial" w:eastAsia="Calibri" w:hAnsi="Arial" w:cs="Arial"/>
      <w:color w:val="000000"/>
      <w:sz w:val="20"/>
      <w:szCs w:val="20"/>
      <w:lang w:eastAsia="en-AU"/>
    </w:rPr>
  </w:style>
  <w:style w:type="character" w:styleId="CommentReference">
    <w:name w:val="annotation reference"/>
    <w:basedOn w:val="DefaultParagraphFont"/>
    <w:uiPriority w:val="99"/>
    <w:semiHidden/>
    <w:unhideWhenUsed/>
    <w:rsid w:val="008F13BD"/>
    <w:rPr>
      <w:sz w:val="16"/>
      <w:szCs w:val="16"/>
    </w:rPr>
  </w:style>
  <w:style w:type="paragraph" w:styleId="CommentText">
    <w:name w:val="annotation text"/>
    <w:basedOn w:val="Normal"/>
    <w:link w:val="CommentTextChar"/>
    <w:uiPriority w:val="99"/>
    <w:semiHidden/>
    <w:unhideWhenUsed/>
    <w:rsid w:val="008F13BD"/>
    <w:pPr>
      <w:spacing w:line="240" w:lineRule="auto"/>
    </w:pPr>
    <w:rPr>
      <w:sz w:val="20"/>
      <w:szCs w:val="20"/>
    </w:rPr>
  </w:style>
  <w:style w:type="character" w:customStyle="1" w:styleId="CommentTextChar">
    <w:name w:val="Comment Text Char"/>
    <w:basedOn w:val="DefaultParagraphFont"/>
    <w:link w:val="CommentText"/>
    <w:uiPriority w:val="99"/>
    <w:semiHidden/>
    <w:rsid w:val="008F13BD"/>
    <w:rPr>
      <w:rFonts w:ascii="Calibri" w:eastAsia="Calibri" w:hAnsi="Calibri" w:cs="Calibri"/>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8F13BD"/>
    <w:rPr>
      <w:b/>
      <w:bCs/>
    </w:rPr>
  </w:style>
  <w:style w:type="character" w:customStyle="1" w:styleId="CommentSubjectChar">
    <w:name w:val="Comment Subject Char"/>
    <w:basedOn w:val="CommentTextChar"/>
    <w:link w:val="CommentSubject"/>
    <w:uiPriority w:val="99"/>
    <w:semiHidden/>
    <w:rsid w:val="008F13BD"/>
    <w:rPr>
      <w:rFonts w:ascii="Calibri" w:eastAsia="Calibri" w:hAnsi="Calibri" w:cs="Calibri"/>
      <w:b/>
      <w:bCs/>
      <w:color w:val="000000"/>
      <w:sz w:val="20"/>
      <w:szCs w:val="20"/>
      <w:lang w:eastAsia="en-AU"/>
    </w:rPr>
  </w:style>
  <w:style w:type="character" w:customStyle="1" w:styleId="Heading2Char">
    <w:name w:val="Heading 2 Char"/>
    <w:basedOn w:val="DefaultParagraphFont"/>
    <w:link w:val="Heading2"/>
    <w:uiPriority w:val="9"/>
    <w:rsid w:val="005F4DF5"/>
    <w:rPr>
      <w:rFonts w:ascii="Arial" w:eastAsiaTheme="majorEastAsia" w:hAnsi="Arial" w:cstheme="majorBidi"/>
      <w:color w:val="004270"/>
      <w:sz w:val="36"/>
      <w:szCs w:val="24"/>
    </w:rPr>
  </w:style>
  <w:style w:type="character" w:customStyle="1" w:styleId="Heading3Char">
    <w:name w:val="Heading 3 Char"/>
    <w:basedOn w:val="DefaultParagraphFont"/>
    <w:link w:val="Heading3"/>
    <w:uiPriority w:val="9"/>
    <w:rsid w:val="002C050A"/>
    <w:rPr>
      <w:rFonts w:ascii="Arial" w:eastAsiaTheme="majorEastAsia" w:hAnsi="Arial" w:cs="Arial"/>
      <w:b/>
      <w:bCs/>
      <w:sz w:val="26"/>
      <w:szCs w:val="26"/>
      <w:lang w:eastAsia="en-AU"/>
    </w:rPr>
  </w:style>
  <w:style w:type="paragraph" w:styleId="NoSpacing">
    <w:name w:val="No Spacing"/>
    <w:link w:val="NoSpacingChar"/>
    <w:uiPriority w:val="1"/>
    <w:qFormat/>
    <w:rsid w:val="00A5796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5796F"/>
    <w:rPr>
      <w:rFonts w:eastAsiaTheme="minorEastAsia"/>
      <w:lang w:val="en-US"/>
    </w:rPr>
  </w:style>
  <w:style w:type="character" w:customStyle="1" w:styleId="Heading1Char">
    <w:name w:val="Heading 1 Char"/>
    <w:basedOn w:val="DefaultParagraphFont"/>
    <w:link w:val="Heading1"/>
    <w:uiPriority w:val="9"/>
    <w:rsid w:val="005F4DF5"/>
    <w:rPr>
      <w:rFonts w:ascii="Arial" w:eastAsiaTheme="majorEastAsia" w:hAnsi="Arial" w:cs="Arial"/>
      <w:color w:val="004270"/>
      <w:sz w:val="48"/>
      <w:szCs w:val="48"/>
      <w:lang w:eastAsia="en-AU"/>
    </w:rPr>
  </w:style>
  <w:style w:type="paragraph" w:customStyle="1" w:styleId="NumberedPara">
    <w:name w:val="Numbered Para"/>
    <w:basedOn w:val="ListParagraph"/>
    <w:qFormat/>
    <w:rsid w:val="006B3DD8"/>
    <w:pPr>
      <w:numPr>
        <w:numId w:val="12"/>
      </w:numPr>
      <w:spacing w:before="120" w:after="240" w:line="276" w:lineRule="auto"/>
      <w:ind w:left="567" w:hanging="567"/>
      <w:contextualSpacing w:val="0"/>
    </w:pPr>
    <w:rPr>
      <w:szCs w:val="24"/>
    </w:rPr>
  </w:style>
  <w:style w:type="paragraph" w:styleId="Quote">
    <w:name w:val="Quote"/>
    <w:basedOn w:val="Normal"/>
    <w:next w:val="Normal"/>
    <w:link w:val="QuoteChar"/>
    <w:uiPriority w:val="29"/>
    <w:qFormat/>
    <w:rsid w:val="004B0B0B"/>
    <w:pPr>
      <w:shd w:val="clear" w:color="auto" w:fill="FFFFFF"/>
      <w:spacing w:before="240" w:after="240" w:line="240" w:lineRule="auto"/>
      <w:ind w:left="907" w:right="845"/>
      <w:jc w:val="both"/>
      <w:textAlignment w:val="baseline"/>
    </w:pPr>
    <w:rPr>
      <w:rFonts w:ascii="Arial" w:hAnsi="Arial" w:cs="Arial"/>
      <w:lang w:eastAsia="en-US"/>
    </w:rPr>
  </w:style>
  <w:style w:type="character" w:customStyle="1" w:styleId="QuoteChar">
    <w:name w:val="Quote Char"/>
    <w:basedOn w:val="DefaultParagraphFont"/>
    <w:link w:val="Quote"/>
    <w:uiPriority w:val="29"/>
    <w:rsid w:val="004B0B0B"/>
    <w:rPr>
      <w:rFonts w:ascii="Arial" w:eastAsia="Calibri" w:hAnsi="Arial" w:cs="Arial"/>
      <w:color w:val="000000"/>
      <w:shd w:val="clear" w:color="auto" w:fill="FFFFFF"/>
    </w:rPr>
  </w:style>
  <w:style w:type="paragraph" w:styleId="Title">
    <w:name w:val="Title"/>
    <w:basedOn w:val="Normal"/>
    <w:next w:val="Normal"/>
    <w:link w:val="TitleChar"/>
    <w:uiPriority w:val="10"/>
    <w:qFormat/>
    <w:rsid w:val="004B0B0B"/>
    <w:pPr>
      <w:spacing w:after="0" w:line="240" w:lineRule="auto"/>
      <w:contextualSpacing/>
    </w:pPr>
    <w:rPr>
      <w:rFonts w:ascii="Arial" w:eastAsiaTheme="majorEastAsia" w:hAnsi="Arial" w:cstheme="majorBidi"/>
      <w:color w:val="004270"/>
      <w:spacing w:val="-10"/>
      <w:kern w:val="28"/>
      <w:sz w:val="56"/>
      <w:szCs w:val="56"/>
      <w:lang w:eastAsia="en-US"/>
    </w:rPr>
  </w:style>
  <w:style w:type="character" w:customStyle="1" w:styleId="TitleChar">
    <w:name w:val="Title Char"/>
    <w:basedOn w:val="DefaultParagraphFont"/>
    <w:link w:val="Title"/>
    <w:uiPriority w:val="10"/>
    <w:rsid w:val="004B0B0B"/>
    <w:rPr>
      <w:rFonts w:ascii="Arial" w:eastAsiaTheme="majorEastAsia" w:hAnsi="Arial" w:cstheme="majorBidi"/>
      <w:color w:val="004270"/>
      <w:spacing w:val="-10"/>
      <w:kern w:val="28"/>
      <w:sz w:val="56"/>
      <w:szCs w:val="56"/>
    </w:rPr>
  </w:style>
  <w:style w:type="character" w:styleId="UnresolvedMention">
    <w:name w:val="Unresolved Mention"/>
    <w:basedOn w:val="DefaultParagraphFont"/>
    <w:uiPriority w:val="99"/>
    <w:semiHidden/>
    <w:unhideWhenUsed/>
    <w:rsid w:val="00AF402F"/>
    <w:rPr>
      <w:color w:val="605E5C"/>
      <w:shd w:val="clear" w:color="auto" w:fill="E1DFDD"/>
    </w:rPr>
  </w:style>
  <w:style w:type="character" w:styleId="Emphasis">
    <w:name w:val="Emphasis"/>
    <w:basedOn w:val="DefaultParagraphFont"/>
    <w:uiPriority w:val="20"/>
    <w:qFormat/>
    <w:rsid w:val="00E33693"/>
    <w:rPr>
      <w:i/>
      <w:iCs/>
    </w:rPr>
  </w:style>
  <w:style w:type="paragraph" w:customStyle="1" w:styleId="Default">
    <w:name w:val="Default"/>
    <w:rsid w:val="00E33693"/>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302B9"/>
    <w:pPr>
      <w:spacing w:after="0" w:line="240" w:lineRule="auto"/>
    </w:pPr>
    <w:rPr>
      <w:rFonts w:ascii="Calibri" w:eastAsia="Calibri" w:hAnsi="Calibri" w:cs="Calibri"/>
      <w:color w:val="000000"/>
      <w:lang w:eastAsia="en-AU"/>
    </w:rPr>
  </w:style>
  <w:style w:type="character" w:styleId="FollowedHyperlink">
    <w:name w:val="FollowedHyperlink"/>
    <w:basedOn w:val="DefaultParagraphFont"/>
    <w:uiPriority w:val="99"/>
    <w:semiHidden/>
    <w:unhideWhenUsed/>
    <w:rsid w:val="007203F4"/>
    <w:rPr>
      <w:color w:val="800080" w:themeColor="followedHyperlink"/>
      <w:u w:val="single"/>
    </w:rPr>
  </w:style>
  <w:style w:type="paragraph" w:styleId="TOCHeading">
    <w:name w:val="TOC Heading"/>
    <w:basedOn w:val="Heading1"/>
    <w:next w:val="Normal"/>
    <w:uiPriority w:val="39"/>
    <w:unhideWhenUsed/>
    <w:qFormat/>
    <w:rsid w:val="00CB0768"/>
    <w:pPr>
      <w:spacing w:line="259" w:lineRule="auto"/>
      <w:outlineLvl w:val="9"/>
    </w:pPr>
    <w:rPr>
      <w:rFonts w:asciiTheme="majorHAnsi" w:hAnsiTheme="majorHAnsi" w:cstheme="majorBidi"/>
      <w:sz w:val="32"/>
      <w:szCs w:val="32"/>
      <w:lang w:val="en-US" w:eastAsia="en-US"/>
    </w:rPr>
  </w:style>
  <w:style w:type="paragraph" w:styleId="TOC1">
    <w:name w:val="toc 1"/>
    <w:basedOn w:val="Normal"/>
    <w:next w:val="Normal"/>
    <w:autoRedefine/>
    <w:uiPriority w:val="39"/>
    <w:unhideWhenUsed/>
    <w:rsid w:val="00B1657F"/>
    <w:pPr>
      <w:tabs>
        <w:tab w:val="right" w:leader="dot" w:pos="8948"/>
      </w:tabs>
      <w:spacing w:after="100"/>
    </w:pPr>
    <w:rPr>
      <w:rFonts w:asciiTheme="minorHAnsi" w:eastAsiaTheme="minorEastAsia" w:hAnsiTheme="minorHAnsi" w:cstheme="minorBidi"/>
      <w:noProof/>
      <w:color w:val="auto"/>
      <w:sz w:val="16"/>
      <w:szCs w:val="16"/>
    </w:rPr>
  </w:style>
  <w:style w:type="paragraph" w:styleId="TOC2">
    <w:name w:val="toc 2"/>
    <w:basedOn w:val="Normal"/>
    <w:next w:val="Normal"/>
    <w:autoRedefine/>
    <w:uiPriority w:val="39"/>
    <w:unhideWhenUsed/>
    <w:rsid w:val="00CB0768"/>
    <w:pPr>
      <w:spacing w:after="100"/>
      <w:ind w:left="220"/>
    </w:pPr>
  </w:style>
  <w:style w:type="paragraph" w:styleId="TOC3">
    <w:name w:val="toc 3"/>
    <w:basedOn w:val="Normal"/>
    <w:next w:val="Normal"/>
    <w:autoRedefine/>
    <w:uiPriority w:val="39"/>
    <w:unhideWhenUsed/>
    <w:rsid w:val="00CB0768"/>
    <w:pPr>
      <w:spacing w:after="100"/>
      <w:ind w:left="440"/>
    </w:pPr>
  </w:style>
  <w:style w:type="paragraph" w:customStyle="1" w:styleId="Numberedparagraph">
    <w:name w:val="Numbered paragraph"/>
    <w:basedOn w:val="ListParagraph"/>
    <w:link w:val="NumberedparagraphChar"/>
    <w:qFormat/>
    <w:rsid w:val="00B1657F"/>
    <w:pPr>
      <w:numPr>
        <w:numId w:val="26"/>
      </w:numPr>
      <w:spacing w:before="120" w:after="240" w:line="276" w:lineRule="auto"/>
      <w:contextualSpacing w:val="0"/>
    </w:pPr>
    <w:rPr>
      <w:rFonts w:eastAsiaTheme="minorEastAsia"/>
      <w:sz w:val="24"/>
      <w:szCs w:val="24"/>
    </w:rPr>
  </w:style>
  <w:style w:type="character" w:customStyle="1" w:styleId="NumberedparagraphChar">
    <w:name w:val="Numbered paragraph Char"/>
    <w:basedOn w:val="ListParagraphChar"/>
    <w:link w:val="Numberedparagraph"/>
    <w:rsid w:val="00B1657F"/>
    <w:rPr>
      <w:rFonts w:ascii="Arial" w:eastAsiaTheme="minorEastAsia" w:hAnsi="Arial" w:cs="Arial"/>
      <w:color w:val="000000"/>
      <w:sz w:val="24"/>
      <w:szCs w:val="24"/>
    </w:rPr>
  </w:style>
  <w:style w:type="character" w:customStyle="1" w:styleId="Heading4Char">
    <w:name w:val="Heading 4 Char"/>
    <w:basedOn w:val="DefaultParagraphFont"/>
    <w:link w:val="Heading4"/>
    <w:uiPriority w:val="9"/>
    <w:rsid w:val="005F4DF5"/>
    <w:rPr>
      <w:rFonts w:ascii="Arial" w:hAnsi="Arial" w:cs="Arial"/>
      <w:color w:val="00427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2019">
      <w:bodyDiv w:val="1"/>
      <w:marLeft w:val="0"/>
      <w:marRight w:val="0"/>
      <w:marTop w:val="0"/>
      <w:marBottom w:val="0"/>
      <w:divBdr>
        <w:top w:val="none" w:sz="0" w:space="0" w:color="auto"/>
        <w:left w:val="none" w:sz="0" w:space="0" w:color="auto"/>
        <w:bottom w:val="none" w:sz="0" w:space="0" w:color="auto"/>
        <w:right w:val="none" w:sz="0" w:space="0" w:color="auto"/>
      </w:divBdr>
    </w:div>
    <w:div w:id="421490723">
      <w:bodyDiv w:val="1"/>
      <w:marLeft w:val="0"/>
      <w:marRight w:val="0"/>
      <w:marTop w:val="0"/>
      <w:marBottom w:val="0"/>
      <w:divBdr>
        <w:top w:val="none" w:sz="0" w:space="0" w:color="auto"/>
        <w:left w:val="none" w:sz="0" w:space="0" w:color="auto"/>
        <w:bottom w:val="none" w:sz="0" w:space="0" w:color="auto"/>
        <w:right w:val="none" w:sz="0" w:space="0" w:color="auto"/>
      </w:divBdr>
      <w:divsChild>
        <w:div w:id="910967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088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573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63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064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42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796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1033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993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862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2399432">
      <w:bodyDiv w:val="1"/>
      <w:marLeft w:val="0"/>
      <w:marRight w:val="0"/>
      <w:marTop w:val="0"/>
      <w:marBottom w:val="0"/>
      <w:divBdr>
        <w:top w:val="none" w:sz="0" w:space="0" w:color="auto"/>
        <w:left w:val="none" w:sz="0" w:space="0" w:color="auto"/>
        <w:bottom w:val="none" w:sz="0" w:space="0" w:color="auto"/>
        <w:right w:val="none" w:sz="0" w:space="0" w:color="auto"/>
      </w:divBdr>
      <w:divsChild>
        <w:div w:id="848761771">
          <w:marLeft w:val="0"/>
          <w:marRight w:val="0"/>
          <w:marTop w:val="0"/>
          <w:marBottom w:val="0"/>
          <w:divBdr>
            <w:top w:val="none" w:sz="0" w:space="0" w:color="auto"/>
            <w:left w:val="none" w:sz="0" w:space="0" w:color="auto"/>
            <w:bottom w:val="none" w:sz="0" w:space="0" w:color="auto"/>
            <w:right w:val="none" w:sz="0" w:space="0" w:color="auto"/>
          </w:divBdr>
          <w:divsChild>
            <w:div w:id="4651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882">
      <w:bodyDiv w:val="1"/>
      <w:marLeft w:val="0"/>
      <w:marRight w:val="0"/>
      <w:marTop w:val="0"/>
      <w:marBottom w:val="0"/>
      <w:divBdr>
        <w:top w:val="none" w:sz="0" w:space="0" w:color="auto"/>
        <w:left w:val="none" w:sz="0" w:space="0" w:color="auto"/>
        <w:bottom w:val="none" w:sz="0" w:space="0" w:color="auto"/>
        <w:right w:val="none" w:sz="0" w:space="0" w:color="auto"/>
      </w:divBdr>
    </w:div>
    <w:div w:id="686368182">
      <w:bodyDiv w:val="1"/>
      <w:marLeft w:val="0"/>
      <w:marRight w:val="0"/>
      <w:marTop w:val="0"/>
      <w:marBottom w:val="0"/>
      <w:divBdr>
        <w:top w:val="none" w:sz="0" w:space="0" w:color="auto"/>
        <w:left w:val="none" w:sz="0" w:space="0" w:color="auto"/>
        <w:bottom w:val="none" w:sz="0" w:space="0" w:color="auto"/>
        <w:right w:val="none" w:sz="0" w:space="0" w:color="auto"/>
      </w:divBdr>
      <w:divsChild>
        <w:div w:id="1356419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413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70358">
              <w:blockQuote w:val="1"/>
              <w:marLeft w:val="720"/>
              <w:marRight w:val="720"/>
              <w:marTop w:val="100"/>
              <w:marBottom w:val="100"/>
              <w:divBdr>
                <w:top w:val="none" w:sz="0" w:space="0" w:color="auto"/>
                <w:left w:val="none" w:sz="0" w:space="0" w:color="auto"/>
                <w:bottom w:val="none" w:sz="0" w:space="0" w:color="auto"/>
                <w:right w:val="none" w:sz="0" w:space="0" w:color="auto"/>
              </w:divBdr>
            </w:div>
            <w:div w:id="594438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84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771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493608">
              <w:blockQuote w:val="1"/>
              <w:marLeft w:val="720"/>
              <w:marRight w:val="720"/>
              <w:marTop w:val="100"/>
              <w:marBottom w:val="100"/>
              <w:divBdr>
                <w:top w:val="none" w:sz="0" w:space="0" w:color="auto"/>
                <w:left w:val="none" w:sz="0" w:space="0" w:color="auto"/>
                <w:bottom w:val="none" w:sz="0" w:space="0" w:color="auto"/>
                <w:right w:val="none" w:sz="0" w:space="0" w:color="auto"/>
              </w:divBdr>
            </w:div>
            <w:div w:id="267978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732051">
              <w:blockQuote w:val="1"/>
              <w:marLeft w:val="720"/>
              <w:marRight w:val="720"/>
              <w:marTop w:val="100"/>
              <w:marBottom w:val="100"/>
              <w:divBdr>
                <w:top w:val="none" w:sz="0" w:space="0" w:color="auto"/>
                <w:left w:val="none" w:sz="0" w:space="0" w:color="auto"/>
                <w:bottom w:val="none" w:sz="0" w:space="0" w:color="auto"/>
                <w:right w:val="none" w:sz="0" w:space="0" w:color="auto"/>
              </w:divBdr>
            </w:div>
            <w:div w:id="698550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4248991">
      <w:bodyDiv w:val="1"/>
      <w:marLeft w:val="0"/>
      <w:marRight w:val="0"/>
      <w:marTop w:val="0"/>
      <w:marBottom w:val="0"/>
      <w:divBdr>
        <w:top w:val="none" w:sz="0" w:space="0" w:color="auto"/>
        <w:left w:val="none" w:sz="0" w:space="0" w:color="auto"/>
        <w:bottom w:val="none" w:sz="0" w:space="0" w:color="auto"/>
        <w:right w:val="none" w:sz="0" w:space="0" w:color="auto"/>
      </w:divBdr>
    </w:div>
    <w:div w:id="880245190">
      <w:bodyDiv w:val="1"/>
      <w:marLeft w:val="0"/>
      <w:marRight w:val="0"/>
      <w:marTop w:val="0"/>
      <w:marBottom w:val="0"/>
      <w:divBdr>
        <w:top w:val="none" w:sz="0" w:space="0" w:color="auto"/>
        <w:left w:val="none" w:sz="0" w:space="0" w:color="auto"/>
        <w:bottom w:val="none" w:sz="0" w:space="0" w:color="auto"/>
        <w:right w:val="none" w:sz="0" w:space="0" w:color="auto"/>
      </w:divBdr>
    </w:div>
    <w:div w:id="917011261">
      <w:bodyDiv w:val="1"/>
      <w:marLeft w:val="0"/>
      <w:marRight w:val="0"/>
      <w:marTop w:val="0"/>
      <w:marBottom w:val="0"/>
      <w:divBdr>
        <w:top w:val="none" w:sz="0" w:space="0" w:color="auto"/>
        <w:left w:val="none" w:sz="0" w:space="0" w:color="auto"/>
        <w:bottom w:val="none" w:sz="0" w:space="0" w:color="auto"/>
        <w:right w:val="none" w:sz="0" w:space="0" w:color="auto"/>
      </w:divBdr>
    </w:div>
    <w:div w:id="1437169581">
      <w:bodyDiv w:val="1"/>
      <w:marLeft w:val="0"/>
      <w:marRight w:val="0"/>
      <w:marTop w:val="0"/>
      <w:marBottom w:val="0"/>
      <w:divBdr>
        <w:top w:val="none" w:sz="0" w:space="0" w:color="auto"/>
        <w:left w:val="none" w:sz="0" w:space="0" w:color="auto"/>
        <w:bottom w:val="none" w:sz="0" w:space="0" w:color="auto"/>
        <w:right w:val="none" w:sz="0" w:space="0" w:color="auto"/>
      </w:divBdr>
    </w:div>
    <w:div w:id="186266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655E-0FDF-4D70-924E-919E4E0E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3403</Words>
  <Characters>19399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Criminal Procedure Review: Magistrates Courts</vt:lpstr>
    </vt:vector>
  </TitlesOfParts>
  <Company>ADCQ</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Logan</dc:creator>
  <cp:keywords/>
  <dc:description/>
  <cp:lastModifiedBy>Kate Marsh</cp:lastModifiedBy>
  <cp:revision>2</cp:revision>
  <cp:lastPrinted>2022-06-30T00:50:00Z</cp:lastPrinted>
  <dcterms:created xsi:type="dcterms:W3CDTF">2022-08-02T00:05:00Z</dcterms:created>
  <dcterms:modified xsi:type="dcterms:W3CDTF">2022-08-02T00:05:00Z</dcterms:modified>
</cp:coreProperties>
</file>