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4"/>
          <w:szCs w:val="24"/>
          <w:lang w:val="en-AU"/>
        </w:rPr>
        <w:id w:val="2067608509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sz w:val="22"/>
          <w:szCs w:val="22"/>
          <w:lang w:val="en-US"/>
        </w:rPr>
      </w:sdtEndPr>
      <w:sdtContent>
        <w:tbl>
          <w:tblPr>
            <w:tblW w:w="5000" w:type="pct"/>
            <w:jc w:val="center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498"/>
          </w:tblGrid>
          <w:tr w:rsidR="004A2375" w:rsidRPr="00D95D9E" w14:paraId="5658453C" w14:textId="77777777" w:rsidTr="00260847">
            <w:trPr>
              <w:trHeight w:val="2506"/>
              <w:jc w:val="center"/>
            </w:trPr>
            <w:tc>
              <w:tcPr>
                <w:tcW w:w="5000" w:type="pct"/>
                <w:vAlign w:val="center"/>
              </w:tcPr>
              <w:p w14:paraId="2C1A33CD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0441FB1F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724B77DA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5441CAC0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7B0BF898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154CDF0D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4115A4B4" w14:textId="77777777" w:rsidR="00260847" w:rsidRDefault="00260847" w:rsidP="003C443B">
                <w:pPr>
                  <w:pStyle w:val="NoSpacing"/>
                  <w:spacing w:after="240"/>
                </w:pPr>
                <w:r w:rsidRPr="00F63848">
                  <w:rPr>
                    <w:noProof/>
                    <w:lang w:val="en-AU" w:eastAsia="en-AU"/>
                  </w:rPr>
                  <w:drawing>
                    <wp:inline distT="0" distB="0" distL="0" distR="0" wp14:anchorId="4C772199" wp14:editId="1150BAAF">
                      <wp:extent cx="3259015" cy="1066800"/>
                      <wp:effectExtent l="0" t="0" r="0" b="0"/>
                      <wp:docPr id="3" name="Picture 3" descr="H:\QHRC-logo-rgb-for-digital-us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:\QHRC-logo-rgb-for-digital-use.pn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903" t="13919" r="4207" b="1156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03563" cy="1081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65C62F5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514D3B7A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1AEF9582" w14:textId="77777777" w:rsidR="00260847" w:rsidRDefault="00260847" w:rsidP="003C443B">
                <w:pPr>
                  <w:pStyle w:val="NoSpacing"/>
                  <w:spacing w:after="240"/>
                </w:pPr>
              </w:p>
              <w:p w14:paraId="74475C10" w14:textId="77777777" w:rsidR="00260847" w:rsidRDefault="00260847" w:rsidP="003C443B">
                <w:pPr>
                  <w:pStyle w:val="NoSpacing"/>
                  <w:spacing w:after="240"/>
                </w:pPr>
              </w:p>
              <w:sdt>
                <w:sdtPr>
                  <w:rPr>
                    <w:rFonts w:ascii="Arial" w:eastAsia="Times New Roman" w:hAnsi="Arial" w:cs="Times New Roman"/>
                    <w:bCs/>
                    <w:color w:val="000000" w:themeColor="text1"/>
                    <w:kern w:val="36"/>
                    <w:sz w:val="44"/>
                    <w:szCs w:val="48"/>
                    <w:lang w:eastAsia="en-AU"/>
                  </w:rPr>
                  <w:alias w:val="Title"/>
                  <w:id w:val="15524250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0A3C8B9" w14:textId="6F11E45A" w:rsidR="004A2375" w:rsidRPr="00D95D9E" w:rsidRDefault="007101A7" w:rsidP="003C443B">
                    <w:pPr>
                      <w:pStyle w:val="NoSpacing"/>
                      <w:spacing w:after="240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Arial" w:eastAsia="Times New Roman" w:hAnsi="Arial" w:cs="Times New Roman"/>
                        <w:bCs/>
                        <w:color w:val="000000" w:themeColor="text1"/>
                        <w:kern w:val="36"/>
                        <w:sz w:val="44"/>
                        <w:szCs w:val="48"/>
                        <w:lang w:eastAsia="en-AU"/>
                      </w:rPr>
                      <w:t xml:space="preserve">Births, </w:t>
                    </w:r>
                    <w:proofErr w:type="gramStart"/>
                    <w:r>
                      <w:rPr>
                        <w:rFonts w:ascii="Arial" w:eastAsia="Times New Roman" w:hAnsi="Arial" w:cs="Times New Roman"/>
                        <w:bCs/>
                        <w:color w:val="000000" w:themeColor="text1"/>
                        <w:kern w:val="36"/>
                        <w:sz w:val="44"/>
                        <w:szCs w:val="48"/>
                        <w:lang w:eastAsia="en-AU"/>
                      </w:rPr>
                      <w:t>Deaths</w:t>
                    </w:r>
                    <w:proofErr w:type="gramEnd"/>
                    <w:r>
                      <w:rPr>
                        <w:rFonts w:ascii="Arial" w:eastAsia="Times New Roman" w:hAnsi="Arial" w:cs="Times New Roman"/>
                        <w:bCs/>
                        <w:color w:val="000000" w:themeColor="text1"/>
                        <w:kern w:val="36"/>
                        <w:sz w:val="44"/>
                        <w:szCs w:val="48"/>
                        <w:lang w:eastAsia="en-AU"/>
                      </w:rPr>
                      <w:t xml:space="preserve"> and Marriages Registration Bill 2022</w:t>
                    </w:r>
                  </w:p>
                </w:sdtContent>
              </w:sdt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555"/>
          </w:tblGrid>
          <w:tr w:rsidR="00A16356" w14:paraId="2411E64C" w14:textId="77777777" w:rsidTr="00260847">
            <w:tc>
              <w:tcPr>
                <w:tcW w:w="640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364FB85" w14:textId="3FD5A9A8" w:rsidR="00A16356" w:rsidRDefault="00BC6CAC" w:rsidP="00ED7CFE">
                <w:pPr>
                  <w:pStyle w:val="NoSpacing"/>
                  <w:spacing w:before="120" w:after="120"/>
                  <w:jc w:val="center"/>
                  <w:rPr>
                    <w:color w:val="4F81BD" w:themeColor="accent1"/>
                  </w:rPr>
                </w:pPr>
                <w:r w:rsidRPr="00A32E91">
                  <w:rPr>
                    <w:rFonts w:ascii="Arial" w:hAnsi="Arial" w:cs="Arial"/>
                    <w:bCs/>
                    <w:sz w:val="28"/>
                  </w:rPr>
                  <w:t>11</w:t>
                </w:r>
                <w:r w:rsidR="007101A7" w:rsidRPr="00A32E91">
                  <w:rPr>
                    <w:rFonts w:ascii="Arial" w:hAnsi="Arial" w:cs="Arial"/>
                    <w:bCs/>
                    <w:sz w:val="28"/>
                  </w:rPr>
                  <w:t xml:space="preserve"> January 20</w:t>
                </w:r>
                <w:r w:rsidR="007402BB">
                  <w:rPr>
                    <w:rFonts w:ascii="Arial" w:hAnsi="Arial" w:cs="Arial"/>
                    <w:bCs/>
                    <w:sz w:val="28"/>
                  </w:rPr>
                  <w:t>23</w:t>
                </w:r>
              </w:p>
            </w:tc>
          </w:tr>
        </w:tbl>
        <w:p w14:paraId="5DBCC84D" w14:textId="0CF39638" w:rsidR="00260847" w:rsidRDefault="00260847" w:rsidP="00260847">
          <w:pPr>
            <w:pStyle w:val="NoSpacing"/>
            <w:spacing w:before="120" w:after="120"/>
            <w:rPr>
              <w:rFonts w:ascii="Arial" w:hAnsi="Arial" w:cs="Arial"/>
              <w:bCs/>
              <w:sz w:val="28"/>
            </w:rPr>
          </w:pPr>
          <w:r w:rsidRPr="00260847">
            <w:rPr>
              <w:rFonts w:ascii="Arial" w:hAnsi="Arial" w:cs="Arial"/>
              <w:bCs/>
              <w:sz w:val="28"/>
            </w:rPr>
            <w:t>Submission</w:t>
          </w:r>
          <w:r>
            <w:rPr>
              <w:rFonts w:ascii="Arial" w:hAnsi="Arial" w:cs="Arial"/>
              <w:bCs/>
              <w:sz w:val="28"/>
            </w:rPr>
            <w:t xml:space="preserve"> </w:t>
          </w:r>
          <w:r w:rsidRPr="00260847">
            <w:rPr>
              <w:rFonts w:ascii="Arial" w:hAnsi="Arial" w:cs="Arial"/>
              <w:bCs/>
              <w:sz w:val="28"/>
            </w:rPr>
            <w:t>to</w:t>
          </w:r>
          <w:r>
            <w:rPr>
              <w:rFonts w:ascii="Arial" w:hAnsi="Arial" w:cs="Arial"/>
              <w:bCs/>
              <w:sz w:val="28"/>
            </w:rPr>
            <w:t xml:space="preserve"> </w:t>
          </w:r>
          <w:r w:rsidR="006521CE">
            <w:rPr>
              <w:rFonts w:ascii="Arial" w:hAnsi="Arial" w:cs="Arial"/>
              <w:bCs/>
              <w:sz w:val="28"/>
            </w:rPr>
            <w:t>Legal Affairs and Safety Committee</w:t>
          </w:r>
        </w:p>
      </w:sdtContent>
    </w:sdt>
    <w:p w14:paraId="3B348709" w14:textId="77777777" w:rsidR="00293C9F" w:rsidRDefault="00293C9F">
      <w:pPr>
        <w:rPr>
          <w:rFonts w:ascii="Arial" w:eastAsiaTheme="majorEastAsia" w:hAnsi="Arial" w:cstheme="majorBidi"/>
          <w:color w:val="004270"/>
          <w:sz w:val="48"/>
          <w:szCs w:val="32"/>
        </w:rPr>
      </w:pPr>
      <w:r>
        <w:br w:type="page"/>
      </w:r>
    </w:p>
    <w:p w14:paraId="578E1891" w14:textId="621BDCE4" w:rsidR="001131D8" w:rsidRPr="001131D8" w:rsidRDefault="001131D8" w:rsidP="00276D6C">
      <w:pPr>
        <w:pStyle w:val="Heading1"/>
      </w:pPr>
      <w:bookmarkStart w:id="0" w:name="_Toc124330882"/>
      <w:r w:rsidRPr="001131D8">
        <w:lastRenderedPageBreak/>
        <w:t>Table of Contents</w:t>
      </w:r>
      <w:bookmarkEnd w:id="0"/>
    </w:p>
    <w:p w14:paraId="10DE5779" w14:textId="033655AA" w:rsidR="00C8030E" w:rsidRDefault="001131D8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24330882" w:history="1">
        <w:r w:rsidR="00C8030E" w:rsidRPr="003711BC">
          <w:rPr>
            <w:rStyle w:val="Hyperlink"/>
            <w:noProof/>
          </w:rPr>
          <w:t>Table of Contents</w:t>
        </w:r>
        <w:r w:rsidR="00C8030E">
          <w:rPr>
            <w:noProof/>
            <w:webHidden/>
          </w:rPr>
          <w:tab/>
        </w:r>
        <w:r w:rsidR="00C8030E">
          <w:rPr>
            <w:noProof/>
            <w:webHidden/>
          </w:rPr>
          <w:fldChar w:fldCharType="begin"/>
        </w:r>
        <w:r w:rsidR="00C8030E">
          <w:rPr>
            <w:noProof/>
            <w:webHidden/>
          </w:rPr>
          <w:instrText xml:space="preserve"> PAGEREF _Toc124330882 \h </w:instrText>
        </w:r>
        <w:r w:rsidR="00C8030E">
          <w:rPr>
            <w:noProof/>
            <w:webHidden/>
          </w:rPr>
        </w:r>
        <w:r w:rsidR="00C8030E"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2</w:t>
        </w:r>
        <w:r w:rsidR="00C8030E">
          <w:rPr>
            <w:noProof/>
            <w:webHidden/>
          </w:rPr>
          <w:fldChar w:fldCharType="end"/>
        </w:r>
      </w:hyperlink>
    </w:p>
    <w:p w14:paraId="3CCE778D" w14:textId="704029A7" w:rsidR="00C8030E" w:rsidRDefault="00C8030E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83" w:history="1">
        <w:r w:rsidRPr="003711BC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CD37B5" w14:textId="2FFE5002" w:rsidR="00C8030E" w:rsidRDefault="00C8030E">
      <w:pPr>
        <w:pStyle w:val="TOC2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84" w:history="1">
        <w:r w:rsidRPr="003711BC">
          <w:rPr>
            <w:rStyle w:val="Hyperlink"/>
            <w:noProof/>
          </w:rPr>
          <w:t>Recommendations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DF12A3" w14:textId="7FCEE6ED" w:rsidR="00C8030E" w:rsidRDefault="00C8030E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85" w:history="1">
        <w:r w:rsidRPr="003711BC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DAE907" w14:textId="6101579E" w:rsidR="00C8030E" w:rsidRDefault="00C8030E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86" w:history="1">
        <w:r w:rsidRPr="003711BC">
          <w:rPr>
            <w:rStyle w:val="Hyperlink"/>
            <w:noProof/>
          </w:rPr>
          <w:t>Changing record of sex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2AAE72" w14:textId="78F732EB" w:rsidR="00C8030E" w:rsidRDefault="00C8030E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87" w:history="1">
        <w:r w:rsidRPr="003711BC">
          <w:rPr>
            <w:rStyle w:val="Hyperlink"/>
            <w:noProof/>
          </w:rPr>
          <w:t>Modern family and parenting structures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7343C0" w14:textId="68531E4B" w:rsidR="00C8030E" w:rsidRDefault="00C8030E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88" w:history="1">
        <w:r w:rsidRPr="003711BC">
          <w:rPr>
            <w:rStyle w:val="Hyperlink"/>
            <w:noProof/>
          </w:rPr>
          <w:t>Implementing discrimination reforms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FAEBCC" w14:textId="30EA8C6A" w:rsidR="00C8030E" w:rsidRDefault="00C8030E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89" w:history="1">
        <w:r w:rsidRPr="003711BC">
          <w:rPr>
            <w:rStyle w:val="Hyperlink"/>
            <w:noProof/>
          </w:rPr>
          <w:t>Effect of altering record of sex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34E326" w14:textId="3941F631" w:rsidR="00C8030E" w:rsidRDefault="00C8030E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90" w:history="1">
        <w:r w:rsidRPr="003711BC">
          <w:rPr>
            <w:rStyle w:val="Hyperlink"/>
            <w:noProof/>
          </w:rPr>
          <w:t>Approvals for ‘restricted persons’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FB142D" w14:textId="22267862" w:rsidR="00C8030E" w:rsidRDefault="00C8030E">
      <w:pPr>
        <w:pStyle w:val="TOC1"/>
        <w:rPr>
          <w:rFonts w:asciiTheme="minorHAnsi" w:hAnsiTheme="minorHAnsi"/>
          <w:noProof/>
          <w:sz w:val="22"/>
          <w:szCs w:val="22"/>
          <w:lang w:eastAsia="en-AU"/>
        </w:rPr>
      </w:pPr>
      <w:hyperlink w:anchor="_Toc124330891" w:history="1">
        <w:r w:rsidRPr="003711BC">
          <w:rPr>
            <w:rStyle w:val="Hyperlink"/>
            <w:noProof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_Toc124330891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5AA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ABCCC04" w14:textId="6E41E759" w:rsidR="00B34276" w:rsidRDefault="001131D8" w:rsidP="00E548A5">
      <w:pPr>
        <w:pStyle w:val="Heading1"/>
      </w:pPr>
      <w:r>
        <w:fldChar w:fldCharType="end"/>
      </w:r>
    </w:p>
    <w:p w14:paraId="4596E2E1" w14:textId="77777777" w:rsidR="00B34276" w:rsidRDefault="00B34276">
      <w:pPr>
        <w:rPr>
          <w:rFonts w:ascii="Arial" w:eastAsiaTheme="majorEastAsia" w:hAnsi="Arial" w:cstheme="majorBidi"/>
          <w:color w:val="004270"/>
          <w:sz w:val="48"/>
          <w:szCs w:val="32"/>
        </w:rPr>
      </w:pPr>
      <w:r>
        <w:br w:type="page"/>
      </w:r>
    </w:p>
    <w:p w14:paraId="24EBBF9D" w14:textId="17EBA147" w:rsidR="006C4AE9" w:rsidRPr="006C4AE9" w:rsidRDefault="006C4AE9" w:rsidP="00E548A5">
      <w:pPr>
        <w:pStyle w:val="Heading1"/>
      </w:pPr>
      <w:bookmarkStart w:id="1" w:name="_Toc124330883"/>
      <w:r w:rsidRPr="006C4AE9">
        <w:lastRenderedPageBreak/>
        <w:t>Summary</w:t>
      </w:r>
      <w:bookmarkEnd w:id="1"/>
    </w:p>
    <w:p w14:paraId="592ABDC3" w14:textId="3E5DF579" w:rsidR="00CA7430" w:rsidRDefault="00761291" w:rsidP="00052290">
      <w:pPr>
        <w:pStyle w:val="Numberedparagraph"/>
      </w:pPr>
      <w:r>
        <w:t xml:space="preserve">The </w:t>
      </w:r>
      <w:r w:rsidR="00093A57">
        <w:t xml:space="preserve">Queensland Human Rights </w:t>
      </w:r>
      <w:r>
        <w:t>Commission</w:t>
      </w:r>
      <w:r w:rsidR="00093A57">
        <w:t xml:space="preserve"> (the </w:t>
      </w:r>
      <w:r w:rsidR="00093A57" w:rsidRPr="00093A57">
        <w:rPr>
          <w:b/>
        </w:rPr>
        <w:t>Commission</w:t>
      </w:r>
      <w:r w:rsidR="00093A57">
        <w:t>)</w:t>
      </w:r>
      <w:r>
        <w:t xml:space="preserve"> </w:t>
      </w:r>
      <w:r w:rsidR="00CA7430">
        <w:t>supports</w:t>
      </w:r>
      <w:r>
        <w:t xml:space="preserve"> the passage of</w:t>
      </w:r>
      <w:r w:rsidR="00CA7430">
        <w:t xml:space="preserve"> </w:t>
      </w:r>
      <w:r w:rsidRPr="006C4AE9">
        <w:t xml:space="preserve">the </w:t>
      </w:r>
      <w:r w:rsidR="007101A7">
        <w:t xml:space="preserve">Births, </w:t>
      </w:r>
      <w:proofErr w:type="gramStart"/>
      <w:r w:rsidR="007101A7">
        <w:t>Deaths</w:t>
      </w:r>
      <w:proofErr w:type="gramEnd"/>
      <w:r w:rsidR="007101A7">
        <w:t xml:space="preserve"> and Marriages Registration Bill 2022</w:t>
      </w:r>
      <w:r w:rsidRPr="006C4AE9">
        <w:t xml:space="preserve"> (the </w:t>
      </w:r>
      <w:r w:rsidRPr="00093A57">
        <w:rPr>
          <w:b/>
        </w:rPr>
        <w:t>Bill</w:t>
      </w:r>
      <w:r w:rsidRPr="006C4AE9">
        <w:t>).</w:t>
      </w:r>
      <w:r w:rsidR="00052290" w:rsidRPr="00052290">
        <w:t xml:space="preserve"> </w:t>
      </w:r>
      <w:r w:rsidR="00DA76B2">
        <w:t xml:space="preserve">As noted in the Explanatory Notes, the </w:t>
      </w:r>
      <w:r w:rsidR="008F2D44">
        <w:t xml:space="preserve">government consulted with the </w:t>
      </w:r>
      <w:r w:rsidR="00DA76B2">
        <w:t xml:space="preserve">Commission </w:t>
      </w:r>
      <w:r w:rsidR="008F2D44">
        <w:t>in developing</w:t>
      </w:r>
      <w:r w:rsidR="00DA76B2">
        <w:t xml:space="preserve"> the Bill</w:t>
      </w:r>
      <w:r w:rsidR="00663718">
        <w:t xml:space="preserve"> and subordinate legislation</w:t>
      </w:r>
      <w:r w:rsidR="00DA76B2">
        <w:t>.</w:t>
      </w:r>
    </w:p>
    <w:p w14:paraId="22D2844E" w14:textId="29F8AFD0" w:rsidR="007101A7" w:rsidRDefault="007101A7" w:rsidP="00052290">
      <w:pPr>
        <w:pStyle w:val="Numberedparagraph"/>
      </w:pPr>
      <w:r>
        <w:t xml:space="preserve">The Bill delivers reforms </w:t>
      </w:r>
      <w:r w:rsidR="005E3BAB">
        <w:t xml:space="preserve">which are </w:t>
      </w:r>
      <w:r w:rsidR="001030C9">
        <w:t xml:space="preserve">essential </w:t>
      </w:r>
      <w:r>
        <w:t>to ensure the privacy</w:t>
      </w:r>
      <w:r w:rsidR="00CC03BC">
        <w:t>, freedom of expression,</w:t>
      </w:r>
      <w:r>
        <w:t xml:space="preserve"> and equality before the law of</w:t>
      </w:r>
      <w:r w:rsidR="00CC03BC">
        <w:t xml:space="preserve"> </w:t>
      </w:r>
      <w:r>
        <w:t xml:space="preserve">people accessing </w:t>
      </w:r>
      <w:r w:rsidR="000E39A5">
        <w:t>Queensland</w:t>
      </w:r>
      <w:r w:rsidR="00F145C0">
        <w:t>’s</w:t>
      </w:r>
      <w:r w:rsidR="000E39A5">
        <w:t xml:space="preserve"> </w:t>
      </w:r>
      <w:r>
        <w:t>birth registration syste</w:t>
      </w:r>
      <w:r w:rsidR="001F7759">
        <w:t>m, and in particular</w:t>
      </w:r>
      <w:r>
        <w:t>:</w:t>
      </w:r>
    </w:p>
    <w:p w14:paraId="71C4BE03" w14:textId="57CE9A01" w:rsidR="007101A7" w:rsidRDefault="007101A7" w:rsidP="00F145C0">
      <w:pPr>
        <w:pStyle w:val="Bulletedlist"/>
      </w:pPr>
      <w:r>
        <w:t>trans and gender diverse people</w:t>
      </w:r>
      <w:r w:rsidR="00E56627">
        <w:t>; and</w:t>
      </w:r>
    </w:p>
    <w:p w14:paraId="56DE1874" w14:textId="2BFFD441" w:rsidR="007101A7" w:rsidRDefault="007101A7" w:rsidP="00F145C0">
      <w:pPr>
        <w:pStyle w:val="Bulletedlist"/>
      </w:pPr>
      <w:r>
        <w:t xml:space="preserve">diverse families </w:t>
      </w:r>
      <w:r w:rsidR="00403F1F">
        <w:t>including</w:t>
      </w:r>
      <w:r>
        <w:t xml:space="preserve"> same-sex parent families.</w:t>
      </w:r>
    </w:p>
    <w:p w14:paraId="3DEE6D49" w14:textId="13C578C0" w:rsidR="004C73CA" w:rsidRDefault="004C73CA" w:rsidP="00052290">
      <w:pPr>
        <w:pStyle w:val="Numberedparagraph"/>
      </w:pPr>
      <w:r>
        <w:t xml:space="preserve">The Bill also implements </w:t>
      </w:r>
      <w:r w:rsidR="00091EEF">
        <w:t>aspects</w:t>
      </w:r>
      <w:r>
        <w:t xml:space="preserve"> of the Commission’s recent </w:t>
      </w:r>
      <w:r w:rsidRPr="001351EB">
        <w:rPr>
          <w:i/>
          <w:iCs/>
        </w:rPr>
        <w:t>Building Belonging</w:t>
      </w:r>
      <w:r w:rsidR="001351EB">
        <w:t xml:space="preserve"> </w:t>
      </w:r>
      <w:r w:rsidR="001351EB">
        <w:rPr>
          <w:i/>
          <w:iCs/>
        </w:rPr>
        <w:t>Report – Review of Queensland’s Anti-Discrimination Act 1991</w:t>
      </w:r>
      <w:r>
        <w:t xml:space="preserve"> </w:t>
      </w:r>
      <w:r w:rsidR="00372BCD">
        <w:t>(</w:t>
      </w:r>
      <w:r w:rsidR="00372BCD">
        <w:rPr>
          <w:i/>
          <w:iCs/>
        </w:rPr>
        <w:t xml:space="preserve">Building Belonging) </w:t>
      </w:r>
      <w:r>
        <w:t xml:space="preserve">by updating </w:t>
      </w:r>
      <w:r w:rsidR="00A32E91">
        <w:t>protected attributes</w:t>
      </w:r>
      <w:r w:rsidR="001351EB">
        <w:rPr>
          <w:rStyle w:val="FootnoteReference"/>
        </w:rPr>
        <w:footnoteReference w:id="2"/>
      </w:r>
      <w:r>
        <w:t xml:space="preserve"> and removing a redundant and offensive exemption</w:t>
      </w:r>
      <w:r w:rsidR="008C09EB">
        <w:t xml:space="preserve"> regarding working with children</w:t>
      </w:r>
      <w:r w:rsidR="00A32E91">
        <w:t xml:space="preserve"> in the </w:t>
      </w:r>
      <w:r w:rsidR="00A32E91">
        <w:rPr>
          <w:i/>
          <w:iCs/>
        </w:rPr>
        <w:t>Anti-Discrimination Act 1991</w:t>
      </w:r>
      <w:r>
        <w:t>.</w:t>
      </w:r>
      <w:r w:rsidR="008C09EB">
        <w:rPr>
          <w:rStyle w:val="FootnoteReference"/>
        </w:rPr>
        <w:footnoteReference w:id="3"/>
      </w:r>
    </w:p>
    <w:p w14:paraId="45C4D40D" w14:textId="071C2A7D" w:rsidR="00093A57" w:rsidRDefault="00093A57" w:rsidP="00093A57">
      <w:pPr>
        <w:pStyle w:val="Heading2"/>
      </w:pPr>
      <w:bookmarkStart w:id="2" w:name="_Toc124330884"/>
      <w:r>
        <w:t>Recommendations</w:t>
      </w:r>
      <w:bookmarkEnd w:id="2"/>
    </w:p>
    <w:p w14:paraId="5DE7CFFD" w14:textId="044F926C" w:rsidR="00052290" w:rsidRPr="00016B67" w:rsidRDefault="00625665" w:rsidP="000E39A5">
      <w:pPr>
        <w:pStyle w:val="Numberedparagraph"/>
      </w:pPr>
      <w:r>
        <w:t>T</w:t>
      </w:r>
      <w:r w:rsidR="00016B67">
        <w:t xml:space="preserve">he Commission </w:t>
      </w:r>
      <w:r w:rsidR="000C3824">
        <w:t>recommends that</w:t>
      </w:r>
      <w:r w:rsidR="00417B99">
        <w:t xml:space="preserve"> the Bill be passed subject to the following</w:t>
      </w:r>
      <w:r w:rsidR="00852E6A">
        <w:t xml:space="preserve"> recommendations</w:t>
      </w:r>
      <w:r w:rsidR="000C3824">
        <w:t>:</w:t>
      </w:r>
    </w:p>
    <w:p w14:paraId="50BBD85E" w14:textId="51999328" w:rsidR="004C73CA" w:rsidRPr="001801E0" w:rsidRDefault="001801E0" w:rsidP="004C73CA">
      <w:pPr>
        <w:pStyle w:val="Numberedparagraph"/>
        <w:numPr>
          <w:ilvl w:val="1"/>
          <w:numId w:val="13"/>
        </w:numPr>
      </w:pPr>
      <w:r w:rsidRPr="001801E0">
        <w:t>Following the passage of the Bill, a</w:t>
      </w:r>
      <w:r w:rsidR="00B72455">
        <w:t>n</w:t>
      </w:r>
      <w:r w:rsidR="007C395C" w:rsidRPr="001801E0">
        <w:t xml:space="preserve"> </w:t>
      </w:r>
      <w:r w:rsidRPr="001801E0">
        <w:t xml:space="preserve">audit </w:t>
      </w:r>
      <w:r w:rsidR="00A32E91">
        <w:t xml:space="preserve">of Queensland legislation </w:t>
      </w:r>
      <w:r w:rsidRPr="001801E0">
        <w:t xml:space="preserve">should be </w:t>
      </w:r>
      <w:r w:rsidR="002E654E">
        <w:t>completed</w:t>
      </w:r>
      <w:r w:rsidR="002E654E" w:rsidRPr="001801E0">
        <w:t xml:space="preserve"> </w:t>
      </w:r>
      <w:r w:rsidR="007C395C" w:rsidRPr="001801E0">
        <w:t xml:space="preserve">to </w:t>
      </w:r>
      <w:r w:rsidRPr="001801E0">
        <w:t xml:space="preserve">identify </w:t>
      </w:r>
      <w:r w:rsidR="00BC404B">
        <w:t>occurr</w:t>
      </w:r>
      <w:r w:rsidR="00373A77">
        <w:t>e</w:t>
      </w:r>
      <w:r w:rsidR="00BC404B">
        <w:t>nces</w:t>
      </w:r>
      <w:r w:rsidR="00F16FDF">
        <w:t xml:space="preserve"> of</w:t>
      </w:r>
      <w:r w:rsidR="002E654E" w:rsidRPr="001801E0">
        <w:t xml:space="preserve"> </w:t>
      </w:r>
      <w:r w:rsidR="007C395C" w:rsidRPr="001801E0">
        <w:t xml:space="preserve">the </w:t>
      </w:r>
      <w:proofErr w:type="gramStart"/>
      <w:r w:rsidR="007C395C" w:rsidRPr="001801E0">
        <w:t>terms</w:t>
      </w:r>
      <w:proofErr w:type="gramEnd"/>
      <w:r w:rsidR="007C395C" w:rsidRPr="001801E0">
        <w:t xml:space="preserve"> ‘sex’</w:t>
      </w:r>
      <w:r w:rsidR="00BC404B">
        <w:t>,</w:t>
      </w:r>
      <w:r w:rsidR="007C395C" w:rsidRPr="001801E0">
        <w:t xml:space="preserve"> ‘gender’</w:t>
      </w:r>
      <w:r w:rsidR="00BC404B">
        <w:t>,</w:t>
      </w:r>
      <w:r w:rsidR="007C395C" w:rsidRPr="001801E0">
        <w:t xml:space="preserve"> </w:t>
      </w:r>
      <w:r w:rsidRPr="001801E0">
        <w:t xml:space="preserve">and other gender-specific language such as ‘woman’, ‘man’, </w:t>
      </w:r>
      <w:r w:rsidR="00A32E91">
        <w:t>‘</w:t>
      </w:r>
      <w:r w:rsidRPr="001801E0">
        <w:t xml:space="preserve">sister’, </w:t>
      </w:r>
      <w:r w:rsidR="003F4112">
        <w:t xml:space="preserve">and </w:t>
      </w:r>
      <w:r w:rsidRPr="001801E0">
        <w:t xml:space="preserve">‘father’ </w:t>
      </w:r>
      <w:r w:rsidR="00A32E91">
        <w:t>to ensure equal recognition and treatment of trans, gender diverse and intersex people</w:t>
      </w:r>
      <w:r w:rsidR="00A25177">
        <w:t xml:space="preserve"> in all of Queensland’s laws</w:t>
      </w:r>
      <w:r w:rsidR="00A32E91">
        <w:t>.</w:t>
      </w:r>
    </w:p>
    <w:p w14:paraId="6FC82F42" w14:textId="3C8AEA06" w:rsidR="00517FF3" w:rsidRPr="00016B67" w:rsidRDefault="00E45B5C" w:rsidP="004C73CA">
      <w:pPr>
        <w:pStyle w:val="Numberedparagraph"/>
        <w:numPr>
          <w:ilvl w:val="1"/>
          <w:numId w:val="13"/>
        </w:numPr>
      </w:pPr>
      <w:r>
        <w:t xml:space="preserve">The Committee should seek clarification from Queensland Corrective Services </w:t>
      </w:r>
      <w:r w:rsidR="000A37CE">
        <w:t xml:space="preserve">(QCS) </w:t>
      </w:r>
      <w:r w:rsidR="00454315">
        <w:t xml:space="preserve">about </w:t>
      </w:r>
      <w:r w:rsidR="008A1EAF">
        <w:t>why</w:t>
      </w:r>
      <w:r w:rsidR="00454315">
        <w:t xml:space="preserve"> </w:t>
      </w:r>
      <w:r w:rsidR="003E3485">
        <w:t>the</w:t>
      </w:r>
      <w:r w:rsidR="008A1EAF">
        <w:t xml:space="preserve"> approval process for</w:t>
      </w:r>
      <w:r w:rsidR="003E3485">
        <w:t xml:space="preserve"> change of sex for</w:t>
      </w:r>
      <w:r w:rsidR="008A1EAF">
        <w:t xml:space="preserve"> ‘</w:t>
      </w:r>
      <w:r w:rsidR="00454315">
        <w:t>restricted persons</w:t>
      </w:r>
      <w:r w:rsidR="008A1EAF">
        <w:t>’</w:t>
      </w:r>
      <w:r w:rsidR="00454315">
        <w:t xml:space="preserve"> </w:t>
      </w:r>
      <w:r w:rsidR="003E3485">
        <w:t>is</w:t>
      </w:r>
      <w:r w:rsidR="00454315">
        <w:t xml:space="preserve"> necessary and justifiable</w:t>
      </w:r>
      <w:r w:rsidR="008A1EAF">
        <w:t>,</w:t>
      </w:r>
      <w:r w:rsidR="00454315">
        <w:t xml:space="preserve"> and how </w:t>
      </w:r>
      <w:r w:rsidR="003E3485">
        <w:t>these provisions</w:t>
      </w:r>
      <w:r w:rsidR="00454315">
        <w:t xml:space="preserve"> will work in practice. </w:t>
      </w:r>
    </w:p>
    <w:p w14:paraId="2AD2E927" w14:textId="77777777" w:rsidR="00093A57" w:rsidRPr="00E548A5" w:rsidRDefault="00093A57" w:rsidP="00E548A5">
      <w:pPr>
        <w:pStyle w:val="Heading1"/>
      </w:pPr>
      <w:bookmarkStart w:id="3" w:name="_Toc124330885"/>
      <w:r w:rsidRPr="00E548A5">
        <w:t>Introduction</w:t>
      </w:r>
      <w:bookmarkEnd w:id="3"/>
    </w:p>
    <w:p w14:paraId="50D7A53E" w14:textId="3EA865FD" w:rsidR="00093A57" w:rsidRDefault="00093A57" w:rsidP="00093A57">
      <w:pPr>
        <w:pStyle w:val="Numberedparagraph"/>
      </w:pPr>
      <w:r>
        <w:t xml:space="preserve">The Commission </w:t>
      </w:r>
      <w:r w:rsidRPr="00C35743">
        <w:t xml:space="preserve">is a statutory authority established under the </w:t>
      </w:r>
      <w:r>
        <w:t xml:space="preserve">Queensland </w:t>
      </w:r>
      <w:r w:rsidRPr="00C35743">
        <w:rPr>
          <w:i/>
        </w:rPr>
        <w:t>Anti-Discrimination Act 1991</w:t>
      </w:r>
      <w:r w:rsidR="00B45844">
        <w:rPr>
          <w:i/>
        </w:rPr>
        <w:t xml:space="preserve"> </w:t>
      </w:r>
      <w:r w:rsidR="00B45844">
        <w:t>(</w:t>
      </w:r>
      <w:r w:rsidR="00B45844" w:rsidRPr="003B0A61">
        <w:rPr>
          <w:b/>
        </w:rPr>
        <w:t>AD Act</w:t>
      </w:r>
      <w:r w:rsidR="00B45844">
        <w:t>)</w:t>
      </w:r>
      <w:r>
        <w:rPr>
          <w:i/>
        </w:rPr>
        <w:t>.</w:t>
      </w:r>
    </w:p>
    <w:p w14:paraId="7BEB0FE4" w14:textId="71AA192A" w:rsidR="00093A57" w:rsidRPr="00592493" w:rsidRDefault="00093A57" w:rsidP="00093A57">
      <w:pPr>
        <w:pStyle w:val="Numberedparagraph"/>
      </w:pPr>
      <w:r w:rsidRPr="00A97DE1">
        <w:lastRenderedPageBreak/>
        <w:t xml:space="preserve">The </w:t>
      </w:r>
      <w:r w:rsidRPr="00810D74">
        <w:t>Commission</w:t>
      </w:r>
      <w:r w:rsidRPr="00A97DE1">
        <w:t xml:space="preserve"> </w:t>
      </w:r>
      <w:r>
        <w:t xml:space="preserve">has functions under the </w:t>
      </w:r>
      <w:r w:rsidR="00B45844">
        <w:t xml:space="preserve">AD Act </w:t>
      </w:r>
      <w:r>
        <w:t xml:space="preserve">and the </w:t>
      </w:r>
      <w:r>
        <w:rPr>
          <w:i/>
        </w:rPr>
        <w:t>Human Rights Act 2019</w:t>
      </w:r>
      <w:r w:rsidR="00B45844">
        <w:rPr>
          <w:i/>
        </w:rPr>
        <w:t xml:space="preserve"> </w:t>
      </w:r>
      <w:r w:rsidR="00B45844">
        <w:t>(</w:t>
      </w:r>
      <w:r w:rsidR="00B45844" w:rsidRPr="003B0A61">
        <w:rPr>
          <w:b/>
        </w:rPr>
        <w:t>HR Act</w:t>
      </w:r>
      <w:r w:rsidR="00B45844">
        <w:t>)</w:t>
      </w:r>
      <w:r>
        <w:rPr>
          <w:i/>
        </w:rPr>
        <w:t xml:space="preserve"> </w:t>
      </w:r>
      <w:r>
        <w:t>to promote</w:t>
      </w:r>
      <w:r w:rsidRPr="00A97DE1">
        <w:t xml:space="preserve"> an understanding</w:t>
      </w:r>
      <w:r>
        <w:t xml:space="preserve"> </w:t>
      </w:r>
      <w:r w:rsidRPr="00A97DE1">
        <w:t>and public discussion of human rights in Queensla</w:t>
      </w:r>
      <w:r>
        <w:t xml:space="preserve">nd, and to provide information and education about human rights.  </w:t>
      </w:r>
    </w:p>
    <w:p w14:paraId="42CB0707" w14:textId="16DB0D48" w:rsidR="00093A57" w:rsidRDefault="00093A57" w:rsidP="00093A57">
      <w:pPr>
        <w:pStyle w:val="Numberedparagraph"/>
        <w:rPr>
          <w:lang w:eastAsia="en-AU"/>
        </w:rPr>
      </w:pPr>
      <w:r>
        <w:rPr>
          <w:color w:val="000000"/>
        </w:rPr>
        <w:t xml:space="preserve">The Commission deals with complaints of discrimination, </w:t>
      </w:r>
      <w:r w:rsidR="00A32E91">
        <w:rPr>
          <w:color w:val="000000"/>
        </w:rPr>
        <w:t>sexual harassment</w:t>
      </w:r>
      <w:r w:rsidR="003B3926">
        <w:rPr>
          <w:color w:val="000000"/>
        </w:rPr>
        <w:t>,</w:t>
      </w:r>
      <w:r w:rsidR="00A32E91">
        <w:rPr>
          <w:color w:val="000000"/>
        </w:rPr>
        <w:t xml:space="preserve"> </w:t>
      </w:r>
      <w:r>
        <w:rPr>
          <w:color w:val="000000"/>
        </w:rPr>
        <w:t>vilification</w:t>
      </w:r>
      <w:r w:rsidR="005725BE">
        <w:rPr>
          <w:color w:val="000000"/>
        </w:rPr>
        <w:t>,</w:t>
      </w:r>
      <w:r>
        <w:rPr>
          <w:color w:val="000000"/>
        </w:rPr>
        <w:t xml:space="preserve"> and other objectionable conduct under the </w:t>
      </w:r>
      <w:r w:rsidR="00B45844" w:rsidRPr="003B0A61">
        <w:t>AD Act</w:t>
      </w:r>
      <w:r w:rsidR="00E56627">
        <w:rPr>
          <w:i/>
        </w:rPr>
        <w:t xml:space="preserve">, </w:t>
      </w:r>
      <w:r w:rsidR="00E56627">
        <w:rPr>
          <w:iCs/>
        </w:rPr>
        <w:t xml:space="preserve">including </w:t>
      </w:r>
      <w:proofErr w:type="gramStart"/>
      <w:r w:rsidR="00E56627">
        <w:rPr>
          <w:iCs/>
        </w:rPr>
        <w:t>on the basis of</w:t>
      </w:r>
      <w:proofErr w:type="gramEnd"/>
      <w:r w:rsidR="00E56627">
        <w:rPr>
          <w:iCs/>
        </w:rPr>
        <w:t xml:space="preserve"> sexuality</w:t>
      </w:r>
      <w:r w:rsidR="004209D4">
        <w:rPr>
          <w:iCs/>
        </w:rPr>
        <w:t xml:space="preserve"> and </w:t>
      </w:r>
      <w:r w:rsidR="00E56627">
        <w:rPr>
          <w:iCs/>
        </w:rPr>
        <w:t xml:space="preserve">gender identity. The Commission </w:t>
      </w:r>
      <w:r w:rsidR="00BB3546">
        <w:rPr>
          <w:iCs/>
        </w:rPr>
        <w:t xml:space="preserve">also </w:t>
      </w:r>
      <w:r w:rsidR="00E56627">
        <w:rPr>
          <w:iCs/>
        </w:rPr>
        <w:t>deals with complaints made by prisoners, including trans and gender diverse prisoners.</w:t>
      </w:r>
    </w:p>
    <w:p w14:paraId="4095BDA5" w14:textId="2C4FCDB1" w:rsidR="006335BE" w:rsidRPr="00E548A5" w:rsidRDefault="00E548A5" w:rsidP="00E548A5">
      <w:pPr>
        <w:pStyle w:val="Heading1"/>
      </w:pPr>
      <w:bookmarkStart w:id="4" w:name="_Toc124330886"/>
      <w:r>
        <w:t>Changing record of sex</w:t>
      </w:r>
      <w:bookmarkEnd w:id="4"/>
    </w:p>
    <w:p w14:paraId="59509A68" w14:textId="4FE6DBD3" w:rsidR="004C73CA" w:rsidRDefault="001C158B" w:rsidP="004C73CA">
      <w:pPr>
        <w:pStyle w:val="Numberedparagraph"/>
      </w:pPr>
      <w:r>
        <w:t>Ensuring f</w:t>
      </w:r>
      <w:r w:rsidR="0035278F">
        <w:t xml:space="preserve">air and equitable access </w:t>
      </w:r>
      <w:r w:rsidR="00AA0FE5">
        <w:t xml:space="preserve">for transgender and gender-diverse people </w:t>
      </w:r>
      <w:r>
        <w:t xml:space="preserve">to </w:t>
      </w:r>
      <w:r w:rsidR="0035278F">
        <w:t xml:space="preserve">change </w:t>
      </w:r>
      <w:r w:rsidR="00AA0FE5">
        <w:t>their</w:t>
      </w:r>
      <w:r w:rsidR="0035278F">
        <w:t xml:space="preserve"> </w:t>
      </w:r>
      <w:r w:rsidR="009C4C89">
        <w:t xml:space="preserve">record of </w:t>
      </w:r>
      <w:r w:rsidR="0035278F">
        <w:t>sex</w:t>
      </w:r>
      <w:r w:rsidR="00EA0F64">
        <w:t xml:space="preserve"> </w:t>
      </w:r>
      <w:r w:rsidR="00A961E8">
        <w:t>upholds</w:t>
      </w:r>
      <w:r w:rsidR="00A95DAA">
        <w:t xml:space="preserve"> </w:t>
      </w:r>
      <w:r w:rsidR="006521A3">
        <w:t xml:space="preserve">rights protected by the HR Act </w:t>
      </w:r>
      <w:r w:rsidR="00A961E8">
        <w:t>–</w:t>
      </w:r>
      <w:r w:rsidR="00E257BF">
        <w:t xml:space="preserve"> </w:t>
      </w:r>
      <w:r w:rsidR="00A95DAA">
        <w:t>the right to recognition and equality and the right to privacy.</w:t>
      </w:r>
      <w:r w:rsidR="003D7B92">
        <w:rPr>
          <w:rStyle w:val="FootnoteReference"/>
        </w:rPr>
        <w:footnoteReference w:id="4"/>
      </w:r>
      <w:r w:rsidR="005D5653">
        <w:t xml:space="preserve"> As </w:t>
      </w:r>
      <w:r w:rsidR="00105D3C">
        <w:t xml:space="preserve">stipulated </w:t>
      </w:r>
      <w:r w:rsidR="00B96619">
        <w:t>by</w:t>
      </w:r>
      <w:r w:rsidR="005D5653">
        <w:t xml:space="preserve"> the </w:t>
      </w:r>
      <w:r w:rsidR="005D5653" w:rsidRPr="0029556C">
        <w:rPr>
          <w:i/>
          <w:iCs/>
        </w:rPr>
        <w:t>Yogyakarta Principles</w:t>
      </w:r>
      <w:r w:rsidR="00670176">
        <w:t>,</w:t>
      </w:r>
      <w:r w:rsidR="00BC47F1">
        <w:rPr>
          <w:rStyle w:val="FootnoteReference"/>
        </w:rPr>
        <w:footnoteReference w:id="5"/>
      </w:r>
      <w:r w:rsidR="005D5653">
        <w:t xml:space="preserve"> people of diverse gender identities </w:t>
      </w:r>
      <w:r w:rsidR="00670176">
        <w:t>should be</w:t>
      </w:r>
      <w:r w:rsidR="00A466D1">
        <w:t xml:space="preserve"> able to</w:t>
      </w:r>
      <w:r w:rsidR="005D5653">
        <w:t xml:space="preserve"> enjoy legal capacity in all aspects of life</w:t>
      </w:r>
      <w:r w:rsidR="00A466D1">
        <w:t xml:space="preserve"> without the need for surgery, hormone treatment</w:t>
      </w:r>
      <w:r w:rsidR="00585115">
        <w:t>,</w:t>
      </w:r>
      <w:r w:rsidR="00A466D1">
        <w:t xml:space="preserve"> or sterilisation as a prerequisite for legal recognition</w:t>
      </w:r>
      <w:r w:rsidR="005D5653">
        <w:t>.</w:t>
      </w:r>
      <w:r w:rsidR="005D5653">
        <w:rPr>
          <w:rStyle w:val="FootnoteReference"/>
        </w:rPr>
        <w:footnoteReference w:id="6"/>
      </w:r>
    </w:p>
    <w:p w14:paraId="08BB5C61" w14:textId="65EB9E94" w:rsidR="00D5373F" w:rsidRDefault="00F24263" w:rsidP="001C158B">
      <w:pPr>
        <w:pStyle w:val="Numberedparagraph"/>
      </w:pPr>
      <w:r>
        <w:t>F</w:t>
      </w:r>
      <w:r w:rsidR="003D7B92">
        <w:t>or the last decade</w:t>
      </w:r>
      <w:r>
        <w:t>,</w:t>
      </w:r>
      <w:r w:rsidR="003D7B92">
        <w:t xml:space="preserve"> </w:t>
      </w:r>
      <w:r>
        <w:t xml:space="preserve">the Commission has </w:t>
      </w:r>
      <w:r w:rsidR="003D7B92">
        <w:t>raised</w:t>
      </w:r>
      <w:r w:rsidR="0035278F">
        <w:t xml:space="preserve"> concerns about the </w:t>
      </w:r>
      <w:r w:rsidR="00393776">
        <w:t>existing</w:t>
      </w:r>
      <w:r w:rsidR="00E06D26">
        <w:t xml:space="preserve"> </w:t>
      </w:r>
      <w:r w:rsidR="007E151A">
        <w:t xml:space="preserve">unreasonable </w:t>
      </w:r>
      <w:r w:rsidR="0035278F">
        <w:t xml:space="preserve">requirement </w:t>
      </w:r>
      <w:r w:rsidR="003D7EBE">
        <w:t xml:space="preserve">for a person </w:t>
      </w:r>
      <w:r w:rsidR="0035278F">
        <w:t xml:space="preserve">to undergo ‘sexual reassignment’ </w:t>
      </w:r>
      <w:r w:rsidR="00E06D26">
        <w:t>surgery</w:t>
      </w:r>
      <w:r w:rsidR="0035278F">
        <w:t xml:space="preserve"> to change </w:t>
      </w:r>
      <w:r w:rsidR="0053227E">
        <w:t>the</w:t>
      </w:r>
      <w:r w:rsidR="0035278F">
        <w:t xml:space="preserve"> </w:t>
      </w:r>
      <w:r w:rsidR="00C05BBE">
        <w:t xml:space="preserve">sex on their </w:t>
      </w:r>
      <w:r w:rsidR="0035278F">
        <w:t>birth certificate.</w:t>
      </w:r>
      <w:r w:rsidR="003D7B92">
        <w:rPr>
          <w:rStyle w:val="FootnoteReference"/>
        </w:rPr>
        <w:footnoteReference w:id="7"/>
      </w:r>
      <w:r w:rsidR="0035278F">
        <w:t xml:space="preserve"> </w:t>
      </w:r>
      <w:r w:rsidR="00C05BBE">
        <w:t>Firstly, surgery</w:t>
      </w:r>
      <w:r w:rsidR="00670176">
        <w:t xml:space="preserve"> or other medical interventions</w:t>
      </w:r>
      <w:r w:rsidR="00CB124B">
        <w:t>,</w:t>
      </w:r>
      <w:r w:rsidR="00670176">
        <w:t xml:space="preserve"> such as hormone </w:t>
      </w:r>
      <w:r w:rsidR="008968ED">
        <w:t>therapy</w:t>
      </w:r>
      <w:r w:rsidR="00E86DB2">
        <w:t>,</w:t>
      </w:r>
      <w:r w:rsidR="00C05BBE">
        <w:t xml:space="preserve"> </w:t>
      </w:r>
      <w:r w:rsidR="006A5CF4">
        <w:t>may</w:t>
      </w:r>
      <w:r w:rsidR="00C05BBE">
        <w:t xml:space="preserve"> not </w:t>
      </w:r>
      <w:r w:rsidR="00737CB5">
        <w:t xml:space="preserve">be </w:t>
      </w:r>
      <w:r w:rsidR="008E696C">
        <w:t>desirable</w:t>
      </w:r>
      <w:r w:rsidR="00C05BBE">
        <w:t xml:space="preserve"> </w:t>
      </w:r>
      <w:r w:rsidR="00CB124B">
        <w:t xml:space="preserve">for </w:t>
      </w:r>
      <w:r w:rsidR="00C05BBE">
        <w:t>or accessible to all trans and gender</w:t>
      </w:r>
      <w:r w:rsidR="00E86DB2">
        <w:t>-</w:t>
      </w:r>
      <w:r w:rsidR="00C05BBE">
        <w:t>diverse people. Secondly, this</w:t>
      </w:r>
      <w:r w:rsidR="00BF54A0">
        <w:t xml:space="preserve"> medicalised</w:t>
      </w:r>
      <w:r w:rsidR="0035278F">
        <w:t xml:space="preserve"> approach is </w:t>
      </w:r>
      <w:r w:rsidR="00DE7B24">
        <w:t xml:space="preserve">inconsistent </w:t>
      </w:r>
      <w:r w:rsidR="0035278F">
        <w:t>with the AD Act which recognises self-identification of gender through the current definition of gender identity</w:t>
      </w:r>
      <w:r w:rsidR="00C05BBE">
        <w:t>.</w:t>
      </w:r>
      <w:r w:rsidR="00AD6702">
        <w:rPr>
          <w:rStyle w:val="FootnoteReference"/>
        </w:rPr>
        <w:footnoteReference w:id="8"/>
      </w:r>
      <w:r w:rsidR="00C05BBE">
        <w:t xml:space="preserve"> Thirdly, </w:t>
      </w:r>
      <w:r w:rsidR="00CB124B">
        <w:t xml:space="preserve">it may be questioned </w:t>
      </w:r>
      <w:r w:rsidR="00C05BBE">
        <w:t>whether the law as it stands is</w:t>
      </w:r>
      <w:r w:rsidR="0035278F">
        <w:t xml:space="preserve"> compatib</w:t>
      </w:r>
      <w:r w:rsidR="00C05BBE">
        <w:t>le</w:t>
      </w:r>
      <w:r w:rsidR="0035278F">
        <w:t xml:space="preserve"> with the HR Act</w:t>
      </w:r>
      <w:r w:rsidR="00D8662A">
        <w:t>,</w:t>
      </w:r>
      <w:r w:rsidR="0035278F">
        <w:t xml:space="preserve"> </w:t>
      </w:r>
      <w:r w:rsidR="00C05BBE">
        <w:t xml:space="preserve">which protects the right to recognition and equality before the law and the right to privacy, </w:t>
      </w:r>
      <w:r w:rsidR="00E06D26">
        <w:t>including the right to</w:t>
      </w:r>
      <w:r w:rsidR="00C05BBE">
        <w:t xml:space="preserve"> bodily </w:t>
      </w:r>
      <w:r w:rsidR="00D5373F">
        <w:t>integrity and autonomy</w:t>
      </w:r>
      <w:r w:rsidR="00CB124B">
        <w:t>.</w:t>
      </w:r>
    </w:p>
    <w:p w14:paraId="4290E2BC" w14:textId="255CABBC" w:rsidR="001B18CD" w:rsidRDefault="001B18CD" w:rsidP="001B18CD">
      <w:pPr>
        <w:pStyle w:val="Numberedparagraph"/>
      </w:pPr>
      <w:r>
        <w:lastRenderedPageBreak/>
        <w:t xml:space="preserve">Providing new legal processes to alter the record of sex </w:t>
      </w:r>
      <w:r w:rsidR="0037129A">
        <w:t>for</w:t>
      </w:r>
      <w:r>
        <w:t xml:space="preserve"> children</w:t>
      </w:r>
      <w:r w:rsidR="0037129A">
        <w:t xml:space="preserve"> and young people</w:t>
      </w:r>
      <w:r w:rsidR="00E0143D">
        <w:t xml:space="preserve"> –</w:t>
      </w:r>
      <w:r w:rsidR="009B194B">
        <w:t xml:space="preserve"> </w:t>
      </w:r>
      <w:r>
        <w:t xml:space="preserve">where previously there were limited options for this occur </w:t>
      </w:r>
      <w:r w:rsidR="00E0143D">
        <w:t xml:space="preserve">– </w:t>
      </w:r>
      <w:r>
        <w:t xml:space="preserve">promotes the </w:t>
      </w:r>
      <w:r w:rsidR="006E590A">
        <w:t>right</w:t>
      </w:r>
      <w:r>
        <w:t xml:space="preserve"> </w:t>
      </w:r>
      <w:r w:rsidR="006E590A">
        <w:t>to</w:t>
      </w:r>
      <w:r>
        <w:t xml:space="preserve"> equality</w:t>
      </w:r>
      <w:r w:rsidR="000B2ABF">
        <w:t xml:space="preserve"> and</w:t>
      </w:r>
      <w:r w:rsidR="00D54EFB">
        <w:t xml:space="preserve"> privacy,</w:t>
      </w:r>
      <w:r>
        <w:t xml:space="preserve"> and the </w:t>
      </w:r>
      <w:r w:rsidR="006E590A">
        <w:t xml:space="preserve">child’s </w:t>
      </w:r>
      <w:r>
        <w:t xml:space="preserve">right to </w:t>
      </w:r>
      <w:r w:rsidR="006E590A">
        <w:t>special protection</w:t>
      </w:r>
      <w:r>
        <w:t xml:space="preserve">, without discrimination, </w:t>
      </w:r>
      <w:r w:rsidR="00CD0ADF">
        <w:t xml:space="preserve">that is needed by the child and is </w:t>
      </w:r>
      <w:r>
        <w:t>in the child’s best interest.</w:t>
      </w:r>
      <w:r w:rsidR="00AD6702">
        <w:rPr>
          <w:rStyle w:val="FootnoteReference"/>
        </w:rPr>
        <w:footnoteReference w:id="9"/>
      </w:r>
      <w:r w:rsidR="008E696C">
        <w:t xml:space="preserve"> </w:t>
      </w:r>
    </w:p>
    <w:p w14:paraId="6E2CD9E2" w14:textId="32C25989" w:rsidR="00D36E33" w:rsidRDefault="00D36E33" w:rsidP="001B18CD">
      <w:pPr>
        <w:pStyle w:val="Numberedparagraph"/>
      </w:pPr>
      <w:r>
        <w:t>The benefits of the</w:t>
      </w:r>
      <w:r w:rsidR="00E06D26">
        <w:t>se</w:t>
      </w:r>
      <w:r>
        <w:t xml:space="preserve"> reforms </w:t>
      </w:r>
      <w:r w:rsidR="00CD0ADF">
        <w:t xml:space="preserve">will be felt </w:t>
      </w:r>
      <w:r w:rsidR="00786989">
        <w:t>at both a systemic and</w:t>
      </w:r>
      <w:r>
        <w:t xml:space="preserve"> individual level</w:t>
      </w:r>
      <w:r w:rsidR="00F95E63">
        <w:t xml:space="preserve"> by</w:t>
      </w:r>
      <w:r>
        <w:t>:</w:t>
      </w:r>
    </w:p>
    <w:p w14:paraId="1CC739E7" w14:textId="624DEB0B" w:rsidR="00D36E33" w:rsidRDefault="00F95E63" w:rsidP="00D36E33">
      <w:pPr>
        <w:pStyle w:val="Numberedparagraph"/>
        <w:numPr>
          <w:ilvl w:val="1"/>
          <w:numId w:val="13"/>
        </w:numPr>
      </w:pPr>
      <w:r>
        <w:t>e</w:t>
      </w:r>
      <w:r w:rsidR="00D36E33">
        <w:t>nsuring that the birth regist</w:t>
      </w:r>
      <w:r w:rsidR="0071149B">
        <w:t>er</w:t>
      </w:r>
      <w:r w:rsidR="00D36E33">
        <w:t xml:space="preserve"> contains information </w:t>
      </w:r>
      <w:r>
        <w:t xml:space="preserve">that </w:t>
      </w:r>
      <w:r w:rsidR="00D36E33">
        <w:t>is as accurate and complete as possible; and</w:t>
      </w:r>
    </w:p>
    <w:p w14:paraId="04111F53" w14:textId="57C391F2" w:rsidR="00D36E33" w:rsidRPr="00EA0F64" w:rsidRDefault="00F95E63" w:rsidP="00D36E33">
      <w:pPr>
        <w:pStyle w:val="Numberedparagraph"/>
        <w:numPr>
          <w:ilvl w:val="1"/>
          <w:numId w:val="13"/>
        </w:numPr>
      </w:pPr>
      <w:r>
        <w:t>e</w:t>
      </w:r>
      <w:r w:rsidR="00D36E33">
        <w:t xml:space="preserve">nsuring a person can engage </w:t>
      </w:r>
      <w:r w:rsidR="00CB124B">
        <w:t xml:space="preserve">with </w:t>
      </w:r>
      <w:r w:rsidR="00D36E33">
        <w:t xml:space="preserve">society in a way that limits </w:t>
      </w:r>
      <w:r w:rsidR="0024209F">
        <w:t xml:space="preserve">exposure to </w:t>
      </w:r>
      <w:r w:rsidR="00D36E33">
        <w:t xml:space="preserve">stigma and </w:t>
      </w:r>
      <w:r w:rsidR="00E06D26">
        <w:t>discrimination and</w:t>
      </w:r>
      <w:r w:rsidR="00D54EFB">
        <w:t xml:space="preserve"> improve</w:t>
      </w:r>
      <w:r w:rsidR="00D71AC5">
        <w:t>s their</w:t>
      </w:r>
      <w:r w:rsidR="00D54EFB">
        <w:t xml:space="preserve"> participation </w:t>
      </w:r>
      <w:r w:rsidR="00D71AC5">
        <w:t xml:space="preserve">in areas of public </w:t>
      </w:r>
      <w:r w:rsidR="005C0564">
        <w:t>life</w:t>
      </w:r>
      <w:r w:rsidR="00D71AC5">
        <w:t xml:space="preserve"> including </w:t>
      </w:r>
      <w:r w:rsidR="00D54EFB">
        <w:t>work and education</w:t>
      </w:r>
      <w:r w:rsidR="00D36E33">
        <w:t>.</w:t>
      </w:r>
    </w:p>
    <w:p w14:paraId="0E8A99C6" w14:textId="7BBA9552" w:rsidR="00D5373F" w:rsidRDefault="00D5373F" w:rsidP="004C73CA">
      <w:pPr>
        <w:pStyle w:val="Numberedparagraph"/>
      </w:pPr>
      <w:r>
        <w:t xml:space="preserve">The reforms </w:t>
      </w:r>
      <w:r w:rsidR="009B194B">
        <w:t xml:space="preserve">to birth registration legislation </w:t>
      </w:r>
      <w:r>
        <w:t xml:space="preserve">proposed by the Bill </w:t>
      </w:r>
      <w:r w:rsidR="0071149B">
        <w:t>will</w:t>
      </w:r>
      <w:r>
        <w:t xml:space="preserve"> modernise the law, align Queensland’s laws</w:t>
      </w:r>
      <w:r w:rsidR="008968ED">
        <w:t xml:space="preserve"> with</w:t>
      </w:r>
      <w:r>
        <w:t xml:space="preserve"> </w:t>
      </w:r>
      <w:r w:rsidR="00763202">
        <w:t>most</w:t>
      </w:r>
      <w:r>
        <w:t xml:space="preserve"> Australian jurisdictions</w:t>
      </w:r>
      <w:r w:rsidR="00763202">
        <w:t>,</w:t>
      </w:r>
      <w:r>
        <w:t xml:space="preserve"> and address potential human rights incompatibility</w:t>
      </w:r>
      <w:r w:rsidR="00BA611D">
        <w:t xml:space="preserve"> in the current </w:t>
      </w:r>
      <w:r w:rsidR="0010663F">
        <w:t>legislation</w:t>
      </w:r>
      <w:r>
        <w:t>.</w:t>
      </w:r>
    </w:p>
    <w:p w14:paraId="1A5306A0" w14:textId="140B92D1" w:rsidR="001C158B" w:rsidRDefault="001C158B" w:rsidP="001C158B">
      <w:pPr>
        <w:pStyle w:val="Heading1"/>
      </w:pPr>
      <w:bookmarkStart w:id="5" w:name="_Toc124330887"/>
      <w:r>
        <w:t>Modern family and parenting structures</w:t>
      </w:r>
      <w:bookmarkEnd w:id="5"/>
    </w:p>
    <w:p w14:paraId="636E44EC" w14:textId="0BE37080" w:rsidR="001E0909" w:rsidRDefault="00942D56" w:rsidP="006E590A">
      <w:pPr>
        <w:pStyle w:val="Numberedparagraph"/>
      </w:pPr>
      <w:r>
        <w:t>Ensuring</w:t>
      </w:r>
      <w:r w:rsidR="00EA0F64">
        <w:t xml:space="preserve"> that</w:t>
      </w:r>
      <w:r w:rsidR="006E590A">
        <w:t xml:space="preserve"> parents </w:t>
      </w:r>
      <w:r w:rsidR="00CB124B">
        <w:t xml:space="preserve">recorded </w:t>
      </w:r>
      <w:r w:rsidR="006E590A">
        <w:t xml:space="preserve">on a child’s birth certificate can be registered as </w:t>
      </w:r>
      <w:r w:rsidR="00BB6341">
        <w:t>‘</w:t>
      </w:r>
      <w:r w:rsidR="006E590A">
        <w:t>mother</w:t>
      </w:r>
      <w:r w:rsidR="00BB6341">
        <w:t>’</w:t>
      </w:r>
      <w:r w:rsidR="006E590A">
        <w:t xml:space="preserve">, </w:t>
      </w:r>
      <w:r w:rsidR="00BB6341">
        <w:t>‘</w:t>
      </w:r>
      <w:r w:rsidR="006E590A">
        <w:t>father</w:t>
      </w:r>
      <w:r w:rsidR="00BB6341">
        <w:t>’</w:t>
      </w:r>
      <w:r w:rsidR="00CB124B">
        <w:t>,</w:t>
      </w:r>
      <w:r w:rsidR="006E590A">
        <w:t xml:space="preserve"> or </w:t>
      </w:r>
      <w:r w:rsidR="00BB6341">
        <w:t>‘</w:t>
      </w:r>
      <w:r w:rsidR="006E590A">
        <w:t>parent</w:t>
      </w:r>
      <w:r w:rsidR="00BB6341">
        <w:t>’</w:t>
      </w:r>
      <w:r w:rsidR="006E590A">
        <w:t xml:space="preserve"> promotes the </w:t>
      </w:r>
      <w:r w:rsidR="001E0909">
        <w:t>right to protection of families</w:t>
      </w:r>
      <w:r w:rsidR="006E590A">
        <w:t xml:space="preserve"> </w:t>
      </w:r>
      <w:r w:rsidR="00BF23FE">
        <w:t>as a fundamental unit in society</w:t>
      </w:r>
      <w:r w:rsidR="00F43941">
        <w:t>.</w:t>
      </w:r>
      <w:r w:rsidR="00F43941">
        <w:rPr>
          <w:rStyle w:val="FootnoteReference"/>
        </w:rPr>
        <w:footnoteReference w:id="10"/>
      </w:r>
      <w:r w:rsidR="006E590A">
        <w:t xml:space="preserve"> </w:t>
      </w:r>
    </w:p>
    <w:p w14:paraId="7D5811C1" w14:textId="6AFB01B3" w:rsidR="00B66347" w:rsidRDefault="001B0C26" w:rsidP="006E590A">
      <w:pPr>
        <w:pStyle w:val="Numberedparagraph"/>
      </w:pPr>
      <w:r>
        <w:t>Currently</w:t>
      </w:r>
      <w:r w:rsidR="005202A4">
        <w:t xml:space="preserve">, only one parent </w:t>
      </w:r>
      <w:r w:rsidR="00CD7CE9">
        <w:t>may</w:t>
      </w:r>
      <w:r w:rsidR="005202A4">
        <w:t xml:space="preserve"> be listed as mother or father, which </w:t>
      </w:r>
      <w:r w:rsidR="00CD7CE9">
        <w:t>does</w:t>
      </w:r>
      <w:r w:rsidR="005202A4">
        <w:t xml:space="preserve"> not reflect the diversity of</w:t>
      </w:r>
      <w:r w:rsidR="00CD7CE9">
        <w:t xml:space="preserve"> contemporary</w:t>
      </w:r>
      <w:r w:rsidR="005202A4">
        <w:t xml:space="preserve"> parenting arrangements</w:t>
      </w:r>
      <w:r w:rsidR="00FD0928">
        <w:t>,</w:t>
      </w:r>
      <w:r w:rsidR="005202A4">
        <w:t xml:space="preserve"> including </w:t>
      </w:r>
      <w:proofErr w:type="gramStart"/>
      <w:r w:rsidR="00897DE9">
        <w:t>same</w:t>
      </w:r>
      <w:r w:rsidR="00393776">
        <w:t>-</w:t>
      </w:r>
      <w:r w:rsidR="00897DE9">
        <w:t>sex</w:t>
      </w:r>
      <w:proofErr w:type="gramEnd"/>
      <w:r w:rsidR="005202A4">
        <w:t xml:space="preserve"> </w:t>
      </w:r>
      <w:r w:rsidR="00E06D26">
        <w:t>parented families</w:t>
      </w:r>
      <w:r w:rsidR="005202A4">
        <w:t>.</w:t>
      </w:r>
      <w:r w:rsidR="00AE7DC1">
        <w:t xml:space="preserve"> </w:t>
      </w:r>
      <w:r w:rsidR="001E0909">
        <w:t>The current</w:t>
      </w:r>
      <w:r w:rsidR="00AE7DC1">
        <w:t xml:space="preserve"> </w:t>
      </w:r>
      <w:r w:rsidR="001E0909">
        <w:t xml:space="preserve">definition of </w:t>
      </w:r>
      <w:r w:rsidR="00476A5D">
        <w:t>‘</w:t>
      </w:r>
      <w:r w:rsidR="001E0909">
        <w:t>birth</w:t>
      </w:r>
      <w:r w:rsidR="00476A5D">
        <w:t xml:space="preserve">’ </w:t>
      </w:r>
      <w:r w:rsidR="001E0909">
        <w:t>also means that</w:t>
      </w:r>
      <w:r w:rsidR="00AE7DC1">
        <w:t xml:space="preserve"> those who do not identify as a ‘mother’, including trans or gender </w:t>
      </w:r>
      <w:r w:rsidR="00AD37A2">
        <w:t xml:space="preserve">diverse </w:t>
      </w:r>
      <w:r w:rsidR="00AE7DC1">
        <w:t>birth parents</w:t>
      </w:r>
      <w:r w:rsidR="00992815">
        <w:t>,</w:t>
      </w:r>
      <w:r w:rsidR="001E0909">
        <w:t xml:space="preserve"> </w:t>
      </w:r>
      <w:r w:rsidR="00AE7DC1">
        <w:t xml:space="preserve">must be registered </w:t>
      </w:r>
      <w:r w:rsidR="000E1170">
        <w:t>in a role that does not match their identity or the way in which they present in the community</w:t>
      </w:r>
      <w:r w:rsidR="00B66347">
        <w:t>.</w:t>
      </w:r>
      <w:r w:rsidR="00476A5D">
        <w:rPr>
          <w:rStyle w:val="FootnoteReference"/>
        </w:rPr>
        <w:footnoteReference w:id="11"/>
      </w:r>
      <w:r w:rsidR="00B66347">
        <w:t xml:space="preserve"> </w:t>
      </w:r>
    </w:p>
    <w:p w14:paraId="7B89651C" w14:textId="4B1207C0" w:rsidR="00A02C61" w:rsidRDefault="00A02C61" w:rsidP="00A02C61">
      <w:pPr>
        <w:pStyle w:val="Numberedparagraph"/>
      </w:pPr>
      <w:r>
        <w:t xml:space="preserve">International human rights law </w:t>
      </w:r>
      <w:r w:rsidR="00720D29">
        <w:t>take</w:t>
      </w:r>
      <w:r w:rsidR="002715DA">
        <w:t>s</w:t>
      </w:r>
      <w:r w:rsidR="00720D29">
        <w:t xml:space="preserve"> a </w:t>
      </w:r>
      <w:r>
        <w:t>broad interpret</w:t>
      </w:r>
      <w:r w:rsidR="00720D29">
        <w:t>ation</w:t>
      </w:r>
      <w:r>
        <w:t xml:space="preserve"> </w:t>
      </w:r>
      <w:r w:rsidR="00720D29">
        <w:t xml:space="preserve">of </w:t>
      </w:r>
      <w:r>
        <w:t>what family and caring relationships include,</w:t>
      </w:r>
      <w:r w:rsidRPr="00890E80">
        <w:rPr>
          <w:rStyle w:val="FootnoteReference"/>
        </w:rPr>
        <w:t xml:space="preserve"> </w:t>
      </w:r>
      <w:r>
        <w:rPr>
          <w:rStyle w:val="FootnoteReference"/>
        </w:rPr>
        <w:footnoteReference w:id="12"/>
      </w:r>
      <w:r>
        <w:t xml:space="preserve"> extending </w:t>
      </w:r>
      <w:r w:rsidR="002715DA">
        <w:t>the</w:t>
      </w:r>
      <w:r>
        <w:t xml:space="preserve"> meaning beyond a </w:t>
      </w:r>
      <w:r>
        <w:lastRenderedPageBreak/>
        <w:t>traditional family unit based on biological connections or marriage.</w:t>
      </w:r>
      <w:r>
        <w:rPr>
          <w:rStyle w:val="FootnoteReference"/>
          <w:color w:val="000000" w:themeColor="text1"/>
        </w:rPr>
        <w:footnoteReference w:id="13"/>
      </w:r>
      <w:r>
        <w:t xml:space="preserve"> The Explanatory Notes to the Human Rights Bill 2018 state that ‘family’ is understood broadly and would extend to different cultural understandings of</w:t>
      </w:r>
      <w:r w:rsidR="00C8051B">
        <w:t xml:space="preserve"> ‘family’</w:t>
      </w:r>
      <w:r>
        <w:t>.</w:t>
      </w:r>
      <w:r w:rsidRPr="007A1A12">
        <w:rPr>
          <w:rStyle w:val="FootnoteReference"/>
        </w:rPr>
        <w:footnoteReference w:id="14"/>
      </w:r>
    </w:p>
    <w:p w14:paraId="7E1445C8" w14:textId="378BD1A3" w:rsidR="00B66347" w:rsidRDefault="00A02C61" w:rsidP="006E590A">
      <w:pPr>
        <w:pStyle w:val="Numberedparagraph"/>
      </w:pPr>
      <w:r>
        <w:t xml:space="preserve">The </w:t>
      </w:r>
      <w:r w:rsidR="00B66347">
        <w:t>approach in the Bill provides better recognition of all kinds of families</w:t>
      </w:r>
      <w:r>
        <w:t xml:space="preserve"> in line with Queensland’s human rights obligations</w:t>
      </w:r>
      <w:r w:rsidR="00B66347">
        <w:t>.</w:t>
      </w:r>
    </w:p>
    <w:p w14:paraId="09F61A35" w14:textId="40ADAD54" w:rsidR="00215BD7" w:rsidRDefault="00215BD7" w:rsidP="00C8030E">
      <w:pPr>
        <w:pStyle w:val="Heading1"/>
      </w:pPr>
      <w:bookmarkStart w:id="6" w:name="_Toc124330888"/>
      <w:r>
        <w:t>Implementing discrimination reforms</w:t>
      </w:r>
      <w:bookmarkEnd w:id="6"/>
    </w:p>
    <w:p w14:paraId="4B106FE3" w14:textId="68151831" w:rsidR="00352864" w:rsidRDefault="00352864" w:rsidP="00393776">
      <w:pPr>
        <w:pStyle w:val="Numberedparagraph"/>
        <w:keepNext/>
        <w:keepLines/>
        <w:widowControl w:val="0"/>
      </w:pPr>
      <w:r>
        <w:t xml:space="preserve">The Commission commends the government </w:t>
      </w:r>
      <w:r w:rsidR="002715DA">
        <w:t xml:space="preserve">for </w:t>
      </w:r>
      <w:r>
        <w:t>moving quickly to implement some of the recommendations in</w:t>
      </w:r>
      <w:r w:rsidR="00CE2C5E">
        <w:t xml:space="preserve"> the</w:t>
      </w:r>
      <w:r>
        <w:t xml:space="preserve"> </w:t>
      </w:r>
      <w:r>
        <w:rPr>
          <w:i/>
          <w:iCs/>
        </w:rPr>
        <w:t>Building Belonging</w:t>
      </w:r>
      <w:r>
        <w:t xml:space="preserve"> report</w:t>
      </w:r>
      <w:r w:rsidR="00CE2C5E">
        <w:t xml:space="preserve"> that relate to gender</w:t>
      </w:r>
      <w:r w:rsidR="00720D29">
        <w:t>-</w:t>
      </w:r>
      <w:r w:rsidR="00CE2C5E">
        <w:t>diverse and intersex people.</w:t>
      </w:r>
    </w:p>
    <w:p w14:paraId="61DF5484" w14:textId="6F625C7B" w:rsidR="008B319E" w:rsidRDefault="00F07C9B" w:rsidP="008B319E">
      <w:pPr>
        <w:pStyle w:val="Numberedparagraph"/>
      </w:pPr>
      <w:r>
        <w:t xml:space="preserve">The Commission’s </w:t>
      </w:r>
      <w:r w:rsidRPr="00F07C9B">
        <w:rPr>
          <w:i/>
          <w:iCs/>
        </w:rPr>
        <w:t>Building Belonging</w:t>
      </w:r>
      <w:r>
        <w:t xml:space="preserve"> report recommended changes to </w:t>
      </w:r>
      <w:r w:rsidR="00C30C9F">
        <w:t xml:space="preserve">attributes in </w:t>
      </w:r>
      <w:r>
        <w:t xml:space="preserve">the </w:t>
      </w:r>
      <w:r w:rsidR="00CC0DFF">
        <w:t>AD Act</w:t>
      </w:r>
      <w:r>
        <w:t xml:space="preserve"> to ensure all people who experience discrimination </w:t>
      </w:r>
      <w:proofErr w:type="gramStart"/>
      <w:r w:rsidR="00BA4C2F">
        <w:t>on the basis of</w:t>
      </w:r>
      <w:proofErr w:type="gramEnd"/>
      <w:r w:rsidR="00BA4C2F">
        <w:t xml:space="preserve"> their gender identity or sex characteristics </w:t>
      </w:r>
      <w:r>
        <w:t xml:space="preserve">are covered by the law. </w:t>
      </w:r>
      <w:r w:rsidR="002715DA">
        <w:t>T</w:t>
      </w:r>
      <w:r w:rsidR="00BA4C2F">
        <w:t>he</w:t>
      </w:r>
      <w:r>
        <w:t xml:space="preserve"> Commission recommended protecting the additional attribute of ‘sex characteristics’</w:t>
      </w:r>
      <w:r w:rsidR="004E48D2">
        <w:rPr>
          <w:rStyle w:val="FootnoteReference"/>
        </w:rPr>
        <w:footnoteReference w:id="15"/>
      </w:r>
      <w:r>
        <w:t xml:space="preserve"> and updating the definition of ‘gender identity’</w:t>
      </w:r>
      <w:r w:rsidR="004E48D2">
        <w:rPr>
          <w:rStyle w:val="FootnoteReference"/>
        </w:rPr>
        <w:footnoteReference w:id="16"/>
      </w:r>
      <w:r>
        <w:t xml:space="preserve"> to ensure </w:t>
      </w:r>
      <w:r w:rsidR="009A1148">
        <w:t xml:space="preserve">comprehensive </w:t>
      </w:r>
      <w:r>
        <w:t xml:space="preserve">coverage </w:t>
      </w:r>
      <w:r w:rsidR="00755039">
        <w:t>for</w:t>
      </w:r>
      <w:r>
        <w:t xml:space="preserve"> gender diversity</w:t>
      </w:r>
      <w:r w:rsidR="00BA4C2F">
        <w:t xml:space="preserve"> and expression,</w:t>
      </w:r>
      <w:r>
        <w:t xml:space="preserve"> and to align the definition with the </w:t>
      </w:r>
      <w:r>
        <w:rPr>
          <w:i/>
          <w:iCs/>
        </w:rPr>
        <w:t xml:space="preserve">Public Health Act 2005 </w:t>
      </w:r>
      <w:r w:rsidR="00755039">
        <w:t xml:space="preserve">(Qld) </w:t>
      </w:r>
      <w:r>
        <w:t>definition.</w:t>
      </w:r>
      <w:r>
        <w:rPr>
          <w:rStyle w:val="FootnoteReference"/>
        </w:rPr>
        <w:footnoteReference w:id="17"/>
      </w:r>
    </w:p>
    <w:p w14:paraId="2876678F" w14:textId="25966188" w:rsidR="00C30C9F" w:rsidRDefault="005823F6" w:rsidP="008B319E">
      <w:pPr>
        <w:pStyle w:val="Numberedparagraph"/>
      </w:pPr>
      <w:r>
        <w:rPr>
          <w:i/>
          <w:iCs/>
        </w:rPr>
        <w:t xml:space="preserve">Building </w:t>
      </w:r>
      <w:r w:rsidR="00C30C9F">
        <w:rPr>
          <w:i/>
          <w:iCs/>
        </w:rPr>
        <w:t xml:space="preserve">Belonging </w:t>
      </w:r>
      <w:r w:rsidR="00C30C9F">
        <w:t xml:space="preserve">also </w:t>
      </w:r>
      <w:r w:rsidR="000138A2">
        <w:t>recommended the removal of the existing ‘work with children’ exemption</w:t>
      </w:r>
      <w:r w:rsidR="00074746">
        <w:t xml:space="preserve">. </w:t>
      </w:r>
      <w:r w:rsidR="001E4FF7">
        <w:t>This</w:t>
      </w:r>
      <w:r w:rsidR="00074746">
        <w:t xml:space="preserve"> exemption is not</w:t>
      </w:r>
      <w:r w:rsidR="000138A2">
        <w:t xml:space="preserve"> necessary or justifiable because of the existing mechanism of the blue card system</w:t>
      </w:r>
      <w:r w:rsidR="00BA4C2F">
        <w:t xml:space="preserve">, </w:t>
      </w:r>
      <w:r w:rsidR="000138A2">
        <w:t xml:space="preserve">and </w:t>
      </w:r>
      <w:r w:rsidR="00074746">
        <w:t>the implication</w:t>
      </w:r>
      <w:r w:rsidR="000138A2">
        <w:t xml:space="preserve"> that people </w:t>
      </w:r>
      <w:r w:rsidR="0022389A">
        <w:t xml:space="preserve">in their role as employees </w:t>
      </w:r>
      <w:r w:rsidR="000138A2">
        <w:t xml:space="preserve">are a risk to children </w:t>
      </w:r>
      <w:r w:rsidR="009F05C6">
        <w:t xml:space="preserve">simply </w:t>
      </w:r>
      <w:r w:rsidR="000138A2">
        <w:t>because of their protected attributes is offensive and stigmatising.</w:t>
      </w:r>
      <w:r w:rsidR="00254FAE">
        <w:rPr>
          <w:rStyle w:val="FootnoteReference"/>
        </w:rPr>
        <w:footnoteReference w:id="18"/>
      </w:r>
    </w:p>
    <w:p w14:paraId="39EE0EBC" w14:textId="6C36EE7E" w:rsidR="005823F6" w:rsidRDefault="005823F6" w:rsidP="00C8030E">
      <w:pPr>
        <w:pStyle w:val="Heading1"/>
      </w:pPr>
      <w:bookmarkStart w:id="7" w:name="_Toc124330889"/>
      <w:r>
        <w:t>Effect of altering record of sex</w:t>
      </w:r>
      <w:bookmarkEnd w:id="7"/>
    </w:p>
    <w:p w14:paraId="6FD9AA6E" w14:textId="3ABA6801" w:rsidR="00530239" w:rsidRDefault="005823F6" w:rsidP="007C395C">
      <w:pPr>
        <w:pStyle w:val="Numberedparagraph"/>
      </w:pPr>
      <w:r>
        <w:t xml:space="preserve">In principle, the Commission supports the provisions in the Bill which mean that once a person’s </w:t>
      </w:r>
      <w:r w:rsidR="000578B0">
        <w:t xml:space="preserve">record of </w:t>
      </w:r>
      <w:r>
        <w:t xml:space="preserve">sex is altered, the person </w:t>
      </w:r>
      <w:r w:rsidR="00517FF3">
        <w:t xml:space="preserve">is </w:t>
      </w:r>
      <w:r>
        <w:t xml:space="preserve">thereafter a person of the sex as altered </w:t>
      </w:r>
      <w:r w:rsidR="000D37D1">
        <w:t xml:space="preserve">in the register </w:t>
      </w:r>
      <w:r>
        <w:t>for the purposes of state laws</w:t>
      </w:r>
      <w:r w:rsidR="00054199">
        <w:t xml:space="preserve"> (</w:t>
      </w:r>
      <w:r w:rsidR="00054199" w:rsidRPr="00AD37A2">
        <w:rPr>
          <w:b/>
          <w:bCs/>
          <w:i/>
          <w:iCs/>
        </w:rPr>
        <w:t>effect provisions</w:t>
      </w:r>
      <w:r w:rsidR="00054199">
        <w:t>)</w:t>
      </w:r>
      <w:r>
        <w:t>.</w:t>
      </w:r>
      <w:r w:rsidR="00F54D78">
        <w:rPr>
          <w:rStyle w:val="FootnoteReference"/>
        </w:rPr>
        <w:footnoteReference w:id="19"/>
      </w:r>
      <w:r w:rsidR="009A7C1F">
        <w:t xml:space="preserve"> </w:t>
      </w:r>
    </w:p>
    <w:p w14:paraId="777107AA" w14:textId="0A0E3854" w:rsidR="007C395C" w:rsidRDefault="007C395C" w:rsidP="007C395C">
      <w:pPr>
        <w:pStyle w:val="Numberedparagraph"/>
      </w:pPr>
      <w:r>
        <w:lastRenderedPageBreak/>
        <w:t xml:space="preserve">The </w:t>
      </w:r>
      <w:r w:rsidR="00B35138">
        <w:t>Explanatory Notes</w:t>
      </w:r>
      <w:r>
        <w:t xml:space="preserve"> confirm that </w:t>
      </w:r>
      <w:r w:rsidR="000D37D1">
        <w:t>for the purpose of Queensland laws</w:t>
      </w:r>
      <w:r>
        <w:t xml:space="preserve"> trans or gender diverse people will </w:t>
      </w:r>
      <w:r w:rsidR="00FF7B94">
        <w:t xml:space="preserve">generally </w:t>
      </w:r>
      <w:r>
        <w:t>be treated in accordance with their registered sex, providing two examples under electoral and photo identification laws</w:t>
      </w:r>
      <w:r w:rsidR="00940EA2">
        <w:t>.</w:t>
      </w:r>
      <w:r w:rsidR="00FC62F2">
        <w:rPr>
          <w:rStyle w:val="FootnoteReference"/>
        </w:rPr>
        <w:footnoteReference w:id="20"/>
      </w:r>
      <w:r>
        <w:t xml:space="preserve"> However, the notes further state that the </w:t>
      </w:r>
      <w:r w:rsidRPr="00C34549">
        <w:rPr>
          <w:i/>
          <w:iCs/>
        </w:rPr>
        <w:t>effect provisions</w:t>
      </w:r>
      <w:r>
        <w:t xml:space="preserve"> are intended to be applied in a way that takes into account an </w:t>
      </w:r>
      <w:r w:rsidR="00661314">
        <w:t>‘</w:t>
      </w:r>
      <w:r>
        <w:t>express contrary intent</w:t>
      </w:r>
      <w:r w:rsidR="00661314">
        <w:t>’</w:t>
      </w:r>
      <w:r>
        <w:t xml:space="preserve"> in other legislation, so that the Births, Deaths and </w:t>
      </w:r>
      <w:r w:rsidRPr="00B35138">
        <w:t>Marriages Registration Act can be read alongside other legislation</w:t>
      </w:r>
      <w:r w:rsidR="0022389A">
        <w:t>,</w:t>
      </w:r>
      <w:r w:rsidRPr="00B35138">
        <w:t xml:space="preserve"> </w:t>
      </w:r>
      <w:r w:rsidRPr="00BB585A">
        <w:t>whether enacted before or after the Bill</w:t>
      </w:r>
      <w:r w:rsidRPr="00B35138">
        <w:t>.</w:t>
      </w:r>
      <w:r w:rsidRPr="00B35138">
        <w:rPr>
          <w:rStyle w:val="FootnoteReference"/>
        </w:rPr>
        <w:footnoteReference w:id="21"/>
      </w:r>
      <w:r w:rsidR="006B2F41">
        <w:rPr>
          <w:rStyle w:val="CommentReference"/>
          <w:rFonts w:asciiTheme="minorHAnsi" w:hAnsiTheme="minorHAnsi" w:cstheme="minorBidi"/>
        </w:rPr>
        <w:t xml:space="preserve"> </w:t>
      </w:r>
      <w:r w:rsidR="00530239">
        <w:t xml:space="preserve"> In the absence of a thorough audit of legislation to identify </w:t>
      </w:r>
      <w:r w:rsidR="0057391D">
        <w:t>the</w:t>
      </w:r>
      <w:r w:rsidR="00BB585A">
        <w:t xml:space="preserve"> contexts</w:t>
      </w:r>
      <w:r w:rsidR="00530239">
        <w:t xml:space="preserve"> </w:t>
      </w:r>
      <w:r w:rsidR="0057391D">
        <w:t xml:space="preserve">in which </w:t>
      </w:r>
      <w:r w:rsidR="00530239">
        <w:t xml:space="preserve">the term ‘sex’ </w:t>
      </w:r>
      <w:r w:rsidR="00BB585A">
        <w:t>and other gendered language appear</w:t>
      </w:r>
      <w:r w:rsidR="0057391D">
        <w:t>s</w:t>
      </w:r>
      <w:r w:rsidR="00530239">
        <w:t xml:space="preserve">, the </w:t>
      </w:r>
      <w:r w:rsidR="00C01B03">
        <w:t>consequences</w:t>
      </w:r>
      <w:r w:rsidR="00530239">
        <w:t xml:space="preserve"> of this </w:t>
      </w:r>
      <w:r w:rsidR="0022389A">
        <w:t>are</w:t>
      </w:r>
      <w:r w:rsidR="00530239">
        <w:t xml:space="preserve"> unclear.</w:t>
      </w:r>
    </w:p>
    <w:p w14:paraId="208F146F" w14:textId="1ED5728D" w:rsidR="00F93EB6" w:rsidRDefault="007C395C" w:rsidP="00BB585A">
      <w:pPr>
        <w:pStyle w:val="Numberedparagraph"/>
      </w:pPr>
      <w:r>
        <w:t xml:space="preserve">The Commission is </w:t>
      </w:r>
      <w:r w:rsidR="00C01B03">
        <w:t>unsure of</w:t>
      </w:r>
      <w:r>
        <w:t xml:space="preserve"> the </w:t>
      </w:r>
      <w:r w:rsidR="00A81469">
        <w:t xml:space="preserve">intended </w:t>
      </w:r>
      <w:r>
        <w:t>meaning of the example provided in the Explanatory Notes regarding ‘anatomical capacity’</w:t>
      </w:r>
      <w:r w:rsidR="006D7CB1">
        <w:t>.</w:t>
      </w:r>
      <w:r>
        <w:rPr>
          <w:rStyle w:val="FootnoteReference"/>
        </w:rPr>
        <w:footnoteReference w:id="22"/>
      </w:r>
      <w:r w:rsidR="00BB585A">
        <w:t xml:space="preserve"> </w:t>
      </w:r>
      <w:r w:rsidR="00F93EB6">
        <w:t>The Commission anticipates situations where it could be beneficial to trans and gender diverse people to have flexible interpretations of other legislation which contain</w:t>
      </w:r>
      <w:r w:rsidR="00A81469">
        <w:t>s</w:t>
      </w:r>
      <w:r w:rsidR="00F93EB6">
        <w:t xml:space="preserve"> gender</w:t>
      </w:r>
      <w:r w:rsidR="00BB585A">
        <w:t>ed</w:t>
      </w:r>
      <w:r w:rsidR="00F93EB6">
        <w:t xml:space="preserve"> terms. </w:t>
      </w:r>
      <w:r w:rsidR="00B35138">
        <w:t xml:space="preserve">For </w:t>
      </w:r>
      <w:r w:rsidR="0028112C">
        <w:t>example, a</w:t>
      </w:r>
      <w:r w:rsidR="00B35138">
        <w:t xml:space="preserve"> trans or gender diverse person </w:t>
      </w:r>
      <w:r w:rsidR="00A81469">
        <w:t xml:space="preserve">may </w:t>
      </w:r>
      <w:r w:rsidR="00B35138">
        <w:t>ha</w:t>
      </w:r>
      <w:r w:rsidR="00A81469">
        <w:t>ve</w:t>
      </w:r>
      <w:r w:rsidR="00B35138">
        <w:t xml:space="preserve"> the capacity to carry and birth a child for the purposes of surrogacy</w:t>
      </w:r>
      <w:r w:rsidR="005F5EE2">
        <w:t xml:space="preserve"> or</w:t>
      </w:r>
      <w:r w:rsidR="00B35138">
        <w:t xml:space="preserve"> </w:t>
      </w:r>
      <w:r w:rsidR="0000523C">
        <w:t xml:space="preserve">to </w:t>
      </w:r>
      <w:r w:rsidR="00B35138">
        <w:t>terminat</w:t>
      </w:r>
      <w:r w:rsidR="0000523C">
        <w:t>e</w:t>
      </w:r>
      <w:r w:rsidR="00B35138">
        <w:t xml:space="preserve"> </w:t>
      </w:r>
      <w:r w:rsidR="0000523C">
        <w:t>a</w:t>
      </w:r>
      <w:r w:rsidR="00B35138">
        <w:t xml:space="preserve"> pregnancy </w:t>
      </w:r>
      <w:r w:rsidR="0000523C">
        <w:t xml:space="preserve">under relevant </w:t>
      </w:r>
      <w:r w:rsidR="00B35138">
        <w:t>laws</w:t>
      </w:r>
      <w:r w:rsidR="00F93EB6">
        <w:t>.</w:t>
      </w:r>
      <w:r w:rsidR="004B70AD">
        <w:rPr>
          <w:rStyle w:val="FootnoteReference"/>
        </w:rPr>
        <w:footnoteReference w:id="23"/>
      </w:r>
      <w:r w:rsidR="00F93EB6">
        <w:t xml:space="preserve"> However, the provisions and notes as currently drafted could lead to interpretations that are </w:t>
      </w:r>
      <w:r w:rsidR="00C01256">
        <w:t>adverse</w:t>
      </w:r>
      <w:r w:rsidR="00F93EB6">
        <w:t xml:space="preserve"> </w:t>
      </w:r>
      <w:r w:rsidR="00C01256">
        <w:t>for</w:t>
      </w:r>
      <w:r w:rsidR="00F93EB6">
        <w:t xml:space="preserve"> trans and gender diverse people</w:t>
      </w:r>
      <w:r w:rsidR="00BB585A">
        <w:t xml:space="preserve">, for example in relation to search powers in </w:t>
      </w:r>
      <w:r w:rsidR="0000523C">
        <w:t>correctional settings</w:t>
      </w:r>
      <w:r w:rsidR="00BB585A">
        <w:t xml:space="preserve"> and policing legislation</w:t>
      </w:r>
      <w:r w:rsidR="006D7CB1">
        <w:t>.</w:t>
      </w:r>
    </w:p>
    <w:p w14:paraId="5EDCE8B2" w14:textId="67F6DDEB" w:rsidR="00F93EB6" w:rsidRDefault="006D7CB1" w:rsidP="007C395C">
      <w:pPr>
        <w:pStyle w:val="Numberedparagraph"/>
      </w:pPr>
      <w:r>
        <w:t xml:space="preserve">It may be beneficial to </w:t>
      </w:r>
      <w:r w:rsidR="00840E9B">
        <w:t xml:space="preserve">expand </w:t>
      </w:r>
      <w:r>
        <w:t xml:space="preserve">the Explanatory Notes to provide examples of legislation where an express contrary intention may override the Births, Deaths, and Marriages Registration Act, </w:t>
      </w:r>
      <w:r w:rsidR="00BB585A">
        <w:t>and to</w:t>
      </w:r>
      <w:r>
        <w:t xml:space="preserve"> clarify that the legislation is intended to be interpreted in a beneficial way consistent with the High Court’s decision in </w:t>
      </w:r>
      <w:r w:rsidRPr="00BB585A">
        <w:rPr>
          <w:i/>
          <w:iCs/>
        </w:rPr>
        <w:t>AB v WA</w:t>
      </w:r>
      <w:r>
        <w:t>.</w:t>
      </w:r>
      <w:r>
        <w:rPr>
          <w:rStyle w:val="FootnoteReference"/>
        </w:rPr>
        <w:footnoteReference w:id="24"/>
      </w:r>
    </w:p>
    <w:p w14:paraId="6CA7CCC3" w14:textId="0C499C57" w:rsidR="00AC0E98" w:rsidRDefault="00F95A6B" w:rsidP="00AC0E98">
      <w:pPr>
        <w:pStyle w:val="Numberedparagraph"/>
      </w:pPr>
      <w:r>
        <w:t>The wording of the</w:t>
      </w:r>
      <w:r w:rsidR="00AC0E98">
        <w:t xml:space="preserve"> </w:t>
      </w:r>
      <w:r w:rsidR="00AC0E98" w:rsidRPr="00AD37A2">
        <w:rPr>
          <w:i/>
          <w:iCs/>
        </w:rPr>
        <w:t>effect provisions</w:t>
      </w:r>
      <w:r w:rsidR="00AC0E98">
        <w:t xml:space="preserve"> </w:t>
      </w:r>
      <w:r w:rsidR="00840E9B">
        <w:t xml:space="preserve">appears </w:t>
      </w:r>
      <w:r w:rsidR="00AC0E98">
        <w:t xml:space="preserve">to be based on </w:t>
      </w:r>
      <w:r w:rsidR="00095948">
        <w:t xml:space="preserve">the equivalent </w:t>
      </w:r>
      <w:r w:rsidR="00AC0E98">
        <w:t xml:space="preserve">Tasmanian </w:t>
      </w:r>
      <w:r w:rsidR="00095948">
        <w:t>Act that was</w:t>
      </w:r>
      <w:r w:rsidR="00840E9B">
        <w:t xml:space="preserve"> updated in 2019</w:t>
      </w:r>
      <w:r w:rsidR="00AC0E98">
        <w:t>.</w:t>
      </w:r>
      <w:r w:rsidR="00AC0E98">
        <w:rPr>
          <w:rStyle w:val="FootnoteReference"/>
        </w:rPr>
        <w:footnoteReference w:id="25"/>
      </w:r>
      <w:r w:rsidR="00AC0E98">
        <w:t xml:space="preserve"> </w:t>
      </w:r>
      <w:r w:rsidR="00095948">
        <w:t xml:space="preserve">Further </w:t>
      </w:r>
      <w:r w:rsidR="00AC0E98">
        <w:t>reforms to ensure the recent changes are functional and achieve the objective of reducing discrimination and trauma of intersex and gender</w:t>
      </w:r>
      <w:r w:rsidR="00095948">
        <w:t>-</w:t>
      </w:r>
      <w:r w:rsidR="00AC0E98">
        <w:t>diverse Tasmanians have been recommended by the Tasmanian Law Reform Institute</w:t>
      </w:r>
      <w:r w:rsidR="00097D3B">
        <w:t xml:space="preserve"> (TLRI)</w:t>
      </w:r>
      <w:r>
        <w:t xml:space="preserve">. </w:t>
      </w:r>
      <w:r w:rsidR="00515021">
        <w:t>A comprehensive review by the TLRI led to</w:t>
      </w:r>
      <w:r>
        <w:t xml:space="preserve"> recommendations</w:t>
      </w:r>
      <w:r w:rsidR="00AC0E98">
        <w:t xml:space="preserve"> </w:t>
      </w:r>
      <w:r w:rsidR="00515021">
        <w:t>spanning</w:t>
      </w:r>
      <w:r w:rsidR="00AC0E98">
        <w:t xml:space="preserve"> </w:t>
      </w:r>
      <w:r w:rsidR="00097D3B">
        <w:t xml:space="preserve">several </w:t>
      </w:r>
      <w:r w:rsidR="00515021">
        <w:t>areas</w:t>
      </w:r>
      <w:r w:rsidR="00AC0E98">
        <w:t xml:space="preserve"> including law enforcement, health and safety, adoption, mental health</w:t>
      </w:r>
      <w:r w:rsidR="00095948">
        <w:t>,</w:t>
      </w:r>
      <w:r w:rsidR="00AC0E98">
        <w:t xml:space="preserve"> and corrections.</w:t>
      </w:r>
      <w:r w:rsidR="00AC0E98">
        <w:rPr>
          <w:rStyle w:val="FootnoteReference"/>
        </w:rPr>
        <w:footnoteReference w:id="26"/>
      </w:r>
      <w:r w:rsidR="00AC0E98">
        <w:t xml:space="preserve"> The </w:t>
      </w:r>
      <w:r w:rsidR="00AC0E98">
        <w:lastRenderedPageBreak/>
        <w:t>Commission considers it may be necessary to take the same</w:t>
      </w:r>
      <w:r>
        <w:t xml:space="preserve"> methodical</w:t>
      </w:r>
      <w:r w:rsidR="00AC0E98">
        <w:t xml:space="preserve"> approach in </w:t>
      </w:r>
      <w:r w:rsidR="00B84E62">
        <w:t>Queensland and</w:t>
      </w:r>
      <w:r w:rsidR="000D652E">
        <w:t xml:space="preserve"> </w:t>
      </w:r>
      <w:r>
        <w:t xml:space="preserve">make </w:t>
      </w:r>
      <w:r w:rsidR="000D652E">
        <w:t>required amendments</w:t>
      </w:r>
      <w:r>
        <w:t xml:space="preserve"> to other legislation once the Bill has passed</w:t>
      </w:r>
      <w:r w:rsidR="00AC0E98">
        <w:t xml:space="preserve">. </w:t>
      </w:r>
    </w:p>
    <w:p w14:paraId="0E211A11" w14:textId="5B8C5501" w:rsidR="00476A5D" w:rsidRDefault="00476A5D" w:rsidP="00C8030E">
      <w:pPr>
        <w:pStyle w:val="Heading1"/>
      </w:pPr>
      <w:bookmarkStart w:id="8" w:name="_Toc124330890"/>
      <w:r>
        <w:t>Approvals for ‘restricted persons’</w:t>
      </w:r>
      <w:bookmarkEnd w:id="8"/>
    </w:p>
    <w:p w14:paraId="1A8D08B0" w14:textId="4E748A37" w:rsidR="00D5650B" w:rsidRDefault="0087716F" w:rsidP="00476A5D">
      <w:pPr>
        <w:pStyle w:val="Numberedparagraph"/>
      </w:pPr>
      <w:r>
        <w:t>To protect the safety and welfare of people in custody, community safety</w:t>
      </w:r>
      <w:r w:rsidR="000D652E">
        <w:t>,</w:t>
      </w:r>
      <w:r>
        <w:t xml:space="preserve"> and </w:t>
      </w:r>
      <w:r w:rsidR="000D652E">
        <w:t xml:space="preserve">the </w:t>
      </w:r>
      <w:r>
        <w:t>good order and security of prisons, t</w:t>
      </w:r>
      <w:r w:rsidR="00476A5D">
        <w:t xml:space="preserve">he Bill amends the </w:t>
      </w:r>
      <w:r w:rsidR="00476A5D">
        <w:rPr>
          <w:i/>
          <w:iCs/>
        </w:rPr>
        <w:t xml:space="preserve">Corrective Services Act 2006 </w:t>
      </w:r>
      <w:r w:rsidR="00476A5D">
        <w:t xml:space="preserve">(CS Act) and the </w:t>
      </w:r>
      <w:r w:rsidR="00476A5D">
        <w:rPr>
          <w:i/>
          <w:iCs/>
        </w:rPr>
        <w:t>Dangerous Prisoners (Sexual Offenders) Act 2003</w:t>
      </w:r>
      <w:r w:rsidR="00476A5D">
        <w:t xml:space="preserve"> (DPSO Act) to introduce a requirement for people in custody of the </w:t>
      </w:r>
      <w:r w:rsidR="000D652E">
        <w:t>S</w:t>
      </w:r>
      <w:r w:rsidR="00476A5D">
        <w:t xml:space="preserve">tate to make an application to change their sex. </w:t>
      </w:r>
      <w:r>
        <w:t xml:space="preserve">Approval </w:t>
      </w:r>
      <w:r w:rsidR="00D5650B">
        <w:t>process</w:t>
      </w:r>
      <w:r>
        <w:t xml:space="preserve">es </w:t>
      </w:r>
      <w:r w:rsidR="00D5650B">
        <w:t xml:space="preserve">already </w:t>
      </w:r>
      <w:r w:rsidR="00E63245">
        <w:t>apply</w:t>
      </w:r>
      <w:r>
        <w:t xml:space="preserve"> when</w:t>
      </w:r>
      <w:r w:rsidR="00D5650B">
        <w:t xml:space="preserve"> </w:t>
      </w:r>
      <w:r w:rsidR="0095564D">
        <w:t xml:space="preserve">prisoners </w:t>
      </w:r>
      <w:r w:rsidR="00FC613F">
        <w:t xml:space="preserve">wish to </w:t>
      </w:r>
      <w:r w:rsidR="00D5650B">
        <w:t>register a change of name</w:t>
      </w:r>
      <w:r w:rsidR="003A5A74">
        <w:t>,</w:t>
      </w:r>
      <w:r w:rsidR="00014D55">
        <w:rPr>
          <w:rStyle w:val="FootnoteReference"/>
        </w:rPr>
        <w:footnoteReference w:id="27"/>
      </w:r>
      <w:r w:rsidR="003A5A74">
        <w:t xml:space="preserve"> an intention to marry</w:t>
      </w:r>
      <w:r w:rsidR="00FC613F">
        <w:t>,</w:t>
      </w:r>
      <w:r w:rsidR="003A5A74">
        <w:t xml:space="preserve"> or enter a civil partnership</w:t>
      </w:r>
      <w:r w:rsidR="00685FFA">
        <w:t xml:space="preserve">. </w:t>
      </w:r>
    </w:p>
    <w:p w14:paraId="15B14CC6" w14:textId="2BFDDF71" w:rsidR="00476A5D" w:rsidRDefault="00476A5D" w:rsidP="00476A5D">
      <w:pPr>
        <w:pStyle w:val="Numberedparagraph"/>
      </w:pPr>
      <w:r>
        <w:t>As noted in the Statement of Compatibility, th</w:t>
      </w:r>
      <w:r w:rsidR="003C2B07">
        <w:t>e</w:t>
      </w:r>
      <w:r>
        <w:t xml:space="preserve"> additional process</w:t>
      </w:r>
      <w:r w:rsidR="005868C4">
        <w:t xml:space="preserve"> </w:t>
      </w:r>
      <w:r w:rsidR="00FC613F">
        <w:t xml:space="preserve">required </w:t>
      </w:r>
      <w:r w:rsidR="005868C4">
        <w:t>to register a change of sex</w:t>
      </w:r>
      <w:r>
        <w:t xml:space="preserve"> is indirectly discriminatory </w:t>
      </w:r>
      <w:r w:rsidR="00021659">
        <w:t>because</w:t>
      </w:r>
      <w:r>
        <w:t xml:space="preserve"> sex and gender identity </w:t>
      </w:r>
      <w:r w:rsidR="00021659">
        <w:t>are</w:t>
      </w:r>
      <w:r>
        <w:t xml:space="preserve"> protected attributes under the AD Act</w:t>
      </w:r>
      <w:r w:rsidR="00021659">
        <w:t xml:space="preserve">. </w:t>
      </w:r>
      <w:r w:rsidR="00FC613F">
        <w:t xml:space="preserve">It </w:t>
      </w:r>
      <w:r w:rsidR="00021659">
        <w:t>also limits</w:t>
      </w:r>
      <w:r>
        <w:t xml:space="preserve"> the right to equality before the law under the HR Act.</w:t>
      </w:r>
      <w:r w:rsidR="00D5650B">
        <w:rPr>
          <w:rStyle w:val="FootnoteReference"/>
        </w:rPr>
        <w:footnoteReference w:id="28"/>
      </w:r>
    </w:p>
    <w:p w14:paraId="7760F6B3" w14:textId="71217CBD" w:rsidR="00097D3B" w:rsidRDefault="00786989" w:rsidP="00097D3B">
      <w:pPr>
        <w:pStyle w:val="Numberedparagraph"/>
      </w:pPr>
      <w:r>
        <w:t xml:space="preserve">The Statement of Compatibility indicates that prisoners </w:t>
      </w:r>
      <w:r w:rsidR="00454DDE">
        <w:t>will continue</w:t>
      </w:r>
      <w:r>
        <w:t xml:space="preserve"> be treated in accordance with Queensland Corrective Services (QCS) procedures</w:t>
      </w:r>
      <w:r w:rsidR="00454DDE">
        <w:t>,</w:t>
      </w:r>
      <w:r>
        <w:t xml:space="preserve"> including being </w:t>
      </w:r>
      <w:r w:rsidR="00454DDE">
        <w:t xml:space="preserve">acknowledged </w:t>
      </w:r>
      <w:r>
        <w:t xml:space="preserve">in prison as their ‘preferred sex’ and </w:t>
      </w:r>
      <w:r w:rsidR="00454DDE">
        <w:t xml:space="preserve">use of correct </w:t>
      </w:r>
      <w:r>
        <w:t>pronouns.</w:t>
      </w:r>
      <w:r>
        <w:rPr>
          <w:rStyle w:val="FootnoteReference"/>
        </w:rPr>
        <w:footnoteReference w:id="29"/>
      </w:r>
      <w:r>
        <w:t xml:space="preserve"> </w:t>
      </w:r>
      <w:r w:rsidR="00097D3B">
        <w:t xml:space="preserve">The Statement of Compatibility recognises that for those whose applications are refused, they would ‘not be able to lawfully identify’ as their sex, and this may </w:t>
      </w:r>
      <w:r w:rsidR="003B1E5F">
        <w:t xml:space="preserve">have an </w:t>
      </w:r>
      <w:r w:rsidR="00097D3B">
        <w:t xml:space="preserve">impact on </w:t>
      </w:r>
      <w:r w:rsidR="003B1E5F">
        <w:t xml:space="preserve">their </w:t>
      </w:r>
      <w:r w:rsidR="00097D3B">
        <w:t>‘psychological integrity’.</w:t>
      </w:r>
      <w:r w:rsidR="00097D3B">
        <w:rPr>
          <w:rStyle w:val="FootnoteReference"/>
        </w:rPr>
        <w:footnoteReference w:id="30"/>
      </w:r>
      <w:r w:rsidR="00097D3B">
        <w:t xml:space="preserve"> </w:t>
      </w:r>
    </w:p>
    <w:p w14:paraId="541DC437" w14:textId="68761144" w:rsidR="00285FB6" w:rsidRDefault="00D5650B" w:rsidP="00476A5D">
      <w:pPr>
        <w:pStyle w:val="Numberedparagraph"/>
      </w:pPr>
      <w:r>
        <w:t>The legitimate purposes</w:t>
      </w:r>
      <w:r w:rsidR="005868C4">
        <w:t xml:space="preserve"> for the limitation on rights</w:t>
      </w:r>
      <w:r>
        <w:t xml:space="preserve"> cited in the Statement of Compatibility include the need to</w:t>
      </w:r>
      <w:r w:rsidR="003B1E5F">
        <w:t>:</w:t>
      </w:r>
      <w:r>
        <w:t xml:space="preserve"> assess the welfare and safety of trans and gender diverse persons, the community, and the place of residence/custody</w:t>
      </w:r>
      <w:r w:rsidR="00097D3B">
        <w:t>;</w:t>
      </w:r>
      <w:r>
        <w:t xml:space="preserve"> prevent secondary gain or activity</w:t>
      </w:r>
      <w:r w:rsidR="00097D3B">
        <w:t>;</w:t>
      </w:r>
      <w:r>
        <w:t xml:space="preserve"> and prevent the registration of a change of sex that would cause harm to a victim of crime.</w:t>
      </w:r>
      <w:r>
        <w:rPr>
          <w:rStyle w:val="FootnoteReference"/>
        </w:rPr>
        <w:footnoteReference w:id="31"/>
      </w:r>
      <w:r w:rsidR="00AC1679">
        <w:t xml:space="preserve"> </w:t>
      </w:r>
      <w:r w:rsidR="00786989">
        <w:t>The Commission does not dispute that these are legitimate purposes that may justify limitations on rights</w:t>
      </w:r>
      <w:r w:rsidR="00EC6E2E">
        <w:t xml:space="preserve"> generally</w:t>
      </w:r>
      <w:r w:rsidR="00786989">
        <w:t>.</w:t>
      </w:r>
    </w:p>
    <w:p w14:paraId="14815A03" w14:textId="77777777" w:rsidR="00285FB6" w:rsidRDefault="00285FB6">
      <w:pPr>
        <w:rPr>
          <w:rFonts w:ascii="Arial" w:hAnsi="Arial" w:cs="Arial"/>
        </w:rPr>
      </w:pPr>
      <w:r>
        <w:br w:type="page"/>
      </w:r>
    </w:p>
    <w:p w14:paraId="1F933487" w14:textId="2E10C809" w:rsidR="00AC1679" w:rsidRDefault="00AC1679" w:rsidP="00476A5D">
      <w:pPr>
        <w:pStyle w:val="Numberedparagraph"/>
      </w:pPr>
      <w:r>
        <w:lastRenderedPageBreak/>
        <w:t xml:space="preserve">However, it is unclear from the Statement of </w:t>
      </w:r>
      <w:r w:rsidR="006833E4">
        <w:t>C</w:t>
      </w:r>
      <w:r>
        <w:t>ompatibility:</w:t>
      </w:r>
    </w:p>
    <w:p w14:paraId="468C2C34" w14:textId="73FB7252" w:rsidR="00AC1679" w:rsidRDefault="00CD1990" w:rsidP="0074457C">
      <w:pPr>
        <w:pStyle w:val="Bulletedlist"/>
      </w:pPr>
      <w:r>
        <w:t>w</w:t>
      </w:r>
      <w:r w:rsidR="00474B1E">
        <w:t>hat</w:t>
      </w:r>
      <w:r>
        <w:t>,</w:t>
      </w:r>
      <w:r w:rsidR="00474B1E">
        <w:t xml:space="preserve"> specifically</w:t>
      </w:r>
      <w:r>
        <w:t>,</w:t>
      </w:r>
      <w:r w:rsidR="007A77CD">
        <w:t xml:space="preserve"> </w:t>
      </w:r>
      <w:r w:rsidR="00AC1679">
        <w:t xml:space="preserve">the potential negative impact </w:t>
      </w:r>
      <w:r>
        <w:t xml:space="preserve">is </w:t>
      </w:r>
      <w:r w:rsidR="00AC1679">
        <w:t xml:space="preserve">on the community or victims of crime </w:t>
      </w:r>
      <w:r w:rsidR="003B1E5F">
        <w:t xml:space="preserve">that would result from </w:t>
      </w:r>
      <w:r w:rsidR="00E374F8">
        <w:t>a person changing their record of sex;</w:t>
      </w:r>
      <w:r w:rsidR="00D1281C">
        <w:rPr>
          <w:rStyle w:val="FootnoteReference"/>
        </w:rPr>
        <w:footnoteReference w:id="32"/>
      </w:r>
    </w:p>
    <w:p w14:paraId="20908564" w14:textId="716AFB82" w:rsidR="00AC1679" w:rsidRDefault="00CD1990" w:rsidP="0074457C">
      <w:pPr>
        <w:pStyle w:val="Bulletedlist"/>
      </w:pPr>
      <w:r>
        <w:t>w</w:t>
      </w:r>
      <w:r w:rsidR="00AC1679">
        <w:t>hat</w:t>
      </w:r>
      <w:r>
        <w:t>,</w:t>
      </w:r>
      <w:r w:rsidR="00AC1679">
        <w:t xml:space="preserve"> </w:t>
      </w:r>
      <w:r w:rsidR="00E374F8">
        <w:t>specifically</w:t>
      </w:r>
      <w:r>
        <w:t>,</w:t>
      </w:r>
      <w:r w:rsidR="00E374F8">
        <w:t xml:space="preserve"> </w:t>
      </w:r>
      <w:r w:rsidR="00AC1679">
        <w:t xml:space="preserve">the potential negative impact </w:t>
      </w:r>
      <w:r>
        <w:t xml:space="preserve">is </w:t>
      </w:r>
      <w:r w:rsidR="00AC1679">
        <w:t xml:space="preserve">on the ‘good order and security’ of </w:t>
      </w:r>
      <w:proofErr w:type="gramStart"/>
      <w:r w:rsidR="00AC1679">
        <w:t>correctional facilities</w:t>
      </w:r>
      <w:proofErr w:type="gramEnd"/>
      <w:r>
        <w:t>,</w:t>
      </w:r>
      <w:r w:rsidR="00AC1679">
        <w:t xml:space="preserve"> should a prisoner change their</w:t>
      </w:r>
      <w:r w:rsidR="00E374F8">
        <w:t xml:space="preserve"> record of</w:t>
      </w:r>
      <w:r w:rsidR="00AC1679">
        <w:t xml:space="preserve"> sex</w:t>
      </w:r>
      <w:r w:rsidR="007A77CD">
        <w:t xml:space="preserve"> while detained</w:t>
      </w:r>
      <w:r w:rsidR="00E374F8">
        <w:t>;</w:t>
      </w:r>
      <w:r w:rsidR="00AC1679">
        <w:rPr>
          <w:rStyle w:val="FootnoteReference"/>
        </w:rPr>
        <w:footnoteReference w:id="33"/>
      </w:r>
    </w:p>
    <w:p w14:paraId="778ED2D6" w14:textId="5F5C4187" w:rsidR="00AC1679" w:rsidRDefault="00CD1990" w:rsidP="0074457C">
      <w:pPr>
        <w:pStyle w:val="Bulletedlist"/>
      </w:pPr>
      <w:r>
        <w:t>h</w:t>
      </w:r>
      <w:r w:rsidR="00AC1679">
        <w:t xml:space="preserve">ow the QCS </w:t>
      </w:r>
      <w:r w:rsidR="001A5976">
        <w:t>C</w:t>
      </w:r>
      <w:r w:rsidR="00AC1679">
        <w:t xml:space="preserve">hief </w:t>
      </w:r>
      <w:r w:rsidR="001A5976">
        <w:t>E</w:t>
      </w:r>
      <w:r w:rsidR="00AC1679">
        <w:t xml:space="preserve">xecutive will </w:t>
      </w:r>
      <w:proofErr w:type="gramStart"/>
      <w:r w:rsidR="00AC1679">
        <w:t xml:space="preserve">make a </w:t>
      </w:r>
      <w:r w:rsidR="00E374F8">
        <w:t>determination</w:t>
      </w:r>
      <w:proofErr w:type="gramEnd"/>
      <w:r w:rsidR="00AC1679">
        <w:t xml:space="preserve"> about whether the</w:t>
      </w:r>
      <w:r w:rsidR="00E374F8">
        <w:t xml:space="preserve"> proposed</w:t>
      </w:r>
      <w:r w:rsidR="00AC1679">
        <w:t xml:space="preserve"> ‘change of sex process is legitimate’.</w:t>
      </w:r>
      <w:r w:rsidR="005868C4">
        <w:rPr>
          <w:rStyle w:val="FootnoteReference"/>
        </w:rPr>
        <w:footnoteReference w:id="34"/>
      </w:r>
    </w:p>
    <w:p w14:paraId="484F0FBB" w14:textId="2BDE4EA4" w:rsidR="00BA1B55" w:rsidRDefault="00BA1B55" w:rsidP="00AC1679">
      <w:pPr>
        <w:pStyle w:val="Numberedparagraph"/>
      </w:pPr>
      <w:r>
        <w:t xml:space="preserve">Victoria </w:t>
      </w:r>
      <w:r w:rsidR="00E24720">
        <w:t>appears to be the only other</w:t>
      </w:r>
      <w:r w:rsidR="00097D3B">
        <w:t xml:space="preserve"> Australian</w:t>
      </w:r>
      <w:r w:rsidR="00E24720">
        <w:t xml:space="preserve"> jurisdiction that </w:t>
      </w:r>
      <w:r w:rsidR="00333CE4">
        <w:t>requires restricted</w:t>
      </w:r>
      <w:r>
        <w:t xml:space="preserve"> persons</w:t>
      </w:r>
      <w:r w:rsidR="00CD1990">
        <w:t>,</w:t>
      </w:r>
      <w:r w:rsidR="00E24720">
        <w:t xml:space="preserve"> including prisoners</w:t>
      </w:r>
      <w:r>
        <w:t>,</w:t>
      </w:r>
      <w:r w:rsidR="00CD1990" w:rsidRPr="00CD1990">
        <w:t xml:space="preserve"> </w:t>
      </w:r>
      <w:r w:rsidR="00CD1990">
        <w:t>to seek approval for change of sex records</w:t>
      </w:r>
      <w:r w:rsidR="001A5976">
        <w:t>.</w:t>
      </w:r>
      <w:r w:rsidR="00CA11B1">
        <w:rPr>
          <w:rStyle w:val="FootnoteReference"/>
        </w:rPr>
        <w:footnoteReference w:id="35"/>
      </w:r>
      <w:r>
        <w:t xml:space="preserve"> </w:t>
      </w:r>
      <w:r w:rsidR="001A5976">
        <w:t>M</w:t>
      </w:r>
      <w:r w:rsidR="00E24720">
        <w:t>ost</w:t>
      </w:r>
      <w:r>
        <w:t xml:space="preserve"> jurisdictions only require this approval process for a change of name.</w:t>
      </w:r>
      <w:r>
        <w:rPr>
          <w:rStyle w:val="FootnoteReference"/>
        </w:rPr>
        <w:footnoteReference w:id="36"/>
      </w:r>
      <w:r>
        <w:t xml:space="preserve"> The potential for misuse, offense</w:t>
      </w:r>
      <w:r w:rsidR="001A5976">
        <w:t>,</w:t>
      </w:r>
      <w:r>
        <w:t xml:space="preserve"> and harm to victims and the community is more obvious</w:t>
      </w:r>
      <w:r w:rsidR="00E24720">
        <w:t xml:space="preserve"> </w:t>
      </w:r>
      <w:r w:rsidR="00670176">
        <w:t xml:space="preserve">for </w:t>
      </w:r>
      <w:r w:rsidR="001A5976">
        <w:t xml:space="preserve">a change of </w:t>
      </w:r>
      <w:r w:rsidR="00E24720">
        <w:t>name</w:t>
      </w:r>
      <w:r>
        <w:t xml:space="preserve">, but less clear how </w:t>
      </w:r>
      <w:r w:rsidR="001A5976">
        <w:t xml:space="preserve">a </w:t>
      </w:r>
      <w:r>
        <w:t xml:space="preserve">change of sex </w:t>
      </w:r>
      <w:r w:rsidR="001A5976">
        <w:t xml:space="preserve">would </w:t>
      </w:r>
      <w:r>
        <w:t xml:space="preserve">have </w:t>
      </w:r>
      <w:r w:rsidR="00E24720">
        <w:t xml:space="preserve">similar </w:t>
      </w:r>
      <w:r>
        <w:t>adverse effects.</w:t>
      </w:r>
    </w:p>
    <w:p w14:paraId="33D0C123" w14:textId="14929279" w:rsidR="00EA7C6A" w:rsidRDefault="001A5976" w:rsidP="00AC1679">
      <w:pPr>
        <w:pStyle w:val="Numberedparagraph"/>
      </w:pPr>
      <w:r>
        <w:t>T</w:t>
      </w:r>
      <w:r w:rsidR="00685FFA">
        <w:t xml:space="preserve">he Bill </w:t>
      </w:r>
      <w:r w:rsidR="00EC6E2E">
        <w:t>inserts a new</w:t>
      </w:r>
      <w:r w:rsidR="00E374F8">
        <w:t xml:space="preserve"> section 27AB</w:t>
      </w:r>
      <w:r w:rsidR="00685FFA">
        <w:t xml:space="preserve"> </w:t>
      </w:r>
      <w:r w:rsidR="00EC6E2E">
        <w:t xml:space="preserve">in the </w:t>
      </w:r>
      <w:r w:rsidR="00EC6E2E">
        <w:rPr>
          <w:i/>
          <w:iCs/>
        </w:rPr>
        <w:t>Corrective Services Act</w:t>
      </w:r>
      <w:r>
        <w:rPr>
          <w:i/>
          <w:iCs/>
        </w:rPr>
        <w:t>.</w:t>
      </w:r>
      <w:r>
        <w:t xml:space="preserve"> The effect of this is</w:t>
      </w:r>
      <w:r w:rsidR="00EC6E2E">
        <w:rPr>
          <w:i/>
          <w:iCs/>
        </w:rPr>
        <w:t xml:space="preserve"> </w:t>
      </w:r>
      <w:r w:rsidR="00685FFA">
        <w:t>that</w:t>
      </w:r>
      <w:r w:rsidR="00E374F8">
        <w:t xml:space="preserve"> </w:t>
      </w:r>
      <w:r w:rsidR="00685FFA">
        <w:t xml:space="preserve">even </w:t>
      </w:r>
      <w:r w:rsidR="00215BD7">
        <w:t>if</w:t>
      </w:r>
      <w:r w:rsidR="00685FFA">
        <w:t xml:space="preserve"> permission is granted</w:t>
      </w:r>
      <w:r w:rsidR="00EC6E2E">
        <w:t xml:space="preserve"> to a prisoner to change their </w:t>
      </w:r>
      <w:r w:rsidR="003169FE">
        <w:t xml:space="preserve">record of </w:t>
      </w:r>
      <w:r w:rsidR="00EC6E2E">
        <w:t>sex</w:t>
      </w:r>
      <w:r w:rsidR="00685FFA">
        <w:t xml:space="preserve">, </w:t>
      </w:r>
      <w:r w:rsidR="0035286E">
        <w:t xml:space="preserve">it does not limit </w:t>
      </w:r>
      <w:r w:rsidR="00685FFA">
        <w:t>the QCS Chief Executive’s powers in any</w:t>
      </w:r>
      <w:r w:rsidR="00E374F8">
        <w:t xml:space="preserve"> </w:t>
      </w:r>
      <w:r w:rsidR="00685FFA">
        <w:t>way, including in relation to placement decisions and transfer of prisoners.</w:t>
      </w:r>
      <w:r w:rsidR="00E374F8">
        <w:rPr>
          <w:rStyle w:val="FootnoteReference"/>
        </w:rPr>
        <w:footnoteReference w:id="37"/>
      </w:r>
      <w:r w:rsidR="00215BD7">
        <w:t xml:space="preserve"> </w:t>
      </w:r>
    </w:p>
    <w:p w14:paraId="10A74EBA" w14:textId="151B26B6" w:rsidR="00AC1679" w:rsidRDefault="00215BD7" w:rsidP="00EA7C6A">
      <w:pPr>
        <w:pStyle w:val="Numberedparagraph"/>
      </w:pPr>
      <w:bookmarkStart w:id="9" w:name="_Hlk122072857"/>
      <w:r>
        <w:t>The Statement of Compatibility</w:t>
      </w:r>
      <w:r w:rsidR="001362ED">
        <w:t xml:space="preserve"> and the Explanatory Notes</w:t>
      </w:r>
      <w:r>
        <w:t xml:space="preserve"> </w:t>
      </w:r>
      <w:r w:rsidR="00EA7C6A">
        <w:t>do</w:t>
      </w:r>
      <w:r>
        <w:t xml:space="preserve"> not address </w:t>
      </w:r>
      <w:r w:rsidR="001362ED">
        <w:t>how</w:t>
      </w:r>
      <w:r w:rsidR="004A28E2">
        <w:t xml:space="preserve"> section 27AB</w:t>
      </w:r>
      <w:r w:rsidR="001362ED">
        <w:t xml:space="preserve"> is intended to apply</w:t>
      </w:r>
      <w:r w:rsidR="00A05AD9">
        <w:t>,</w:t>
      </w:r>
      <w:r w:rsidR="00A05AD9">
        <w:rPr>
          <w:rStyle w:val="FootnoteReference"/>
        </w:rPr>
        <w:footnoteReference w:id="38"/>
      </w:r>
      <w:r w:rsidR="00A05AD9">
        <w:t xml:space="preserve"> such as whether it is intended to apply only to the period between approval and the application being registered, or once registration has occurred</w:t>
      </w:r>
      <w:r w:rsidR="001362ED">
        <w:t>.</w:t>
      </w:r>
      <w:r w:rsidR="005868C4">
        <w:t xml:space="preserve"> </w:t>
      </w:r>
      <w:r w:rsidR="008A130C">
        <w:t>This leaves some doubt as to how QCS will treat prisoners who</w:t>
      </w:r>
      <w:r w:rsidR="00BA108D">
        <w:t xml:space="preserve"> are approved and </w:t>
      </w:r>
      <w:r w:rsidR="00C96FDF">
        <w:t xml:space="preserve">proceed to </w:t>
      </w:r>
      <w:r w:rsidR="008A130C">
        <w:t xml:space="preserve">change their record </w:t>
      </w:r>
      <w:r w:rsidR="00C96FDF">
        <w:t>of sex</w:t>
      </w:r>
      <w:r w:rsidR="008A130C">
        <w:t xml:space="preserve">. </w:t>
      </w:r>
      <w:bookmarkEnd w:id="9"/>
      <w:r w:rsidR="00CC064C">
        <w:t xml:space="preserve">One example might be </w:t>
      </w:r>
      <w:r w:rsidR="008A130C">
        <w:t xml:space="preserve">how QCS </w:t>
      </w:r>
      <w:r w:rsidR="00BC22EC">
        <w:t>deal</w:t>
      </w:r>
      <w:r w:rsidR="00CC064C">
        <w:t>s</w:t>
      </w:r>
      <w:r w:rsidR="00BC22EC">
        <w:t xml:space="preserve"> with a request to transfer to a women’s correctional environment f</w:t>
      </w:r>
      <w:r w:rsidR="00CC064C">
        <w:t>rom</w:t>
      </w:r>
      <w:r w:rsidR="00BC22EC">
        <w:t xml:space="preserve"> a</w:t>
      </w:r>
      <w:r w:rsidR="008A130C">
        <w:t xml:space="preserve"> prisoner </w:t>
      </w:r>
      <w:r w:rsidR="00BC22EC">
        <w:t>who has been</w:t>
      </w:r>
      <w:r w:rsidR="008A130C">
        <w:t xml:space="preserve"> given permission to change their </w:t>
      </w:r>
      <w:r w:rsidR="00B24D84">
        <w:t xml:space="preserve">record </w:t>
      </w:r>
      <w:r w:rsidR="00901A72">
        <w:t xml:space="preserve">of sex </w:t>
      </w:r>
      <w:r w:rsidR="00B24D84">
        <w:t>to female</w:t>
      </w:r>
      <w:r w:rsidR="00BC22EC">
        <w:t>.</w:t>
      </w:r>
    </w:p>
    <w:p w14:paraId="5B3D27B2" w14:textId="7851F85F" w:rsidR="0087716F" w:rsidRDefault="005868C4" w:rsidP="005868C4">
      <w:pPr>
        <w:pStyle w:val="Numberedparagraph"/>
      </w:pPr>
      <w:r>
        <w:t xml:space="preserve">The Commission is also uncertain from </w:t>
      </w:r>
      <w:r w:rsidR="00A05AD9">
        <w:t>the</w:t>
      </w:r>
      <w:r>
        <w:t xml:space="preserve"> Explanatory Notes and Statement of Compatibility what discretion </w:t>
      </w:r>
      <w:r w:rsidR="00CE5220">
        <w:t xml:space="preserve">will remain with QCS </w:t>
      </w:r>
      <w:r>
        <w:t xml:space="preserve">in making decisions for the </w:t>
      </w:r>
      <w:r w:rsidR="00827A99">
        <w:t xml:space="preserve">safe </w:t>
      </w:r>
      <w:r>
        <w:t xml:space="preserve">placement and </w:t>
      </w:r>
      <w:r w:rsidR="00CE5220">
        <w:t>searches</w:t>
      </w:r>
      <w:r>
        <w:t xml:space="preserve"> of prisoners who have </w:t>
      </w:r>
      <w:r>
        <w:lastRenderedPageBreak/>
        <w:t xml:space="preserve">changed their sex </w:t>
      </w:r>
      <w:r w:rsidRPr="008A130C">
        <w:rPr>
          <w:i/>
          <w:iCs/>
        </w:rPr>
        <w:t>prior</w:t>
      </w:r>
      <w:r>
        <w:t xml:space="preserve"> to entering the corrections environment. </w:t>
      </w:r>
      <w:r w:rsidR="00426ED0">
        <w:t>One example might be</w:t>
      </w:r>
      <w:r>
        <w:t xml:space="preserve"> a man who was assigned female at birth </w:t>
      </w:r>
      <w:r w:rsidR="00426ED0">
        <w:t>and has</w:t>
      </w:r>
      <w:r w:rsidR="00237D8E">
        <w:t xml:space="preserve"> a preference to be placed in a women’s prison, and/or </w:t>
      </w:r>
      <w:r w:rsidR="00426ED0">
        <w:t xml:space="preserve">concerns that he </w:t>
      </w:r>
      <w:r w:rsidR="00237D8E">
        <w:t>may</w:t>
      </w:r>
      <w:r>
        <w:t xml:space="preserve"> not be safely housed in a male correctional </w:t>
      </w:r>
      <w:r w:rsidR="00D87070">
        <w:t>facility.</w:t>
      </w:r>
    </w:p>
    <w:p w14:paraId="25D10453" w14:textId="21B327C2" w:rsidR="00257FA1" w:rsidRDefault="00E24720" w:rsidP="005868C4">
      <w:pPr>
        <w:pStyle w:val="Numberedparagraph"/>
      </w:pPr>
      <w:r>
        <w:t>Provided that safety, security</w:t>
      </w:r>
      <w:r w:rsidR="00426ED0">
        <w:t>,</w:t>
      </w:r>
      <w:r>
        <w:t xml:space="preserve"> and good order of the correctional environment is not compromised, t</w:t>
      </w:r>
      <w:r w:rsidR="00257FA1">
        <w:t xml:space="preserve">he legislative and policy framework should allow people to be </w:t>
      </w:r>
      <w:r w:rsidR="00405FDD">
        <w:t xml:space="preserve">placed in </w:t>
      </w:r>
      <w:r>
        <w:t>accommodat</w:t>
      </w:r>
      <w:r w:rsidR="00405FDD">
        <w:t>ion</w:t>
      </w:r>
      <w:r>
        <w:t xml:space="preserve"> based on their </w:t>
      </w:r>
      <w:r w:rsidR="00901A72">
        <w:t xml:space="preserve">identified </w:t>
      </w:r>
      <w:r>
        <w:t xml:space="preserve">sex, </w:t>
      </w:r>
      <w:proofErr w:type="gramStart"/>
      <w:r>
        <w:t>taking into account</w:t>
      </w:r>
      <w:proofErr w:type="gramEnd"/>
      <w:r>
        <w:t xml:space="preserve"> all relevant factors including the </w:t>
      </w:r>
      <w:r w:rsidR="00C96FDF">
        <w:t xml:space="preserve">safety and </w:t>
      </w:r>
      <w:r>
        <w:t>preference of the individual</w:t>
      </w:r>
      <w:r w:rsidR="00257FA1">
        <w:t>.</w:t>
      </w:r>
      <w:r w:rsidR="00EA033A">
        <w:t xml:space="preserve"> In the Commission’s view, while </w:t>
      </w:r>
      <w:r>
        <w:t>these issues could be settled through policy</w:t>
      </w:r>
      <w:r w:rsidR="00305299">
        <w:t xml:space="preserve"> development</w:t>
      </w:r>
      <w:r w:rsidR="00EA033A">
        <w:t xml:space="preserve">, there must be a clear legislative framework </w:t>
      </w:r>
      <w:r w:rsidR="00510695">
        <w:t xml:space="preserve">to underpin </w:t>
      </w:r>
      <w:r w:rsidR="00305299">
        <w:t>any updated</w:t>
      </w:r>
      <w:r w:rsidR="00510695">
        <w:t xml:space="preserve"> QCS policy and procedures</w:t>
      </w:r>
      <w:r w:rsidR="00EA033A">
        <w:t>.</w:t>
      </w:r>
      <w:r w:rsidR="00007233">
        <w:t xml:space="preserve"> </w:t>
      </w:r>
    </w:p>
    <w:p w14:paraId="1A51E281" w14:textId="710900C2" w:rsidR="00CC03BC" w:rsidRDefault="005C1591" w:rsidP="005C1591">
      <w:pPr>
        <w:pStyle w:val="Numberedparagraph"/>
      </w:pPr>
      <w:r>
        <w:t xml:space="preserve">The Committee should seek the advice of the QCS </w:t>
      </w:r>
      <w:r w:rsidR="00616C0F">
        <w:t>about</w:t>
      </w:r>
      <w:r>
        <w:t xml:space="preserve"> how these provisions will work in practice. </w:t>
      </w:r>
      <w:r w:rsidR="00CC03BC">
        <w:t>The Commission recommends that</w:t>
      </w:r>
      <w:r w:rsidR="00EA7C6A">
        <w:t xml:space="preserve"> more information is provided by QCS to the Committee to clarify:</w:t>
      </w:r>
    </w:p>
    <w:p w14:paraId="4B8D074A" w14:textId="346D451F" w:rsidR="00CC03BC" w:rsidRDefault="001A6565" w:rsidP="00CC03BC">
      <w:pPr>
        <w:pStyle w:val="Numberedparagraph"/>
        <w:numPr>
          <w:ilvl w:val="1"/>
          <w:numId w:val="13"/>
        </w:numPr>
      </w:pPr>
      <w:r>
        <w:t>why</w:t>
      </w:r>
      <w:r w:rsidR="00EA7C6A">
        <w:t xml:space="preserve"> the </w:t>
      </w:r>
      <w:r w:rsidR="00CC03BC">
        <w:t xml:space="preserve">additional process for prisoners </w:t>
      </w:r>
      <w:r w:rsidR="0001042C">
        <w:t>is necessary and justifiable</w:t>
      </w:r>
      <w:r w:rsidR="00EA7C6A">
        <w:t xml:space="preserve">, </w:t>
      </w:r>
      <w:r w:rsidR="0001042C">
        <w:t>including</w:t>
      </w:r>
      <w:r w:rsidR="00EA7C6A">
        <w:t xml:space="preserve"> how the community and victims may be negatively impacted by a prisoner changing their record of sex</w:t>
      </w:r>
      <w:r w:rsidR="00CC03BC">
        <w:t>; and</w:t>
      </w:r>
    </w:p>
    <w:p w14:paraId="3869B834" w14:textId="1DD32776" w:rsidR="00EA7C6A" w:rsidRDefault="00E01A0E" w:rsidP="00CC03BC">
      <w:pPr>
        <w:pStyle w:val="Numberedparagraph"/>
        <w:numPr>
          <w:ilvl w:val="1"/>
          <w:numId w:val="13"/>
        </w:numPr>
      </w:pPr>
      <w:r>
        <w:t>h</w:t>
      </w:r>
      <w:r w:rsidR="00EA7C6A">
        <w:t xml:space="preserve">ow the changes to record of sex will </w:t>
      </w:r>
      <w:r w:rsidR="00616C0F">
        <w:t xml:space="preserve">have an </w:t>
      </w:r>
      <w:r w:rsidR="00EA7C6A">
        <w:t xml:space="preserve">impact on QCS decision-making in relation to currently detained prisoners and prisoners who may </w:t>
      </w:r>
      <w:r w:rsidR="00861FBD">
        <w:t>be detained in</w:t>
      </w:r>
      <w:r w:rsidR="00EA7C6A">
        <w:t xml:space="preserve"> the correctional environment after changing their record</w:t>
      </w:r>
      <w:r w:rsidR="00861FBD">
        <w:t xml:space="preserve"> of sex</w:t>
      </w:r>
      <w:r w:rsidR="00CB27BC">
        <w:t>; and</w:t>
      </w:r>
    </w:p>
    <w:p w14:paraId="678FEFB3" w14:textId="489D8B05" w:rsidR="0030094B" w:rsidRDefault="00E01A0E" w:rsidP="0030094B">
      <w:pPr>
        <w:pStyle w:val="Numberedparagraph"/>
        <w:numPr>
          <w:ilvl w:val="1"/>
          <w:numId w:val="13"/>
        </w:numPr>
      </w:pPr>
      <w:r>
        <w:t>w</w:t>
      </w:r>
      <w:r w:rsidR="0030094B">
        <w:t>hether these matters are</w:t>
      </w:r>
      <w:r w:rsidR="003D5DC0">
        <w:t xml:space="preserve"> intended</w:t>
      </w:r>
      <w:r w:rsidR="0030094B">
        <w:t xml:space="preserve"> to be settled through creating new policies, practices</w:t>
      </w:r>
      <w:r>
        <w:t>,</w:t>
      </w:r>
      <w:r w:rsidR="0030094B">
        <w:t xml:space="preserve"> and </w:t>
      </w:r>
      <w:r w:rsidR="003D5DC0">
        <w:t>p</w:t>
      </w:r>
      <w:r w:rsidR="0030094B">
        <w:t>rocedures, and how QCS will develop these</w:t>
      </w:r>
      <w:r w:rsidR="003D5DC0">
        <w:t xml:space="preserve"> in consultation with stakeholders</w:t>
      </w:r>
      <w:r w:rsidR="0030094B">
        <w:t>.</w:t>
      </w:r>
    </w:p>
    <w:p w14:paraId="51AA79C9" w14:textId="4940EC64" w:rsidR="004C73CA" w:rsidRPr="004C73CA" w:rsidRDefault="004C73CA" w:rsidP="00CC03BC">
      <w:pPr>
        <w:pStyle w:val="Heading1"/>
      </w:pPr>
      <w:bookmarkStart w:id="10" w:name="_Toc124330891"/>
      <w:r>
        <w:t>Conclusion</w:t>
      </w:r>
      <w:bookmarkEnd w:id="10"/>
    </w:p>
    <w:p w14:paraId="4B994ACB" w14:textId="73D21493" w:rsidR="00052290" w:rsidRPr="00515021" w:rsidRDefault="00052290" w:rsidP="00515021">
      <w:pPr>
        <w:pStyle w:val="Numberedparagraph"/>
      </w:pPr>
      <w:r w:rsidRPr="00515021">
        <w:t>Thank you for the opportunity to comment on the Bill</w:t>
      </w:r>
      <w:r w:rsidR="00DC2EB9" w:rsidRPr="00515021">
        <w:t xml:space="preserve"> which we support</w:t>
      </w:r>
      <w:r w:rsidR="00E01A0E">
        <w:t>,</w:t>
      </w:r>
      <w:r w:rsidR="00DC2EB9" w:rsidRPr="00515021">
        <w:t xml:space="preserve"> subject to the above recommendations. </w:t>
      </w:r>
      <w:r w:rsidRPr="00515021">
        <w:t xml:space="preserve"> </w:t>
      </w:r>
    </w:p>
    <w:sectPr w:rsidR="00052290" w:rsidRPr="00515021" w:rsidSect="003A3833">
      <w:headerReference w:type="default" r:id="rId13"/>
      <w:footerReference w:type="default" r:id="rId14"/>
      <w:pgSz w:w="11900" w:h="16840" w:code="9"/>
      <w:pgMar w:top="1440" w:right="1701" w:bottom="1361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41E6" w14:textId="77777777" w:rsidR="00616018" w:rsidRDefault="00616018" w:rsidP="0034134D">
      <w:r>
        <w:separator/>
      </w:r>
    </w:p>
  </w:endnote>
  <w:endnote w:type="continuationSeparator" w:id="0">
    <w:p w14:paraId="6739C5A2" w14:textId="77777777" w:rsidR="00616018" w:rsidRDefault="00616018" w:rsidP="0034134D">
      <w:r>
        <w:continuationSeparator/>
      </w:r>
    </w:p>
  </w:endnote>
  <w:endnote w:type="continuationNotice" w:id="1">
    <w:p w14:paraId="2AF3D38C" w14:textId="77777777" w:rsidR="00E96025" w:rsidRDefault="00E96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8B98" w14:textId="5A364833" w:rsidR="00293C9F" w:rsidRPr="00293C9F" w:rsidRDefault="00293C9F" w:rsidP="00293C9F">
    <w:pPr>
      <w:tabs>
        <w:tab w:val="center" w:pos="4513"/>
        <w:tab w:val="right" w:pos="9026"/>
      </w:tabs>
      <w:jc w:val="right"/>
      <w:rPr>
        <w:rFonts w:ascii="Arial" w:hAnsi="Arial" w:cs="Arial"/>
        <w:color w:val="404040" w:themeColor="text1" w:themeTint="BF"/>
        <w:sz w:val="16"/>
        <w:szCs w:val="20"/>
      </w:rPr>
    </w:pPr>
    <w:r w:rsidRPr="00293C9F">
      <w:rPr>
        <w:rFonts w:ascii="Arial" w:hAnsi="Arial" w:cs="Arial"/>
        <w:noProof/>
        <w:sz w:val="20"/>
        <w:szCs w:val="20"/>
        <w:vertAlign w:val="subscript"/>
        <w:lang w:eastAsia="en-AU"/>
      </w:rPr>
      <w:drawing>
        <wp:inline distT="0" distB="0" distL="0" distR="0" wp14:anchorId="3C8A1374" wp14:editId="18191E0A">
          <wp:extent cx="5296278" cy="4655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bar - thin 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3241" cy="14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93C9F">
      <w:rPr>
        <w:rFonts w:ascii="Arial" w:hAnsi="Arial" w:cs="Arial"/>
        <w:color w:val="404040" w:themeColor="text1" w:themeTint="BF"/>
        <w:sz w:val="16"/>
        <w:szCs w:val="20"/>
      </w:rPr>
      <w:t>Queensland Human Rights Commission | www.qhrc.qld.gov.au</w:t>
    </w:r>
    <w:r w:rsidRPr="00293C9F">
      <w:rPr>
        <w:rFonts w:ascii="Arial" w:hAnsi="Arial" w:cs="Arial"/>
        <w:color w:val="404040" w:themeColor="text1" w:themeTint="BF"/>
        <w:sz w:val="16"/>
        <w:szCs w:val="20"/>
      </w:rPr>
      <w:tab/>
    </w:r>
    <w:r w:rsidRPr="00293C9F">
      <w:rPr>
        <w:rFonts w:ascii="Arial" w:hAnsi="Arial" w:cs="Arial"/>
        <w:color w:val="404040" w:themeColor="text1" w:themeTint="BF"/>
        <w:sz w:val="16"/>
        <w:szCs w:val="20"/>
      </w:rPr>
      <w:tab/>
    </w:r>
    <w:r w:rsidRPr="00293C9F">
      <w:rPr>
        <w:rFonts w:ascii="Arial" w:hAnsi="Arial" w:cs="Arial"/>
        <w:color w:val="404040" w:themeColor="text1" w:themeTint="BF"/>
        <w:sz w:val="16"/>
        <w:szCs w:val="20"/>
      </w:rPr>
      <w:fldChar w:fldCharType="begin"/>
    </w:r>
    <w:r w:rsidRPr="00293C9F">
      <w:rPr>
        <w:rFonts w:ascii="Arial" w:hAnsi="Arial" w:cs="Arial"/>
        <w:color w:val="404040" w:themeColor="text1" w:themeTint="BF"/>
        <w:sz w:val="16"/>
        <w:szCs w:val="20"/>
      </w:rPr>
      <w:instrText xml:space="preserve"> PAGE   \* MERGEFORMAT </w:instrText>
    </w:r>
    <w:r w:rsidRPr="00293C9F">
      <w:rPr>
        <w:rFonts w:ascii="Arial" w:hAnsi="Arial" w:cs="Arial"/>
        <w:color w:val="404040" w:themeColor="text1" w:themeTint="BF"/>
        <w:sz w:val="16"/>
        <w:szCs w:val="20"/>
      </w:rPr>
      <w:fldChar w:fldCharType="separate"/>
    </w:r>
    <w:r w:rsidR="009A6238">
      <w:rPr>
        <w:rFonts w:ascii="Arial" w:hAnsi="Arial" w:cs="Arial"/>
        <w:noProof/>
        <w:color w:val="404040" w:themeColor="text1" w:themeTint="BF"/>
        <w:sz w:val="16"/>
        <w:szCs w:val="20"/>
      </w:rPr>
      <w:t>13</w:t>
    </w:r>
    <w:r w:rsidRPr="00293C9F">
      <w:rPr>
        <w:rFonts w:ascii="Arial" w:hAnsi="Arial" w:cs="Arial"/>
        <w:noProof/>
        <w:color w:val="404040" w:themeColor="text1" w:themeTint="BF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3977" w14:textId="77777777" w:rsidR="00616018" w:rsidRDefault="00616018" w:rsidP="0034134D">
      <w:r>
        <w:separator/>
      </w:r>
    </w:p>
  </w:footnote>
  <w:footnote w:type="continuationSeparator" w:id="0">
    <w:p w14:paraId="208239A3" w14:textId="77777777" w:rsidR="00616018" w:rsidRDefault="00616018" w:rsidP="0034134D">
      <w:r>
        <w:continuationSeparator/>
      </w:r>
    </w:p>
  </w:footnote>
  <w:footnote w:type="continuationNotice" w:id="1">
    <w:p w14:paraId="2CB4AD98" w14:textId="77777777" w:rsidR="00E96025" w:rsidRDefault="00E96025"/>
  </w:footnote>
  <w:footnote w:id="2">
    <w:p w14:paraId="02CAB121" w14:textId="471FEEB8" w:rsidR="001351EB" w:rsidRDefault="001351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7503A">
        <w:t xml:space="preserve">Queensland Human Rights Commission, </w:t>
      </w:r>
      <w:r w:rsidR="0027503A" w:rsidRPr="00261D05">
        <w:rPr>
          <w:i/>
          <w:iCs/>
        </w:rPr>
        <w:t>Building belonging – Review of Queensland’s Anti-Discrimination Act 1991</w:t>
      </w:r>
      <w:r w:rsidR="0027503A">
        <w:t xml:space="preserve"> (July 2022) </w:t>
      </w:r>
      <w:r>
        <w:t>Recommendation 22.1, Recommendation 28.1</w:t>
      </w:r>
      <w:r w:rsidR="008C09EB">
        <w:t>.</w:t>
      </w:r>
    </w:p>
  </w:footnote>
  <w:footnote w:id="3">
    <w:p w14:paraId="7549B1D8" w14:textId="1710F4A6" w:rsidR="008C09EB" w:rsidRDefault="008C09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7503A">
        <w:t xml:space="preserve">Queensland Human Rights Commission, </w:t>
      </w:r>
      <w:r w:rsidR="0027503A" w:rsidRPr="00261D05">
        <w:rPr>
          <w:i/>
          <w:iCs/>
        </w:rPr>
        <w:t>Building belonging – Review of Queensland’s Anti-Discrimination Act 1991</w:t>
      </w:r>
      <w:r w:rsidR="0027503A">
        <w:t xml:space="preserve"> (July 2022) </w:t>
      </w:r>
      <w:r>
        <w:t>Recommendation 43.1.</w:t>
      </w:r>
    </w:p>
  </w:footnote>
  <w:footnote w:id="4">
    <w:p w14:paraId="063CE792" w14:textId="395D5504" w:rsidR="003D7B92" w:rsidRPr="003D7B92" w:rsidRDefault="003D7B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Human Rights Act 2019 </w:t>
      </w:r>
      <w:r>
        <w:t>(Qld) s</w:t>
      </w:r>
      <w:r w:rsidR="00F43941">
        <w:t>s</w:t>
      </w:r>
      <w:r>
        <w:t xml:space="preserve"> 15, 25.</w:t>
      </w:r>
    </w:p>
  </w:footnote>
  <w:footnote w:id="5">
    <w:p w14:paraId="3A52624E" w14:textId="75A7EAB0" w:rsidR="00BC47F1" w:rsidRDefault="00BC47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6619">
        <w:t xml:space="preserve">The </w:t>
      </w:r>
      <w:r w:rsidRPr="00C60299">
        <w:rPr>
          <w:i/>
          <w:iCs/>
        </w:rPr>
        <w:t>Yogyakarta Principles</w:t>
      </w:r>
      <w:r>
        <w:t xml:space="preserve"> (2006) and </w:t>
      </w:r>
      <w:r w:rsidRPr="00C60299">
        <w:rPr>
          <w:i/>
          <w:iCs/>
        </w:rPr>
        <w:t xml:space="preserve">Yogyakarta Principles </w:t>
      </w:r>
      <w:r w:rsidR="00C8051B" w:rsidRPr="00C60299">
        <w:rPr>
          <w:i/>
          <w:iCs/>
        </w:rPr>
        <w:t>P</w:t>
      </w:r>
      <w:r w:rsidRPr="00C60299">
        <w:rPr>
          <w:i/>
          <w:iCs/>
        </w:rPr>
        <w:t>lus 10</w:t>
      </w:r>
      <w:r>
        <w:t xml:space="preserve"> (2017) are a set of principles </w:t>
      </w:r>
      <w:r w:rsidR="00D6511E">
        <w:t xml:space="preserve">that </w:t>
      </w:r>
      <w:r>
        <w:t>appl</w:t>
      </w:r>
      <w:r w:rsidR="00D6511E">
        <w:t>y</w:t>
      </w:r>
      <w:r>
        <w:t xml:space="preserve"> human rights law to diversity of gender, sexuality</w:t>
      </w:r>
      <w:r w:rsidR="00D6511E">
        <w:t>,</w:t>
      </w:r>
      <w:r>
        <w:t xml:space="preserve"> and sex characteristics, </w:t>
      </w:r>
      <w:r w:rsidR="008B0A76">
        <w:t xml:space="preserve">and were </w:t>
      </w:r>
      <w:r>
        <w:t xml:space="preserve">developed by a panel of human rights experts to </w:t>
      </w:r>
      <w:r w:rsidR="008B0A76">
        <w:t xml:space="preserve">ensure </w:t>
      </w:r>
      <w:r>
        <w:t>binding international legal standards.</w:t>
      </w:r>
    </w:p>
  </w:footnote>
  <w:footnote w:id="6">
    <w:p w14:paraId="7E08831D" w14:textId="4007C784" w:rsidR="005D5653" w:rsidRDefault="005D5653" w:rsidP="005D5653">
      <w:pPr>
        <w:pStyle w:val="FootnoteText"/>
      </w:pPr>
      <w:r>
        <w:rPr>
          <w:rStyle w:val="FootnoteReference"/>
        </w:rPr>
        <w:footnoteRef/>
      </w:r>
      <w:r>
        <w:t xml:space="preserve"> International Panel of Experts in International Human Rights Law and on Sexual Orientation and Gender Identity, </w:t>
      </w:r>
      <w:r w:rsidRPr="00C60299">
        <w:rPr>
          <w:i/>
          <w:iCs/>
        </w:rPr>
        <w:t>The Yogyakarta Principles: Principles on the Application of International Human Rights Law in Relation to Sexual Orientation and Gender Identity</w:t>
      </w:r>
      <w:r>
        <w:t xml:space="preserve"> (March 2007)</w:t>
      </w:r>
      <w:r w:rsidR="00A466D1">
        <w:t>, Principle 3</w:t>
      </w:r>
      <w:r>
        <w:t>.</w:t>
      </w:r>
    </w:p>
  </w:footnote>
  <w:footnote w:id="7">
    <w:p w14:paraId="22133CBC" w14:textId="4BCD7239" w:rsidR="003D7B92" w:rsidRDefault="003D7B92">
      <w:pPr>
        <w:pStyle w:val="FootnoteText"/>
      </w:pPr>
      <w:r>
        <w:rPr>
          <w:rStyle w:val="FootnoteReference"/>
        </w:rPr>
        <w:footnoteRef/>
      </w:r>
      <w:r>
        <w:t xml:space="preserve"> Anti-Discrimination Commission Queensland, ‘Submission to Review of the </w:t>
      </w:r>
      <w:r w:rsidRPr="00C1337E">
        <w:rPr>
          <w:i/>
          <w:iCs/>
        </w:rPr>
        <w:t>Births, Deaths and Marriage Registration Act 2003</w:t>
      </w:r>
      <w:r>
        <w:t xml:space="preserve">’, 17 December 2013; Anti-Discrimination Commission Queensland, </w:t>
      </w:r>
      <w:r w:rsidR="00C1337E">
        <w:t>‘</w:t>
      </w:r>
      <w:r>
        <w:t xml:space="preserve">Submission to Inquiry into the </w:t>
      </w:r>
      <w:r w:rsidRPr="00C1337E">
        <w:rPr>
          <w:i/>
          <w:iCs/>
        </w:rPr>
        <w:t>Births, Deaths and Marriages Registration Amendment Bill 2008</w:t>
      </w:r>
      <w:r w:rsidR="00C1337E">
        <w:t>’, 16 March 2018</w:t>
      </w:r>
      <w:r>
        <w:t>.</w:t>
      </w:r>
    </w:p>
  </w:footnote>
  <w:footnote w:id="8">
    <w:p w14:paraId="3BBA4E76" w14:textId="057DD724" w:rsidR="00AD6702" w:rsidRPr="00AD6702" w:rsidRDefault="00AD67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Anti-Discrimination Act 1991 </w:t>
      </w:r>
      <w:r>
        <w:t xml:space="preserve">(Qld), Dictionary </w:t>
      </w:r>
      <w:r w:rsidR="00CB5F3F">
        <w:t>(definition of</w:t>
      </w:r>
      <w:r>
        <w:t xml:space="preserve"> ‘gender identity’</w:t>
      </w:r>
      <w:r w:rsidR="00CB5F3F">
        <w:t>)</w:t>
      </w:r>
      <w:r>
        <w:t>.</w:t>
      </w:r>
    </w:p>
  </w:footnote>
  <w:footnote w:id="9">
    <w:p w14:paraId="3A9005D7" w14:textId="3720A4F7" w:rsidR="00AD6702" w:rsidRDefault="00AD67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Human Rights Act 2019 </w:t>
      </w:r>
      <w:r>
        <w:t>(Qld) s</w:t>
      </w:r>
      <w:r w:rsidR="00EA0372">
        <w:t xml:space="preserve">s 15, </w:t>
      </w:r>
      <w:r w:rsidR="002B5659">
        <w:t>25,</w:t>
      </w:r>
      <w:r>
        <w:t xml:space="preserve"> 26(2).</w:t>
      </w:r>
    </w:p>
  </w:footnote>
  <w:footnote w:id="10">
    <w:p w14:paraId="22D4DB4F" w14:textId="4E7053B7" w:rsidR="00F43941" w:rsidRPr="00F43941" w:rsidRDefault="00F439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Human Rights Act 2019 </w:t>
      </w:r>
      <w:r>
        <w:t>(Qld) s 26(1).</w:t>
      </w:r>
    </w:p>
  </w:footnote>
  <w:footnote w:id="11">
    <w:p w14:paraId="63C2F9A2" w14:textId="5D755ADF" w:rsidR="00476A5D" w:rsidRDefault="00476A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6702">
        <w:rPr>
          <w:i/>
          <w:iCs/>
        </w:rPr>
        <w:t xml:space="preserve">Coonan v Registrar of Births, </w:t>
      </w:r>
      <w:proofErr w:type="gramStart"/>
      <w:r w:rsidRPr="00AD6702">
        <w:rPr>
          <w:i/>
          <w:iCs/>
        </w:rPr>
        <w:t>Deaths</w:t>
      </w:r>
      <w:proofErr w:type="gramEnd"/>
      <w:r w:rsidRPr="00AD6702">
        <w:rPr>
          <w:i/>
          <w:iCs/>
        </w:rPr>
        <w:t xml:space="preserve"> and Marriages</w:t>
      </w:r>
      <w:r>
        <w:t xml:space="preserve"> [2020] QCAT 434.</w:t>
      </w:r>
    </w:p>
  </w:footnote>
  <w:footnote w:id="12">
    <w:p w14:paraId="60F8CED8" w14:textId="32ED84D3" w:rsidR="00A02C61" w:rsidRPr="00C56DF2" w:rsidRDefault="00A02C61" w:rsidP="00A02C61">
      <w:pPr>
        <w:pStyle w:val="FootnoteText"/>
        <w:rPr>
          <w:highlight w:val="yellow"/>
        </w:rPr>
      </w:pPr>
      <w:r>
        <w:rPr>
          <w:rStyle w:val="FootnoteReference"/>
        </w:rPr>
        <w:footnoteRef/>
      </w:r>
      <w:r>
        <w:t xml:space="preserve"> </w:t>
      </w:r>
      <w:r w:rsidRPr="00C56DF2">
        <w:t xml:space="preserve">United Nations Human Rights Committee, </w:t>
      </w:r>
      <w:r w:rsidR="00F5001B" w:rsidRPr="001271B1">
        <w:rPr>
          <w:i/>
          <w:iCs/>
        </w:rPr>
        <w:t xml:space="preserve">CCPR </w:t>
      </w:r>
      <w:r w:rsidRPr="001271B1">
        <w:rPr>
          <w:i/>
          <w:iCs/>
        </w:rPr>
        <w:t xml:space="preserve">General Comment No 16: </w:t>
      </w:r>
      <w:r w:rsidR="00F5001B" w:rsidRPr="001271B1">
        <w:rPr>
          <w:i/>
          <w:iCs/>
        </w:rPr>
        <w:t xml:space="preserve">Article 17 (Right to Privacy) </w:t>
      </w:r>
      <w:r w:rsidRPr="001271B1">
        <w:rPr>
          <w:i/>
          <w:iCs/>
        </w:rPr>
        <w:t>The</w:t>
      </w:r>
      <w:r w:rsidR="001B0C26">
        <w:rPr>
          <w:i/>
          <w:iCs/>
        </w:rPr>
        <w:t xml:space="preserve"> </w:t>
      </w:r>
      <w:r w:rsidR="00F5001B" w:rsidRPr="001271B1">
        <w:rPr>
          <w:i/>
          <w:iCs/>
        </w:rPr>
        <w:t>R</w:t>
      </w:r>
      <w:r w:rsidRPr="001271B1">
        <w:rPr>
          <w:i/>
          <w:iCs/>
        </w:rPr>
        <w:t xml:space="preserve">ight to </w:t>
      </w:r>
      <w:r w:rsidR="00F5001B" w:rsidRPr="001271B1">
        <w:rPr>
          <w:i/>
          <w:iCs/>
        </w:rPr>
        <w:t>R</w:t>
      </w:r>
      <w:r w:rsidRPr="001271B1">
        <w:rPr>
          <w:i/>
          <w:iCs/>
        </w:rPr>
        <w:t xml:space="preserve">espect of </w:t>
      </w:r>
      <w:r w:rsidR="00F5001B" w:rsidRPr="001271B1">
        <w:rPr>
          <w:i/>
          <w:iCs/>
        </w:rPr>
        <w:t>P</w:t>
      </w:r>
      <w:r w:rsidRPr="001271B1">
        <w:rPr>
          <w:i/>
          <w:iCs/>
        </w:rPr>
        <w:t xml:space="preserve">rivacy, </w:t>
      </w:r>
      <w:r w:rsidR="00F5001B" w:rsidRPr="001271B1">
        <w:rPr>
          <w:i/>
          <w:iCs/>
        </w:rPr>
        <w:t>F</w:t>
      </w:r>
      <w:r w:rsidRPr="001271B1">
        <w:rPr>
          <w:i/>
          <w:iCs/>
        </w:rPr>
        <w:t xml:space="preserve">amily, </w:t>
      </w:r>
      <w:r w:rsidR="00F5001B" w:rsidRPr="001271B1">
        <w:rPr>
          <w:i/>
          <w:iCs/>
        </w:rPr>
        <w:t>H</w:t>
      </w:r>
      <w:r w:rsidRPr="001271B1">
        <w:rPr>
          <w:i/>
          <w:iCs/>
        </w:rPr>
        <w:t xml:space="preserve">ome and </w:t>
      </w:r>
      <w:r w:rsidR="00F5001B" w:rsidRPr="001271B1">
        <w:rPr>
          <w:i/>
          <w:iCs/>
        </w:rPr>
        <w:t>C</w:t>
      </w:r>
      <w:r w:rsidRPr="001271B1">
        <w:rPr>
          <w:i/>
          <w:iCs/>
        </w:rPr>
        <w:t xml:space="preserve">orrespondence, and </w:t>
      </w:r>
      <w:r w:rsidR="00F5001B" w:rsidRPr="001271B1">
        <w:rPr>
          <w:i/>
          <w:iCs/>
        </w:rPr>
        <w:t>P</w:t>
      </w:r>
      <w:r w:rsidRPr="001271B1">
        <w:rPr>
          <w:i/>
          <w:iCs/>
        </w:rPr>
        <w:t xml:space="preserve">rotection of </w:t>
      </w:r>
      <w:r w:rsidR="00F5001B" w:rsidRPr="001271B1">
        <w:rPr>
          <w:i/>
          <w:iCs/>
        </w:rPr>
        <w:t>H</w:t>
      </w:r>
      <w:r w:rsidRPr="001271B1">
        <w:rPr>
          <w:i/>
          <w:iCs/>
        </w:rPr>
        <w:t xml:space="preserve">onour and </w:t>
      </w:r>
      <w:r w:rsidR="00F5001B" w:rsidRPr="001271B1">
        <w:rPr>
          <w:i/>
          <w:iCs/>
        </w:rPr>
        <w:t>R</w:t>
      </w:r>
      <w:r w:rsidR="001B0C26">
        <w:rPr>
          <w:i/>
          <w:iCs/>
        </w:rPr>
        <w:t>e</w:t>
      </w:r>
      <w:r w:rsidRPr="001271B1">
        <w:rPr>
          <w:i/>
          <w:iCs/>
        </w:rPr>
        <w:t>putation</w:t>
      </w:r>
      <w:r w:rsidRPr="00C56DF2">
        <w:t>, 32</w:t>
      </w:r>
      <w:r w:rsidRPr="00C56DF2">
        <w:rPr>
          <w:vertAlign w:val="superscript"/>
        </w:rPr>
        <w:t>nd</w:t>
      </w:r>
      <w:r w:rsidRPr="00C56DF2">
        <w:t xml:space="preserve"> </w:t>
      </w:r>
      <w:proofErr w:type="spellStart"/>
      <w:r w:rsidRPr="00C56DF2">
        <w:t>sess</w:t>
      </w:r>
      <w:proofErr w:type="spellEnd"/>
      <w:r w:rsidRPr="00C56DF2">
        <w:t xml:space="preserve"> (8 April 1988). United Nations Human Rights Committee, </w:t>
      </w:r>
      <w:r w:rsidRPr="001271B1">
        <w:rPr>
          <w:i/>
          <w:iCs/>
        </w:rPr>
        <w:t xml:space="preserve">General </w:t>
      </w:r>
      <w:r w:rsidR="00F5001B" w:rsidRPr="001271B1">
        <w:rPr>
          <w:i/>
          <w:iCs/>
        </w:rPr>
        <w:t>C</w:t>
      </w:r>
      <w:r w:rsidRPr="001271B1">
        <w:rPr>
          <w:i/>
          <w:iCs/>
        </w:rPr>
        <w:t xml:space="preserve">omment No 19: </w:t>
      </w:r>
      <w:r w:rsidR="00F5001B" w:rsidRPr="001271B1">
        <w:rPr>
          <w:i/>
          <w:iCs/>
        </w:rPr>
        <w:t xml:space="preserve">Article 23 (The </w:t>
      </w:r>
      <w:r w:rsidRPr="001271B1">
        <w:rPr>
          <w:i/>
          <w:iCs/>
        </w:rPr>
        <w:t>Protection of the Family, the Right to Marriage and Equality of the Spouses</w:t>
      </w:r>
      <w:r w:rsidRPr="00C56DF2">
        <w:t>, 39</w:t>
      </w:r>
      <w:r w:rsidRPr="00C56DF2">
        <w:rPr>
          <w:vertAlign w:val="superscript"/>
        </w:rPr>
        <w:t>th</w:t>
      </w:r>
      <w:r w:rsidRPr="00C56DF2">
        <w:t xml:space="preserve"> </w:t>
      </w:r>
      <w:proofErr w:type="spellStart"/>
      <w:r w:rsidRPr="00C56DF2">
        <w:t>sess</w:t>
      </w:r>
      <w:proofErr w:type="spellEnd"/>
      <w:r w:rsidRPr="00C56DF2">
        <w:t xml:space="preserve"> (27 July 1990).</w:t>
      </w:r>
      <w:r w:rsidR="006C69CD">
        <w:t xml:space="preserve"> </w:t>
      </w:r>
      <w:r w:rsidRPr="00C56DF2">
        <w:t xml:space="preserve">See also </w:t>
      </w:r>
      <w:r w:rsidRPr="00C56DF2">
        <w:rPr>
          <w:i/>
          <w:iCs/>
        </w:rPr>
        <w:t>Hendriks v Netherlands</w:t>
      </w:r>
      <w:r w:rsidRPr="00C56DF2">
        <w:t xml:space="preserve"> (201/85), </w:t>
      </w:r>
      <w:r w:rsidRPr="00C56DF2">
        <w:rPr>
          <w:i/>
          <w:iCs/>
        </w:rPr>
        <w:t>X v Colombia</w:t>
      </w:r>
      <w:r w:rsidRPr="00C56DF2">
        <w:t xml:space="preserve"> (1361/05), </w:t>
      </w:r>
      <w:r w:rsidRPr="00C56DF2">
        <w:rPr>
          <w:i/>
          <w:iCs/>
        </w:rPr>
        <w:t xml:space="preserve">Balaguer </w:t>
      </w:r>
      <w:proofErr w:type="spellStart"/>
      <w:r w:rsidRPr="00C56DF2">
        <w:rPr>
          <w:i/>
          <w:iCs/>
        </w:rPr>
        <w:t>Santacana</w:t>
      </w:r>
      <w:proofErr w:type="spellEnd"/>
      <w:r w:rsidRPr="00C56DF2">
        <w:rPr>
          <w:i/>
          <w:iCs/>
        </w:rPr>
        <w:t xml:space="preserve"> v Spain</w:t>
      </w:r>
      <w:r w:rsidRPr="00C56DF2">
        <w:t xml:space="preserve"> (417/90), </w:t>
      </w:r>
      <w:proofErr w:type="spellStart"/>
      <w:r w:rsidRPr="00C56DF2">
        <w:rPr>
          <w:i/>
          <w:iCs/>
        </w:rPr>
        <w:t>Hopu</w:t>
      </w:r>
      <w:proofErr w:type="spellEnd"/>
      <w:r w:rsidRPr="00C56DF2">
        <w:rPr>
          <w:i/>
          <w:iCs/>
        </w:rPr>
        <w:t xml:space="preserve"> and </w:t>
      </w:r>
      <w:proofErr w:type="spellStart"/>
      <w:r w:rsidRPr="00C56DF2">
        <w:rPr>
          <w:i/>
          <w:iCs/>
        </w:rPr>
        <w:t>Bessert</w:t>
      </w:r>
      <w:proofErr w:type="spellEnd"/>
      <w:r w:rsidRPr="00C56DF2">
        <w:rPr>
          <w:i/>
          <w:iCs/>
        </w:rPr>
        <w:t xml:space="preserve"> v France</w:t>
      </w:r>
      <w:r w:rsidRPr="00C56DF2">
        <w:t xml:space="preserve"> (549/93).</w:t>
      </w:r>
    </w:p>
  </w:footnote>
  <w:footnote w:id="13">
    <w:p w14:paraId="44240F0F" w14:textId="77777777" w:rsidR="00A02C61" w:rsidRDefault="00A02C61" w:rsidP="00A02C61">
      <w:pPr>
        <w:pStyle w:val="FootnoteText"/>
      </w:pPr>
      <w:r>
        <w:rPr>
          <w:rStyle w:val="FootnoteReference"/>
        </w:rPr>
        <w:footnoteRef/>
      </w:r>
      <w:r>
        <w:t xml:space="preserve"> This was recognised by Queensland Civil and Administrative Tribunal in </w:t>
      </w:r>
      <w:r w:rsidRPr="007E4116">
        <w:rPr>
          <w:i/>
          <w:iCs/>
        </w:rPr>
        <w:t>NN and IN v Department of Child Safety, Youth and Women</w:t>
      </w:r>
      <w:r>
        <w:t xml:space="preserve"> [2020] QCAT 126, 22-28.</w:t>
      </w:r>
    </w:p>
  </w:footnote>
  <w:footnote w:id="14">
    <w:p w14:paraId="7B653ECE" w14:textId="77777777" w:rsidR="00A02C61" w:rsidRDefault="00A02C61" w:rsidP="00A02C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1634">
        <w:t>Explanatory Notes, Human Rights Bill 2018</w:t>
      </w:r>
      <w:r>
        <w:t xml:space="preserve"> (Qld),</w:t>
      </w:r>
      <w:r w:rsidRPr="00251634">
        <w:t xml:space="preserve"> 22.</w:t>
      </w:r>
    </w:p>
  </w:footnote>
  <w:footnote w:id="15">
    <w:p w14:paraId="5EFC8D4B" w14:textId="683ED623" w:rsidR="004E48D2" w:rsidRDefault="004E48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30FB">
        <w:t xml:space="preserve">Queensland Human Rights Commission, </w:t>
      </w:r>
      <w:r w:rsidRPr="00C72A87">
        <w:rPr>
          <w:i/>
          <w:iCs/>
        </w:rPr>
        <w:t>Building belonging</w:t>
      </w:r>
      <w:r w:rsidR="00F530FB" w:rsidRPr="00C72A87">
        <w:rPr>
          <w:i/>
          <w:iCs/>
        </w:rPr>
        <w:t xml:space="preserve"> – Review of Queensland’s Anti-Discrimination Act 1991</w:t>
      </w:r>
      <w:r w:rsidR="00F530FB">
        <w:t xml:space="preserve"> </w:t>
      </w:r>
      <w:r w:rsidR="00D02F32">
        <w:t>(</w:t>
      </w:r>
      <w:r w:rsidR="00F530FB">
        <w:t>July 2022</w:t>
      </w:r>
      <w:r w:rsidR="00D02F32">
        <w:t>)</w:t>
      </w:r>
      <w:r w:rsidR="00F530FB">
        <w:t xml:space="preserve"> </w:t>
      </w:r>
      <w:r>
        <w:t>315</w:t>
      </w:r>
      <w:r w:rsidR="00F530FB">
        <w:t>.</w:t>
      </w:r>
    </w:p>
  </w:footnote>
  <w:footnote w:id="16">
    <w:p w14:paraId="489DD268" w14:textId="36FD4DE3" w:rsidR="004E48D2" w:rsidRDefault="004E48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30FB">
        <w:t xml:space="preserve">Queensland Human Rights Commission, </w:t>
      </w:r>
      <w:r w:rsidR="00F530FB" w:rsidRPr="00C72A87">
        <w:rPr>
          <w:i/>
          <w:iCs/>
        </w:rPr>
        <w:t>Building belonging – Review of Queensland’s Anti-Discrimination Act 1991</w:t>
      </w:r>
      <w:r w:rsidR="00F530FB">
        <w:t xml:space="preserve"> </w:t>
      </w:r>
      <w:r w:rsidR="00D02F32">
        <w:t>(</w:t>
      </w:r>
      <w:r w:rsidR="00F530FB">
        <w:t>July 2022</w:t>
      </w:r>
      <w:r w:rsidR="00D02F32">
        <w:t>)</w:t>
      </w:r>
      <w:r w:rsidR="00F530FB">
        <w:t xml:space="preserve"> </w:t>
      </w:r>
      <w:r>
        <w:t>280</w:t>
      </w:r>
      <w:r w:rsidR="00F530FB">
        <w:t>.</w:t>
      </w:r>
    </w:p>
  </w:footnote>
  <w:footnote w:id="17">
    <w:p w14:paraId="2CC24D09" w14:textId="2A41E736" w:rsidR="00F07C9B" w:rsidRDefault="00F07C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07C9B">
        <w:rPr>
          <w:i/>
          <w:iCs/>
        </w:rPr>
        <w:t>Public Health Act 2005</w:t>
      </w:r>
      <w:r>
        <w:t xml:space="preserve"> (Qld) s 213G.</w:t>
      </w:r>
    </w:p>
  </w:footnote>
  <w:footnote w:id="18">
    <w:p w14:paraId="1949C973" w14:textId="218867BC" w:rsidR="00254FAE" w:rsidRDefault="00254F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30FB">
        <w:t xml:space="preserve">Queensland Human Rights Commission, </w:t>
      </w:r>
      <w:r w:rsidR="00F530FB" w:rsidRPr="00C72A87">
        <w:rPr>
          <w:i/>
          <w:iCs/>
        </w:rPr>
        <w:t>Building belonging – Review of Queensland’s Anti-Discrimination Act 1991</w:t>
      </w:r>
      <w:r w:rsidR="00F530FB">
        <w:t xml:space="preserve"> </w:t>
      </w:r>
      <w:r w:rsidR="00A2738B">
        <w:t>(</w:t>
      </w:r>
      <w:r w:rsidR="00F530FB">
        <w:t>July 2022</w:t>
      </w:r>
      <w:r w:rsidR="00A2738B">
        <w:t>)</w:t>
      </w:r>
      <w:r w:rsidR="00F530FB">
        <w:t xml:space="preserve"> </w:t>
      </w:r>
      <w:r>
        <w:t>398</w:t>
      </w:r>
      <w:r w:rsidR="00F530FB">
        <w:t>.</w:t>
      </w:r>
    </w:p>
  </w:footnote>
  <w:footnote w:id="19">
    <w:p w14:paraId="25B861B4" w14:textId="6DE4E135" w:rsidR="00F54D78" w:rsidRDefault="00F54D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578B0">
        <w:t xml:space="preserve">Births, </w:t>
      </w:r>
      <w:proofErr w:type="gramStart"/>
      <w:r w:rsidR="000578B0">
        <w:t>Deaths</w:t>
      </w:r>
      <w:proofErr w:type="gramEnd"/>
      <w:r w:rsidR="000578B0">
        <w:t xml:space="preserve"> and Marriages Registration Bill 2022 </w:t>
      </w:r>
      <w:proofErr w:type="spellStart"/>
      <w:r w:rsidR="000578B0">
        <w:t>c</w:t>
      </w:r>
      <w:r>
        <w:t>l</w:t>
      </w:r>
      <w:r w:rsidR="00F530FB">
        <w:t>s</w:t>
      </w:r>
      <w:proofErr w:type="spellEnd"/>
      <w:r>
        <w:t xml:space="preserve"> 47, 58, 128.</w:t>
      </w:r>
    </w:p>
  </w:footnote>
  <w:footnote w:id="20">
    <w:p w14:paraId="63884BCC" w14:textId="77777777" w:rsidR="00FC62F2" w:rsidRPr="006B2F41" w:rsidRDefault="00FC62F2" w:rsidP="00FC62F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Explanatory Notes, Births, </w:t>
      </w:r>
      <w:proofErr w:type="gramStart"/>
      <w:r>
        <w:t>Deaths</w:t>
      </w:r>
      <w:proofErr w:type="gramEnd"/>
      <w:r>
        <w:t xml:space="preserve"> and Marriages Registration Bill 2022, 12.</w:t>
      </w:r>
    </w:p>
  </w:footnote>
  <w:footnote w:id="21">
    <w:p w14:paraId="019D7DE5" w14:textId="5A5A55FD" w:rsidR="00DE764A" w:rsidRPr="002C6F3E" w:rsidRDefault="006B2F4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Explanatory Notes, Births, </w:t>
      </w:r>
      <w:proofErr w:type="gramStart"/>
      <w:r>
        <w:t>Deaths</w:t>
      </w:r>
      <w:proofErr w:type="gramEnd"/>
      <w:r>
        <w:t xml:space="preserve"> and Marriages Registration Bill 2022, 13</w:t>
      </w:r>
      <w:r w:rsidR="005C14E1">
        <w:t>.</w:t>
      </w:r>
    </w:p>
  </w:footnote>
  <w:footnote w:id="22">
    <w:p w14:paraId="64657233" w14:textId="0CE9CC13" w:rsidR="007C395C" w:rsidRDefault="007C395C">
      <w:pPr>
        <w:pStyle w:val="FootnoteText"/>
      </w:pPr>
      <w:r>
        <w:rPr>
          <w:rStyle w:val="FootnoteReference"/>
        </w:rPr>
        <w:footnoteRef/>
      </w:r>
      <w:r>
        <w:t xml:space="preserve"> Explanatory Notes, Births, </w:t>
      </w:r>
      <w:proofErr w:type="gramStart"/>
      <w:r>
        <w:t>Deaths</w:t>
      </w:r>
      <w:proofErr w:type="gramEnd"/>
      <w:r>
        <w:t xml:space="preserve"> and Marriages Registration Bill 2022, 13.</w:t>
      </w:r>
    </w:p>
  </w:footnote>
  <w:footnote w:id="23">
    <w:p w14:paraId="0D10FE52" w14:textId="6731F823" w:rsidR="004B70AD" w:rsidRPr="0069639B" w:rsidRDefault="004B70AD">
      <w:pPr>
        <w:pStyle w:val="FootnoteText"/>
      </w:pPr>
      <w:r>
        <w:rPr>
          <w:rStyle w:val="FootnoteReference"/>
        </w:rPr>
        <w:footnoteRef/>
      </w:r>
      <w:r>
        <w:t xml:space="preserve"> For instance, the </w:t>
      </w:r>
      <w:r>
        <w:rPr>
          <w:i/>
          <w:iCs/>
        </w:rPr>
        <w:t xml:space="preserve">Termination of Pregnancy Act 2018 </w:t>
      </w:r>
      <w:r>
        <w:t>s 10 states that a ‘woman’ does not commit an offence for termination on herself</w:t>
      </w:r>
      <w:r w:rsidR="0069639B">
        <w:t xml:space="preserve">; </w:t>
      </w:r>
      <w:r w:rsidR="0069639B">
        <w:rPr>
          <w:i/>
          <w:iCs/>
        </w:rPr>
        <w:t xml:space="preserve">Surrogacy Act 2010 </w:t>
      </w:r>
      <w:r w:rsidR="0069639B">
        <w:t>s 7</w:t>
      </w:r>
      <w:r w:rsidR="0069639B">
        <w:rPr>
          <w:i/>
          <w:iCs/>
        </w:rPr>
        <w:t xml:space="preserve"> </w:t>
      </w:r>
      <w:r w:rsidR="0069639B">
        <w:t>refers to a surrogacy arrangement between a ‘woman’ and another person or persons.</w:t>
      </w:r>
    </w:p>
  </w:footnote>
  <w:footnote w:id="24">
    <w:p w14:paraId="2D4766FC" w14:textId="4256E568" w:rsidR="006D7CB1" w:rsidRPr="006D7CB1" w:rsidRDefault="006D7C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AB v WA </w:t>
      </w:r>
      <w:r>
        <w:t>[2011] HCA 42.</w:t>
      </w:r>
    </w:p>
  </w:footnote>
  <w:footnote w:id="25">
    <w:p w14:paraId="7C673532" w14:textId="0C5C36D9" w:rsidR="00AC0E98" w:rsidRDefault="00AC0E98" w:rsidP="00AC0E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7C3F" w:rsidRPr="00A17C3F">
        <w:rPr>
          <w:i/>
          <w:iCs/>
        </w:rPr>
        <w:t xml:space="preserve">Births, </w:t>
      </w:r>
      <w:proofErr w:type="gramStart"/>
      <w:r w:rsidR="00A17C3F" w:rsidRPr="00A17C3F">
        <w:rPr>
          <w:i/>
          <w:iCs/>
        </w:rPr>
        <w:t>Deaths</w:t>
      </w:r>
      <w:proofErr w:type="gramEnd"/>
      <w:r w:rsidR="00A17C3F" w:rsidRPr="00A17C3F">
        <w:rPr>
          <w:i/>
          <w:iCs/>
        </w:rPr>
        <w:t xml:space="preserve"> and Marriages Registration Act</w:t>
      </w:r>
      <w:r>
        <w:t xml:space="preserve"> </w:t>
      </w:r>
      <w:r w:rsidR="00A17C3F">
        <w:rPr>
          <w:i/>
          <w:iCs/>
        </w:rPr>
        <w:t xml:space="preserve">1999 </w:t>
      </w:r>
      <w:r w:rsidR="00A17C3F">
        <w:t>(</w:t>
      </w:r>
      <w:r>
        <w:t>Tas</w:t>
      </w:r>
      <w:r w:rsidR="00A17C3F">
        <w:t>)</w:t>
      </w:r>
      <w:r>
        <w:t xml:space="preserve"> s</w:t>
      </w:r>
      <w:r w:rsidR="00515021">
        <w:t xml:space="preserve"> </w:t>
      </w:r>
      <w:r>
        <w:t>28D</w:t>
      </w:r>
      <w:r w:rsidR="00095948">
        <w:t xml:space="preserve">, as amended by the </w:t>
      </w:r>
      <w:r w:rsidR="00095948" w:rsidRPr="00B7448D">
        <w:rPr>
          <w:i/>
          <w:iCs/>
        </w:rPr>
        <w:t>Justice and Related Legislation (Marriage and Gender Amendments) Act 2019</w:t>
      </w:r>
      <w:r>
        <w:t>.</w:t>
      </w:r>
    </w:p>
  </w:footnote>
  <w:footnote w:id="26">
    <w:p w14:paraId="1E70AFC9" w14:textId="6432C366" w:rsidR="00AC0E98" w:rsidRDefault="00AC0E98" w:rsidP="00AC0E98">
      <w:pPr>
        <w:pStyle w:val="FootnoteText"/>
      </w:pPr>
      <w:r>
        <w:rPr>
          <w:rStyle w:val="FootnoteReference"/>
        </w:rPr>
        <w:footnoteRef/>
      </w:r>
      <w:r>
        <w:t xml:space="preserve"> Tasmanian Law Reform Institute, </w:t>
      </w:r>
      <w:r w:rsidRPr="00B03680">
        <w:rPr>
          <w:i/>
          <w:iCs/>
        </w:rPr>
        <w:t>Legal Recognition of Sex and Gender</w:t>
      </w:r>
      <w:r>
        <w:t xml:space="preserve"> (Final Report No. 31, June 2020</w:t>
      </w:r>
      <w:r w:rsidR="000D652E">
        <w:t>).</w:t>
      </w:r>
      <w:r>
        <w:t xml:space="preserve"> </w:t>
      </w:r>
      <w:r w:rsidR="000D652E">
        <w:t>S</w:t>
      </w:r>
      <w:r>
        <w:t>ee</w:t>
      </w:r>
      <w:proofErr w:type="gramStart"/>
      <w:r w:rsidR="003C2B07">
        <w:t>,</w:t>
      </w:r>
      <w:r>
        <w:t xml:space="preserve"> in particular</w:t>
      </w:r>
      <w:r w:rsidR="003C2B07">
        <w:t>,</w:t>
      </w:r>
      <w:r>
        <w:t xml:space="preserve"> Appendix</w:t>
      </w:r>
      <w:proofErr w:type="gramEnd"/>
      <w:r>
        <w:t xml:space="preserve"> 3.</w:t>
      </w:r>
    </w:p>
  </w:footnote>
  <w:footnote w:id="27">
    <w:p w14:paraId="721EB510" w14:textId="0A7F05D0" w:rsidR="00014D55" w:rsidRDefault="00014D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E5F8D">
        <w:t>Noting that t</w:t>
      </w:r>
      <w:r>
        <w:t xml:space="preserve">he existing change of name process in section 25 </w:t>
      </w:r>
      <w:r>
        <w:rPr>
          <w:i/>
          <w:iCs/>
        </w:rPr>
        <w:t xml:space="preserve">Corrective Services Act 2006 </w:t>
      </w:r>
      <w:r>
        <w:t xml:space="preserve">is also amended by the </w:t>
      </w:r>
      <w:r w:rsidR="008D6614">
        <w:t>Bill in</w:t>
      </w:r>
      <w:r w:rsidR="00021659">
        <w:t xml:space="preserve"> cl 164 </w:t>
      </w:r>
      <w:r>
        <w:t xml:space="preserve">to amend the </w:t>
      </w:r>
      <w:r w:rsidR="009E5F8D">
        <w:t>wording</w:t>
      </w:r>
      <w:r>
        <w:t xml:space="preserve"> and </w:t>
      </w:r>
      <w:r w:rsidR="009E5F8D">
        <w:t xml:space="preserve">to </w:t>
      </w:r>
      <w:r>
        <w:t>expand the relevant considerations.</w:t>
      </w:r>
    </w:p>
  </w:footnote>
  <w:footnote w:id="28">
    <w:p w14:paraId="3FB04264" w14:textId="3EF7F880" w:rsidR="00D5650B" w:rsidRDefault="00D565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569B">
        <w:t>Statement of Compatibility</w:t>
      </w:r>
      <w:r w:rsidR="00506C9D">
        <w:t xml:space="preserve">, Births, </w:t>
      </w:r>
      <w:proofErr w:type="gramStart"/>
      <w:r w:rsidR="00506C9D">
        <w:t>Deaths</w:t>
      </w:r>
      <w:proofErr w:type="gramEnd"/>
      <w:r w:rsidR="00506C9D">
        <w:t xml:space="preserve"> and Marriages Registration Bill 2022, 21.</w:t>
      </w:r>
    </w:p>
  </w:footnote>
  <w:footnote w:id="29">
    <w:p w14:paraId="1C5F8D00" w14:textId="106AE260" w:rsidR="00786989" w:rsidRDefault="00786989" w:rsidP="00786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569B">
        <w:t xml:space="preserve">Statement of Compatibility, Births, </w:t>
      </w:r>
      <w:proofErr w:type="gramStart"/>
      <w:r w:rsidR="002B569B">
        <w:t>Deaths</w:t>
      </w:r>
      <w:proofErr w:type="gramEnd"/>
      <w:r w:rsidR="002B569B">
        <w:t xml:space="preserve"> and Marriages Registration Bill 2022, </w:t>
      </w:r>
      <w:r>
        <w:t>21</w:t>
      </w:r>
      <w:r w:rsidR="002B569B">
        <w:t>.</w:t>
      </w:r>
    </w:p>
  </w:footnote>
  <w:footnote w:id="30">
    <w:p w14:paraId="38BEC2E0" w14:textId="77777777" w:rsidR="00097D3B" w:rsidRDefault="00097D3B" w:rsidP="00097D3B">
      <w:pPr>
        <w:pStyle w:val="FootnoteText"/>
      </w:pPr>
      <w:r>
        <w:rPr>
          <w:rStyle w:val="FootnoteReference"/>
        </w:rPr>
        <w:footnoteRef/>
      </w:r>
      <w:r>
        <w:t xml:space="preserve"> Statement of Compatibility, Births, </w:t>
      </w:r>
      <w:proofErr w:type="gramStart"/>
      <w:r>
        <w:t>Deaths</w:t>
      </w:r>
      <w:proofErr w:type="gramEnd"/>
      <w:r>
        <w:t xml:space="preserve"> and Marriages Registration Bill 2022, 24.</w:t>
      </w:r>
    </w:p>
  </w:footnote>
  <w:footnote w:id="31">
    <w:p w14:paraId="298AC6FF" w14:textId="00373314" w:rsidR="00D5650B" w:rsidRDefault="00D565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569B">
        <w:t xml:space="preserve">Statement of Compatibility, Births, </w:t>
      </w:r>
      <w:proofErr w:type="gramStart"/>
      <w:r w:rsidR="002B569B">
        <w:t>Deaths</w:t>
      </w:r>
      <w:proofErr w:type="gramEnd"/>
      <w:r w:rsidR="002B569B">
        <w:t xml:space="preserve"> and Marriages Registration Bill 2022, </w:t>
      </w:r>
      <w:r>
        <w:t>22</w:t>
      </w:r>
      <w:r w:rsidR="002B569B">
        <w:t>.</w:t>
      </w:r>
    </w:p>
  </w:footnote>
  <w:footnote w:id="32">
    <w:p w14:paraId="4E887633" w14:textId="43FB498B" w:rsidR="00D1281C" w:rsidRDefault="00D128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569B">
        <w:t xml:space="preserve">Statement of Compatibility, Births, </w:t>
      </w:r>
      <w:proofErr w:type="gramStart"/>
      <w:r w:rsidR="002B569B">
        <w:t>Deaths</w:t>
      </w:r>
      <w:proofErr w:type="gramEnd"/>
      <w:r w:rsidR="002B569B">
        <w:t xml:space="preserve"> and Marriages Registration Bill 2022, 23-24.</w:t>
      </w:r>
    </w:p>
  </w:footnote>
  <w:footnote w:id="33">
    <w:p w14:paraId="4DE82CFC" w14:textId="277B06BB" w:rsidR="00AC1679" w:rsidRDefault="00AC16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569B">
        <w:t xml:space="preserve">Statement of Compatibility, Births, </w:t>
      </w:r>
      <w:proofErr w:type="gramStart"/>
      <w:r w:rsidR="002B569B">
        <w:t>Deaths</w:t>
      </w:r>
      <w:proofErr w:type="gramEnd"/>
      <w:r w:rsidR="002B569B">
        <w:t xml:space="preserve"> and Marriages Registration Bill 2022, 22, 24.</w:t>
      </w:r>
    </w:p>
  </w:footnote>
  <w:footnote w:id="34">
    <w:p w14:paraId="59BC871E" w14:textId="11CA77E6" w:rsidR="005868C4" w:rsidRDefault="005868C4" w:rsidP="005868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569B">
        <w:t xml:space="preserve">Statement of Compatibility, Births, </w:t>
      </w:r>
      <w:proofErr w:type="gramStart"/>
      <w:r w:rsidR="002B569B">
        <w:t>Deaths</w:t>
      </w:r>
      <w:proofErr w:type="gramEnd"/>
      <w:r w:rsidR="002B569B">
        <w:t xml:space="preserve"> and Marriages Registration Bill 2022, 23.</w:t>
      </w:r>
    </w:p>
  </w:footnote>
  <w:footnote w:id="35">
    <w:p w14:paraId="67C7A15D" w14:textId="43C82D35" w:rsidR="00CA11B1" w:rsidRPr="00F16031" w:rsidRDefault="00CA11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11B1">
        <w:rPr>
          <w:i/>
          <w:iCs/>
        </w:rPr>
        <w:t xml:space="preserve">Births, </w:t>
      </w:r>
      <w:proofErr w:type="gramStart"/>
      <w:r w:rsidRPr="00CA11B1">
        <w:rPr>
          <w:i/>
          <w:iCs/>
        </w:rPr>
        <w:t>Deaths</w:t>
      </w:r>
      <w:proofErr w:type="gramEnd"/>
      <w:r w:rsidRPr="00CA11B1">
        <w:rPr>
          <w:i/>
          <w:iCs/>
        </w:rPr>
        <w:t xml:space="preserve"> and Marriages Registration Act 1996</w:t>
      </w:r>
      <w:r>
        <w:rPr>
          <w:i/>
          <w:iCs/>
        </w:rPr>
        <w:t xml:space="preserve"> </w:t>
      </w:r>
      <w:r>
        <w:t>(</w:t>
      </w:r>
      <w:r w:rsidR="00F16031">
        <w:t>Vic</w:t>
      </w:r>
      <w:r>
        <w:t>) ss 30FB, 30FC, 30FD</w:t>
      </w:r>
      <w:r w:rsidR="00F16031">
        <w:t xml:space="preserve">; </w:t>
      </w:r>
      <w:r w:rsidR="00F16031">
        <w:rPr>
          <w:i/>
          <w:iCs/>
        </w:rPr>
        <w:t xml:space="preserve">Corrections Act 1986 </w:t>
      </w:r>
      <w:r w:rsidR="00F16031">
        <w:t xml:space="preserve">(Vic) Part 6 </w:t>
      </w:r>
      <w:proofErr w:type="spellStart"/>
      <w:r w:rsidR="00F16031">
        <w:t>Div</w:t>
      </w:r>
      <w:proofErr w:type="spellEnd"/>
      <w:r w:rsidR="00F16031">
        <w:t xml:space="preserve"> 6, </w:t>
      </w:r>
      <w:proofErr w:type="spellStart"/>
      <w:r w:rsidR="00F16031">
        <w:t>Div</w:t>
      </w:r>
      <w:proofErr w:type="spellEnd"/>
      <w:r w:rsidR="00F16031">
        <w:t xml:space="preserve"> 6A.</w:t>
      </w:r>
    </w:p>
  </w:footnote>
  <w:footnote w:id="36">
    <w:p w14:paraId="2EE2D606" w14:textId="2C0E1690" w:rsidR="00BA1B55" w:rsidRPr="00BA1B55" w:rsidRDefault="00BA1B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108D">
        <w:t>E.g.,</w:t>
      </w:r>
      <w:r w:rsidR="00F16031">
        <w:t xml:space="preserve"> Tasmania, Western Australia, Australian Capital Territory, Northern Territory,</w:t>
      </w:r>
      <w:r w:rsidR="00BA108D">
        <w:t xml:space="preserve"> South Australia have approval processes for change of name only.</w:t>
      </w:r>
    </w:p>
  </w:footnote>
  <w:footnote w:id="37">
    <w:p w14:paraId="43F9F3BE" w14:textId="648D53E9" w:rsidR="00E374F8" w:rsidRDefault="00E374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E5F8D">
        <w:t>In the Bill t</w:t>
      </w:r>
      <w:r>
        <w:t>hese are provided as examples of powers of the chief executive that would not be limited by the fact of giving written permission, in section 27AB.</w:t>
      </w:r>
    </w:p>
  </w:footnote>
  <w:footnote w:id="38">
    <w:p w14:paraId="66DAB0A8" w14:textId="7EE89BB5" w:rsidR="00A05AD9" w:rsidRDefault="00A05A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E5F8D">
        <w:t xml:space="preserve">Explanatory Notes, Births, </w:t>
      </w:r>
      <w:proofErr w:type="gramStart"/>
      <w:r w:rsidR="009E5F8D">
        <w:t>Deaths</w:t>
      </w:r>
      <w:proofErr w:type="gramEnd"/>
      <w:r w:rsidR="009E5F8D">
        <w:t xml:space="preserve"> and Marriages Registration Bill 2022, 72 </w:t>
      </w:r>
      <w:r>
        <w:t xml:space="preserve">– the </w:t>
      </w:r>
      <w:r w:rsidR="009E5F8D">
        <w:t>E</w:t>
      </w:r>
      <w:r>
        <w:t xml:space="preserve">xplanatory </w:t>
      </w:r>
      <w:r w:rsidR="009E5F8D">
        <w:t>N</w:t>
      </w:r>
      <w:r>
        <w:t>otes only restate that the fact of giving permission does not limit any powers of the chief executive.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799" w14:textId="77777777" w:rsidR="007C510E" w:rsidRPr="000731D3" w:rsidRDefault="007C510E" w:rsidP="000731D3">
    <w:pPr>
      <w:pStyle w:val="Header"/>
    </w:pPr>
  </w:p>
  <w:p w14:paraId="29F2502B" w14:textId="77777777" w:rsidR="004A0AE2" w:rsidRDefault="004A0A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C2A"/>
    <w:multiLevelType w:val="hybridMultilevel"/>
    <w:tmpl w:val="E242A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128"/>
    <w:multiLevelType w:val="hybridMultilevel"/>
    <w:tmpl w:val="9814AC18"/>
    <w:lvl w:ilvl="0" w:tplc="CED682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D6E33"/>
    <w:multiLevelType w:val="multilevel"/>
    <w:tmpl w:val="30AEE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73F"/>
    <w:multiLevelType w:val="hybridMultilevel"/>
    <w:tmpl w:val="32CABAFE"/>
    <w:lvl w:ilvl="0" w:tplc="98F8F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3A26"/>
    <w:multiLevelType w:val="hybridMultilevel"/>
    <w:tmpl w:val="F7B6C93E"/>
    <w:lvl w:ilvl="0" w:tplc="0C09001B">
      <w:start w:val="1"/>
      <w:numFmt w:val="lowerRoman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250E7E"/>
    <w:multiLevelType w:val="multilevel"/>
    <w:tmpl w:val="A980FD30"/>
    <w:lvl w:ilvl="0">
      <w:start w:val="1"/>
      <w:numFmt w:val="decimal"/>
      <w:pStyle w:val="Numberedparagrap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1D125F7B"/>
    <w:multiLevelType w:val="hybridMultilevel"/>
    <w:tmpl w:val="3A82095C"/>
    <w:lvl w:ilvl="0" w:tplc="9E9079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24F"/>
    <w:multiLevelType w:val="multilevel"/>
    <w:tmpl w:val="4918A2D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ind w:left="1134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8" w15:restartNumberingAfterBreak="0">
    <w:nsid w:val="31CD4209"/>
    <w:multiLevelType w:val="hybridMultilevel"/>
    <w:tmpl w:val="33304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77D8"/>
    <w:multiLevelType w:val="multilevel"/>
    <w:tmpl w:val="88BE498E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14587"/>
    <w:multiLevelType w:val="hybridMultilevel"/>
    <w:tmpl w:val="949A464C"/>
    <w:lvl w:ilvl="0" w:tplc="40928A58">
      <w:start w:val="1"/>
      <w:numFmt w:val="decimal"/>
      <w:lvlText w:val="%1."/>
      <w:lvlJc w:val="left"/>
      <w:pPr>
        <w:ind w:left="1077" w:hanging="360"/>
      </w:pPr>
    </w:lvl>
    <w:lvl w:ilvl="1" w:tplc="7098FF66">
      <w:start w:val="1"/>
      <w:numFmt w:val="lowerLetter"/>
      <w:lvlText w:val="(%2)"/>
      <w:lvlJc w:val="left"/>
      <w:pPr>
        <w:ind w:left="1797" w:hanging="360"/>
      </w:pPr>
      <w:rPr>
        <w:rFonts w:ascii="Arial" w:hAnsi="Arial" w:hint="default"/>
        <w:b w:val="0"/>
        <w:i w:val="0"/>
        <w:sz w:val="24"/>
      </w:rPr>
    </w:lvl>
    <w:lvl w:ilvl="2" w:tplc="B908F1CC">
      <w:start w:val="1"/>
      <w:numFmt w:val="lowerRoman"/>
      <w:lvlText w:val="(%3)"/>
      <w:lvlJc w:val="right"/>
      <w:pPr>
        <w:ind w:left="2517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E5F5D97"/>
    <w:multiLevelType w:val="hybridMultilevel"/>
    <w:tmpl w:val="8030149C"/>
    <w:lvl w:ilvl="0" w:tplc="5F94441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B80E0A"/>
    <w:multiLevelType w:val="hybridMultilevel"/>
    <w:tmpl w:val="6518AFD2"/>
    <w:lvl w:ilvl="0" w:tplc="59FC7D9C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50657E41"/>
    <w:multiLevelType w:val="multilevel"/>
    <w:tmpl w:val="30AEE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709BD"/>
    <w:multiLevelType w:val="hybridMultilevel"/>
    <w:tmpl w:val="9B5ED8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E01D7"/>
    <w:multiLevelType w:val="hybridMultilevel"/>
    <w:tmpl w:val="88BE498E"/>
    <w:lvl w:ilvl="0" w:tplc="7CC885D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4DE9"/>
    <w:multiLevelType w:val="multilevel"/>
    <w:tmpl w:val="30AEE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D5C79"/>
    <w:multiLevelType w:val="hybridMultilevel"/>
    <w:tmpl w:val="14A6805C"/>
    <w:lvl w:ilvl="0" w:tplc="7DCC61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0E217B"/>
    <w:multiLevelType w:val="multilevel"/>
    <w:tmpl w:val="CF9E7BC8"/>
    <w:lvl w:ilvl="0">
      <w:start w:val="1"/>
      <w:numFmt w:val="bullet"/>
      <w:pStyle w:val="Bulletedlist"/>
      <w:lvlText w:val=""/>
      <w:lvlJc w:val="left"/>
      <w:pPr>
        <w:ind w:left="128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27" w:hanging="283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96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4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0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6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33" w:hanging="357"/>
      </w:pPr>
      <w:rPr>
        <w:rFonts w:hint="default"/>
      </w:rPr>
    </w:lvl>
  </w:abstractNum>
  <w:abstractNum w:abstractNumId="19" w15:restartNumberingAfterBreak="0">
    <w:nsid w:val="68B65C2E"/>
    <w:multiLevelType w:val="hybridMultilevel"/>
    <w:tmpl w:val="273C9868"/>
    <w:lvl w:ilvl="0" w:tplc="0E3EE78A">
      <w:start w:val="1"/>
      <w:numFmt w:val="lowerRoman"/>
      <w:lvlText w:val="(%1)"/>
      <w:lvlJc w:val="left"/>
      <w:pPr>
        <w:ind w:left="1437" w:hanging="8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BC7826"/>
    <w:multiLevelType w:val="hybridMultilevel"/>
    <w:tmpl w:val="A86E13A4"/>
    <w:lvl w:ilvl="0" w:tplc="E94248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1C5E17"/>
    <w:multiLevelType w:val="hybridMultilevel"/>
    <w:tmpl w:val="9F448C52"/>
    <w:lvl w:ilvl="0" w:tplc="13620EE4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22" w15:restartNumberingAfterBreak="0">
    <w:nsid w:val="745E0806"/>
    <w:multiLevelType w:val="hybridMultilevel"/>
    <w:tmpl w:val="BCEA0F00"/>
    <w:lvl w:ilvl="0" w:tplc="0288536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9DE4B894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5E65B9D"/>
    <w:multiLevelType w:val="hybridMultilevel"/>
    <w:tmpl w:val="2018B146"/>
    <w:lvl w:ilvl="0" w:tplc="49720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18281">
    <w:abstractNumId w:val="15"/>
  </w:num>
  <w:num w:numId="2" w16cid:durableId="1896351402">
    <w:abstractNumId w:val="9"/>
  </w:num>
  <w:num w:numId="3" w16cid:durableId="1438135443">
    <w:abstractNumId w:val="21"/>
  </w:num>
  <w:num w:numId="4" w16cid:durableId="960113857">
    <w:abstractNumId w:val="10"/>
  </w:num>
  <w:num w:numId="5" w16cid:durableId="622424440">
    <w:abstractNumId w:val="13"/>
  </w:num>
  <w:num w:numId="6" w16cid:durableId="2097942843">
    <w:abstractNumId w:val="16"/>
  </w:num>
  <w:num w:numId="7" w16cid:durableId="1063410748">
    <w:abstractNumId w:val="2"/>
  </w:num>
  <w:num w:numId="8" w16cid:durableId="177041015">
    <w:abstractNumId w:val="11"/>
  </w:num>
  <w:num w:numId="9" w16cid:durableId="1223492274">
    <w:abstractNumId w:val="20"/>
  </w:num>
  <w:num w:numId="10" w16cid:durableId="41829205">
    <w:abstractNumId w:val="22"/>
  </w:num>
  <w:num w:numId="11" w16cid:durableId="759255139">
    <w:abstractNumId w:val="17"/>
  </w:num>
  <w:num w:numId="12" w16cid:durableId="773525414">
    <w:abstractNumId w:val="12"/>
  </w:num>
  <w:num w:numId="13" w16cid:durableId="1284732458">
    <w:abstractNumId w:val="5"/>
  </w:num>
  <w:num w:numId="14" w16cid:durableId="1702978533">
    <w:abstractNumId w:val="7"/>
  </w:num>
  <w:num w:numId="15" w16cid:durableId="1864247084">
    <w:abstractNumId w:val="10"/>
    <w:lvlOverride w:ilvl="0">
      <w:lvl w:ilvl="0" w:tplc="40928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7098FF66">
        <w:start w:val="1"/>
        <w:numFmt w:val="lowerLetter"/>
        <w:lvlText w:val="(%2)"/>
        <w:lvlJc w:val="left"/>
        <w:pPr>
          <w:ind w:left="1440" w:hanging="1083"/>
        </w:pPr>
        <w:rPr>
          <w:rFonts w:ascii="Arial" w:hAnsi="Arial" w:hint="default"/>
          <w:b w:val="0"/>
          <w:i w:val="0"/>
          <w:sz w:val="24"/>
        </w:rPr>
      </w:lvl>
    </w:lvlOverride>
    <w:lvlOverride w:ilvl="2">
      <w:lvl w:ilvl="2" w:tplc="B908F1CC">
        <w:start w:val="1"/>
        <w:numFmt w:val="lowerRoman"/>
        <w:lvlText w:val="(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212352281">
    <w:abstractNumId w:val="18"/>
  </w:num>
  <w:num w:numId="17" w16cid:durableId="65541523">
    <w:abstractNumId w:val="1"/>
  </w:num>
  <w:num w:numId="18" w16cid:durableId="1107656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1977503">
    <w:abstractNumId w:val="3"/>
  </w:num>
  <w:num w:numId="20" w16cid:durableId="1522090181">
    <w:abstractNumId w:val="8"/>
  </w:num>
  <w:num w:numId="21" w16cid:durableId="1510214795">
    <w:abstractNumId w:val="6"/>
  </w:num>
  <w:num w:numId="22" w16cid:durableId="2090035379">
    <w:abstractNumId w:val="14"/>
  </w:num>
  <w:num w:numId="23" w16cid:durableId="1727991604">
    <w:abstractNumId w:val="0"/>
  </w:num>
  <w:num w:numId="24" w16cid:durableId="1307854269">
    <w:abstractNumId w:val="23"/>
  </w:num>
  <w:num w:numId="25" w16cid:durableId="1854341733">
    <w:abstractNumId w:val="4"/>
  </w:num>
  <w:num w:numId="26" w16cid:durableId="1615361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90"/>
    <w:rsid w:val="00002F05"/>
    <w:rsid w:val="00003A88"/>
    <w:rsid w:val="00003DA4"/>
    <w:rsid w:val="0000523C"/>
    <w:rsid w:val="00007233"/>
    <w:rsid w:val="0001042C"/>
    <w:rsid w:val="000138A2"/>
    <w:rsid w:val="00014D55"/>
    <w:rsid w:val="00016B67"/>
    <w:rsid w:val="00017168"/>
    <w:rsid w:val="000177DD"/>
    <w:rsid w:val="00020031"/>
    <w:rsid w:val="00021659"/>
    <w:rsid w:val="00021907"/>
    <w:rsid w:val="0002351E"/>
    <w:rsid w:val="000245E9"/>
    <w:rsid w:val="00024EA4"/>
    <w:rsid w:val="00032CC4"/>
    <w:rsid w:val="00041E58"/>
    <w:rsid w:val="00044A7F"/>
    <w:rsid w:val="00045B46"/>
    <w:rsid w:val="00046477"/>
    <w:rsid w:val="000464C1"/>
    <w:rsid w:val="00047983"/>
    <w:rsid w:val="00052290"/>
    <w:rsid w:val="00054120"/>
    <w:rsid w:val="00054199"/>
    <w:rsid w:val="00054C34"/>
    <w:rsid w:val="00054EAE"/>
    <w:rsid w:val="00056960"/>
    <w:rsid w:val="00057023"/>
    <w:rsid w:val="000578B0"/>
    <w:rsid w:val="00057D21"/>
    <w:rsid w:val="00063EDF"/>
    <w:rsid w:val="00066323"/>
    <w:rsid w:val="0006782D"/>
    <w:rsid w:val="00072CE6"/>
    <w:rsid w:val="000731D3"/>
    <w:rsid w:val="00074746"/>
    <w:rsid w:val="00075AB0"/>
    <w:rsid w:val="00075D27"/>
    <w:rsid w:val="0007682B"/>
    <w:rsid w:val="00084206"/>
    <w:rsid w:val="00085A41"/>
    <w:rsid w:val="0008631B"/>
    <w:rsid w:val="00091EEF"/>
    <w:rsid w:val="00091FC9"/>
    <w:rsid w:val="00093A57"/>
    <w:rsid w:val="00095692"/>
    <w:rsid w:val="00095948"/>
    <w:rsid w:val="00095FBB"/>
    <w:rsid w:val="00096517"/>
    <w:rsid w:val="00097D3B"/>
    <w:rsid w:val="000A201B"/>
    <w:rsid w:val="000A2078"/>
    <w:rsid w:val="000A37CE"/>
    <w:rsid w:val="000A49AF"/>
    <w:rsid w:val="000B2ABF"/>
    <w:rsid w:val="000B6C72"/>
    <w:rsid w:val="000B794F"/>
    <w:rsid w:val="000C3824"/>
    <w:rsid w:val="000C6E1A"/>
    <w:rsid w:val="000D0CD0"/>
    <w:rsid w:val="000D37D1"/>
    <w:rsid w:val="000D49A5"/>
    <w:rsid w:val="000D652E"/>
    <w:rsid w:val="000E052F"/>
    <w:rsid w:val="000E1039"/>
    <w:rsid w:val="000E1170"/>
    <w:rsid w:val="000E2872"/>
    <w:rsid w:val="000E39A5"/>
    <w:rsid w:val="000F0BC1"/>
    <w:rsid w:val="000F16D4"/>
    <w:rsid w:val="000F4098"/>
    <w:rsid w:val="00102AAB"/>
    <w:rsid w:val="001030C9"/>
    <w:rsid w:val="00105217"/>
    <w:rsid w:val="00105D3C"/>
    <w:rsid w:val="0010663F"/>
    <w:rsid w:val="001066BD"/>
    <w:rsid w:val="00111DE9"/>
    <w:rsid w:val="001131D8"/>
    <w:rsid w:val="00115CB8"/>
    <w:rsid w:val="00121E6F"/>
    <w:rsid w:val="00124A35"/>
    <w:rsid w:val="001271B1"/>
    <w:rsid w:val="001304EE"/>
    <w:rsid w:val="00131862"/>
    <w:rsid w:val="001351EB"/>
    <w:rsid w:val="001362ED"/>
    <w:rsid w:val="00160CF6"/>
    <w:rsid w:val="00163706"/>
    <w:rsid w:val="001801E0"/>
    <w:rsid w:val="001825CB"/>
    <w:rsid w:val="00182865"/>
    <w:rsid w:val="00182E06"/>
    <w:rsid w:val="001866B9"/>
    <w:rsid w:val="00187D43"/>
    <w:rsid w:val="001916E4"/>
    <w:rsid w:val="0019203A"/>
    <w:rsid w:val="0019507D"/>
    <w:rsid w:val="00195E9F"/>
    <w:rsid w:val="00196475"/>
    <w:rsid w:val="001A12BD"/>
    <w:rsid w:val="001A548C"/>
    <w:rsid w:val="001A5976"/>
    <w:rsid w:val="001A6042"/>
    <w:rsid w:val="001A6565"/>
    <w:rsid w:val="001A6615"/>
    <w:rsid w:val="001B0C26"/>
    <w:rsid w:val="001B18CD"/>
    <w:rsid w:val="001B1A27"/>
    <w:rsid w:val="001B1E59"/>
    <w:rsid w:val="001B5470"/>
    <w:rsid w:val="001B57C6"/>
    <w:rsid w:val="001C01FD"/>
    <w:rsid w:val="001C127F"/>
    <w:rsid w:val="001C158B"/>
    <w:rsid w:val="001C1D15"/>
    <w:rsid w:val="001C2825"/>
    <w:rsid w:val="001D29D8"/>
    <w:rsid w:val="001D50C0"/>
    <w:rsid w:val="001D63E4"/>
    <w:rsid w:val="001D7758"/>
    <w:rsid w:val="001E0909"/>
    <w:rsid w:val="001E19FB"/>
    <w:rsid w:val="001E3A26"/>
    <w:rsid w:val="001E4FF7"/>
    <w:rsid w:val="001F0B70"/>
    <w:rsid w:val="001F118E"/>
    <w:rsid w:val="001F3F19"/>
    <w:rsid w:val="001F4416"/>
    <w:rsid w:val="001F5F4B"/>
    <w:rsid w:val="001F7759"/>
    <w:rsid w:val="00215BD7"/>
    <w:rsid w:val="002220BA"/>
    <w:rsid w:val="0022389A"/>
    <w:rsid w:val="00227178"/>
    <w:rsid w:val="00233F52"/>
    <w:rsid w:val="00235527"/>
    <w:rsid w:val="00237D8E"/>
    <w:rsid w:val="00240EF9"/>
    <w:rsid w:val="0024194E"/>
    <w:rsid w:val="0024209F"/>
    <w:rsid w:val="00242407"/>
    <w:rsid w:val="00252711"/>
    <w:rsid w:val="00252B28"/>
    <w:rsid w:val="00253B42"/>
    <w:rsid w:val="00254FAE"/>
    <w:rsid w:val="0025547F"/>
    <w:rsid w:val="00257FA1"/>
    <w:rsid w:val="002603C3"/>
    <w:rsid w:val="00260847"/>
    <w:rsid w:val="002715DA"/>
    <w:rsid w:val="0027503A"/>
    <w:rsid w:val="00276D6C"/>
    <w:rsid w:val="0028112C"/>
    <w:rsid w:val="00283D88"/>
    <w:rsid w:val="00284FF0"/>
    <w:rsid w:val="00285FB6"/>
    <w:rsid w:val="0028609D"/>
    <w:rsid w:val="00292C50"/>
    <w:rsid w:val="00293C9F"/>
    <w:rsid w:val="0029556C"/>
    <w:rsid w:val="002A03F1"/>
    <w:rsid w:val="002B4864"/>
    <w:rsid w:val="002B5659"/>
    <w:rsid w:val="002B569B"/>
    <w:rsid w:val="002B65D4"/>
    <w:rsid w:val="002C2F6A"/>
    <w:rsid w:val="002C54B2"/>
    <w:rsid w:val="002C6775"/>
    <w:rsid w:val="002C6F3E"/>
    <w:rsid w:val="002D386B"/>
    <w:rsid w:val="002D46A2"/>
    <w:rsid w:val="002E32E2"/>
    <w:rsid w:val="002E433B"/>
    <w:rsid w:val="002E654E"/>
    <w:rsid w:val="002E744F"/>
    <w:rsid w:val="002F0595"/>
    <w:rsid w:val="002F751F"/>
    <w:rsid w:val="0030094B"/>
    <w:rsid w:val="00304D5F"/>
    <w:rsid w:val="00305299"/>
    <w:rsid w:val="00310105"/>
    <w:rsid w:val="00310CB2"/>
    <w:rsid w:val="00312C2A"/>
    <w:rsid w:val="00315972"/>
    <w:rsid w:val="00315B0A"/>
    <w:rsid w:val="003169FE"/>
    <w:rsid w:val="003204FA"/>
    <w:rsid w:val="00321445"/>
    <w:rsid w:val="0032516B"/>
    <w:rsid w:val="0033216F"/>
    <w:rsid w:val="00332AF7"/>
    <w:rsid w:val="00333CE4"/>
    <w:rsid w:val="003371C1"/>
    <w:rsid w:val="0034134D"/>
    <w:rsid w:val="00344F59"/>
    <w:rsid w:val="00346096"/>
    <w:rsid w:val="00347FDB"/>
    <w:rsid w:val="00350D39"/>
    <w:rsid w:val="0035278F"/>
    <w:rsid w:val="00352864"/>
    <w:rsid w:val="0035286E"/>
    <w:rsid w:val="00352AAF"/>
    <w:rsid w:val="0035654D"/>
    <w:rsid w:val="00370336"/>
    <w:rsid w:val="0037129A"/>
    <w:rsid w:val="00372B6B"/>
    <w:rsid w:val="00372BCD"/>
    <w:rsid w:val="00373A77"/>
    <w:rsid w:val="00375C27"/>
    <w:rsid w:val="003847F0"/>
    <w:rsid w:val="00392522"/>
    <w:rsid w:val="00393776"/>
    <w:rsid w:val="00395332"/>
    <w:rsid w:val="003A3833"/>
    <w:rsid w:val="003A5A74"/>
    <w:rsid w:val="003A666E"/>
    <w:rsid w:val="003B0A61"/>
    <w:rsid w:val="003B197E"/>
    <w:rsid w:val="003B1B74"/>
    <w:rsid w:val="003B1E5F"/>
    <w:rsid w:val="003B2FB9"/>
    <w:rsid w:val="003B3926"/>
    <w:rsid w:val="003B7269"/>
    <w:rsid w:val="003C1B81"/>
    <w:rsid w:val="003C2709"/>
    <w:rsid w:val="003C2B07"/>
    <w:rsid w:val="003C443B"/>
    <w:rsid w:val="003C6A61"/>
    <w:rsid w:val="003D3AAC"/>
    <w:rsid w:val="003D5DC0"/>
    <w:rsid w:val="003D625C"/>
    <w:rsid w:val="003D7B92"/>
    <w:rsid w:val="003D7EBE"/>
    <w:rsid w:val="003E3485"/>
    <w:rsid w:val="003F2ABF"/>
    <w:rsid w:val="003F4112"/>
    <w:rsid w:val="003F6F7E"/>
    <w:rsid w:val="00403F1F"/>
    <w:rsid w:val="00405FDD"/>
    <w:rsid w:val="00417B99"/>
    <w:rsid w:val="004209D4"/>
    <w:rsid w:val="00421429"/>
    <w:rsid w:val="00426ED0"/>
    <w:rsid w:val="004303ED"/>
    <w:rsid w:val="004315F0"/>
    <w:rsid w:val="00431D51"/>
    <w:rsid w:val="00434083"/>
    <w:rsid w:val="00434368"/>
    <w:rsid w:val="004418EC"/>
    <w:rsid w:val="004424F3"/>
    <w:rsid w:val="0044518D"/>
    <w:rsid w:val="004513ED"/>
    <w:rsid w:val="00451416"/>
    <w:rsid w:val="004538FC"/>
    <w:rsid w:val="00454315"/>
    <w:rsid w:val="00454DDE"/>
    <w:rsid w:val="00454EBD"/>
    <w:rsid w:val="0045765D"/>
    <w:rsid w:val="00463BEF"/>
    <w:rsid w:val="00466216"/>
    <w:rsid w:val="00472DA3"/>
    <w:rsid w:val="00474973"/>
    <w:rsid w:val="00474B1E"/>
    <w:rsid w:val="00476A5D"/>
    <w:rsid w:val="00484EE6"/>
    <w:rsid w:val="00490B13"/>
    <w:rsid w:val="00490E32"/>
    <w:rsid w:val="00494D53"/>
    <w:rsid w:val="004A0AE2"/>
    <w:rsid w:val="004A2375"/>
    <w:rsid w:val="004A28E2"/>
    <w:rsid w:val="004A3F3A"/>
    <w:rsid w:val="004A6F71"/>
    <w:rsid w:val="004B0599"/>
    <w:rsid w:val="004B70AD"/>
    <w:rsid w:val="004B71ED"/>
    <w:rsid w:val="004C17FC"/>
    <w:rsid w:val="004C2886"/>
    <w:rsid w:val="004C68B0"/>
    <w:rsid w:val="004C73CA"/>
    <w:rsid w:val="004D4700"/>
    <w:rsid w:val="004E3D6B"/>
    <w:rsid w:val="004E48D2"/>
    <w:rsid w:val="004E58C1"/>
    <w:rsid w:val="004E59B8"/>
    <w:rsid w:val="004F2CB8"/>
    <w:rsid w:val="004F3BE6"/>
    <w:rsid w:val="004F4CB1"/>
    <w:rsid w:val="00500727"/>
    <w:rsid w:val="005009D5"/>
    <w:rsid w:val="00502924"/>
    <w:rsid w:val="00506C9D"/>
    <w:rsid w:val="00510695"/>
    <w:rsid w:val="00510F4B"/>
    <w:rsid w:val="005146D7"/>
    <w:rsid w:val="00515021"/>
    <w:rsid w:val="00516283"/>
    <w:rsid w:val="00517696"/>
    <w:rsid w:val="00517D74"/>
    <w:rsid w:val="00517FF3"/>
    <w:rsid w:val="005202A4"/>
    <w:rsid w:val="0052162D"/>
    <w:rsid w:val="0052495C"/>
    <w:rsid w:val="00530239"/>
    <w:rsid w:val="0053227E"/>
    <w:rsid w:val="00533075"/>
    <w:rsid w:val="005536E3"/>
    <w:rsid w:val="00560FA2"/>
    <w:rsid w:val="00563BF7"/>
    <w:rsid w:val="005653E2"/>
    <w:rsid w:val="005725BE"/>
    <w:rsid w:val="0057391D"/>
    <w:rsid w:val="00580083"/>
    <w:rsid w:val="005823F6"/>
    <w:rsid w:val="005828D3"/>
    <w:rsid w:val="00585115"/>
    <w:rsid w:val="005868C4"/>
    <w:rsid w:val="0059069A"/>
    <w:rsid w:val="005916EB"/>
    <w:rsid w:val="005934C7"/>
    <w:rsid w:val="005A7C66"/>
    <w:rsid w:val="005B404C"/>
    <w:rsid w:val="005B7E50"/>
    <w:rsid w:val="005C0564"/>
    <w:rsid w:val="005C14E1"/>
    <w:rsid w:val="005C1591"/>
    <w:rsid w:val="005C3FB8"/>
    <w:rsid w:val="005D2367"/>
    <w:rsid w:val="005D5653"/>
    <w:rsid w:val="005D5A16"/>
    <w:rsid w:val="005E0936"/>
    <w:rsid w:val="005E130F"/>
    <w:rsid w:val="005E3BAB"/>
    <w:rsid w:val="005E452A"/>
    <w:rsid w:val="005E5159"/>
    <w:rsid w:val="005E53E9"/>
    <w:rsid w:val="005F0F47"/>
    <w:rsid w:val="005F5EE2"/>
    <w:rsid w:val="00610BCE"/>
    <w:rsid w:val="00612DC7"/>
    <w:rsid w:val="00614691"/>
    <w:rsid w:val="00616018"/>
    <w:rsid w:val="00616C0F"/>
    <w:rsid w:val="00617E4F"/>
    <w:rsid w:val="0062063E"/>
    <w:rsid w:val="006252B6"/>
    <w:rsid w:val="00625665"/>
    <w:rsid w:val="00627334"/>
    <w:rsid w:val="006335BE"/>
    <w:rsid w:val="00642F71"/>
    <w:rsid w:val="00644E93"/>
    <w:rsid w:val="006466AD"/>
    <w:rsid w:val="006501BF"/>
    <w:rsid w:val="00651790"/>
    <w:rsid w:val="006521A3"/>
    <w:rsid w:val="006521CE"/>
    <w:rsid w:val="006523A8"/>
    <w:rsid w:val="0065259C"/>
    <w:rsid w:val="006600B5"/>
    <w:rsid w:val="00661314"/>
    <w:rsid w:val="00663718"/>
    <w:rsid w:val="00670176"/>
    <w:rsid w:val="006769BF"/>
    <w:rsid w:val="0068096E"/>
    <w:rsid w:val="006822BE"/>
    <w:rsid w:val="00682E98"/>
    <w:rsid w:val="006833E4"/>
    <w:rsid w:val="00683BF9"/>
    <w:rsid w:val="00685FFA"/>
    <w:rsid w:val="006905F2"/>
    <w:rsid w:val="00694221"/>
    <w:rsid w:val="0069639B"/>
    <w:rsid w:val="00696E91"/>
    <w:rsid w:val="006A39A0"/>
    <w:rsid w:val="006A5CF4"/>
    <w:rsid w:val="006A7B3A"/>
    <w:rsid w:val="006B19F1"/>
    <w:rsid w:val="006B2EDE"/>
    <w:rsid w:val="006B2F41"/>
    <w:rsid w:val="006C0383"/>
    <w:rsid w:val="006C32DC"/>
    <w:rsid w:val="006C4AE9"/>
    <w:rsid w:val="006C69CD"/>
    <w:rsid w:val="006D0618"/>
    <w:rsid w:val="006D0CD6"/>
    <w:rsid w:val="006D167D"/>
    <w:rsid w:val="006D7CB1"/>
    <w:rsid w:val="006E288D"/>
    <w:rsid w:val="006E590A"/>
    <w:rsid w:val="006E7ACA"/>
    <w:rsid w:val="006F0979"/>
    <w:rsid w:val="006F1EFD"/>
    <w:rsid w:val="006F1F8D"/>
    <w:rsid w:val="00701656"/>
    <w:rsid w:val="00701BE5"/>
    <w:rsid w:val="00705D63"/>
    <w:rsid w:val="007069A1"/>
    <w:rsid w:val="00706A05"/>
    <w:rsid w:val="007101A7"/>
    <w:rsid w:val="007106D6"/>
    <w:rsid w:val="0071149B"/>
    <w:rsid w:val="00720D29"/>
    <w:rsid w:val="00730224"/>
    <w:rsid w:val="00735BA1"/>
    <w:rsid w:val="00735F7C"/>
    <w:rsid w:val="00737CB5"/>
    <w:rsid w:val="007402BB"/>
    <w:rsid w:val="00742BC7"/>
    <w:rsid w:val="007430AE"/>
    <w:rsid w:val="0074457C"/>
    <w:rsid w:val="00751AE0"/>
    <w:rsid w:val="00755039"/>
    <w:rsid w:val="007570FB"/>
    <w:rsid w:val="00757C09"/>
    <w:rsid w:val="00761291"/>
    <w:rsid w:val="007619FB"/>
    <w:rsid w:val="00763202"/>
    <w:rsid w:val="00763604"/>
    <w:rsid w:val="00763F62"/>
    <w:rsid w:val="00770055"/>
    <w:rsid w:val="007857FB"/>
    <w:rsid w:val="00786989"/>
    <w:rsid w:val="00791933"/>
    <w:rsid w:val="00791CA0"/>
    <w:rsid w:val="007A0053"/>
    <w:rsid w:val="007A45D7"/>
    <w:rsid w:val="007A58DC"/>
    <w:rsid w:val="007A77CD"/>
    <w:rsid w:val="007B25BD"/>
    <w:rsid w:val="007B538A"/>
    <w:rsid w:val="007C2427"/>
    <w:rsid w:val="007C395C"/>
    <w:rsid w:val="007C47D8"/>
    <w:rsid w:val="007C510E"/>
    <w:rsid w:val="007C62E7"/>
    <w:rsid w:val="007D0694"/>
    <w:rsid w:val="007D0AF8"/>
    <w:rsid w:val="007D1864"/>
    <w:rsid w:val="007D3153"/>
    <w:rsid w:val="007E151A"/>
    <w:rsid w:val="007E37BB"/>
    <w:rsid w:val="007F4F44"/>
    <w:rsid w:val="0080290B"/>
    <w:rsid w:val="008037F9"/>
    <w:rsid w:val="00805768"/>
    <w:rsid w:val="008101EC"/>
    <w:rsid w:val="008157C3"/>
    <w:rsid w:val="00815F6F"/>
    <w:rsid w:val="00826283"/>
    <w:rsid w:val="00827429"/>
    <w:rsid w:val="00827A99"/>
    <w:rsid w:val="008353E9"/>
    <w:rsid w:val="00837498"/>
    <w:rsid w:val="00840E9B"/>
    <w:rsid w:val="00843EC2"/>
    <w:rsid w:val="008470F3"/>
    <w:rsid w:val="00850155"/>
    <w:rsid w:val="00852E6A"/>
    <w:rsid w:val="00861FBD"/>
    <w:rsid w:val="0086439D"/>
    <w:rsid w:val="0086440A"/>
    <w:rsid w:val="00864A60"/>
    <w:rsid w:val="00867AFD"/>
    <w:rsid w:val="00871324"/>
    <w:rsid w:val="00874EE4"/>
    <w:rsid w:val="0087716F"/>
    <w:rsid w:val="008840F0"/>
    <w:rsid w:val="00884622"/>
    <w:rsid w:val="0089208D"/>
    <w:rsid w:val="008930A1"/>
    <w:rsid w:val="008932A1"/>
    <w:rsid w:val="008968ED"/>
    <w:rsid w:val="008970A8"/>
    <w:rsid w:val="00897DE9"/>
    <w:rsid w:val="008A130C"/>
    <w:rsid w:val="008A1EAF"/>
    <w:rsid w:val="008B02C6"/>
    <w:rsid w:val="008B0352"/>
    <w:rsid w:val="008B0A76"/>
    <w:rsid w:val="008B3191"/>
    <w:rsid w:val="008B319E"/>
    <w:rsid w:val="008C0408"/>
    <w:rsid w:val="008C09EB"/>
    <w:rsid w:val="008C3D59"/>
    <w:rsid w:val="008C6189"/>
    <w:rsid w:val="008C68CD"/>
    <w:rsid w:val="008D29B3"/>
    <w:rsid w:val="008D4D8D"/>
    <w:rsid w:val="008D6614"/>
    <w:rsid w:val="008D7E35"/>
    <w:rsid w:val="008E2FB8"/>
    <w:rsid w:val="008E304C"/>
    <w:rsid w:val="008E4176"/>
    <w:rsid w:val="008E593B"/>
    <w:rsid w:val="008E696C"/>
    <w:rsid w:val="008E792D"/>
    <w:rsid w:val="008F11E9"/>
    <w:rsid w:val="008F2D44"/>
    <w:rsid w:val="0090102E"/>
    <w:rsid w:val="00901A72"/>
    <w:rsid w:val="00905A21"/>
    <w:rsid w:val="009116DC"/>
    <w:rsid w:val="00912E7D"/>
    <w:rsid w:val="00914828"/>
    <w:rsid w:val="00917626"/>
    <w:rsid w:val="00920A7A"/>
    <w:rsid w:val="00920AFD"/>
    <w:rsid w:val="009313A6"/>
    <w:rsid w:val="00940EA2"/>
    <w:rsid w:val="009429E7"/>
    <w:rsid w:val="00942D56"/>
    <w:rsid w:val="00943505"/>
    <w:rsid w:val="00950113"/>
    <w:rsid w:val="0095564D"/>
    <w:rsid w:val="0097024C"/>
    <w:rsid w:val="009716A0"/>
    <w:rsid w:val="009746DD"/>
    <w:rsid w:val="009829E7"/>
    <w:rsid w:val="00987057"/>
    <w:rsid w:val="009916F8"/>
    <w:rsid w:val="00992815"/>
    <w:rsid w:val="009A1148"/>
    <w:rsid w:val="009A1702"/>
    <w:rsid w:val="009A556B"/>
    <w:rsid w:val="009A6238"/>
    <w:rsid w:val="009A7C1F"/>
    <w:rsid w:val="009B194B"/>
    <w:rsid w:val="009B6675"/>
    <w:rsid w:val="009B787E"/>
    <w:rsid w:val="009C4C89"/>
    <w:rsid w:val="009D23B5"/>
    <w:rsid w:val="009D3109"/>
    <w:rsid w:val="009D3B40"/>
    <w:rsid w:val="009E42AE"/>
    <w:rsid w:val="009E5F8D"/>
    <w:rsid w:val="009E705C"/>
    <w:rsid w:val="009F05C6"/>
    <w:rsid w:val="009F3E8A"/>
    <w:rsid w:val="009F5AAC"/>
    <w:rsid w:val="00A0082F"/>
    <w:rsid w:val="00A023C1"/>
    <w:rsid w:val="00A02ACC"/>
    <w:rsid w:val="00A02C61"/>
    <w:rsid w:val="00A043C4"/>
    <w:rsid w:val="00A05AD9"/>
    <w:rsid w:val="00A16356"/>
    <w:rsid w:val="00A17C3F"/>
    <w:rsid w:val="00A20B22"/>
    <w:rsid w:val="00A25177"/>
    <w:rsid w:val="00A2738B"/>
    <w:rsid w:val="00A30198"/>
    <w:rsid w:val="00A32E91"/>
    <w:rsid w:val="00A35BBA"/>
    <w:rsid w:val="00A40D43"/>
    <w:rsid w:val="00A45369"/>
    <w:rsid w:val="00A466D1"/>
    <w:rsid w:val="00A5173A"/>
    <w:rsid w:val="00A53D1F"/>
    <w:rsid w:val="00A64EFC"/>
    <w:rsid w:val="00A70E36"/>
    <w:rsid w:val="00A80974"/>
    <w:rsid w:val="00A8113A"/>
    <w:rsid w:val="00A81469"/>
    <w:rsid w:val="00A861F5"/>
    <w:rsid w:val="00A90373"/>
    <w:rsid w:val="00A95DAA"/>
    <w:rsid w:val="00A961E8"/>
    <w:rsid w:val="00AA09C7"/>
    <w:rsid w:val="00AA0FE5"/>
    <w:rsid w:val="00AA1020"/>
    <w:rsid w:val="00AA4AD5"/>
    <w:rsid w:val="00AC0E98"/>
    <w:rsid w:val="00AC0F84"/>
    <w:rsid w:val="00AC1679"/>
    <w:rsid w:val="00AC2D6B"/>
    <w:rsid w:val="00AC468A"/>
    <w:rsid w:val="00AD37A2"/>
    <w:rsid w:val="00AD6702"/>
    <w:rsid w:val="00AE176D"/>
    <w:rsid w:val="00AE28F3"/>
    <w:rsid w:val="00AE3A61"/>
    <w:rsid w:val="00AE7DC1"/>
    <w:rsid w:val="00AF0BDD"/>
    <w:rsid w:val="00AF33E4"/>
    <w:rsid w:val="00AF635C"/>
    <w:rsid w:val="00B03079"/>
    <w:rsid w:val="00B03680"/>
    <w:rsid w:val="00B0659F"/>
    <w:rsid w:val="00B124B0"/>
    <w:rsid w:val="00B22564"/>
    <w:rsid w:val="00B24D84"/>
    <w:rsid w:val="00B27735"/>
    <w:rsid w:val="00B30795"/>
    <w:rsid w:val="00B34276"/>
    <w:rsid w:val="00B34385"/>
    <w:rsid w:val="00B35138"/>
    <w:rsid w:val="00B360EA"/>
    <w:rsid w:val="00B41356"/>
    <w:rsid w:val="00B45844"/>
    <w:rsid w:val="00B46BAB"/>
    <w:rsid w:val="00B47002"/>
    <w:rsid w:val="00B50F67"/>
    <w:rsid w:val="00B6052D"/>
    <w:rsid w:val="00B60E0A"/>
    <w:rsid w:val="00B61844"/>
    <w:rsid w:val="00B66347"/>
    <w:rsid w:val="00B67E6E"/>
    <w:rsid w:val="00B72455"/>
    <w:rsid w:val="00B7448D"/>
    <w:rsid w:val="00B74760"/>
    <w:rsid w:val="00B82CE9"/>
    <w:rsid w:val="00B83AE9"/>
    <w:rsid w:val="00B84E62"/>
    <w:rsid w:val="00B871E5"/>
    <w:rsid w:val="00B8743D"/>
    <w:rsid w:val="00B87669"/>
    <w:rsid w:val="00B87FB4"/>
    <w:rsid w:val="00B91C4E"/>
    <w:rsid w:val="00B91EA6"/>
    <w:rsid w:val="00B92043"/>
    <w:rsid w:val="00B933A9"/>
    <w:rsid w:val="00B94CB4"/>
    <w:rsid w:val="00B96619"/>
    <w:rsid w:val="00BA108D"/>
    <w:rsid w:val="00BA130A"/>
    <w:rsid w:val="00BA1B55"/>
    <w:rsid w:val="00BA2878"/>
    <w:rsid w:val="00BA4C2F"/>
    <w:rsid w:val="00BA611D"/>
    <w:rsid w:val="00BA7A88"/>
    <w:rsid w:val="00BB0B80"/>
    <w:rsid w:val="00BB2F50"/>
    <w:rsid w:val="00BB3546"/>
    <w:rsid w:val="00BB585A"/>
    <w:rsid w:val="00BB6341"/>
    <w:rsid w:val="00BB71E0"/>
    <w:rsid w:val="00BC22EC"/>
    <w:rsid w:val="00BC404B"/>
    <w:rsid w:val="00BC47F1"/>
    <w:rsid w:val="00BC6CAC"/>
    <w:rsid w:val="00BD1B82"/>
    <w:rsid w:val="00BD2808"/>
    <w:rsid w:val="00BD6C52"/>
    <w:rsid w:val="00BD6E0D"/>
    <w:rsid w:val="00BE1659"/>
    <w:rsid w:val="00BE6B8A"/>
    <w:rsid w:val="00BF23FE"/>
    <w:rsid w:val="00BF54A0"/>
    <w:rsid w:val="00BF63CB"/>
    <w:rsid w:val="00C01256"/>
    <w:rsid w:val="00C01B03"/>
    <w:rsid w:val="00C05BBE"/>
    <w:rsid w:val="00C065FB"/>
    <w:rsid w:val="00C100A2"/>
    <w:rsid w:val="00C1337E"/>
    <w:rsid w:val="00C13E33"/>
    <w:rsid w:val="00C240A0"/>
    <w:rsid w:val="00C255F9"/>
    <w:rsid w:val="00C30C9F"/>
    <w:rsid w:val="00C31AC9"/>
    <w:rsid w:val="00C33416"/>
    <w:rsid w:val="00C34549"/>
    <w:rsid w:val="00C35743"/>
    <w:rsid w:val="00C4116E"/>
    <w:rsid w:val="00C46760"/>
    <w:rsid w:val="00C526DC"/>
    <w:rsid w:val="00C57183"/>
    <w:rsid w:val="00C57425"/>
    <w:rsid w:val="00C60299"/>
    <w:rsid w:val="00C627FD"/>
    <w:rsid w:val="00C641D7"/>
    <w:rsid w:val="00C66E1D"/>
    <w:rsid w:val="00C72A87"/>
    <w:rsid w:val="00C8030E"/>
    <w:rsid w:val="00C8051B"/>
    <w:rsid w:val="00C8564F"/>
    <w:rsid w:val="00C95D8F"/>
    <w:rsid w:val="00C96FDF"/>
    <w:rsid w:val="00C9716F"/>
    <w:rsid w:val="00CA11B1"/>
    <w:rsid w:val="00CA162B"/>
    <w:rsid w:val="00CA23CF"/>
    <w:rsid w:val="00CA2A40"/>
    <w:rsid w:val="00CA4879"/>
    <w:rsid w:val="00CA634F"/>
    <w:rsid w:val="00CA7430"/>
    <w:rsid w:val="00CB0BBF"/>
    <w:rsid w:val="00CB124B"/>
    <w:rsid w:val="00CB27BC"/>
    <w:rsid w:val="00CB5F3F"/>
    <w:rsid w:val="00CC03BC"/>
    <w:rsid w:val="00CC064C"/>
    <w:rsid w:val="00CC0DFF"/>
    <w:rsid w:val="00CC2E5C"/>
    <w:rsid w:val="00CD0ADF"/>
    <w:rsid w:val="00CD1990"/>
    <w:rsid w:val="00CD1E33"/>
    <w:rsid w:val="00CD3DF9"/>
    <w:rsid w:val="00CD4B74"/>
    <w:rsid w:val="00CD5396"/>
    <w:rsid w:val="00CD7704"/>
    <w:rsid w:val="00CD7CE9"/>
    <w:rsid w:val="00CE14AA"/>
    <w:rsid w:val="00CE2A1C"/>
    <w:rsid w:val="00CE2C5E"/>
    <w:rsid w:val="00CE4544"/>
    <w:rsid w:val="00CE5220"/>
    <w:rsid w:val="00D00D4D"/>
    <w:rsid w:val="00D0280D"/>
    <w:rsid w:val="00D02F32"/>
    <w:rsid w:val="00D102EC"/>
    <w:rsid w:val="00D10C50"/>
    <w:rsid w:val="00D1281C"/>
    <w:rsid w:val="00D21103"/>
    <w:rsid w:val="00D257DC"/>
    <w:rsid w:val="00D30143"/>
    <w:rsid w:val="00D325F2"/>
    <w:rsid w:val="00D33110"/>
    <w:rsid w:val="00D33FEE"/>
    <w:rsid w:val="00D35B0E"/>
    <w:rsid w:val="00D36E33"/>
    <w:rsid w:val="00D40A6B"/>
    <w:rsid w:val="00D44FCC"/>
    <w:rsid w:val="00D47061"/>
    <w:rsid w:val="00D5373F"/>
    <w:rsid w:val="00D54A89"/>
    <w:rsid w:val="00D54EFB"/>
    <w:rsid w:val="00D5650B"/>
    <w:rsid w:val="00D56EB3"/>
    <w:rsid w:val="00D61B81"/>
    <w:rsid w:val="00D6241A"/>
    <w:rsid w:val="00D6511E"/>
    <w:rsid w:val="00D71AC5"/>
    <w:rsid w:val="00D7331C"/>
    <w:rsid w:val="00D74335"/>
    <w:rsid w:val="00D76F2A"/>
    <w:rsid w:val="00D86386"/>
    <w:rsid w:val="00D8662A"/>
    <w:rsid w:val="00D87070"/>
    <w:rsid w:val="00D91C3D"/>
    <w:rsid w:val="00D94281"/>
    <w:rsid w:val="00D972D1"/>
    <w:rsid w:val="00DA76B2"/>
    <w:rsid w:val="00DC0A10"/>
    <w:rsid w:val="00DC0EDF"/>
    <w:rsid w:val="00DC2EB9"/>
    <w:rsid w:val="00DC553C"/>
    <w:rsid w:val="00DC61EB"/>
    <w:rsid w:val="00DC7280"/>
    <w:rsid w:val="00DD130C"/>
    <w:rsid w:val="00DD2998"/>
    <w:rsid w:val="00DD4168"/>
    <w:rsid w:val="00DD5B86"/>
    <w:rsid w:val="00DD7883"/>
    <w:rsid w:val="00DD7A12"/>
    <w:rsid w:val="00DE62F6"/>
    <w:rsid w:val="00DE764A"/>
    <w:rsid w:val="00DE7B24"/>
    <w:rsid w:val="00DF5AE3"/>
    <w:rsid w:val="00DF5E8B"/>
    <w:rsid w:val="00DF6B5F"/>
    <w:rsid w:val="00E0143D"/>
    <w:rsid w:val="00E01A0E"/>
    <w:rsid w:val="00E027C5"/>
    <w:rsid w:val="00E02BF6"/>
    <w:rsid w:val="00E06D26"/>
    <w:rsid w:val="00E15E88"/>
    <w:rsid w:val="00E1631A"/>
    <w:rsid w:val="00E165BA"/>
    <w:rsid w:val="00E168D2"/>
    <w:rsid w:val="00E24720"/>
    <w:rsid w:val="00E257BF"/>
    <w:rsid w:val="00E374F8"/>
    <w:rsid w:val="00E41970"/>
    <w:rsid w:val="00E43C8D"/>
    <w:rsid w:val="00E45B5C"/>
    <w:rsid w:val="00E514FC"/>
    <w:rsid w:val="00E5281C"/>
    <w:rsid w:val="00E548A5"/>
    <w:rsid w:val="00E54B68"/>
    <w:rsid w:val="00E56627"/>
    <w:rsid w:val="00E63245"/>
    <w:rsid w:val="00E6776E"/>
    <w:rsid w:val="00E7746A"/>
    <w:rsid w:val="00E77B1D"/>
    <w:rsid w:val="00E8273F"/>
    <w:rsid w:val="00E86DB2"/>
    <w:rsid w:val="00E91A9E"/>
    <w:rsid w:val="00E940D7"/>
    <w:rsid w:val="00E96025"/>
    <w:rsid w:val="00EA033A"/>
    <w:rsid w:val="00EA0372"/>
    <w:rsid w:val="00EA0F64"/>
    <w:rsid w:val="00EA0FB4"/>
    <w:rsid w:val="00EA34B7"/>
    <w:rsid w:val="00EA4066"/>
    <w:rsid w:val="00EA7C6A"/>
    <w:rsid w:val="00EB3433"/>
    <w:rsid w:val="00EB5211"/>
    <w:rsid w:val="00EB6445"/>
    <w:rsid w:val="00EB7E3E"/>
    <w:rsid w:val="00EC0BDA"/>
    <w:rsid w:val="00EC4641"/>
    <w:rsid w:val="00EC6E2E"/>
    <w:rsid w:val="00ED0709"/>
    <w:rsid w:val="00ED426F"/>
    <w:rsid w:val="00ED6006"/>
    <w:rsid w:val="00ED6BBF"/>
    <w:rsid w:val="00ED7CFE"/>
    <w:rsid w:val="00EE20D8"/>
    <w:rsid w:val="00EE79B2"/>
    <w:rsid w:val="00EF0F52"/>
    <w:rsid w:val="00EF2CD3"/>
    <w:rsid w:val="00F03CDD"/>
    <w:rsid w:val="00F07C9B"/>
    <w:rsid w:val="00F12660"/>
    <w:rsid w:val="00F12867"/>
    <w:rsid w:val="00F145C0"/>
    <w:rsid w:val="00F16031"/>
    <w:rsid w:val="00F16FDF"/>
    <w:rsid w:val="00F24263"/>
    <w:rsid w:val="00F24B31"/>
    <w:rsid w:val="00F25AA0"/>
    <w:rsid w:val="00F264B8"/>
    <w:rsid w:val="00F36913"/>
    <w:rsid w:val="00F4293F"/>
    <w:rsid w:val="00F43941"/>
    <w:rsid w:val="00F4420D"/>
    <w:rsid w:val="00F5001B"/>
    <w:rsid w:val="00F530FB"/>
    <w:rsid w:val="00F54D78"/>
    <w:rsid w:val="00F552D1"/>
    <w:rsid w:val="00F558ED"/>
    <w:rsid w:val="00F55DEB"/>
    <w:rsid w:val="00F5600F"/>
    <w:rsid w:val="00F63EEA"/>
    <w:rsid w:val="00F67D75"/>
    <w:rsid w:val="00F72FE4"/>
    <w:rsid w:val="00F73546"/>
    <w:rsid w:val="00F93B14"/>
    <w:rsid w:val="00F93EB6"/>
    <w:rsid w:val="00F94ADA"/>
    <w:rsid w:val="00F95A6B"/>
    <w:rsid w:val="00F95E63"/>
    <w:rsid w:val="00FA6125"/>
    <w:rsid w:val="00FB4D15"/>
    <w:rsid w:val="00FC3185"/>
    <w:rsid w:val="00FC613F"/>
    <w:rsid w:val="00FC62F2"/>
    <w:rsid w:val="00FD0928"/>
    <w:rsid w:val="00FD19E0"/>
    <w:rsid w:val="00FD4014"/>
    <w:rsid w:val="00FE4D3E"/>
    <w:rsid w:val="00FE7FE2"/>
    <w:rsid w:val="00FF274D"/>
    <w:rsid w:val="00FF3AE0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B594BE"/>
  <w14:defaultImageDpi w14:val="330"/>
  <w15:docId w15:val="{D986496F-E0F5-47E3-A6C2-CE1FD3A5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847"/>
    <w:pPr>
      <w:keepNext/>
      <w:keepLines/>
      <w:spacing w:before="240" w:after="240"/>
      <w:outlineLvl w:val="0"/>
    </w:pPr>
    <w:rPr>
      <w:rFonts w:ascii="Arial" w:eastAsiaTheme="majorEastAsia" w:hAnsi="Arial" w:cstheme="majorBidi"/>
      <w:color w:val="00427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847"/>
    <w:pPr>
      <w:keepNext/>
      <w:keepLines/>
      <w:spacing w:before="240" w:after="120"/>
      <w:outlineLvl w:val="1"/>
    </w:pPr>
    <w:rPr>
      <w:rFonts w:ascii="Arial" w:eastAsiaTheme="majorEastAsia" w:hAnsi="Arial" w:cstheme="majorBidi"/>
      <w:color w:val="004270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847"/>
    <w:pPr>
      <w:keepNext/>
      <w:keepLines/>
      <w:spacing w:before="240" w:after="120"/>
      <w:outlineLvl w:val="2"/>
    </w:pPr>
    <w:rPr>
      <w:rFonts w:ascii="Arial" w:eastAsiaTheme="majorEastAsia" w:hAnsi="Arial" w:cstheme="majorBidi"/>
      <w:color w:val="0042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7"/>
    <w:qFormat/>
    <w:rsid w:val="00B82CE9"/>
    <w:pPr>
      <w:ind w:left="720"/>
      <w:contextualSpacing/>
    </w:pPr>
  </w:style>
  <w:style w:type="paragraph" w:styleId="FootnoteText">
    <w:name w:val="footnote text"/>
    <w:aliases w:val="Footnote text"/>
    <w:basedOn w:val="Normal"/>
    <w:link w:val="FootnoteTextChar"/>
    <w:uiPriority w:val="99"/>
    <w:unhideWhenUsed/>
    <w:qFormat/>
    <w:rsid w:val="00C33416"/>
    <w:rPr>
      <w:rFonts w:ascii="Arial" w:hAnsi="Arial"/>
      <w:sz w:val="20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uiPriority w:val="99"/>
    <w:rsid w:val="00C33416"/>
    <w:rPr>
      <w:rFonts w:ascii="Arial" w:hAnsi="Arial"/>
      <w:sz w:val="20"/>
    </w:rPr>
  </w:style>
  <w:style w:type="character" w:styleId="FootnoteReference">
    <w:name w:val="footnote reference"/>
    <w:basedOn w:val="DefaultParagraphFont"/>
    <w:uiPriority w:val="99"/>
    <w:unhideWhenUsed/>
    <w:rsid w:val="0034134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60847"/>
    <w:rPr>
      <w:rFonts w:ascii="Arial" w:eastAsiaTheme="majorEastAsia" w:hAnsi="Arial" w:cstheme="majorBidi"/>
      <w:color w:val="004270"/>
      <w:sz w:val="48"/>
      <w:szCs w:val="32"/>
      <w:lang w:val="en-AU"/>
    </w:rPr>
  </w:style>
  <w:style w:type="paragraph" w:styleId="NoSpacing">
    <w:name w:val="No Spacing"/>
    <w:link w:val="NoSpacingChar"/>
    <w:uiPriority w:val="1"/>
    <w:qFormat/>
    <w:rsid w:val="00A16356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6356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131D8"/>
    <w:pPr>
      <w:spacing w:line="259" w:lineRule="auto"/>
      <w:outlineLvl w:val="9"/>
    </w:pPr>
    <w:rPr>
      <w:rFonts w:cs="Arial"/>
      <w:b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C34549"/>
    <w:pPr>
      <w:tabs>
        <w:tab w:val="right" w:leader="dot" w:pos="8488"/>
      </w:tabs>
      <w:spacing w:after="100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163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375"/>
  </w:style>
  <w:style w:type="paragraph" w:styleId="Footer">
    <w:name w:val="footer"/>
    <w:basedOn w:val="Normal"/>
    <w:link w:val="FooterChar"/>
    <w:uiPriority w:val="99"/>
    <w:unhideWhenUsed/>
    <w:rsid w:val="004A2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375"/>
  </w:style>
  <w:style w:type="character" w:customStyle="1" w:styleId="Heading2Char">
    <w:name w:val="Heading 2 Char"/>
    <w:basedOn w:val="DefaultParagraphFont"/>
    <w:link w:val="Heading2"/>
    <w:uiPriority w:val="9"/>
    <w:rsid w:val="00260847"/>
    <w:rPr>
      <w:rFonts w:ascii="Arial" w:eastAsiaTheme="majorEastAsia" w:hAnsi="Arial" w:cstheme="majorBidi"/>
      <w:color w:val="004270"/>
      <w:sz w:val="32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B871E5"/>
    <w:pPr>
      <w:tabs>
        <w:tab w:val="right" w:leader="dot" w:pos="8498"/>
      </w:tabs>
      <w:spacing w:before="120" w:after="120"/>
      <w:ind w:left="238"/>
    </w:pPr>
    <w:rPr>
      <w:rFonts w:ascii="Arial" w:hAnsi="Arial"/>
    </w:rPr>
  </w:style>
  <w:style w:type="character" w:styleId="HTMLCite">
    <w:name w:val="HTML Cite"/>
    <w:uiPriority w:val="99"/>
    <w:unhideWhenUsed/>
    <w:rsid w:val="00D74335"/>
    <w:rPr>
      <w:i/>
      <w:iCs/>
    </w:rPr>
  </w:style>
  <w:style w:type="table" w:styleId="TableGrid">
    <w:name w:val="Table Grid"/>
    <w:basedOn w:val="TableNormal"/>
    <w:rsid w:val="00E7746A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2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60847"/>
    <w:rPr>
      <w:rFonts w:ascii="Arial" w:eastAsiaTheme="majorEastAsia" w:hAnsi="Arial" w:cstheme="majorBidi"/>
      <w:color w:val="00427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041E5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C52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6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6DC"/>
    <w:rPr>
      <w:b/>
      <w:bCs/>
      <w:sz w:val="20"/>
      <w:szCs w:val="20"/>
    </w:rPr>
  </w:style>
  <w:style w:type="paragraph" w:customStyle="1" w:styleId="Numberedparagraph">
    <w:name w:val="Numbered paragraph"/>
    <w:basedOn w:val="ListParagraph"/>
    <w:link w:val="NumberedparagraphChar"/>
    <w:qFormat/>
    <w:rsid w:val="009116DC"/>
    <w:pPr>
      <w:numPr>
        <w:numId w:val="13"/>
      </w:numPr>
      <w:spacing w:before="120" w:after="240" w:line="276" w:lineRule="auto"/>
      <w:contextualSpacing w:val="0"/>
    </w:pPr>
    <w:rPr>
      <w:rFonts w:ascii="Arial" w:hAnsi="Arial" w:cs="Arial"/>
    </w:rPr>
  </w:style>
  <w:style w:type="paragraph" w:styleId="Quote">
    <w:name w:val="Quote"/>
    <w:basedOn w:val="Normal"/>
    <w:next w:val="Normal"/>
    <w:link w:val="QuoteChar"/>
    <w:uiPriority w:val="29"/>
    <w:qFormat/>
    <w:rsid w:val="003C2709"/>
    <w:pPr>
      <w:spacing w:before="240" w:after="240" w:line="276" w:lineRule="auto"/>
      <w:ind w:left="907" w:right="843"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502924"/>
  </w:style>
  <w:style w:type="character" w:customStyle="1" w:styleId="NumberedparagraphChar">
    <w:name w:val="Numbered paragraph Char"/>
    <w:basedOn w:val="ListParagraphChar"/>
    <w:link w:val="Numberedparagraph"/>
    <w:rsid w:val="009116DC"/>
    <w:rPr>
      <w:rFonts w:ascii="Arial" w:hAnsi="Arial" w:cs="Arial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C2709"/>
    <w:rPr>
      <w:rFonts w:ascii="Arial" w:hAnsi="Arial" w:cs="Arial"/>
      <w:sz w:val="20"/>
      <w:szCs w:val="20"/>
    </w:rPr>
  </w:style>
  <w:style w:type="paragraph" w:customStyle="1" w:styleId="Bulletedlist">
    <w:name w:val="Bulleted list"/>
    <w:basedOn w:val="ListParagraph"/>
    <w:qFormat/>
    <w:rsid w:val="006C4AE9"/>
    <w:pPr>
      <w:numPr>
        <w:numId w:val="16"/>
      </w:numPr>
      <w:spacing w:after="120"/>
      <w:contextualSpacing w:val="0"/>
    </w:pPr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522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290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styleId="Strong">
    <w:name w:val="Strong"/>
    <w:basedOn w:val="DefaultParagraphFont"/>
    <w:uiPriority w:val="22"/>
    <w:qFormat/>
    <w:rsid w:val="00052290"/>
    <w:rPr>
      <w:b/>
      <w:bCs/>
    </w:rPr>
  </w:style>
  <w:style w:type="paragraph" w:customStyle="1" w:styleId="Rec">
    <w:name w:val="Rec"/>
    <w:basedOn w:val="Normal"/>
    <w:qFormat/>
    <w:rsid w:val="00052290"/>
    <w:pPr>
      <w:spacing w:after="240"/>
      <w:ind w:left="720"/>
    </w:pPr>
    <w:rPr>
      <w:rFonts w:ascii="Arial" w:hAnsi="Arial" w:cs="Arial"/>
      <w:b/>
    </w:rPr>
  </w:style>
  <w:style w:type="paragraph" w:customStyle="1" w:styleId="Default">
    <w:name w:val="Default"/>
    <w:rsid w:val="00DD7A12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Revision">
    <w:name w:val="Revision"/>
    <w:hidden/>
    <w:uiPriority w:val="99"/>
    <w:semiHidden/>
    <w:rsid w:val="00F4293F"/>
    <w:rPr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F7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670C0B708384A9FE68EDDD2FCA27F" ma:contentTypeVersion="6" ma:contentTypeDescription="Create a new document." ma:contentTypeScope="" ma:versionID="53d2c0ebbdff21b1db8e96859467d49a">
  <xsd:schema xmlns:xsd="http://www.w3.org/2001/XMLSchema" xmlns:xs="http://www.w3.org/2001/XMLSchema" xmlns:p="http://schemas.microsoft.com/office/2006/metadata/properties" xmlns:ns2="4895baa6-ac4c-4d1e-b231-8483c88111dc" xmlns:ns3="a9ec758c-7b29-4bbd-836f-c599af6fef2b" targetNamespace="http://schemas.microsoft.com/office/2006/metadata/properties" ma:root="true" ma:fieldsID="56e95127693a5ff57be01e98b0260ae5" ns2:_="" ns3:_="">
    <xsd:import namespace="4895baa6-ac4c-4d1e-b231-8483c88111dc"/>
    <xsd:import namespace="a9ec758c-7b29-4bbd-836f-c599af6f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5baa6-ac4c-4d1e-b231-8483c8811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758c-7b29-4bbd-836f-c599af6f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CD3E2-70F6-4656-B383-8FB8BEECB4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25653-B21C-4BF4-A029-C3EEB4C88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5baa6-ac4c-4d1e-b231-8483c88111dc"/>
    <ds:schemaRef ds:uri="a9ec758c-7b29-4bbd-836f-c599af6f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0CA02-95FF-4003-A298-F6DBF3D747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42ACBA-BEDE-4A8F-8A1A-698B7D5F088F}">
  <ds:schemaRefs>
    <ds:schemaRef ds:uri="4895baa6-ac4c-4d1e-b231-8483c88111dc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9ec758c-7b29-4bbd-836f-c599af6fef2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Births, Deaths and Marriages Registration Bill 2022</vt:lpstr>
    </vt:vector>
  </TitlesOfParts>
  <Company/>
  <LinksUpToDate>false</LinksUpToDate>
  <CharactersWithSpaces>15900</CharactersWithSpaces>
  <SharedDoc>false</SharedDoc>
  <HLinks>
    <vt:vector size="36" baseType="variant"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_Toc123718528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_Toc123718527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_Toc123718526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_Toc123718525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_Toc123718524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_Toc123718523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Births, Deaths and Marriages Registration Bill 2022</dc:title>
  <dc:subject/>
  <dc:creator>Sean Costello</dc:creator>
  <cp:keywords/>
  <dc:description/>
  <cp:lastModifiedBy>Heather Corkhill</cp:lastModifiedBy>
  <cp:revision>7</cp:revision>
  <cp:lastPrinted>2023-01-11T02:01:00Z</cp:lastPrinted>
  <dcterms:created xsi:type="dcterms:W3CDTF">2023-01-11T01:55:00Z</dcterms:created>
  <dcterms:modified xsi:type="dcterms:W3CDTF">2023-01-11T03:32:00Z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0x01010050E670C0B708384A9FE68EDDD2FCA27F</vt:lpwstr>
  </property>
</Properties>
</file>