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lang w:val="en-AU"/>
        </w:rPr>
        <w:id w:val="2067608509"/>
        <w:docPartObj>
          <w:docPartGallery w:val="Cover Pages"/>
          <w:docPartUnique/>
        </w:docPartObj>
      </w:sdtPr>
      <w:sdtEndPr>
        <w:rPr>
          <w:rFonts w:asciiTheme="minorHAnsi" w:hAnsiTheme="minorHAnsi" w:cstheme="minorBidi"/>
          <w:sz w:val="22"/>
          <w:szCs w:val="22"/>
          <w:lang w:val="en-US"/>
        </w:rPr>
      </w:sdtEndPr>
      <w:sdtContent>
        <w:tbl>
          <w:tblPr>
            <w:tblW w:w="5000" w:type="pct"/>
            <w:jc w:val="center"/>
            <w:tblBorders>
              <w:bottom w:val="single" w:sz="4" w:space="0" w:color="auto"/>
            </w:tblBorders>
            <w:tblLook w:val="04A0" w:firstRow="1" w:lastRow="0" w:firstColumn="1" w:lastColumn="0" w:noHBand="0" w:noVBand="1"/>
          </w:tblPr>
          <w:tblGrid>
            <w:gridCol w:w="8498"/>
          </w:tblGrid>
          <w:tr w:rsidR="004A2375" w:rsidRPr="00D95D9E" w14:paraId="5658453C" w14:textId="77777777" w:rsidTr="00260847">
            <w:trPr>
              <w:trHeight w:val="2506"/>
              <w:jc w:val="center"/>
            </w:trPr>
            <w:tc>
              <w:tcPr>
                <w:tcW w:w="5000" w:type="pct"/>
                <w:vAlign w:val="center"/>
              </w:tcPr>
              <w:p w14:paraId="2C1A33CD" w14:textId="77777777" w:rsidR="00260847" w:rsidRDefault="00260847" w:rsidP="003C443B">
                <w:pPr>
                  <w:pStyle w:val="NoSpacing"/>
                  <w:spacing w:after="240"/>
                </w:pPr>
              </w:p>
              <w:p w14:paraId="0441FB1F" w14:textId="77777777" w:rsidR="00260847" w:rsidRDefault="00260847" w:rsidP="003C443B">
                <w:pPr>
                  <w:pStyle w:val="NoSpacing"/>
                  <w:spacing w:after="240"/>
                </w:pPr>
              </w:p>
              <w:p w14:paraId="724B77DA" w14:textId="77777777" w:rsidR="00260847" w:rsidRDefault="00260847" w:rsidP="003C443B">
                <w:pPr>
                  <w:pStyle w:val="NoSpacing"/>
                  <w:spacing w:after="240"/>
                </w:pPr>
              </w:p>
              <w:p w14:paraId="5441CAC0" w14:textId="77777777" w:rsidR="00260847" w:rsidRDefault="00260847" w:rsidP="003C443B">
                <w:pPr>
                  <w:pStyle w:val="NoSpacing"/>
                  <w:spacing w:after="240"/>
                </w:pPr>
              </w:p>
              <w:p w14:paraId="7B0BF898" w14:textId="77777777" w:rsidR="00260847" w:rsidRDefault="00260847" w:rsidP="003C443B">
                <w:pPr>
                  <w:pStyle w:val="NoSpacing"/>
                  <w:spacing w:after="240"/>
                </w:pPr>
              </w:p>
              <w:p w14:paraId="154CDF0D" w14:textId="77777777" w:rsidR="00260847" w:rsidRDefault="00260847" w:rsidP="003C443B">
                <w:pPr>
                  <w:pStyle w:val="NoSpacing"/>
                  <w:spacing w:after="240"/>
                </w:pPr>
              </w:p>
              <w:p w14:paraId="4115A4B4" w14:textId="77777777" w:rsidR="00260847" w:rsidRDefault="00260847" w:rsidP="003C443B">
                <w:pPr>
                  <w:pStyle w:val="NoSpacing"/>
                  <w:spacing w:after="240"/>
                </w:pPr>
                <w:r w:rsidRPr="00F63848">
                  <w:rPr>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Default="00260847" w:rsidP="003C443B">
                <w:pPr>
                  <w:pStyle w:val="NoSpacing"/>
                  <w:spacing w:after="240"/>
                </w:pPr>
              </w:p>
              <w:p w14:paraId="514D3B7A" w14:textId="77777777" w:rsidR="00260847" w:rsidRDefault="00260847" w:rsidP="003C443B">
                <w:pPr>
                  <w:pStyle w:val="NoSpacing"/>
                  <w:spacing w:after="240"/>
                </w:pPr>
              </w:p>
              <w:p w14:paraId="1AEF9582" w14:textId="77777777" w:rsidR="00260847" w:rsidRDefault="00260847" w:rsidP="003C443B">
                <w:pPr>
                  <w:pStyle w:val="NoSpacing"/>
                  <w:spacing w:after="240"/>
                </w:pPr>
              </w:p>
              <w:p w14:paraId="74475C10" w14:textId="77777777" w:rsidR="00260847" w:rsidRDefault="00260847" w:rsidP="003C443B">
                <w:pPr>
                  <w:pStyle w:val="NoSpacing"/>
                  <w:spacing w:after="240"/>
                </w:pPr>
              </w:p>
              <w:bookmarkStart w:id="0" w:name="_Hlk122420148" w:displacedByCustomXml="next"/>
              <w:sdt>
                <w:sdtPr>
                  <w:rPr>
                    <w:rFonts w:ascii="Arial" w:eastAsia="Times New Roman" w:hAnsi="Arial" w:cs="Times New Roman"/>
                    <w:bCs/>
                    <w:color w:val="000000" w:themeColor="text1"/>
                    <w:kern w:val="36"/>
                    <w:sz w:val="44"/>
                    <w:szCs w:val="48"/>
                    <w:lang w:eastAsia="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70A3C8B9" w14:textId="26209392" w:rsidR="004A2375" w:rsidRPr="00D95D9E" w:rsidRDefault="008415B0" w:rsidP="003C443B">
                    <w:pPr>
                      <w:pStyle w:val="NoSpacing"/>
                      <w:spacing w:after="240"/>
                      <w:rPr>
                        <w:rFonts w:asciiTheme="majorHAnsi" w:eastAsiaTheme="majorEastAsia" w:hAnsiTheme="majorHAnsi" w:cstheme="majorBidi"/>
                        <w:sz w:val="80"/>
                        <w:szCs w:val="80"/>
                      </w:rPr>
                    </w:pPr>
                    <w:r w:rsidRPr="008415B0">
                      <w:rPr>
                        <w:rFonts w:ascii="Arial" w:eastAsia="Times New Roman" w:hAnsi="Arial" w:cs="Times New Roman"/>
                        <w:bCs/>
                        <w:color w:val="000000" w:themeColor="text1"/>
                        <w:kern w:val="36"/>
                        <w:sz w:val="44"/>
                        <w:szCs w:val="48"/>
                        <w:lang w:eastAsia="en-AU"/>
                      </w:rPr>
                      <w:t>Monitoring of Places of Detention (Optional Protocol to the Convention Against Torture) Bill 2022</w:t>
                    </w:r>
                  </w:p>
                </w:sdtContent>
              </w:sdt>
              <w:bookmarkEnd w:id="0" w:displacedByCustomXml="prev"/>
            </w:tc>
          </w:tr>
        </w:tbl>
        <w:tbl>
          <w:tblPr>
            <w:tblpPr w:leftFromText="187" w:rightFromText="187" w:horzAnchor="margin" w:tblpXSpec="center" w:tblpYSpec="bottom"/>
            <w:tblW w:w="3857" w:type="pct"/>
            <w:tblLook w:val="04A0" w:firstRow="1" w:lastRow="0" w:firstColumn="1" w:lastColumn="0" w:noHBand="0" w:noVBand="1"/>
          </w:tblPr>
          <w:tblGrid>
            <w:gridCol w:w="6555"/>
          </w:tblGrid>
          <w:tr w:rsidR="00A16356" w14:paraId="2411E64C" w14:textId="77777777" w:rsidTr="00260847">
            <w:tc>
              <w:tcPr>
                <w:tcW w:w="6407" w:type="dxa"/>
                <w:tcMar>
                  <w:top w:w="216" w:type="dxa"/>
                  <w:left w:w="115" w:type="dxa"/>
                  <w:bottom w:w="216" w:type="dxa"/>
                  <w:right w:w="115" w:type="dxa"/>
                </w:tcMar>
              </w:tcPr>
              <w:p w14:paraId="1364FB85" w14:textId="0A389F8E" w:rsidR="00A16356" w:rsidRDefault="008F2926" w:rsidP="00ED7CFE">
                <w:pPr>
                  <w:pStyle w:val="NoSpacing"/>
                  <w:spacing w:before="120" w:after="120"/>
                  <w:jc w:val="center"/>
                  <w:rPr>
                    <w:color w:val="4F81BD" w:themeColor="accent1"/>
                  </w:rPr>
                </w:pPr>
                <w:r>
                  <w:rPr>
                    <w:rFonts w:ascii="Arial" w:hAnsi="Arial" w:cs="Arial"/>
                    <w:bCs/>
                    <w:sz w:val="28"/>
                  </w:rPr>
                  <w:t xml:space="preserve">11 </w:t>
                </w:r>
                <w:r w:rsidR="00E436A5">
                  <w:rPr>
                    <w:rFonts w:ascii="Arial" w:hAnsi="Arial" w:cs="Arial"/>
                    <w:bCs/>
                    <w:sz w:val="28"/>
                  </w:rPr>
                  <w:t>January 2023</w:t>
                </w:r>
              </w:p>
            </w:tc>
          </w:tr>
        </w:tbl>
        <w:p w14:paraId="5DBCC84D" w14:textId="0CF39638" w:rsidR="00260847" w:rsidRDefault="00260847" w:rsidP="00260847">
          <w:pPr>
            <w:pStyle w:val="NoSpacing"/>
            <w:spacing w:before="120" w:after="120"/>
            <w:rPr>
              <w:rFonts w:ascii="Arial" w:hAnsi="Arial" w:cs="Arial"/>
              <w:bCs/>
              <w:sz w:val="28"/>
            </w:rPr>
          </w:pPr>
          <w:r w:rsidRPr="00260847">
            <w:rPr>
              <w:rFonts w:ascii="Arial" w:hAnsi="Arial" w:cs="Arial"/>
              <w:bCs/>
              <w:sz w:val="28"/>
            </w:rPr>
            <w:t>Submission</w:t>
          </w:r>
          <w:r>
            <w:rPr>
              <w:rFonts w:ascii="Arial" w:hAnsi="Arial" w:cs="Arial"/>
              <w:bCs/>
              <w:sz w:val="28"/>
            </w:rPr>
            <w:t xml:space="preserve"> </w:t>
          </w:r>
          <w:r w:rsidRPr="00260847">
            <w:rPr>
              <w:rFonts w:ascii="Arial" w:hAnsi="Arial" w:cs="Arial"/>
              <w:bCs/>
              <w:sz w:val="28"/>
            </w:rPr>
            <w:t>to</w:t>
          </w:r>
          <w:r>
            <w:rPr>
              <w:rFonts w:ascii="Arial" w:hAnsi="Arial" w:cs="Arial"/>
              <w:bCs/>
              <w:sz w:val="28"/>
            </w:rPr>
            <w:t xml:space="preserve"> </w:t>
          </w:r>
          <w:r w:rsidR="006521CE">
            <w:rPr>
              <w:rFonts w:ascii="Arial" w:hAnsi="Arial" w:cs="Arial"/>
              <w:bCs/>
              <w:sz w:val="28"/>
            </w:rPr>
            <w:t>Legal Affairs and Safety Committee</w:t>
          </w:r>
        </w:p>
      </w:sdtContent>
    </w:sdt>
    <w:p w14:paraId="3B348709" w14:textId="77777777" w:rsidR="00293C9F" w:rsidRDefault="00293C9F">
      <w:pPr>
        <w:rPr>
          <w:rFonts w:ascii="Arial" w:eastAsiaTheme="majorEastAsia" w:hAnsi="Arial" w:cstheme="majorBidi"/>
          <w:color w:val="004270"/>
          <w:sz w:val="48"/>
          <w:szCs w:val="32"/>
        </w:rPr>
      </w:pPr>
      <w:r>
        <w:br w:type="page"/>
      </w:r>
    </w:p>
    <w:p w14:paraId="69BE177D" w14:textId="448D251F" w:rsidR="00EA4BC9" w:rsidRPr="00EA4BC9" w:rsidRDefault="00EA4BC9" w:rsidP="00EA4BC9">
      <w:pPr>
        <w:pStyle w:val="TOCHeading"/>
      </w:pPr>
      <w:r w:rsidRPr="00EA4BC9">
        <w:lastRenderedPageBreak/>
        <w:t>Table of Contents</w:t>
      </w:r>
    </w:p>
    <w:p w14:paraId="1D63C2FC" w14:textId="5DC4726C" w:rsidR="00EE7A47" w:rsidRDefault="00EA4BC9" w:rsidP="00EE7A47">
      <w:pPr>
        <w:pStyle w:val="TOC1"/>
        <w:rPr>
          <w:rFonts w:asciiTheme="minorHAnsi" w:hAnsiTheme="minorHAnsi"/>
          <w:noProof/>
          <w:sz w:val="22"/>
          <w:szCs w:val="22"/>
          <w:lang w:eastAsia="en-AU"/>
        </w:rPr>
      </w:pPr>
      <w:r>
        <w:rPr>
          <w:rFonts w:eastAsiaTheme="majorEastAsia" w:cstheme="majorBidi"/>
          <w:color w:val="004270"/>
          <w:sz w:val="48"/>
          <w:szCs w:val="32"/>
        </w:rPr>
        <w:fldChar w:fldCharType="begin"/>
      </w:r>
      <w:r>
        <w:rPr>
          <w:rFonts w:eastAsiaTheme="majorEastAsia" w:cstheme="majorBidi"/>
          <w:color w:val="004270"/>
          <w:sz w:val="48"/>
          <w:szCs w:val="32"/>
        </w:rPr>
        <w:instrText xml:space="preserve"> TOC \o "1-2" \h \z \u </w:instrText>
      </w:r>
      <w:r>
        <w:rPr>
          <w:rFonts w:eastAsiaTheme="majorEastAsia" w:cstheme="majorBidi"/>
          <w:color w:val="004270"/>
          <w:sz w:val="48"/>
          <w:szCs w:val="32"/>
        </w:rPr>
        <w:fldChar w:fldCharType="separate"/>
      </w:r>
      <w:hyperlink w:anchor="_Toc124261252" w:history="1">
        <w:r w:rsidR="00EE7A47" w:rsidRPr="005B2513">
          <w:rPr>
            <w:rStyle w:val="Hyperlink"/>
            <w:noProof/>
          </w:rPr>
          <w:t>Summary</w:t>
        </w:r>
        <w:r w:rsidR="00EE7A47">
          <w:rPr>
            <w:noProof/>
            <w:webHidden/>
          </w:rPr>
          <w:tab/>
        </w:r>
        <w:r w:rsidR="00EE7A47">
          <w:rPr>
            <w:noProof/>
            <w:webHidden/>
          </w:rPr>
          <w:fldChar w:fldCharType="begin"/>
        </w:r>
        <w:r w:rsidR="00EE7A47">
          <w:rPr>
            <w:noProof/>
            <w:webHidden/>
          </w:rPr>
          <w:instrText xml:space="preserve"> PAGEREF _Toc124261252 \h </w:instrText>
        </w:r>
        <w:r w:rsidR="00EE7A47">
          <w:rPr>
            <w:noProof/>
            <w:webHidden/>
          </w:rPr>
        </w:r>
        <w:r w:rsidR="00EE7A47">
          <w:rPr>
            <w:noProof/>
            <w:webHidden/>
          </w:rPr>
          <w:fldChar w:fldCharType="separate"/>
        </w:r>
        <w:r w:rsidR="00F27EB7">
          <w:rPr>
            <w:noProof/>
            <w:webHidden/>
          </w:rPr>
          <w:t>3</w:t>
        </w:r>
        <w:r w:rsidR="00EE7A47">
          <w:rPr>
            <w:noProof/>
            <w:webHidden/>
          </w:rPr>
          <w:fldChar w:fldCharType="end"/>
        </w:r>
      </w:hyperlink>
    </w:p>
    <w:p w14:paraId="173C1238" w14:textId="218DF20A" w:rsidR="00EE7A47" w:rsidRDefault="00F27EB7">
      <w:pPr>
        <w:pStyle w:val="TOC2"/>
        <w:rPr>
          <w:rFonts w:asciiTheme="minorHAnsi" w:hAnsiTheme="minorHAnsi"/>
          <w:noProof/>
          <w:sz w:val="22"/>
          <w:szCs w:val="22"/>
          <w:lang w:eastAsia="en-AU"/>
        </w:rPr>
      </w:pPr>
      <w:hyperlink w:anchor="_Toc124261253" w:history="1">
        <w:r w:rsidR="00EE7A47" w:rsidRPr="005B2513">
          <w:rPr>
            <w:rStyle w:val="Hyperlink"/>
            <w:noProof/>
          </w:rPr>
          <w:t>Recommendations</w:t>
        </w:r>
        <w:r w:rsidR="00EE7A47">
          <w:rPr>
            <w:noProof/>
            <w:webHidden/>
          </w:rPr>
          <w:tab/>
        </w:r>
        <w:r w:rsidR="00EE7A47">
          <w:rPr>
            <w:noProof/>
            <w:webHidden/>
          </w:rPr>
          <w:fldChar w:fldCharType="begin"/>
        </w:r>
        <w:r w:rsidR="00EE7A47">
          <w:rPr>
            <w:noProof/>
            <w:webHidden/>
          </w:rPr>
          <w:instrText xml:space="preserve"> PAGEREF _Toc124261253 \h </w:instrText>
        </w:r>
        <w:r w:rsidR="00EE7A47">
          <w:rPr>
            <w:noProof/>
            <w:webHidden/>
          </w:rPr>
        </w:r>
        <w:r w:rsidR="00EE7A47">
          <w:rPr>
            <w:noProof/>
            <w:webHidden/>
          </w:rPr>
          <w:fldChar w:fldCharType="separate"/>
        </w:r>
        <w:r>
          <w:rPr>
            <w:noProof/>
            <w:webHidden/>
          </w:rPr>
          <w:t>3</w:t>
        </w:r>
        <w:r w:rsidR="00EE7A47">
          <w:rPr>
            <w:noProof/>
            <w:webHidden/>
          </w:rPr>
          <w:fldChar w:fldCharType="end"/>
        </w:r>
      </w:hyperlink>
    </w:p>
    <w:p w14:paraId="7693AB8F" w14:textId="3FA5ED4A" w:rsidR="00EE7A47" w:rsidRDefault="00F27EB7" w:rsidP="00EE7A47">
      <w:pPr>
        <w:pStyle w:val="TOC1"/>
        <w:rPr>
          <w:rFonts w:asciiTheme="minorHAnsi" w:hAnsiTheme="minorHAnsi"/>
          <w:noProof/>
          <w:sz w:val="22"/>
          <w:szCs w:val="22"/>
          <w:lang w:eastAsia="en-AU"/>
        </w:rPr>
      </w:pPr>
      <w:hyperlink w:anchor="_Toc124261254" w:history="1">
        <w:r w:rsidR="00EE7A47" w:rsidRPr="005B2513">
          <w:rPr>
            <w:rStyle w:val="Hyperlink"/>
            <w:noProof/>
            <w:lang w:eastAsia="en-AU"/>
          </w:rPr>
          <w:t>Introduction</w:t>
        </w:r>
        <w:r w:rsidR="00EE7A47">
          <w:rPr>
            <w:noProof/>
            <w:webHidden/>
          </w:rPr>
          <w:tab/>
        </w:r>
        <w:r w:rsidR="00EE7A47">
          <w:rPr>
            <w:noProof/>
            <w:webHidden/>
          </w:rPr>
          <w:fldChar w:fldCharType="begin"/>
        </w:r>
        <w:r w:rsidR="00EE7A47">
          <w:rPr>
            <w:noProof/>
            <w:webHidden/>
          </w:rPr>
          <w:instrText xml:space="preserve"> PAGEREF _Toc124261254 \h </w:instrText>
        </w:r>
        <w:r w:rsidR="00EE7A47">
          <w:rPr>
            <w:noProof/>
            <w:webHidden/>
          </w:rPr>
        </w:r>
        <w:r w:rsidR="00EE7A47">
          <w:rPr>
            <w:noProof/>
            <w:webHidden/>
          </w:rPr>
          <w:fldChar w:fldCharType="separate"/>
        </w:r>
        <w:r>
          <w:rPr>
            <w:noProof/>
            <w:webHidden/>
          </w:rPr>
          <w:t>4</w:t>
        </w:r>
        <w:r w:rsidR="00EE7A47">
          <w:rPr>
            <w:noProof/>
            <w:webHidden/>
          </w:rPr>
          <w:fldChar w:fldCharType="end"/>
        </w:r>
      </w:hyperlink>
    </w:p>
    <w:p w14:paraId="1A297627" w14:textId="4B731E9F" w:rsidR="00EE7A47" w:rsidRDefault="00F27EB7" w:rsidP="00EE7A47">
      <w:pPr>
        <w:pStyle w:val="TOC1"/>
        <w:rPr>
          <w:rFonts w:asciiTheme="minorHAnsi" w:hAnsiTheme="minorHAnsi"/>
          <w:noProof/>
          <w:sz w:val="22"/>
          <w:szCs w:val="22"/>
          <w:lang w:eastAsia="en-AU"/>
        </w:rPr>
      </w:pPr>
      <w:hyperlink w:anchor="_Toc124261255" w:history="1">
        <w:r w:rsidR="00EE7A47" w:rsidRPr="005B2513">
          <w:rPr>
            <w:rStyle w:val="Hyperlink"/>
            <w:noProof/>
            <w:lang w:eastAsia="en-AU"/>
          </w:rPr>
          <w:t>Role of the UN SPT</w:t>
        </w:r>
        <w:r w:rsidR="00EE7A47">
          <w:rPr>
            <w:noProof/>
            <w:webHidden/>
          </w:rPr>
          <w:tab/>
        </w:r>
        <w:r w:rsidR="00EE7A47">
          <w:rPr>
            <w:noProof/>
            <w:webHidden/>
          </w:rPr>
          <w:fldChar w:fldCharType="begin"/>
        </w:r>
        <w:r w:rsidR="00EE7A47">
          <w:rPr>
            <w:noProof/>
            <w:webHidden/>
          </w:rPr>
          <w:instrText xml:space="preserve"> PAGEREF _Toc124261255 \h </w:instrText>
        </w:r>
        <w:r w:rsidR="00EE7A47">
          <w:rPr>
            <w:noProof/>
            <w:webHidden/>
          </w:rPr>
        </w:r>
        <w:r w:rsidR="00EE7A47">
          <w:rPr>
            <w:noProof/>
            <w:webHidden/>
          </w:rPr>
          <w:fldChar w:fldCharType="separate"/>
        </w:r>
        <w:r>
          <w:rPr>
            <w:noProof/>
            <w:webHidden/>
          </w:rPr>
          <w:t>4</w:t>
        </w:r>
        <w:r w:rsidR="00EE7A47">
          <w:rPr>
            <w:noProof/>
            <w:webHidden/>
          </w:rPr>
          <w:fldChar w:fldCharType="end"/>
        </w:r>
      </w:hyperlink>
    </w:p>
    <w:p w14:paraId="43A66A8B" w14:textId="07063D1A" w:rsidR="00EE7A47" w:rsidRDefault="00F27EB7" w:rsidP="00EE7A47">
      <w:pPr>
        <w:pStyle w:val="TOC1"/>
        <w:rPr>
          <w:rFonts w:asciiTheme="minorHAnsi" w:hAnsiTheme="minorHAnsi"/>
          <w:noProof/>
          <w:sz w:val="22"/>
          <w:szCs w:val="22"/>
          <w:lang w:eastAsia="en-AU"/>
        </w:rPr>
      </w:pPr>
      <w:hyperlink w:anchor="_Toc124261256" w:history="1">
        <w:r w:rsidR="00EE7A47" w:rsidRPr="005B2513">
          <w:rPr>
            <w:rStyle w:val="Hyperlink"/>
            <w:noProof/>
            <w:lang w:eastAsia="en-AU"/>
          </w:rPr>
          <w:t>Definition of places of detention</w:t>
        </w:r>
        <w:r w:rsidR="00EE7A47">
          <w:rPr>
            <w:noProof/>
            <w:webHidden/>
          </w:rPr>
          <w:tab/>
        </w:r>
        <w:r w:rsidR="00EE7A47">
          <w:rPr>
            <w:noProof/>
            <w:webHidden/>
          </w:rPr>
          <w:fldChar w:fldCharType="begin"/>
        </w:r>
        <w:r w:rsidR="00EE7A47">
          <w:rPr>
            <w:noProof/>
            <w:webHidden/>
          </w:rPr>
          <w:instrText xml:space="preserve"> PAGEREF _Toc124261256 \h </w:instrText>
        </w:r>
        <w:r w:rsidR="00EE7A47">
          <w:rPr>
            <w:noProof/>
            <w:webHidden/>
          </w:rPr>
        </w:r>
        <w:r w:rsidR="00EE7A47">
          <w:rPr>
            <w:noProof/>
            <w:webHidden/>
          </w:rPr>
          <w:fldChar w:fldCharType="separate"/>
        </w:r>
        <w:r>
          <w:rPr>
            <w:noProof/>
            <w:webHidden/>
          </w:rPr>
          <w:t>5</w:t>
        </w:r>
        <w:r w:rsidR="00EE7A47">
          <w:rPr>
            <w:noProof/>
            <w:webHidden/>
          </w:rPr>
          <w:fldChar w:fldCharType="end"/>
        </w:r>
      </w:hyperlink>
    </w:p>
    <w:p w14:paraId="62522F0F" w14:textId="094605F2" w:rsidR="00EE7A47" w:rsidRDefault="00F27EB7" w:rsidP="00EE7A47">
      <w:pPr>
        <w:pStyle w:val="TOC1"/>
        <w:rPr>
          <w:rFonts w:asciiTheme="minorHAnsi" w:hAnsiTheme="minorHAnsi"/>
          <w:noProof/>
          <w:sz w:val="22"/>
          <w:szCs w:val="22"/>
          <w:lang w:eastAsia="en-AU"/>
        </w:rPr>
      </w:pPr>
      <w:hyperlink w:anchor="_Toc124261257" w:history="1">
        <w:r w:rsidR="00EE7A47" w:rsidRPr="005B2513">
          <w:rPr>
            <w:rStyle w:val="Hyperlink"/>
            <w:noProof/>
            <w:lang w:eastAsia="en-AU"/>
          </w:rPr>
          <w:t>Unrestricted access</w:t>
        </w:r>
        <w:r w:rsidR="00EE7A47">
          <w:rPr>
            <w:noProof/>
            <w:webHidden/>
          </w:rPr>
          <w:tab/>
        </w:r>
        <w:r w:rsidR="00EE7A47">
          <w:rPr>
            <w:noProof/>
            <w:webHidden/>
          </w:rPr>
          <w:fldChar w:fldCharType="begin"/>
        </w:r>
        <w:r w:rsidR="00EE7A47">
          <w:rPr>
            <w:noProof/>
            <w:webHidden/>
          </w:rPr>
          <w:instrText xml:space="preserve"> PAGEREF _Toc124261257 \h </w:instrText>
        </w:r>
        <w:r w:rsidR="00EE7A47">
          <w:rPr>
            <w:noProof/>
            <w:webHidden/>
          </w:rPr>
        </w:r>
        <w:r w:rsidR="00EE7A47">
          <w:rPr>
            <w:noProof/>
            <w:webHidden/>
          </w:rPr>
          <w:fldChar w:fldCharType="separate"/>
        </w:r>
        <w:r>
          <w:rPr>
            <w:noProof/>
            <w:webHidden/>
          </w:rPr>
          <w:t>6</w:t>
        </w:r>
        <w:r w:rsidR="00EE7A47">
          <w:rPr>
            <w:noProof/>
            <w:webHidden/>
          </w:rPr>
          <w:fldChar w:fldCharType="end"/>
        </w:r>
      </w:hyperlink>
    </w:p>
    <w:p w14:paraId="05E4471E" w14:textId="73070F58" w:rsidR="00EE7A47" w:rsidRDefault="00F27EB7" w:rsidP="00EE7A47">
      <w:pPr>
        <w:pStyle w:val="TOC1"/>
        <w:rPr>
          <w:rFonts w:asciiTheme="minorHAnsi" w:hAnsiTheme="minorHAnsi"/>
          <w:noProof/>
          <w:sz w:val="22"/>
          <w:szCs w:val="22"/>
          <w:lang w:eastAsia="en-AU"/>
        </w:rPr>
      </w:pPr>
      <w:hyperlink w:anchor="_Toc124261258" w:history="1">
        <w:r w:rsidR="00EE7A47" w:rsidRPr="005B2513">
          <w:rPr>
            <w:rStyle w:val="Hyperlink"/>
            <w:noProof/>
          </w:rPr>
          <w:t>Conclusion</w:t>
        </w:r>
        <w:r w:rsidR="00EE7A47">
          <w:rPr>
            <w:noProof/>
            <w:webHidden/>
          </w:rPr>
          <w:tab/>
        </w:r>
        <w:r w:rsidR="00EE7A47">
          <w:rPr>
            <w:noProof/>
            <w:webHidden/>
          </w:rPr>
          <w:fldChar w:fldCharType="begin"/>
        </w:r>
        <w:r w:rsidR="00EE7A47">
          <w:rPr>
            <w:noProof/>
            <w:webHidden/>
          </w:rPr>
          <w:instrText xml:space="preserve"> PAGEREF _Toc124261258 \h </w:instrText>
        </w:r>
        <w:r w:rsidR="00EE7A47">
          <w:rPr>
            <w:noProof/>
            <w:webHidden/>
          </w:rPr>
        </w:r>
        <w:r w:rsidR="00EE7A47">
          <w:rPr>
            <w:noProof/>
            <w:webHidden/>
          </w:rPr>
          <w:fldChar w:fldCharType="separate"/>
        </w:r>
        <w:r>
          <w:rPr>
            <w:noProof/>
            <w:webHidden/>
          </w:rPr>
          <w:t>9</w:t>
        </w:r>
        <w:r w:rsidR="00EE7A47">
          <w:rPr>
            <w:noProof/>
            <w:webHidden/>
          </w:rPr>
          <w:fldChar w:fldCharType="end"/>
        </w:r>
      </w:hyperlink>
    </w:p>
    <w:p w14:paraId="279D5DCB" w14:textId="2188F642" w:rsidR="00EA4BC9" w:rsidRDefault="00EA4BC9">
      <w:pPr>
        <w:rPr>
          <w:rFonts w:ascii="Arial" w:eastAsiaTheme="majorEastAsia" w:hAnsi="Arial" w:cstheme="majorBidi"/>
          <w:color w:val="004270"/>
          <w:sz w:val="48"/>
          <w:szCs w:val="32"/>
        </w:rPr>
      </w:pPr>
      <w:r>
        <w:rPr>
          <w:rFonts w:eastAsiaTheme="majorEastAsia" w:cstheme="majorBidi"/>
          <w:color w:val="004270"/>
          <w:sz w:val="48"/>
          <w:szCs w:val="32"/>
        </w:rPr>
        <w:fldChar w:fldCharType="end"/>
      </w:r>
      <w:r>
        <w:rPr>
          <w:rFonts w:eastAsiaTheme="majorEastAsia" w:cstheme="majorBidi"/>
          <w:color w:val="004270"/>
          <w:sz w:val="48"/>
          <w:szCs w:val="32"/>
        </w:rPr>
        <w:br w:type="page"/>
      </w:r>
    </w:p>
    <w:p w14:paraId="24EBBF9D" w14:textId="245D3A96" w:rsidR="006C4AE9" w:rsidRPr="006C4AE9" w:rsidRDefault="006C4AE9" w:rsidP="00EA4BC9">
      <w:pPr>
        <w:pStyle w:val="Heading1"/>
      </w:pPr>
      <w:bookmarkStart w:id="1" w:name="_Toc124261252"/>
      <w:r w:rsidRPr="006C4AE9">
        <w:lastRenderedPageBreak/>
        <w:t>Summary</w:t>
      </w:r>
      <w:bookmarkEnd w:id="1"/>
    </w:p>
    <w:p w14:paraId="2B90F02E" w14:textId="366CF785" w:rsidR="00741E30" w:rsidRDefault="00761291" w:rsidP="00F161C7">
      <w:pPr>
        <w:pStyle w:val="Numberedparagraph"/>
        <w:rPr>
          <w:lang w:eastAsia="en-AU"/>
        </w:rPr>
      </w:pPr>
      <w:r>
        <w:t xml:space="preserve">The </w:t>
      </w:r>
      <w:r w:rsidR="00093A57">
        <w:t xml:space="preserve">Queensland Human Rights </w:t>
      </w:r>
      <w:r w:rsidR="00741E30">
        <w:t xml:space="preserve">Commission </w:t>
      </w:r>
      <w:r w:rsidR="00093A57">
        <w:t>(</w:t>
      </w:r>
      <w:r w:rsidR="00BD31CB" w:rsidRPr="00BD31CB">
        <w:rPr>
          <w:bCs/>
        </w:rPr>
        <w:t>the</w:t>
      </w:r>
      <w:r w:rsidR="00BD31CB">
        <w:rPr>
          <w:b/>
        </w:rPr>
        <w:t xml:space="preserve"> Commission</w:t>
      </w:r>
      <w:r w:rsidR="00093A57">
        <w:t>)</w:t>
      </w:r>
      <w:r>
        <w:t xml:space="preserve"> </w:t>
      </w:r>
      <w:r w:rsidR="00CA7430">
        <w:t>supports</w:t>
      </w:r>
      <w:r>
        <w:t xml:space="preserve"> the passage of</w:t>
      </w:r>
      <w:r w:rsidR="00CA7430">
        <w:t xml:space="preserve"> </w:t>
      </w:r>
      <w:r w:rsidRPr="006C4AE9">
        <w:t xml:space="preserve">the </w:t>
      </w:r>
      <w:r w:rsidR="00E436A5" w:rsidRPr="00E436A5">
        <w:t xml:space="preserve">Monitoring of Places of Detention (Optional Protocol to the Convention Against Torture) Bill 2022 </w:t>
      </w:r>
      <w:r w:rsidRPr="006C4AE9">
        <w:t xml:space="preserve">(the </w:t>
      </w:r>
      <w:r w:rsidRPr="00093A57">
        <w:rPr>
          <w:b/>
        </w:rPr>
        <w:t>Bill</w:t>
      </w:r>
      <w:r w:rsidR="009D4A84">
        <w:t xml:space="preserve">), which </w:t>
      </w:r>
      <w:r w:rsidR="009D4A84" w:rsidRPr="009D4A84">
        <w:t>create</w:t>
      </w:r>
      <w:r w:rsidR="009D4A84">
        <w:t>s</w:t>
      </w:r>
      <w:r w:rsidR="009D4A84" w:rsidRPr="009D4A84">
        <w:t xml:space="preserve"> a legal framework for the U</w:t>
      </w:r>
      <w:r w:rsidR="009D4A84">
        <w:t xml:space="preserve">nited Nations </w:t>
      </w:r>
      <w:r w:rsidR="00985386">
        <w:t>Subcommittee on the Prevention of Torture (</w:t>
      </w:r>
      <w:r w:rsidR="00F9178D" w:rsidRPr="00F9178D">
        <w:rPr>
          <w:b/>
          <w:bCs/>
        </w:rPr>
        <w:t xml:space="preserve">UN </w:t>
      </w:r>
      <w:r w:rsidR="00985386" w:rsidRPr="00F9178D">
        <w:rPr>
          <w:b/>
          <w:bCs/>
        </w:rPr>
        <w:t>SPT</w:t>
      </w:r>
      <w:r w:rsidR="00985386">
        <w:t xml:space="preserve">) </w:t>
      </w:r>
      <w:r w:rsidR="009D4A84" w:rsidRPr="009D4A84">
        <w:t>to visit</w:t>
      </w:r>
      <w:r w:rsidR="00687B0C">
        <w:t xml:space="preserve"> places of detention in Queensland</w:t>
      </w:r>
      <w:r w:rsidR="00985386">
        <w:t xml:space="preserve">. </w:t>
      </w:r>
    </w:p>
    <w:p w14:paraId="4676CBD2" w14:textId="31A642C4" w:rsidR="00F161C7" w:rsidRPr="00945539" w:rsidRDefault="00F9178D" w:rsidP="00F161C7">
      <w:pPr>
        <w:pStyle w:val="Numberedparagraph"/>
        <w:rPr>
          <w:lang w:eastAsia="en-AU"/>
        </w:rPr>
      </w:pPr>
      <w:r>
        <w:t>I</w:t>
      </w:r>
      <w:r w:rsidR="009D4A84" w:rsidRPr="009D4A84">
        <w:t xml:space="preserve">t is unfortunate that measures </w:t>
      </w:r>
      <w:r w:rsidR="00741E30">
        <w:t>were not</w:t>
      </w:r>
      <w:r w:rsidR="00741E30" w:rsidRPr="009D4A84">
        <w:t xml:space="preserve"> </w:t>
      </w:r>
      <w:r w:rsidR="009D4A84" w:rsidRPr="009D4A84">
        <w:t xml:space="preserve">already in place when the </w:t>
      </w:r>
      <w:r>
        <w:t>UN SPT</w:t>
      </w:r>
      <w:r w:rsidR="009D4A84" w:rsidRPr="009D4A84">
        <w:t xml:space="preserve"> visited in late 2022</w:t>
      </w:r>
      <w:r w:rsidR="00F161C7">
        <w:t xml:space="preserve">, which </w:t>
      </w:r>
      <w:r>
        <w:t xml:space="preserve">would have prevented the Subcommittee being refused </w:t>
      </w:r>
      <w:r w:rsidR="00F161C7">
        <w:t>entry to a place of detention</w:t>
      </w:r>
      <w:r w:rsidR="00741E30">
        <w:t xml:space="preserve"> under the control of Queensland Health</w:t>
      </w:r>
      <w:r w:rsidR="009D4A84" w:rsidRPr="009D4A84">
        <w:t>.</w:t>
      </w:r>
      <w:r w:rsidR="00F161C7" w:rsidRPr="00F161C7">
        <w:rPr>
          <w:lang w:eastAsia="en-AU"/>
        </w:rPr>
        <w:t xml:space="preserve"> </w:t>
      </w:r>
      <w:r w:rsidR="008F2926">
        <w:rPr>
          <w:lang w:eastAsia="en-AU"/>
        </w:rPr>
        <w:t>The Commission acknowledges that i</w:t>
      </w:r>
      <w:r w:rsidR="00F161C7">
        <w:rPr>
          <w:lang w:eastAsia="en-AU"/>
        </w:rPr>
        <w:t>n contrast, Queensland Corrective Services</w:t>
      </w:r>
      <w:r>
        <w:rPr>
          <w:lang w:eastAsia="en-AU"/>
        </w:rPr>
        <w:t xml:space="preserve"> publicly committed</w:t>
      </w:r>
      <w:r w:rsidR="00F161C7">
        <w:rPr>
          <w:lang w:eastAsia="en-AU"/>
        </w:rPr>
        <w:t xml:space="preserve"> to facilitate </w:t>
      </w:r>
      <w:r>
        <w:rPr>
          <w:lang w:eastAsia="en-AU"/>
        </w:rPr>
        <w:t xml:space="preserve">unimpeded </w:t>
      </w:r>
      <w:r w:rsidR="00F161C7">
        <w:rPr>
          <w:lang w:eastAsia="en-AU"/>
        </w:rPr>
        <w:t xml:space="preserve">access by the UN SPT during its visit to Queensland. </w:t>
      </w:r>
    </w:p>
    <w:p w14:paraId="1469AF4A" w14:textId="036D69CD" w:rsidR="00F4293F" w:rsidRDefault="00F9178D" w:rsidP="00052290">
      <w:pPr>
        <w:pStyle w:val="Numberedparagraph"/>
      </w:pPr>
      <w:r>
        <w:t>However, even with the passage of this Bill, the Queensland Government must still take steps to</w:t>
      </w:r>
      <w:r w:rsidR="00F4293F">
        <w:t>:</w:t>
      </w:r>
    </w:p>
    <w:p w14:paraId="39FA6AE5" w14:textId="55F0CF4A" w:rsidR="00612DC7" w:rsidRDefault="00B50E47" w:rsidP="00612DC7">
      <w:pPr>
        <w:pStyle w:val="Numberedparagraph"/>
        <w:numPr>
          <w:ilvl w:val="0"/>
          <w:numId w:val="25"/>
        </w:numPr>
      </w:pPr>
      <w:r>
        <w:t xml:space="preserve">fully </w:t>
      </w:r>
      <w:r w:rsidR="00F4293F">
        <w:t xml:space="preserve">participate </w:t>
      </w:r>
      <w:r>
        <w:t>in Australia’s</w:t>
      </w:r>
      <w:r w:rsidR="00F4293F">
        <w:t xml:space="preserve"> National Preventive Mechanism (</w:t>
      </w:r>
      <w:r w:rsidR="00F4293F" w:rsidRPr="00093A57">
        <w:rPr>
          <w:b/>
        </w:rPr>
        <w:t>NPM</w:t>
      </w:r>
      <w:r w:rsidR="00F4293F">
        <w:t>) under</w:t>
      </w:r>
      <w:r w:rsidR="00CA7430">
        <w:t xml:space="preserve"> the </w:t>
      </w:r>
      <w:r w:rsidR="00D257DC" w:rsidRPr="006C4AE9">
        <w:rPr>
          <w:i/>
        </w:rPr>
        <w:t>Optional Protocol to the Convention against Torture and other Cruel, Inhuman or Degrading Treatment or Punishment</w:t>
      </w:r>
      <w:r w:rsidR="00D257DC" w:rsidRPr="00052290">
        <w:t xml:space="preserve"> (</w:t>
      </w:r>
      <w:r w:rsidR="00D257DC" w:rsidRPr="00093A57">
        <w:rPr>
          <w:b/>
        </w:rPr>
        <w:t>OPCAT</w:t>
      </w:r>
      <w:r w:rsidR="00D257DC" w:rsidRPr="00052290">
        <w:t>)</w:t>
      </w:r>
      <w:r w:rsidR="00F4293F">
        <w:t xml:space="preserve"> which is</w:t>
      </w:r>
      <w:r w:rsidR="00ED7CFE">
        <w:t xml:space="preserve"> </w:t>
      </w:r>
      <w:r w:rsidR="00CA7430">
        <w:t>due to commence in early 202</w:t>
      </w:r>
      <w:r w:rsidR="00B21628">
        <w:t>3</w:t>
      </w:r>
      <w:r w:rsidR="00F4293F">
        <w:t>; and</w:t>
      </w:r>
    </w:p>
    <w:p w14:paraId="1A5BF42B" w14:textId="37B62970" w:rsidR="008F2D44" w:rsidRDefault="00F4293F" w:rsidP="00612DC7">
      <w:pPr>
        <w:pStyle w:val="Numberedparagraph"/>
        <w:numPr>
          <w:ilvl w:val="0"/>
          <w:numId w:val="25"/>
        </w:numPr>
      </w:pPr>
      <w:r>
        <w:t xml:space="preserve">clarify the roles and </w:t>
      </w:r>
      <w:r w:rsidR="00563BF7">
        <w:t>responsibilities of various agencies with oversight functions</w:t>
      </w:r>
      <w:r w:rsidR="00B50E47">
        <w:t xml:space="preserve"> in Queensland</w:t>
      </w:r>
      <w:r w:rsidR="00563BF7">
        <w:t>.</w:t>
      </w:r>
    </w:p>
    <w:p w14:paraId="5A53F9E5" w14:textId="7E41C51E" w:rsidR="000C6E1A" w:rsidRDefault="000C6E1A" w:rsidP="00FF2163">
      <w:pPr>
        <w:pStyle w:val="Numberedparagraph"/>
      </w:pPr>
      <w:r>
        <w:t xml:space="preserve">The </w:t>
      </w:r>
      <w:r w:rsidR="004032CA">
        <w:t xml:space="preserve">Explanatory Notes </w:t>
      </w:r>
      <w:r w:rsidR="00C55C5B">
        <w:t xml:space="preserve">state </w:t>
      </w:r>
      <w:r w:rsidR="004032CA">
        <w:t>that</w:t>
      </w:r>
      <w:r w:rsidR="00E10188">
        <w:t xml:space="preserve"> ‘the Bill demonstrates Queensland’s support for the principles of OPCAT’</w:t>
      </w:r>
      <w:r w:rsidR="004032CA">
        <w:t>.</w:t>
      </w:r>
      <w:r w:rsidR="00E10188">
        <w:rPr>
          <w:rStyle w:val="FootnoteReference"/>
        </w:rPr>
        <w:footnoteReference w:id="1"/>
      </w:r>
      <w:r w:rsidR="004032CA">
        <w:t xml:space="preserve"> If this is the case, the </w:t>
      </w:r>
      <w:r w:rsidR="00BD31CB">
        <w:t>Commission</w:t>
      </w:r>
      <w:r w:rsidR="00163FE8">
        <w:t xml:space="preserve"> </w:t>
      </w:r>
      <w:r w:rsidR="004032CA">
        <w:t>repeats its previous recommendations</w:t>
      </w:r>
      <w:r w:rsidR="00163FE8">
        <w:t xml:space="preserve"> for the Queensland Government to take urgent steps to properly implement OPCAT.</w:t>
      </w:r>
      <w:r w:rsidR="00FA7899">
        <w:rPr>
          <w:rStyle w:val="FootnoteReference"/>
        </w:rPr>
        <w:footnoteReference w:id="2"/>
      </w:r>
      <w:r w:rsidR="00163FE8">
        <w:t xml:space="preserve"> </w:t>
      </w:r>
    </w:p>
    <w:p w14:paraId="45C4D40D" w14:textId="071C2A7D" w:rsidR="00093A57" w:rsidRDefault="00093A57" w:rsidP="00093A57">
      <w:pPr>
        <w:pStyle w:val="Heading2"/>
      </w:pPr>
      <w:bookmarkStart w:id="2" w:name="_Toc124261253"/>
      <w:r>
        <w:t>Recommendations</w:t>
      </w:r>
      <w:bookmarkEnd w:id="2"/>
    </w:p>
    <w:p w14:paraId="5DE7CFFD" w14:textId="19903F8E" w:rsidR="00052290" w:rsidRPr="00052290" w:rsidRDefault="008F2D44" w:rsidP="00052290">
      <w:pPr>
        <w:pStyle w:val="Numberedparagraph"/>
      </w:pPr>
      <w:r>
        <w:t xml:space="preserve">In summary, the </w:t>
      </w:r>
      <w:r w:rsidR="004865AF">
        <w:t>Committee should recommend</w:t>
      </w:r>
      <w:r w:rsidR="00741E30">
        <w:t xml:space="preserve"> in its report</w:t>
      </w:r>
      <w:r w:rsidR="00512E7F">
        <w:t xml:space="preserve"> that</w:t>
      </w:r>
      <w:r>
        <w:t xml:space="preserve">: </w:t>
      </w:r>
    </w:p>
    <w:p w14:paraId="64A19594" w14:textId="77777777" w:rsidR="00A368E3" w:rsidRDefault="00A368E3" w:rsidP="00EE7A47">
      <w:pPr>
        <w:pStyle w:val="Numberedparagraph"/>
        <w:numPr>
          <w:ilvl w:val="1"/>
          <w:numId w:val="13"/>
        </w:numPr>
      </w:pPr>
      <w:r>
        <w:t>The Bill be amended to better reflect OPCAT requirements and related guidance, particularly to:</w:t>
      </w:r>
    </w:p>
    <w:p w14:paraId="400A70BF" w14:textId="3C341AF7" w:rsidR="00A368E3" w:rsidRPr="007F6DE6" w:rsidRDefault="00BC63DA" w:rsidP="00FF2163">
      <w:pPr>
        <w:pStyle w:val="Bulletedlist"/>
        <w:numPr>
          <w:ilvl w:val="1"/>
          <w:numId w:val="27"/>
        </w:numPr>
        <w:rPr>
          <w:sz w:val="22"/>
          <w:szCs w:val="22"/>
        </w:rPr>
      </w:pPr>
      <w:r w:rsidRPr="007F6DE6">
        <w:rPr>
          <w:sz w:val="22"/>
          <w:szCs w:val="22"/>
        </w:rPr>
        <w:t>b</w:t>
      </w:r>
      <w:r w:rsidR="00512E7F" w:rsidRPr="007F6DE6">
        <w:rPr>
          <w:sz w:val="22"/>
          <w:szCs w:val="22"/>
        </w:rPr>
        <w:t>roaden</w:t>
      </w:r>
      <w:r w:rsidR="00A368E3" w:rsidRPr="007F6DE6">
        <w:rPr>
          <w:sz w:val="22"/>
          <w:szCs w:val="22"/>
        </w:rPr>
        <w:t xml:space="preserve"> the definition of </w:t>
      </w:r>
      <w:r w:rsidR="00282C20" w:rsidRPr="007F6DE6">
        <w:rPr>
          <w:sz w:val="22"/>
          <w:szCs w:val="22"/>
        </w:rPr>
        <w:t>‘</w:t>
      </w:r>
      <w:r w:rsidR="00A368E3" w:rsidRPr="007F6DE6">
        <w:rPr>
          <w:sz w:val="22"/>
          <w:szCs w:val="22"/>
        </w:rPr>
        <w:t>place of detention</w:t>
      </w:r>
      <w:r w:rsidR="00282C20" w:rsidRPr="007F6DE6">
        <w:rPr>
          <w:sz w:val="22"/>
          <w:szCs w:val="22"/>
        </w:rPr>
        <w:t>’</w:t>
      </w:r>
      <w:r w:rsidR="00512E7F" w:rsidRPr="007F6DE6">
        <w:rPr>
          <w:sz w:val="22"/>
          <w:szCs w:val="22"/>
        </w:rPr>
        <w:t xml:space="preserve">; </w:t>
      </w:r>
      <w:r w:rsidR="00741E30" w:rsidRPr="007F6DE6">
        <w:rPr>
          <w:sz w:val="22"/>
          <w:szCs w:val="22"/>
        </w:rPr>
        <w:t>and</w:t>
      </w:r>
    </w:p>
    <w:p w14:paraId="20D0C36F" w14:textId="35FB545E" w:rsidR="00A368E3" w:rsidRPr="007F6DE6" w:rsidRDefault="00BC63DA" w:rsidP="00FF2163">
      <w:pPr>
        <w:pStyle w:val="Bulletedlist"/>
        <w:numPr>
          <w:ilvl w:val="1"/>
          <w:numId w:val="27"/>
        </w:numPr>
        <w:rPr>
          <w:sz w:val="22"/>
          <w:szCs w:val="22"/>
        </w:rPr>
      </w:pPr>
      <w:r w:rsidRPr="007F6DE6">
        <w:rPr>
          <w:sz w:val="22"/>
          <w:szCs w:val="22"/>
        </w:rPr>
        <w:t>a</w:t>
      </w:r>
      <w:r w:rsidR="00352286" w:rsidRPr="007F6DE6">
        <w:rPr>
          <w:sz w:val="22"/>
          <w:szCs w:val="22"/>
        </w:rPr>
        <w:t xml:space="preserve">mend clause 10 regarding the </w:t>
      </w:r>
      <w:r w:rsidR="00A368E3" w:rsidRPr="007F6DE6">
        <w:rPr>
          <w:sz w:val="22"/>
          <w:szCs w:val="22"/>
        </w:rPr>
        <w:t>additional ‘temporary’ grounds for a place of detention</w:t>
      </w:r>
      <w:r w:rsidR="00FF2163" w:rsidRPr="007F6DE6">
        <w:rPr>
          <w:sz w:val="22"/>
          <w:szCs w:val="22"/>
        </w:rPr>
        <w:t>. T</w:t>
      </w:r>
      <w:r w:rsidR="00A368E3" w:rsidRPr="007F6DE6">
        <w:rPr>
          <w:sz w:val="22"/>
          <w:szCs w:val="22"/>
        </w:rPr>
        <w:t xml:space="preserve">he UN SPT </w:t>
      </w:r>
      <w:r w:rsidR="00FF2163" w:rsidRPr="007F6DE6">
        <w:rPr>
          <w:sz w:val="22"/>
          <w:szCs w:val="22"/>
        </w:rPr>
        <w:t>should only be refused entry to a place of detention on the</w:t>
      </w:r>
      <w:r w:rsidR="00352286" w:rsidRPr="007F6DE6">
        <w:rPr>
          <w:sz w:val="22"/>
          <w:szCs w:val="22"/>
        </w:rPr>
        <w:t xml:space="preserve"> grounds</w:t>
      </w:r>
      <w:r w:rsidR="00FF2163" w:rsidRPr="007F6DE6">
        <w:rPr>
          <w:sz w:val="22"/>
          <w:szCs w:val="22"/>
        </w:rPr>
        <w:t xml:space="preserve"> set out in OPCAT. </w:t>
      </w:r>
      <w:r w:rsidR="00352286" w:rsidRPr="007F6DE6">
        <w:rPr>
          <w:sz w:val="22"/>
          <w:szCs w:val="22"/>
        </w:rPr>
        <w:t xml:space="preserve"> </w:t>
      </w:r>
      <w:r w:rsidR="00FF2163" w:rsidRPr="007F6DE6">
        <w:rPr>
          <w:sz w:val="22"/>
          <w:szCs w:val="22"/>
        </w:rPr>
        <w:t>The Bill should also confirm that the responsible</w:t>
      </w:r>
      <w:r w:rsidR="00352286" w:rsidRPr="007F6DE6">
        <w:rPr>
          <w:sz w:val="22"/>
          <w:szCs w:val="22"/>
        </w:rPr>
        <w:t xml:space="preserve"> Minister can override a detaining authority</w:t>
      </w:r>
      <w:r w:rsidR="00FF2163" w:rsidRPr="007F6DE6">
        <w:rPr>
          <w:sz w:val="22"/>
          <w:szCs w:val="22"/>
        </w:rPr>
        <w:t>’s decision to refuse access</w:t>
      </w:r>
      <w:r w:rsidR="00A368E3" w:rsidRPr="007F6DE6">
        <w:rPr>
          <w:sz w:val="22"/>
          <w:szCs w:val="22"/>
        </w:rPr>
        <w:t>.</w:t>
      </w:r>
    </w:p>
    <w:p w14:paraId="6CF3B874" w14:textId="0FFC9C55" w:rsidR="000F587E" w:rsidRDefault="000F587E" w:rsidP="00EE7A47">
      <w:pPr>
        <w:pStyle w:val="Numberedparagraph"/>
        <w:numPr>
          <w:ilvl w:val="1"/>
          <w:numId w:val="13"/>
        </w:numPr>
      </w:pPr>
      <w:r>
        <w:lastRenderedPageBreak/>
        <w:t>F</w:t>
      </w:r>
      <w:r w:rsidRPr="000F587E">
        <w:t xml:space="preserve">urther justification </w:t>
      </w:r>
      <w:r>
        <w:t xml:space="preserve">is provided </w:t>
      </w:r>
      <w:r w:rsidRPr="000F587E">
        <w:t>for the restriction on the SPT receiving information about an individual only after it has visited a place of detention.</w:t>
      </w:r>
    </w:p>
    <w:p w14:paraId="1457B6B3" w14:textId="39257484" w:rsidR="005E130F" w:rsidRDefault="00BE71F9" w:rsidP="00EE7A47">
      <w:pPr>
        <w:pStyle w:val="Numberedparagraph"/>
        <w:numPr>
          <w:ilvl w:val="1"/>
          <w:numId w:val="13"/>
        </w:numPr>
      </w:pPr>
      <w:r>
        <w:t xml:space="preserve">The Queensland Government urgently introduce legislation </w:t>
      </w:r>
      <w:r w:rsidR="00BC63DA">
        <w:t xml:space="preserve">that </w:t>
      </w:r>
      <w:r>
        <w:t>set</w:t>
      </w:r>
      <w:r w:rsidR="00BC63DA">
        <w:t>s</w:t>
      </w:r>
      <w:r>
        <w:t xml:space="preserve"> out h</w:t>
      </w:r>
      <w:r w:rsidR="00ED7CFE">
        <w:t xml:space="preserve">ow </w:t>
      </w:r>
      <w:r w:rsidR="00761291">
        <w:t xml:space="preserve">Queensland will meet its obligations under OPCAT to ensure adequate preventive monitoring of </w:t>
      </w:r>
      <w:r w:rsidR="002C54B2">
        <w:t>all</w:t>
      </w:r>
      <w:r w:rsidR="005E130F">
        <w:t xml:space="preserve"> places of detention</w:t>
      </w:r>
      <w:r w:rsidR="00BC63DA">
        <w:t>.</w:t>
      </w:r>
    </w:p>
    <w:p w14:paraId="6E3A1E1B" w14:textId="51A3E7B4" w:rsidR="00F217D9" w:rsidRPr="00052290" w:rsidRDefault="00F217D9" w:rsidP="00EE7A47">
      <w:pPr>
        <w:pStyle w:val="Numberedparagraph"/>
      </w:pPr>
      <w:r>
        <w:t xml:space="preserve">The </w:t>
      </w:r>
      <w:r w:rsidR="00BD31CB">
        <w:t>Commission</w:t>
      </w:r>
      <w:r>
        <w:t xml:space="preserve"> continues to recommend </w:t>
      </w:r>
      <w:r w:rsidR="005A27A4">
        <w:t>improvements</w:t>
      </w:r>
      <w:r>
        <w:t xml:space="preserve"> to the related </w:t>
      </w:r>
      <w:r w:rsidR="005A27A4" w:rsidRPr="00FA7899">
        <w:rPr>
          <w:i/>
          <w:iCs/>
        </w:rPr>
        <w:t>Inspector of</w:t>
      </w:r>
      <w:r w:rsidR="005A27A4" w:rsidRPr="006C4AE9">
        <w:t xml:space="preserve"> </w:t>
      </w:r>
      <w:r w:rsidR="005A27A4" w:rsidRPr="00512E7F">
        <w:rPr>
          <w:i/>
          <w:iCs/>
        </w:rPr>
        <w:t>Detention Services Act 2022</w:t>
      </w:r>
      <w:r w:rsidR="005A27A4">
        <w:t xml:space="preserve"> as set out in our previous submission.</w:t>
      </w:r>
      <w:r w:rsidR="002A21C1">
        <w:rPr>
          <w:rStyle w:val="FootnoteReference"/>
        </w:rPr>
        <w:footnoteReference w:id="3"/>
      </w:r>
    </w:p>
    <w:p w14:paraId="2AD2E927" w14:textId="77777777" w:rsidR="00093A57" w:rsidRDefault="00093A57" w:rsidP="00052290">
      <w:pPr>
        <w:pStyle w:val="Heading1"/>
        <w:rPr>
          <w:lang w:eastAsia="en-AU"/>
        </w:rPr>
      </w:pPr>
      <w:bookmarkStart w:id="3" w:name="_Toc124261254"/>
      <w:r>
        <w:rPr>
          <w:lang w:eastAsia="en-AU"/>
        </w:rPr>
        <w:t>Introduction</w:t>
      </w:r>
      <w:bookmarkEnd w:id="3"/>
    </w:p>
    <w:p w14:paraId="50D7A53E" w14:textId="657AF81E" w:rsidR="00093A57" w:rsidRDefault="00093A57" w:rsidP="00093A57">
      <w:pPr>
        <w:pStyle w:val="Numberedparagraph"/>
      </w:pPr>
      <w:r>
        <w:t xml:space="preserve">The </w:t>
      </w:r>
      <w:r w:rsidR="00BD31CB">
        <w:t xml:space="preserve">Commission </w:t>
      </w:r>
      <w:r w:rsidRPr="00C35743">
        <w:t xml:space="preserve">is a statutory authority established under the </w:t>
      </w:r>
      <w:r>
        <w:t xml:space="preserve">Queensland </w:t>
      </w:r>
      <w:r w:rsidRPr="00C35743">
        <w:rPr>
          <w:i/>
        </w:rPr>
        <w:t>Anti-Discrimination Act 1991</w:t>
      </w:r>
      <w:r w:rsidR="00B45844">
        <w:rPr>
          <w:i/>
        </w:rPr>
        <w:t xml:space="preserve"> </w:t>
      </w:r>
      <w:r w:rsidR="00B45844">
        <w:t>(</w:t>
      </w:r>
      <w:r w:rsidR="00B45844" w:rsidRPr="003B0A61">
        <w:rPr>
          <w:b/>
        </w:rPr>
        <w:t>AD Act</w:t>
      </w:r>
      <w:r w:rsidR="00B45844">
        <w:t>)</w:t>
      </w:r>
      <w:r>
        <w:rPr>
          <w:i/>
        </w:rPr>
        <w:t>.</w:t>
      </w:r>
    </w:p>
    <w:p w14:paraId="7BEB0FE4" w14:textId="20CDAC16" w:rsidR="00093A57" w:rsidRPr="00592493" w:rsidRDefault="00093A57" w:rsidP="00093A57">
      <w:pPr>
        <w:pStyle w:val="Numberedparagraph"/>
      </w:pPr>
      <w:r w:rsidRPr="00A97DE1">
        <w:t xml:space="preserve">The </w:t>
      </w:r>
      <w:r w:rsidR="00BD31CB">
        <w:t>Commission</w:t>
      </w:r>
      <w:r w:rsidRPr="00A97DE1">
        <w:t xml:space="preserve"> </w:t>
      </w:r>
      <w:r>
        <w:t xml:space="preserve">has functions under the </w:t>
      </w:r>
      <w:r w:rsidR="00B45844">
        <w:t xml:space="preserve">AD Act </w:t>
      </w:r>
      <w:r>
        <w:t xml:space="preserve">and the </w:t>
      </w:r>
      <w:r>
        <w:rPr>
          <w:i/>
        </w:rPr>
        <w:t>Human Rights Act 2019</w:t>
      </w:r>
      <w:r w:rsidR="00B45844">
        <w:rPr>
          <w:i/>
        </w:rPr>
        <w:t xml:space="preserve"> </w:t>
      </w:r>
      <w:r w:rsidR="00B45844">
        <w:t>(</w:t>
      </w:r>
      <w:r w:rsidR="00B45844" w:rsidRPr="003B0A61">
        <w:rPr>
          <w:b/>
        </w:rPr>
        <w:t>HR Act</w:t>
      </w:r>
      <w:r w:rsidR="00B45844">
        <w:t>)</w:t>
      </w:r>
      <w:r>
        <w:rPr>
          <w:i/>
        </w:rPr>
        <w:t xml:space="preserve"> </w:t>
      </w:r>
      <w:r>
        <w:t>to promote</w:t>
      </w:r>
      <w:r w:rsidRPr="00A97DE1">
        <w:t xml:space="preserve"> an understanding</w:t>
      </w:r>
      <w:r>
        <w:t xml:space="preserve"> </w:t>
      </w:r>
      <w:r w:rsidRPr="00A97DE1">
        <w:t>and public discussion of human rights in Queensla</w:t>
      </w:r>
      <w:r>
        <w:t xml:space="preserve">nd, and to provide information and education about human rights.  </w:t>
      </w:r>
    </w:p>
    <w:p w14:paraId="42CB0707" w14:textId="7AE5F5DB" w:rsidR="00093A57" w:rsidRDefault="00093A57" w:rsidP="00093A57">
      <w:pPr>
        <w:pStyle w:val="Numberedparagraph"/>
        <w:rPr>
          <w:lang w:eastAsia="en-AU"/>
        </w:rPr>
      </w:pPr>
      <w:r>
        <w:rPr>
          <w:color w:val="000000"/>
        </w:rPr>
        <w:t xml:space="preserve">The </w:t>
      </w:r>
      <w:r w:rsidR="00BD31CB">
        <w:rPr>
          <w:color w:val="000000"/>
        </w:rPr>
        <w:t>Commission</w:t>
      </w:r>
      <w:r>
        <w:rPr>
          <w:color w:val="000000"/>
        </w:rPr>
        <w:t xml:space="preserve"> also deals with complaints of discrimination, </w:t>
      </w:r>
      <w:r w:rsidR="00BD070D">
        <w:rPr>
          <w:color w:val="000000"/>
        </w:rPr>
        <w:t xml:space="preserve">sexual harassment, </w:t>
      </w:r>
      <w:r>
        <w:rPr>
          <w:color w:val="000000"/>
        </w:rPr>
        <w:t>vilification</w:t>
      </w:r>
      <w:r w:rsidR="00B1632A">
        <w:rPr>
          <w:color w:val="000000"/>
        </w:rPr>
        <w:t>,</w:t>
      </w:r>
      <w:r>
        <w:rPr>
          <w:color w:val="000000"/>
        </w:rPr>
        <w:t xml:space="preserve"> and other objectionable conduct under the </w:t>
      </w:r>
      <w:r w:rsidR="00B45844" w:rsidRPr="003B0A61">
        <w:t>AD Act</w:t>
      </w:r>
      <w:r>
        <w:rPr>
          <w:i/>
        </w:rPr>
        <w:t xml:space="preserve">, </w:t>
      </w:r>
      <w:r>
        <w:t xml:space="preserve">reprisal under the </w:t>
      </w:r>
      <w:r>
        <w:rPr>
          <w:i/>
        </w:rPr>
        <w:t xml:space="preserve">Public Interest Disclosure Act </w:t>
      </w:r>
      <w:r w:rsidRPr="009F4BAD">
        <w:rPr>
          <w:i/>
        </w:rPr>
        <w:t>2009</w:t>
      </w:r>
      <w:r>
        <w:t xml:space="preserve">, and human rights complaints under the </w:t>
      </w:r>
      <w:r w:rsidR="00B45844">
        <w:t>HR Act</w:t>
      </w:r>
      <w:r>
        <w:rPr>
          <w:i/>
        </w:rPr>
        <w:t xml:space="preserve">. </w:t>
      </w:r>
      <w:r>
        <w:t>This includes complaints made by prisoners about the conditions of their detention and related concerns.</w:t>
      </w:r>
    </w:p>
    <w:p w14:paraId="5204BC1C" w14:textId="26409142" w:rsidR="00EC30AE" w:rsidRDefault="00EC30AE" w:rsidP="00093A57">
      <w:pPr>
        <w:pStyle w:val="Numberedparagraph"/>
        <w:rPr>
          <w:lang w:eastAsia="en-AU"/>
        </w:rPr>
      </w:pPr>
      <w:r>
        <w:t xml:space="preserve">The </w:t>
      </w:r>
      <w:r w:rsidR="00BD31CB">
        <w:t>Commission</w:t>
      </w:r>
      <w:r>
        <w:t xml:space="preserve"> suppo</w:t>
      </w:r>
      <w:r w:rsidR="00A02AB9">
        <w:t>r</w:t>
      </w:r>
      <w:r>
        <w:t xml:space="preserve">ts the policy intention of the </w:t>
      </w:r>
      <w:proofErr w:type="gramStart"/>
      <w:r>
        <w:t>Bill, but</w:t>
      </w:r>
      <w:proofErr w:type="gramEnd"/>
      <w:r>
        <w:t xml:space="preserve"> </w:t>
      </w:r>
      <w:r w:rsidR="001F6A1E">
        <w:t xml:space="preserve">submits that </w:t>
      </w:r>
      <w:r w:rsidR="00A02AB9">
        <w:t xml:space="preserve">amendments must be made if the Bill is to achieve its objective of </w:t>
      </w:r>
      <w:r w:rsidR="005503AA">
        <w:t xml:space="preserve">facilitating visits by the UN SPT to places of detention in Queensland. In the </w:t>
      </w:r>
      <w:r w:rsidR="00BD31CB">
        <w:t>Commission</w:t>
      </w:r>
      <w:r w:rsidR="005503AA">
        <w:t xml:space="preserve">’s view, the Bill is not compliant with OPCAT. </w:t>
      </w:r>
    </w:p>
    <w:p w14:paraId="62062CA8" w14:textId="5E82C282" w:rsidR="0049083E" w:rsidRDefault="0049083E" w:rsidP="0049083E">
      <w:pPr>
        <w:pStyle w:val="Numberedparagraph"/>
        <w:rPr>
          <w:lang w:eastAsia="en-AU"/>
        </w:rPr>
      </w:pPr>
      <w:r>
        <w:rPr>
          <w:lang w:eastAsia="en-AU"/>
        </w:rPr>
        <w:t>The Explanatory Note</w:t>
      </w:r>
      <w:r w:rsidR="00F124A9">
        <w:rPr>
          <w:lang w:eastAsia="en-AU"/>
        </w:rPr>
        <w:t>s</w:t>
      </w:r>
      <w:r>
        <w:rPr>
          <w:lang w:eastAsia="en-AU"/>
        </w:rPr>
        <w:t xml:space="preserve"> state that to enable the SPT to </w:t>
      </w:r>
      <w:r w:rsidR="008F3DFF">
        <w:rPr>
          <w:lang w:eastAsia="en-AU"/>
        </w:rPr>
        <w:t>fulfill</w:t>
      </w:r>
      <w:r>
        <w:rPr>
          <w:lang w:eastAsia="en-AU"/>
        </w:rPr>
        <w:t xml:space="preserve"> its mandate, </w:t>
      </w:r>
      <w:r w:rsidR="008F3DFF">
        <w:rPr>
          <w:lang w:eastAsia="en-AU"/>
        </w:rPr>
        <w:t>state</w:t>
      </w:r>
      <w:r w:rsidR="00541EA0">
        <w:rPr>
          <w:lang w:eastAsia="en-AU"/>
        </w:rPr>
        <w:t xml:space="preserve"> parties</w:t>
      </w:r>
      <w:r>
        <w:rPr>
          <w:lang w:eastAsia="en-AU"/>
        </w:rPr>
        <w:t xml:space="preserve"> must provide the Subcommittee with ‘unrestricted access to all places of </w:t>
      </w:r>
      <w:r w:rsidR="008F3DFF">
        <w:rPr>
          <w:lang w:eastAsia="en-AU"/>
        </w:rPr>
        <w:t>detention</w:t>
      </w:r>
      <w:r>
        <w:rPr>
          <w:lang w:eastAsia="en-AU"/>
        </w:rPr>
        <w:t>’.</w:t>
      </w:r>
      <w:r w:rsidR="00F124A9">
        <w:rPr>
          <w:rStyle w:val="FootnoteReference"/>
          <w:lang w:eastAsia="en-AU"/>
        </w:rPr>
        <w:footnoteReference w:id="4"/>
      </w:r>
      <w:r w:rsidR="006A4D4D">
        <w:rPr>
          <w:lang w:eastAsia="en-AU"/>
        </w:rPr>
        <w:t xml:space="preserve"> Clause 2 of the Bill states that the main purposes include to </w:t>
      </w:r>
      <w:r w:rsidR="00C163F5">
        <w:rPr>
          <w:lang w:eastAsia="en-AU"/>
        </w:rPr>
        <w:t>facilitate</w:t>
      </w:r>
      <w:r w:rsidR="006A4D4D">
        <w:rPr>
          <w:lang w:eastAsia="en-AU"/>
        </w:rPr>
        <w:t xml:space="preserve"> </w:t>
      </w:r>
      <w:r w:rsidR="00541EA0">
        <w:rPr>
          <w:lang w:eastAsia="en-AU"/>
        </w:rPr>
        <w:t xml:space="preserve">visits </w:t>
      </w:r>
      <w:r w:rsidR="006A4D4D">
        <w:rPr>
          <w:lang w:eastAsia="en-AU"/>
        </w:rPr>
        <w:t>to places of detention by the UN SPT.</w:t>
      </w:r>
      <w:r>
        <w:rPr>
          <w:lang w:eastAsia="en-AU"/>
        </w:rPr>
        <w:t xml:space="preserve"> </w:t>
      </w:r>
      <w:r w:rsidR="00F9178D">
        <w:rPr>
          <w:lang w:eastAsia="en-AU"/>
        </w:rPr>
        <w:t>However, t</w:t>
      </w:r>
      <w:r>
        <w:rPr>
          <w:lang w:eastAsia="en-AU"/>
        </w:rPr>
        <w:t xml:space="preserve">he </w:t>
      </w:r>
      <w:r w:rsidR="00541EA0">
        <w:rPr>
          <w:lang w:eastAsia="en-AU"/>
        </w:rPr>
        <w:t xml:space="preserve">proposed </w:t>
      </w:r>
      <w:r>
        <w:rPr>
          <w:lang w:eastAsia="en-AU"/>
        </w:rPr>
        <w:t>Bill does not provide such access</w:t>
      </w:r>
      <w:r w:rsidR="00F9178D">
        <w:rPr>
          <w:lang w:eastAsia="en-AU"/>
        </w:rPr>
        <w:t>,</w:t>
      </w:r>
      <w:r w:rsidR="00302640">
        <w:rPr>
          <w:lang w:eastAsia="en-AU"/>
        </w:rPr>
        <w:t xml:space="preserve"> for example</w:t>
      </w:r>
      <w:r w:rsidR="00541EA0">
        <w:rPr>
          <w:lang w:eastAsia="en-AU"/>
        </w:rPr>
        <w:t>,</w:t>
      </w:r>
      <w:r w:rsidR="00302640">
        <w:rPr>
          <w:lang w:eastAsia="en-AU"/>
        </w:rPr>
        <w:t xml:space="preserve"> to </w:t>
      </w:r>
      <w:r w:rsidR="00190489">
        <w:rPr>
          <w:lang w:eastAsia="en-AU"/>
        </w:rPr>
        <w:t>a disability group home</w:t>
      </w:r>
      <w:r>
        <w:rPr>
          <w:lang w:eastAsia="en-AU"/>
        </w:rPr>
        <w:t xml:space="preserve">. </w:t>
      </w:r>
    </w:p>
    <w:p w14:paraId="2F6FEDDA" w14:textId="6C1ED9A8" w:rsidR="005B49E8" w:rsidRDefault="00BD070D" w:rsidP="00052290">
      <w:pPr>
        <w:pStyle w:val="Heading1"/>
        <w:rPr>
          <w:lang w:eastAsia="en-AU"/>
        </w:rPr>
      </w:pPr>
      <w:bookmarkStart w:id="4" w:name="_Toc124261255"/>
      <w:r>
        <w:rPr>
          <w:lang w:eastAsia="en-AU"/>
        </w:rPr>
        <w:t>Role of the UN SPT</w:t>
      </w:r>
      <w:bookmarkEnd w:id="4"/>
    </w:p>
    <w:p w14:paraId="12EF5D94" w14:textId="06A9A933" w:rsidR="005B49E8" w:rsidRDefault="00E63792" w:rsidP="005B49E8">
      <w:pPr>
        <w:pStyle w:val="Numberedparagraph"/>
        <w:rPr>
          <w:lang w:eastAsia="en-AU"/>
        </w:rPr>
      </w:pPr>
      <w:r>
        <w:rPr>
          <w:lang w:eastAsia="en-AU"/>
        </w:rPr>
        <w:t>T</w:t>
      </w:r>
      <w:r w:rsidR="007A1CAC">
        <w:rPr>
          <w:lang w:eastAsia="en-AU"/>
        </w:rPr>
        <w:t xml:space="preserve">he UN SPT visit in 2022 </w:t>
      </w:r>
      <w:r>
        <w:rPr>
          <w:lang w:eastAsia="en-AU"/>
        </w:rPr>
        <w:t xml:space="preserve">sparked </w:t>
      </w:r>
      <w:r w:rsidR="007A1CAC">
        <w:rPr>
          <w:lang w:eastAsia="en-AU"/>
        </w:rPr>
        <w:t xml:space="preserve">public </w:t>
      </w:r>
      <w:r w:rsidR="00F161C7">
        <w:rPr>
          <w:lang w:eastAsia="en-AU"/>
        </w:rPr>
        <w:t>debate about</w:t>
      </w:r>
      <w:r w:rsidR="007A1CAC">
        <w:rPr>
          <w:lang w:eastAsia="en-AU"/>
        </w:rPr>
        <w:t xml:space="preserve"> the need for international observe</w:t>
      </w:r>
      <w:r w:rsidR="00F124A9">
        <w:rPr>
          <w:lang w:eastAsia="en-AU"/>
        </w:rPr>
        <w:t>r</w:t>
      </w:r>
      <w:r w:rsidR="007A1CAC">
        <w:rPr>
          <w:lang w:eastAsia="en-AU"/>
        </w:rPr>
        <w:t xml:space="preserve">s to attend Australian places of detention. </w:t>
      </w:r>
    </w:p>
    <w:p w14:paraId="51C21AC0" w14:textId="35CCCA31" w:rsidR="007A1CAC" w:rsidRDefault="006123A7" w:rsidP="005B49E8">
      <w:pPr>
        <w:pStyle w:val="Numberedparagraph"/>
        <w:rPr>
          <w:lang w:eastAsia="en-AU"/>
        </w:rPr>
      </w:pPr>
      <w:r w:rsidRPr="006123A7">
        <w:rPr>
          <w:lang w:eastAsia="en-AU"/>
        </w:rPr>
        <w:lastRenderedPageBreak/>
        <w:t>The SPT is composed of 25 independent and impartial experts from different backgrounds and various regions of the world.</w:t>
      </w:r>
      <w:r w:rsidR="00D10943">
        <w:rPr>
          <w:lang w:eastAsia="en-AU"/>
        </w:rPr>
        <w:t xml:space="preserve"> </w:t>
      </w:r>
      <w:r w:rsidR="002B5FA7">
        <w:rPr>
          <w:lang w:eastAsia="en-AU"/>
        </w:rPr>
        <w:t xml:space="preserve">Its preventive mandate is outlined on </w:t>
      </w:r>
      <w:r w:rsidR="00D10943">
        <w:rPr>
          <w:lang w:eastAsia="en-AU"/>
        </w:rPr>
        <w:t>the United Nations</w:t>
      </w:r>
      <w:r w:rsidR="002B5FA7">
        <w:rPr>
          <w:lang w:eastAsia="en-AU"/>
        </w:rPr>
        <w:t xml:space="preserve"> website</w:t>
      </w:r>
      <w:r w:rsidR="00D10943">
        <w:rPr>
          <w:lang w:eastAsia="en-AU"/>
        </w:rPr>
        <w:t>:</w:t>
      </w:r>
    </w:p>
    <w:p w14:paraId="116FF2E3" w14:textId="77777777" w:rsidR="00D10943" w:rsidRDefault="00D10943" w:rsidP="00D10943">
      <w:pPr>
        <w:pStyle w:val="Quote"/>
      </w:pPr>
      <w:r>
        <w:t>The SPT examines the way in which detainees are treated whilst in detention, as well as looking at the conditions of detention. SPT members talk in private with people in custody, without the presence of prison or other staff or of Governmental representatives.</w:t>
      </w:r>
    </w:p>
    <w:p w14:paraId="0EC5A0AC" w14:textId="77777777" w:rsidR="00D10943" w:rsidRDefault="00D10943" w:rsidP="00D10943">
      <w:pPr>
        <w:pStyle w:val="Quote"/>
      </w:pPr>
      <w:r>
        <w:t xml:space="preserve">During its country visits, SPT members also talk with Government officials, custodial staff, lawyers, and doctors, and can recommend immediate changes intended to improve the situation of detainees. Their work is governed by strict </w:t>
      </w:r>
      <w:proofErr w:type="gramStart"/>
      <w:r>
        <w:t>confidentiality</w:t>
      </w:r>
      <w:proofErr w:type="gramEnd"/>
      <w:r>
        <w:t xml:space="preserve"> and they do not reveal who they have spoken to, or what they have been told. People who provide information to the SPT must not be subject to sanctions or reprisals for having provided information to the SPT.</w:t>
      </w:r>
    </w:p>
    <w:p w14:paraId="4EB18E6C" w14:textId="13B07EC3" w:rsidR="00D10943" w:rsidRDefault="00D10943" w:rsidP="00D10943">
      <w:pPr>
        <w:pStyle w:val="Quote"/>
      </w:pPr>
      <w:r>
        <w:t xml:space="preserve">The SPT is guided by the principles of confidentiality, impartiality, non-selectivity, </w:t>
      </w:r>
      <w:proofErr w:type="gramStart"/>
      <w:r>
        <w:t>universality</w:t>
      </w:r>
      <w:proofErr w:type="gramEnd"/>
      <w:r>
        <w:t xml:space="preserve"> and objectivity. The SPT conducts its work in a spirit of co-operation. It aims to engage with States parties through a process of constructive dialogue and collaboration rather than condemnation.</w:t>
      </w:r>
      <w:r>
        <w:rPr>
          <w:rStyle w:val="FootnoteReference"/>
        </w:rPr>
        <w:footnoteReference w:id="5"/>
      </w:r>
    </w:p>
    <w:p w14:paraId="583E74AA" w14:textId="6C2F6DC4" w:rsidR="00D10943" w:rsidRDefault="00F124A9" w:rsidP="005B49E8">
      <w:pPr>
        <w:pStyle w:val="Numberedparagraph"/>
        <w:rPr>
          <w:lang w:eastAsia="en-AU"/>
        </w:rPr>
      </w:pPr>
      <w:r>
        <w:rPr>
          <w:lang w:eastAsia="en-AU"/>
        </w:rPr>
        <w:t xml:space="preserve">In the </w:t>
      </w:r>
      <w:r w:rsidR="00BD31CB">
        <w:rPr>
          <w:lang w:eastAsia="en-AU"/>
        </w:rPr>
        <w:t>Commission</w:t>
      </w:r>
      <w:r w:rsidR="00D03FE8">
        <w:rPr>
          <w:lang w:eastAsia="en-AU"/>
        </w:rPr>
        <w:t>’s</w:t>
      </w:r>
      <w:r>
        <w:rPr>
          <w:lang w:eastAsia="en-AU"/>
        </w:rPr>
        <w:t xml:space="preserve"> view,</w:t>
      </w:r>
      <w:r w:rsidR="00D10943">
        <w:rPr>
          <w:lang w:eastAsia="en-AU"/>
        </w:rPr>
        <w:t xml:space="preserve"> Queensland </w:t>
      </w:r>
      <w:r w:rsidR="00316AA0">
        <w:rPr>
          <w:lang w:eastAsia="en-AU"/>
        </w:rPr>
        <w:t xml:space="preserve">as well as </w:t>
      </w:r>
      <w:r w:rsidR="00D10943">
        <w:rPr>
          <w:lang w:eastAsia="en-AU"/>
        </w:rPr>
        <w:t xml:space="preserve">Australia </w:t>
      </w:r>
      <w:r w:rsidR="003963D6">
        <w:rPr>
          <w:lang w:eastAsia="en-AU"/>
        </w:rPr>
        <w:t xml:space="preserve">would </w:t>
      </w:r>
      <w:r w:rsidR="00D10943">
        <w:rPr>
          <w:lang w:eastAsia="en-AU"/>
        </w:rPr>
        <w:t xml:space="preserve">benefit from the </w:t>
      </w:r>
      <w:r w:rsidR="001A1F5B">
        <w:rPr>
          <w:lang w:eastAsia="en-AU"/>
        </w:rPr>
        <w:t xml:space="preserve">invaluable expertise </w:t>
      </w:r>
      <w:r w:rsidR="003963D6">
        <w:rPr>
          <w:lang w:eastAsia="en-AU"/>
        </w:rPr>
        <w:t>that</w:t>
      </w:r>
      <w:r w:rsidR="001A1F5B">
        <w:rPr>
          <w:lang w:eastAsia="en-AU"/>
        </w:rPr>
        <w:t xml:space="preserve"> these visiting </w:t>
      </w:r>
      <w:r w:rsidR="003963D6">
        <w:rPr>
          <w:lang w:eastAsia="en-AU"/>
        </w:rPr>
        <w:t>delegates bring in</w:t>
      </w:r>
      <w:r w:rsidR="00316AA0">
        <w:rPr>
          <w:lang w:eastAsia="en-AU"/>
        </w:rPr>
        <w:t xml:space="preserve"> </w:t>
      </w:r>
      <w:r>
        <w:rPr>
          <w:lang w:eastAsia="en-AU"/>
        </w:rPr>
        <w:t>identify</w:t>
      </w:r>
      <w:r w:rsidR="00316AA0">
        <w:rPr>
          <w:lang w:eastAsia="en-AU"/>
        </w:rPr>
        <w:t>ing</w:t>
      </w:r>
      <w:r>
        <w:rPr>
          <w:lang w:eastAsia="en-AU"/>
        </w:rPr>
        <w:t xml:space="preserve"> opportunities for improvement</w:t>
      </w:r>
      <w:r w:rsidR="001A1F5B">
        <w:rPr>
          <w:lang w:eastAsia="en-AU"/>
        </w:rPr>
        <w:t xml:space="preserve">. </w:t>
      </w:r>
      <w:r w:rsidR="001E6782">
        <w:rPr>
          <w:lang w:eastAsia="en-AU"/>
        </w:rPr>
        <w:t>I</w:t>
      </w:r>
      <w:r w:rsidR="002E32EE">
        <w:rPr>
          <w:lang w:eastAsia="en-AU"/>
        </w:rPr>
        <w:t>nquires</w:t>
      </w:r>
      <w:r w:rsidR="001A1F5B">
        <w:rPr>
          <w:lang w:eastAsia="en-AU"/>
        </w:rPr>
        <w:t xml:space="preserve"> and reviews</w:t>
      </w:r>
      <w:r w:rsidR="001E6782">
        <w:rPr>
          <w:lang w:eastAsia="en-AU"/>
        </w:rPr>
        <w:t xml:space="preserve"> in </w:t>
      </w:r>
      <w:r w:rsidR="002A21C1">
        <w:rPr>
          <w:lang w:eastAsia="en-AU"/>
        </w:rPr>
        <w:t>several jurisdictions</w:t>
      </w:r>
      <w:r w:rsidR="001A1F5B">
        <w:rPr>
          <w:lang w:eastAsia="en-AU"/>
        </w:rPr>
        <w:t xml:space="preserve"> </w:t>
      </w:r>
      <w:r w:rsidR="001E6782">
        <w:rPr>
          <w:lang w:eastAsia="en-AU"/>
        </w:rPr>
        <w:t xml:space="preserve">have found </w:t>
      </w:r>
      <w:r w:rsidR="00594E70">
        <w:rPr>
          <w:lang w:eastAsia="en-AU"/>
        </w:rPr>
        <w:t xml:space="preserve">that places of detention </w:t>
      </w:r>
      <w:r w:rsidR="001E6782">
        <w:rPr>
          <w:lang w:eastAsia="en-AU"/>
        </w:rPr>
        <w:t xml:space="preserve">often </w:t>
      </w:r>
      <w:r w:rsidR="002E32EE">
        <w:rPr>
          <w:lang w:eastAsia="en-AU"/>
        </w:rPr>
        <w:t xml:space="preserve">cause harm and trauma to detainees. </w:t>
      </w:r>
      <w:r w:rsidR="00594E70">
        <w:rPr>
          <w:lang w:eastAsia="en-AU"/>
        </w:rPr>
        <w:t xml:space="preserve">The </w:t>
      </w:r>
      <w:r w:rsidR="002E32EE">
        <w:rPr>
          <w:lang w:eastAsia="en-AU"/>
        </w:rPr>
        <w:t>whole community suffers</w:t>
      </w:r>
      <w:r w:rsidR="00C620EA">
        <w:rPr>
          <w:lang w:eastAsia="en-AU"/>
        </w:rPr>
        <w:t xml:space="preserve"> when our places of detention fail, not only individual detainees and their families, but</w:t>
      </w:r>
      <w:r w:rsidR="00F161C7">
        <w:rPr>
          <w:lang w:eastAsia="en-AU"/>
        </w:rPr>
        <w:t xml:space="preserve"> also</w:t>
      </w:r>
      <w:r w:rsidR="00C620EA">
        <w:rPr>
          <w:lang w:eastAsia="en-AU"/>
        </w:rPr>
        <w:t xml:space="preserve"> </w:t>
      </w:r>
      <w:r w:rsidR="002E32EE">
        <w:rPr>
          <w:lang w:eastAsia="en-AU"/>
        </w:rPr>
        <w:t xml:space="preserve">victims of crime when </w:t>
      </w:r>
      <w:r w:rsidR="00594E70">
        <w:rPr>
          <w:lang w:eastAsia="en-AU"/>
        </w:rPr>
        <w:t xml:space="preserve">the </w:t>
      </w:r>
      <w:r w:rsidR="002E32EE">
        <w:rPr>
          <w:lang w:eastAsia="en-AU"/>
        </w:rPr>
        <w:t xml:space="preserve">system </w:t>
      </w:r>
      <w:r w:rsidR="00C620EA">
        <w:rPr>
          <w:lang w:eastAsia="en-AU"/>
        </w:rPr>
        <w:t>drives recidivism</w:t>
      </w:r>
      <w:r w:rsidR="00F161C7">
        <w:rPr>
          <w:lang w:eastAsia="en-AU"/>
        </w:rPr>
        <w:t xml:space="preserve">. </w:t>
      </w:r>
    </w:p>
    <w:p w14:paraId="727A3A41" w14:textId="57232329" w:rsidR="00C620EA" w:rsidRPr="005B49E8" w:rsidRDefault="00F9178D" w:rsidP="005B49E8">
      <w:pPr>
        <w:pStyle w:val="Numberedparagraph"/>
        <w:rPr>
          <w:lang w:eastAsia="en-AU"/>
        </w:rPr>
      </w:pPr>
      <w:r>
        <w:rPr>
          <w:lang w:eastAsia="en-AU"/>
        </w:rPr>
        <w:t>UN SPT visit</w:t>
      </w:r>
      <w:r w:rsidR="00043D3D">
        <w:rPr>
          <w:lang w:eastAsia="en-AU"/>
        </w:rPr>
        <w:t>s</w:t>
      </w:r>
      <w:r>
        <w:rPr>
          <w:lang w:eastAsia="en-AU"/>
        </w:rPr>
        <w:t xml:space="preserve"> </w:t>
      </w:r>
      <w:r w:rsidR="00043D3D">
        <w:rPr>
          <w:lang w:eastAsia="en-AU"/>
        </w:rPr>
        <w:t xml:space="preserve">are </w:t>
      </w:r>
      <w:r>
        <w:rPr>
          <w:lang w:eastAsia="en-AU"/>
        </w:rPr>
        <w:t>an opportunity to identify and</w:t>
      </w:r>
      <w:r w:rsidR="00C620EA">
        <w:rPr>
          <w:lang w:eastAsia="en-AU"/>
        </w:rPr>
        <w:t xml:space="preserve"> implement international best practice in our places of detention. </w:t>
      </w:r>
    </w:p>
    <w:p w14:paraId="042D6F4B" w14:textId="740487DA" w:rsidR="00945539" w:rsidRDefault="00945539" w:rsidP="00052290">
      <w:pPr>
        <w:pStyle w:val="Heading1"/>
        <w:rPr>
          <w:lang w:eastAsia="en-AU"/>
        </w:rPr>
      </w:pPr>
      <w:bookmarkStart w:id="5" w:name="_Toc124261256"/>
      <w:r>
        <w:rPr>
          <w:lang w:eastAsia="en-AU"/>
        </w:rPr>
        <w:t>Definition of places of detention</w:t>
      </w:r>
      <w:bookmarkEnd w:id="5"/>
    </w:p>
    <w:p w14:paraId="65F2D6F4" w14:textId="0E379017" w:rsidR="004B2AFE" w:rsidRPr="004B2AFE" w:rsidRDefault="006B66EB" w:rsidP="008F3DFF">
      <w:pPr>
        <w:pStyle w:val="Numberedparagraph"/>
        <w:rPr>
          <w:i/>
          <w:iCs/>
          <w:lang w:eastAsia="en-AU"/>
        </w:rPr>
      </w:pPr>
      <w:r w:rsidRPr="00052290">
        <w:t xml:space="preserve">Articles 1 and 4 of OPCAT </w:t>
      </w:r>
      <w:r>
        <w:t xml:space="preserve">refer </w:t>
      </w:r>
      <w:r w:rsidRPr="00052290">
        <w:t xml:space="preserve">to any place under the </w:t>
      </w:r>
      <w:r w:rsidR="00594E70">
        <w:t>S</w:t>
      </w:r>
      <w:r w:rsidRPr="00052290">
        <w:t xml:space="preserve">tate’s jurisdiction where </w:t>
      </w:r>
      <w:r w:rsidR="00594E70">
        <w:t>people</w:t>
      </w:r>
      <w:r w:rsidR="00594E70" w:rsidRPr="00052290">
        <w:t xml:space="preserve"> </w:t>
      </w:r>
      <w:r w:rsidRPr="00052290">
        <w:t>are</w:t>
      </w:r>
      <w:r w:rsidR="00043D3D">
        <w:t>,</w:t>
      </w:r>
      <w:r w:rsidRPr="00052290">
        <w:t xml:space="preserve"> or may be</w:t>
      </w:r>
      <w:r w:rsidR="00043D3D">
        <w:t>,</w:t>
      </w:r>
      <w:r w:rsidRPr="00052290">
        <w:t xml:space="preserve"> de</w:t>
      </w:r>
      <w:r>
        <w:t>p</w:t>
      </w:r>
      <w:r w:rsidRPr="00052290">
        <w:t xml:space="preserve">rived of their liberty. The </w:t>
      </w:r>
      <w:r>
        <w:t xml:space="preserve">UN </w:t>
      </w:r>
      <w:r w:rsidRPr="00052290">
        <w:t>SPT has interpreted the OPCAT mandate as encompassing any place where persons are de</w:t>
      </w:r>
      <w:r>
        <w:t>p</w:t>
      </w:r>
      <w:r w:rsidRPr="00052290">
        <w:t>rived of their liberty, in the sense of not being free to leave, and in which the State either exercises, or might be expected to exercise, a regulatory function.</w:t>
      </w:r>
      <w:r w:rsidRPr="00052290">
        <w:rPr>
          <w:vertAlign w:val="superscript"/>
        </w:rPr>
        <w:footnoteReference w:id="6"/>
      </w:r>
      <w:r w:rsidRPr="00052290">
        <w:t xml:space="preserve"> </w:t>
      </w:r>
      <w:r w:rsidRPr="003B0A61">
        <w:t xml:space="preserve">The UN SPT recommends allowing NPMs </w:t>
      </w:r>
      <w:r w:rsidR="00EB3464">
        <w:t xml:space="preserve">(National Preventive Mechanisms) </w:t>
      </w:r>
      <w:r w:rsidRPr="003B0A61">
        <w:t xml:space="preserve">to visit any such </w:t>
      </w:r>
      <w:r w:rsidRPr="003B0A61">
        <w:lastRenderedPageBreak/>
        <w:t>places, including where the NPM suspects a location is a place of deprivation of liberty.</w:t>
      </w:r>
      <w:r w:rsidRPr="003B0A61">
        <w:rPr>
          <w:rStyle w:val="FootnoteReference"/>
        </w:rPr>
        <w:footnoteReference w:id="7"/>
      </w:r>
      <w:r w:rsidRPr="00517696">
        <w:t xml:space="preserve"> </w:t>
      </w:r>
    </w:p>
    <w:p w14:paraId="31F28A10" w14:textId="7A08BE59" w:rsidR="008F3DFF" w:rsidRPr="00FC1B0F" w:rsidRDefault="008F3DFF" w:rsidP="008F3DFF">
      <w:pPr>
        <w:pStyle w:val="Numberedparagraph"/>
        <w:rPr>
          <w:i/>
          <w:iCs/>
          <w:lang w:eastAsia="en-AU"/>
        </w:rPr>
      </w:pPr>
      <w:r>
        <w:rPr>
          <w:lang w:eastAsia="en-AU"/>
        </w:rPr>
        <w:t xml:space="preserve">The </w:t>
      </w:r>
      <w:r w:rsidR="00FC1B0F" w:rsidRPr="00FC1B0F">
        <w:rPr>
          <w:i/>
          <w:iCs/>
          <w:lang w:eastAsia="en-AU"/>
        </w:rPr>
        <w:t xml:space="preserve">Monitoring of Places of Detention (Optional Protocol to the Convention Against Torture) Act 2018 </w:t>
      </w:r>
      <w:r w:rsidR="00FC1B0F">
        <w:rPr>
          <w:lang w:eastAsia="en-AU"/>
        </w:rPr>
        <w:t>(ACT)</w:t>
      </w:r>
      <w:r w:rsidR="0003049C">
        <w:rPr>
          <w:lang w:eastAsia="en-AU"/>
        </w:rPr>
        <w:t xml:space="preserve"> and</w:t>
      </w:r>
      <w:r w:rsidR="00E57203">
        <w:rPr>
          <w:lang w:eastAsia="en-AU"/>
        </w:rPr>
        <w:t xml:space="preserve"> </w:t>
      </w:r>
      <w:r w:rsidR="00E57203">
        <w:rPr>
          <w:i/>
          <w:iCs/>
          <w:lang w:eastAsia="en-AU"/>
        </w:rPr>
        <w:t xml:space="preserve">OPCAT </w:t>
      </w:r>
      <w:r w:rsidR="00266D85">
        <w:rPr>
          <w:i/>
          <w:iCs/>
          <w:lang w:eastAsia="en-AU"/>
        </w:rPr>
        <w:t>Implementation</w:t>
      </w:r>
      <w:r w:rsidR="00E57203">
        <w:rPr>
          <w:i/>
          <w:iCs/>
          <w:lang w:eastAsia="en-AU"/>
        </w:rPr>
        <w:t xml:space="preserve"> Act 2021 </w:t>
      </w:r>
      <w:r w:rsidR="00E57203">
        <w:rPr>
          <w:lang w:eastAsia="en-AU"/>
        </w:rPr>
        <w:t>(Tas)</w:t>
      </w:r>
      <w:r w:rsidR="00FC1B0F">
        <w:rPr>
          <w:lang w:eastAsia="en-AU"/>
        </w:rPr>
        <w:t xml:space="preserve">, which </w:t>
      </w:r>
      <w:r w:rsidR="00F23F07">
        <w:rPr>
          <w:lang w:eastAsia="en-AU"/>
        </w:rPr>
        <w:t>similarly provide a right of access for the SPT to visit</w:t>
      </w:r>
      <w:r w:rsidR="00266D85">
        <w:rPr>
          <w:lang w:eastAsia="en-AU"/>
        </w:rPr>
        <w:t xml:space="preserve"> in these jurisdictions</w:t>
      </w:r>
      <w:r w:rsidR="00F23F07">
        <w:rPr>
          <w:lang w:eastAsia="en-AU"/>
        </w:rPr>
        <w:t xml:space="preserve">, define a place of detention </w:t>
      </w:r>
      <w:r w:rsidR="00E82DFD">
        <w:rPr>
          <w:lang w:eastAsia="en-AU"/>
        </w:rPr>
        <w:t xml:space="preserve">by reference to article 4 of OPCAT. </w:t>
      </w:r>
    </w:p>
    <w:p w14:paraId="3FF52489" w14:textId="60967A81" w:rsidR="00A92BEF" w:rsidRDefault="00D30A4C" w:rsidP="008F3DFF">
      <w:pPr>
        <w:pStyle w:val="Numberedparagraph"/>
        <w:rPr>
          <w:lang w:eastAsia="en-AU"/>
        </w:rPr>
      </w:pPr>
      <w:r>
        <w:rPr>
          <w:lang w:eastAsia="en-AU"/>
        </w:rPr>
        <w:t>In contrast</w:t>
      </w:r>
      <w:r w:rsidR="00B4324A">
        <w:rPr>
          <w:lang w:eastAsia="en-AU"/>
        </w:rPr>
        <w:t xml:space="preserve">, the </w:t>
      </w:r>
      <w:r w:rsidR="00775565">
        <w:rPr>
          <w:lang w:eastAsia="en-AU"/>
        </w:rPr>
        <w:t xml:space="preserve">Queensland </w:t>
      </w:r>
      <w:r w:rsidR="00B4324A">
        <w:rPr>
          <w:lang w:eastAsia="en-AU"/>
        </w:rPr>
        <w:t>Bill narrows th</w:t>
      </w:r>
      <w:r>
        <w:rPr>
          <w:lang w:eastAsia="en-AU"/>
        </w:rPr>
        <w:t>e</w:t>
      </w:r>
      <w:r w:rsidR="00B4324A">
        <w:rPr>
          <w:lang w:eastAsia="en-AU"/>
        </w:rPr>
        <w:t xml:space="preserve"> definition</w:t>
      </w:r>
      <w:r w:rsidR="00E82DFD">
        <w:rPr>
          <w:lang w:eastAsia="en-AU"/>
        </w:rPr>
        <w:t xml:space="preserve"> to certain </w:t>
      </w:r>
      <w:r w:rsidR="00F161C7">
        <w:rPr>
          <w:lang w:eastAsia="en-AU"/>
        </w:rPr>
        <w:t>specific</w:t>
      </w:r>
      <w:r w:rsidR="00E82DFD">
        <w:rPr>
          <w:lang w:eastAsia="en-AU"/>
        </w:rPr>
        <w:t xml:space="preserve"> places</w:t>
      </w:r>
      <w:r w:rsidR="00F161C7">
        <w:rPr>
          <w:lang w:eastAsia="en-AU"/>
        </w:rPr>
        <w:t xml:space="preserve"> only</w:t>
      </w:r>
      <w:r w:rsidR="00B4324A">
        <w:rPr>
          <w:lang w:eastAsia="en-AU"/>
        </w:rPr>
        <w:t>. The Explanatory Notes suggest this</w:t>
      </w:r>
      <w:r w:rsidR="00A5472D">
        <w:rPr>
          <w:lang w:eastAsia="en-AU"/>
        </w:rPr>
        <w:t xml:space="preserve"> ‘</w:t>
      </w:r>
      <w:r w:rsidR="00A5472D">
        <w:t>is to provide clarity as to the procedures to be followed to facilitate a visit by the Subcommittee.’</w:t>
      </w:r>
      <w:r w:rsidR="00A5472D">
        <w:rPr>
          <w:rStyle w:val="FootnoteReference"/>
        </w:rPr>
        <w:footnoteReference w:id="8"/>
      </w:r>
      <w:r w:rsidR="00A5472D">
        <w:t xml:space="preserve"> Both the Explanatory Note</w:t>
      </w:r>
      <w:r w:rsidR="00C74C6E">
        <w:t>s</w:t>
      </w:r>
      <w:r w:rsidR="00A5472D">
        <w:t xml:space="preserve"> and Statement of Compatibility </w:t>
      </w:r>
      <w:r w:rsidR="00C74C6E">
        <w:t xml:space="preserve">explicitly state </w:t>
      </w:r>
      <w:r w:rsidR="00A5472D">
        <w:t xml:space="preserve">that the Bill </w:t>
      </w:r>
      <w:r w:rsidR="00E731D9">
        <w:t>‘</w:t>
      </w:r>
      <w:r w:rsidR="00A5472D">
        <w:t>does not operate to prevent the Subcommittee from visiting other places where a person may be deprived of their liberty</w:t>
      </w:r>
      <w:r w:rsidR="00E731D9">
        <w:t>’</w:t>
      </w:r>
      <w:r w:rsidR="00A5472D">
        <w:t>.</w:t>
      </w:r>
      <w:r w:rsidR="00A5472D" w:rsidRPr="00A5472D">
        <w:rPr>
          <w:rStyle w:val="FootnoteReference"/>
        </w:rPr>
        <w:t xml:space="preserve"> </w:t>
      </w:r>
      <w:r w:rsidR="00A5472D">
        <w:rPr>
          <w:rStyle w:val="FootnoteReference"/>
        </w:rPr>
        <w:footnoteReference w:id="9"/>
      </w:r>
    </w:p>
    <w:p w14:paraId="3A877250" w14:textId="5CFA5F7B" w:rsidR="00A92BEF" w:rsidRDefault="00A92BEF" w:rsidP="00A92BEF">
      <w:pPr>
        <w:pStyle w:val="Numberedparagraph"/>
        <w:rPr>
          <w:lang w:eastAsia="en-AU"/>
        </w:rPr>
      </w:pPr>
      <w:r>
        <w:t xml:space="preserve">However, </w:t>
      </w:r>
      <w:r w:rsidR="00BD070D">
        <w:t>specific legislative provisions are</w:t>
      </w:r>
      <w:r>
        <w:t xml:space="preserve"> necessary because the </w:t>
      </w:r>
      <w:r w:rsidR="00D9395E">
        <w:t>Queensland G</w:t>
      </w:r>
      <w:r>
        <w:t xml:space="preserve">overnment formed a view </w:t>
      </w:r>
      <w:r w:rsidR="00BD070D">
        <w:t>at the time of the visit</w:t>
      </w:r>
      <w:r w:rsidR="009C5845">
        <w:t xml:space="preserve"> </w:t>
      </w:r>
      <w:r>
        <w:t xml:space="preserve">that </w:t>
      </w:r>
      <w:r w:rsidR="00A5472D">
        <w:t>existing</w:t>
      </w:r>
      <w:r>
        <w:t xml:space="preserve"> legislation </w:t>
      </w:r>
      <w:r w:rsidR="00A5472D">
        <w:t xml:space="preserve">applied </w:t>
      </w:r>
      <w:r>
        <w:t xml:space="preserve">to prevent the SPT </w:t>
      </w:r>
      <w:r w:rsidR="00A5472D">
        <w:t xml:space="preserve">legally </w:t>
      </w:r>
      <w:r>
        <w:t>visiting</w:t>
      </w:r>
      <w:r w:rsidR="00A5472D">
        <w:t xml:space="preserve"> </w:t>
      </w:r>
      <w:r w:rsidR="001D3C89">
        <w:t xml:space="preserve">certain </w:t>
      </w:r>
      <w:r w:rsidR="00A5472D">
        <w:t>place</w:t>
      </w:r>
      <w:r w:rsidR="001D3C89">
        <w:t>s</w:t>
      </w:r>
      <w:r w:rsidR="00A5472D">
        <w:t xml:space="preserve"> of detention</w:t>
      </w:r>
      <w:r>
        <w:t xml:space="preserve">. </w:t>
      </w:r>
      <w:r w:rsidR="00D03FE8">
        <w:t xml:space="preserve">While the policy intention </w:t>
      </w:r>
      <w:r w:rsidR="00D9395E">
        <w:t>is</w:t>
      </w:r>
      <w:r w:rsidR="00D03FE8">
        <w:t xml:space="preserve"> to facilitate access, the </w:t>
      </w:r>
      <w:r w:rsidR="00BD31CB">
        <w:t>Commission</w:t>
      </w:r>
      <w:r w:rsidR="00D03FE8">
        <w:t xml:space="preserve"> is concerned about the risk that there will not be a clear legislative basis for the UN SPT to visit all relevant places of detention when they return in 2023.</w:t>
      </w:r>
      <w:r w:rsidR="00A5472D">
        <w:t xml:space="preserve"> </w:t>
      </w:r>
      <w:r w:rsidR="00190489">
        <w:t xml:space="preserve">Relying on additional places being prescribed by regulation risks causing further delays and confusion. </w:t>
      </w:r>
    </w:p>
    <w:p w14:paraId="2366DC10" w14:textId="350B46FA" w:rsidR="00007A9D" w:rsidRPr="002D6506" w:rsidRDefault="001D3C89" w:rsidP="00A92BEF">
      <w:pPr>
        <w:pStyle w:val="Numberedparagraph"/>
        <w:rPr>
          <w:lang w:eastAsia="en-AU"/>
        </w:rPr>
      </w:pPr>
      <w:r>
        <w:t>Excluding a</w:t>
      </w:r>
      <w:r w:rsidR="00007A9D">
        <w:t xml:space="preserve"> place of detention from </w:t>
      </w:r>
      <w:r>
        <w:t xml:space="preserve">coverage in </w:t>
      </w:r>
      <w:r w:rsidR="00007A9D">
        <w:t xml:space="preserve">the Bill undermines the </w:t>
      </w:r>
      <w:r>
        <w:t xml:space="preserve">claim </w:t>
      </w:r>
      <w:r w:rsidR="00007A9D">
        <w:t xml:space="preserve">in the Statement of Compatibility that the Bill </w:t>
      </w:r>
      <w:r w:rsidR="00D03FE8">
        <w:t xml:space="preserve">promotes </w:t>
      </w:r>
      <w:proofErr w:type="gramStart"/>
      <w:r w:rsidR="00007A9D">
        <w:t>rights, and</w:t>
      </w:r>
      <w:proofErr w:type="gramEnd"/>
      <w:r w:rsidR="00007A9D">
        <w:t xml:space="preserve"> may also</w:t>
      </w:r>
      <w:r w:rsidR="00D03FE8">
        <w:t xml:space="preserve"> unjustifiably</w:t>
      </w:r>
      <w:r w:rsidR="00007A9D">
        <w:t xml:space="preserve"> limit the right to equality of individuals in a place of detention to which the SPT cannot visit. </w:t>
      </w:r>
    </w:p>
    <w:p w14:paraId="277E31F3" w14:textId="0CAEBE70" w:rsidR="00E82DFD" w:rsidRDefault="00E82DFD" w:rsidP="008F3DFF">
      <w:pPr>
        <w:pStyle w:val="Numberedparagraph"/>
        <w:rPr>
          <w:lang w:eastAsia="en-AU"/>
        </w:rPr>
      </w:pPr>
      <w:proofErr w:type="gramStart"/>
      <w:r>
        <w:rPr>
          <w:lang w:eastAsia="en-AU"/>
        </w:rPr>
        <w:t>In order to</w:t>
      </w:r>
      <w:proofErr w:type="gramEnd"/>
      <w:r>
        <w:rPr>
          <w:lang w:eastAsia="en-AU"/>
        </w:rPr>
        <w:t xml:space="preserve"> fulfil its purpose </w:t>
      </w:r>
      <w:r w:rsidR="00D03FE8">
        <w:rPr>
          <w:lang w:eastAsia="en-AU"/>
        </w:rPr>
        <w:t xml:space="preserve">of </w:t>
      </w:r>
      <w:r>
        <w:rPr>
          <w:lang w:eastAsia="en-AU"/>
        </w:rPr>
        <w:t>providing unfette</w:t>
      </w:r>
      <w:r w:rsidR="00A92BEF">
        <w:rPr>
          <w:lang w:eastAsia="en-AU"/>
        </w:rPr>
        <w:t>re</w:t>
      </w:r>
      <w:r>
        <w:rPr>
          <w:lang w:eastAsia="en-AU"/>
        </w:rPr>
        <w:t xml:space="preserve">d access to </w:t>
      </w:r>
      <w:r w:rsidR="00C620EA">
        <w:rPr>
          <w:lang w:eastAsia="en-AU"/>
        </w:rPr>
        <w:t>all places of detention in Queensland</w:t>
      </w:r>
      <w:r w:rsidR="00D03FE8">
        <w:rPr>
          <w:lang w:eastAsia="en-AU"/>
        </w:rPr>
        <w:t xml:space="preserve"> to the UN SPT</w:t>
      </w:r>
      <w:r w:rsidR="00007A9D">
        <w:rPr>
          <w:lang w:eastAsia="en-AU"/>
        </w:rPr>
        <w:t>, the Bill should be amended</w:t>
      </w:r>
      <w:r w:rsidR="004D05E0">
        <w:rPr>
          <w:lang w:eastAsia="en-AU"/>
        </w:rPr>
        <w:t>, and the Commission makes the following recommendation</w:t>
      </w:r>
      <w:r w:rsidR="003E51B7">
        <w:rPr>
          <w:lang w:eastAsia="en-AU"/>
        </w:rPr>
        <w:t>:</w:t>
      </w:r>
      <w:r w:rsidR="00C620EA">
        <w:rPr>
          <w:lang w:eastAsia="en-AU"/>
        </w:rPr>
        <w:t xml:space="preserve"> </w:t>
      </w:r>
    </w:p>
    <w:p w14:paraId="049401BF" w14:textId="4AC966D7" w:rsidR="00970E28" w:rsidRPr="00970E28" w:rsidRDefault="00970E28" w:rsidP="00970E28">
      <w:pPr>
        <w:ind w:left="567"/>
        <w:rPr>
          <w:rFonts w:ascii="Arial" w:hAnsi="Arial" w:cs="Arial"/>
          <w:b/>
          <w:bCs/>
          <w:lang w:eastAsia="en-AU"/>
        </w:rPr>
      </w:pPr>
      <w:r>
        <w:rPr>
          <w:rFonts w:ascii="Arial" w:hAnsi="Arial" w:cs="Arial"/>
          <w:b/>
          <w:bCs/>
          <w:lang w:eastAsia="en-AU"/>
        </w:rPr>
        <w:t xml:space="preserve">Recommendation 1: </w:t>
      </w:r>
      <w:r w:rsidR="003E51B7">
        <w:rPr>
          <w:rFonts w:ascii="Arial" w:hAnsi="Arial" w:cs="Arial"/>
          <w:b/>
          <w:bCs/>
          <w:lang w:eastAsia="en-AU"/>
        </w:rPr>
        <w:br/>
      </w:r>
      <w:r>
        <w:rPr>
          <w:rFonts w:ascii="Arial" w:hAnsi="Arial" w:cs="Arial"/>
          <w:b/>
          <w:bCs/>
          <w:lang w:eastAsia="en-AU"/>
        </w:rPr>
        <w:t>The Bill be amended to define places of detention as set out in OPCAT</w:t>
      </w:r>
      <w:r w:rsidR="00007A9D">
        <w:rPr>
          <w:rFonts w:ascii="Arial" w:hAnsi="Arial" w:cs="Arial"/>
          <w:b/>
          <w:bCs/>
          <w:lang w:eastAsia="en-AU"/>
        </w:rPr>
        <w:t xml:space="preserve">. </w:t>
      </w:r>
    </w:p>
    <w:p w14:paraId="599B97CB" w14:textId="77AAC504" w:rsidR="004F05D9" w:rsidRDefault="004F05D9" w:rsidP="00052290">
      <w:pPr>
        <w:pStyle w:val="Heading1"/>
        <w:rPr>
          <w:lang w:eastAsia="en-AU"/>
        </w:rPr>
      </w:pPr>
      <w:bookmarkStart w:id="6" w:name="_Toc124261257"/>
      <w:r>
        <w:rPr>
          <w:lang w:eastAsia="en-AU"/>
        </w:rPr>
        <w:t xml:space="preserve">Unrestricted </w:t>
      </w:r>
      <w:r w:rsidR="00D03FE8">
        <w:rPr>
          <w:lang w:eastAsia="en-AU"/>
        </w:rPr>
        <w:t>access</w:t>
      </w:r>
      <w:bookmarkEnd w:id="6"/>
    </w:p>
    <w:p w14:paraId="6276D1E3" w14:textId="571D3EBA" w:rsidR="003F4462" w:rsidRDefault="00A64FA6" w:rsidP="00E167A9">
      <w:pPr>
        <w:pStyle w:val="Numberedparagraph"/>
        <w:rPr>
          <w:lang w:eastAsia="en-AU"/>
        </w:rPr>
      </w:pPr>
      <w:r w:rsidRPr="00A64FA6">
        <w:rPr>
          <w:lang w:eastAsia="en-AU"/>
        </w:rPr>
        <w:t xml:space="preserve">Under OPCAT, the </w:t>
      </w:r>
      <w:r w:rsidR="00165980">
        <w:rPr>
          <w:lang w:eastAsia="en-AU"/>
        </w:rPr>
        <w:t xml:space="preserve">UN </w:t>
      </w:r>
      <w:r w:rsidRPr="00A64FA6">
        <w:rPr>
          <w:lang w:eastAsia="en-AU"/>
        </w:rPr>
        <w:t xml:space="preserve">SPT has unrestricted access to all places of detention, their </w:t>
      </w:r>
      <w:proofErr w:type="gramStart"/>
      <w:r w:rsidRPr="00A64FA6">
        <w:rPr>
          <w:lang w:eastAsia="en-AU"/>
        </w:rPr>
        <w:t>installations</w:t>
      </w:r>
      <w:proofErr w:type="gramEnd"/>
      <w:r w:rsidRPr="00A64FA6">
        <w:rPr>
          <w:lang w:eastAsia="en-AU"/>
        </w:rPr>
        <w:t xml:space="preserve"> and facilities</w:t>
      </w:r>
      <w:r w:rsidR="003E51B7">
        <w:rPr>
          <w:lang w:eastAsia="en-AU"/>
        </w:rPr>
        <w:t>,</w:t>
      </w:r>
      <w:r w:rsidRPr="00A64FA6">
        <w:rPr>
          <w:lang w:eastAsia="en-AU"/>
        </w:rPr>
        <w:t xml:space="preserve"> and to all relevant information relating to the treatment of persons and to conditions of detention.</w:t>
      </w:r>
    </w:p>
    <w:p w14:paraId="33062048" w14:textId="21F10C4B" w:rsidR="00120C1E" w:rsidRDefault="00120C1E" w:rsidP="00E167A9">
      <w:pPr>
        <w:pStyle w:val="Numberedparagraph"/>
        <w:rPr>
          <w:lang w:eastAsia="en-AU"/>
        </w:rPr>
      </w:pPr>
      <w:r>
        <w:rPr>
          <w:lang w:eastAsia="en-AU"/>
        </w:rPr>
        <w:lastRenderedPageBreak/>
        <w:t>A</w:t>
      </w:r>
      <w:r w:rsidR="00DB6348">
        <w:rPr>
          <w:lang w:eastAsia="en-AU"/>
        </w:rPr>
        <w:t>s discussed in the Explanatory Note</w:t>
      </w:r>
      <w:r w:rsidR="001C710B">
        <w:rPr>
          <w:lang w:eastAsia="en-AU"/>
        </w:rPr>
        <w:t>s</w:t>
      </w:r>
      <w:r w:rsidR="00DB6348">
        <w:rPr>
          <w:lang w:eastAsia="en-AU"/>
        </w:rPr>
        <w:t xml:space="preserve">, article 14(2) of OPCAT does provide that </w:t>
      </w:r>
      <w:r w:rsidR="001C710B">
        <w:rPr>
          <w:lang w:eastAsia="en-AU"/>
        </w:rPr>
        <w:t xml:space="preserve">access to a place of detention by the </w:t>
      </w:r>
      <w:r w:rsidR="00DB6348">
        <w:rPr>
          <w:lang w:eastAsia="en-AU"/>
        </w:rPr>
        <w:t xml:space="preserve">SPT may be </w:t>
      </w:r>
      <w:r w:rsidR="001C710B">
        <w:rPr>
          <w:lang w:eastAsia="en-AU"/>
        </w:rPr>
        <w:t>temporarily postponed</w:t>
      </w:r>
      <w:r w:rsidR="00DB6348">
        <w:rPr>
          <w:lang w:eastAsia="en-AU"/>
        </w:rPr>
        <w:t xml:space="preserve"> on </w:t>
      </w:r>
      <w:r w:rsidR="00A64FA6">
        <w:rPr>
          <w:lang w:eastAsia="en-AU"/>
        </w:rPr>
        <w:t>specific</w:t>
      </w:r>
      <w:r w:rsidR="00815053">
        <w:rPr>
          <w:lang w:eastAsia="en-AU"/>
        </w:rPr>
        <w:t xml:space="preserve"> grounds, which have been described as ‘exceptional’.</w:t>
      </w:r>
      <w:r w:rsidR="00815053">
        <w:rPr>
          <w:rStyle w:val="FootnoteReference"/>
          <w:lang w:eastAsia="en-AU"/>
        </w:rPr>
        <w:footnoteReference w:id="10"/>
      </w:r>
      <w:r w:rsidR="00815053">
        <w:rPr>
          <w:lang w:eastAsia="en-AU"/>
        </w:rPr>
        <w:t xml:space="preserve"> These grounds of national defence, public safety, natural disaster</w:t>
      </w:r>
      <w:r w:rsidR="001C710B">
        <w:rPr>
          <w:lang w:eastAsia="en-AU"/>
        </w:rPr>
        <w:t>,</w:t>
      </w:r>
      <w:r w:rsidR="00815053">
        <w:rPr>
          <w:lang w:eastAsia="en-AU"/>
        </w:rPr>
        <w:t xml:space="preserve"> or serious disorder are reflected in clause 9 of the Bill.</w:t>
      </w:r>
      <w:r w:rsidR="00E5010D">
        <w:rPr>
          <w:lang w:eastAsia="en-AU"/>
        </w:rPr>
        <w:t xml:space="preserve"> Legislation in other jurisdictions, such as t</w:t>
      </w:r>
      <w:r w:rsidR="009D6C66">
        <w:rPr>
          <w:lang w:eastAsia="en-AU"/>
        </w:rPr>
        <w:t xml:space="preserve">he </w:t>
      </w:r>
      <w:r w:rsidR="009D6C66" w:rsidRPr="00FC1B0F">
        <w:rPr>
          <w:i/>
          <w:iCs/>
          <w:lang w:eastAsia="en-AU"/>
        </w:rPr>
        <w:t xml:space="preserve">Monitoring of Places of Detention (Optional Protocol to the Convention Against Torture) Act 2018 </w:t>
      </w:r>
      <w:r w:rsidR="009D6C66">
        <w:rPr>
          <w:lang w:eastAsia="en-AU"/>
        </w:rPr>
        <w:t xml:space="preserve">(ACT) and </w:t>
      </w:r>
      <w:r w:rsidR="009D6C66">
        <w:rPr>
          <w:i/>
          <w:iCs/>
          <w:lang w:eastAsia="en-AU"/>
        </w:rPr>
        <w:t xml:space="preserve">OPCAT Implementation Act 2021 </w:t>
      </w:r>
      <w:r w:rsidR="009D6C66">
        <w:rPr>
          <w:lang w:eastAsia="en-AU"/>
        </w:rPr>
        <w:t xml:space="preserve">(Tas) both only restrict access to a place of detention by reference to article 14. </w:t>
      </w:r>
    </w:p>
    <w:p w14:paraId="7C808F7B" w14:textId="5902208B" w:rsidR="00C620EA" w:rsidRDefault="00815053" w:rsidP="00E167A9">
      <w:pPr>
        <w:pStyle w:val="Numberedparagraph"/>
        <w:rPr>
          <w:lang w:eastAsia="en-AU"/>
        </w:rPr>
      </w:pPr>
      <w:r>
        <w:rPr>
          <w:lang w:eastAsia="en-AU"/>
        </w:rPr>
        <w:t xml:space="preserve">However, clause 10 of the Bill </w:t>
      </w:r>
      <w:r w:rsidR="00B07720">
        <w:rPr>
          <w:lang w:eastAsia="en-AU"/>
        </w:rPr>
        <w:t>provides that a detaining authority may temporarily restrict or prohibit access to the facility on additional grounds not contained in OPCAT</w:t>
      </w:r>
      <w:r w:rsidR="00F76AD8">
        <w:rPr>
          <w:lang w:eastAsia="en-AU"/>
        </w:rPr>
        <w:t xml:space="preserve"> where</w:t>
      </w:r>
      <w:r w:rsidR="00C620EA">
        <w:rPr>
          <w:lang w:eastAsia="en-AU"/>
        </w:rPr>
        <w:t>:</w:t>
      </w:r>
    </w:p>
    <w:p w14:paraId="0C6185EF" w14:textId="0721A33C" w:rsidR="00DF2BF2" w:rsidRPr="00DF2BF2" w:rsidRDefault="00DF2BF2" w:rsidP="00DF2BF2">
      <w:pPr>
        <w:pStyle w:val="Quote"/>
        <w:rPr>
          <w:lang w:eastAsia="zh-CN" w:bidi="th-TH"/>
        </w:rPr>
      </w:pPr>
      <w:r w:rsidRPr="00DF2BF2">
        <w:rPr>
          <w:lang w:eastAsia="zh-CN" w:bidi="th-TH"/>
        </w:rPr>
        <w:t>(a)</w:t>
      </w:r>
      <w:r w:rsidR="00007A9D">
        <w:rPr>
          <w:lang w:eastAsia="zh-CN" w:bidi="th-TH"/>
        </w:rPr>
        <w:t xml:space="preserve"> </w:t>
      </w:r>
      <w:r w:rsidRPr="00DF2BF2">
        <w:rPr>
          <w:lang w:eastAsia="zh-CN" w:bidi="th-TH"/>
        </w:rPr>
        <w:t>allowing access to the place or part of the place may prevent the maintenance of—</w:t>
      </w:r>
    </w:p>
    <w:p w14:paraId="145BC98A" w14:textId="3A0CF0E8" w:rsidR="00DF2BF2" w:rsidRPr="00DF2BF2" w:rsidRDefault="00DF2BF2" w:rsidP="00DF2BF2">
      <w:pPr>
        <w:pStyle w:val="Quote"/>
        <w:ind w:left="1440"/>
        <w:rPr>
          <w:lang w:eastAsia="zh-CN" w:bidi="th-TH"/>
        </w:rPr>
      </w:pPr>
      <w:r w:rsidRPr="00DF2BF2">
        <w:rPr>
          <w:lang w:eastAsia="zh-CN" w:bidi="th-TH"/>
        </w:rPr>
        <w:t>(</w:t>
      </w:r>
      <w:proofErr w:type="spellStart"/>
      <w:r w:rsidRPr="00DF2BF2">
        <w:rPr>
          <w:lang w:eastAsia="zh-CN" w:bidi="th-TH"/>
        </w:rPr>
        <w:t>i</w:t>
      </w:r>
      <w:proofErr w:type="spellEnd"/>
      <w:r w:rsidRPr="00DF2BF2">
        <w:rPr>
          <w:lang w:eastAsia="zh-CN" w:bidi="th-TH"/>
        </w:rPr>
        <w:t>)</w:t>
      </w:r>
      <w:r w:rsidR="00304540">
        <w:rPr>
          <w:lang w:eastAsia="zh-CN" w:bidi="th-TH"/>
        </w:rPr>
        <w:t xml:space="preserve"> </w:t>
      </w:r>
      <w:r w:rsidRPr="00DF2BF2">
        <w:rPr>
          <w:lang w:eastAsia="zh-CN" w:bidi="th-TH"/>
        </w:rPr>
        <w:t xml:space="preserve">security, good </w:t>
      </w:r>
      <w:proofErr w:type="gramStart"/>
      <w:r w:rsidRPr="00DF2BF2">
        <w:rPr>
          <w:lang w:eastAsia="zh-CN" w:bidi="th-TH"/>
        </w:rPr>
        <w:t>order</w:t>
      </w:r>
      <w:proofErr w:type="gramEnd"/>
      <w:r w:rsidRPr="00DF2BF2">
        <w:rPr>
          <w:lang w:eastAsia="zh-CN" w:bidi="th-TH"/>
        </w:rPr>
        <w:t xml:space="preserve"> and management of the place of detention; or</w:t>
      </w:r>
    </w:p>
    <w:p w14:paraId="204F70F3" w14:textId="25C8F909" w:rsidR="00DF2BF2" w:rsidRPr="00DF2BF2" w:rsidRDefault="00DF2BF2" w:rsidP="00DF2BF2">
      <w:pPr>
        <w:pStyle w:val="Quote"/>
        <w:ind w:left="1440"/>
        <w:rPr>
          <w:lang w:eastAsia="zh-CN" w:bidi="th-TH"/>
        </w:rPr>
      </w:pPr>
      <w:r w:rsidRPr="00DF2BF2">
        <w:rPr>
          <w:lang w:eastAsia="zh-CN" w:bidi="th-TH"/>
        </w:rPr>
        <w:t>(ii)</w:t>
      </w:r>
      <w:r w:rsidR="00304540">
        <w:rPr>
          <w:lang w:eastAsia="zh-CN" w:bidi="th-TH"/>
        </w:rPr>
        <w:t xml:space="preserve"> </w:t>
      </w:r>
      <w:r w:rsidRPr="00DF2BF2">
        <w:rPr>
          <w:lang w:eastAsia="zh-CN" w:bidi="th-TH"/>
        </w:rPr>
        <w:t>health and safety of a person in the place of detention (including a member of the subcommittee and an accompanying person</w:t>
      </w:r>
      <w:proofErr w:type="gramStart"/>
      <w:r w:rsidRPr="00DF2BF2">
        <w:rPr>
          <w:lang w:eastAsia="zh-CN" w:bidi="th-TH"/>
        </w:rPr>
        <w:t>);</w:t>
      </w:r>
      <w:proofErr w:type="gramEnd"/>
    </w:p>
    <w:p w14:paraId="22ACEE80" w14:textId="231210F7" w:rsidR="00DF2BF2" w:rsidRPr="00DF2BF2" w:rsidRDefault="00DF2BF2" w:rsidP="00DF2BF2">
      <w:pPr>
        <w:pStyle w:val="Quote"/>
        <w:rPr>
          <w:lang w:eastAsia="zh-CN" w:bidi="th-TH"/>
        </w:rPr>
      </w:pPr>
      <w:r w:rsidRPr="00DF2BF2">
        <w:rPr>
          <w:lang w:eastAsia="zh-CN" w:bidi="th-TH"/>
        </w:rPr>
        <w:t>(b)</w:t>
      </w:r>
      <w:r w:rsidR="00007A9D">
        <w:rPr>
          <w:lang w:eastAsia="zh-CN" w:bidi="th-TH"/>
        </w:rPr>
        <w:t xml:space="preserve"> </w:t>
      </w:r>
      <w:r w:rsidRPr="00DF2BF2">
        <w:rPr>
          <w:lang w:eastAsia="zh-CN" w:bidi="th-TH"/>
        </w:rPr>
        <w:t>allowing access to the place or part of the place may prevent the conduct of essential operations by the detaining authority.</w:t>
      </w:r>
    </w:p>
    <w:p w14:paraId="78EFA419" w14:textId="6D552CC0" w:rsidR="007D01B5" w:rsidRDefault="007D01B5" w:rsidP="00E167A9">
      <w:pPr>
        <w:pStyle w:val="Numberedparagraph"/>
        <w:rPr>
          <w:lang w:eastAsia="en-AU"/>
        </w:rPr>
      </w:pPr>
      <w:r>
        <w:rPr>
          <w:lang w:eastAsia="en-AU"/>
        </w:rPr>
        <w:t>The Explanatory Note</w:t>
      </w:r>
      <w:r w:rsidR="00DA7452">
        <w:rPr>
          <w:lang w:eastAsia="en-AU"/>
        </w:rPr>
        <w:t>s</w:t>
      </w:r>
      <w:r>
        <w:rPr>
          <w:lang w:eastAsia="en-AU"/>
        </w:rPr>
        <w:t xml:space="preserve"> </w:t>
      </w:r>
      <w:r w:rsidR="00DA7452">
        <w:rPr>
          <w:lang w:eastAsia="en-AU"/>
        </w:rPr>
        <w:t>seek</w:t>
      </w:r>
      <w:r w:rsidR="00304540">
        <w:rPr>
          <w:lang w:eastAsia="en-AU"/>
        </w:rPr>
        <w:t xml:space="preserve"> to justify </w:t>
      </w:r>
      <w:r>
        <w:rPr>
          <w:lang w:eastAsia="en-AU"/>
        </w:rPr>
        <w:t xml:space="preserve">these additional grounds because: </w:t>
      </w:r>
    </w:p>
    <w:p w14:paraId="10CAA1E3" w14:textId="37716F90" w:rsidR="007D01B5" w:rsidRDefault="00304540" w:rsidP="007D01B5">
      <w:pPr>
        <w:pStyle w:val="Bulletedlist"/>
        <w:rPr>
          <w:lang w:eastAsia="en-AU"/>
        </w:rPr>
      </w:pPr>
      <w:r>
        <w:t xml:space="preserve">The </w:t>
      </w:r>
      <w:r w:rsidR="007D01B5">
        <w:t>Subcommittee’s visiting itinerary will remain confidential during a visit</w:t>
      </w:r>
      <w:r w:rsidR="00F76AD8">
        <w:t>.</w:t>
      </w:r>
      <w:r w:rsidR="007D01B5">
        <w:t xml:space="preserve"> </w:t>
      </w:r>
    </w:p>
    <w:p w14:paraId="09A6F8D1" w14:textId="15D1CABF" w:rsidR="007C78D2" w:rsidRDefault="007C78D2" w:rsidP="007D01B5">
      <w:pPr>
        <w:pStyle w:val="Bulletedlist"/>
        <w:rPr>
          <w:lang w:eastAsia="en-AU"/>
        </w:rPr>
      </w:pPr>
      <w:r>
        <w:t xml:space="preserve">A </w:t>
      </w:r>
      <w:r w:rsidR="007D01B5">
        <w:t>detaining authority may temporarily restrict the Subcommittee’s access to part of a facility if a person who is detained there becomes distressed and presents a risk to themselves or the Subcommittee</w:t>
      </w:r>
      <w:r w:rsidR="00F76AD8">
        <w:t>.</w:t>
      </w:r>
      <w:r w:rsidR="007D01B5">
        <w:t xml:space="preserve"> </w:t>
      </w:r>
    </w:p>
    <w:p w14:paraId="318DD808" w14:textId="1D5F362B" w:rsidR="007D01B5" w:rsidRDefault="007D01B5" w:rsidP="00FA73E9">
      <w:pPr>
        <w:pStyle w:val="Bulletedlist"/>
        <w:spacing w:after="240"/>
        <w:rPr>
          <w:lang w:eastAsia="en-AU"/>
        </w:rPr>
      </w:pPr>
      <w:r>
        <w:t>Access may also be temporarily restricted for the purpose of conducting essential operations. It is intended that any restriction or prohibition to access is temporary and does not prevent the Subcommittee from resuming the visit after circumstances that required the temporary prohibition or restriction have ended.</w:t>
      </w:r>
      <w:r w:rsidR="00DA7452">
        <w:rPr>
          <w:rStyle w:val="FootnoteReference"/>
        </w:rPr>
        <w:footnoteReference w:id="11"/>
      </w:r>
      <w:r>
        <w:t xml:space="preserve"> </w:t>
      </w:r>
    </w:p>
    <w:p w14:paraId="5200CAF2" w14:textId="556CF180" w:rsidR="007D01B5" w:rsidRDefault="007D01B5" w:rsidP="00E167A9">
      <w:pPr>
        <w:pStyle w:val="Numberedparagraph"/>
        <w:rPr>
          <w:lang w:eastAsia="en-AU"/>
        </w:rPr>
      </w:pPr>
      <w:r>
        <w:rPr>
          <w:lang w:eastAsia="en-AU"/>
        </w:rPr>
        <w:t xml:space="preserve">The </w:t>
      </w:r>
      <w:r w:rsidR="0013078A">
        <w:rPr>
          <w:lang w:eastAsia="en-AU"/>
        </w:rPr>
        <w:t xml:space="preserve">Commission </w:t>
      </w:r>
      <w:r>
        <w:rPr>
          <w:lang w:eastAsia="en-AU"/>
        </w:rPr>
        <w:t xml:space="preserve">submits that these </w:t>
      </w:r>
      <w:r w:rsidR="005F6358">
        <w:rPr>
          <w:lang w:eastAsia="en-AU"/>
        </w:rPr>
        <w:t xml:space="preserve">reasons do not adequately justify the additional temporary </w:t>
      </w:r>
      <w:r w:rsidR="00CD06A4">
        <w:rPr>
          <w:lang w:eastAsia="en-AU"/>
        </w:rPr>
        <w:t>grounds</w:t>
      </w:r>
      <w:r w:rsidR="005F6358">
        <w:rPr>
          <w:lang w:eastAsia="en-AU"/>
        </w:rPr>
        <w:t xml:space="preserve"> of refusal. </w:t>
      </w:r>
      <w:r w:rsidR="00007A9D">
        <w:rPr>
          <w:lang w:eastAsia="en-AU"/>
        </w:rPr>
        <w:t xml:space="preserve">The </w:t>
      </w:r>
      <w:r w:rsidR="00D9591A">
        <w:rPr>
          <w:lang w:eastAsia="en-AU"/>
        </w:rPr>
        <w:t xml:space="preserve">UN </w:t>
      </w:r>
      <w:r w:rsidR="00007A9D">
        <w:rPr>
          <w:lang w:eastAsia="en-AU"/>
        </w:rPr>
        <w:t>SPT must keep its itinerary confidential during a visit</w:t>
      </w:r>
      <w:r w:rsidR="00EE20B4">
        <w:rPr>
          <w:lang w:eastAsia="en-AU"/>
        </w:rPr>
        <w:t xml:space="preserve"> to ensure the effectiveness of its work</w:t>
      </w:r>
      <w:r w:rsidR="00007A9D">
        <w:rPr>
          <w:lang w:eastAsia="en-AU"/>
        </w:rPr>
        <w:t xml:space="preserve">. OPCAT has been drafted with that very practice in mind. </w:t>
      </w:r>
      <w:r w:rsidR="000412C7">
        <w:rPr>
          <w:lang w:eastAsia="en-AU"/>
        </w:rPr>
        <w:t xml:space="preserve">The confidentiality of the itinerary </w:t>
      </w:r>
      <w:r w:rsidR="00007A9D">
        <w:rPr>
          <w:lang w:eastAsia="en-AU"/>
        </w:rPr>
        <w:t>is therefore not a reasonable justification for the insertion of additional grounds of refusal in clause 10</w:t>
      </w:r>
      <w:r w:rsidR="00352286">
        <w:rPr>
          <w:lang w:eastAsia="en-AU"/>
        </w:rPr>
        <w:t xml:space="preserve"> as currently set out</w:t>
      </w:r>
      <w:r w:rsidR="00007A9D">
        <w:rPr>
          <w:lang w:eastAsia="en-AU"/>
        </w:rPr>
        <w:t>.</w:t>
      </w:r>
    </w:p>
    <w:p w14:paraId="5EDA4BAE" w14:textId="73867764" w:rsidR="00352286" w:rsidRDefault="00352286" w:rsidP="0074069A">
      <w:pPr>
        <w:pStyle w:val="Numberedparagraph"/>
        <w:rPr>
          <w:lang w:eastAsia="en-AU"/>
        </w:rPr>
      </w:pPr>
      <w:r>
        <w:rPr>
          <w:lang w:eastAsia="en-AU"/>
        </w:rPr>
        <w:t xml:space="preserve">The </w:t>
      </w:r>
      <w:r w:rsidR="00BD31CB">
        <w:rPr>
          <w:lang w:eastAsia="en-AU"/>
        </w:rPr>
        <w:t>Commission</w:t>
      </w:r>
      <w:r>
        <w:rPr>
          <w:lang w:eastAsia="en-AU"/>
        </w:rPr>
        <w:t xml:space="preserve"> accepts that clause 10(2)(a) grounds m</w:t>
      </w:r>
      <w:r w:rsidR="00190489">
        <w:rPr>
          <w:lang w:eastAsia="en-AU"/>
        </w:rPr>
        <w:t xml:space="preserve">ay be seeking to clarify the situations that fall into the area </w:t>
      </w:r>
      <w:r>
        <w:rPr>
          <w:lang w:eastAsia="en-AU"/>
        </w:rPr>
        <w:t>of ‘serious disorder</w:t>
      </w:r>
      <w:r w:rsidR="00FA73E9">
        <w:rPr>
          <w:lang w:eastAsia="en-AU"/>
        </w:rPr>
        <w:t xml:space="preserve">’ </w:t>
      </w:r>
      <w:r>
        <w:rPr>
          <w:lang w:eastAsia="en-AU"/>
        </w:rPr>
        <w:t xml:space="preserve">as set out in article 14 of OPCAT. If the clause is intended to provide clarity as to what is meant by that </w:t>
      </w:r>
      <w:r>
        <w:rPr>
          <w:lang w:eastAsia="en-AU"/>
        </w:rPr>
        <w:lastRenderedPageBreak/>
        <w:t xml:space="preserve">term, then the provision should be </w:t>
      </w:r>
      <w:r w:rsidR="00BA2067">
        <w:rPr>
          <w:lang w:eastAsia="en-AU"/>
        </w:rPr>
        <w:t>amended</w:t>
      </w:r>
      <w:r>
        <w:rPr>
          <w:lang w:eastAsia="en-AU"/>
        </w:rPr>
        <w:t xml:space="preserve"> to </w:t>
      </w:r>
      <w:r w:rsidR="00BA2067">
        <w:rPr>
          <w:lang w:eastAsia="en-AU"/>
        </w:rPr>
        <w:t xml:space="preserve">refer to ‘serious disorder' with </w:t>
      </w:r>
      <w:r w:rsidR="00304540">
        <w:rPr>
          <w:lang w:eastAsia="en-AU"/>
        </w:rPr>
        <w:t>good order and security or health and safety</w:t>
      </w:r>
      <w:r w:rsidR="00BA2067">
        <w:rPr>
          <w:lang w:eastAsia="en-AU"/>
        </w:rPr>
        <w:t xml:space="preserve"> as subsets of that ground</w:t>
      </w:r>
      <w:r>
        <w:rPr>
          <w:lang w:eastAsia="en-AU"/>
        </w:rPr>
        <w:t>.</w:t>
      </w:r>
    </w:p>
    <w:p w14:paraId="1C7ABF6A" w14:textId="0E8A0DA7" w:rsidR="00D27E46" w:rsidRDefault="00352286" w:rsidP="00BC19B4">
      <w:pPr>
        <w:pStyle w:val="Numberedparagraph"/>
        <w:rPr>
          <w:lang w:eastAsia="en-AU"/>
        </w:rPr>
      </w:pPr>
      <w:r>
        <w:rPr>
          <w:lang w:eastAsia="en-AU"/>
        </w:rPr>
        <w:t>Clause 10(2)(b) would appear to go well beyond ‘serious disorder’ and merely refer</w:t>
      </w:r>
      <w:r w:rsidR="00D9591A">
        <w:rPr>
          <w:lang w:eastAsia="en-AU"/>
        </w:rPr>
        <w:t>s</w:t>
      </w:r>
      <w:r>
        <w:rPr>
          <w:lang w:eastAsia="en-AU"/>
        </w:rPr>
        <w:t xml:space="preserve"> to ‘the conduct of essential </w:t>
      </w:r>
      <w:proofErr w:type="gramStart"/>
      <w:r>
        <w:rPr>
          <w:lang w:eastAsia="en-AU"/>
        </w:rPr>
        <w:t>operations’</w:t>
      </w:r>
      <w:proofErr w:type="gramEnd"/>
      <w:r>
        <w:rPr>
          <w:lang w:eastAsia="en-AU"/>
        </w:rPr>
        <w:t xml:space="preserve">. </w:t>
      </w:r>
      <w:r w:rsidR="00385413">
        <w:rPr>
          <w:lang w:eastAsia="en-AU"/>
        </w:rPr>
        <w:t xml:space="preserve"> </w:t>
      </w:r>
      <w:r w:rsidR="00BA2067">
        <w:rPr>
          <w:lang w:eastAsia="en-AU"/>
        </w:rPr>
        <w:t>Such a ground could potentially be used in many situations in which the</w:t>
      </w:r>
      <w:r w:rsidR="006C5FB2">
        <w:rPr>
          <w:lang w:eastAsia="en-AU"/>
        </w:rPr>
        <w:t xml:space="preserve"> UN</w:t>
      </w:r>
      <w:r w:rsidR="00BA2067">
        <w:rPr>
          <w:lang w:eastAsia="en-AU"/>
        </w:rPr>
        <w:t xml:space="preserve"> SPT should still be permitted entry, such as periods of staff shortage or lockdown. </w:t>
      </w:r>
      <w:r w:rsidR="00D27E46">
        <w:rPr>
          <w:lang w:eastAsia="en-AU"/>
        </w:rPr>
        <w:t xml:space="preserve">The clause therefore undermines the purpose of the Bill and the assertion in the Statement of </w:t>
      </w:r>
      <w:r w:rsidR="00385413">
        <w:rPr>
          <w:lang w:eastAsia="en-AU"/>
        </w:rPr>
        <w:t>Compatibility</w:t>
      </w:r>
      <w:r w:rsidR="00D27E46">
        <w:rPr>
          <w:lang w:eastAsia="en-AU"/>
        </w:rPr>
        <w:t xml:space="preserve"> that it fulfils </w:t>
      </w:r>
      <w:r w:rsidR="00385413">
        <w:rPr>
          <w:lang w:eastAsia="en-AU"/>
        </w:rPr>
        <w:t>relevant sections of the HR Act which prevent harm and mistreatment in places of detention.</w:t>
      </w:r>
      <w:r w:rsidR="00385413">
        <w:rPr>
          <w:rStyle w:val="FootnoteReference"/>
          <w:lang w:eastAsia="en-AU"/>
        </w:rPr>
        <w:footnoteReference w:id="12"/>
      </w:r>
    </w:p>
    <w:p w14:paraId="662516AF" w14:textId="2FF2EBF2" w:rsidR="00D9591A" w:rsidRDefault="00A34F81" w:rsidP="00D9591A">
      <w:pPr>
        <w:pStyle w:val="Numberedparagraph"/>
        <w:rPr>
          <w:lang w:eastAsia="en-AU"/>
        </w:rPr>
      </w:pPr>
      <w:r>
        <w:rPr>
          <w:lang w:eastAsia="en-AU"/>
        </w:rPr>
        <w:t>W</w:t>
      </w:r>
      <w:r w:rsidR="00352286">
        <w:rPr>
          <w:lang w:eastAsia="en-AU"/>
        </w:rPr>
        <w:t xml:space="preserve">hile clause 10(4) is welcome in providing for a written reason to be recorded and given to the responsible Minster when a detaining authority refuses entry to the SPT, </w:t>
      </w:r>
      <w:r w:rsidR="00916AFF">
        <w:rPr>
          <w:lang w:eastAsia="en-AU"/>
        </w:rPr>
        <w:t xml:space="preserve">the Commission recommends that, </w:t>
      </w:r>
      <w:r w:rsidR="00352286">
        <w:rPr>
          <w:lang w:eastAsia="en-AU"/>
        </w:rPr>
        <w:t xml:space="preserve">for the avoidance of any doubt, the provision should explicitly state that the </w:t>
      </w:r>
      <w:r w:rsidR="006E7819">
        <w:rPr>
          <w:lang w:eastAsia="en-AU"/>
        </w:rPr>
        <w:t>responsible</w:t>
      </w:r>
      <w:r w:rsidR="00352286">
        <w:rPr>
          <w:lang w:eastAsia="en-AU"/>
        </w:rPr>
        <w:t xml:space="preserve"> Minister can override the decision of the detaining authority and grant </w:t>
      </w:r>
      <w:r w:rsidR="00916AFF">
        <w:rPr>
          <w:lang w:eastAsia="en-AU"/>
        </w:rPr>
        <w:t xml:space="preserve">entry to </w:t>
      </w:r>
      <w:r w:rsidR="00352286">
        <w:rPr>
          <w:lang w:eastAsia="en-AU"/>
        </w:rPr>
        <w:t xml:space="preserve">the SPT. </w:t>
      </w:r>
    </w:p>
    <w:p w14:paraId="1EA9E72E" w14:textId="2560EF3A" w:rsidR="0092770A" w:rsidRPr="00D9591A" w:rsidRDefault="0092770A" w:rsidP="00D9591A">
      <w:pPr>
        <w:pStyle w:val="Numberedparagraph"/>
        <w:rPr>
          <w:lang w:eastAsia="en-AU"/>
        </w:rPr>
      </w:pPr>
      <w:r w:rsidRPr="00FA73E9">
        <w:rPr>
          <w:lang w:eastAsia="en-AU"/>
        </w:rPr>
        <w:t xml:space="preserve">The </w:t>
      </w:r>
      <w:r w:rsidR="00BD31CB">
        <w:rPr>
          <w:lang w:eastAsia="en-AU"/>
        </w:rPr>
        <w:t>Commission</w:t>
      </w:r>
      <w:r w:rsidRPr="00FA73E9">
        <w:rPr>
          <w:lang w:eastAsia="en-AU"/>
        </w:rPr>
        <w:t xml:space="preserve"> is concerned that </w:t>
      </w:r>
      <w:r w:rsidR="008A19BC" w:rsidRPr="00FA73E9">
        <w:rPr>
          <w:lang w:eastAsia="en-AU"/>
        </w:rPr>
        <w:t xml:space="preserve">clause 14 restricts the SPT to only receive information about a person </w:t>
      </w:r>
      <w:r w:rsidR="004074DA" w:rsidRPr="00FA73E9">
        <w:rPr>
          <w:lang w:eastAsia="en-AU"/>
        </w:rPr>
        <w:t xml:space="preserve">if the SPT has already visited that place of detention. </w:t>
      </w:r>
      <w:r w:rsidR="00D9591A">
        <w:rPr>
          <w:lang w:eastAsia="en-AU"/>
        </w:rPr>
        <w:t>There is a risk that this clause could undermine the work of the UN SPT</w:t>
      </w:r>
      <w:r w:rsidR="00EE7A47">
        <w:rPr>
          <w:lang w:eastAsia="en-AU"/>
        </w:rPr>
        <w:t>.</w:t>
      </w:r>
      <w:r w:rsidR="00FF6D11">
        <w:rPr>
          <w:rStyle w:val="FootnoteReference"/>
          <w:lang w:eastAsia="en-AU"/>
        </w:rPr>
        <w:footnoteReference w:id="13"/>
      </w:r>
      <w:r w:rsidR="00EE7A47">
        <w:rPr>
          <w:lang w:eastAsia="en-AU"/>
        </w:rPr>
        <w:t xml:space="preserve"> During a visit, the SPT </w:t>
      </w:r>
      <w:r w:rsidR="00AF40B9">
        <w:rPr>
          <w:lang w:eastAsia="en-AU"/>
        </w:rPr>
        <w:t>must be</w:t>
      </w:r>
      <w:r w:rsidR="00EE7A47">
        <w:rPr>
          <w:lang w:eastAsia="en-AU"/>
        </w:rPr>
        <w:t xml:space="preserve"> provided with all necessary information, including all documentation it requests, both prior to and during the visit.</w:t>
      </w:r>
      <w:r w:rsidR="00EE7A47">
        <w:rPr>
          <w:rStyle w:val="FootnoteReference"/>
          <w:lang w:eastAsia="en-AU"/>
        </w:rPr>
        <w:footnoteReference w:id="14"/>
      </w:r>
      <w:r w:rsidR="00E11180">
        <w:rPr>
          <w:lang w:eastAsia="en-AU"/>
        </w:rPr>
        <w:t xml:space="preserve"> For instance, i</w:t>
      </w:r>
      <w:r w:rsidR="004F5BF7">
        <w:rPr>
          <w:lang w:eastAsia="en-AU"/>
        </w:rPr>
        <w:t xml:space="preserve">f the UN SPT discovers that </w:t>
      </w:r>
      <w:r w:rsidR="00D9591A">
        <w:rPr>
          <w:lang w:eastAsia="en-AU"/>
        </w:rPr>
        <w:t xml:space="preserve">people </w:t>
      </w:r>
      <w:r w:rsidR="004F5BF7">
        <w:rPr>
          <w:lang w:eastAsia="en-AU"/>
        </w:rPr>
        <w:t>have been</w:t>
      </w:r>
      <w:r w:rsidR="00007A9D" w:rsidRPr="00007A9D">
        <w:rPr>
          <w:lang w:eastAsia="en-AU"/>
        </w:rPr>
        <w:t xml:space="preserve"> transferred from </w:t>
      </w:r>
      <w:r w:rsidR="00190489">
        <w:rPr>
          <w:lang w:eastAsia="en-AU"/>
        </w:rPr>
        <w:t xml:space="preserve">one </w:t>
      </w:r>
      <w:r w:rsidR="00007A9D" w:rsidRPr="00007A9D">
        <w:rPr>
          <w:lang w:eastAsia="en-AU"/>
        </w:rPr>
        <w:t>detention setting</w:t>
      </w:r>
      <w:r w:rsidR="00190489">
        <w:rPr>
          <w:lang w:eastAsia="en-AU"/>
        </w:rPr>
        <w:t xml:space="preserve"> to another</w:t>
      </w:r>
      <w:r w:rsidR="00007A9D" w:rsidRPr="00007A9D">
        <w:rPr>
          <w:lang w:eastAsia="en-AU"/>
        </w:rPr>
        <w:t xml:space="preserve"> prior </w:t>
      </w:r>
      <w:r w:rsidR="004F5BF7">
        <w:rPr>
          <w:lang w:eastAsia="en-AU"/>
        </w:rPr>
        <w:t>its arrival, the UN SPT is likely to enquire about what prompted such a move. T</w:t>
      </w:r>
      <w:r w:rsidR="00007A9D" w:rsidRPr="00007A9D">
        <w:rPr>
          <w:lang w:eastAsia="en-AU"/>
        </w:rPr>
        <w:t xml:space="preserve">his provision </w:t>
      </w:r>
      <w:r w:rsidR="00E11180">
        <w:rPr>
          <w:lang w:eastAsia="en-AU"/>
        </w:rPr>
        <w:t>would prohibit</w:t>
      </w:r>
      <w:r w:rsidR="00007A9D" w:rsidRPr="00007A9D">
        <w:rPr>
          <w:lang w:eastAsia="en-AU"/>
        </w:rPr>
        <w:t xml:space="preserve"> the</w:t>
      </w:r>
      <w:r w:rsidR="00190489">
        <w:rPr>
          <w:lang w:eastAsia="en-AU"/>
        </w:rPr>
        <w:t xml:space="preserve"> </w:t>
      </w:r>
      <w:r w:rsidR="00D9591A">
        <w:rPr>
          <w:lang w:eastAsia="en-AU"/>
        </w:rPr>
        <w:t>UN SPT</w:t>
      </w:r>
      <w:r w:rsidR="00007A9D" w:rsidRPr="00007A9D">
        <w:rPr>
          <w:lang w:eastAsia="en-AU"/>
        </w:rPr>
        <w:t xml:space="preserve"> from accessing </w:t>
      </w:r>
      <w:r w:rsidR="002A272D">
        <w:rPr>
          <w:lang w:eastAsia="en-AU"/>
        </w:rPr>
        <w:t xml:space="preserve">the files of those people </w:t>
      </w:r>
      <w:r w:rsidR="00E11180">
        <w:rPr>
          <w:lang w:eastAsia="en-AU"/>
        </w:rPr>
        <w:t>to</w:t>
      </w:r>
      <w:r w:rsidR="00007A9D" w:rsidRPr="00007A9D">
        <w:rPr>
          <w:lang w:eastAsia="en-AU"/>
        </w:rPr>
        <w:t xml:space="preserve"> determine if the transfer was in any way an act </w:t>
      </w:r>
      <w:r w:rsidR="00B118A3">
        <w:rPr>
          <w:lang w:eastAsia="en-AU"/>
        </w:rPr>
        <w:t>to</w:t>
      </w:r>
      <w:r w:rsidR="00007A9D" w:rsidRPr="00007A9D">
        <w:rPr>
          <w:lang w:eastAsia="en-AU"/>
        </w:rPr>
        <w:t xml:space="preserve"> frustrat</w:t>
      </w:r>
      <w:r w:rsidR="00B118A3">
        <w:rPr>
          <w:lang w:eastAsia="en-AU"/>
        </w:rPr>
        <w:t>e</w:t>
      </w:r>
      <w:r w:rsidR="00007A9D" w:rsidRPr="00007A9D">
        <w:rPr>
          <w:lang w:eastAsia="en-AU"/>
        </w:rPr>
        <w:t xml:space="preserve"> the UN SPT from conducting its mandate</w:t>
      </w:r>
      <w:r w:rsidR="00007A9D">
        <w:rPr>
          <w:lang w:eastAsia="en-AU"/>
        </w:rPr>
        <w:t xml:space="preserve">. </w:t>
      </w:r>
      <w:r w:rsidR="00B118A3">
        <w:rPr>
          <w:lang w:eastAsia="en-AU"/>
        </w:rPr>
        <w:t xml:space="preserve"> The Commission makes the following recommendations:</w:t>
      </w:r>
    </w:p>
    <w:p w14:paraId="5A32CD60" w14:textId="77777777" w:rsidR="00B118A3" w:rsidRDefault="0092770A" w:rsidP="0092770A">
      <w:pPr>
        <w:ind w:left="567"/>
        <w:rPr>
          <w:rFonts w:ascii="Arial" w:hAnsi="Arial" w:cs="Arial"/>
          <w:b/>
          <w:bCs/>
        </w:rPr>
      </w:pPr>
      <w:r w:rsidRPr="00FA73E9">
        <w:rPr>
          <w:rFonts w:ascii="Arial" w:hAnsi="Arial" w:cs="Arial"/>
          <w:b/>
          <w:bCs/>
        </w:rPr>
        <w:t xml:space="preserve">Recommendation </w:t>
      </w:r>
      <w:r w:rsidR="00970E28" w:rsidRPr="00FA73E9">
        <w:rPr>
          <w:rFonts w:ascii="Arial" w:hAnsi="Arial" w:cs="Arial"/>
          <w:b/>
          <w:bCs/>
        </w:rPr>
        <w:t>2</w:t>
      </w:r>
      <w:r w:rsidRPr="00FA73E9">
        <w:rPr>
          <w:rFonts w:ascii="Arial" w:hAnsi="Arial" w:cs="Arial"/>
          <w:b/>
          <w:bCs/>
        </w:rPr>
        <w:t>:</w:t>
      </w:r>
    </w:p>
    <w:p w14:paraId="0EE9E32A" w14:textId="3D02CF24" w:rsidR="0092770A" w:rsidRPr="00FA73E9" w:rsidRDefault="0092770A" w:rsidP="0092770A">
      <w:pPr>
        <w:ind w:left="567"/>
        <w:rPr>
          <w:rFonts w:ascii="Arial" w:hAnsi="Arial" w:cs="Arial"/>
          <w:b/>
          <w:bCs/>
        </w:rPr>
      </w:pPr>
      <w:r w:rsidRPr="00FA73E9">
        <w:rPr>
          <w:rFonts w:ascii="Arial" w:hAnsi="Arial" w:cs="Arial"/>
          <w:b/>
          <w:bCs/>
        </w:rPr>
        <w:t xml:space="preserve">Clause 10 be </w:t>
      </w:r>
      <w:r w:rsidR="006E7819" w:rsidRPr="00FA73E9">
        <w:rPr>
          <w:rFonts w:ascii="Arial" w:hAnsi="Arial" w:cs="Arial"/>
          <w:b/>
          <w:bCs/>
        </w:rPr>
        <w:t>amended</w:t>
      </w:r>
      <w:r w:rsidR="001A0CCD" w:rsidRPr="00FA73E9">
        <w:rPr>
          <w:rFonts w:ascii="Arial" w:hAnsi="Arial" w:cs="Arial"/>
          <w:b/>
          <w:bCs/>
        </w:rPr>
        <w:t xml:space="preserve"> to ensure it </w:t>
      </w:r>
      <w:r w:rsidR="004F5BF7">
        <w:rPr>
          <w:rFonts w:ascii="Arial" w:hAnsi="Arial" w:cs="Arial"/>
          <w:b/>
          <w:bCs/>
        </w:rPr>
        <w:t>restricts the UN SPT accessing a place of detention only in the</w:t>
      </w:r>
      <w:r w:rsidR="001A0CCD" w:rsidRPr="00FA73E9">
        <w:rPr>
          <w:rFonts w:ascii="Arial" w:hAnsi="Arial" w:cs="Arial"/>
          <w:b/>
          <w:bCs/>
        </w:rPr>
        <w:t xml:space="preserve"> most serious and exceptional </w:t>
      </w:r>
      <w:r w:rsidR="004F5BF7">
        <w:rPr>
          <w:rFonts w:ascii="Arial" w:hAnsi="Arial" w:cs="Arial"/>
          <w:b/>
          <w:bCs/>
        </w:rPr>
        <w:t xml:space="preserve">of </w:t>
      </w:r>
      <w:r w:rsidR="001A0CCD" w:rsidRPr="00FA73E9">
        <w:rPr>
          <w:rFonts w:ascii="Arial" w:hAnsi="Arial" w:cs="Arial"/>
          <w:b/>
          <w:bCs/>
        </w:rPr>
        <w:t>circumstances</w:t>
      </w:r>
      <w:r w:rsidR="004F5BF7">
        <w:rPr>
          <w:rFonts w:ascii="Arial" w:hAnsi="Arial" w:cs="Arial"/>
          <w:b/>
          <w:bCs/>
        </w:rPr>
        <w:t>,</w:t>
      </w:r>
      <w:r w:rsidR="001A24E3" w:rsidRPr="00FA73E9">
        <w:rPr>
          <w:rFonts w:ascii="Arial" w:hAnsi="Arial" w:cs="Arial"/>
          <w:b/>
          <w:bCs/>
        </w:rPr>
        <w:t xml:space="preserve"> and to ensure the</w:t>
      </w:r>
      <w:r w:rsidR="00A54367">
        <w:rPr>
          <w:rFonts w:ascii="Arial" w:hAnsi="Arial" w:cs="Arial"/>
          <w:b/>
          <w:bCs/>
        </w:rPr>
        <w:t xml:space="preserve"> responsible</w:t>
      </w:r>
      <w:r w:rsidR="001A24E3" w:rsidRPr="00FA73E9">
        <w:rPr>
          <w:rFonts w:ascii="Arial" w:hAnsi="Arial" w:cs="Arial"/>
          <w:b/>
          <w:bCs/>
        </w:rPr>
        <w:t xml:space="preserve"> Minister can override a detaining authority</w:t>
      </w:r>
      <w:r w:rsidR="004F5BF7">
        <w:rPr>
          <w:rFonts w:ascii="Arial" w:hAnsi="Arial" w:cs="Arial"/>
          <w:b/>
          <w:bCs/>
        </w:rPr>
        <w:t xml:space="preserve">’s decision </w:t>
      </w:r>
      <w:r w:rsidR="006C5FB2">
        <w:rPr>
          <w:rFonts w:ascii="Arial" w:hAnsi="Arial" w:cs="Arial"/>
          <w:b/>
          <w:bCs/>
        </w:rPr>
        <w:t>to refuse access</w:t>
      </w:r>
      <w:r w:rsidR="001A0CCD" w:rsidRPr="00FA73E9">
        <w:rPr>
          <w:rFonts w:ascii="Arial" w:hAnsi="Arial" w:cs="Arial"/>
          <w:b/>
          <w:bCs/>
        </w:rPr>
        <w:t>.</w:t>
      </w:r>
    </w:p>
    <w:p w14:paraId="39C3D8D3" w14:textId="77777777" w:rsidR="001A0CCD" w:rsidRPr="00FA73E9" w:rsidRDefault="001A0CCD" w:rsidP="0092770A">
      <w:pPr>
        <w:ind w:left="567"/>
        <w:rPr>
          <w:rFonts w:ascii="Arial" w:hAnsi="Arial" w:cs="Arial"/>
          <w:b/>
          <w:bCs/>
        </w:rPr>
      </w:pPr>
    </w:p>
    <w:p w14:paraId="60CA942E" w14:textId="77777777" w:rsidR="00B118A3" w:rsidRDefault="004074DA" w:rsidP="0092770A">
      <w:pPr>
        <w:ind w:left="567"/>
        <w:rPr>
          <w:rFonts w:ascii="Arial" w:hAnsi="Arial" w:cs="Arial"/>
          <w:b/>
          <w:bCs/>
        </w:rPr>
      </w:pPr>
      <w:r w:rsidRPr="00FA73E9">
        <w:rPr>
          <w:rFonts w:ascii="Arial" w:hAnsi="Arial" w:cs="Arial"/>
          <w:b/>
          <w:bCs/>
        </w:rPr>
        <w:t xml:space="preserve">Recommendation </w:t>
      </w:r>
      <w:r w:rsidR="00970E28" w:rsidRPr="00FA73E9">
        <w:rPr>
          <w:rFonts w:ascii="Arial" w:hAnsi="Arial" w:cs="Arial"/>
          <w:b/>
          <w:bCs/>
        </w:rPr>
        <w:t>3</w:t>
      </w:r>
      <w:r w:rsidRPr="00FA73E9">
        <w:rPr>
          <w:rFonts w:ascii="Arial" w:hAnsi="Arial" w:cs="Arial"/>
          <w:b/>
          <w:bCs/>
        </w:rPr>
        <w:t>:</w:t>
      </w:r>
    </w:p>
    <w:p w14:paraId="44E6387D" w14:textId="2FD17B0F" w:rsidR="004074DA" w:rsidRPr="0092770A" w:rsidRDefault="004074DA" w:rsidP="0092770A">
      <w:pPr>
        <w:ind w:left="567"/>
        <w:rPr>
          <w:rFonts w:ascii="Arial" w:hAnsi="Arial" w:cs="Arial"/>
          <w:b/>
          <w:bCs/>
          <w:lang w:eastAsia="en-AU"/>
        </w:rPr>
      </w:pPr>
      <w:r w:rsidRPr="00FA73E9">
        <w:rPr>
          <w:rFonts w:ascii="Arial" w:hAnsi="Arial" w:cs="Arial"/>
          <w:b/>
          <w:bCs/>
        </w:rPr>
        <w:t>Further justification is sought for the restriction on the SPT receiving information about an individual only after it has visited</w:t>
      </w:r>
      <w:r w:rsidR="004F5BF7">
        <w:rPr>
          <w:rFonts w:ascii="Arial" w:hAnsi="Arial" w:cs="Arial"/>
          <w:b/>
          <w:bCs/>
        </w:rPr>
        <w:t xml:space="preserve"> a place of detention</w:t>
      </w:r>
      <w:r w:rsidRPr="00FA73E9">
        <w:rPr>
          <w:rFonts w:ascii="Arial" w:hAnsi="Arial" w:cs="Arial"/>
          <w:b/>
          <w:bCs/>
        </w:rPr>
        <w:t>.</w:t>
      </w:r>
      <w:r>
        <w:rPr>
          <w:rFonts w:ascii="Arial" w:hAnsi="Arial" w:cs="Arial"/>
          <w:b/>
          <w:bCs/>
        </w:rPr>
        <w:t xml:space="preserve"> </w:t>
      </w:r>
    </w:p>
    <w:p w14:paraId="4095BDA5" w14:textId="56369D7F" w:rsidR="006335BE" w:rsidRPr="00007A9D" w:rsidRDefault="00052290" w:rsidP="00052290">
      <w:pPr>
        <w:pStyle w:val="Heading1"/>
      </w:pPr>
      <w:bookmarkStart w:id="7" w:name="_Toc124261258"/>
      <w:r w:rsidRPr="00007A9D">
        <w:lastRenderedPageBreak/>
        <w:t>Conclusion</w:t>
      </w:r>
      <w:bookmarkEnd w:id="7"/>
    </w:p>
    <w:p w14:paraId="4B994ACB" w14:textId="6D466F2A" w:rsidR="00052290" w:rsidRPr="00EA4BC9" w:rsidRDefault="00052290" w:rsidP="00EA4BC9">
      <w:pPr>
        <w:pStyle w:val="Numberedparagraph"/>
      </w:pPr>
      <w:r w:rsidRPr="00EA4BC9">
        <w:t>Thank you for the opportunity to comment on the Bill</w:t>
      </w:r>
      <w:r w:rsidR="00DC2EB9" w:rsidRPr="00EA4BC9">
        <w:t xml:space="preserve">, which </w:t>
      </w:r>
      <w:r w:rsidR="00B50E47" w:rsidRPr="00EA4BC9">
        <w:t xml:space="preserve">the </w:t>
      </w:r>
      <w:r w:rsidR="00BD31CB" w:rsidRPr="00EA4BC9">
        <w:t>Commission</w:t>
      </w:r>
      <w:r w:rsidR="00DC2EB9" w:rsidRPr="00EA4BC9">
        <w:t xml:space="preserve"> support</w:t>
      </w:r>
      <w:r w:rsidR="00B50E47" w:rsidRPr="00EA4BC9">
        <w:t>s</w:t>
      </w:r>
      <w:r w:rsidR="00007843">
        <w:t>,</w:t>
      </w:r>
      <w:r w:rsidR="00DC2EB9" w:rsidRPr="00EA4BC9">
        <w:t xml:space="preserve"> subject to the above recommendations. </w:t>
      </w:r>
      <w:r w:rsidRPr="00EA4BC9">
        <w:t xml:space="preserve"> </w:t>
      </w:r>
    </w:p>
    <w:sectPr w:rsidR="00052290" w:rsidRPr="00EA4BC9" w:rsidSect="003A3833">
      <w:headerReference w:type="default" r:id="rId10"/>
      <w:footerReference w:type="default" r:id="rId11"/>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2C67" w14:textId="77777777" w:rsidR="00423B03" w:rsidRDefault="00423B03" w:rsidP="0034134D">
      <w:r>
        <w:separator/>
      </w:r>
    </w:p>
  </w:endnote>
  <w:endnote w:type="continuationSeparator" w:id="0">
    <w:p w14:paraId="4B3AADC3" w14:textId="77777777" w:rsidR="00423B03" w:rsidRDefault="00423B03"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8B98" w14:textId="7CB265BB"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 xml:space="preserve">Queensland Human Rights </w:t>
    </w:r>
    <w:r w:rsidR="00061944">
      <w:rPr>
        <w:rFonts w:ascii="Arial" w:hAnsi="Arial" w:cs="Arial"/>
        <w:color w:val="404040" w:themeColor="text1" w:themeTint="BF"/>
        <w:sz w:val="16"/>
        <w:szCs w:val="20"/>
      </w:rPr>
      <w:t>QHRC</w:t>
    </w:r>
    <w:r w:rsidRPr="00293C9F">
      <w:rPr>
        <w:rFonts w:ascii="Arial" w:hAnsi="Arial" w:cs="Arial"/>
        <w:color w:val="404040" w:themeColor="text1" w:themeTint="BF"/>
        <w:sz w:val="16"/>
        <w:szCs w:val="20"/>
      </w:rPr>
      <w:t xml:space="preserve">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24500D">
      <w:rPr>
        <w:rFonts w:ascii="Arial" w:hAnsi="Arial" w:cs="Arial"/>
        <w:noProof/>
        <w:color w:val="404040" w:themeColor="text1" w:themeTint="BF"/>
        <w:sz w:val="16"/>
        <w:szCs w:val="20"/>
      </w:rPr>
      <w:t>13</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3B12" w14:textId="77777777" w:rsidR="00423B03" w:rsidRDefault="00423B03" w:rsidP="0034134D">
      <w:r>
        <w:separator/>
      </w:r>
    </w:p>
  </w:footnote>
  <w:footnote w:type="continuationSeparator" w:id="0">
    <w:p w14:paraId="399F1CFF" w14:textId="77777777" w:rsidR="00423B03" w:rsidRDefault="00423B03" w:rsidP="0034134D">
      <w:r>
        <w:continuationSeparator/>
      </w:r>
    </w:p>
  </w:footnote>
  <w:footnote w:id="1">
    <w:p w14:paraId="00907514" w14:textId="31CA9C5B" w:rsidR="00E10188" w:rsidRDefault="00E10188">
      <w:pPr>
        <w:pStyle w:val="FootnoteText"/>
      </w:pPr>
      <w:r>
        <w:rPr>
          <w:rStyle w:val="FootnoteReference"/>
        </w:rPr>
        <w:footnoteRef/>
      </w:r>
      <w:r>
        <w:t xml:space="preserve"> </w:t>
      </w:r>
      <w:r w:rsidR="00EA6D2F">
        <w:t xml:space="preserve">Explanatory Notes, </w:t>
      </w:r>
      <w:r w:rsidR="00EA6D2F" w:rsidRPr="00EA6D2F">
        <w:t>Monitoring of Places of Detention (Optional Protocol to the Convention Against Torture) Bill 2022</w:t>
      </w:r>
      <w:r>
        <w:t xml:space="preserve">, 2. </w:t>
      </w:r>
    </w:p>
  </w:footnote>
  <w:footnote w:id="2">
    <w:p w14:paraId="52487662" w14:textId="08E362DE" w:rsidR="00FA7899" w:rsidRPr="00FA7899" w:rsidRDefault="00FA7899">
      <w:pPr>
        <w:pStyle w:val="FootnoteText"/>
        <w:rPr>
          <w:lang w:val="en-US"/>
        </w:rPr>
      </w:pPr>
      <w:r>
        <w:rPr>
          <w:rStyle w:val="FootnoteReference"/>
        </w:rPr>
        <w:footnoteRef/>
      </w:r>
      <w:r>
        <w:t xml:space="preserve"> </w:t>
      </w:r>
      <w:r w:rsidR="00741E30" w:rsidRPr="008F2926">
        <w:t xml:space="preserve">Queensland Human Rights Commission, </w:t>
      </w:r>
      <w:r w:rsidR="008F2926" w:rsidRPr="008F2926">
        <w:t xml:space="preserve">Submission No 16 to Legal Affairs and Safety Committee, Queensland Parliament, </w:t>
      </w:r>
      <w:r w:rsidR="008F2926" w:rsidRPr="008F2926">
        <w:rPr>
          <w:i/>
          <w:iCs/>
        </w:rPr>
        <w:t xml:space="preserve">Inquiry into </w:t>
      </w:r>
      <w:r w:rsidRPr="008F2926">
        <w:rPr>
          <w:i/>
          <w:iCs/>
          <w:lang w:val="en-US"/>
        </w:rPr>
        <w:t>the Inspector of Detention Services Bill</w:t>
      </w:r>
      <w:r w:rsidR="00741E30" w:rsidRPr="008F2926">
        <w:rPr>
          <w:i/>
          <w:iCs/>
          <w:lang w:val="en-US"/>
        </w:rPr>
        <w:t xml:space="preserve"> 2021</w:t>
      </w:r>
      <w:r w:rsidR="008F2926" w:rsidRPr="008F2926">
        <w:rPr>
          <w:i/>
          <w:iCs/>
          <w:lang w:val="en-US"/>
        </w:rPr>
        <w:t xml:space="preserve"> </w:t>
      </w:r>
      <w:r w:rsidR="008F2926" w:rsidRPr="008F2926">
        <w:rPr>
          <w:lang w:val="en-US"/>
        </w:rPr>
        <w:t>(19 November 2021)</w:t>
      </w:r>
      <w:r w:rsidR="00AD77DE">
        <w:rPr>
          <w:lang w:val="en-US"/>
        </w:rPr>
        <w:t xml:space="preserve"> 2</w:t>
      </w:r>
      <w:r w:rsidRPr="008F2926">
        <w:rPr>
          <w:lang w:val="en-US"/>
        </w:rPr>
        <w:t>.</w:t>
      </w:r>
      <w:r>
        <w:rPr>
          <w:lang w:val="en-US"/>
        </w:rPr>
        <w:t xml:space="preserve"> </w:t>
      </w:r>
    </w:p>
  </w:footnote>
  <w:footnote w:id="3">
    <w:p w14:paraId="17FCD6A9" w14:textId="356275A6" w:rsidR="002A21C1" w:rsidRPr="002A21C1" w:rsidRDefault="002A21C1">
      <w:pPr>
        <w:pStyle w:val="FootnoteText"/>
        <w:rPr>
          <w:lang w:val="en-US"/>
        </w:rPr>
      </w:pPr>
      <w:r>
        <w:rPr>
          <w:rStyle w:val="FootnoteReference"/>
        </w:rPr>
        <w:footnoteRef/>
      </w:r>
      <w:r>
        <w:t xml:space="preserve"> </w:t>
      </w:r>
      <w:r w:rsidRPr="008F2926">
        <w:t xml:space="preserve">Queensland Human Rights Commission, Submission No 16 to Legal Affairs and Safety Committee, Queensland Parliament, </w:t>
      </w:r>
      <w:r w:rsidRPr="008F2926">
        <w:rPr>
          <w:i/>
          <w:iCs/>
        </w:rPr>
        <w:t xml:space="preserve">Inquiry into </w:t>
      </w:r>
      <w:r w:rsidRPr="008F2926">
        <w:rPr>
          <w:i/>
          <w:iCs/>
          <w:lang w:val="en-US"/>
        </w:rPr>
        <w:t xml:space="preserve">the Inspector of Detention Services Bill 2021 </w:t>
      </w:r>
      <w:r w:rsidRPr="008F2926">
        <w:rPr>
          <w:lang w:val="en-US"/>
        </w:rPr>
        <w:t>(19 November 2021)</w:t>
      </w:r>
      <w:r>
        <w:rPr>
          <w:lang w:val="en-US"/>
        </w:rPr>
        <w:t xml:space="preserve">. </w:t>
      </w:r>
    </w:p>
  </w:footnote>
  <w:footnote w:id="4">
    <w:p w14:paraId="737C9AAF" w14:textId="66E1D1CE" w:rsidR="00F124A9" w:rsidRDefault="00F124A9">
      <w:pPr>
        <w:pStyle w:val="FootnoteText"/>
      </w:pPr>
      <w:r>
        <w:rPr>
          <w:rStyle w:val="FootnoteReference"/>
        </w:rPr>
        <w:footnoteRef/>
      </w:r>
      <w:r>
        <w:t xml:space="preserve"> </w:t>
      </w:r>
      <w:r w:rsidR="001837F6">
        <w:t>Explanatory Notes,</w:t>
      </w:r>
      <w:r w:rsidR="001837F6" w:rsidRPr="001837F6">
        <w:t xml:space="preserve"> Monitoring of Places of Detention (Optional Protocol to the Convention Against Torture) Bill 2022</w:t>
      </w:r>
      <w:r w:rsidR="001837F6">
        <w:t>, 1.</w:t>
      </w:r>
    </w:p>
  </w:footnote>
  <w:footnote w:id="5">
    <w:p w14:paraId="74FBAB6B" w14:textId="1ED0AB0A" w:rsidR="00D10943" w:rsidRDefault="00D10943">
      <w:pPr>
        <w:pStyle w:val="FootnoteText"/>
      </w:pPr>
      <w:r>
        <w:rPr>
          <w:rStyle w:val="FootnoteReference"/>
        </w:rPr>
        <w:footnoteRef/>
      </w:r>
      <w:r w:rsidR="001837F6">
        <w:t xml:space="preserve"> </w:t>
      </w:r>
      <w:r w:rsidR="001837F6" w:rsidRPr="001837F6">
        <w:t>United Nations</w:t>
      </w:r>
      <w:r w:rsidR="002B5FA7">
        <w:t xml:space="preserve"> Office of the High Commissioner for Human Rights</w:t>
      </w:r>
      <w:r w:rsidR="001837F6" w:rsidRPr="001837F6">
        <w:t xml:space="preserve">, ‘Introduction to the Committee – Subcommittee on Prevention of Torture’ </w:t>
      </w:r>
      <w:r w:rsidR="00EB3189">
        <w:t>(</w:t>
      </w:r>
      <w:r w:rsidR="001837F6" w:rsidRPr="001837F6">
        <w:t xml:space="preserve">Web </w:t>
      </w:r>
      <w:proofErr w:type="gramStart"/>
      <w:r w:rsidR="001837F6" w:rsidRPr="001837F6">
        <w:t>Page</w:t>
      </w:r>
      <w:r w:rsidR="00EB3189">
        <w:t>)</w:t>
      </w:r>
      <w:r w:rsidR="001837F6" w:rsidRPr="001837F6">
        <w:t xml:space="preserve"> </w:t>
      </w:r>
      <w:r w:rsidR="002B5FA7">
        <w:t xml:space="preserve"> &lt;</w:t>
      </w:r>
      <w:proofErr w:type="gramEnd"/>
      <w:r w:rsidR="002B5FA7" w:rsidRPr="002B5FA7">
        <w:t>https://www.ohchr.org/en/treaty-bodies/spt/introduction-committee</w:t>
      </w:r>
      <w:r w:rsidR="002B5FA7">
        <w:t>&gt;.</w:t>
      </w:r>
    </w:p>
  </w:footnote>
  <w:footnote w:id="6">
    <w:p w14:paraId="72BEE462" w14:textId="5D58507A" w:rsidR="006B66EB" w:rsidRPr="000E052F" w:rsidRDefault="006B66EB" w:rsidP="006B66EB">
      <w:pPr>
        <w:pStyle w:val="FootnoteText"/>
      </w:pPr>
      <w:r>
        <w:rPr>
          <w:rStyle w:val="FootnoteReference"/>
        </w:rPr>
        <w:footnoteRef/>
      </w:r>
      <w:r>
        <w:t xml:space="preserve"> </w:t>
      </w:r>
      <w:r w:rsidR="00043D3D">
        <w:t>Committee against Torture</w:t>
      </w:r>
      <w:r w:rsidRPr="00EC3644">
        <w:t xml:space="preserve">, </w:t>
      </w:r>
      <w:r w:rsidRPr="00FD19E0">
        <w:rPr>
          <w:i/>
        </w:rPr>
        <w:t>Ninth annual report of the Subcommittee on Prevention of Torture and Other Cruel, Inhuman or Degrading Treatment or Punishment</w:t>
      </w:r>
      <w:r>
        <w:t xml:space="preserve">, </w:t>
      </w:r>
      <w:r w:rsidRPr="00EC3644">
        <w:t>UN Doc CAT/C/</w:t>
      </w:r>
      <w:r w:rsidRPr="000E052F">
        <w:t>57/4 (</w:t>
      </w:r>
      <w:r w:rsidR="00D30A4C">
        <w:t xml:space="preserve">22 </w:t>
      </w:r>
      <w:proofErr w:type="gramStart"/>
      <w:r w:rsidRPr="000E052F">
        <w:t>March  2016</w:t>
      </w:r>
      <w:proofErr w:type="gramEnd"/>
      <w:r w:rsidRPr="000E052F">
        <w:t>)</w:t>
      </w:r>
      <w:r w:rsidR="00ED02DE">
        <w:t xml:space="preserve"> </w:t>
      </w:r>
      <w:r w:rsidR="00ED02DE" w:rsidRPr="00FD19E0">
        <w:rPr>
          <w:i/>
        </w:rPr>
        <w:t xml:space="preserve"> </w:t>
      </w:r>
      <w:r w:rsidR="00ED02DE" w:rsidRPr="00BD070D">
        <w:rPr>
          <w:iCs/>
        </w:rPr>
        <w:t>Annex</w:t>
      </w:r>
      <w:r w:rsidR="00ED02DE">
        <w:rPr>
          <w:iCs/>
        </w:rPr>
        <w:t>:</w:t>
      </w:r>
      <w:r w:rsidR="00ED02DE" w:rsidRPr="00BD070D">
        <w:rPr>
          <w:iCs/>
        </w:rPr>
        <w:t xml:space="preserve"> Compilation of advice provided by the Subcommittee in response to requests from national preventive mechanisms</w:t>
      </w:r>
      <w:r w:rsidRPr="000E052F">
        <w:t xml:space="preserve"> [</w:t>
      </w:r>
      <w:r>
        <w:t>1]-</w:t>
      </w:r>
      <w:r w:rsidRPr="000E052F">
        <w:t>[3].</w:t>
      </w:r>
    </w:p>
  </w:footnote>
  <w:footnote w:id="7">
    <w:p w14:paraId="204C6AA1" w14:textId="2014517B" w:rsidR="006B66EB" w:rsidRDefault="006B66EB" w:rsidP="006B66EB">
      <w:pPr>
        <w:pStyle w:val="FootnoteText"/>
      </w:pPr>
      <w:r w:rsidRPr="000E052F">
        <w:rPr>
          <w:rStyle w:val="FootnoteReference"/>
        </w:rPr>
        <w:footnoteRef/>
      </w:r>
      <w:r w:rsidRPr="000E052F">
        <w:t xml:space="preserve"> Subcommittee on Prevention of Torture and Other Cruel, Inhuman or Degrading Treatment or Punishment, </w:t>
      </w:r>
      <w:r w:rsidRPr="000E052F">
        <w:rPr>
          <w:i/>
        </w:rPr>
        <w:t>Guidelines on national preventive mechanisms</w:t>
      </w:r>
      <w:r w:rsidRPr="000E052F">
        <w:t>, UN Doc CAT/OP/12/5 (9 December 2010) [24]-[25].</w:t>
      </w:r>
    </w:p>
  </w:footnote>
  <w:footnote w:id="8">
    <w:p w14:paraId="0BDCA7C4" w14:textId="7468465C" w:rsidR="00A5472D" w:rsidRDefault="00A5472D">
      <w:pPr>
        <w:pStyle w:val="FootnoteText"/>
      </w:pPr>
      <w:r>
        <w:rPr>
          <w:rStyle w:val="FootnoteReference"/>
        </w:rPr>
        <w:footnoteRef/>
      </w:r>
      <w:r>
        <w:t xml:space="preserve"> </w:t>
      </w:r>
      <w:r w:rsidR="00DA7452">
        <w:t>Explanatory Notes,</w:t>
      </w:r>
      <w:r w:rsidR="00DA7452" w:rsidRPr="001837F6">
        <w:t xml:space="preserve"> Monitoring of Places of Detention (Optional Protocol to the Convention Against Torture) Bill 2022</w:t>
      </w:r>
      <w:r w:rsidR="00DA7452">
        <w:t xml:space="preserve">, </w:t>
      </w:r>
      <w:r>
        <w:t xml:space="preserve">2. </w:t>
      </w:r>
    </w:p>
  </w:footnote>
  <w:footnote w:id="9">
    <w:p w14:paraId="1875E7FE" w14:textId="5F603646" w:rsidR="00A5472D" w:rsidRDefault="00A5472D" w:rsidP="00A5472D">
      <w:pPr>
        <w:pStyle w:val="FootnoteText"/>
      </w:pPr>
      <w:r>
        <w:rPr>
          <w:rStyle w:val="FootnoteReference"/>
        </w:rPr>
        <w:footnoteRef/>
      </w:r>
      <w:r>
        <w:t xml:space="preserve"> </w:t>
      </w:r>
      <w:r w:rsidR="00DA7452">
        <w:t>Explanatory Notes,</w:t>
      </w:r>
      <w:r w:rsidR="00DA7452" w:rsidRPr="001837F6">
        <w:t xml:space="preserve"> Monitoring of Places of Detention (Optional Protocol to the Convention Against Torture) Bill 2022</w:t>
      </w:r>
      <w:r w:rsidR="00DA7452">
        <w:t>, 2</w:t>
      </w:r>
      <w:r>
        <w:t xml:space="preserve">. </w:t>
      </w:r>
    </w:p>
  </w:footnote>
  <w:footnote w:id="10">
    <w:p w14:paraId="3FA1F530" w14:textId="5B185FF7" w:rsidR="00815053" w:rsidRDefault="00815053">
      <w:pPr>
        <w:pStyle w:val="FootnoteText"/>
      </w:pPr>
      <w:r>
        <w:rPr>
          <w:rStyle w:val="FootnoteReference"/>
        </w:rPr>
        <w:footnoteRef/>
      </w:r>
      <w:r>
        <w:t xml:space="preserve"> </w:t>
      </w:r>
      <w:r w:rsidR="009A4EC2">
        <w:t xml:space="preserve">Association for the Prevention of Torture and the Inter-American Institute for Human Rights, </w:t>
      </w:r>
      <w:r w:rsidR="009A4EC2">
        <w:rPr>
          <w:i/>
          <w:iCs/>
        </w:rPr>
        <w:t>Option</w:t>
      </w:r>
      <w:r w:rsidR="001C710B">
        <w:rPr>
          <w:i/>
          <w:iCs/>
        </w:rPr>
        <w:t>al</w:t>
      </w:r>
      <w:r w:rsidR="009A4EC2">
        <w:rPr>
          <w:i/>
          <w:iCs/>
        </w:rPr>
        <w:t xml:space="preserve"> Protocol to the UN Convention against Torture: Implementation Manual </w:t>
      </w:r>
      <w:r w:rsidR="009A4EC2">
        <w:t xml:space="preserve">(2010), 78-79. </w:t>
      </w:r>
      <w:r w:rsidR="009A4EC2">
        <w:rPr>
          <w:i/>
          <w:iCs/>
        </w:rPr>
        <w:t xml:space="preserve"> </w:t>
      </w:r>
      <w:r>
        <w:t xml:space="preserve"> </w:t>
      </w:r>
      <w:r w:rsidR="00FA73E9">
        <w:t xml:space="preserve"> </w:t>
      </w:r>
    </w:p>
  </w:footnote>
  <w:footnote w:id="11">
    <w:p w14:paraId="68ADD288" w14:textId="7C133806" w:rsidR="00DA7452" w:rsidRDefault="00DA7452">
      <w:pPr>
        <w:pStyle w:val="FootnoteText"/>
      </w:pPr>
      <w:r>
        <w:rPr>
          <w:rStyle w:val="FootnoteReference"/>
        </w:rPr>
        <w:footnoteRef/>
      </w:r>
      <w:r>
        <w:t xml:space="preserve"> Explanatory Notes,</w:t>
      </w:r>
      <w:r w:rsidRPr="001837F6">
        <w:t xml:space="preserve"> Monitoring of Places of Detention (Optional Protocol to the Convention Against Torture) Bill 2022</w:t>
      </w:r>
      <w:r>
        <w:t>, 2-3.</w:t>
      </w:r>
    </w:p>
  </w:footnote>
  <w:footnote w:id="12">
    <w:p w14:paraId="6E248339" w14:textId="7B5C6363" w:rsidR="00385413" w:rsidRDefault="00385413">
      <w:pPr>
        <w:pStyle w:val="FootnoteText"/>
      </w:pPr>
      <w:r>
        <w:rPr>
          <w:rStyle w:val="FootnoteReference"/>
        </w:rPr>
        <w:footnoteRef/>
      </w:r>
      <w:r>
        <w:t xml:space="preserve"> </w:t>
      </w:r>
      <w:r w:rsidR="009A4EC2" w:rsidRPr="00BD070D">
        <w:rPr>
          <w:i/>
          <w:iCs/>
        </w:rPr>
        <w:t>H</w:t>
      </w:r>
      <w:r w:rsidR="0013078A" w:rsidRPr="00BD070D">
        <w:rPr>
          <w:i/>
          <w:iCs/>
        </w:rPr>
        <w:t xml:space="preserve">uman </w:t>
      </w:r>
      <w:r w:rsidR="009A4EC2" w:rsidRPr="00BD070D">
        <w:rPr>
          <w:i/>
          <w:iCs/>
        </w:rPr>
        <w:t>R</w:t>
      </w:r>
      <w:r w:rsidR="0013078A" w:rsidRPr="00BD070D">
        <w:rPr>
          <w:i/>
          <w:iCs/>
        </w:rPr>
        <w:t>ights</w:t>
      </w:r>
      <w:r w:rsidR="009A4EC2" w:rsidRPr="00BD070D">
        <w:rPr>
          <w:i/>
          <w:iCs/>
        </w:rPr>
        <w:t xml:space="preserve"> Act</w:t>
      </w:r>
      <w:r w:rsidR="0013078A" w:rsidRPr="00BD070D">
        <w:rPr>
          <w:i/>
          <w:iCs/>
        </w:rPr>
        <w:t xml:space="preserve"> 2019</w:t>
      </w:r>
      <w:r w:rsidR="009A4EC2">
        <w:t>, s</w:t>
      </w:r>
      <w:r>
        <w:t xml:space="preserve"> 17 and</w:t>
      </w:r>
      <w:r w:rsidR="009A4EC2">
        <w:t xml:space="preserve"> s</w:t>
      </w:r>
      <w:r>
        <w:t xml:space="preserve"> 30. </w:t>
      </w:r>
    </w:p>
  </w:footnote>
  <w:footnote w:id="13">
    <w:p w14:paraId="05088009" w14:textId="52878BCA" w:rsidR="00FF6D11" w:rsidRPr="00247ABD" w:rsidRDefault="00FF6D11">
      <w:pPr>
        <w:pStyle w:val="FootnoteText"/>
        <w:rPr>
          <w:lang w:val="en-US"/>
        </w:rPr>
      </w:pPr>
      <w:r>
        <w:rPr>
          <w:rStyle w:val="FootnoteReference"/>
        </w:rPr>
        <w:footnoteRef/>
      </w:r>
      <w:r>
        <w:t xml:space="preserve"> See OPCAT, </w:t>
      </w:r>
      <w:r w:rsidRPr="00FF6D11">
        <w:t>Article</w:t>
      </w:r>
      <w:r>
        <w:t>s</w:t>
      </w:r>
      <w:r w:rsidRPr="00FF6D11">
        <w:t xml:space="preserve"> 11 (iii), 12(b) and 14(b</w:t>
      </w:r>
      <w:r>
        <w:t xml:space="preserve">). </w:t>
      </w:r>
    </w:p>
  </w:footnote>
  <w:footnote w:id="14">
    <w:p w14:paraId="3DBAE6A4" w14:textId="575984A7" w:rsidR="00EE7A47" w:rsidRPr="00247ABD" w:rsidRDefault="00EE7A47">
      <w:pPr>
        <w:pStyle w:val="FootnoteText"/>
        <w:rPr>
          <w:lang w:val="en-US"/>
        </w:rPr>
      </w:pPr>
      <w:r>
        <w:rPr>
          <w:rStyle w:val="FootnoteReference"/>
        </w:rPr>
        <w:footnoteRef/>
      </w:r>
      <w:r>
        <w:t xml:space="preserve"> United Nations Subcommittee on Prevention of Torture and Other Cruel, Inhuman or Degrading Treatment or Punishment, </w:t>
      </w:r>
      <w:r>
        <w:rPr>
          <w:i/>
          <w:iCs/>
        </w:rPr>
        <w:t>Obligations of States parties to the Optional Protocol to the Convention against Torture and Other Cruel, Inhuman or Degrading Treatment or Punishment to facilitate the visits of the Subcommittee on Prevention of Torture and Other Cruel, Inhuman or Degrading Treatment or Punishment</w:t>
      </w:r>
      <w:r w:rsidR="00FF6D11">
        <w:rPr>
          <w:i/>
          <w:iCs/>
        </w:rPr>
        <w:t xml:space="preserve">, </w:t>
      </w:r>
      <w:r>
        <w:t xml:space="preserve">UN Doc </w:t>
      </w:r>
      <w:r w:rsidRPr="00247ABD">
        <w:t>CAT/OP/24/1</w:t>
      </w:r>
      <w:r>
        <w:t xml:space="preserve"> (</w:t>
      </w:r>
      <w:r w:rsidRPr="00EE7A47">
        <w:t>09 December 2014</w:t>
      </w:r>
      <w:r>
        <w:t>)</w:t>
      </w:r>
      <w:r w:rsidRPr="00EE7A47">
        <w:t xml:space="preserve"> [2]</w:t>
      </w:r>
      <w:r w:rsidR="00247AB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799" w14:textId="77777777" w:rsidR="007C510E" w:rsidRPr="000731D3" w:rsidRDefault="007C510E" w:rsidP="000731D3">
    <w:pPr>
      <w:pStyle w:val="Header"/>
    </w:pPr>
  </w:p>
  <w:p w14:paraId="29F2502B"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0250E7E"/>
    <w:multiLevelType w:val="multilevel"/>
    <w:tmpl w:val="8D2658AE"/>
    <w:lvl w:ilvl="0">
      <w:start w:val="1"/>
      <w:numFmt w:val="decimal"/>
      <w:pStyle w:val="Numberedparagraph"/>
      <w:lvlText w:val="%1."/>
      <w:lvlJc w:val="left"/>
      <w:pPr>
        <w:ind w:left="993" w:hanging="567"/>
      </w:pPr>
      <w:rPr>
        <w:rFonts w:hint="default"/>
        <w:i w:val="0"/>
        <w:iCs w:val="0"/>
      </w:rPr>
    </w:lvl>
    <w:lvl w:ilvl="1">
      <w:start w:val="1"/>
      <w:numFmt w:val="lowerLetter"/>
      <w:lvlText w:val="%2."/>
      <w:lvlJc w:val="left"/>
      <w:pPr>
        <w:ind w:left="907" w:hanging="283"/>
      </w:pPr>
      <w:rPr>
        <w:rFonts w:hint="default"/>
        <w:b w:val="0"/>
        <w:i w:val="0"/>
        <w:sz w:val="22"/>
        <w:szCs w:val="22"/>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80E217B"/>
    <w:multiLevelType w:val="multilevel"/>
    <w:tmpl w:val="78D8795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9"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2"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D34607"/>
    <w:multiLevelType w:val="multilevel"/>
    <w:tmpl w:val="A26A44B8"/>
    <w:lvl w:ilvl="0">
      <w:start w:val="1"/>
      <w:numFmt w:val="bullet"/>
      <w:lvlText w:val=""/>
      <w:lvlJc w:val="left"/>
      <w:pPr>
        <w:ind w:left="1287" w:hanging="567"/>
      </w:pPr>
      <w:rPr>
        <w:rFonts w:ascii="Symbol" w:hAnsi="Symbol" w:hint="default"/>
      </w:rPr>
    </w:lvl>
    <w:lvl w:ilvl="1">
      <w:start w:val="1"/>
      <w:numFmt w:val="bullet"/>
      <w:lvlText w:val="o"/>
      <w:lvlJc w:val="left"/>
      <w:pPr>
        <w:ind w:left="1704" w:hanging="360"/>
      </w:pPr>
      <w:rPr>
        <w:rFonts w:ascii="Courier New" w:hAnsi="Courier New" w:cs="Courier New" w:hint="default"/>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num w:numId="1" w16cid:durableId="1757751497">
    <w:abstractNumId w:val="15"/>
  </w:num>
  <w:num w:numId="2" w16cid:durableId="1762025996">
    <w:abstractNumId w:val="9"/>
  </w:num>
  <w:num w:numId="3" w16cid:durableId="1499808667">
    <w:abstractNumId w:val="21"/>
  </w:num>
  <w:num w:numId="4" w16cid:durableId="1010990503">
    <w:abstractNumId w:val="10"/>
  </w:num>
  <w:num w:numId="5" w16cid:durableId="371156624">
    <w:abstractNumId w:val="13"/>
  </w:num>
  <w:num w:numId="6" w16cid:durableId="1476919422">
    <w:abstractNumId w:val="16"/>
  </w:num>
  <w:num w:numId="7" w16cid:durableId="1527213971">
    <w:abstractNumId w:val="2"/>
  </w:num>
  <w:num w:numId="8" w16cid:durableId="928392745">
    <w:abstractNumId w:val="11"/>
  </w:num>
  <w:num w:numId="9" w16cid:durableId="362943145">
    <w:abstractNumId w:val="20"/>
  </w:num>
  <w:num w:numId="10" w16cid:durableId="615522020">
    <w:abstractNumId w:val="22"/>
  </w:num>
  <w:num w:numId="11" w16cid:durableId="194006260">
    <w:abstractNumId w:val="17"/>
  </w:num>
  <w:num w:numId="12" w16cid:durableId="1237472498">
    <w:abstractNumId w:val="12"/>
  </w:num>
  <w:num w:numId="13" w16cid:durableId="1766028982">
    <w:abstractNumId w:val="5"/>
  </w:num>
  <w:num w:numId="14" w16cid:durableId="1514298965">
    <w:abstractNumId w:val="7"/>
  </w:num>
  <w:num w:numId="15" w16cid:durableId="789277270">
    <w:abstractNumId w:val="1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534420668">
    <w:abstractNumId w:val="18"/>
  </w:num>
  <w:num w:numId="17" w16cid:durableId="1704162516">
    <w:abstractNumId w:val="1"/>
  </w:num>
  <w:num w:numId="18" w16cid:durableId="20202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104468">
    <w:abstractNumId w:val="3"/>
  </w:num>
  <w:num w:numId="20" w16cid:durableId="28845240">
    <w:abstractNumId w:val="8"/>
  </w:num>
  <w:num w:numId="21" w16cid:durableId="1317567805">
    <w:abstractNumId w:val="6"/>
  </w:num>
  <w:num w:numId="22" w16cid:durableId="1222326908">
    <w:abstractNumId w:val="14"/>
  </w:num>
  <w:num w:numId="23" w16cid:durableId="2009407222">
    <w:abstractNumId w:val="0"/>
  </w:num>
  <w:num w:numId="24" w16cid:durableId="1700932824">
    <w:abstractNumId w:val="23"/>
  </w:num>
  <w:num w:numId="25" w16cid:durableId="1171062916">
    <w:abstractNumId w:val="4"/>
  </w:num>
  <w:num w:numId="26" w16cid:durableId="196939913">
    <w:abstractNumId w:val="19"/>
  </w:num>
  <w:num w:numId="27" w16cid:durableId="7450350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90"/>
    <w:rsid w:val="00002F05"/>
    <w:rsid w:val="00007843"/>
    <w:rsid w:val="00007A9D"/>
    <w:rsid w:val="00017168"/>
    <w:rsid w:val="00022671"/>
    <w:rsid w:val="0002351E"/>
    <w:rsid w:val="00023785"/>
    <w:rsid w:val="00024EA4"/>
    <w:rsid w:val="0003049C"/>
    <w:rsid w:val="000412C7"/>
    <w:rsid w:val="00041E58"/>
    <w:rsid w:val="00043D3D"/>
    <w:rsid w:val="00044A7F"/>
    <w:rsid w:val="00045B46"/>
    <w:rsid w:val="00046477"/>
    <w:rsid w:val="00047983"/>
    <w:rsid w:val="00052290"/>
    <w:rsid w:val="00054120"/>
    <w:rsid w:val="00056960"/>
    <w:rsid w:val="00057023"/>
    <w:rsid w:val="00057D21"/>
    <w:rsid w:val="00061944"/>
    <w:rsid w:val="00063EDF"/>
    <w:rsid w:val="0006782D"/>
    <w:rsid w:val="00072CE6"/>
    <w:rsid w:val="000731D3"/>
    <w:rsid w:val="00075AB0"/>
    <w:rsid w:val="0007682B"/>
    <w:rsid w:val="00093A57"/>
    <w:rsid w:val="00095FBB"/>
    <w:rsid w:val="00096517"/>
    <w:rsid w:val="000A201B"/>
    <w:rsid w:val="000B6C72"/>
    <w:rsid w:val="000B794F"/>
    <w:rsid w:val="000C6E1A"/>
    <w:rsid w:val="000D49A5"/>
    <w:rsid w:val="000D7C05"/>
    <w:rsid w:val="000E052F"/>
    <w:rsid w:val="000E1039"/>
    <w:rsid w:val="000E2872"/>
    <w:rsid w:val="000F0BC1"/>
    <w:rsid w:val="000F4098"/>
    <w:rsid w:val="000F587E"/>
    <w:rsid w:val="00104B4B"/>
    <w:rsid w:val="00105217"/>
    <w:rsid w:val="001066BD"/>
    <w:rsid w:val="00120C1E"/>
    <w:rsid w:val="00121E6F"/>
    <w:rsid w:val="00124A35"/>
    <w:rsid w:val="001304EE"/>
    <w:rsid w:val="0013078A"/>
    <w:rsid w:val="00131862"/>
    <w:rsid w:val="00160CF6"/>
    <w:rsid w:val="00163706"/>
    <w:rsid w:val="00163FE8"/>
    <w:rsid w:val="00165980"/>
    <w:rsid w:val="001825CB"/>
    <w:rsid w:val="00182865"/>
    <w:rsid w:val="00182E06"/>
    <w:rsid w:val="001837F6"/>
    <w:rsid w:val="00187D43"/>
    <w:rsid w:val="00190489"/>
    <w:rsid w:val="001916E4"/>
    <w:rsid w:val="0019203A"/>
    <w:rsid w:val="00195E9F"/>
    <w:rsid w:val="001A0CCD"/>
    <w:rsid w:val="001A12BD"/>
    <w:rsid w:val="001A1F5B"/>
    <w:rsid w:val="001A24E3"/>
    <w:rsid w:val="001B1A27"/>
    <w:rsid w:val="001B5470"/>
    <w:rsid w:val="001B57C6"/>
    <w:rsid w:val="001C01FD"/>
    <w:rsid w:val="001C127F"/>
    <w:rsid w:val="001C710B"/>
    <w:rsid w:val="001D0C77"/>
    <w:rsid w:val="001D3C89"/>
    <w:rsid w:val="001D50C0"/>
    <w:rsid w:val="001D63E4"/>
    <w:rsid w:val="001D7758"/>
    <w:rsid w:val="001E3A26"/>
    <w:rsid w:val="001E6782"/>
    <w:rsid w:val="001F3F19"/>
    <w:rsid w:val="001F5F4B"/>
    <w:rsid w:val="001F6A1E"/>
    <w:rsid w:val="002246E1"/>
    <w:rsid w:val="00227178"/>
    <w:rsid w:val="00233F52"/>
    <w:rsid w:val="00235527"/>
    <w:rsid w:val="0023646E"/>
    <w:rsid w:val="00240EF9"/>
    <w:rsid w:val="0024194E"/>
    <w:rsid w:val="0024500D"/>
    <w:rsid w:val="00247ABD"/>
    <w:rsid w:val="00252711"/>
    <w:rsid w:val="00252B28"/>
    <w:rsid w:val="00253B42"/>
    <w:rsid w:val="00260847"/>
    <w:rsid w:val="00266D85"/>
    <w:rsid w:val="0026723E"/>
    <w:rsid w:val="00273423"/>
    <w:rsid w:val="00282C20"/>
    <w:rsid w:val="00283D88"/>
    <w:rsid w:val="00284FF0"/>
    <w:rsid w:val="0028609D"/>
    <w:rsid w:val="00292C50"/>
    <w:rsid w:val="00293C9F"/>
    <w:rsid w:val="002A03F1"/>
    <w:rsid w:val="002A21C1"/>
    <w:rsid w:val="002A272D"/>
    <w:rsid w:val="002B4864"/>
    <w:rsid w:val="002B5FA7"/>
    <w:rsid w:val="002B65D4"/>
    <w:rsid w:val="002C2F6A"/>
    <w:rsid w:val="002C54B2"/>
    <w:rsid w:val="002D386B"/>
    <w:rsid w:val="002D46A2"/>
    <w:rsid w:val="002D6506"/>
    <w:rsid w:val="002E30BA"/>
    <w:rsid w:val="002E32E2"/>
    <w:rsid w:val="002E32EE"/>
    <w:rsid w:val="002E433B"/>
    <w:rsid w:val="002E744F"/>
    <w:rsid w:val="002F751F"/>
    <w:rsid w:val="00302640"/>
    <w:rsid w:val="00304540"/>
    <w:rsid w:val="00310105"/>
    <w:rsid w:val="00310CB2"/>
    <w:rsid w:val="00312C2A"/>
    <w:rsid w:val="00316AA0"/>
    <w:rsid w:val="003204FA"/>
    <w:rsid w:val="00321445"/>
    <w:rsid w:val="0032516B"/>
    <w:rsid w:val="0033216F"/>
    <w:rsid w:val="0034134D"/>
    <w:rsid w:val="00344F59"/>
    <w:rsid w:val="00346096"/>
    <w:rsid w:val="00350D39"/>
    <w:rsid w:val="00352286"/>
    <w:rsid w:val="00352AAF"/>
    <w:rsid w:val="0035654D"/>
    <w:rsid w:val="00370336"/>
    <w:rsid w:val="00372B6B"/>
    <w:rsid w:val="003847F0"/>
    <w:rsid w:val="00385413"/>
    <w:rsid w:val="00392522"/>
    <w:rsid w:val="00395332"/>
    <w:rsid w:val="00395A0D"/>
    <w:rsid w:val="003963D6"/>
    <w:rsid w:val="003A3833"/>
    <w:rsid w:val="003A666E"/>
    <w:rsid w:val="003B0A61"/>
    <w:rsid w:val="003B197E"/>
    <w:rsid w:val="003B1B74"/>
    <w:rsid w:val="003B7269"/>
    <w:rsid w:val="003C1B81"/>
    <w:rsid w:val="003C2709"/>
    <w:rsid w:val="003C443B"/>
    <w:rsid w:val="003C6A61"/>
    <w:rsid w:val="003D3AAC"/>
    <w:rsid w:val="003D3BDE"/>
    <w:rsid w:val="003D5C64"/>
    <w:rsid w:val="003D625C"/>
    <w:rsid w:val="003E51B7"/>
    <w:rsid w:val="003F4462"/>
    <w:rsid w:val="003F6F7E"/>
    <w:rsid w:val="004032CA"/>
    <w:rsid w:val="004074DA"/>
    <w:rsid w:val="00421429"/>
    <w:rsid w:val="00423B03"/>
    <w:rsid w:val="00431D51"/>
    <w:rsid w:val="004418EC"/>
    <w:rsid w:val="004424F3"/>
    <w:rsid w:val="00451416"/>
    <w:rsid w:val="004538FC"/>
    <w:rsid w:val="00454EBD"/>
    <w:rsid w:val="0045765D"/>
    <w:rsid w:val="00463BEF"/>
    <w:rsid w:val="00466216"/>
    <w:rsid w:val="00472DA3"/>
    <w:rsid w:val="004865AF"/>
    <w:rsid w:val="0049083E"/>
    <w:rsid w:val="00490B13"/>
    <w:rsid w:val="00494D53"/>
    <w:rsid w:val="004A0034"/>
    <w:rsid w:val="004A0AE2"/>
    <w:rsid w:val="004A2375"/>
    <w:rsid w:val="004A6F71"/>
    <w:rsid w:val="004B0599"/>
    <w:rsid w:val="004B2AFE"/>
    <w:rsid w:val="004B71ED"/>
    <w:rsid w:val="004C17FC"/>
    <w:rsid w:val="004C2886"/>
    <w:rsid w:val="004C4238"/>
    <w:rsid w:val="004D05E0"/>
    <w:rsid w:val="004D4ECE"/>
    <w:rsid w:val="004E3D6B"/>
    <w:rsid w:val="004E3DD7"/>
    <w:rsid w:val="004E58C1"/>
    <w:rsid w:val="004F05D9"/>
    <w:rsid w:val="004F2CB8"/>
    <w:rsid w:val="004F4CB1"/>
    <w:rsid w:val="004F5BF7"/>
    <w:rsid w:val="005009D5"/>
    <w:rsid w:val="00502924"/>
    <w:rsid w:val="00512E7F"/>
    <w:rsid w:val="005146D7"/>
    <w:rsid w:val="00516283"/>
    <w:rsid w:val="00517696"/>
    <w:rsid w:val="00517D74"/>
    <w:rsid w:val="0052162D"/>
    <w:rsid w:val="00533075"/>
    <w:rsid w:val="00541EA0"/>
    <w:rsid w:val="005503AA"/>
    <w:rsid w:val="00563BF7"/>
    <w:rsid w:val="005653E2"/>
    <w:rsid w:val="00580083"/>
    <w:rsid w:val="005828D3"/>
    <w:rsid w:val="005916EB"/>
    <w:rsid w:val="0059392B"/>
    <w:rsid w:val="00594E70"/>
    <w:rsid w:val="005A27A4"/>
    <w:rsid w:val="005A7C66"/>
    <w:rsid w:val="005B404C"/>
    <w:rsid w:val="005B49E8"/>
    <w:rsid w:val="005B7E50"/>
    <w:rsid w:val="005C3FB8"/>
    <w:rsid w:val="005D5A16"/>
    <w:rsid w:val="005E0936"/>
    <w:rsid w:val="005E130F"/>
    <w:rsid w:val="005E452A"/>
    <w:rsid w:val="005E5159"/>
    <w:rsid w:val="005E53E9"/>
    <w:rsid w:val="005F0F47"/>
    <w:rsid w:val="005F6358"/>
    <w:rsid w:val="00610BCE"/>
    <w:rsid w:val="006123A7"/>
    <w:rsid w:val="00612DC7"/>
    <w:rsid w:val="00614691"/>
    <w:rsid w:val="00617E4F"/>
    <w:rsid w:val="0062063E"/>
    <w:rsid w:val="006252B6"/>
    <w:rsid w:val="00627334"/>
    <w:rsid w:val="00630B71"/>
    <w:rsid w:val="006335BE"/>
    <w:rsid w:val="00642F71"/>
    <w:rsid w:val="00644E93"/>
    <w:rsid w:val="006466AD"/>
    <w:rsid w:val="006501BF"/>
    <w:rsid w:val="00651790"/>
    <w:rsid w:val="006521CE"/>
    <w:rsid w:val="0065259C"/>
    <w:rsid w:val="006600B5"/>
    <w:rsid w:val="006769BF"/>
    <w:rsid w:val="0068096E"/>
    <w:rsid w:val="006822BE"/>
    <w:rsid w:val="00682E98"/>
    <w:rsid w:val="00687B0C"/>
    <w:rsid w:val="00690748"/>
    <w:rsid w:val="00694221"/>
    <w:rsid w:val="00696E91"/>
    <w:rsid w:val="006A39A0"/>
    <w:rsid w:val="006A4D4D"/>
    <w:rsid w:val="006A7B3A"/>
    <w:rsid w:val="006B19F1"/>
    <w:rsid w:val="006B2EDE"/>
    <w:rsid w:val="006B66EB"/>
    <w:rsid w:val="006C0383"/>
    <w:rsid w:val="006C4AE9"/>
    <w:rsid w:val="006C5FB2"/>
    <w:rsid w:val="006D0618"/>
    <w:rsid w:val="006D0CD6"/>
    <w:rsid w:val="006D167D"/>
    <w:rsid w:val="006E288D"/>
    <w:rsid w:val="006E7819"/>
    <w:rsid w:val="006E7ACA"/>
    <w:rsid w:val="006F0979"/>
    <w:rsid w:val="006F1EFD"/>
    <w:rsid w:val="006F1F8D"/>
    <w:rsid w:val="00701BE5"/>
    <w:rsid w:val="00705D63"/>
    <w:rsid w:val="007069A1"/>
    <w:rsid w:val="00706A05"/>
    <w:rsid w:val="00730224"/>
    <w:rsid w:val="00735BA1"/>
    <w:rsid w:val="00741E30"/>
    <w:rsid w:val="00742BC7"/>
    <w:rsid w:val="007430AE"/>
    <w:rsid w:val="00751AE0"/>
    <w:rsid w:val="00757C09"/>
    <w:rsid w:val="00761291"/>
    <w:rsid w:val="007619FB"/>
    <w:rsid w:val="00763604"/>
    <w:rsid w:val="00770055"/>
    <w:rsid w:val="00775565"/>
    <w:rsid w:val="00783805"/>
    <w:rsid w:val="007857FB"/>
    <w:rsid w:val="00791CA0"/>
    <w:rsid w:val="007A1CAC"/>
    <w:rsid w:val="007A45D7"/>
    <w:rsid w:val="007B25BD"/>
    <w:rsid w:val="007B538A"/>
    <w:rsid w:val="007C47D8"/>
    <w:rsid w:val="007C510E"/>
    <w:rsid w:val="007C62E7"/>
    <w:rsid w:val="007C78D2"/>
    <w:rsid w:val="007D01B5"/>
    <w:rsid w:val="007D0694"/>
    <w:rsid w:val="007D0AF8"/>
    <w:rsid w:val="007D1864"/>
    <w:rsid w:val="007D3153"/>
    <w:rsid w:val="007F4F44"/>
    <w:rsid w:val="007F6DE6"/>
    <w:rsid w:val="0080290B"/>
    <w:rsid w:val="008037F9"/>
    <w:rsid w:val="00805768"/>
    <w:rsid w:val="008101EC"/>
    <w:rsid w:val="00815053"/>
    <w:rsid w:val="008157C3"/>
    <w:rsid w:val="00827429"/>
    <w:rsid w:val="008363C3"/>
    <w:rsid w:val="00837498"/>
    <w:rsid w:val="008415B0"/>
    <w:rsid w:val="00843EC2"/>
    <w:rsid w:val="008470F3"/>
    <w:rsid w:val="00850155"/>
    <w:rsid w:val="0086439D"/>
    <w:rsid w:val="0086440A"/>
    <w:rsid w:val="00867AFD"/>
    <w:rsid w:val="00871324"/>
    <w:rsid w:val="00874EE4"/>
    <w:rsid w:val="0089208D"/>
    <w:rsid w:val="008930A1"/>
    <w:rsid w:val="008970A8"/>
    <w:rsid w:val="008A19BC"/>
    <w:rsid w:val="008B0352"/>
    <w:rsid w:val="008B3191"/>
    <w:rsid w:val="008C3D59"/>
    <w:rsid w:val="008C6189"/>
    <w:rsid w:val="008D29B3"/>
    <w:rsid w:val="008D4D8D"/>
    <w:rsid w:val="008D628B"/>
    <w:rsid w:val="008D7E35"/>
    <w:rsid w:val="008E2FB8"/>
    <w:rsid w:val="008E304C"/>
    <w:rsid w:val="008E4176"/>
    <w:rsid w:val="008E593B"/>
    <w:rsid w:val="008E792D"/>
    <w:rsid w:val="008F11E9"/>
    <w:rsid w:val="008F2926"/>
    <w:rsid w:val="008F2D44"/>
    <w:rsid w:val="008F3DFF"/>
    <w:rsid w:val="0090102E"/>
    <w:rsid w:val="00905A21"/>
    <w:rsid w:val="009116DC"/>
    <w:rsid w:val="00912E7D"/>
    <w:rsid w:val="00914828"/>
    <w:rsid w:val="00916AFF"/>
    <w:rsid w:val="00917626"/>
    <w:rsid w:val="00920A7A"/>
    <w:rsid w:val="0092770A"/>
    <w:rsid w:val="009429E7"/>
    <w:rsid w:val="009454CE"/>
    <w:rsid w:val="00945539"/>
    <w:rsid w:val="00957333"/>
    <w:rsid w:val="00970E28"/>
    <w:rsid w:val="009716A0"/>
    <w:rsid w:val="009746DD"/>
    <w:rsid w:val="00985386"/>
    <w:rsid w:val="00987057"/>
    <w:rsid w:val="009916F8"/>
    <w:rsid w:val="009A4EC2"/>
    <w:rsid w:val="009A556B"/>
    <w:rsid w:val="009A6238"/>
    <w:rsid w:val="009B107F"/>
    <w:rsid w:val="009B787E"/>
    <w:rsid w:val="009C5845"/>
    <w:rsid w:val="009D23B5"/>
    <w:rsid w:val="009D3109"/>
    <w:rsid w:val="009D3B40"/>
    <w:rsid w:val="009D4A84"/>
    <w:rsid w:val="009D6C66"/>
    <w:rsid w:val="009E42AE"/>
    <w:rsid w:val="009E705C"/>
    <w:rsid w:val="009F3E8A"/>
    <w:rsid w:val="00A0082F"/>
    <w:rsid w:val="00A023C1"/>
    <w:rsid w:val="00A02AB9"/>
    <w:rsid w:val="00A04235"/>
    <w:rsid w:val="00A16356"/>
    <w:rsid w:val="00A30198"/>
    <w:rsid w:val="00A34F81"/>
    <w:rsid w:val="00A35BBA"/>
    <w:rsid w:val="00A368E3"/>
    <w:rsid w:val="00A45369"/>
    <w:rsid w:val="00A53D1F"/>
    <w:rsid w:val="00A54367"/>
    <w:rsid w:val="00A5472D"/>
    <w:rsid w:val="00A64FA6"/>
    <w:rsid w:val="00A70E36"/>
    <w:rsid w:val="00A90373"/>
    <w:rsid w:val="00A92BEF"/>
    <w:rsid w:val="00A96994"/>
    <w:rsid w:val="00AA1020"/>
    <w:rsid w:val="00AA4AD5"/>
    <w:rsid w:val="00AC2D6B"/>
    <w:rsid w:val="00AC468A"/>
    <w:rsid w:val="00AD182F"/>
    <w:rsid w:val="00AD77DE"/>
    <w:rsid w:val="00AE176D"/>
    <w:rsid w:val="00AE3A61"/>
    <w:rsid w:val="00AF0BDD"/>
    <w:rsid w:val="00AF33E4"/>
    <w:rsid w:val="00AF40B9"/>
    <w:rsid w:val="00AF635C"/>
    <w:rsid w:val="00B03079"/>
    <w:rsid w:val="00B0659F"/>
    <w:rsid w:val="00B07720"/>
    <w:rsid w:val="00B118A3"/>
    <w:rsid w:val="00B1632A"/>
    <w:rsid w:val="00B21628"/>
    <w:rsid w:val="00B22564"/>
    <w:rsid w:val="00B30795"/>
    <w:rsid w:val="00B360EA"/>
    <w:rsid w:val="00B41356"/>
    <w:rsid w:val="00B4324A"/>
    <w:rsid w:val="00B45844"/>
    <w:rsid w:val="00B46BAB"/>
    <w:rsid w:val="00B50E47"/>
    <w:rsid w:val="00B50F67"/>
    <w:rsid w:val="00B60E0A"/>
    <w:rsid w:val="00B67E6E"/>
    <w:rsid w:val="00B82CE9"/>
    <w:rsid w:val="00B83AE9"/>
    <w:rsid w:val="00B8743D"/>
    <w:rsid w:val="00B87FB4"/>
    <w:rsid w:val="00B91C4E"/>
    <w:rsid w:val="00B91EA6"/>
    <w:rsid w:val="00B933A9"/>
    <w:rsid w:val="00B94CB4"/>
    <w:rsid w:val="00BA130A"/>
    <w:rsid w:val="00BA2067"/>
    <w:rsid w:val="00BA7A88"/>
    <w:rsid w:val="00BB0B80"/>
    <w:rsid w:val="00BB2F50"/>
    <w:rsid w:val="00BC63DA"/>
    <w:rsid w:val="00BD070D"/>
    <w:rsid w:val="00BD31CB"/>
    <w:rsid w:val="00BD6C52"/>
    <w:rsid w:val="00BE6B8A"/>
    <w:rsid w:val="00BE71F9"/>
    <w:rsid w:val="00BF63CB"/>
    <w:rsid w:val="00C100A2"/>
    <w:rsid w:val="00C13E33"/>
    <w:rsid w:val="00C163F5"/>
    <w:rsid w:val="00C20C61"/>
    <w:rsid w:val="00C255F9"/>
    <w:rsid w:val="00C33416"/>
    <w:rsid w:val="00C35743"/>
    <w:rsid w:val="00C4116E"/>
    <w:rsid w:val="00C526DC"/>
    <w:rsid w:val="00C55C5B"/>
    <w:rsid w:val="00C620EA"/>
    <w:rsid w:val="00C627FD"/>
    <w:rsid w:val="00C641D7"/>
    <w:rsid w:val="00C66E1D"/>
    <w:rsid w:val="00C720BA"/>
    <w:rsid w:val="00C74C6E"/>
    <w:rsid w:val="00C8564F"/>
    <w:rsid w:val="00C9716F"/>
    <w:rsid w:val="00CA162B"/>
    <w:rsid w:val="00CA23CF"/>
    <w:rsid w:val="00CA2A40"/>
    <w:rsid w:val="00CA4879"/>
    <w:rsid w:val="00CA7430"/>
    <w:rsid w:val="00CB0BBF"/>
    <w:rsid w:val="00CB692C"/>
    <w:rsid w:val="00CC2E5C"/>
    <w:rsid w:val="00CD06A4"/>
    <w:rsid w:val="00CD1E33"/>
    <w:rsid w:val="00CD7704"/>
    <w:rsid w:val="00CE14AA"/>
    <w:rsid w:val="00CE4544"/>
    <w:rsid w:val="00CE4627"/>
    <w:rsid w:val="00D03FE8"/>
    <w:rsid w:val="00D04AA8"/>
    <w:rsid w:val="00D102EC"/>
    <w:rsid w:val="00D10943"/>
    <w:rsid w:val="00D21103"/>
    <w:rsid w:val="00D257DC"/>
    <w:rsid w:val="00D27E46"/>
    <w:rsid w:val="00D30A4C"/>
    <w:rsid w:val="00D325F2"/>
    <w:rsid w:val="00D33110"/>
    <w:rsid w:val="00D33FEE"/>
    <w:rsid w:val="00D35B0E"/>
    <w:rsid w:val="00D44FCC"/>
    <w:rsid w:val="00D54A89"/>
    <w:rsid w:val="00D56EB3"/>
    <w:rsid w:val="00D61B81"/>
    <w:rsid w:val="00D6241A"/>
    <w:rsid w:val="00D7331C"/>
    <w:rsid w:val="00D74335"/>
    <w:rsid w:val="00D76F2A"/>
    <w:rsid w:val="00D86386"/>
    <w:rsid w:val="00D9395E"/>
    <w:rsid w:val="00D9591A"/>
    <w:rsid w:val="00DA7452"/>
    <w:rsid w:val="00DA76B2"/>
    <w:rsid w:val="00DB6348"/>
    <w:rsid w:val="00DC0A10"/>
    <w:rsid w:val="00DC0EDF"/>
    <w:rsid w:val="00DC2EB9"/>
    <w:rsid w:val="00DC553C"/>
    <w:rsid w:val="00DC7280"/>
    <w:rsid w:val="00DD2998"/>
    <w:rsid w:val="00DD4168"/>
    <w:rsid w:val="00DD5B86"/>
    <w:rsid w:val="00DD7883"/>
    <w:rsid w:val="00DD7A12"/>
    <w:rsid w:val="00DE62F6"/>
    <w:rsid w:val="00DF2BF2"/>
    <w:rsid w:val="00DF5AE3"/>
    <w:rsid w:val="00DF5E8B"/>
    <w:rsid w:val="00DF6B5F"/>
    <w:rsid w:val="00E02BF6"/>
    <w:rsid w:val="00E10188"/>
    <w:rsid w:val="00E11180"/>
    <w:rsid w:val="00E15E88"/>
    <w:rsid w:val="00E1631A"/>
    <w:rsid w:val="00E167A9"/>
    <w:rsid w:val="00E436A5"/>
    <w:rsid w:val="00E43C8D"/>
    <w:rsid w:val="00E43E5E"/>
    <w:rsid w:val="00E5010D"/>
    <w:rsid w:val="00E54B68"/>
    <w:rsid w:val="00E57203"/>
    <w:rsid w:val="00E63792"/>
    <w:rsid w:val="00E6776E"/>
    <w:rsid w:val="00E731D9"/>
    <w:rsid w:val="00E7746A"/>
    <w:rsid w:val="00E82DFD"/>
    <w:rsid w:val="00E91A9E"/>
    <w:rsid w:val="00E93EE8"/>
    <w:rsid w:val="00E940D7"/>
    <w:rsid w:val="00EA0FB4"/>
    <w:rsid w:val="00EA34B7"/>
    <w:rsid w:val="00EA4066"/>
    <w:rsid w:val="00EA4BC9"/>
    <w:rsid w:val="00EA6D2F"/>
    <w:rsid w:val="00EB3189"/>
    <w:rsid w:val="00EB3433"/>
    <w:rsid w:val="00EB3464"/>
    <w:rsid w:val="00EB5211"/>
    <w:rsid w:val="00EB6445"/>
    <w:rsid w:val="00EB7E3E"/>
    <w:rsid w:val="00EC30AE"/>
    <w:rsid w:val="00EC4641"/>
    <w:rsid w:val="00ED02DE"/>
    <w:rsid w:val="00ED0709"/>
    <w:rsid w:val="00ED24C0"/>
    <w:rsid w:val="00ED426F"/>
    <w:rsid w:val="00ED6006"/>
    <w:rsid w:val="00ED7CFE"/>
    <w:rsid w:val="00EE20B4"/>
    <w:rsid w:val="00EE20D8"/>
    <w:rsid w:val="00EE7A47"/>
    <w:rsid w:val="00EF2CD3"/>
    <w:rsid w:val="00F124A9"/>
    <w:rsid w:val="00F12660"/>
    <w:rsid w:val="00F161C7"/>
    <w:rsid w:val="00F17EDB"/>
    <w:rsid w:val="00F217D9"/>
    <w:rsid w:val="00F23F07"/>
    <w:rsid w:val="00F24B31"/>
    <w:rsid w:val="00F27EB7"/>
    <w:rsid w:val="00F36913"/>
    <w:rsid w:val="00F4293F"/>
    <w:rsid w:val="00F4420D"/>
    <w:rsid w:val="00F552D1"/>
    <w:rsid w:val="00F558ED"/>
    <w:rsid w:val="00F55DEB"/>
    <w:rsid w:val="00F6115F"/>
    <w:rsid w:val="00F73546"/>
    <w:rsid w:val="00F76AD8"/>
    <w:rsid w:val="00F9178D"/>
    <w:rsid w:val="00FA73E9"/>
    <w:rsid w:val="00FA7899"/>
    <w:rsid w:val="00FB4D15"/>
    <w:rsid w:val="00FC1B0F"/>
    <w:rsid w:val="00FC3185"/>
    <w:rsid w:val="00FD19E0"/>
    <w:rsid w:val="00FD1A7C"/>
    <w:rsid w:val="00FD4014"/>
    <w:rsid w:val="00FE7FE2"/>
    <w:rsid w:val="00FF2163"/>
    <w:rsid w:val="00FF3AE0"/>
    <w:rsid w:val="00FF6D1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594BE"/>
  <w14:defaultImageDpi w14:val="330"/>
  <w15:docId w15:val="{D986496F-E0F5-47E3-A6C2-CE1FD3A5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nhideWhenUsed/>
    <w:rsid w:val="00C33416"/>
    <w:rPr>
      <w:rFonts w:ascii="Arial" w:hAnsi="Arial"/>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EA4BC9"/>
    <w:pPr>
      <w:spacing w:line="259" w:lineRule="auto"/>
      <w:outlineLvl w:val="9"/>
    </w:pPr>
    <w:rPr>
      <w:rFonts w:cs="Arial"/>
      <w:b/>
      <w:sz w:val="36"/>
      <w:szCs w:val="36"/>
    </w:rPr>
  </w:style>
  <w:style w:type="paragraph" w:styleId="TOC1">
    <w:name w:val="toc 1"/>
    <w:basedOn w:val="Normal"/>
    <w:next w:val="Normal"/>
    <w:autoRedefine/>
    <w:uiPriority w:val="39"/>
    <w:unhideWhenUsed/>
    <w:rsid w:val="00EE7A47"/>
    <w:pPr>
      <w:tabs>
        <w:tab w:val="right" w:leader="dot" w:pos="8488"/>
      </w:tabs>
      <w:spacing w:after="100"/>
    </w:pPr>
    <w:rPr>
      <w:rFonts w:ascii="Arial" w:hAnsi="Arial"/>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BD070D"/>
    <w:pPr>
      <w:tabs>
        <w:tab w:val="right" w:leader="dot" w:pos="8498"/>
      </w:tabs>
      <w:spacing w:before="120" w:after="120"/>
      <w:ind w:left="238"/>
    </w:pPr>
    <w:rPr>
      <w:rFonts w:ascii="Arial" w:hAnsi="Arial"/>
    </w:r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D9591A"/>
    <w:pPr>
      <w:numPr>
        <w:numId w:val="13"/>
      </w:numPr>
      <w:spacing w:before="120" w:after="240" w:line="276" w:lineRule="auto"/>
      <w:ind w:left="567"/>
      <w:contextualSpacing w:val="0"/>
    </w:pPr>
    <w:rPr>
      <w:rFonts w:ascii="Arial" w:hAnsi="Arial" w:cs="Arial"/>
      <w:sz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D9591A"/>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D9591A"/>
    <w:pPr>
      <w:numPr>
        <w:numId w:val="16"/>
      </w:numPr>
      <w:spacing w:after="120"/>
      <w:contextualSpacing w:val="0"/>
    </w:pPr>
    <w:rPr>
      <w:rFonts w:ascii="Arial" w:hAnsi="Arial" w:cs="Arial"/>
      <w:sz w:val="20"/>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paragraph" w:styleId="NormalWeb">
    <w:name w:val="Normal (Web)"/>
    <w:basedOn w:val="Normal"/>
    <w:uiPriority w:val="99"/>
    <w:semiHidden/>
    <w:unhideWhenUsed/>
    <w:rsid w:val="00D10943"/>
    <w:pPr>
      <w:spacing w:before="100" w:beforeAutospacing="1" w:after="100" w:afterAutospacing="1"/>
    </w:pPr>
    <w:rPr>
      <w:rFonts w:ascii="Times New Roman" w:eastAsia="Times New Roman" w:hAnsi="Times New Roman" w:cs="Times New Roman"/>
      <w:lang w:eastAsia="zh-CN" w:bidi="th-TH"/>
    </w:rPr>
  </w:style>
  <w:style w:type="character" w:customStyle="1" w:styleId="listnumber">
    <w:name w:val="listnumber"/>
    <w:basedOn w:val="DefaultParagraphFont"/>
    <w:rsid w:val="00DF2BF2"/>
  </w:style>
  <w:style w:type="character" w:styleId="UnresolvedMention">
    <w:name w:val="Unresolved Mention"/>
    <w:basedOn w:val="DefaultParagraphFont"/>
    <w:uiPriority w:val="99"/>
    <w:semiHidden/>
    <w:unhideWhenUsed/>
    <w:rsid w:val="00FA73E9"/>
    <w:rPr>
      <w:color w:val="605E5C"/>
      <w:shd w:val="clear" w:color="auto" w:fill="E1DFDD"/>
    </w:rPr>
  </w:style>
  <w:style w:type="character" w:styleId="EndnoteReference">
    <w:name w:val="endnote reference"/>
    <w:semiHidden/>
    <w:unhideWhenUsed/>
    <w:qFormat/>
    <w:rsid w:val="00EE7A47"/>
    <w:rPr>
      <w:rFonts w:ascii="Open Sans" w:hAnsi="Open Sans" w:cs="Open Sans" w:hint="default"/>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823">
      <w:bodyDiv w:val="1"/>
      <w:marLeft w:val="0"/>
      <w:marRight w:val="0"/>
      <w:marTop w:val="0"/>
      <w:marBottom w:val="0"/>
      <w:divBdr>
        <w:top w:val="none" w:sz="0" w:space="0" w:color="auto"/>
        <w:left w:val="none" w:sz="0" w:space="0" w:color="auto"/>
        <w:bottom w:val="none" w:sz="0" w:space="0" w:color="auto"/>
        <w:right w:val="none" w:sz="0" w:space="0" w:color="auto"/>
      </w:divBdr>
    </w:div>
    <w:div w:id="436484066">
      <w:bodyDiv w:val="1"/>
      <w:marLeft w:val="0"/>
      <w:marRight w:val="0"/>
      <w:marTop w:val="0"/>
      <w:marBottom w:val="0"/>
      <w:divBdr>
        <w:top w:val="none" w:sz="0" w:space="0" w:color="auto"/>
        <w:left w:val="none" w:sz="0" w:space="0" w:color="auto"/>
        <w:bottom w:val="none" w:sz="0" w:space="0" w:color="auto"/>
        <w:right w:val="none" w:sz="0" w:space="0" w:color="auto"/>
      </w:divBdr>
      <w:divsChild>
        <w:div w:id="9158957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29254931">
              <w:blockQuote w:val="1"/>
              <w:marLeft w:val="600"/>
              <w:marRight w:val="0"/>
              <w:marTop w:val="120"/>
              <w:marBottom w:val="120"/>
              <w:divBdr>
                <w:top w:val="none" w:sz="0" w:space="0" w:color="auto"/>
                <w:left w:val="none" w:sz="0" w:space="0" w:color="auto"/>
                <w:bottom w:val="none" w:sz="0" w:space="0" w:color="auto"/>
                <w:right w:val="none" w:sz="0" w:space="0" w:color="auto"/>
              </w:divBdr>
            </w:div>
            <w:div w:id="1028416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4574696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D79F48-913A-4F47-BF36-536E518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Monitoring of Places of Detention (Optional Protocol to the Convention Against Torture) Bill 2022</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of Places of Detention (Optional Protocol to the Convention Against Torture) Bill 2022</dc:title>
  <dc:subject/>
  <dc:creator>Sean Costello</dc:creator>
  <cp:keywords/>
  <dc:description/>
  <cp:lastModifiedBy>Sean Costello</cp:lastModifiedBy>
  <cp:revision>4</cp:revision>
  <cp:lastPrinted>2023-01-10T22:46:00Z</cp:lastPrinted>
  <dcterms:created xsi:type="dcterms:W3CDTF">2023-01-10T22:38:00Z</dcterms:created>
  <dcterms:modified xsi:type="dcterms:W3CDTF">2023-01-10T22:47:00Z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-1151730301</vt:i4>
  </property>
</Properties>
</file>