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Cs/>
          <w:color w:val="000000" w:themeColor="text1"/>
          <w:sz w:val="28"/>
          <w:szCs w:val="24"/>
          <w:lang w:val="en-AU"/>
        </w:rPr>
        <w:id w:val="2067608509"/>
        <w:docPartObj>
          <w:docPartGallery w:val="Cover Pages"/>
          <w:docPartUnique/>
        </w:docPartObj>
      </w:sdtPr>
      <w:sdtEndPr>
        <w:rPr>
          <w:rFonts w:cstheme="minorBidi"/>
          <w:bCs w:val="0"/>
          <w:sz w:val="16"/>
          <w:szCs w:val="16"/>
        </w:rPr>
      </w:sdtEndPr>
      <w:sdtContent>
        <w:p w14:paraId="290CE072" w14:textId="77777777" w:rsidR="0035517B" w:rsidRDefault="0035517B" w:rsidP="00260847">
          <w:pPr>
            <w:pStyle w:val="NoSpacing"/>
            <w:spacing w:before="120" w:after="120"/>
            <w:rPr>
              <w:rFonts w:ascii="Arial" w:hAnsi="Arial" w:cs="Arial"/>
              <w:bCs/>
              <w:sz w:val="28"/>
            </w:rPr>
          </w:pPr>
        </w:p>
        <w:p w14:paraId="6E0B4E5A" w14:textId="77777777" w:rsidR="0035517B" w:rsidRDefault="0035517B" w:rsidP="00260847">
          <w:pPr>
            <w:pStyle w:val="NoSpacing"/>
            <w:spacing w:before="120" w:after="120"/>
            <w:rPr>
              <w:rFonts w:ascii="Arial" w:hAnsi="Arial" w:cs="Arial"/>
              <w:bCs/>
              <w:sz w:val="28"/>
            </w:rPr>
          </w:pPr>
        </w:p>
        <w:p w14:paraId="42C9C3D6" w14:textId="77777777" w:rsidR="0035517B" w:rsidRDefault="0035517B" w:rsidP="00260847">
          <w:pPr>
            <w:pStyle w:val="NoSpacing"/>
            <w:spacing w:before="120" w:after="120"/>
            <w:rPr>
              <w:rFonts w:ascii="Arial" w:hAnsi="Arial" w:cs="Arial"/>
              <w:bCs/>
              <w:sz w:val="28"/>
            </w:rPr>
          </w:pPr>
          <w:r w:rsidRPr="00F63848">
            <w:rPr>
              <w:noProof/>
              <w:lang w:val="en-AU" w:eastAsia="en-AU"/>
            </w:rPr>
            <w:drawing>
              <wp:inline distT="0" distB="0" distL="0" distR="0" wp14:anchorId="227AC95F" wp14:editId="5B8C0A91">
                <wp:extent cx="3259015" cy="1066800"/>
                <wp:effectExtent l="0" t="0" r="0" b="0"/>
                <wp:docPr id="3" name="Picture 3" descr="H:\QHRC-logo-rgb-for-digital-u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QHRC-logo-rgb-for-digital-use.png"/>
                        <pic:cNvPicPr>
                          <a:picLocks noChangeAspect="1" noChangeArrowheads="1"/>
                        </pic:cNvPicPr>
                      </pic:nvPicPr>
                      <pic:blipFill rotWithShape="1">
                        <a:blip r:embed="rId9">
                          <a:extLst>
                            <a:ext uri="{28A0092B-C50C-407E-A947-70E740481C1C}">
                              <a14:useLocalDpi xmlns:a14="http://schemas.microsoft.com/office/drawing/2010/main" val="0"/>
                            </a:ext>
                          </a:extLst>
                        </a:blip>
                        <a:srcRect l="4903" t="13919" r="4207" b="11569"/>
                        <a:stretch/>
                      </pic:blipFill>
                      <pic:spPr bwMode="auto">
                        <a:xfrm>
                          <a:off x="0" y="0"/>
                          <a:ext cx="3303563" cy="1081382"/>
                        </a:xfrm>
                        <a:prstGeom prst="rect">
                          <a:avLst/>
                        </a:prstGeom>
                        <a:noFill/>
                        <a:ln>
                          <a:noFill/>
                        </a:ln>
                        <a:extLst>
                          <a:ext uri="{53640926-AAD7-44D8-BBD7-CCE9431645EC}">
                            <a14:shadowObscured xmlns:a14="http://schemas.microsoft.com/office/drawing/2010/main"/>
                          </a:ext>
                        </a:extLst>
                      </pic:spPr>
                    </pic:pic>
                  </a:graphicData>
                </a:graphic>
              </wp:inline>
            </w:drawing>
          </w:r>
        </w:p>
        <w:p w14:paraId="516ACD5F" w14:textId="77777777" w:rsidR="0035517B" w:rsidRDefault="0035517B" w:rsidP="00260847">
          <w:pPr>
            <w:pStyle w:val="NoSpacing"/>
            <w:spacing w:before="120" w:after="120"/>
            <w:rPr>
              <w:rFonts w:ascii="Arial" w:hAnsi="Arial" w:cs="Arial"/>
              <w:bCs/>
              <w:sz w:val="28"/>
            </w:rPr>
          </w:pPr>
        </w:p>
        <w:p w14:paraId="09558D2E" w14:textId="77777777" w:rsidR="0035517B" w:rsidRDefault="0035517B" w:rsidP="00260847">
          <w:pPr>
            <w:pStyle w:val="NoSpacing"/>
            <w:spacing w:before="120" w:after="120"/>
            <w:rPr>
              <w:rFonts w:ascii="Arial" w:hAnsi="Arial" w:cs="Arial"/>
              <w:bCs/>
              <w:sz w:val="28"/>
            </w:rPr>
          </w:pPr>
        </w:p>
        <w:p w14:paraId="3215E51E" w14:textId="77777777" w:rsidR="0035517B" w:rsidRDefault="0035517B" w:rsidP="00260847">
          <w:pPr>
            <w:pStyle w:val="NoSpacing"/>
            <w:spacing w:before="120" w:after="120"/>
            <w:rPr>
              <w:rFonts w:ascii="Arial" w:hAnsi="Arial" w:cs="Arial"/>
              <w:bCs/>
              <w:sz w:val="28"/>
            </w:rPr>
          </w:pPr>
        </w:p>
        <w:p w14:paraId="0D038DB6" w14:textId="77777777" w:rsidR="0035517B" w:rsidRDefault="0035517B" w:rsidP="00260847">
          <w:pPr>
            <w:pStyle w:val="NoSpacing"/>
            <w:spacing w:before="120" w:after="120"/>
            <w:rPr>
              <w:rFonts w:ascii="Arial" w:hAnsi="Arial" w:cs="Arial"/>
              <w:bCs/>
              <w:sz w:val="28"/>
            </w:rPr>
          </w:pPr>
        </w:p>
        <w:p w14:paraId="5C60427A" w14:textId="77777777" w:rsidR="0035517B" w:rsidRDefault="0035517B" w:rsidP="00260847">
          <w:pPr>
            <w:pStyle w:val="NoSpacing"/>
            <w:spacing w:before="120" w:after="120"/>
            <w:rPr>
              <w:rFonts w:ascii="Arial" w:hAnsi="Arial" w:cs="Arial"/>
              <w:bCs/>
              <w:sz w:val="28"/>
            </w:rPr>
          </w:pPr>
        </w:p>
        <w:p w14:paraId="73E32778" w14:textId="77777777" w:rsidR="0035517B" w:rsidRDefault="0035517B" w:rsidP="00260847">
          <w:pPr>
            <w:pStyle w:val="NoSpacing"/>
            <w:spacing w:before="120" w:after="120"/>
            <w:rPr>
              <w:rFonts w:ascii="Arial" w:hAnsi="Arial" w:cs="Arial"/>
              <w:bCs/>
              <w:sz w:val="28"/>
            </w:rPr>
          </w:pPr>
        </w:p>
        <w:p w14:paraId="6C6E2F09" w14:textId="77777777" w:rsidR="0035517B" w:rsidRPr="00D42B69" w:rsidRDefault="00D42B69" w:rsidP="0035517B">
          <w:pPr>
            <w:pStyle w:val="Title"/>
            <w:rPr>
              <w:sz w:val="52"/>
              <w:szCs w:val="48"/>
            </w:rPr>
          </w:pPr>
          <w:r w:rsidRPr="00D42B69">
            <w:rPr>
              <w:sz w:val="52"/>
              <w:szCs w:val="48"/>
            </w:rPr>
            <w:t>Religious educational institutions and anti-discrimination laws</w:t>
          </w:r>
        </w:p>
        <w:p w14:paraId="4751F077" w14:textId="6922B7B3" w:rsidR="00CC2F9A" w:rsidRPr="00CC2F9A" w:rsidRDefault="00260847" w:rsidP="00CC2F9A">
          <w:pPr>
            <w:pStyle w:val="Heading2"/>
            <w:rPr>
              <w:sz w:val="32"/>
              <w:szCs w:val="22"/>
            </w:rPr>
          </w:pPr>
          <w:bookmarkStart w:id="0" w:name="_Toc128033977"/>
          <w:r w:rsidRPr="00D42B69">
            <w:rPr>
              <w:sz w:val="32"/>
              <w:szCs w:val="22"/>
            </w:rPr>
            <w:t xml:space="preserve">Submission to </w:t>
          </w:r>
          <w:r w:rsidR="00131175" w:rsidRPr="00D42B69">
            <w:rPr>
              <w:sz w:val="32"/>
              <w:szCs w:val="22"/>
            </w:rPr>
            <w:t>the Australian Law Reform Commission</w:t>
          </w:r>
          <w:bookmarkEnd w:id="0"/>
          <w:r w:rsidR="00CC2F9A">
            <w:rPr>
              <w:sz w:val="32"/>
              <w:szCs w:val="22"/>
            </w:rPr>
            <w:t xml:space="preserve"> in response to Consultation Paper</w:t>
          </w:r>
        </w:p>
        <w:p w14:paraId="1B6DFEF8" w14:textId="7152C484" w:rsidR="00260847" w:rsidRPr="00D42B69" w:rsidRDefault="00E35BB4" w:rsidP="0035517B">
          <w:pPr>
            <w:pStyle w:val="Heading2"/>
            <w:rPr>
              <w:sz w:val="32"/>
              <w:szCs w:val="22"/>
            </w:rPr>
          </w:pPr>
          <w:bookmarkStart w:id="1" w:name="_Toc128033978"/>
          <w:r>
            <w:rPr>
              <w:sz w:val="32"/>
              <w:szCs w:val="22"/>
            </w:rPr>
            <w:t>23</w:t>
          </w:r>
          <w:r w:rsidR="00195AEC">
            <w:rPr>
              <w:sz w:val="32"/>
              <w:szCs w:val="22"/>
            </w:rPr>
            <w:t xml:space="preserve"> February 2023</w:t>
          </w:r>
          <w:bookmarkEnd w:id="1"/>
        </w:p>
        <w:p w14:paraId="65DB1DA6" w14:textId="77777777" w:rsidR="00260847" w:rsidRDefault="00260847">
          <w:pPr>
            <w:rPr>
              <w:rFonts w:cs="Arial"/>
              <w:bCs/>
              <w:sz w:val="28"/>
              <w:szCs w:val="22"/>
              <w:lang w:val="en-US"/>
            </w:rPr>
          </w:pPr>
          <w:r>
            <w:rPr>
              <w:rFonts w:cs="Arial"/>
              <w:bCs/>
              <w:sz w:val="28"/>
            </w:rPr>
            <w:br w:type="page"/>
          </w:r>
        </w:p>
        <w:p w14:paraId="220D53EE" w14:textId="35BD5CDF" w:rsidR="004A2375" w:rsidRDefault="00E83976" w:rsidP="00E83976">
          <w:pPr>
            <w:pStyle w:val="NoSpacing"/>
            <w:tabs>
              <w:tab w:val="left" w:pos="3495"/>
            </w:tabs>
            <w:spacing w:before="120" w:after="120"/>
          </w:pPr>
          <w:r>
            <w:lastRenderedPageBreak/>
            <w:tab/>
          </w:r>
        </w:p>
        <w:p w14:paraId="74599724" w14:textId="77777777" w:rsidR="00A16356" w:rsidRPr="004A2375" w:rsidRDefault="00574D60">
          <w:pPr>
            <w:rPr>
              <w:rFonts w:eastAsiaTheme="majorEastAsia" w:cstheme="majorBidi"/>
              <w:b/>
              <w:color w:val="365F91" w:themeColor="accent1" w:themeShade="BF"/>
              <w:sz w:val="16"/>
              <w:szCs w:val="16"/>
            </w:rPr>
          </w:pPr>
        </w:p>
      </w:sdtContent>
    </w:sdt>
    <w:bookmarkStart w:id="2" w:name="_Toc128033979" w:displacedByCustomXml="next"/>
    <w:sdt>
      <w:sdtPr>
        <w:rPr>
          <w:rFonts w:asciiTheme="minorHAnsi" w:eastAsiaTheme="minorEastAsia" w:hAnsiTheme="minorHAnsi" w:cstheme="minorBidi"/>
          <w:color w:val="auto"/>
          <w:sz w:val="24"/>
          <w:szCs w:val="24"/>
          <w:lang w:val="en-US"/>
        </w:rPr>
        <w:id w:val="-331140652"/>
        <w:docPartObj>
          <w:docPartGallery w:val="Table of Contents"/>
          <w:docPartUnique/>
        </w:docPartObj>
      </w:sdtPr>
      <w:sdtEndPr>
        <w:rPr>
          <w:rFonts w:ascii="Arial" w:hAnsi="Arial" w:cs="Arial"/>
          <w:b/>
          <w:bCs/>
          <w:noProof/>
          <w:color w:val="000000" w:themeColor="text1"/>
          <w:sz w:val="22"/>
          <w:lang w:val="en-AU"/>
        </w:rPr>
      </w:sdtEndPr>
      <w:sdtContent>
        <w:p w14:paraId="2C083D6F" w14:textId="77777777" w:rsidR="00A16356" w:rsidRPr="00A16356" w:rsidRDefault="00260847" w:rsidP="00260847">
          <w:pPr>
            <w:pStyle w:val="Heading1"/>
          </w:pPr>
          <w:r>
            <w:t>Table of c</w:t>
          </w:r>
          <w:r w:rsidR="00A16356" w:rsidRPr="00A16356">
            <w:t>ontents</w:t>
          </w:r>
          <w:bookmarkEnd w:id="2"/>
        </w:p>
        <w:p w14:paraId="076F577A" w14:textId="4AE8A496" w:rsidR="004F74B3" w:rsidRDefault="00A16356">
          <w:pPr>
            <w:pStyle w:val="TOC2"/>
            <w:rPr>
              <w:rFonts w:asciiTheme="minorHAnsi" w:hAnsiTheme="minorHAnsi"/>
              <w:noProof/>
              <w:color w:val="auto"/>
              <w:szCs w:val="22"/>
              <w:lang w:eastAsia="en-AU"/>
            </w:rPr>
          </w:pPr>
          <w:r w:rsidRPr="00041E58">
            <w:rPr>
              <w:rFonts w:cs="Arial"/>
              <w:b/>
              <w:bCs/>
              <w:noProof/>
            </w:rPr>
            <w:fldChar w:fldCharType="begin"/>
          </w:r>
          <w:r w:rsidRPr="00041E58">
            <w:rPr>
              <w:rFonts w:cs="Arial"/>
              <w:b/>
              <w:bCs/>
              <w:noProof/>
            </w:rPr>
            <w:instrText xml:space="preserve"> TOC \o "1-3" \h \z \u </w:instrText>
          </w:r>
          <w:r w:rsidRPr="00041E58">
            <w:rPr>
              <w:rFonts w:cs="Arial"/>
              <w:b/>
              <w:bCs/>
              <w:noProof/>
            </w:rPr>
            <w:fldChar w:fldCharType="separate"/>
          </w:r>
        </w:p>
        <w:p w14:paraId="044E9F84" w14:textId="2FB1A34D" w:rsidR="004F74B3" w:rsidRDefault="00574D60">
          <w:pPr>
            <w:pStyle w:val="TOC1"/>
            <w:tabs>
              <w:tab w:val="right" w:leader="dot" w:pos="8296"/>
            </w:tabs>
            <w:rPr>
              <w:rFonts w:asciiTheme="minorHAnsi" w:hAnsiTheme="minorHAnsi"/>
              <w:noProof/>
              <w:color w:val="auto"/>
              <w:szCs w:val="22"/>
              <w:lang w:eastAsia="en-AU"/>
            </w:rPr>
          </w:pPr>
          <w:hyperlink w:anchor="_Toc128033979" w:history="1">
            <w:r w:rsidR="004F74B3" w:rsidRPr="00160F87">
              <w:rPr>
                <w:rStyle w:val="Hyperlink"/>
                <w:noProof/>
              </w:rPr>
              <w:t>Table of contents</w:t>
            </w:r>
            <w:r w:rsidR="004F74B3">
              <w:rPr>
                <w:noProof/>
                <w:webHidden/>
              </w:rPr>
              <w:tab/>
            </w:r>
            <w:r w:rsidR="004F74B3">
              <w:rPr>
                <w:noProof/>
                <w:webHidden/>
              </w:rPr>
              <w:fldChar w:fldCharType="begin"/>
            </w:r>
            <w:r w:rsidR="004F74B3">
              <w:rPr>
                <w:noProof/>
                <w:webHidden/>
              </w:rPr>
              <w:instrText xml:space="preserve"> PAGEREF _Toc128033979 \h </w:instrText>
            </w:r>
            <w:r w:rsidR="004F74B3">
              <w:rPr>
                <w:noProof/>
                <w:webHidden/>
              </w:rPr>
            </w:r>
            <w:r w:rsidR="004F74B3">
              <w:rPr>
                <w:noProof/>
                <w:webHidden/>
              </w:rPr>
              <w:fldChar w:fldCharType="separate"/>
            </w:r>
            <w:r w:rsidR="001D04BD">
              <w:rPr>
                <w:noProof/>
                <w:webHidden/>
              </w:rPr>
              <w:t>1</w:t>
            </w:r>
            <w:r w:rsidR="004F74B3">
              <w:rPr>
                <w:noProof/>
                <w:webHidden/>
              </w:rPr>
              <w:fldChar w:fldCharType="end"/>
            </w:r>
          </w:hyperlink>
        </w:p>
        <w:p w14:paraId="574A2C12" w14:textId="642B9EB3" w:rsidR="004F74B3" w:rsidRDefault="00574D60">
          <w:pPr>
            <w:pStyle w:val="TOC1"/>
            <w:tabs>
              <w:tab w:val="right" w:leader="dot" w:pos="8296"/>
            </w:tabs>
            <w:rPr>
              <w:rFonts w:asciiTheme="minorHAnsi" w:hAnsiTheme="minorHAnsi"/>
              <w:noProof/>
              <w:color w:val="auto"/>
              <w:szCs w:val="22"/>
              <w:lang w:eastAsia="en-AU"/>
            </w:rPr>
          </w:pPr>
          <w:hyperlink w:anchor="_Toc128033980" w:history="1">
            <w:r w:rsidR="004F74B3" w:rsidRPr="00160F87">
              <w:rPr>
                <w:rStyle w:val="Hyperlink"/>
                <w:noProof/>
              </w:rPr>
              <w:t>Summary and recommendations</w:t>
            </w:r>
            <w:r w:rsidR="004F74B3">
              <w:rPr>
                <w:noProof/>
                <w:webHidden/>
              </w:rPr>
              <w:tab/>
            </w:r>
            <w:r w:rsidR="004F74B3">
              <w:rPr>
                <w:noProof/>
                <w:webHidden/>
              </w:rPr>
              <w:fldChar w:fldCharType="begin"/>
            </w:r>
            <w:r w:rsidR="004F74B3">
              <w:rPr>
                <w:noProof/>
                <w:webHidden/>
              </w:rPr>
              <w:instrText xml:space="preserve"> PAGEREF _Toc128033980 \h </w:instrText>
            </w:r>
            <w:r w:rsidR="004F74B3">
              <w:rPr>
                <w:noProof/>
                <w:webHidden/>
              </w:rPr>
            </w:r>
            <w:r w:rsidR="004F74B3">
              <w:rPr>
                <w:noProof/>
                <w:webHidden/>
              </w:rPr>
              <w:fldChar w:fldCharType="separate"/>
            </w:r>
            <w:r w:rsidR="001D04BD">
              <w:rPr>
                <w:noProof/>
                <w:webHidden/>
              </w:rPr>
              <w:t>2</w:t>
            </w:r>
            <w:r w:rsidR="004F74B3">
              <w:rPr>
                <w:noProof/>
                <w:webHidden/>
              </w:rPr>
              <w:fldChar w:fldCharType="end"/>
            </w:r>
          </w:hyperlink>
        </w:p>
        <w:p w14:paraId="53899351" w14:textId="1C2C3079" w:rsidR="004F74B3" w:rsidRDefault="00574D60">
          <w:pPr>
            <w:pStyle w:val="TOC2"/>
            <w:rPr>
              <w:rFonts w:asciiTheme="minorHAnsi" w:hAnsiTheme="minorHAnsi"/>
              <w:noProof/>
              <w:color w:val="auto"/>
              <w:szCs w:val="22"/>
              <w:lang w:eastAsia="en-AU"/>
            </w:rPr>
          </w:pPr>
          <w:hyperlink w:anchor="_Toc128033981" w:history="1">
            <w:r w:rsidR="004F74B3" w:rsidRPr="00160F87">
              <w:rPr>
                <w:rStyle w:val="Hyperlink"/>
                <w:noProof/>
              </w:rPr>
              <w:t>Recommendations</w:t>
            </w:r>
            <w:r w:rsidR="004F74B3">
              <w:rPr>
                <w:noProof/>
                <w:webHidden/>
              </w:rPr>
              <w:tab/>
            </w:r>
            <w:r w:rsidR="004F74B3">
              <w:rPr>
                <w:noProof/>
                <w:webHidden/>
              </w:rPr>
              <w:fldChar w:fldCharType="begin"/>
            </w:r>
            <w:r w:rsidR="004F74B3">
              <w:rPr>
                <w:noProof/>
                <w:webHidden/>
              </w:rPr>
              <w:instrText xml:space="preserve"> PAGEREF _Toc128033981 \h </w:instrText>
            </w:r>
            <w:r w:rsidR="004F74B3">
              <w:rPr>
                <w:noProof/>
                <w:webHidden/>
              </w:rPr>
            </w:r>
            <w:r w:rsidR="004F74B3">
              <w:rPr>
                <w:noProof/>
                <w:webHidden/>
              </w:rPr>
              <w:fldChar w:fldCharType="separate"/>
            </w:r>
            <w:r w:rsidR="001D04BD">
              <w:rPr>
                <w:noProof/>
                <w:webHidden/>
              </w:rPr>
              <w:t>2</w:t>
            </w:r>
            <w:r w:rsidR="004F74B3">
              <w:rPr>
                <w:noProof/>
                <w:webHidden/>
              </w:rPr>
              <w:fldChar w:fldCharType="end"/>
            </w:r>
          </w:hyperlink>
        </w:p>
        <w:p w14:paraId="5FE57007" w14:textId="1874F4F6" w:rsidR="004F74B3" w:rsidRDefault="00574D60">
          <w:pPr>
            <w:pStyle w:val="TOC1"/>
            <w:tabs>
              <w:tab w:val="right" w:leader="dot" w:pos="8296"/>
            </w:tabs>
            <w:rPr>
              <w:rFonts w:asciiTheme="minorHAnsi" w:hAnsiTheme="minorHAnsi"/>
              <w:noProof/>
              <w:color w:val="auto"/>
              <w:szCs w:val="22"/>
              <w:lang w:eastAsia="en-AU"/>
            </w:rPr>
          </w:pPr>
          <w:hyperlink w:anchor="_Toc128033982" w:history="1">
            <w:r w:rsidR="004F74B3" w:rsidRPr="00160F87">
              <w:rPr>
                <w:rStyle w:val="Hyperlink"/>
                <w:noProof/>
                <w:lang w:eastAsia="en-AU"/>
              </w:rPr>
              <w:t>Introduction</w:t>
            </w:r>
            <w:r w:rsidR="004F74B3">
              <w:rPr>
                <w:noProof/>
                <w:webHidden/>
              </w:rPr>
              <w:tab/>
            </w:r>
            <w:r w:rsidR="004F74B3">
              <w:rPr>
                <w:noProof/>
                <w:webHidden/>
              </w:rPr>
              <w:fldChar w:fldCharType="begin"/>
            </w:r>
            <w:r w:rsidR="004F74B3">
              <w:rPr>
                <w:noProof/>
                <w:webHidden/>
              </w:rPr>
              <w:instrText xml:space="preserve"> PAGEREF _Toc128033982 \h </w:instrText>
            </w:r>
            <w:r w:rsidR="004F74B3">
              <w:rPr>
                <w:noProof/>
                <w:webHidden/>
              </w:rPr>
            </w:r>
            <w:r w:rsidR="004F74B3">
              <w:rPr>
                <w:noProof/>
                <w:webHidden/>
              </w:rPr>
              <w:fldChar w:fldCharType="separate"/>
            </w:r>
            <w:r w:rsidR="001D04BD">
              <w:rPr>
                <w:noProof/>
                <w:webHidden/>
              </w:rPr>
              <w:t>3</w:t>
            </w:r>
            <w:r w:rsidR="004F74B3">
              <w:rPr>
                <w:noProof/>
                <w:webHidden/>
              </w:rPr>
              <w:fldChar w:fldCharType="end"/>
            </w:r>
          </w:hyperlink>
        </w:p>
        <w:p w14:paraId="0007A213" w14:textId="735D27E9" w:rsidR="004F74B3" w:rsidRDefault="00574D60">
          <w:pPr>
            <w:pStyle w:val="TOC1"/>
            <w:tabs>
              <w:tab w:val="right" w:leader="dot" w:pos="8296"/>
            </w:tabs>
            <w:rPr>
              <w:rFonts w:asciiTheme="minorHAnsi" w:hAnsiTheme="minorHAnsi"/>
              <w:noProof/>
              <w:color w:val="auto"/>
              <w:szCs w:val="22"/>
              <w:lang w:eastAsia="en-AU"/>
            </w:rPr>
          </w:pPr>
          <w:hyperlink w:anchor="_Toc128033983" w:history="1">
            <w:r w:rsidR="004F74B3" w:rsidRPr="00160F87">
              <w:rPr>
                <w:rStyle w:val="Hyperlink"/>
                <w:noProof/>
                <w:lang w:eastAsia="en-AU"/>
              </w:rPr>
              <w:t>Queensland experience</w:t>
            </w:r>
            <w:r w:rsidR="004F74B3">
              <w:rPr>
                <w:noProof/>
                <w:webHidden/>
              </w:rPr>
              <w:tab/>
            </w:r>
            <w:r w:rsidR="004F74B3">
              <w:rPr>
                <w:noProof/>
                <w:webHidden/>
              </w:rPr>
              <w:fldChar w:fldCharType="begin"/>
            </w:r>
            <w:r w:rsidR="004F74B3">
              <w:rPr>
                <w:noProof/>
                <w:webHidden/>
              </w:rPr>
              <w:instrText xml:space="preserve"> PAGEREF _Toc128033983 \h </w:instrText>
            </w:r>
            <w:r w:rsidR="004F74B3">
              <w:rPr>
                <w:noProof/>
                <w:webHidden/>
              </w:rPr>
            </w:r>
            <w:r w:rsidR="004F74B3">
              <w:rPr>
                <w:noProof/>
                <w:webHidden/>
              </w:rPr>
              <w:fldChar w:fldCharType="separate"/>
            </w:r>
            <w:r w:rsidR="001D04BD">
              <w:rPr>
                <w:noProof/>
                <w:webHidden/>
              </w:rPr>
              <w:t>3</w:t>
            </w:r>
            <w:r w:rsidR="004F74B3">
              <w:rPr>
                <w:noProof/>
                <w:webHidden/>
              </w:rPr>
              <w:fldChar w:fldCharType="end"/>
            </w:r>
          </w:hyperlink>
        </w:p>
        <w:p w14:paraId="3FE16B19" w14:textId="06F0293E" w:rsidR="004F74B3" w:rsidRDefault="00574D60">
          <w:pPr>
            <w:pStyle w:val="TOC2"/>
            <w:rPr>
              <w:rFonts w:asciiTheme="minorHAnsi" w:hAnsiTheme="minorHAnsi"/>
              <w:noProof/>
              <w:color w:val="auto"/>
              <w:szCs w:val="22"/>
              <w:lang w:eastAsia="en-AU"/>
            </w:rPr>
          </w:pPr>
          <w:hyperlink w:anchor="_Toc128033984" w:history="1">
            <w:r w:rsidR="004F74B3" w:rsidRPr="00160F87">
              <w:rPr>
                <w:rStyle w:val="Hyperlink"/>
                <w:noProof/>
                <w:lang w:eastAsia="en-AU"/>
              </w:rPr>
              <w:t>Overview of Queensland anti-discrimination laws</w:t>
            </w:r>
            <w:r w:rsidR="004F74B3">
              <w:rPr>
                <w:noProof/>
                <w:webHidden/>
              </w:rPr>
              <w:tab/>
            </w:r>
            <w:r w:rsidR="004F74B3">
              <w:rPr>
                <w:noProof/>
                <w:webHidden/>
              </w:rPr>
              <w:fldChar w:fldCharType="begin"/>
            </w:r>
            <w:r w:rsidR="004F74B3">
              <w:rPr>
                <w:noProof/>
                <w:webHidden/>
              </w:rPr>
              <w:instrText xml:space="preserve"> PAGEREF _Toc128033984 \h </w:instrText>
            </w:r>
            <w:r w:rsidR="004F74B3">
              <w:rPr>
                <w:noProof/>
                <w:webHidden/>
              </w:rPr>
            </w:r>
            <w:r w:rsidR="004F74B3">
              <w:rPr>
                <w:noProof/>
                <w:webHidden/>
              </w:rPr>
              <w:fldChar w:fldCharType="separate"/>
            </w:r>
            <w:r w:rsidR="001D04BD">
              <w:rPr>
                <w:noProof/>
                <w:webHidden/>
              </w:rPr>
              <w:t>3</w:t>
            </w:r>
            <w:r w:rsidR="004F74B3">
              <w:rPr>
                <w:noProof/>
                <w:webHidden/>
              </w:rPr>
              <w:fldChar w:fldCharType="end"/>
            </w:r>
          </w:hyperlink>
        </w:p>
        <w:p w14:paraId="45D680C4" w14:textId="0FFD4CDF" w:rsidR="004F74B3" w:rsidRDefault="00574D60">
          <w:pPr>
            <w:pStyle w:val="TOC3"/>
            <w:tabs>
              <w:tab w:val="right" w:leader="dot" w:pos="8296"/>
            </w:tabs>
            <w:rPr>
              <w:rFonts w:asciiTheme="minorHAnsi" w:hAnsiTheme="minorHAnsi"/>
              <w:noProof/>
              <w:color w:val="auto"/>
              <w:szCs w:val="22"/>
              <w:lang w:eastAsia="en-AU"/>
            </w:rPr>
          </w:pPr>
          <w:hyperlink w:anchor="_Toc128033985" w:history="1">
            <w:r w:rsidR="004F74B3" w:rsidRPr="00160F87">
              <w:rPr>
                <w:rStyle w:val="Hyperlink"/>
                <w:noProof/>
                <w:lang w:eastAsia="en-AU"/>
              </w:rPr>
              <w:t>Students</w:t>
            </w:r>
            <w:r w:rsidR="004F74B3">
              <w:rPr>
                <w:noProof/>
                <w:webHidden/>
              </w:rPr>
              <w:tab/>
            </w:r>
            <w:r w:rsidR="004F74B3">
              <w:rPr>
                <w:noProof/>
                <w:webHidden/>
              </w:rPr>
              <w:fldChar w:fldCharType="begin"/>
            </w:r>
            <w:r w:rsidR="004F74B3">
              <w:rPr>
                <w:noProof/>
                <w:webHidden/>
              </w:rPr>
              <w:instrText xml:space="preserve"> PAGEREF _Toc128033985 \h </w:instrText>
            </w:r>
            <w:r w:rsidR="004F74B3">
              <w:rPr>
                <w:noProof/>
                <w:webHidden/>
              </w:rPr>
            </w:r>
            <w:r w:rsidR="004F74B3">
              <w:rPr>
                <w:noProof/>
                <w:webHidden/>
              </w:rPr>
              <w:fldChar w:fldCharType="separate"/>
            </w:r>
            <w:r w:rsidR="001D04BD">
              <w:rPr>
                <w:noProof/>
                <w:webHidden/>
              </w:rPr>
              <w:t>3</w:t>
            </w:r>
            <w:r w:rsidR="004F74B3">
              <w:rPr>
                <w:noProof/>
                <w:webHidden/>
              </w:rPr>
              <w:fldChar w:fldCharType="end"/>
            </w:r>
          </w:hyperlink>
        </w:p>
        <w:p w14:paraId="5116A8C8" w14:textId="15B30633" w:rsidR="004F74B3" w:rsidRDefault="00574D60">
          <w:pPr>
            <w:pStyle w:val="TOC3"/>
            <w:tabs>
              <w:tab w:val="right" w:leader="dot" w:pos="8296"/>
            </w:tabs>
            <w:rPr>
              <w:rFonts w:asciiTheme="minorHAnsi" w:hAnsiTheme="minorHAnsi"/>
              <w:noProof/>
              <w:color w:val="auto"/>
              <w:szCs w:val="22"/>
              <w:lang w:eastAsia="en-AU"/>
            </w:rPr>
          </w:pPr>
          <w:hyperlink w:anchor="_Toc128033986" w:history="1">
            <w:r w:rsidR="004F74B3" w:rsidRPr="00160F87">
              <w:rPr>
                <w:rStyle w:val="Hyperlink"/>
                <w:noProof/>
                <w:lang w:eastAsia="en-AU"/>
              </w:rPr>
              <w:t>Staff</w:t>
            </w:r>
            <w:r w:rsidR="004F74B3">
              <w:rPr>
                <w:noProof/>
                <w:webHidden/>
              </w:rPr>
              <w:tab/>
            </w:r>
            <w:r w:rsidR="004F74B3">
              <w:rPr>
                <w:noProof/>
                <w:webHidden/>
              </w:rPr>
              <w:fldChar w:fldCharType="begin"/>
            </w:r>
            <w:r w:rsidR="004F74B3">
              <w:rPr>
                <w:noProof/>
                <w:webHidden/>
              </w:rPr>
              <w:instrText xml:space="preserve"> PAGEREF _Toc128033986 \h </w:instrText>
            </w:r>
            <w:r w:rsidR="004F74B3">
              <w:rPr>
                <w:noProof/>
                <w:webHidden/>
              </w:rPr>
            </w:r>
            <w:r w:rsidR="004F74B3">
              <w:rPr>
                <w:noProof/>
                <w:webHidden/>
              </w:rPr>
              <w:fldChar w:fldCharType="separate"/>
            </w:r>
            <w:r w:rsidR="001D04BD">
              <w:rPr>
                <w:noProof/>
                <w:webHidden/>
              </w:rPr>
              <w:t>4</w:t>
            </w:r>
            <w:r w:rsidR="004F74B3">
              <w:rPr>
                <w:noProof/>
                <w:webHidden/>
              </w:rPr>
              <w:fldChar w:fldCharType="end"/>
            </w:r>
          </w:hyperlink>
        </w:p>
        <w:p w14:paraId="6D55E8BB" w14:textId="24E64CE4" w:rsidR="004F74B3" w:rsidRDefault="00574D60">
          <w:pPr>
            <w:pStyle w:val="TOC2"/>
            <w:rPr>
              <w:rFonts w:asciiTheme="minorHAnsi" w:hAnsiTheme="minorHAnsi"/>
              <w:noProof/>
              <w:color w:val="auto"/>
              <w:szCs w:val="22"/>
              <w:lang w:eastAsia="en-AU"/>
            </w:rPr>
          </w:pPr>
          <w:hyperlink w:anchor="_Toc128033987" w:history="1">
            <w:r w:rsidR="004F74B3" w:rsidRPr="00160F87">
              <w:rPr>
                <w:rStyle w:val="Hyperlink"/>
                <w:noProof/>
                <w:lang w:eastAsia="en-AU"/>
              </w:rPr>
              <w:t>Complaints data</w:t>
            </w:r>
            <w:r w:rsidR="004F74B3">
              <w:rPr>
                <w:noProof/>
                <w:webHidden/>
              </w:rPr>
              <w:tab/>
            </w:r>
            <w:r w:rsidR="004F74B3">
              <w:rPr>
                <w:noProof/>
                <w:webHidden/>
              </w:rPr>
              <w:fldChar w:fldCharType="begin"/>
            </w:r>
            <w:r w:rsidR="004F74B3">
              <w:rPr>
                <w:noProof/>
                <w:webHidden/>
              </w:rPr>
              <w:instrText xml:space="preserve"> PAGEREF _Toc128033987 \h </w:instrText>
            </w:r>
            <w:r w:rsidR="004F74B3">
              <w:rPr>
                <w:noProof/>
                <w:webHidden/>
              </w:rPr>
            </w:r>
            <w:r w:rsidR="004F74B3">
              <w:rPr>
                <w:noProof/>
                <w:webHidden/>
              </w:rPr>
              <w:fldChar w:fldCharType="separate"/>
            </w:r>
            <w:r w:rsidR="001D04BD">
              <w:rPr>
                <w:noProof/>
                <w:webHidden/>
              </w:rPr>
              <w:t>5</w:t>
            </w:r>
            <w:r w:rsidR="004F74B3">
              <w:rPr>
                <w:noProof/>
                <w:webHidden/>
              </w:rPr>
              <w:fldChar w:fldCharType="end"/>
            </w:r>
          </w:hyperlink>
        </w:p>
        <w:p w14:paraId="13CE333D" w14:textId="26EC06E0" w:rsidR="004F74B3" w:rsidRDefault="00574D60">
          <w:pPr>
            <w:pStyle w:val="TOC3"/>
            <w:tabs>
              <w:tab w:val="right" w:leader="dot" w:pos="8296"/>
            </w:tabs>
            <w:rPr>
              <w:rFonts w:asciiTheme="minorHAnsi" w:hAnsiTheme="minorHAnsi"/>
              <w:noProof/>
              <w:color w:val="auto"/>
              <w:szCs w:val="22"/>
              <w:lang w:eastAsia="en-AU"/>
            </w:rPr>
          </w:pPr>
          <w:hyperlink w:anchor="_Toc128033988" w:history="1">
            <w:r w:rsidR="004F74B3" w:rsidRPr="00160F87">
              <w:rPr>
                <w:rStyle w:val="Hyperlink"/>
                <w:noProof/>
                <w:lang w:eastAsia="en-AU"/>
              </w:rPr>
              <w:t>Complaints by or on behalf of students</w:t>
            </w:r>
            <w:r w:rsidR="004F74B3">
              <w:rPr>
                <w:noProof/>
                <w:webHidden/>
              </w:rPr>
              <w:tab/>
            </w:r>
            <w:r w:rsidR="004F74B3">
              <w:rPr>
                <w:noProof/>
                <w:webHidden/>
              </w:rPr>
              <w:fldChar w:fldCharType="begin"/>
            </w:r>
            <w:r w:rsidR="004F74B3">
              <w:rPr>
                <w:noProof/>
                <w:webHidden/>
              </w:rPr>
              <w:instrText xml:space="preserve"> PAGEREF _Toc128033988 \h </w:instrText>
            </w:r>
            <w:r w:rsidR="004F74B3">
              <w:rPr>
                <w:noProof/>
                <w:webHidden/>
              </w:rPr>
            </w:r>
            <w:r w:rsidR="004F74B3">
              <w:rPr>
                <w:noProof/>
                <w:webHidden/>
              </w:rPr>
              <w:fldChar w:fldCharType="separate"/>
            </w:r>
            <w:r w:rsidR="001D04BD">
              <w:rPr>
                <w:noProof/>
                <w:webHidden/>
              </w:rPr>
              <w:t>5</w:t>
            </w:r>
            <w:r w:rsidR="004F74B3">
              <w:rPr>
                <w:noProof/>
                <w:webHidden/>
              </w:rPr>
              <w:fldChar w:fldCharType="end"/>
            </w:r>
          </w:hyperlink>
        </w:p>
        <w:p w14:paraId="689074D0" w14:textId="25AFE5E4" w:rsidR="004F74B3" w:rsidRDefault="00574D60">
          <w:pPr>
            <w:pStyle w:val="TOC3"/>
            <w:tabs>
              <w:tab w:val="right" w:leader="dot" w:pos="8296"/>
            </w:tabs>
            <w:rPr>
              <w:rFonts w:asciiTheme="minorHAnsi" w:hAnsiTheme="minorHAnsi"/>
              <w:noProof/>
              <w:color w:val="auto"/>
              <w:szCs w:val="22"/>
              <w:lang w:eastAsia="en-AU"/>
            </w:rPr>
          </w:pPr>
          <w:hyperlink w:anchor="_Toc128033989" w:history="1">
            <w:r w:rsidR="004F74B3" w:rsidRPr="00160F87">
              <w:rPr>
                <w:rStyle w:val="Hyperlink"/>
                <w:noProof/>
                <w:lang w:eastAsia="en-AU"/>
              </w:rPr>
              <w:t>Complaints by employees</w:t>
            </w:r>
            <w:r w:rsidR="004F74B3">
              <w:rPr>
                <w:noProof/>
                <w:webHidden/>
              </w:rPr>
              <w:tab/>
            </w:r>
            <w:r w:rsidR="004F74B3">
              <w:rPr>
                <w:noProof/>
                <w:webHidden/>
              </w:rPr>
              <w:fldChar w:fldCharType="begin"/>
            </w:r>
            <w:r w:rsidR="004F74B3">
              <w:rPr>
                <w:noProof/>
                <w:webHidden/>
              </w:rPr>
              <w:instrText xml:space="preserve"> PAGEREF _Toc128033989 \h </w:instrText>
            </w:r>
            <w:r w:rsidR="004F74B3">
              <w:rPr>
                <w:noProof/>
                <w:webHidden/>
              </w:rPr>
            </w:r>
            <w:r w:rsidR="004F74B3">
              <w:rPr>
                <w:noProof/>
                <w:webHidden/>
              </w:rPr>
              <w:fldChar w:fldCharType="separate"/>
            </w:r>
            <w:r w:rsidR="001D04BD">
              <w:rPr>
                <w:noProof/>
                <w:webHidden/>
              </w:rPr>
              <w:t>6</w:t>
            </w:r>
            <w:r w:rsidR="004F74B3">
              <w:rPr>
                <w:noProof/>
                <w:webHidden/>
              </w:rPr>
              <w:fldChar w:fldCharType="end"/>
            </w:r>
          </w:hyperlink>
        </w:p>
        <w:p w14:paraId="08DE3E9C" w14:textId="41ABAD90" w:rsidR="004F74B3" w:rsidRDefault="00574D60">
          <w:pPr>
            <w:pStyle w:val="TOC1"/>
            <w:tabs>
              <w:tab w:val="right" w:leader="dot" w:pos="8296"/>
            </w:tabs>
            <w:rPr>
              <w:rFonts w:asciiTheme="minorHAnsi" w:hAnsiTheme="minorHAnsi"/>
              <w:noProof/>
              <w:color w:val="auto"/>
              <w:szCs w:val="22"/>
              <w:lang w:eastAsia="en-AU"/>
            </w:rPr>
          </w:pPr>
          <w:hyperlink w:anchor="_Toc128033990" w:history="1">
            <w:r w:rsidR="004F74B3" w:rsidRPr="00160F87">
              <w:rPr>
                <w:rStyle w:val="Hyperlink"/>
                <w:noProof/>
                <w:lang w:eastAsia="en-AU"/>
              </w:rPr>
              <w:t>Human rights considerations</w:t>
            </w:r>
            <w:r w:rsidR="004F74B3">
              <w:rPr>
                <w:noProof/>
                <w:webHidden/>
              </w:rPr>
              <w:tab/>
            </w:r>
            <w:r w:rsidR="004F74B3">
              <w:rPr>
                <w:noProof/>
                <w:webHidden/>
              </w:rPr>
              <w:fldChar w:fldCharType="begin"/>
            </w:r>
            <w:r w:rsidR="004F74B3">
              <w:rPr>
                <w:noProof/>
                <w:webHidden/>
              </w:rPr>
              <w:instrText xml:space="preserve"> PAGEREF _Toc128033990 \h </w:instrText>
            </w:r>
            <w:r w:rsidR="004F74B3">
              <w:rPr>
                <w:noProof/>
                <w:webHidden/>
              </w:rPr>
            </w:r>
            <w:r w:rsidR="004F74B3">
              <w:rPr>
                <w:noProof/>
                <w:webHidden/>
              </w:rPr>
              <w:fldChar w:fldCharType="separate"/>
            </w:r>
            <w:r w:rsidR="001D04BD">
              <w:rPr>
                <w:noProof/>
                <w:webHidden/>
              </w:rPr>
              <w:t>6</w:t>
            </w:r>
            <w:r w:rsidR="004F74B3">
              <w:rPr>
                <w:noProof/>
                <w:webHidden/>
              </w:rPr>
              <w:fldChar w:fldCharType="end"/>
            </w:r>
          </w:hyperlink>
        </w:p>
        <w:p w14:paraId="5114A17D" w14:textId="75B705F7" w:rsidR="004F74B3" w:rsidRDefault="00574D60">
          <w:pPr>
            <w:pStyle w:val="TOC2"/>
            <w:rPr>
              <w:rFonts w:asciiTheme="minorHAnsi" w:hAnsiTheme="minorHAnsi"/>
              <w:noProof/>
              <w:color w:val="auto"/>
              <w:szCs w:val="22"/>
              <w:lang w:eastAsia="en-AU"/>
            </w:rPr>
          </w:pPr>
          <w:hyperlink w:anchor="_Toc128033991" w:history="1">
            <w:r w:rsidR="004F74B3" w:rsidRPr="00160F87">
              <w:rPr>
                <w:rStyle w:val="Hyperlink"/>
                <w:noProof/>
              </w:rPr>
              <w:t>External affairs power</w:t>
            </w:r>
            <w:r w:rsidR="004F74B3">
              <w:rPr>
                <w:noProof/>
                <w:webHidden/>
              </w:rPr>
              <w:tab/>
            </w:r>
            <w:r w:rsidR="004F74B3">
              <w:rPr>
                <w:noProof/>
                <w:webHidden/>
              </w:rPr>
              <w:fldChar w:fldCharType="begin"/>
            </w:r>
            <w:r w:rsidR="004F74B3">
              <w:rPr>
                <w:noProof/>
                <w:webHidden/>
              </w:rPr>
              <w:instrText xml:space="preserve"> PAGEREF _Toc128033991 \h </w:instrText>
            </w:r>
            <w:r w:rsidR="004F74B3">
              <w:rPr>
                <w:noProof/>
                <w:webHidden/>
              </w:rPr>
            </w:r>
            <w:r w:rsidR="004F74B3">
              <w:rPr>
                <w:noProof/>
                <w:webHidden/>
              </w:rPr>
              <w:fldChar w:fldCharType="separate"/>
            </w:r>
            <w:r w:rsidR="001D04BD">
              <w:rPr>
                <w:noProof/>
                <w:webHidden/>
              </w:rPr>
              <w:t>7</w:t>
            </w:r>
            <w:r w:rsidR="004F74B3">
              <w:rPr>
                <w:noProof/>
                <w:webHidden/>
              </w:rPr>
              <w:fldChar w:fldCharType="end"/>
            </w:r>
          </w:hyperlink>
        </w:p>
        <w:p w14:paraId="1F8428CE" w14:textId="2D1AFEA1" w:rsidR="004F74B3" w:rsidRDefault="00574D60">
          <w:pPr>
            <w:pStyle w:val="TOC1"/>
            <w:tabs>
              <w:tab w:val="right" w:leader="dot" w:pos="8296"/>
            </w:tabs>
            <w:rPr>
              <w:rFonts w:asciiTheme="minorHAnsi" w:hAnsiTheme="minorHAnsi"/>
              <w:noProof/>
              <w:color w:val="auto"/>
              <w:szCs w:val="22"/>
              <w:lang w:eastAsia="en-AU"/>
            </w:rPr>
          </w:pPr>
          <w:hyperlink w:anchor="_Toc128033992" w:history="1">
            <w:r w:rsidR="004F74B3" w:rsidRPr="00160F87">
              <w:rPr>
                <w:rStyle w:val="Hyperlink"/>
                <w:noProof/>
                <w:lang w:eastAsia="en-AU"/>
              </w:rPr>
              <w:t>Comments on propositions and technical proposals</w:t>
            </w:r>
            <w:r w:rsidR="004F74B3">
              <w:rPr>
                <w:noProof/>
                <w:webHidden/>
              </w:rPr>
              <w:tab/>
            </w:r>
            <w:r w:rsidR="004F74B3">
              <w:rPr>
                <w:noProof/>
                <w:webHidden/>
              </w:rPr>
              <w:fldChar w:fldCharType="begin"/>
            </w:r>
            <w:r w:rsidR="004F74B3">
              <w:rPr>
                <w:noProof/>
                <w:webHidden/>
              </w:rPr>
              <w:instrText xml:space="preserve"> PAGEREF _Toc128033992 \h </w:instrText>
            </w:r>
            <w:r w:rsidR="004F74B3">
              <w:rPr>
                <w:noProof/>
                <w:webHidden/>
              </w:rPr>
            </w:r>
            <w:r w:rsidR="004F74B3">
              <w:rPr>
                <w:noProof/>
                <w:webHidden/>
              </w:rPr>
              <w:fldChar w:fldCharType="separate"/>
            </w:r>
            <w:r w:rsidR="001D04BD">
              <w:rPr>
                <w:noProof/>
                <w:webHidden/>
              </w:rPr>
              <w:t>8</w:t>
            </w:r>
            <w:r w:rsidR="004F74B3">
              <w:rPr>
                <w:noProof/>
                <w:webHidden/>
              </w:rPr>
              <w:fldChar w:fldCharType="end"/>
            </w:r>
          </w:hyperlink>
        </w:p>
        <w:p w14:paraId="2C1E2BFF" w14:textId="49794072" w:rsidR="004F74B3" w:rsidRDefault="00574D60">
          <w:pPr>
            <w:pStyle w:val="TOC2"/>
            <w:rPr>
              <w:rFonts w:asciiTheme="minorHAnsi" w:hAnsiTheme="minorHAnsi"/>
              <w:noProof/>
              <w:color w:val="auto"/>
              <w:szCs w:val="22"/>
              <w:lang w:eastAsia="en-AU"/>
            </w:rPr>
          </w:pPr>
          <w:hyperlink w:anchor="_Toc128033993" w:history="1">
            <w:r w:rsidR="004F74B3" w:rsidRPr="00160F87">
              <w:rPr>
                <w:rStyle w:val="Hyperlink"/>
                <w:noProof/>
                <w:lang w:eastAsia="en-AU"/>
              </w:rPr>
              <w:t>Proposition A – students</w:t>
            </w:r>
            <w:r w:rsidR="004F74B3">
              <w:rPr>
                <w:noProof/>
                <w:webHidden/>
              </w:rPr>
              <w:tab/>
            </w:r>
            <w:r w:rsidR="004F74B3">
              <w:rPr>
                <w:noProof/>
                <w:webHidden/>
              </w:rPr>
              <w:fldChar w:fldCharType="begin"/>
            </w:r>
            <w:r w:rsidR="004F74B3">
              <w:rPr>
                <w:noProof/>
                <w:webHidden/>
              </w:rPr>
              <w:instrText xml:space="preserve"> PAGEREF _Toc128033993 \h </w:instrText>
            </w:r>
            <w:r w:rsidR="004F74B3">
              <w:rPr>
                <w:noProof/>
                <w:webHidden/>
              </w:rPr>
            </w:r>
            <w:r w:rsidR="004F74B3">
              <w:rPr>
                <w:noProof/>
                <w:webHidden/>
              </w:rPr>
              <w:fldChar w:fldCharType="separate"/>
            </w:r>
            <w:r w:rsidR="001D04BD">
              <w:rPr>
                <w:noProof/>
                <w:webHidden/>
              </w:rPr>
              <w:t>8</w:t>
            </w:r>
            <w:r w:rsidR="004F74B3">
              <w:rPr>
                <w:noProof/>
                <w:webHidden/>
              </w:rPr>
              <w:fldChar w:fldCharType="end"/>
            </w:r>
          </w:hyperlink>
        </w:p>
        <w:p w14:paraId="1C8AA237" w14:textId="5945B4E8" w:rsidR="004F74B3" w:rsidRDefault="00574D60">
          <w:pPr>
            <w:pStyle w:val="TOC3"/>
            <w:tabs>
              <w:tab w:val="right" w:leader="dot" w:pos="8296"/>
            </w:tabs>
            <w:rPr>
              <w:rFonts w:asciiTheme="minorHAnsi" w:hAnsiTheme="minorHAnsi"/>
              <w:noProof/>
              <w:color w:val="auto"/>
              <w:szCs w:val="22"/>
              <w:lang w:eastAsia="en-AU"/>
            </w:rPr>
          </w:pPr>
          <w:hyperlink w:anchor="_Toc128033994" w:history="1">
            <w:r w:rsidR="004F74B3" w:rsidRPr="00160F87">
              <w:rPr>
                <w:rStyle w:val="Hyperlink"/>
                <w:noProof/>
                <w:lang w:eastAsia="en-AU"/>
              </w:rPr>
              <w:t>Educational institutions or authorities</w:t>
            </w:r>
            <w:r w:rsidR="004F74B3">
              <w:rPr>
                <w:noProof/>
                <w:webHidden/>
              </w:rPr>
              <w:tab/>
            </w:r>
            <w:r w:rsidR="004F74B3">
              <w:rPr>
                <w:noProof/>
                <w:webHidden/>
              </w:rPr>
              <w:fldChar w:fldCharType="begin"/>
            </w:r>
            <w:r w:rsidR="004F74B3">
              <w:rPr>
                <w:noProof/>
                <w:webHidden/>
              </w:rPr>
              <w:instrText xml:space="preserve"> PAGEREF _Toc128033994 \h </w:instrText>
            </w:r>
            <w:r w:rsidR="004F74B3">
              <w:rPr>
                <w:noProof/>
                <w:webHidden/>
              </w:rPr>
            </w:r>
            <w:r w:rsidR="004F74B3">
              <w:rPr>
                <w:noProof/>
                <w:webHidden/>
              </w:rPr>
              <w:fldChar w:fldCharType="separate"/>
            </w:r>
            <w:r w:rsidR="001D04BD">
              <w:rPr>
                <w:noProof/>
                <w:webHidden/>
              </w:rPr>
              <w:t>8</w:t>
            </w:r>
            <w:r w:rsidR="004F74B3">
              <w:rPr>
                <w:noProof/>
                <w:webHidden/>
              </w:rPr>
              <w:fldChar w:fldCharType="end"/>
            </w:r>
          </w:hyperlink>
        </w:p>
        <w:p w14:paraId="0D7DE3E3" w14:textId="6910D2AB" w:rsidR="004F74B3" w:rsidRDefault="00574D60">
          <w:pPr>
            <w:pStyle w:val="TOC3"/>
            <w:tabs>
              <w:tab w:val="right" w:leader="dot" w:pos="8296"/>
            </w:tabs>
            <w:rPr>
              <w:rFonts w:asciiTheme="minorHAnsi" w:hAnsiTheme="minorHAnsi"/>
              <w:noProof/>
              <w:color w:val="auto"/>
              <w:szCs w:val="22"/>
              <w:lang w:eastAsia="en-AU"/>
            </w:rPr>
          </w:pPr>
          <w:hyperlink w:anchor="_Toc128033995" w:history="1">
            <w:r w:rsidR="004F74B3" w:rsidRPr="00160F87">
              <w:rPr>
                <w:rStyle w:val="Hyperlink"/>
                <w:noProof/>
                <w:lang w:eastAsia="en-AU"/>
              </w:rPr>
              <w:t>Association with students</w:t>
            </w:r>
            <w:r w:rsidR="004F74B3">
              <w:rPr>
                <w:noProof/>
                <w:webHidden/>
              </w:rPr>
              <w:tab/>
            </w:r>
            <w:r w:rsidR="004F74B3">
              <w:rPr>
                <w:noProof/>
                <w:webHidden/>
              </w:rPr>
              <w:fldChar w:fldCharType="begin"/>
            </w:r>
            <w:r w:rsidR="004F74B3">
              <w:rPr>
                <w:noProof/>
                <w:webHidden/>
              </w:rPr>
              <w:instrText xml:space="preserve"> PAGEREF _Toc128033995 \h </w:instrText>
            </w:r>
            <w:r w:rsidR="004F74B3">
              <w:rPr>
                <w:noProof/>
                <w:webHidden/>
              </w:rPr>
            </w:r>
            <w:r w:rsidR="004F74B3">
              <w:rPr>
                <w:noProof/>
                <w:webHidden/>
              </w:rPr>
              <w:fldChar w:fldCharType="separate"/>
            </w:r>
            <w:r w:rsidR="001D04BD">
              <w:rPr>
                <w:noProof/>
                <w:webHidden/>
              </w:rPr>
              <w:t>8</w:t>
            </w:r>
            <w:r w:rsidR="004F74B3">
              <w:rPr>
                <w:noProof/>
                <w:webHidden/>
              </w:rPr>
              <w:fldChar w:fldCharType="end"/>
            </w:r>
          </w:hyperlink>
        </w:p>
        <w:p w14:paraId="319C2F04" w14:textId="4A45CDA7" w:rsidR="004F74B3" w:rsidRDefault="00574D60">
          <w:pPr>
            <w:pStyle w:val="TOC3"/>
            <w:tabs>
              <w:tab w:val="right" w:leader="dot" w:pos="8296"/>
            </w:tabs>
            <w:rPr>
              <w:rFonts w:asciiTheme="minorHAnsi" w:hAnsiTheme="minorHAnsi"/>
              <w:noProof/>
              <w:color w:val="auto"/>
              <w:szCs w:val="22"/>
              <w:lang w:eastAsia="en-AU"/>
            </w:rPr>
          </w:pPr>
          <w:hyperlink w:anchor="_Toc128033996" w:history="1">
            <w:r w:rsidR="004F74B3" w:rsidRPr="00160F87">
              <w:rPr>
                <w:rStyle w:val="Hyperlink"/>
                <w:noProof/>
                <w:lang w:eastAsia="en-AU"/>
              </w:rPr>
              <w:t>Religious doctrines or beliefs in teachings</w:t>
            </w:r>
            <w:r w:rsidR="004F74B3">
              <w:rPr>
                <w:noProof/>
                <w:webHidden/>
              </w:rPr>
              <w:tab/>
            </w:r>
            <w:r w:rsidR="004F74B3">
              <w:rPr>
                <w:noProof/>
                <w:webHidden/>
              </w:rPr>
              <w:fldChar w:fldCharType="begin"/>
            </w:r>
            <w:r w:rsidR="004F74B3">
              <w:rPr>
                <w:noProof/>
                <w:webHidden/>
              </w:rPr>
              <w:instrText xml:space="preserve"> PAGEREF _Toc128033996 \h </w:instrText>
            </w:r>
            <w:r w:rsidR="004F74B3">
              <w:rPr>
                <w:noProof/>
                <w:webHidden/>
              </w:rPr>
            </w:r>
            <w:r w:rsidR="004F74B3">
              <w:rPr>
                <w:noProof/>
                <w:webHidden/>
              </w:rPr>
              <w:fldChar w:fldCharType="separate"/>
            </w:r>
            <w:r w:rsidR="001D04BD">
              <w:rPr>
                <w:noProof/>
                <w:webHidden/>
              </w:rPr>
              <w:t>9</w:t>
            </w:r>
            <w:r w:rsidR="004F74B3">
              <w:rPr>
                <w:noProof/>
                <w:webHidden/>
              </w:rPr>
              <w:fldChar w:fldCharType="end"/>
            </w:r>
          </w:hyperlink>
        </w:p>
        <w:p w14:paraId="4FC48518" w14:textId="6429D7CF" w:rsidR="004F74B3" w:rsidRDefault="00574D60">
          <w:pPr>
            <w:pStyle w:val="TOC3"/>
            <w:tabs>
              <w:tab w:val="right" w:leader="dot" w:pos="8296"/>
            </w:tabs>
            <w:rPr>
              <w:rFonts w:asciiTheme="minorHAnsi" w:hAnsiTheme="minorHAnsi"/>
              <w:noProof/>
              <w:color w:val="auto"/>
              <w:szCs w:val="22"/>
              <w:lang w:eastAsia="en-AU"/>
            </w:rPr>
          </w:pPr>
          <w:hyperlink w:anchor="_Toc128033997" w:history="1">
            <w:r w:rsidR="004F74B3" w:rsidRPr="00160F87">
              <w:rPr>
                <w:rStyle w:val="Hyperlink"/>
                <w:noProof/>
                <w:lang w:eastAsia="en-AU"/>
              </w:rPr>
              <w:t>Curriculum</w:t>
            </w:r>
            <w:r w:rsidR="004F74B3">
              <w:rPr>
                <w:noProof/>
                <w:webHidden/>
              </w:rPr>
              <w:tab/>
            </w:r>
            <w:r w:rsidR="004F74B3">
              <w:rPr>
                <w:noProof/>
                <w:webHidden/>
              </w:rPr>
              <w:fldChar w:fldCharType="begin"/>
            </w:r>
            <w:r w:rsidR="004F74B3">
              <w:rPr>
                <w:noProof/>
                <w:webHidden/>
              </w:rPr>
              <w:instrText xml:space="preserve"> PAGEREF _Toc128033997 \h </w:instrText>
            </w:r>
            <w:r w:rsidR="004F74B3">
              <w:rPr>
                <w:noProof/>
                <w:webHidden/>
              </w:rPr>
            </w:r>
            <w:r w:rsidR="004F74B3">
              <w:rPr>
                <w:noProof/>
                <w:webHidden/>
              </w:rPr>
              <w:fldChar w:fldCharType="separate"/>
            </w:r>
            <w:r w:rsidR="001D04BD">
              <w:rPr>
                <w:noProof/>
                <w:webHidden/>
              </w:rPr>
              <w:t>10</w:t>
            </w:r>
            <w:r w:rsidR="004F74B3">
              <w:rPr>
                <w:noProof/>
                <w:webHidden/>
              </w:rPr>
              <w:fldChar w:fldCharType="end"/>
            </w:r>
          </w:hyperlink>
        </w:p>
        <w:p w14:paraId="4132BEFD" w14:textId="722DFAF4" w:rsidR="004F74B3" w:rsidRDefault="00574D60">
          <w:pPr>
            <w:pStyle w:val="TOC2"/>
            <w:rPr>
              <w:rFonts w:asciiTheme="minorHAnsi" w:hAnsiTheme="minorHAnsi"/>
              <w:noProof/>
              <w:color w:val="auto"/>
              <w:szCs w:val="22"/>
              <w:lang w:eastAsia="en-AU"/>
            </w:rPr>
          </w:pPr>
          <w:hyperlink w:anchor="_Toc128033998" w:history="1">
            <w:r w:rsidR="004F74B3" w:rsidRPr="00160F87">
              <w:rPr>
                <w:rStyle w:val="Hyperlink"/>
                <w:noProof/>
                <w:lang w:eastAsia="en-AU"/>
              </w:rPr>
              <w:t>Proposition B – employees</w:t>
            </w:r>
            <w:r w:rsidR="004F74B3">
              <w:rPr>
                <w:noProof/>
                <w:webHidden/>
              </w:rPr>
              <w:tab/>
            </w:r>
            <w:r w:rsidR="004F74B3">
              <w:rPr>
                <w:noProof/>
                <w:webHidden/>
              </w:rPr>
              <w:fldChar w:fldCharType="begin"/>
            </w:r>
            <w:r w:rsidR="004F74B3">
              <w:rPr>
                <w:noProof/>
                <w:webHidden/>
              </w:rPr>
              <w:instrText xml:space="preserve"> PAGEREF _Toc128033998 \h </w:instrText>
            </w:r>
            <w:r w:rsidR="004F74B3">
              <w:rPr>
                <w:noProof/>
                <w:webHidden/>
              </w:rPr>
            </w:r>
            <w:r w:rsidR="004F74B3">
              <w:rPr>
                <w:noProof/>
                <w:webHidden/>
              </w:rPr>
              <w:fldChar w:fldCharType="separate"/>
            </w:r>
            <w:r w:rsidR="001D04BD">
              <w:rPr>
                <w:noProof/>
                <w:webHidden/>
              </w:rPr>
              <w:t>11</w:t>
            </w:r>
            <w:r w:rsidR="004F74B3">
              <w:rPr>
                <w:noProof/>
                <w:webHidden/>
              </w:rPr>
              <w:fldChar w:fldCharType="end"/>
            </w:r>
          </w:hyperlink>
        </w:p>
        <w:p w14:paraId="52D5BE82" w14:textId="7231AD21" w:rsidR="004F74B3" w:rsidRDefault="00574D60">
          <w:pPr>
            <w:pStyle w:val="TOC2"/>
            <w:rPr>
              <w:rFonts w:asciiTheme="minorHAnsi" w:hAnsiTheme="minorHAnsi"/>
              <w:noProof/>
              <w:color w:val="auto"/>
              <w:szCs w:val="22"/>
              <w:lang w:eastAsia="en-AU"/>
            </w:rPr>
          </w:pPr>
          <w:hyperlink w:anchor="_Toc128033999" w:history="1">
            <w:r w:rsidR="004F74B3" w:rsidRPr="00160F87">
              <w:rPr>
                <w:rStyle w:val="Hyperlink"/>
                <w:noProof/>
                <w:lang w:eastAsia="en-AU"/>
              </w:rPr>
              <w:t>‘Religious ethos’ terminology</w:t>
            </w:r>
            <w:r w:rsidR="004F74B3">
              <w:rPr>
                <w:noProof/>
                <w:webHidden/>
              </w:rPr>
              <w:tab/>
            </w:r>
            <w:r w:rsidR="004F74B3">
              <w:rPr>
                <w:noProof/>
                <w:webHidden/>
              </w:rPr>
              <w:fldChar w:fldCharType="begin"/>
            </w:r>
            <w:r w:rsidR="004F74B3">
              <w:rPr>
                <w:noProof/>
                <w:webHidden/>
              </w:rPr>
              <w:instrText xml:space="preserve"> PAGEREF _Toc128033999 \h </w:instrText>
            </w:r>
            <w:r w:rsidR="004F74B3">
              <w:rPr>
                <w:noProof/>
                <w:webHidden/>
              </w:rPr>
            </w:r>
            <w:r w:rsidR="004F74B3">
              <w:rPr>
                <w:noProof/>
                <w:webHidden/>
              </w:rPr>
              <w:fldChar w:fldCharType="separate"/>
            </w:r>
            <w:r w:rsidR="001D04BD">
              <w:rPr>
                <w:noProof/>
                <w:webHidden/>
              </w:rPr>
              <w:t>12</w:t>
            </w:r>
            <w:r w:rsidR="004F74B3">
              <w:rPr>
                <w:noProof/>
                <w:webHidden/>
              </w:rPr>
              <w:fldChar w:fldCharType="end"/>
            </w:r>
          </w:hyperlink>
        </w:p>
        <w:p w14:paraId="6CFA6FD1" w14:textId="043EBCF7" w:rsidR="004F74B3" w:rsidRDefault="00574D60">
          <w:pPr>
            <w:pStyle w:val="TOC2"/>
            <w:rPr>
              <w:rFonts w:asciiTheme="minorHAnsi" w:hAnsiTheme="minorHAnsi"/>
              <w:noProof/>
              <w:color w:val="auto"/>
              <w:szCs w:val="22"/>
              <w:lang w:eastAsia="en-AU"/>
            </w:rPr>
          </w:pPr>
          <w:hyperlink w:anchor="_Toc128034000" w:history="1">
            <w:r w:rsidR="004F74B3" w:rsidRPr="00160F87">
              <w:rPr>
                <w:rStyle w:val="Hyperlink"/>
                <w:noProof/>
              </w:rPr>
              <w:t>Proposition C – employees</w:t>
            </w:r>
            <w:r w:rsidR="004F74B3">
              <w:rPr>
                <w:noProof/>
                <w:webHidden/>
              </w:rPr>
              <w:tab/>
            </w:r>
            <w:r w:rsidR="004F74B3">
              <w:rPr>
                <w:noProof/>
                <w:webHidden/>
              </w:rPr>
              <w:fldChar w:fldCharType="begin"/>
            </w:r>
            <w:r w:rsidR="004F74B3">
              <w:rPr>
                <w:noProof/>
                <w:webHidden/>
              </w:rPr>
              <w:instrText xml:space="preserve"> PAGEREF _Toc128034000 \h </w:instrText>
            </w:r>
            <w:r w:rsidR="004F74B3">
              <w:rPr>
                <w:noProof/>
                <w:webHidden/>
              </w:rPr>
            </w:r>
            <w:r w:rsidR="004F74B3">
              <w:rPr>
                <w:noProof/>
                <w:webHidden/>
              </w:rPr>
              <w:fldChar w:fldCharType="separate"/>
            </w:r>
            <w:r w:rsidR="001D04BD">
              <w:rPr>
                <w:noProof/>
                <w:webHidden/>
              </w:rPr>
              <w:t>13</w:t>
            </w:r>
            <w:r w:rsidR="004F74B3">
              <w:rPr>
                <w:noProof/>
                <w:webHidden/>
              </w:rPr>
              <w:fldChar w:fldCharType="end"/>
            </w:r>
          </w:hyperlink>
        </w:p>
        <w:p w14:paraId="5EA0A906" w14:textId="49D43D79" w:rsidR="004F74B3" w:rsidRDefault="00574D60">
          <w:pPr>
            <w:pStyle w:val="TOC2"/>
            <w:rPr>
              <w:rFonts w:asciiTheme="minorHAnsi" w:hAnsiTheme="minorHAnsi"/>
              <w:noProof/>
              <w:color w:val="auto"/>
              <w:szCs w:val="22"/>
              <w:lang w:eastAsia="en-AU"/>
            </w:rPr>
          </w:pPr>
          <w:hyperlink w:anchor="_Toc128034001" w:history="1">
            <w:r w:rsidR="004F74B3" w:rsidRPr="00160F87">
              <w:rPr>
                <w:rStyle w:val="Hyperlink"/>
                <w:noProof/>
              </w:rPr>
              <w:t>Proposition D – employees</w:t>
            </w:r>
            <w:r w:rsidR="004F74B3">
              <w:rPr>
                <w:noProof/>
                <w:webHidden/>
              </w:rPr>
              <w:tab/>
            </w:r>
            <w:r w:rsidR="004F74B3">
              <w:rPr>
                <w:noProof/>
                <w:webHidden/>
              </w:rPr>
              <w:fldChar w:fldCharType="begin"/>
            </w:r>
            <w:r w:rsidR="004F74B3">
              <w:rPr>
                <w:noProof/>
                <w:webHidden/>
              </w:rPr>
              <w:instrText xml:space="preserve"> PAGEREF _Toc128034001 \h </w:instrText>
            </w:r>
            <w:r w:rsidR="004F74B3">
              <w:rPr>
                <w:noProof/>
                <w:webHidden/>
              </w:rPr>
            </w:r>
            <w:r w:rsidR="004F74B3">
              <w:rPr>
                <w:noProof/>
                <w:webHidden/>
              </w:rPr>
              <w:fldChar w:fldCharType="separate"/>
            </w:r>
            <w:r w:rsidR="001D04BD">
              <w:rPr>
                <w:noProof/>
                <w:webHidden/>
              </w:rPr>
              <w:t>13</w:t>
            </w:r>
            <w:r w:rsidR="004F74B3">
              <w:rPr>
                <w:noProof/>
                <w:webHidden/>
              </w:rPr>
              <w:fldChar w:fldCharType="end"/>
            </w:r>
          </w:hyperlink>
        </w:p>
        <w:p w14:paraId="54812E02" w14:textId="3C6C5FFC" w:rsidR="004F74B3" w:rsidRDefault="00574D60">
          <w:pPr>
            <w:pStyle w:val="TOC2"/>
            <w:rPr>
              <w:rFonts w:asciiTheme="minorHAnsi" w:hAnsiTheme="minorHAnsi"/>
              <w:noProof/>
              <w:color w:val="auto"/>
              <w:szCs w:val="22"/>
              <w:lang w:eastAsia="en-AU"/>
            </w:rPr>
          </w:pPr>
          <w:hyperlink w:anchor="_Toc128034002" w:history="1">
            <w:r w:rsidR="004F74B3" w:rsidRPr="00160F87">
              <w:rPr>
                <w:rStyle w:val="Hyperlink"/>
                <w:noProof/>
              </w:rPr>
              <w:t>Other issues</w:t>
            </w:r>
            <w:r w:rsidR="004F74B3">
              <w:rPr>
                <w:noProof/>
                <w:webHidden/>
              </w:rPr>
              <w:tab/>
            </w:r>
            <w:r w:rsidR="004F74B3">
              <w:rPr>
                <w:noProof/>
                <w:webHidden/>
              </w:rPr>
              <w:fldChar w:fldCharType="begin"/>
            </w:r>
            <w:r w:rsidR="004F74B3">
              <w:rPr>
                <w:noProof/>
                <w:webHidden/>
              </w:rPr>
              <w:instrText xml:space="preserve"> PAGEREF _Toc128034002 \h </w:instrText>
            </w:r>
            <w:r w:rsidR="004F74B3">
              <w:rPr>
                <w:noProof/>
                <w:webHidden/>
              </w:rPr>
            </w:r>
            <w:r w:rsidR="004F74B3">
              <w:rPr>
                <w:noProof/>
                <w:webHidden/>
              </w:rPr>
              <w:fldChar w:fldCharType="separate"/>
            </w:r>
            <w:r w:rsidR="001D04BD">
              <w:rPr>
                <w:noProof/>
                <w:webHidden/>
              </w:rPr>
              <w:t>15</w:t>
            </w:r>
            <w:r w:rsidR="004F74B3">
              <w:rPr>
                <w:noProof/>
                <w:webHidden/>
              </w:rPr>
              <w:fldChar w:fldCharType="end"/>
            </w:r>
          </w:hyperlink>
        </w:p>
        <w:p w14:paraId="59CC20FB" w14:textId="3CB98D2B" w:rsidR="00A16356" w:rsidRPr="00041E58" w:rsidRDefault="00A16356" w:rsidP="00466216">
          <w:pPr>
            <w:spacing w:before="120"/>
            <w:rPr>
              <w:rFonts w:cs="Arial"/>
            </w:rPr>
          </w:pPr>
          <w:r w:rsidRPr="00041E58">
            <w:rPr>
              <w:rFonts w:cs="Arial"/>
              <w:b/>
              <w:bCs/>
              <w:noProof/>
            </w:rPr>
            <w:fldChar w:fldCharType="end"/>
          </w:r>
        </w:p>
      </w:sdtContent>
    </w:sdt>
    <w:p w14:paraId="7B609EF6" w14:textId="77777777" w:rsidR="004A2375" w:rsidRDefault="004A2375">
      <w:pPr>
        <w:rPr>
          <w:rFonts w:eastAsiaTheme="majorEastAsia" w:cstheme="majorBidi"/>
          <w:b/>
          <w:color w:val="365F91" w:themeColor="accent1" w:themeShade="BF"/>
          <w:sz w:val="28"/>
          <w:szCs w:val="32"/>
        </w:rPr>
      </w:pPr>
    </w:p>
    <w:p w14:paraId="7670C24D" w14:textId="77777777" w:rsidR="00F642C9" w:rsidRDefault="00F642C9" w:rsidP="00F642C9">
      <w:pPr>
        <w:rPr>
          <w:rFonts w:eastAsiaTheme="majorEastAsia" w:cstheme="majorBidi"/>
          <w:b/>
          <w:color w:val="365F91" w:themeColor="accent1" w:themeShade="BF"/>
          <w:sz w:val="28"/>
          <w:szCs w:val="32"/>
        </w:rPr>
      </w:pPr>
    </w:p>
    <w:p w14:paraId="071A1A06" w14:textId="44BF3568" w:rsidR="00F642C9" w:rsidRPr="00F642C9" w:rsidRDefault="00F642C9" w:rsidP="00F642C9">
      <w:pPr>
        <w:rPr>
          <w:rFonts w:eastAsiaTheme="majorEastAsia" w:cstheme="majorBidi"/>
          <w:sz w:val="28"/>
          <w:szCs w:val="32"/>
        </w:rPr>
        <w:sectPr w:rsidR="00F642C9" w:rsidRPr="00F642C9" w:rsidSect="00A16356">
          <w:headerReference w:type="default" r:id="rId10"/>
          <w:footerReference w:type="default" r:id="rId11"/>
          <w:headerReference w:type="first" r:id="rId12"/>
          <w:pgSz w:w="11900" w:h="16840" w:code="9"/>
          <w:pgMar w:top="1440" w:right="1797" w:bottom="1440" w:left="1797" w:header="709" w:footer="709" w:gutter="0"/>
          <w:pgNumType w:start="0"/>
          <w:cols w:space="708"/>
          <w:titlePg/>
          <w:docGrid w:linePitch="360"/>
        </w:sectPr>
      </w:pPr>
    </w:p>
    <w:p w14:paraId="0F650DAF" w14:textId="55835EE0" w:rsidR="00B82CE9" w:rsidRDefault="00D42B69" w:rsidP="007C510E">
      <w:pPr>
        <w:pStyle w:val="Heading1"/>
      </w:pPr>
      <w:bookmarkStart w:id="3" w:name="_Toc128033980"/>
      <w:r>
        <w:lastRenderedPageBreak/>
        <w:t>Summary</w:t>
      </w:r>
      <w:r w:rsidR="00121AC7">
        <w:t xml:space="preserve"> and recommendations</w:t>
      </w:r>
      <w:bookmarkEnd w:id="3"/>
    </w:p>
    <w:p w14:paraId="5406780D" w14:textId="77777777" w:rsidR="00DA613C" w:rsidRDefault="00A45742" w:rsidP="00A45742">
      <w:pPr>
        <w:pStyle w:val="Numberedparagraph"/>
        <w:rPr>
          <w:lang w:eastAsia="en-AU"/>
        </w:rPr>
      </w:pPr>
      <w:bookmarkStart w:id="4" w:name="_Toc124261254"/>
      <w:r>
        <w:t xml:space="preserve">The </w:t>
      </w:r>
      <w:r w:rsidR="001B5A7C">
        <w:t>Queensland Human Rights Commission (</w:t>
      </w:r>
      <w:r>
        <w:rPr>
          <w:b/>
        </w:rPr>
        <w:t>QHRC</w:t>
      </w:r>
      <w:r w:rsidR="001B5A7C">
        <w:rPr>
          <w:b/>
          <w:bCs/>
        </w:rPr>
        <w:t>)</w:t>
      </w:r>
      <w:r>
        <w:t xml:space="preserve"> </w:t>
      </w:r>
      <w:r w:rsidR="0014471C">
        <w:t>supports</w:t>
      </w:r>
      <w:r>
        <w:t xml:space="preserve"> reforms </w:t>
      </w:r>
      <w:r w:rsidR="0014471C">
        <w:t>to</w:t>
      </w:r>
      <w:r>
        <w:t xml:space="preserve"> the </w:t>
      </w:r>
      <w:r w:rsidRPr="00180112">
        <w:rPr>
          <w:i/>
          <w:lang w:eastAsia="en-GB"/>
        </w:rPr>
        <w:t>Sex Discrimination Act</w:t>
      </w:r>
      <w:r>
        <w:t xml:space="preserve"> </w:t>
      </w:r>
      <w:r w:rsidR="006E3E57" w:rsidRPr="00180112">
        <w:rPr>
          <w:i/>
          <w:iCs/>
          <w:lang w:eastAsia="en-GB"/>
        </w:rPr>
        <w:t>1984</w:t>
      </w:r>
      <w:r w:rsidR="006E3E57">
        <w:rPr>
          <w:lang w:eastAsia="en-GB"/>
        </w:rPr>
        <w:t xml:space="preserve"> (Cth) (</w:t>
      </w:r>
      <w:r w:rsidR="006E3E57" w:rsidRPr="00180112">
        <w:rPr>
          <w:b/>
          <w:bCs/>
          <w:lang w:eastAsia="en-GB"/>
        </w:rPr>
        <w:t>Sex Discrimination Act</w:t>
      </w:r>
      <w:r w:rsidR="006E3E57">
        <w:rPr>
          <w:lang w:eastAsia="en-GB"/>
        </w:rPr>
        <w:t>)</w:t>
      </w:r>
      <w:r>
        <w:rPr>
          <w:lang w:eastAsia="en-GB"/>
        </w:rPr>
        <w:t xml:space="preserve"> </w:t>
      </w:r>
      <w:r w:rsidR="000A55D1">
        <w:t xml:space="preserve">to ensure </w:t>
      </w:r>
      <w:r>
        <w:t xml:space="preserve">religious freedoms </w:t>
      </w:r>
      <w:r w:rsidR="005B38D2">
        <w:t xml:space="preserve">are safeguarded </w:t>
      </w:r>
      <w:r>
        <w:t xml:space="preserve">while protecting the rights of students and teachers. </w:t>
      </w:r>
    </w:p>
    <w:p w14:paraId="39C5BB65" w14:textId="43FDA6A8" w:rsidR="00A45742" w:rsidRPr="00D42B69" w:rsidRDefault="00A45742" w:rsidP="00A45742">
      <w:pPr>
        <w:pStyle w:val="Numberedparagraph"/>
        <w:rPr>
          <w:lang w:eastAsia="en-AU"/>
        </w:rPr>
      </w:pPr>
      <w:r>
        <w:t xml:space="preserve">Overall, QHRC supports the amendment of </w:t>
      </w:r>
      <w:r w:rsidR="00D223E9">
        <w:t xml:space="preserve">the </w:t>
      </w:r>
      <w:r>
        <w:t xml:space="preserve">Sex Discrimination Act as proposed by the </w:t>
      </w:r>
      <w:r w:rsidR="009F0135">
        <w:t>Australian Law Reform Commission (ALRC)</w:t>
      </w:r>
      <w:r>
        <w:t xml:space="preserve"> </w:t>
      </w:r>
      <w:r w:rsidR="00FC3B57">
        <w:t>in</w:t>
      </w:r>
      <w:r>
        <w:t xml:space="preserve"> the Consultation Paper</w:t>
      </w:r>
      <w:r w:rsidR="00FC3B57">
        <w:rPr>
          <w:rStyle w:val="FootnoteReference"/>
        </w:rPr>
        <w:footnoteReference w:id="2"/>
      </w:r>
      <w:r>
        <w:t xml:space="preserve">, but has specific feedback on some of the proposals. </w:t>
      </w:r>
    </w:p>
    <w:p w14:paraId="5E2DC2BA" w14:textId="77777777" w:rsidR="0004421F" w:rsidRDefault="0004421F" w:rsidP="0004421F">
      <w:pPr>
        <w:pStyle w:val="Heading2"/>
      </w:pPr>
      <w:bookmarkStart w:id="5" w:name="_Toc128033981"/>
      <w:r>
        <w:t>Recommendations</w:t>
      </w:r>
      <w:bookmarkEnd w:id="5"/>
    </w:p>
    <w:p w14:paraId="0CDCFE9F" w14:textId="449F2E85" w:rsidR="001E4523" w:rsidRPr="001E4523" w:rsidRDefault="001E4523" w:rsidP="001E4523">
      <w:pPr>
        <w:pStyle w:val="Numberedparagraph"/>
      </w:pPr>
      <w:r>
        <w:t>The Commission recommends that:</w:t>
      </w:r>
    </w:p>
    <w:p w14:paraId="490645E1" w14:textId="5EECA3CD" w:rsidR="0004421F" w:rsidRDefault="00015E17" w:rsidP="00FA7474">
      <w:pPr>
        <w:pStyle w:val="Bulletedlist"/>
        <w:spacing w:before="240" w:line="240" w:lineRule="atLeast"/>
        <w:contextualSpacing w:val="0"/>
        <w:rPr>
          <w:lang w:eastAsia="en-GB"/>
        </w:rPr>
      </w:pPr>
      <w:r>
        <w:rPr>
          <w:lang w:eastAsia="en-GB"/>
        </w:rPr>
        <w:t xml:space="preserve">The </w:t>
      </w:r>
      <w:r w:rsidR="00E83976">
        <w:rPr>
          <w:lang w:eastAsia="en-GB"/>
        </w:rPr>
        <w:t>Sex Discrimination Act</w:t>
      </w:r>
      <w:r>
        <w:rPr>
          <w:lang w:eastAsia="en-GB"/>
        </w:rPr>
        <w:t xml:space="preserve"> should specify that the exception for religious bodies in section 37(1)(d) does not apply in the area of education.</w:t>
      </w:r>
    </w:p>
    <w:p w14:paraId="6F856EE5" w14:textId="77777777" w:rsidR="004A4C4F" w:rsidRPr="001F39D2" w:rsidRDefault="004A4C4F" w:rsidP="00FA7474">
      <w:pPr>
        <w:pStyle w:val="Bulletedlist"/>
        <w:spacing w:before="240" w:line="240" w:lineRule="atLeast"/>
        <w:contextualSpacing w:val="0"/>
        <w:rPr>
          <w:lang w:eastAsia="en-AU"/>
        </w:rPr>
      </w:pPr>
      <w:r>
        <w:rPr>
          <w:lang w:eastAsia="en-AU"/>
        </w:rPr>
        <w:t>The Sex Discrimination Act should be amended to protect people from discrimination by religious educational authorities or institutions that occurs on the basis of the association with, or in relation to, a student with a protected attribute.</w:t>
      </w:r>
    </w:p>
    <w:p w14:paraId="79D51568" w14:textId="77777777" w:rsidR="00A42A6B" w:rsidRPr="00287B98" w:rsidRDefault="00A42A6B" w:rsidP="00FA7474">
      <w:pPr>
        <w:pStyle w:val="Bulletedlist"/>
        <w:spacing w:before="240" w:line="240" w:lineRule="atLeast"/>
        <w:contextualSpacing w:val="0"/>
        <w:rPr>
          <w:i/>
          <w:iCs/>
          <w:lang w:eastAsia="en-AU"/>
        </w:rPr>
      </w:pPr>
      <w:r>
        <w:rPr>
          <w:lang w:eastAsia="en-AU"/>
        </w:rPr>
        <w:t>References to the need to meet the requirements of ‘the curriculum’ should be clearly defined, by referring to the Australian Curriculum specifically.</w:t>
      </w:r>
    </w:p>
    <w:p w14:paraId="1DD37EFA" w14:textId="77777777" w:rsidR="0098102A" w:rsidRDefault="0098102A" w:rsidP="00FA7474">
      <w:pPr>
        <w:pStyle w:val="Bulletedlist"/>
        <w:spacing w:before="240" w:line="240" w:lineRule="atLeast"/>
        <w:contextualSpacing w:val="0"/>
        <w:rPr>
          <w:lang w:eastAsia="en-AU"/>
        </w:rPr>
      </w:pPr>
      <w:r>
        <w:rPr>
          <w:lang w:eastAsia="en-AU"/>
        </w:rPr>
        <w:t>Legislation and explanatory materials should make it clear that ‘duty of care’ is an objective test based on a reasonable third-party perspective.</w:t>
      </w:r>
    </w:p>
    <w:p w14:paraId="104E8A94" w14:textId="77777777" w:rsidR="00B66D44" w:rsidRDefault="00B66D44" w:rsidP="00FA7474">
      <w:pPr>
        <w:pStyle w:val="Bulletedlist"/>
        <w:spacing w:before="240" w:line="240" w:lineRule="atLeast"/>
        <w:contextualSpacing w:val="0"/>
        <w:rPr>
          <w:lang w:eastAsia="en-AU"/>
        </w:rPr>
      </w:pPr>
      <w:r>
        <w:rPr>
          <w:lang w:eastAsia="en-AU"/>
        </w:rPr>
        <w:t xml:space="preserve">The Sex Discrimination Act should </w:t>
      </w:r>
      <w:r w:rsidRPr="00AF08B1">
        <w:rPr>
          <w:u w:val="single"/>
          <w:lang w:eastAsia="en-AU"/>
        </w:rPr>
        <w:t>not</w:t>
      </w:r>
      <w:r>
        <w:rPr>
          <w:lang w:eastAsia="en-AU"/>
        </w:rPr>
        <w:t xml:space="preserve"> be amended to clarity that the content of the curriculum is not subject to the Act.</w:t>
      </w:r>
    </w:p>
    <w:p w14:paraId="6E3EF071" w14:textId="77777777" w:rsidR="0058732E" w:rsidRDefault="0058732E" w:rsidP="00FA7474">
      <w:pPr>
        <w:pStyle w:val="Bulletedlist"/>
        <w:spacing w:before="240" w:line="240" w:lineRule="atLeast"/>
        <w:contextualSpacing w:val="0"/>
        <w:rPr>
          <w:lang w:eastAsia="en-AU"/>
        </w:rPr>
      </w:pPr>
      <w:r>
        <w:rPr>
          <w:lang w:eastAsia="en-AU"/>
        </w:rPr>
        <w:t>The term ‘religious ethos’ should be replaced with well-established terminology from Australian discrimination laws.</w:t>
      </w:r>
    </w:p>
    <w:p w14:paraId="6DC059D2" w14:textId="77777777" w:rsidR="00B84CD8" w:rsidRDefault="00B84CD8" w:rsidP="00FA7474">
      <w:pPr>
        <w:pStyle w:val="Bulletedlist"/>
        <w:spacing w:before="240" w:line="240" w:lineRule="atLeast"/>
        <w:contextualSpacing w:val="0"/>
        <w:rPr>
          <w:lang w:eastAsia="en-AU"/>
        </w:rPr>
      </w:pPr>
      <w:r w:rsidRPr="489789B7">
        <w:rPr>
          <w:lang w:eastAsia="en-AU"/>
        </w:rPr>
        <w:t xml:space="preserve">A non-exhaustive list of factors </w:t>
      </w:r>
      <w:r w:rsidRPr="6F20A908">
        <w:rPr>
          <w:lang w:eastAsia="en-AU"/>
        </w:rPr>
        <w:t xml:space="preserve">be included in the </w:t>
      </w:r>
      <w:r w:rsidRPr="195D7622">
        <w:rPr>
          <w:lang w:eastAsia="en-AU"/>
        </w:rPr>
        <w:t xml:space="preserve">amendment to the </w:t>
      </w:r>
      <w:r w:rsidRPr="5D58E67F">
        <w:rPr>
          <w:i/>
          <w:iCs/>
          <w:lang w:eastAsia="en-AU"/>
        </w:rPr>
        <w:t xml:space="preserve">Fair Work Act </w:t>
      </w:r>
      <w:r w:rsidRPr="2E984F3F">
        <w:rPr>
          <w:i/>
          <w:iCs/>
          <w:lang w:eastAsia="en-AU"/>
        </w:rPr>
        <w:t>2009 (</w:t>
      </w:r>
      <w:proofErr w:type="spellStart"/>
      <w:r w:rsidRPr="0084699A">
        <w:rPr>
          <w:lang w:eastAsia="en-AU"/>
        </w:rPr>
        <w:t>Cth</w:t>
      </w:r>
      <w:proofErr w:type="spellEnd"/>
      <w:r w:rsidRPr="23FD128E">
        <w:rPr>
          <w:i/>
          <w:iCs/>
          <w:lang w:eastAsia="en-AU"/>
        </w:rPr>
        <w:t xml:space="preserve">) </w:t>
      </w:r>
      <w:r w:rsidRPr="353E0F62">
        <w:rPr>
          <w:lang w:eastAsia="en-AU"/>
        </w:rPr>
        <w:t xml:space="preserve">as matters to be taken into account when </w:t>
      </w:r>
      <w:r w:rsidRPr="149914C7">
        <w:rPr>
          <w:lang w:eastAsia="en-AU"/>
        </w:rPr>
        <w:t xml:space="preserve">determining if the treatment is ‘proportionate in all </w:t>
      </w:r>
      <w:r w:rsidRPr="0D34E160">
        <w:rPr>
          <w:lang w:eastAsia="en-AU"/>
        </w:rPr>
        <w:t>of the circumstances.</w:t>
      </w:r>
      <w:r>
        <w:rPr>
          <w:lang w:eastAsia="en-AU"/>
        </w:rPr>
        <w:t>’</w:t>
      </w:r>
      <w:r w:rsidRPr="0D34E160">
        <w:rPr>
          <w:lang w:eastAsia="en-AU"/>
        </w:rPr>
        <w:t xml:space="preserve"> </w:t>
      </w:r>
    </w:p>
    <w:p w14:paraId="3B796669" w14:textId="56847D71" w:rsidR="004A4C4F" w:rsidRPr="00015E17" w:rsidRDefault="00B25BB6" w:rsidP="00FA7474">
      <w:pPr>
        <w:pStyle w:val="Bulletedlist"/>
        <w:spacing w:before="240" w:line="240" w:lineRule="atLeast"/>
        <w:contextualSpacing w:val="0"/>
        <w:rPr>
          <w:lang w:eastAsia="en-AU"/>
        </w:rPr>
      </w:pPr>
      <w:r>
        <w:rPr>
          <w:lang w:eastAsia="en-AU"/>
        </w:rPr>
        <w:t xml:space="preserve">The non-exhaustive list of factors included in the proposed </w:t>
      </w:r>
      <w:r w:rsidRPr="5D58E67F">
        <w:rPr>
          <w:i/>
          <w:iCs/>
          <w:lang w:eastAsia="en-AU"/>
        </w:rPr>
        <w:t xml:space="preserve">Fair Work Act </w:t>
      </w:r>
      <w:r w:rsidRPr="2E984F3F">
        <w:rPr>
          <w:i/>
          <w:iCs/>
          <w:lang w:eastAsia="en-AU"/>
        </w:rPr>
        <w:t xml:space="preserve">2009 </w:t>
      </w:r>
      <w:r w:rsidRPr="004B0462">
        <w:rPr>
          <w:lang w:eastAsia="en-AU"/>
        </w:rPr>
        <w:t>(</w:t>
      </w:r>
      <w:proofErr w:type="spellStart"/>
      <w:r w:rsidRPr="004B0462">
        <w:rPr>
          <w:lang w:eastAsia="en-AU"/>
        </w:rPr>
        <w:t>Cth</w:t>
      </w:r>
      <w:proofErr w:type="spellEnd"/>
      <w:r w:rsidRPr="004B0462">
        <w:rPr>
          <w:lang w:eastAsia="en-AU"/>
        </w:rPr>
        <w:t>)</w:t>
      </w:r>
      <w:r w:rsidRPr="23FD128E">
        <w:rPr>
          <w:i/>
          <w:iCs/>
          <w:lang w:eastAsia="en-AU"/>
        </w:rPr>
        <w:t xml:space="preserve"> </w:t>
      </w:r>
      <w:r>
        <w:rPr>
          <w:lang w:eastAsia="en-AU"/>
        </w:rPr>
        <w:t xml:space="preserve">amendment should explicitly include other human rights of the employee including the right to freedom of expression, association and freedom of thought, conscience, religion and belief. </w:t>
      </w:r>
    </w:p>
    <w:p w14:paraId="218AE6D5" w14:textId="77777777" w:rsidR="00D42B69" w:rsidRDefault="00D42B69" w:rsidP="00D42B69">
      <w:pPr>
        <w:pStyle w:val="Heading1"/>
        <w:rPr>
          <w:lang w:eastAsia="en-AU"/>
        </w:rPr>
      </w:pPr>
      <w:bookmarkStart w:id="6" w:name="_Toc128033982"/>
      <w:r>
        <w:rPr>
          <w:lang w:eastAsia="en-AU"/>
        </w:rPr>
        <w:lastRenderedPageBreak/>
        <w:t>Introduction</w:t>
      </w:r>
      <w:bookmarkEnd w:id="4"/>
      <w:bookmarkEnd w:id="6"/>
    </w:p>
    <w:p w14:paraId="68C62B5B" w14:textId="193BF8EC" w:rsidR="00D42B69" w:rsidRDefault="005469C6" w:rsidP="00D42B69">
      <w:pPr>
        <w:pStyle w:val="Numberedparagraph"/>
      </w:pPr>
      <w:r>
        <w:t>QHRC</w:t>
      </w:r>
      <w:r w:rsidR="00D42B69">
        <w:t xml:space="preserve"> </w:t>
      </w:r>
      <w:r w:rsidR="00D42B69" w:rsidRPr="00C35743">
        <w:t xml:space="preserve">is a statutory authority established under the </w:t>
      </w:r>
      <w:r w:rsidR="00D42B69">
        <w:t xml:space="preserve">Queensland </w:t>
      </w:r>
      <w:r w:rsidR="00D42B69" w:rsidRPr="00C35743">
        <w:rPr>
          <w:i/>
        </w:rPr>
        <w:t>Anti-Discrimination Act 1991</w:t>
      </w:r>
      <w:r w:rsidR="00D42B69">
        <w:rPr>
          <w:i/>
        </w:rPr>
        <w:t xml:space="preserve"> </w:t>
      </w:r>
      <w:r w:rsidR="00D42B69">
        <w:t>(</w:t>
      </w:r>
      <w:r w:rsidR="0045145B" w:rsidRPr="0045145B">
        <w:rPr>
          <w:b/>
          <w:bCs/>
        </w:rPr>
        <w:t>Queensland</w:t>
      </w:r>
      <w:r w:rsidR="0045145B">
        <w:t xml:space="preserve"> </w:t>
      </w:r>
      <w:r w:rsidR="00D42B69" w:rsidRPr="003B0A61">
        <w:rPr>
          <w:b/>
        </w:rPr>
        <w:t>AD Act</w:t>
      </w:r>
      <w:r w:rsidR="00D42B69">
        <w:t>)</w:t>
      </w:r>
      <w:r w:rsidR="00D42B69">
        <w:rPr>
          <w:i/>
        </w:rPr>
        <w:t>.</w:t>
      </w:r>
    </w:p>
    <w:p w14:paraId="157A21D2" w14:textId="4C911984" w:rsidR="00D42B69" w:rsidRPr="00592493" w:rsidRDefault="005469C6" w:rsidP="00D42B69">
      <w:pPr>
        <w:pStyle w:val="Numberedparagraph"/>
      </w:pPr>
      <w:r>
        <w:t>QHRC</w:t>
      </w:r>
      <w:r w:rsidR="00D42B69" w:rsidRPr="00A97DE1">
        <w:t xml:space="preserve"> </w:t>
      </w:r>
      <w:r w:rsidR="00D42B69">
        <w:t xml:space="preserve">has functions under the </w:t>
      </w:r>
      <w:r w:rsidR="00614DFC">
        <w:t xml:space="preserve">Queensland </w:t>
      </w:r>
      <w:r w:rsidR="00D42B69">
        <w:t xml:space="preserve">AD Act and the </w:t>
      </w:r>
      <w:r w:rsidR="00D42B69">
        <w:rPr>
          <w:i/>
        </w:rPr>
        <w:t xml:space="preserve">Human Rights Act 2019 </w:t>
      </w:r>
      <w:r w:rsidR="00D42B69">
        <w:t>(</w:t>
      </w:r>
      <w:r w:rsidR="00D42B69" w:rsidRPr="003B0A61">
        <w:rPr>
          <w:b/>
        </w:rPr>
        <w:t>HR Act</w:t>
      </w:r>
      <w:r w:rsidR="00D42B69">
        <w:t>)</w:t>
      </w:r>
      <w:r w:rsidR="00D42B69">
        <w:rPr>
          <w:i/>
        </w:rPr>
        <w:t xml:space="preserve"> </w:t>
      </w:r>
      <w:r w:rsidR="00D42B69">
        <w:t>to promote</w:t>
      </w:r>
      <w:r w:rsidR="00D42B69" w:rsidRPr="00A97DE1">
        <w:t xml:space="preserve"> an understanding</w:t>
      </w:r>
      <w:r w:rsidR="00D42B69">
        <w:t xml:space="preserve"> </w:t>
      </w:r>
      <w:r w:rsidR="00D42B69" w:rsidRPr="00A97DE1">
        <w:t>and public discussion of human rights in Queensla</w:t>
      </w:r>
      <w:r w:rsidR="00D42B69">
        <w:t xml:space="preserve">nd, and to provide information and education about human rights.  </w:t>
      </w:r>
    </w:p>
    <w:p w14:paraId="09702E03" w14:textId="20B2967B" w:rsidR="007F6A7A" w:rsidRDefault="005469C6" w:rsidP="00D42B69">
      <w:pPr>
        <w:pStyle w:val="Numberedparagraph"/>
        <w:rPr>
          <w:lang w:eastAsia="en-AU"/>
        </w:rPr>
      </w:pPr>
      <w:r>
        <w:rPr>
          <w:color w:val="000000"/>
        </w:rPr>
        <w:t>QHRC</w:t>
      </w:r>
      <w:r w:rsidR="00D42B69">
        <w:rPr>
          <w:color w:val="000000"/>
        </w:rPr>
        <w:t xml:space="preserve"> also deals with complaints of discrimination, sexual harassment, vilification, and other objectionable conduct under the </w:t>
      </w:r>
      <w:r w:rsidR="00614DFC">
        <w:rPr>
          <w:color w:val="000000"/>
        </w:rPr>
        <w:t xml:space="preserve">Queensland </w:t>
      </w:r>
      <w:r w:rsidR="00D42B69" w:rsidRPr="003B0A61">
        <w:t>AD Act</w:t>
      </w:r>
      <w:r w:rsidR="00D42B69">
        <w:rPr>
          <w:i/>
        </w:rPr>
        <w:t xml:space="preserve">, </w:t>
      </w:r>
      <w:r w:rsidR="00D42B69">
        <w:t xml:space="preserve">reprisal under the </w:t>
      </w:r>
      <w:r w:rsidR="00D42B69">
        <w:rPr>
          <w:i/>
        </w:rPr>
        <w:t xml:space="preserve">Public Interest Disclosure Act </w:t>
      </w:r>
      <w:r w:rsidR="00D42B69" w:rsidRPr="009F4BAD">
        <w:rPr>
          <w:i/>
        </w:rPr>
        <w:t>2009</w:t>
      </w:r>
      <w:r w:rsidR="00D42B69">
        <w:t>, and human rights complaints under the HR Act</w:t>
      </w:r>
      <w:r w:rsidR="00D42B69">
        <w:rPr>
          <w:i/>
        </w:rPr>
        <w:t xml:space="preserve">. </w:t>
      </w:r>
      <w:r w:rsidR="00D42B69">
        <w:t xml:space="preserve">This includes complaints made under the </w:t>
      </w:r>
      <w:r w:rsidR="00614DFC">
        <w:t xml:space="preserve">Queensland </w:t>
      </w:r>
      <w:r w:rsidR="00D42B69">
        <w:t xml:space="preserve">AD Act about religious educational institutions. </w:t>
      </w:r>
    </w:p>
    <w:p w14:paraId="5622C604" w14:textId="0718A143" w:rsidR="00C70C0E" w:rsidRPr="00A05064" w:rsidRDefault="00C70C0E" w:rsidP="00C70C0E">
      <w:pPr>
        <w:pStyle w:val="Numberedparagraph"/>
        <w:rPr>
          <w:lang w:eastAsia="en-AU"/>
        </w:rPr>
      </w:pPr>
      <w:r>
        <w:rPr>
          <w:lang w:eastAsia="en-AU"/>
        </w:rPr>
        <w:t>In 2002, broad religious exemptions applying to religious educational institutions were narrowed in Queensland.</w:t>
      </w:r>
      <w:r>
        <w:rPr>
          <w:rStyle w:val="FootnoteReference"/>
          <w:lang w:eastAsia="en-AU"/>
        </w:rPr>
        <w:footnoteReference w:id="3"/>
      </w:r>
    </w:p>
    <w:p w14:paraId="2FA1EFD3" w14:textId="50FBCD56" w:rsidR="00D42B69" w:rsidRDefault="005469C6" w:rsidP="00D42B69">
      <w:pPr>
        <w:pStyle w:val="Numberedparagraph"/>
        <w:rPr>
          <w:lang w:eastAsia="en-AU"/>
        </w:rPr>
      </w:pPr>
      <w:r w:rsidRPr="00235F69">
        <w:t>QHRC</w:t>
      </w:r>
      <w:r w:rsidR="00911D8C">
        <w:t xml:space="preserve"> has </w:t>
      </w:r>
      <w:r w:rsidR="000F6C12">
        <w:t xml:space="preserve">over two decades of </w:t>
      </w:r>
      <w:r w:rsidR="00911D8C">
        <w:t>experience</w:t>
      </w:r>
      <w:r w:rsidR="007F6A7A">
        <w:t xml:space="preserve"> </w:t>
      </w:r>
      <w:r w:rsidR="00D2482D">
        <w:t>working</w:t>
      </w:r>
      <w:r w:rsidR="00235F69">
        <w:t xml:space="preserve"> with</w:t>
      </w:r>
      <w:r w:rsidR="00D2482D">
        <w:t>in</w:t>
      </w:r>
      <w:r w:rsidR="00235F69">
        <w:t xml:space="preserve"> the Queensland legislative framework</w:t>
      </w:r>
      <w:r w:rsidR="007F6A7A" w:rsidRPr="00235F69">
        <w:t xml:space="preserve"> </w:t>
      </w:r>
      <w:r w:rsidR="007F6A7A">
        <w:t xml:space="preserve">and access to </w:t>
      </w:r>
      <w:r w:rsidR="00235F69" w:rsidRPr="00235F69">
        <w:t>14</w:t>
      </w:r>
      <w:r w:rsidR="007F6A7A" w:rsidRPr="00235F69">
        <w:t xml:space="preserve"> years of complaints data</w:t>
      </w:r>
      <w:r w:rsidR="007F6A7A">
        <w:t xml:space="preserve"> </w:t>
      </w:r>
      <w:r w:rsidR="00C70C0E">
        <w:t xml:space="preserve">to </w:t>
      </w:r>
      <w:r w:rsidR="005A1AC8">
        <w:t>offer</w:t>
      </w:r>
      <w:r w:rsidR="00C70C0E">
        <w:t xml:space="preserve"> </w:t>
      </w:r>
      <w:r w:rsidR="007F6A7A" w:rsidRPr="00235F69">
        <w:t>insight</w:t>
      </w:r>
      <w:r w:rsidR="005A1AC8">
        <w:t>s</w:t>
      </w:r>
      <w:r w:rsidR="007F6A7A">
        <w:t xml:space="preserve"> into</w:t>
      </w:r>
      <w:r w:rsidR="000F6C12">
        <w:t xml:space="preserve"> </w:t>
      </w:r>
      <w:r w:rsidR="007F6A7A">
        <w:t>how narrower exemptions operate in practice.</w:t>
      </w:r>
    </w:p>
    <w:p w14:paraId="1FC756B2" w14:textId="692214AE" w:rsidR="006335BE" w:rsidRPr="008F170F" w:rsidRDefault="003711C3" w:rsidP="00041E58">
      <w:pPr>
        <w:pStyle w:val="Numberedparagraph"/>
        <w:rPr>
          <w:lang w:eastAsia="en-AU"/>
        </w:rPr>
      </w:pPr>
      <w:r>
        <w:t xml:space="preserve">Following extensive consultation and research, the </w:t>
      </w:r>
      <w:r w:rsidR="005469C6">
        <w:t>QHRC</w:t>
      </w:r>
      <w:r w:rsidR="00D42B69">
        <w:t xml:space="preserve"> has recently published its report </w:t>
      </w:r>
      <w:r w:rsidR="00D42B69" w:rsidRPr="001351EB">
        <w:rPr>
          <w:i/>
          <w:iCs/>
        </w:rPr>
        <w:t>Building Belonging</w:t>
      </w:r>
      <w:r w:rsidR="00D42B69">
        <w:t xml:space="preserve"> </w:t>
      </w:r>
      <w:r w:rsidR="00D42B69">
        <w:rPr>
          <w:i/>
          <w:iCs/>
        </w:rPr>
        <w:t>Report – Review of Queensland’s Anti-Discrimination Act 1991</w:t>
      </w:r>
      <w:r w:rsidR="00D42B69">
        <w:t xml:space="preserve"> (</w:t>
      </w:r>
      <w:r w:rsidR="00D42B69">
        <w:rPr>
          <w:i/>
          <w:iCs/>
        </w:rPr>
        <w:t>Building Belonging)</w:t>
      </w:r>
      <w:r w:rsidR="00D42B69">
        <w:t xml:space="preserve"> which recommends </w:t>
      </w:r>
      <w:r w:rsidR="002A3889">
        <w:t xml:space="preserve">updating exemptions </w:t>
      </w:r>
      <w:r w:rsidR="00614DFC">
        <w:t>in relation to</w:t>
      </w:r>
      <w:r w:rsidR="00D42B69">
        <w:t xml:space="preserve"> </w:t>
      </w:r>
      <w:r w:rsidR="008327AD">
        <w:t xml:space="preserve">religious </w:t>
      </w:r>
      <w:r w:rsidR="00D42B69">
        <w:t>educational institutions</w:t>
      </w:r>
      <w:r w:rsidR="00911D8C">
        <w:t>.</w:t>
      </w:r>
      <w:r w:rsidR="003A09DA">
        <w:rPr>
          <w:rStyle w:val="FootnoteReference"/>
        </w:rPr>
        <w:footnoteReference w:id="4"/>
      </w:r>
    </w:p>
    <w:p w14:paraId="1AF3A1FB" w14:textId="77777777" w:rsidR="005429BA" w:rsidRDefault="005429BA" w:rsidP="005429BA">
      <w:pPr>
        <w:pStyle w:val="Heading1"/>
        <w:rPr>
          <w:lang w:eastAsia="en-AU"/>
        </w:rPr>
      </w:pPr>
      <w:bookmarkStart w:id="7" w:name="_Toc128033983"/>
      <w:r>
        <w:rPr>
          <w:lang w:eastAsia="en-AU"/>
        </w:rPr>
        <w:t>Queensland experience</w:t>
      </w:r>
      <w:bookmarkEnd w:id="7"/>
    </w:p>
    <w:p w14:paraId="0F99EA83" w14:textId="77777777" w:rsidR="005429BA" w:rsidRDefault="00A73896" w:rsidP="00A73896">
      <w:pPr>
        <w:pStyle w:val="Heading2"/>
        <w:rPr>
          <w:lang w:eastAsia="en-AU"/>
        </w:rPr>
      </w:pPr>
      <w:bookmarkStart w:id="8" w:name="_Toc128033984"/>
      <w:r>
        <w:rPr>
          <w:lang w:eastAsia="en-AU"/>
        </w:rPr>
        <w:t>Overview of Queensland anti-discrimination laws</w:t>
      </w:r>
      <w:bookmarkEnd w:id="8"/>
    </w:p>
    <w:p w14:paraId="1EC64C47" w14:textId="77777777" w:rsidR="00D33269" w:rsidRDefault="00D33269" w:rsidP="00D33269">
      <w:pPr>
        <w:pStyle w:val="Heading3"/>
        <w:rPr>
          <w:lang w:eastAsia="en-AU"/>
        </w:rPr>
      </w:pPr>
      <w:bookmarkStart w:id="9" w:name="_Toc128033985"/>
      <w:r>
        <w:rPr>
          <w:lang w:eastAsia="en-AU"/>
        </w:rPr>
        <w:t>Students</w:t>
      </w:r>
      <w:bookmarkEnd w:id="9"/>
    </w:p>
    <w:p w14:paraId="38690B79" w14:textId="5B803B50" w:rsidR="00587E58" w:rsidRDefault="00D33269" w:rsidP="00587E58">
      <w:pPr>
        <w:pStyle w:val="Numberedparagraph"/>
        <w:rPr>
          <w:lang w:eastAsia="en-AU"/>
        </w:rPr>
      </w:pPr>
      <w:r>
        <w:rPr>
          <w:lang w:eastAsia="en-AU"/>
        </w:rPr>
        <w:t>In Queensland the general exemption for religious bodies does not apply to the area of education.</w:t>
      </w:r>
      <w:r>
        <w:rPr>
          <w:rStyle w:val="FootnoteReference"/>
          <w:lang w:eastAsia="en-AU"/>
        </w:rPr>
        <w:footnoteReference w:id="5"/>
      </w:r>
    </w:p>
    <w:p w14:paraId="30E9E5F8" w14:textId="1F25DDA2" w:rsidR="00D33269" w:rsidRDefault="00D33269" w:rsidP="00587E58">
      <w:pPr>
        <w:pStyle w:val="Numberedparagraph"/>
        <w:rPr>
          <w:lang w:eastAsia="en-AU"/>
        </w:rPr>
      </w:pPr>
      <w:r>
        <w:rPr>
          <w:lang w:eastAsia="en-AU"/>
        </w:rPr>
        <w:t xml:space="preserve">A limited exemption allows for preferencing </w:t>
      </w:r>
      <w:r w:rsidR="00DB1329">
        <w:rPr>
          <w:lang w:eastAsia="en-AU"/>
        </w:rPr>
        <w:t>of</w:t>
      </w:r>
      <w:r>
        <w:rPr>
          <w:lang w:eastAsia="en-AU"/>
        </w:rPr>
        <w:t xml:space="preserve"> students on the basis of </w:t>
      </w:r>
      <w:r w:rsidRPr="00DB1329">
        <w:rPr>
          <w:i/>
          <w:lang w:eastAsia="en-AU"/>
        </w:rPr>
        <w:t>religion</w:t>
      </w:r>
      <w:r>
        <w:rPr>
          <w:lang w:eastAsia="en-AU"/>
        </w:rPr>
        <w:t xml:space="preserve"> (as opposed to ‘religious belief or activity’), but it only applies on enrolment.</w:t>
      </w:r>
      <w:r>
        <w:rPr>
          <w:rStyle w:val="FootnoteReference"/>
          <w:lang w:eastAsia="en-AU"/>
        </w:rPr>
        <w:footnoteReference w:id="6"/>
      </w:r>
    </w:p>
    <w:p w14:paraId="701126C0" w14:textId="77777777" w:rsidR="009D2832" w:rsidRDefault="005469C6" w:rsidP="00587E58">
      <w:pPr>
        <w:pStyle w:val="Numberedparagraph"/>
        <w:rPr>
          <w:lang w:eastAsia="en-AU"/>
        </w:rPr>
      </w:pPr>
      <w:r>
        <w:rPr>
          <w:lang w:eastAsia="en-AU"/>
        </w:rPr>
        <w:lastRenderedPageBreak/>
        <w:t>QHRC</w:t>
      </w:r>
      <w:r w:rsidR="00884DFD">
        <w:rPr>
          <w:lang w:eastAsia="en-AU"/>
        </w:rPr>
        <w:t xml:space="preserve">’s recent </w:t>
      </w:r>
      <w:r w:rsidR="00884DFD">
        <w:rPr>
          <w:i/>
          <w:iCs/>
          <w:lang w:eastAsia="en-AU"/>
        </w:rPr>
        <w:t xml:space="preserve">Building Belonging </w:t>
      </w:r>
      <w:r w:rsidR="00884DFD">
        <w:rPr>
          <w:lang w:eastAsia="en-AU"/>
        </w:rPr>
        <w:t xml:space="preserve">report considered that </w:t>
      </w:r>
      <w:r w:rsidR="00EB20AD">
        <w:rPr>
          <w:lang w:eastAsia="en-AU"/>
        </w:rPr>
        <w:t>the current approach effectively protects students without unreasonably restricting the operation of religious schools</w:t>
      </w:r>
      <w:r w:rsidR="00C6055F">
        <w:rPr>
          <w:lang w:eastAsia="en-AU"/>
        </w:rPr>
        <w:t xml:space="preserve">. However, </w:t>
      </w:r>
      <w:r w:rsidR="007E22CF">
        <w:rPr>
          <w:lang w:eastAsia="en-AU"/>
        </w:rPr>
        <w:t xml:space="preserve">the </w:t>
      </w:r>
      <w:r>
        <w:rPr>
          <w:lang w:eastAsia="en-AU"/>
        </w:rPr>
        <w:t>QHRC</w:t>
      </w:r>
      <w:r w:rsidR="00C6055F">
        <w:rPr>
          <w:lang w:eastAsia="en-AU"/>
        </w:rPr>
        <w:t xml:space="preserve"> recommended further clarity</w:t>
      </w:r>
      <w:r w:rsidR="0057678D">
        <w:rPr>
          <w:lang w:eastAsia="en-AU"/>
        </w:rPr>
        <w:t xml:space="preserve"> </w:t>
      </w:r>
      <w:r w:rsidR="004E75CB">
        <w:rPr>
          <w:lang w:eastAsia="en-AU"/>
        </w:rPr>
        <w:t xml:space="preserve">in </w:t>
      </w:r>
      <w:r w:rsidR="00BB52DF">
        <w:rPr>
          <w:lang w:eastAsia="en-AU"/>
        </w:rPr>
        <w:t xml:space="preserve">the updated legislation </w:t>
      </w:r>
      <w:r w:rsidR="0057678D">
        <w:rPr>
          <w:lang w:eastAsia="en-AU"/>
        </w:rPr>
        <w:t xml:space="preserve">through </w:t>
      </w:r>
      <w:r w:rsidR="00C6055F">
        <w:rPr>
          <w:lang w:eastAsia="en-AU"/>
        </w:rPr>
        <w:t xml:space="preserve">inclusion of </w:t>
      </w:r>
      <w:r w:rsidR="0057678D">
        <w:rPr>
          <w:lang w:eastAsia="en-AU"/>
        </w:rPr>
        <w:t>a legislative note</w:t>
      </w:r>
      <w:r w:rsidR="00EB20AD">
        <w:rPr>
          <w:lang w:eastAsia="en-AU"/>
        </w:rPr>
        <w:t xml:space="preserve"> </w:t>
      </w:r>
      <w:r w:rsidR="00C6055F">
        <w:rPr>
          <w:lang w:eastAsia="en-AU"/>
        </w:rPr>
        <w:t xml:space="preserve">confirming </w:t>
      </w:r>
      <w:r w:rsidR="00EB20AD">
        <w:rPr>
          <w:lang w:eastAsia="en-AU"/>
        </w:rPr>
        <w:t xml:space="preserve">than </w:t>
      </w:r>
      <w:r w:rsidR="0057678D">
        <w:rPr>
          <w:lang w:eastAsia="en-AU"/>
        </w:rPr>
        <w:t>the enrolment</w:t>
      </w:r>
      <w:r w:rsidR="00EB20AD">
        <w:rPr>
          <w:lang w:eastAsia="en-AU"/>
        </w:rPr>
        <w:t xml:space="preserve"> </w:t>
      </w:r>
      <w:r w:rsidR="008E53EB">
        <w:rPr>
          <w:lang w:eastAsia="en-AU"/>
        </w:rPr>
        <w:t>exemption</w:t>
      </w:r>
      <w:r w:rsidR="00EB20AD">
        <w:rPr>
          <w:lang w:eastAsia="en-AU"/>
        </w:rPr>
        <w:t xml:space="preserve"> for religio</w:t>
      </w:r>
      <w:r w:rsidR="0057678D">
        <w:rPr>
          <w:lang w:eastAsia="en-AU"/>
        </w:rPr>
        <w:t xml:space="preserve">us schools applies </w:t>
      </w:r>
      <w:r w:rsidR="00C6055F">
        <w:rPr>
          <w:lang w:eastAsia="en-AU"/>
        </w:rPr>
        <w:t>only</w:t>
      </w:r>
      <w:r w:rsidR="0057678D">
        <w:rPr>
          <w:lang w:eastAsia="en-AU"/>
        </w:rPr>
        <w:t xml:space="preserve"> to</w:t>
      </w:r>
      <w:r w:rsidR="009D2832">
        <w:rPr>
          <w:lang w:eastAsia="en-AU"/>
        </w:rPr>
        <w:t>:</w:t>
      </w:r>
    </w:p>
    <w:p w14:paraId="403DD5BC" w14:textId="77777777" w:rsidR="009D2832" w:rsidRDefault="0057678D" w:rsidP="009D2832">
      <w:pPr>
        <w:pStyle w:val="Bulletedlist"/>
        <w:rPr>
          <w:lang w:eastAsia="en-AU"/>
        </w:rPr>
      </w:pPr>
      <w:r>
        <w:rPr>
          <w:lang w:eastAsia="en-AU"/>
        </w:rPr>
        <w:t>the initial enrolment of a child in school</w:t>
      </w:r>
      <w:r w:rsidR="00143341">
        <w:rPr>
          <w:lang w:eastAsia="en-AU"/>
        </w:rPr>
        <w:t xml:space="preserve"> (rather than annual ‘</w:t>
      </w:r>
      <w:r w:rsidR="00DC7895">
        <w:rPr>
          <w:lang w:eastAsia="en-AU"/>
        </w:rPr>
        <w:t>re-</w:t>
      </w:r>
      <w:r w:rsidR="00143341">
        <w:rPr>
          <w:lang w:eastAsia="en-AU"/>
        </w:rPr>
        <w:t>enrolment’</w:t>
      </w:r>
      <w:r w:rsidR="00945C85">
        <w:rPr>
          <w:lang w:eastAsia="en-AU"/>
        </w:rPr>
        <w:t>) and</w:t>
      </w:r>
      <w:r>
        <w:rPr>
          <w:lang w:eastAsia="en-AU"/>
        </w:rPr>
        <w:t xml:space="preserve"> </w:t>
      </w:r>
    </w:p>
    <w:p w14:paraId="04BDC9A6" w14:textId="796DCCD3" w:rsidR="00884DFD" w:rsidRDefault="00DF7C30" w:rsidP="009D2832">
      <w:pPr>
        <w:pStyle w:val="Bulletedlist"/>
        <w:rPr>
          <w:lang w:eastAsia="en-AU"/>
        </w:rPr>
      </w:pPr>
      <w:r>
        <w:rPr>
          <w:lang w:eastAsia="en-AU"/>
        </w:rPr>
        <w:t xml:space="preserve">a student being of </w:t>
      </w:r>
      <w:r w:rsidR="00143341">
        <w:rPr>
          <w:lang w:eastAsia="en-AU"/>
        </w:rPr>
        <w:t xml:space="preserve">a particular </w:t>
      </w:r>
      <w:r w:rsidR="00143341" w:rsidRPr="00945C85">
        <w:rPr>
          <w:i/>
          <w:iCs/>
          <w:lang w:eastAsia="en-AU"/>
        </w:rPr>
        <w:t>religion</w:t>
      </w:r>
      <w:r w:rsidR="00143341">
        <w:rPr>
          <w:lang w:eastAsia="en-AU"/>
        </w:rPr>
        <w:t xml:space="preserve"> </w:t>
      </w:r>
      <w:r>
        <w:rPr>
          <w:lang w:eastAsia="en-AU"/>
        </w:rPr>
        <w:t>rather than</w:t>
      </w:r>
      <w:r w:rsidR="00945C85">
        <w:rPr>
          <w:lang w:eastAsia="en-AU"/>
        </w:rPr>
        <w:t xml:space="preserve"> </w:t>
      </w:r>
      <w:r w:rsidR="00574D60">
        <w:rPr>
          <w:lang w:eastAsia="en-AU"/>
        </w:rPr>
        <w:t xml:space="preserve">the </w:t>
      </w:r>
      <w:r w:rsidR="00945C85">
        <w:rPr>
          <w:lang w:eastAsia="en-AU"/>
        </w:rPr>
        <w:t xml:space="preserve">student having specific </w:t>
      </w:r>
      <w:r w:rsidR="0007280F">
        <w:rPr>
          <w:lang w:eastAsia="en-AU"/>
        </w:rPr>
        <w:t>religious belief</w:t>
      </w:r>
      <w:r w:rsidR="002C34AD">
        <w:rPr>
          <w:lang w:eastAsia="en-AU"/>
        </w:rPr>
        <w:t>s</w:t>
      </w:r>
      <w:r w:rsidR="0007280F">
        <w:rPr>
          <w:lang w:eastAsia="en-AU"/>
        </w:rPr>
        <w:t xml:space="preserve"> or </w:t>
      </w:r>
      <w:r w:rsidR="00945C85">
        <w:rPr>
          <w:lang w:eastAsia="en-AU"/>
        </w:rPr>
        <w:t>activities</w:t>
      </w:r>
      <w:r w:rsidR="0007280F">
        <w:rPr>
          <w:lang w:eastAsia="en-AU"/>
        </w:rPr>
        <w:t>.</w:t>
      </w:r>
      <w:r w:rsidR="0007280F">
        <w:rPr>
          <w:rStyle w:val="FootnoteReference"/>
          <w:lang w:eastAsia="en-AU"/>
        </w:rPr>
        <w:footnoteReference w:id="7"/>
      </w:r>
      <w:r w:rsidR="007E22CF">
        <w:rPr>
          <w:lang w:eastAsia="en-AU"/>
        </w:rPr>
        <w:t xml:space="preserve"> </w:t>
      </w:r>
    </w:p>
    <w:p w14:paraId="182819BD" w14:textId="77777777" w:rsidR="00D33269" w:rsidRDefault="00D33269" w:rsidP="00D33269">
      <w:pPr>
        <w:pStyle w:val="Heading3"/>
        <w:rPr>
          <w:lang w:eastAsia="en-AU"/>
        </w:rPr>
      </w:pPr>
      <w:bookmarkStart w:id="10" w:name="_Toc128033986"/>
      <w:r>
        <w:rPr>
          <w:lang w:eastAsia="en-AU"/>
        </w:rPr>
        <w:t>Staff</w:t>
      </w:r>
      <w:bookmarkEnd w:id="10"/>
    </w:p>
    <w:p w14:paraId="64C27505" w14:textId="5AD2F707" w:rsidR="00737A8D" w:rsidRDefault="00737A8D" w:rsidP="00446131">
      <w:pPr>
        <w:pStyle w:val="Numberedparagraph"/>
        <w:rPr>
          <w:lang w:eastAsia="en-AU"/>
        </w:rPr>
      </w:pPr>
      <w:r>
        <w:t xml:space="preserve">The Queensland </w:t>
      </w:r>
      <w:r w:rsidR="0045145B">
        <w:t>AD</w:t>
      </w:r>
      <w:r>
        <w:t xml:space="preserve"> Act currently permits discrimination in relation to employment in an educational institution under the direction or control of a body established for religious purposes, or other work for a body established for religious purposes, if the work genuinely and necessarily involves adhering to and communicating the body’s religious beliefs.</w:t>
      </w:r>
      <w:r w:rsidR="00CE1B80">
        <w:rPr>
          <w:rStyle w:val="FootnoteReference"/>
        </w:rPr>
        <w:footnoteReference w:id="8"/>
      </w:r>
    </w:p>
    <w:p w14:paraId="2ABDD486" w14:textId="51ACFC03" w:rsidR="00A05064" w:rsidRDefault="00A05064" w:rsidP="00446131">
      <w:pPr>
        <w:pStyle w:val="Numberedparagraph"/>
        <w:rPr>
          <w:lang w:eastAsia="en-AU"/>
        </w:rPr>
      </w:pPr>
      <w:r>
        <w:t xml:space="preserve">Where it is a genuine occupational requirement for an employee to act in a way </w:t>
      </w:r>
      <w:r w:rsidR="00E60DC7">
        <w:t xml:space="preserve">that is </w:t>
      </w:r>
      <w:r>
        <w:t>consistent with the employer’s religious beliefs, the employer may discriminate in a way that is not unreasonable, if the person ‘openly acts’ in a way that is contrary to those beliefs.</w:t>
      </w:r>
    </w:p>
    <w:p w14:paraId="122FE3EE" w14:textId="1BC35CC5" w:rsidR="00A05064" w:rsidRDefault="00A05064" w:rsidP="00446131">
      <w:pPr>
        <w:pStyle w:val="Numberedparagraph"/>
        <w:rPr>
          <w:lang w:eastAsia="en-AU"/>
        </w:rPr>
      </w:pPr>
      <w:r>
        <w:t>Whether the discrimination is unreasonable depends on all the circumstances of the case including factors such as whether the action taken by the employer is disproportionate to the behaviour, and the consequences for both the person and the employer. This exemption does not apply to discrimination on the basis of age, race, or impairment, and does not allow an employer to seek information on which discrimination might be based.</w:t>
      </w:r>
    </w:p>
    <w:p w14:paraId="6CC23F48" w14:textId="158D3C8B" w:rsidR="00E13701" w:rsidRDefault="00E13701" w:rsidP="00446131">
      <w:pPr>
        <w:pStyle w:val="Numberedparagraph"/>
        <w:rPr>
          <w:lang w:eastAsia="en-AU"/>
        </w:rPr>
      </w:pPr>
      <w:r>
        <w:t xml:space="preserve">In </w:t>
      </w:r>
      <w:r w:rsidRPr="001E3D97">
        <w:rPr>
          <w:i/>
          <w:iCs/>
        </w:rPr>
        <w:t>Building Belonging</w:t>
      </w:r>
      <w:r>
        <w:t xml:space="preserve">, </w:t>
      </w:r>
      <w:r w:rsidR="005469C6">
        <w:t>QHRC</w:t>
      </w:r>
      <w:r w:rsidR="00890A4C">
        <w:t xml:space="preserve"> identified </w:t>
      </w:r>
      <w:r w:rsidR="003B58C3">
        <w:t>issues</w:t>
      </w:r>
      <w:r w:rsidR="00890A4C">
        <w:t xml:space="preserve"> with the existing exemption </w:t>
      </w:r>
      <w:r w:rsidR="0072525B">
        <w:t>and determined</w:t>
      </w:r>
      <w:r w:rsidR="00EA4022">
        <w:t xml:space="preserve"> </w:t>
      </w:r>
      <w:r w:rsidR="0012355C">
        <w:t>that</w:t>
      </w:r>
      <w:r w:rsidR="00EA4022">
        <w:t xml:space="preserve"> </w:t>
      </w:r>
      <w:r w:rsidR="00A20F0F">
        <w:t xml:space="preserve">it is necessary to </w:t>
      </w:r>
      <w:r w:rsidR="002C6B8D">
        <w:t>update</w:t>
      </w:r>
      <w:r w:rsidR="003B58C3">
        <w:t xml:space="preserve"> the exemption </w:t>
      </w:r>
      <w:r w:rsidR="00A20F0F">
        <w:t xml:space="preserve">to </w:t>
      </w:r>
      <w:r w:rsidR="002C6B8D">
        <w:t>better protect</w:t>
      </w:r>
      <w:r w:rsidR="00A20F0F">
        <w:t xml:space="preserve"> the rights to privacy and non-discrimination of staff. While recommending that an</w:t>
      </w:r>
      <w:r>
        <w:t xml:space="preserve"> exemption be retained in relation to staff working for religious bodies, </w:t>
      </w:r>
      <w:r w:rsidR="005469C6">
        <w:t>QHRC</w:t>
      </w:r>
      <w:r w:rsidR="00A20F0F">
        <w:t xml:space="preserve"> recommended that it be amended to </w:t>
      </w:r>
      <w:r w:rsidR="00E61152">
        <w:t>reflect</w:t>
      </w:r>
      <w:r w:rsidR="00A20F0F">
        <w:t xml:space="preserve"> a </w:t>
      </w:r>
      <w:r w:rsidR="004C5F5D">
        <w:t>more balanced exemption</w:t>
      </w:r>
      <w:r w:rsidR="00E61152">
        <w:t xml:space="preserve"> which is less </w:t>
      </w:r>
      <w:r w:rsidR="002C6B8D">
        <w:t>centred around</w:t>
      </w:r>
      <w:r w:rsidR="00E61152">
        <w:t xml:space="preserve"> ‘concealing’ a person’s attributes</w:t>
      </w:r>
      <w:r>
        <w:t>. In summary th</w:t>
      </w:r>
      <w:r w:rsidR="007B1DCD">
        <w:t>e recommended approach included:</w:t>
      </w:r>
    </w:p>
    <w:p w14:paraId="42A242FB" w14:textId="6D21F870" w:rsidR="007B1DCD" w:rsidRDefault="007B1DCD" w:rsidP="00642FB8">
      <w:pPr>
        <w:pStyle w:val="Bulletedlist"/>
        <w:spacing w:before="240" w:line="240" w:lineRule="atLeast"/>
        <w:contextualSpacing w:val="0"/>
        <w:rPr>
          <w:lang w:eastAsia="en-GB"/>
        </w:rPr>
      </w:pPr>
      <w:r>
        <w:rPr>
          <w:lang w:eastAsia="en-GB"/>
        </w:rPr>
        <w:t>Discrimination being confined only to being on the basis of the attribute of religious belief or activity</w:t>
      </w:r>
      <w:r w:rsidR="004C5F5D">
        <w:rPr>
          <w:lang w:eastAsia="en-GB"/>
        </w:rPr>
        <w:t>; and</w:t>
      </w:r>
    </w:p>
    <w:p w14:paraId="1E08775E" w14:textId="45303E7C" w:rsidR="00A221BA" w:rsidRDefault="00A221BA" w:rsidP="00642FB8">
      <w:pPr>
        <w:pStyle w:val="Bulletedlist"/>
        <w:spacing w:before="240" w:line="240" w:lineRule="atLeast"/>
        <w:contextualSpacing w:val="0"/>
        <w:rPr>
          <w:lang w:eastAsia="en-GB"/>
        </w:rPr>
      </w:pPr>
      <w:r>
        <w:rPr>
          <w:lang w:eastAsia="en-GB"/>
        </w:rPr>
        <w:t>Where the discrimination is reasonable and proportionate in the circumstances</w:t>
      </w:r>
      <w:r w:rsidR="004C5F5D">
        <w:rPr>
          <w:lang w:eastAsia="en-GB"/>
        </w:rPr>
        <w:t>;</w:t>
      </w:r>
      <w:r>
        <w:rPr>
          <w:lang w:eastAsia="en-GB"/>
        </w:rPr>
        <w:t xml:space="preserve"> and</w:t>
      </w:r>
    </w:p>
    <w:p w14:paraId="21965E29" w14:textId="26935C9C" w:rsidR="00A221BA" w:rsidRDefault="00040546" w:rsidP="00642FB8">
      <w:pPr>
        <w:pStyle w:val="Bulletedlist"/>
        <w:spacing w:before="240" w:line="240" w:lineRule="atLeast"/>
        <w:contextualSpacing w:val="0"/>
        <w:rPr>
          <w:lang w:eastAsia="en-GB"/>
        </w:rPr>
      </w:pPr>
      <w:r>
        <w:rPr>
          <w:lang w:eastAsia="en-GB"/>
        </w:rPr>
        <w:lastRenderedPageBreak/>
        <w:t>Where t</w:t>
      </w:r>
      <w:r w:rsidR="00A221BA">
        <w:rPr>
          <w:lang w:eastAsia="en-GB"/>
        </w:rPr>
        <w:t>he participation of the person in the teaching, observation or practice of religion in a genuine occupational requirement.</w:t>
      </w:r>
    </w:p>
    <w:p w14:paraId="2D699152" w14:textId="5FF01511" w:rsidR="00A221BA" w:rsidRDefault="005469C6" w:rsidP="00A221BA">
      <w:pPr>
        <w:pStyle w:val="Numberedparagraph"/>
        <w:rPr>
          <w:lang w:eastAsia="en-AU"/>
        </w:rPr>
      </w:pPr>
      <w:r>
        <w:rPr>
          <w:lang w:eastAsia="en-AU"/>
        </w:rPr>
        <w:t>QHRC</w:t>
      </w:r>
      <w:r w:rsidR="00A221BA">
        <w:rPr>
          <w:lang w:eastAsia="en-AU"/>
        </w:rPr>
        <w:t xml:space="preserve"> further recommended </w:t>
      </w:r>
      <w:r w:rsidR="00040546">
        <w:rPr>
          <w:lang w:eastAsia="en-AU"/>
        </w:rPr>
        <w:t xml:space="preserve">the inclusion of </w:t>
      </w:r>
      <w:r w:rsidR="00A221BA">
        <w:rPr>
          <w:lang w:eastAsia="en-AU"/>
        </w:rPr>
        <w:t>a non-</w:t>
      </w:r>
      <w:r w:rsidR="001E3D97">
        <w:rPr>
          <w:lang w:eastAsia="en-AU"/>
        </w:rPr>
        <w:t>exhaustive</w:t>
      </w:r>
      <w:r w:rsidR="00A221BA">
        <w:rPr>
          <w:lang w:eastAsia="en-AU"/>
        </w:rPr>
        <w:t xml:space="preserve"> list of factors to provide guidance as to whether </w:t>
      </w:r>
      <w:r w:rsidR="001E3D97">
        <w:rPr>
          <w:lang w:eastAsia="en-AU"/>
        </w:rPr>
        <w:t>it is reasonable and proportionate to discriminate</w:t>
      </w:r>
      <w:r w:rsidR="00890A4C">
        <w:rPr>
          <w:lang w:eastAsia="en-AU"/>
        </w:rPr>
        <w:t xml:space="preserve"> in the circumstances</w:t>
      </w:r>
      <w:r w:rsidR="001E3D97">
        <w:rPr>
          <w:lang w:eastAsia="en-AU"/>
        </w:rPr>
        <w:t>.</w:t>
      </w:r>
      <w:r w:rsidR="001E3D97">
        <w:rPr>
          <w:rStyle w:val="FootnoteReference"/>
          <w:lang w:eastAsia="en-AU"/>
        </w:rPr>
        <w:footnoteReference w:id="9"/>
      </w:r>
    </w:p>
    <w:p w14:paraId="601842AA" w14:textId="77777777" w:rsidR="005429BA" w:rsidRDefault="00A73896" w:rsidP="006B202C">
      <w:pPr>
        <w:pStyle w:val="Heading2"/>
        <w:rPr>
          <w:lang w:eastAsia="en-AU"/>
        </w:rPr>
      </w:pPr>
      <w:bookmarkStart w:id="11" w:name="_Toc128033987"/>
      <w:r>
        <w:rPr>
          <w:lang w:eastAsia="en-AU"/>
        </w:rPr>
        <w:t>Complaints data</w:t>
      </w:r>
      <w:bookmarkEnd w:id="11"/>
    </w:p>
    <w:p w14:paraId="7C29E996" w14:textId="725C8005" w:rsidR="00506B68" w:rsidRPr="00506B68" w:rsidRDefault="005469C6" w:rsidP="00506B68">
      <w:pPr>
        <w:pStyle w:val="Numberedparagraph"/>
        <w:rPr>
          <w:lang w:eastAsia="en-AU"/>
        </w:rPr>
      </w:pPr>
      <w:r>
        <w:rPr>
          <w:lang w:eastAsia="en-AU"/>
        </w:rPr>
        <w:t>QHRC</w:t>
      </w:r>
      <w:r w:rsidR="00506B68">
        <w:rPr>
          <w:lang w:eastAsia="en-AU"/>
        </w:rPr>
        <w:t xml:space="preserve">’s </w:t>
      </w:r>
      <w:r w:rsidR="00EB150E">
        <w:rPr>
          <w:lang w:eastAsia="en-AU"/>
        </w:rPr>
        <w:t>complaints data</w:t>
      </w:r>
      <w:r w:rsidR="00506B68">
        <w:rPr>
          <w:lang w:eastAsia="en-AU"/>
        </w:rPr>
        <w:t xml:space="preserve"> indicates that changes to the laws in Queensland in 2002 have not resulted in </w:t>
      </w:r>
      <w:r w:rsidR="0035669C">
        <w:rPr>
          <w:lang w:eastAsia="en-AU"/>
        </w:rPr>
        <w:t>large</w:t>
      </w:r>
      <w:r w:rsidR="00506B68">
        <w:rPr>
          <w:lang w:eastAsia="en-AU"/>
        </w:rPr>
        <w:t xml:space="preserve"> numbers of complaints </w:t>
      </w:r>
      <w:r w:rsidR="0035669C">
        <w:rPr>
          <w:lang w:eastAsia="en-AU"/>
        </w:rPr>
        <w:t xml:space="preserve">being </w:t>
      </w:r>
      <w:r w:rsidR="00506B68">
        <w:rPr>
          <w:lang w:eastAsia="en-AU"/>
        </w:rPr>
        <w:t xml:space="preserve">made against religious educational </w:t>
      </w:r>
      <w:r w:rsidR="00A71792">
        <w:rPr>
          <w:lang w:eastAsia="en-AU"/>
        </w:rPr>
        <w:t>authorities or</w:t>
      </w:r>
      <w:r w:rsidR="00506B68">
        <w:rPr>
          <w:lang w:eastAsia="en-AU"/>
        </w:rPr>
        <w:t xml:space="preserve"> institutions, either </w:t>
      </w:r>
      <w:r w:rsidR="00F94F6A">
        <w:rPr>
          <w:lang w:eastAsia="en-AU"/>
        </w:rPr>
        <w:t>by</w:t>
      </w:r>
      <w:r w:rsidR="00506B68">
        <w:rPr>
          <w:lang w:eastAsia="en-AU"/>
        </w:rPr>
        <w:t xml:space="preserve"> students or employees</w:t>
      </w:r>
      <w:r w:rsidR="00115E78">
        <w:rPr>
          <w:lang w:eastAsia="en-AU"/>
        </w:rPr>
        <w:t>, in the two decades since</w:t>
      </w:r>
      <w:r w:rsidR="00506B68">
        <w:rPr>
          <w:lang w:eastAsia="en-AU"/>
        </w:rPr>
        <w:t>.</w:t>
      </w:r>
    </w:p>
    <w:p w14:paraId="152214D1" w14:textId="77AB3D4D" w:rsidR="00DB14D4" w:rsidRDefault="00DB14D4" w:rsidP="00506B68">
      <w:pPr>
        <w:pStyle w:val="Numberedparagraph"/>
        <w:rPr>
          <w:lang w:eastAsia="en-AU"/>
        </w:rPr>
      </w:pPr>
      <w:r>
        <w:rPr>
          <w:lang w:eastAsia="en-AU"/>
        </w:rPr>
        <w:t xml:space="preserve">Despite being the subject of </w:t>
      </w:r>
      <w:r w:rsidR="0033637B">
        <w:rPr>
          <w:lang w:eastAsia="en-AU"/>
        </w:rPr>
        <w:t>considerable</w:t>
      </w:r>
      <w:r>
        <w:rPr>
          <w:lang w:eastAsia="en-AU"/>
        </w:rPr>
        <w:t xml:space="preserve"> public discussion in recent years, in </w:t>
      </w:r>
      <w:r w:rsidR="005469C6">
        <w:rPr>
          <w:lang w:eastAsia="en-AU"/>
        </w:rPr>
        <w:t>QHRC</w:t>
      </w:r>
      <w:r>
        <w:rPr>
          <w:lang w:eastAsia="en-AU"/>
        </w:rPr>
        <w:t>’s expe</w:t>
      </w:r>
      <w:r w:rsidRPr="001B66BF">
        <w:rPr>
          <w:lang w:eastAsia="en-AU"/>
        </w:rPr>
        <w:t>rience</w:t>
      </w:r>
      <w:r>
        <w:rPr>
          <w:lang w:eastAsia="en-AU"/>
        </w:rPr>
        <w:t xml:space="preserve"> the complaints </w:t>
      </w:r>
      <w:r w:rsidR="00E901EF">
        <w:rPr>
          <w:lang w:eastAsia="en-AU"/>
        </w:rPr>
        <w:t>against</w:t>
      </w:r>
      <w:r w:rsidR="00F95623">
        <w:rPr>
          <w:lang w:eastAsia="en-AU"/>
        </w:rPr>
        <w:t xml:space="preserve"> religious educational institutions on the basis of </w:t>
      </w:r>
      <w:r w:rsidR="00E901EF">
        <w:rPr>
          <w:lang w:eastAsia="en-AU"/>
        </w:rPr>
        <w:t xml:space="preserve">sex, </w:t>
      </w:r>
      <w:r w:rsidR="00873CD9">
        <w:rPr>
          <w:lang w:eastAsia="en-AU"/>
        </w:rPr>
        <w:t xml:space="preserve">pregnancy, </w:t>
      </w:r>
      <w:r w:rsidR="00E901EF">
        <w:rPr>
          <w:lang w:eastAsia="en-AU"/>
        </w:rPr>
        <w:t xml:space="preserve">sexuality, gender identity, </w:t>
      </w:r>
      <w:r w:rsidR="00F63051">
        <w:rPr>
          <w:lang w:eastAsia="en-AU"/>
        </w:rPr>
        <w:t>intersex status,</w:t>
      </w:r>
      <w:r w:rsidR="00F63051">
        <w:rPr>
          <w:rStyle w:val="FootnoteReference"/>
          <w:lang w:eastAsia="en-AU"/>
        </w:rPr>
        <w:footnoteReference w:id="10"/>
      </w:r>
      <w:r w:rsidR="00F63051">
        <w:rPr>
          <w:lang w:eastAsia="en-AU"/>
        </w:rPr>
        <w:t xml:space="preserve"> </w:t>
      </w:r>
      <w:r w:rsidR="00873CD9">
        <w:rPr>
          <w:lang w:eastAsia="en-AU"/>
        </w:rPr>
        <w:t xml:space="preserve">or </w:t>
      </w:r>
      <w:r w:rsidR="00E901EF" w:rsidRPr="001B66BF">
        <w:rPr>
          <w:lang w:eastAsia="en-AU"/>
        </w:rPr>
        <w:t>relationship status</w:t>
      </w:r>
      <w:r w:rsidR="00E901EF">
        <w:rPr>
          <w:lang w:eastAsia="en-AU"/>
        </w:rPr>
        <w:t xml:space="preserve"> </w:t>
      </w:r>
      <w:r>
        <w:rPr>
          <w:lang w:eastAsia="en-AU"/>
        </w:rPr>
        <w:t xml:space="preserve">are very rare, and </w:t>
      </w:r>
      <w:r w:rsidR="0056675B">
        <w:rPr>
          <w:lang w:eastAsia="en-AU"/>
        </w:rPr>
        <w:t>the few</w:t>
      </w:r>
      <w:r w:rsidR="00F95623">
        <w:rPr>
          <w:lang w:eastAsia="en-AU"/>
        </w:rPr>
        <w:t xml:space="preserve"> that have been received have been </w:t>
      </w:r>
      <w:r w:rsidR="0056675B">
        <w:rPr>
          <w:lang w:eastAsia="en-AU"/>
        </w:rPr>
        <w:t>mostly</w:t>
      </w:r>
      <w:r w:rsidR="00F95623">
        <w:rPr>
          <w:lang w:eastAsia="en-AU"/>
        </w:rPr>
        <w:t xml:space="preserve"> </w:t>
      </w:r>
      <w:r w:rsidR="00446A02">
        <w:rPr>
          <w:lang w:eastAsia="en-AU"/>
        </w:rPr>
        <w:t xml:space="preserve">resolved </w:t>
      </w:r>
      <w:r w:rsidR="00F95623">
        <w:rPr>
          <w:lang w:eastAsia="en-AU"/>
        </w:rPr>
        <w:t>through the conciliation process</w:t>
      </w:r>
      <w:r w:rsidR="0056675B">
        <w:rPr>
          <w:lang w:eastAsia="en-AU"/>
        </w:rPr>
        <w:t xml:space="preserve">. </w:t>
      </w:r>
    </w:p>
    <w:p w14:paraId="6915E043" w14:textId="045D376E" w:rsidR="0056675B" w:rsidRPr="00506B68" w:rsidRDefault="000432C0" w:rsidP="00506B68">
      <w:pPr>
        <w:pStyle w:val="Numberedparagraph"/>
        <w:rPr>
          <w:lang w:eastAsia="en-AU"/>
        </w:rPr>
      </w:pPr>
      <w:r>
        <w:rPr>
          <w:lang w:eastAsia="en-AU"/>
        </w:rPr>
        <w:t xml:space="preserve">As far as </w:t>
      </w:r>
      <w:r w:rsidR="005469C6">
        <w:rPr>
          <w:lang w:eastAsia="en-AU"/>
        </w:rPr>
        <w:t>QHRC</w:t>
      </w:r>
      <w:r>
        <w:rPr>
          <w:lang w:eastAsia="en-AU"/>
        </w:rPr>
        <w:t xml:space="preserve"> is aware</w:t>
      </w:r>
      <w:r w:rsidR="0056675B">
        <w:rPr>
          <w:lang w:eastAsia="en-AU"/>
        </w:rPr>
        <w:t xml:space="preserve">, no decisions </w:t>
      </w:r>
      <w:r w:rsidR="00834537">
        <w:rPr>
          <w:lang w:eastAsia="en-AU"/>
        </w:rPr>
        <w:t xml:space="preserve">considering or </w:t>
      </w:r>
      <w:r w:rsidR="00F65BDA">
        <w:rPr>
          <w:lang w:eastAsia="en-AU"/>
        </w:rPr>
        <w:t xml:space="preserve">applying the Queensland </w:t>
      </w:r>
      <w:r w:rsidR="00C7278B">
        <w:rPr>
          <w:lang w:eastAsia="en-AU"/>
        </w:rPr>
        <w:t xml:space="preserve">religious </w:t>
      </w:r>
      <w:r w:rsidR="005606AA">
        <w:rPr>
          <w:lang w:eastAsia="en-AU"/>
        </w:rPr>
        <w:t xml:space="preserve">education </w:t>
      </w:r>
      <w:r w:rsidR="00F65BDA">
        <w:rPr>
          <w:lang w:eastAsia="en-AU"/>
        </w:rPr>
        <w:t>exemptions</w:t>
      </w:r>
      <w:r w:rsidR="00196BF0">
        <w:rPr>
          <w:lang w:eastAsia="en-AU"/>
        </w:rPr>
        <w:t xml:space="preserve"> </w:t>
      </w:r>
      <w:r w:rsidR="004E60CE">
        <w:rPr>
          <w:lang w:eastAsia="en-AU"/>
        </w:rPr>
        <w:t>to a complaint</w:t>
      </w:r>
      <w:r w:rsidR="0056675B">
        <w:rPr>
          <w:lang w:eastAsia="en-AU"/>
        </w:rPr>
        <w:t xml:space="preserve"> have ever been made </w:t>
      </w:r>
      <w:r w:rsidR="00C9277F">
        <w:rPr>
          <w:lang w:eastAsia="en-AU"/>
        </w:rPr>
        <w:t>by</w:t>
      </w:r>
      <w:r w:rsidR="0056675B">
        <w:rPr>
          <w:lang w:eastAsia="en-AU"/>
        </w:rPr>
        <w:t xml:space="preserve"> </w:t>
      </w:r>
      <w:r>
        <w:rPr>
          <w:lang w:eastAsia="en-AU"/>
        </w:rPr>
        <w:t>tribunals or courts</w:t>
      </w:r>
      <w:r w:rsidR="00905AC4">
        <w:rPr>
          <w:lang w:eastAsia="en-AU"/>
        </w:rPr>
        <w:t>.</w:t>
      </w:r>
    </w:p>
    <w:p w14:paraId="1DC24BE0" w14:textId="77777777" w:rsidR="00BA4A84" w:rsidRDefault="00BA4A84" w:rsidP="00BA4A84">
      <w:pPr>
        <w:pStyle w:val="Heading3"/>
        <w:rPr>
          <w:lang w:eastAsia="en-AU"/>
        </w:rPr>
      </w:pPr>
      <w:bookmarkStart w:id="12" w:name="_Toc128033988"/>
      <w:r>
        <w:rPr>
          <w:lang w:eastAsia="en-AU"/>
        </w:rPr>
        <w:t>Complaints by or on behalf of students</w:t>
      </w:r>
      <w:bookmarkEnd w:id="12"/>
    </w:p>
    <w:p w14:paraId="41E59B3B" w14:textId="6409237F" w:rsidR="00DF6E1A" w:rsidRDefault="005469C6" w:rsidP="00446131">
      <w:pPr>
        <w:pStyle w:val="Numberedparagraph"/>
        <w:rPr>
          <w:lang w:eastAsia="en-AU"/>
        </w:rPr>
      </w:pPr>
      <w:r>
        <w:rPr>
          <w:lang w:eastAsia="en-AU"/>
        </w:rPr>
        <w:t>QHRC</w:t>
      </w:r>
      <w:r w:rsidR="0099392B">
        <w:rPr>
          <w:lang w:eastAsia="en-AU"/>
        </w:rPr>
        <w:t xml:space="preserve"> interrogated its database which </w:t>
      </w:r>
      <w:r w:rsidR="00592D92">
        <w:rPr>
          <w:lang w:eastAsia="en-AU"/>
        </w:rPr>
        <w:t>contains</w:t>
      </w:r>
      <w:r w:rsidR="0099392B">
        <w:rPr>
          <w:lang w:eastAsia="en-AU"/>
        </w:rPr>
        <w:t xml:space="preserve"> complaint data </w:t>
      </w:r>
      <w:r w:rsidR="00592D92">
        <w:rPr>
          <w:lang w:eastAsia="en-AU"/>
        </w:rPr>
        <w:t>dating back to</w:t>
      </w:r>
      <w:r w:rsidR="0099392B">
        <w:rPr>
          <w:lang w:eastAsia="en-AU"/>
        </w:rPr>
        <w:t xml:space="preserve"> </w:t>
      </w:r>
      <w:r w:rsidR="00A112E6">
        <w:rPr>
          <w:lang w:eastAsia="en-AU"/>
        </w:rPr>
        <w:t xml:space="preserve">2009 </w:t>
      </w:r>
      <w:r w:rsidR="00BC456E">
        <w:rPr>
          <w:lang w:eastAsia="en-AU"/>
        </w:rPr>
        <w:t>and identified that there have been</w:t>
      </w:r>
      <w:r w:rsidR="0099392B">
        <w:rPr>
          <w:lang w:eastAsia="en-AU"/>
        </w:rPr>
        <w:t xml:space="preserve"> </w:t>
      </w:r>
      <w:r w:rsidR="00843975">
        <w:rPr>
          <w:lang w:eastAsia="en-AU"/>
        </w:rPr>
        <w:t>239</w:t>
      </w:r>
      <w:r w:rsidR="0099392B">
        <w:rPr>
          <w:lang w:eastAsia="en-AU"/>
        </w:rPr>
        <w:t xml:space="preserve"> complaints about </w:t>
      </w:r>
      <w:r w:rsidR="00843975">
        <w:rPr>
          <w:lang w:eastAsia="en-AU"/>
        </w:rPr>
        <w:t xml:space="preserve">religious </w:t>
      </w:r>
      <w:r w:rsidR="0099392B">
        <w:rPr>
          <w:lang w:eastAsia="en-AU"/>
        </w:rPr>
        <w:t>private education providers in the area of education</w:t>
      </w:r>
      <w:r w:rsidR="005956D1">
        <w:rPr>
          <w:lang w:eastAsia="en-AU"/>
        </w:rPr>
        <w:t xml:space="preserve"> (i.e. complaints by or on behalf of students)</w:t>
      </w:r>
      <w:r w:rsidR="0099392B">
        <w:rPr>
          <w:lang w:eastAsia="en-AU"/>
        </w:rPr>
        <w:t>.</w:t>
      </w:r>
      <w:r w:rsidR="0099392B">
        <w:rPr>
          <w:rStyle w:val="FootnoteReference"/>
          <w:lang w:eastAsia="en-AU"/>
        </w:rPr>
        <w:footnoteReference w:id="11"/>
      </w:r>
      <w:r w:rsidR="0099392B">
        <w:rPr>
          <w:lang w:eastAsia="en-AU"/>
        </w:rPr>
        <w:t xml:space="preserve"> Of these, only 2</w:t>
      </w:r>
      <w:r w:rsidR="005161F9">
        <w:rPr>
          <w:lang w:eastAsia="en-AU"/>
        </w:rPr>
        <w:t>3</w:t>
      </w:r>
      <w:r w:rsidR="0099392B">
        <w:rPr>
          <w:lang w:eastAsia="en-AU"/>
        </w:rPr>
        <w:t xml:space="preserve"> complaints were in relation to attributes </w:t>
      </w:r>
      <w:r w:rsidR="00154781">
        <w:rPr>
          <w:lang w:eastAsia="en-AU"/>
        </w:rPr>
        <w:t xml:space="preserve">that are </w:t>
      </w:r>
      <w:r w:rsidR="0099392B">
        <w:rPr>
          <w:lang w:eastAsia="en-AU"/>
        </w:rPr>
        <w:t xml:space="preserve">also covered by the </w:t>
      </w:r>
      <w:r w:rsidR="0099392B" w:rsidRPr="00401131">
        <w:rPr>
          <w:lang w:eastAsia="en-AU"/>
        </w:rPr>
        <w:t>Sex Discrimination Act</w:t>
      </w:r>
      <w:r w:rsidR="005956D1">
        <w:rPr>
          <w:lang w:eastAsia="en-AU"/>
        </w:rPr>
        <w:t xml:space="preserve">, </w:t>
      </w:r>
      <w:r w:rsidR="00C05094">
        <w:rPr>
          <w:lang w:eastAsia="en-AU"/>
        </w:rPr>
        <w:t>representing around</w:t>
      </w:r>
      <w:r w:rsidR="00E33241">
        <w:rPr>
          <w:lang w:eastAsia="en-AU"/>
        </w:rPr>
        <w:t xml:space="preserve"> </w:t>
      </w:r>
      <w:r w:rsidR="00A112E6">
        <w:rPr>
          <w:lang w:eastAsia="en-AU"/>
        </w:rPr>
        <w:t>0</w:t>
      </w:r>
      <w:r w:rsidR="00E33241">
        <w:rPr>
          <w:lang w:eastAsia="en-AU"/>
        </w:rPr>
        <w:t>.02% of discrimination complaints made since 2009</w:t>
      </w:r>
      <w:r w:rsidR="0099392B">
        <w:rPr>
          <w:lang w:eastAsia="en-AU"/>
        </w:rPr>
        <w:t xml:space="preserve">. </w:t>
      </w:r>
    </w:p>
    <w:p w14:paraId="2080EB85" w14:textId="664C8ACB" w:rsidR="00446131" w:rsidRDefault="0099392B" w:rsidP="00446131">
      <w:pPr>
        <w:pStyle w:val="Numberedparagraph"/>
        <w:rPr>
          <w:lang w:eastAsia="en-AU"/>
        </w:rPr>
      </w:pPr>
      <w:r>
        <w:rPr>
          <w:lang w:eastAsia="en-AU"/>
        </w:rPr>
        <w:t>Most of the complaints</w:t>
      </w:r>
      <w:r w:rsidR="00DF6E1A">
        <w:rPr>
          <w:lang w:eastAsia="en-AU"/>
        </w:rPr>
        <w:t xml:space="preserve"> about private education providers</w:t>
      </w:r>
      <w:r>
        <w:rPr>
          <w:lang w:eastAsia="en-AU"/>
        </w:rPr>
        <w:t xml:space="preserve"> </w:t>
      </w:r>
      <w:r w:rsidR="00C04DE5">
        <w:rPr>
          <w:lang w:eastAsia="en-AU"/>
        </w:rPr>
        <w:t>have been</w:t>
      </w:r>
      <w:r w:rsidR="005530D7">
        <w:rPr>
          <w:lang w:eastAsia="en-AU"/>
        </w:rPr>
        <w:t xml:space="preserve"> </w:t>
      </w:r>
      <w:r>
        <w:rPr>
          <w:lang w:eastAsia="en-AU"/>
        </w:rPr>
        <w:t xml:space="preserve">about impairment </w:t>
      </w:r>
      <w:r w:rsidR="002C4EC9">
        <w:rPr>
          <w:lang w:eastAsia="en-AU"/>
        </w:rPr>
        <w:t xml:space="preserve">or race </w:t>
      </w:r>
      <w:r>
        <w:rPr>
          <w:lang w:eastAsia="en-AU"/>
        </w:rPr>
        <w:t>discrimination</w:t>
      </w:r>
      <w:r w:rsidR="005530D7">
        <w:rPr>
          <w:lang w:eastAsia="en-AU"/>
        </w:rPr>
        <w:t xml:space="preserve"> and therefore </w:t>
      </w:r>
      <w:r w:rsidR="000D7970">
        <w:rPr>
          <w:lang w:eastAsia="en-AU"/>
        </w:rPr>
        <w:t>fall</w:t>
      </w:r>
      <w:r w:rsidR="005530D7">
        <w:rPr>
          <w:lang w:eastAsia="en-AU"/>
        </w:rPr>
        <w:t xml:space="preserve"> outside of the scope of this discussion</w:t>
      </w:r>
      <w:r>
        <w:rPr>
          <w:lang w:eastAsia="en-AU"/>
        </w:rPr>
        <w:t xml:space="preserve">. </w:t>
      </w:r>
    </w:p>
    <w:p w14:paraId="0CD812EE" w14:textId="043F2093" w:rsidR="0099392B" w:rsidRDefault="0099392B" w:rsidP="00446131">
      <w:pPr>
        <w:pStyle w:val="Numberedparagraph"/>
        <w:rPr>
          <w:lang w:eastAsia="en-AU"/>
        </w:rPr>
      </w:pPr>
      <w:r>
        <w:rPr>
          <w:lang w:eastAsia="en-AU"/>
        </w:rPr>
        <w:t xml:space="preserve">Of the </w:t>
      </w:r>
      <w:r w:rsidR="00521741">
        <w:rPr>
          <w:lang w:eastAsia="en-AU"/>
        </w:rPr>
        <w:t>2</w:t>
      </w:r>
      <w:r w:rsidR="005161F9">
        <w:rPr>
          <w:lang w:eastAsia="en-AU"/>
        </w:rPr>
        <w:t>3</w:t>
      </w:r>
      <w:r>
        <w:rPr>
          <w:lang w:eastAsia="en-AU"/>
        </w:rPr>
        <w:t xml:space="preserve"> complaints that </w:t>
      </w:r>
      <w:r w:rsidR="005469C6">
        <w:rPr>
          <w:lang w:eastAsia="en-AU"/>
        </w:rPr>
        <w:t>QHRC</w:t>
      </w:r>
      <w:r>
        <w:rPr>
          <w:lang w:eastAsia="en-AU"/>
        </w:rPr>
        <w:t xml:space="preserve"> was able to identify as being about </w:t>
      </w:r>
      <w:r w:rsidR="00547E9D">
        <w:rPr>
          <w:lang w:eastAsia="en-AU"/>
        </w:rPr>
        <w:t>religious</w:t>
      </w:r>
      <w:r>
        <w:rPr>
          <w:lang w:eastAsia="en-AU"/>
        </w:rPr>
        <w:t xml:space="preserve"> education providers, 8 were about sex discrimination, 6 were about sexuality discrimination and 9 were about gender identity discrimination. </w:t>
      </w:r>
    </w:p>
    <w:p w14:paraId="3462BC1E" w14:textId="649D4DA2" w:rsidR="003C24F0" w:rsidRDefault="005469C6" w:rsidP="00446131">
      <w:pPr>
        <w:pStyle w:val="Numberedparagraph"/>
        <w:rPr>
          <w:lang w:eastAsia="en-AU"/>
        </w:rPr>
      </w:pPr>
      <w:r>
        <w:rPr>
          <w:lang w:eastAsia="en-AU"/>
        </w:rPr>
        <w:t>QHRC</w:t>
      </w:r>
      <w:r w:rsidR="003C24F0">
        <w:rPr>
          <w:lang w:eastAsia="en-AU"/>
        </w:rPr>
        <w:t xml:space="preserve"> was able to identify only 5 complaints against religious schools based on </w:t>
      </w:r>
      <w:r w:rsidR="009350E7">
        <w:rPr>
          <w:lang w:eastAsia="en-AU"/>
        </w:rPr>
        <w:t xml:space="preserve">the relevant attributes </w:t>
      </w:r>
      <w:r w:rsidR="00DE37C1">
        <w:rPr>
          <w:lang w:eastAsia="en-AU"/>
        </w:rPr>
        <w:t xml:space="preserve">that </w:t>
      </w:r>
      <w:r w:rsidR="00045DC1">
        <w:rPr>
          <w:lang w:eastAsia="en-AU"/>
        </w:rPr>
        <w:t xml:space="preserve">have </w:t>
      </w:r>
      <w:r w:rsidR="00DE37C1">
        <w:rPr>
          <w:lang w:eastAsia="en-AU"/>
        </w:rPr>
        <w:t xml:space="preserve">proceeded to </w:t>
      </w:r>
      <w:r w:rsidR="00506B68">
        <w:rPr>
          <w:lang w:eastAsia="en-AU"/>
        </w:rPr>
        <w:t xml:space="preserve">Queensland Civil and </w:t>
      </w:r>
      <w:r w:rsidR="00506B68">
        <w:rPr>
          <w:lang w:eastAsia="en-AU"/>
        </w:rPr>
        <w:lastRenderedPageBreak/>
        <w:t>Administrative Tribunal</w:t>
      </w:r>
      <w:r w:rsidR="00045DC1">
        <w:rPr>
          <w:lang w:eastAsia="en-AU"/>
        </w:rPr>
        <w:t xml:space="preserve"> since 2009.</w:t>
      </w:r>
      <w:r w:rsidR="0035669C">
        <w:rPr>
          <w:lang w:eastAsia="en-AU"/>
        </w:rPr>
        <w:t xml:space="preserve"> Eight of the </w:t>
      </w:r>
      <w:r w:rsidR="001614AB">
        <w:rPr>
          <w:lang w:eastAsia="en-AU"/>
        </w:rPr>
        <w:t>23</w:t>
      </w:r>
      <w:r w:rsidR="0035669C">
        <w:rPr>
          <w:lang w:eastAsia="en-AU"/>
        </w:rPr>
        <w:t xml:space="preserve"> complaints were resolved through the conciliation process.</w:t>
      </w:r>
      <w:r w:rsidR="00D71976">
        <w:rPr>
          <w:lang w:eastAsia="en-AU"/>
        </w:rPr>
        <w:t xml:space="preserve"> Some complaints are ongoing.</w:t>
      </w:r>
    </w:p>
    <w:p w14:paraId="585ADE1F" w14:textId="6FAA7F78" w:rsidR="00CC4F9F" w:rsidRDefault="00CC4F9F" w:rsidP="00CC4F9F">
      <w:pPr>
        <w:pStyle w:val="Heading3"/>
        <w:rPr>
          <w:lang w:eastAsia="en-AU"/>
        </w:rPr>
      </w:pPr>
      <w:bookmarkStart w:id="13" w:name="_Toc128033989"/>
      <w:r>
        <w:rPr>
          <w:lang w:eastAsia="en-AU"/>
        </w:rPr>
        <w:t xml:space="preserve">Complaints </w:t>
      </w:r>
      <w:r w:rsidR="00506B68">
        <w:rPr>
          <w:lang w:eastAsia="en-AU"/>
        </w:rPr>
        <w:t>by</w:t>
      </w:r>
      <w:r>
        <w:rPr>
          <w:lang w:eastAsia="en-AU"/>
        </w:rPr>
        <w:t xml:space="preserve"> </w:t>
      </w:r>
      <w:r w:rsidR="00506B68">
        <w:rPr>
          <w:lang w:eastAsia="en-AU"/>
        </w:rPr>
        <w:t>employees</w:t>
      </w:r>
      <w:bookmarkEnd w:id="13"/>
    </w:p>
    <w:p w14:paraId="454F11E6" w14:textId="1F570D53" w:rsidR="00E13CAE" w:rsidRDefault="005469C6" w:rsidP="005B510F">
      <w:pPr>
        <w:pStyle w:val="Numberedparagraph"/>
        <w:rPr>
          <w:lang w:eastAsia="en-AU"/>
        </w:rPr>
      </w:pPr>
      <w:r>
        <w:rPr>
          <w:lang w:eastAsia="en-AU"/>
        </w:rPr>
        <w:t>QHRC</w:t>
      </w:r>
      <w:r w:rsidR="00687828">
        <w:rPr>
          <w:lang w:eastAsia="en-AU"/>
        </w:rPr>
        <w:t xml:space="preserve"> was unable to identify any relevant complaints made </w:t>
      </w:r>
      <w:r w:rsidR="005B510F">
        <w:rPr>
          <w:lang w:eastAsia="en-AU"/>
        </w:rPr>
        <w:t xml:space="preserve">since 2009 </w:t>
      </w:r>
      <w:r w:rsidR="00687828">
        <w:rPr>
          <w:lang w:eastAsia="en-AU"/>
        </w:rPr>
        <w:t xml:space="preserve">by </w:t>
      </w:r>
      <w:r w:rsidR="00473159">
        <w:rPr>
          <w:lang w:eastAsia="en-AU"/>
        </w:rPr>
        <w:t xml:space="preserve">employees of a religious educational institution where the respondents </w:t>
      </w:r>
      <w:r w:rsidR="00DE4F81">
        <w:rPr>
          <w:lang w:eastAsia="en-AU"/>
        </w:rPr>
        <w:t>would</w:t>
      </w:r>
      <w:r w:rsidR="006C02DF">
        <w:rPr>
          <w:lang w:eastAsia="en-AU"/>
        </w:rPr>
        <w:t xml:space="preserve"> have</w:t>
      </w:r>
      <w:r w:rsidR="00473159">
        <w:rPr>
          <w:lang w:eastAsia="en-AU"/>
        </w:rPr>
        <w:t xml:space="preserve"> been able to argue that </w:t>
      </w:r>
      <w:r w:rsidR="00E13CAE">
        <w:rPr>
          <w:lang w:eastAsia="en-AU"/>
        </w:rPr>
        <w:t>that the religious exemption in relation to work applies</w:t>
      </w:r>
      <w:r w:rsidR="007B78A0">
        <w:rPr>
          <w:lang w:eastAsia="en-AU"/>
        </w:rPr>
        <w:t xml:space="preserve"> to the factual circumstances</w:t>
      </w:r>
      <w:r w:rsidR="00E13CAE">
        <w:rPr>
          <w:lang w:eastAsia="en-AU"/>
        </w:rPr>
        <w:t>.</w:t>
      </w:r>
      <w:r w:rsidR="005B510F">
        <w:rPr>
          <w:rStyle w:val="FootnoteReference"/>
          <w:lang w:eastAsia="en-AU"/>
        </w:rPr>
        <w:footnoteReference w:id="12"/>
      </w:r>
      <w:r w:rsidR="00DE4F81">
        <w:rPr>
          <w:lang w:eastAsia="en-AU"/>
        </w:rPr>
        <w:t xml:space="preserve"> </w:t>
      </w:r>
    </w:p>
    <w:p w14:paraId="7CF0CD03" w14:textId="4D8E3A4A" w:rsidR="00ED6521" w:rsidRDefault="00ED6521">
      <w:pPr>
        <w:pStyle w:val="Heading1"/>
        <w:rPr>
          <w:lang w:eastAsia="en-AU"/>
        </w:rPr>
      </w:pPr>
      <w:bookmarkStart w:id="14" w:name="_Toc128033990"/>
      <w:r>
        <w:rPr>
          <w:lang w:eastAsia="en-AU"/>
        </w:rPr>
        <w:t>Human rights considerations</w:t>
      </w:r>
      <w:bookmarkEnd w:id="14"/>
    </w:p>
    <w:p w14:paraId="71C8512E" w14:textId="484CF6D4" w:rsidR="00AB3AFD" w:rsidRDefault="00675B23" w:rsidP="001115F4">
      <w:pPr>
        <w:pStyle w:val="Numberedparagraph"/>
      </w:pPr>
      <w:r w:rsidRPr="00AC0D3D">
        <w:rPr>
          <w:i/>
          <w:iCs/>
          <w:lang w:eastAsia="en-AU"/>
        </w:rPr>
        <w:t>Building Belonging</w:t>
      </w:r>
      <w:r>
        <w:rPr>
          <w:lang w:eastAsia="en-AU"/>
        </w:rPr>
        <w:t xml:space="preserve"> provides a detailed consideration of </w:t>
      </w:r>
      <w:r w:rsidR="005532D1">
        <w:rPr>
          <w:lang w:eastAsia="en-AU"/>
        </w:rPr>
        <w:t>the key human rights relevant to this discussion</w:t>
      </w:r>
      <w:r w:rsidR="00721431">
        <w:rPr>
          <w:lang w:eastAsia="en-AU"/>
        </w:rPr>
        <w:t>, and in particular the rights to freedom of thought, conscience, religion and belief</w:t>
      </w:r>
      <w:r w:rsidR="005532D1">
        <w:rPr>
          <w:lang w:eastAsia="en-AU"/>
        </w:rPr>
        <w:t xml:space="preserve"> and</w:t>
      </w:r>
      <w:r w:rsidR="00721431">
        <w:rPr>
          <w:lang w:eastAsia="en-AU"/>
        </w:rPr>
        <w:t xml:space="preserve"> the right to recognition and equality before the law</w:t>
      </w:r>
      <w:r w:rsidR="00AA020F">
        <w:rPr>
          <w:lang w:eastAsia="en-AU"/>
        </w:rPr>
        <w:t xml:space="preserve"> </w:t>
      </w:r>
      <w:r w:rsidR="005532D1">
        <w:rPr>
          <w:lang w:eastAsia="en-AU"/>
        </w:rPr>
        <w:t xml:space="preserve">protected </w:t>
      </w:r>
      <w:r w:rsidR="00455EF2">
        <w:rPr>
          <w:lang w:eastAsia="en-AU"/>
        </w:rPr>
        <w:t xml:space="preserve">under the </w:t>
      </w:r>
      <w:r w:rsidR="005532D1">
        <w:rPr>
          <w:lang w:eastAsia="en-AU"/>
        </w:rPr>
        <w:t>Queensland</w:t>
      </w:r>
      <w:r w:rsidR="00455EF2">
        <w:rPr>
          <w:lang w:eastAsia="en-AU"/>
        </w:rPr>
        <w:t xml:space="preserve"> </w:t>
      </w:r>
      <w:r w:rsidR="005532D1">
        <w:rPr>
          <w:lang w:eastAsia="en-AU"/>
        </w:rPr>
        <w:t>HR Act</w:t>
      </w:r>
      <w:r>
        <w:rPr>
          <w:lang w:eastAsia="en-AU"/>
        </w:rPr>
        <w:t>.</w:t>
      </w:r>
      <w:r w:rsidR="00981C06">
        <w:rPr>
          <w:rStyle w:val="FootnoteReference"/>
          <w:lang w:eastAsia="en-AU"/>
        </w:rPr>
        <w:footnoteReference w:id="13"/>
      </w:r>
      <w:r w:rsidR="00455EF2">
        <w:rPr>
          <w:lang w:eastAsia="en-AU"/>
        </w:rPr>
        <w:t xml:space="preserve"> Rights </w:t>
      </w:r>
      <w:r w:rsidR="00AC7E6C">
        <w:rPr>
          <w:lang w:eastAsia="en-AU"/>
        </w:rPr>
        <w:t>in the HR Act</w:t>
      </w:r>
      <w:r w:rsidR="00455EF2">
        <w:rPr>
          <w:lang w:eastAsia="en-AU"/>
        </w:rPr>
        <w:t xml:space="preserve"> are based on those protected in the </w:t>
      </w:r>
      <w:r w:rsidR="00455EF2" w:rsidRPr="00E54274">
        <w:rPr>
          <w:i/>
          <w:iCs/>
        </w:rPr>
        <w:t>International Covenant on Civil and Political Rights</w:t>
      </w:r>
      <w:r w:rsidR="00455EF2">
        <w:t xml:space="preserve"> (ICCPR). </w:t>
      </w:r>
    </w:p>
    <w:p w14:paraId="27385279" w14:textId="55FAE6F9" w:rsidR="00AC0D3D" w:rsidRPr="001A6BFD" w:rsidRDefault="0005083B" w:rsidP="009D2F4B">
      <w:pPr>
        <w:pStyle w:val="Numberedparagraph"/>
      </w:pPr>
      <w:r>
        <w:rPr>
          <w:lang w:eastAsia="en-AU"/>
        </w:rPr>
        <w:t>The law must achieve</w:t>
      </w:r>
      <w:r w:rsidR="009D2F4B">
        <w:rPr>
          <w:lang w:eastAsia="en-AU"/>
        </w:rPr>
        <w:t xml:space="preserve"> </w:t>
      </w:r>
      <w:r w:rsidR="00E01A24">
        <w:rPr>
          <w:lang w:eastAsia="en-AU"/>
        </w:rPr>
        <w:t xml:space="preserve">a balance between </w:t>
      </w:r>
      <w:r w:rsidR="00AC0D3D">
        <w:rPr>
          <w:lang w:eastAsia="en-AU"/>
        </w:rPr>
        <w:t xml:space="preserve">ensuring that religious educational </w:t>
      </w:r>
      <w:r w:rsidR="00294914">
        <w:rPr>
          <w:lang w:eastAsia="en-AU"/>
        </w:rPr>
        <w:t xml:space="preserve">authorities and </w:t>
      </w:r>
      <w:r w:rsidR="00AC0D3D">
        <w:rPr>
          <w:lang w:eastAsia="en-AU"/>
        </w:rPr>
        <w:t xml:space="preserve">institutions </w:t>
      </w:r>
      <w:r w:rsidR="00AC0610">
        <w:rPr>
          <w:lang w:eastAsia="en-AU"/>
        </w:rPr>
        <w:t xml:space="preserve">can maintain their religious </w:t>
      </w:r>
      <w:r w:rsidR="007C617A">
        <w:rPr>
          <w:lang w:eastAsia="en-AU"/>
        </w:rPr>
        <w:t>basis</w:t>
      </w:r>
      <w:r w:rsidR="00AC0610">
        <w:rPr>
          <w:lang w:eastAsia="en-AU"/>
        </w:rPr>
        <w:t xml:space="preserve"> and teach their doctrine and beliefs</w:t>
      </w:r>
      <w:r w:rsidR="00AC0D3D">
        <w:rPr>
          <w:lang w:eastAsia="en-AU"/>
        </w:rPr>
        <w:t xml:space="preserve">, while also ensuring </w:t>
      </w:r>
      <w:r w:rsidR="002D26A0" w:rsidRPr="009D2F4B">
        <w:rPr>
          <w:rFonts w:cs="Roboto"/>
        </w:rPr>
        <w:t xml:space="preserve">all people are protected from </w:t>
      </w:r>
      <w:r w:rsidR="007D6F24">
        <w:rPr>
          <w:rFonts w:cs="Roboto"/>
        </w:rPr>
        <w:t>unjustifiable</w:t>
      </w:r>
      <w:r w:rsidR="00294914">
        <w:rPr>
          <w:rFonts w:cs="Roboto"/>
        </w:rPr>
        <w:t xml:space="preserve"> </w:t>
      </w:r>
      <w:r w:rsidR="002D26A0" w:rsidRPr="009D2F4B">
        <w:rPr>
          <w:rFonts w:cs="Roboto"/>
        </w:rPr>
        <w:t xml:space="preserve">discrimination </w:t>
      </w:r>
      <w:r w:rsidR="00AC0D3D" w:rsidRPr="009D2F4B">
        <w:rPr>
          <w:rFonts w:cs="Roboto"/>
        </w:rPr>
        <w:t>at their place of study or work.</w:t>
      </w:r>
    </w:p>
    <w:p w14:paraId="647276A0" w14:textId="17832998" w:rsidR="001A6BFD" w:rsidRDefault="00127F7D" w:rsidP="001A6BFD">
      <w:pPr>
        <w:pStyle w:val="Numberedparagraph"/>
      </w:pPr>
      <w:r>
        <w:t xml:space="preserve">As the </w:t>
      </w:r>
      <w:r w:rsidR="004A4611">
        <w:t>C</w:t>
      </w:r>
      <w:r>
        <w:t xml:space="preserve">onsultation </w:t>
      </w:r>
      <w:r w:rsidR="004A4611">
        <w:t>P</w:t>
      </w:r>
      <w:r>
        <w:t>aper discusses, t</w:t>
      </w:r>
      <w:r w:rsidRPr="005B293E">
        <w:t xml:space="preserve">he </w:t>
      </w:r>
      <w:r w:rsidR="009209CF">
        <w:t>ICCPR</w:t>
      </w:r>
      <w:r w:rsidR="001A6BFD" w:rsidRPr="005B293E">
        <w:t xml:space="preserve"> distinguishes freedom of thought, conscience, religion </w:t>
      </w:r>
      <w:r w:rsidR="001A6BFD">
        <w:t>and</w:t>
      </w:r>
      <w:r w:rsidR="001A6BFD" w:rsidRPr="005B293E">
        <w:t xml:space="preserve"> belief from freedom to manifest religion or belief. The freedom to hold a religion is absolute, whereas the freedom to manifest a </w:t>
      </w:r>
      <w:r w:rsidR="001A6BFD">
        <w:t xml:space="preserve">belief </w:t>
      </w:r>
      <w:r w:rsidR="001A6BFD" w:rsidRPr="005B293E">
        <w:t>may be limited.</w:t>
      </w:r>
      <w:r w:rsidR="001A6BFD">
        <w:rPr>
          <w:rStyle w:val="FootnoteReference"/>
        </w:rPr>
        <w:footnoteReference w:id="14"/>
      </w:r>
      <w:r w:rsidR="001A6BFD">
        <w:t xml:space="preserve"> </w:t>
      </w:r>
    </w:p>
    <w:p w14:paraId="2DBAB7FA" w14:textId="773DFF87" w:rsidR="00E86B3C" w:rsidRPr="00D62DF8" w:rsidRDefault="002D26A0" w:rsidP="002D26A0">
      <w:pPr>
        <w:pStyle w:val="Numberedparagraph"/>
        <w:rPr>
          <w:i/>
        </w:rPr>
      </w:pPr>
      <w:r>
        <w:t>The</w:t>
      </w:r>
      <w:r w:rsidRPr="37100B65">
        <w:t xml:space="preserve"> </w:t>
      </w:r>
      <w:r>
        <w:t xml:space="preserve">ICCPR </w:t>
      </w:r>
      <w:r w:rsidRPr="37100B65">
        <w:t>provides</w:t>
      </w:r>
      <w:r>
        <w:t xml:space="preserve"> that f</w:t>
      </w:r>
      <w:r w:rsidRPr="37100B65">
        <w:t>reedom to manifest one’s religion or beliefs may be subject only to such limitations as are prescribed by law and are necessary to protect public safety, order, health or morals or the fundamental freedoms of others</w:t>
      </w:r>
      <w:r>
        <w:t>.</w:t>
      </w:r>
      <w:r w:rsidRPr="00A822E9">
        <w:rPr>
          <w:rStyle w:val="FootnoteReference"/>
        </w:rPr>
        <w:footnoteReference w:id="15"/>
      </w:r>
      <w:r w:rsidR="00027B75">
        <w:t xml:space="preserve"> </w:t>
      </w:r>
    </w:p>
    <w:p w14:paraId="50A6B693" w14:textId="39A23833" w:rsidR="002D26A0" w:rsidRDefault="002D26A0" w:rsidP="00AB3AFD">
      <w:pPr>
        <w:pStyle w:val="Numberedparagraph"/>
      </w:pPr>
      <w:r>
        <w:t>The</w:t>
      </w:r>
      <w:r w:rsidR="009E6149">
        <w:t xml:space="preserve"> Commission generally agrees with the analysis of human rights in the </w:t>
      </w:r>
      <w:r w:rsidR="00D41D93">
        <w:t>C</w:t>
      </w:r>
      <w:r w:rsidR="009E6149">
        <w:t xml:space="preserve">onsultation </w:t>
      </w:r>
      <w:r w:rsidR="00D41D93">
        <w:t>P</w:t>
      </w:r>
      <w:r w:rsidR="009E6149">
        <w:t xml:space="preserve">aper, and </w:t>
      </w:r>
      <w:r w:rsidR="00D41D93">
        <w:t>considers</w:t>
      </w:r>
      <w:r w:rsidR="009E6149">
        <w:t xml:space="preserve"> that proposals</w:t>
      </w:r>
      <w:r w:rsidR="008C0CD6">
        <w:t xml:space="preserve"> accord with the </w:t>
      </w:r>
      <w:r w:rsidR="00D41D93">
        <w:t>2018</w:t>
      </w:r>
      <w:r w:rsidR="008C0CD6">
        <w:t xml:space="preserve"> </w:t>
      </w:r>
      <w:r>
        <w:t>comments of the Special Rapporteur</w:t>
      </w:r>
      <w:r w:rsidDel="008C0CD6">
        <w:t xml:space="preserve"> </w:t>
      </w:r>
      <w:r w:rsidR="00D41D93">
        <w:t>on freedom of religion and belief</w:t>
      </w:r>
      <w:r w:rsidRPr="14DC1B85">
        <w:t>:</w:t>
      </w:r>
    </w:p>
    <w:p w14:paraId="68318747" w14:textId="77777777" w:rsidR="002D26A0" w:rsidRPr="00AB3AFD" w:rsidRDefault="002D26A0" w:rsidP="00AB3AFD">
      <w:pPr>
        <w:ind w:left="851" w:right="864"/>
        <w:rPr>
          <w:rFonts w:cs="Source Sans Pro"/>
          <w:i/>
        </w:rPr>
      </w:pPr>
      <w:r w:rsidRPr="00DC00B6">
        <w:rPr>
          <w:rFonts w:cs="Source Sans Pro"/>
          <w:i/>
        </w:rPr>
        <w:t xml:space="preserve">When these rights ultimately clash, every effort must be made, through a careful case-by-case analysis, to ensure that all rights are </w:t>
      </w:r>
      <w:r w:rsidRPr="00DC00B6">
        <w:rPr>
          <w:rFonts w:cs="Source Sans Pro"/>
          <w:i/>
        </w:rPr>
        <w:lastRenderedPageBreak/>
        <w:t>brought in practical concordance or protected through reasonable accommodation.</w:t>
      </w:r>
      <w:r w:rsidRPr="00D849D0">
        <w:rPr>
          <w:rFonts w:cs="Source Sans Pro"/>
          <w:iCs/>
          <w:vertAlign w:val="superscript"/>
        </w:rPr>
        <w:footnoteReference w:id="16"/>
      </w:r>
    </w:p>
    <w:p w14:paraId="36A419CE" w14:textId="4E39E60E" w:rsidR="0097278A" w:rsidRDefault="006478C0" w:rsidP="0020053B">
      <w:pPr>
        <w:pStyle w:val="Heading2"/>
      </w:pPr>
      <w:bookmarkStart w:id="15" w:name="_Toc128033991"/>
      <w:r>
        <w:t>External affairs power</w:t>
      </w:r>
      <w:bookmarkEnd w:id="15"/>
    </w:p>
    <w:p w14:paraId="2B26BD36" w14:textId="11695987" w:rsidR="0097278A" w:rsidRDefault="0097278A" w:rsidP="0097278A">
      <w:pPr>
        <w:pStyle w:val="Numberedparagraph"/>
      </w:pPr>
      <w:r>
        <w:t xml:space="preserve">The </w:t>
      </w:r>
      <w:r w:rsidR="00B86E61">
        <w:t xml:space="preserve">constitutional basis for </w:t>
      </w:r>
      <w:r w:rsidR="00D070C6">
        <w:t xml:space="preserve">federal </w:t>
      </w:r>
      <w:r w:rsidR="00B86E61">
        <w:t xml:space="preserve">discrimination laws is provided </w:t>
      </w:r>
      <w:r w:rsidR="00D070C6">
        <w:t>for in the external affairs power</w:t>
      </w:r>
      <w:r w:rsidR="00D14250">
        <w:t xml:space="preserve"> </w:t>
      </w:r>
      <w:r w:rsidR="0020053B">
        <w:t xml:space="preserve">in the Constitution. Federal discrimination laws are necessary to </w:t>
      </w:r>
      <w:r w:rsidR="00D14250">
        <w:t>give effect to Australia’s obligations under international instruments to which Australia is a party</w:t>
      </w:r>
      <w:r w:rsidR="00F83FE3">
        <w:t>,</w:t>
      </w:r>
      <w:r w:rsidR="00D14250">
        <w:t xml:space="preserve"> including</w:t>
      </w:r>
      <w:r w:rsidR="00381E0E">
        <w:t xml:space="preserve"> but not limited to</w:t>
      </w:r>
      <w:r w:rsidR="00D14250">
        <w:t>:</w:t>
      </w:r>
    </w:p>
    <w:p w14:paraId="4C37CE6D" w14:textId="77777777" w:rsidR="00193364" w:rsidRPr="00700740" w:rsidRDefault="00193364" w:rsidP="008B74B3">
      <w:pPr>
        <w:pStyle w:val="Bulletedlist"/>
        <w:contextualSpacing w:val="0"/>
      </w:pPr>
      <w:r>
        <w:t xml:space="preserve">the </w:t>
      </w:r>
      <w:r w:rsidRPr="00245A89">
        <w:t>International Covenant on Civil and Political Rights</w:t>
      </w:r>
      <w:r>
        <w:t>;</w:t>
      </w:r>
    </w:p>
    <w:p w14:paraId="13F71879" w14:textId="77777777" w:rsidR="00193364" w:rsidRPr="00927432" w:rsidRDefault="00193364" w:rsidP="008B74B3">
      <w:pPr>
        <w:pStyle w:val="Bulletedlist"/>
        <w:contextualSpacing w:val="0"/>
      </w:pPr>
      <w:r>
        <w:t>the International Covenant on Economic, Social and Cultural Rights;</w:t>
      </w:r>
    </w:p>
    <w:p w14:paraId="09728A84" w14:textId="77777777" w:rsidR="00193364" w:rsidRPr="00927432" w:rsidRDefault="00193364" w:rsidP="008B74B3">
      <w:pPr>
        <w:pStyle w:val="Bulletedlist"/>
        <w:contextualSpacing w:val="0"/>
      </w:pPr>
      <w:r>
        <w:t>the Convention on the Rights of the Child;</w:t>
      </w:r>
    </w:p>
    <w:p w14:paraId="37476A4B" w14:textId="77777777" w:rsidR="00193364" w:rsidRDefault="00193364" w:rsidP="008B74B3">
      <w:pPr>
        <w:pStyle w:val="Bulletedlist"/>
        <w:contextualSpacing w:val="0"/>
      </w:pPr>
      <w:r>
        <w:t xml:space="preserve">the </w:t>
      </w:r>
      <w:r w:rsidRPr="00774AA2">
        <w:t>ILO Convention (No. 111) concerning Discrimination in respect of Employment and Occupations</w:t>
      </w:r>
      <w:r>
        <w:t>;</w:t>
      </w:r>
    </w:p>
    <w:p w14:paraId="49C57EDC" w14:textId="77777777" w:rsidR="00193364" w:rsidRDefault="00193364" w:rsidP="008B74B3">
      <w:pPr>
        <w:pStyle w:val="Bulletedlist"/>
        <w:contextualSpacing w:val="0"/>
      </w:pPr>
      <w:r>
        <w:t xml:space="preserve">the </w:t>
      </w:r>
      <w:r w:rsidRPr="00774AA2">
        <w:t>ILO Convention (No. 158) concerning Termination of Employment at the Initiative of the Employer</w:t>
      </w:r>
      <w:r>
        <w:t>.</w:t>
      </w:r>
    </w:p>
    <w:p w14:paraId="7ECB2A6D" w14:textId="185D951C" w:rsidR="0020053B" w:rsidRPr="0020053B" w:rsidRDefault="00193364" w:rsidP="0020053B">
      <w:pPr>
        <w:pStyle w:val="Numberedparagraph"/>
      </w:pPr>
      <w:r>
        <w:t xml:space="preserve">Because the right to </w:t>
      </w:r>
      <w:r w:rsidR="000E28E8" w:rsidRPr="0020053B">
        <w:t xml:space="preserve">freedom of religion is recognised in the </w:t>
      </w:r>
      <w:r w:rsidR="00894489">
        <w:rPr>
          <w:iCs/>
        </w:rPr>
        <w:t>ICCPR</w:t>
      </w:r>
      <w:r w:rsidR="000E28E8" w:rsidRPr="0020053B">
        <w:t xml:space="preserve">, the </w:t>
      </w:r>
      <w:r w:rsidR="00894489">
        <w:rPr>
          <w:iCs/>
        </w:rPr>
        <w:t>Covenant</w:t>
      </w:r>
      <w:r w:rsidR="000E28E8" w:rsidRPr="0020053B">
        <w:t xml:space="preserve"> is arguably the primary foundation for </w:t>
      </w:r>
      <w:r w:rsidR="0048331A">
        <w:t>religious exemptions in the</w:t>
      </w:r>
      <w:r w:rsidR="000E28E8" w:rsidRPr="0020053B">
        <w:t xml:space="preserve"> Sex Discrimination Act.</w:t>
      </w:r>
      <w:r w:rsidR="0020053B" w:rsidRPr="0020053B">
        <w:t xml:space="preserve"> Although it is not necessary that legislation implement all obligations in an international convention for it to be a valid exercise of the external affairs power, the legislation should not be </w:t>
      </w:r>
      <w:r w:rsidR="0020053B" w:rsidRPr="00906565">
        <w:rPr>
          <w:i/>
          <w:iCs/>
        </w:rPr>
        <w:t>inconsistent</w:t>
      </w:r>
      <w:r w:rsidR="0020053B" w:rsidRPr="0020053B">
        <w:t xml:space="preserve"> with the Convention. On this issue the High Court has said:</w:t>
      </w:r>
    </w:p>
    <w:p w14:paraId="53278571" w14:textId="77777777" w:rsidR="0020053B" w:rsidRPr="00E3092A" w:rsidRDefault="0020053B" w:rsidP="0020053B">
      <w:pPr>
        <w:spacing w:before="120" w:after="240"/>
        <w:ind w:left="1134" w:right="845"/>
        <w:rPr>
          <w:rFonts w:cs="Arial"/>
          <w:color w:val="000000"/>
          <w:szCs w:val="22"/>
        </w:rPr>
      </w:pPr>
      <w:r w:rsidRPr="0007741D">
        <w:rPr>
          <w:rFonts w:cs="Source Sans Pro"/>
          <w:i/>
        </w:rPr>
        <w:t>Deficiency in implementation of a supporting Convention is not necessarily fatal to the validity of a law; but a law will be held invalid if the deficiency is so substantial as to deny the law the character of a measure implementing the Convention or it is a deficiency which, when coupled with other provisions of the law, make it substantially inconsistent with the Convention</w:t>
      </w:r>
      <w:r>
        <w:rPr>
          <w:rFonts w:cs="Arial"/>
          <w:color w:val="000000"/>
          <w:szCs w:val="22"/>
        </w:rPr>
        <w:t>.</w:t>
      </w:r>
      <w:r>
        <w:rPr>
          <w:rStyle w:val="FootnoteReference"/>
          <w:rFonts w:cs="Arial"/>
          <w:color w:val="000000"/>
          <w:szCs w:val="22"/>
        </w:rPr>
        <w:footnoteReference w:id="17"/>
      </w:r>
    </w:p>
    <w:p w14:paraId="55FB7CA1" w14:textId="1ACECA4F" w:rsidR="00977480" w:rsidRDefault="00977480" w:rsidP="00977480">
      <w:pPr>
        <w:pStyle w:val="Numberedparagraph"/>
      </w:pPr>
      <w:r>
        <w:t xml:space="preserve">The rights to equality before the law and to freedom from discrimination are also recognised in the </w:t>
      </w:r>
      <w:r w:rsidR="00151609">
        <w:rPr>
          <w:iCs/>
        </w:rPr>
        <w:t>ICCPR</w:t>
      </w:r>
      <w:r>
        <w:t>, and Australia has an obligation to enact laws to protect these rights.</w:t>
      </w:r>
    </w:p>
    <w:p w14:paraId="38CB480C" w14:textId="2495AD3E" w:rsidR="00D14250" w:rsidRPr="0097278A" w:rsidRDefault="003138B7" w:rsidP="00193364">
      <w:pPr>
        <w:pStyle w:val="Numberedparagraph"/>
      </w:pPr>
      <w:r>
        <w:t xml:space="preserve">In the Commission’s view, section 37 and 38 of the </w:t>
      </w:r>
      <w:r w:rsidR="005A0D2B">
        <w:t xml:space="preserve">Sex Discrimination Act as currently drafted have the effect of </w:t>
      </w:r>
      <w:r w:rsidR="006C02DF">
        <w:t>elevating the right to</w:t>
      </w:r>
      <w:r w:rsidR="005A0D2B">
        <w:t xml:space="preserve"> manifest </w:t>
      </w:r>
      <w:r w:rsidR="0023409C">
        <w:t xml:space="preserve">religion </w:t>
      </w:r>
      <w:r w:rsidR="006475C6">
        <w:t>above</w:t>
      </w:r>
      <w:r w:rsidR="00451C15">
        <w:t xml:space="preserve"> other protected rights.</w:t>
      </w:r>
      <w:r w:rsidR="00421B1D">
        <w:t xml:space="preserve"> Changes to the federal laws are required to ensure that the Sex Discrimination Act is consistent with </w:t>
      </w:r>
      <w:r w:rsidR="006A16CA">
        <w:t>international human rights principles and obligations.</w:t>
      </w:r>
      <w:r w:rsidR="0023409C">
        <w:t xml:space="preserve"> </w:t>
      </w:r>
    </w:p>
    <w:p w14:paraId="2078A8A3" w14:textId="6B01EECD" w:rsidR="005429BA" w:rsidRDefault="005429BA" w:rsidP="005429BA">
      <w:pPr>
        <w:pStyle w:val="Heading1"/>
        <w:rPr>
          <w:lang w:eastAsia="en-AU"/>
        </w:rPr>
      </w:pPr>
      <w:bookmarkStart w:id="16" w:name="_Toc128033992"/>
      <w:r>
        <w:rPr>
          <w:lang w:eastAsia="en-AU"/>
        </w:rPr>
        <w:lastRenderedPageBreak/>
        <w:t>Comments on propositions</w:t>
      </w:r>
      <w:r w:rsidR="008A1C69">
        <w:rPr>
          <w:lang w:eastAsia="en-AU"/>
        </w:rPr>
        <w:t xml:space="preserve"> and technical proposals</w:t>
      </w:r>
      <w:bookmarkEnd w:id="16"/>
    </w:p>
    <w:p w14:paraId="4FEA38B9" w14:textId="28161255" w:rsidR="00CB5A93" w:rsidRDefault="00CB5A93" w:rsidP="00CB5A93">
      <w:pPr>
        <w:pStyle w:val="Heading2"/>
        <w:rPr>
          <w:lang w:eastAsia="en-AU"/>
        </w:rPr>
      </w:pPr>
      <w:bookmarkStart w:id="17" w:name="_Toc128033993"/>
      <w:r>
        <w:rPr>
          <w:lang w:eastAsia="en-AU"/>
        </w:rPr>
        <w:t xml:space="preserve">Proposition A – </w:t>
      </w:r>
      <w:r w:rsidR="0001409E">
        <w:rPr>
          <w:lang w:eastAsia="en-AU"/>
        </w:rPr>
        <w:t>s</w:t>
      </w:r>
      <w:r w:rsidR="00E943E2">
        <w:rPr>
          <w:lang w:eastAsia="en-AU"/>
        </w:rPr>
        <w:t>tudents</w:t>
      </w:r>
      <w:bookmarkEnd w:id="17"/>
    </w:p>
    <w:p w14:paraId="735988CD" w14:textId="01575382" w:rsidR="00AA0C6A" w:rsidRPr="00AA0C6A" w:rsidRDefault="00AA0C6A" w:rsidP="00AA0C6A">
      <w:pPr>
        <w:pStyle w:val="Numberedparagraph"/>
        <w:rPr>
          <w:lang w:eastAsia="en-AU"/>
        </w:rPr>
      </w:pPr>
      <w:r>
        <w:rPr>
          <w:lang w:eastAsia="en-AU"/>
        </w:rPr>
        <w:t xml:space="preserve">This section will respond to Proposition A and the related technical proposals </w:t>
      </w:r>
      <w:r w:rsidR="00AF6597">
        <w:rPr>
          <w:lang w:eastAsia="en-AU"/>
        </w:rPr>
        <w:t>1, 3, 4, 6 and 7.</w:t>
      </w:r>
    </w:p>
    <w:p w14:paraId="3258F8FD" w14:textId="1B56E687" w:rsidR="00C86084" w:rsidRPr="00AA0C6A" w:rsidRDefault="00EC39E5" w:rsidP="00C86084">
      <w:pPr>
        <w:pStyle w:val="Heading3"/>
        <w:rPr>
          <w:lang w:eastAsia="en-AU"/>
        </w:rPr>
      </w:pPr>
      <w:bookmarkStart w:id="18" w:name="_Toc128033994"/>
      <w:r>
        <w:rPr>
          <w:lang w:eastAsia="en-AU"/>
        </w:rPr>
        <w:t>Educational institutions or authorities</w:t>
      </w:r>
      <w:bookmarkEnd w:id="18"/>
    </w:p>
    <w:p w14:paraId="2E2552CA" w14:textId="182F29C6" w:rsidR="00EC436F" w:rsidRDefault="005469C6" w:rsidP="009D552E">
      <w:pPr>
        <w:pStyle w:val="Numberedparagraph"/>
        <w:rPr>
          <w:lang w:eastAsia="en-AU"/>
        </w:rPr>
      </w:pPr>
      <w:r>
        <w:rPr>
          <w:lang w:eastAsia="en-AU"/>
        </w:rPr>
        <w:t>QHRC</w:t>
      </w:r>
      <w:r w:rsidR="009D552E">
        <w:rPr>
          <w:lang w:eastAsia="en-AU"/>
        </w:rPr>
        <w:t xml:space="preserve"> is in general support of Proposition A</w:t>
      </w:r>
      <w:r w:rsidR="009500AD">
        <w:rPr>
          <w:lang w:eastAsia="en-AU"/>
        </w:rPr>
        <w:t xml:space="preserve"> </w:t>
      </w:r>
      <w:r w:rsidR="00D51D77">
        <w:rPr>
          <w:lang w:eastAsia="en-AU"/>
        </w:rPr>
        <w:t xml:space="preserve">and its related technical proposals </w:t>
      </w:r>
      <w:r w:rsidR="009500AD">
        <w:rPr>
          <w:lang w:eastAsia="en-AU"/>
        </w:rPr>
        <w:t>as</w:t>
      </w:r>
      <w:r w:rsidR="00D51D77">
        <w:rPr>
          <w:lang w:eastAsia="en-AU"/>
        </w:rPr>
        <w:t xml:space="preserve"> </w:t>
      </w:r>
      <w:r w:rsidR="00BB0677">
        <w:rPr>
          <w:lang w:eastAsia="en-AU"/>
        </w:rPr>
        <w:t>they</w:t>
      </w:r>
      <w:r w:rsidR="00D51D77">
        <w:rPr>
          <w:lang w:eastAsia="en-AU"/>
        </w:rPr>
        <w:t xml:space="preserve"> </w:t>
      </w:r>
      <w:r w:rsidR="00552072">
        <w:rPr>
          <w:lang w:eastAsia="en-AU"/>
        </w:rPr>
        <w:t>represent a</w:t>
      </w:r>
      <w:r w:rsidR="009500AD">
        <w:rPr>
          <w:lang w:eastAsia="en-AU"/>
        </w:rPr>
        <w:t xml:space="preserve"> </w:t>
      </w:r>
      <w:r w:rsidR="00257C9D">
        <w:rPr>
          <w:lang w:eastAsia="en-AU"/>
        </w:rPr>
        <w:t>similar</w:t>
      </w:r>
      <w:r w:rsidR="009500AD">
        <w:rPr>
          <w:lang w:eastAsia="en-AU"/>
        </w:rPr>
        <w:t xml:space="preserve"> </w:t>
      </w:r>
      <w:r w:rsidR="00552072">
        <w:rPr>
          <w:lang w:eastAsia="en-AU"/>
        </w:rPr>
        <w:t xml:space="preserve">position </w:t>
      </w:r>
      <w:r w:rsidR="009500AD">
        <w:rPr>
          <w:lang w:eastAsia="en-AU"/>
        </w:rPr>
        <w:t>to Queensland’s current legislation</w:t>
      </w:r>
      <w:r w:rsidR="008B73E0">
        <w:rPr>
          <w:lang w:eastAsia="en-AU"/>
        </w:rPr>
        <w:t>. However, the QHRC</w:t>
      </w:r>
      <w:r w:rsidR="009D552E">
        <w:rPr>
          <w:lang w:eastAsia="en-AU"/>
        </w:rPr>
        <w:t xml:space="preserve"> recommends </w:t>
      </w:r>
      <w:r w:rsidR="00785AFB">
        <w:rPr>
          <w:lang w:eastAsia="en-AU"/>
        </w:rPr>
        <w:t xml:space="preserve">an </w:t>
      </w:r>
      <w:r w:rsidR="009D552E">
        <w:rPr>
          <w:lang w:eastAsia="en-AU"/>
        </w:rPr>
        <w:t>alternative framing</w:t>
      </w:r>
      <w:r w:rsidR="00FF1B3E">
        <w:rPr>
          <w:lang w:eastAsia="en-AU"/>
        </w:rPr>
        <w:t xml:space="preserve"> to </w:t>
      </w:r>
      <w:r w:rsidR="009B2625">
        <w:rPr>
          <w:lang w:eastAsia="en-AU"/>
        </w:rPr>
        <w:t>ensure that</w:t>
      </w:r>
      <w:r w:rsidR="00F56B1B">
        <w:rPr>
          <w:lang w:eastAsia="en-AU"/>
        </w:rPr>
        <w:t xml:space="preserve"> students are not discriminated against by any educational institution or the bodies that administer them.</w:t>
      </w:r>
    </w:p>
    <w:p w14:paraId="0D231FAD" w14:textId="1D20E02E" w:rsidR="00B21FCA" w:rsidRDefault="00B81587" w:rsidP="009D552E">
      <w:pPr>
        <w:pStyle w:val="Numberedparagraph"/>
        <w:rPr>
          <w:lang w:eastAsia="en-AU"/>
        </w:rPr>
      </w:pPr>
      <w:r>
        <w:rPr>
          <w:lang w:eastAsia="en-AU"/>
        </w:rPr>
        <w:t xml:space="preserve">The </w:t>
      </w:r>
      <w:r w:rsidR="00FF1B3E">
        <w:rPr>
          <w:lang w:eastAsia="en-AU"/>
        </w:rPr>
        <w:t xml:space="preserve">Queensland </w:t>
      </w:r>
      <w:r>
        <w:rPr>
          <w:lang w:eastAsia="en-AU"/>
        </w:rPr>
        <w:t>AD Act makes it clear that</w:t>
      </w:r>
      <w:r w:rsidR="00EC436F">
        <w:rPr>
          <w:lang w:eastAsia="en-AU"/>
        </w:rPr>
        <w:t xml:space="preserve"> </w:t>
      </w:r>
      <w:r w:rsidR="00A8730B">
        <w:rPr>
          <w:lang w:eastAsia="en-AU"/>
        </w:rPr>
        <w:t>the</w:t>
      </w:r>
      <w:r w:rsidR="00EC436F">
        <w:rPr>
          <w:lang w:eastAsia="en-AU"/>
        </w:rPr>
        <w:t xml:space="preserve"> general religious e</w:t>
      </w:r>
      <w:r w:rsidR="0045145B">
        <w:rPr>
          <w:lang w:eastAsia="en-AU"/>
        </w:rPr>
        <w:t xml:space="preserve">xemption does not apply </w:t>
      </w:r>
      <w:r w:rsidR="0036545D">
        <w:rPr>
          <w:lang w:eastAsia="en-AU"/>
        </w:rPr>
        <w:t xml:space="preserve">to </w:t>
      </w:r>
      <w:r w:rsidR="00C939B6">
        <w:rPr>
          <w:lang w:eastAsia="en-AU"/>
        </w:rPr>
        <w:t xml:space="preserve">either </w:t>
      </w:r>
      <w:r w:rsidR="0036545D">
        <w:rPr>
          <w:lang w:eastAsia="en-AU"/>
        </w:rPr>
        <w:t xml:space="preserve">educational </w:t>
      </w:r>
      <w:r w:rsidR="0036545D" w:rsidRPr="001E24E5">
        <w:rPr>
          <w:i/>
          <w:iCs/>
          <w:lang w:eastAsia="en-AU"/>
        </w:rPr>
        <w:t>authorities</w:t>
      </w:r>
      <w:r w:rsidR="0036545D">
        <w:rPr>
          <w:lang w:eastAsia="en-AU"/>
        </w:rPr>
        <w:t xml:space="preserve"> </w:t>
      </w:r>
      <w:r w:rsidR="00C939B6">
        <w:rPr>
          <w:lang w:eastAsia="en-AU"/>
        </w:rPr>
        <w:t>or</w:t>
      </w:r>
      <w:r w:rsidR="0036545D">
        <w:rPr>
          <w:lang w:eastAsia="en-AU"/>
        </w:rPr>
        <w:t xml:space="preserve"> educational</w:t>
      </w:r>
      <w:r w:rsidR="00380959">
        <w:rPr>
          <w:i/>
          <w:iCs/>
          <w:lang w:eastAsia="en-AU"/>
        </w:rPr>
        <w:t xml:space="preserve"> institutions</w:t>
      </w:r>
      <w:r w:rsidR="0036545D">
        <w:rPr>
          <w:lang w:eastAsia="en-AU"/>
        </w:rPr>
        <w:t>.</w:t>
      </w:r>
      <w:r w:rsidR="00D552C6">
        <w:rPr>
          <w:lang w:eastAsia="en-AU"/>
        </w:rPr>
        <w:t xml:space="preserve"> </w:t>
      </w:r>
      <w:r w:rsidR="008B73E0">
        <w:rPr>
          <w:lang w:eastAsia="en-AU"/>
        </w:rPr>
        <w:t>S</w:t>
      </w:r>
      <w:r w:rsidR="00D552C6">
        <w:rPr>
          <w:lang w:eastAsia="en-AU"/>
        </w:rPr>
        <w:t>ection 109</w:t>
      </w:r>
      <w:r w:rsidR="00F62035">
        <w:rPr>
          <w:lang w:eastAsia="en-AU"/>
        </w:rPr>
        <w:t xml:space="preserve">(2) </w:t>
      </w:r>
      <w:r w:rsidR="00A3500C">
        <w:rPr>
          <w:lang w:eastAsia="en-AU"/>
        </w:rPr>
        <w:t>states</w:t>
      </w:r>
      <w:r w:rsidR="00D552C6">
        <w:rPr>
          <w:lang w:eastAsia="en-AU"/>
        </w:rPr>
        <w:t xml:space="preserve"> that the exemption does not apply in the </w:t>
      </w:r>
      <w:r w:rsidR="00D552C6" w:rsidRPr="00F5450F">
        <w:rPr>
          <w:i/>
          <w:iCs/>
          <w:lang w:eastAsia="en-AU"/>
        </w:rPr>
        <w:t>area</w:t>
      </w:r>
      <w:r w:rsidR="00D552C6">
        <w:rPr>
          <w:i/>
          <w:iCs/>
          <w:lang w:eastAsia="en-AU"/>
        </w:rPr>
        <w:t xml:space="preserve"> </w:t>
      </w:r>
      <w:r w:rsidR="00D552C6">
        <w:rPr>
          <w:lang w:eastAsia="en-AU"/>
        </w:rPr>
        <w:t>of education</w:t>
      </w:r>
      <w:r w:rsidR="00275AF9">
        <w:rPr>
          <w:lang w:eastAsia="en-AU"/>
        </w:rPr>
        <w:t xml:space="preserve">. </w:t>
      </w:r>
      <w:r w:rsidR="0069007B">
        <w:rPr>
          <w:lang w:eastAsia="en-AU"/>
        </w:rPr>
        <w:t>Sections 38 and 39 prohibit discrimination by educational authorities</w:t>
      </w:r>
      <w:r w:rsidR="00830646">
        <w:rPr>
          <w:lang w:eastAsia="en-AU"/>
        </w:rPr>
        <w:t xml:space="preserve"> </w:t>
      </w:r>
      <w:r w:rsidR="0048437A">
        <w:rPr>
          <w:lang w:eastAsia="en-AU"/>
        </w:rPr>
        <w:t>and</w:t>
      </w:r>
      <w:r w:rsidR="00830646">
        <w:rPr>
          <w:lang w:eastAsia="en-AU"/>
        </w:rPr>
        <w:t xml:space="preserve"> </w:t>
      </w:r>
      <w:r w:rsidR="00E56A90">
        <w:rPr>
          <w:lang w:eastAsia="en-AU"/>
        </w:rPr>
        <w:t xml:space="preserve">section 41 </w:t>
      </w:r>
      <w:r w:rsidR="00830646">
        <w:rPr>
          <w:lang w:eastAsia="en-AU"/>
        </w:rPr>
        <w:t>provide</w:t>
      </w:r>
      <w:r w:rsidR="00E56A90">
        <w:rPr>
          <w:lang w:eastAsia="en-AU"/>
        </w:rPr>
        <w:t>s</w:t>
      </w:r>
      <w:r w:rsidR="00830646">
        <w:rPr>
          <w:lang w:eastAsia="en-AU"/>
        </w:rPr>
        <w:t xml:space="preserve"> for a limited exemption for educational institutions on enrolment based on sex or religion</w:t>
      </w:r>
      <w:r w:rsidR="00E56A90">
        <w:rPr>
          <w:lang w:eastAsia="en-AU"/>
        </w:rPr>
        <w:t>.</w:t>
      </w:r>
    </w:p>
    <w:p w14:paraId="6A2C8C43" w14:textId="4C6B2728" w:rsidR="008A76CC" w:rsidRDefault="0069007B" w:rsidP="009D552E">
      <w:pPr>
        <w:pStyle w:val="Numberedparagraph"/>
        <w:rPr>
          <w:lang w:eastAsia="en-AU"/>
        </w:rPr>
      </w:pPr>
      <w:r>
        <w:rPr>
          <w:lang w:eastAsia="en-AU"/>
        </w:rPr>
        <w:t xml:space="preserve">The terms are defined </w:t>
      </w:r>
      <w:r w:rsidR="00B21FCA">
        <w:rPr>
          <w:lang w:eastAsia="en-AU"/>
        </w:rPr>
        <w:t>in the same way in the Queensland AD Act and the Sex Discrimination Act</w:t>
      </w:r>
      <w:r w:rsidR="00541CEC">
        <w:rPr>
          <w:lang w:eastAsia="en-AU"/>
        </w:rPr>
        <w:t>,</w:t>
      </w:r>
      <w:r w:rsidR="00B21FCA">
        <w:rPr>
          <w:lang w:eastAsia="en-AU"/>
        </w:rPr>
        <w:t xml:space="preserve"> </w:t>
      </w:r>
      <w:r>
        <w:rPr>
          <w:lang w:eastAsia="en-AU"/>
        </w:rPr>
        <w:t>as follows:</w:t>
      </w:r>
    </w:p>
    <w:p w14:paraId="48669545" w14:textId="77777777" w:rsidR="00E872FD" w:rsidRPr="00E872FD" w:rsidRDefault="00E872FD" w:rsidP="005A235E">
      <w:pPr>
        <w:pStyle w:val="Numberedparagraph"/>
        <w:numPr>
          <w:ilvl w:val="0"/>
          <w:numId w:val="0"/>
        </w:numPr>
        <w:ind w:left="720"/>
        <w:rPr>
          <w:lang w:eastAsia="en-GB"/>
        </w:rPr>
      </w:pPr>
      <w:r w:rsidRPr="00E872FD">
        <w:rPr>
          <w:b/>
          <w:bCs/>
          <w:i/>
          <w:iCs/>
          <w:lang w:eastAsia="en-GB"/>
        </w:rPr>
        <w:t>educational authority</w:t>
      </w:r>
      <w:r w:rsidRPr="00E872FD">
        <w:rPr>
          <w:lang w:eastAsia="en-GB"/>
        </w:rPr>
        <w:t> means a person or body administering an educational institution.</w:t>
      </w:r>
    </w:p>
    <w:p w14:paraId="22796431" w14:textId="4694A954" w:rsidR="00E872FD" w:rsidRDefault="00E872FD" w:rsidP="005A235E">
      <w:pPr>
        <w:pStyle w:val="Numberedparagraph"/>
        <w:numPr>
          <w:ilvl w:val="0"/>
          <w:numId w:val="0"/>
        </w:numPr>
        <w:ind w:left="720"/>
        <w:rPr>
          <w:lang w:eastAsia="en-GB"/>
        </w:rPr>
      </w:pPr>
      <w:r w:rsidRPr="00E872FD">
        <w:rPr>
          <w:b/>
          <w:bCs/>
          <w:i/>
          <w:iCs/>
          <w:lang w:eastAsia="en-GB"/>
        </w:rPr>
        <w:t>educational institution</w:t>
      </w:r>
      <w:r w:rsidRPr="00E872FD">
        <w:rPr>
          <w:lang w:eastAsia="en-GB"/>
        </w:rPr>
        <w:t> means a school, college, university or other institution providing any form of training or instruction, and includes a place at which training or instruction is provided by an employer.</w:t>
      </w:r>
      <w:r w:rsidR="00FA62E9">
        <w:rPr>
          <w:rStyle w:val="FootnoteReference"/>
          <w:lang w:eastAsia="en-GB"/>
        </w:rPr>
        <w:footnoteReference w:id="18"/>
      </w:r>
    </w:p>
    <w:p w14:paraId="2585BB9B" w14:textId="6423DCA7" w:rsidR="00F06626" w:rsidRDefault="00F06626" w:rsidP="00F06626">
      <w:pPr>
        <w:pStyle w:val="Numberedparagraph"/>
        <w:numPr>
          <w:ilvl w:val="0"/>
          <w:numId w:val="0"/>
        </w:numPr>
        <w:ind w:left="567" w:hanging="567"/>
        <w:rPr>
          <w:lang w:eastAsia="en-GB"/>
        </w:rPr>
      </w:pPr>
      <w:r w:rsidRPr="00C360D7">
        <w:rPr>
          <w:color w:val="1F497D" w:themeColor="text2"/>
          <w:lang w:eastAsia="en-GB"/>
        </w:rPr>
        <w:t>Recommendation 1</w:t>
      </w:r>
      <w:r>
        <w:rPr>
          <w:lang w:eastAsia="en-GB"/>
        </w:rPr>
        <w:t>:</w:t>
      </w:r>
    </w:p>
    <w:p w14:paraId="15F63C7F" w14:textId="6B0B59F2" w:rsidR="00F06626" w:rsidRDefault="00093880" w:rsidP="00180112">
      <w:pPr>
        <w:pStyle w:val="Numberedparagraph"/>
        <w:numPr>
          <w:ilvl w:val="0"/>
          <w:numId w:val="0"/>
        </w:numPr>
        <w:ind w:left="567"/>
        <w:rPr>
          <w:lang w:eastAsia="en-GB"/>
        </w:rPr>
      </w:pPr>
      <w:r>
        <w:rPr>
          <w:lang w:eastAsia="en-GB"/>
        </w:rPr>
        <w:t xml:space="preserve">The </w:t>
      </w:r>
      <w:r w:rsidR="00E83976">
        <w:rPr>
          <w:lang w:eastAsia="en-GB"/>
        </w:rPr>
        <w:t>Sex Discrimination A</w:t>
      </w:r>
      <w:r w:rsidR="00BB0679">
        <w:rPr>
          <w:lang w:eastAsia="en-GB"/>
        </w:rPr>
        <w:t>ct</w:t>
      </w:r>
      <w:r w:rsidR="00180112">
        <w:rPr>
          <w:lang w:eastAsia="en-GB"/>
        </w:rPr>
        <w:t xml:space="preserve"> </w:t>
      </w:r>
      <w:r>
        <w:rPr>
          <w:lang w:eastAsia="en-GB"/>
        </w:rPr>
        <w:t xml:space="preserve">should specify that the exception for religious bodies in section </w:t>
      </w:r>
      <w:r w:rsidR="00180112">
        <w:rPr>
          <w:lang w:eastAsia="en-GB"/>
        </w:rPr>
        <w:t>37(</w:t>
      </w:r>
      <w:r w:rsidR="00E441AC">
        <w:rPr>
          <w:lang w:eastAsia="en-GB"/>
        </w:rPr>
        <w:t>1</w:t>
      </w:r>
      <w:r w:rsidR="00541CEC">
        <w:rPr>
          <w:lang w:eastAsia="en-GB"/>
        </w:rPr>
        <w:t>)</w:t>
      </w:r>
      <w:r w:rsidR="00180112">
        <w:rPr>
          <w:lang w:eastAsia="en-GB"/>
        </w:rPr>
        <w:t>(d) does not apply in the area of education.</w:t>
      </w:r>
    </w:p>
    <w:p w14:paraId="7FF5F3E3" w14:textId="18381E7C" w:rsidR="00C9497D" w:rsidRDefault="00C9497D" w:rsidP="00C9497D">
      <w:pPr>
        <w:pStyle w:val="Heading3"/>
        <w:rPr>
          <w:lang w:eastAsia="en-GB"/>
        </w:rPr>
      </w:pPr>
      <w:bookmarkStart w:id="19" w:name="_Toc128033995"/>
      <w:r>
        <w:rPr>
          <w:lang w:eastAsia="en-AU"/>
        </w:rPr>
        <w:t>Association with students</w:t>
      </w:r>
      <w:bookmarkEnd w:id="19"/>
    </w:p>
    <w:p w14:paraId="5072C813" w14:textId="1D3D916A" w:rsidR="00003E81" w:rsidRDefault="00A96B67" w:rsidP="00003E81">
      <w:pPr>
        <w:pStyle w:val="Numberedparagraph"/>
        <w:rPr>
          <w:lang w:eastAsia="en-GB"/>
        </w:rPr>
      </w:pPr>
      <w:r>
        <w:rPr>
          <w:lang w:eastAsia="en-GB"/>
        </w:rPr>
        <w:t xml:space="preserve">In relation to Proposition A.1, </w:t>
      </w:r>
      <w:r w:rsidR="005469C6">
        <w:rPr>
          <w:lang w:eastAsia="en-GB"/>
        </w:rPr>
        <w:t>QHRC</w:t>
      </w:r>
      <w:r w:rsidR="00AE5786">
        <w:rPr>
          <w:lang w:eastAsia="en-GB"/>
        </w:rPr>
        <w:t xml:space="preserve"> agrees that people associated with a student such as a family member or carer should be protected from discrimination. In Queensland, </w:t>
      </w:r>
      <w:r w:rsidR="00B81587">
        <w:rPr>
          <w:lang w:eastAsia="en-GB"/>
        </w:rPr>
        <w:t xml:space="preserve">such </w:t>
      </w:r>
      <w:r w:rsidR="00AE5786">
        <w:rPr>
          <w:lang w:eastAsia="en-GB"/>
        </w:rPr>
        <w:t xml:space="preserve">a person would be protected through the </w:t>
      </w:r>
      <w:r w:rsidR="00AE5786">
        <w:rPr>
          <w:lang w:eastAsia="en-GB"/>
        </w:rPr>
        <w:lastRenderedPageBreak/>
        <w:t>‘association’ attribute.</w:t>
      </w:r>
      <w:r w:rsidR="00AE5786">
        <w:rPr>
          <w:rStyle w:val="FootnoteReference"/>
          <w:lang w:eastAsia="en-GB"/>
        </w:rPr>
        <w:footnoteReference w:id="19"/>
      </w:r>
      <w:r w:rsidR="00611D88">
        <w:rPr>
          <w:lang w:eastAsia="en-GB"/>
        </w:rPr>
        <w:t xml:space="preserve"> </w:t>
      </w:r>
      <w:r w:rsidR="005B6293">
        <w:rPr>
          <w:lang w:eastAsia="en-GB"/>
        </w:rPr>
        <w:t xml:space="preserve">However, </w:t>
      </w:r>
      <w:r w:rsidR="005469C6">
        <w:rPr>
          <w:lang w:eastAsia="en-GB"/>
        </w:rPr>
        <w:t>QHRC</w:t>
      </w:r>
      <w:r w:rsidR="005B6293">
        <w:rPr>
          <w:lang w:eastAsia="en-GB"/>
        </w:rPr>
        <w:t xml:space="preserve"> considers </w:t>
      </w:r>
      <w:r w:rsidR="005469C6">
        <w:rPr>
          <w:lang w:eastAsia="en-GB"/>
        </w:rPr>
        <w:t xml:space="preserve">the </w:t>
      </w:r>
      <w:r w:rsidR="005B6293">
        <w:rPr>
          <w:lang w:eastAsia="en-GB"/>
        </w:rPr>
        <w:t xml:space="preserve">framing </w:t>
      </w:r>
      <w:r w:rsidR="005469C6">
        <w:rPr>
          <w:lang w:eastAsia="en-GB"/>
        </w:rPr>
        <w:t>proposed</w:t>
      </w:r>
      <w:r w:rsidR="005B6293">
        <w:rPr>
          <w:lang w:eastAsia="en-GB"/>
        </w:rPr>
        <w:t xml:space="preserve"> </w:t>
      </w:r>
      <w:r w:rsidR="00AE43C9">
        <w:rPr>
          <w:lang w:eastAsia="en-GB"/>
        </w:rPr>
        <w:t xml:space="preserve">by the ALRC </w:t>
      </w:r>
      <w:r w:rsidR="005B6293">
        <w:rPr>
          <w:lang w:eastAsia="en-GB"/>
        </w:rPr>
        <w:t xml:space="preserve">to be unnecessarily narrow. </w:t>
      </w:r>
    </w:p>
    <w:p w14:paraId="232936EE" w14:textId="0D913FAE" w:rsidR="00243B7F" w:rsidRDefault="00243B7F" w:rsidP="00003E81">
      <w:pPr>
        <w:pStyle w:val="Numberedparagraph"/>
        <w:rPr>
          <w:lang w:eastAsia="en-GB"/>
        </w:rPr>
      </w:pPr>
      <w:r>
        <w:rPr>
          <w:lang w:eastAsia="en-GB"/>
        </w:rPr>
        <w:t xml:space="preserve">The </w:t>
      </w:r>
      <w:r w:rsidR="00B74442">
        <w:rPr>
          <w:lang w:eastAsia="en-GB"/>
        </w:rPr>
        <w:t xml:space="preserve">ALRC </w:t>
      </w:r>
      <w:r w:rsidR="00F746F7">
        <w:rPr>
          <w:lang w:eastAsia="en-GB"/>
        </w:rPr>
        <w:t xml:space="preserve">notes </w:t>
      </w:r>
      <w:r w:rsidR="00B74442">
        <w:rPr>
          <w:lang w:eastAsia="en-GB"/>
        </w:rPr>
        <w:t xml:space="preserve">in the </w:t>
      </w:r>
      <w:r w:rsidR="00CA0D3B">
        <w:rPr>
          <w:lang w:eastAsia="en-GB"/>
        </w:rPr>
        <w:t>Consultation</w:t>
      </w:r>
      <w:r>
        <w:rPr>
          <w:lang w:eastAsia="en-GB"/>
        </w:rPr>
        <w:t xml:space="preserve"> </w:t>
      </w:r>
      <w:r w:rsidR="00CA0D3B">
        <w:rPr>
          <w:lang w:eastAsia="en-GB"/>
        </w:rPr>
        <w:t>P</w:t>
      </w:r>
      <w:r>
        <w:rPr>
          <w:lang w:eastAsia="en-GB"/>
        </w:rPr>
        <w:t xml:space="preserve">aper that </w:t>
      </w:r>
      <w:r w:rsidR="00CA0D3B">
        <w:rPr>
          <w:lang w:eastAsia="en-GB"/>
        </w:rPr>
        <w:t>there may be merit in considering extending protection</w:t>
      </w:r>
      <w:r w:rsidR="00605ADB">
        <w:rPr>
          <w:lang w:eastAsia="en-GB"/>
        </w:rPr>
        <w:t>s</w:t>
      </w:r>
      <w:r w:rsidR="00CA0D3B">
        <w:rPr>
          <w:lang w:eastAsia="en-GB"/>
        </w:rPr>
        <w:t xml:space="preserve"> generally in relation to association with another person, but </w:t>
      </w:r>
      <w:r w:rsidR="00A07427">
        <w:rPr>
          <w:lang w:eastAsia="en-GB"/>
        </w:rPr>
        <w:t xml:space="preserve">the paper considers </w:t>
      </w:r>
      <w:r w:rsidR="00B74442">
        <w:rPr>
          <w:lang w:eastAsia="en-GB"/>
        </w:rPr>
        <w:t>that this would be</w:t>
      </w:r>
      <w:r w:rsidR="00497F50">
        <w:rPr>
          <w:lang w:eastAsia="en-GB"/>
        </w:rPr>
        <w:t xml:space="preserve"> a </w:t>
      </w:r>
      <w:r w:rsidR="00605ADB">
        <w:rPr>
          <w:lang w:eastAsia="en-GB"/>
        </w:rPr>
        <w:t xml:space="preserve">significant </w:t>
      </w:r>
      <w:r w:rsidR="00497F50">
        <w:rPr>
          <w:lang w:eastAsia="en-GB"/>
        </w:rPr>
        <w:t xml:space="preserve">change more broadly to the architecture of the Sex </w:t>
      </w:r>
      <w:r w:rsidR="00051C54">
        <w:rPr>
          <w:lang w:eastAsia="en-GB"/>
        </w:rPr>
        <w:t>Discrimination</w:t>
      </w:r>
      <w:r w:rsidR="00497F50">
        <w:rPr>
          <w:lang w:eastAsia="en-GB"/>
        </w:rPr>
        <w:t xml:space="preserve"> Act and therefore more properly dealt with </w:t>
      </w:r>
      <w:r w:rsidR="00051C54">
        <w:rPr>
          <w:lang w:eastAsia="en-GB"/>
        </w:rPr>
        <w:t>through further reforms at a later stage.</w:t>
      </w:r>
      <w:r w:rsidR="00605ADB">
        <w:rPr>
          <w:lang w:eastAsia="en-GB"/>
        </w:rPr>
        <w:t xml:space="preserve"> </w:t>
      </w:r>
      <w:r w:rsidR="005469C6">
        <w:rPr>
          <w:lang w:eastAsia="en-GB"/>
        </w:rPr>
        <w:t>QHRC</w:t>
      </w:r>
      <w:r w:rsidR="00605ADB">
        <w:rPr>
          <w:lang w:eastAsia="en-GB"/>
        </w:rPr>
        <w:t xml:space="preserve"> understands that </w:t>
      </w:r>
      <w:r w:rsidR="00541CEC">
        <w:rPr>
          <w:lang w:eastAsia="en-GB"/>
        </w:rPr>
        <w:t xml:space="preserve">recommending </w:t>
      </w:r>
      <w:r w:rsidR="00605ADB">
        <w:rPr>
          <w:lang w:eastAsia="en-GB"/>
        </w:rPr>
        <w:t xml:space="preserve">such a change </w:t>
      </w:r>
      <w:r w:rsidR="001677E8">
        <w:rPr>
          <w:lang w:eastAsia="en-GB"/>
        </w:rPr>
        <w:t>may</w:t>
      </w:r>
      <w:r w:rsidR="00605ADB">
        <w:rPr>
          <w:lang w:eastAsia="en-GB"/>
        </w:rPr>
        <w:t xml:space="preserve"> fall outside of the ALRC’s </w:t>
      </w:r>
      <w:r w:rsidR="00F75739">
        <w:rPr>
          <w:lang w:eastAsia="en-GB"/>
        </w:rPr>
        <w:t>terms of reference for the current review of religious exemptions.</w:t>
      </w:r>
    </w:p>
    <w:p w14:paraId="3BF12674" w14:textId="426295D2" w:rsidR="00EE694B" w:rsidRPr="00667C9B" w:rsidRDefault="00F75739" w:rsidP="001115F4">
      <w:pPr>
        <w:pStyle w:val="Numberedparagraph"/>
        <w:rPr>
          <w:i/>
          <w:iCs/>
          <w:lang w:eastAsia="en-AU"/>
        </w:rPr>
      </w:pPr>
      <w:r>
        <w:rPr>
          <w:lang w:eastAsia="en-GB"/>
        </w:rPr>
        <w:t xml:space="preserve">However, an alternative option </w:t>
      </w:r>
      <w:r w:rsidR="00051C54">
        <w:rPr>
          <w:lang w:eastAsia="en-GB"/>
        </w:rPr>
        <w:t>is t</w:t>
      </w:r>
      <w:r w:rsidR="00890F43">
        <w:rPr>
          <w:lang w:eastAsia="en-GB"/>
        </w:rPr>
        <w:t xml:space="preserve">o only refer to </w:t>
      </w:r>
      <w:r w:rsidR="00D72889">
        <w:rPr>
          <w:lang w:eastAsia="en-GB"/>
        </w:rPr>
        <w:t>‘</w:t>
      </w:r>
      <w:r w:rsidR="00890F43">
        <w:rPr>
          <w:lang w:eastAsia="en-GB"/>
        </w:rPr>
        <w:t>associates</w:t>
      </w:r>
      <w:r w:rsidR="00D72889">
        <w:rPr>
          <w:lang w:eastAsia="en-GB"/>
        </w:rPr>
        <w:t>’</w:t>
      </w:r>
      <w:r w:rsidR="00890F43">
        <w:rPr>
          <w:lang w:eastAsia="en-GB"/>
        </w:rPr>
        <w:t xml:space="preserve"> in the</w:t>
      </w:r>
      <w:r w:rsidR="007B3C11">
        <w:rPr>
          <w:lang w:eastAsia="en-GB"/>
        </w:rPr>
        <w:t xml:space="preserve"> narrower</w:t>
      </w:r>
      <w:r w:rsidR="00890F43">
        <w:rPr>
          <w:lang w:eastAsia="en-GB"/>
        </w:rPr>
        <w:t xml:space="preserve"> context of </w:t>
      </w:r>
      <w:r w:rsidR="007B3C11">
        <w:rPr>
          <w:lang w:eastAsia="en-GB"/>
        </w:rPr>
        <w:t>treatment by religious educational institutions</w:t>
      </w:r>
      <w:r w:rsidR="00903205">
        <w:rPr>
          <w:lang w:eastAsia="en-GB"/>
        </w:rPr>
        <w:t xml:space="preserve">, rather than creating a new attribute that applies across all areas of the Sex Discrimination Act. </w:t>
      </w:r>
    </w:p>
    <w:p w14:paraId="58A9F02C" w14:textId="2AA20BA9" w:rsidR="00EE775E" w:rsidRDefault="00EE775E" w:rsidP="001115F4">
      <w:pPr>
        <w:pStyle w:val="Numberedparagraph"/>
        <w:rPr>
          <w:i/>
          <w:iCs/>
          <w:lang w:eastAsia="en-AU"/>
        </w:rPr>
      </w:pPr>
      <w:r>
        <w:rPr>
          <w:lang w:eastAsia="en-GB"/>
        </w:rPr>
        <w:t xml:space="preserve">An </w:t>
      </w:r>
      <w:r w:rsidR="005F75F1">
        <w:rPr>
          <w:lang w:eastAsia="en-GB"/>
        </w:rPr>
        <w:t>‘</w:t>
      </w:r>
      <w:r>
        <w:rPr>
          <w:lang w:eastAsia="en-GB"/>
        </w:rPr>
        <w:t>associate</w:t>
      </w:r>
      <w:r w:rsidR="005F75F1">
        <w:rPr>
          <w:lang w:eastAsia="en-GB"/>
        </w:rPr>
        <w:t>’</w:t>
      </w:r>
      <w:r>
        <w:rPr>
          <w:lang w:eastAsia="en-GB"/>
        </w:rPr>
        <w:t xml:space="preserve"> could either be left undefined, or defined consistently with the </w:t>
      </w:r>
      <w:r w:rsidRPr="0B02E38B">
        <w:rPr>
          <w:i/>
          <w:iCs/>
          <w:lang w:eastAsia="en-AU"/>
        </w:rPr>
        <w:t>Disability Discrimination Act 1992</w:t>
      </w:r>
      <w:r>
        <w:rPr>
          <w:i/>
          <w:iCs/>
          <w:lang w:eastAsia="en-AU"/>
        </w:rPr>
        <w:t xml:space="preserve"> </w:t>
      </w:r>
      <w:r>
        <w:rPr>
          <w:lang w:eastAsia="en-AU"/>
        </w:rPr>
        <w:t>(Cth)</w:t>
      </w:r>
      <w:r>
        <w:rPr>
          <w:i/>
          <w:iCs/>
          <w:lang w:eastAsia="en-AU"/>
        </w:rPr>
        <w:t>.</w:t>
      </w:r>
    </w:p>
    <w:p w14:paraId="639D46E8" w14:textId="77777777" w:rsidR="00667C9B" w:rsidRPr="00EE775E" w:rsidRDefault="00667C9B" w:rsidP="00667C9B">
      <w:pPr>
        <w:pStyle w:val="Numberedparagraph"/>
        <w:rPr>
          <w:i/>
          <w:iCs/>
          <w:lang w:eastAsia="en-AU"/>
        </w:rPr>
      </w:pPr>
      <w:r w:rsidRPr="0B02E38B">
        <w:rPr>
          <w:lang w:eastAsia="en-AU"/>
        </w:rPr>
        <w:t xml:space="preserve">The </w:t>
      </w:r>
      <w:r w:rsidRPr="00EE775E">
        <w:rPr>
          <w:i/>
          <w:iCs/>
          <w:lang w:eastAsia="en-AU"/>
        </w:rPr>
        <w:t xml:space="preserve">Disability Discrimination Act 1992 </w:t>
      </w:r>
      <w:r w:rsidRPr="0B02E38B">
        <w:rPr>
          <w:lang w:eastAsia="en-AU"/>
        </w:rPr>
        <w:t>prohibits discrimination against a person on the ground of a disability of that person’s associates. Associate is defined as including:</w:t>
      </w:r>
    </w:p>
    <w:p w14:paraId="23B60C7F" w14:textId="77777777" w:rsidR="00667C9B" w:rsidRDefault="00667C9B" w:rsidP="00940228">
      <w:pPr>
        <w:pStyle w:val="Bulletedlist"/>
        <w:rPr>
          <w:i/>
          <w:iCs/>
          <w:lang w:eastAsia="en-AU"/>
        </w:rPr>
      </w:pPr>
      <w:r w:rsidRPr="0B02E38B">
        <w:rPr>
          <w:lang w:eastAsia="en-AU"/>
        </w:rPr>
        <w:t>a spouse of the person;</w:t>
      </w:r>
    </w:p>
    <w:p w14:paraId="1A0A324A" w14:textId="77777777" w:rsidR="00667C9B" w:rsidRDefault="00667C9B" w:rsidP="00940228">
      <w:pPr>
        <w:pStyle w:val="Bulletedlist"/>
        <w:rPr>
          <w:i/>
          <w:iCs/>
          <w:lang w:eastAsia="en-AU"/>
        </w:rPr>
      </w:pPr>
      <w:r w:rsidRPr="0B02E38B">
        <w:rPr>
          <w:lang w:eastAsia="en-AU"/>
        </w:rPr>
        <w:t xml:space="preserve">another person who is living with the person on a genuine domestic basis; and </w:t>
      </w:r>
    </w:p>
    <w:p w14:paraId="143805AC" w14:textId="7B8469C2" w:rsidR="00667C9B" w:rsidRDefault="006475C6" w:rsidP="00940228">
      <w:pPr>
        <w:pStyle w:val="Bulletedlist"/>
        <w:rPr>
          <w:i/>
          <w:iCs/>
          <w:lang w:eastAsia="en-AU"/>
        </w:rPr>
      </w:pPr>
      <w:r>
        <w:rPr>
          <w:lang w:eastAsia="en-AU"/>
        </w:rPr>
        <w:t>a</w:t>
      </w:r>
      <w:r w:rsidR="00667C9B" w:rsidRPr="0B02E38B">
        <w:rPr>
          <w:lang w:eastAsia="en-AU"/>
        </w:rPr>
        <w:t xml:space="preserve"> relative of the person; and </w:t>
      </w:r>
    </w:p>
    <w:p w14:paraId="443E4138" w14:textId="4A1E50D3" w:rsidR="00667C9B" w:rsidRDefault="006475C6" w:rsidP="00940228">
      <w:pPr>
        <w:pStyle w:val="Bulletedlist"/>
        <w:rPr>
          <w:i/>
          <w:iCs/>
          <w:lang w:eastAsia="en-AU"/>
        </w:rPr>
      </w:pPr>
      <w:r>
        <w:rPr>
          <w:lang w:eastAsia="en-AU"/>
        </w:rPr>
        <w:t>a</w:t>
      </w:r>
      <w:r w:rsidR="00667C9B" w:rsidRPr="0B02E38B">
        <w:rPr>
          <w:lang w:eastAsia="en-AU"/>
        </w:rPr>
        <w:t xml:space="preserve"> </w:t>
      </w:r>
      <w:proofErr w:type="spellStart"/>
      <w:r w:rsidR="00667C9B" w:rsidRPr="0B02E38B">
        <w:rPr>
          <w:lang w:eastAsia="en-AU"/>
        </w:rPr>
        <w:t>carer</w:t>
      </w:r>
      <w:proofErr w:type="spellEnd"/>
      <w:r w:rsidR="00667C9B" w:rsidRPr="0B02E38B">
        <w:rPr>
          <w:lang w:eastAsia="en-AU"/>
        </w:rPr>
        <w:t xml:space="preserve"> of the person; and </w:t>
      </w:r>
    </w:p>
    <w:p w14:paraId="24CFF231" w14:textId="3E05C441" w:rsidR="00F31135" w:rsidRPr="00B616D0" w:rsidRDefault="006475C6" w:rsidP="00B616D0">
      <w:pPr>
        <w:pStyle w:val="Bulletedlist"/>
        <w:rPr>
          <w:i/>
          <w:iCs/>
          <w:lang w:eastAsia="en-AU"/>
        </w:rPr>
      </w:pPr>
      <w:r>
        <w:rPr>
          <w:lang w:eastAsia="en-AU"/>
        </w:rPr>
        <w:t>a</w:t>
      </w:r>
      <w:r w:rsidR="00667C9B" w:rsidRPr="0B02E38B">
        <w:rPr>
          <w:lang w:eastAsia="en-AU"/>
        </w:rPr>
        <w:t xml:space="preserve">nother person who is in a business, sporting or recreational relationship with the person. </w:t>
      </w:r>
    </w:p>
    <w:p w14:paraId="0C5ACAD5" w14:textId="01754CF9" w:rsidR="001F39D2" w:rsidRDefault="001F39D2" w:rsidP="001F39D2">
      <w:pPr>
        <w:pStyle w:val="Numberedparagraph"/>
        <w:numPr>
          <w:ilvl w:val="0"/>
          <w:numId w:val="0"/>
        </w:numPr>
        <w:ind w:left="567" w:hanging="567"/>
        <w:rPr>
          <w:lang w:eastAsia="en-AU"/>
        </w:rPr>
      </w:pPr>
      <w:r w:rsidRPr="00C360D7">
        <w:rPr>
          <w:color w:val="1F497D" w:themeColor="text2"/>
          <w:lang w:eastAsia="en-AU"/>
        </w:rPr>
        <w:t>Recommendation 2</w:t>
      </w:r>
      <w:r>
        <w:rPr>
          <w:lang w:eastAsia="en-AU"/>
        </w:rPr>
        <w:t>:</w:t>
      </w:r>
    </w:p>
    <w:p w14:paraId="5D6F4990" w14:textId="27283A83" w:rsidR="001F39D2" w:rsidRPr="001F39D2" w:rsidRDefault="001F39D2" w:rsidP="00D32835">
      <w:pPr>
        <w:pStyle w:val="Numberedparagraph"/>
        <w:numPr>
          <w:ilvl w:val="0"/>
          <w:numId w:val="0"/>
        </w:numPr>
        <w:ind w:left="567"/>
        <w:rPr>
          <w:lang w:eastAsia="en-AU"/>
        </w:rPr>
      </w:pPr>
      <w:r>
        <w:rPr>
          <w:lang w:eastAsia="en-AU"/>
        </w:rPr>
        <w:t xml:space="preserve">The Sex Discrimination Act should be amended to </w:t>
      </w:r>
      <w:r w:rsidR="00D32835">
        <w:rPr>
          <w:lang w:eastAsia="en-AU"/>
        </w:rPr>
        <w:t xml:space="preserve">protect people from discrimination </w:t>
      </w:r>
      <w:r w:rsidR="001A2882">
        <w:rPr>
          <w:lang w:eastAsia="en-AU"/>
        </w:rPr>
        <w:t xml:space="preserve">by religious educational </w:t>
      </w:r>
      <w:r w:rsidR="00667C9B">
        <w:rPr>
          <w:lang w:eastAsia="en-AU"/>
        </w:rPr>
        <w:t xml:space="preserve">authorities or institutions </w:t>
      </w:r>
      <w:r w:rsidR="007B3C11">
        <w:rPr>
          <w:lang w:eastAsia="en-AU"/>
        </w:rPr>
        <w:t>that occurs on the basis of the</w:t>
      </w:r>
      <w:r w:rsidR="00D32835">
        <w:rPr>
          <w:lang w:eastAsia="en-AU"/>
        </w:rPr>
        <w:t xml:space="preserve"> association </w:t>
      </w:r>
      <w:r w:rsidR="007B3C11">
        <w:rPr>
          <w:lang w:eastAsia="en-AU"/>
        </w:rPr>
        <w:t>with</w:t>
      </w:r>
      <w:r w:rsidR="00C45339">
        <w:rPr>
          <w:lang w:eastAsia="en-AU"/>
        </w:rPr>
        <w:t>,</w:t>
      </w:r>
      <w:r w:rsidR="007B3C11">
        <w:rPr>
          <w:lang w:eastAsia="en-AU"/>
        </w:rPr>
        <w:t xml:space="preserve"> or in relation to</w:t>
      </w:r>
      <w:r w:rsidR="00C45339">
        <w:rPr>
          <w:lang w:eastAsia="en-AU"/>
        </w:rPr>
        <w:t>,</w:t>
      </w:r>
      <w:r w:rsidR="007B3C11">
        <w:rPr>
          <w:lang w:eastAsia="en-AU"/>
        </w:rPr>
        <w:t xml:space="preserve"> a student with a protected attribute</w:t>
      </w:r>
      <w:r w:rsidR="00D32835">
        <w:rPr>
          <w:lang w:eastAsia="en-AU"/>
        </w:rPr>
        <w:t>.</w:t>
      </w:r>
    </w:p>
    <w:p w14:paraId="500C820A" w14:textId="3096BDB3" w:rsidR="00C9497D" w:rsidRPr="00C9497D" w:rsidRDefault="00F269B5" w:rsidP="00F269B5">
      <w:pPr>
        <w:pStyle w:val="Heading3"/>
        <w:rPr>
          <w:lang w:eastAsia="en-AU"/>
        </w:rPr>
      </w:pPr>
      <w:bookmarkStart w:id="20" w:name="_Toc128033996"/>
      <w:r>
        <w:rPr>
          <w:lang w:eastAsia="en-AU"/>
        </w:rPr>
        <w:t>Religious doctrines or beliefs in teachings</w:t>
      </w:r>
      <w:bookmarkEnd w:id="20"/>
    </w:p>
    <w:p w14:paraId="2B14BBF7" w14:textId="110714C3" w:rsidR="00CD2C06" w:rsidRPr="00CD2C06" w:rsidRDefault="005469C6" w:rsidP="00EE775E">
      <w:pPr>
        <w:pStyle w:val="Numberedparagraph"/>
        <w:rPr>
          <w:i/>
          <w:iCs/>
          <w:lang w:eastAsia="en-AU"/>
        </w:rPr>
      </w:pPr>
      <w:r>
        <w:rPr>
          <w:lang w:eastAsia="en-AU"/>
        </w:rPr>
        <w:t>QHRC</w:t>
      </w:r>
      <w:r w:rsidR="008C4E63">
        <w:rPr>
          <w:lang w:eastAsia="en-AU"/>
        </w:rPr>
        <w:t xml:space="preserve"> considers that </w:t>
      </w:r>
      <w:r w:rsidR="008F170C">
        <w:rPr>
          <w:lang w:eastAsia="en-AU"/>
        </w:rPr>
        <w:t xml:space="preserve">Proposition A.3 </w:t>
      </w:r>
      <w:r w:rsidR="008C4E63">
        <w:rPr>
          <w:lang w:eastAsia="en-AU"/>
        </w:rPr>
        <w:t>strikes an appropriate balance between ensuring that religious doctrines or beliefs can be taught at a religious school</w:t>
      </w:r>
      <w:r w:rsidR="00F840C0">
        <w:rPr>
          <w:lang w:eastAsia="en-AU"/>
        </w:rPr>
        <w:t xml:space="preserve"> and </w:t>
      </w:r>
      <w:r w:rsidR="008C4E63">
        <w:rPr>
          <w:lang w:eastAsia="en-AU"/>
        </w:rPr>
        <w:t xml:space="preserve">ensuring </w:t>
      </w:r>
      <w:r w:rsidR="00D90B8F">
        <w:rPr>
          <w:lang w:eastAsia="en-AU"/>
        </w:rPr>
        <w:t xml:space="preserve">that </w:t>
      </w:r>
      <w:r w:rsidR="008C4E63">
        <w:rPr>
          <w:lang w:eastAsia="en-AU"/>
        </w:rPr>
        <w:t>the duty of care to students and the requirements of the curriculum are met.</w:t>
      </w:r>
      <w:r w:rsidR="00921696">
        <w:rPr>
          <w:lang w:eastAsia="en-AU"/>
        </w:rPr>
        <w:t xml:space="preserve"> </w:t>
      </w:r>
    </w:p>
    <w:p w14:paraId="41D46F74" w14:textId="3ED578F0" w:rsidR="00082A6E" w:rsidRPr="00082A6E" w:rsidRDefault="008D2F2A" w:rsidP="00EE775E">
      <w:pPr>
        <w:pStyle w:val="Numberedparagraph"/>
        <w:rPr>
          <w:i/>
          <w:iCs/>
          <w:lang w:eastAsia="en-AU"/>
        </w:rPr>
      </w:pPr>
      <w:r>
        <w:rPr>
          <w:lang w:eastAsia="en-AU"/>
        </w:rPr>
        <w:t xml:space="preserve">However, the </w:t>
      </w:r>
      <w:r w:rsidR="00644BC2">
        <w:rPr>
          <w:lang w:eastAsia="en-AU"/>
        </w:rPr>
        <w:t xml:space="preserve">meaning of the term ‘curriculum’ in this context may be ambiguous. </w:t>
      </w:r>
      <w:r w:rsidR="00250B5F">
        <w:rPr>
          <w:lang w:eastAsia="en-AU"/>
        </w:rPr>
        <w:t>While</w:t>
      </w:r>
      <w:r w:rsidR="00644BC2">
        <w:rPr>
          <w:lang w:eastAsia="en-AU"/>
        </w:rPr>
        <w:t xml:space="preserve"> we assume</w:t>
      </w:r>
      <w:r w:rsidR="001F612B">
        <w:rPr>
          <w:lang w:eastAsia="en-AU"/>
        </w:rPr>
        <w:t xml:space="preserve"> the </w:t>
      </w:r>
      <w:r w:rsidR="00250B5F">
        <w:rPr>
          <w:lang w:eastAsia="en-AU"/>
        </w:rPr>
        <w:t>Consultation Paper</w:t>
      </w:r>
      <w:r w:rsidR="001F612B">
        <w:rPr>
          <w:lang w:eastAsia="en-AU"/>
        </w:rPr>
        <w:t xml:space="preserve"> </w:t>
      </w:r>
      <w:r w:rsidR="0029373C">
        <w:rPr>
          <w:lang w:eastAsia="en-AU"/>
        </w:rPr>
        <w:t xml:space="preserve">is </w:t>
      </w:r>
      <w:r w:rsidR="001F612B">
        <w:rPr>
          <w:lang w:eastAsia="en-AU"/>
        </w:rPr>
        <w:t xml:space="preserve">referring to the </w:t>
      </w:r>
      <w:r w:rsidR="00250B5F">
        <w:rPr>
          <w:lang w:eastAsia="en-AU"/>
        </w:rPr>
        <w:t>requirements of the</w:t>
      </w:r>
      <w:r w:rsidR="001F612B">
        <w:rPr>
          <w:lang w:eastAsia="en-AU"/>
        </w:rPr>
        <w:t xml:space="preserve"> Australian Curriculum</w:t>
      </w:r>
      <w:r w:rsidR="00250B5F">
        <w:rPr>
          <w:lang w:eastAsia="en-AU"/>
        </w:rPr>
        <w:t>,</w:t>
      </w:r>
      <w:r w:rsidR="001F612B">
        <w:rPr>
          <w:lang w:eastAsia="en-AU"/>
        </w:rPr>
        <w:t xml:space="preserve"> this </w:t>
      </w:r>
      <w:r w:rsidR="00250B5F">
        <w:rPr>
          <w:lang w:eastAsia="en-AU"/>
        </w:rPr>
        <w:t>is not clear</w:t>
      </w:r>
      <w:r w:rsidR="00FB66F2">
        <w:rPr>
          <w:lang w:eastAsia="en-AU"/>
        </w:rPr>
        <w:t xml:space="preserve">. </w:t>
      </w:r>
      <w:r w:rsidR="00EC6821">
        <w:rPr>
          <w:lang w:eastAsia="en-AU"/>
        </w:rPr>
        <w:t xml:space="preserve">For </w:t>
      </w:r>
      <w:r w:rsidR="00250B5F">
        <w:rPr>
          <w:lang w:eastAsia="en-AU"/>
        </w:rPr>
        <w:t>the removal of doubt, the</w:t>
      </w:r>
      <w:r w:rsidR="00EC6821">
        <w:rPr>
          <w:lang w:eastAsia="en-AU"/>
        </w:rPr>
        <w:t xml:space="preserve"> </w:t>
      </w:r>
      <w:r w:rsidR="005469C6">
        <w:rPr>
          <w:lang w:eastAsia="en-AU"/>
        </w:rPr>
        <w:t>QHRC</w:t>
      </w:r>
      <w:r w:rsidR="00EC6821">
        <w:rPr>
          <w:lang w:eastAsia="en-AU"/>
        </w:rPr>
        <w:t xml:space="preserve"> </w:t>
      </w:r>
      <w:r w:rsidR="00EC6821">
        <w:rPr>
          <w:lang w:eastAsia="en-AU"/>
        </w:rPr>
        <w:lastRenderedPageBreak/>
        <w:t xml:space="preserve">considers that the </w:t>
      </w:r>
      <w:r w:rsidR="00C02D55">
        <w:rPr>
          <w:lang w:eastAsia="en-AU"/>
        </w:rPr>
        <w:t xml:space="preserve">Australian Curriculum should be specifically referenced, rather than the broader and undefined </w:t>
      </w:r>
      <w:r w:rsidR="009663CA">
        <w:rPr>
          <w:lang w:eastAsia="en-AU"/>
        </w:rPr>
        <w:t>concept of ‘curriculum’</w:t>
      </w:r>
      <w:r w:rsidR="00644BC2">
        <w:rPr>
          <w:lang w:eastAsia="en-AU"/>
        </w:rPr>
        <w:t xml:space="preserve"> which may encompass anything potentially taught in a school</w:t>
      </w:r>
      <w:r w:rsidR="001677E8">
        <w:rPr>
          <w:lang w:eastAsia="en-AU"/>
        </w:rPr>
        <w:t xml:space="preserve"> or other educational setting</w:t>
      </w:r>
      <w:r w:rsidR="009663CA">
        <w:rPr>
          <w:lang w:eastAsia="en-AU"/>
        </w:rPr>
        <w:t>.</w:t>
      </w:r>
    </w:p>
    <w:p w14:paraId="2F2E4F1E" w14:textId="420A826D" w:rsidR="00347E02" w:rsidRPr="003B19FC" w:rsidRDefault="006C07E8" w:rsidP="00EE775E">
      <w:pPr>
        <w:pStyle w:val="Numberedparagraph"/>
        <w:rPr>
          <w:i/>
          <w:iCs/>
          <w:lang w:eastAsia="en-AU"/>
        </w:rPr>
      </w:pPr>
      <w:r>
        <w:rPr>
          <w:lang w:eastAsia="en-AU"/>
        </w:rPr>
        <w:t xml:space="preserve">Further, we suggest the term </w:t>
      </w:r>
      <w:r w:rsidR="00AB0217">
        <w:rPr>
          <w:lang w:eastAsia="en-AU"/>
        </w:rPr>
        <w:t>‘</w:t>
      </w:r>
      <w:r>
        <w:rPr>
          <w:lang w:eastAsia="en-AU"/>
        </w:rPr>
        <w:t xml:space="preserve">duty </w:t>
      </w:r>
      <w:r w:rsidR="00473E97">
        <w:rPr>
          <w:lang w:eastAsia="en-AU"/>
        </w:rPr>
        <w:t>of care</w:t>
      </w:r>
      <w:r w:rsidR="00AB0217">
        <w:rPr>
          <w:lang w:eastAsia="en-AU"/>
        </w:rPr>
        <w:t>’</w:t>
      </w:r>
      <w:r w:rsidR="00473E97">
        <w:rPr>
          <w:lang w:eastAsia="en-AU"/>
        </w:rPr>
        <w:t xml:space="preserve"> </w:t>
      </w:r>
      <w:r>
        <w:rPr>
          <w:lang w:eastAsia="en-AU"/>
        </w:rPr>
        <w:t>should</w:t>
      </w:r>
      <w:r w:rsidR="00473E97">
        <w:rPr>
          <w:lang w:eastAsia="en-AU"/>
        </w:rPr>
        <w:t xml:space="preserve"> be </w:t>
      </w:r>
      <w:r w:rsidR="00AB0217">
        <w:rPr>
          <w:lang w:eastAsia="en-AU"/>
        </w:rPr>
        <w:t xml:space="preserve">framed as an objective test based on a reasonable </w:t>
      </w:r>
      <w:r w:rsidR="00D96980">
        <w:rPr>
          <w:lang w:eastAsia="en-AU"/>
        </w:rPr>
        <w:t>third-party</w:t>
      </w:r>
      <w:r w:rsidR="00AB0217">
        <w:rPr>
          <w:lang w:eastAsia="en-AU"/>
        </w:rPr>
        <w:t xml:space="preserve"> perspective</w:t>
      </w:r>
      <w:r w:rsidR="2355D14B" w:rsidRPr="070341B8">
        <w:rPr>
          <w:lang w:eastAsia="en-AU"/>
        </w:rPr>
        <w:t xml:space="preserve">. It should not be </w:t>
      </w:r>
      <w:r w:rsidR="003B19FC" w:rsidRPr="070341B8">
        <w:rPr>
          <w:lang w:eastAsia="en-AU"/>
        </w:rPr>
        <w:t xml:space="preserve">from </w:t>
      </w:r>
      <w:r w:rsidR="003B19FC">
        <w:rPr>
          <w:lang w:eastAsia="en-AU"/>
        </w:rPr>
        <w:t>the</w:t>
      </w:r>
      <w:r w:rsidR="009E2106">
        <w:rPr>
          <w:lang w:eastAsia="en-AU"/>
        </w:rPr>
        <w:t xml:space="preserve"> perspective of the educational </w:t>
      </w:r>
      <w:r w:rsidR="009D7168">
        <w:rPr>
          <w:lang w:eastAsia="en-AU"/>
        </w:rPr>
        <w:t xml:space="preserve">authority or </w:t>
      </w:r>
      <w:r w:rsidR="009E2106">
        <w:rPr>
          <w:lang w:eastAsia="en-AU"/>
        </w:rPr>
        <w:t>institution</w:t>
      </w:r>
      <w:r w:rsidR="65E9561E" w:rsidRPr="070341B8">
        <w:rPr>
          <w:lang w:eastAsia="en-AU"/>
        </w:rPr>
        <w:t>,</w:t>
      </w:r>
      <w:r w:rsidR="009E2106">
        <w:rPr>
          <w:lang w:eastAsia="en-AU"/>
        </w:rPr>
        <w:t xml:space="preserve"> or </w:t>
      </w:r>
      <w:r w:rsidR="00937421">
        <w:rPr>
          <w:lang w:eastAsia="en-AU"/>
        </w:rPr>
        <w:t>from the perspective of an</w:t>
      </w:r>
      <w:r w:rsidR="009E2106">
        <w:rPr>
          <w:lang w:eastAsia="en-AU"/>
        </w:rPr>
        <w:t xml:space="preserve"> adherent</w:t>
      </w:r>
      <w:r w:rsidR="007C3E57">
        <w:rPr>
          <w:lang w:eastAsia="en-AU"/>
        </w:rPr>
        <w:t xml:space="preserve"> to the beliefs</w:t>
      </w:r>
      <w:r w:rsidR="009E2106">
        <w:rPr>
          <w:lang w:eastAsia="en-AU"/>
        </w:rPr>
        <w:t xml:space="preserve"> of the </w:t>
      </w:r>
      <w:r w:rsidR="00461B1D">
        <w:rPr>
          <w:lang w:eastAsia="en-AU"/>
        </w:rPr>
        <w:t>religious</w:t>
      </w:r>
      <w:r w:rsidR="009E2106">
        <w:rPr>
          <w:lang w:eastAsia="en-AU"/>
        </w:rPr>
        <w:t xml:space="preserve"> group</w:t>
      </w:r>
      <w:r w:rsidR="009A04FD">
        <w:rPr>
          <w:lang w:eastAsia="en-AU"/>
        </w:rPr>
        <w:t xml:space="preserve"> with which the educational institution is associated</w:t>
      </w:r>
      <w:r w:rsidR="00473E97">
        <w:rPr>
          <w:lang w:eastAsia="en-AU"/>
        </w:rPr>
        <w:t>.</w:t>
      </w:r>
      <w:r w:rsidR="001C5256">
        <w:rPr>
          <w:lang w:eastAsia="en-AU"/>
        </w:rPr>
        <w:t xml:space="preserve"> </w:t>
      </w:r>
    </w:p>
    <w:p w14:paraId="0B6CE1AC" w14:textId="3734B917" w:rsidR="008C4E63" w:rsidRPr="00AF08B1" w:rsidRDefault="00F840C0" w:rsidP="00EE775E">
      <w:pPr>
        <w:pStyle w:val="Numberedparagraph"/>
        <w:rPr>
          <w:i/>
          <w:iCs/>
          <w:lang w:eastAsia="en-AU"/>
        </w:rPr>
      </w:pPr>
      <w:r>
        <w:rPr>
          <w:lang w:eastAsia="en-AU"/>
        </w:rPr>
        <w:t xml:space="preserve">Points of </w:t>
      </w:r>
      <w:r w:rsidR="001C5256">
        <w:rPr>
          <w:lang w:eastAsia="en-AU"/>
        </w:rPr>
        <w:t xml:space="preserve">tension </w:t>
      </w:r>
      <w:r>
        <w:rPr>
          <w:lang w:eastAsia="en-AU"/>
        </w:rPr>
        <w:t>are</w:t>
      </w:r>
      <w:r w:rsidR="001C5256">
        <w:rPr>
          <w:lang w:eastAsia="en-AU"/>
        </w:rPr>
        <w:t xml:space="preserve"> likely to arise when a school is of the view that teaching a particular view on sexuality, gender or relationships is necessary to protect </w:t>
      </w:r>
      <w:r w:rsidR="00706F59">
        <w:rPr>
          <w:lang w:eastAsia="en-AU"/>
        </w:rPr>
        <w:t xml:space="preserve">the whole </w:t>
      </w:r>
      <w:r w:rsidR="006C68BC">
        <w:rPr>
          <w:lang w:eastAsia="en-AU"/>
        </w:rPr>
        <w:t>student</w:t>
      </w:r>
      <w:r w:rsidR="00706F59">
        <w:rPr>
          <w:lang w:eastAsia="en-AU"/>
        </w:rPr>
        <w:t xml:space="preserve"> body</w:t>
      </w:r>
      <w:r w:rsidR="001C5256">
        <w:rPr>
          <w:lang w:eastAsia="en-AU"/>
        </w:rPr>
        <w:t xml:space="preserve">, but </w:t>
      </w:r>
      <w:r w:rsidR="00AB0217">
        <w:rPr>
          <w:lang w:eastAsia="en-AU"/>
        </w:rPr>
        <w:t>this</w:t>
      </w:r>
      <w:r w:rsidR="00706F59">
        <w:rPr>
          <w:lang w:eastAsia="en-AU"/>
        </w:rPr>
        <w:t xml:space="preserve"> </w:t>
      </w:r>
      <w:r w:rsidR="00AB0217">
        <w:rPr>
          <w:lang w:eastAsia="en-AU"/>
        </w:rPr>
        <w:t xml:space="preserve">teaching disproportionately </w:t>
      </w:r>
      <w:r w:rsidR="00706F59">
        <w:rPr>
          <w:lang w:eastAsia="en-AU"/>
        </w:rPr>
        <w:t>affects</w:t>
      </w:r>
      <w:r w:rsidR="00AB0217">
        <w:rPr>
          <w:lang w:eastAsia="en-AU"/>
        </w:rPr>
        <w:t xml:space="preserve"> </w:t>
      </w:r>
      <w:r w:rsidR="00937421">
        <w:rPr>
          <w:lang w:eastAsia="en-AU"/>
        </w:rPr>
        <w:t>students with a protected attribute.</w:t>
      </w:r>
    </w:p>
    <w:p w14:paraId="2F79360C" w14:textId="179E6E15" w:rsidR="00AF08B1" w:rsidRPr="00287B98" w:rsidRDefault="00874454" w:rsidP="00EE775E">
      <w:pPr>
        <w:pStyle w:val="Numberedparagraph"/>
        <w:rPr>
          <w:i/>
          <w:iCs/>
          <w:lang w:eastAsia="en-AU"/>
        </w:rPr>
      </w:pPr>
      <w:r>
        <w:rPr>
          <w:lang w:eastAsia="en-AU"/>
        </w:rPr>
        <w:t>E</w:t>
      </w:r>
      <w:r w:rsidR="00AF08B1">
        <w:rPr>
          <w:lang w:eastAsia="en-AU"/>
        </w:rPr>
        <w:t>xamples may need to be provided in explanatory materials accompanying the Bill to ensure</w:t>
      </w:r>
      <w:r w:rsidR="0065678C">
        <w:rPr>
          <w:lang w:eastAsia="en-AU"/>
        </w:rPr>
        <w:t xml:space="preserve"> </w:t>
      </w:r>
      <w:r w:rsidR="00253020">
        <w:rPr>
          <w:lang w:eastAsia="en-AU"/>
        </w:rPr>
        <w:t xml:space="preserve">that obligations </w:t>
      </w:r>
      <w:r>
        <w:rPr>
          <w:lang w:eastAsia="en-AU"/>
        </w:rPr>
        <w:t xml:space="preserve">on the part of </w:t>
      </w:r>
      <w:r w:rsidR="00253020">
        <w:rPr>
          <w:lang w:eastAsia="en-AU"/>
        </w:rPr>
        <w:t>educational institutions</w:t>
      </w:r>
      <w:r>
        <w:rPr>
          <w:lang w:eastAsia="en-AU"/>
        </w:rPr>
        <w:t xml:space="preserve"> to prevent </w:t>
      </w:r>
      <w:r w:rsidR="00253020">
        <w:rPr>
          <w:lang w:eastAsia="en-AU"/>
        </w:rPr>
        <w:t>psychosocial harm to students are clear.</w:t>
      </w:r>
    </w:p>
    <w:p w14:paraId="204FC1BB" w14:textId="5FB87767" w:rsidR="00570B41" w:rsidRDefault="00570B41" w:rsidP="00570B41">
      <w:pPr>
        <w:pStyle w:val="Numberedparagraph"/>
        <w:numPr>
          <w:ilvl w:val="0"/>
          <w:numId w:val="0"/>
        </w:numPr>
        <w:rPr>
          <w:lang w:eastAsia="en-AU"/>
        </w:rPr>
      </w:pPr>
      <w:r w:rsidRPr="00C360D7">
        <w:rPr>
          <w:color w:val="1F497D" w:themeColor="text2"/>
          <w:lang w:eastAsia="en-AU"/>
        </w:rPr>
        <w:t>Recommendation 3</w:t>
      </w:r>
      <w:r>
        <w:rPr>
          <w:lang w:eastAsia="en-AU"/>
        </w:rPr>
        <w:t>:</w:t>
      </w:r>
    </w:p>
    <w:p w14:paraId="4C466DC8" w14:textId="77DCB8BC" w:rsidR="00CD2C06" w:rsidRPr="00287B98" w:rsidRDefault="00CD2C06" w:rsidP="00CD2C06">
      <w:pPr>
        <w:pStyle w:val="Numberedparagraph"/>
        <w:numPr>
          <w:ilvl w:val="0"/>
          <w:numId w:val="0"/>
        </w:numPr>
        <w:ind w:left="720"/>
        <w:rPr>
          <w:i/>
          <w:iCs/>
          <w:lang w:eastAsia="en-AU"/>
        </w:rPr>
      </w:pPr>
      <w:r>
        <w:rPr>
          <w:lang w:eastAsia="en-AU"/>
        </w:rPr>
        <w:t xml:space="preserve">References </w:t>
      </w:r>
      <w:r w:rsidR="00BE7282">
        <w:rPr>
          <w:lang w:eastAsia="en-AU"/>
        </w:rPr>
        <w:t xml:space="preserve">to </w:t>
      </w:r>
      <w:r w:rsidR="005469C6">
        <w:rPr>
          <w:lang w:eastAsia="en-AU"/>
        </w:rPr>
        <w:t>the</w:t>
      </w:r>
      <w:r>
        <w:rPr>
          <w:lang w:eastAsia="en-AU"/>
        </w:rPr>
        <w:t xml:space="preserve"> </w:t>
      </w:r>
      <w:r w:rsidR="005469C6">
        <w:rPr>
          <w:lang w:eastAsia="en-AU"/>
        </w:rPr>
        <w:t xml:space="preserve">need to meet the requirements of </w:t>
      </w:r>
      <w:r w:rsidR="00255CE7">
        <w:rPr>
          <w:lang w:eastAsia="en-AU"/>
        </w:rPr>
        <w:t>‘</w:t>
      </w:r>
      <w:r w:rsidR="005469C6">
        <w:rPr>
          <w:lang w:eastAsia="en-AU"/>
        </w:rPr>
        <w:t xml:space="preserve">the </w:t>
      </w:r>
      <w:r>
        <w:rPr>
          <w:lang w:eastAsia="en-AU"/>
        </w:rPr>
        <w:t>curriculum</w:t>
      </w:r>
      <w:r w:rsidR="00255CE7">
        <w:rPr>
          <w:lang w:eastAsia="en-AU"/>
        </w:rPr>
        <w:t>’</w:t>
      </w:r>
      <w:r>
        <w:rPr>
          <w:lang w:eastAsia="en-AU"/>
        </w:rPr>
        <w:t xml:space="preserve"> should </w:t>
      </w:r>
      <w:r w:rsidR="00255CE7">
        <w:rPr>
          <w:lang w:eastAsia="en-AU"/>
        </w:rPr>
        <w:t xml:space="preserve">be </w:t>
      </w:r>
      <w:r w:rsidR="008D79BD">
        <w:rPr>
          <w:lang w:eastAsia="en-AU"/>
        </w:rPr>
        <w:t xml:space="preserve">clearly defined, </w:t>
      </w:r>
      <w:r w:rsidR="007C3E57">
        <w:rPr>
          <w:lang w:eastAsia="en-AU"/>
        </w:rPr>
        <w:t>by</w:t>
      </w:r>
      <w:r w:rsidR="008D79BD">
        <w:rPr>
          <w:lang w:eastAsia="en-AU"/>
        </w:rPr>
        <w:t xml:space="preserve"> referring to</w:t>
      </w:r>
      <w:r w:rsidR="00255CE7">
        <w:rPr>
          <w:lang w:eastAsia="en-AU"/>
        </w:rPr>
        <w:t xml:space="preserve"> </w:t>
      </w:r>
      <w:r>
        <w:rPr>
          <w:lang w:eastAsia="en-AU"/>
        </w:rPr>
        <w:t>the Australian Curriculum</w:t>
      </w:r>
      <w:r w:rsidR="006C55C5">
        <w:rPr>
          <w:lang w:eastAsia="en-AU"/>
        </w:rPr>
        <w:t xml:space="preserve"> specifically</w:t>
      </w:r>
      <w:r>
        <w:rPr>
          <w:lang w:eastAsia="en-AU"/>
        </w:rPr>
        <w:t>.</w:t>
      </w:r>
    </w:p>
    <w:p w14:paraId="75E5A003" w14:textId="02A0CD38" w:rsidR="005A0861" w:rsidRDefault="005A0861" w:rsidP="005A0861">
      <w:pPr>
        <w:pStyle w:val="Numberedparagraph"/>
        <w:numPr>
          <w:ilvl w:val="0"/>
          <w:numId w:val="0"/>
        </w:numPr>
        <w:ind w:left="567" w:hanging="567"/>
        <w:rPr>
          <w:lang w:eastAsia="en-AU"/>
        </w:rPr>
      </w:pPr>
      <w:r w:rsidRPr="00C360D7">
        <w:rPr>
          <w:color w:val="1F497D" w:themeColor="text2"/>
          <w:lang w:eastAsia="en-AU"/>
        </w:rPr>
        <w:t>Recommendation 4</w:t>
      </w:r>
      <w:r>
        <w:rPr>
          <w:lang w:eastAsia="en-AU"/>
        </w:rPr>
        <w:t>:</w:t>
      </w:r>
    </w:p>
    <w:p w14:paraId="4C2277CE" w14:textId="25B7186A" w:rsidR="00CD2C06" w:rsidRDefault="00CD2C06" w:rsidP="005469C6">
      <w:pPr>
        <w:pStyle w:val="Numberedparagraph"/>
        <w:numPr>
          <w:ilvl w:val="0"/>
          <w:numId w:val="0"/>
        </w:numPr>
        <w:ind w:left="720"/>
        <w:rPr>
          <w:lang w:eastAsia="en-AU"/>
        </w:rPr>
      </w:pPr>
      <w:r>
        <w:rPr>
          <w:lang w:eastAsia="en-AU"/>
        </w:rPr>
        <w:t>Legislation and explanatory materials should make it clear that ‘duty of care’ is an objective test based on a reasonable third-party perspective.</w:t>
      </w:r>
    </w:p>
    <w:p w14:paraId="19B8E43A" w14:textId="21F0BAB1" w:rsidR="00287B98" w:rsidRPr="000D29A6" w:rsidRDefault="00287B98" w:rsidP="00287B98">
      <w:pPr>
        <w:pStyle w:val="Heading3"/>
        <w:rPr>
          <w:i/>
          <w:iCs/>
          <w:lang w:eastAsia="en-AU"/>
        </w:rPr>
      </w:pPr>
      <w:bookmarkStart w:id="21" w:name="_Toc128033997"/>
      <w:r>
        <w:rPr>
          <w:lang w:eastAsia="en-AU"/>
        </w:rPr>
        <w:t>Curriculum</w:t>
      </w:r>
      <w:bookmarkEnd w:id="21"/>
    </w:p>
    <w:p w14:paraId="20588438" w14:textId="350CE8E1" w:rsidR="007C20A9" w:rsidRPr="001667F0" w:rsidRDefault="005469C6" w:rsidP="00EE775E">
      <w:pPr>
        <w:pStyle w:val="Numberedparagraph"/>
        <w:rPr>
          <w:i/>
          <w:iCs/>
          <w:lang w:eastAsia="en-AU"/>
        </w:rPr>
      </w:pPr>
      <w:r>
        <w:rPr>
          <w:lang w:eastAsia="en-AU"/>
        </w:rPr>
        <w:t>QHRC</w:t>
      </w:r>
      <w:r w:rsidR="000D29A6">
        <w:rPr>
          <w:lang w:eastAsia="en-AU"/>
        </w:rPr>
        <w:t xml:space="preserve"> </w:t>
      </w:r>
      <w:r w:rsidR="001456AF">
        <w:rPr>
          <w:lang w:eastAsia="en-AU"/>
        </w:rPr>
        <w:t>strongly opposes</w:t>
      </w:r>
      <w:r w:rsidR="000D29A6">
        <w:rPr>
          <w:lang w:eastAsia="en-AU"/>
        </w:rPr>
        <w:t xml:space="preserve"> Proposal 7 which </w:t>
      </w:r>
      <w:r w:rsidR="006F673D">
        <w:rPr>
          <w:lang w:eastAsia="en-AU"/>
        </w:rPr>
        <w:t>carves out curriculum</w:t>
      </w:r>
      <w:r w:rsidR="007C20A9">
        <w:rPr>
          <w:lang w:eastAsia="en-AU"/>
        </w:rPr>
        <w:t xml:space="preserve"> content</w:t>
      </w:r>
      <w:r w:rsidR="006F673D">
        <w:rPr>
          <w:lang w:eastAsia="en-AU"/>
        </w:rPr>
        <w:t xml:space="preserve"> from the Sex Discrimination Act entirely. </w:t>
      </w:r>
      <w:r>
        <w:rPr>
          <w:lang w:eastAsia="en-AU"/>
        </w:rPr>
        <w:t>QHRC</w:t>
      </w:r>
      <w:r w:rsidR="006F673D">
        <w:rPr>
          <w:lang w:eastAsia="en-AU"/>
        </w:rPr>
        <w:t xml:space="preserve"> does not consider that the Consultation Paper provides justification for this significant change, which has implications outside of the </w:t>
      </w:r>
      <w:r w:rsidR="00332452">
        <w:rPr>
          <w:lang w:eastAsia="en-AU"/>
        </w:rPr>
        <w:t xml:space="preserve">current context. </w:t>
      </w:r>
    </w:p>
    <w:p w14:paraId="05865933" w14:textId="7CE8CB75" w:rsidR="001667F0" w:rsidRPr="007C20A9" w:rsidRDefault="001667F0" w:rsidP="00EE775E">
      <w:pPr>
        <w:pStyle w:val="Numberedparagraph"/>
        <w:rPr>
          <w:i/>
          <w:iCs/>
          <w:lang w:eastAsia="en-AU"/>
        </w:rPr>
      </w:pPr>
      <w:r>
        <w:rPr>
          <w:lang w:eastAsia="en-AU"/>
        </w:rPr>
        <w:t>The Queensland AD Act covers curriculum content</w:t>
      </w:r>
      <w:r w:rsidR="00B15E96">
        <w:rPr>
          <w:lang w:eastAsia="en-AU"/>
        </w:rPr>
        <w:t xml:space="preserve"> by confirming that discrimination can include treating a </w:t>
      </w:r>
      <w:r w:rsidR="002404FC">
        <w:rPr>
          <w:lang w:eastAsia="en-AU"/>
        </w:rPr>
        <w:t>student unfavourably in any way in connection with the student’s training or instruction</w:t>
      </w:r>
      <w:r>
        <w:rPr>
          <w:lang w:eastAsia="en-AU"/>
        </w:rPr>
        <w:t>.</w:t>
      </w:r>
      <w:r>
        <w:rPr>
          <w:rStyle w:val="FootnoteReference"/>
          <w:lang w:eastAsia="en-AU"/>
        </w:rPr>
        <w:footnoteReference w:id="20"/>
      </w:r>
      <w:r w:rsidR="0028475D">
        <w:rPr>
          <w:lang w:eastAsia="en-AU"/>
        </w:rPr>
        <w:t xml:space="preserve"> </w:t>
      </w:r>
    </w:p>
    <w:p w14:paraId="27DB5511" w14:textId="7651BEF9" w:rsidR="00F840C0" w:rsidRPr="00F840C0" w:rsidRDefault="00332452" w:rsidP="00EE775E">
      <w:pPr>
        <w:pStyle w:val="Numberedparagraph"/>
        <w:rPr>
          <w:i/>
          <w:iCs/>
          <w:lang w:eastAsia="en-AU"/>
        </w:rPr>
      </w:pPr>
      <w:r>
        <w:rPr>
          <w:lang w:eastAsia="en-AU"/>
        </w:rPr>
        <w:t>The proposal i</w:t>
      </w:r>
      <w:r w:rsidR="006649C2">
        <w:rPr>
          <w:lang w:eastAsia="en-AU"/>
        </w:rPr>
        <w:t>n the Consultation Paper appears</w:t>
      </w:r>
      <w:r>
        <w:rPr>
          <w:lang w:eastAsia="en-AU"/>
        </w:rPr>
        <w:t xml:space="preserve"> broad</w:t>
      </w:r>
      <w:r w:rsidR="006649C2">
        <w:rPr>
          <w:lang w:eastAsia="en-AU"/>
        </w:rPr>
        <w:t>er, and</w:t>
      </w:r>
      <w:r>
        <w:rPr>
          <w:lang w:eastAsia="en-AU"/>
        </w:rPr>
        <w:t xml:space="preserve"> would mean that </w:t>
      </w:r>
      <w:r w:rsidR="0084018D">
        <w:rPr>
          <w:lang w:eastAsia="en-AU"/>
        </w:rPr>
        <w:t xml:space="preserve">no complaints could be made in future against </w:t>
      </w:r>
      <w:r w:rsidR="00431961">
        <w:rPr>
          <w:lang w:eastAsia="en-AU"/>
        </w:rPr>
        <w:t>bodies</w:t>
      </w:r>
      <w:r w:rsidR="00882311">
        <w:rPr>
          <w:lang w:eastAsia="en-AU"/>
        </w:rPr>
        <w:t xml:space="preserve"> developing curriculum, such as </w:t>
      </w:r>
      <w:r w:rsidR="0084018D">
        <w:rPr>
          <w:lang w:eastAsia="en-AU"/>
        </w:rPr>
        <w:t>the Australian Curriculum</w:t>
      </w:r>
      <w:r w:rsidR="00094383">
        <w:rPr>
          <w:lang w:eastAsia="en-AU"/>
        </w:rPr>
        <w:t xml:space="preserve">, Assessment and Reporting Authority </w:t>
      </w:r>
      <w:r w:rsidR="00894F64">
        <w:rPr>
          <w:lang w:eastAsia="en-AU"/>
        </w:rPr>
        <w:t>(ACARA)</w:t>
      </w:r>
      <w:r w:rsidR="00882311">
        <w:rPr>
          <w:lang w:eastAsia="en-AU"/>
        </w:rPr>
        <w:t>,</w:t>
      </w:r>
      <w:r w:rsidR="00EE37EC">
        <w:rPr>
          <w:lang w:eastAsia="en-AU"/>
        </w:rPr>
        <w:t xml:space="preserve"> about a range of issues</w:t>
      </w:r>
      <w:r w:rsidR="005469C6">
        <w:rPr>
          <w:lang w:eastAsia="en-AU"/>
        </w:rPr>
        <w:t xml:space="preserve">, whether or not they relate to religious </w:t>
      </w:r>
      <w:r w:rsidR="00C834B0">
        <w:rPr>
          <w:lang w:eastAsia="en-AU"/>
        </w:rPr>
        <w:lastRenderedPageBreak/>
        <w:t>education</w:t>
      </w:r>
      <w:r w:rsidR="0084018D">
        <w:rPr>
          <w:lang w:eastAsia="en-AU"/>
        </w:rPr>
        <w:t>.</w:t>
      </w:r>
      <w:r w:rsidR="001F392C">
        <w:rPr>
          <w:lang w:eastAsia="en-AU"/>
        </w:rPr>
        <w:t xml:space="preserve"> For instance, </w:t>
      </w:r>
      <w:r w:rsidR="00882311">
        <w:rPr>
          <w:lang w:eastAsia="en-AU"/>
        </w:rPr>
        <w:t xml:space="preserve">it may render lawful </w:t>
      </w:r>
      <w:r w:rsidR="001F392C">
        <w:rPr>
          <w:lang w:eastAsia="en-AU"/>
        </w:rPr>
        <w:t>content within the curriculum</w:t>
      </w:r>
      <w:r w:rsidR="00882311">
        <w:rPr>
          <w:lang w:eastAsia="en-AU"/>
        </w:rPr>
        <w:t xml:space="preserve"> that</w:t>
      </w:r>
      <w:r w:rsidR="001F392C">
        <w:rPr>
          <w:lang w:eastAsia="en-AU"/>
        </w:rPr>
        <w:t xml:space="preserve"> </w:t>
      </w:r>
      <w:r w:rsidR="00882311">
        <w:rPr>
          <w:lang w:eastAsia="en-AU"/>
        </w:rPr>
        <w:t xml:space="preserve">teaches </w:t>
      </w:r>
      <w:r w:rsidR="001F392C">
        <w:rPr>
          <w:lang w:eastAsia="en-AU"/>
        </w:rPr>
        <w:t>that women are inferior to men.</w:t>
      </w:r>
      <w:r w:rsidR="00C2407F">
        <w:rPr>
          <w:lang w:eastAsia="en-AU"/>
        </w:rPr>
        <w:t xml:space="preserve"> </w:t>
      </w:r>
    </w:p>
    <w:p w14:paraId="747F0F46" w14:textId="77F84863" w:rsidR="00FF541B" w:rsidRPr="00EE5756" w:rsidRDefault="00FF541B" w:rsidP="00FF541B">
      <w:pPr>
        <w:pStyle w:val="Numberedparagraph"/>
        <w:rPr>
          <w:i/>
          <w:iCs/>
          <w:lang w:eastAsia="en-AU"/>
        </w:rPr>
      </w:pPr>
      <w:r>
        <w:rPr>
          <w:lang w:eastAsia="en-AU"/>
        </w:rPr>
        <w:t xml:space="preserve">Where </w:t>
      </w:r>
      <w:r w:rsidR="00566D18">
        <w:rPr>
          <w:lang w:eastAsia="en-AU"/>
        </w:rPr>
        <w:t>c</w:t>
      </w:r>
      <w:r>
        <w:rPr>
          <w:lang w:eastAsia="en-AU"/>
        </w:rPr>
        <w:t>urriculum</w:t>
      </w:r>
      <w:r w:rsidR="00E27797">
        <w:rPr>
          <w:lang w:eastAsia="en-AU"/>
        </w:rPr>
        <w:t xml:space="preserve"> </w:t>
      </w:r>
      <w:r w:rsidR="00D96EF3">
        <w:rPr>
          <w:lang w:eastAsia="en-AU"/>
        </w:rPr>
        <w:t>content,</w:t>
      </w:r>
      <w:r w:rsidR="00E27797">
        <w:rPr>
          <w:lang w:eastAsia="en-AU"/>
        </w:rPr>
        <w:t xml:space="preserve"> either set by a</w:t>
      </w:r>
      <w:r w:rsidR="0014117A">
        <w:rPr>
          <w:lang w:eastAsia="en-AU"/>
        </w:rPr>
        <w:t xml:space="preserve">n educational authority </w:t>
      </w:r>
      <w:r w:rsidR="00566D18">
        <w:rPr>
          <w:lang w:eastAsia="en-AU"/>
        </w:rPr>
        <w:t>or institution</w:t>
      </w:r>
      <w:r w:rsidR="00E27797">
        <w:rPr>
          <w:lang w:eastAsia="en-AU"/>
        </w:rPr>
        <w:t xml:space="preserve"> or by the </w:t>
      </w:r>
      <w:r w:rsidR="00B2692B">
        <w:rPr>
          <w:lang w:eastAsia="en-AU"/>
        </w:rPr>
        <w:t>government</w:t>
      </w:r>
      <w:r w:rsidR="00D96EF3">
        <w:rPr>
          <w:lang w:eastAsia="en-AU"/>
        </w:rPr>
        <w:t>,</w:t>
      </w:r>
      <w:r>
        <w:rPr>
          <w:lang w:eastAsia="en-AU"/>
        </w:rPr>
        <w:t xml:space="preserve"> is indirectly or directly discriminatory towards people with attributes protected under the Sex Discrimination Act, and a person with a protected attribute </w:t>
      </w:r>
      <w:r w:rsidR="0014117A">
        <w:rPr>
          <w:lang w:eastAsia="en-AU"/>
        </w:rPr>
        <w:t>experiences a detriment</w:t>
      </w:r>
      <w:r>
        <w:rPr>
          <w:lang w:eastAsia="en-AU"/>
        </w:rPr>
        <w:t>, there should be an option to bring a complaint</w:t>
      </w:r>
      <w:r w:rsidR="00074797">
        <w:rPr>
          <w:lang w:eastAsia="en-AU"/>
        </w:rPr>
        <w:t xml:space="preserve"> about this treatment</w:t>
      </w:r>
      <w:r>
        <w:rPr>
          <w:lang w:eastAsia="en-AU"/>
        </w:rPr>
        <w:t xml:space="preserve">. </w:t>
      </w:r>
    </w:p>
    <w:p w14:paraId="5CAFEC20" w14:textId="092899C5" w:rsidR="003D2919" w:rsidRPr="006361D2" w:rsidRDefault="003D2919" w:rsidP="00EE775E">
      <w:pPr>
        <w:pStyle w:val="Numberedparagraph"/>
        <w:rPr>
          <w:i/>
          <w:iCs/>
          <w:lang w:eastAsia="en-AU"/>
        </w:rPr>
      </w:pPr>
      <w:r>
        <w:rPr>
          <w:lang w:eastAsia="en-AU"/>
        </w:rPr>
        <w:t xml:space="preserve">The proposed approach would </w:t>
      </w:r>
      <w:r w:rsidR="00B776FE">
        <w:rPr>
          <w:lang w:eastAsia="en-AU"/>
        </w:rPr>
        <w:t>create inconsistency</w:t>
      </w:r>
      <w:r w:rsidR="002B6953">
        <w:rPr>
          <w:lang w:eastAsia="en-AU"/>
        </w:rPr>
        <w:t xml:space="preserve"> and unequal treatment based on protected characteristics</w:t>
      </w:r>
      <w:r w:rsidR="00B776FE">
        <w:rPr>
          <w:lang w:eastAsia="en-AU"/>
        </w:rPr>
        <w:t xml:space="preserve"> between federal discrimination laws, </w:t>
      </w:r>
      <w:r w:rsidR="006361D2">
        <w:rPr>
          <w:lang w:eastAsia="en-AU"/>
        </w:rPr>
        <w:t>because people</w:t>
      </w:r>
      <w:r w:rsidR="00B776FE">
        <w:rPr>
          <w:lang w:eastAsia="en-AU"/>
        </w:rPr>
        <w:t xml:space="preserve"> could </w:t>
      </w:r>
      <w:r w:rsidR="002C71BA">
        <w:rPr>
          <w:lang w:eastAsia="en-AU"/>
        </w:rPr>
        <w:t>make</w:t>
      </w:r>
      <w:r w:rsidR="00B776FE">
        <w:rPr>
          <w:lang w:eastAsia="en-AU"/>
        </w:rPr>
        <w:t xml:space="preserve"> a complaint </w:t>
      </w:r>
      <w:r w:rsidR="006361D2">
        <w:rPr>
          <w:lang w:eastAsia="en-AU"/>
        </w:rPr>
        <w:t>about</w:t>
      </w:r>
      <w:r w:rsidR="00B776FE">
        <w:rPr>
          <w:lang w:eastAsia="en-AU"/>
        </w:rPr>
        <w:t xml:space="preserve"> curriculum content regarding age, race or disability, but not in relation to the attributes protected by the </w:t>
      </w:r>
      <w:r w:rsidR="002B6953">
        <w:rPr>
          <w:lang w:eastAsia="en-AU"/>
        </w:rPr>
        <w:t>Sex Discrimination Act.</w:t>
      </w:r>
      <w:r w:rsidR="00B2692B">
        <w:rPr>
          <w:lang w:eastAsia="en-AU"/>
        </w:rPr>
        <w:t xml:space="preserve"> Further fragmentation of federal discrimination laws is not beneficial as it creates</w:t>
      </w:r>
      <w:r w:rsidR="000400B0">
        <w:rPr>
          <w:lang w:eastAsia="en-AU"/>
        </w:rPr>
        <w:t xml:space="preserve"> complexity and confusion about the application of laws</w:t>
      </w:r>
      <w:r w:rsidR="00B2692B">
        <w:rPr>
          <w:lang w:eastAsia="en-AU"/>
        </w:rPr>
        <w:t>.</w:t>
      </w:r>
    </w:p>
    <w:p w14:paraId="7717FA70" w14:textId="58652EE6" w:rsidR="000D29A6" w:rsidRPr="003A351E" w:rsidRDefault="00287B98" w:rsidP="00EE775E">
      <w:pPr>
        <w:pStyle w:val="Numberedparagraph"/>
        <w:rPr>
          <w:i/>
          <w:iCs/>
          <w:lang w:eastAsia="en-AU"/>
        </w:rPr>
      </w:pPr>
      <w:r>
        <w:rPr>
          <w:lang w:eastAsia="en-AU"/>
        </w:rPr>
        <w:t>Preventing</w:t>
      </w:r>
      <w:r w:rsidR="00C2407F">
        <w:rPr>
          <w:lang w:eastAsia="en-AU"/>
        </w:rPr>
        <w:t xml:space="preserve"> complaints about curriculum content could also </w:t>
      </w:r>
      <w:r w:rsidR="005872F2">
        <w:rPr>
          <w:lang w:eastAsia="en-AU"/>
        </w:rPr>
        <w:t>unjustifiably</w:t>
      </w:r>
      <w:r w:rsidR="006361D2">
        <w:rPr>
          <w:lang w:eastAsia="en-AU"/>
        </w:rPr>
        <w:t xml:space="preserve"> limit </w:t>
      </w:r>
      <w:r w:rsidR="005872F2">
        <w:rPr>
          <w:lang w:eastAsia="en-AU"/>
        </w:rPr>
        <w:t>the</w:t>
      </w:r>
      <w:r w:rsidR="00C2407F">
        <w:rPr>
          <w:lang w:eastAsia="en-AU"/>
        </w:rPr>
        <w:t xml:space="preserve"> </w:t>
      </w:r>
      <w:r w:rsidR="00254230">
        <w:rPr>
          <w:lang w:eastAsia="en-AU"/>
        </w:rPr>
        <w:t xml:space="preserve">accountability of bodies that set </w:t>
      </w:r>
      <w:r w:rsidR="00F840C0">
        <w:rPr>
          <w:lang w:eastAsia="en-AU"/>
        </w:rPr>
        <w:t>the curriculum</w:t>
      </w:r>
      <w:r w:rsidR="00C2407F">
        <w:rPr>
          <w:lang w:eastAsia="en-AU"/>
        </w:rPr>
        <w:t xml:space="preserve"> </w:t>
      </w:r>
      <w:r w:rsidR="00D73D96">
        <w:rPr>
          <w:lang w:eastAsia="en-AU"/>
        </w:rPr>
        <w:t>and</w:t>
      </w:r>
      <w:r w:rsidR="00F840C0">
        <w:rPr>
          <w:lang w:eastAsia="en-AU"/>
        </w:rPr>
        <w:t xml:space="preserve"> would</w:t>
      </w:r>
      <w:r w:rsidR="00D73D96">
        <w:rPr>
          <w:lang w:eastAsia="en-AU"/>
        </w:rPr>
        <w:t xml:space="preserve"> limit the opportunities to identify content that </w:t>
      </w:r>
      <w:r w:rsidR="00736E7E">
        <w:rPr>
          <w:lang w:eastAsia="en-AU"/>
        </w:rPr>
        <w:t>needs</w:t>
      </w:r>
      <w:r w:rsidR="00D73D96">
        <w:rPr>
          <w:lang w:eastAsia="en-AU"/>
        </w:rPr>
        <w:t xml:space="preserve"> </w:t>
      </w:r>
      <w:r w:rsidR="003706DE">
        <w:rPr>
          <w:lang w:eastAsia="en-AU"/>
        </w:rPr>
        <w:t>updating</w:t>
      </w:r>
      <w:r w:rsidR="0095636D">
        <w:rPr>
          <w:lang w:eastAsia="en-AU"/>
        </w:rPr>
        <w:t>.</w:t>
      </w:r>
    </w:p>
    <w:p w14:paraId="06CBEB53" w14:textId="6BC82E15" w:rsidR="003A351E" w:rsidRPr="00ED5F4C" w:rsidRDefault="003A351E" w:rsidP="00EE775E">
      <w:pPr>
        <w:pStyle w:val="Numberedparagraph"/>
        <w:rPr>
          <w:i/>
          <w:iCs/>
          <w:lang w:eastAsia="en-AU"/>
        </w:rPr>
      </w:pPr>
      <w:r>
        <w:rPr>
          <w:lang w:eastAsia="en-AU"/>
        </w:rPr>
        <w:t xml:space="preserve">At a minimum, the law should be clear that </w:t>
      </w:r>
      <w:r w:rsidR="00862745">
        <w:rPr>
          <w:lang w:eastAsia="en-AU"/>
        </w:rPr>
        <w:t xml:space="preserve">discrimination can still arise from the </w:t>
      </w:r>
      <w:r w:rsidR="00B5380E">
        <w:rPr>
          <w:lang w:eastAsia="en-AU"/>
        </w:rPr>
        <w:t>way</w:t>
      </w:r>
      <w:r w:rsidR="00862745">
        <w:rPr>
          <w:lang w:eastAsia="en-AU"/>
        </w:rPr>
        <w:t xml:space="preserve"> </w:t>
      </w:r>
      <w:r w:rsidR="00B5380E">
        <w:rPr>
          <w:lang w:eastAsia="en-AU"/>
        </w:rPr>
        <w:t xml:space="preserve">in which the </w:t>
      </w:r>
      <w:r w:rsidR="00862745">
        <w:rPr>
          <w:lang w:eastAsia="en-AU"/>
        </w:rPr>
        <w:t>set curriculum content is delivered.</w:t>
      </w:r>
      <w:r w:rsidR="00B5380E">
        <w:rPr>
          <w:lang w:eastAsia="en-AU"/>
        </w:rPr>
        <w:t xml:space="preserve"> For example, it may be possible to discriminate by using derogatory language when describing people with attributes, or</w:t>
      </w:r>
      <w:r w:rsidR="003F5C29">
        <w:rPr>
          <w:lang w:eastAsia="en-AU"/>
        </w:rPr>
        <w:t xml:space="preserve"> by</w:t>
      </w:r>
      <w:r w:rsidR="00B5380E">
        <w:rPr>
          <w:lang w:eastAsia="en-AU"/>
        </w:rPr>
        <w:t xml:space="preserve"> singling out individual students in the class while delivering standard content. </w:t>
      </w:r>
    </w:p>
    <w:p w14:paraId="2FC98FE2" w14:textId="270573B8" w:rsidR="00ED5F4C" w:rsidRDefault="00ED5F4C" w:rsidP="00ED5F4C">
      <w:pPr>
        <w:pStyle w:val="Numberedparagraph"/>
        <w:numPr>
          <w:ilvl w:val="0"/>
          <w:numId w:val="0"/>
        </w:numPr>
        <w:ind w:left="567" w:hanging="567"/>
        <w:rPr>
          <w:lang w:eastAsia="en-AU"/>
        </w:rPr>
      </w:pPr>
      <w:r w:rsidRPr="00C360D7">
        <w:rPr>
          <w:color w:val="1F497D" w:themeColor="text2"/>
          <w:lang w:eastAsia="en-AU"/>
        </w:rPr>
        <w:t xml:space="preserve">Recommendation </w:t>
      </w:r>
      <w:r w:rsidR="00F03D9F" w:rsidRPr="00C360D7">
        <w:rPr>
          <w:color w:val="1F497D" w:themeColor="text2"/>
          <w:lang w:eastAsia="en-AU"/>
        </w:rPr>
        <w:t>5</w:t>
      </w:r>
      <w:r>
        <w:rPr>
          <w:lang w:eastAsia="en-AU"/>
        </w:rPr>
        <w:t>:</w:t>
      </w:r>
    </w:p>
    <w:p w14:paraId="76B355CF" w14:textId="5F6A862F" w:rsidR="00ED5F4C" w:rsidRPr="00547B89" w:rsidRDefault="00ED5F4C" w:rsidP="00ED5F4C">
      <w:pPr>
        <w:pStyle w:val="Numberedparagraph"/>
        <w:numPr>
          <w:ilvl w:val="0"/>
          <w:numId w:val="0"/>
        </w:numPr>
        <w:ind w:left="567"/>
        <w:rPr>
          <w:i/>
          <w:iCs/>
          <w:lang w:eastAsia="en-AU"/>
        </w:rPr>
      </w:pPr>
      <w:r>
        <w:rPr>
          <w:lang w:eastAsia="en-AU"/>
        </w:rPr>
        <w:t xml:space="preserve">The Sex Discrimination Act should </w:t>
      </w:r>
      <w:r w:rsidRPr="00AF08B1">
        <w:rPr>
          <w:u w:val="single"/>
          <w:lang w:eastAsia="en-AU"/>
        </w:rPr>
        <w:t>not</w:t>
      </w:r>
      <w:r>
        <w:rPr>
          <w:lang w:eastAsia="en-AU"/>
        </w:rPr>
        <w:t xml:space="preserve"> be amended to clarity that the content of the curriculum is not subject to the Act.</w:t>
      </w:r>
    </w:p>
    <w:p w14:paraId="3A32CB8E" w14:textId="5826BE70" w:rsidR="008A76CC" w:rsidRDefault="00CB5A93" w:rsidP="008A76CC">
      <w:pPr>
        <w:pStyle w:val="Heading2"/>
        <w:rPr>
          <w:lang w:eastAsia="en-AU"/>
        </w:rPr>
      </w:pPr>
      <w:bookmarkStart w:id="22" w:name="_Toc128033998"/>
      <w:r>
        <w:rPr>
          <w:lang w:eastAsia="en-AU"/>
        </w:rPr>
        <w:t xml:space="preserve">Proposition B </w:t>
      </w:r>
      <w:r w:rsidR="008A76CC">
        <w:rPr>
          <w:lang w:eastAsia="en-AU"/>
        </w:rPr>
        <w:t>– employees</w:t>
      </w:r>
      <w:bookmarkEnd w:id="22"/>
    </w:p>
    <w:p w14:paraId="6B0A601B" w14:textId="7D985649" w:rsidR="34FDA7EB" w:rsidRDefault="0729FD8E" w:rsidP="00CD1083">
      <w:pPr>
        <w:pStyle w:val="Numberedparagraph"/>
        <w:rPr>
          <w:lang w:eastAsia="en-AU"/>
        </w:rPr>
      </w:pPr>
      <w:r w:rsidRPr="0B02E38B">
        <w:rPr>
          <w:lang w:eastAsia="en-AU"/>
        </w:rPr>
        <w:t xml:space="preserve">This section will respond to proposition </w:t>
      </w:r>
      <w:r w:rsidR="6FC9FDA9" w:rsidRPr="0B02E38B">
        <w:rPr>
          <w:lang w:eastAsia="en-AU"/>
        </w:rPr>
        <w:t>B</w:t>
      </w:r>
      <w:r w:rsidRPr="0B02E38B">
        <w:rPr>
          <w:lang w:eastAsia="en-AU"/>
        </w:rPr>
        <w:t xml:space="preserve"> and the related technical proposals 2, 3, 4 and 5. </w:t>
      </w:r>
    </w:p>
    <w:p w14:paraId="3EEB02FD" w14:textId="0FD1D7B7" w:rsidR="00243B7F" w:rsidRDefault="005469C6" w:rsidP="00445280">
      <w:pPr>
        <w:pStyle w:val="Numberedparagraph"/>
        <w:rPr>
          <w:lang w:eastAsia="en-AU"/>
        </w:rPr>
      </w:pPr>
      <w:r>
        <w:rPr>
          <w:lang w:eastAsia="en-AU"/>
        </w:rPr>
        <w:t>QHRC</w:t>
      </w:r>
      <w:r w:rsidR="55E17482" w:rsidRPr="0B02E38B">
        <w:rPr>
          <w:lang w:eastAsia="en-AU"/>
        </w:rPr>
        <w:t xml:space="preserve"> is in general support of </w:t>
      </w:r>
      <w:r w:rsidR="00CA4EBF" w:rsidRPr="070341B8">
        <w:rPr>
          <w:lang w:eastAsia="en-AU"/>
        </w:rPr>
        <w:t>P</w:t>
      </w:r>
      <w:r w:rsidR="55E17482" w:rsidRPr="070341B8">
        <w:rPr>
          <w:lang w:eastAsia="en-AU"/>
        </w:rPr>
        <w:t>roposition</w:t>
      </w:r>
      <w:r w:rsidR="55E17482" w:rsidRPr="0B02E38B">
        <w:rPr>
          <w:lang w:eastAsia="en-AU"/>
        </w:rPr>
        <w:t xml:space="preserve"> B and </w:t>
      </w:r>
      <w:r w:rsidR="001839E1" w:rsidRPr="0B02E38B">
        <w:rPr>
          <w:lang w:eastAsia="en-AU"/>
        </w:rPr>
        <w:t>its</w:t>
      </w:r>
      <w:r w:rsidR="55E17482" w:rsidRPr="0B02E38B">
        <w:rPr>
          <w:lang w:eastAsia="en-AU"/>
        </w:rPr>
        <w:t xml:space="preserve"> related technical proposals. When read in conjunction with </w:t>
      </w:r>
      <w:r w:rsidR="00CA4EBF" w:rsidRPr="070341B8">
        <w:rPr>
          <w:lang w:eastAsia="en-AU"/>
        </w:rPr>
        <w:t>P</w:t>
      </w:r>
      <w:r w:rsidR="55E17482" w:rsidRPr="070341B8">
        <w:rPr>
          <w:lang w:eastAsia="en-AU"/>
        </w:rPr>
        <w:t>roposition</w:t>
      </w:r>
      <w:r w:rsidR="55E17482" w:rsidRPr="0B02E38B">
        <w:rPr>
          <w:lang w:eastAsia="en-AU"/>
        </w:rPr>
        <w:t xml:space="preserve"> C, </w:t>
      </w:r>
      <w:r w:rsidR="00A01B79" w:rsidRPr="070341B8">
        <w:rPr>
          <w:lang w:eastAsia="en-AU"/>
        </w:rPr>
        <w:t xml:space="preserve">the ALRC’s suggestions </w:t>
      </w:r>
      <w:r w:rsidR="00C762EF" w:rsidRPr="070341B8">
        <w:rPr>
          <w:lang w:eastAsia="en-AU"/>
        </w:rPr>
        <w:t>are</w:t>
      </w:r>
      <w:r w:rsidR="55E17482" w:rsidRPr="0B02E38B">
        <w:rPr>
          <w:lang w:eastAsia="en-AU"/>
        </w:rPr>
        <w:t xml:space="preserve"> consistent with the recommendations contained in </w:t>
      </w:r>
      <w:r w:rsidR="55E17482" w:rsidRPr="0B02E38B">
        <w:rPr>
          <w:i/>
          <w:iCs/>
          <w:lang w:eastAsia="en-AU"/>
        </w:rPr>
        <w:t>Building Belongin</w:t>
      </w:r>
      <w:r w:rsidR="1FE27A7F" w:rsidRPr="0B02E38B">
        <w:rPr>
          <w:i/>
          <w:iCs/>
          <w:lang w:eastAsia="en-AU"/>
        </w:rPr>
        <w:t>g.</w:t>
      </w:r>
      <w:r w:rsidR="1FE27A7F" w:rsidRPr="0B02E38B">
        <w:rPr>
          <w:lang w:eastAsia="en-AU"/>
        </w:rPr>
        <w:t xml:space="preserve"> </w:t>
      </w:r>
    </w:p>
    <w:p w14:paraId="527621BC" w14:textId="4184D342" w:rsidR="00532125" w:rsidRDefault="1FE27A7F" w:rsidP="070341B8">
      <w:pPr>
        <w:pStyle w:val="Numberedparagraph"/>
        <w:spacing w:after="0"/>
        <w:rPr>
          <w:lang w:eastAsia="en-AU"/>
        </w:rPr>
      </w:pPr>
      <w:r w:rsidRPr="070341B8">
        <w:rPr>
          <w:lang w:eastAsia="en-AU"/>
        </w:rPr>
        <w:t xml:space="preserve">However, </w:t>
      </w:r>
      <w:r w:rsidR="005469C6" w:rsidRPr="070341B8">
        <w:rPr>
          <w:lang w:eastAsia="en-AU"/>
        </w:rPr>
        <w:t>QHRC</w:t>
      </w:r>
      <w:r w:rsidR="009D738D" w:rsidRPr="070341B8">
        <w:rPr>
          <w:lang w:eastAsia="en-AU"/>
        </w:rPr>
        <w:t xml:space="preserve"> recommends expanding the protections proposed in B.1 to prohibit discrimination against staff on the basis of their association with someone with a relevant attribute. This protection is necessary, in particular, to protect against discrimination of staff whose family members or </w:t>
      </w:r>
      <w:r w:rsidR="005E676B">
        <w:rPr>
          <w:lang w:eastAsia="en-AU"/>
        </w:rPr>
        <w:t xml:space="preserve">other </w:t>
      </w:r>
      <w:r w:rsidR="00262C1B">
        <w:rPr>
          <w:lang w:eastAsia="en-AU"/>
        </w:rPr>
        <w:t>close associates</w:t>
      </w:r>
      <w:r w:rsidR="009D738D" w:rsidRPr="070341B8">
        <w:rPr>
          <w:lang w:eastAsia="en-AU"/>
        </w:rPr>
        <w:t xml:space="preserve"> are LQBTQ+</w:t>
      </w:r>
      <w:r w:rsidR="2DAB0751" w:rsidRPr="070341B8">
        <w:rPr>
          <w:lang w:eastAsia="en-AU"/>
        </w:rPr>
        <w:t xml:space="preserve">. </w:t>
      </w:r>
      <w:r w:rsidR="00532125" w:rsidRPr="070341B8">
        <w:rPr>
          <w:lang w:eastAsia="en-AU"/>
        </w:rPr>
        <w:t xml:space="preserve">Although a staff member may be protected from discrimination because of their own personal attributes, they should not be forced to hide their association with </w:t>
      </w:r>
      <w:r w:rsidR="0037605F">
        <w:rPr>
          <w:lang w:eastAsia="en-AU"/>
        </w:rPr>
        <w:t>others</w:t>
      </w:r>
      <w:r w:rsidR="00532125" w:rsidRPr="070341B8">
        <w:rPr>
          <w:lang w:eastAsia="en-AU"/>
        </w:rPr>
        <w:t xml:space="preserve"> out of fear they will face discrimination in their current or prospective workplace. </w:t>
      </w:r>
    </w:p>
    <w:p w14:paraId="5770775A" w14:textId="10B402E9" w:rsidR="00A826B4" w:rsidRDefault="00A826B4" w:rsidP="070341B8">
      <w:pPr>
        <w:pStyle w:val="Numberedparagraph"/>
        <w:rPr>
          <w:i/>
          <w:iCs/>
          <w:lang w:eastAsia="en-AU"/>
        </w:rPr>
      </w:pPr>
      <w:r w:rsidRPr="6D3985B0">
        <w:rPr>
          <w:lang w:eastAsia="en-AU"/>
        </w:rPr>
        <w:lastRenderedPageBreak/>
        <w:t xml:space="preserve">As discussed above in ‘association with students’, in Queensland an employee would be </w:t>
      </w:r>
      <w:r w:rsidRPr="5A21DA21">
        <w:rPr>
          <w:lang w:eastAsia="en-AU"/>
        </w:rPr>
        <w:t xml:space="preserve">protected from discrimination </w:t>
      </w:r>
      <w:r w:rsidRPr="0119797D">
        <w:rPr>
          <w:lang w:eastAsia="en-AU"/>
        </w:rPr>
        <w:t xml:space="preserve">on the </w:t>
      </w:r>
      <w:r w:rsidRPr="439E9FE2">
        <w:rPr>
          <w:lang w:eastAsia="en-AU"/>
        </w:rPr>
        <w:t xml:space="preserve">basis of their association with a person </w:t>
      </w:r>
      <w:r w:rsidRPr="66F0B5E9">
        <w:rPr>
          <w:lang w:eastAsia="en-AU"/>
        </w:rPr>
        <w:t xml:space="preserve">possessing </w:t>
      </w:r>
      <w:r w:rsidRPr="5C557938">
        <w:rPr>
          <w:lang w:eastAsia="en-AU"/>
        </w:rPr>
        <w:t>an attribute</w:t>
      </w:r>
      <w:r w:rsidRPr="222660BF">
        <w:rPr>
          <w:lang w:eastAsia="en-AU"/>
        </w:rPr>
        <w:t xml:space="preserve"> </w:t>
      </w:r>
      <w:r w:rsidRPr="53D90A5A">
        <w:rPr>
          <w:lang w:eastAsia="en-AU"/>
        </w:rPr>
        <w:t>referred</w:t>
      </w:r>
      <w:r w:rsidRPr="222660BF">
        <w:rPr>
          <w:lang w:eastAsia="en-AU"/>
        </w:rPr>
        <w:t xml:space="preserve"> to in B.1</w:t>
      </w:r>
      <w:r w:rsidRPr="53D90A5A">
        <w:rPr>
          <w:lang w:eastAsia="en-AU"/>
        </w:rPr>
        <w:t>.</w:t>
      </w:r>
      <w:r w:rsidRPr="06924652">
        <w:rPr>
          <w:rStyle w:val="FootnoteReference"/>
          <w:lang w:eastAsia="en-AU"/>
        </w:rPr>
        <w:footnoteReference w:id="21"/>
      </w:r>
      <w:r w:rsidRPr="53D90A5A">
        <w:rPr>
          <w:lang w:eastAsia="en-AU"/>
        </w:rPr>
        <w:t xml:space="preserve"> </w:t>
      </w:r>
      <w:r w:rsidRPr="06924652">
        <w:rPr>
          <w:lang w:eastAsia="en-AU"/>
        </w:rPr>
        <w:t>The r</w:t>
      </w:r>
      <w:r w:rsidRPr="5F5F8500">
        <w:rPr>
          <w:lang w:eastAsia="en-AU"/>
        </w:rPr>
        <w:t xml:space="preserve">eforms proposed </w:t>
      </w:r>
      <w:r w:rsidRPr="53F103C7">
        <w:rPr>
          <w:lang w:eastAsia="en-AU"/>
        </w:rPr>
        <w:t xml:space="preserve">in the </w:t>
      </w:r>
      <w:r>
        <w:rPr>
          <w:lang w:eastAsia="en-AU"/>
        </w:rPr>
        <w:t>C</w:t>
      </w:r>
      <w:r w:rsidRPr="53F103C7">
        <w:rPr>
          <w:lang w:eastAsia="en-AU"/>
        </w:rPr>
        <w:t xml:space="preserve">onsultation </w:t>
      </w:r>
      <w:r>
        <w:rPr>
          <w:lang w:eastAsia="en-AU"/>
        </w:rPr>
        <w:t>P</w:t>
      </w:r>
      <w:r w:rsidRPr="53F103C7">
        <w:rPr>
          <w:lang w:eastAsia="en-AU"/>
        </w:rPr>
        <w:t xml:space="preserve">aper </w:t>
      </w:r>
      <w:r w:rsidR="0079054A">
        <w:rPr>
          <w:lang w:eastAsia="en-AU"/>
        </w:rPr>
        <w:t>do not include</w:t>
      </w:r>
      <w:r w:rsidRPr="5F5F8500">
        <w:rPr>
          <w:lang w:eastAsia="en-AU"/>
        </w:rPr>
        <w:t xml:space="preserve"> </w:t>
      </w:r>
      <w:r w:rsidRPr="4955C716">
        <w:rPr>
          <w:lang w:eastAsia="en-AU"/>
        </w:rPr>
        <w:t xml:space="preserve">no such </w:t>
      </w:r>
      <w:r w:rsidRPr="4882828E">
        <w:rPr>
          <w:lang w:eastAsia="en-AU"/>
        </w:rPr>
        <w:t xml:space="preserve">protections. </w:t>
      </w:r>
    </w:p>
    <w:p w14:paraId="259F4078" w14:textId="7A6C98B0" w:rsidR="00A826B4" w:rsidRDefault="00A826B4" w:rsidP="00A826B4">
      <w:pPr>
        <w:pStyle w:val="Numberedparagraph"/>
        <w:rPr>
          <w:i/>
          <w:lang w:eastAsia="en-AU"/>
        </w:rPr>
      </w:pPr>
      <w:r w:rsidRPr="070341B8">
        <w:rPr>
          <w:lang w:eastAsia="en-AU"/>
        </w:rPr>
        <w:t xml:space="preserve">The QHRC understands that recommending the addition of an ‘association’ attribute, as exists in Queensland is outside the scope of the ALRC’s terms of reference. However, the alternate option discussed above in </w:t>
      </w:r>
      <w:r w:rsidR="002D140A">
        <w:rPr>
          <w:lang w:eastAsia="en-AU"/>
        </w:rPr>
        <w:t>P</w:t>
      </w:r>
      <w:r w:rsidRPr="070341B8">
        <w:rPr>
          <w:lang w:eastAsia="en-AU"/>
        </w:rPr>
        <w:t xml:space="preserve">roposition A is equally applicable here. ‘Associates’ could be referred to in the narrower context of treatment by religious educational institutions, rather than creating a new attribute that applies more broadly to the Sex Discrimination Act. </w:t>
      </w:r>
    </w:p>
    <w:p w14:paraId="4E3EB356" w14:textId="77777777" w:rsidR="00A826B4" w:rsidRDefault="00A826B4" w:rsidP="00A826B4">
      <w:pPr>
        <w:pStyle w:val="Numberedparagraph"/>
        <w:rPr>
          <w:lang w:eastAsia="en-AU"/>
        </w:rPr>
      </w:pPr>
      <w:r w:rsidRPr="070341B8">
        <w:rPr>
          <w:lang w:eastAsia="en-AU"/>
        </w:rPr>
        <w:t xml:space="preserve">An associate could be left undefined, or defined consistently with the </w:t>
      </w:r>
      <w:r w:rsidRPr="070341B8">
        <w:rPr>
          <w:i/>
          <w:iCs/>
          <w:lang w:eastAsia="en-AU"/>
        </w:rPr>
        <w:t xml:space="preserve">Disability Discrimination Act 1992 </w:t>
      </w:r>
      <w:r w:rsidRPr="070341B8">
        <w:rPr>
          <w:lang w:eastAsia="en-AU"/>
        </w:rPr>
        <w:t xml:space="preserve">(Cth). </w:t>
      </w:r>
    </w:p>
    <w:p w14:paraId="224CB9AA" w14:textId="6ED034F6" w:rsidR="02B26C0B" w:rsidRDefault="00A826B4" w:rsidP="00CF2162">
      <w:pPr>
        <w:pStyle w:val="Numberedparagraph"/>
        <w:numPr>
          <w:ilvl w:val="0"/>
          <w:numId w:val="0"/>
        </w:numPr>
        <w:spacing w:after="0"/>
        <w:rPr>
          <w:lang w:eastAsia="en-AU"/>
        </w:rPr>
      </w:pPr>
      <w:r w:rsidRPr="00C360D7">
        <w:rPr>
          <w:color w:val="1F497D" w:themeColor="text2"/>
          <w:lang w:eastAsia="en-AU"/>
        </w:rPr>
        <w:t xml:space="preserve">Recommendation </w:t>
      </w:r>
      <w:r w:rsidR="00F03D9F" w:rsidRPr="00C360D7">
        <w:rPr>
          <w:color w:val="1F497D" w:themeColor="text2"/>
          <w:lang w:eastAsia="en-AU"/>
        </w:rPr>
        <w:t>6</w:t>
      </w:r>
      <w:r w:rsidR="00A64EF2" w:rsidRPr="070341B8">
        <w:rPr>
          <w:lang w:eastAsia="en-AU"/>
        </w:rPr>
        <w:t>:</w:t>
      </w:r>
    </w:p>
    <w:p w14:paraId="57D131A4" w14:textId="3C73AD82" w:rsidR="00A64EF2" w:rsidRDefault="00A64EF2" w:rsidP="00A64EF2">
      <w:pPr>
        <w:pStyle w:val="Numberedparagraph"/>
        <w:numPr>
          <w:ilvl w:val="0"/>
          <w:numId w:val="0"/>
        </w:numPr>
        <w:ind w:left="567"/>
        <w:rPr>
          <w:lang w:eastAsia="en-AU"/>
        </w:rPr>
      </w:pPr>
      <w:r w:rsidRPr="070341B8">
        <w:rPr>
          <w:lang w:eastAsia="en-AU"/>
        </w:rPr>
        <w:t>The Sex Discrimination Act should be amended to protect people from discrimination by religious educational authorities or institutions that occurs on the basis of the association with, or in relation to, a</w:t>
      </w:r>
      <w:r w:rsidR="009B3106" w:rsidRPr="070341B8">
        <w:rPr>
          <w:lang w:eastAsia="en-AU"/>
        </w:rPr>
        <w:t xml:space="preserve">n employee </w:t>
      </w:r>
      <w:r w:rsidRPr="070341B8">
        <w:rPr>
          <w:lang w:eastAsia="en-AU"/>
        </w:rPr>
        <w:t>with a protected attribute.</w:t>
      </w:r>
    </w:p>
    <w:p w14:paraId="2AA0D922" w14:textId="7C154286" w:rsidR="00F44649" w:rsidRDefault="00F44649" w:rsidP="00F44649">
      <w:pPr>
        <w:pStyle w:val="Heading2"/>
        <w:rPr>
          <w:lang w:eastAsia="en-AU"/>
        </w:rPr>
      </w:pPr>
      <w:bookmarkStart w:id="23" w:name="_Toc128033999"/>
      <w:r>
        <w:rPr>
          <w:lang w:eastAsia="en-AU"/>
        </w:rPr>
        <w:t>‘Religious ethos</w:t>
      </w:r>
      <w:r w:rsidR="001D5D88">
        <w:rPr>
          <w:lang w:eastAsia="en-AU"/>
        </w:rPr>
        <w:t>’</w:t>
      </w:r>
      <w:r>
        <w:rPr>
          <w:lang w:eastAsia="en-AU"/>
        </w:rPr>
        <w:t xml:space="preserve"> terminology</w:t>
      </w:r>
      <w:bookmarkEnd w:id="23"/>
    </w:p>
    <w:p w14:paraId="00ECE001" w14:textId="7734E9DC" w:rsidR="00F44649" w:rsidRDefault="00F44649" w:rsidP="00F44649">
      <w:pPr>
        <w:pStyle w:val="Numberedparagraph"/>
        <w:rPr>
          <w:lang w:eastAsia="en-AU"/>
        </w:rPr>
      </w:pPr>
      <w:r>
        <w:rPr>
          <w:lang w:eastAsia="en-AU"/>
        </w:rPr>
        <w:t xml:space="preserve">The </w:t>
      </w:r>
      <w:r w:rsidR="00406EE2">
        <w:rPr>
          <w:lang w:eastAsia="en-AU"/>
        </w:rPr>
        <w:t>next</w:t>
      </w:r>
      <w:r>
        <w:rPr>
          <w:lang w:eastAsia="en-AU"/>
        </w:rPr>
        <w:t xml:space="preserve"> section will respond to </w:t>
      </w:r>
      <w:r w:rsidR="001D5D88">
        <w:rPr>
          <w:lang w:eastAsia="en-AU"/>
        </w:rPr>
        <w:t>Proposition C and D and the related technical proposals</w:t>
      </w:r>
      <w:r w:rsidR="00A02B0D">
        <w:rPr>
          <w:lang w:eastAsia="en-AU"/>
        </w:rPr>
        <w:t xml:space="preserve"> 8, 9 and 10</w:t>
      </w:r>
      <w:r w:rsidR="001D5D88">
        <w:rPr>
          <w:lang w:eastAsia="en-AU"/>
        </w:rPr>
        <w:t>, which include the term ‘religious ethos’.</w:t>
      </w:r>
    </w:p>
    <w:p w14:paraId="60ACB398" w14:textId="5A777EFB" w:rsidR="00A56AFD" w:rsidRDefault="00A56AFD" w:rsidP="00F44649">
      <w:pPr>
        <w:pStyle w:val="Numberedparagraph"/>
        <w:rPr>
          <w:lang w:eastAsia="en-AU"/>
        </w:rPr>
      </w:pPr>
      <w:r>
        <w:rPr>
          <w:lang w:eastAsia="en-AU"/>
        </w:rPr>
        <w:t xml:space="preserve">The Commission has reservations about </w:t>
      </w:r>
      <w:r w:rsidR="00C8732A">
        <w:rPr>
          <w:lang w:eastAsia="en-AU"/>
        </w:rPr>
        <w:t>the</w:t>
      </w:r>
      <w:r>
        <w:rPr>
          <w:lang w:eastAsia="en-AU"/>
        </w:rPr>
        <w:t xml:space="preserve"> term</w:t>
      </w:r>
      <w:r w:rsidR="00C8732A">
        <w:rPr>
          <w:lang w:eastAsia="en-AU"/>
        </w:rPr>
        <w:t xml:space="preserve"> ‘ethos’</w:t>
      </w:r>
      <w:r>
        <w:rPr>
          <w:lang w:eastAsia="en-AU"/>
        </w:rPr>
        <w:t xml:space="preserve">, which does not appear in </w:t>
      </w:r>
      <w:r w:rsidR="00CD1C1E">
        <w:rPr>
          <w:lang w:eastAsia="en-AU"/>
        </w:rPr>
        <w:t>any discrimination laws in Australia.</w:t>
      </w:r>
      <w:r w:rsidR="00061ACB">
        <w:rPr>
          <w:rStyle w:val="FootnoteReference"/>
          <w:lang w:eastAsia="en-AU"/>
        </w:rPr>
        <w:footnoteReference w:id="22"/>
      </w:r>
      <w:r w:rsidR="00CD1C1E">
        <w:rPr>
          <w:lang w:eastAsia="en-AU"/>
        </w:rPr>
        <w:t xml:space="preserve"> In the absence of any established Australian case law, the term may be too nebulous. </w:t>
      </w:r>
      <w:r w:rsidR="0068747D">
        <w:rPr>
          <w:lang w:eastAsia="en-AU"/>
        </w:rPr>
        <w:t>Ambiguity in discrimination</w:t>
      </w:r>
      <w:r w:rsidR="00755AED">
        <w:rPr>
          <w:lang w:eastAsia="en-AU"/>
        </w:rPr>
        <w:t xml:space="preserve"> </w:t>
      </w:r>
      <w:r w:rsidR="00102F0B">
        <w:rPr>
          <w:lang w:eastAsia="en-AU"/>
        </w:rPr>
        <w:t>law is likely to benefit the duty holder.</w:t>
      </w:r>
    </w:p>
    <w:p w14:paraId="3AE48592" w14:textId="77777777" w:rsidR="002A721D" w:rsidRDefault="00A83417" w:rsidP="00A83417">
      <w:pPr>
        <w:pStyle w:val="Numberedparagraph"/>
        <w:rPr>
          <w:lang w:eastAsia="en-AU"/>
        </w:rPr>
      </w:pPr>
      <w:r>
        <w:rPr>
          <w:lang w:eastAsia="en-AU"/>
        </w:rPr>
        <w:t xml:space="preserve">‘Ethos’ is much more uncertain than the terms ‘doctrines’, ‘tenets’, ‘beliefs’, ‘teachings’ appearing commonly in Australian discrimination laws. </w:t>
      </w:r>
    </w:p>
    <w:p w14:paraId="7DFB9AB2" w14:textId="3503D210" w:rsidR="00017B8D" w:rsidRDefault="00102F0B" w:rsidP="00A83417">
      <w:pPr>
        <w:pStyle w:val="Numberedparagraph"/>
        <w:rPr>
          <w:lang w:eastAsia="en-AU"/>
        </w:rPr>
      </w:pPr>
      <w:r>
        <w:rPr>
          <w:lang w:eastAsia="en-AU"/>
        </w:rPr>
        <w:t xml:space="preserve">The </w:t>
      </w:r>
      <w:r w:rsidRPr="00F47895">
        <w:rPr>
          <w:i/>
          <w:iCs/>
          <w:lang w:eastAsia="en-AU"/>
        </w:rPr>
        <w:t>Macquarie Dictionary</w:t>
      </w:r>
      <w:r>
        <w:rPr>
          <w:lang w:eastAsia="en-AU"/>
        </w:rPr>
        <w:t xml:space="preserve"> </w:t>
      </w:r>
      <w:r w:rsidR="00FA1D08">
        <w:rPr>
          <w:lang w:eastAsia="en-AU"/>
        </w:rPr>
        <w:t xml:space="preserve">defines the term ‘ethos’ as </w:t>
      </w:r>
      <w:r w:rsidR="00344948">
        <w:rPr>
          <w:lang w:eastAsia="en-AU"/>
        </w:rPr>
        <w:t>a ‘character or disposition’ or the ‘fundamental spiritual characteristics of a culture’.</w:t>
      </w:r>
      <w:r w:rsidR="000A1302">
        <w:rPr>
          <w:rStyle w:val="FootnoteReference"/>
          <w:lang w:eastAsia="en-AU"/>
        </w:rPr>
        <w:footnoteReference w:id="23"/>
      </w:r>
      <w:r w:rsidR="00344948">
        <w:rPr>
          <w:lang w:eastAsia="en-AU"/>
        </w:rPr>
        <w:t xml:space="preserve"> </w:t>
      </w:r>
    </w:p>
    <w:p w14:paraId="258C5883" w14:textId="4712DFA1" w:rsidR="00102F0B" w:rsidRDefault="00501890" w:rsidP="00F44649">
      <w:pPr>
        <w:pStyle w:val="Numberedparagraph"/>
        <w:rPr>
          <w:lang w:eastAsia="en-AU"/>
        </w:rPr>
      </w:pPr>
      <w:r>
        <w:rPr>
          <w:lang w:eastAsia="en-AU"/>
        </w:rPr>
        <w:t xml:space="preserve">Having to establish the fundamental spiritual characteristics of a </w:t>
      </w:r>
      <w:r w:rsidR="00FB6D58">
        <w:rPr>
          <w:lang w:eastAsia="en-AU"/>
        </w:rPr>
        <w:t>religious culture</w:t>
      </w:r>
      <w:r w:rsidR="00017B8D">
        <w:rPr>
          <w:lang w:eastAsia="en-AU"/>
        </w:rPr>
        <w:t xml:space="preserve"> may place religious educational institutions at a disadvantage in proving an exemption applies. </w:t>
      </w:r>
      <w:r w:rsidR="00B53467">
        <w:rPr>
          <w:lang w:eastAsia="en-AU"/>
        </w:rPr>
        <w:t xml:space="preserve">While it may be possible to provide evidence to establish a </w:t>
      </w:r>
      <w:r w:rsidR="0081736C">
        <w:rPr>
          <w:lang w:eastAsia="en-AU"/>
        </w:rPr>
        <w:t>‘</w:t>
      </w:r>
      <w:r w:rsidR="00B53467">
        <w:rPr>
          <w:lang w:eastAsia="en-AU"/>
        </w:rPr>
        <w:t>doctrine</w:t>
      </w:r>
      <w:r w:rsidR="0081736C">
        <w:rPr>
          <w:lang w:eastAsia="en-AU"/>
        </w:rPr>
        <w:t>’</w:t>
      </w:r>
      <w:r w:rsidR="00A83417">
        <w:rPr>
          <w:lang w:eastAsia="en-AU"/>
        </w:rPr>
        <w:t>, such as by pointing to relevant passages of a religious text</w:t>
      </w:r>
      <w:r w:rsidR="00B53467">
        <w:rPr>
          <w:lang w:eastAsia="en-AU"/>
        </w:rPr>
        <w:t>,</w:t>
      </w:r>
      <w:r w:rsidR="0081736C">
        <w:rPr>
          <w:lang w:eastAsia="en-AU"/>
        </w:rPr>
        <w:t xml:space="preserve"> proving what an ‘ethos’ of a school is in</w:t>
      </w:r>
      <w:r w:rsidR="00873C17">
        <w:rPr>
          <w:lang w:eastAsia="en-AU"/>
        </w:rPr>
        <w:t xml:space="preserve"> </w:t>
      </w:r>
      <w:r w:rsidR="0081736C">
        <w:rPr>
          <w:lang w:eastAsia="en-AU"/>
        </w:rPr>
        <w:t xml:space="preserve">a </w:t>
      </w:r>
      <w:r w:rsidR="00873C17">
        <w:rPr>
          <w:lang w:eastAsia="en-AU"/>
        </w:rPr>
        <w:t xml:space="preserve">court or tribunal </w:t>
      </w:r>
      <w:r w:rsidR="00F51728">
        <w:rPr>
          <w:lang w:eastAsia="en-AU"/>
        </w:rPr>
        <w:t>would</w:t>
      </w:r>
      <w:r w:rsidR="0081736C">
        <w:rPr>
          <w:lang w:eastAsia="en-AU"/>
        </w:rPr>
        <w:t xml:space="preserve"> be</w:t>
      </w:r>
      <w:r w:rsidR="00F51728">
        <w:rPr>
          <w:lang w:eastAsia="en-AU"/>
        </w:rPr>
        <w:t xml:space="preserve"> too</w:t>
      </w:r>
      <w:r w:rsidR="0081736C">
        <w:rPr>
          <w:lang w:eastAsia="en-AU"/>
        </w:rPr>
        <w:t xml:space="preserve"> </w:t>
      </w:r>
      <w:r w:rsidR="00F51728">
        <w:rPr>
          <w:lang w:eastAsia="en-AU"/>
        </w:rPr>
        <w:t>difficult</w:t>
      </w:r>
      <w:r w:rsidR="00873C17">
        <w:rPr>
          <w:lang w:eastAsia="en-AU"/>
        </w:rPr>
        <w:t>.</w:t>
      </w:r>
    </w:p>
    <w:p w14:paraId="06BE6A23" w14:textId="4ABB0669" w:rsidR="00514CC3" w:rsidRDefault="00514CC3" w:rsidP="00225EBF">
      <w:pPr>
        <w:pStyle w:val="Numberedparagraph"/>
        <w:numPr>
          <w:ilvl w:val="0"/>
          <w:numId w:val="0"/>
        </w:numPr>
        <w:rPr>
          <w:lang w:eastAsia="en-AU"/>
        </w:rPr>
      </w:pPr>
      <w:r w:rsidRPr="00C360D7">
        <w:rPr>
          <w:color w:val="1F497D" w:themeColor="text2"/>
          <w:lang w:eastAsia="en-AU"/>
        </w:rPr>
        <w:lastRenderedPageBreak/>
        <w:t xml:space="preserve">Recommendation </w:t>
      </w:r>
      <w:r w:rsidR="00D7039C" w:rsidRPr="00C360D7">
        <w:rPr>
          <w:color w:val="1F497D" w:themeColor="text2"/>
          <w:lang w:eastAsia="en-AU"/>
        </w:rPr>
        <w:t>7</w:t>
      </w:r>
      <w:r>
        <w:rPr>
          <w:lang w:eastAsia="en-AU"/>
        </w:rPr>
        <w:t>:</w:t>
      </w:r>
    </w:p>
    <w:p w14:paraId="1FAB2608" w14:textId="77A26971" w:rsidR="00514CC3" w:rsidRPr="00F44649" w:rsidRDefault="0036076B" w:rsidP="00514CC3">
      <w:pPr>
        <w:pStyle w:val="Numberedparagraph"/>
        <w:numPr>
          <w:ilvl w:val="0"/>
          <w:numId w:val="0"/>
        </w:numPr>
        <w:ind w:left="567"/>
        <w:rPr>
          <w:lang w:eastAsia="en-AU"/>
        </w:rPr>
      </w:pPr>
      <w:r>
        <w:rPr>
          <w:lang w:eastAsia="en-AU"/>
        </w:rPr>
        <w:t>The term</w:t>
      </w:r>
      <w:r w:rsidR="00514CC3">
        <w:rPr>
          <w:lang w:eastAsia="en-AU"/>
        </w:rPr>
        <w:t xml:space="preserve"> ‘religious ethos’ should be replaced with </w:t>
      </w:r>
      <w:r>
        <w:rPr>
          <w:lang w:eastAsia="en-AU"/>
        </w:rPr>
        <w:t>well-established terminology from Australian discrimination laws.</w:t>
      </w:r>
    </w:p>
    <w:p w14:paraId="562EBBB9" w14:textId="098AACDC" w:rsidR="008A76CC" w:rsidRDefault="008A76CC" w:rsidP="00CB5A93">
      <w:pPr>
        <w:pStyle w:val="Heading2"/>
      </w:pPr>
      <w:bookmarkStart w:id="24" w:name="_Toc128034000"/>
      <w:r>
        <w:t>Proposition C – employees</w:t>
      </w:r>
      <w:bookmarkEnd w:id="24"/>
    </w:p>
    <w:p w14:paraId="724871D1" w14:textId="7A01CC38" w:rsidR="00CB5A93" w:rsidRPr="00CB5A93" w:rsidRDefault="33C2EB26" w:rsidP="009B3106">
      <w:pPr>
        <w:pStyle w:val="Numberedparagraph"/>
      </w:pPr>
      <w:r>
        <w:t xml:space="preserve">This section will respond to </w:t>
      </w:r>
      <w:r w:rsidR="6E682784">
        <w:t>P</w:t>
      </w:r>
      <w:r w:rsidR="6D127F8F">
        <w:t>roposition</w:t>
      </w:r>
      <w:r>
        <w:t xml:space="preserve"> </w:t>
      </w:r>
      <w:r w:rsidR="227B8938">
        <w:t xml:space="preserve">C and the related technical proposals 8 and 10. </w:t>
      </w:r>
    </w:p>
    <w:p w14:paraId="1032E8F5" w14:textId="082F6F2A" w:rsidR="00CB5A93" w:rsidRPr="00CB5A93" w:rsidRDefault="57AC5D57" w:rsidP="4143FAAA">
      <w:pPr>
        <w:pStyle w:val="Numberedparagraph"/>
      </w:pPr>
      <w:r>
        <w:t>The QHRC</w:t>
      </w:r>
      <w:r w:rsidR="229A3D2F">
        <w:t xml:space="preserve"> does not take issue with </w:t>
      </w:r>
      <w:r w:rsidR="6E682784">
        <w:t>P</w:t>
      </w:r>
      <w:r w:rsidR="349C3108">
        <w:t>roposition</w:t>
      </w:r>
      <w:r w:rsidR="229A3D2F">
        <w:t xml:space="preserve"> C.1 but stresses that the only situation in which </w:t>
      </w:r>
      <w:r w:rsidR="71196F06">
        <w:t>institutions should be able to preference staff</w:t>
      </w:r>
      <w:r w:rsidR="229A3D2F">
        <w:t xml:space="preserve"> based on </w:t>
      </w:r>
      <w:r w:rsidR="1485EAAA">
        <w:t xml:space="preserve">religious belief or activity </w:t>
      </w:r>
      <w:r w:rsidR="7780056A">
        <w:t xml:space="preserve">is where it is a genuine requirement of the role in question. </w:t>
      </w:r>
      <w:r w:rsidR="21BA01A2">
        <w:t>It should be made clear</w:t>
      </w:r>
      <w:r w:rsidR="7780056A">
        <w:t xml:space="preserve"> that the treatment</w:t>
      </w:r>
      <w:r w:rsidR="59F8506F">
        <w:t xml:space="preserve"> in preferencing staff</w:t>
      </w:r>
      <w:r w:rsidR="7780056A">
        <w:t xml:space="preserve"> needs to be proportionate in all of the circumstances</w:t>
      </w:r>
      <w:r w:rsidR="00C43307">
        <w:t>.</w:t>
      </w:r>
    </w:p>
    <w:p w14:paraId="6CA03B83" w14:textId="5B98B5E1" w:rsidR="00CB5A93" w:rsidRPr="00CB5A93" w:rsidRDefault="5D6C3B9C" w:rsidP="4143FAAA">
      <w:pPr>
        <w:pStyle w:val="Numberedparagraph"/>
      </w:pPr>
      <w:r>
        <w:t xml:space="preserve">In </w:t>
      </w:r>
      <w:r w:rsidRPr="070341B8">
        <w:rPr>
          <w:i/>
          <w:iCs/>
        </w:rPr>
        <w:t xml:space="preserve">Building Belonging </w:t>
      </w:r>
      <w:r>
        <w:t xml:space="preserve">the QHRC recommended </w:t>
      </w:r>
      <w:r w:rsidR="20328315">
        <w:t xml:space="preserve">a </w:t>
      </w:r>
      <w:r>
        <w:t>non-exhaustive list of factors</w:t>
      </w:r>
      <w:r w:rsidR="2E9811BD">
        <w:t xml:space="preserve"> </w:t>
      </w:r>
      <w:r>
        <w:t>be</w:t>
      </w:r>
      <w:r w:rsidR="093FBBD6">
        <w:t xml:space="preserve"> included</w:t>
      </w:r>
      <w:r w:rsidR="5870D1E2">
        <w:t xml:space="preserve"> in the </w:t>
      </w:r>
      <w:r w:rsidR="0727580B">
        <w:t>Queensland</w:t>
      </w:r>
      <w:r w:rsidR="00AA289F">
        <w:t xml:space="preserve"> AD Act</w:t>
      </w:r>
      <w:r w:rsidR="5870D1E2" w:rsidRPr="070341B8">
        <w:rPr>
          <w:i/>
          <w:iCs/>
        </w:rPr>
        <w:t xml:space="preserve"> </w:t>
      </w:r>
      <w:r>
        <w:t xml:space="preserve">to </w:t>
      </w:r>
      <w:r w:rsidR="363BE13A">
        <w:t xml:space="preserve">guide whether </w:t>
      </w:r>
      <w:r w:rsidR="007D08D1">
        <w:t xml:space="preserve">preferencing staff based on religious belief or activity </w:t>
      </w:r>
      <w:r w:rsidR="49999C5F">
        <w:t>is</w:t>
      </w:r>
      <w:r w:rsidR="363BE13A">
        <w:t xml:space="preserve"> reasonable and proportionate. </w:t>
      </w:r>
      <w:r w:rsidR="3F21EE02">
        <w:t>The</w:t>
      </w:r>
      <w:r w:rsidR="280725A4">
        <w:t xml:space="preserve"> considerations recommended </w:t>
      </w:r>
      <w:r w:rsidR="006070F5">
        <w:t>include</w:t>
      </w:r>
      <w:r w:rsidR="3F21EE02">
        <w:t>:</w:t>
      </w:r>
    </w:p>
    <w:p w14:paraId="19D5AE68" w14:textId="7DE5DD0B" w:rsidR="00CB5A93" w:rsidRPr="00CB5A93" w:rsidRDefault="363BE13A" w:rsidP="4143FAAA">
      <w:pPr>
        <w:pStyle w:val="ListParagraph"/>
        <w:numPr>
          <w:ilvl w:val="0"/>
          <w:numId w:val="30"/>
        </w:numPr>
      </w:pPr>
      <w:r w:rsidRPr="6EA165C5">
        <w:t>the importance of the relevant conduct in protecting the ethos of the religious organisation and the religious susceptibilities of adherents to that religion</w:t>
      </w:r>
    </w:p>
    <w:p w14:paraId="2F769DD7" w14:textId="61909521" w:rsidR="00CB5A93" w:rsidRPr="00CB5A93" w:rsidRDefault="363BE13A" w:rsidP="4143FAAA">
      <w:pPr>
        <w:pStyle w:val="ListParagraph"/>
        <w:numPr>
          <w:ilvl w:val="0"/>
          <w:numId w:val="30"/>
        </w:numPr>
      </w:pPr>
      <w:r w:rsidRPr="6EA165C5">
        <w:t>the proximity between the person’s actions and the religious organisation’s proclamatory mission</w:t>
      </w:r>
    </w:p>
    <w:p w14:paraId="44F26BD6" w14:textId="4D5EF6FB" w:rsidR="00CB5A93" w:rsidRPr="00CB5A93" w:rsidRDefault="363BE13A" w:rsidP="4143FAAA">
      <w:pPr>
        <w:pStyle w:val="ListParagraph"/>
        <w:numPr>
          <w:ilvl w:val="0"/>
          <w:numId w:val="30"/>
        </w:numPr>
      </w:pPr>
      <w:r w:rsidRPr="6EA165C5">
        <w:t>the reasonable availability of alternative employment</w:t>
      </w:r>
    </w:p>
    <w:p w14:paraId="2FC865D0" w14:textId="29229BF7" w:rsidR="00CB5A93" w:rsidRPr="00CB5A93" w:rsidRDefault="363BE13A" w:rsidP="4143FAAA">
      <w:pPr>
        <w:pStyle w:val="ListParagraph"/>
        <w:numPr>
          <w:ilvl w:val="0"/>
          <w:numId w:val="30"/>
        </w:numPr>
      </w:pPr>
      <w:r w:rsidRPr="6EA165C5">
        <w:t>the rights and interests of the employee</w:t>
      </w:r>
      <w:r w:rsidR="00964D1A">
        <w:t>.</w:t>
      </w:r>
    </w:p>
    <w:p w14:paraId="60A9AE82" w14:textId="23E68D4E" w:rsidR="00CB5A93" w:rsidRPr="00CB5A93" w:rsidRDefault="00CB5A93" w:rsidP="6EA165C5">
      <w:pPr>
        <w:pStyle w:val="ListParagraph"/>
        <w:ind w:left="0"/>
      </w:pPr>
    </w:p>
    <w:p w14:paraId="33AB0D8B" w14:textId="7847FD4F" w:rsidR="00CB5A93" w:rsidRPr="00CB5A93" w:rsidRDefault="393F89C0" w:rsidP="4143FAAA">
      <w:pPr>
        <w:pStyle w:val="Numberedparagraph"/>
      </w:pPr>
      <w:r>
        <w:t xml:space="preserve">The QHRC recommends that similar approach be taken when </w:t>
      </w:r>
      <w:r w:rsidR="5D1945CC">
        <w:t>amending</w:t>
      </w:r>
      <w:r>
        <w:t xml:space="preserve"> the </w:t>
      </w:r>
      <w:r w:rsidRPr="070341B8">
        <w:rPr>
          <w:i/>
          <w:iCs/>
        </w:rPr>
        <w:t>Fair W</w:t>
      </w:r>
      <w:r w:rsidR="1ABBC34D" w:rsidRPr="070341B8">
        <w:rPr>
          <w:i/>
          <w:iCs/>
        </w:rPr>
        <w:t xml:space="preserve">ork Act 2009 </w:t>
      </w:r>
      <w:r w:rsidR="1ABBC34D">
        <w:t>(</w:t>
      </w:r>
      <w:r w:rsidR="00147208" w:rsidRPr="00147208">
        <w:rPr>
          <w:b/>
          <w:bCs/>
        </w:rPr>
        <w:t>Fair Work Act</w:t>
      </w:r>
      <w:r w:rsidR="1ABBC34D">
        <w:t xml:space="preserve">). The inclusion of a non-exhaustive set of factors provides </w:t>
      </w:r>
      <w:r w:rsidR="75571CF2">
        <w:t xml:space="preserve">guidance for all parties </w:t>
      </w:r>
      <w:r w:rsidR="1ABBC34D">
        <w:t xml:space="preserve">and provides </w:t>
      </w:r>
      <w:r w:rsidR="56AF61B0">
        <w:t xml:space="preserve">further </w:t>
      </w:r>
      <w:r w:rsidR="1ABBC34D">
        <w:t xml:space="preserve">protection for staff against </w:t>
      </w:r>
      <w:r w:rsidR="00961EE1">
        <w:t xml:space="preserve">unjustifiable </w:t>
      </w:r>
      <w:r w:rsidR="1ABBC34D">
        <w:t>discrimina</w:t>
      </w:r>
      <w:r w:rsidR="7C52009F">
        <w:t xml:space="preserve">tion. </w:t>
      </w:r>
    </w:p>
    <w:p w14:paraId="2FDD218F" w14:textId="01D15E3E" w:rsidR="00CB5A93" w:rsidRPr="00CB5A93" w:rsidRDefault="1B3E3B47" w:rsidP="00A57EA6">
      <w:pPr>
        <w:pStyle w:val="Numberedparagraph"/>
      </w:pPr>
      <w:r w:rsidRPr="6EA165C5">
        <w:t xml:space="preserve">The </w:t>
      </w:r>
      <w:r w:rsidR="363BE13A" w:rsidRPr="6EA165C5">
        <w:t xml:space="preserve">QHRC recommends including examples </w:t>
      </w:r>
      <w:r w:rsidR="6C916F67" w:rsidRPr="6EA165C5">
        <w:t>in this section</w:t>
      </w:r>
      <w:r w:rsidR="6040118D" w:rsidRPr="6EA165C5">
        <w:t>, as is</w:t>
      </w:r>
      <w:r w:rsidR="6C916F67" w:rsidRPr="6EA165C5">
        <w:t xml:space="preserve"> </w:t>
      </w:r>
      <w:r w:rsidR="6040118D" w:rsidRPr="6EA165C5">
        <w:t xml:space="preserve">discussed at page 24 of the </w:t>
      </w:r>
      <w:r w:rsidR="00E65A0A">
        <w:t>C</w:t>
      </w:r>
      <w:r w:rsidR="6040118D" w:rsidRPr="6EA165C5">
        <w:t xml:space="preserve">onsultation </w:t>
      </w:r>
      <w:r w:rsidR="002B1B39">
        <w:t>P</w:t>
      </w:r>
      <w:r w:rsidR="6040118D" w:rsidRPr="6EA165C5">
        <w:t>aper,</w:t>
      </w:r>
      <w:r w:rsidR="1B9451B8" w:rsidRPr="6EA165C5">
        <w:t xml:space="preserve"> </w:t>
      </w:r>
      <w:r w:rsidR="6C916F67" w:rsidRPr="6EA165C5">
        <w:t xml:space="preserve">to demonstrate that the exception does not permit discrimination </w:t>
      </w:r>
      <w:r w:rsidR="1BA9B024" w:rsidRPr="6EA165C5">
        <w:t xml:space="preserve">against employees who are not involved in the </w:t>
      </w:r>
      <w:r w:rsidR="005A5F2F">
        <w:t>t</w:t>
      </w:r>
      <w:r w:rsidR="1BA9B024" w:rsidRPr="6EA165C5">
        <w:t>eaching, observance, or practices of a religion</w:t>
      </w:r>
      <w:r w:rsidR="695CDD8E" w:rsidRPr="6EA165C5">
        <w:t>.</w:t>
      </w:r>
    </w:p>
    <w:p w14:paraId="0535C6BF" w14:textId="6B1B41AF" w:rsidR="005A6CF7" w:rsidRDefault="005A6CF7" w:rsidP="004C5B35">
      <w:pPr>
        <w:pStyle w:val="Numberedparagraph"/>
        <w:numPr>
          <w:ilvl w:val="0"/>
          <w:numId w:val="0"/>
        </w:numPr>
        <w:rPr>
          <w:lang w:eastAsia="en-AU"/>
        </w:rPr>
      </w:pPr>
      <w:r w:rsidRPr="00C360D7">
        <w:rPr>
          <w:color w:val="1F497D" w:themeColor="text2"/>
          <w:lang w:eastAsia="en-AU"/>
        </w:rPr>
        <w:t xml:space="preserve">Recommendation </w:t>
      </w:r>
      <w:r w:rsidR="00D7039C" w:rsidRPr="00C360D7">
        <w:rPr>
          <w:color w:val="1F497D" w:themeColor="text2"/>
          <w:lang w:eastAsia="en-AU"/>
        </w:rPr>
        <w:t>8</w:t>
      </w:r>
      <w:r>
        <w:rPr>
          <w:lang w:eastAsia="en-AU"/>
        </w:rPr>
        <w:t>:</w:t>
      </w:r>
    </w:p>
    <w:p w14:paraId="538A9B3F" w14:textId="6BF8216F" w:rsidR="5EA147A1" w:rsidRDefault="482799A7" w:rsidP="002664D1">
      <w:pPr>
        <w:pStyle w:val="Numberedparagraph"/>
        <w:numPr>
          <w:ilvl w:val="0"/>
          <w:numId w:val="0"/>
        </w:numPr>
        <w:ind w:left="567"/>
        <w:rPr>
          <w:lang w:eastAsia="en-AU"/>
        </w:rPr>
      </w:pPr>
      <w:r w:rsidRPr="489789B7">
        <w:rPr>
          <w:lang w:eastAsia="en-AU"/>
        </w:rPr>
        <w:t xml:space="preserve">A non-exhaustive list of factors </w:t>
      </w:r>
      <w:r w:rsidRPr="6F20A908">
        <w:rPr>
          <w:lang w:eastAsia="en-AU"/>
        </w:rPr>
        <w:t xml:space="preserve">be included in the </w:t>
      </w:r>
      <w:r w:rsidRPr="195D7622">
        <w:rPr>
          <w:lang w:eastAsia="en-AU"/>
        </w:rPr>
        <w:t xml:space="preserve">amendment to the </w:t>
      </w:r>
      <w:r w:rsidRPr="5D58E67F">
        <w:rPr>
          <w:i/>
          <w:iCs/>
          <w:lang w:eastAsia="en-AU"/>
        </w:rPr>
        <w:t xml:space="preserve">Fair Work Act </w:t>
      </w:r>
      <w:r w:rsidRPr="2E984F3F">
        <w:rPr>
          <w:i/>
          <w:iCs/>
          <w:lang w:eastAsia="en-AU"/>
        </w:rPr>
        <w:t>200</w:t>
      </w:r>
      <w:r w:rsidR="6FB53AD8" w:rsidRPr="2E984F3F">
        <w:rPr>
          <w:i/>
          <w:iCs/>
          <w:lang w:eastAsia="en-AU"/>
        </w:rPr>
        <w:t>9 (Cth</w:t>
      </w:r>
      <w:r w:rsidR="6FB53AD8" w:rsidRPr="23FD128E">
        <w:rPr>
          <w:i/>
          <w:iCs/>
          <w:lang w:eastAsia="en-AU"/>
        </w:rPr>
        <w:t xml:space="preserve">) </w:t>
      </w:r>
      <w:r w:rsidR="6FB53AD8" w:rsidRPr="353E0F62">
        <w:rPr>
          <w:lang w:eastAsia="en-AU"/>
        </w:rPr>
        <w:t xml:space="preserve">as matters to be taken into account when </w:t>
      </w:r>
      <w:r w:rsidR="6FB53AD8" w:rsidRPr="149914C7">
        <w:rPr>
          <w:lang w:eastAsia="en-AU"/>
        </w:rPr>
        <w:t xml:space="preserve">determining if the treatment is ‘proportionate in all </w:t>
      </w:r>
      <w:r w:rsidR="6FB53AD8" w:rsidRPr="0D34E160">
        <w:rPr>
          <w:lang w:eastAsia="en-AU"/>
        </w:rPr>
        <w:t>of th</w:t>
      </w:r>
      <w:r w:rsidR="0AF9E164" w:rsidRPr="0D34E160">
        <w:rPr>
          <w:lang w:eastAsia="en-AU"/>
        </w:rPr>
        <w:t xml:space="preserve">e </w:t>
      </w:r>
      <w:r w:rsidR="00E65A0A" w:rsidRPr="0D34E160">
        <w:rPr>
          <w:lang w:eastAsia="en-AU"/>
        </w:rPr>
        <w:t>circumstances</w:t>
      </w:r>
      <w:r w:rsidR="0AF9E164" w:rsidRPr="0D34E160">
        <w:rPr>
          <w:lang w:eastAsia="en-AU"/>
        </w:rPr>
        <w:t>.</w:t>
      </w:r>
      <w:r w:rsidR="00E65A0A">
        <w:rPr>
          <w:lang w:eastAsia="en-AU"/>
        </w:rPr>
        <w:t>’</w:t>
      </w:r>
      <w:r w:rsidR="0AF9E164" w:rsidRPr="0D34E160">
        <w:rPr>
          <w:lang w:eastAsia="en-AU"/>
        </w:rPr>
        <w:t xml:space="preserve"> </w:t>
      </w:r>
    </w:p>
    <w:p w14:paraId="678F044B" w14:textId="2922A8B9" w:rsidR="00CB5A93" w:rsidRPr="00CB5A93" w:rsidRDefault="008A76CC" w:rsidP="00CB5A93">
      <w:pPr>
        <w:pStyle w:val="Heading2"/>
        <w:rPr>
          <w:lang w:eastAsia="en-AU"/>
        </w:rPr>
      </w:pPr>
      <w:bookmarkStart w:id="25" w:name="_Toc128034001"/>
      <w:r>
        <w:t xml:space="preserve">Proposition </w:t>
      </w:r>
      <w:r w:rsidR="00CB5A93">
        <w:t>D</w:t>
      </w:r>
      <w:r w:rsidR="1CA4EAD8">
        <w:t xml:space="preserve"> – </w:t>
      </w:r>
      <w:r>
        <w:t>employees</w:t>
      </w:r>
      <w:bookmarkEnd w:id="25"/>
    </w:p>
    <w:p w14:paraId="13125476" w14:textId="723FE2BE" w:rsidR="00BD0124" w:rsidRDefault="00ED477C" w:rsidP="00ED477C">
      <w:pPr>
        <w:pStyle w:val="Numberedparagraph"/>
        <w:rPr>
          <w:lang w:eastAsia="en-AU"/>
        </w:rPr>
      </w:pPr>
      <w:r>
        <w:rPr>
          <w:lang w:eastAsia="en-AU"/>
        </w:rPr>
        <w:t xml:space="preserve">This section will respond to Proposition D and the related technical proposals </w:t>
      </w:r>
      <w:r w:rsidR="00503303">
        <w:rPr>
          <w:lang w:eastAsia="en-AU"/>
        </w:rPr>
        <w:t xml:space="preserve">9 and 10. </w:t>
      </w:r>
      <w:r w:rsidR="00D8115F" w:rsidRPr="070341B8">
        <w:rPr>
          <w:lang w:eastAsia="en-AU"/>
        </w:rPr>
        <w:t xml:space="preserve">The QHRC </w:t>
      </w:r>
      <w:r w:rsidR="6C3D31B4" w:rsidRPr="070341B8">
        <w:rPr>
          <w:lang w:eastAsia="en-AU"/>
        </w:rPr>
        <w:t>note</w:t>
      </w:r>
      <w:r w:rsidR="00D8115F" w:rsidRPr="070341B8">
        <w:rPr>
          <w:lang w:eastAsia="en-AU"/>
        </w:rPr>
        <w:t>s</w:t>
      </w:r>
      <w:r w:rsidR="00740736">
        <w:rPr>
          <w:lang w:eastAsia="en-AU"/>
        </w:rPr>
        <w:t xml:space="preserve"> that </w:t>
      </w:r>
      <w:r w:rsidR="00BE4796">
        <w:rPr>
          <w:lang w:eastAsia="en-AU"/>
        </w:rPr>
        <w:t xml:space="preserve">many aspects of Proposition D and technical </w:t>
      </w:r>
      <w:r w:rsidR="07F33AE0" w:rsidRPr="070341B8">
        <w:rPr>
          <w:lang w:eastAsia="en-AU"/>
        </w:rPr>
        <w:t>proposal</w:t>
      </w:r>
      <w:r w:rsidR="00AC5584" w:rsidRPr="070341B8">
        <w:rPr>
          <w:lang w:eastAsia="en-AU"/>
        </w:rPr>
        <w:t>s</w:t>
      </w:r>
      <w:r w:rsidR="07F33AE0" w:rsidRPr="070341B8">
        <w:rPr>
          <w:lang w:eastAsia="en-AU"/>
        </w:rPr>
        <w:t xml:space="preserve"> </w:t>
      </w:r>
      <w:r w:rsidR="00BE4796">
        <w:rPr>
          <w:lang w:eastAsia="en-AU"/>
        </w:rPr>
        <w:t xml:space="preserve">9 and 10 are consistent with the recommendations of </w:t>
      </w:r>
      <w:r w:rsidR="001054C2">
        <w:rPr>
          <w:lang w:eastAsia="en-AU"/>
        </w:rPr>
        <w:t xml:space="preserve">the </w:t>
      </w:r>
      <w:r w:rsidR="00BE4796" w:rsidRPr="00BD0124">
        <w:rPr>
          <w:i/>
          <w:iCs/>
          <w:lang w:eastAsia="en-AU"/>
        </w:rPr>
        <w:t xml:space="preserve">Building </w:t>
      </w:r>
      <w:r w:rsidR="00BE4796" w:rsidRPr="00BD0124">
        <w:rPr>
          <w:i/>
          <w:iCs/>
          <w:lang w:eastAsia="en-AU"/>
        </w:rPr>
        <w:lastRenderedPageBreak/>
        <w:t>Belonging</w:t>
      </w:r>
      <w:r w:rsidR="00BE4796">
        <w:rPr>
          <w:lang w:eastAsia="en-AU"/>
        </w:rPr>
        <w:t xml:space="preserve"> report. </w:t>
      </w:r>
      <w:r w:rsidR="001C7E03">
        <w:rPr>
          <w:lang w:eastAsia="en-AU"/>
        </w:rPr>
        <w:t>T</w:t>
      </w:r>
      <w:r w:rsidR="00292F13">
        <w:rPr>
          <w:lang w:eastAsia="en-AU"/>
        </w:rPr>
        <w:t xml:space="preserve">hese proposals seek to strike an appropriate balance between the rights of educational institutions and the rights of employees and prospective employees. </w:t>
      </w:r>
    </w:p>
    <w:p w14:paraId="26A56F00" w14:textId="18843576" w:rsidR="00F47511" w:rsidRDefault="00CE246B" w:rsidP="00ED477C">
      <w:pPr>
        <w:pStyle w:val="Numberedparagraph"/>
        <w:rPr>
          <w:lang w:eastAsia="en-AU"/>
        </w:rPr>
      </w:pPr>
      <w:r>
        <w:rPr>
          <w:lang w:eastAsia="en-AU"/>
        </w:rPr>
        <w:t xml:space="preserve">Therefore, overall </w:t>
      </w:r>
      <w:r w:rsidR="005469C6">
        <w:rPr>
          <w:lang w:eastAsia="en-AU"/>
        </w:rPr>
        <w:t>QHRC</w:t>
      </w:r>
      <w:r>
        <w:rPr>
          <w:lang w:eastAsia="en-AU"/>
        </w:rPr>
        <w:t xml:space="preserve"> supports these proposals, while noting that</w:t>
      </w:r>
      <w:r w:rsidR="006D3909">
        <w:rPr>
          <w:lang w:eastAsia="en-AU"/>
        </w:rPr>
        <w:t xml:space="preserve"> </w:t>
      </w:r>
      <w:r w:rsidR="00163FA8">
        <w:rPr>
          <w:lang w:eastAsia="en-AU"/>
        </w:rPr>
        <w:t>the effect is unlikely to be clear</w:t>
      </w:r>
      <w:r w:rsidR="00F47511">
        <w:rPr>
          <w:lang w:eastAsia="en-AU"/>
        </w:rPr>
        <w:t>ly understood until the relevant amendments are draf</w:t>
      </w:r>
      <w:r w:rsidR="008466F8">
        <w:rPr>
          <w:lang w:eastAsia="en-AU"/>
        </w:rPr>
        <w:t>t</w:t>
      </w:r>
      <w:r w:rsidR="00F47511">
        <w:rPr>
          <w:lang w:eastAsia="en-AU"/>
        </w:rPr>
        <w:t>ed.</w:t>
      </w:r>
      <w:r w:rsidR="00BD0124">
        <w:rPr>
          <w:lang w:eastAsia="en-AU"/>
        </w:rPr>
        <w:t xml:space="preserve"> </w:t>
      </w:r>
      <w:r w:rsidR="00F47511">
        <w:rPr>
          <w:lang w:eastAsia="en-AU"/>
        </w:rPr>
        <w:t xml:space="preserve">For example, </w:t>
      </w:r>
      <w:r w:rsidR="000D6788" w:rsidRPr="070341B8">
        <w:rPr>
          <w:lang w:eastAsia="en-AU"/>
        </w:rPr>
        <w:t>how the</w:t>
      </w:r>
      <w:r w:rsidR="008466F8">
        <w:rPr>
          <w:lang w:eastAsia="en-AU"/>
        </w:rPr>
        <w:t xml:space="preserve"> concept</w:t>
      </w:r>
      <w:r w:rsidR="00F56DFF">
        <w:rPr>
          <w:lang w:eastAsia="en-AU"/>
        </w:rPr>
        <w:t xml:space="preserve"> </w:t>
      </w:r>
      <w:r w:rsidR="000D6788" w:rsidRPr="070341B8">
        <w:rPr>
          <w:lang w:eastAsia="en-AU"/>
        </w:rPr>
        <w:t>of</w:t>
      </w:r>
      <w:r w:rsidR="008466F8">
        <w:rPr>
          <w:lang w:eastAsia="en-AU"/>
        </w:rPr>
        <w:t xml:space="preserve"> ‘actively undermining’</w:t>
      </w:r>
      <w:r w:rsidR="005D52DF">
        <w:rPr>
          <w:lang w:eastAsia="en-AU"/>
        </w:rPr>
        <w:t xml:space="preserve"> </w:t>
      </w:r>
      <w:r w:rsidR="000D6788" w:rsidRPr="070341B8">
        <w:rPr>
          <w:lang w:eastAsia="en-AU"/>
        </w:rPr>
        <w:t>would apply to</w:t>
      </w:r>
      <w:r w:rsidR="005D52DF">
        <w:rPr>
          <w:lang w:eastAsia="en-AU"/>
        </w:rPr>
        <w:t xml:space="preserve"> alleged conduct</w:t>
      </w:r>
      <w:r w:rsidR="008466F8">
        <w:rPr>
          <w:lang w:eastAsia="en-AU"/>
        </w:rPr>
        <w:t xml:space="preserve">. </w:t>
      </w:r>
    </w:p>
    <w:p w14:paraId="4BF8EE8E" w14:textId="5476F7AF" w:rsidR="00BD0124" w:rsidRDefault="00DA3BA2" w:rsidP="00ED477C">
      <w:pPr>
        <w:pStyle w:val="Numberedparagraph"/>
        <w:rPr>
          <w:lang w:eastAsia="en-AU"/>
        </w:rPr>
      </w:pPr>
      <w:r w:rsidRPr="070341B8">
        <w:rPr>
          <w:lang w:eastAsia="en-AU"/>
        </w:rPr>
        <w:t>QHRC</w:t>
      </w:r>
      <w:r w:rsidR="00BD0124" w:rsidRPr="070341B8">
        <w:rPr>
          <w:lang w:eastAsia="en-AU"/>
        </w:rPr>
        <w:t xml:space="preserve"> support</w:t>
      </w:r>
      <w:r w:rsidRPr="070341B8">
        <w:rPr>
          <w:lang w:eastAsia="en-AU"/>
        </w:rPr>
        <w:t>s</w:t>
      </w:r>
      <w:r w:rsidR="00BD0124">
        <w:rPr>
          <w:lang w:eastAsia="en-AU"/>
        </w:rPr>
        <w:t xml:space="preserve"> the approach </w:t>
      </w:r>
      <w:r w:rsidR="00115449">
        <w:rPr>
          <w:lang w:eastAsia="en-AU"/>
        </w:rPr>
        <w:t xml:space="preserve">that </w:t>
      </w:r>
      <w:r w:rsidR="00AB7162" w:rsidRPr="070341B8">
        <w:rPr>
          <w:lang w:eastAsia="en-AU"/>
        </w:rPr>
        <w:t>a body</w:t>
      </w:r>
      <w:r w:rsidR="009E34E4" w:rsidRPr="070341B8">
        <w:rPr>
          <w:lang w:eastAsia="en-AU"/>
        </w:rPr>
        <w:t xml:space="preserve"> that provide</w:t>
      </w:r>
      <w:r w:rsidR="00AB7162" w:rsidRPr="070341B8">
        <w:rPr>
          <w:lang w:eastAsia="en-AU"/>
        </w:rPr>
        <w:t>s</w:t>
      </w:r>
      <w:r w:rsidR="009E34E4" w:rsidRPr="070341B8">
        <w:rPr>
          <w:lang w:eastAsia="en-AU"/>
        </w:rPr>
        <w:t xml:space="preserve"> </w:t>
      </w:r>
      <w:r w:rsidR="006D7FC3" w:rsidRPr="070341B8">
        <w:rPr>
          <w:lang w:eastAsia="en-AU"/>
        </w:rPr>
        <w:t xml:space="preserve">religious </w:t>
      </w:r>
      <w:r w:rsidR="008C0629" w:rsidRPr="070341B8">
        <w:rPr>
          <w:lang w:eastAsia="en-AU"/>
        </w:rPr>
        <w:t>education should</w:t>
      </w:r>
      <w:r w:rsidR="006D7FC3" w:rsidRPr="070341B8">
        <w:rPr>
          <w:lang w:eastAsia="en-AU"/>
        </w:rPr>
        <w:t xml:space="preserve"> be able</w:t>
      </w:r>
      <w:r w:rsidR="00115449">
        <w:rPr>
          <w:lang w:eastAsia="en-AU"/>
        </w:rPr>
        <w:t xml:space="preserve"> to </w:t>
      </w:r>
      <w:r w:rsidR="002753D7">
        <w:rPr>
          <w:lang w:eastAsia="en-AU"/>
        </w:rPr>
        <w:t xml:space="preserve">manage its workforce in accordance with its religion, provided that any action taken against an employee is proportionate. We note that the proposed </w:t>
      </w:r>
      <w:r w:rsidR="00B95C64" w:rsidRPr="070341B8">
        <w:rPr>
          <w:lang w:eastAsia="en-AU"/>
        </w:rPr>
        <w:t>proportionality</w:t>
      </w:r>
      <w:r w:rsidR="002753D7">
        <w:rPr>
          <w:lang w:eastAsia="en-AU"/>
        </w:rPr>
        <w:t xml:space="preserve"> assessment in </w:t>
      </w:r>
      <w:r w:rsidR="00B95C64" w:rsidRPr="070341B8">
        <w:rPr>
          <w:lang w:eastAsia="en-AU"/>
        </w:rPr>
        <w:t>proposal</w:t>
      </w:r>
      <w:r w:rsidR="002753D7">
        <w:rPr>
          <w:lang w:eastAsia="en-AU"/>
        </w:rPr>
        <w:t xml:space="preserve"> 9 </w:t>
      </w:r>
      <w:r w:rsidR="00B72698">
        <w:rPr>
          <w:lang w:eastAsia="en-AU"/>
        </w:rPr>
        <w:t xml:space="preserve">lists relevant factors, which are non-exhaustive. They are similar to </w:t>
      </w:r>
      <w:r w:rsidR="00430FAA">
        <w:rPr>
          <w:lang w:eastAsia="en-AU"/>
        </w:rPr>
        <w:t>proportionality</w:t>
      </w:r>
      <w:r w:rsidR="00B72698">
        <w:rPr>
          <w:lang w:eastAsia="en-AU"/>
        </w:rPr>
        <w:t xml:space="preserve"> </w:t>
      </w:r>
      <w:r w:rsidR="00F813C6" w:rsidRPr="070341B8">
        <w:rPr>
          <w:lang w:eastAsia="en-AU"/>
        </w:rPr>
        <w:t xml:space="preserve">factors </w:t>
      </w:r>
      <w:r w:rsidR="00B72698">
        <w:rPr>
          <w:lang w:eastAsia="en-AU"/>
        </w:rPr>
        <w:t xml:space="preserve">suggested by the QHRC in </w:t>
      </w:r>
      <w:r w:rsidR="00B72698">
        <w:rPr>
          <w:i/>
          <w:iCs/>
          <w:lang w:eastAsia="en-AU"/>
        </w:rPr>
        <w:t xml:space="preserve">Building Belonging. </w:t>
      </w:r>
      <w:r w:rsidR="002753D7">
        <w:rPr>
          <w:lang w:eastAsia="en-AU"/>
        </w:rPr>
        <w:t xml:space="preserve"> </w:t>
      </w:r>
    </w:p>
    <w:p w14:paraId="2ED21AC6" w14:textId="3BA64C10" w:rsidR="00C33A3F" w:rsidRDefault="00A70FF8" w:rsidP="00ED477C">
      <w:pPr>
        <w:pStyle w:val="Numberedparagraph"/>
        <w:rPr>
          <w:lang w:eastAsia="en-AU"/>
        </w:rPr>
      </w:pPr>
      <w:r>
        <w:rPr>
          <w:lang w:eastAsia="en-AU"/>
        </w:rPr>
        <w:t>However, we suggest it is particularly important that th</w:t>
      </w:r>
      <w:r w:rsidR="002B2801">
        <w:rPr>
          <w:lang w:eastAsia="en-AU"/>
        </w:rPr>
        <w:t>e ‘ethos’</w:t>
      </w:r>
      <w:r>
        <w:rPr>
          <w:lang w:eastAsia="en-AU"/>
        </w:rPr>
        <w:t xml:space="preserve"> of an organisation </w:t>
      </w:r>
      <w:r w:rsidR="00722F9F">
        <w:rPr>
          <w:lang w:eastAsia="en-AU"/>
        </w:rPr>
        <w:t xml:space="preserve">is </w:t>
      </w:r>
      <w:r>
        <w:rPr>
          <w:lang w:eastAsia="en-AU"/>
        </w:rPr>
        <w:t xml:space="preserve">not unreasonably </w:t>
      </w:r>
      <w:r w:rsidR="00722F9F">
        <w:rPr>
          <w:lang w:eastAsia="en-AU"/>
        </w:rPr>
        <w:t>used to limit the rights of an employee</w:t>
      </w:r>
      <w:r w:rsidR="002B2801">
        <w:rPr>
          <w:lang w:eastAsia="en-AU"/>
        </w:rPr>
        <w:t xml:space="preserve"> (see also Recommendation 5 above in relation to terminology)</w:t>
      </w:r>
      <w:r w:rsidR="00722F9F">
        <w:rPr>
          <w:lang w:eastAsia="en-AU"/>
        </w:rPr>
        <w:t xml:space="preserve">. </w:t>
      </w:r>
      <w:r w:rsidR="00CE1730">
        <w:rPr>
          <w:lang w:eastAsia="en-AU"/>
        </w:rPr>
        <w:t>With th</w:t>
      </w:r>
      <w:r w:rsidR="00643968">
        <w:rPr>
          <w:lang w:eastAsia="en-AU"/>
        </w:rPr>
        <w:t>is</w:t>
      </w:r>
      <w:r w:rsidR="00CE1730">
        <w:rPr>
          <w:lang w:eastAsia="en-AU"/>
        </w:rPr>
        <w:t xml:space="preserve"> in mind, while </w:t>
      </w:r>
      <w:r w:rsidR="004B2B79">
        <w:rPr>
          <w:lang w:eastAsia="en-AU"/>
        </w:rPr>
        <w:t>the proposed</w:t>
      </w:r>
      <w:r w:rsidR="00CE1730">
        <w:rPr>
          <w:lang w:eastAsia="en-AU"/>
        </w:rPr>
        <w:t xml:space="preserve"> factors are not exhaustive, we suggest that as well as the employee’s right to privacy, other rights may also be</w:t>
      </w:r>
      <w:r w:rsidR="00E85D10">
        <w:rPr>
          <w:lang w:eastAsia="en-AU"/>
        </w:rPr>
        <w:t xml:space="preserve"> explicitly </w:t>
      </w:r>
      <w:r w:rsidR="00630FAD">
        <w:rPr>
          <w:lang w:eastAsia="en-AU"/>
        </w:rPr>
        <w:t>included,</w:t>
      </w:r>
      <w:r w:rsidR="00CE1730">
        <w:rPr>
          <w:lang w:eastAsia="en-AU"/>
        </w:rPr>
        <w:t xml:space="preserve"> such as freedom of expression, freedom of association and the employee’s freedom of </w:t>
      </w:r>
      <w:r w:rsidR="003A4FD9" w:rsidRPr="003A4FD9">
        <w:rPr>
          <w:lang w:eastAsia="en-AU"/>
        </w:rPr>
        <w:t>thought, conscience, religion and belie</w:t>
      </w:r>
      <w:r w:rsidR="00CE1730">
        <w:rPr>
          <w:lang w:eastAsia="en-AU"/>
        </w:rPr>
        <w:t>f.</w:t>
      </w:r>
      <w:r w:rsidR="00B51BA5">
        <w:rPr>
          <w:lang w:eastAsia="en-AU"/>
        </w:rPr>
        <w:t xml:space="preserve"> This would appear particularly important when there is no </w:t>
      </w:r>
      <w:r w:rsidR="00C32A27">
        <w:rPr>
          <w:lang w:eastAsia="en-AU"/>
        </w:rPr>
        <w:t>human rights act at the national level,</w:t>
      </w:r>
      <w:r w:rsidR="00184F02">
        <w:rPr>
          <w:lang w:eastAsia="en-AU"/>
        </w:rPr>
        <w:t xml:space="preserve"> </w:t>
      </w:r>
      <w:r w:rsidR="00C33A3F">
        <w:rPr>
          <w:lang w:eastAsia="en-AU"/>
        </w:rPr>
        <w:t xml:space="preserve">emphasising the need to set out clearly which </w:t>
      </w:r>
      <w:r w:rsidR="004C16C1">
        <w:rPr>
          <w:lang w:eastAsia="en-AU"/>
        </w:rPr>
        <w:t>ICCPR</w:t>
      </w:r>
      <w:r w:rsidR="00C33A3F">
        <w:rPr>
          <w:lang w:eastAsia="en-AU"/>
        </w:rPr>
        <w:t xml:space="preserve"> </w:t>
      </w:r>
      <w:r w:rsidR="00417706">
        <w:rPr>
          <w:lang w:eastAsia="en-AU"/>
        </w:rPr>
        <w:t>rights</w:t>
      </w:r>
      <w:r w:rsidR="00C33A3F">
        <w:rPr>
          <w:lang w:eastAsia="en-AU"/>
        </w:rPr>
        <w:t xml:space="preserve"> must be considered.</w:t>
      </w:r>
    </w:p>
    <w:p w14:paraId="314781DA" w14:textId="2A5E0F87" w:rsidR="002C2C56" w:rsidRPr="002C2C56" w:rsidRDefault="00321ABA" w:rsidP="005800E8">
      <w:pPr>
        <w:pStyle w:val="Numberedparagraph"/>
        <w:rPr>
          <w:lang w:eastAsia="en-AU"/>
        </w:rPr>
      </w:pPr>
      <w:r>
        <w:rPr>
          <w:lang w:eastAsia="en-AU"/>
        </w:rPr>
        <w:t xml:space="preserve">Another relevant factor, in light of the principles of the review, is the impact on the education of students at the educational institution. </w:t>
      </w:r>
      <w:r w:rsidR="007742DA">
        <w:rPr>
          <w:lang w:eastAsia="en-AU"/>
        </w:rPr>
        <w:t>Other factors proposed by the QHRC</w:t>
      </w:r>
      <w:r w:rsidR="005F5B23">
        <w:rPr>
          <w:lang w:eastAsia="en-AU"/>
        </w:rPr>
        <w:t xml:space="preserve"> in </w:t>
      </w:r>
      <w:r w:rsidR="005F5B23" w:rsidRPr="005800E8">
        <w:rPr>
          <w:i/>
          <w:iCs/>
          <w:lang w:eastAsia="en-AU"/>
        </w:rPr>
        <w:t>Building Belonging</w:t>
      </w:r>
      <w:r w:rsidR="007742DA">
        <w:rPr>
          <w:lang w:eastAsia="en-AU"/>
        </w:rPr>
        <w:t xml:space="preserve"> included </w:t>
      </w:r>
      <w:r w:rsidR="002C2C56" w:rsidRPr="002C2C56">
        <w:rPr>
          <w:lang w:eastAsia="en-AU"/>
        </w:rPr>
        <w:t>the proximity between the person’s actions and the religious organisation’s proclamatory mission</w:t>
      </w:r>
      <w:r w:rsidR="00C463C7">
        <w:rPr>
          <w:lang w:eastAsia="en-AU"/>
        </w:rPr>
        <w:t>.</w:t>
      </w:r>
      <w:r w:rsidR="004E28FA">
        <w:rPr>
          <w:rStyle w:val="FootnoteReference"/>
          <w:lang w:eastAsia="en-AU"/>
        </w:rPr>
        <w:footnoteReference w:id="24"/>
      </w:r>
    </w:p>
    <w:p w14:paraId="4CCEF95B" w14:textId="71A2E0C6" w:rsidR="00A70FF8" w:rsidRDefault="00A91A32" w:rsidP="00ED477C">
      <w:pPr>
        <w:pStyle w:val="Numberedparagraph"/>
        <w:rPr>
          <w:lang w:eastAsia="en-AU"/>
        </w:rPr>
      </w:pPr>
      <w:r>
        <w:rPr>
          <w:lang w:eastAsia="en-AU"/>
        </w:rPr>
        <w:t xml:space="preserve">We </w:t>
      </w:r>
      <w:r w:rsidR="00D748B6">
        <w:rPr>
          <w:lang w:eastAsia="en-AU"/>
        </w:rPr>
        <w:t>consider</w:t>
      </w:r>
      <w:r>
        <w:rPr>
          <w:lang w:eastAsia="en-AU"/>
        </w:rPr>
        <w:t xml:space="preserve"> that any factors </w:t>
      </w:r>
      <w:r w:rsidR="00CE246B">
        <w:rPr>
          <w:lang w:eastAsia="en-AU"/>
        </w:rPr>
        <w:t xml:space="preserve">set out for limitations in proposals 8 and 9 should be replicated under technical proposal 10. </w:t>
      </w:r>
    </w:p>
    <w:p w14:paraId="5082FB1A" w14:textId="20A97E02" w:rsidR="00C463C7" w:rsidRPr="00AA0C6A" w:rsidRDefault="00C463C7" w:rsidP="00ED477C">
      <w:pPr>
        <w:pStyle w:val="Numberedparagraph"/>
        <w:rPr>
          <w:lang w:eastAsia="en-AU"/>
        </w:rPr>
      </w:pPr>
      <w:r>
        <w:rPr>
          <w:lang w:eastAsia="en-AU"/>
        </w:rPr>
        <w:t xml:space="preserve">As applies to many of the proposed changes, we suggest that </w:t>
      </w:r>
      <w:r w:rsidR="001C7E03">
        <w:rPr>
          <w:lang w:eastAsia="en-AU"/>
        </w:rPr>
        <w:t>examples</w:t>
      </w:r>
      <w:r>
        <w:rPr>
          <w:lang w:eastAsia="en-AU"/>
        </w:rPr>
        <w:t xml:space="preserve"> and explanatory material will be particularly </w:t>
      </w:r>
      <w:r w:rsidR="00C43136">
        <w:rPr>
          <w:lang w:eastAsia="en-AU"/>
        </w:rPr>
        <w:t xml:space="preserve">important </w:t>
      </w:r>
      <w:r>
        <w:rPr>
          <w:lang w:eastAsia="en-AU"/>
        </w:rPr>
        <w:t xml:space="preserve">to guide </w:t>
      </w:r>
      <w:r w:rsidR="001C7E03">
        <w:rPr>
          <w:lang w:eastAsia="en-AU"/>
        </w:rPr>
        <w:t xml:space="preserve">the sorts of situations where the amendments would permit, or not permit, adverse action against an employee. </w:t>
      </w:r>
    </w:p>
    <w:p w14:paraId="047DF349" w14:textId="77777777" w:rsidR="003217A4" w:rsidRDefault="00F813C6" w:rsidP="003217A4">
      <w:pPr>
        <w:pStyle w:val="Numberedparagraph"/>
        <w:numPr>
          <w:ilvl w:val="0"/>
          <w:numId w:val="0"/>
        </w:numPr>
        <w:rPr>
          <w:color w:val="1F497D" w:themeColor="text2"/>
          <w:lang w:eastAsia="en-AU"/>
        </w:rPr>
      </w:pPr>
      <w:r w:rsidRPr="00B12B3C">
        <w:rPr>
          <w:color w:val="1F497D" w:themeColor="text2"/>
          <w:lang w:eastAsia="en-AU"/>
        </w:rPr>
        <w:t xml:space="preserve">Recommendation </w:t>
      </w:r>
      <w:r w:rsidR="00B12B3C" w:rsidRPr="00B12B3C">
        <w:rPr>
          <w:color w:val="1F497D" w:themeColor="text2"/>
          <w:lang w:eastAsia="en-AU"/>
        </w:rPr>
        <w:t>9</w:t>
      </w:r>
      <w:r w:rsidRPr="00B12B3C">
        <w:rPr>
          <w:color w:val="1F497D" w:themeColor="text2"/>
          <w:lang w:eastAsia="en-AU"/>
        </w:rPr>
        <w:t xml:space="preserve">: </w:t>
      </w:r>
      <w:r w:rsidR="00E725A6" w:rsidRPr="00B12B3C">
        <w:rPr>
          <w:color w:val="1F497D" w:themeColor="text2"/>
          <w:lang w:eastAsia="en-AU"/>
        </w:rPr>
        <w:t xml:space="preserve"> </w:t>
      </w:r>
    </w:p>
    <w:p w14:paraId="30684D1D" w14:textId="2D0DC652" w:rsidR="17FDF89A" w:rsidRDefault="00E725A6" w:rsidP="003217A4">
      <w:pPr>
        <w:pStyle w:val="Numberedparagraph"/>
        <w:numPr>
          <w:ilvl w:val="0"/>
          <w:numId w:val="0"/>
        </w:numPr>
        <w:ind w:left="720"/>
        <w:rPr>
          <w:lang w:eastAsia="en-AU"/>
        </w:rPr>
      </w:pPr>
      <w:r>
        <w:rPr>
          <w:lang w:eastAsia="en-AU"/>
        </w:rPr>
        <w:t>The non-exhaustive list of factors included in the</w:t>
      </w:r>
      <w:r w:rsidR="00B35585">
        <w:rPr>
          <w:lang w:eastAsia="en-AU"/>
        </w:rPr>
        <w:t xml:space="preserve"> proposed</w:t>
      </w:r>
      <w:r>
        <w:rPr>
          <w:lang w:eastAsia="en-AU"/>
        </w:rPr>
        <w:t xml:space="preserve"> </w:t>
      </w:r>
      <w:r w:rsidR="00DE0CE2" w:rsidRPr="5D58E67F">
        <w:rPr>
          <w:i/>
          <w:iCs/>
          <w:lang w:eastAsia="en-AU"/>
        </w:rPr>
        <w:t xml:space="preserve">Fair Work Act </w:t>
      </w:r>
      <w:r w:rsidR="00DE0CE2" w:rsidRPr="2E984F3F">
        <w:rPr>
          <w:i/>
          <w:iCs/>
          <w:lang w:eastAsia="en-AU"/>
        </w:rPr>
        <w:t xml:space="preserve">2009 </w:t>
      </w:r>
      <w:r w:rsidR="00DE0CE2" w:rsidRPr="004B0462">
        <w:rPr>
          <w:lang w:eastAsia="en-AU"/>
        </w:rPr>
        <w:t>(</w:t>
      </w:r>
      <w:proofErr w:type="spellStart"/>
      <w:r w:rsidR="00DE0CE2" w:rsidRPr="004B0462">
        <w:rPr>
          <w:lang w:eastAsia="en-AU"/>
        </w:rPr>
        <w:t>Cth</w:t>
      </w:r>
      <w:proofErr w:type="spellEnd"/>
      <w:r w:rsidR="00DE0CE2" w:rsidRPr="004B0462">
        <w:rPr>
          <w:lang w:eastAsia="en-AU"/>
        </w:rPr>
        <w:t>)</w:t>
      </w:r>
      <w:r w:rsidR="00DE0CE2" w:rsidRPr="23FD128E">
        <w:rPr>
          <w:i/>
          <w:iCs/>
          <w:lang w:eastAsia="en-AU"/>
        </w:rPr>
        <w:t xml:space="preserve"> </w:t>
      </w:r>
      <w:r w:rsidR="00B35585">
        <w:rPr>
          <w:lang w:eastAsia="en-AU"/>
        </w:rPr>
        <w:t xml:space="preserve">amendment should </w:t>
      </w:r>
      <w:r w:rsidR="00801179">
        <w:rPr>
          <w:lang w:eastAsia="en-AU"/>
        </w:rPr>
        <w:t>explicitly</w:t>
      </w:r>
      <w:r w:rsidR="00B35585">
        <w:rPr>
          <w:lang w:eastAsia="en-AU"/>
        </w:rPr>
        <w:t xml:space="preserve"> include other human rights of the employee including the right to freedom of expression, association and </w:t>
      </w:r>
      <w:r w:rsidR="00801179">
        <w:rPr>
          <w:lang w:eastAsia="en-AU"/>
        </w:rPr>
        <w:t xml:space="preserve">freedom of thought, conscience, religion and belief. </w:t>
      </w:r>
    </w:p>
    <w:p w14:paraId="5E4DC204" w14:textId="68524230" w:rsidR="3518BC42" w:rsidRDefault="3518BC42" w:rsidP="73F28380">
      <w:pPr>
        <w:pStyle w:val="Heading2"/>
        <w:spacing w:line="259" w:lineRule="auto"/>
      </w:pPr>
      <w:bookmarkStart w:id="26" w:name="_Toc128034002"/>
      <w:r>
        <w:lastRenderedPageBreak/>
        <w:t xml:space="preserve">Other </w:t>
      </w:r>
      <w:bookmarkEnd w:id="26"/>
      <w:r w:rsidR="004F74B3">
        <w:t>issues</w:t>
      </w:r>
    </w:p>
    <w:p w14:paraId="0FBAAE87" w14:textId="313990E3" w:rsidR="00DE0CE2" w:rsidRPr="00DE0CE2" w:rsidRDefault="00DE0CE2" w:rsidP="00DE0CE2">
      <w:r>
        <w:t>The below section will respond to technical proposals 11 – 14.</w:t>
      </w:r>
    </w:p>
    <w:p w14:paraId="1002876C" w14:textId="521D94E4" w:rsidR="35DAF4DD" w:rsidRPr="00DE0CE2" w:rsidRDefault="35DAF4DD" w:rsidP="17FDF89A">
      <w:pPr>
        <w:pStyle w:val="Heading3"/>
        <w:rPr>
          <w:sz w:val="22"/>
          <w:szCs w:val="22"/>
        </w:rPr>
      </w:pPr>
      <w:bookmarkStart w:id="27" w:name="_Toc128034003"/>
      <w:r w:rsidRPr="00DE0CE2">
        <w:rPr>
          <w:sz w:val="24"/>
        </w:rPr>
        <w:t>Proposal 11</w:t>
      </w:r>
      <w:bookmarkEnd w:id="27"/>
      <w:r w:rsidRPr="00DE0CE2">
        <w:rPr>
          <w:sz w:val="24"/>
        </w:rPr>
        <w:t xml:space="preserve"> </w:t>
      </w:r>
    </w:p>
    <w:p w14:paraId="651BEC79" w14:textId="12189A23" w:rsidR="00E7746A" w:rsidRPr="00E7746A" w:rsidRDefault="005469C6" w:rsidP="00DE0CE2">
      <w:pPr>
        <w:pStyle w:val="Numberedparagraph"/>
        <w:rPr>
          <w:i/>
          <w:iCs/>
        </w:rPr>
      </w:pPr>
      <w:r>
        <w:t>QHRC</w:t>
      </w:r>
      <w:r w:rsidR="1473932E" w:rsidRPr="0B02E38B">
        <w:t xml:space="preserve"> supports</w:t>
      </w:r>
      <w:r w:rsidR="7A623E50" w:rsidRPr="0B02E38B">
        <w:t xml:space="preserve"> an </w:t>
      </w:r>
      <w:r w:rsidR="12249DAB" w:rsidRPr="0B02E38B">
        <w:t>amendment</w:t>
      </w:r>
      <w:r w:rsidR="7A623E50" w:rsidRPr="0B02E38B">
        <w:t xml:space="preserve"> requiring religious education institutions to be subject to the</w:t>
      </w:r>
      <w:r w:rsidR="529F7B43" w:rsidRPr="0B02E38B">
        <w:t xml:space="preserve"> inquiry powers contained in the</w:t>
      </w:r>
      <w:r w:rsidR="7A623E50" w:rsidRPr="0B02E38B">
        <w:t xml:space="preserve"> </w:t>
      </w:r>
      <w:r w:rsidR="7A623E50" w:rsidRPr="0B02E38B">
        <w:rPr>
          <w:i/>
          <w:iCs/>
        </w:rPr>
        <w:t xml:space="preserve">Australian Human Rights Commission Act 1986. </w:t>
      </w:r>
      <w:r w:rsidR="35BC0F48" w:rsidRPr="0B02E38B">
        <w:t xml:space="preserve">This promotes transparency and further protects employees and students </w:t>
      </w:r>
      <w:r w:rsidR="003511E6">
        <w:t>in</w:t>
      </w:r>
      <w:r w:rsidR="35BC0F48" w:rsidRPr="0B02E38B">
        <w:t xml:space="preserve"> religious educational institutions from discrimination.</w:t>
      </w:r>
    </w:p>
    <w:p w14:paraId="4114E17A" w14:textId="0BE73620" w:rsidR="00E7746A" w:rsidRPr="00E7746A" w:rsidRDefault="4100722F" w:rsidP="0B02E38B">
      <w:pPr>
        <w:pStyle w:val="Heading3"/>
        <w:rPr>
          <w:sz w:val="24"/>
        </w:rPr>
      </w:pPr>
      <w:bookmarkStart w:id="28" w:name="_Toc128034004"/>
      <w:r w:rsidRPr="00DE0CE2">
        <w:rPr>
          <w:sz w:val="24"/>
        </w:rPr>
        <w:t>Proposal 12</w:t>
      </w:r>
      <w:bookmarkEnd w:id="28"/>
      <w:r w:rsidRPr="00DE0CE2">
        <w:rPr>
          <w:sz w:val="24"/>
        </w:rPr>
        <w:t xml:space="preserve"> </w:t>
      </w:r>
    </w:p>
    <w:p w14:paraId="34000D8F" w14:textId="59E350E7" w:rsidR="353BA9AB" w:rsidRDefault="005469C6" w:rsidP="00BA6EDD">
      <w:pPr>
        <w:pStyle w:val="Numberedparagraph"/>
      </w:pPr>
      <w:r>
        <w:t>QHRC</w:t>
      </w:r>
      <w:r w:rsidR="353BA9AB">
        <w:t xml:space="preserve"> agrees that </w:t>
      </w:r>
      <w:r w:rsidR="0F9EB2CE">
        <w:t xml:space="preserve">to avoid any unintended consequences to minority or marginalised groups, </w:t>
      </w:r>
      <w:r w:rsidR="008612AD">
        <w:t>g</w:t>
      </w:r>
      <w:r w:rsidR="3CAEFB3D">
        <w:t>uidelines for</w:t>
      </w:r>
      <w:r w:rsidR="00298983">
        <w:t xml:space="preserve"> </w:t>
      </w:r>
      <w:r w:rsidR="183E7D0B">
        <w:t>‘</w:t>
      </w:r>
      <w:r w:rsidR="00298983">
        <w:t xml:space="preserve">temporary exemptions under the </w:t>
      </w:r>
      <w:r w:rsidR="00298983" w:rsidRPr="0B02E38B">
        <w:rPr>
          <w:i/>
          <w:iCs/>
        </w:rPr>
        <w:t>Sex Discrimination Act 1984</w:t>
      </w:r>
      <w:r w:rsidR="11B69BA1" w:rsidRPr="0B02E38B">
        <w:rPr>
          <w:i/>
          <w:iCs/>
        </w:rPr>
        <w:t>’</w:t>
      </w:r>
      <w:r w:rsidR="599997D9" w:rsidRPr="0B02E38B">
        <w:rPr>
          <w:i/>
          <w:iCs/>
        </w:rPr>
        <w:t xml:space="preserve"> </w:t>
      </w:r>
      <w:r w:rsidR="599997D9" w:rsidRPr="0B02E38B">
        <w:t xml:space="preserve">should be reviewed to ascertain whether it should be amended to include religious educational institutions. </w:t>
      </w:r>
    </w:p>
    <w:p w14:paraId="641707E1" w14:textId="40C158C1" w:rsidR="3A33D027" w:rsidRDefault="3A33D027" w:rsidP="00735760">
      <w:pPr>
        <w:pStyle w:val="Numberedparagraph"/>
      </w:pPr>
      <w:r w:rsidRPr="0B02E38B">
        <w:t>However, temporary exemptions from compliance with the proposed changes should be assessed carefully and</w:t>
      </w:r>
      <w:r w:rsidR="0D3D481A" w:rsidRPr="0B02E38B">
        <w:t xml:space="preserve"> granted for the shortest time that is reasonable </w:t>
      </w:r>
      <w:r w:rsidR="008612AD">
        <w:t xml:space="preserve">and necessary </w:t>
      </w:r>
      <w:r w:rsidR="0D3D481A" w:rsidRPr="0B02E38B">
        <w:t xml:space="preserve">following consideration of each individual application. </w:t>
      </w:r>
    </w:p>
    <w:p w14:paraId="21795F96" w14:textId="69F21B16" w:rsidR="2968A80D" w:rsidRPr="00DE0CE2" w:rsidRDefault="2968A80D" w:rsidP="0B02E38B">
      <w:pPr>
        <w:pStyle w:val="Heading3"/>
        <w:rPr>
          <w:sz w:val="24"/>
        </w:rPr>
      </w:pPr>
      <w:bookmarkStart w:id="29" w:name="_Toc128034005"/>
      <w:r w:rsidRPr="00DE0CE2">
        <w:rPr>
          <w:sz w:val="24"/>
        </w:rPr>
        <w:t>Proposal 13</w:t>
      </w:r>
      <w:bookmarkEnd w:id="29"/>
    </w:p>
    <w:p w14:paraId="27B56071" w14:textId="68883B36" w:rsidR="48E018BE" w:rsidRDefault="005469C6" w:rsidP="00735760">
      <w:pPr>
        <w:pStyle w:val="Numberedparagraph"/>
      </w:pPr>
      <w:r>
        <w:t>QHRC</w:t>
      </w:r>
      <w:r w:rsidR="5DCEF7BF">
        <w:t xml:space="preserve"> supports the</w:t>
      </w:r>
      <w:r w:rsidR="48E018BE">
        <w:t xml:space="preserve"> development of educational resources and guidance to inform both educational institutions of their obligations and the public of their rights.</w:t>
      </w:r>
      <w:r w:rsidR="55AD4586">
        <w:t xml:space="preserve"> </w:t>
      </w:r>
    </w:p>
    <w:p w14:paraId="7B8B04B6" w14:textId="451BE32C" w:rsidR="55AD4586" w:rsidRDefault="55AD4586" w:rsidP="00735760">
      <w:pPr>
        <w:pStyle w:val="Numberedparagraph"/>
      </w:pPr>
      <w:r>
        <w:t xml:space="preserve">Any community education activities or resources aimed at informing the public of the protections available to them should be accessible to all individuals in the community, regardless of socio-economic status or geographical location. </w:t>
      </w:r>
    </w:p>
    <w:p w14:paraId="59450CE2" w14:textId="1FB696AC" w:rsidR="52F70FE9" w:rsidRDefault="52F70FE9" w:rsidP="00735760">
      <w:pPr>
        <w:pStyle w:val="Numberedparagraph"/>
      </w:pPr>
      <w:r>
        <w:t xml:space="preserve">How to effectively deliver education on </w:t>
      </w:r>
      <w:r w:rsidR="55AD4586">
        <w:t>the relevant protections to people with disabilities, culturally and lingui</w:t>
      </w:r>
      <w:r w:rsidR="675BA2AA">
        <w:t>stically diverse people, First Nations people and other diverse groups s</w:t>
      </w:r>
      <w:r w:rsidR="1BCBC621">
        <w:t>h</w:t>
      </w:r>
      <w:r w:rsidR="675BA2AA">
        <w:t xml:space="preserve">ould be </w:t>
      </w:r>
      <w:r w:rsidR="260087DC">
        <w:t xml:space="preserve">a primary consideration when developing these resources. </w:t>
      </w:r>
    </w:p>
    <w:p w14:paraId="2B7A5E91" w14:textId="270E22A1" w:rsidR="377661D0" w:rsidRDefault="377661D0" w:rsidP="0B02E38B">
      <w:pPr>
        <w:pStyle w:val="Heading3"/>
      </w:pPr>
      <w:bookmarkStart w:id="30" w:name="_Toc128034006"/>
      <w:r w:rsidRPr="00DE0CE2">
        <w:rPr>
          <w:sz w:val="24"/>
        </w:rPr>
        <w:t>Proposal 14</w:t>
      </w:r>
      <w:bookmarkEnd w:id="30"/>
    </w:p>
    <w:p w14:paraId="46DFEE5C" w14:textId="33090D9E" w:rsidR="64358E23" w:rsidRDefault="005469C6" w:rsidP="00735760">
      <w:pPr>
        <w:pStyle w:val="Numberedparagraph"/>
      </w:pPr>
      <w:r>
        <w:t>QHRC</w:t>
      </w:r>
      <w:r w:rsidR="64358E23">
        <w:t xml:space="preserve"> welcomes efforts to </w:t>
      </w:r>
      <w:r w:rsidR="3ED9443F">
        <w:t>simplify and strengthen Commonwealth anti-discrimination laws</w:t>
      </w:r>
      <w:r w:rsidR="5087A163">
        <w:t xml:space="preserve">. Further consideration of broader law reform in this area is needed to </w:t>
      </w:r>
      <w:r w:rsidR="150EEAD7">
        <w:t xml:space="preserve">protect vulnerable and marginalised groups from unlawful discrimination. </w:t>
      </w:r>
    </w:p>
    <w:p w14:paraId="56A9F787" w14:textId="0A0DCCBE" w:rsidR="6080FCD0" w:rsidRDefault="00B00543" w:rsidP="00735760">
      <w:pPr>
        <w:pStyle w:val="Numberedparagraph"/>
      </w:pPr>
      <w:r>
        <w:t>Pro</w:t>
      </w:r>
      <w:r w:rsidR="000670F6">
        <w:t>tections</w:t>
      </w:r>
      <w:r w:rsidR="6080FCD0">
        <w:t xml:space="preserve"> from discrimination</w:t>
      </w:r>
      <w:r w:rsidR="765A9DA5">
        <w:t xml:space="preserve"> on the grounds of association with a person having a relevant attribute</w:t>
      </w:r>
      <w:r w:rsidR="6080FCD0">
        <w:t xml:space="preserve"> should be incorporated into </w:t>
      </w:r>
      <w:r w:rsidR="003D2A63">
        <w:t xml:space="preserve">Propositions </w:t>
      </w:r>
      <w:r w:rsidR="6080FCD0">
        <w:t>A and B. It is submitted that this could be ach</w:t>
      </w:r>
      <w:r w:rsidR="2D361990">
        <w:t xml:space="preserve">ieved </w:t>
      </w:r>
      <w:r w:rsidR="2CD959D7">
        <w:t>with only minor changes to the propos</w:t>
      </w:r>
      <w:r w:rsidR="00857F29">
        <w:t>als</w:t>
      </w:r>
      <w:r w:rsidR="2CD959D7">
        <w:t xml:space="preserve">. </w:t>
      </w:r>
    </w:p>
    <w:p w14:paraId="11C6FDFD" w14:textId="497B8397" w:rsidR="2CD959D7" w:rsidRDefault="2CD959D7" w:rsidP="00735760">
      <w:pPr>
        <w:pStyle w:val="Numberedparagraph"/>
        <w:rPr>
          <w:i/>
          <w:iCs/>
        </w:rPr>
      </w:pPr>
      <w:r>
        <w:t xml:space="preserve">However, should this not occur, </w:t>
      </w:r>
      <w:r w:rsidR="005469C6">
        <w:t>QHRC</w:t>
      </w:r>
      <w:r>
        <w:t xml:space="preserve"> strongly advocates for a wider review of the protections and exceptions from discrimination in the </w:t>
      </w:r>
      <w:r w:rsidRPr="00454F70">
        <w:t xml:space="preserve">Sex </w:t>
      </w:r>
      <w:r w:rsidR="7986CC4A" w:rsidRPr="00454F70">
        <w:t>Discrimination</w:t>
      </w:r>
      <w:r w:rsidRPr="00454F70">
        <w:t xml:space="preserve"> Act</w:t>
      </w:r>
      <w:r w:rsidRPr="0B02E38B">
        <w:rPr>
          <w:i/>
          <w:iCs/>
        </w:rPr>
        <w:t xml:space="preserve"> </w:t>
      </w:r>
      <w:r w:rsidRPr="0B02E38B">
        <w:t xml:space="preserve">and the </w:t>
      </w:r>
      <w:r w:rsidRPr="00147208">
        <w:t>Fa</w:t>
      </w:r>
      <w:r w:rsidR="34FF82D7" w:rsidRPr="00147208">
        <w:t>ir Work Act</w:t>
      </w:r>
      <w:r w:rsidR="34FF82D7" w:rsidRPr="0B02E38B">
        <w:rPr>
          <w:i/>
          <w:iCs/>
        </w:rPr>
        <w:t xml:space="preserve">. </w:t>
      </w:r>
    </w:p>
    <w:p w14:paraId="5DD52D07" w14:textId="2B82F8B9" w:rsidR="617E986F" w:rsidRDefault="005469C6" w:rsidP="00735760">
      <w:pPr>
        <w:pStyle w:val="Numberedparagraph"/>
      </w:pPr>
      <w:r>
        <w:lastRenderedPageBreak/>
        <w:t>QHRC</w:t>
      </w:r>
      <w:r w:rsidR="617E986F" w:rsidRPr="0B02E38B">
        <w:t xml:space="preserve"> supports investigating the enactment of a Commonwealth </w:t>
      </w:r>
      <w:r w:rsidR="00313855">
        <w:t xml:space="preserve">human rights </w:t>
      </w:r>
      <w:r w:rsidR="00327629">
        <w:t>act</w:t>
      </w:r>
      <w:r w:rsidR="382BB17C" w:rsidRPr="0B02E38B">
        <w:t xml:space="preserve">. This would consolidate and give effect to the core human </w:t>
      </w:r>
      <w:r w:rsidR="76D096AD" w:rsidRPr="0B02E38B">
        <w:t>rights treaties to which Australia is a part</w:t>
      </w:r>
      <w:r w:rsidR="35757BDF" w:rsidRPr="0B02E38B">
        <w:t xml:space="preserve">y. </w:t>
      </w:r>
    </w:p>
    <w:p w14:paraId="30F3FCA1" w14:textId="017C0507" w:rsidR="00DF3463" w:rsidRPr="00DF3463" w:rsidRDefault="00DF3463" w:rsidP="00DF3463">
      <w:pPr>
        <w:pStyle w:val="Numberedparagraph"/>
      </w:pPr>
      <w:r>
        <w:t xml:space="preserve">The QHRC </w:t>
      </w:r>
      <w:r w:rsidR="001115F4">
        <w:t>appreciates the</w:t>
      </w:r>
      <w:r>
        <w:t xml:space="preserve"> opportunity to respond to the Consultation Paper and welcomes any further questions or clarifications.</w:t>
      </w:r>
    </w:p>
    <w:p w14:paraId="735776DD" w14:textId="04F52D6D" w:rsidR="004418EC" w:rsidRDefault="004418EC" w:rsidP="00DF3463">
      <w:pPr>
        <w:pStyle w:val="Numberedparagraph"/>
        <w:numPr>
          <w:ilvl w:val="0"/>
          <w:numId w:val="0"/>
        </w:numPr>
        <w:ind w:left="567"/>
      </w:pPr>
    </w:p>
    <w:sectPr w:rsidR="004418EC" w:rsidSect="00CB0BBF">
      <w:headerReference w:type="default" r:id="rId13"/>
      <w:headerReference w:type="first" r:id="rId14"/>
      <w:footerReference w:type="first" r:id="rId15"/>
      <w:pgSz w:w="11900" w:h="16840" w:code="9"/>
      <w:pgMar w:top="1440" w:right="1701" w:bottom="1361" w:left="1701" w:header="709"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C23A03" w14:textId="77777777" w:rsidR="00881695" w:rsidRDefault="00881695" w:rsidP="0034134D">
      <w:r>
        <w:separator/>
      </w:r>
    </w:p>
  </w:endnote>
  <w:endnote w:type="continuationSeparator" w:id="0">
    <w:p w14:paraId="314A6C69" w14:textId="77777777" w:rsidR="00881695" w:rsidRDefault="00881695" w:rsidP="0034134D">
      <w:r>
        <w:continuationSeparator/>
      </w:r>
    </w:p>
  </w:endnote>
  <w:endnote w:type="continuationNotice" w:id="1">
    <w:p w14:paraId="68E3C47D" w14:textId="77777777" w:rsidR="00881695" w:rsidRDefault="0088169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Roboto">
    <w:charset w:val="00"/>
    <w:family w:val="auto"/>
    <w:pitch w:val="variable"/>
    <w:sig w:usb0="E0000AFF" w:usb1="5000217F" w:usb2="00000021" w:usb3="00000000" w:csb0="0000019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31B3E" w14:textId="77777777" w:rsidR="006D0CD6" w:rsidRPr="00260847" w:rsidRDefault="00260847" w:rsidP="006D0CD6">
    <w:pPr>
      <w:pStyle w:val="Footer"/>
      <w:jc w:val="right"/>
      <w:rPr>
        <w:rFonts w:cs="Arial"/>
        <w:color w:val="404040" w:themeColor="text1" w:themeTint="BF"/>
        <w:sz w:val="16"/>
        <w:szCs w:val="20"/>
      </w:rPr>
    </w:pPr>
    <w:r w:rsidRPr="00260847">
      <w:rPr>
        <w:rFonts w:cs="Arial"/>
        <w:noProof/>
        <w:sz w:val="20"/>
        <w:szCs w:val="20"/>
        <w:vertAlign w:val="subscript"/>
        <w:lang w:eastAsia="en-AU"/>
      </w:rPr>
      <w:drawing>
        <wp:inline distT="0" distB="0" distL="0" distR="0" wp14:anchorId="73846A62" wp14:editId="39F21D93">
          <wp:extent cx="5463606" cy="48027"/>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lour bar - thin cmyk.png"/>
                  <pic:cNvPicPr/>
                </pic:nvPicPr>
                <pic:blipFill>
                  <a:blip r:embed="rId1">
                    <a:extLst>
                      <a:ext uri="{28A0092B-C50C-407E-A947-70E740481C1C}">
                        <a14:useLocalDpi xmlns:a14="http://schemas.microsoft.com/office/drawing/2010/main" val="0"/>
                      </a:ext>
                    </a:extLst>
                  </a:blip>
                  <a:stretch>
                    <a:fillRect/>
                  </a:stretch>
                </pic:blipFill>
                <pic:spPr>
                  <a:xfrm>
                    <a:off x="0" y="0"/>
                    <a:ext cx="17558567" cy="154346"/>
                  </a:xfrm>
                  <a:prstGeom prst="rect">
                    <a:avLst/>
                  </a:prstGeom>
                </pic:spPr>
              </pic:pic>
            </a:graphicData>
          </a:graphic>
        </wp:inline>
      </w:drawing>
    </w:r>
    <w:r w:rsidRPr="00260847">
      <w:rPr>
        <w:rFonts w:cs="Arial"/>
        <w:color w:val="404040" w:themeColor="text1" w:themeTint="BF"/>
        <w:sz w:val="16"/>
        <w:szCs w:val="20"/>
      </w:rPr>
      <w:t>Queensland Human Rights Commission | www.qhrc.qld.gov.au</w:t>
    </w:r>
    <w:r>
      <w:rPr>
        <w:rFonts w:cs="Arial"/>
        <w:color w:val="404040" w:themeColor="text1" w:themeTint="BF"/>
        <w:sz w:val="16"/>
        <w:szCs w:val="20"/>
      </w:rPr>
      <w:tab/>
    </w:r>
    <w:r w:rsidRPr="00260847">
      <w:rPr>
        <w:rFonts w:cs="Arial"/>
        <w:color w:val="404040" w:themeColor="text1" w:themeTint="BF"/>
        <w:sz w:val="16"/>
        <w:szCs w:val="20"/>
      </w:rPr>
      <w:tab/>
    </w:r>
    <w:r w:rsidR="006D0CD6" w:rsidRPr="00260847">
      <w:rPr>
        <w:rFonts w:cs="Arial"/>
        <w:color w:val="404040" w:themeColor="text1" w:themeTint="BF"/>
        <w:sz w:val="16"/>
        <w:szCs w:val="20"/>
      </w:rPr>
      <w:fldChar w:fldCharType="begin"/>
    </w:r>
    <w:r w:rsidR="006D0CD6" w:rsidRPr="00260847">
      <w:rPr>
        <w:rFonts w:cs="Arial"/>
        <w:color w:val="404040" w:themeColor="text1" w:themeTint="BF"/>
        <w:sz w:val="16"/>
        <w:szCs w:val="20"/>
      </w:rPr>
      <w:instrText xml:space="preserve"> PAGE   \* MERGEFORMAT </w:instrText>
    </w:r>
    <w:r w:rsidR="006D0CD6" w:rsidRPr="00260847">
      <w:rPr>
        <w:rFonts w:cs="Arial"/>
        <w:color w:val="404040" w:themeColor="text1" w:themeTint="BF"/>
        <w:sz w:val="16"/>
        <w:szCs w:val="20"/>
      </w:rPr>
      <w:fldChar w:fldCharType="separate"/>
    </w:r>
    <w:r w:rsidR="0035517B">
      <w:rPr>
        <w:rFonts w:cs="Arial"/>
        <w:noProof/>
        <w:color w:val="404040" w:themeColor="text1" w:themeTint="BF"/>
        <w:sz w:val="16"/>
        <w:szCs w:val="20"/>
      </w:rPr>
      <w:t>3</w:t>
    </w:r>
    <w:r w:rsidR="006D0CD6" w:rsidRPr="00260847">
      <w:rPr>
        <w:rFonts w:cs="Arial"/>
        <w:noProof/>
        <w:color w:val="404040" w:themeColor="text1" w:themeTint="BF"/>
        <w:sz w:val="16"/>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CEFB6" w14:textId="77777777" w:rsidR="007C510E" w:rsidRDefault="007C510E" w:rsidP="000731D3">
    <w:pPr>
      <w:pStyle w:val="Footer"/>
      <w:pBdr>
        <w:top w:val="single" w:sz="4" w:space="1" w:color="auto"/>
      </w:pBdr>
      <w:jc w:val="right"/>
      <w:rPr>
        <w:rFonts w:cs="Arial"/>
        <w:sz w:val="20"/>
        <w:szCs w:val="20"/>
      </w:rPr>
    </w:pPr>
  </w:p>
  <w:p w14:paraId="0564D271" w14:textId="77777777" w:rsidR="007C510E" w:rsidRPr="004A2375" w:rsidRDefault="007C510E" w:rsidP="00E7746A">
    <w:pPr>
      <w:pStyle w:val="Footer"/>
      <w:tabs>
        <w:tab w:val="left" w:pos="1905"/>
        <w:tab w:val="right" w:pos="8498"/>
      </w:tabs>
      <w:rPr>
        <w:rFonts w:cs="Arial"/>
        <w:sz w:val="20"/>
        <w:szCs w:val="20"/>
      </w:rPr>
    </w:pPr>
    <w:r>
      <w:rPr>
        <w:rFonts w:cs="Arial"/>
        <w:sz w:val="20"/>
        <w:szCs w:val="20"/>
      </w:rPr>
      <w:tab/>
    </w:r>
    <w:r>
      <w:rPr>
        <w:rFonts w:cs="Arial"/>
        <w:sz w:val="20"/>
        <w:szCs w:val="20"/>
      </w:rPr>
      <w:tab/>
    </w:r>
    <w:r>
      <w:rPr>
        <w:rFonts w:cs="Arial"/>
        <w:sz w:val="20"/>
        <w:szCs w:val="20"/>
      </w:rPr>
      <w:tab/>
    </w:r>
    <w:r w:rsidRPr="004A2375">
      <w:rPr>
        <w:rFonts w:cs="Arial"/>
        <w:sz w:val="20"/>
        <w:szCs w:val="20"/>
      </w:rPr>
      <w:t xml:space="preserve">Page | </w:t>
    </w:r>
    <w:r w:rsidRPr="004A2375">
      <w:rPr>
        <w:rFonts w:cs="Arial"/>
        <w:sz w:val="20"/>
        <w:szCs w:val="20"/>
      </w:rPr>
      <w:fldChar w:fldCharType="begin"/>
    </w:r>
    <w:r w:rsidRPr="004A2375">
      <w:rPr>
        <w:rFonts w:cs="Arial"/>
        <w:sz w:val="20"/>
        <w:szCs w:val="20"/>
      </w:rPr>
      <w:instrText xml:space="preserve"> PAGE   \* MERGEFORMAT </w:instrText>
    </w:r>
    <w:r w:rsidRPr="004A2375">
      <w:rPr>
        <w:rFonts w:cs="Arial"/>
        <w:sz w:val="20"/>
        <w:szCs w:val="20"/>
      </w:rPr>
      <w:fldChar w:fldCharType="separate"/>
    </w:r>
    <w:r w:rsidR="00CB0BBF">
      <w:rPr>
        <w:rFonts w:cs="Arial"/>
        <w:noProof/>
        <w:sz w:val="20"/>
        <w:szCs w:val="20"/>
      </w:rPr>
      <w:t>3</w:t>
    </w:r>
    <w:r w:rsidRPr="004A2375">
      <w:rPr>
        <w:rFonts w:cs="Arial"/>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229970" w14:textId="77777777" w:rsidR="00881695" w:rsidRDefault="00881695" w:rsidP="0034134D">
      <w:r>
        <w:separator/>
      </w:r>
    </w:p>
  </w:footnote>
  <w:footnote w:type="continuationSeparator" w:id="0">
    <w:p w14:paraId="449E3D75" w14:textId="77777777" w:rsidR="00881695" w:rsidRDefault="00881695" w:rsidP="0034134D">
      <w:r>
        <w:continuationSeparator/>
      </w:r>
    </w:p>
  </w:footnote>
  <w:footnote w:type="continuationNotice" w:id="1">
    <w:p w14:paraId="2F2A12CE" w14:textId="77777777" w:rsidR="00881695" w:rsidRDefault="00881695">
      <w:pPr>
        <w:spacing w:after="0"/>
      </w:pPr>
    </w:p>
  </w:footnote>
  <w:footnote w:id="2">
    <w:p w14:paraId="1B5E4E26" w14:textId="15EA32A1" w:rsidR="00FC3B57" w:rsidRPr="00FC3B57" w:rsidRDefault="00FC3B57">
      <w:pPr>
        <w:pStyle w:val="FootnoteText"/>
      </w:pPr>
      <w:r>
        <w:rPr>
          <w:rStyle w:val="FootnoteReference"/>
        </w:rPr>
        <w:footnoteRef/>
      </w:r>
      <w:r>
        <w:t xml:space="preserve"> Australian Law Reform Commission, </w:t>
      </w:r>
      <w:r>
        <w:rPr>
          <w:i/>
          <w:iCs/>
        </w:rPr>
        <w:t xml:space="preserve">Religious Educational Institutions and Anti-Discrimination Laws: Consultation Paper </w:t>
      </w:r>
      <w:r>
        <w:t>(2023).</w:t>
      </w:r>
    </w:p>
  </w:footnote>
  <w:footnote w:id="3">
    <w:p w14:paraId="0F137740" w14:textId="77777777" w:rsidR="00C70C0E" w:rsidRDefault="00C70C0E" w:rsidP="00C70C0E">
      <w:pPr>
        <w:pStyle w:val="FootnoteText"/>
      </w:pPr>
      <w:r>
        <w:rPr>
          <w:rStyle w:val="FootnoteReference"/>
        </w:rPr>
        <w:footnoteRef/>
      </w:r>
      <w:r>
        <w:t xml:space="preserve"> Discrimination Law Amendment Bill 2002 (Qld)</w:t>
      </w:r>
    </w:p>
  </w:footnote>
  <w:footnote w:id="4">
    <w:p w14:paraId="6EE94635" w14:textId="5942BB83" w:rsidR="003A09DA" w:rsidRDefault="003A09DA">
      <w:pPr>
        <w:pStyle w:val="FootnoteText"/>
      </w:pPr>
      <w:r>
        <w:rPr>
          <w:rStyle w:val="FootnoteReference"/>
        </w:rPr>
        <w:footnoteRef/>
      </w:r>
      <w:r>
        <w:t xml:space="preserve"> Queensland Human Rights Commission, </w:t>
      </w:r>
      <w:r w:rsidRPr="00261D05">
        <w:rPr>
          <w:i/>
          <w:iCs/>
        </w:rPr>
        <w:t xml:space="preserve">Building </w:t>
      </w:r>
      <w:r w:rsidR="00AF5B88">
        <w:rPr>
          <w:i/>
          <w:iCs/>
        </w:rPr>
        <w:t>B</w:t>
      </w:r>
      <w:r w:rsidRPr="00261D05">
        <w:rPr>
          <w:i/>
          <w:iCs/>
        </w:rPr>
        <w:t>elonging – Review of Queensland’s Anti-Discrimination Act 1991</w:t>
      </w:r>
      <w:r>
        <w:t xml:space="preserve"> (July 2022), Recommendation</w:t>
      </w:r>
      <w:r w:rsidR="00104CB7">
        <w:t>s 38</w:t>
      </w:r>
      <w:r w:rsidR="00453313">
        <w:t>, 39 and 40.</w:t>
      </w:r>
      <w:r>
        <w:t xml:space="preserve"> </w:t>
      </w:r>
    </w:p>
  </w:footnote>
  <w:footnote w:id="5">
    <w:p w14:paraId="18656081" w14:textId="39A78C7B" w:rsidR="00D33269" w:rsidRDefault="00D33269">
      <w:pPr>
        <w:pStyle w:val="FootnoteText"/>
      </w:pPr>
      <w:r>
        <w:rPr>
          <w:rStyle w:val="FootnoteReference"/>
        </w:rPr>
        <w:footnoteRef/>
      </w:r>
      <w:r>
        <w:t xml:space="preserve"> </w:t>
      </w:r>
      <w:r w:rsidR="002544AD" w:rsidRPr="00CE1B80">
        <w:rPr>
          <w:i/>
          <w:iCs/>
        </w:rPr>
        <w:t>Anti-Discrimination Act 1991</w:t>
      </w:r>
      <w:r w:rsidR="002544AD">
        <w:t xml:space="preserve"> (Qld) s 109 (2)</w:t>
      </w:r>
      <w:r>
        <w:t>.</w:t>
      </w:r>
    </w:p>
  </w:footnote>
  <w:footnote w:id="6">
    <w:p w14:paraId="0433EF03" w14:textId="140173CA" w:rsidR="00D33269" w:rsidRDefault="00D33269">
      <w:pPr>
        <w:pStyle w:val="FootnoteText"/>
      </w:pPr>
      <w:r>
        <w:rPr>
          <w:rStyle w:val="FootnoteReference"/>
        </w:rPr>
        <w:footnoteRef/>
      </w:r>
      <w:r>
        <w:t xml:space="preserve"> </w:t>
      </w:r>
      <w:r w:rsidR="002544AD" w:rsidRPr="00CE1B80">
        <w:rPr>
          <w:i/>
          <w:iCs/>
        </w:rPr>
        <w:t>Anti-Discrimination Act 1991</w:t>
      </w:r>
      <w:r w:rsidR="002544AD">
        <w:t xml:space="preserve"> (Qld) ss </w:t>
      </w:r>
      <w:r>
        <w:t>38-9.</w:t>
      </w:r>
    </w:p>
  </w:footnote>
  <w:footnote w:id="7">
    <w:p w14:paraId="7DEDC743" w14:textId="1D774FD1" w:rsidR="0007280F" w:rsidRDefault="0007280F">
      <w:pPr>
        <w:pStyle w:val="FootnoteText"/>
      </w:pPr>
      <w:r>
        <w:rPr>
          <w:rStyle w:val="FootnoteReference"/>
        </w:rPr>
        <w:footnoteRef/>
      </w:r>
      <w:r>
        <w:t xml:space="preserve"> </w:t>
      </w:r>
      <w:r w:rsidR="00AF5B88">
        <w:t xml:space="preserve">Queensland Human </w:t>
      </w:r>
      <w:r w:rsidR="00AF5B88" w:rsidRPr="00AF5B88">
        <w:t xml:space="preserve">Rights Commission, </w:t>
      </w:r>
      <w:r w:rsidR="00AF5B88" w:rsidRPr="00AF5B88">
        <w:rPr>
          <w:i/>
          <w:iCs/>
        </w:rPr>
        <w:t>Building Belonging – Review of Queensland’s Anti-Discrimination Act 1991</w:t>
      </w:r>
      <w:r w:rsidR="00AF5B88" w:rsidRPr="00AF5B88">
        <w:t xml:space="preserve"> (July 2022), </w:t>
      </w:r>
      <w:r w:rsidRPr="00AF5B88">
        <w:t>385-389, Recommendation 40.</w:t>
      </w:r>
    </w:p>
  </w:footnote>
  <w:footnote w:id="8">
    <w:p w14:paraId="1DEB947A" w14:textId="1778B2C4" w:rsidR="00CE1B80" w:rsidRDefault="00CE1B80">
      <w:pPr>
        <w:pStyle w:val="FootnoteText"/>
      </w:pPr>
      <w:r>
        <w:rPr>
          <w:rStyle w:val="FootnoteReference"/>
        </w:rPr>
        <w:footnoteRef/>
      </w:r>
      <w:r>
        <w:t xml:space="preserve"> </w:t>
      </w:r>
      <w:r w:rsidRPr="00CE1B80">
        <w:rPr>
          <w:i/>
          <w:iCs/>
        </w:rPr>
        <w:t>Anti-Discrimination Act 1991</w:t>
      </w:r>
      <w:r>
        <w:t xml:space="preserve"> (Qld) ss 25(2)–(8).</w:t>
      </w:r>
    </w:p>
  </w:footnote>
  <w:footnote w:id="9">
    <w:p w14:paraId="426D03F3" w14:textId="565A5605" w:rsidR="001E3D97" w:rsidRDefault="001E3D97">
      <w:pPr>
        <w:pStyle w:val="FootnoteText"/>
      </w:pPr>
      <w:r>
        <w:rPr>
          <w:rStyle w:val="FootnoteReference"/>
        </w:rPr>
        <w:footnoteRef/>
      </w:r>
      <w:r>
        <w:t xml:space="preserve"> </w:t>
      </w:r>
      <w:r w:rsidR="00AF5B88">
        <w:t xml:space="preserve">Queensland Human </w:t>
      </w:r>
      <w:r w:rsidR="00AF5B88" w:rsidRPr="00AF5B88">
        <w:t xml:space="preserve">Rights Commission, </w:t>
      </w:r>
      <w:r w:rsidR="00AF5B88" w:rsidRPr="00AF5B88">
        <w:rPr>
          <w:i/>
          <w:iCs/>
        </w:rPr>
        <w:t>Building Belonging – Review of Queensland’s Anti-Discrimination Act 1991</w:t>
      </w:r>
      <w:r w:rsidR="00AF5B88" w:rsidRPr="00AF5B88">
        <w:t xml:space="preserve"> (July 2022), </w:t>
      </w:r>
      <w:r>
        <w:t>383-384.</w:t>
      </w:r>
    </w:p>
  </w:footnote>
  <w:footnote w:id="10">
    <w:p w14:paraId="11819208" w14:textId="6F94E555" w:rsidR="00F63051" w:rsidRPr="002C4C98" w:rsidRDefault="00F63051">
      <w:pPr>
        <w:pStyle w:val="FootnoteText"/>
      </w:pPr>
      <w:r>
        <w:rPr>
          <w:rStyle w:val="FootnoteReference"/>
        </w:rPr>
        <w:footnoteRef/>
      </w:r>
      <w:r>
        <w:t xml:space="preserve"> Noting that this </w:t>
      </w:r>
      <w:r w:rsidR="002C4C98">
        <w:t xml:space="preserve">attribute is not covered in the Queensland AD Act, but </w:t>
      </w:r>
      <w:r w:rsidR="002C4C98">
        <w:rPr>
          <w:i/>
          <w:iCs/>
        </w:rPr>
        <w:t xml:space="preserve">Building Belonging </w:t>
      </w:r>
      <w:r w:rsidR="002C4C98">
        <w:t>recommended the inclusion of a new sex characteristics attribute.</w:t>
      </w:r>
    </w:p>
  </w:footnote>
  <w:footnote w:id="11">
    <w:p w14:paraId="5764F7C4" w14:textId="0458332B" w:rsidR="0099392B" w:rsidRDefault="0099392B">
      <w:pPr>
        <w:pStyle w:val="FootnoteText"/>
      </w:pPr>
      <w:r>
        <w:rPr>
          <w:rStyle w:val="FootnoteReference"/>
        </w:rPr>
        <w:footnoteRef/>
      </w:r>
      <w:r>
        <w:t xml:space="preserve"> This is based on </w:t>
      </w:r>
      <w:r w:rsidR="00045DC1">
        <w:t>information</w:t>
      </w:r>
      <w:r>
        <w:t xml:space="preserve"> </w:t>
      </w:r>
      <w:r w:rsidR="00045DC1">
        <w:t xml:space="preserve">extracted from </w:t>
      </w:r>
      <w:r w:rsidR="005469C6">
        <w:t>QHRC</w:t>
      </w:r>
      <w:r w:rsidR="00045DC1">
        <w:t>’s database</w:t>
      </w:r>
      <w:r>
        <w:t xml:space="preserve"> current to 2 February 2023. </w:t>
      </w:r>
      <w:r w:rsidR="005469C6">
        <w:t>QHRC</w:t>
      </w:r>
      <w:r w:rsidR="00045DC1">
        <w:t xml:space="preserve"> had received</w:t>
      </w:r>
      <w:r>
        <w:t xml:space="preserve"> 11,492 complaints </w:t>
      </w:r>
      <w:r w:rsidR="00045DC1">
        <w:t>since 2009</w:t>
      </w:r>
      <w:r w:rsidR="00154781">
        <w:t>, of which 9350 were about discrimination</w:t>
      </w:r>
      <w:r>
        <w:t>.</w:t>
      </w:r>
    </w:p>
  </w:footnote>
  <w:footnote w:id="12">
    <w:p w14:paraId="098F7049" w14:textId="1BD6B185" w:rsidR="005B510F" w:rsidRDefault="005B510F">
      <w:pPr>
        <w:pStyle w:val="FootnoteText"/>
      </w:pPr>
      <w:r>
        <w:rPr>
          <w:rStyle w:val="FootnoteReference"/>
        </w:rPr>
        <w:footnoteRef/>
      </w:r>
      <w:r>
        <w:t xml:space="preserve"> </w:t>
      </w:r>
      <w:r w:rsidR="005469C6">
        <w:t>QHRC</w:t>
      </w:r>
      <w:r>
        <w:t xml:space="preserve"> searched </w:t>
      </w:r>
      <w:r w:rsidR="00A35ADE">
        <w:t xml:space="preserve">its database </w:t>
      </w:r>
      <w:r>
        <w:t>for discrimination complaints in the area of work in relation to the same attributes as covered by the Sex Discrimination Act</w:t>
      </w:r>
      <w:r w:rsidR="00FE4667">
        <w:t>,</w:t>
      </w:r>
      <w:r>
        <w:t xml:space="preserve"> and </w:t>
      </w:r>
      <w:r w:rsidR="00FF5010">
        <w:t>filtered the results</w:t>
      </w:r>
      <w:r>
        <w:t xml:space="preserve"> for either the word ‘school’ or ‘religion’ </w:t>
      </w:r>
      <w:r w:rsidR="00FF5010">
        <w:t xml:space="preserve">within </w:t>
      </w:r>
      <w:r w:rsidR="00FD3CA3">
        <w:t>the summary of allegations contained in the complaint</w:t>
      </w:r>
      <w:r>
        <w:t xml:space="preserve">. </w:t>
      </w:r>
    </w:p>
  </w:footnote>
  <w:footnote w:id="13">
    <w:p w14:paraId="35C08104" w14:textId="0051CD3E" w:rsidR="00981C06" w:rsidRDefault="00981C06">
      <w:pPr>
        <w:pStyle w:val="FootnoteText"/>
      </w:pPr>
      <w:r>
        <w:rPr>
          <w:rStyle w:val="FootnoteReference"/>
        </w:rPr>
        <w:footnoteRef/>
      </w:r>
      <w:r>
        <w:t xml:space="preserve"> </w:t>
      </w:r>
      <w:r w:rsidR="009477A9">
        <w:t xml:space="preserve">Queensland Human </w:t>
      </w:r>
      <w:r w:rsidR="009477A9" w:rsidRPr="00AF5B88">
        <w:t xml:space="preserve">Rights Commission, </w:t>
      </w:r>
      <w:r w:rsidR="009477A9" w:rsidRPr="00AF5B88">
        <w:rPr>
          <w:i/>
          <w:iCs/>
        </w:rPr>
        <w:t>Building Belonging – Review of Queensland’s Anti-Discrimination Act 1991</w:t>
      </w:r>
      <w:r w:rsidR="009477A9" w:rsidRPr="00AF5B88">
        <w:t xml:space="preserve"> (July 2022), </w:t>
      </w:r>
      <w:r w:rsidR="009477A9">
        <w:t>368.</w:t>
      </w:r>
    </w:p>
  </w:footnote>
  <w:footnote w:id="14">
    <w:p w14:paraId="2FD9F541" w14:textId="55C5BED0" w:rsidR="001A6BFD" w:rsidRDefault="001A6BFD">
      <w:pPr>
        <w:pStyle w:val="FootnoteText"/>
      </w:pPr>
      <w:r>
        <w:rPr>
          <w:rStyle w:val="FootnoteReference"/>
        </w:rPr>
        <w:footnoteRef/>
      </w:r>
      <w:r>
        <w:t xml:space="preserve"> </w:t>
      </w:r>
      <w:r w:rsidRPr="00B163C2">
        <w:t xml:space="preserve">United Nations General Assembly, </w:t>
      </w:r>
      <w:r w:rsidRPr="00B163C2">
        <w:rPr>
          <w:i/>
          <w:iCs/>
        </w:rPr>
        <w:t xml:space="preserve">International Covenant on Civil and Political Rights, </w:t>
      </w:r>
      <w:r w:rsidRPr="00B163C2">
        <w:t>res 2200A (XXI) (16 December 1966), art 18. (‘</w:t>
      </w:r>
      <w:r w:rsidRPr="00B163C2">
        <w:rPr>
          <w:i/>
        </w:rPr>
        <w:t>International Covenant on Civil and Political Rights’</w:t>
      </w:r>
      <w:r w:rsidRPr="00B163C2">
        <w:rPr>
          <w:iCs/>
        </w:rPr>
        <w:t>)</w:t>
      </w:r>
      <w:r>
        <w:rPr>
          <w:iCs/>
        </w:rPr>
        <w:t>.</w:t>
      </w:r>
    </w:p>
  </w:footnote>
  <w:footnote w:id="15">
    <w:p w14:paraId="4AD1EE1F" w14:textId="77777777" w:rsidR="002D26A0" w:rsidRDefault="002D26A0" w:rsidP="002D26A0">
      <w:pPr>
        <w:pStyle w:val="FootnoteText"/>
      </w:pPr>
      <w:r>
        <w:rPr>
          <w:rStyle w:val="FootnoteReference"/>
        </w:rPr>
        <w:footnoteRef/>
      </w:r>
      <w:r>
        <w:t xml:space="preserve"> </w:t>
      </w:r>
      <w:r w:rsidRPr="00B163C2">
        <w:rPr>
          <w:i/>
        </w:rPr>
        <w:t xml:space="preserve">International Covenant on Civil and Political Rights </w:t>
      </w:r>
      <w:r>
        <w:t xml:space="preserve">art </w:t>
      </w:r>
      <w:r w:rsidRPr="002219B6">
        <w:t>18(3)</w:t>
      </w:r>
      <w:r>
        <w:t>.</w:t>
      </w:r>
    </w:p>
  </w:footnote>
  <w:footnote w:id="16">
    <w:p w14:paraId="346C7EBE" w14:textId="77777777" w:rsidR="002D26A0" w:rsidRDefault="002D26A0" w:rsidP="002D26A0">
      <w:pPr>
        <w:pStyle w:val="FootnoteText"/>
      </w:pPr>
      <w:r>
        <w:rPr>
          <w:rStyle w:val="FootnoteReference"/>
        </w:rPr>
        <w:footnoteRef/>
      </w:r>
      <w:r>
        <w:t xml:space="preserve"> </w:t>
      </w:r>
      <w:r w:rsidRPr="000870AC">
        <w:t xml:space="preserve">Ahmed Shaheed, </w:t>
      </w:r>
      <w:r w:rsidRPr="00574294">
        <w:rPr>
          <w:i/>
          <w:iCs/>
        </w:rPr>
        <w:t>Report of the Special Rapporteur on freedom of religion and belief</w:t>
      </w:r>
      <w:r w:rsidRPr="000870AC">
        <w:t xml:space="preserve">, (28 February 2018) </w:t>
      </w:r>
      <w:r w:rsidRPr="00B163C2">
        <w:t xml:space="preserve">UN Doc A/HRC/37/49 </w:t>
      </w:r>
      <w:r>
        <w:t>[47].</w:t>
      </w:r>
    </w:p>
  </w:footnote>
  <w:footnote w:id="17">
    <w:p w14:paraId="14927E5D" w14:textId="77777777" w:rsidR="0020053B" w:rsidRPr="00E3092A" w:rsidRDefault="0020053B" w:rsidP="0020053B">
      <w:pPr>
        <w:pStyle w:val="FootnoteText"/>
        <w:spacing w:before="240"/>
        <w:rPr>
          <w:lang w:val="en-US"/>
        </w:rPr>
      </w:pPr>
      <w:r>
        <w:rPr>
          <w:rStyle w:val="FootnoteReference"/>
        </w:rPr>
        <w:footnoteRef/>
      </w:r>
      <w:r>
        <w:t xml:space="preserve"> </w:t>
      </w:r>
      <w:r>
        <w:rPr>
          <w:i/>
          <w:lang w:val="en-US"/>
        </w:rPr>
        <w:t xml:space="preserve">Victoria v Commonwealth </w:t>
      </w:r>
      <w:r>
        <w:rPr>
          <w:lang w:val="en-US"/>
        </w:rPr>
        <w:t>(1996) 138 ALR 129.</w:t>
      </w:r>
    </w:p>
  </w:footnote>
  <w:footnote w:id="18">
    <w:p w14:paraId="5030C9F7" w14:textId="2ECF7B0D" w:rsidR="00FA62E9" w:rsidRPr="004646EB" w:rsidRDefault="00FA62E9">
      <w:pPr>
        <w:pStyle w:val="FootnoteText"/>
      </w:pPr>
      <w:r>
        <w:rPr>
          <w:rStyle w:val="FootnoteReference"/>
        </w:rPr>
        <w:footnoteRef/>
      </w:r>
      <w:r>
        <w:t xml:space="preserve"> </w:t>
      </w:r>
      <w:r w:rsidR="004646EB">
        <w:rPr>
          <w:i/>
          <w:iCs/>
        </w:rPr>
        <w:t>Anti-Discrimination Act 1991</w:t>
      </w:r>
      <w:r w:rsidR="004646EB">
        <w:t xml:space="preserve"> (Qld) Schedule </w:t>
      </w:r>
      <w:r w:rsidR="00380959">
        <w:t xml:space="preserve">1 </w:t>
      </w:r>
      <w:r w:rsidR="004646EB">
        <w:t xml:space="preserve">(Dictionary), </w:t>
      </w:r>
      <w:r w:rsidR="004646EB">
        <w:rPr>
          <w:i/>
          <w:iCs/>
        </w:rPr>
        <w:t xml:space="preserve">Sex Discrimination Act 1984 </w:t>
      </w:r>
      <w:r w:rsidR="004646EB">
        <w:t>(Cth) s 4.</w:t>
      </w:r>
    </w:p>
  </w:footnote>
  <w:footnote w:id="19">
    <w:p w14:paraId="704DB016" w14:textId="2B61879D" w:rsidR="00AE5786" w:rsidRDefault="00AE5786" w:rsidP="00993F50">
      <w:pPr>
        <w:pStyle w:val="FootnoteText"/>
        <w:spacing w:before="240"/>
      </w:pPr>
      <w:r>
        <w:rPr>
          <w:rStyle w:val="FootnoteReference"/>
        </w:rPr>
        <w:footnoteRef/>
      </w:r>
      <w:r>
        <w:t xml:space="preserve"> </w:t>
      </w:r>
      <w:r w:rsidR="00993F50">
        <w:rPr>
          <w:i/>
          <w:iCs/>
        </w:rPr>
        <w:t>Anti-Discrimination Act 1991</w:t>
      </w:r>
      <w:r w:rsidR="00993F50" w:rsidRPr="00993F50">
        <w:t xml:space="preserve"> </w:t>
      </w:r>
      <w:r w:rsidR="00D72889">
        <w:t xml:space="preserve">s </w:t>
      </w:r>
      <w:r w:rsidR="00993F50" w:rsidRPr="00993F50">
        <w:t>(7)(p) includes ‘association with, or relation to, a person identified on the basis of any of the above attributes.’</w:t>
      </w:r>
      <w:r w:rsidR="00993F50">
        <w:rPr>
          <w:color w:val="000000"/>
          <w:sz w:val="27"/>
          <w:szCs w:val="27"/>
          <w:shd w:val="clear" w:color="auto" w:fill="FFFFFF"/>
        </w:rPr>
        <w:t xml:space="preserve"> </w:t>
      </w:r>
    </w:p>
  </w:footnote>
  <w:footnote w:id="20">
    <w:p w14:paraId="6AD8BA75" w14:textId="570CEA5C" w:rsidR="001667F0" w:rsidRDefault="001667F0">
      <w:pPr>
        <w:pStyle w:val="FootnoteText"/>
      </w:pPr>
      <w:r>
        <w:rPr>
          <w:rStyle w:val="FootnoteReference"/>
        </w:rPr>
        <w:footnoteRef/>
      </w:r>
      <w:r>
        <w:t xml:space="preserve"> </w:t>
      </w:r>
      <w:r w:rsidR="002404FC" w:rsidRPr="0066076F">
        <w:t xml:space="preserve">The Consultation Paper referred to QHRC guidance </w:t>
      </w:r>
      <w:r w:rsidR="00E678F5" w:rsidRPr="0066076F">
        <w:t xml:space="preserve">from its website </w:t>
      </w:r>
      <w:r w:rsidR="002404FC" w:rsidRPr="0066076F">
        <w:t xml:space="preserve">that </w:t>
      </w:r>
      <w:r w:rsidR="00E678F5" w:rsidRPr="0066076F">
        <w:t>stated</w:t>
      </w:r>
      <w:r w:rsidR="002404FC" w:rsidRPr="0066076F">
        <w:t xml:space="preserve"> that curriculum content is not subject to the Queensland AD Act. </w:t>
      </w:r>
      <w:r w:rsidR="005469C6" w:rsidRPr="0066076F">
        <w:t>QHRC</w:t>
      </w:r>
      <w:r w:rsidRPr="0066076F">
        <w:t xml:space="preserve"> has </w:t>
      </w:r>
      <w:r w:rsidR="002404FC" w:rsidRPr="0066076F">
        <w:t xml:space="preserve">since </w:t>
      </w:r>
      <w:r w:rsidRPr="0066076F">
        <w:t xml:space="preserve">updated its website </w:t>
      </w:r>
      <w:r w:rsidR="00E678F5" w:rsidRPr="0066076F">
        <w:t>to remove this information as it was a</w:t>
      </w:r>
      <w:r w:rsidR="0066076F" w:rsidRPr="0066076F">
        <w:t>n</w:t>
      </w:r>
      <w:r w:rsidR="00E678F5" w:rsidRPr="0066076F">
        <w:t xml:space="preserve"> incorrect or misleading interpretation of the law</w:t>
      </w:r>
      <w:r w:rsidR="002404FC" w:rsidRPr="0066076F">
        <w:t>.</w:t>
      </w:r>
    </w:p>
  </w:footnote>
  <w:footnote w:id="21">
    <w:p w14:paraId="109FA505" w14:textId="77777777" w:rsidR="00A826B4" w:rsidRDefault="00A826B4" w:rsidP="00A826B4">
      <w:pPr>
        <w:pStyle w:val="FootnoteText"/>
        <w:rPr>
          <w:sz w:val="27"/>
          <w:szCs w:val="27"/>
        </w:rPr>
      </w:pPr>
      <w:r w:rsidRPr="06924652">
        <w:rPr>
          <w:rStyle w:val="FootnoteReference"/>
        </w:rPr>
        <w:footnoteRef/>
      </w:r>
      <w:r>
        <w:t xml:space="preserve"> </w:t>
      </w:r>
      <w:r w:rsidRPr="10E88C14">
        <w:rPr>
          <w:i/>
          <w:iCs/>
        </w:rPr>
        <w:t>Anti-Discrimination Act 1991</w:t>
      </w:r>
      <w:r>
        <w:t xml:space="preserve"> s (7)(p) includes ‘association with, or relation to, a person identified on the basis of any of the above attributes.’</w:t>
      </w:r>
    </w:p>
  </w:footnote>
  <w:footnote w:id="22">
    <w:p w14:paraId="00548898" w14:textId="7931EB06" w:rsidR="00061ACB" w:rsidRDefault="00061ACB">
      <w:pPr>
        <w:pStyle w:val="FootnoteText"/>
      </w:pPr>
      <w:r>
        <w:rPr>
          <w:rStyle w:val="FootnoteReference"/>
        </w:rPr>
        <w:footnoteRef/>
      </w:r>
      <w:r>
        <w:t xml:space="preserve"> The Commission understands that it has been considered in a separate</w:t>
      </w:r>
      <w:r w:rsidR="00467D27">
        <w:t xml:space="preserve"> and different</w:t>
      </w:r>
      <w:r>
        <w:t xml:space="preserve"> context</w:t>
      </w:r>
      <w:r w:rsidR="00467D27">
        <w:t xml:space="preserve"> by the European Court of Human Rights.</w:t>
      </w:r>
    </w:p>
  </w:footnote>
  <w:footnote w:id="23">
    <w:p w14:paraId="6E9E830E" w14:textId="6727CDDA" w:rsidR="000A1302" w:rsidRDefault="000A1302">
      <w:pPr>
        <w:pStyle w:val="FootnoteText"/>
      </w:pPr>
      <w:r>
        <w:rPr>
          <w:rStyle w:val="FootnoteReference"/>
        </w:rPr>
        <w:footnoteRef/>
      </w:r>
      <w:r>
        <w:t xml:space="preserve"> </w:t>
      </w:r>
      <w:r w:rsidR="00AC398F" w:rsidRPr="00426EF0">
        <w:rPr>
          <w:i/>
          <w:iCs/>
        </w:rPr>
        <w:t>Macquarie Dictionary</w:t>
      </w:r>
      <w:r w:rsidR="00AC398F" w:rsidRPr="00426EF0">
        <w:t xml:space="preserve"> (online at </w:t>
      </w:r>
      <w:r w:rsidR="00AC398F">
        <w:t>23</w:t>
      </w:r>
      <w:r w:rsidR="00AC398F" w:rsidRPr="00426EF0">
        <w:t xml:space="preserve"> </w:t>
      </w:r>
      <w:r w:rsidR="00AC398F">
        <w:t>February 2023</w:t>
      </w:r>
      <w:r w:rsidR="00AC398F" w:rsidRPr="00426EF0">
        <w:t xml:space="preserve">) </w:t>
      </w:r>
      <w:r w:rsidR="00AC398F">
        <w:t>‘ethos’ (def</w:t>
      </w:r>
      <w:r w:rsidR="00F37CCD">
        <w:t xml:space="preserve"> 1) and (def 2).</w:t>
      </w:r>
    </w:p>
  </w:footnote>
  <w:footnote w:id="24">
    <w:p w14:paraId="18886F5A" w14:textId="50CFC057" w:rsidR="004E28FA" w:rsidRDefault="004E28FA">
      <w:pPr>
        <w:pStyle w:val="FootnoteText"/>
      </w:pPr>
      <w:r>
        <w:rPr>
          <w:rStyle w:val="FootnoteReference"/>
        </w:rPr>
        <w:footnoteRef/>
      </w:r>
      <w:r>
        <w:t xml:space="preserve"> </w:t>
      </w:r>
      <w:r w:rsidR="00F12D41">
        <w:t xml:space="preserve">Queensland Human </w:t>
      </w:r>
      <w:r w:rsidR="00F12D41" w:rsidRPr="00AF5B88">
        <w:t xml:space="preserve">Rights Commission, </w:t>
      </w:r>
      <w:r w:rsidR="00F12D41" w:rsidRPr="00AF5B88">
        <w:rPr>
          <w:i/>
          <w:iCs/>
        </w:rPr>
        <w:t>Building Belonging – Review of Queensland’s Anti-Discrimination Act 1991</w:t>
      </w:r>
      <w:r w:rsidR="00F12D41" w:rsidRPr="00AF5B88">
        <w:t xml:space="preserve"> (July 2022),</w:t>
      </w:r>
      <w:r w:rsidR="00F03D9F">
        <w:t xml:space="preserve"> 384</w:t>
      </w:r>
      <w:r w:rsidR="00F12D41">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765"/>
      <w:gridCol w:w="2765"/>
      <w:gridCol w:w="2765"/>
    </w:tblGrid>
    <w:tr w:rsidR="17FDF89A" w14:paraId="6BBB4382" w14:textId="77777777" w:rsidTr="17FDF89A">
      <w:trPr>
        <w:trHeight w:val="300"/>
      </w:trPr>
      <w:tc>
        <w:tcPr>
          <w:tcW w:w="2765" w:type="dxa"/>
        </w:tcPr>
        <w:p w14:paraId="1D4F2A0F" w14:textId="7A3C9119" w:rsidR="17FDF89A" w:rsidRDefault="17FDF89A" w:rsidP="17FDF89A">
          <w:pPr>
            <w:pStyle w:val="Header"/>
            <w:ind w:left="-115"/>
          </w:pPr>
        </w:p>
      </w:tc>
      <w:tc>
        <w:tcPr>
          <w:tcW w:w="2765" w:type="dxa"/>
        </w:tcPr>
        <w:p w14:paraId="093E7D86" w14:textId="536ADAD4" w:rsidR="17FDF89A" w:rsidRDefault="17FDF89A" w:rsidP="17FDF89A">
          <w:pPr>
            <w:pStyle w:val="Header"/>
            <w:jc w:val="center"/>
          </w:pPr>
        </w:p>
      </w:tc>
      <w:tc>
        <w:tcPr>
          <w:tcW w:w="2765" w:type="dxa"/>
        </w:tcPr>
        <w:p w14:paraId="0EA51678" w14:textId="49747F43" w:rsidR="17FDF89A" w:rsidRDefault="17FDF89A" w:rsidP="17FDF89A">
          <w:pPr>
            <w:pStyle w:val="Header"/>
            <w:ind w:right="-115"/>
            <w:jc w:val="right"/>
          </w:pPr>
        </w:p>
      </w:tc>
    </w:tr>
  </w:tbl>
  <w:p w14:paraId="313E8C83" w14:textId="6DE37BCC" w:rsidR="17FDF89A" w:rsidRDefault="17FDF89A" w:rsidP="17FDF8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10C98" w14:textId="77777777" w:rsidR="007C510E" w:rsidRDefault="007C510E" w:rsidP="00260847">
    <w:pPr>
      <w:pStyle w:val="Header"/>
      <w:tabs>
        <w:tab w:val="clear" w:pos="4513"/>
        <w:tab w:val="clear" w:pos="9026"/>
      </w:tabs>
      <w:spacing w:before="240"/>
    </w:pPr>
  </w:p>
  <w:p w14:paraId="384D0D65" w14:textId="77777777" w:rsidR="007C510E" w:rsidRDefault="007C51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55CAF" w14:textId="77777777" w:rsidR="007C510E" w:rsidRPr="000731D3" w:rsidRDefault="007C510E" w:rsidP="000731D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3A796" w14:textId="77777777" w:rsidR="007C510E" w:rsidRPr="000731D3" w:rsidRDefault="007C510E" w:rsidP="000731D3">
    <w:pPr>
      <w:pStyle w:val="Header"/>
      <w:rPr>
        <w:rFonts w:cs="Arial"/>
        <w:color w:val="365F91" w:themeColor="accent1" w:themeShade="BF"/>
      </w:rPr>
    </w:pPr>
    <w:r>
      <w:rPr>
        <w:rFonts w:cs="Arial"/>
        <w:color w:val="365F91" w:themeColor="accent1" w:themeShade="BF"/>
      </w:rPr>
      <w:t>[title]</w:t>
    </w:r>
  </w:p>
  <w:p w14:paraId="036110DE" w14:textId="77777777" w:rsidR="007C510E" w:rsidRPr="000731D3" w:rsidRDefault="007C510E" w:rsidP="000731D3">
    <w:pPr>
      <w:pStyle w:val="Header"/>
      <w:pBdr>
        <w:bottom w:val="single" w:sz="4" w:space="1" w:color="auto"/>
      </w:pBdr>
      <w:rPr>
        <w:rFonts w:cs="Arial"/>
        <w:sz w:val="20"/>
        <w:szCs w:val="20"/>
      </w:rPr>
    </w:pPr>
  </w:p>
  <w:p w14:paraId="3DD0D34A" w14:textId="77777777" w:rsidR="007C510E" w:rsidRPr="000731D3" w:rsidRDefault="007C510E" w:rsidP="000731D3">
    <w:pPr>
      <w:pStyle w:val="Header"/>
      <w:rPr>
        <w:rFonts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D6E33"/>
    <w:multiLevelType w:val="multilevel"/>
    <w:tmpl w:val="30AEE7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C5B484"/>
    <w:multiLevelType w:val="hybridMultilevel"/>
    <w:tmpl w:val="BD6EC128"/>
    <w:lvl w:ilvl="0" w:tplc="B29A40BC">
      <w:start w:val="1"/>
      <w:numFmt w:val="decimal"/>
      <w:lvlText w:val="%1."/>
      <w:lvlJc w:val="left"/>
      <w:pPr>
        <w:ind w:left="720" w:hanging="360"/>
      </w:pPr>
    </w:lvl>
    <w:lvl w:ilvl="1" w:tplc="E25C8724">
      <w:start w:val="1"/>
      <w:numFmt w:val="lowerLetter"/>
      <w:lvlText w:val="%2."/>
      <w:lvlJc w:val="left"/>
      <w:pPr>
        <w:ind w:left="1440" w:hanging="360"/>
      </w:pPr>
    </w:lvl>
    <w:lvl w:ilvl="2" w:tplc="00308FA4">
      <w:start w:val="1"/>
      <w:numFmt w:val="lowerRoman"/>
      <w:lvlText w:val="%3."/>
      <w:lvlJc w:val="right"/>
      <w:pPr>
        <w:ind w:left="2160" w:hanging="180"/>
      </w:pPr>
    </w:lvl>
    <w:lvl w:ilvl="3" w:tplc="0AD4BF52">
      <w:start w:val="1"/>
      <w:numFmt w:val="decimal"/>
      <w:lvlText w:val="%4."/>
      <w:lvlJc w:val="left"/>
      <w:pPr>
        <w:ind w:left="2880" w:hanging="360"/>
      </w:pPr>
    </w:lvl>
    <w:lvl w:ilvl="4" w:tplc="30CC6488">
      <w:start w:val="1"/>
      <w:numFmt w:val="lowerLetter"/>
      <w:lvlText w:val="%5."/>
      <w:lvlJc w:val="left"/>
      <w:pPr>
        <w:ind w:left="3600" w:hanging="360"/>
      </w:pPr>
    </w:lvl>
    <w:lvl w:ilvl="5" w:tplc="4AAC1A16">
      <w:start w:val="1"/>
      <w:numFmt w:val="lowerRoman"/>
      <w:lvlText w:val="%6."/>
      <w:lvlJc w:val="right"/>
      <w:pPr>
        <w:ind w:left="4320" w:hanging="180"/>
      </w:pPr>
    </w:lvl>
    <w:lvl w:ilvl="6" w:tplc="3B16146C">
      <w:start w:val="1"/>
      <w:numFmt w:val="decimal"/>
      <w:lvlText w:val="%7."/>
      <w:lvlJc w:val="left"/>
      <w:pPr>
        <w:ind w:left="5040" w:hanging="360"/>
      </w:pPr>
    </w:lvl>
    <w:lvl w:ilvl="7" w:tplc="CBC01BBA">
      <w:start w:val="1"/>
      <w:numFmt w:val="lowerLetter"/>
      <w:lvlText w:val="%8."/>
      <w:lvlJc w:val="left"/>
      <w:pPr>
        <w:ind w:left="5760" w:hanging="360"/>
      </w:pPr>
    </w:lvl>
    <w:lvl w:ilvl="8" w:tplc="2B92F396">
      <w:start w:val="1"/>
      <w:numFmt w:val="lowerRoman"/>
      <w:lvlText w:val="%9."/>
      <w:lvlJc w:val="right"/>
      <w:pPr>
        <w:ind w:left="6480" w:hanging="180"/>
      </w:pPr>
    </w:lvl>
  </w:abstractNum>
  <w:abstractNum w:abstractNumId="2" w15:restartNumberingAfterBreak="0">
    <w:nsid w:val="074B66E8"/>
    <w:multiLevelType w:val="hybridMultilevel"/>
    <w:tmpl w:val="516270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0250E7E"/>
    <w:multiLevelType w:val="multilevel"/>
    <w:tmpl w:val="7C0C450A"/>
    <w:lvl w:ilvl="0">
      <w:start w:val="1"/>
      <w:numFmt w:val="decimal"/>
      <w:pStyle w:val="Numberedparagraph"/>
      <w:lvlText w:val="%1."/>
      <w:lvlJc w:val="left"/>
      <w:pPr>
        <w:ind w:left="567" w:hanging="567"/>
      </w:pPr>
      <w:rPr>
        <w:i w:val="0"/>
        <w:iCs w:val="0"/>
      </w:rPr>
    </w:lvl>
    <w:lvl w:ilvl="1">
      <w:start w:val="1"/>
      <w:numFmt w:val="lowerLetter"/>
      <w:lvlText w:val="%2."/>
      <w:lvlJc w:val="left"/>
      <w:pPr>
        <w:ind w:left="907" w:hanging="283"/>
      </w:pPr>
      <w:rPr>
        <w:rFonts w:hint="default"/>
        <w:b w:val="0"/>
        <w:i w:val="0"/>
        <w:sz w:val="24"/>
      </w:rPr>
    </w:lvl>
    <w:lvl w:ilvl="2">
      <w:start w:val="1"/>
      <w:numFmt w:val="lowerRoman"/>
      <w:lvlText w:val="%3."/>
      <w:lvlJc w:val="right"/>
      <w:pPr>
        <w:ind w:left="1247" w:hanging="113"/>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4" w15:restartNumberingAfterBreak="0">
    <w:nsid w:val="141C2065"/>
    <w:multiLevelType w:val="hybridMultilevel"/>
    <w:tmpl w:val="9F2867BC"/>
    <w:lvl w:ilvl="0" w:tplc="BD420810">
      <w:start w:val="28"/>
      <w:numFmt w:val="bullet"/>
      <w:lvlText w:val=""/>
      <w:lvlJc w:val="left"/>
      <w:pPr>
        <w:ind w:left="927" w:hanging="360"/>
      </w:pPr>
      <w:rPr>
        <w:rFonts w:ascii="Symbol" w:eastAsiaTheme="minorEastAsia" w:hAnsi="Symbol" w:cs="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5" w15:restartNumberingAfterBreak="0">
    <w:nsid w:val="146E570B"/>
    <w:multiLevelType w:val="hybridMultilevel"/>
    <w:tmpl w:val="9A4035CC"/>
    <w:lvl w:ilvl="0" w:tplc="3EF6E364">
      <w:start w:val="1"/>
      <w:numFmt w:val="decimal"/>
      <w:lvlText w:val="%1."/>
      <w:lvlJc w:val="left"/>
      <w:pPr>
        <w:ind w:left="720" w:hanging="360"/>
      </w:pPr>
    </w:lvl>
    <w:lvl w:ilvl="1" w:tplc="24565BC8">
      <w:start w:val="1"/>
      <w:numFmt w:val="lowerLetter"/>
      <w:lvlText w:val="%2."/>
      <w:lvlJc w:val="left"/>
      <w:pPr>
        <w:ind w:left="1440" w:hanging="360"/>
      </w:pPr>
    </w:lvl>
    <w:lvl w:ilvl="2" w:tplc="610EEC46">
      <w:start w:val="1"/>
      <w:numFmt w:val="lowerRoman"/>
      <w:lvlText w:val="%3."/>
      <w:lvlJc w:val="right"/>
      <w:pPr>
        <w:ind w:left="2160" w:hanging="180"/>
      </w:pPr>
    </w:lvl>
    <w:lvl w:ilvl="3" w:tplc="F80A1C6A">
      <w:start w:val="1"/>
      <w:numFmt w:val="decimal"/>
      <w:lvlText w:val="%4."/>
      <w:lvlJc w:val="left"/>
      <w:pPr>
        <w:ind w:left="2880" w:hanging="360"/>
      </w:pPr>
    </w:lvl>
    <w:lvl w:ilvl="4" w:tplc="76A64040">
      <w:start w:val="1"/>
      <w:numFmt w:val="lowerLetter"/>
      <w:lvlText w:val="%5."/>
      <w:lvlJc w:val="left"/>
      <w:pPr>
        <w:ind w:left="3600" w:hanging="360"/>
      </w:pPr>
    </w:lvl>
    <w:lvl w:ilvl="5" w:tplc="2C8C7F50">
      <w:start w:val="1"/>
      <w:numFmt w:val="lowerRoman"/>
      <w:lvlText w:val="%6."/>
      <w:lvlJc w:val="right"/>
      <w:pPr>
        <w:ind w:left="4320" w:hanging="180"/>
      </w:pPr>
    </w:lvl>
    <w:lvl w:ilvl="6" w:tplc="AB6492F0">
      <w:start w:val="1"/>
      <w:numFmt w:val="decimal"/>
      <w:lvlText w:val="%7."/>
      <w:lvlJc w:val="left"/>
      <w:pPr>
        <w:ind w:left="5040" w:hanging="360"/>
      </w:pPr>
    </w:lvl>
    <w:lvl w:ilvl="7" w:tplc="97AAB8D0">
      <w:start w:val="1"/>
      <w:numFmt w:val="lowerLetter"/>
      <w:lvlText w:val="%8."/>
      <w:lvlJc w:val="left"/>
      <w:pPr>
        <w:ind w:left="5760" w:hanging="360"/>
      </w:pPr>
    </w:lvl>
    <w:lvl w:ilvl="8" w:tplc="A8F675F8">
      <w:start w:val="1"/>
      <w:numFmt w:val="lowerRoman"/>
      <w:lvlText w:val="%9."/>
      <w:lvlJc w:val="right"/>
      <w:pPr>
        <w:ind w:left="6480" w:hanging="180"/>
      </w:pPr>
    </w:lvl>
  </w:abstractNum>
  <w:abstractNum w:abstractNumId="6" w15:restartNumberingAfterBreak="0">
    <w:nsid w:val="22E99647"/>
    <w:multiLevelType w:val="hybridMultilevel"/>
    <w:tmpl w:val="C09EE090"/>
    <w:lvl w:ilvl="0" w:tplc="B7442052">
      <w:start w:val="1"/>
      <w:numFmt w:val="decimal"/>
      <w:lvlText w:val="%1."/>
      <w:lvlJc w:val="left"/>
      <w:pPr>
        <w:ind w:left="720" w:hanging="360"/>
      </w:pPr>
    </w:lvl>
    <w:lvl w:ilvl="1" w:tplc="4ED6CF1C">
      <w:start w:val="1"/>
      <w:numFmt w:val="lowerLetter"/>
      <w:lvlText w:val="%2."/>
      <w:lvlJc w:val="left"/>
      <w:pPr>
        <w:ind w:left="1440" w:hanging="360"/>
      </w:pPr>
    </w:lvl>
    <w:lvl w:ilvl="2" w:tplc="F1784894">
      <w:start w:val="1"/>
      <w:numFmt w:val="lowerRoman"/>
      <w:lvlText w:val="%3."/>
      <w:lvlJc w:val="right"/>
      <w:pPr>
        <w:ind w:left="2160" w:hanging="180"/>
      </w:pPr>
    </w:lvl>
    <w:lvl w:ilvl="3" w:tplc="B0AC21D0">
      <w:start w:val="1"/>
      <w:numFmt w:val="decimal"/>
      <w:lvlText w:val="%4."/>
      <w:lvlJc w:val="left"/>
      <w:pPr>
        <w:ind w:left="2880" w:hanging="360"/>
      </w:pPr>
    </w:lvl>
    <w:lvl w:ilvl="4" w:tplc="9850C9E4">
      <w:start w:val="1"/>
      <w:numFmt w:val="lowerLetter"/>
      <w:lvlText w:val="%5."/>
      <w:lvlJc w:val="left"/>
      <w:pPr>
        <w:ind w:left="3600" w:hanging="360"/>
      </w:pPr>
    </w:lvl>
    <w:lvl w:ilvl="5" w:tplc="E1A03ADC">
      <w:start w:val="1"/>
      <w:numFmt w:val="lowerRoman"/>
      <w:lvlText w:val="%6."/>
      <w:lvlJc w:val="right"/>
      <w:pPr>
        <w:ind w:left="4320" w:hanging="180"/>
      </w:pPr>
    </w:lvl>
    <w:lvl w:ilvl="6" w:tplc="9ABEEC78">
      <w:start w:val="1"/>
      <w:numFmt w:val="decimal"/>
      <w:lvlText w:val="%7."/>
      <w:lvlJc w:val="left"/>
      <w:pPr>
        <w:ind w:left="5040" w:hanging="360"/>
      </w:pPr>
    </w:lvl>
    <w:lvl w:ilvl="7" w:tplc="46B4FC5C">
      <w:start w:val="1"/>
      <w:numFmt w:val="lowerLetter"/>
      <w:lvlText w:val="%8."/>
      <w:lvlJc w:val="left"/>
      <w:pPr>
        <w:ind w:left="5760" w:hanging="360"/>
      </w:pPr>
    </w:lvl>
    <w:lvl w:ilvl="8" w:tplc="FBDCAF76">
      <w:start w:val="1"/>
      <w:numFmt w:val="lowerRoman"/>
      <w:lvlText w:val="%9."/>
      <w:lvlJc w:val="right"/>
      <w:pPr>
        <w:ind w:left="6480" w:hanging="180"/>
      </w:pPr>
    </w:lvl>
  </w:abstractNum>
  <w:abstractNum w:abstractNumId="7" w15:restartNumberingAfterBreak="0">
    <w:nsid w:val="2DF2624F"/>
    <w:multiLevelType w:val="multilevel"/>
    <w:tmpl w:val="4918A2D8"/>
    <w:lvl w:ilvl="0">
      <w:start w:val="1"/>
      <w:numFmt w:val="decimal"/>
      <w:lvlText w:val="%1."/>
      <w:lvlJc w:val="left"/>
      <w:pPr>
        <w:ind w:left="357" w:hanging="357"/>
      </w:pPr>
      <w:rPr>
        <w:rFonts w:hint="default"/>
      </w:rPr>
    </w:lvl>
    <w:lvl w:ilvl="1">
      <w:start w:val="1"/>
      <w:numFmt w:val="lowerLetter"/>
      <w:lvlText w:val="(%2)"/>
      <w:lvlJc w:val="left"/>
      <w:pPr>
        <w:ind w:left="714" w:hanging="357"/>
      </w:pPr>
      <w:rPr>
        <w:rFonts w:ascii="Arial" w:hAnsi="Arial" w:hint="default"/>
        <w:b w:val="0"/>
        <w:i w:val="0"/>
        <w:sz w:val="24"/>
      </w:rPr>
    </w:lvl>
    <w:lvl w:ilvl="2">
      <w:start w:val="1"/>
      <w:numFmt w:val="lowerRoman"/>
      <w:lvlText w:val="(%3)"/>
      <w:lvlJc w:val="left"/>
      <w:pPr>
        <w:ind w:left="1134" w:hanging="420"/>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8" w15:restartNumberingAfterBreak="0">
    <w:nsid w:val="2EC84F36"/>
    <w:multiLevelType w:val="hybridMultilevel"/>
    <w:tmpl w:val="27984B24"/>
    <w:lvl w:ilvl="0" w:tplc="357C2C94">
      <w:start w:val="1"/>
      <w:numFmt w:val="decimal"/>
      <w:lvlText w:val="%1."/>
      <w:lvlJc w:val="left"/>
      <w:pPr>
        <w:ind w:left="720" w:hanging="360"/>
      </w:pPr>
    </w:lvl>
    <w:lvl w:ilvl="1" w:tplc="A6E88476">
      <w:start w:val="1"/>
      <w:numFmt w:val="lowerLetter"/>
      <w:lvlText w:val="%2."/>
      <w:lvlJc w:val="left"/>
      <w:pPr>
        <w:ind w:left="1440" w:hanging="360"/>
      </w:pPr>
    </w:lvl>
    <w:lvl w:ilvl="2" w:tplc="3B9E81A8">
      <w:start w:val="1"/>
      <w:numFmt w:val="lowerRoman"/>
      <w:lvlText w:val="%3."/>
      <w:lvlJc w:val="right"/>
      <w:pPr>
        <w:ind w:left="2160" w:hanging="180"/>
      </w:pPr>
    </w:lvl>
    <w:lvl w:ilvl="3" w:tplc="72B2AC18">
      <w:start w:val="1"/>
      <w:numFmt w:val="decimal"/>
      <w:lvlText w:val="%4."/>
      <w:lvlJc w:val="left"/>
      <w:pPr>
        <w:ind w:left="2880" w:hanging="360"/>
      </w:pPr>
    </w:lvl>
    <w:lvl w:ilvl="4" w:tplc="8A3CB336">
      <w:start w:val="1"/>
      <w:numFmt w:val="lowerLetter"/>
      <w:lvlText w:val="%5."/>
      <w:lvlJc w:val="left"/>
      <w:pPr>
        <w:ind w:left="3600" w:hanging="360"/>
      </w:pPr>
    </w:lvl>
    <w:lvl w:ilvl="5" w:tplc="BD062D1A">
      <w:start w:val="1"/>
      <w:numFmt w:val="lowerRoman"/>
      <w:lvlText w:val="%6."/>
      <w:lvlJc w:val="right"/>
      <w:pPr>
        <w:ind w:left="4320" w:hanging="180"/>
      </w:pPr>
    </w:lvl>
    <w:lvl w:ilvl="6" w:tplc="C25258C0">
      <w:start w:val="1"/>
      <w:numFmt w:val="decimal"/>
      <w:lvlText w:val="%7."/>
      <w:lvlJc w:val="left"/>
      <w:pPr>
        <w:ind w:left="5040" w:hanging="360"/>
      </w:pPr>
    </w:lvl>
    <w:lvl w:ilvl="7" w:tplc="16089B76">
      <w:start w:val="1"/>
      <w:numFmt w:val="lowerLetter"/>
      <w:lvlText w:val="%8."/>
      <w:lvlJc w:val="left"/>
      <w:pPr>
        <w:ind w:left="5760" w:hanging="360"/>
      </w:pPr>
    </w:lvl>
    <w:lvl w:ilvl="8" w:tplc="90488FD4">
      <w:start w:val="1"/>
      <w:numFmt w:val="lowerRoman"/>
      <w:lvlText w:val="%9."/>
      <w:lvlJc w:val="right"/>
      <w:pPr>
        <w:ind w:left="6480" w:hanging="180"/>
      </w:pPr>
    </w:lvl>
  </w:abstractNum>
  <w:abstractNum w:abstractNumId="9" w15:restartNumberingAfterBreak="0">
    <w:nsid w:val="35529EFD"/>
    <w:multiLevelType w:val="hybridMultilevel"/>
    <w:tmpl w:val="A3F2F4AA"/>
    <w:lvl w:ilvl="0" w:tplc="D54C5F06">
      <w:start w:val="1"/>
      <w:numFmt w:val="bullet"/>
      <w:lvlText w:val="-"/>
      <w:lvlJc w:val="left"/>
      <w:pPr>
        <w:ind w:left="720" w:hanging="360"/>
      </w:pPr>
      <w:rPr>
        <w:rFonts w:ascii="Calibri" w:hAnsi="Calibri" w:hint="default"/>
      </w:rPr>
    </w:lvl>
    <w:lvl w:ilvl="1" w:tplc="D452DB54">
      <w:start w:val="1"/>
      <w:numFmt w:val="bullet"/>
      <w:lvlText w:val="o"/>
      <w:lvlJc w:val="left"/>
      <w:pPr>
        <w:ind w:left="1440" w:hanging="360"/>
      </w:pPr>
      <w:rPr>
        <w:rFonts w:ascii="Courier New" w:hAnsi="Courier New" w:hint="default"/>
      </w:rPr>
    </w:lvl>
    <w:lvl w:ilvl="2" w:tplc="A776CEA6">
      <w:start w:val="1"/>
      <w:numFmt w:val="bullet"/>
      <w:lvlText w:val=""/>
      <w:lvlJc w:val="left"/>
      <w:pPr>
        <w:ind w:left="2160" w:hanging="360"/>
      </w:pPr>
      <w:rPr>
        <w:rFonts w:ascii="Wingdings" w:hAnsi="Wingdings" w:hint="default"/>
      </w:rPr>
    </w:lvl>
    <w:lvl w:ilvl="3" w:tplc="41F6FF50">
      <w:start w:val="1"/>
      <w:numFmt w:val="bullet"/>
      <w:lvlText w:val=""/>
      <w:lvlJc w:val="left"/>
      <w:pPr>
        <w:ind w:left="2880" w:hanging="360"/>
      </w:pPr>
      <w:rPr>
        <w:rFonts w:ascii="Symbol" w:hAnsi="Symbol" w:hint="default"/>
      </w:rPr>
    </w:lvl>
    <w:lvl w:ilvl="4" w:tplc="29BECCBC">
      <w:start w:val="1"/>
      <w:numFmt w:val="bullet"/>
      <w:lvlText w:val="o"/>
      <w:lvlJc w:val="left"/>
      <w:pPr>
        <w:ind w:left="3600" w:hanging="360"/>
      </w:pPr>
      <w:rPr>
        <w:rFonts w:ascii="Courier New" w:hAnsi="Courier New" w:hint="default"/>
      </w:rPr>
    </w:lvl>
    <w:lvl w:ilvl="5" w:tplc="CC5EF216">
      <w:start w:val="1"/>
      <w:numFmt w:val="bullet"/>
      <w:lvlText w:val=""/>
      <w:lvlJc w:val="left"/>
      <w:pPr>
        <w:ind w:left="4320" w:hanging="360"/>
      </w:pPr>
      <w:rPr>
        <w:rFonts w:ascii="Wingdings" w:hAnsi="Wingdings" w:hint="default"/>
      </w:rPr>
    </w:lvl>
    <w:lvl w:ilvl="6" w:tplc="C8724410">
      <w:start w:val="1"/>
      <w:numFmt w:val="bullet"/>
      <w:lvlText w:val=""/>
      <w:lvlJc w:val="left"/>
      <w:pPr>
        <w:ind w:left="5040" w:hanging="360"/>
      </w:pPr>
      <w:rPr>
        <w:rFonts w:ascii="Symbol" w:hAnsi="Symbol" w:hint="default"/>
      </w:rPr>
    </w:lvl>
    <w:lvl w:ilvl="7" w:tplc="847ADF40">
      <w:start w:val="1"/>
      <w:numFmt w:val="bullet"/>
      <w:lvlText w:val="o"/>
      <w:lvlJc w:val="left"/>
      <w:pPr>
        <w:ind w:left="5760" w:hanging="360"/>
      </w:pPr>
      <w:rPr>
        <w:rFonts w:ascii="Courier New" w:hAnsi="Courier New" w:hint="default"/>
      </w:rPr>
    </w:lvl>
    <w:lvl w:ilvl="8" w:tplc="338E52AA">
      <w:start w:val="1"/>
      <w:numFmt w:val="bullet"/>
      <w:lvlText w:val=""/>
      <w:lvlJc w:val="left"/>
      <w:pPr>
        <w:ind w:left="6480" w:hanging="360"/>
      </w:pPr>
      <w:rPr>
        <w:rFonts w:ascii="Wingdings" w:hAnsi="Wingdings" w:hint="default"/>
      </w:rPr>
    </w:lvl>
  </w:abstractNum>
  <w:abstractNum w:abstractNumId="10" w15:restartNumberingAfterBreak="0">
    <w:nsid w:val="36C59125"/>
    <w:multiLevelType w:val="hybridMultilevel"/>
    <w:tmpl w:val="8FF4E4EA"/>
    <w:lvl w:ilvl="0" w:tplc="8AF0B88A">
      <w:start w:val="1"/>
      <w:numFmt w:val="decimal"/>
      <w:lvlText w:val="%1."/>
      <w:lvlJc w:val="left"/>
      <w:pPr>
        <w:ind w:left="720" w:hanging="360"/>
      </w:pPr>
    </w:lvl>
    <w:lvl w:ilvl="1" w:tplc="36DC1862">
      <w:start w:val="1"/>
      <w:numFmt w:val="lowerLetter"/>
      <w:lvlText w:val="%2."/>
      <w:lvlJc w:val="left"/>
      <w:pPr>
        <w:ind w:left="1440" w:hanging="360"/>
      </w:pPr>
    </w:lvl>
    <w:lvl w:ilvl="2" w:tplc="EE107F60">
      <w:start w:val="1"/>
      <w:numFmt w:val="lowerRoman"/>
      <w:lvlText w:val="%3."/>
      <w:lvlJc w:val="right"/>
      <w:pPr>
        <w:ind w:left="2160" w:hanging="180"/>
      </w:pPr>
    </w:lvl>
    <w:lvl w:ilvl="3" w:tplc="F0B87FAC">
      <w:start w:val="1"/>
      <w:numFmt w:val="decimal"/>
      <w:lvlText w:val="%4."/>
      <w:lvlJc w:val="left"/>
      <w:pPr>
        <w:ind w:left="2880" w:hanging="360"/>
      </w:pPr>
    </w:lvl>
    <w:lvl w:ilvl="4" w:tplc="76DC6ACA">
      <w:start w:val="1"/>
      <w:numFmt w:val="lowerLetter"/>
      <w:lvlText w:val="%5."/>
      <w:lvlJc w:val="left"/>
      <w:pPr>
        <w:ind w:left="3600" w:hanging="360"/>
      </w:pPr>
    </w:lvl>
    <w:lvl w:ilvl="5" w:tplc="418E5E74">
      <w:start w:val="1"/>
      <w:numFmt w:val="lowerRoman"/>
      <w:lvlText w:val="%6."/>
      <w:lvlJc w:val="right"/>
      <w:pPr>
        <w:ind w:left="4320" w:hanging="180"/>
      </w:pPr>
    </w:lvl>
    <w:lvl w:ilvl="6" w:tplc="F7181D8A">
      <w:start w:val="1"/>
      <w:numFmt w:val="decimal"/>
      <w:lvlText w:val="%7."/>
      <w:lvlJc w:val="left"/>
      <w:pPr>
        <w:ind w:left="5040" w:hanging="360"/>
      </w:pPr>
    </w:lvl>
    <w:lvl w:ilvl="7" w:tplc="7E42188A">
      <w:start w:val="1"/>
      <w:numFmt w:val="lowerLetter"/>
      <w:lvlText w:val="%8."/>
      <w:lvlJc w:val="left"/>
      <w:pPr>
        <w:ind w:left="5760" w:hanging="360"/>
      </w:pPr>
    </w:lvl>
    <w:lvl w:ilvl="8" w:tplc="E130915C">
      <w:start w:val="1"/>
      <w:numFmt w:val="lowerRoman"/>
      <w:lvlText w:val="%9."/>
      <w:lvlJc w:val="right"/>
      <w:pPr>
        <w:ind w:left="6480" w:hanging="180"/>
      </w:pPr>
    </w:lvl>
  </w:abstractNum>
  <w:abstractNum w:abstractNumId="11" w15:restartNumberingAfterBreak="0">
    <w:nsid w:val="3DD145C3"/>
    <w:multiLevelType w:val="hybridMultilevel"/>
    <w:tmpl w:val="ABECF1F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87F77D8"/>
    <w:multiLevelType w:val="multilevel"/>
    <w:tmpl w:val="88BE498E"/>
    <w:lvl w:ilvl="0">
      <w:start w:val="1"/>
      <w:numFmt w:val="bullet"/>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DB14587"/>
    <w:multiLevelType w:val="hybridMultilevel"/>
    <w:tmpl w:val="949A464C"/>
    <w:lvl w:ilvl="0" w:tplc="40928A58">
      <w:start w:val="1"/>
      <w:numFmt w:val="decimal"/>
      <w:lvlText w:val="%1."/>
      <w:lvlJc w:val="left"/>
      <w:pPr>
        <w:ind w:left="1077" w:hanging="360"/>
      </w:pPr>
    </w:lvl>
    <w:lvl w:ilvl="1" w:tplc="7098FF66">
      <w:start w:val="1"/>
      <w:numFmt w:val="lowerLetter"/>
      <w:lvlText w:val="(%2)"/>
      <w:lvlJc w:val="left"/>
      <w:pPr>
        <w:ind w:left="1797" w:hanging="360"/>
      </w:pPr>
      <w:rPr>
        <w:rFonts w:ascii="Arial" w:hAnsi="Arial" w:hint="default"/>
        <w:b w:val="0"/>
        <w:i w:val="0"/>
        <w:sz w:val="24"/>
      </w:rPr>
    </w:lvl>
    <w:lvl w:ilvl="2" w:tplc="B908F1CC">
      <w:start w:val="1"/>
      <w:numFmt w:val="lowerRoman"/>
      <w:lvlText w:val="(%3)"/>
      <w:lvlJc w:val="right"/>
      <w:pPr>
        <w:ind w:left="2517" w:hanging="180"/>
      </w:pPr>
      <w:rPr>
        <w:rFonts w:hint="default"/>
      </w:r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4" w15:restartNumberingAfterBreak="0">
    <w:nsid w:val="4E5F5D97"/>
    <w:multiLevelType w:val="hybridMultilevel"/>
    <w:tmpl w:val="8030149C"/>
    <w:lvl w:ilvl="0" w:tplc="5F944412">
      <w:start w:val="1"/>
      <w:numFmt w:val="bullet"/>
      <w:lvlText w:val=""/>
      <w:lvlJc w:val="left"/>
      <w:pPr>
        <w:ind w:left="1440" w:hanging="360"/>
      </w:pPr>
      <w:rPr>
        <w:rFonts w:ascii="Wingdings" w:hAnsi="Wingdings" w:hint="default"/>
        <w:sz w:val="20"/>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4FB80E0A"/>
    <w:multiLevelType w:val="hybridMultilevel"/>
    <w:tmpl w:val="6518AFD2"/>
    <w:lvl w:ilvl="0" w:tplc="59FC7D9C">
      <w:start w:val="1"/>
      <w:numFmt w:val="lowerLetter"/>
      <w:lvlText w:val="(%1)"/>
      <w:lvlJc w:val="left"/>
      <w:pPr>
        <w:ind w:left="1636" w:hanging="360"/>
      </w:pPr>
      <w:rPr>
        <w:rFonts w:hint="default"/>
      </w:rPr>
    </w:lvl>
    <w:lvl w:ilvl="1" w:tplc="0C090019" w:tentative="1">
      <w:start w:val="1"/>
      <w:numFmt w:val="lowerLetter"/>
      <w:lvlText w:val="%2."/>
      <w:lvlJc w:val="left"/>
      <w:pPr>
        <w:ind w:left="2356" w:hanging="360"/>
      </w:pPr>
    </w:lvl>
    <w:lvl w:ilvl="2" w:tplc="0C09001B" w:tentative="1">
      <w:start w:val="1"/>
      <w:numFmt w:val="lowerRoman"/>
      <w:lvlText w:val="%3."/>
      <w:lvlJc w:val="right"/>
      <w:pPr>
        <w:ind w:left="3076" w:hanging="180"/>
      </w:pPr>
    </w:lvl>
    <w:lvl w:ilvl="3" w:tplc="0C09000F" w:tentative="1">
      <w:start w:val="1"/>
      <w:numFmt w:val="decimal"/>
      <w:lvlText w:val="%4."/>
      <w:lvlJc w:val="left"/>
      <w:pPr>
        <w:ind w:left="3796" w:hanging="360"/>
      </w:pPr>
    </w:lvl>
    <w:lvl w:ilvl="4" w:tplc="0C090019" w:tentative="1">
      <w:start w:val="1"/>
      <w:numFmt w:val="lowerLetter"/>
      <w:lvlText w:val="%5."/>
      <w:lvlJc w:val="left"/>
      <w:pPr>
        <w:ind w:left="4516" w:hanging="360"/>
      </w:pPr>
    </w:lvl>
    <w:lvl w:ilvl="5" w:tplc="0C09001B" w:tentative="1">
      <w:start w:val="1"/>
      <w:numFmt w:val="lowerRoman"/>
      <w:lvlText w:val="%6."/>
      <w:lvlJc w:val="right"/>
      <w:pPr>
        <w:ind w:left="5236" w:hanging="180"/>
      </w:pPr>
    </w:lvl>
    <w:lvl w:ilvl="6" w:tplc="0C09000F" w:tentative="1">
      <w:start w:val="1"/>
      <w:numFmt w:val="decimal"/>
      <w:lvlText w:val="%7."/>
      <w:lvlJc w:val="left"/>
      <w:pPr>
        <w:ind w:left="5956" w:hanging="360"/>
      </w:pPr>
    </w:lvl>
    <w:lvl w:ilvl="7" w:tplc="0C090019" w:tentative="1">
      <w:start w:val="1"/>
      <w:numFmt w:val="lowerLetter"/>
      <w:lvlText w:val="%8."/>
      <w:lvlJc w:val="left"/>
      <w:pPr>
        <w:ind w:left="6676" w:hanging="360"/>
      </w:pPr>
    </w:lvl>
    <w:lvl w:ilvl="8" w:tplc="0C09001B" w:tentative="1">
      <w:start w:val="1"/>
      <w:numFmt w:val="lowerRoman"/>
      <w:lvlText w:val="%9."/>
      <w:lvlJc w:val="right"/>
      <w:pPr>
        <w:ind w:left="7396" w:hanging="180"/>
      </w:pPr>
    </w:lvl>
  </w:abstractNum>
  <w:abstractNum w:abstractNumId="16" w15:restartNumberingAfterBreak="0">
    <w:nsid w:val="50657E41"/>
    <w:multiLevelType w:val="multilevel"/>
    <w:tmpl w:val="30AEE7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74BC4DD"/>
    <w:multiLevelType w:val="hybridMultilevel"/>
    <w:tmpl w:val="47982782"/>
    <w:lvl w:ilvl="0" w:tplc="ECFC03B2">
      <w:start w:val="1"/>
      <w:numFmt w:val="decimal"/>
      <w:lvlText w:val="%1."/>
      <w:lvlJc w:val="left"/>
      <w:pPr>
        <w:ind w:left="720" w:hanging="360"/>
      </w:pPr>
    </w:lvl>
    <w:lvl w:ilvl="1" w:tplc="3F96AE62">
      <w:start w:val="1"/>
      <w:numFmt w:val="lowerLetter"/>
      <w:lvlText w:val="%2."/>
      <w:lvlJc w:val="left"/>
      <w:pPr>
        <w:ind w:left="1440" w:hanging="360"/>
      </w:pPr>
    </w:lvl>
    <w:lvl w:ilvl="2" w:tplc="7EAACF1E">
      <w:start w:val="1"/>
      <w:numFmt w:val="lowerRoman"/>
      <w:lvlText w:val="%3."/>
      <w:lvlJc w:val="right"/>
      <w:pPr>
        <w:ind w:left="2160" w:hanging="180"/>
      </w:pPr>
    </w:lvl>
    <w:lvl w:ilvl="3" w:tplc="4B848062">
      <w:start w:val="1"/>
      <w:numFmt w:val="decimal"/>
      <w:lvlText w:val="%4."/>
      <w:lvlJc w:val="left"/>
      <w:pPr>
        <w:ind w:left="2880" w:hanging="360"/>
      </w:pPr>
    </w:lvl>
    <w:lvl w:ilvl="4" w:tplc="B2061466">
      <w:start w:val="1"/>
      <w:numFmt w:val="lowerLetter"/>
      <w:lvlText w:val="%5."/>
      <w:lvlJc w:val="left"/>
      <w:pPr>
        <w:ind w:left="3600" w:hanging="360"/>
      </w:pPr>
    </w:lvl>
    <w:lvl w:ilvl="5" w:tplc="0E8422AA">
      <w:start w:val="1"/>
      <w:numFmt w:val="lowerRoman"/>
      <w:lvlText w:val="%6."/>
      <w:lvlJc w:val="right"/>
      <w:pPr>
        <w:ind w:left="4320" w:hanging="180"/>
      </w:pPr>
    </w:lvl>
    <w:lvl w:ilvl="6" w:tplc="2D06989C">
      <w:start w:val="1"/>
      <w:numFmt w:val="decimal"/>
      <w:lvlText w:val="%7."/>
      <w:lvlJc w:val="left"/>
      <w:pPr>
        <w:ind w:left="5040" w:hanging="360"/>
      </w:pPr>
    </w:lvl>
    <w:lvl w:ilvl="7" w:tplc="1A941F44">
      <w:start w:val="1"/>
      <w:numFmt w:val="lowerLetter"/>
      <w:lvlText w:val="%8."/>
      <w:lvlJc w:val="left"/>
      <w:pPr>
        <w:ind w:left="5760" w:hanging="360"/>
      </w:pPr>
    </w:lvl>
    <w:lvl w:ilvl="8" w:tplc="BD4C9EA2">
      <w:start w:val="1"/>
      <w:numFmt w:val="lowerRoman"/>
      <w:lvlText w:val="%9."/>
      <w:lvlJc w:val="right"/>
      <w:pPr>
        <w:ind w:left="6480" w:hanging="180"/>
      </w:pPr>
    </w:lvl>
  </w:abstractNum>
  <w:abstractNum w:abstractNumId="18" w15:restartNumberingAfterBreak="0">
    <w:nsid w:val="60607B90"/>
    <w:multiLevelType w:val="hybridMultilevel"/>
    <w:tmpl w:val="19AEA9F6"/>
    <w:lvl w:ilvl="0" w:tplc="0C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hint="default"/>
      </w:rPr>
    </w:lvl>
    <w:lvl w:ilvl="8" w:tplc="FFFFFFFF">
      <w:start w:val="1"/>
      <w:numFmt w:val="bullet"/>
      <w:lvlText w:val=""/>
      <w:lvlJc w:val="left"/>
      <w:pPr>
        <w:ind w:left="6840" w:hanging="360"/>
      </w:pPr>
      <w:rPr>
        <w:rFonts w:ascii="Wingdings" w:hAnsi="Wingdings" w:hint="default"/>
      </w:rPr>
    </w:lvl>
  </w:abstractNum>
  <w:abstractNum w:abstractNumId="19" w15:restartNumberingAfterBreak="0">
    <w:nsid w:val="617DFD92"/>
    <w:multiLevelType w:val="hybridMultilevel"/>
    <w:tmpl w:val="FFFFFFFF"/>
    <w:lvl w:ilvl="0" w:tplc="2DAA3A4E">
      <w:start w:val="1"/>
      <w:numFmt w:val="decimal"/>
      <w:lvlText w:val="%1."/>
      <w:lvlJc w:val="left"/>
      <w:pPr>
        <w:ind w:left="360" w:hanging="360"/>
      </w:pPr>
    </w:lvl>
    <w:lvl w:ilvl="1" w:tplc="41142AEC">
      <w:start w:val="1"/>
      <w:numFmt w:val="lowerLetter"/>
      <w:lvlText w:val="%2."/>
      <w:lvlJc w:val="left"/>
      <w:pPr>
        <w:ind w:left="1080" w:hanging="360"/>
      </w:pPr>
    </w:lvl>
    <w:lvl w:ilvl="2" w:tplc="1E0C1512">
      <w:start w:val="1"/>
      <w:numFmt w:val="lowerRoman"/>
      <w:lvlText w:val="%3."/>
      <w:lvlJc w:val="right"/>
      <w:pPr>
        <w:ind w:left="1800" w:hanging="180"/>
      </w:pPr>
    </w:lvl>
    <w:lvl w:ilvl="3" w:tplc="B866D406">
      <w:start w:val="1"/>
      <w:numFmt w:val="decimal"/>
      <w:lvlText w:val="%4."/>
      <w:lvlJc w:val="left"/>
      <w:pPr>
        <w:ind w:left="2520" w:hanging="360"/>
      </w:pPr>
    </w:lvl>
    <w:lvl w:ilvl="4" w:tplc="6140491E">
      <w:start w:val="1"/>
      <w:numFmt w:val="lowerLetter"/>
      <w:lvlText w:val="%5."/>
      <w:lvlJc w:val="left"/>
      <w:pPr>
        <w:ind w:left="3240" w:hanging="360"/>
      </w:pPr>
    </w:lvl>
    <w:lvl w:ilvl="5" w:tplc="6F9C241E">
      <w:start w:val="1"/>
      <w:numFmt w:val="lowerRoman"/>
      <w:lvlText w:val="%6."/>
      <w:lvlJc w:val="right"/>
      <w:pPr>
        <w:ind w:left="3960" w:hanging="180"/>
      </w:pPr>
    </w:lvl>
    <w:lvl w:ilvl="6" w:tplc="D428A268">
      <w:start w:val="1"/>
      <w:numFmt w:val="decimal"/>
      <w:lvlText w:val="%7."/>
      <w:lvlJc w:val="left"/>
      <w:pPr>
        <w:ind w:left="4680" w:hanging="360"/>
      </w:pPr>
    </w:lvl>
    <w:lvl w:ilvl="7" w:tplc="E9EEEBB4">
      <w:start w:val="1"/>
      <w:numFmt w:val="lowerLetter"/>
      <w:lvlText w:val="%8."/>
      <w:lvlJc w:val="left"/>
      <w:pPr>
        <w:ind w:left="5400" w:hanging="360"/>
      </w:pPr>
    </w:lvl>
    <w:lvl w:ilvl="8" w:tplc="DCCE6F4E">
      <w:start w:val="1"/>
      <w:numFmt w:val="lowerRoman"/>
      <w:lvlText w:val="%9."/>
      <w:lvlJc w:val="right"/>
      <w:pPr>
        <w:ind w:left="6120" w:hanging="180"/>
      </w:pPr>
    </w:lvl>
  </w:abstractNum>
  <w:abstractNum w:abstractNumId="20" w15:restartNumberingAfterBreak="0">
    <w:nsid w:val="62AE01D7"/>
    <w:multiLevelType w:val="hybridMultilevel"/>
    <w:tmpl w:val="88BE498E"/>
    <w:lvl w:ilvl="0" w:tplc="7CC885D6">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287D80"/>
    <w:multiLevelType w:val="hybridMultilevel"/>
    <w:tmpl w:val="FFFFFFFF"/>
    <w:lvl w:ilvl="0" w:tplc="37261572">
      <w:start w:val="1"/>
      <w:numFmt w:val="bullet"/>
      <w:pStyle w:val="Listparagraph-bulleted"/>
      <w:lvlText w:val=""/>
      <w:lvlJc w:val="left"/>
      <w:pPr>
        <w:ind w:left="1170" w:hanging="360"/>
      </w:pPr>
      <w:rPr>
        <w:rFonts w:ascii="Symbol" w:hAnsi="Symbol" w:hint="default"/>
      </w:rPr>
    </w:lvl>
    <w:lvl w:ilvl="1" w:tplc="0C090003">
      <w:start w:val="1"/>
      <w:numFmt w:val="bullet"/>
      <w:lvlText w:val="o"/>
      <w:lvlJc w:val="left"/>
      <w:pPr>
        <w:ind w:left="1890" w:hanging="360"/>
      </w:pPr>
      <w:rPr>
        <w:rFonts w:ascii="Courier New" w:hAnsi="Courier New" w:hint="default"/>
      </w:rPr>
    </w:lvl>
    <w:lvl w:ilvl="2" w:tplc="0C090005" w:tentative="1">
      <w:start w:val="1"/>
      <w:numFmt w:val="bullet"/>
      <w:lvlText w:val=""/>
      <w:lvlJc w:val="left"/>
      <w:pPr>
        <w:ind w:left="2610" w:hanging="360"/>
      </w:pPr>
      <w:rPr>
        <w:rFonts w:ascii="Wingdings" w:hAnsi="Wingdings" w:hint="default"/>
      </w:rPr>
    </w:lvl>
    <w:lvl w:ilvl="3" w:tplc="0C090001" w:tentative="1">
      <w:start w:val="1"/>
      <w:numFmt w:val="bullet"/>
      <w:lvlText w:val=""/>
      <w:lvlJc w:val="left"/>
      <w:pPr>
        <w:ind w:left="3330" w:hanging="360"/>
      </w:pPr>
      <w:rPr>
        <w:rFonts w:ascii="Symbol" w:hAnsi="Symbol" w:hint="default"/>
      </w:rPr>
    </w:lvl>
    <w:lvl w:ilvl="4" w:tplc="0C090003" w:tentative="1">
      <w:start w:val="1"/>
      <w:numFmt w:val="bullet"/>
      <w:lvlText w:val="o"/>
      <w:lvlJc w:val="left"/>
      <w:pPr>
        <w:ind w:left="4050" w:hanging="360"/>
      </w:pPr>
      <w:rPr>
        <w:rFonts w:ascii="Courier New" w:hAnsi="Courier New" w:hint="default"/>
      </w:rPr>
    </w:lvl>
    <w:lvl w:ilvl="5" w:tplc="0C090005" w:tentative="1">
      <w:start w:val="1"/>
      <w:numFmt w:val="bullet"/>
      <w:lvlText w:val=""/>
      <w:lvlJc w:val="left"/>
      <w:pPr>
        <w:ind w:left="4770" w:hanging="360"/>
      </w:pPr>
      <w:rPr>
        <w:rFonts w:ascii="Wingdings" w:hAnsi="Wingdings" w:hint="default"/>
      </w:rPr>
    </w:lvl>
    <w:lvl w:ilvl="6" w:tplc="0C090001" w:tentative="1">
      <w:start w:val="1"/>
      <w:numFmt w:val="bullet"/>
      <w:lvlText w:val=""/>
      <w:lvlJc w:val="left"/>
      <w:pPr>
        <w:ind w:left="5490" w:hanging="360"/>
      </w:pPr>
      <w:rPr>
        <w:rFonts w:ascii="Symbol" w:hAnsi="Symbol" w:hint="default"/>
      </w:rPr>
    </w:lvl>
    <w:lvl w:ilvl="7" w:tplc="0C090003" w:tentative="1">
      <w:start w:val="1"/>
      <w:numFmt w:val="bullet"/>
      <w:lvlText w:val="o"/>
      <w:lvlJc w:val="left"/>
      <w:pPr>
        <w:ind w:left="6210" w:hanging="360"/>
      </w:pPr>
      <w:rPr>
        <w:rFonts w:ascii="Courier New" w:hAnsi="Courier New" w:hint="default"/>
      </w:rPr>
    </w:lvl>
    <w:lvl w:ilvl="8" w:tplc="0C090005" w:tentative="1">
      <w:start w:val="1"/>
      <w:numFmt w:val="bullet"/>
      <w:lvlText w:val=""/>
      <w:lvlJc w:val="left"/>
      <w:pPr>
        <w:ind w:left="6930" w:hanging="360"/>
      </w:pPr>
      <w:rPr>
        <w:rFonts w:ascii="Wingdings" w:hAnsi="Wingdings" w:hint="default"/>
      </w:rPr>
    </w:lvl>
  </w:abstractNum>
  <w:abstractNum w:abstractNumId="22" w15:restartNumberingAfterBreak="0">
    <w:nsid w:val="658E4DE9"/>
    <w:multiLevelType w:val="multilevel"/>
    <w:tmpl w:val="30AEE7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65D5C79"/>
    <w:multiLevelType w:val="hybridMultilevel"/>
    <w:tmpl w:val="14A6805C"/>
    <w:lvl w:ilvl="0" w:tplc="7DCC6138">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4" w15:restartNumberingAfterBreak="0">
    <w:nsid w:val="680E217B"/>
    <w:multiLevelType w:val="multilevel"/>
    <w:tmpl w:val="97A06F3E"/>
    <w:lvl w:ilvl="0">
      <w:start w:val="1"/>
      <w:numFmt w:val="bullet"/>
      <w:pStyle w:val="Bulletedlist"/>
      <w:lvlText w:val=""/>
      <w:lvlJc w:val="left"/>
      <w:pPr>
        <w:ind w:left="1287" w:hanging="567"/>
      </w:pPr>
      <w:rPr>
        <w:rFonts w:ascii="Symbol" w:hAnsi="Symbol" w:hint="default"/>
      </w:rPr>
    </w:lvl>
    <w:lvl w:ilvl="1">
      <w:start w:val="1"/>
      <w:numFmt w:val="bullet"/>
      <w:lvlText w:val=""/>
      <w:lvlJc w:val="left"/>
      <w:pPr>
        <w:ind w:left="1627" w:hanging="283"/>
      </w:pPr>
      <w:rPr>
        <w:rFonts w:ascii="Symbol" w:hAnsi="Symbol" w:hint="default"/>
        <w:b w:val="0"/>
        <w:i w:val="0"/>
        <w:sz w:val="24"/>
      </w:rPr>
    </w:lvl>
    <w:lvl w:ilvl="2">
      <w:start w:val="1"/>
      <w:numFmt w:val="lowerRoman"/>
      <w:lvlText w:val="%3."/>
      <w:lvlJc w:val="right"/>
      <w:pPr>
        <w:ind w:left="1967" w:hanging="113"/>
      </w:pPr>
      <w:rPr>
        <w:rFonts w:hint="default"/>
      </w:rPr>
    </w:lvl>
    <w:lvl w:ilvl="3">
      <w:start w:val="1"/>
      <w:numFmt w:val="decimal"/>
      <w:lvlText w:val="%4."/>
      <w:lvlJc w:val="left"/>
      <w:pPr>
        <w:ind w:left="2148" w:hanging="357"/>
      </w:pPr>
      <w:rPr>
        <w:rFonts w:hint="default"/>
      </w:rPr>
    </w:lvl>
    <w:lvl w:ilvl="4">
      <w:start w:val="1"/>
      <w:numFmt w:val="lowerLetter"/>
      <w:lvlText w:val="%5."/>
      <w:lvlJc w:val="left"/>
      <w:pPr>
        <w:ind w:left="2505" w:hanging="357"/>
      </w:pPr>
      <w:rPr>
        <w:rFonts w:hint="default"/>
      </w:rPr>
    </w:lvl>
    <w:lvl w:ilvl="5">
      <w:start w:val="1"/>
      <w:numFmt w:val="lowerRoman"/>
      <w:lvlText w:val="%6."/>
      <w:lvlJc w:val="right"/>
      <w:pPr>
        <w:ind w:left="2862" w:hanging="357"/>
      </w:pPr>
      <w:rPr>
        <w:rFonts w:hint="default"/>
      </w:rPr>
    </w:lvl>
    <w:lvl w:ilvl="6">
      <w:start w:val="1"/>
      <w:numFmt w:val="decimal"/>
      <w:lvlText w:val="%7."/>
      <w:lvlJc w:val="left"/>
      <w:pPr>
        <w:ind w:left="3219" w:hanging="357"/>
      </w:pPr>
      <w:rPr>
        <w:rFonts w:hint="default"/>
      </w:rPr>
    </w:lvl>
    <w:lvl w:ilvl="7">
      <w:start w:val="1"/>
      <w:numFmt w:val="lowerLetter"/>
      <w:lvlText w:val="%8."/>
      <w:lvlJc w:val="left"/>
      <w:pPr>
        <w:ind w:left="3576" w:hanging="357"/>
      </w:pPr>
      <w:rPr>
        <w:rFonts w:hint="default"/>
      </w:rPr>
    </w:lvl>
    <w:lvl w:ilvl="8">
      <w:start w:val="1"/>
      <w:numFmt w:val="lowerRoman"/>
      <w:lvlText w:val="%9."/>
      <w:lvlJc w:val="right"/>
      <w:pPr>
        <w:ind w:left="3933" w:hanging="357"/>
      </w:pPr>
      <w:rPr>
        <w:rFonts w:hint="default"/>
      </w:rPr>
    </w:lvl>
  </w:abstractNum>
  <w:abstractNum w:abstractNumId="25" w15:restartNumberingAfterBreak="0">
    <w:nsid w:val="6ABC7826"/>
    <w:multiLevelType w:val="hybridMultilevel"/>
    <w:tmpl w:val="A86E13A4"/>
    <w:lvl w:ilvl="0" w:tplc="E94248AE">
      <w:start w:val="1"/>
      <w:numFmt w:val="decimal"/>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26" w15:restartNumberingAfterBreak="0">
    <w:nsid w:val="721C5E17"/>
    <w:multiLevelType w:val="hybridMultilevel"/>
    <w:tmpl w:val="9F448C52"/>
    <w:lvl w:ilvl="0" w:tplc="13620EE4">
      <w:start w:val="1"/>
      <w:numFmt w:val="bullet"/>
      <w:lvlText w:val=""/>
      <w:lvlJc w:val="left"/>
      <w:pPr>
        <w:ind w:left="2030" w:hanging="360"/>
      </w:pPr>
      <w:rPr>
        <w:rFonts w:ascii="Wingdings" w:hAnsi="Wingdings" w:hint="default"/>
      </w:rPr>
    </w:lvl>
    <w:lvl w:ilvl="1" w:tplc="04090003" w:tentative="1">
      <w:start w:val="1"/>
      <w:numFmt w:val="bullet"/>
      <w:lvlText w:val="o"/>
      <w:lvlJc w:val="left"/>
      <w:pPr>
        <w:ind w:left="2750" w:hanging="360"/>
      </w:pPr>
      <w:rPr>
        <w:rFonts w:ascii="Courier New" w:hAnsi="Courier New" w:hint="default"/>
      </w:rPr>
    </w:lvl>
    <w:lvl w:ilvl="2" w:tplc="04090005" w:tentative="1">
      <w:start w:val="1"/>
      <w:numFmt w:val="bullet"/>
      <w:lvlText w:val=""/>
      <w:lvlJc w:val="left"/>
      <w:pPr>
        <w:ind w:left="3470" w:hanging="360"/>
      </w:pPr>
      <w:rPr>
        <w:rFonts w:ascii="Wingdings" w:hAnsi="Wingdings" w:hint="default"/>
      </w:rPr>
    </w:lvl>
    <w:lvl w:ilvl="3" w:tplc="04090001" w:tentative="1">
      <w:start w:val="1"/>
      <w:numFmt w:val="bullet"/>
      <w:lvlText w:val=""/>
      <w:lvlJc w:val="left"/>
      <w:pPr>
        <w:ind w:left="4190" w:hanging="360"/>
      </w:pPr>
      <w:rPr>
        <w:rFonts w:ascii="Symbol" w:hAnsi="Symbol" w:hint="default"/>
      </w:rPr>
    </w:lvl>
    <w:lvl w:ilvl="4" w:tplc="04090003" w:tentative="1">
      <w:start w:val="1"/>
      <w:numFmt w:val="bullet"/>
      <w:lvlText w:val="o"/>
      <w:lvlJc w:val="left"/>
      <w:pPr>
        <w:ind w:left="4910" w:hanging="360"/>
      </w:pPr>
      <w:rPr>
        <w:rFonts w:ascii="Courier New" w:hAnsi="Courier New" w:hint="default"/>
      </w:rPr>
    </w:lvl>
    <w:lvl w:ilvl="5" w:tplc="04090005" w:tentative="1">
      <w:start w:val="1"/>
      <w:numFmt w:val="bullet"/>
      <w:lvlText w:val=""/>
      <w:lvlJc w:val="left"/>
      <w:pPr>
        <w:ind w:left="5630" w:hanging="360"/>
      </w:pPr>
      <w:rPr>
        <w:rFonts w:ascii="Wingdings" w:hAnsi="Wingdings" w:hint="default"/>
      </w:rPr>
    </w:lvl>
    <w:lvl w:ilvl="6" w:tplc="04090001" w:tentative="1">
      <w:start w:val="1"/>
      <w:numFmt w:val="bullet"/>
      <w:lvlText w:val=""/>
      <w:lvlJc w:val="left"/>
      <w:pPr>
        <w:ind w:left="6350" w:hanging="360"/>
      </w:pPr>
      <w:rPr>
        <w:rFonts w:ascii="Symbol" w:hAnsi="Symbol" w:hint="default"/>
      </w:rPr>
    </w:lvl>
    <w:lvl w:ilvl="7" w:tplc="04090003" w:tentative="1">
      <w:start w:val="1"/>
      <w:numFmt w:val="bullet"/>
      <w:lvlText w:val="o"/>
      <w:lvlJc w:val="left"/>
      <w:pPr>
        <w:ind w:left="7070" w:hanging="360"/>
      </w:pPr>
      <w:rPr>
        <w:rFonts w:ascii="Courier New" w:hAnsi="Courier New" w:hint="default"/>
      </w:rPr>
    </w:lvl>
    <w:lvl w:ilvl="8" w:tplc="04090005" w:tentative="1">
      <w:start w:val="1"/>
      <w:numFmt w:val="bullet"/>
      <w:lvlText w:val=""/>
      <w:lvlJc w:val="left"/>
      <w:pPr>
        <w:ind w:left="7790" w:hanging="360"/>
      </w:pPr>
      <w:rPr>
        <w:rFonts w:ascii="Wingdings" w:hAnsi="Wingdings" w:hint="default"/>
      </w:rPr>
    </w:lvl>
  </w:abstractNum>
  <w:abstractNum w:abstractNumId="27" w15:restartNumberingAfterBreak="0">
    <w:nsid w:val="745E0806"/>
    <w:multiLevelType w:val="hybridMultilevel"/>
    <w:tmpl w:val="BCEA0F00"/>
    <w:lvl w:ilvl="0" w:tplc="02885366">
      <w:start w:val="1"/>
      <w:numFmt w:val="decimal"/>
      <w:lvlText w:val="(%1)"/>
      <w:lvlJc w:val="left"/>
      <w:pPr>
        <w:ind w:left="1800" w:hanging="360"/>
      </w:pPr>
      <w:rPr>
        <w:rFonts w:hint="default"/>
      </w:rPr>
    </w:lvl>
    <w:lvl w:ilvl="1" w:tplc="9DE4B894">
      <w:start w:val="1"/>
      <w:numFmt w:val="lowerLetter"/>
      <w:lvlText w:val="(%2)"/>
      <w:lvlJc w:val="left"/>
      <w:pPr>
        <w:ind w:left="2520" w:hanging="360"/>
      </w:pPr>
      <w:rPr>
        <w:rFonts w:hint="default"/>
      </w:r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8" w15:restartNumberingAfterBreak="0">
    <w:nsid w:val="754E4778"/>
    <w:multiLevelType w:val="hybridMultilevel"/>
    <w:tmpl w:val="B336B6B8"/>
    <w:lvl w:ilvl="0" w:tplc="40962724">
      <w:start w:val="1"/>
      <w:numFmt w:val="decimal"/>
      <w:lvlText w:val="%1."/>
      <w:lvlJc w:val="left"/>
      <w:pPr>
        <w:ind w:left="720" w:hanging="360"/>
      </w:pPr>
    </w:lvl>
    <w:lvl w:ilvl="1" w:tplc="0E542318">
      <w:start w:val="1"/>
      <w:numFmt w:val="lowerLetter"/>
      <w:lvlText w:val="%2."/>
      <w:lvlJc w:val="left"/>
      <w:pPr>
        <w:ind w:left="1440" w:hanging="360"/>
      </w:pPr>
    </w:lvl>
    <w:lvl w:ilvl="2" w:tplc="D046CD82">
      <w:start w:val="1"/>
      <w:numFmt w:val="lowerRoman"/>
      <w:lvlText w:val="%3."/>
      <w:lvlJc w:val="right"/>
      <w:pPr>
        <w:ind w:left="2160" w:hanging="180"/>
      </w:pPr>
    </w:lvl>
    <w:lvl w:ilvl="3" w:tplc="6F44E0D4">
      <w:start w:val="1"/>
      <w:numFmt w:val="decimal"/>
      <w:lvlText w:val="%4."/>
      <w:lvlJc w:val="left"/>
      <w:pPr>
        <w:ind w:left="2880" w:hanging="360"/>
      </w:pPr>
    </w:lvl>
    <w:lvl w:ilvl="4" w:tplc="C89C7C62">
      <w:start w:val="1"/>
      <w:numFmt w:val="lowerLetter"/>
      <w:lvlText w:val="%5."/>
      <w:lvlJc w:val="left"/>
      <w:pPr>
        <w:ind w:left="3600" w:hanging="360"/>
      </w:pPr>
    </w:lvl>
    <w:lvl w:ilvl="5" w:tplc="4092AE90">
      <w:start w:val="1"/>
      <w:numFmt w:val="lowerRoman"/>
      <w:lvlText w:val="%6."/>
      <w:lvlJc w:val="right"/>
      <w:pPr>
        <w:ind w:left="4320" w:hanging="180"/>
      </w:pPr>
    </w:lvl>
    <w:lvl w:ilvl="6" w:tplc="41827586">
      <w:start w:val="1"/>
      <w:numFmt w:val="decimal"/>
      <w:lvlText w:val="%7."/>
      <w:lvlJc w:val="left"/>
      <w:pPr>
        <w:ind w:left="5040" w:hanging="360"/>
      </w:pPr>
    </w:lvl>
    <w:lvl w:ilvl="7" w:tplc="FAD09282">
      <w:start w:val="1"/>
      <w:numFmt w:val="lowerLetter"/>
      <w:lvlText w:val="%8."/>
      <w:lvlJc w:val="left"/>
      <w:pPr>
        <w:ind w:left="5760" w:hanging="360"/>
      </w:pPr>
    </w:lvl>
    <w:lvl w:ilvl="8" w:tplc="EA4E6CA2">
      <w:start w:val="1"/>
      <w:numFmt w:val="lowerRoman"/>
      <w:lvlText w:val="%9."/>
      <w:lvlJc w:val="right"/>
      <w:pPr>
        <w:ind w:left="6480" w:hanging="180"/>
      </w:pPr>
    </w:lvl>
  </w:abstractNum>
  <w:abstractNum w:abstractNumId="29" w15:restartNumberingAfterBreak="0">
    <w:nsid w:val="7ED33E92"/>
    <w:multiLevelType w:val="hybridMultilevel"/>
    <w:tmpl w:val="F2F2D16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854954901">
    <w:abstractNumId w:val="6"/>
  </w:num>
  <w:num w:numId="2" w16cid:durableId="1357658523">
    <w:abstractNumId w:val="5"/>
  </w:num>
  <w:num w:numId="3" w16cid:durableId="1262032782">
    <w:abstractNumId w:val="8"/>
  </w:num>
  <w:num w:numId="4" w16cid:durableId="284698238">
    <w:abstractNumId w:val="1"/>
  </w:num>
  <w:num w:numId="5" w16cid:durableId="987782529">
    <w:abstractNumId w:val="17"/>
  </w:num>
  <w:num w:numId="6" w16cid:durableId="1662418125">
    <w:abstractNumId w:val="28"/>
  </w:num>
  <w:num w:numId="7" w16cid:durableId="1592811131">
    <w:abstractNumId w:val="10"/>
  </w:num>
  <w:num w:numId="8" w16cid:durableId="1737588361">
    <w:abstractNumId w:val="20"/>
  </w:num>
  <w:num w:numId="9" w16cid:durableId="2000962629">
    <w:abstractNumId w:val="12"/>
  </w:num>
  <w:num w:numId="10" w16cid:durableId="1521772905">
    <w:abstractNumId w:val="26"/>
  </w:num>
  <w:num w:numId="11" w16cid:durableId="970132154">
    <w:abstractNumId w:val="13"/>
  </w:num>
  <w:num w:numId="12" w16cid:durableId="1002582577">
    <w:abstractNumId w:val="16"/>
  </w:num>
  <w:num w:numId="13" w16cid:durableId="1224223003">
    <w:abstractNumId w:val="22"/>
  </w:num>
  <w:num w:numId="14" w16cid:durableId="136802258">
    <w:abstractNumId w:val="0"/>
  </w:num>
  <w:num w:numId="15" w16cid:durableId="1826238107">
    <w:abstractNumId w:val="14"/>
  </w:num>
  <w:num w:numId="16" w16cid:durableId="1896351822">
    <w:abstractNumId w:val="25"/>
  </w:num>
  <w:num w:numId="17" w16cid:durableId="921379620">
    <w:abstractNumId w:val="27"/>
  </w:num>
  <w:num w:numId="18" w16cid:durableId="1412041193">
    <w:abstractNumId w:val="23"/>
  </w:num>
  <w:num w:numId="19" w16cid:durableId="1237126685">
    <w:abstractNumId w:val="15"/>
  </w:num>
  <w:num w:numId="20" w16cid:durableId="669988092">
    <w:abstractNumId w:val="3"/>
  </w:num>
  <w:num w:numId="21" w16cid:durableId="1423181035">
    <w:abstractNumId w:val="7"/>
  </w:num>
  <w:num w:numId="22" w16cid:durableId="704716008">
    <w:abstractNumId w:val="13"/>
    <w:lvlOverride w:ilvl="0">
      <w:lvl w:ilvl="0" w:tplc="40928A58">
        <w:start w:val="1"/>
        <w:numFmt w:val="decimal"/>
        <w:lvlText w:val="%1."/>
        <w:lvlJc w:val="left"/>
        <w:pPr>
          <w:ind w:left="720" w:hanging="360"/>
        </w:pPr>
        <w:rPr>
          <w:rFonts w:hint="default"/>
        </w:rPr>
      </w:lvl>
    </w:lvlOverride>
    <w:lvlOverride w:ilvl="1">
      <w:lvl w:ilvl="1" w:tplc="7098FF66">
        <w:start w:val="1"/>
        <w:numFmt w:val="lowerLetter"/>
        <w:lvlText w:val="(%2)"/>
        <w:lvlJc w:val="left"/>
        <w:pPr>
          <w:ind w:left="1440" w:hanging="1083"/>
        </w:pPr>
        <w:rPr>
          <w:rFonts w:ascii="Arial" w:hAnsi="Arial" w:hint="default"/>
          <w:b w:val="0"/>
          <w:i w:val="0"/>
          <w:sz w:val="24"/>
        </w:rPr>
      </w:lvl>
    </w:lvlOverride>
    <w:lvlOverride w:ilvl="2">
      <w:lvl w:ilvl="2" w:tplc="B908F1CC">
        <w:start w:val="1"/>
        <w:numFmt w:val="lowerRoman"/>
        <w:lvlText w:val="(%3)"/>
        <w:lvlJc w:val="right"/>
        <w:pPr>
          <w:ind w:left="2160" w:hanging="180"/>
        </w:pPr>
        <w:rPr>
          <w:rFonts w:hint="default"/>
        </w:rPr>
      </w:lvl>
    </w:lvlOverride>
    <w:lvlOverride w:ilvl="3">
      <w:lvl w:ilvl="3" w:tplc="0409000F">
        <w:start w:val="1"/>
        <w:numFmt w:val="decimal"/>
        <w:lvlText w:val="%4."/>
        <w:lvlJc w:val="left"/>
        <w:pPr>
          <w:ind w:left="2880" w:hanging="360"/>
        </w:pPr>
        <w:rPr>
          <w:rFonts w:hint="default"/>
        </w:rPr>
      </w:lvl>
    </w:lvlOverride>
    <w:lvlOverride w:ilvl="4">
      <w:lvl w:ilvl="4" w:tplc="04090019">
        <w:start w:val="1"/>
        <w:numFmt w:val="lowerLetter"/>
        <w:lvlText w:val="%5."/>
        <w:lvlJc w:val="left"/>
        <w:pPr>
          <w:ind w:left="3600" w:hanging="360"/>
        </w:pPr>
        <w:rPr>
          <w:rFonts w:hint="default"/>
        </w:rPr>
      </w:lvl>
    </w:lvlOverride>
    <w:lvlOverride w:ilvl="5">
      <w:lvl w:ilvl="5" w:tplc="0409001B">
        <w:start w:val="1"/>
        <w:numFmt w:val="lowerRoman"/>
        <w:lvlText w:val="%6."/>
        <w:lvlJc w:val="right"/>
        <w:pPr>
          <w:ind w:left="4320" w:hanging="180"/>
        </w:pPr>
        <w:rPr>
          <w:rFonts w:hint="default"/>
        </w:rPr>
      </w:lvl>
    </w:lvlOverride>
    <w:lvlOverride w:ilvl="6">
      <w:lvl w:ilvl="6" w:tplc="0409000F">
        <w:start w:val="1"/>
        <w:numFmt w:val="decimal"/>
        <w:lvlText w:val="%7."/>
        <w:lvlJc w:val="left"/>
        <w:pPr>
          <w:ind w:left="5040" w:hanging="360"/>
        </w:pPr>
        <w:rPr>
          <w:rFonts w:hint="default"/>
        </w:rPr>
      </w:lvl>
    </w:lvlOverride>
    <w:lvlOverride w:ilvl="7">
      <w:lvl w:ilvl="7" w:tplc="04090019">
        <w:start w:val="1"/>
        <w:numFmt w:val="lowerLetter"/>
        <w:lvlText w:val="%8."/>
        <w:lvlJc w:val="left"/>
        <w:pPr>
          <w:ind w:left="5760" w:hanging="360"/>
        </w:pPr>
        <w:rPr>
          <w:rFonts w:hint="default"/>
        </w:rPr>
      </w:lvl>
    </w:lvlOverride>
    <w:lvlOverride w:ilvl="8">
      <w:lvl w:ilvl="8" w:tplc="0409001B">
        <w:start w:val="1"/>
        <w:numFmt w:val="lowerRoman"/>
        <w:lvlText w:val="%9."/>
        <w:lvlJc w:val="right"/>
        <w:pPr>
          <w:ind w:left="6480" w:hanging="180"/>
        </w:pPr>
        <w:rPr>
          <w:rFonts w:hint="default"/>
        </w:rPr>
      </w:lvl>
    </w:lvlOverride>
  </w:num>
  <w:num w:numId="23" w16cid:durableId="555435186">
    <w:abstractNumId w:val="24"/>
  </w:num>
  <w:num w:numId="24" w16cid:durableId="1309745396">
    <w:abstractNumId w:val="11"/>
  </w:num>
  <w:num w:numId="25" w16cid:durableId="1952124898">
    <w:abstractNumId w:val="29"/>
  </w:num>
  <w:num w:numId="26" w16cid:durableId="1233126785">
    <w:abstractNumId w:val="21"/>
  </w:num>
  <w:num w:numId="27" w16cid:durableId="1224291093">
    <w:abstractNumId w:val="4"/>
  </w:num>
  <w:num w:numId="28" w16cid:durableId="760222560">
    <w:abstractNumId w:val="19"/>
  </w:num>
  <w:num w:numId="29" w16cid:durableId="244267087">
    <w:abstractNumId w:val="9"/>
  </w:num>
  <w:num w:numId="30" w16cid:durableId="1601601099">
    <w:abstractNumId w:val="18"/>
  </w:num>
  <w:num w:numId="31" w16cid:durableId="1672678595">
    <w:abstractNumId w:val="2"/>
  </w:num>
  <w:num w:numId="32" w16cid:durableId="36884722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09E"/>
    <w:rsid w:val="00002F05"/>
    <w:rsid w:val="00003E81"/>
    <w:rsid w:val="00006C58"/>
    <w:rsid w:val="00011605"/>
    <w:rsid w:val="0001409E"/>
    <w:rsid w:val="000145C2"/>
    <w:rsid w:val="00015E17"/>
    <w:rsid w:val="00017B8D"/>
    <w:rsid w:val="0002351E"/>
    <w:rsid w:val="00027B75"/>
    <w:rsid w:val="000345F8"/>
    <w:rsid w:val="000400B0"/>
    <w:rsid w:val="00040546"/>
    <w:rsid w:val="00041E58"/>
    <w:rsid w:val="000432C0"/>
    <w:rsid w:val="0004375F"/>
    <w:rsid w:val="0004421F"/>
    <w:rsid w:val="00044A7F"/>
    <w:rsid w:val="00045B46"/>
    <w:rsid w:val="00045DC1"/>
    <w:rsid w:val="00047983"/>
    <w:rsid w:val="0005083B"/>
    <w:rsid w:val="00051C54"/>
    <w:rsid w:val="00054120"/>
    <w:rsid w:val="000563A0"/>
    <w:rsid w:val="00056960"/>
    <w:rsid w:val="00057023"/>
    <w:rsid w:val="00057D21"/>
    <w:rsid w:val="00061ACB"/>
    <w:rsid w:val="00063EDF"/>
    <w:rsid w:val="000670F6"/>
    <w:rsid w:val="00072293"/>
    <w:rsid w:val="0007280F"/>
    <w:rsid w:val="00072CE6"/>
    <w:rsid w:val="000731D3"/>
    <w:rsid w:val="00074797"/>
    <w:rsid w:val="00075AB0"/>
    <w:rsid w:val="0007682B"/>
    <w:rsid w:val="0007741D"/>
    <w:rsid w:val="0008190B"/>
    <w:rsid w:val="00082A6E"/>
    <w:rsid w:val="00085A21"/>
    <w:rsid w:val="000870ED"/>
    <w:rsid w:val="00091ADA"/>
    <w:rsid w:val="00093880"/>
    <w:rsid w:val="00094383"/>
    <w:rsid w:val="00095FBB"/>
    <w:rsid w:val="0009610D"/>
    <w:rsid w:val="00096517"/>
    <w:rsid w:val="00097FA8"/>
    <w:rsid w:val="000A0247"/>
    <w:rsid w:val="000A1302"/>
    <w:rsid w:val="000A201B"/>
    <w:rsid w:val="000A55D1"/>
    <w:rsid w:val="000A5E39"/>
    <w:rsid w:val="000A6F4F"/>
    <w:rsid w:val="000B57FD"/>
    <w:rsid w:val="000B6C72"/>
    <w:rsid w:val="000B794F"/>
    <w:rsid w:val="000B7F7F"/>
    <w:rsid w:val="000C29D7"/>
    <w:rsid w:val="000D29A6"/>
    <w:rsid w:val="000D49A5"/>
    <w:rsid w:val="000D6788"/>
    <w:rsid w:val="000D7970"/>
    <w:rsid w:val="000E0E7C"/>
    <w:rsid w:val="000E1039"/>
    <w:rsid w:val="000E28E8"/>
    <w:rsid w:val="000E7BE0"/>
    <w:rsid w:val="000F0BC1"/>
    <w:rsid w:val="000F4098"/>
    <w:rsid w:val="000F4C3D"/>
    <w:rsid w:val="000F6C12"/>
    <w:rsid w:val="00100F9D"/>
    <w:rsid w:val="00101B70"/>
    <w:rsid w:val="00102017"/>
    <w:rsid w:val="00102F0B"/>
    <w:rsid w:val="00104CB7"/>
    <w:rsid w:val="00105217"/>
    <w:rsid w:val="001054C2"/>
    <w:rsid w:val="001066BD"/>
    <w:rsid w:val="00107505"/>
    <w:rsid w:val="001115F4"/>
    <w:rsid w:val="001127B0"/>
    <w:rsid w:val="00115449"/>
    <w:rsid w:val="00115525"/>
    <w:rsid w:val="00115E78"/>
    <w:rsid w:val="00121AC7"/>
    <w:rsid w:val="00121E6F"/>
    <w:rsid w:val="0012355C"/>
    <w:rsid w:val="00124A35"/>
    <w:rsid w:val="001255E1"/>
    <w:rsid w:val="00126C1E"/>
    <w:rsid w:val="0012732C"/>
    <w:rsid w:val="00127F7D"/>
    <w:rsid w:val="001304EE"/>
    <w:rsid w:val="00131175"/>
    <w:rsid w:val="001321AF"/>
    <w:rsid w:val="0013713F"/>
    <w:rsid w:val="0014117A"/>
    <w:rsid w:val="0014174F"/>
    <w:rsid w:val="00143341"/>
    <w:rsid w:val="0014471C"/>
    <w:rsid w:val="001456AF"/>
    <w:rsid w:val="00147208"/>
    <w:rsid w:val="00151609"/>
    <w:rsid w:val="00154781"/>
    <w:rsid w:val="00154EC8"/>
    <w:rsid w:val="001614AB"/>
    <w:rsid w:val="00163FA8"/>
    <w:rsid w:val="001667F0"/>
    <w:rsid w:val="001677E8"/>
    <w:rsid w:val="00170AEF"/>
    <w:rsid w:val="001737F2"/>
    <w:rsid w:val="00180112"/>
    <w:rsid w:val="001804D6"/>
    <w:rsid w:val="001825CB"/>
    <w:rsid w:val="00182865"/>
    <w:rsid w:val="00182E06"/>
    <w:rsid w:val="0018381B"/>
    <w:rsid w:val="001839E1"/>
    <w:rsid w:val="00184CB4"/>
    <w:rsid w:val="00184F02"/>
    <w:rsid w:val="001853B8"/>
    <w:rsid w:val="001916E4"/>
    <w:rsid w:val="0019203A"/>
    <w:rsid w:val="00193364"/>
    <w:rsid w:val="00195AEC"/>
    <w:rsid w:val="00195E9F"/>
    <w:rsid w:val="00196BF0"/>
    <w:rsid w:val="001A12BD"/>
    <w:rsid w:val="001A2882"/>
    <w:rsid w:val="001A6BFD"/>
    <w:rsid w:val="001B1A27"/>
    <w:rsid w:val="001B45E5"/>
    <w:rsid w:val="001B5470"/>
    <w:rsid w:val="001B57C6"/>
    <w:rsid w:val="001B5A7C"/>
    <w:rsid w:val="001B61DB"/>
    <w:rsid w:val="001B66BF"/>
    <w:rsid w:val="001C01FD"/>
    <w:rsid w:val="001C127F"/>
    <w:rsid w:val="001C5256"/>
    <w:rsid w:val="001C7E03"/>
    <w:rsid w:val="001D04BD"/>
    <w:rsid w:val="001D4703"/>
    <w:rsid w:val="001D50C0"/>
    <w:rsid w:val="001D5D88"/>
    <w:rsid w:val="001D7758"/>
    <w:rsid w:val="001D77D2"/>
    <w:rsid w:val="001E1376"/>
    <w:rsid w:val="001E24E5"/>
    <w:rsid w:val="001E2603"/>
    <w:rsid w:val="001E3A26"/>
    <w:rsid w:val="001E3D97"/>
    <w:rsid w:val="001E4523"/>
    <w:rsid w:val="001F2F30"/>
    <w:rsid w:val="001F392C"/>
    <w:rsid w:val="001F39D2"/>
    <w:rsid w:val="001F3F19"/>
    <w:rsid w:val="001F5F4B"/>
    <w:rsid w:val="001F612B"/>
    <w:rsid w:val="0020053B"/>
    <w:rsid w:val="00205140"/>
    <w:rsid w:val="00214E8E"/>
    <w:rsid w:val="00225EBF"/>
    <w:rsid w:val="00227178"/>
    <w:rsid w:val="00233F52"/>
    <w:rsid w:val="0023409C"/>
    <w:rsid w:val="00234DDE"/>
    <w:rsid w:val="00235527"/>
    <w:rsid w:val="00235F69"/>
    <w:rsid w:val="002404FC"/>
    <w:rsid w:val="00240EF9"/>
    <w:rsid w:val="0024194E"/>
    <w:rsid w:val="00243B7F"/>
    <w:rsid w:val="00250B5F"/>
    <w:rsid w:val="00252744"/>
    <w:rsid w:val="00253020"/>
    <w:rsid w:val="00253B42"/>
    <w:rsid w:val="00254230"/>
    <w:rsid w:val="002544AD"/>
    <w:rsid w:val="00255CE7"/>
    <w:rsid w:val="00256395"/>
    <w:rsid w:val="00257C9D"/>
    <w:rsid w:val="00260847"/>
    <w:rsid w:val="00262C1B"/>
    <w:rsid w:val="002664D1"/>
    <w:rsid w:val="0026771B"/>
    <w:rsid w:val="002734D5"/>
    <w:rsid w:val="002753D7"/>
    <w:rsid w:val="00275AF9"/>
    <w:rsid w:val="00283D88"/>
    <w:rsid w:val="0028475D"/>
    <w:rsid w:val="00284FF0"/>
    <w:rsid w:val="00287B98"/>
    <w:rsid w:val="002903AB"/>
    <w:rsid w:val="00292C50"/>
    <w:rsid w:val="00292F13"/>
    <w:rsid w:val="0029373C"/>
    <w:rsid w:val="00294914"/>
    <w:rsid w:val="00296DA8"/>
    <w:rsid w:val="00298983"/>
    <w:rsid w:val="002A03F1"/>
    <w:rsid w:val="002A2169"/>
    <w:rsid w:val="002A276B"/>
    <w:rsid w:val="002A3889"/>
    <w:rsid w:val="002A5686"/>
    <w:rsid w:val="002A721D"/>
    <w:rsid w:val="002A7D4F"/>
    <w:rsid w:val="002B1B39"/>
    <w:rsid w:val="002B2801"/>
    <w:rsid w:val="002B65D4"/>
    <w:rsid w:val="002B6953"/>
    <w:rsid w:val="002C29D7"/>
    <w:rsid w:val="002C2C56"/>
    <w:rsid w:val="002C2DE6"/>
    <w:rsid w:val="002C34AD"/>
    <w:rsid w:val="002C39D3"/>
    <w:rsid w:val="002C4C98"/>
    <w:rsid w:val="002C4EC9"/>
    <w:rsid w:val="002C6B8D"/>
    <w:rsid w:val="002C71BA"/>
    <w:rsid w:val="002D140A"/>
    <w:rsid w:val="002D26A0"/>
    <w:rsid w:val="002D450B"/>
    <w:rsid w:val="002D46A2"/>
    <w:rsid w:val="002D46EF"/>
    <w:rsid w:val="002D6D5F"/>
    <w:rsid w:val="002D72DF"/>
    <w:rsid w:val="002E26F9"/>
    <w:rsid w:val="002E433B"/>
    <w:rsid w:val="002E711B"/>
    <w:rsid w:val="002F3B79"/>
    <w:rsid w:val="00300C21"/>
    <w:rsid w:val="00300FBF"/>
    <w:rsid w:val="0030318E"/>
    <w:rsid w:val="00304135"/>
    <w:rsid w:val="00305CC9"/>
    <w:rsid w:val="0030789B"/>
    <w:rsid w:val="00310CB2"/>
    <w:rsid w:val="00312C2A"/>
    <w:rsid w:val="00313855"/>
    <w:rsid w:val="003138B7"/>
    <w:rsid w:val="00317EE5"/>
    <w:rsid w:val="003204FA"/>
    <w:rsid w:val="00321445"/>
    <w:rsid w:val="003217A4"/>
    <w:rsid w:val="00321ABA"/>
    <w:rsid w:val="00325160"/>
    <w:rsid w:val="0032516B"/>
    <w:rsid w:val="00327629"/>
    <w:rsid w:val="0033216F"/>
    <w:rsid w:val="00332452"/>
    <w:rsid w:val="0033637B"/>
    <w:rsid w:val="0034134D"/>
    <w:rsid w:val="00342999"/>
    <w:rsid w:val="00344948"/>
    <w:rsid w:val="00344F59"/>
    <w:rsid w:val="00347E02"/>
    <w:rsid w:val="00350D39"/>
    <w:rsid w:val="003511E6"/>
    <w:rsid w:val="00352682"/>
    <w:rsid w:val="00354BA5"/>
    <w:rsid w:val="0035517B"/>
    <w:rsid w:val="003557F7"/>
    <w:rsid w:val="0035654D"/>
    <w:rsid w:val="0035669C"/>
    <w:rsid w:val="0036076B"/>
    <w:rsid w:val="003619D9"/>
    <w:rsid w:val="0036545D"/>
    <w:rsid w:val="003672B1"/>
    <w:rsid w:val="00370336"/>
    <w:rsid w:val="003706DE"/>
    <w:rsid w:val="00370EC3"/>
    <w:rsid w:val="003711C3"/>
    <w:rsid w:val="0037133A"/>
    <w:rsid w:val="003724D0"/>
    <w:rsid w:val="0037605F"/>
    <w:rsid w:val="003769F9"/>
    <w:rsid w:val="00380959"/>
    <w:rsid w:val="00381E0E"/>
    <w:rsid w:val="003847F0"/>
    <w:rsid w:val="00386466"/>
    <w:rsid w:val="00392522"/>
    <w:rsid w:val="00395332"/>
    <w:rsid w:val="003A09DA"/>
    <w:rsid w:val="003A202A"/>
    <w:rsid w:val="003A351E"/>
    <w:rsid w:val="003A4AF3"/>
    <w:rsid w:val="003A4FD9"/>
    <w:rsid w:val="003A666E"/>
    <w:rsid w:val="003B197E"/>
    <w:rsid w:val="003B19FC"/>
    <w:rsid w:val="003B1D3B"/>
    <w:rsid w:val="003B21B4"/>
    <w:rsid w:val="003B58C3"/>
    <w:rsid w:val="003C24F0"/>
    <w:rsid w:val="003C2709"/>
    <w:rsid w:val="003C443B"/>
    <w:rsid w:val="003C5949"/>
    <w:rsid w:val="003C6A61"/>
    <w:rsid w:val="003C79E0"/>
    <w:rsid w:val="003C7BD4"/>
    <w:rsid w:val="003D0274"/>
    <w:rsid w:val="003D0A46"/>
    <w:rsid w:val="003D2919"/>
    <w:rsid w:val="003D2A63"/>
    <w:rsid w:val="003D3A07"/>
    <w:rsid w:val="003D3AAC"/>
    <w:rsid w:val="003D6190"/>
    <w:rsid w:val="003D625C"/>
    <w:rsid w:val="003D70DF"/>
    <w:rsid w:val="003E773F"/>
    <w:rsid w:val="003F5BB6"/>
    <w:rsid w:val="003F5C29"/>
    <w:rsid w:val="003F6F7E"/>
    <w:rsid w:val="00401131"/>
    <w:rsid w:val="004023A0"/>
    <w:rsid w:val="00405F6B"/>
    <w:rsid w:val="00406EE2"/>
    <w:rsid w:val="00412F87"/>
    <w:rsid w:val="00417706"/>
    <w:rsid w:val="00421429"/>
    <w:rsid w:val="00421B1D"/>
    <w:rsid w:val="004220E3"/>
    <w:rsid w:val="00430FAA"/>
    <w:rsid w:val="00431961"/>
    <w:rsid w:val="00431D51"/>
    <w:rsid w:val="004340A6"/>
    <w:rsid w:val="004374A5"/>
    <w:rsid w:val="004418EC"/>
    <w:rsid w:val="004424F3"/>
    <w:rsid w:val="00445280"/>
    <w:rsid w:val="00445873"/>
    <w:rsid w:val="00446131"/>
    <w:rsid w:val="00446A02"/>
    <w:rsid w:val="00451416"/>
    <w:rsid w:val="0045145B"/>
    <w:rsid w:val="00451C15"/>
    <w:rsid w:val="00453313"/>
    <w:rsid w:val="004538FC"/>
    <w:rsid w:val="00454F70"/>
    <w:rsid w:val="00455EF2"/>
    <w:rsid w:val="0045765D"/>
    <w:rsid w:val="00461B1D"/>
    <w:rsid w:val="00463BEF"/>
    <w:rsid w:val="004646EB"/>
    <w:rsid w:val="00464BAE"/>
    <w:rsid w:val="00466216"/>
    <w:rsid w:val="00466BA2"/>
    <w:rsid w:val="00467D27"/>
    <w:rsid w:val="00473159"/>
    <w:rsid w:val="00473E97"/>
    <w:rsid w:val="00480061"/>
    <w:rsid w:val="0048331A"/>
    <w:rsid w:val="0048437A"/>
    <w:rsid w:val="00495092"/>
    <w:rsid w:val="004963CD"/>
    <w:rsid w:val="00497F50"/>
    <w:rsid w:val="004A2375"/>
    <w:rsid w:val="004A4611"/>
    <w:rsid w:val="004A4C4F"/>
    <w:rsid w:val="004A6F71"/>
    <w:rsid w:val="004B0462"/>
    <w:rsid w:val="004B0599"/>
    <w:rsid w:val="004B2B79"/>
    <w:rsid w:val="004B71ED"/>
    <w:rsid w:val="004C0C4A"/>
    <w:rsid w:val="004C16C1"/>
    <w:rsid w:val="004C17FC"/>
    <w:rsid w:val="004C2886"/>
    <w:rsid w:val="004C5B35"/>
    <w:rsid w:val="004C5F5D"/>
    <w:rsid w:val="004D67C6"/>
    <w:rsid w:val="004E13A9"/>
    <w:rsid w:val="004E21A3"/>
    <w:rsid w:val="004E28FA"/>
    <w:rsid w:val="004E3D6B"/>
    <w:rsid w:val="004E58C1"/>
    <w:rsid w:val="004E5BBB"/>
    <w:rsid w:val="004E60CE"/>
    <w:rsid w:val="004E75CB"/>
    <w:rsid w:val="004F2CB8"/>
    <w:rsid w:val="004F4CB1"/>
    <w:rsid w:val="004F6BE0"/>
    <w:rsid w:val="004F74B3"/>
    <w:rsid w:val="005009D5"/>
    <w:rsid w:val="00501890"/>
    <w:rsid w:val="00502924"/>
    <w:rsid w:val="00503303"/>
    <w:rsid w:val="00506B68"/>
    <w:rsid w:val="00506BAC"/>
    <w:rsid w:val="00514CC3"/>
    <w:rsid w:val="005161F9"/>
    <w:rsid w:val="00516283"/>
    <w:rsid w:val="0051740E"/>
    <w:rsid w:val="00517621"/>
    <w:rsid w:val="00517D74"/>
    <w:rsid w:val="00521741"/>
    <w:rsid w:val="00522A77"/>
    <w:rsid w:val="0052616E"/>
    <w:rsid w:val="00526535"/>
    <w:rsid w:val="00530373"/>
    <w:rsid w:val="00531921"/>
    <w:rsid w:val="00532125"/>
    <w:rsid w:val="00541402"/>
    <w:rsid w:val="00541CEC"/>
    <w:rsid w:val="005429BA"/>
    <w:rsid w:val="005469C6"/>
    <w:rsid w:val="00547B89"/>
    <w:rsid w:val="00547E9D"/>
    <w:rsid w:val="00551147"/>
    <w:rsid w:val="005511E9"/>
    <w:rsid w:val="005519F5"/>
    <w:rsid w:val="00552072"/>
    <w:rsid w:val="005530D7"/>
    <w:rsid w:val="005532D1"/>
    <w:rsid w:val="0055343F"/>
    <w:rsid w:val="005540B1"/>
    <w:rsid w:val="005606AA"/>
    <w:rsid w:val="00561A40"/>
    <w:rsid w:val="0056675B"/>
    <w:rsid w:val="00566D18"/>
    <w:rsid w:val="005673E8"/>
    <w:rsid w:val="00570B41"/>
    <w:rsid w:val="005722A4"/>
    <w:rsid w:val="00574D60"/>
    <w:rsid w:val="0057678D"/>
    <w:rsid w:val="00580083"/>
    <w:rsid w:val="005800E8"/>
    <w:rsid w:val="00585B83"/>
    <w:rsid w:val="005872F2"/>
    <w:rsid w:val="0058732E"/>
    <w:rsid w:val="00587E58"/>
    <w:rsid w:val="005909C8"/>
    <w:rsid w:val="00591012"/>
    <w:rsid w:val="005916EB"/>
    <w:rsid w:val="00592D92"/>
    <w:rsid w:val="005956D1"/>
    <w:rsid w:val="00597534"/>
    <w:rsid w:val="005A0861"/>
    <w:rsid w:val="005A0D2B"/>
    <w:rsid w:val="005A0F2A"/>
    <w:rsid w:val="005A1AC8"/>
    <w:rsid w:val="005A235E"/>
    <w:rsid w:val="005A5F2F"/>
    <w:rsid w:val="005A6CF7"/>
    <w:rsid w:val="005B2B73"/>
    <w:rsid w:val="005B2BC3"/>
    <w:rsid w:val="005B38D2"/>
    <w:rsid w:val="005B404C"/>
    <w:rsid w:val="005B510F"/>
    <w:rsid w:val="005B5CDA"/>
    <w:rsid w:val="005B6293"/>
    <w:rsid w:val="005B7E50"/>
    <w:rsid w:val="005C3FB8"/>
    <w:rsid w:val="005C4EF4"/>
    <w:rsid w:val="005C5064"/>
    <w:rsid w:val="005C6FD7"/>
    <w:rsid w:val="005D52DF"/>
    <w:rsid w:val="005D5A16"/>
    <w:rsid w:val="005D5E6D"/>
    <w:rsid w:val="005D7772"/>
    <w:rsid w:val="005E452A"/>
    <w:rsid w:val="005E5159"/>
    <w:rsid w:val="005E676B"/>
    <w:rsid w:val="005F056A"/>
    <w:rsid w:val="005F0F47"/>
    <w:rsid w:val="005F18C8"/>
    <w:rsid w:val="005F2BFA"/>
    <w:rsid w:val="005F5B23"/>
    <w:rsid w:val="005F75F1"/>
    <w:rsid w:val="005F76AC"/>
    <w:rsid w:val="00604710"/>
    <w:rsid w:val="00605ADB"/>
    <w:rsid w:val="00605E87"/>
    <w:rsid w:val="006070F5"/>
    <w:rsid w:val="00611D88"/>
    <w:rsid w:val="00614DFC"/>
    <w:rsid w:val="00617E4F"/>
    <w:rsid w:val="006203F7"/>
    <w:rsid w:val="00620E96"/>
    <w:rsid w:val="0062139A"/>
    <w:rsid w:val="00626F21"/>
    <w:rsid w:val="00627334"/>
    <w:rsid w:val="00627628"/>
    <w:rsid w:val="006308CE"/>
    <w:rsid w:val="00630FAD"/>
    <w:rsid w:val="006335BE"/>
    <w:rsid w:val="006361D2"/>
    <w:rsid w:val="00642FB8"/>
    <w:rsid w:val="00643968"/>
    <w:rsid w:val="00644BC2"/>
    <w:rsid w:val="00644E93"/>
    <w:rsid w:val="00646565"/>
    <w:rsid w:val="006466AD"/>
    <w:rsid w:val="006475C6"/>
    <w:rsid w:val="006478C0"/>
    <w:rsid w:val="0065678C"/>
    <w:rsid w:val="0066076F"/>
    <w:rsid w:val="006633A8"/>
    <w:rsid w:val="006649C2"/>
    <w:rsid w:val="00667C9B"/>
    <w:rsid w:val="0067083A"/>
    <w:rsid w:val="006748C9"/>
    <w:rsid w:val="00675B23"/>
    <w:rsid w:val="006769BF"/>
    <w:rsid w:val="00680A56"/>
    <w:rsid w:val="00680B45"/>
    <w:rsid w:val="006821CA"/>
    <w:rsid w:val="0068747D"/>
    <w:rsid w:val="00687828"/>
    <w:rsid w:val="0069007B"/>
    <w:rsid w:val="00694221"/>
    <w:rsid w:val="00694EB0"/>
    <w:rsid w:val="006A16CA"/>
    <w:rsid w:val="006A2C44"/>
    <w:rsid w:val="006A39A0"/>
    <w:rsid w:val="006A7B3A"/>
    <w:rsid w:val="006B202C"/>
    <w:rsid w:val="006C02DF"/>
    <w:rsid w:val="006C07E8"/>
    <w:rsid w:val="006C55C5"/>
    <w:rsid w:val="006C68BC"/>
    <w:rsid w:val="006C7BE4"/>
    <w:rsid w:val="006D0CD6"/>
    <w:rsid w:val="006D1DA9"/>
    <w:rsid w:val="006D3909"/>
    <w:rsid w:val="006D7A58"/>
    <w:rsid w:val="006D7FC3"/>
    <w:rsid w:val="006E3E57"/>
    <w:rsid w:val="006E6A9A"/>
    <w:rsid w:val="006E7ACA"/>
    <w:rsid w:val="006F0979"/>
    <w:rsid w:val="006F1EFD"/>
    <w:rsid w:val="006F1F8D"/>
    <w:rsid w:val="006F548F"/>
    <w:rsid w:val="006F673D"/>
    <w:rsid w:val="00701BE5"/>
    <w:rsid w:val="007061FC"/>
    <w:rsid w:val="007069A1"/>
    <w:rsid w:val="00706A05"/>
    <w:rsid w:val="00706F59"/>
    <w:rsid w:val="00720330"/>
    <w:rsid w:val="00721431"/>
    <w:rsid w:val="00722F9F"/>
    <w:rsid w:val="0072525B"/>
    <w:rsid w:val="00730224"/>
    <w:rsid w:val="0073127D"/>
    <w:rsid w:val="00735760"/>
    <w:rsid w:val="00735BA1"/>
    <w:rsid w:val="00736E7E"/>
    <w:rsid w:val="00737A8D"/>
    <w:rsid w:val="00737D24"/>
    <w:rsid w:val="00740736"/>
    <w:rsid w:val="00751AE0"/>
    <w:rsid w:val="00753BD8"/>
    <w:rsid w:val="00755AED"/>
    <w:rsid w:val="007619FB"/>
    <w:rsid w:val="00761F4A"/>
    <w:rsid w:val="00762261"/>
    <w:rsid w:val="00763604"/>
    <w:rsid w:val="0076799D"/>
    <w:rsid w:val="007722B9"/>
    <w:rsid w:val="007742DA"/>
    <w:rsid w:val="007760C9"/>
    <w:rsid w:val="00780534"/>
    <w:rsid w:val="00785AFB"/>
    <w:rsid w:val="0079054A"/>
    <w:rsid w:val="007909A8"/>
    <w:rsid w:val="0079519D"/>
    <w:rsid w:val="007A3143"/>
    <w:rsid w:val="007A45D7"/>
    <w:rsid w:val="007A7512"/>
    <w:rsid w:val="007A7AD0"/>
    <w:rsid w:val="007B1DCD"/>
    <w:rsid w:val="007B34E4"/>
    <w:rsid w:val="007B3C11"/>
    <w:rsid w:val="007B538A"/>
    <w:rsid w:val="007B78A0"/>
    <w:rsid w:val="007C0D75"/>
    <w:rsid w:val="007C20A9"/>
    <w:rsid w:val="007C3396"/>
    <w:rsid w:val="007C3E57"/>
    <w:rsid w:val="007C47D8"/>
    <w:rsid w:val="007C510E"/>
    <w:rsid w:val="007C617A"/>
    <w:rsid w:val="007C62E7"/>
    <w:rsid w:val="007D0694"/>
    <w:rsid w:val="007D08D1"/>
    <w:rsid w:val="007D0AF8"/>
    <w:rsid w:val="007D376C"/>
    <w:rsid w:val="007D6F24"/>
    <w:rsid w:val="007E22CF"/>
    <w:rsid w:val="007E2742"/>
    <w:rsid w:val="007F2D35"/>
    <w:rsid w:val="007F4F44"/>
    <w:rsid w:val="007F6A7A"/>
    <w:rsid w:val="00801179"/>
    <w:rsid w:val="00801E84"/>
    <w:rsid w:val="0080290B"/>
    <w:rsid w:val="008037F9"/>
    <w:rsid w:val="00805768"/>
    <w:rsid w:val="008074D7"/>
    <w:rsid w:val="008101EC"/>
    <w:rsid w:val="00810560"/>
    <w:rsid w:val="00812C15"/>
    <w:rsid w:val="0081736C"/>
    <w:rsid w:val="00822F22"/>
    <w:rsid w:val="008234E1"/>
    <w:rsid w:val="00827429"/>
    <w:rsid w:val="00830646"/>
    <w:rsid w:val="008327AD"/>
    <w:rsid w:val="00834537"/>
    <w:rsid w:val="0084018D"/>
    <w:rsid w:val="008410FE"/>
    <w:rsid w:val="00841441"/>
    <w:rsid w:val="0084265B"/>
    <w:rsid w:val="00843975"/>
    <w:rsid w:val="00843C01"/>
    <w:rsid w:val="008466F8"/>
    <w:rsid w:val="0084699A"/>
    <w:rsid w:val="008470F3"/>
    <w:rsid w:val="0084767E"/>
    <w:rsid w:val="00850155"/>
    <w:rsid w:val="0085085B"/>
    <w:rsid w:val="0085682F"/>
    <w:rsid w:val="00857F29"/>
    <w:rsid w:val="008612AD"/>
    <w:rsid w:val="00861A5F"/>
    <w:rsid w:val="00862745"/>
    <w:rsid w:val="0086439D"/>
    <w:rsid w:val="00867AFD"/>
    <w:rsid w:val="008705B1"/>
    <w:rsid w:val="00871324"/>
    <w:rsid w:val="00873C17"/>
    <w:rsid w:val="00873CD9"/>
    <w:rsid w:val="00874454"/>
    <w:rsid w:val="008771D2"/>
    <w:rsid w:val="00881695"/>
    <w:rsid w:val="00882311"/>
    <w:rsid w:val="00882DA9"/>
    <w:rsid w:val="00882F5A"/>
    <w:rsid w:val="00884DFD"/>
    <w:rsid w:val="00890A4C"/>
    <w:rsid w:val="00890F43"/>
    <w:rsid w:val="0089208D"/>
    <w:rsid w:val="008930A1"/>
    <w:rsid w:val="00894489"/>
    <w:rsid w:val="00894F64"/>
    <w:rsid w:val="008970A8"/>
    <w:rsid w:val="008A1C69"/>
    <w:rsid w:val="008A6470"/>
    <w:rsid w:val="008A76CC"/>
    <w:rsid w:val="008B0352"/>
    <w:rsid w:val="008B3191"/>
    <w:rsid w:val="008B3FEC"/>
    <w:rsid w:val="008B73E0"/>
    <w:rsid w:val="008B74B3"/>
    <w:rsid w:val="008C0629"/>
    <w:rsid w:val="008C0CD6"/>
    <w:rsid w:val="008C3D59"/>
    <w:rsid w:val="008C4E63"/>
    <w:rsid w:val="008C6189"/>
    <w:rsid w:val="008C7A57"/>
    <w:rsid w:val="008D29B3"/>
    <w:rsid w:val="008D2F2A"/>
    <w:rsid w:val="008D4D8D"/>
    <w:rsid w:val="008D66BD"/>
    <w:rsid w:val="008D79BD"/>
    <w:rsid w:val="008E2906"/>
    <w:rsid w:val="008E2FB8"/>
    <w:rsid w:val="008E304C"/>
    <w:rsid w:val="008E53EB"/>
    <w:rsid w:val="008E792D"/>
    <w:rsid w:val="008F170C"/>
    <w:rsid w:val="008F170F"/>
    <w:rsid w:val="0090102E"/>
    <w:rsid w:val="00902163"/>
    <w:rsid w:val="00903205"/>
    <w:rsid w:val="00905A21"/>
    <w:rsid w:val="00905AC4"/>
    <w:rsid w:val="00906565"/>
    <w:rsid w:val="009116DC"/>
    <w:rsid w:val="00911D8C"/>
    <w:rsid w:val="00912E7D"/>
    <w:rsid w:val="00914828"/>
    <w:rsid w:val="009166F7"/>
    <w:rsid w:val="009209CF"/>
    <w:rsid w:val="00921696"/>
    <w:rsid w:val="00930E13"/>
    <w:rsid w:val="009350E7"/>
    <w:rsid w:val="00937421"/>
    <w:rsid w:val="00940228"/>
    <w:rsid w:val="00945B66"/>
    <w:rsid w:val="00945C85"/>
    <w:rsid w:val="00946958"/>
    <w:rsid w:val="009477A9"/>
    <w:rsid w:val="009500AD"/>
    <w:rsid w:val="0095187D"/>
    <w:rsid w:val="00951B90"/>
    <w:rsid w:val="0095636D"/>
    <w:rsid w:val="009607AE"/>
    <w:rsid w:val="00961EE1"/>
    <w:rsid w:val="00961EFD"/>
    <w:rsid w:val="0096282F"/>
    <w:rsid w:val="00964D1A"/>
    <w:rsid w:val="009663CA"/>
    <w:rsid w:val="0097026A"/>
    <w:rsid w:val="0097202A"/>
    <w:rsid w:val="0097278A"/>
    <w:rsid w:val="009746DD"/>
    <w:rsid w:val="00977480"/>
    <w:rsid w:val="0098102A"/>
    <w:rsid w:val="00981C06"/>
    <w:rsid w:val="00986AA9"/>
    <w:rsid w:val="00987057"/>
    <w:rsid w:val="009935C3"/>
    <w:rsid w:val="0099392B"/>
    <w:rsid w:val="00993F50"/>
    <w:rsid w:val="0099533C"/>
    <w:rsid w:val="00996B62"/>
    <w:rsid w:val="009A04FD"/>
    <w:rsid w:val="009A189D"/>
    <w:rsid w:val="009A556B"/>
    <w:rsid w:val="009B0D0E"/>
    <w:rsid w:val="009B2183"/>
    <w:rsid w:val="009B2625"/>
    <w:rsid w:val="009B3106"/>
    <w:rsid w:val="009B6FE4"/>
    <w:rsid w:val="009C2456"/>
    <w:rsid w:val="009C2E7F"/>
    <w:rsid w:val="009D2832"/>
    <w:rsid w:val="009D2F4B"/>
    <w:rsid w:val="009D3109"/>
    <w:rsid w:val="009D3B40"/>
    <w:rsid w:val="009D552E"/>
    <w:rsid w:val="009D7168"/>
    <w:rsid w:val="009D738D"/>
    <w:rsid w:val="009E2106"/>
    <w:rsid w:val="009E295E"/>
    <w:rsid w:val="009E34E4"/>
    <w:rsid w:val="009E36E7"/>
    <w:rsid w:val="009E6149"/>
    <w:rsid w:val="009E76BB"/>
    <w:rsid w:val="009F0135"/>
    <w:rsid w:val="009F304A"/>
    <w:rsid w:val="009F3E8A"/>
    <w:rsid w:val="009F5794"/>
    <w:rsid w:val="009F693C"/>
    <w:rsid w:val="00A0082F"/>
    <w:rsid w:val="00A01B79"/>
    <w:rsid w:val="00A023C1"/>
    <w:rsid w:val="00A02B0D"/>
    <w:rsid w:val="00A033A7"/>
    <w:rsid w:val="00A05064"/>
    <w:rsid w:val="00A07427"/>
    <w:rsid w:val="00A112E6"/>
    <w:rsid w:val="00A1335F"/>
    <w:rsid w:val="00A150FC"/>
    <w:rsid w:val="00A16356"/>
    <w:rsid w:val="00A20751"/>
    <w:rsid w:val="00A20F0F"/>
    <w:rsid w:val="00A221BA"/>
    <w:rsid w:val="00A30198"/>
    <w:rsid w:val="00A3024C"/>
    <w:rsid w:val="00A308F6"/>
    <w:rsid w:val="00A32372"/>
    <w:rsid w:val="00A34930"/>
    <w:rsid w:val="00A3500C"/>
    <w:rsid w:val="00A35ADE"/>
    <w:rsid w:val="00A35BBA"/>
    <w:rsid w:val="00A42A6B"/>
    <w:rsid w:val="00A45369"/>
    <w:rsid w:val="00A45742"/>
    <w:rsid w:val="00A53D1F"/>
    <w:rsid w:val="00A5620B"/>
    <w:rsid w:val="00A56AFD"/>
    <w:rsid w:val="00A578F2"/>
    <w:rsid w:val="00A57EA6"/>
    <w:rsid w:val="00A61825"/>
    <w:rsid w:val="00A64DB3"/>
    <w:rsid w:val="00A64EF2"/>
    <w:rsid w:val="00A65578"/>
    <w:rsid w:val="00A6639F"/>
    <w:rsid w:val="00A66B0D"/>
    <w:rsid w:val="00A67175"/>
    <w:rsid w:val="00A70E36"/>
    <w:rsid w:val="00A70FF8"/>
    <w:rsid w:val="00A71792"/>
    <w:rsid w:val="00A717E4"/>
    <w:rsid w:val="00A73896"/>
    <w:rsid w:val="00A826B4"/>
    <w:rsid w:val="00A83417"/>
    <w:rsid w:val="00A8730B"/>
    <w:rsid w:val="00A90373"/>
    <w:rsid w:val="00A91A32"/>
    <w:rsid w:val="00A96B67"/>
    <w:rsid w:val="00AA020F"/>
    <w:rsid w:val="00AA0C6A"/>
    <w:rsid w:val="00AA289F"/>
    <w:rsid w:val="00AA4246"/>
    <w:rsid w:val="00AB0217"/>
    <w:rsid w:val="00AB1A35"/>
    <w:rsid w:val="00AB1D74"/>
    <w:rsid w:val="00AB3AFD"/>
    <w:rsid w:val="00AB7162"/>
    <w:rsid w:val="00AC0610"/>
    <w:rsid w:val="00AC0D3D"/>
    <w:rsid w:val="00AC2739"/>
    <w:rsid w:val="00AC398F"/>
    <w:rsid w:val="00AC5584"/>
    <w:rsid w:val="00AC7E6C"/>
    <w:rsid w:val="00AD27D0"/>
    <w:rsid w:val="00AD3773"/>
    <w:rsid w:val="00AE176D"/>
    <w:rsid w:val="00AE1912"/>
    <w:rsid w:val="00AE3A61"/>
    <w:rsid w:val="00AE43C9"/>
    <w:rsid w:val="00AE5786"/>
    <w:rsid w:val="00AF08B1"/>
    <w:rsid w:val="00AF0BDD"/>
    <w:rsid w:val="00AF3679"/>
    <w:rsid w:val="00AF5B88"/>
    <w:rsid w:val="00AF6597"/>
    <w:rsid w:val="00B00543"/>
    <w:rsid w:val="00B03079"/>
    <w:rsid w:val="00B05CDB"/>
    <w:rsid w:val="00B11094"/>
    <w:rsid w:val="00B129EB"/>
    <w:rsid w:val="00B12B3C"/>
    <w:rsid w:val="00B15E96"/>
    <w:rsid w:val="00B21FCA"/>
    <w:rsid w:val="00B25BB6"/>
    <w:rsid w:val="00B2692B"/>
    <w:rsid w:val="00B3150B"/>
    <w:rsid w:val="00B34C82"/>
    <w:rsid w:val="00B35585"/>
    <w:rsid w:val="00B360EA"/>
    <w:rsid w:val="00B41356"/>
    <w:rsid w:val="00B42D22"/>
    <w:rsid w:val="00B46BAB"/>
    <w:rsid w:val="00B50F67"/>
    <w:rsid w:val="00B51BA5"/>
    <w:rsid w:val="00B53467"/>
    <w:rsid w:val="00B5380E"/>
    <w:rsid w:val="00B54770"/>
    <w:rsid w:val="00B601D8"/>
    <w:rsid w:val="00B616D0"/>
    <w:rsid w:val="00B6191A"/>
    <w:rsid w:val="00B66034"/>
    <w:rsid w:val="00B66D44"/>
    <w:rsid w:val="00B67E6E"/>
    <w:rsid w:val="00B72698"/>
    <w:rsid w:val="00B74442"/>
    <w:rsid w:val="00B776FE"/>
    <w:rsid w:val="00B8068F"/>
    <w:rsid w:val="00B81587"/>
    <w:rsid w:val="00B82CE9"/>
    <w:rsid w:val="00B83AE9"/>
    <w:rsid w:val="00B84CD8"/>
    <w:rsid w:val="00B86E61"/>
    <w:rsid w:val="00B8743D"/>
    <w:rsid w:val="00B87FB4"/>
    <w:rsid w:val="00B91EA6"/>
    <w:rsid w:val="00B933A9"/>
    <w:rsid w:val="00B95C64"/>
    <w:rsid w:val="00BA4A84"/>
    <w:rsid w:val="00BA6EDD"/>
    <w:rsid w:val="00BB0329"/>
    <w:rsid w:val="00BB0677"/>
    <w:rsid w:val="00BB0679"/>
    <w:rsid w:val="00BB0B80"/>
    <w:rsid w:val="00BB2F50"/>
    <w:rsid w:val="00BB52DF"/>
    <w:rsid w:val="00BC3BD7"/>
    <w:rsid w:val="00BC456E"/>
    <w:rsid w:val="00BC6C7F"/>
    <w:rsid w:val="00BD0124"/>
    <w:rsid w:val="00BD354B"/>
    <w:rsid w:val="00BD3A01"/>
    <w:rsid w:val="00BD630E"/>
    <w:rsid w:val="00BD7DA3"/>
    <w:rsid w:val="00BE4796"/>
    <w:rsid w:val="00BE6E16"/>
    <w:rsid w:val="00BE7282"/>
    <w:rsid w:val="00BF5532"/>
    <w:rsid w:val="00C00A73"/>
    <w:rsid w:val="00C022FF"/>
    <w:rsid w:val="00C02D55"/>
    <w:rsid w:val="00C048D2"/>
    <w:rsid w:val="00C04DE5"/>
    <w:rsid w:val="00C05094"/>
    <w:rsid w:val="00C07B61"/>
    <w:rsid w:val="00C105EC"/>
    <w:rsid w:val="00C10A4C"/>
    <w:rsid w:val="00C12686"/>
    <w:rsid w:val="00C13834"/>
    <w:rsid w:val="00C232C0"/>
    <w:rsid w:val="00C2407F"/>
    <w:rsid w:val="00C255F9"/>
    <w:rsid w:val="00C27517"/>
    <w:rsid w:val="00C309A5"/>
    <w:rsid w:val="00C32A27"/>
    <w:rsid w:val="00C33416"/>
    <w:rsid w:val="00C33A3F"/>
    <w:rsid w:val="00C35743"/>
    <w:rsid w:val="00C360D7"/>
    <w:rsid w:val="00C4116E"/>
    <w:rsid w:val="00C43136"/>
    <w:rsid w:val="00C43307"/>
    <w:rsid w:val="00C44B24"/>
    <w:rsid w:val="00C45339"/>
    <w:rsid w:val="00C463C7"/>
    <w:rsid w:val="00C500FF"/>
    <w:rsid w:val="00C526DC"/>
    <w:rsid w:val="00C529BF"/>
    <w:rsid w:val="00C54DDF"/>
    <w:rsid w:val="00C559D2"/>
    <w:rsid w:val="00C6055F"/>
    <w:rsid w:val="00C60D95"/>
    <w:rsid w:val="00C615D3"/>
    <w:rsid w:val="00C627FD"/>
    <w:rsid w:val="00C641D7"/>
    <w:rsid w:val="00C641EA"/>
    <w:rsid w:val="00C66E1D"/>
    <w:rsid w:val="00C70158"/>
    <w:rsid w:val="00C70C0E"/>
    <w:rsid w:val="00C7278B"/>
    <w:rsid w:val="00C748D5"/>
    <w:rsid w:val="00C762EF"/>
    <w:rsid w:val="00C764F9"/>
    <w:rsid w:val="00C77BEA"/>
    <w:rsid w:val="00C8105F"/>
    <w:rsid w:val="00C834B0"/>
    <w:rsid w:val="00C8564F"/>
    <w:rsid w:val="00C86084"/>
    <w:rsid w:val="00C8732A"/>
    <w:rsid w:val="00C9277F"/>
    <w:rsid w:val="00C939B6"/>
    <w:rsid w:val="00C946D6"/>
    <w:rsid w:val="00C9497D"/>
    <w:rsid w:val="00C9716F"/>
    <w:rsid w:val="00CA0C87"/>
    <w:rsid w:val="00CA0D3B"/>
    <w:rsid w:val="00CA162B"/>
    <w:rsid w:val="00CA23CF"/>
    <w:rsid w:val="00CA4879"/>
    <w:rsid w:val="00CA49E4"/>
    <w:rsid w:val="00CA4EBF"/>
    <w:rsid w:val="00CA6A29"/>
    <w:rsid w:val="00CB0BBF"/>
    <w:rsid w:val="00CB2F13"/>
    <w:rsid w:val="00CB449E"/>
    <w:rsid w:val="00CB5A93"/>
    <w:rsid w:val="00CB6CD4"/>
    <w:rsid w:val="00CB6DFD"/>
    <w:rsid w:val="00CC18E2"/>
    <w:rsid w:val="00CC25B9"/>
    <w:rsid w:val="00CC2E5C"/>
    <w:rsid w:val="00CC2F9A"/>
    <w:rsid w:val="00CC4F9F"/>
    <w:rsid w:val="00CC6619"/>
    <w:rsid w:val="00CD0650"/>
    <w:rsid w:val="00CD1083"/>
    <w:rsid w:val="00CD1C1E"/>
    <w:rsid w:val="00CD21A4"/>
    <w:rsid w:val="00CD2337"/>
    <w:rsid w:val="00CD2B77"/>
    <w:rsid w:val="00CD2C06"/>
    <w:rsid w:val="00CD65B8"/>
    <w:rsid w:val="00CD7704"/>
    <w:rsid w:val="00CE03F3"/>
    <w:rsid w:val="00CE14AA"/>
    <w:rsid w:val="00CE1730"/>
    <w:rsid w:val="00CE1B80"/>
    <w:rsid w:val="00CE246B"/>
    <w:rsid w:val="00CE31CF"/>
    <w:rsid w:val="00CE4544"/>
    <w:rsid w:val="00CF2162"/>
    <w:rsid w:val="00D00D47"/>
    <w:rsid w:val="00D05AF8"/>
    <w:rsid w:val="00D070C6"/>
    <w:rsid w:val="00D102EC"/>
    <w:rsid w:val="00D14250"/>
    <w:rsid w:val="00D16204"/>
    <w:rsid w:val="00D174CE"/>
    <w:rsid w:val="00D21103"/>
    <w:rsid w:val="00D223E9"/>
    <w:rsid w:val="00D22D2F"/>
    <w:rsid w:val="00D23CBE"/>
    <w:rsid w:val="00D2482D"/>
    <w:rsid w:val="00D32835"/>
    <w:rsid w:val="00D33110"/>
    <w:rsid w:val="00D33198"/>
    <w:rsid w:val="00D33269"/>
    <w:rsid w:val="00D33FEE"/>
    <w:rsid w:val="00D35B0E"/>
    <w:rsid w:val="00D379B8"/>
    <w:rsid w:val="00D37D0A"/>
    <w:rsid w:val="00D41D93"/>
    <w:rsid w:val="00D42B69"/>
    <w:rsid w:val="00D437B5"/>
    <w:rsid w:val="00D43D27"/>
    <w:rsid w:val="00D51D77"/>
    <w:rsid w:val="00D552C6"/>
    <w:rsid w:val="00D56B5E"/>
    <w:rsid w:val="00D56D00"/>
    <w:rsid w:val="00D57061"/>
    <w:rsid w:val="00D61B81"/>
    <w:rsid w:val="00D6241A"/>
    <w:rsid w:val="00D6278F"/>
    <w:rsid w:val="00D62DF8"/>
    <w:rsid w:val="00D7039C"/>
    <w:rsid w:val="00D71976"/>
    <w:rsid w:val="00D71C32"/>
    <w:rsid w:val="00D72889"/>
    <w:rsid w:val="00D73D96"/>
    <w:rsid w:val="00D74335"/>
    <w:rsid w:val="00D748B6"/>
    <w:rsid w:val="00D76F2A"/>
    <w:rsid w:val="00D77281"/>
    <w:rsid w:val="00D8115F"/>
    <w:rsid w:val="00D82219"/>
    <w:rsid w:val="00D86386"/>
    <w:rsid w:val="00D86890"/>
    <w:rsid w:val="00D86E8E"/>
    <w:rsid w:val="00D87A48"/>
    <w:rsid w:val="00D90B8F"/>
    <w:rsid w:val="00D91ED0"/>
    <w:rsid w:val="00D931A3"/>
    <w:rsid w:val="00D935A2"/>
    <w:rsid w:val="00D96207"/>
    <w:rsid w:val="00D96980"/>
    <w:rsid w:val="00D96EF3"/>
    <w:rsid w:val="00D978D8"/>
    <w:rsid w:val="00DA26D7"/>
    <w:rsid w:val="00DA3BA2"/>
    <w:rsid w:val="00DA5997"/>
    <w:rsid w:val="00DA613C"/>
    <w:rsid w:val="00DB1329"/>
    <w:rsid w:val="00DB14D4"/>
    <w:rsid w:val="00DB53C9"/>
    <w:rsid w:val="00DB53E9"/>
    <w:rsid w:val="00DC0A10"/>
    <w:rsid w:val="00DC0EDF"/>
    <w:rsid w:val="00DC553C"/>
    <w:rsid w:val="00DC651D"/>
    <w:rsid w:val="00DC7280"/>
    <w:rsid w:val="00DC7895"/>
    <w:rsid w:val="00DC7AEC"/>
    <w:rsid w:val="00DD02CB"/>
    <w:rsid w:val="00DD0BD5"/>
    <w:rsid w:val="00DD23EA"/>
    <w:rsid w:val="00DD2998"/>
    <w:rsid w:val="00DD324E"/>
    <w:rsid w:val="00DD4168"/>
    <w:rsid w:val="00DD5B86"/>
    <w:rsid w:val="00DD74A7"/>
    <w:rsid w:val="00DD7883"/>
    <w:rsid w:val="00DE0CE2"/>
    <w:rsid w:val="00DE2C21"/>
    <w:rsid w:val="00DE37C1"/>
    <w:rsid w:val="00DE3EA1"/>
    <w:rsid w:val="00DE4F81"/>
    <w:rsid w:val="00DE62F6"/>
    <w:rsid w:val="00DF1430"/>
    <w:rsid w:val="00DF3463"/>
    <w:rsid w:val="00DF5AE3"/>
    <w:rsid w:val="00DF6E1A"/>
    <w:rsid w:val="00DF7C30"/>
    <w:rsid w:val="00E01A24"/>
    <w:rsid w:val="00E02BF6"/>
    <w:rsid w:val="00E061B9"/>
    <w:rsid w:val="00E1205E"/>
    <w:rsid w:val="00E12608"/>
    <w:rsid w:val="00E13701"/>
    <w:rsid w:val="00E13CAE"/>
    <w:rsid w:val="00E15E88"/>
    <w:rsid w:val="00E1631A"/>
    <w:rsid w:val="00E17E31"/>
    <w:rsid w:val="00E2704F"/>
    <w:rsid w:val="00E27797"/>
    <w:rsid w:val="00E30675"/>
    <w:rsid w:val="00E33241"/>
    <w:rsid w:val="00E35BB4"/>
    <w:rsid w:val="00E4384F"/>
    <w:rsid w:val="00E441AC"/>
    <w:rsid w:val="00E4515C"/>
    <w:rsid w:val="00E54274"/>
    <w:rsid w:val="00E54B68"/>
    <w:rsid w:val="00E56A90"/>
    <w:rsid w:val="00E60DC7"/>
    <w:rsid w:val="00E61152"/>
    <w:rsid w:val="00E65A0A"/>
    <w:rsid w:val="00E65D2F"/>
    <w:rsid w:val="00E6776E"/>
    <w:rsid w:val="00E678F5"/>
    <w:rsid w:val="00E725A6"/>
    <w:rsid w:val="00E74E41"/>
    <w:rsid w:val="00E7746A"/>
    <w:rsid w:val="00E809AF"/>
    <w:rsid w:val="00E80DCB"/>
    <w:rsid w:val="00E83976"/>
    <w:rsid w:val="00E85D10"/>
    <w:rsid w:val="00E86B3C"/>
    <w:rsid w:val="00E872FD"/>
    <w:rsid w:val="00E901EF"/>
    <w:rsid w:val="00E91116"/>
    <w:rsid w:val="00E91A9E"/>
    <w:rsid w:val="00E940D7"/>
    <w:rsid w:val="00E943E2"/>
    <w:rsid w:val="00EA0FB4"/>
    <w:rsid w:val="00EA4022"/>
    <w:rsid w:val="00EA4066"/>
    <w:rsid w:val="00EA4CA3"/>
    <w:rsid w:val="00EA69FC"/>
    <w:rsid w:val="00EB150E"/>
    <w:rsid w:val="00EB18B9"/>
    <w:rsid w:val="00EB20AD"/>
    <w:rsid w:val="00EB3433"/>
    <w:rsid w:val="00EB4BEE"/>
    <w:rsid w:val="00EB5211"/>
    <w:rsid w:val="00EB6445"/>
    <w:rsid w:val="00EB7851"/>
    <w:rsid w:val="00EB7DCF"/>
    <w:rsid w:val="00EB7E3E"/>
    <w:rsid w:val="00EC1BEB"/>
    <w:rsid w:val="00EC39E5"/>
    <w:rsid w:val="00EC436F"/>
    <w:rsid w:val="00EC4641"/>
    <w:rsid w:val="00EC6821"/>
    <w:rsid w:val="00EC6892"/>
    <w:rsid w:val="00EC7F76"/>
    <w:rsid w:val="00ED0709"/>
    <w:rsid w:val="00ED426F"/>
    <w:rsid w:val="00ED477C"/>
    <w:rsid w:val="00ED5B38"/>
    <w:rsid w:val="00ED5F4C"/>
    <w:rsid w:val="00ED6006"/>
    <w:rsid w:val="00ED6521"/>
    <w:rsid w:val="00ED65B9"/>
    <w:rsid w:val="00ED6793"/>
    <w:rsid w:val="00EE056B"/>
    <w:rsid w:val="00EE0F54"/>
    <w:rsid w:val="00EE20D8"/>
    <w:rsid w:val="00EE37EC"/>
    <w:rsid w:val="00EE5756"/>
    <w:rsid w:val="00EE694B"/>
    <w:rsid w:val="00EE775E"/>
    <w:rsid w:val="00EF110B"/>
    <w:rsid w:val="00EF2CD3"/>
    <w:rsid w:val="00EF3588"/>
    <w:rsid w:val="00EF5DAF"/>
    <w:rsid w:val="00F015D0"/>
    <w:rsid w:val="00F016C9"/>
    <w:rsid w:val="00F03D9F"/>
    <w:rsid w:val="00F04372"/>
    <w:rsid w:val="00F06626"/>
    <w:rsid w:val="00F12660"/>
    <w:rsid w:val="00F12D41"/>
    <w:rsid w:val="00F13F5B"/>
    <w:rsid w:val="00F1609E"/>
    <w:rsid w:val="00F16B1C"/>
    <w:rsid w:val="00F269B5"/>
    <w:rsid w:val="00F3106D"/>
    <w:rsid w:val="00F31135"/>
    <w:rsid w:val="00F31BDD"/>
    <w:rsid w:val="00F37CCD"/>
    <w:rsid w:val="00F41F30"/>
    <w:rsid w:val="00F4420D"/>
    <w:rsid w:val="00F44649"/>
    <w:rsid w:val="00F47511"/>
    <w:rsid w:val="00F47895"/>
    <w:rsid w:val="00F51728"/>
    <w:rsid w:val="00F5450F"/>
    <w:rsid w:val="00F552D1"/>
    <w:rsid w:val="00F558ED"/>
    <w:rsid w:val="00F55DEB"/>
    <w:rsid w:val="00F56B1B"/>
    <w:rsid w:val="00F56DFF"/>
    <w:rsid w:val="00F57515"/>
    <w:rsid w:val="00F62035"/>
    <w:rsid w:val="00F63051"/>
    <w:rsid w:val="00F642C9"/>
    <w:rsid w:val="00F65BDA"/>
    <w:rsid w:val="00F67273"/>
    <w:rsid w:val="00F73546"/>
    <w:rsid w:val="00F746F7"/>
    <w:rsid w:val="00F75739"/>
    <w:rsid w:val="00F77E6E"/>
    <w:rsid w:val="00F813C6"/>
    <w:rsid w:val="00F83FB1"/>
    <w:rsid w:val="00F83FE3"/>
    <w:rsid w:val="00F840C0"/>
    <w:rsid w:val="00F8602F"/>
    <w:rsid w:val="00F8666A"/>
    <w:rsid w:val="00F90227"/>
    <w:rsid w:val="00F90842"/>
    <w:rsid w:val="00F94F6A"/>
    <w:rsid w:val="00F95623"/>
    <w:rsid w:val="00F9562E"/>
    <w:rsid w:val="00FA0CAC"/>
    <w:rsid w:val="00FA1D08"/>
    <w:rsid w:val="00FA6142"/>
    <w:rsid w:val="00FA62E9"/>
    <w:rsid w:val="00FA7474"/>
    <w:rsid w:val="00FB4D15"/>
    <w:rsid w:val="00FB66F2"/>
    <w:rsid w:val="00FB6D58"/>
    <w:rsid w:val="00FC1D68"/>
    <w:rsid w:val="00FC23BA"/>
    <w:rsid w:val="00FC2E9D"/>
    <w:rsid w:val="00FC3B57"/>
    <w:rsid w:val="00FD3CA3"/>
    <w:rsid w:val="00FD3DDF"/>
    <w:rsid w:val="00FD4014"/>
    <w:rsid w:val="00FE4667"/>
    <w:rsid w:val="00FE7FE2"/>
    <w:rsid w:val="00FF1B3E"/>
    <w:rsid w:val="00FF3D5F"/>
    <w:rsid w:val="00FF40D4"/>
    <w:rsid w:val="00FF5010"/>
    <w:rsid w:val="00FF541B"/>
    <w:rsid w:val="00FF7EFE"/>
    <w:rsid w:val="0119797D"/>
    <w:rsid w:val="01EC7263"/>
    <w:rsid w:val="020C5DCD"/>
    <w:rsid w:val="02168DAA"/>
    <w:rsid w:val="0220D486"/>
    <w:rsid w:val="02811473"/>
    <w:rsid w:val="0284D36B"/>
    <w:rsid w:val="02B26C0B"/>
    <w:rsid w:val="0342737D"/>
    <w:rsid w:val="034AFE50"/>
    <w:rsid w:val="042B961A"/>
    <w:rsid w:val="045EAA4F"/>
    <w:rsid w:val="05044C86"/>
    <w:rsid w:val="051595AF"/>
    <w:rsid w:val="051D1A7F"/>
    <w:rsid w:val="058DE060"/>
    <w:rsid w:val="05D70276"/>
    <w:rsid w:val="05F05F07"/>
    <w:rsid w:val="05F118CE"/>
    <w:rsid w:val="0601B295"/>
    <w:rsid w:val="06924652"/>
    <w:rsid w:val="06E1C781"/>
    <w:rsid w:val="070341B8"/>
    <w:rsid w:val="071E14F4"/>
    <w:rsid w:val="0727580B"/>
    <w:rsid w:val="0729FD8E"/>
    <w:rsid w:val="07342C9D"/>
    <w:rsid w:val="0750B996"/>
    <w:rsid w:val="0768B303"/>
    <w:rsid w:val="076E7793"/>
    <w:rsid w:val="07F33AE0"/>
    <w:rsid w:val="08094C5A"/>
    <w:rsid w:val="082EF3CE"/>
    <w:rsid w:val="0886A53C"/>
    <w:rsid w:val="08A0502F"/>
    <w:rsid w:val="08CDA01E"/>
    <w:rsid w:val="09187820"/>
    <w:rsid w:val="093FBBD6"/>
    <w:rsid w:val="098B524E"/>
    <w:rsid w:val="09B1772C"/>
    <w:rsid w:val="09DA5715"/>
    <w:rsid w:val="09E64964"/>
    <w:rsid w:val="09FDD816"/>
    <w:rsid w:val="0A35FB17"/>
    <w:rsid w:val="0A3B8CB0"/>
    <w:rsid w:val="0A4908EA"/>
    <w:rsid w:val="0A5AC55E"/>
    <w:rsid w:val="0AF9E164"/>
    <w:rsid w:val="0B02E38B"/>
    <w:rsid w:val="0B10B49F"/>
    <w:rsid w:val="0B29775A"/>
    <w:rsid w:val="0BB8A309"/>
    <w:rsid w:val="0BC75AEC"/>
    <w:rsid w:val="0BEBC9AE"/>
    <w:rsid w:val="0C08F2A4"/>
    <w:rsid w:val="0C278326"/>
    <w:rsid w:val="0D2DAF28"/>
    <w:rsid w:val="0D34E160"/>
    <w:rsid w:val="0D3D481A"/>
    <w:rsid w:val="0D3F34D0"/>
    <w:rsid w:val="0D41A1EE"/>
    <w:rsid w:val="0D879A0F"/>
    <w:rsid w:val="0DAF3B5C"/>
    <w:rsid w:val="0DF35190"/>
    <w:rsid w:val="0DFA58C9"/>
    <w:rsid w:val="0E0B83EB"/>
    <w:rsid w:val="0E21CC2A"/>
    <w:rsid w:val="0E35AA6E"/>
    <w:rsid w:val="0E57FCA1"/>
    <w:rsid w:val="0E8FC48C"/>
    <w:rsid w:val="0E9FAD3C"/>
    <w:rsid w:val="0EAA4004"/>
    <w:rsid w:val="0EB97F89"/>
    <w:rsid w:val="0EC8345D"/>
    <w:rsid w:val="0EC97F89"/>
    <w:rsid w:val="0EF6BBC3"/>
    <w:rsid w:val="0F158911"/>
    <w:rsid w:val="0F3AFF36"/>
    <w:rsid w:val="0F9EB2CE"/>
    <w:rsid w:val="0FDEC9E6"/>
    <w:rsid w:val="0FF9F325"/>
    <w:rsid w:val="10268DB7"/>
    <w:rsid w:val="1052AFCA"/>
    <w:rsid w:val="1061ADEA"/>
    <w:rsid w:val="10757138"/>
    <w:rsid w:val="108AD00C"/>
    <w:rsid w:val="10D757CA"/>
    <w:rsid w:val="10E88C14"/>
    <w:rsid w:val="1172828E"/>
    <w:rsid w:val="11B69BA1"/>
    <w:rsid w:val="11EBF95B"/>
    <w:rsid w:val="12249DAB"/>
    <w:rsid w:val="1226A06D"/>
    <w:rsid w:val="122917AB"/>
    <w:rsid w:val="122A361F"/>
    <w:rsid w:val="12A46D6C"/>
    <w:rsid w:val="12BF3ACF"/>
    <w:rsid w:val="12BF3DE3"/>
    <w:rsid w:val="13040E43"/>
    <w:rsid w:val="133758A1"/>
    <w:rsid w:val="1337B267"/>
    <w:rsid w:val="13762943"/>
    <w:rsid w:val="13B17ED9"/>
    <w:rsid w:val="13B77245"/>
    <w:rsid w:val="13C16A2B"/>
    <w:rsid w:val="13F7657F"/>
    <w:rsid w:val="143C2157"/>
    <w:rsid w:val="1442C2EE"/>
    <w:rsid w:val="1455A281"/>
    <w:rsid w:val="1473932E"/>
    <w:rsid w:val="1485EAAA"/>
    <w:rsid w:val="149914C7"/>
    <w:rsid w:val="14AD3F98"/>
    <w:rsid w:val="150EEAD7"/>
    <w:rsid w:val="152F3558"/>
    <w:rsid w:val="15500027"/>
    <w:rsid w:val="15620FDF"/>
    <w:rsid w:val="15931CF9"/>
    <w:rsid w:val="15C94697"/>
    <w:rsid w:val="15EDE804"/>
    <w:rsid w:val="16332519"/>
    <w:rsid w:val="1642514B"/>
    <w:rsid w:val="1650FD7F"/>
    <w:rsid w:val="16581529"/>
    <w:rsid w:val="166B9289"/>
    <w:rsid w:val="1697F893"/>
    <w:rsid w:val="16E42E16"/>
    <w:rsid w:val="1716A5D4"/>
    <w:rsid w:val="171F26FE"/>
    <w:rsid w:val="174EABCE"/>
    <w:rsid w:val="1792BE1A"/>
    <w:rsid w:val="17C37063"/>
    <w:rsid w:val="17FDF89A"/>
    <w:rsid w:val="183957BF"/>
    <w:rsid w:val="183E7D0B"/>
    <w:rsid w:val="184E1460"/>
    <w:rsid w:val="1866D61A"/>
    <w:rsid w:val="18B6C666"/>
    <w:rsid w:val="18D0CBDE"/>
    <w:rsid w:val="18D8A34D"/>
    <w:rsid w:val="18E0D07D"/>
    <w:rsid w:val="194642EF"/>
    <w:rsid w:val="195D7622"/>
    <w:rsid w:val="19714833"/>
    <w:rsid w:val="19DA9538"/>
    <w:rsid w:val="1A089030"/>
    <w:rsid w:val="1AAD5F28"/>
    <w:rsid w:val="1ABBC34D"/>
    <w:rsid w:val="1AC77AD8"/>
    <w:rsid w:val="1AD1A2C2"/>
    <w:rsid w:val="1AFA0090"/>
    <w:rsid w:val="1B3E3B47"/>
    <w:rsid w:val="1B70EAC3"/>
    <w:rsid w:val="1B9451B8"/>
    <w:rsid w:val="1B9E11E9"/>
    <w:rsid w:val="1BA9B024"/>
    <w:rsid w:val="1BCBC621"/>
    <w:rsid w:val="1BFA1CF1"/>
    <w:rsid w:val="1C1825EE"/>
    <w:rsid w:val="1C25F576"/>
    <w:rsid w:val="1C2B1A75"/>
    <w:rsid w:val="1CA4EAD8"/>
    <w:rsid w:val="1CB89035"/>
    <w:rsid w:val="1CBF65B5"/>
    <w:rsid w:val="1D2A40DC"/>
    <w:rsid w:val="1E55F42D"/>
    <w:rsid w:val="1E5C0F64"/>
    <w:rsid w:val="1E7E14D8"/>
    <w:rsid w:val="1ED6179E"/>
    <w:rsid w:val="1F146771"/>
    <w:rsid w:val="1F23F870"/>
    <w:rsid w:val="1FA26122"/>
    <w:rsid w:val="1FE27A7F"/>
    <w:rsid w:val="20079600"/>
    <w:rsid w:val="20328315"/>
    <w:rsid w:val="20A05EBC"/>
    <w:rsid w:val="20D46754"/>
    <w:rsid w:val="21333544"/>
    <w:rsid w:val="216B94A7"/>
    <w:rsid w:val="21BA01A2"/>
    <w:rsid w:val="222660BF"/>
    <w:rsid w:val="224FF7DF"/>
    <w:rsid w:val="226B14BD"/>
    <w:rsid w:val="227B8938"/>
    <w:rsid w:val="229A3D2F"/>
    <w:rsid w:val="22D16A68"/>
    <w:rsid w:val="234F43A4"/>
    <w:rsid w:val="235185FB"/>
    <w:rsid w:val="2355D14B"/>
    <w:rsid w:val="23E71780"/>
    <w:rsid w:val="23FD128E"/>
    <w:rsid w:val="241D3FAA"/>
    <w:rsid w:val="2422882C"/>
    <w:rsid w:val="244CEF37"/>
    <w:rsid w:val="2491B8DB"/>
    <w:rsid w:val="24924D3C"/>
    <w:rsid w:val="24960CCA"/>
    <w:rsid w:val="24A1A1D2"/>
    <w:rsid w:val="24BCB248"/>
    <w:rsid w:val="250ACB93"/>
    <w:rsid w:val="25D02418"/>
    <w:rsid w:val="260087DC"/>
    <w:rsid w:val="261BDD4D"/>
    <w:rsid w:val="26935F7C"/>
    <w:rsid w:val="269559A2"/>
    <w:rsid w:val="26C17B2D"/>
    <w:rsid w:val="26D97A61"/>
    <w:rsid w:val="274C6579"/>
    <w:rsid w:val="279C4528"/>
    <w:rsid w:val="27D5CD3E"/>
    <w:rsid w:val="280725A4"/>
    <w:rsid w:val="2807E454"/>
    <w:rsid w:val="288F3FF4"/>
    <w:rsid w:val="28E821A9"/>
    <w:rsid w:val="296065DC"/>
    <w:rsid w:val="2968A80D"/>
    <w:rsid w:val="2979CC80"/>
    <w:rsid w:val="29ADC73B"/>
    <w:rsid w:val="29C0C3C4"/>
    <w:rsid w:val="2A45DF41"/>
    <w:rsid w:val="2A54CCF7"/>
    <w:rsid w:val="2A5A5A01"/>
    <w:rsid w:val="2A764A8F"/>
    <w:rsid w:val="2A8C0E96"/>
    <w:rsid w:val="2B6142E1"/>
    <w:rsid w:val="2BA8E4A2"/>
    <w:rsid w:val="2BCA9650"/>
    <w:rsid w:val="2BD30481"/>
    <w:rsid w:val="2C81390D"/>
    <w:rsid w:val="2C8CFE6A"/>
    <w:rsid w:val="2CA1B67D"/>
    <w:rsid w:val="2CD89661"/>
    <w:rsid w:val="2CD959D7"/>
    <w:rsid w:val="2CDB3D46"/>
    <w:rsid w:val="2CE3EDF9"/>
    <w:rsid w:val="2CFEA6D9"/>
    <w:rsid w:val="2D361990"/>
    <w:rsid w:val="2DA9C95E"/>
    <w:rsid w:val="2DAB0751"/>
    <w:rsid w:val="2DACDB65"/>
    <w:rsid w:val="2DB8EEC3"/>
    <w:rsid w:val="2E24A211"/>
    <w:rsid w:val="2E30EF52"/>
    <w:rsid w:val="2E3DF4BA"/>
    <w:rsid w:val="2E6F03F4"/>
    <w:rsid w:val="2E7195C8"/>
    <w:rsid w:val="2E7B30F4"/>
    <w:rsid w:val="2E9811BD"/>
    <w:rsid w:val="2E984F3F"/>
    <w:rsid w:val="2E9D2F3F"/>
    <w:rsid w:val="2EB57BC7"/>
    <w:rsid w:val="2F0EE57B"/>
    <w:rsid w:val="2FEAE34C"/>
    <w:rsid w:val="2FF4DB32"/>
    <w:rsid w:val="3075B38F"/>
    <w:rsid w:val="307DF24B"/>
    <w:rsid w:val="3086F453"/>
    <w:rsid w:val="309B43D6"/>
    <w:rsid w:val="309EEDC0"/>
    <w:rsid w:val="30E8AAE9"/>
    <w:rsid w:val="310CEC45"/>
    <w:rsid w:val="315C42D3"/>
    <w:rsid w:val="3195649B"/>
    <w:rsid w:val="319580E6"/>
    <w:rsid w:val="320B9590"/>
    <w:rsid w:val="322B7DE4"/>
    <w:rsid w:val="3273B61F"/>
    <w:rsid w:val="328CBBA7"/>
    <w:rsid w:val="32CDED69"/>
    <w:rsid w:val="32D4C68D"/>
    <w:rsid w:val="32ED90B6"/>
    <w:rsid w:val="335AC0B6"/>
    <w:rsid w:val="3364387E"/>
    <w:rsid w:val="337B9EFF"/>
    <w:rsid w:val="338222F7"/>
    <w:rsid w:val="33C2EB26"/>
    <w:rsid w:val="34807625"/>
    <w:rsid w:val="349C2503"/>
    <w:rsid w:val="349C3108"/>
    <w:rsid w:val="34A030D6"/>
    <w:rsid w:val="34FDA7EB"/>
    <w:rsid w:val="34FF82D7"/>
    <w:rsid w:val="3518BC42"/>
    <w:rsid w:val="351E67EE"/>
    <w:rsid w:val="353A14C1"/>
    <w:rsid w:val="353BA9AB"/>
    <w:rsid w:val="353E0F62"/>
    <w:rsid w:val="35757BDF"/>
    <w:rsid w:val="35BC0F48"/>
    <w:rsid w:val="35DAF4DD"/>
    <w:rsid w:val="363BE13A"/>
    <w:rsid w:val="364790BD"/>
    <w:rsid w:val="364B7CF1"/>
    <w:rsid w:val="37179FE2"/>
    <w:rsid w:val="377661D0"/>
    <w:rsid w:val="377F2AAA"/>
    <w:rsid w:val="37A62E6D"/>
    <w:rsid w:val="37DE55D3"/>
    <w:rsid w:val="3807DA9D"/>
    <w:rsid w:val="380EF247"/>
    <w:rsid w:val="382BB17C"/>
    <w:rsid w:val="3835B37E"/>
    <w:rsid w:val="38552EA5"/>
    <w:rsid w:val="385A74FB"/>
    <w:rsid w:val="387808F0"/>
    <w:rsid w:val="392113A4"/>
    <w:rsid w:val="393F89C0"/>
    <w:rsid w:val="3965802F"/>
    <w:rsid w:val="3973A1F9"/>
    <w:rsid w:val="39B0DEE7"/>
    <w:rsid w:val="3A0526E8"/>
    <w:rsid w:val="3A08375F"/>
    <w:rsid w:val="3A33D027"/>
    <w:rsid w:val="3A36F623"/>
    <w:rsid w:val="3ACE33C0"/>
    <w:rsid w:val="3B6AF353"/>
    <w:rsid w:val="3B702F96"/>
    <w:rsid w:val="3C0D6EF9"/>
    <w:rsid w:val="3C2B50CC"/>
    <w:rsid w:val="3C783C27"/>
    <w:rsid w:val="3CAB42BB"/>
    <w:rsid w:val="3CAEFB3D"/>
    <w:rsid w:val="3DD4438A"/>
    <w:rsid w:val="3E0D3EA7"/>
    <w:rsid w:val="3E1C7632"/>
    <w:rsid w:val="3E2149FA"/>
    <w:rsid w:val="3E7169A0"/>
    <w:rsid w:val="3ED9443F"/>
    <w:rsid w:val="3EF9A41B"/>
    <w:rsid w:val="3F16DD85"/>
    <w:rsid w:val="3F21EE02"/>
    <w:rsid w:val="3F55FA72"/>
    <w:rsid w:val="3F94B8E5"/>
    <w:rsid w:val="3FD09726"/>
    <w:rsid w:val="3FE6AF85"/>
    <w:rsid w:val="3FEC62D4"/>
    <w:rsid w:val="402D2758"/>
    <w:rsid w:val="409269E0"/>
    <w:rsid w:val="40927B3B"/>
    <w:rsid w:val="40E21FCB"/>
    <w:rsid w:val="4100722F"/>
    <w:rsid w:val="4143FAAA"/>
    <w:rsid w:val="41A7FD8D"/>
    <w:rsid w:val="41A80A34"/>
    <w:rsid w:val="42779F1D"/>
    <w:rsid w:val="430CEB68"/>
    <w:rsid w:val="437BEF29"/>
    <w:rsid w:val="439E9FE2"/>
    <w:rsid w:val="43D10E06"/>
    <w:rsid w:val="43ECF0D3"/>
    <w:rsid w:val="4419353E"/>
    <w:rsid w:val="44B85871"/>
    <w:rsid w:val="45EC4C47"/>
    <w:rsid w:val="4629AF86"/>
    <w:rsid w:val="465A1287"/>
    <w:rsid w:val="46A9BB96"/>
    <w:rsid w:val="46DAECBC"/>
    <w:rsid w:val="46F55D4E"/>
    <w:rsid w:val="471761D9"/>
    <w:rsid w:val="473BD172"/>
    <w:rsid w:val="474FE8E2"/>
    <w:rsid w:val="47DF178C"/>
    <w:rsid w:val="47ECB450"/>
    <w:rsid w:val="482799A7"/>
    <w:rsid w:val="4882828E"/>
    <w:rsid w:val="489789B7"/>
    <w:rsid w:val="48A7928A"/>
    <w:rsid w:val="48BC42B7"/>
    <w:rsid w:val="48E018BE"/>
    <w:rsid w:val="48EFAF58"/>
    <w:rsid w:val="4936FE3A"/>
    <w:rsid w:val="4955C716"/>
    <w:rsid w:val="497C2CEC"/>
    <w:rsid w:val="498884B1"/>
    <w:rsid w:val="49999C5F"/>
    <w:rsid w:val="49A278BA"/>
    <w:rsid w:val="49DFEAD9"/>
    <w:rsid w:val="4A2357DC"/>
    <w:rsid w:val="4A9B8108"/>
    <w:rsid w:val="4AB746F1"/>
    <w:rsid w:val="4B02D349"/>
    <w:rsid w:val="4B245512"/>
    <w:rsid w:val="4B27E345"/>
    <w:rsid w:val="4B2D83AA"/>
    <w:rsid w:val="4BAB9B4F"/>
    <w:rsid w:val="4BBDCF8F"/>
    <w:rsid w:val="4BDB1A15"/>
    <w:rsid w:val="4BDF375B"/>
    <w:rsid w:val="4BE2DE25"/>
    <w:rsid w:val="4C33082D"/>
    <w:rsid w:val="4C412D07"/>
    <w:rsid w:val="4C668360"/>
    <w:rsid w:val="4C712182"/>
    <w:rsid w:val="4CB3CDAE"/>
    <w:rsid w:val="4CE13CB9"/>
    <w:rsid w:val="4CF16F8A"/>
    <w:rsid w:val="4D33AB72"/>
    <w:rsid w:val="4D69155A"/>
    <w:rsid w:val="4DA77A76"/>
    <w:rsid w:val="4E0CDF11"/>
    <w:rsid w:val="4E2D5E71"/>
    <w:rsid w:val="4E4F9E0F"/>
    <w:rsid w:val="4E5BF5D4"/>
    <w:rsid w:val="4EF403B8"/>
    <w:rsid w:val="4EF852EB"/>
    <w:rsid w:val="4F123FB7"/>
    <w:rsid w:val="4F251A88"/>
    <w:rsid w:val="4F2B843B"/>
    <w:rsid w:val="4FBC4BC9"/>
    <w:rsid w:val="4FC876E2"/>
    <w:rsid w:val="4FCB945F"/>
    <w:rsid w:val="4FD34F14"/>
    <w:rsid w:val="4FF7C635"/>
    <w:rsid w:val="502E2C78"/>
    <w:rsid w:val="50474E48"/>
    <w:rsid w:val="5050BCE0"/>
    <w:rsid w:val="5067F42A"/>
    <w:rsid w:val="507AE533"/>
    <w:rsid w:val="5086BD8C"/>
    <w:rsid w:val="5087A163"/>
    <w:rsid w:val="50AFA42B"/>
    <w:rsid w:val="50F6F0A2"/>
    <w:rsid w:val="50FD2F93"/>
    <w:rsid w:val="51C175CB"/>
    <w:rsid w:val="5263DE87"/>
    <w:rsid w:val="529F7B43"/>
    <w:rsid w:val="52A150A6"/>
    <w:rsid w:val="52F70FE9"/>
    <w:rsid w:val="5342CF3B"/>
    <w:rsid w:val="5345D4D1"/>
    <w:rsid w:val="537D1BB2"/>
    <w:rsid w:val="53909945"/>
    <w:rsid w:val="53A45223"/>
    <w:rsid w:val="53D90A5A"/>
    <w:rsid w:val="53F103C7"/>
    <w:rsid w:val="540710EF"/>
    <w:rsid w:val="543598B4"/>
    <w:rsid w:val="5442634E"/>
    <w:rsid w:val="54977D9E"/>
    <w:rsid w:val="5562F176"/>
    <w:rsid w:val="556F20A7"/>
    <w:rsid w:val="55A06444"/>
    <w:rsid w:val="55AD4586"/>
    <w:rsid w:val="55E17482"/>
    <w:rsid w:val="563D8BD2"/>
    <w:rsid w:val="56AF61B0"/>
    <w:rsid w:val="56B64E85"/>
    <w:rsid w:val="56DE8396"/>
    <w:rsid w:val="5705B9A9"/>
    <w:rsid w:val="578C4CBD"/>
    <w:rsid w:val="579CF6DA"/>
    <w:rsid w:val="57AC5D57"/>
    <w:rsid w:val="57EE3B0A"/>
    <w:rsid w:val="58086F63"/>
    <w:rsid w:val="582B27F1"/>
    <w:rsid w:val="585A46EE"/>
    <w:rsid w:val="5870D1E2"/>
    <w:rsid w:val="58C36356"/>
    <w:rsid w:val="58E6A148"/>
    <w:rsid w:val="58FB34E3"/>
    <w:rsid w:val="59487333"/>
    <w:rsid w:val="594C54B8"/>
    <w:rsid w:val="59605CC9"/>
    <w:rsid w:val="599997D9"/>
    <w:rsid w:val="59F8506F"/>
    <w:rsid w:val="5A21DA21"/>
    <w:rsid w:val="5A24D1AA"/>
    <w:rsid w:val="5A6C4CCF"/>
    <w:rsid w:val="5A710DF0"/>
    <w:rsid w:val="5A71B0EE"/>
    <w:rsid w:val="5AF534A8"/>
    <w:rsid w:val="5B2EB638"/>
    <w:rsid w:val="5B998B7D"/>
    <w:rsid w:val="5BCA4066"/>
    <w:rsid w:val="5C40A7F4"/>
    <w:rsid w:val="5C444871"/>
    <w:rsid w:val="5C557938"/>
    <w:rsid w:val="5CAE6550"/>
    <w:rsid w:val="5D1945CC"/>
    <w:rsid w:val="5D441227"/>
    <w:rsid w:val="5D5280DC"/>
    <w:rsid w:val="5D58E67F"/>
    <w:rsid w:val="5D6C3B9C"/>
    <w:rsid w:val="5DA48C0E"/>
    <w:rsid w:val="5DCEF7BF"/>
    <w:rsid w:val="5E80723A"/>
    <w:rsid w:val="5EA147A1"/>
    <w:rsid w:val="5EA5E7D8"/>
    <w:rsid w:val="5F583301"/>
    <w:rsid w:val="5F5F8500"/>
    <w:rsid w:val="5FE9A8C3"/>
    <w:rsid w:val="60219008"/>
    <w:rsid w:val="602E36FC"/>
    <w:rsid w:val="6040118D"/>
    <w:rsid w:val="606E063D"/>
    <w:rsid w:val="60732DEB"/>
    <w:rsid w:val="6080FCD0"/>
    <w:rsid w:val="60B538B7"/>
    <w:rsid w:val="60C0ADC3"/>
    <w:rsid w:val="60EBC978"/>
    <w:rsid w:val="60ECEFF0"/>
    <w:rsid w:val="61153DD4"/>
    <w:rsid w:val="6128D3DC"/>
    <w:rsid w:val="61415C3C"/>
    <w:rsid w:val="61499A9C"/>
    <w:rsid w:val="615E58DC"/>
    <w:rsid w:val="617E986F"/>
    <w:rsid w:val="61C37FA7"/>
    <w:rsid w:val="6211A9FD"/>
    <w:rsid w:val="6232AB44"/>
    <w:rsid w:val="63A32ED8"/>
    <w:rsid w:val="6413CD92"/>
    <w:rsid w:val="64236A3A"/>
    <w:rsid w:val="64358E23"/>
    <w:rsid w:val="6457437E"/>
    <w:rsid w:val="64643533"/>
    <w:rsid w:val="649610B1"/>
    <w:rsid w:val="64ABF752"/>
    <w:rsid w:val="64C01EFC"/>
    <w:rsid w:val="655B4156"/>
    <w:rsid w:val="657B8A16"/>
    <w:rsid w:val="65D88B2F"/>
    <w:rsid w:val="65E9561E"/>
    <w:rsid w:val="667586F9"/>
    <w:rsid w:val="66851909"/>
    <w:rsid w:val="66F0B5E9"/>
    <w:rsid w:val="670E4590"/>
    <w:rsid w:val="672F5186"/>
    <w:rsid w:val="675B0AFC"/>
    <w:rsid w:val="675BA2AA"/>
    <w:rsid w:val="67981560"/>
    <w:rsid w:val="680AB521"/>
    <w:rsid w:val="68D49A08"/>
    <w:rsid w:val="68FCC512"/>
    <w:rsid w:val="69079636"/>
    <w:rsid w:val="691E2CFE"/>
    <w:rsid w:val="695CDD8E"/>
    <w:rsid w:val="696D58FE"/>
    <w:rsid w:val="69E2C844"/>
    <w:rsid w:val="69EEF46E"/>
    <w:rsid w:val="69F8CB9E"/>
    <w:rsid w:val="6A477355"/>
    <w:rsid w:val="6A8C727E"/>
    <w:rsid w:val="6A92ABBE"/>
    <w:rsid w:val="6A968009"/>
    <w:rsid w:val="6AA13B88"/>
    <w:rsid w:val="6AC9AEB8"/>
    <w:rsid w:val="6B676981"/>
    <w:rsid w:val="6BAD9593"/>
    <w:rsid w:val="6BC4C1FF"/>
    <w:rsid w:val="6BE99FBE"/>
    <w:rsid w:val="6C2B373C"/>
    <w:rsid w:val="6C2E7C1F"/>
    <w:rsid w:val="6C3D31B4"/>
    <w:rsid w:val="6C4358F6"/>
    <w:rsid w:val="6C45667B"/>
    <w:rsid w:val="6C6B8683"/>
    <w:rsid w:val="6C916F67"/>
    <w:rsid w:val="6CD8E76D"/>
    <w:rsid w:val="6CE84180"/>
    <w:rsid w:val="6D0663D3"/>
    <w:rsid w:val="6D127F8F"/>
    <w:rsid w:val="6D3200E0"/>
    <w:rsid w:val="6D3985B0"/>
    <w:rsid w:val="6DA6B4C4"/>
    <w:rsid w:val="6DF6FA3C"/>
    <w:rsid w:val="6E08920F"/>
    <w:rsid w:val="6E682784"/>
    <w:rsid w:val="6E75A85A"/>
    <w:rsid w:val="6EA165C5"/>
    <w:rsid w:val="6ED1EEFD"/>
    <w:rsid w:val="6EE81B62"/>
    <w:rsid w:val="6F20A908"/>
    <w:rsid w:val="6F7AF9B8"/>
    <w:rsid w:val="6F851E34"/>
    <w:rsid w:val="6FB53AD8"/>
    <w:rsid w:val="6FBE150F"/>
    <w:rsid w:val="6FC9FDA9"/>
    <w:rsid w:val="6FD3EF62"/>
    <w:rsid w:val="6FDC3C07"/>
    <w:rsid w:val="703352C0"/>
    <w:rsid w:val="70350CF7"/>
    <w:rsid w:val="7053D030"/>
    <w:rsid w:val="70863041"/>
    <w:rsid w:val="70CEF3E9"/>
    <w:rsid w:val="70DAA9DA"/>
    <w:rsid w:val="70FF364E"/>
    <w:rsid w:val="71196F06"/>
    <w:rsid w:val="7146FEBF"/>
    <w:rsid w:val="7147C2B8"/>
    <w:rsid w:val="715A9218"/>
    <w:rsid w:val="717BF985"/>
    <w:rsid w:val="71A14F64"/>
    <w:rsid w:val="71D7C003"/>
    <w:rsid w:val="71E9FE5E"/>
    <w:rsid w:val="7224F8AE"/>
    <w:rsid w:val="72479D66"/>
    <w:rsid w:val="72FB3DED"/>
    <w:rsid w:val="732AC276"/>
    <w:rsid w:val="739E85FE"/>
    <w:rsid w:val="73EE93F2"/>
    <w:rsid w:val="73F28380"/>
    <w:rsid w:val="74565861"/>
    <w:rsid w:val="745A9A5F"/>
    <w:rsid w:val="753835E8"/>
    <w:rsid w:val="755132FE"/>
    <w:rsid w:val="75571CF2"/>
    <w:rsid w:val="75B5F48E"/>
    <w:rsid w:val="765A9DA5"/>
    <w:rsid w:val="765C242A"/>
    <w:rsid w:val="76C15C0B"/>
    <w:rsid w:val="76D096AD"/>
    <w:rsid w:val="77002452"/>
    <w:rsid w:val="77165231"/>
    <w:rsid w:val="775BE958"/>
    <w:rsid w:val="77791C4C"/>
    <w:rsid w:val="777F8CBA"/>
    <w:rsid w:val="7780056A"/>
    <w:rsid w:val="77BBBFE4"/>
    <w:rsid w:val="77C8DA10"/>
    <w:rsid w:val="7812F590"/>
    <w:rsid w:val="78379C4B"/>
    <w:rsid w:val="7856C2B9"/>
    <w:rsid w:val="787C1E8A"/>
    <w:rsid w:val="7882F6ED"/>
    <w:rsid w:val="7986CC4A"/>
    <w:rsid w:val="799EF648"/>
    <w:rsid w:val="79E13631"/>
    <w:rsid w:val="7A623E50"/>
    <w:rsid w:val="7A81DDCD"/>
    <w:rsid w:val="7B019563"/>
    <w:rsid w:val="7B26C54F"/>
    <w:rsid w:val="7B48D514"/>
    <w:rsid w:val="7B49C6E9"/>
    <w:rsid w:val="7B6B51DC"/>
    <w:rsid w:val="7B7296B3"/>
    <w:rsid w:val="7B7D30DE"/>
    <w:rsid w:val="7BA7921E"/>
    <w:rsid w:val="7BF02635"/>
    <w:rsid w:val="7C074858"/>
    <w:rsid w:val="7C1C03CB"/>
    <w:rsid w:val="7C201EE0"/>
    <w:rsid w:val="7C4C3F47"/>
    <w:rsid w:val="7C52009F"/>
    <w:rsid w:val="7CB57FF8"/>
    <w:rsid w:val="7CD4AFE4"/>
    <w:rsid w:val="7D89504D"/>
    <w:rsid w:val="7DD51F28"/>
    <w:rsid w:val="7DE11F3C"/>
    <w:rsid w:val="7E00B7C4"/>
    <w:rsid w:val="7E06F662"/>
    <w:rsid w:val="7E9CBD9B"/>
    <w:rsid w:val="7EB4A754"/>
    <w:rsid w:val="7EF20DDA"/>
    <w:rsid w:val="7F0B92A4"/>
    <w:rsid w:val="7F213F9A"/>
    <w:rsid w:val="7F2C28D5"/>
    <w:rsid w:val="7F3E2B2E"/>
    <w:rsid w:val="7F55B0A6"/>
    <w:rsid w:val="7FA78F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7ADE91"/>
  <w14:defaultImageDpi w14:val="300"/>
  <w15:docId w15:val="{EFC5AD4C-D97D-49E9-A556-C751A05D5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0EC3"/>
    <w:pPr>
      <w:spacing w:after="120"/>
    </w:pPr>
    <w:rPr>
      <w:rFonts w:ascii="Arial" w:hAnsi="Arial"/>
      <w:color w:val="000000" w:themeColor="text1"/>
      <w:sz w:val="22"/>
      <w:lang w:val="en-AU"/>
    </w:rPr>
  </w:style>
  <w:style w:type="paragraph" w:styleId="Heading1">
    <w:name w:val="heading 1"/>
    <w:basedOn w:val="Normal"/>
    <w:next w:val="Normal"/>
    <w:link w:val="Heading1Char"/>
    <w:uiPriority w:val="9"/>
    <w:qFormat/>
    <w:rsid w:val="00260847"/>
    <w:pPr>
      <w:keepNext/>
      <w:keepLines/>
      <w:spacing w:before="240" w:after="240"/>
      <w:outlineLvl w:val="0"/>
    </w:pPr>
    <w:rPr>
      <w:rFonts w:eastAsiaTheme="majorEastAsia" w:cstheme="majorBidi"/>
      <w:color w:val="004270"/>
      <w:sz w:val="48"/>
      <w:szCs w:val="32"/>
    </w:rPr>
  </w:style>
  <w:style w:type="paragraph" w:styleId="Heading2">
    <w:name w:val="heading 2"/>
    <w:basedOn w:val="Normal"/>
    <w:next w:val="Normal"/>
    <w:link w:val="Heading2Char"/>
    <w:uiPriority w:val="9"/>
    <w:unhideWhenUsed/>
    <w:qFormat/>
    <w:rsid w:val="0035517B"/>
    <w:pPr>
      <w:keepNext/>
      <w:keepLines/>
      <w:spacing w:before="240"/>
      <w:outlineLvl w:val="1"/>
    </w:pPr>
    <w:rPr>
      <w:rFonts w:eastAsiaTheme="majorEastAsia" w:cstheme="majorBidi"/>
      <w:color w:val="004270"/>
      <w:sz w:val="36"/>
    </w:rPr>
  </w:style>
  <w:style w:type="paragraph" w:styleId="Heading3">
    <w:name w:val="heading 3"/>
    <w:basedOn w:val="Normal"/>
    <w:next w:val="Normal"/>
    <w:link w:val="Heading3Char"/>
    <w:uiPriority w:val="9"/>
    <w:unhideWhenUsed/>
    <w:qFormat/>
    <w:rsid w:val="0035517B"/>
    <w:pPr>
      <w:keepNext/>
      <w:keepLines/>
      <w:spacing w:before="240"/>
      <w:outlineLvl w:val="2"/>
    </w:pPr>
    <w:rPr>
      <w:rFonts w:eastAsiaTheme="majorEastAsia" w:cstheme="majorBidi"/>
      <w:color w:val="004270"/>
      <w:sz w:val="28"/>
    </w:rPr>
  </w:style>
  <w:style w:type="paragraph" w:styleId="Heading4">
    <w:name w:val="heading 4"/>
    <w:basedOn w:val="Normal"/>
    <w:next w:val="Normal"/>
    <w:link w:val="Heading4Char"/>
    <w:uiPriority w:val="9"/>
    <w:semiHidden/>
    <w:unhideWhenUsed/>
    <w:qFormat/>
    <w:rsid w:val="00CB6DFD"/>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CB6DFD"/>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82CE9"/>
    <w:pPr>
      <w:ind w:left="720"/>
      <w:contextualSpacing/>
    </w:pPr>
  </w:style>
  <w:style w:type="paragraph" w:styleId="FootnoteText">
    <w:name w:val="footnote text"/>
    <w:aliases w:val="Footnote text"/>
    <w:basedOn w:val="Normal"/>
    <w:link w:val="FootnoteTextChar"/>
    <w:uiPriority w:val="99"/>
    <w:unhideWhenUsed/>
    <w:qFormat/>
    <w:rsid w:val="00C33416"/>
    <w:rPr>
      <w:sz w:val="20"/>
    </w:rPr>
  </w:style>
  <w:style w:type="character" w:customStyle="1" w:styleId="FootnoteTextChar">
    <w:name w:val="Footnote Text Char"/>
    <w:aliases w:val="Footnote text Char"/>
    <w:basedOn w:val="DefaultParagraphFont"/>
    <w:link w:val="FootnoteText"/>
    <w:uiPriority w:val="99"/>
    <w:rsid w:val="00C33416"/>
    <w:rPr>
      <w:rFonts w:ascii="Arial" w:hAnsi="Arial"/>
      <w:sz w:val="20"/>
    </w:rPr>
  </w:style>
  <w:style w:type="character" w:styleId="FootnoteReference">
    <w:name w:val="footnote reference"/>
    <w:basedOn w:val="DefaultParagraphFont"/>
    <w:unhideWhenUsed/>
    <w:rsid w:val="0034134D"/>
    <w:rPr>
      <w:vertAlign w:val="superscript"/>
    </w:rPr>
  </w:style>
  <w:style w:type="character" w:customStyle="1" w:styleId="Heading1Char">
    <w:name w:val="Heading 1 Char"/>
    <w:basedOn w:val="DefaultParagraphFont"/>
    <w:link w:val="Heading1"/>
    <w:uiPriority w:val="9"/>
    <w:rsid w:val="00260847"/>
    <w:rPr>
      <w:rFonts w:ascii="Arial" w:eastAsiaTheme="majorEastAsia" w:hAnsi="Arial" w:cstheme="majorBidi"/>
      <w:color w:val="004270"/>
      <w:sz w:val="48"/>
      <w:szCs w:val="32"/>
      <w:lang w:val="en-AU"/>
    </w:rPr>
  </w:style>
  <w:style w:type="paragraph" w:styleId="NoSpacing">
    <w:name w:val="No Spacing"/>
    <w:link w:val="NoSpacingChar"/>
    <w:uiPriority w:val="1"/>
    <w:qFormat/>
    <w:rsid w:val="00A16356"/>
    <w:rPr>
      <w:sz w:val="22"/>
      <w:szCs w:val="22"/>
    </w:rPr>
  </w:style>
  <w:style w:type="character" w:customStyle="1" w:styleId="NoSpacingChar">
    <w:name w:val="No Spacing Char"/>
    <w:basedOn w:val="DefaultParagraphFont"/>
    <w:link w:val="NoSpacing"/>
    <w:uiPriority w:val="1"/>
    <w:rsid w:val="00A16356"/>
    <w:rPr>
      <w:sz w:val="22"/>
      <w:szCs w:val="22"/>
    </w:rPr>
  </w:style>
  <w:style w:type="paragraph" w:styleId="TOCHeading">
    <w:name w:val="TOC Heading"/>
    <w:basedOn w:val="Heading1"/>
    <w:next w:val="Normal"/>
    <w:uiPriority w:val="39"/>
    <w:unhideWhenUsed/>
    <w:qFormat/>
    <w:rsid w:val="0035517B"/>
    <w:pPr>
      <w:spacing w:line="259" w:lineRule="auto"/>
      <w:outlineLvl w:val="9"/>
    </w:pPr>
  </w:style>
  <w:style w:type="paragraph" w:styleId="TOC1">
    <w:name w:val="toc 1"/>
    <w:basedOn w:val="Normal"/>
    <w:next w:val="Normal"/>
    <w:autoRedefine/>
    <w:uiPriority w:val="39"/>
    <w:unhideWhenUsed/>
    <w:rsid w:val="00A16356"/>
    <w:pPr>
      <w:spacing w:after="100"/>
    </w:pPr>
  </w:style>
  <w:style w:type="character" w:styleId="Hyperlink">
    <w:name w:val="Hyperlink"/>
    <w:basedOn w:val="DefaultParagraphFont"/>
    <w:uiPriority w:val="99"/>
    <w:unhideWhenUsed/>
    <w:rsid w:val="00A16356"/>
    <w:rPr>
      <w:color w:val="0000FF" w:themeColor="hyperlink"/>
      <w:u w:val="single"/>
    </w:rPr>
  </w:style>
  <w:style w:type="paragraph" w:styleId="Header">
    <w:name w:val="header"/>
    <w:basedOn w:val="Normal"/>
    <w:link w:val="HeaderChar"/>
    <w:uiPriority w:val="99"/>
    <w:unhideWhenUsed/>
    <w:rsid w:val="004A2375"/>
    <w:pPr>
      <w:tabs>
        <w:tab w:val="center" w:pos="4513"/>
        <w:tab w:val="right" w:pos="9026"/>
      </w:tabs>
    </w:pPr>
  </w:style>
  <w:style w:type="character" w:customStyle="1" w:styleId="HeaderChar">
    <w:name w:val="Header Char"/>
    <w:basedOn w:val="DefaultParagraphFont"/>
    <w:link w:val="Header"/>
    <w:uiPriority w:val="99"/>
    <w:rsid w:val="004A2375"/>
  </w:style>
  <w:style w:type="paragraph" w:styleId="Footer">
    <w:name w:val="footer"/>
    <w:basedOn w:val="Normal"/>
    <w:link w:val="FooterChar"/>
    <w:uiPriority w:val="99"/>
    <w:unhideWhenUsed/>
    <w:rsid w:val="004A2375"/>
    <w:pPr>
      <w:tabs>
        <w:tab w:val="center" w:pos="4513"/>
        <w:tab w:val="right" w:pos="9026"/>
      </w:tabs>
    </w:pPr>
  </w:style>
  <w:style w:type="character" w:customStyle="1" w:styleId="FooterChar">
    <w:name w:val="Footer Char"/>
    <w:basedOn w:val="DefaultParagraphFont"/>
    <w:link w:val="Footer"/>
    <w:uiPriority w:val="99"/>
    <w:rsid w:val="004A2375"/>
  </w:style>
  <w:style w:type="character" w:customStyle="1" w:styleId="Heading2Char">
    <w:name w:val="Heading 2 Char"/>
    <w:basedOn w:val="DefaultParagraphFont"/>
    <w:link w:val="Heading2"/>
    <w:uiPriority w:val="9"/>
    <w:rsid w:val="0035517B"/>
    <w:rPr>
      <w:rFonts w:ascii="Arial" w:eastAsiaTheme="majorEastAsia" w:hAnsi="Arial" w:cstheme="majorBidi"/>
      <w:color w:val="004270"/>
      <w:sz w:val="36"/>
      <w:lang w:val="en-AU"/>
    </w:rPr>
  </w:style>
  <w:style w:type="paragraph" w:styleId="TOC2">
    <w:name w:val="toc 2"/>
    <w:basedOn w:val="Normal"/>
    <w:next w:val="Normal"/>
    <w:autoRedefine/>
    <w:uiPriority w:val="39"/>
    <w:unhideWhenUsed/>
    <w:rsid w:val="00056960"/>
    <w:pPr>
      <w:tabs>
        <w:tab w:val="right" w:leader="dot" w:pos="8296"/>
      </w:tabs>
      <w:spacing w:before="120"/>
      <w:ind w:left="238"/>
    </w:pPr>
  </w:style>
  <w:style w:type="character" w:styleId="HTMLCite">
    <w:name w:val="HTML Cite"/>
    <w:uiPriority w:val="99"/>
    <w:unhideWhenUsed/>
    <w:rsid w:val="00D74335"/>
    <w:rPr>
      <w:i/>
      <w:iCs/>
    </w:rPr>
  </w:style>
  <w:style w:type="table" w:styleId="TableGrid">
    <w:name w:val="Table Grid"/>
    <w:basedOn w:val="TableNormal"/>
    <w:rsid w:val="00E7746A"/>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713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1324"/>
    <w:rPr>
      <w:rFonts w:ascii="Segoe UI" w:hAnsi="Segoe UI" w:cs="Segoe UI"/>
      <w:sz w:val="18"/>
      <w:szCs w:val="18"/>
    </w:rPr>
  </w:style>
  <w:style w:type="character" w:customStyle="1" w:styleId="Heading3Char">
    <w:name w:val="Heading 3 Char"/>
    <w:basedOn w:val="DefaultParagraphFont"/>
    <w:link w:val="Heading3"/>
    <w:uiPriority w:val="9"/>
    <w:rsid w:val="0035517B"/>
    <w:rPr>
      <w:rFonts w:ascii="Arial" w:eastAsiaTheme="majorEastAsia" w:hAnsi="Arial" w:cstheme="majorBidi"/>
      <w:color w:val="004270"/>
      <w:sz w:val="28"/>
      <w:lang w:val="en-AU"/>
    </w:rPr>
  </w:style>
  <w:style w:type="paragraph" w:styleId="TOC3">
    <w:name w:val="toc 3"/>
    <w:basedOn w:val="Normal"/>
    <w:next w:val="Normal"/>
    <w:autoRedefine/>
    <w:uiPriority w:val="39"/>
    <w:unhideWhenUsed/>
    <w:rsid w:val="00041E58"/>
    <w:pPr>
      <w:spacing w:after="100"/>
      <w:ind w:left="480"/>
    </w:pPr>
  </w:style>
  <w:style w:type="character" w:styleId="CommentReference">
    <w:name w:val="annotation reference"/>
    <w:basedOn w:val="DefaultParagraphFont"/>
    <w:uiPriority w:val="99"/>
    <w:semiHidden/>
    <w:unhideWhenUsed/>
    <w:rsid w:val="00C526DC"/>
    <w:rPr>
      <w:sz w:val="16"/>
      <w:szCs w:val="16"/>
    </w:rPr>
  </w:style>
  <w:style w:type="paragraph" w:styleId="CommentText">
    <w:name w:val="annotation text"/>
    <w:basedOn w:val="Normal"/>
    <w:link w:val="CommentTextChar"/>
    <w:uiPriority w:val="99"/>
    <w:unhideWhenUsed/>
    <w:rsid w:val="00C526DC"/>
    <w:rPr>
      <w:sz w:val="20"/>
      <w:szCs w:val="20"/>
    </w:rPr>
  </w:style>
  <w:style w:type="character" w:customStyle="1" w:styleId="CommentTextChar">
    <w:name w:val="Comment Text Char"/>
    <w:basedOn w:val="DefaultParagraphFont"/>
    <w:link w:val="CommentText"/>
    <w:uiPriority w:val="99"/>
    <w:rsid w:val="00C526DC"/>
    <w:rPr>
      <w:sz w:val="20"/>
      <w:szCs w:val="20"/>
    </w:rPr>
  </w:style>
  <w:style w:type="paragraph" w:styleId="CommentSubject">
    <w:name w:val="annotation subject"/>
    <w:basedOn w:val="CommentText"/>
    <w:next w:val="CommentText"/>
    <w:link w:val="CommentSubjectChar"/>
    <w:uiPriority w:val="99"/>
    <w:semiHidden/>
    <w:unhideWhenUsed/>
    <w:rsid w:val="00C526DC"/>
    <w:rPr>
      <w:b/>
      <w:bCs/>
    </w:rPr>
  </w:style>
  <w:style w:type="character" w:customStyle="1" w:styleId="CommentSubjectChar">
    <w:name w:val="Comment Subject Char"/>
    <w:basedOn w:val="CommentTextChar"/>
    <w:link w:val="CommentSubject"/>
    <w:uiPriority w:val="99"/>
    <w:semiHidden/>
    <w:rsid w:val="00C526DC"/>
    <w:rPr>
      <w:b/>
      <w:bCs/>
      <w:sz w:val="20"/>
      <w:szCs w:val="20"/>
    </w:rPr>
  </w:style>
  <w:style w:type="paragraph" w:customStyle="1" w:styleId="Numberedparagraph">
    <w:name w:val="Numbered paragraph"/>
    <w:basedOn w:val="ListParagraph"/>
    <w:link w:val="NumberedparagraphChar"/>
    <w:qFormat/>
    <w:rsid w:val="00370EC3"/>
    <w:pPr>
      <w:numPr>
        <w:numId w:val="20"/>
      </w:numPr>
      <w:spacing w:before="120" w:after="240" w:line="276" w:lineRule="auto"/>
      <w:contextualSpacing w:val="0"/>
    </w:pPr>
    <w:rPr>
      <w:rFonts w:cs="Arial"/>
    </w:rPr>
  </w:style>
  <w:style w:type="paragraph" w:styleId="Quote">
    <w:name w:val="Quote"/>
    <w:basedOn w:val="Normal"/>
    <w:next w:val="Normal"/>
    <w:link w:val="QuoteChar"/>
    <w:uiPriority w:val="29"/>
    <w:qFormat/>
    <w:rsid w:val="003C2709"/>
    <w:pPr>
      <w:spacing w:before="240" w:after="240" w:line="276" w:lineRule="auto"/>
      <w:ind w:left="907" w:right="843"/>
    </w:pPr>
    <w:rPr>
      <w:rFonts w:cs="Arial"/>
      <w:sz w:val="20"/>
      <w:szCs w:val="20"/>
    </w:rPr>
  </w:style>
  <w:style w:type="character" w:customStyle="1" w:styleId="ListParagraphChar">
    <w:name w:val="List Paragraph Char"/>
    <w:basedOn w:val="DefaultParagraphFont"/>
    <w:link w:val="ListParagraph"/>
    <w:uiPriority w:val="34"/>
    <w:rsid w:val="00502924"/>
  </w:style>
  <w:style w:type="character" w:customStyle="1" w:styleId="NumberedparagraphChar">
    <w:name w:val="Numbered paragraph Char"/>
    <w:basedOn w:val="ListParagraphChar"/>
    <w:link w:val="Numberedparagraph"/>
    <w:rsid w:val="00370EC3"/>
    <w:rPr>
      <w:rFonts w:ascii="Arial" w:hAnsi="Arial" w:cs="Arial"/>
      <w:color w:val="000000" w:themeColor="text1"/>
      <w:sz w:val="22"/>
      <w:lang w:val="en-AU"/>
    </w:rPr>
  </w:style>
  <w:style w:type="character" w:customStyle="1" w:styleId="QuoteChar">
    <w:name w:val="Quote Char"/>
    <w:basedOn w:val="DefaultParagraphFont"/>
    <w:link w:val="Quote"/>
    <w:uiPriority w:val="29"/>
    <w:rsid w:val="003C2709"/>
    <w:rPr>
      <w:rFonts w:ascii="Arial" w:hAnsi="Arial" w:cs="Arial"/>
      <w:sz w:val="20"/>
      <w:szCs w:val="20"/>
    </w:rPr>
  </w:style>
  <w:style w:type="paragraph" w:customStyle="1" w:styleId="Bulletedlist">
    <w:name w:val="Bulleted list"/>
    <w:basedOn w:val="ListParagraph"/>
    <w:qFormat/>
    <w:rsid w:val="00370EC3"/>
    <w:pPr>
      <w:numPr>
        <w:numId w:val="23"/>
      </w:numPr>
      <w:spacing w:after="240"/>
    </w:pPr>
    <w:rPr>
      <w:rFonts w:cs="Arial"/>
    </w:rPr>
  </w:style>
  <w:style w:type="paragraph" w:styleId="Title">
    <w:name w:val="Title"/>
    <w:basedOn w:val="Normal"/>
    <w:next w:val="Normal"/>
    <w:link w:val="TitleChar"/>
    <w:uiPriority w:val="10"/>
    <w:qFormat/>
    <w:rsid w:val="0035517B"/>
    <w:pPr>
      <w:pBdr>
        <w:bottom w:val="single" w:sz="8" w:space="12" w:color="004270"/>
      </w:pBdr>
      <w:spacing w:after="240"/>
      <w:contextualSpacing/>
    </w:pPr>
    <w:rPr>
      <w:rFonts w:eastAsiaTheme="majorEastAsia" w:cstheme="majorBidi"/>
      <w:color w:val="004270"/>
      <w:spacing w:val="-10"/>
      <w:kern w:val="28"/>
      <w:sz w:val="60"/>
      <w:szCs w:val="56"/>
    </w:rPr>
  </w:style>
  <w:style w:type="character" w:customStyle="1" w:styleId="TitleChar">
    <w:name w:val="Title Char"/>
    <w:basedOn w:val="DefaultParagraphFont"/>
    <w:link w:val="Title"/>
    <w:uiPriority w:val="10"/>
    <w:rsid w:val="0035517B"/>
    <w:rPr>
      <w:rFonts w:ascii="Arial" w:eastAsiaTheme="majorEastAsia" w:hAnsi="Arial" w:cstheme="majorBidi"/>
      <w:color w:val="004270"/>
      <w:spacing w:val="-10"/>
      <w:kern w:val="28"/>
      <w:sz w:val="60"/>
      <w:szCs w:val="56"/>
      <w:lang w:val="en-AU"/>
    </w:rPr>
  </w:style>
  <w:style w:type="character" w:customStyle="1" w:styleId="Heading4Char">
    <w:name w:val="Heading 4 Char"/>
    <w:basedOn w:val="DefaultParagraphFont"/>
    <w:link w:val="Heading4"/>
    <w:uiPriority w:val="9"/>
    <w:semiHidden/>
    <w:rsid w:val="00CB6DFD"/>
    <w:rPr>
      <w:rFonts w:asciiTheme="majorHAnsi" w:eastAsiaTheme="majorEastAsia" w:hAnsiTheme="majorHAnsi" w:cstheme="majorBidi"/>
      <w:i/>
      <w:iCs/>
      <w:color w:val="365F91" w:themeColor="accent1" w:themeShade="BF"/>
      <w:sz w:val="22"/>
      <w:lang w:val="en-AU"/>
    </w:rPr>
  </w:style>
  <w:style w:type="character" w:customStyle="1" w:styleId="Heading5Char">
    <w:name w:val="Heading 5 Char"/>
    <w:basedOn w:val="DefaultParagraphFont"/>
    <w:link w:val="Heading5"/>
    <w:uiPriority w:val="9"/>
    <w:semiHidden/>
    <w:rsid w:val="00CB6DFD"/>
    <w:rPr>
      <w:rFonts w:asciiTheme="majorHAnsi" w:eastAsiaTheme="majorEastAsia" w:hAnsiTheme="majorHAnsi" w:cstheme="majorBidi"/>
      <w:color w:val="365F91" w:themeColor="accent1" w:themeShade="BF"/>
      <w:sz w:val="22"/>
      <w:lang w:val="en-AU"/>
    </w:rPr>
  </w:style>
  <w:style w:type="character" w:customStyle="1" w:styleId="listnumber">
    <w:name w:val="listnumber"/>
    <w:basedOn w:val="DefaultParagraphFont"/>
    <w:rsid w:val="00CB6DFD"/>
  </w:style>
  <w:style w:type="paragraph" w:customStyle="1" w:styleId="Listparagraph-bulleted">
    <w:name w:val="List paragraph - bulleted"/>
    <w:basedOn w:val="Normal"/>
    <w:qFormat/>
    <w:rsid w:val="00CB6DFD"/>
    <w:pPr>
      <w:numPr>
        <w:numId w:val="26"/>
      </w:numPr>
      <w:tabs>
        <w:tab w:val="left" w:pos="7892"/>
      </w:tabs>
      <w:spacing w:after="240" w:line="300" w:lineRule="auto"/>
      <w:ind w:right="1440"/>
      <w:contextualSpacing/>
    </w:pPr>
    <w:rPr>
      <w:rFonts w:eastAsia="Times New Roman" w:cs="Times New Roman"/>
      <w:color w:val="auto"/>
      <w:sz w:val="24"/>
      <w:szCs w:val="22"/>
    </w:rPr>
  </w:style>
  <w:style w:type="character" w:customStyle="1" w:styleId="cf01">
    <w:name w:val="cf01"/>
    <w:basedOn w:val="DefaultParagraphFont"/>
    <w:rsid w:val="00CB6DFD"/>
    <w:rPr>
      <w:rFonts w:ascii="Segoe UI Symbol" w:hAnsi="Segoe UI Symbol" w:cs="Segoe UI Symbol"/>
      <w:sz w:val="18"/>
      <w:szCs w:val="18"/>
    </w:rPr>
  </w:style>
  <w:style w:type="paragraph" w:styleId="Revision">
    <w:name w:val="Revision"/>
    <w:hidden/>
    <w:uiPriority w:val="99"/>
    <w:semiHidden/>
    <w:rsid w:val="00AA020F"/>
    <w:rPr>
      <w:rFonts w:ascii="Arial" w:hAnsi="Arial"/>
      <w:color w:val="000000" w:themeColor="text1"/>
      <w:sz w:val="22"/>
      <w:lang w:val="en-AU"/>
    </w:rPr>
  </w:style>
  <w:style w:type="character" w:styleId="Mention">
    <w:name w:val="Mention"/>
    <w:basedOn w:val="DefaultParagraphFont"/>
    <w:uiPriority w:val="99"/>
    <w:unhideWhenUsed/>
    <w:rsid w:val="005B5CDA"/>
    <w:rPr>
      <w:color w:val="2B579A"/>
      <w:shd w:val="clear" w:color="auto" w:fill="E1DFDD"/>
    </w:rPr>
  </w:style>
  <w:style w:type="character" w:styleId="UnresolvedMention">
    <w:name w:val="Unresolved Mention"/>
    <w:basedOn w:val="DefaultParagraphFont"/>
    <w:uiPriority w:val="99"/>
    <w:semiHidden/>
    <w:unhideWhenUsed/>
    <w:rsid w:val="00F642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41275">
      <w:bodyDiv w:val="1"/>
      <w:marLeft w:val="0"/>
      <w:marRight w:val="0"/>
      <w:marTop w:val="0"/>
      <w:marBottom w:val="0"/>
      <w:divBdr>
        <w:top w:val="none" w:sz="0" w:space="0" w:color="auto"/>
        <w:left w:val="none" w:sz="0" w:space="0" w:color="auto"/>
        <w:bottom w:val="none" w:sz="0" w:space="0" w:color="auto"/>
        <w:right w:val="none" w:sz="0" w:space="0" w:color="auto"/>
      </w:divBdr>
      <w:divsChild>
        <w:div w:id="256982410">
          <w:blockQuote w:val="1"/>
          <w:marLeft w:val="0"/>
          <w:marRight w:val="0"/>
          <w:marTop w:val="120"/>
          <w:marBottom w:val="120"/>
          <w:divBdr>
            <w:top w:val="none" w:sz="0" w:space="0" w:color="auto"/>
            <w:left w:val="none" w:sz="0" w:space="0" w:color="auto"/>
            <w:bottom w:val="none" w:sz="0" w:space="0" w:color="auto"/>
            <w:right w:val="none" w:sz="0" w:space="0" w:color="auto"/>
          </w:divBdr>
        </w:div>
        <w:div w:id="1639605962">
          <w:blockQuote w:val="1"/>
          <w:marLeft w:val="0"/>
          <w:marRight w:val="0"/>
          <w:marTop w:val="120"/>
          <w:marBottom w:val="120"/>
          <w:divBdr>
            <w:top w:val="none" w:sz="0" w:space="0" w:color="auto"/>
            <w:left w:val="none" w:sz="0" w:space="0" w:color="auto"/>
            <w:bottom w:val="none" w:sz="0" w:space="0" w:color="auto"/>
            <w:right w:val="none" w:sz="0" w:space="0" w:color="auto"/>
          </w:divBdr>
        </w:div>
      </w:divsChild>
    </w:div>
    <w:div w:id="17811408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rkhillhx\OneDrive%20-%20Queensland%20Human%20Rights%20Commission\2023.02.02%20DRAFT%20Submiss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2018-11-19T00:00:00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87DC833-81BF-4820-A55E-25E6B8F37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2023.02.02 DRAFT Submission</Template>
  <TotalTime>26</TotalTime>
  <Pages>17</Pages>
  <Words>4888</Words>
  <Characters>27863</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[Title]</vt:lpstr>
    </vt:vector>
  </TitlesOfParts>
  <Company/>
  <LinksUpToDate>false</LinksUpToDate>
  <CharactersWithSpaces>32686</CharactersWithSpaces>
  <SharedDoc>false</SharedDoc>
  <HLinks>
    <vt:vector size="174" baseType="variant">
      <vt:variant>
        <vt:i4>1638451</vt:i4>
      </vt:variant>
      <vt:variant>
        <vt:i4>170</vt:i4>
      </vt:variant>
      <vt:variant>
        <vt:i4>0</vt:i4>
      </vt:variant>
      <vt:variant>
        <vt:i4>5</vt:i4>
      </vt:variant>
      <vt:variant>
        <vt:lpwstr/>
      </vt:variant>
      <vt:variant>
        <vt:lpwstr>_Toc127428705</vt:lpwstr>
      </vt:variant>
      <vt:variant>
        <vt:i4>1638451</vt:i4>
      </vt:variant>
      <vt:variant>
        <vt:i4>164</vt:i4>
      </vt:variant>
      <vt:variant>
        <vt:i4>0</vt:i4>
      </vt:variant>
      <vt:variant>
        <vt:i4>5</vt:i4>
      </vt:variant>
      <vt:variant>
        <vt:lpwstr/>
      </vt:variant>
      <vt:variant>
        <vt:lpwstr>_Toc127428704</vt:lpwstr>
      </vt:variant>
      <vt:variant>
        <vt:i4>1638451</vt:i4>
      </vt:variant>
      <vt:variant>
        <vt:i4>158</vt:i4>
      </vt:variant>
      <vt:variant>
        <vt:i4>0</vt:i4>
      </vt:variant>
      <vt:variant>
        <vt:i4>5</vt:i4>
      </vt:variant>
      <vt:variant>
        <vt:lpwstr/>
      </vt:variant>
      <vt:variant>
        <vt:lpwstr>_Toc127428703</vt:lpwstr>
      </vt:variant>
      <vt:variant>
        <vt:i4>1638451</vt:i4>
      </vt:variant>
      <vt:variant>
        <vt:i4>152</vt:i4>
      </vt:variant>
      <vt:variant>
        <vt:i4>0</vt:i4>
      </vt:variant>
      <vt:variant>
        <vt:i4>5</vt:i4>
      </vt:variant>
      <vt:variant>
        <vt:lpwstr/>
      </vt:variant>
      <vt:variant>
        <vt:lpwstr>_Toc127428702</vt:lpwstr>
      </vt:variant>
      <vt:variant>
        <vt:i4>1638451</vt:i4>
      </vt:variant>
      <vt:variant>
        <vt:i4>146</vt:i4>
      </vt:variant>
      <vt:variant>
        <vt:i4>0</vt:i4>
      </vt:variant>
      <vt:variant>
        <vt:i4>5</vt:i4>
      </vt:variant>
      <vt:variant>
        <vt:lpwstr/>
      </vt:variant>
      <vt:variant>
        <vt:lpwstr>_Toc127428701</vt:lpwstr>
      </vt:variant>
      <vt:variant>
        <vt:i4>1638451</vt:i4>
      </vt:variant>
      <vt:variant>
        <vt:i4>140</vt:i4>
      </vt:variant>
      <vt:variant>
        <vt:i4>0</vt:i4>
      </vt:variant>
      <vt:variant>
        <vt:i4>5</vt:i4>
      </vt:variant>
      <vt:variant>
        <vt:lpwstr/>
      </vt:variant>
      <vt:variant>
        <vt:lpwstr>_Toc127428700</vt:lpwstr>
      </vt:variant>
      <vt:variant>
        <vt:i4>1048626</vt:i4>
      </vt:variant>
      <vt:variant>
        <vt:i4>134</vt:i4>
      </vt:variant>
      <vt:variant>
        <vt:i4>0</vt:i4>
      </vt:variant>
      <vt:variant>
        <vt:i4>5</vt:i4>
      </vt:variant>
      <vt:variant>
        <vt:lpwstr/>
      </vt:variant>
      <vt:variant>
        <vt:lpwstr>_Toc127428699</vt:lpwstr>
      </vt:variant>
      <vt:variant>
        <vt:i4>1048626</vt:i4>
      </vt:variant>
      <vt:variant>
        <vt:i4>128</vt:i4>
      </vt:variant>
      <vt:variant>
        <vt:i4>0</vt:i4>
      </vt:variant>
      <vt:variant>
        <vt:i4>5</vt:i4>
      </vt:variant>
      <vt:variant>
        <vt:lpwstr/>
      </vt:variant>
      <vt:variant>
        <vt:lpwstr>_Toc127428698</vt:lpwstr>
      </vt:variant>
      <vt:variant>
        <vt:i4>1048626</vt:i4>
      </vt:variant>
      <vt:variant>
        <vt:i4>122</vt:i4>
      </vt:variant>
      <vt:variant>
        <vt:i4>0</vt:i4>
      </vt:variant>
      <vt:variant>
        <vt:i4>5</vt:i4>
      </vt:variant>
      <vt:variant>
        <vt:lpwstr/>
      </vt:variant>
      <vt:variant>
        <vt:lpwstr>_Toc127428697</vt:lpwstr>
      </vt:variant>
      <vt:variant>
        <vt:i4>1048626</vt:i4>
      </vt:variant>
      <vt:variant>
        <vt:i4>116</vt:i4>
      </vt:variant>
      <vt:variant>
        <vt:i4>0</vt:i4>
      </vt:variant>
      <vt:variant>
        <vt:i4>5</vt:i4>
      </vt:variant>
      <vt:variant>
        <vt:lpwstr/>
      </vt:variant>
      <vt:variant>
        <vt:lpwstr>_Toc127428696</vt:lpwstr>
      </vt:variant>
      <vt:variant>
        <vt:i4>1048626</vt:i4>
      </vt:variant>
      <vt:variant>
        <vt:i4>110</vt:i4>
      </vt:variant>
      <vt:variant>
        <vt:i4>0</vt:i4>
      </vt:variant>
      <vt:variant>
        <vt:i4>5</vt:i4>
      </vt:variant>
      <vt:variant>
        <vt:lpwstr/>
      </vt:variant>
      <vt:variant>
        <vt:lpwstr>_Toc127428695</vt:lpwstr>
      </vt:variant>
      <vt:variant>
        <vt:i4>1048626</vt:i4>
      </vt:variant>
      <vt:variant>
        <vt:i4>104</vt:i4>
      </vt:variant>
      <vt:variant>
        <vt:i4>0</vt:i4>
      </vt:variant>
      <vt:variant>
        <vt:i4>5</vt:i4>
      </vt:variant>
      <vt:variant>
        <vt:lpwstr/>
      </vt:variant>
      <vt:variant>
        <vt:lpwstr>_Toc127428694</vt:lpwstr>
      </vt:variant>
      <vt:variant>
        <vt:i4>1048626</vt:i4>
      </vt:variant>
      <vt:variant>
        <vt:i4>98</vt:i4>
      </vt:variant>
      <vt:variant>
        <vt:i4>0</vt:i4>
      </vt:variant>
      <vt:variant>
        <vt:i4>5</vt:i4>
      </vt:variant>
      <vt:variant>
        <vt:lpwstr/>
      </vt:variant>
      <vt:variant>
        <vt:lpwstr>_Toc127428693</vt:lpwstr>
      </vt:variant>
      <vt:variant>
        <vt:i4>1048626</vt:i4>
      </vt:variant>
      <vt:variant>
        <vt:i4>92</vt:i4>
      </vt:variant>
      <vt:variant>
        <vt:i4>0</vt:i4>
      </vt:variant>
      <vt:variant>
        <vt:i4>5</vt:i4>
      </vt:variant>
      <vt:variant>
        <vt:lpwstr/>
      </vt:variant>
      <vt:variant>
        <vt:lpwstr>_Toc127428692</vt:lpwstr>
      </vt:variant>
      <vt:variant>
        <vt:i4>1048626</vt:i4>
      </vt:variant>
      <vt:variant>
        <vt:i4>86</vt:i4>
      </vt:variant>
      <vt:variant>
        <vt:i4>0</vt:i4>
      </vt:variant>
      <vt:variant>
        <vt:i4>5</vt:i4>
      </vt:variant>
      <vt:variant>
        <vt:lpwstr/>
      </vt:variant>
      <vt:variant>
        <vt:lpwstr>_Toc127428691</vt:lpwstr>
      </vt:variant>
      <vt:variant>
        <vt:i4>1048626</vt:i4>
      </vt:variant>
      <vt:variant>
        <vt:i4>80</vt:i4>
      </vt:variant>
      <vt:variant>
        <vt:i4>0</vt:i4>
      </vt:variant>
      <vt:variant>
        <vt:i4>5</vt:i4>
      </vt:variant>
      <vt:variant>
        <vt:lpwstr/>
      </vt:variant>
      <vt:variant>
        <vt:lpwstr>_Toc127428690</vt:lpwstr>
      </vt:variant>
      <vt:variant>
        <vt:i4>1114162</vt:i4>
      </vt:variant>
      <vt:variant>
        <vt:i4>74</vt:i4>
      </vt:variant>
      <vt:variant>
        <vt:i4>0</vt:i4>
      </vt:variant>
      <vt:variant>
        <vt:i4>5</vt:i4>
      </vt:variant>
      <vt:variant>
        <vt:lpwstr/>
      </vt:variant>
      <vt:variant>
        <vt:lpwstr>_Toc127428689</vt:lpwstr>
      </vt:variant>
      <vt:variant>
        <vt:i4>1114162</vt:i4>
      </vt:variant>
      <vt:variant>
        <vt:i4>68</vt:i4>
      </vt:variant>
      <vt:variant>
        <vt:i4>0</vt:i4>
      </vt:variant>
      <vt:variant>
        <vt:i4>5</vt:i4>
      </vt:variant>
      <vt:variant>
        <vt:lpwstr/>
      </vt:variant>
      <vt:variant>
        <vt:lpwstr>_Toc127428688</vt:lpwstr>
      </vt:variant>
      <vt:variant>
        <vt:i4>1114162</vt:i4>
      </vt:variant>
      <vt:variant>
        <vt:i4>62</vt:i4>
      </vt:variant>
      <vt:variant>
        <vt:i4>0</vt:i4>
      </vt:variant>
      <vt:variant>
        <vt:i4>5</vt:i4>
      </vt:variant>
      <vt:variant>
        <vt:lpwstr/>
      </vt:variant>
      <vt:variant>
        <vt:lpwstr>_Toc127428687</vt:lpwstr>
      </vt:variant>
      <vt:variant>
        <vt:i4>1114162</vt:i4>
      </vt:variant>
      <vt:variant>
        <vt:i4>56</vt:i4>
      </vt:variant>
      <vt:variant>
        <vt:i4>0</vt:i4>
      </vt:variant>
      <vt:variant>
        <vt:i4>5</vt:i4>
      </vt:variant>
      <vt:variant>
        <vt:lpwstr/>
      </vt:variant>
      <vt:variant>
        <vt:lpwstr>_Toc127428686</vt:lpwstr>
      </vt:variant>
      <vt:variant>
        <vt:i4>1114162</vt:i4>
      </vt:variant>
      <vt:variant>
        <vt:i4>50</vt:i4>
      </vt:variant>
      <vt:variant>
        <vt:i4>0</vt:i4>
      </vt:variant>
      <vt:variant>
        <vt:i4>5</vt:i4>
      </vt:variant>
      <vt:variant>
        <vt:lpwstr/>
      </vt:variant>
      <vt:variant>
        <vt:lpwstr>_Toc127428685</vt:lpwstr>
      </vt:variant>
      <vt:variant>
        <vt:i4>1114162</vt:i4>
      </vt:variant>
      <vt:variant>
        <vt:i4>44</vt:i4>
      </vt:variant>
      <vt:variant>
        <vt:i4>0</vt:i4>
      </vt:variant>
      <vt:variant>
        <vt:i4>5</vt:i4>
      </vt:variant>
      <vt:variant>
        <vt:lpwstr/>
      </vt:variant>
      <vt:variant>
        <vt:lpwstr>_Toc127428684</vt:lpwstr>
      </vt:variant>
      <vt:variant>
        <vt:i4>1114162</vt:i4>
      </vt:variant>
      <vt:variant>
        <vt:i4>38</vt:i4>
      </vt:variant>
      <vt:variant>
        <vt:i4>0</vt:i4>
      </vt:variant>
      <vt:variant>
        <vt:i4>5</vt:i4>
      </vt:variant>
      <vt:variant>
        <vt:lpwstr/>
      </vt:variant>
      <vt:variant>
        <vt:lpwstr>_Toc127428683</vt:lpwstr>
      </vt:variant>
      <vt:variant>
        <vt:i4>1114162</vt:i4>
      </vt:variant>
      <vt:variant>
        <vt:i4>32</vt:i4>
      </vt:variant>
      <vt:variant>
        <vt:i4>0</vt:i4>
      </vt:variant>
      <vt:variant>
        <vt:i4>5</vt:i4>
      </vt:variant>
      <vt:variant>
        <vt:lpwstr/>
      </vt:variant>
      <vt:variant>
        <vt:lpwstr>_Toc127428682</vt:lpwstr>
      </vt:variant>
      <vt:variant>
        <vt:i4>1114162</vt:i4>
      </vt:variant>
      <vt:variant>
        <vt:i4>26</vt:i4>
      </vt:variant>
      <vt:variant>
        <vt:i4>0</vt:i4>
      </vt:variant>
      <vt:variant>
        <vt:i4>5</vt:i4>
      </vt:variant>
      <vt:variant>
        <vt:lpwstr/>
      </vt:variant>
      <vt:variant>
        <vt:lpwstr>_Toc127428681</vt:lpwstr>
      </vt:variant>
      <vt:variant>
        <vt:i4>1114162</vt:i4>
      </vt:variant>
      <vt:variant>
        <vt:i4>20</vt:i4>
      </vt:variant>
      <vt:variant>
        <vt:i4>0</vt:i4>
      </vt:variant>
      <vt:variant>
        <vt:i4>5</vt:i4>
      </vt:variant>
      <vt:variant>
        <vt:lpwstr/>
      </vt:variant>
      <vt:variant>
        <vt:lpwstr>_Toc127428680</vt:lpwstr>
      </vt:variant>
      <vt:variant>
        <vt:i4>1966130</vt:i4>
      </vt:variant>
      <vt:variant>
        <vt:i4>14</vt:i4>
      </vt:variant>
      <vt:variant>
        <vt:i4>0</vt:i4>
      </vt:variant>
      <vt:variant>
        <vt:i4>5</vt:i4>
      </vt:variant>
      <vt:variant>
        <vt:lpwstr/>
      </vt:variant>
      <vt:variant>
        <vt:lpwstr>_Toc127428679</vt:lpwstr>
      </vt:variant>
      <vt:variant>
        <vt:i4>1966130</vt:i4>
      </vt:variant>
      <vt:variant>
        <vt:i4>8</vt:i4>
      </vt:variant>
      <vt:variant>
        <vt:i4>0</vt:i4>
      </vt:variant>
      <vt:variant>
        <vt:i4>5</vt:i4>
      </vt:variant>
      <vt:variant>
        <vt:lpwstr/>
      </vt:variant>
      <vt:variant>
        <vt:lpwstr>_Toc127428678</vt:lpwstr>
      </vt:variant>
      <vt:variant>
        <vt:i4>1966130</vt:i4>
      </vt:variant>
      <vt:variant>
        <vt:i4>2</vt:i4>
      </vt:variant>
      <vt:variant>
        <vt:i4>0</vt:i4>
      </vt:variant>
      <vt:variant>
        <vt:i4>5</vt:i4>
      </vt:variant>
      <vt:variant>
        <vt:lpwstr/>
      </vt:variant>
      <vt:variant>
        <vt:lpwstr>_Toc127428677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Heather Corkhill</dc:creator>
  <cp:keywords/>
  <dc:description/>
  <cp:lastModifiedBy>Heather Corkhill</cp:lastModifiedBy>
  <cp:revision>7</cp:revision>
  <cp:lastPrinted>2023-02-22T23:32:00Z</cp:lastPrinted>
  <dcterms:created xsi:type="dcterms:W3CDTF">2023-02-22T23:26:00Z</dcterms:created>
  <dcterms:modified xsi:type="dcterms:W3CDTF">2023-02-23T01:04:00Z</dcterms:modified>
</cp:coreProperties>
</file>