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bottom w:val="single" w:sz="4" w:space="0" w:color="auto"/>
        </w:tblBorders>
        <w:tblLook w:val="04A0" w:firstRow="1" w:lastRow="0" w:firstColumn="1" w:lastColumn="0" w:noHBand="0" w:noVBand="1"/>
      </w:tblPr>
      <w:tblGrid>
        <w:gridCol w:w="8498"/>
      </w:tblGrid>
      <w:tr w:rsidR="004A2375" w:rsidRPr="00041B02" w14:paraId="5658453C" w14:textId="77777777" w:rsidTr="00260847">
        <w:trPr>
          <w:trHeight w:val="2506"/>
          <w:jc w:val="center"/>
        </w:trPr>
        <w:tc>
          <w:tcPr>
            <w:tcW w:w="5000" w:type="pct"/>
            <w:vAlign w:val="center"/>
          </w:tcPr>
          <w:p w14:paraId="2C1A33CD" w14:textId="77777777" w:rsidR="00260847" w:rsidRPr="00041B02" w:rsidRDefault="00260847" w:rsidP="005A1988">
            <w:pPr>
              <w:pStyle w:val="NoSpacing"/>
              <w:widowControl w:val="0"/>
              <w:spacing w:after="240"/>
              <w:rPr>
                <w:rFonts w:ascii="Arial" w:hAnsi="Arial" w:cs="Arial"/>
              </w:rPr>
            </w:pPr>
          </w:p>
          <w:p w14:paraId="0441FB1F" w14:textId="77777777" w:rsidR="00260847" w:rsidRPr="00041B02" w:rsidRDefault="00260847" w:rsidP="005A1988">
            <w:pPr>
              <w:pStyle w:val="NoSpacing"/>
              <w:widowControl w:val="0"/>
              <w:spacing w:after="240"/>
              <w:rPr>
                <w:rFonts w:ascii="Arial" w:hAnsi="Arial" w:cs="Arial"/>
              </w:rPr>
            </w:pPr>
          </w:p>
          <w:p w14:paraId="724B77DA" w14:textId="77777777" w:rsidR="00260847" w:rsidRPr="00041B02" w:rsidRDefault="00260847" w:rsidP="005A1988">
            <w:pPr>
              <w:pStyle w:val="NoSpacing"/>
              <w:widowControl w:val="0"/>
              <w:spacing w:after="240"/>
              <w:rPr>
                <w:rFonts w:ascii="Arial" w:hAnsi="Arial" w:cs="Arial"/>
              </w:rPr>
            </w:pPr>
          </w:p>
          <w:p w14:paraId="5441CAC0" w14:textId="77777777" w:rsidR="00260847" w:rsidRPr="00041B02" w:rsidRDefault="00260847" w:rsidP="005A1988">
            <w:pPr>
              <w:pStyle w:val="NoSpacing"/>
              <w:widowControl w:val="0"/>
              <w:spacing w:after="240"/>
              <w:rPr>
                <w:rFonts w:ascii="Arial" w:hAnsi="Arial" w:cs="Arial"/>
              </w:rPr>
            </w:pPr>
          </w:p>
          <w:p w14:paraId="7B0BF898" w14:textId="77777777" w:rsidR="00260847" w:rsidRPr="00041B02" w:rsidRDefault="00260847" w:rsidP="005A1988">
            <w:pPr>
              <w:pStyle w:val="NoSpacing"/>
              <w:widowControl w:val="0"/>
              <w:spacing w:after="240"/>
              <w:rPr>
                <w:rFonts w:ascii="Arial" w:hAnsi="Arial" w:cs="Arial"/>
              </w:rPr>
            </w:pPr>
          </w:p>
          <w:p w14:paraId="154CDF0D" w14:textId="77777777" w:rsidR="00260847" w:rsidRPr="00041B02" w:rsidRDefault="00260847" w:rsidP="005A1988">
            <w:pPr>
              <w:pStyle w:val="NoSpacing"/>
              <w:widowControl w:val="0"/>
              <w:spacing w:after="240"/>
              <w:rPr>
                <w:rFonts w:ascii="Arial" w:hAnsi="Arial" w:cs="Arial"/>
              </w:rPr>
            </w:pPr>
          </w:p>
          <w:p w14:paraId="4115A4B4" w14:textId="77777777" w:rsidR="00260847" w:rsidRPr="00041B02" w:rsidRDefault="00260847" w:rsidP="005A1988">
            <w:pPr>
              <w:pStyle w:val="NoSpacing"/>
              <w:widowControl w:val="0"/>
              <w:spacing w:after="240"/>
              <w:rPr>
                <w:rFonts w:ascii="Arial" w:hAnsi="Arial" w:cs="Arial"/>
              </w:rPr>
            </w:pPr>
            <w:r w:rsidRPr="00041B02">
              <w:rPr>
                <w:rFonts w:ascii="Arial" w:hAnsi="Arial" w:cs="Arial"/>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Pr="00041B02" w:rsidRDefault="00260847" w:rsidP="005A1988">
            <w:pPr>
              <w:pStyle w:val="NoSpacing"/>
              <w:widowControl w:val="0"/>
              <w:spacing w:after="240"/>
              <w:rPr>
                <w:rFonts w:ascii="Arial" w:hAnsi="Arial" w:cs="Arial"/>
              </w:rPr>
            </w:pPr>
          </w:p>
          <w:p w14:paraId="514D3B7A" w14:textId="77777777" w:rsidR="00260847" w:rsidRPr="00041B02" w:rsidRDefault="00260847" w:rsidP="005A1988">
            <w:pPr>
              <w:pStyle w:val="NoSpacing"/>
              <w:widowControl w:val="0"/>
              <w:spacing w:after="240"/>
              <w:rPr>
                <w:rFonts w:ascii="Arial" w:hAnsi="Arial" w:cs="Arial"/>
              </w:rPr>
            </w:pPr>
          </w:p>
          <w:p w14:paraId="1AEF9582" w14:textId="77777777" w:rsidR="00260847" w:rsidRPr="00041B02" w:rsidRDefault="00260847" w:rsidP="005A1988">
            <w:pPr>
              <w:pStyle w:val="NoSpacing"/>
              <w:widowControl w:val="0"/>
              <w:spacing w:after="240"/>
              <w:rPr>
                <w:rFonts w:ascii="Arial" w:hAnsi="Arial" w:cs="Arial"/>
              </w:rPr>
            </w:pPr>
          </w:p>
          <w:p w14:paraId="74475C10" w14:textId="77777777" w:rsidR="00260847" w:rsidRPr="00041B02" w:rsidRDefault="00260847" w:rsidP="005A1988">
            <w:pPr>
              <w:pStyle w:val="NoSpacing"/>
              <w:widowControl w:val="0"/>
              <w:spacing w:after="240"/>
              <w:rPr>
                <w:rFonts w:ascii="Arial" w:hAnsi="Arial" w:cs="Arial"/>
              </w:rPr>
            </w:pPr>
          </w:p>
          <w:bookmarkStart w:id="0" w:name="_Toc128123983" w:displacedByCustomXml="next"/>
          <w:bookmarkStart w:id="1" w:name="_Toc128050045" w:displacedByCustomXml="next"/>
          <w:bookmarkStart w:id="2" w:name="_Toc128047919" w:displacedByCustomXml="next"/>
          <w:bookmarkStart w:id="3" w:name="_Toc128047833" w:displacedByCustomXml="next"/>
          <w:bookmarkStart w:id="4" w:name="_Toc128047137" w:displacedByCustomXml="next"/>
          <w:bookmarkStart w:id="5" w:name="_Toc128047066" w:displacedByCustomXml="next"/>
          <w:bookmarkStart w:id="6" w:name="_Toc128046975" w:displacedByCustomXml="next"/>
          <w:bookmarkStart w:id="7" w:name="_Toc128046903" w:displacedByCustomXml="next"/>
          <w:bookmarkStart w:id="8" w:name="_Toc127945686" w:displacedByCustomXml="next"/>
          <w:bookmarkStart w:id="9" w:name="_Toc124495101" w:displacedByCustomXml="next"/>
          <w:bookmarkStart w:id="10" w:name="_Toc123717177" w:displacedByCustomXml="next"/>
          <w:bookmarkStart w:id="11" w:name="_Toc123717109" w:displacedByCustomXml="next"/>
          <w:sdt>
            <w:sdtPr>
              <w:rPr>
                <w:sz w:val="44"/>
                <w:szCs w:val="2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61E3E6E5" w:rsidR="004A2375" w:rsidRPr="00041B02" w:rsidRDefault="005F5CAE" w:rsidP="005A1988">
                <w:pPr>
                  <w:pStyle w:val="Heading1"/>
                  <w:rPr>
                    <w:rFonts w:cs="Arial"/>
                  </w:rPr>
                </w:pPr>
                <w:r w:rsidRPr="000C236F">
                  <w:rPr>
                    <w:sz w:val="44"/>
                    <w:szCs w:val="28"/>
                    <w:lang w:eastAsia="en-AU"/>
                  </w:rPr>
                  <w:t>Strengthening Community Safety Bill 2023</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rsidRPr="00041B02" w14:paraId="2411E64C" w14:textId="77777777" w:rsidTr="00260847">
        <w:tc>
          <w:tcPr>
            <w:tcW w:w="6407" w:type="dxa"/>
            <w:tcMar>
              <w:top w:w="216" w:type="dxa"/>
              <w:left w:w="115" w:type="dxa"/>
              <w:bottom w:w="216" w:type="dxa"/>
              <w:right w:w="115" w:type="dxa"/>
            </w:tcMar>
          </w:tcPr>
          <w:p w14:paraId="1364FB85" w14:textId="44715789" w:rsidR="00A16356" w:rsidRPr="00041B02" w:rsidRDefault="00486753" w:rsidP="005A1988">
            <w:pPr>
              <w:pStyle w:val="NoSpacing"/>
              <w:widowControl w:val="0"/>
              <w:spacing w:before="120" w:after="120"/>
              <w:jc w:val="center"/>
              <w:rPr>
                <w:rFonts w:ascii="Arial" w:hAnsi="Arial" w:cs="Arial"/>
                <w:color w:val="4F81BD" w:themeColor="accent1"/>
              </w:rPr>
            </w:pPr>
            <w:r w:rsidRPr="00041B02">
              <w:rPr>
                <w:rFonts w:ascii="Arial" w:hAnsi="Arial" w:cs="Arial"/>
                <w:bCs/>
              </w:rPr>
              <w:t>24 February</w:t>
            </w:r>
            <w:r w:rsidR="007101A7" w:rsidRPr="00041B02">
              <w:rPr>
                <w:rFonts w:ascii="Arial" w:hAnsi="Arial" w:cs="Arial"/>
                <w:bCs/>
              </w:rPr>
              <w:t xml:space="preserve"> 202</w:t>
            </w:r>
            <w:r w:rsidR="00CE532D" w:rsidRPr="00041B02">
              <w:rPr>
                <w:rFonts w:ascii="Arial" w:hAnsi="Arial" w:cs="Arial"/>
                <w:bCs/>
              </w:rPr>
              <w:t>3</w:t>
            </w:r>
          </w:p>
        </w:tc>
      </w:tr>
    </w:tbl>
    <w:p w14:paraId="5DBCC84D" w14:textId="14CECA91" w:rsidR="00260847" w:rsidRPr="00041B02" w:rsidRDefault="00260847" w:rsidP="005A1988">
      <w:pPr>
        <w:pStyle w:val="NoSpacing"/>
        <w:widowControl w:val="0"/>
        <w:spacing w:before="120" w:after="120"/>
        <w:rPr>
          <w:rFonts w:ascii="Arial" w:hAnsi="Arial" w:cs="Arial"/>
          <w:bCs/>
          <w:sz w:val="28"/>
          <w:szCs w:val="28"/>
        </w:rPr>
      </w:pPr>
      <w:r w:rsidRPr="00041B02">
        <w:rPr>
          <w:rFonts w:ascii="Arial" w:hAnsi="Arial" w:cs="Arial"/>
          <w:bCs/>
          <w:sz w:val="28"/>
          <w:szCs w:val="28"/>
        </w:rPr>
        <w:t xml:space="preserve">Submission to </w:t>
      </w:r>
      <w:r w:rsidR="005F5CAE" w:rsidRPr="00041B02">
        <w:rPr>
          <w:rFonts w:ascii="Arial" w:hAnsi="Arial" w:cs="Arial"/>
          <w:bCs/>
          <w:sz w:val="28"/>
          <w:szCs w:val="28"/>
        </w:rPr>
        <w:t xml:space="preserve">Economics and </w:t>
      </w:r>
      <w:r w:rsidR="00486753" w:rsidRPr="00041B02">
        <w:rPr>
          <w:rFonts w:ascii="Arial" w:hAnsi="Arial" w:cs="Arial"/>
          <w:bCs/>
          <w:sz w:val="28"/>
          <w:szCs w:val="28"/>
        </w:rPr>
        <w:t>Governance</w:t>
      </w:r>
      <w:r w:rsidR="008109D2" w:rsidRPr="00041B02">
        <w:rPr>
          <w:rFonts w:ascii="Arial" w:hAnsi="Arial" w:cs="Arial"/>
          <w:bCs/>
          <w:sz w:val="28"/>
          <w:szCs w:val="28"/>
        </w:rPr>
        <w:t xml:space="preserve"> Committee</w:t>
      </w:r>
    </w:p>
    <w:p w14:paraId="3B348709" w14:textId="77777777" w:rsidR="00293C9F" w:rsidRPr="004C7C44" w:rsidRDefault="00293C9F" w:rsidP="005A1988">
      <w:pPr>
        <w:widowControl w:val="0"/>
        <w:rPr>
          <w:rFonts w:ascii="Arial" w:eastAsiaTheme="majorEastAsia" w:hAnsi="Arial" w:cstheme="majorBidi"/>
          <w:color w:val="004270"/>
          <w:sz w:val="22"/>
          <w:szCs w:val="22"/>
        </w:rPr>
      </w:pPr>
      <w:r w:rsidRPr="00041B02">
        <w:rPr>
          <w:rFonts w:ascii="Arial" w:hAnsi="Arial" w:cs="Arial"/>
          <w:sz w:val="22"/>
          <w:szCs w:val="22"/>
        </w:rPr>
        <w:br w:type="page"/>
      </w:r>
    </w:p>
    <w:p w14:paraId="328E9C96" w14:textId="77777777" w:rsidR="00224108" w:rsidRDefault="000A5313" w:rsidP="007C5D69">
      <w:pPr>
        <w:pStyle w:val="TOCHeading"/>
        <w:rPr>
          <w:noProof/>
        </w:rPr>
      </w:pPr>
      <w:bookmarkStart w:id="12" w:name="_Toc123717178"/>
      <w:r w:rsidRPr="00C203C3">
        <w:lastRenderedPageBreak/>
        <w:t>Table of Contents</w:t>
      </w:r>
      <w:bookmarkEnd w:id="12"/>
      <w:r w:rsidR="006F4194">
        <w:fldChar w:fldCharType="begin"/>
      </w:r>
      <w:r w:rsidR="006F4194" w:rsidRPr="00A8574F">
        <w:instrText xml:space="preserve"> TOC \o "1-2" \h \z \u </w:instrText>
      </w:r>
      <w:r w:rsidR="006F4194">
        <w:fldChar w:fldCharType="separate"/>
      </w:r>
    </w:p>
    <w:p w14:paraId="13271E97" w14:textId="5CABEAF2" w:rsidR="00224108" w:rsidRPr="00224108" w:rsidRDefault="008D66A5" w:rsidP="00D91D11">
      <w:pPr>
        <w:pStyle w:val="TOC1"/>
        <w:rPr>
          <w:noProof/>
          <w:sz w:val="22"/>
          <w:szCs w:val="22"/>
          <w:lang w:eastAsia="en-AU"/>
        </w:rPr>
      </w:pPr>
      <w:hyperlink w:anchor="_Toc128123984" w:history="1">
        <w:r w:rsidR="00224108" w:rsidRPr="00224108">
          <w:rPr>
            <w:rStyle w:val="Hyperlink"/>
            <w:rFonts w:cs="Arial"/>
            <w:noProof/>
          </w:rPr>
          <w:t>Summary</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_Toc128123984 \h </w:instrText>
        </w:r>
        <w:r w:rsidR="00224108" w:rsidRPr="00224108">
          <w:rPr>
            <w:noProof/>
            <w:webHidden/>
          </w:rPr>
        </w:r>
        <w:r w:rsidR="00224108" w:rsidRPr="00224108">
          <w:rPr>
            <w:noProof/>
            <w:webHidden/>
          </w:rPr>
          <w:fldChar w:fldCharType="separate"/>
        </w:r>
        <w:r w:rsidR="00224108" w:rsidRPr="00224108">
          <w:rPr>
            <w:noProof/>
            <w:webHidden/>
          </w:rPr>
          <w:t>3</w:t>
        </w:r>
        <w:r w:rsidR="00224108" w:rsidRPr="00224108">
          <w:rPr>
            <w:noProof/>
            <w:webHidden/>
          </w:rPr>
          <w:fldChar w:fldCharType="end"/>
        </w:r>
      </w:hyperlink>
    </w:p>
    <w:p w14:paraId="5ECD462B" w14:textId="310638EF" w:rsidR="00224108" w:rsidRPr="00224108" w:rsidRDefault="008D66A5" w:rsidP="00D91D11">
      <w:pPr>
        <w:pStyle w:val="TOC1"/>
        <w:rPr>
          <w:noProof/>
          <w:sz w:val="22"/>
          <w:szCs w:val="22"/>
          <w:lang w:eastAsia="en-AU"/>
        </w:rPr>
      </w:pPr>
      <w:hyperlink w:anchor="_Toc128123985" w:history="1">
        <w:r w:rsidR="00224108" w:rsidRPr="00224108">
          <w:rPr>
            <w:rStyle w:val="Hyperlink"/>
            <w:rFonts w:cs="Arial"/>
            <w:noProof/>
            <w:lang w:eastAsia="en-AU"/>
          </w:rPr>
          <w:t>Introduction</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_Toc128123985 \h </w:instrText>
        </w:r>
        <w:r w:rsidR="00224108" w:rsidRPr="00224108">
          <w:rPr>
            <w:noProof/>
            <w:webHidden/>
          </w:rPr>
        </w:r>
        <w:r w:rsidR="00224108" w:rsidRPr="00224108">
          <w:rPr>
            <w:noProof/>
            <w:webHidden/>
          </w:rPr>
          <w:fldChar w:fldCharType="separate"/>
        </w:r>
        <w:r w:rsidR="00224108" w:rsidRPr="00224108">
          <w:rPr>
            <w:noProof/>
            <w:webHidden/>
          </w:rPr>
          <w:t>3</w:t>
        </w:r>
        <w:r w:rsidR="00224108" w:rsidRPr="00224108">
          <w:rPr>
            <w:noProof/>
            <w:webHidden/>
          </w:rPr>
          <w:fldChar w:fldCharType="end"/>
        </w:r>
      </w:hyperlink>
    </w:p>
    <w:p w14:paraId="0409CC1F" w14:textId="11612FE9" w:rsidR="00224108" w:rsidRPr="00224108" w:rsidRDefault="008D66A5" w:rsidP="00D91D11">
      <w:pPr>
        <w:pStyle w:val="TOC1"/>
        <w:rPr>
          <w:noProof/>
          <w:sz w:val="22"/>
          <w:szCs w:val="22"/>
          <w:lang w:eastAsia="en-AU"/>
        </w:rPr>
      </w:pPr>
      <w:hyperlink w:anchor="_Toc128123986" w:history="1">
        <w:r w:rsidR="00224108" w:rsidRPr="00224108">
          <w:rPr>
            <w:rStyle w:val="Hyperlink"/>
            <w:rFonts w:cs="Arial"/>
            <w:noProof/>
            <w:lang w:eastAsia="en-AU"/>
          </w:rPr>
          <w:t>The objectives of the Bill</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_Toc128123986 \h </w:instrText>
        </w:r>
        <w:r w:rsidR="00224108" w:rsidRPr="00224108">
          <w:rPr>
            <w:noProof/>
            <w:webHidden/>
          </w:rPr>
        </w:r>
        <w:r w:rsidR="00224108" w:rsidRPr="00224108">
          <w:rPr>
            <w:noProof/>
            <w:webHidden/>
          </w:rPr>
          <w:fldChar w:fldCharType="separate"/>
        </w:r>
        <w:r w:rsidR="00224108" w:rsidRPr="00224108">
          <w:rPr>
            <w:noProof/>
            <w:webHidden/>
          </w:rPr>
          <w:t>4</w:t>
        </w:r>
        <w:r w:rsidR="00224108" w:rsidRPr="00224108">
          <w:rPr>
            <w:noProof/>
            <w:webHidden/>
          </w:rPr>
          <w:fldChar w:fldCharType="end"/>
        </w:r>
      </w:hyperlink>
    </w:p>
    <w:p w14:paraId="06E87557" w14:textId="0109B880" w:rsidR="00224108" w:rsidRPr="00224108" w:rsidRDefault="008D66A5" w:rsidP="00D91D11">
      <w:pPr>
        <w:pStyle w:val="TOC2"/>
        <w:tabs>
          <w:tab w:val="right" w:leader="dot" w:pos="8222"/>
        </w:tabs>
        <w:rPr>
          <w:rFonts w:ascii="Arial" w:hAnsi="Arial" w:cs="Arial"/>
          <w:noProof/>
          <w:sz w:val="22"/>
          <w:szCs w:val="22"/>
          <w:lang w:eastAsia="en-AU"/>
        </w:rPr>
      </w:pPr>
      <w:hyperlink w:anchor="_Toc128123987" w:history="1">
        <w:r w:rsidR="00224108" w:rsidRPr="00224108">
          <w:rPr>
            <w:rStyle w:val="Hyperlink"/>
            <w:rFonts w:ascii="Arial" w:hAnsi="Arial" w:cs="Arial"/>
            <w:noProof/>
          </w:rPr>
          <w:t>Victims’ rights</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_Toc128123987 \h </w:instrText>
        </w:r>
        <w:r w:rsidR="00224108" w:rsidRPr="00224108">
          <w:rPr>
            <w:rFonts w:ascii="Arial" w:hAnsi="Arial" w:cs="Arial"/>
            <w:noProof/>
            <w:webHidden/>
          </w:rPr>
        </w:r>
        <w:r w:rsidR="00224108" w:rsidRPr="00224108">
          <w:rPr>
            <w:rFonts w:ascii="Arial" w:hAnsi="Arial" w:cs="Arial"/>
            <w:noProof/>
            <w:webHidden/>
          </w:rPr>
          <w:fldChar w:fldCharType="separate"/>
        </w:r>
        <w:r w:rsidR="00224108" w:rsidRPr="00224108">
          <w:rPr>
            <w:rFonts w:ascii="Arial" w:hAnsi="Arial" w:cs="Arial"/>
            <w:noProof/>
            <w:webHidden/>
          </w:rPr>
          <w:t>5</w:t>
        </w:r>
        <w:r w:rsidR="00224108" w:rsidRPr="00224108">
          <w:rPr>
            <w:rFonts w:ascii="Arial" w:hAnsi="Arial" w:cs="Arial"/>
            <w:noProof/>
            <w:webHidden/>
          </w:rPr>
          <w:fldChar w:fldCharType="end"/>
        </w:r>
      </w:hyperlink>
    </w:p>
    <w:p w14:paraId="1EEA474D" w14:textId="770B18F7" w:rsidR="00224108" w:rsidRPr="00224108" w:rsidRDefault="008D66A5" w:rsidP="00D91D11">
      <w:pPr>
        <w:pStyle w:val="TOC2"/>
        <w:tabs>
          <w:tab w:val="right" w:leader="dot" w:pos="8222"/>
        </w:tabs>
        <w:rPr>
          <w:rFonts w:ascii="Arial" w:hAnsi="Arial" w:cs="Arial"/>
          <w:noProof/>
          <w:sz w:val="22"/>
          <w:szCs w:val="22"/>
          <w:lang w:eastAsia="en-AU"/>
        </w:rPr>
      </w:pPr>
      <w:hyperlink w:anchor="_Toc128123988" w:history="1">
        <w:r w:rsidR="00224108" w:rsidRPr="00224108">
          <w:rPr>
            <w:rStyle w:val="Hyperlink"/>
            <w:rFonts w:ascii="Arial" w:hAnsi="Arial" w:cs="Arial"/>
            <w:noProof/>
          </w:rPr>
          <w:t>Why children need protection</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_Toc128123988 \h </w:instrText>
        </w:r>
        <w:r w:rsidR="00224108" w:rsidRPr="00224108">
          <w:rPr>
            <w:rFonts w:ascii="Arial" w:hAnsi="Arial" w:cs="Arial"/>
            <w:noProof/>
            <w:webHidden/>
          </w:rPr>
        </w:r>
        <w:r w:rsidR="00224108" w:rsidRPr="00224108">
          <w:rPr>
            <w:rFonts w:ascii="Arial" w:hAnsi="Arial" w:cs="Arial"/>
            <w:noProof/>
            <w:webHidden/>
          </w:rPr>
          <w:fldChar w:fldCharType="separate"/>
        </w:r>
        <w:r w:rsidR="00224108" w:rsidRPr="00224108">
          <w:rPr>
            <w:rFonts w:ascii="Arial" w:hAnsi="Arial" w:cs="Arial"/>
            <w:noProof/>
            <w:webHidden/>
          </w:rPr>
          <w:t>7</w:t>
        </w:r>
        <w:r w:rsidR="00224108" w:rsidRPr="00224108">
          <w:rPr>
            <w:rFonts w:ascii="Arial" w:hAnsi="Arial" w:cs="Arial"/>
            <w:noProof/>
            <w:webHidden/>
          </w:rPr>
          <w:fldChar w:fldCharType="end"/>
        </w:r>
      </w:hyperlink>
    </w:p>
    <w:p w14:paraId="1CBE0D65" w14:textId="7689B09B" w:rsidR="00224108" w:rsidRPr="00224108" w:rsidRDefault="008D66A5" w:rsidP="00D91D11">
      <w:pPr>
        <w:pStyle w:val="TOC1"/>
        <w:rPr>
          <w:noProof/>
          <w:sz w:val="22"/>
          <w:szCs w:val="22"/>
          <w:lang w:eastAsia="en-AU"/>
        </w:rPr>
      </w:pPr>
      <w:hyperlink w:anchor="_Toc128123989" w:history="1">
        <w:r w:rsidR="00224108" w:rsidRPr="00224108">
          <w:rPr>
            <w:rStyle w:val="Hyperlink"/>
            <w:rFonts w:cs="Arial"/>
            <w:noProof/>
          </w:rPr>
          <w:t>Override of the HR Act</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_Toc128123989 \h </w:instrText>
        </w:r>
        <w:r w:rsidR="00224108" w:rsidRPr="00224108">
          <w:rPr>
            <w:noProof/>
            <w:webHidden/>
          </w:rPr>
        </w:r>
        <w:r w:rsidR="00224108" w:rsidRPr="00224108">
          <w:rPr>
            <w:noProof/>
            <w:webHidden/>
          </w:rPr>
          <w:fldChar w:fldCharType="separate"/>
        </w:r>
        <w:r w:rsidR="00224108" w:rsidRPr="00224108">
          <w:rPr>
            <w:noProof/>
            <w:webHidden/>
          </w:rPr>
          <w:t>8</w:t>
        </w:r>
        <w:r w:rsidR="00224108" w:rsidRPr="00224108">
          <w:rPr>
            <w:noProof/>
            <w:webHidden/>
          </w:rPr>
          <w:fldChar w:fldCharType="end"/>
        </w:r>
      </w:hyperlink>
    </w:p>
    <w:p w14:paraId="4214ACEA" w14:textId="60ABB870" w:rsidR="00224108" w:rsidRPr="00224108" w:rsidRDefault="008D66A5" w:rsidP="00D91D11">
      <w:pPr>
        <w:pStyle w:val="TOC2"/>
        <w:tabs>
          <w:tab w:val="right" w:leader="dot" w:pos="8222"/>
        </w:tabs>
        <w:rPr>
          <w:rFonts w:ascii="Arial" w:hAnsi="Arial" w:cs="Arial"/>
          <w:noProof/>
          <w:sz w:val="22"/>
          <w:szCs w:val="22"/>
          <w:lang w:eastAsia="en-AU"/>
        </w:rPr>
      </w:pPr>
      <w:hyperlink w:anchor="_Toc128123990" w:history="1">
        <w:r w:rsidR="00224108" w:rsidRPr="00224108">
          <w:rPr>
            <w:rStyle w:val="Hyperlink"/>
            <w:rFonts w:ascii="Arial" w:hAnsi="Arial" w:cs="Arial"/>
            <w:noProof/>
          </w:rPr>
          <w:t>Exceptional circumstances</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_Toc128123990 \h </w:instrText>
        </w:r>
        <w:r w:rsidR="00224108" w:rsidRPr="00224108">
          <w:rPr>
            <w:rFonts w:ascii="Arial" w:hAnsi="Arial" w:cs="Arial"/>
            <w:noProof/>
            <w:webHidden/>
          </w:rPr>
        </w:r>
        <w:r w:rsidR="00224108" w:rsidRPr="00224108">
          <w:rPr>
            <w:rFonts w:ascii="Arial" w:hAnsi="Arial" w:cs="Arial"/>
            <w:noProof/>
            <w:webHidden/>
          </w:rPr>
          <w:fldChar w:fldCharType="separate"/>
        </w:r>
        <w:r w:rsidR="00224108" w:rsidRPr="00224108">
          <w:rPr>
            <w:rFonts w:ascii="Arial" w:hAnsi="Arial" w:cs="Arial"/>
            <w:noProof/>
            <w:webHidden/>
          </w:rPr>
          <w:t>9</w:t>
        </w:r>
        <w:r w:rsidR="00224108" w:rsidRPr="00224108">
          <w:rPr>
            <w:rFonts w:ascii="Arial" w:hAnsi="Arial" w:cs="Arial"/>
            <w:noProof/>
            <w:webHidden/>
          </w:rPr>
          <w:fldChar w:fldCharType="end"/>
        </w:r>
      </w:hyperlink>
    </w:p>
    <w:p w14:paraId="2E3A62F4" w14:textId="54E94D2F" w:rsidR="00224108" w:rsidRPr="00224108" w:rsidRDefault="008D66A5" w:rsidP="00D91D11">
      <w:pPr>
        <w:pStyle w:val="TOC2"/>
        <w:tabs>
          <w:tab w:val="right" w:leader="dot" w:pos="8222"/>
        </w:tabs>
        <w:rPr>
          <w:rFonts w:ascii="Arial" w:hAnsi="Arial" w:cs="Arial"/>
          <w:noProof/>
          <w:sz w:val="22"/>
          <w:szCs w:val="22"/>
          <w:lang w:eastAsia="en-AU"/>
        </w:rPr>
      </w:pPr>
      <w:hyperlink w:anchor="_Toc128123991" w:history="1">
        <w:r w:rsidR="00224108" w:rsidRPr="00224108">
          <w:rPr>
            <w:rStyle w:val="Hyperlink"/>
            <w:rFonts w:ascii="Arial" w:hAnsi="Arial" w:cs="Arial"/>
            <w:noProof/>
          </w:rPr>
          <w:t>Nature of rights overridden</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_Toc128123991 \h </w:instrText>
        </w:r>
        <w:r w:rsidR="00224108" w:rsidRPr="00224108">
          <w:rPr>
            <w:rFonts w:ascii="Arial" w:hAnsi="Arial" w:cs="Arial"/>
            <w:noProof/>
            <w:webHidden/>
          </w:rPr>
        </w:r>
        <w:r w:rsidR="00224108" w:rsidRPr="00224108">
          <w:rPr>
            <w:rFonts w:ascii="Arial" w:hAnsi="Arial" w:cs="Arial"/>
            <w:noProof/>
            <w:webHidden/>
          </w:rPr>
          <w:fldChar w:fldCharType="separate"/>
        </w:r>
        <w:r w:rsidR="00224108" w:rsidRPr="00224108">
          <w:rPr>
            <w:rFonts w:ascii="Arial" w:hAnsi="Arial" w:cs="Arial"/>
            <w:noProof/>
            <w:webHidden/>
          </w:rPr>
          <w:t>10</w:t>
        </w:r>
        <w:r w:rsidR="00224108" w:rsidRPr="00224108">
          <w:rPr>
            <w:rFonts w:ascii="Arial" w:hAnsi="Arial" w:cs="Arial"/>
            <w:noProof/>
            <w:webHidden/>
          </w:rPr>
          <w:fldChar w:fldCharType="end"/>
        </w:r>
      </w:hyperlink>
    </w:p>
    <w:p w14:paraId="10F2EB3B" w14:textId="406515E6" w:rsidR="00224108" w:rsidRPr="00224108" w:rsidRDefault="008D66A5" w:rsidP="00D91D11">
      <w:pPr>
        <w:pStyle w:val="TOC2"/>
        <w:tabs>
          <w:tab w:val="right" w:leader="dot" w:pos="8222"/>
        </w:tabs>
        <w:rPr>
          <w:rFonts w:ascii="Arial" w:hAnsi="Arial" w:cs="Arial"/>
          <w:noProof/>
          <w:sz w:val="22"/>
          <w:szCs w:val="22"/>
          <w:lang w:eastAsia="en-AU"/>
        </w:rPr>
      </w:pPr>
      <w:hyperlink w:anchor="_Toc128123992" w:history="1">
        <w:r w:rsidR="00224108" w:rsidRPr="00224108">
          <w:rPr>
            <w:rStyle w:val="Hyperlink"/>
            <w:rFonts w:ascii="Arial" w:hAnsi="Arial" w:cs="Arial"/>
            <w:noProof/>
          </w:rPr>
          <w:t>Justification for override</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_Toc128123992 \h </w:instrText>
        </w:r>
        <w:r w:rsidR="00224108" w:rsidRPr="00224108">
          <w:rPr>
            <w:rFonts w:ascii="Arial" w:hAnsi="Arial" w:cs="Arial"/>
            <w:noProof/>
            <w:webHidden/>
          </w:rPr>
        </w:r>
        <w:r w:rsidR="00224108" w:rsidRPr="00224108">
          <w:rPr>
            <w:rFonts w:ascii="Arial" w:hAnsi="Arial" w:cs="Arial"/>
            <w:noProof/>
            <w:webHidden/>
          </w:rPr>
          <w:fldChar w:fldCharType="separate"/>
        </w:r>
        <w:r w:rsidR="00224108" w:rsidRPr="00224108">
          <w:rPr>
            <w:rFonts w:ascii="Arial" w:hAnsi="Arial" w:cs="Arial"/>
            <w:noProof/>
            <w:webHidden/>
          </w:rPr>
          <w:t>10</w:t>
        </w:r>
        <w:r w:rsidR="00224108" w:rsidRPr="00224108">
          <w:rPr>
            <w:rFonts w:ascii="Arial" w:hAnsi="Arial" w:cs="Arial"/>
            <w:noProof/>
            <w:webHidden/>
          </w:rPr>
          <w:fldChar w:fldCharType="end"/>
        </w:r>
      </w:hyperlink>
    </w:p>
    <w:p w14:paraId="5236FFF0" w14:textId="592BA127" w:rsidR="00224108" w:rsidRPr="00224108" w:rsidRDefault="008D66A5" w:rsidP="00D91D11">
      <w:pPr>
        <w:pStyle w:val="TOC1"/>
        <w:rPr>
          <w:noProof/>
          <w:sz w:val="22"/>
          <w:szCs w:val="22"/>
          <w:lang w:eastAsia="en-AU"/>
        </w:rPr>
      </w:pPr>
      <w:hyperlink w:anchor="_Toc128123993" w:history="1">
        <w:r w:rsidR="00224108" w:rsidRPr="00224108">
          <w:rPr>
            <w:rStyle w:val="Hyperlink"/>
            <w:rFonts w:cs="Arial"/>
            <w:noProof/>
          </w:rPr>
          <w:t>Specific amendments of concern</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_Toc128123993 \h </w:instrText>
        </w:r>
        <w:r w:rsidR="00224108" w:rsidRPr="00224108">
          <w:rPr>
            <w:noProof/>
            <w:webHidden/>
          </w:rPr>
        </w:r>
        <w:r w:rsidR="00224108" w:rsidRPr="00224108">
          <w:rPr>
            <w:noProof/>
            <w:webHidden/>
          </w:rPr>
          <w:fldChar w:fldCharType="separate"/>
        </w:r>
        <w:r w:rsidR="00224108" w:rsidRPr="00224108">
          <w:rPr>
            <w:noProof/>
            <w:webHidden/>
          </w:rPr>
          <w:t>12</w:t>
        </w:r>
        <w:r w:rsidR="00224108" w:rsidRPr="00224108">
          <w:rPr>
            <w:noProof/>
            <w:webHidden/>
          </w:rPr>
          <w:fldChar w:fldCharType="end"/>
        </w:r>
      </w:hyperlink>
    </w:p>
    <w:p w14:paraId="23057B4C" w14:textId="0EB8A47F" w:rsidR="00224108" w:rsidRPr="00224108" w:rsidRDefault="008D66A5" w:rsidP="00D91D11">
      <w:pPr>
        <w:pStyle w:val="TOC2"/>
        <w:tabs>
          <w:tab w:val="right" w:leader="dot" w:pos="8222"/>
        </w:tabs>
        <w:rPr>
          <w:rFonts w:ascii="Arial" w:hAnsi="Arial" w:cs="Arial"/>
          <w:noProof/>
          <w:sz w:val="22"/>
          <w:szCs w:val="22"/>
          <w:lang w:eastAsia="en-AU"/>
        </w:rPr>
      </w:pPr>
      <w:hyperlink w:anchor="_Toc128123994" w:history="1">
        <w:r w:rsidR="00224108" w:rsidRPr="00224108">
          <w:rPr>
            <w:rStyle w:val="Hyperlink"/>
            <w:rFonts w:ascii="Arial" w:hAnsi="Arial" w:cs="Arial"/>
            <w:noProof/>
          </w:rPr>
          <w:t>Bail amendments</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_Toc128123994 \h </w:instrText>
        </w:r>
        <w:r w:rsidR="00224108" w:rsidRPr="00224108">
          <w:rPr>
            <w:rFonts w:ascii="Arial" w:hAnsi="Arial" w:cs="Arial"/>
            <w:noProof/>
            <w:webHidden/>
          </w:rPr>
        </w:r>
        <w:r w:rsidR="00224108" w:rsidRPr="00224108">
          <w:rPr>
            <w:rFonts w:ascii="Arial" w:hAnsi="Arial" w:cs="Arial"/>
            <w:noProof/>
            <w:webHidden/>
          </w:rPr>
          <w:fldChar w:fldCharType="separate"/>
        </w:r>
        <w:r w:rsidR="00224108" w:rsidRPr="00224108">
          <w:rPr>
            <w:rFonts w:ascii="Arial" w:hAnsi="Arial" w:cs="Arial"/>
            <w:noProof/>
            <w:webHidden/>
          </w:rPr>
          <w:t>12</w:t>
        </w:r>
        <w:r w:rsidR="00224108" w:rsidRPr="00224108">
          <w:rPr>
            <w:rFonts w:ascii="Arial" w:hAnsi="Arial" w:cs="Arial"/>
            <w:noProof/>
            <w:webHidden/>
          </w:rPr>
          <w:fldChar w:fldCharType="end"/>
        </w:r>
      </w:hyperlink>
    </w:p>
    <w:p w14:paraId="2457D5AC" w14:textId="682683F2" w:rsidR="00224108" w:rsidRPr="00224108" w:rsidRDefault="008D66A5" w:rsidP="00D91D11">
      <w:pPr>
        <w:pStyle w:val="TOC2"/>
        <w:tabs>
          <w:tab w:val="right" w:leader="dot" w:pos="8222"/>
        </w:tabs>
        <w:rPr>
          <w:rFonts w:ascii="Arial" w:hAnsi="Arial" w:cs="Arial"/>
          <w:noProof/>
          <w:sz w:val="22"/>
          <w:szCs w:val="22"/>
          <w:lang w:eastAsia="en-AU"/>
        </w:rPr>
      </w:pPr>
      <w:hyperlink w:anchor="_Toc128123995" w:history="1">
        <w:r w:rsidR="00224108" w:rsidRPr="00224108">
          <w:rPr>
            <w:rStyle w:val="Hyperlink"/>
            <w:rFonts w:ascii="Arial" w:hAnsi="Arial" w:cs="Arial"/>
            <w:noProof/>
          </w:rPr>
          <w:t>New police powers of arrest</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_Toc128123995 \h </w:instrText>
        </w:r>
        <w:r w:rsidR="00224108" w:rsidRPr="00224108">
          <w:rPr>
            <w:rFonts w:ascii="Arial" w:hAnsi="Arial" w:cs="Arial"/>
            <w:noProof/>
            <w:webHidden/>
          </w:rPr>
        </w:r>
        <w:r w:rsidR="00224108" w:rsidRPr="00224108">
          <w:rPr>
            <w:rFonts w:ascii="Arial" w:hAnsi="Arial" w:cs="Arial"/>
            <w:noProof/>
            <w:webHidden/>
          </w:rPr>
          <w:fldChar w:fldCharType="separate"/>
        </w:r>
        <w:r w:rsidR="007A61F2">
          <w:rPr>
            <w:rFonts w:ascii="Arial" w:hAnsi="Arial" w:cs="Arial"/>
            <w:noProof/>
            <w:webHidden/>
          </w:rPr>
          <w:t>18</w:t>
        </w:r>
        <w:r w:rsidR="00224108" w:rsidRPr="00224108">
          <w:rPr>
            <w:rFonts w:ascii="Arial" w:hAnsi="Arial" w:cs="Arial"/>
            <w:noProof/>
            <w:webHidden/>
          </w:rPr>
          <w:fldChar w:fldCharType="end"/>
        </w:r>
      </w:hyperlink>
    </w:p>
    <w:p w14:paraId="58ACF0C3" w14:textId="3B623DD5" w:rsidR="00224108" w:rsidRPr="00224108" w:rsidRDefault="008D66A5" w:rsidP="00D91D11">
      <w:pPr>
        <w:pStyle w:val="TOC2"/>
        <w:tabs>
          <w:tab w:val="right" w:leader="dot" w:pos="8222"/>
        </w:tabs>
        <w:rPr>
          <w:rFonts w:ascii="Arial" w:hAnsi="Arial" w:cs="Arial"/>
          <w:noProof/>
          <w:sz w:val="22"/>
          <w:szCs w:val="22"/>
          <w:lang w:eastAsia="en-AU"/>
        </w:rPr>
      </w:pPr>
      <w:hyperlink w:anchor="_Toc128123996" w:history="1">
        <w:r w:rsidR="00224108" w:rsidRPr="00224108">
          <w:rPr>
            <w:rStyle w:val="Hyperlink"/>
            <w:rFonts w:ascii="Arial" w:hAnsi="Arial" w:cs="Arial"/>
            <w:noProof/>
          </w:rPr>
          <w:t>Serious repeat offender declaration</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_Toc128123996 \h </w:instrText>
        </w:r>
        <w:r w:rsidR="00224108" w:rsidRPr="00224108">
          <w:rPr>
            <w:rFonts w:ascii="Arial" w:hAnsi="Arial" w:cs="Arial"/>
            <w:noProof/>
            <w:webHidden/>
          </w:rPr>
        </w:r>
        <w:r w:rsidR="00224108" w:rsidRPr="00224108">
          <w:rPr>
            <w:rFonts w:ascii="Arial" w:hAnsi="Arial" w:cs="Arial"/>
            <w:noProof/>
            <w:webHidden/>
          </w:rPr>
          <w:fldChar w:fldCharType="separate"/>
        </w:r>
        <w:r w:rsidR="00224108" w:rsidRPr="00224108">
          <w:rPr>
            <w:rFonts w:ascii="Arial" w:hAnsi="Arial" w:cs="Arial"/>
            <w:noProof/>
            <w:webHidden/>
          </w:rPr>
          <w:t>19</w:t>
        </w:r>
        <w:r w:rsidR="00224108" w:rsidRPr="00224108">
          <w:rPr>
            <w:rFonts w:ascii="Arial" w:hAnsi="Arial" w:cs="Arial"/>
            <w:noProof/>
            <w:webHidden/>
          </w:rPr>
          <w:fldChar w:fldCharType="end"/>
        </w:r>
      </w:hyperlink>
    </w:p>
    <w:p w14:paraId="7D9D5B67" w14:textId="4A79A3BD" w:rsidR="00224108" w:rsidRPr="00224108" w:rsidRDefault="008D66A5" w:rsidP="00D91D11">
      <w:pPr>
        <w:pStyle w:val="TOC2"/>
        <w:tabs>
          <w:tab w:val="right" w:leader="dot" w:pos="8222"/>
        </w:tabs>
        <w:rPr>
          <w:rFonts w:ascii="Arial" w:hAnsi="Arial" w:cs="Arial"/>
          <w:noProof/>
          <w:sz w:val="22"/>
          <w:szCs w:val="22"/>
          <w:lang w:eastAsia="en-AU"/>
        </w:rPr>
      </w:pPr>
      <w:hyperlink w:anchor="_Toc128123997" w:history="1">
        <w:r w:rsidR="00224108" w:rsidRPr="00224108">
          <w:rPr>
            <w:rStyle w:val="Hyperlink"/>
            <w:rFonts w:ascii="Arial" w:hAnsi="Arial" w:cs="Arial"/>
            <w:noProof/>
            <w:lang w:val="en-GB"/>
          </w:rPr>
          <w:t>Introduction of s276A</w:t>
        </w:r>
        <w:r w:rsidR="00224108" w:rsidRPr="00224108">
          <w:rPr>
            <w:rFonts w:ascii="Arial" w:hAnsi="Arial" w:cs="Arial"/>
            <w:noProof/>
            <w:webHidden/>
          </w:rPr>
          <w:tab/>
        </w:r>
        <w:r w:rsidR="00224108" w:rsidRPr="00224108">
          <w:rPr>
            <w:rFonts w:ascii="Arial" w:hAnsi="Arial" w:cs="Arial"/>
            <w:noProof/>
            <w:webHidden/>
          </w:rPr>
          <w:fldChar w:fldCharType="begin"/>
        </w:r>
        <w:r w:rsidR="00224108" w:rsidRPr="00224108">
          <w:rPr>
            <w:rFonts w:ascii="Arial" w:hAnsi="Arial" w:cs="Arial"/>
            <w:noProof/>
            <w:webHidden/>
          </w:rPr>
          <w:instrText xml:space="preserve"> PAGEREF _Toc128123997 \h </w:instrText>
        </w:r>
        <w:r w:rsidR="00224108" w:rsidRPr="00224108">
          <w:rPr>
            <w:rFonts w:ascii="Arial" w:hAnsi="Arial" w:cs="Arial"/>
            <w:noProof/>
            <w:webHidden/>
          </w:rPr>
        </w:r>
        <w:r w:rsidR="00224108" w:rsidRPr="00224108">
          <w:rPr>
            <w:rFonts w:ascii="Arial" w:hAnsi="Arial" w:cs="Arial"/>
            <w:noProof/>
            <w:webHidden/>
          </w:rPr>
          <w:fldChar w:fldCharType="separate"/>
        </w:r>
        <w:r w:rsidR="007A61F2">
          <w:rPr>
            <w:rFonts w:ascii="Arial" w:hAnsi="Arial" w:cs="Arial"/>
            <w:noProof/>
            <w:webHidden/>
          </w:rPr>
          <w:t>20</w:t>
        </w:r>
        <w:r w:rsidR="00224108" w:rsidRPr="00224108">
          <w:rPr>
            <w:rFonts w:ascii="Arial" w:hAnsi="Arial" w:cs="Arial"/>
            <w:noProof/>
            <w:webHidden/>
          </w:rPr>
          <w:fldChar w:fldCharType="end"/>
        </w:r>
      </w:hyperlink>
    </w:p>
    <w:p w14:paraId="18C87435" w14:textId="7A1BAFAB" w:rsidR="00224108" w:rsidRPr="00224108" w:rsidRDefault="008D66A5" w:rsidP="00D91D11">
      <w:pPr>
        <w:pStyle w:val="TOC1"/>
        <w:rPr>
          <w:noProof/>
          <w:sz w:val="22"/>
          <w:szCs w:val="22"/>
          <w:lang w:eastAsia="en-AU"/>
        </w:rPr>
      </w:pPr>
      <w:hyperlink w:anchor="_Toc128123998" w:history="1">
        <w:r w:rsidR="00224108" w:rsidRPr="00224108">
          <w:rPr>
            <w:rStyle w:val="Hyperlink"/>
            <w:rFonts w:cs="Arial"/>
            <w:noProof/>
          </w:rPr>
          <w:t>Continued inhumane treatment of children</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_Toc128123998 \h </w:instrText>
        </w:r>
        <w:r w:rsidR="00224108" w:rsidRPr="00224108">
          <w:rPr>
            <w:noProof/>
            <w:webHidden/>
          </w:rPr>
        </w:r>
        <w:r w:rsidR="00224108" w:rsidRPr="00224108">
          <w:rPr>
            <w:noProof/>
            <w:webHidden/>
          </w:rPr>
          <w:fldChar w:fldCharType="separate"/>
        </w:r>
        <w:r w:rsidR="00224108" w:rsidRPr="00224108">
          <w:rPr>
            <w:noProof/>
            <w:webHidden/>
          </w:rPr>
          <w:t>21</w:t>
        </w:r>
        <w:r w:rsidR="00224108" w:rsidRPr="00224108">
          <w:rPr>
            <w:noProof/>
            <w:webHidden/>
          </w:rPr>
          <w:fldChar w:fldCharType="end"/>
        </w:r>
      </w:hyperlink>
    </w:p>
    <w:p w14:paraId="5D1EDD69" w14:textId="136C58F0" w:rsidR="00224108" w:rsidRPr="00224108" w:rsidRDefault="008D66A5" w:rsidP="00D91D11">
      <w:pPr>
        <w:pStyle w:val="TOC1"/>
        <w:rPr>
          <w:noProof/>
          <w:sz w:val="22"/>
          <w:szCs w:val="22"/>
          <w:lang w:eastAsia="en-AU"/>
        </w:rPr>
      </w:pPr>
      <w:hyperlink w:anchor="_Toc128123999" w:history="1">
        <w:r w:rsidR="00224108" w:rsidRPr="00224108">
          <w:rPr>
            <w:rStyle w:val="Hyperlink"/>
            <w:rFonts w:cs="Arial"/>
            <w:noProof/>
          </w:rPr>
          <w:t>Positive use of multi-agency panels</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_Toc128123999 \h </w:instrText>
        </w:r>
        <w:r w:rsidR="00224108" w:rsidRPr="00224108">
          <w:rPr>
            <w:noProof/>
            <w:webHidden/>
          </w:rPr>
        </w:r>
        <w:r w:rsidR="00224108" w:rsidRPr="00224108">
          <w:rPr>
            <w:noProof/>
            <w:webHidden/>
          </w:rPr>
          <w:fldChar w:fldCharType="separate"/>
        </w:r>
        <w:r w:rsidR="00224108" w:rsidRPr="00224108">
          <w:rPr>
            <w:noProof/>
            <w:webHidden/>
          </w:rPr>
          <w:t>22</w:t>
        </w:r>
        <w:r w:rsidR="00224108" w:rsidRPr="00224108">
          <w:rPr>
            <w:noProof/>
            <w:webHidden/>
          </w:rPr>
          <w:fldChar w:fldCharType="end"/>
        </w:r>
      </w:hyperlink>
    </w:p>
    <w:p w14:paraId="0420DBEA" w14:textId="1CEAA4F9" w:rsidR="00224108" w:rsidRPr="00224108" w:rsidRDefault="008D66A5" w:rsidP="00D91D11">
      <w:pPr>
        <w:pStyle w:val="TOC1"/>
        <w:rPr>
          <w:noProof/>
          <w:sz w:val="22"/>
          <w:szCs w:val="22"/>
          <w:lang w:eastAsia="en-AU"/>
        </w:rPr>
      </w:pPr>
      <w:hyperlink w:anchor="_Toc128124000" w:history="1">
        <w:r w:rsidR="00224108" w:rsidRPr="00224108">
          <w:rPr>
            <w:rStyle w:val="Hyperlink"/>
            <w:rFonts w:cs="Arial"/>
            <w:noProof/>
          </w:rPr>
          <w:t>Conclusion</w:t>
        </w:r>
        <w:r w:rsidR="00224108" w:rsidRPr="00224108">
          <w:rPr>
            <w:noProof/>
            <w:webHidden/>
          </w:rPr>
          <w:tab/>
        </w:r>
        <w:r w:rsidR="00224108" w:rsidRPr="00224108">
          <w:rPr>
            <w:noProof/>
            <w:webHidden/>
          </w:rPr>
          <w:fldChar w:fldCharType="begin"/>
        </w:r>
        <w:r w:rsidR="00224108" w:rsidRPr="00224108">
          <w:rPr>
            <w:noProof/>
            <w:webHidden/>
          </w:rPr>
          <w:instrText xml:space="preserve"> PAGEREF _Toc128124000 \h </w:instrText>
        </w:r>
        <w:r w:rsidR="00224108" w:rsidRPr="00224108">
          <w:rPr>
            <w:noProof/>
            <w:webHidden/>
          </w:rPr>
        </w:r>
        <w:r w:rsidR="00224108" w:rsidRPr="00224108">
          <w:rPr>
            <w:noProof/>
            <w:webHidden/>
          </w:rPr>
          <w:fldChar w:fldCharType="separate"/>
        </w:r>
        <w:r w:rsidR="007A61F2">
          <w:rPr>
            <w:noProof/>
            <w:webHidden/>
          </w:rPr>
          <w:t>22</w:t>
        </w:r>
        <w:r w:rsidR="00224108" w:rsidRPr="00224108">
          <w:rPr>
            <w:noProof/>
            <w:webHidden/>
          </w:rPr>
          <w:fldChar w:fldCharType="end"/>
        </w:r>
      </w:hyperlink>
    </w:p>
    <w:p w14:paraId="5FBD6686" w14:textId="6CF62FE7" w:rsidR="00A8574F" w:rsidRPr="00A8574F" w:rsidRDefault="006F4194" w:rsidP="00D91D11">
      <w:pPr>
        <w:pStyle w:val="TOC1"/>
        <w:rPr>
          <w:rFonts w:cs="Arial"/>
          <w:noProof/>
          <w:sz w:val="22"/>
          <w:szCs w:val="22"/>
          <w:lang w:eastAsia="en-AU"/>
        </w:rPr>
      </w:pPr>
      <w:r>
        <w:fldChar w:fldCharType="end"/>
      </w:r>
      <w:r>
        <w:fldChar w:fldCharType="begin"/>
      </w:r>
      <w:r>
        <w:instrText xml:space="preserve"> TOC \o "1-2" \h \z \u </w:instrText>
      </w:r>
      <w:r>
        <w:fldChar w:fldCharType="separate"/>
      </w:r>
    </w:p>
    <w:p w14:paraId="0BA1BAFD" w14:textId="60E42DEC" w:rsidR="000A5313" w:rsidRDefault="006F4194" w:rsidP="005A1988">
      <w:pPr>
        <w:pStyle w:val="Heading1"/>
      </w:pPr>
      <w:r>
        <w:fldChar w:fldCharType="end"/>
      </w:r>
    </w:p>
    <w:p w14:paraId="4E19BAA3" w14:textId="77777777" w:rsidR="000A5313" w:rsidRDefault="000A5313">
      <w:pPr>
        <w:rPr>
          <w:rFonts w:ascii="Arial" w:eastAsiaTheme="majorEastAsia" w:hAnsi="Arial" w:cstheme="majorBidi"/>
          <w:color w:val="004270"/>
          <w:sz w:val="48"/>
          <w:szCs w:val="32"/>
        </w:rPr>
      </w:pPr>
      <w:r w:rsidRPr="00041B02">
        <w:rPr>
          <w:rFonts w:ascii="Arial" w:hAnsi="Arial" w:cs="Arial"/>
        </w:rPr>
        <w:br w:type="page"/>
      </w:r>
    </w:p>
    <w:p w14:paraId="437594CF" w14:textId="2E7EBEF6" w:rsidR="008109D2" w:rsidRDefault="005B17E9" w:rsidP="005A1988">
      <w:pPr>
        <w:pStyle w:val="Heading1"/>
      </w:pPr>
      <w:bookmarkStart w:id="13" w:name="_Toc128123984"/>
      <w:r>
        <w:lastRenderedPageBreak/>
        <w:t>Summary</w:t>
      </w:r>
      <w:bookmarkEnd w:id="13"/>
    </w:p>
    <w:p w14:paraId="0C7CD9D9" w14:textId="44E9EC4B" w:rsidR="003E0586" w:rsidRPr="00041B02" w:rsidRDefault="00435F73" w:rsidP="00435F73">
      <w:pPr>
        <w:pStyle w:val="Numberedparagraph"/>
      </w:pPr>
      <w:r w:rsidRPr="00041B02">
        <w:t>T</w:t>
      </w:r>
      <w:r w:rsidR="003E0586" w:rsidRPr="00041B02">
        <w:t xml:space="preserve">hank you for the opportunity to comment on the </w:t>
      </w:r>
      <w:r w:rsidRPr="00041B02">
        <w:t>Strengthening Community Safety Bill 2023</w:t>
      </w:r>
      <w:r w:rsidR="003E0586" w:rsidRPr="00041B02">
        <w:t xml:space="preserve"> (</w:t>
      </w:r>
      <w:r w:rsidR="003E0586" w:rsidRPr="001313A7">
        <w:rPr>
          <w:b/>
          <w:bCs/>
        </w:rPr>
        <w:t>the Bill</w:t>
      </w:r>
      <w:r w:rsidR="003E0586" w:rsidRPr="00041B02">
        <w:t xml:space="preserve">). </w:t>
      </w:r>
    </w:p>
    <w:p w14:paraId="756EEB6F" w14:textId="27905144" w:rsidR="001812A8" w:rsidRPr="00041B02" w:rsidRDefault="003E0586" w:rsidP="001812A8">
      <w:pPr>
        <w:pStyle w:val="Numberedparagraph"/>
      </w:pPr>
      <w:r w:rsidRPr="00041B02">
        <w:t xml:space="preserve">The Commission </w:t>
      </w:r>
      <w:r w:rsidR="008679FF" w:rsidRPr="008679FF">
        <w:t xml:space="preserve">considers this Bill should not be passed because of the </w:t>
      </w:r>
      <w:r w:rsidR="00910A0C" w:rsidRPr="00041B02">
        <w:t xml:space="preserve">significant </w:t>
      </w:r>
      <w:r w:rsidR="003A1D9B" w:rsidRPr="00041B02">
        <w:t xml:space="preserve">and </w:t>
      </w:r>
      <w:r w:rsidR="008679FF" w:rsidRPr="008679FF">
        <w:t>disproportionate</w:t>
      </w:r>
      <w:r w:rsidR="003A1D9B" w:rsidRPr="00041B02">
        <w:t xml:space="preserve"> </w:t>
      </w:r>
      <w:r w:rsidR="00061CBB" w:rsidRPr="00041B02">
        <w:t>limitations it places on the rights of children</w:t>
      </w:r>
      <w:r w:rsidR="004150E3" w:rsidRPr="00041B02">
        <w:t xml:space="preserve">. </w:t>
      </w:r>
      <w:r w:rsidR="006A1247" w:rsidRPr="00041B02">
        <w:t xml:space="preserve">The proposed override of the </w:t>
      </w:r>
      <w:r w:rsidR="00F7409A">
        <w:rPr>
          <w:i/>
          <w:iCs/>
        </w:rPr>
        <w:t xml:space="preserve">Human Rights Act 2019 </w:t>
      </w:r>
      <w:r w:rsidR="00F7409A">
        <w:t>(</w:t>
      </w:r>
      <w:r w:rsidR="006A1247" w:rsidRPr="001313A7">
        <w:rPr>
          <w:b/>
          <w:bCs/>
        </w:rPr>
        <w:t>HR Act</w:t>
      </w:r>
      <w:r w:rsidR="00F7409A">
        <w:t>)</w:t>
      </w:r>
      <w:r w:rsidR="006A1247" w:rsidRPr="00041B02">
        <w:t xml:space="preserve"> is not </w:t>
      </w:r>
      <w:r w:rsidR="00FA6911" w:rsidRPr="00041B02">
        <w:t>justified</w:t>
      </w:r>
      <w:r w:rsidR="006A1247" w:rsidRPr="00041B02">
        <w:t xml:space="preserve"> and </w:t>
      </w:r>
      <w:r w:rsidR="004C37D9">
        <w:t xml:space="preserve">it would have been preferable for the government to have instead </w:t>
      </w:r>
      <w:r w:rsidR="00816D25">
        <w:t xml:space="preserve">provided detailed justification for </w:t>
      </w:r>
      <w:r w:rsidR="00D57E80">
        <w:t>compatibility and</w:t>
      </w:r>
      <w:r w:rsidR="00816D25">
        <w:t xml:space="preserve"> </w:t>
      </w:r>
      <w:r w:rsidR="00D57E80">
        <w:t>incompatibility with human rights. M</w:t>
      </w:r>
      <w:r w:rsidR="00676705" w:rsidRPr="00041B02">
        <w:t xml:space="preserve">any of the reforms proposed will fail to achieve their intended purpose. </w:t>
      </w:r>
    </w:p>
    <w:p w14:paraId="4A3EFBB5" w14:textId="7E74C608" w:rsidR="14627C66" w:rsidRPr="00041B02" w:rsidRDefault="3CE80BDE" w:rsidP="14627C66">
      <w:pPr>
        <w:pStyle w:val="Numberedparagraph"/>
      </w:pPr>
      <w:r w:rsidRPr="00041B02">
        <w:t xml:space="preserve">The Commission appreciates the serious community concern that surrounds the issue of youth crime in Queensland, which has been intensified by recent tragic events, allegedly perpetrated by children. </w:t>
      </w:r>
    </w:p>
    <w:p w14:paraId="0826093D" w14:textId="5979B99B" w:rsidR="3CE80BDE" w:rsidRPr="00041B02" w:rsidRDefault="3CE80BDE" w:rsidP="000F0608">
      <w:pPr>
        <w:pStyle w:val="Numberedparagraph"/>
      </w:pPr>
      <w:r w:rsidRPr="00041B02">
        <w:t>However, as the Commission has noted in previous submissions</w:t>
      </w:r>
      <w:r w:rsidR="00640AA9">
        <w:t>,</w:t>
      </w:r>
      <w:r w:rsidRPr="00041B02">
        <w:t xml:space="preserve"> </w:t>
      </w:r>
      <w:r w:rsidR="28F460A1" w:rsidRPr="00041B02">
        <w:t>‘tough on crime</w:t>
      </w:r>
      <w:r w:rsidR="00473958" w:rsidRPr="00041B02">
        <w:t>’</w:t>
      </w:r>
      <w:r w:rsidR="28F460A1" w:rsidRPr="00041B02">
        <w:t xml:space="preserve"> programs and measures, that are reactive to crimes already committed, are not effective in rehabilitating children and reducing recidivism. Rather, the best outcome for victims, young offenders and the broader community will be achieved by initiatives that reduce reoffending and incarceration – by tackling the causes and consequences of youth crime.</w:t>
      </w:r>
      <w:r w:rsidR="00E07AA3">
        <w:rPr>
          <w:rStyle w:val="FootnoteReference"/>
        </w:rPr>
        <w:footnoteReference w:id="2"/>
      </w:r>
    </w:p>
    <w:p w14:paraId="5FF43753" w14:textId="78E1EA43" w:rsidR="28F460A1" w:rsidRPr="00041B02" w:rsidRDefault="28F460A1" w:rsidP="11436C89">
      <w:pPr>
        <w:pStyle w:val="Numberedparagraph"/>
      </w:pPr>
      <w:r w:rsidRPr="00041B02">
        <w:t>Insufficient consideration has been given to whether these youth justice reforms will actually contribute to reducing reoffending and protecting the community</w:t>
      </w:r>
      <w:r w:rsidR="009F2FFE" w:rsidRPr="00041B02">
        <w:t xml:space="preserve">. Further, there have been no reforms proposed to address the ongoing human rights crisis of children being remanded for prolonged periods in adult watchhouses. </w:t>
      </w:r>
    </w:p>
    <w:p w14:paraId="0A9171FD" w14:textId="0B73E5CA" w:rsidR="00A90071" w:rsidRDefault="00A90071" w:rsidP="00A90071">
      <w:pPr>
        <w:pStyle w:val="Numberedparagraph"/>
      </w:pPr>
      <w:r>
        <w:t xml:space="preserve">The Commission had sought to engage with the Government on developing responses to the current community concern about the operation of the youth justice system, and suggested </w:t>
      </w:r>
      <w:r w:rsidR="00A25B46">
        <w:t xml:space="preserve">the </w:t>
      </w:r>
      <w:r w:rsidR="00C1072F">
        <w:t>G</w:t>
      </w:r>
      <w:r w:rsidR="00A25B46">
        <w:t>overnment consult further</w:t>
      </w:r>
      <w:r>
        <w:t xml:space="preserve"> with other key stakeholders</w:t>
      </w:r>
      <w:r w:rsidR="00A25B46">
        <w:t xml:space="preserve"> before progressing this legislation</w:t>
      </w:r>
      <w:r>
        <w:t xml:space="preserve">.  </w:t>
      </w:r>
    </w:p>
    <w:p w14:paraId="7F944CD7" w14:textId="77777777" w:rsidR="00CC2667" w:rsidRPr="00041B02" w:rsidRDefault="00CC2667" w:rsidP="00CC2667">
      <w:pPr>
        <w:pStyle w:val="Numberedparagraph"/>
      </w:pPr>
      <w:r>
        <w:t xml:space="preserve">It is therefore disappointing that this Bill has been introduced without any consultation with the Commission, particularly as it includes an override of the HR Act. </w:t>
      </w:r>
      <w:r w:rsidRPr="00041B02">
        <w:t>The timeframe provided for consultation is</w:t>
      </w:r>
      <w:r>
        <w:t xml:space="preserve"> entirely</w:t>
      </w:r>
      <w:r w:rsidRPr="00041B02">
        <w:t xml:space="preserve"> inadequate and has left little scope for the government to meaningfully engage with stakeholders. </w:t>
      </w:r>
    </w:p>
    <w:p w14:paraId="46A6D8E9" w14:textId="78CD5D9F" w:rsidR="00D335F2" w:rsidRDefault="005B17E9" w:rsidP="00714F95">
      <w:pPr>
        <w:pStyle w:val="Heading1"/>
        <w:rPr>
          <w:lang w:eastAsia="en-AU"/>
        </w:rPr>
      </w:pPr>
      <w:bookmarkStart w:id="14" w:name="_Toc128123985"/>
      <w:r>
        <w:rPr>
          <w:lang w:eastAsia="en-AU"/>
        </w:rPr>
        <w:t>Introduction</w:t>
      </w:r>
      <w:bookmarkEnd w:id="14"/>
    </w:p>
    <w:p w14:paraId="798D8941" w14:textId="77777777" w:rsidR="005B17E9" w:rsidRPr="007D5A0E" w:rsidRDefault="005B17E9" w:rsidP="005B17E9">
      <w:pPr>
        <w:pStyle w:val="Numberedparagraph"/>
      </w:pPr>
      <w:r w:rsidRPr="007D5A0E">
        <w:t xml:space="preserve">The Queensland Human Rights Commission (the Commission) is a statutory body established under the Queensland </w:t>
      </w:r>
      <w:r w:rsidRPr="002C7BAB">
        <w:rPr>
          <w:i/>
          <w:iCs/>
        </w:rPr>
        <w:t>Anti-Discrimination Act 1991</w:t>
      </w:r>
      <w:r w:rsidRPr="007D5A0E">
        <w:t xml:space="preserve"> (</w:t>
      </w:r>
      <w:r w:rsidRPr="001313A7">
        <w:rPr>
          <w:b/>
          <w:bCs/>
        </w:rPr>
        <w:t>AD Act</w:t>
      </w:r>
      <w:r w:rsidRPr="007D5A0E">
        <w:t>).</w:t>
      </w:r>
    </w:p>
    <w:p w14:paraId="45D7836A" w14:textId="77777777" w:rsidR="005B17E9" w:rsidRPr="00041B02" w:rsidRDefault="005B17E9" w:rsidP="005B17E9">
      <w:pPr>
        <w:pStyle w:val="Numberedparagraph"/>
      </w:pPr>
      <w:r w:rsidRPr="00041B02">
        <w:lastRenderedPageBreak/>
        <w:t>The Commission deals with complaints of discrimination, sexual harassment, vilification, and other objectionable conduct under the AD Act.</w:t>
      </w:r>
    </w:p>
    <w:p w14:paraId="77D95CA3" w14:textId="344A36E7" w:rsidR="005B17E9" w:rsidRDefault="005B17E9" w:rsidP="005B17E9">
      <w:pPr>
        <w:pStyle w:val="Numberedparagraph"/>
      </w:pPr>
      <w:r w:rsidRPr="00041B02">
        <w:t xml:space="preserve">The Commission </w:t>
      </w:r>
      <w:r>
        <w:t>also</w:t>
      </w:r>
      <w:r w:rsidRPr="007D5A0E">
        <w:t xml:space="preserve"> has functions under the AD Act and the HR Act to promote an understanding and public discussion of human rights in Queensland, and to provide information and education about human rights. </w:t>
      </w:r>
    </w:p>
    <w:p w14:paraId="57F5CD13" w14:textId="5D266B85" w:rsidR="00297A19" w:rsidRPr="00041B02" w:rsidRDefault="00297A19" w:rsidP="00297A19">
      <w:pPr>
        <w:pStyle w:val="Numberedparagraph"/>
      </w:pPr>
      <w:r w:rsidRPr="00041B02">
        <w:t>As contained in the HR Act, a decision</w:t>
      </w:r>
      <w:r w:rsidR="645D6058">
        <w:t>,</w:t>
      </w:r>
      <w:r w:rsidRPr="00041B02">
        <w:t xml:space="preserve"> action </w:t>
      </w:r>
      <w:r w:rsidR="1874AD35">
        <w:t>or statutory provision</w:t>
      </w:r>
      <w:r w:rsidR="07AF7660">
        <w:t xml:space="preserve"> </w:t>
      </w:r>
      <w:r w:rsidRPr="00041B02">
        <w:t xml:space="preserve">is compatible with human rights if </w:t>
      </w:r>
      <w:r w:rsidR="37F01C51">
        <w:t xml:space="preserve">it </w:t>
      </w:r>
      <w:r w:rsidRPr="00041B02">
        <w:t>either:</w:t>
      </w:r>
    </w:p>
    <w:p w14:paraId="0BC940CD" w14:textId="77777777" w:rsidR="00297A19" w:rsidRPr="00041B02" w:rsidRDefault="00297A19" w:rsidP="00297A19">
      <w:pPr>
        <w:pStyle w:val="Numberedparagraph"/>
        <w:numPr>
          <w:ilvl w:val="1"/>
          <w:numId w:val="13"/>
        </w:numPr>
      </w:pPr>
      <w:r w:rsidRPr="00041B02">
        <w:t xml:space="preserve">Does not limit a human right; or </w:t>
      </w:r>
    </w:p>
    <w:p w14:paraId="42C7A55B" w14:textId="5931A4C0" w:rsidR="00297A19" w:rsidRPr="00041B02" w:rsidRDefault="00297A19" w:rsidP="00297A19">
      <w:pPr>
        <w:pStyle w:val="Numberedparagraph"/>
        <w:numPr>
          <w:ilvl w:val="1"/>
          <w:numId w:val="13"/>
        </w:numPr>
      </w:pPr>
      <w:r w:rsidRPr="00041B02">
        <w:t>Limits a human right only to the extent that it is reasonable and demonstrably justifiable in accordance with section 13.</w:t>
      </w:r>
      <w:r w:rsidRPr="008679FF">
        <w:rPr>
          <w:vertAlign w:val="superscript"/>
        </w:rPr>
        <w:footnoteReference w:id="3"/>
      </w:r>
    </w:p>
    <w:p w14:paraId="00B1B6C7" w14:textId="53173B7B" w:rsidR="00CB1EAC" w:rsidRPr="00041B02" w:rsidRDefault="00CB1EAC" w:rsidP="00CB1EAC">
      <w:pPr>
        <w:pStyle w:val="Numberedparagraph"/>
      </w:pPr>
      <w:r w:rsidRPr="00041B02">
        <w:t xml:space="preserve">Section 13 </w:t>
      </w:r>
      <w:r w:rsidR="000053A1" w:rsidRPr="00041B02">
        <w:t xml:space="preserve">of the HR </w:t>
      </w:r>
      <w:r w:rsidR="00015D44">
        <w:t>A</w:t>
      </w:r>
      <w:r w:rsidR="000053A1" w:rsidRPr="00041B02">
        <w:t xml:space="preserve">ct sets out relevant factors to be considered when determining whether </w:t>
      </w:r>
      <w:r w:rsidR="004E6454" w:rsidRPr="00041B02">
        <w:t>limitations on human rights can be justified</w:t>
      </w:r>
      <w:r w:rsidR="009B7A0D" w:rsidRPr="00041B02">
        <w:t xml:space="preserve">. </w:t>
      </w:r>
      <w:r w:rsidR="00B0042F" w:rsidRPr="00041B02">
        <w:t>Of these factors, the most relevant to the introduction of these amendments are:</w:t>
      </w:r>
    </w:p>
    <w:p w14:paraId="1C5F85CE" w14:textId="33FC2D04" w:rsidR="00B0042F" w:rsidRPr="00041B02" w:rsidRDefault="00B87348" w:rsidP="00B0042F">
      <w:pPr>
        <w:pStyle w:val="Numberedparagraph"/>
        <w:numPr>
          <w:ilvl w:val="1"/>
          <w:numId w:val="13"/>
        </w:numPr>
      </w:pPr>
      <w:r>
        <w:t>t</w:t>
      </w:r>
      <w:r w:rsidR="00B0042F" w:rsidRPr="00041B02">
        <w:t>he nature of the human right</w:t>
      </w:r>
      <w:r w:rsidR="000130BD">
        <w:t xml:space="preserve"> being limited</w:t>
      </w:r>
      <w:r w:rsidR="00B0042F" w:rsidRPr="00041B02">
        <w:t>;</w:t>
      </w:r>
      <w:r w:rsidR="00B0042F" w:rsidRPr="00041B02">
        <w:rPr>
          <w:rStyle w:val="FootnoteReference"/>
        </w:rPr>
        <w:footnoteReference w:id="4"/>
      </w:r>
    </w:p>
    <w:p w14:paraId="310B3625" w14:textId="0567456C" w:rsidR="00B0042F" w:rsidRPr="00041B02" w:rsidRDefault="00B87348" w:rsidP="00B0042F">
      <w:pPr>
        <w:pStyle w:val="Numberedparagraph"/>
        <w:numPr>
          <w:ilvl w:val="1"/>
          <w:numId w:val="13"/>
        </w:numPr>
      </w:pPr>
      <w:r>
        <w:t>t</w:t>
      </w:r>
      <w:r w:rsidR="00B0042F" w:rsidRPr="00041B02">
        <w:t>he nature of the purpose of the limitation, including whether it is consistent with a free and democratic society based on human dignity, equality and freedom;</w:t>
      </w:r>
      <w:r w:rsidR="00B0042F" w:rsidRPr="00041B02">
        <w:rPr>
          <w:rStyle w:val="FootnoteReference"/>
        </w:rPr>
        <w:footnoteReference w:id="5"/>
      </w:r>
      <w:r w:rsidR="00B0042F" w:rsidRPr="00041B02">
        <w:t xml:space="preserve"> and </w:t>
      </w:r>
    </w:p>
    <w:p w14:paraId="4753DEAE" w14:textId="6D4A7A1B" w:rsidR="00B0042F" w:rsidRPr="00041B02" w:rsidRDefault="00B0042F" w:rsidP="00B0042F">
      <w:pPr>
        <w:pStyle w:val="Numberedparagraph"/>
        <w:numPr>
          <w:ilvl w:val="1"/>
          <w:numId w:val="13"/>
        </w:numPr>
      </w:pPr>
      <w:r w:rsidRPr="00041B02">
        <w:t>the relationship between the limitation and its purpose, including whether the limitation helps to achieve the purpose.</w:t>
      </w:r>
      <w:r w:rsidRPr="00041B02">
        <w:rPr>
          <w:rStyle w:val="FootnoteReference"/>
        </w:rPr>
        <w:footnoteReference w:id="6"/>
      </w:r>
    </w:p>
    <w:p w14:paraId="1D5C33C6" w14:textId="169AAB71" w:rsidR="009B2A39" w:rsidRPr="00041B02" w:rsidRDefault="009B2A39" w:rsidP="009B2A39">
      <w:pPr>
        <w:pStyle w:val="Numberedparagraph"/>
      </w:pPr>
      <w:r w:rsidRPr="00041B02">
        <w:t>The more important the right, and the greater the incursion, the more important the purpose will need to be.</w:t>
      </w:r>
      <w:r w:rsidR="00BF39D0" w:rsidRPr="00041B02">
        <w:rPr>
          <w:rStyle w:val="FootnoteReference"/>
        </w:rPr>
        <w:footnoteReference w:id="7"/>
      </w:r>
      <w:r w:rsidR="00621110" w:rsidRPr="00041B02">
        <w:t xml:space="preserve"> </w:t>
      </w:r>
    </w:p>
    <w:p w14:paraId="0108204F" w14:textId="0E229263" w:rsidR="008109D2" w:rsidRPr="005A1988" w:rsidRDefault="00DD1CC5" w:rsidP="005A1988">
      <w:pPr>
        <w:pStyle w:val="Heading1"/>
        <w:rPr>
          <w:lang w:eastAsia="en-AU"/>
        </w:rPr>
      </w:pPr>
      <w:bookmarkStart w:id="15" w:name="_Toc128123986"/>
      <w:r>
        <w:rPr>
          <w:lang w:eastAsia="en-AU"/>
        </w:rPr>
        <w:t>The</w:t>
      </w:r>
      <w:r w:rsidR="00D30132">
        <w:rPr>
          <w:lang w:eastAsia="en-AU"/>
        </w:rPr>
        <w:t xml:space="preserve"> </w:t>
      </w:r>
      <w:r w:rsidR="00A1530A">
        <w:rPr>
          <w:lang w:eastAsia="en-AU"/>
        </w:rPr>
        <w:t>o</w:t>
      </w:r>
      <w:r w:rsidR="00D30132">
        <w:rPr>
          <w:lang w:eastAsia="en-AU"/>
        </w:rPr>
        <w:t>bjectives of the</w:t>
      </w:r>
      <w:r w:rsidR="00DF2656">
        <w:rPr>
          <w:lang w:eastAsia="en-AU"/>
        </w:rPr>
        <w:t xml:space="preserve"> Bill</w:t>
      </w:r>
      <w:bookmarkEnd w:id="15"/>
    </w:p>
    <w:p w14:paraId="1A71447B" w14:textId="3518C689" w:rsidR="4E5A4355" w:rsidRPr="00041B02" w:rsidRDefault="695521D0" w:rsidP="4E5A4355">
      <w:pPr>
        <w:pStyle w:val="Numberedparagraph"/>
      </w:pPr>
      <w:r w:rsidRPr="00041B02">
        <w:t xml:space="preserve">The </w:t>
      </w:r>
      <w:r w:rsidR="00DE7EFE" w:rsidRPr="00041B02">
        <w:t>intention</w:t>
      </w:r>
      <w:r w:rsidRPr="00041B02">
        <w:t xml:space="preserve"> of the </w:t>
      </w:r>
      <w:r w:rsidR="00D40E6C" w:rsidRPr="00041B02">
        <w:t xml:space="preserve">Bill appears </w:t>
      </w:r>
      <w:r w:rsidR="00A1530A">
        <w:t>to be</w:t>
      </w:r>
      <w:r w:rsidR="004D2CFE" w:rsidRPr="00041B02">
        <w:t xml:space="preserve"> improving community safety</w:t>
      </w:r>
      <w:r w:rsidR="00CB33FF" w:rsidRPr="00041B02">
        <w:t xml:space="preserve"> by </w:t>
      </w:r>
      <w:r w:rsidR="004D2CFE" w:rsidRPr="00041B02">
        <w:t>reducing recidivism amongst young people and strengthening youth justice laws to respond to serious repeat offenders.</w:t>
      </w:r>
      <w:r w:rsidR="004D2CFE" w:rsidRPr="00041B02">
        <w:rPr>
          <w:rStyle w:val="FootnoteReference"/>
        </w:rPr>
        <w:footnoteReference w:id="8"/>
      </w:r>
      <w:r w:rsidRPr="00041B02">
        <w:t xml:space="preserve"> </w:t>
      </w:r>
    </w:p>
    <w:p w14:paraId="6E3EE9EC" w14:textId="4C3576C0" w:rsidR="695521D0" w:rsidRPr="00041B02" w:rsidRDefault="695521D0" w:rsidP="59C8C48E">
      <w:pPr>
        <w:pStyle w:val="Numberedparagraph"/>
      </w:pPr>
      <w:r w:rsidRPr="00041B02">
        <w:t>The Commission</w:t>
      </w:r>
      <w:r w:rsidR="002A6EDB" w:rsidRPr="00041B02">
        <w:t>,</w:t>
      </w:r>
      <w:r w:rsidRPr="00041B02">
        <w:t xml:space="preserve"> of course</w:t>
      </w:r>
      <w:r w:rsidR="002A6EDB" w:rsidRPr="00041B02">
        <w:t>,</w:t>
      </w:r>
      <w:r w:rsidRPr="00041B02">
        <w:t xml:space="preserve"> supports improving community safety and crime prevention. However, </w:t>
      </w:r>
      <w:r w:rsidR="00A1530A">
        <w:t xml:space="preserve">the Commission </w:t>
      </w:r>
      <w:r w:rsidRPr="00041B02">
        <w:t>holds serious concerns that the proposed reforms will fail to achieve their intended purpose and</w:t>
      </w:r>
      <w:r w:rsidR="00E02360" w:rsidRPr="00041B02">
        <w:t xml:space="preserve"> will</w:t>
      </w:r>
      <w:r w:rsidRPr="00041B02">
        <w:t xml:space="preserve"> increase pathways to criminalisation and incarceration for young people.</w:t>
      </w:r>
    </w:p>
    <w:p w14:paraId="19BDAC3F" w14:textId="77777777" w:rsidR="004E46DC" w:rsidRPr="00041B02" w:rsidRDefault="004E46DC" w:rsidP="004E46DC">
      <w:pPr>
        <w:pStyle w:val="Numberedparagraph"/>
      </w:pPr>
      <w:r w:rsidRPr="00041B02">
        <w:lastRenderedPageBreak/>
        <w:t xml:space="preserve">The Commission agrees that </w:t>
      </w:r>
      <w:r>
        <w:t>g</w:t>
      </w:r>
      <w:r w:rsidRPr="00041B02">
        <w:t>overnments have a duty to protect their citizens. The rights of victims of crime, particularly their right to life,</w:t>
      </w:r>
      <w:r w:rsidRPr="00041B02">
        <w:rPr>
          <w:rStyle w:val="FootnoteReference"/>
        </w:rPr>
        <w:footnoteReference w:id="9"/>
      </w:r>
      <w:r w:rsidRPr="00041B02">
        <w:t xml:space="preserve"> is a critically important consideration for government and everyone in Queensland has the right to feel safe in their community. </w:t>
      </w:r>
    </w:p>
    <w:p w14:paraId="1C85B3B2" w14:textId="77777777" w:rsidR="004E46DC" w:rsidRDefault="004E46DC" w:rsidP="004E46DC">
      <w:pPr>
        <w:pStyle w:val="Numberedparagraph"/>
      </w:pPr>
      <w:r w:rsidRPr="00041B02">
        <w:t xml:space="preserve">However, there is little evidence that the amendments contained in the Bill will improve community safety in the immediate or longer term. </w:t>
      </w:r>
    </w:p>
    <w:p w14:paraId="504B8017" w14:textId="7D4EC2BC" w:rsidR="004E46DC" w:rsidRPr="00041B02" w:rsidRDefault="004E46DC" w:rsidP="004E46DC">
      <w:pPr>
        <w:pStyle w:val="Numberedparagraph"/>
      </w:pPr>
      <w:r>
        <w:t xml:space="preserve">It is proposed that a number of provisions in the Bill be subject to an override declaration. This means that those provisions, and any statutory instruments made under those provisions, cannot be declared incompatible with human rights by the Supreme Court, are not subject to human rights compatible rules of statutory interpretation, and </w:t>
      </w:r>
      <w:r w:rsidR="006A61EB" w:rsidRPr="006A61EB">
        <w:t>signals to</w:t>
      </w:r>
      <w:r>
        <w:t xml:space="preserve"> public entities </w:t>
      </w:r>
      <w:r w:rsidR="006A61EB" w:rsidRPr="006A61EB">
        <w:t>that they do not need to act compatib</w:t>
      </w:r>
      <w:r w:rsidR="002F49BF">
        <w:t>ly</w:t>
      </w:r>
      <w:r w:rsidR="006A61EB" w:rsidRPr="006A61EB">
        <w:t xml:space="preserve"> with</w:t>
      </w:r>
      <w:r>
        <w:t xml:space="preserve"> human rights </w:t>
      </w:r>
      <w:r w:rsidR="006A61EB" w:rsidRPr="006A61EB">
        <w:t>when implementing these provisions</w:t>
      </w:r>
      <w:r>
        <w:t>.</w:t>
      </w:r>
      <w:r w:rsidRPr="12FD7B24">
        <w:rPr>
          <w:vertAlign w:val="superscript"/>
        </w:rPr>
        <w:footnoteReference w:id="10"/>
      </w:r>
      <w:r>
        <w:t xml:space="preserve"> This declaration should only be made in exceptional circumstances.</w:t>
      </w:r>
      <w:r>
        <w:rPr>
          <w:rStyle w:val="FootnoteReference"/>
        </w:rPr>
        <w:footnoteReference w:id="11"/>
      </w:r>
    </w:p>
    <w:p w14:paraId="7EB06EDF" w14:textId="77777777" w:rsidR="00B12E4C" w:rsidRDefault="00B12E4C" w:rsidP="00B12E4C">
      <w:pPr>
        <w:pStyle w:val="Heading2"/>
      </w:pPr>
      <w:bookmarkStart w:id="16" w:name="_Toc128123987"/>
      <w:r>
        <w:t>Victims’ rights</w:t>
      </w:r>
      <w:bookmarkEnd w:id="16"/>
    </w:p>
    <w:p w14:paraId="519A5DD7" w14:textId="14A54764" w:rsidR="00B12E4C" w:rsidRPr="00041B02" w:rsidRDefault="00B12E4C" w:rsidP="00B12E4C">
      <w:pPr>
        <w:pStyle w:val="Numberedparagraph"/>
      </w:pPr>
      <w:r w:rsidRPr="00041B02">
        <w:t xml:space="preserve">A key consideration for human rights </w:t>
      </w:r>
      <w:r w:rsidR="00AE5AFB" w:rsidRPr="00041B02">
        <w:t>compatibility</w:t>
      </w:r>
      <w:r w:rsidRPr="00041B02">
        <w:t xml:space="preserve"> under s 13 of the HR Act is whether a limitation will achieve its purpose. </w:t>
      </w:r>
      <w:r w:rsidR="00E931C9" w:rsidRPr="00041B02">
        <w:t xml:space="preserve">An important purpose of this legislation is to improve community safety and uphold </w:t>
      </w:r>
      <w:r w:rsidR="5289508E" w:rsidRPr="00041B02">
        <w:t>victims'</w:t>
      </w:r>
      <w:r w:rsidR="00E931C9" w:rsidRPr="00041B02">
        <w:t xml:space="preserve"> rights, particularly rights to life, property and security.</w:t>
      </w:r>
      <w:r w:rsidR="004302AC">
        <w:rPr>
          <w:rStyle w:val="FootnoteReference"/>
        </w:rPr>
        <w:footnoteReference w:id="12"/>
      </w:r>
      <w:r w:rsidR="00E931C9" w:rsidRPr="00041B02">
        <w:t xml:space="preserve"> </w:t>
      </w:r>
      <w:r w:rsidRPr="00041B02">
        <w:t xml:space="preserve"> </w:t>
      </w:r>
    </w:p>
    <w:p w14:paraId="2A0EF2A0" w14:textId="4FB79633" w:rsidR="00B12E4C" w:rsidRPr="00041B02" w:rsidRDefault="00E931C9" w:rsidP="00B12E4C">
      <w:pPr>
        <w:pStyle w:val="Numberedparagraph"/>
      </w:pPr>
      <w:r w:rsidRPr="00041B02">
        <w:t>However, t</w:t>
      </w:r>
      <w:r w:rsidR="00B12E4C" w:rsidRPr="00041B02">
        <w:t xml:space="preserve">he Government acknowledges in the Statement of Compatibility that there are less restrictive means to achieve the purpose of the Bill. </w:t>
      </w:r>
      <w:r w:rsidR="006C42CC" w:rsidRPr="00041B02">
        <w:t>In the Commission’s view, i</w:t>
      </w:r>
      <w:r w:rsidR="00B12E4C" w:rsidRPr="00041B02">
        <w:t xml:space="preserve">t may be that those options are in fact the only way to achieve the purpose of the Bill. </w:t>
      </w:r>
    </w:p>
    <w:p w14:paraId="1A7E9EB9" w14:textId="648C3DDA" w:rsidR="00B12E4C" w:rsidRPr="00041B02" w:rsidRDefault="00694A39" w:rsidP="00B12E4C">
      <w:pPr>
        <w:pStyle w:val="Numberedparagraph"/>
      </w:pPr>
      <w:r w:rsidRPr="00041B02">
        <w:t>T</w:t>
      </w:r>
      <w:r w:rsidR="00B12E4C" w:rsidRPr="00041B02">
        <w:t>he measures in the Bill are predicated on a flawed perception that recidivist children will respond positively to punitive measures. As countless reviews have found, including from former Police Commissioner Bob Atkinson,</w:t>
      </w:r>
      <w:r w:rsidR="00D149B7">
        <w:rPr>
          <w:rStyle w:val="FootnoteReference"/>
        </w:rPr>
        <w:footnoteReference w:id="13"/>
      </w:r>
      <w:r w:rsidR="00B12E4C" w:rsidRPr="00041B02">
        <w:t xml:space="preserve"> such measures do not work to reduce crime and therefore do not protect the rights of victims</w:t>
      </w:r>
      <w:r w:rsidR="006464F9" w:rsidRPr="00041B02">
        <w:t xml:space="preserve">. </w:t>
      </w:r>
    </w:p>
    <w:p w14:paraId="069BD456" w14:textId="00247846" w:rsidR="00B12E4C" w:rsidRPr="00041B02" w:rsidRDefault="00B12E4C" w:rsidP="00B12E4C">
      <w:pPr>
        <w:pStyle w:val="Numberedparagraph"/>
      </w:pPr>
      <w:r w:rsidRPr="00041B02">
        <w:t>While breach of bail is an offence in some other jurisdictions,</w:t>
      </w:r>
      <w:r w:rsidRPr="00041B02">
        <w:rPr>
          <w:rStyle w:val="FootnoteReference"/>
        </w:rPr>
        <w:footnoteReference w:id="14"/>
      </w:r>
      <w:r w:rsidRPr="00041B02">
        <w:t xml:space="preserve"> many other jurisdictions recognis</w:t>
      </w:r>
      <w:r w:rsidR="008115EC">
        <w:t>e</w:t>
      </w:r>
      <w:r w:rsidRPr="00041B02">
        <w:t xml:space="preserve"> that a </w:t>
      </w:r>
      <w:r w:rsidR="00721969">
        <w:t>tough on crime</w:t>
      </w:r>
      <w:r w:rsidRPr="00041B02">
        <w:t xml:space="preserve"> response is failing to rehabilitate children and reduce recidivism</w:t>
      </w:r>
      <w:r w:rsidRPr="00041B02">
        <w:rPr>
          <w:szCs w:val="22"/>
        </w:rPr>
        <w:t>.</w:t>
      </w:r>
    </w:p>
    <w:p w14:paraId="265644DF" w14:textId="461019D6" w:rsidR="00B12E4C" w:rsidRPr="00041B02" w:rsidRDefault="00B12E4C" w:rsidP="00B12E4C">
      <w:pPr>
        <w:pStyle w:val="Numberedparagraph"/>
      </w:pPr>
      <w:r w:rsidRPr="00041B02">
        <w:t>The Commission notes the Government</w:t>
      </w:r>
      <w:r w:rsidR="0C2F5106" w:rsidRPr="00041B02">
        <w:t>’</w:t>
      </w:r>
      <w:r w:rsidRPr="00041B02">
        <w:t xml:space="preserve">s own youth justice strategy, which provides a framework for strengthening the prevention, early intervention and </w:t>
      </w:r>
      <w:r w:rsidRPr="00041B02">
        <w:lastRenderedPageBreak/>
        <w:t>rehabilitation responses to youth crime in Queensland. This strategy is evidence based and underpinned by four key pillars.</w:t>
      </w:r>
      <w:r w:rsidR="00AE791B">
        <w:rPr>
          <w:rStyle w:val="FootnoteReference"/>
        </w:rPr>
        <w:footnoteReference w:id="15"/>
      </w:r>
    </w:p>
    <w:p w14:paraId="569CF57A" w14:textId="77777777" w:rsidR="00B12E4C" w:rsidRPr="00041B02" w:rsidRDefault="00B12E4C" w:rsidP="00B12E4C">
      <w:pPr>
        <w:pStyle w:val="Numberedparagraph"/>
        <w:numPr>
          <w:ilvl w:val="1"/>
          <w:numId w:val="32"/>
        </w:numPr>
      </w:pPr>
      <w:r w:rsidRPr="00041B02">
        <w:t>Intervene early;</w:t>
      </w:r>
    </w:p>
    <w:p w14:paraId="5E823AAF" w14:textId="77777777" w:rsidR="00B12E4C" w:rsidRPr="00041B02" w:rsidRDefault="00B12E4C" w:rsidP="00B12E4C">
      <w:pPr>
        <w:pStyle w:val="Numberedparagraph"/>
        <w:numPr>
          <w:ilvl w:val="1"/>
          <w:numId w:val="32"/>
        </w:numPr>
      </w:pPr>
      <w:r w:rsidRPr="00041B02">
        <w:t xml:space="preserve">Keep children out of court; </w:t>
      </w:r>
    </w:p>
    <w:p w14:paraId="451244F5" w14:textId="77777777" w:rsidR="00B12E4C" w:rsidRPr="00041B02" w:rsidRDefault="00B12E4C" w:rsidP="00B12E4C">
      <w:pPr>
        <w:pStyle w:val="Numberedparagraph"/>
        <w:numPr>
          <w:ilvl w:val="1"/>
          <w:numId w:val="32"/>
        </w:numPr>
      </w:pPr>
      <w:r w:rsidRPr="00041B02">
        <w:t xml:space="preserve">Keep children out of custody; </w:t>
      </w:r>
    </w:p>
    <w:p w14:paraId="68EC4EBB" w14:textId="77777777" w:rsidR="00B12E4C" w:rsidRPr="00041B02" w:rsidRDefault="00B12E4C" w:rsidP="00B12E4C">
      <w:pPr>
        <w:pStyle w:val="Numberedparagraph"/>
        <w:numPr>
          <w:ilvl w:val="1"/>
          <w:numId w:val="32"/>
        </w:numPr>
      </w:pPr>
      <w:r w:rsidRPr="00041B02">
        <w:t xml:space="preserve">Reduce re-offending.  </w:t>
      </w:r>
    </w:p>
    <w:p w14:paraId="4C955312" w14:textId="36036C22" w:rsidR="00B12E4C" w:rsidRPr="00041B02" w:rsidRDefault="00B12E4C" w:rsidP="00B12E4C">
      <w:pPr>
        <w:pStyle w:val="Numberedparagraph"/>
      </w:pPr>
      <w:r w:rsidRPr="00041B02">
        <w:t xml:space="preserve">The </w:t>
      </w:r>
      <w:r w:rsidR="00FE6005">
        <w:t>majority</w:t>
      </w:r>
      <w:r w:rsidRPr="00041B02">
        <w:t xml:space="preserve"> of reforms in the Bill do not advance these principles, and could be seen to be in direct contradiction with principles b) and c), as they are targeted </w:t>
      </w:r>
      <w:r w:rsidR="00440219">
        <w:t>at</w:t>
      </w:r>
      <w:r w:rsidRPr="00041B02">
        <w:t xml:space="preserve"> broadening the </w:t>
      </w:r>
      <w:r w:rsidR="003D1D8C">
        <w:t>situation</w:t>
      </w:r>
      <w:r w:rsidR="00453DA5">
        <w:t>s</w:t>
      </w:r>
      <w:r w:rsidRPr="00041B02">
        <w:t xml:space="preserve"> in which children will end up before the court and make it more likely they will be refused bail and remain in detention </w:t>
      </w:r>
      <w:r w:rsidR="00213FCE">
        <w:t xml:space="preserve">whilst waiting for </w:t>
      </w:r>
      <w:r w:rsidR="000A79DC">
        <w:t>their charges to be finalised.</w:t>
      </w:r>
      <w:r w:rsidRPr="00041B02">
        <w:t xml:space="preserve"> </w:t>
      </w:r>
    </w:p>
    <w:p w14:paraId="09F4AE96" w14:textId="1C79F990" w:rsidR="00B12E4C" w:rsidRDefault="004B0B7E" w:rsidP="00B12E4C">
      <w:pPr>
        <w:pStyle w:val="Numberedparagraph"/>
      </w:pPr>
      <w:r w:rsidRPr="00AB10C9">
        <w:t>Children involved</w:t>
      </w:r>
      <w:r w:rsidR="001947B1" w:rsidRPr="00AB10C9">
        <w:t xml:space="preserve"> </w:t>
      </w:r>
      <w:r w:rsidR="00AA471E" w:rsidRPr="00AB10C9">
        <w:t>in</w:t>
      </w:r>
      <w:r w:rsidRPr="00AB10C9">
        <w:t xml:space="preserve"> </w:t>
      </w:r>
      <w:r w:rsidR="00277FD1" w:rsidRPr="00AB10C9">
        <w:t xml:space="preserve">stealing cars </w:t>
      </w:r>
      <w:r w:rsidR="001947B1" w:rsidRPr="00AB10C9">
        <w:t xml:space="preserve">or posting crimes on social media </w:t>
      </w:r>
      <w:r w:rsidR="00277FD1" w:rsidRPr="00AB10C9">
        <w:t xml:space="preserve">are unlikely to be thinking </w:t>
      </w:r>
      <w:r w:rsidR="5041BEB1" w:rsidRPr="00AB10C9">
        <w:t>about</w:t>
      </w:r>
      <w:r w:rsidR="00B12E4C" w:rsidRPr="00AB10C9">
        <w:t xml:space="preserve"> the maximum penalties of an offence</w:t>
      </w:r>
      <w:r w:rsidR="001947B1" w:rsidRPr="00AB10C9">
        <w:t>, particularly the cohort of ‘serious recidivists’ targeted in the Bill</w:t>
      </w:r>
      <w:r w:rsidR="001947B1" w:rsidRPr="001947B1">
        <w:t>.</w:t>
      </w:r>
      <w:r w:rsidR="00B12E4C" w:rsidRPr="00041B02">
        <w:t xml:space="preserve"> Reforms such as increasing sentences and adding a circumstance of aggravation will do nothing to reduce offending or recidivism amongst children. Beyond this, the Government</w:t>
      </w:r>
      <w:r w:rsidR="003A10BA">
        <w:t>’</w:t>
      </w:r>
      <w:r w:rsidR="00B12E4C" w:rsidRPr="00041B02">
        <w:t xml:space="preserve">s own research shows that </w:t>
      </w:r>
      <w:r w:rsidR="00DD670D">
        <w:t xml:space="preserve">children and </w:t>
      </w:r>
      <w:r w:rsidR="0079717E">
        <w:t xml:space="preserve">young people who have been through detention are more at risk </w:t>
      </w:r>
      <w:r w:rsidR="006F2F59">
        <w:t>of committing offences when they return to the community.</w:t>
      </w:r>
      <w:r w:rsidR="00B12E4C" w:rsidRPr="00041B02">
        <w:rPr>
          <w:rStyle w:val="FootnoteReference"/>
          <w:shd w:val="clear" w:color="auto" w:fill="FFFFFF"/>
        </w:rPr>
        <w:footnoteReference w:id="16"/>
      </w:r>
    </w:p>
    <w:p w14:paraId="21533E0C" w14:textId="567F6D4B" w:rsidR="00AE6C07" w:rsidRDefault="00772CB8" w:rsidP="00B12E4C">
      <w:pPr>
        <w:pStyle w:val="Numberedparagraph"/>
      </w:pPr>
      <w:r>
        <w:t xml:space="preserve">In </w:t>
      </w:r>
      <w:r>
        <w:rPr>
          <w:i/>
          <w:iCs/>
        </w:rPr>
        <w:t>Working Together, Cha</w:t>
      </w:r>
      <w:r w:rsidR="00532B48">
        <w:rPr>
          <w:i/>
          <w:iCs/>
        </w:rPr>
        <w:t>nging the Story</w:t>
      </w:r>
      <w:r w:rsidR="00532B48">
        <w:t>, it was concluded</w:t>
      </w:r>
      <w:r w:rsidR="002711F9">
        <w:rPr>
          <w:rStyle w:val="FootnoteReference"/>
        </w:rPr>
        <w:footnoteReference w:id="17"/>
      </w:r>
    </w:p>
    <w:p w14:paraId="753C4C08" w14:textId="4AB6F1D3" w:rsidR="00532B48" w:rsidRPr="00DB3EC2" w:rsidRDefault="00BE2267" w:rsidP="002711F9">
      <w:pPr>
        <w:pStyle w:val="Numberedparagraph"/>
        <w:numPr>
          <w:ilvl w:val="0"/>
          <w:numId w:val="0"/>
        </w:numPr>
        <w:ind w:left="984"/>
      </w:pPr>
      <w:r>
        <w:rPr>
          <w:i/>
          <w:iCs/>
        </w:rPr>
        <w:t xml:space="preserve">Most offences committed by children </w:t>
      </w:r>
      <w:r w:rsidR="00DB3EC2">
        <w:rPr>
          <w:i/>
          <w:iCs/>
        </w:rPr>
        <w:t>and young people are property offences, but research shows that detention has no impact on property crime.</w:t>
      </w:r>
    </w:p>
    <w:p w14:paraId="1CF24116" w14:textId="397EF4BB" w:rsidR="00DB3EC2" w:rsidRPr="00041B02" w:rsidRDefault="004326A2" w:rsidP="002711F9">
      <w:pPr>
        <w:pStyle w:val="Numberedparagraph"/>
        <w:numPr>
          <w:ilvl w:val="0"/>
          <w:numId w:val="0"/>
        </w:numPr>
        <w:ind w:left="984"/>
      </w:pPr>
      <w:r>
        <w:rPr>
          <w:i/>
          <w:iCs/>
        </w:rPr>
        <w:t>Australian research shows detention separates children and young people from important relationships including families. I</w:t>
      </w:r>
      <w:r w:rsidR="00650F23">
        <w:rPr>
          <w:i/>
          <w:iCs/>
        </w:rPr>
        <w:t>t exposes</w:t>
      </w:r>
      <w:r w:rsidR="007D42E9">
        <w:rPr>
          <w:i/>
          <w:iCs/>
        </w:rPr>
        <w:t xml:space="preserve"> them to negative peers and increases the</w:t>
      </w:r>
      <w:r w:rsidR="002711F9">
        <w:rPr>
          <w:i/>
          <w:iCs/>
        </w:rPr>
        <w:t>ir risk of further custody. Detention makes it harder to return to education and limits future employment opportunities.</w:t>
      </w:r>
    </w:p>
    <w:p w14:paraId="5DADD5AA" w14:textId="6492E756" w:rsidR="00040804" w:rsidRPr="00041B02" w:rsidRDefault="00B12E4C" w:rsidP="00612B27">
      <w:pPr>
        <w:pStyle w:val="Numberedparagraph"/>
      </w:pPr>
      <w:r w:rsidRPr="00041B02">
        <w:t xml:space="preserve">If incarceration worked as an effective deterrent, there would not be recidivist offenders and youth detention centres would not be at capacity. The introduction of this Bill changes the focus of addressing youth crime in Queensland from a rehabilitative to a </w:t>
      </w:r>
      <w:r w:rsidR="00B36339">
        <w:t>pun</w:t>
      </w:r>
      <w:r w:rsidR="004F6185">
        <w:t xml:space="preserve">itive </w:t>
      </w:r>
      <w:r w:rsidRPr="00041B02">
        <w:t>approach</w:t>
      </w:r>
      <w:r w:rsidR="0074382B">
        <w:t>.</w:t>
      </w:r>
    </w:p>
    <w:p w14:paraId="3DC055BA" w14:textId="3B441195" w:rsidR="00B12E4C" w:rsidRPr="00041B02" w:rsidRDefault="007611F4" w:rsidP="00B12E4C">
      <w:pPr>
        <w:pStyle w:val="Numberedparagraph"/>
      </w:pPr>
      <w:r>
        <w:lastRenderedPageBreak/>
        <w:t>A</w:t>
      </w:r>
      <w:r w:rsidR="0036184F">
        <w:t xml:space="preserve"> substantially</w:t>
      </w:r>
      <w:r>
        <w:t xml:space="preserve"> punitive approach to youth crime</w:t>
      </w:r>
      <w:r w:rsidR="0083067B">
        <w:t xml:space="preserve"> </w:t>
      </w:r>
      <w:r w:rsidR="00B12E4C" w:rsidRPr="00041B02">
        <w:t>is in direct contradiction of both Queensland and international human rights principles</w:t>
      </w:r>
      <w:r w:rsidR="0074382B">
        <w:t xml:space="preserve"> and is unlikely to have any positive impact on community safety. </w:t>
      </w:r>
    </w:p>
    <w:p w14:paraId="53B10275" w14:textId="041698EC" w:rsidR="00F04692" w:rsidRPr="00C9153A" w:rsidRDefault="00F04692" w:rsidP="00F04692">
      <w:pPr>
        <w:pStyle w:val="Heading2"/>
      </w:pPr>
      <w:bookmarkStart w:id="17" w:name="_Toc128123988"/>
      <w:r>
        <w:t>Why children</w:t>
      </w:r>
      <w:r w:rsidR="00A865AA">
        <w:t xml:space="preserve"> need protection</w:t>
      </w:r>
      <w:bookmarkEnd w:id="17"/>
    </w:p>
    <w:p w14:paraId="65095184" w14:textId="1CDBD438" w:rsidR="00951134" w:rsidRPr="00041B02" w:rsidRDefault="00F04692">
      <w:pPr>
        <w:pStyle w:val="Numberedparagraph"/>
      </w:pPr>
      <w:r w:rsidRPr="00041B02">
        <w:t xml:space="preserve">The Bill </w:t>
      </w:r>
      <w:r w:rsidR="005A17F8">
        <w:t>seek</w:t>
      </w:r>
      <w:r w:rsidR="00EF1CED">
        <w:t>s</w:t>
      </w:r>
      <w:r w:rsidR="005A17F8" w:rsidRPr="00041B02">
        <w:t xml:space="preserve"> to</w:t>
      </w:r>
      <w:r w:rsidRPr="00041B02">
        <w:t xml:space="preserve"> set aside </w:t>
      </w:r>
      <w:r w:rsidR="00A865AA">
        <w:t>well-established</w:t>
      </w:r>
      <w:r w:rsidRPr="00041B02">
        <w:t xml:space="preserve"> rights and protection</w:t>
      </w:r>
      <w:r w:rsidR="006464F9" w:rsidRPr="00041B02">
        <w:t>s</w:t>
      </w:r>
      <w:r w:rsidRPr="00041B02">
        <w:t xml:space="preserve"> of children, recognised </w:t>
      </w:r>
      <w:r w:rsidR="00354DF7" w:rsidRPr="00041B02">
        <w:t>and developed both in Australia and internationally</w:t>
      </w:r>
      <w:r w:rsidRPr="00041B02">
        <w:t xml:space="preserve">. These rights are not merely theoretical principles, but protections </w:t>
      </w:r>
      <w:r w:rsidR="00A728E7" w:rsidRPr="00041B02">
        <w:t>based on</w:t>
      </w:r>
      <w:r w:rsidRPr="00041B02">
        <w:t xml:space="preserve"> the vulnerabilities of children. </w:t>
      </w:r>
      <w:r w:rsidR="008A2F6A" w:rsidRPr="00041B02">
        <w:t>The</w:t>
      </w:r>
      <w:r w:rsidR="00951134" w:rsidRPr="00041B02">
        <w:t>se</w:t>
      </w:r>
      <w:r w:rsidR="008A2F6A" w:rsidRPr="00041B02">
        <w:t xml:space="preserve"> rights </w:t>
      </w:r>
      <w:r w:rsidR="00951134" w:rsidRPr="00041B02">
        <w:t>acknowledge</w:t>
      </w:r>
      <w:r w:rsidR="008A2F6A" w:rsidRPr="00041B02">
        <w:t xml:space="preserve"> that children and young people require a higher duty of care and more intensive interventions</w:t>
      </w:r>
      <w:r w:rsidR="00354DF7" w:rsidRPr="00041B02">
        <w:t xml:space="preserve"> in order to </w:t>
      </w:r>
      <w:r w:rsidR="00184DEC" w:rsidRPr="00041B02">
        <w:t>reach their potential</w:t>
      </w:r>
      <w:r w:rsidR="008A2F6A">
        <w:t>.</w:t>
      </w:r>
      <w:r w:rsidDel="5E735C85">
        <w:t xml:space="preserve">  </w:t>
      </w:r>
    </w:p>
    <w:p w14:paraId="1F791ABA" w14:textId="6F10AD73" w:rsidR="00184DEC" w:rsidRPr="00041B02" w:rsidRDefault="008D5AB3" w:rsidP="008A2F6A">
      <w:pPr>
        <w:pStyle w:val="Numberedparagraph"/>
        <w:rPr>
          <w:szCs w:val="22"/>
        </w:rPr>
      </w:pPr>
      <w:r w:rsidRPr="00041B02">
        <w:t>Outside of the criminal justice system, countless Queensland Government strategies and commitments acknowledge th</w:t>
      </w:r>
      <w:r w:rsidR="001776C6" w:rsidRPr="00041B02">
        <w:t>ese</w:t>
      </w:r>
      <w:r w:rsidR="00231B53" w:rsidRPr="00041B02">
        <w:t xml:space="preserve"> principles</w:t>
      </w:r>
      <w:r w:rsidRPr="00041B02">
        <w:t xml:space="preserve">. </w:t>
      </w:r>
      <w:r w:rsidR="00CB651C" w:rsidRPr="00041B02">
        <w:t xml:space="preserve">For example, the Queensland Children’s Wellbeing Framework </w:t>
      </w:r>
      <w:r w:rsidR="00821B49" w:rsidRPr="00041B02">
        <w:t xml:space="preserve">recognises we all play a part in children's wellbeing and sets out the shared commitments of </w:t>
      </w:r>
      <w:r w:rsidR="005E6C5A">
        <w:t xml:space="preserve">the </w:t>
      </w:r>
      <w:r w:rsidR="00821B49" w:rsidRPr="00041B02">
        <w:t>government and the community to help achieve these aspirations. Our shared commitments are to provide children with fundamental rights and needs, love and nurturing, inclusion and opportunity, and enrichment and challenge.</w:t>
      </w:r>
      <w:r w:rsidR="00DA4761" w:rsidRPr="00041B02">
        <w:rPr>
          <w:rStyle w:val="FootnoteReference"/>
        </w:rPr>
        <w:footnoteReference w:id="18"/>
      </w:r>
      <w:r w:rsidR="005A17F8" w:rsidRPr="00041B02">
        <w:t xml:space="preserve"> The Queensland Youth Strategy, </w:t>
      </w:r>
      <w:r w:rsidR="005A17F8" w:rsidRPr="00041B02">
        <w:rPr>
          <w:i/>
        </w:rPr>
        <w:t>Building young Queenslanders for a global future</w:t>
      </w:r>
      <w:r w:rsidR="005A17F8" w:rsidRPr="00041B02">
        <w:t xml:space="preserve">, </w:t>
      </w:r>
      <w:r w:rsidR="00F86052" w:rsidRPr="00041B02">
        <w:t>states:</w:t>
      </w:r>
    </w:p>
    <w:p w14:paraId="229EE2DE" w14:textId="70EF3087" w:rsidR="00F86052" w:rsidRPr="00041B02" w:rsidRDefault="00F86052" w:rsidP="00F86052">
      <w:pPr>
        <w:pStyle w:val="Quote"/>
      </w:pPr>
      <w:r w:rsidRPr="00041B02">
        <w:t>A young person in Queensland today should be able to look to the future and see limitless possibilities. Being young is about exploring opportunities that come with increased independence and having the benefit of choice. Youth is about looking ahead with excitement and seeing potential, not obstacles</w:t>
      </w:r>
      <w:r w:rsidR="00E32985">
        <w:t>.</w:t>
      </w:r>
      <w:r w:rsidR="00E32985">
        <w:rPr>
          <w:rStyle w:val="FootnoteReference"/>
        </w:rPr>
        <w:footnoteReference w:id="19"/>
      </w:r>
    </w:p>
    <w:p w14:paraId="111B4017" w14:textId="0D9B92F5" w:rsidR="00F04692" w:rsidRPr="00041B02" w:rsidRDefault="00CD20EA" w:rsidP="00F04692">
      <w:pPr>
        <w:pStyle w:val="Numberedparagraph"/>
        <w:rPr>
          <w:szCs w:val="22"/>
        </w:rPr>
      </w:pPr>
      <w:r w:rsidRPr="00041B02">
        <w:rPr>
          <w:szCs w:val="22"/>
        </w:rPr>
        <w:t xml:space="preserve">Setting aside these principles for children involved in the youth justice system </w:t>
      </w:r>
      <w:r w:rsidR="00877EDE" w:rsidRPr="00041B02">
        <w:rPr>
          <w:szCs w:val="22"/>
        </w:rPr>
        <w:t xml:space="preserve">is counter-productive. </w:t>
      </w:r>
    </w:p>
    <w:p w14:paraId="037628AD" w14:textId="42665E2C" w:rsidR="004F0626" w:rsidRPr="00041B02" w:rsidRDefault="00F04692" w:rsidP="004F0626">
      <w:pPr>
        <w:pStyle w:val="Numberedparagraph"/>
      </w:pPr>
      <w:r w:rsidRPr="00041B02">
        <w:t>Detention as a last resort is an evidence-based approach learnt the hard way by decades of punitive measures that didn’t rehabilitate young people.</w:t>
      </w:r>
      <w:r w:rsidR="00C21B04" w:rsidRPr="00041B02">
        <w:rPr>
          <w:rStyle w:val="FootnoteReference"/>
        </w:rPr>
        <w:footnoteReference w:id="20"/>
      </w:r>
      <w:r w:rsidR="004F0626" w:rsidRPr="00041B02">
        <w:t xml:space="preserve"> The brains of children are different </w:t>
      </w:r>
      <w:r w:rsidR="00FF1D5E">
        <w:t>from</w:t>
      </w:r>
      <w:r w:rsidR="004F0626" w:rsidRPr="00041B02">
        <w:t xml:space="preserve"> those of adults and are not yet fully developed. Children have less developed psychological, social and biological maturity to help guide their decision</w:t>
      </w:r>
      <w:r w:rsidR="00FF1D5E" w:rsidRPr="00041B02">
        <w:t>-</w:t>
      </w:r>
      <w:r w:rsidR="004F0626" w:rsidRPr="00041B02">
        <w:t>making behaviour. This makes children more prone to impulsive and risk</w:t>
      </w:r>
      <w:r w:rsidR="00FF1D5E" w:rsidRPr="00041B02">
        <w:t>-</w:t>
      </w:r>
      <w:r w:rsidR="004F0626" w:rsidRPr="00041B02">
        <w:t xml:space="preserve">taking behaviours and </w:t>
      </w:r>
      <w:r w:rsidR="00F13EE9">
        <w:t>more</w:t>
      </w:r>
      <w:r w:rsidR="004F0626" w:rsidRPr="00041B02">
        <w:t xml:space="preserve"> susceptible to peer pressure. A child is less able to assess the risk and consequences of their decisions and react appropriately to stressful situations.</w:t>
      </w:r>
      <w:r w:rsidR="004F0626" w:rsidRPr="00041B02">
        <w:rPr>
          <w:rStyle w:val="FootnoteReference"/>
        </w:rPr>
        <w:footnoteReference w:id="21"/>
      </w:r>
      <w:r w:rsidR="004F0626" w:rsidRPr="00041B02">
        <w:t xml:space="preserve"> </w:t>
      </w:r>
    </w:p>
    <w:p w14:paraId="512E73C8" w14:textId="128968CC" w:rsidR="009D5352" w:rsidRPr="00041B02" w:rsidRDefault="009D5352" w:rsidP="004F0626">
      <w:pPr>
        <w:pStyle w:val="Numberedparagraph"/>
      </w:pPr>
      <w:r w:rsidRPr="00041B02">
        <w:lastRenderedPageBreak/>
        <w:t>Children who come before the court are overwhelmingly from families where they have experienced abuse, trauma and neglect. Many have witnessed domestic violence</w:t>
      </w:r>
      <w:r w:rsidR="001A3C9C">
        <w:t>,</w:t>
      </w:r>
      <w:r w:rsidRPr="00041B02">
        <w:t xml:space="preserve"> and many are under the care of child safety.</w:t>
      </w:r>
      <w:r w:rsidRPr="00041B02">
        <w:rPr>
          <w:rStyle w:val="FootnoteReference"/>
        </w:rPr>
        <w:footnoteReference w:id="22"/>
      </w:r>
      <w:r w:rsidRPr="00041B02">
        <w:t xml:space="preserve"> </w:t>
      </w:r>
      <w:r w:rsidR="002C15B9">
        <w:t>The Bill disproportionately impacts on these children, including Aboriginal and Torres Strait Islander children, limiting their right to equality and other rights.</w:t>
      </w:r>
      <w:r w:rsidR="00EA58E8">
        <w:t xml:space="preserve"> The Bill is likely to significant undermine the Government’s commitment to Closing the Gap targets. </w:t>
      </w:r>
      <w:r w:rsidR="002C15B9">
        <w:t xml:space="preserve"> </w:t>
      </w:r>
    </w:p>
    <w:p w14:paraId="6703191C" w14:textId="322A651F" w:rsidR="004F0626" w:rsidRPr="00041B02" w:rsidRDefault="004F0626" w:rsidP="004F0626">
      <w:pPr>
        <w:pStyle w:val="Numberedparagraph"/>
      </w:pPr>
      <w:r w:rsidRPr="00041B02">
        <w:t xml:space="preserve">Ross </w:t>
      </w:r>
      <w:proofErr w:type="spellStart"/>
      <w:r w:rsidRPr="00041B02">
        <w:t>Homel</w:t>
      </w:r>
      <w:proofErr w:type="spellEnd"/>
      <w:r w:rsidRPr="00041B02">
        <w:t xml:space="preserve">, </w:t>
      </w:r>
      <w:r w:rsidR="00C122F7">
        <w:t>E</w:t>
      </w:r>
      <w:r w:rsidRPr="00D14696">
        <w:t xml:space="preserve">meritus </w:t>
      </w:r>
      <w:r w:rsidR="00C122F7">
        <w:t>P</w:t>
      </w:r>
      <w:r w:rsidRPr="00D14696">
        <w:t>rofessor</w:t>
      </w:r>
      <w:r w:rsidRPr="00041B02">
        <w:t xml:space="preserve"> in </w:t>
      </w:r>
      <w:r w:rsidR="0052603D">
        <w:t>C</w:t>
      </w:r>
      <w:r w:rsidRPr="00041B02">
        <w:t xml:space="preserve">riminology and </w:t>
      </w:r>
      <w:r w:rsidR="00341598">
        <w:t>C</w:t>
      </w:r>
      <w:r w:rsidRPr="00041B02">
        <w:t xml:space="preserve">riminal </w:t>
      </w:r>
      <w:r w:rsidR="004853FD">
        <w:t>J</w:t>
      </w:r>
      <w:r w:rsidRPr="00041B02">
        <w:t xml:space="preserve">ustice at Griffith University, cites research to demonstrate that incarceration does not deter or </w:t>
      </w:r>
      <w:r>
        <w:t>rehabilit</w:t>
      </w:r>
      <w:r w:rsidR="007A204E">
        <w:t>ate</w:t>
      </w:r>
      <w:r w:rsidRPr="00041B02">
        <w:t xml:space="preserve"> traumatised young people, but instead re-traumatises them by exposing them to further violence. </w:t>
      </w:r>
      <w:r w:rsidR="00A83ADD" w:rsidRPr="00041B02">
        <w:t>It also</w:t>
      </w:r>
      <w:r w:rsidRPr="00041B02">
        <w:t xml:space="preserve"> limits opportunities for young people to gain a school qualification and acquire job skills. Pre-trial detention more than triples the likelihood that these young people will be imprisoned again, after their court adjudication.</w:t>
      </w:r>
    </w:p>
    <w:p w14:paraId="7CE74413" w14:textId="77777777" w:rsidR="004F0626" w:rsidRPr="00041B02" w:rsidRDefault="004F0626" w:rsidP="004F0626">
      <w:pPr>
        <w:pStyle w:val="Quote"/>
      </w:pPr>
      <w:r w:rsidRPr="00041B02">
        <w:t>The fundamental problem with youth incarceration as a crime policy is that it impedes young people’s ability to mature psychologically and participate in mainstream society.</w:t>
      </w:r>
      <w:r w:rsidRPr="00041B02">
        <w:rPr>
          <w:rStyle w:val="FootnoteReference"/>
        </w:rPr>
        <w:footnoteReference w:id="23"/>
      </w:r>
    </w:p>
    <w:p w14:paraId="49A52DEC" w14:textId="76AE455E" w:rsidR="003B48FD" w:rsidRPr="00041B02" w:rsidRDefault="003B48FD" w:rsidP="003B48FD">
      <w:pPr>
        <w:pStyle w:val="Numberedparagraph"/>
      </w:pPr>
      <w:r w:rsidRPr="00041B02">
        <w:t xml:space="preserve">The only way to meaningfully reduce youth crime is to invest and adequately fund intervention programs that address systemic inequalities faced by these children. </w:t>
      </w:r>
      <w:r w:rsidR="0C7A1B67">
        <w:t xml:space="preserve">The purpose of the Bill </w:t>
      </w:r>
      <w:r w:rsidR="7C4DDF59">
        <w:t xml:space="preserve">and the protection of </w:t>
      </w:r>
      <w:proofErr w:type="spellStart"/>
      <w:r w:rsidR="7C4DDF59">
        <w:t>victims</w:t>
      </w:r>
      <w:proofErr w:type="spellEnd"/>
      <w:r w:rsidR="7C4DDF59">
        <w:t xml:space="preserve"> rights </w:t>
      </w:r>
      <w:r w:rsidR="0C7A1B67">
        <w:t xml:space="preserve">can be achieved without having to override the rights of the child. </w:t>
      </w:r>
    </w:p>
    <w:p w14:paraId="156D3324" w14:textId="4EB1FDE4" w:rsidR="002638E3" w:rsidRDefault="00BE49C1" w:rsidP="00D252DD">
      <w:pPr>
        <w:pStyle w:val="Heading1"/>
      </w:pPr>
      <w:bookmarkStart w:id="18" w:name="_Toc128123989"/>
      <w:r>
        <w:t>Override of the HR</w:t>
      </w:r>
      <w:r w:rsidR="00587916">
        <w:t xml:space="preserve"> </w:t>
      </w:r>
      <w:r>
        <w:t>A</w:t>
      </w:r>
      <w:r w:rsidR="00587916">
        <w:t>ct</w:t>
      </w:r>
      <w:bookmarkEnd w:id="18"/>
    </w:p>
    <w:p w14:paraId="77CA64EF" w14:textId="74F99794" w:rsidR="007F6849" w:rsidRPr="00041B02" w:rsidRDefault="0045294D" w:rsidP="006B68BC">
      <w:pPr>
        <w:pStyle w:val="Numberedparagraph"/>
        <w:widowControl w:val="0"/>
      </w:pPr>
      <w:r w:rsidRPr="00041B02">
        <w:t xml:space="preserve">Parliament may, under s </w:t>
      </w:r>
      <w:r w:rsidR="00044DC2" w:rsidRPr="00041B02">
        <w:t>4</w:t>
      </w:r>
      <w:r w:rsidR="00E605C9" w:rsidRPr="00041B02">
        <w:t>3</w:t>
      </w:r>
      <w:r w:rsidRPr="00041B02">
        <w:t xml:space="preserve"> of the HR Act</w:t>
      </w:r>
      <w:r w:rsidR="004577D2" w:rsidRPr="00041B02">
        <w:t>,</w:t>
      </w:r>
      <w:r w:rsidR="00647EFE" w:rsidRPr="00041B02">
        <w:t xml:space="preserve"> in exceptional circumstances,</w:t>
      </w:r>
      <w:r w:rsidR="004577D2" w:rsidRPr="00041B02">
        <w:t xml:space="preserve"> </w:t>
      </w:r>
      <w:r w:rsidR="00647EFE" w:rsidRPr="00041B02">
        <w:t>expressly</w:t>
      </w:r>
      <w:r w:rsidR="00F86264" w:rsidRPr="00041B02">
        <w:t xml:space="preserve"> de</w:t>
      </w:r>
      <w:r w:rsidR="00C20DF4" w:rsidRPr="00041B02">
        <w:t xml:space="preserve">clare that a provision of an Act has effect despite being </w:t>
      </w:r>
      <w:r w:rsidR="00647EFE" w:rsidRPr="00041B02">
        <w:t>incompatible</w:t>
      </w:r>
      <w:r w:rsidR="00C20DF4" w:rsidRPr="00041B02">
        <w:t xml:space="preserve"> with human rights (</w:t>
      </w:r>
      <w:r w:rsidR="00C20DF4" w:rsidRPr="00041B02">
        <w:rPr>
          <w:b/>
          <w:bCs/>
        </w:rPr>
        <w:t>override declaration)</w:t>
      </w:r>
      <w:r w:rsidR="00C20DF4" w:rsidRPr="00041B02">
        <w:t>.</w:t>
      </w:r>
      <w:r w:rsidR="00C20DF4" w:rsidRPr="00041B02">
        <w:rPr>
          <w:b/>
          <w:bCs/>
        </w:rPr>
        <w:t xml:space="preserve"> </w:t>
      </w:r>
      <w:r w:rsidR="007F6849" w:rsidRPr="00041B02">
        <w:t xml:space="preserve">If an override declaration is made by parliament, the HR Act does not apply to the Act or provision to the extent of the declaration while the declaration is in force, which expires after 5 years </w:t>
      </w:r>
      <w:r w:rsidR="00186669" w:rsidRPr="00041B02">
        <w:t>(</w:t>
      </w:r>
      <w:r w:rsidR="007F6849" w:rsidRPr="00041B02">
        <w:t>but may be re-enacted</w:t>
      </w:r>
      <w:r w:rsidR="00186669" w:rsidRPr="00041B02">
        <w:t>)</w:t>
      </w:r>
      <w:r w:rsidR="007F6849" w:rsidRPr="00041B02">
        <w:t>.</w:t>
      </w:r>
    </w:p>
    <w:p w14:paraId="2AA9D9A5" w14:textId="46C2BBF4" w:rsidR="007F6849" w:rsidRPr="00041B02" w:rsidRDefault="007F6849" w:rsidP="006B68BC">
      <w:pPr>
        <w:pStyle w:val="Numberedparagraph"/>
        <w:widowControl w:val="0"/>
      </w:pPr>
      <w:r w:rsidRPr="00041B02">
        <w:t xml:space="preserve">The Commission is concerned about the use of the override power in this Bill for </w:t>
      </w:r>
      <w:r w:rsidR="001C1EB9">
        <w:t>three</w:t>
      </w:r>
      <w:r w:rsidRPr="00041B02">
        <w:t xml:space="preserve"> reasons:</w:t>
      </w:r>
    </w:p>
    <w:p w14:paraId="1C019CE6" w14:textId="34F9BE00" w:rsidR="00C746FE" w:rsidRPr="00041B02" w:rsidRDefault="007F6849" w:rsidP="004E234B">
      <w:pPr>
        <w:pStyle w:val="Numberedparagraph"/>
        <w:numPr>
          <w:ilvl w:val="1"/>
          <w:numId w:val="13"/>
        </w:numPr>
      </w:pPr>
      <w:r w:rsidRPr="00041B02">
        <w:t>Insufficient evidence has been provided to demonstrate that an emergency of the kind</w:t>
      </w:r>
      <w:r w:rsidR="00C20DF4" w:rsidRPr="00041B02">
        <w:t xml:space="preserve"> </w:t>
      </w:r>
      <w:r w:rsidR="004E464A" w:rsidRPr="00041B02">
        <w:t xml:space="preserve">necessary to </w:t>
      </w:r>
      <w:r w:rsidR="00C122F7">
        <w:t>in</w:t>
      </w:r>
      <w:r w:rsidR="004E464A">
        <w:t>voke</w:t>
      </w:r>
      <w:r w:rsidR="004E464A" w:rsidRPr="00041B02">
        <w:t xml:space="preserve"> the </w:t>
      </w:r>
      <w:r w:rsidR="00985646" w:rsidRPr="00041B02">
        <w:t>declaration</w:t>
      </w:r>
      <w:r w:rsidR="004E464A" w:rsidRPr="00041B02">
        <w:t xml:space="preserve"> exists;</w:t>
      </w:r>
    </w:p>
    <w:p w14:paraId="2083E1D4" w14:textId="06E7038B" w:rsidR="00262A2F" w:rsidRDefault="00AD27B9" w:rsidP="004E234B">
      <w:pPr>
        <w:pStyle w:val="Numberedparagraph"/>
        <w:numPr>
          <w:ilvl w:val="1"/>
          <w:numId w:val="13"/>
        </w:numPr>
      </w:pPr>
      <w:r w:rsidRPr="00041B02">
        <w:lastRenderedPageBreak/>
        <w:t xml:space="preserve">Some of the rights unreasonably limited by the Bill are </w:t>
      </w:r>
      <w:r w:rsidR="00F65306" w:rsidRPr="00041B02">
        <w:t xml:space="preserve">specially protected under international law and should </w:t>
      </w:r>
      <w:r w:rsidR="00C122F7">
        <w:t>never</w:t>
      </w:r>
      <w:r w:rsidR="00F65306">
        <w:t xml:space="preserve"> </w:t>
      </w:r>
      <w:r w:rsidR="00F65306" w:rsidRPr="00041B02">
        <w:t>be subject to such an override</w:t>
      </w:r>
      <w:r w:rsidR="00262A2F">
        <w:t>;</w:t>
      </w:r>
    </w:p>
    <w:p w14:paraId="3C9B991C" w14:textId="10A4C0DB" w:rsidR="004E464A" w:rsidRPr="00041B02" w:rsidRDefault="008D3553" w:rsidP="004E234B">
      <w:pPr>
        <w:pStyle w:val="Numberedparagraph"/>
        <w:numPr>
          <w:ilvl w:val="1"/>
          <w:numId w:val="13"/>
        </w:numPr>
      </w:pPr>
      <w:r>
        <w:t>A</w:t>
      </w:r>
      <w:r w:rsidR="00262A2F">
        <w:t xml:space="preserve"> dangerous precedent</w:t>
      </w:r>
      <w:r w:rsidR="00BA2DA7">
        <w:t xml:space="preserve"> </w:t>
      </w:r>
      <w:r w:rsidR="00687431">
        <w:t xml:space="preserve">will be established </w:t>
      </w:r>
      <w:r w:rsidR="00454134">
        <w:t xml:space="preserve">for </w:t>
      </w:r>
      <w:r w:rsidR="00406479">
        <w:t xml:space="preserve">future governments to override human rights as a result of </w:t>
      </w:r>
      <w:r w:rsidR="003E0FA4">
        <w:t>a public controversy.</w:t>
      </w:r>
      <w:r w:rsidR="00406479">
        <w:t xml:space="preserve"> </w:t>
      </w:r>
      <w:r w:rsidR="0082754F">
        <w:t xml:space="preserve">It is at these times </w:t>
      </w:r>
      <w:r w:rsidR="00100A31">
        <w:t xml:space="preserve">of heightened public anxiety </w:t>
      </w:r>
      <w:r w:rsidR="0082754F">
        <w:t>that mai</w:t>
      </w:r>
      <w:r w:rsidR="0042307D">
        <w:t xml:space="preserve">ntaining robust </w:t>
      </w:r>
      <w:r w:rsidR="00785C76">
        <w:t xml:space="preserve">protections of human rights is of greatest importance. </w:t>
      </w:r>
    </w:p>
    <w:p w14:paraId="0DCD7860" w14:textId="4ADD7F5E" w:rsidR="00A65884" w:rsidRDefault="00A65884" w:rsidP="00A65884">
      <w:pPr>
        <w:pStyle w:val="Heading2"/>
      </w:pPr>
      <w:bookmarkStart w:id="19" w:name="_Toc128123990"/>
      <w:r>
        <w:t>Exception</w:t>
      </w:r>
      <w:r w:rsidR="006E7DA5">
        <w:t>al</w:t>
      </w:r>
      <w:r>
        <w:t xml:space="preserve"> circumstances</w:t>
      </w:r>
      <w:bookmarkEnd w:id="19"/>
    </w:p>
    <w:p w14:paraId="091666A2" w14:textId="1E2ED960" w:rsidR="00C746FE" w:rsidRPr="00041B02" w:rsidRDefault="00C746FE" w:rsidP="00F65306">
      <w:pPr>
        <w:pStyle w:val="Numberedparagraph"/>
        <w:widowControl w:val="0"/>
      </w:pPr>
      <w:r w:rsidRPr="00041B02">
        <w:t xml:space="preserve">Examples of exceptional circumstances are included in </w:t>
      </w:r>
      <w:r w:rsidR="00657C4D" w:rsidRPr="00041B02">
        <w:t>s</w:t>
      </w:r>
      <w:r w:rsidRPr="00041B02">
        <w:t xml:space="preserve"> 43 </w:t>
      </w:r>
      <w:r w:rsidR="00657C4D" w:rsidRPr="00041B02">
        <w:t>of the HR Act</w:t>
      </w:r>
      <w:r w:rsidRPr="00041B02">
        <w:t xml:space="preserve"> and include </w:t>
      </w:r>
      <w:r w:rsidR="0074230D">
        <w:t>‘</w:t>
      </w:r>
      <w:r w:rsidRPr="00041B02">
        <w:t>war, a state of emergency or an exceptional crisis situation constituting a threat to public safety, health or order</w:t>
      </w:r>
      <w:r w:rsidR="00B80444" w:rsidRPr="00041B02">
        <w:t>.</w:t>
      </w:r>
      <w:r w:rsidR="0074230D">
        <w:t>’</w:t>
      </w:r>
      <w:r w:rsidR="00B80444" w:rsidRPr="00041B02">
        <w:t xml:space="preserve"> </w:t>
      </w:r>
    </w:p>
    <w:p w14:paraId="46A0ACB9" w14:textId="1FF12070" w:rsidR="00422744" w:rsidRPr="00E34FA9" w:rsidRDefault="00721164" w:rsidP="00422744">
      <w:pPr>
        <w:pStyle w:val="Numberedparagraph"/>
        <w:rPr>
          <w:lang w:val="en-US"/>
        </w:rPr>
      </w:pPr>
      <w:r w:rsidRPr="00041B02">
        <w:t xml:space="preserve">In its report on the Human Rights Bill 2018, the Legal Affairs and Community Safety </w:t>
      </w:r>
      <w:r w:rsidR="000A1E28">
        <w:t>C</w:t>
      </w:r>
      <w:r w:rsidRPr="00041B02">
        <w:t>ommittee noted that the override declaration framework is based on article 4 of the International Covenant on Civil and Political Rights (</w:t>
      </w:r>
      <w:r w:rsidRPr="00041B02">
        <w:rPr>
          <w:b/>
          <w:bCs/>
        </w:rPr>
        <w:t>ICCPR</w:t>
      </w:r>
      <w:r w:rsidRPr="00041B02">
        <w:t>).</w:t>
      </w:r>
      <w:r w:rsidRPr="00041B02">
        <w:rPr>
          <w:rStyle w:val="FootnoteReference"/>
        </w:rPr>
        <w:footnoteReference w:id="24"/>
      </w:r>
      <w:r w:rsidRPr="00041B02">
        <w:t xml:space="preserve"> </w:t>
      </w:r>
      <w:r w:rsidR="00422744">
        <w:rPr>
          <w:lang w:val="en-US"/>
        </w:rPr>
        <w:t>The Commission accepts that the override mechanism of the HR Act does not accord with the requirements or text of the ICCPR. Also, the HR Act does not explicitly state that any rights are non-derogable.</w:t>
      </w:r>
      <w:r w:rsidR="00422744">
        <w:rPr>
          <w:rStyle w:val="FootnoteReference"/>
          <w:lang w:val="en-US"/>
        </w:rPr>
        <w:footnoteReference w:id="25"/>
      </w:r>
      <w:r w:rsidR="00422744">
        <w:rPr>
          <w:lang w:val="en-US"/>
        </w:rPr>
        <w:t xml:space="preserve"> Nonetheless, article 4 of the ICCPR and accompanying guidance provide context for how the relevant provisions should operate. </w:t>
      </w:r>
    </w:p>
    <w:p w14:paraId="5A3EAC68" w14:textId="59857B72" w:rsidR="00721164" w:rsidRPr="00041B02" w:rsidRDefault="00721164" w:rsidP="00A65884">
      <w:pPr>
        <w:pStyle w:val="Numberedparagraph"/>
        <w:widowControl w:val="0"/>
      </w:pPr>
      <w:r w:rsidRPr="00041B02">
        <w:t xml:space="preserve">Article 4 of the ICCPR provides that a state party may only act incompatibly with human rights </w:t>
      </w:r>
      <w:r w:rsidR="00AF0B6F">
        <w:t>‘</w:t>
      </w:r>
      <w:r w:rsidRPr="00041B02">
        <w:t xml:space="preserve">in times of public emergency which threatens the life of the nation and the existence of which is officially </w:t>
      </w:r>
      <w:r w:rsidRPr="00282F8F">
        <w:t>proclaimed.</w:t>
      </w:r>
      <w:r w:rsidR="00A9075D">
        <w:t>’</w:t>
      </w:r>
      <w:r w:rsidRPr="00041B02">
        <w:rPr>
          <w:rStyle w:val="FootnoteReference"/>
        </w:rPr>
        <w:footnoteReference w:id="26"/>
      </w:r>
    </w:p>
    <w:p w14:paraId="0C8E8095" w14:textId="54973230" w:rsidR="00CA3B8F" w:rsidRPr="00041B02" w:rsidRDefault="00CA3B8F" w:rsidP="00CA3B8F">
      <w:pPr>
        <w:pStyle w:val="Numberedparagraph"/>
      </w:pPr>
      <w:r w:rsidRPr="00041B02">
        <w:t xml:space="preserve">The UN </w:t>
      </w:r>
      <w:r w:rsidR="00FA1F07">
        <w:t xml:space="preserve">High Commissioner for </w:t>
      </w:r>
      <w:r w:rsidRPr="00041B02">
        <w:t xml:space="preserve">Human Rights provided specific guidance on the state of emergency presented by the COVID-19 pandemic. That advice noted that derogations from human rights obligations may be needed during </w:t>
      </w:r>
      <w:r w:rsidR="005B6CB7">
        <w:t>the pandemic</w:t>
      </w:r>
      <w:r w:rsidRPr="00041B02">
        <w:t>, however that:</w:t>
      </w:r>
    </w:p>
    <w:p w14:paraId="51E77FF6" w14:textId="77777777" w:rsidR="00CA3B8F" w:rsidRPr="00041B02" w:rsidRDefault="00CA3B8F" w:rsidP="00CA3B8F">
      <w:pPr>
        <w:pStyle w:val="Quote"/>
      </w:pPr>
      <w:r w:rsidRPr="00041B02">
        <w:t>Although derogation or suspension of certain rights is permitted when such emergencies are declared, measures suspending rights should be avoided when the situation can be adequately dealt with by establishing proportionate restrictions or limitations on certain rights.</w:t>
      </w:r>
    </w:p>
    <w:p w14:paraId="3924E42C" w14:textId="3FCDC66E" w:rsidR="00CA3B8F" w:rsidRPr="00041B02" w:rsidRDefault="00433857" w:rsidP="00CA3B8F">
      <w:pPr>
        <w:pStyle w:val="Quote"/>
      </w:pPr>
      <w:r>
        <w:t>…</w:t>
      </w:r>
      <w:r w:rsidR="00CA3B8F" w:rsidRPr="00041B02">
        <w:t>States must inform the affected population of the exact substantive, territorial and temporal scope of the application of the state of emergency and its related measures.</w:t>
      </w:r>
      <w:r w:rsidR="00CA3B8F" w:rsidRPr="00041B02">
        <w:rPr>
          <w:rStyle w:val="FootnoteReference"/>
        </w:rPr>
        <w:footnoteReference w:id="27"/>
      </w:r>
    </w:p>
    <w:p w14:paraId="5B77C879" w14:textId="0962B9A0" w:rsidR="001F7404" w:rsidRPr="00041B02" w:rsidRDefault="00CA3B8F" w:rsidP="00CA3B8F">
      <w:pPr>
        <w:pStyle w:val="Numberedparagraph"/>
      </w:pPr>
      <w:r w:rsidRPr="00041B02">
        <w:lastRenderedPageBreak/>
        <w:t xml:space="preserve">Queensland was able to respond to the COVID-19 pandemic, including imposing </w:t>
      </w:r>
      <w:r w:rsidR="00826816" w:rsidRPr="00041B02">
        <w:t>significant</w:t>
      </w:r>
      <w:r w:rsidRPr="00041B02">
        <w:t xml:space="preserve"> restrictions on people’s freedom of movement and right to liberty, without resorting to the use of an override declaration. Those measures were in response to a worldwide pandemic that continues to </w:t>
      </w:r>
      <w:r w:rsidR="00DC6EC5" w:rsidRPr="00041B02">
        <w:t>affect</w:t>
      </w:r>
      <w:r w:rsidRPr="00041B02">
        <w:t xml:space="preserve"> many aspects of the community. The Government was able to justify such measures as necessary to fulfil its obligations under the right to life. </w:t>
      </w:r>
      <w:r w:rsidR="00123E2D">
        <w:t>T</w:t>
      </w:r>
      <w:r>
        <w:t>he</w:t>
      </w:r>
      <w:r w:rsidRPr="00041B02">
        <w:t xml:space="preserve"> COVID-19 emergency was </w:t>
      </w:r>
      <w:r w:rsidR="00DC6EC5" w:rsidRPr="00041B02">
        <w:t xml:space="preserve">also </w:t>
      </w:r>
      <w:r w:rsidRPr="00041B02">
        <w:t>official</w:t>
      </w:r>
      <w:r w:rsidR="00DC6EC5" w:rsidRPr="00041B02">
        <w:t>ly</w:t>
      </w:r>
      <w:r w:rsidRPr="00041B02">
        <w:t xml:space="preserve"> proclaimed.</w:t>
      </w:r>
      <w:r w:rsidRPr="00041B02">
        <w:rPr>
          <w:rStyle w:val="FootnoteReference"/>
        </w:rPr>
        <w:footnoteReference w:id="28"/>
      </w:r>
      <w:r w:rsidRPr="00041B02">
        <w:t xml:space="preserve"> The </w:t>
      </w:r>
      <w:r>
        <w:t>safeguard</w:t>
      </w:r>
      <w:r w:rsidR="00411603">
        <w:t>s</w:t>
      </w:r>
      <w:r>
        <w:t xml:space="preserve"> </w:t>
      </w:r>
      <w:r w:rsidR="00411603">
        <w:t>in</w:t>
      </w:r>
      <w:r w:rsidRPr="00041B02">
        <w:t xml:space="preserve"> the HR Act applied to public entities performing functions under that legislation, for example police. </w:t>
      </w:r>
    </w:p>
    <w:p w14:paraId="36DFA6A1" w14:textId="34EB8749" w:rsidR="00CA3B8F" w:rsidRPr="00041B02" w:rsidRDefault="00CA3B8F" w:rsidP="00CA3B8F">
      <w:pPr>
        <w:pStyle w:val="Numberedparagraph"/>
      </w:pPr>
      <w:r>
        <w:t>In contrast</w:t>
      </w:r>
      <w:r w:rsidRPr="00041B02">
        <w:t>, as noted in the s 44 statement accompanying the Bill, ‘a body performing functions or exercising powers</w:t>
      </w:r>
      <w:r w:rsidR="003C38D9">
        <w:t>’</w:t>
      </w:r>
      <w:r w:rsidRPr="00041B02">
        <w:t xml:space="preserve"> is not a public entity </w:t>
      </w:r>
      <w:r w:rsidR="00AB6F14">
        <w:t>‘</w:t>
      </w:r>
      <w:r w:rsidRPr="00041B02">
        <w:t>within the meaning of the HR Act in respect of its performance of those functions or exercise of those powers</w:t>
      </w:r>
      <w:r w:rsidR="00AB6F14">
        <w:t>’</w:t>
      </w:r>
      <w:r w:rsidRPr="00041B02">
        <w:t xml:space="preserve">. </w:t>
      </w:r>
      <w:r w:rsidR="003F5348" w:rsidRPr="003F5348">
        <w:t>Removing human rights safeguards with regard to the treatment of children within the justice system in Queensland is an extraordinary and retrograde step for the Government and Parliament to take</w:t>
      </w:r>
      <w:r w:rsidR="34F37960">
        <w:t>.</w:t>
      </w:r>
    </w:p>
    <w:p w14:paraId="64A4AB4D" w14:textId="0F005B3D" w:rsidR="00A65884" w:rsidRDefault="00CA3B8F" w:rsidP="00A65884">
      <w:pPr>
        <w:pStyle w:val="Heading2"/>
      </w:pPr>
      <w:bookmarkStart w:id="20" w:name="_Toc128123991"/>
      <w:r>
        <w:t>Nature of r</w:t>
      </w:r>
      <w:r w:rsidR="00A65884">
        <w:t xml:space="preserve">ights </w:t>
      </w:r>
      <w:r>
        <w:t>overridden</w:t>
      </w:r>
      <w:bookmarkEnd w:id="20"/>
    </w:p>
    <w:p w14:paraId="524C84B7" w14:textId="3AADB2D5" w:rsidR="00287673" w:rsidRPr="00041B02" w:rsidRDefault="00402A16">
      <w:pPr>
        <w:pStyle w:val="Numberedparagraph"/>
      </w:pPr>
      <w:r w:rsidRPr="00041B02">
        <w:t>Article 4</w:t>
      </w:r>
      <w:r w:rsidR="00721164" w:rsidRPr="00041B02">
        <w:t xml:space="preserve"> of the ICCPR</w:t>
      </w:r>
      <w:r w:rsidR="005E7291" w:rsidRPr="00041B02">
        <w:t xml:space="preserve"> and accompanying guidance material</w:t>
      </w:r>
      <w:r w:rsidRPr="00041B02">
        <w:t xml:space="preserve"> </w:t>
      </w:r>
      <w:r w:rsidR="00B80444" w:rsidRPr="00041B02">
        <w:t xml:space="preserve">explicitly prescribes that no derogation from certain rights may be made including </w:t>
      </w:r>
      <w:r w:rsidR="005E7291" w:rsidRPr="00041B02">
        <w:t xml:space="preserve">to </w:t>
      </w:r>
      <w:r w:rsidR="00B80444" w:rsidRPr="00041B02">
        <w:t xml:space="preserve">the prohibition of torture or cruel, inhuman or degrading </w:t>
      </w:r>
      <w:r w:rsidR="00C53F24" w:rsidRPr="00041B02">
        <w:t>treatment</w:t>
      </w:r>
      <w:r w:rsidR="00A122E9" w:rsidRPr="00041B02">
        <w:t xml:space="preserve"> (protected in s 17 of the HR Act)</w:t>
      </w:r>
      <w:r w:rsidR="0040753A" w:rsidRPr="00041B02">
        <w:t>,</w:t>
      </w:r>
      <w:r w:rsidR="00A122E9" w:rsidRPr="00041B02">
        <w:t xml:space="preserve"> the recognition of everyone as a person before the law (protected in s 15 of the HR Act)</w:t>
      </w:r>
      <w:r w:rsidR="005E7291" w:rsidRPr="00041B02">
        <w:t xml:space="preserve">, </w:t>
      </w:r>
      <w:r w:rsidR="48DAC9BE" w:rsidRPr="00041B02">
        <w:t xml:space="preserve">and the </w:t>
      </w:r>
      <w:r w:rsidR="0040753A" w:rsidRPr="00041B02">
        <w:t>imposition of retrospective criminal laws or increased penalties</w:t>
      </w:r>
      <w:r w:rsidR="004836EE" w:rsidRPr="00041B02">
        <w:t xml:space="preserve"> (s 35</w:t>
      </w:r>
      <w:r w:rsidR="004836EE">
        <w:t>)</w:t>
      </w:r>
      <w:r w:rsidR="00366152">
        <w:t>. The</w:t>
      </w:r>
      <w:r w:rsidR="005E7291" w:rsidRPr="00041B02">
        <w:t xml:space="preserve"> </w:t>
      </w:r>
      <w:r w:rsidR="004D0F7D" w:rsidRPr="00041B02">
        <w:t>rights protected</w:t>
      </w:r>
      <w:r w:rsidR="00287673" w:rsidRPr="00041B02">
        <w:t xml:space="preserve"> in the </w:t>
      </w:r>
      <w:r w:rsidR="00CF1BB8" w:rsidRPr="00041B02">
        <w:t>United Nations</w:t>
      </w:r>
      <w:r w:rsidR="004D0F7D" w:rsidRPr="00041B02">
        <w:t xml:space="preserve"> </w:t>
      </w:r>
      <w:r w:rsidR="00287673" w:rsidRPr="00041B02">
        <w:t xml:space="preserve">Convention on the </w:t>
      </w:r>
      <w:r w:rsidR="004D0F7D" w:rsidRPr="00041B02">
        <w:t>Rights of the Child</w:t>
      </w:r>
      <w:r w:rsidR="00366152">
        <w:t xml:space="preserve"> are also intended to apply during emergencies</w:t>
      </w:r>
      <w:r w:rsidR="00287673" w:rsidRPr="00041B02">
        <w:t>.</w:t>
      </w:r>
      <w:r w:rsidR="00287673" w:rsidRPr="00041B02">
        <w:rPr>
          <w:rStyle w:val="FootnoteReference"/>
        </w:rPr>
        <w:footnoteReference w:id="29"/>
      </w:r>
    </w:p>
    <w:p w14:paraId="38239158" w14:textId="63066C35" w:rsidR="001A7DB2" w:rsidRPr="00041B02" w:rsidRDefault="001A7DB2" w:rsidP="005A7DDD">
      <w:pPr>
        <w:pStyle w:val="Numberedparagraph"/>
      </w:pPr>
      <w:r w:rsidRPr="00041B02">
        <w:t>These rights are arguably all limited by the</w:t>
      </w:r>
      <w:r w:rsidR="009B0D16">
        <w:t xml:space="preserve"> relevant provisions of the</w:t>
      </w:r>
      <w:r w:rsidRPr="00041B02">
        <w:t xml:space="preserve"> Bill. </w:t>
      </w:r>
    </w:p>
    <w:p w14:paraId="7657A9CA" w14:textId="26770319" w:rsidR="00E90163" w:rsidRDefault="00E90163" w:rsidP="005A7DDD">
      <w:pPr>
        <w:pStyle w:val="Numberedparagraph"/>
      </w:pPr>
      <w:r>
        <w:t xml:space="preserve">In Victoria, </w:t>
      </w:r>
      <w:r w:rsidR="0060685A">
        <w:t xml:space="preserve">override declarations have been used </w:t>
      </w:r>
      <w:r w:rsidR="007A117C">
        <w:t>three times by parliament</w:t>
      </w:r>
      <w:r w:rsidR="00CD536D">
        <w:t>, none involving limitations on the rights of children</w:t>
      </w:r>
      <w:r w:rsidR="007A117C">
        <w:t>.</w:t>
      </w:r>
      <w:r w:rsidR="009F080E">
        <w:rPr>
          <w:rStyle w:val="FootnoteReference"/>
        </w:rPr>
        <w:footnoteReference w:id="30"/>
      </w:r>
    </w:p>
    <w:p w14:paraId="41C3F679" w14:textId="6EC83771" w:rsidR="00A65884" w:rsidRDefault="00CA3B8F" w:rsidP="00CA3B8F">
      <w:pPr>
        <w:pStyle w:val="Heading2"/>
      </w:pPr>
      <w:bookmarkStart w:id="21" w:name="_Toc128123992"/>
      <w:r>
        <w:t>Justification for override</w:t>
      </w:r>
      <w:bookmarkEnd w:id="21"/>
    </w:p>
    <w:p w14:paraId="3718959C" w14:textId="4C39E5FA" w:rsidR="001B528B" w:rsidRPr="00041B02" w:rsidRDefault="00BD173F" w:rsidP="00332B65">
      <w:pPr>
        <w:pStyle w:val="Numberedparagraph"/>
        <w:rPr>
          <w:lang w:val="en-US"/>
        </w:rPr>
      </w:pPr>
      <w:r w:rsidRPr="00041B02">
        <w:t xml:space="preserve">Under s 44, a member who introduces a Bill containing an override declaration, must make a statement explaining the exceptional circumstances that justify making the declaration. </w:t>
      </w:r>
      <w:r w:rsidR="001B528B" w:rsidRPr="00041B02">
        <w:rPr>
          <w:lang w:val="en-US"/>
        </w:rPr>
        <w:t xml:space="preserve">The statement accompanying the Bill suggests the justification for the override declaration is </w:t>
      </w:r>
      <w:r w:rsidR="002C360C">
        <w:rPr>
          <w:lang w:val="en-US"/>
        </w:rPr>
        <w:t>as follows:</w:t>
      </w:r>
      <w:r w:rsidR="001B528B">
        <w:rPr>
          <w:lang w:val="en-US"/>
        </w:rPr>
        <w:t xml:space="preserve"> </w:t>
      </w:r>
    </w:p>
    <w:p w14:paraId="7B89A301" w14:textId="3E3E0A1C" w:rsidR="000A6C5A" w:rsidRPr="00041B02" w:rsidRDefault="00760967" w:rsidP="009E4ABD">
      <w:pPr>
        <w:pStyle w:val="Quote"/>
        <w:rPr>
          <w:lang w:val="en-US"/>
        </w:rPr>
      </w:pPr>
      <w:r w:rsidRPr="00041B02">
        <w:rPr>
          <w:lang w:val="en-US"/>
        </w:rPr>
        <w:t xml:space="preserve">There is an acute problem presented by a small cohort of serious repeat offenders who engage in persistent and high-risk offending; the latest </w:t>
      </w:r>
      <w:proofErr w:type="spellStart"/>
      <w:r w:rsidRPr="00041B02">
        <w:rPr>
          <w:lang w:val="en-US"/>
        </w:rPr>
        <w:t>Childrens</w:t>
      </w:r>
      <w:proofErr w:type="spellEnd"/>
      <w:r w:rsidRPr="00041B02">
        <w:rPr>
          <w:lang w:val="en-US"/>
        </w:rPr>
        <w:t xml:space="preserve"> Court Annual Report indicates 17 percent of all youth offenders account for 48 per cent of all youth crime. There is some evidence of growth </w:t>
      </w:r>
      <w:r w:rsidRPr="00041B02">
        <w:rPr>
          <w:lang w:val="en-US"/>
        </w:rPr>
        <w:lastRenderedPageBreak/>
        <w:t>in the number of this cohort and the intensity of their offending, up approximately seven percentage points from the previous 12-month period. The measures in this Bill are designed to address this serious problem. In the Government’s view, this presents an exceptional crisis situation constituting a threat to public safety</w:t>
      </w:r>
      <w:r w:rsidR="009E4ABD" w:rsidRPr="00041B02">
        <w:rPr>
          <w:lang w:val="en-US"/>
        </w:rPr>
        <w:t>.</w:t>
      </w:r>
    </w:p>
    <w:p w14:paraId="0B6B5B2F" w14:textId="4517E095" w:rsidR="00332B65" w:rsidRPr="00041B02" w:rsidRDefault="002F2EB3" w:rsidP="00332B65">
      <w:pPr>
        <w:pStyle w:val="Numberedparagraph"/>
        <w:rPr>
          <w:lang w:val="en-US"/>
        </w:rPr>
      </w:pPr>
      <w:r w:rsidRPr="002F2EB3">
        <w:rPr>
          <w:lang w:val="en-US"/>
        </w:rPr>
        <w:t>The Commission acknowledges the profound trauma that victims of crime experience, and the growing community expectations that more should be done to address youth crime</w:t>
      </w:r>
      <w:r>
        <w:rPr>
          <w:lang w:val="en-US"/>
        </w:rPr>
        <w:t xml:space="preserve"> </w:t>
      </w:r>
      <w:r w:rsidRPr="002F2EB3">
        <w:rPr>
          <w:lang w:val="en-US"/>
        </w:rPr>
        <w:t>However, the information provided to justify the existence of 'exceptional circumstances' that show there is a current crisis is insufficient.</w:t>
      </w:r>
      <w:r w:rsidR="00060F99">
        <w:rPr>
          <w:lang w:val="en-US"/>
        </w:rPr>
        <w:t xml:space="preserve"> </w:t>
      </w:r>
      <w:r>
        <w:rPr>
          <w:lang w:val="en-US"/>
        </w:rPr>
        <w:t>The</w:t>
      </w:r>
      <w:r w:rsidR="00332B65" w:rsidRPr="00041B02">
        <w:rPr>
          <w:lang w:val="en-US"/>
        </w:rPr>
        <w:t xml:space="preserve"> </w:t>
      </w:r>
      <w:r w:rsidR="00060F99" w:rsidRPr="00041B02">
        <w:rPr>
          <w:lang w:val="en-US"/>
        </w:rPr>
        <w:t xml:space="preserve">increase in offences involving </w:t>
      </w:r>
      <w:r w:rsidR="00502AFF" w:rsidRPr="00041B02">
        <w:rPr>
          <w:lang w:val="en-US"/>
        </w:rPr>
        <w:t xml:space="preserve">serious repeat </w:t>
      </w:r>
      <w:r w:rsidR="004A407E" w:rsidRPr="00041B02">
        <w:rPr>
          <w:lang w:val="en-US"/>
        </w:rPr>
        <w:t>offenders is not necessarily supported by the data</w:t>
      </w:r>
      <w:r w:rsidR="00502AFF" w:rsidRPr="00041B02">
        <w:rPr>
          <w:lang w:val="en-US"/>
        </w:rPr>
        <w:t>. The</w:t>
      </w:r>
      <w:r w:rsidR="00332B65" w:rsidRPr="00041B02">
        <w:rPr>
          <w:lang w:val="en-US"/>
        </w:rPr>
        <w:t xml:space="preserve"> Children’s Court Annual Report</w:t>
      </w:r>
      <w:r w:rsidR="004F1AF7">
        <w:rPr>
          <w:lang w:val="en-US"/>
        </w:rPr>
        <w:t xml:space="preserve"> </w:t>
      </w:r>
      <w:r w:rsidR="00E11449">
        <w:rPr>
          <w:lang w:val="en-US"/>
        </w:rPr>
        <w:t>describes</w:t>
      </w:r>
      <w:r w:rsidR="004F1AF7">
        <w:rPr>
          <w:lang w:val="en-US"/>
        </w:rPr>
        <w:t xml:space="preserve"> the </w:t>
      </w:r>
      <w:r w:rsidR="00E11449">
        <w:rPr>
          <w:lang w:val="en-US"/>
        </w:rPr>
        <w:t>latest</w:t>
      </w:r>
      <w:r w:rsidR="004F1AF7">
        <w:rPr>
          <w:lang w:val="en-US"/>
        </w:rPr>
        <w:t xml:space="preserve"> data </w:t>
      </w:r>
      <w:r w:rsidR="00E11449">
        <w:rPr>
          <w:lang w:val="en-US"/>
        </w:rPr>
        <w:t>regarding serious</w:t>
      </w:r>
      <w:r w:rsidR="004F1AF7">
        <w:rPr>
          <w:lang w:val="en-US"/>
        </w:rPr>
        <w:t xml:space="preserve"> repeat offenders as follows</w:t>
      </w:r>
      <w:r w:rsidR="00332B65" w:rsidRPr="00041B02">
        <w:rPr>
          <w:lang w:val="en-US"/>
        </w:rPr>
        <w:t>:</w:t>
      </w:r>
    </w:p>
    <w:p w14:paraId="3095CA54" w14:textId="78C5D82F" w:rsidR="00332B65" w:rsidRPr="00041B02" w:rsidRDefault="00332B65" w:rsidP="00F40506">
      <w:pPr>
        <w:pStyle w:val="Quote"/>
        <w:rPr>
          <w:lang w:val="en-US"/>
        </w:rPr>
      </w:pPr>
      <w:r w:rsidRPr="00041B02">
        <w:rPr>
          <w:lang w:val="en-US"/>
        </w:rPr>
        <w:t xml:space="preserve">As already stated, there was a decrease in </w:t>
      </w:r>
      <w:proofErr w:type="spellStart"/>
      <w:r w:rsidRPr="00041B02">
        <w:rPr>
          <w:lang w:val="en-US"/>
        </w:rPr>
        <w:t>finalised</w:t>
      </w:r>
      <w:proofErr w:type="spellEnd"/>
      <w:r w:rsidRPr="00041B02">
        <w:rPr>
          <w:lang w:val="en-US"/>
        </w:rPr>
        <w:t xml:space="preserve"> appearances before the Court and a decrease in the numbers of distinct young people who are convicted of charges</w:t>
      </w:r>
      <w:r w:rsidR="0092491B" w:rsidRPr="00041B02">
        <w:rPr>
          <w:lang w:val="en-US"/>
        </w:rPr>
        <w:t>…</w:t>
      </w:r>
      <w:r w:rsidRPr="00041B02">
        <w:rPr>
          <w:lang w:val="en-US"/>
        </w:rPr>
        <w:t xml:space="preserve">Young people </w:t>
      </w:r>
      <w:proofErr w:type="spellStart"/>
      <w:r w:rsidRPr="00041B02">
        <w:rPr>
          <w:lang w:val="en-US"/>
        </w:rPr>
        <w:t>categorised</w:t>
      </w:r>
      <w:proofErr w:type="spellEnd"/>
      <w:r w:rsidRPr="00041B02">
        <w:rPr>
          <w:lang w:val="en-US"/>
        </w:rPr>
        <w:t xml:space="preserve"> as serious repeat offenders under the Serious Repeat Offender Index accounted for 17 percent of young people convicted and 48 percent of the charges. This represents a larger percentage of young people than in previous years, however, this is the first time those young people have been measured against the Serious Repeat Offender Index so that may account for the difference</w:t>
      </w:r>
      <w:r w:rsidR="0092491B" w:rsidRPr="00041B02">
        <w:rPr>
          <w:lang w:val="en-US"/>
        </w:rPr>
        <w:t>.</w:t>
      </w:r>
      <w:r w:rsidR="0092491B" w:rsidRPr="00041B02">
        <w:rPr>
          <w:rStyle w:val="FootnoteReference"/>
          <w:lang w:val="en-US"/>
        </w:rPr>
        <w:footnoteReference w:id="31"/>
      </w:r>
    </w:p>
    <w:p w14:paraId="7B0DD880" w14:textId="1A459249" w:rsidR="00E629F1" w:rsidRPr="00E629F1" w:rsidRDefault="00E629F1" w:rsidP="006B68BC">
      <w:pPr>
        <w:pStyle w:val="Numberedparagraph"/>
        <w:widowControl w:val="0"/>
        <w:rPr>
          <w:szCs w:val="22"/>
        </w:rPr>
      </w:pPr>
      <w:r>
        <w:t>T</w:t>
      </w:r>
      <w:r w:rsidRPr="00E629F1">
        <w:t>he Commission considers that it is too soon to obtain statistically relevant results from a new Serious Repeat Offender Index data set and, as acknowledged by the annual report itself, the 7</w:t>
      </w:r>
      <w:r w:rsidR="000D6C62">
        <w:t xml:space="preserve"> per cent</w:t>
      </w:r>
      <w:r w:rsidRPr="00E629F1">
        <w:t xml:space="preserve"> 'increase' may be for a variety of reasons. The Serious Repeat Offender Index cannot even be compared across two financial years, as it was not included in the 2020-21 </w:t>
      </w:r>
      <w:proofErr w:type="spellStart"/>
      <w:r w:rsidR="00DE7F0D" w:rsidRPr="00E629F1">
        <w:t>Childrens</w:t>
      </w:r>
      <w:proofErr w:type="spellEnd"/>
      <w:r w:rsidRPr="00E629F1">
        <w:t xml:space="preserve"> Court annual report</w:t>
      </w:r>
      <w:r>
        <w:t xml:space="preserve">. </w:t>
      </w:r>
    </w:p>
    <w:p w14:paraId="7ECB9D53" w14:textId="62769A64" w:rsidR="00D442C7" w:rsidRPr="00041B02" w:rsidRDefault="00D442C7" w:rsidP="006B68BC">
      <w:pPr>
        <w:pStyle w:val="Numberedparagraph"/>
        <w:widowControl w:val="0"/>
        <w:rPr>
          <w:szCs w:val="22"/>
        </w:rPr>
      </w:pPr>
      <w:r w:rsidRPr="00041B02">
        <w:t xml:space="preserve">The Commission suggests that </w:t>
      </w:r>
      <w:r w:rsidR="00C03A69" w:rsidRPr="00041B02">
        <w:t xml:space="preserve">the use of an override in these circumstances is particularly problematic when the Government acknowledges in the Statement of </w:t>
      </w:r>
      <w:r w:rsidR="0013560E" w:rsidRPr="00041B02">
        <w:t>Compatibility</w:t>
      </w:r>
      <w:r w:rsidR="00C03A69" w:rsidRPr="00041B02">
        <w:t xml:space="preserve"> that there are less restrictive options to achieving the purpose of the Bill. In circumstances when the situation does not meet the threshold of a threat to national security or a state of emergency, </w:t>
      </w:r>
      <w:r w:rsidR="00C845D7" w:rsidRPr="00041B02">
        <w:t>and given the nature of the rights limited,</w:t>
      </w:r>
      <w:r w:rsidR="00C03A69" w:rsidRPr="00041B02">
        <w:t xml:space="preserve"> the Commission submits </w:t>
      </w:r>
      <w:r w:rsidR="0013560E" w:rsidRPr="00041B02">
        <w:t>an override is not the appropriate response. Instead, the government should seek to take th</w:t>
      </w:r>
      <w:r w:rsidR="00C845D7" w:rsidRPr="00041B02">
        <w:t>e</w:t>
      </w:r>
      <w:r w:rsidR="0013560E" w:rsidRPr="00041B02">
        <w:t xml:space="preserve"> less restrictive measures</w:t>
      </w:r>
      <w:r w:rsidR="00C845D7" w:rsidRPr="00041B02">
        <w:t xml:space="preserve"> open to it</w:t>
      </w:r>
      <w:r w:rsidR="00AC3DA6" w:rsidRPr="00041B02">
        <w:t xml:space="preserve"> and properly justify any limitation on rights</w:t>
      </w:r>
      <w:r w:rsidR="0013560E" w:rsidRPr="00041B02">
        <w:t xml:space="preserve">. </w:t>
      </w:r>
    </w:p>
    <w:p w14:paraId="2D7DAA34" w14:textId="62EF4198" w:rsidR="003E5098" w:rsidRPr="003E5098" w:rsidRDefault="003E5098" w:rsidP="006B68BC">
      <w:pPr>
        <w:pStyle w:val="Numberedparagraph"/>
        <w:widowControl w:val="0"/>
        <w:rPr>
          <w:szCs w:val="22"/>
        </w:rPr>
      </w:pPr>
      <w:r>
        <w:t>The</w:t>
      </w:r>
      <w:r w:rsidR="00641B0A">
        <w:t xml:space="preserve"> 2011 </w:t>
      </w:r>
      <w:r>
        <w:t>review</w:t>
      </w:r>
      <w:r w:rsidR="00641B0A">
        <w:t xml:space="preserve"> of the </w:t>
      </w:r>
      <w:r w:rsidR="00F13E99" w:rsidRPr="0084370F">
        <w:rPr>
          <w:i/>
        </w:rPr>
        <w:t>Charter of Human Rights and Responsibility Act 2006</w:t>
      </w:r>
      <w:r w:rsidR="00F13E99">
        <w:t xml:space="preserve"> (Vic) (</w:t>
      </w:r>
      <w:r w:rsidR="001313A7" w:rsidRPr="001313A7">
        <w:rPr>
          <w:b/>
          <w:bCs/>
        </w:rPr>
        <w:t>the</w:t>
      </w:r>
      <w:r w:rsidR="001313A7">
        <w:t xml:space="preserve"> </w:t>
      </w:r>
      <w:r w:rsidR="00641B0A" w:rsidRPr="00F13E99">
        <w:rPr>
          <w:b/>
          <w:bCs/>
        </w:rPr>
        <w:t>Charter</w:t>
      </w:r>
      <w:r w:rsidR="00F13E99">
        <w:t>)</w:t>
      </w:r>
      <w:r w:rsidR="00641B0A">
        <w:t xml:space="preserve"> recommended the override mechanism be repealed</w:t>
      </w:r>
      <w:r>
        <w:t xml:space="preserve"> because of situations like </w:t>
      </w:r>
      <w:r w:rsidR="00424AA3">
        <w:t xml:space="preserve">the </w:t>
      </w:r>
      <w:r>
        <w:t xml:space="preserve">proposed use in this </w:t>
      </w:r>
      <w:r w:rsidR="00424AA3">
        <w:t>Bill</w:t>
      </w:r>
      <w:r>
        <w:t>:</w:t>
      </w:r>
    </w:p>
    <w:p w14:paraId="1F4926E3" w14:textId="417DCCE0" w:rsidR="006905A3" w:rsidRDefault="006905A3" w:rsidP="004E234B">
      <w:pPr>
        <w:pStyle w:val="Numberedparagraph"/>
        <w:numPr>
          <w:ilvl w:val="1"/>
          <w:numId w:val="13"/>
        </w:numPr>
      </w:pPr>
      <w:r>
        <w:t xml:space="preserve">It </w:t>
      </w:r>
      <w:r w:rsidRPr="00CD253A">
        <w:t xml:space="preserve">is not necessary in a statutory model of human rights protection. The Charter does not permit the courts to strike down legislation for Charter </w:t>
      </w:r>
      <w:r w:rsidRPr="00CD253A">
        <w:lastRenderedPageBreak/>
        <w:t>incompatibility, and Parliament remains sovereign without use of the override declaration.</w:t>
      </w:r>
    </w:p>
    <w:p w14:paraId="480F9AF5" w14:textId="5A660F31" w:rsidR="006905A3" w:rsidRDefault="006905A3" w:rsidP="004E234B">
      <w:pPr>
        <w:pStyle w:val="Numberedparagraph"/>
        <w:numPr>
          <w:ilvl w:val="1"/>
          <w:numId w:val="13"/>
        </w:numPr>
      </w:pPr>
      <w:r w:rsidRPr="00CD253A">
        <w:t>Use of the override provision suppresses</w:t>
      </w:r>
      <w:r>
        <w:t xml:space="preserve"> the</w:t>
      </w:r>
      <w:r w:rsidRPr="00CD253A">
        <w:t xml:space="preserve"> judiciary’s contribution to the dialogue model by preventing courts from commenting on the scope of protected rights, the justifiability of any limitation on rights, </w:t>
      </w:r>
      <w:r>
        <w:t xml:space="preserve">the </w:t>
      </w:r>
      <w:r w:rsidRPr="00CD253A">
        <w:t>interpretation of the law compatibly with the rights in the Charter and the need for a declaration on inconsistent interpretation.</w:t>
      </w:r>
    </w:p>
    <w:p w14:paraId="2BD95FFA" w14:textId="7C4FB736" w:rsidR="006905A3" w:rsidRPr="006905A3" w:rsidRDefault="006905A3" w:rsidP="004E234B">
      <w:pPr>
        <w:pStyle w:val="Numberedparagraph"/>
        <w:numPr>
          <w:ilvl w:val="1"/>
          <w:numId w:val="13"/>
        </w:numPr>
      </w:pPr>
      <w:r w:rsidRPr="00CD253A">
        <w:t>An override declaration can be made without meeting the exceptional circumstances threshold and without the five-year time limit, undermining the safeguards</w:t>
      </w:r>
      <w:r w:rsidR="0014689B">
        <w:t>.</w:t>
      </w:r>
      <w:r w:rsidR="0014689B">
        <w:rPr>
          <w:rStyle w:val="FootnoteReference"/>
        </w:rPr>
        <w:footnoteReference w:id="32"/>
      </w:r>
    </w:p>
    <w:p w14:paraId="278818BF" w14:textId="019DFD18" w:rsidR="00810A57" w:rsidRDefault="00BF1C33">
      <w:pPr>
        <w:pStyle w:val="Numberedparagraph"/>
        <w:rPr>
          <w:szCs w:val="22"/>
        </w:rPr>
      </w:pPr>
      <w:r>
        <w:t>The</w:t>
      </w:r>
      <w:r w:rsidR="00641B0A">
        <w:t xml:space="preserve"> 2015</w:t>
      </w:r>
      <w:r w:rsidR="00810A57">
        <w:t xml:space="preserve"> review of the Victorian Charter</w:t>
      </w:r>
      <w:r>
        <w:t xml:space="preserve"> </w:t>
      </w:r>
      <w:r w:rsidR="002D4255">
        <w:t xml:space="preserve">also </w:t>
      </w:r>
      <w:r w:rsidR="00810A57">
        <w:t>recommended the override provision be repealed</w:t>
      </w:r>
      <w:r w:rsidR="002D4255">
        <w:t xml:space="preserve"> </w:t>
      </w:r>
      <w:r w:rsidR="00264018">
        <w:t xml:space="preserve">because </w:t>
      </w:r>
      <w:r w:rsidR="00D304A0">
        <w:t>‘it does not serve the policy purpose of acting as a brake on limitations of human rights; it is not necessary to preserve parliamentary sovereignty; and it fails to make clear to the public that Parliament can enact human rights incompatible legislation without an override declaration’</w:t>
      </w:r>
      <w:r w:rsidR="00901CA1">
        <w:t>.</w:t>
      </w:r>
      <w:r w:rsidR="000816ED">
        <w:rPr>
          <w:rStyle w:val="FootnoteReference"/>
        </w:rPr>
        <w:footnoteReference w:id="33"/>
      </w:r>
      <w:r w:rsidR="00901CA1">
        <w:t xml:space="preserve"> </w:t>
      </w:r>
      <w:r w:rsidR="00FE4D88">
        <w:t>The Review</w:t>
      </w:r>
      <w:r w:rsidR="00901CA1">
        <w:t xml:space="preserve"> suggested it would be far more preferable</w:t>
      </w:r>
      <w:r w:rsidR="005C7F0C">
        <w:t>:</w:t>
      </w:r>
    </w:p>
    <w:p w14:paraId="07347A3C" w14:textId="1FA47CD8" w:rsidR="00244776" w:rsidRPr="00244776" w:rsidRDefault="00244776" w:rsidP="00FC617D">
      <w:pPr>
        <w:pStyle w:val="Quote"/>
      </w:pPr>
      <w:r w:rsidRPr="00244776">
        <w:t>…</w:t>
      </w:r>
      <w:r>
        <w:t xml:space="preserve">to </w:t>
      </w:r>
      <w:r w:rsidRPr="00244776">
        <w:t>rely on statements of compatibility (noting any incompatibility), which provide a consistent, transparent and accountable process for the Government to identify</w:t>
      </w:r>
      <w:r>
        <w:t xml:space="preserve"> </w:t>
      </w:r>
      <w:r w:rsidRPr="00244776">
        <w:t>how legislation may limit Charter rights or be incompatible with Charter rights</w:t>
      </w:r>
      <w:r w:rsidR="00FC617D">
        <w:t>.</w:t>
      </w:r>
      <w:r w:rsidR="00FC617D">
        <w:rPr>
          <w:rStyle w:val="FootnoteReference"/>
        </w:rPr>
        <w:footnoteReference w:id="34"/>
      </w:r>
      <w:r w:rsidR="004A5C5B">
        <w:t xml:space="preserve"> </w:t>
      </w:r>
    </w:p>
    <w:p w14:paraId="0E67DB99" w14:textId="4A3A00FB" w:rsidR="00244776" w:rsidRDefault="00EB591D" w:rsidP="00244776">
      <w:pPr>
        <w:pStyle w:val="Numberedparagraph"/>
        <w:rPr>
          <w:szCs w:val="22"/>
        </w:rPr>
      </w:pPr>
      <w:r>
        <w:t>S</w:t>
      </w:r>
      <w:r w:rsidR="004A5C5B" w:rsidRPr="03F768DD">
        <w:t>uch statements are</w:t>
      </w:r>
      <w:r w:rsidR="00244776" w:rsidRPr="03F768DD">
        <w:t xml:space="preserve"> ‘just as transparent and public as the override process’</w:t>
      </w:r>
      <w:r w:rsidR="004A5C5B" w:rsidRPr="004A5C5B">
        <w:rPr>
          <w:szCs w:val="22"/>
        </w:rPr>
        <w:t xml:space="preserve"> </w:t>
      </w:r>
      <w:r w:rsidR="00244776" w:rsidRPr="03F768DD">
        <w:t>but ‘preferable, because it keeps the courts involved in the human rights dialogue’</w:t>
      </w:r>
      <w:r w:rsidR="004A5C5B">
        <w:rPr>
          <w:szCs w:val="22"/>
        </w:rPr>
        <w:t xml:space="preserve"> </w:t>
      </w:r>
      <w:r w:rsidR="00244776" w:rsidRPr="03F768DD">
        <w:t>without compromising parliamentary sovereignty</w:t>
      </w:r>
      <w:r w:rsidR="004A5C5B">
        <w:rPr>
          <w:szCs w:val="22"/>
        </w:rPr>
        <w:t>.</w:t>
      </w:r>
      <w:r w:rsidR="004A5C5B" w:rsidRPr="03F768DD">
        <w:rPr>
          <w:rStyle w:val="FootnoteReference"/>
        </w:rPr>
        <w:footnoteReference w:id="35"/>
      </w:r>
    </w:p>
    <w:p w14:paraId="6AFE543C" w14:textId="2B391AC2" w:rsidR="00D429F6" w:rsidRDefault="00FA5C8D" w:rsidP="00D429F6">
      <w:pPr>
        <w:pStyle w:val="Heading1"/>
      </w:pPr>
      <w:bookmarkStart w:id="22" w:name="_Toc128123993"/>
      <w:r>
        <w:t>Specific amendments of concern</w:t>
      </w:r>
      <w:bookmarkEnd w:id="22"/>
    </w:p>
    <w:p w14:paraId="238099E3" w14:textId="64519F53" w:rsidR="00FA5C8D" w:rsidRPr="00041B02" w:rsidRDefault="005703B5" w:rsidP="00650279">
      <w:pPr>
        <w:pStyle w:val="Numberedparagraph"/>
      </w:pPr>
      <w:r>
        <w:t xml:space="preserve">In addition to the proposed use of the override declaration, </w:t>
      </w:r>
      <w:r w:rsidR="00FA5C8D">
        <w:t>the Commission is concerned with several</w:t>
      </w:r>
      <w:r>
        <w:t xml:space="preserve"> specific amendments in t</w:t>
      </w:r>
      <w:r w:rsidR="00FA5C8D">
        <w:t>he Bill</w:t>
      </w:r>
      <w:r w:rsidR="0019588F">
        <w:t xml:space="preserve">. </w:t>
      </w:r>
    </w:p>
    <w:p w14:paraId="489B4D3A" w14:textId="3573A163" w:rsidR="009E4144" w:rsidRPr="009E4144" w:rsidRDefault="009E4144" w:rsidP="00EE34B0">
      <w:pPr>
        <w:pStyle w:val="Heading2"/>
      </w:pPr>
      <w:bookmarkStart w:id="23" w:name="_Toc128123994"/>
      <w:r>
        <w:t>Bail amendments</w:t>
      </w:r>
      <w:bookmarkEnd w:id="23"/>
    </w:p>
    <w:p w14:paraId="1F0659A6" w14:textId="30D63581" w:rsidR="00285E8E" w:rsidRPr="00041B02" w:rsidRDefault="001A5BCF" w:rsidP="001A5BCF">
      <w:pPr>
        <w:pStyle w:val="Numberedparagraph"/>
      </w:pPr>
      <w:r w:rsidRPr="00041B02">
        <w:t xml:space="preserve">The Commission is concerned about </w:t>
      </w:r>
      <w:r w:rsidR="00285E8E" w:rsidRPr="00041B02">
        <w:t xml:space="preserve">two </w:t>
      </w:r>
      <w:r w:rsidR="00BF11FC">
        <w:t xml:space="preserve">proposed </w:t>
      </w:r>
      <w:r w:rsidR="00285E8E" w:rsidRPr="00041B02">
        <w:t>amendments to Queensland bail laws</w:t>
      </w:r>
      <w:r w:rsidR="00BF11FC">
        <w:t xml:space="preserve"> in the Bill</w:t>
      </w:r>
      <w:r w:rsidR="00285E8E" w:rsidRPr="00041B02">
        <w:t>:</w:t>
      </w:r>
    </w:p>
    <w:p w14:paraId="40437B0A" w14:textId="054B994C" w:rsidR="00285E8E" w:rsidRPr="00041B02" w:rsidRDefault="001A5BCF" w:rsidP="00285E8E">
      <w:pPr>
        <w:pStyle w:val="Numberedparagraph"/>
        <w:numPr>
          <w:ilvl w:val="1"/>
          <w:numId w:val="13"/>
        </w:numPr>
      </w:pPr>
      <w:r w:rsidRPr="00041B02">
        <w:t xml:space="preserve">the </w:t>
      </w:r>
      <w:r w:rsidR="00D921DF" w:rsidRPr="00041B02">
        <w:t>expansion</w:t>
      </w:r>
      <w:r w:rsidRPr="00041B02">
        <w:t xml:space="preserve"> of the </w:t>
      </w:r>
      <w:r w:rsidR="00896B38" w:rsidRPr="00041B02">
        <w:t xml:space="preserve">offences subject to the </w:t>
      </w:r>
      <w:r w:rsidRPr="00041B02">
        <w:t xml:space="preserve">‘show cause’ </w:t>
      </w:r>
      <w:r w:rsidR="00D921DF" w:rsidRPr="00041B02">
        <w:t>requirement for bail</w:t>
      </w:r>
      <w:r w:rsidR="00285E8E" w:rsidRPr="00041B02">
        <w:t>;</w:t>
      </w:r>
      <w:r w:rsidR="00D921DF" w:rsidRPr="00041B02">
        <w:t xml:space="preserve"> and</w:t>
      </w:r>
    </w:p>
    <w:p w14:paraId="6CB18256" w14:textId="60472D48" w:rsidR="001A5BCF" w:rsidRPr="00041B02" w:rsidRDefault="00285E8E" w:rsidP="00285E8E">
      <w:pPr>
        <w:pStyle w:val="Numberedparagraph"/>
        <w:numPr>
          <w:ilvl w:val="1"/>
          <w:numId w:val="13"/>
        </w:numPr>
      </w:pPr>
      <w:r w:rsidRPr="00041B02">
        <w:lastRenderedPageBreak/>
        <w:t xml:space="preserve">extending the </w:t>
      </w:r>
      <w:r w:rsidR="005C30C2" w:rsidRPr="00041B02">
        <w:t xml:space="preserve">offence </w:t>
      </w:r>
      <w:r w:rsidRPr="00041B02">
        <w:t>of</w:t>
      </w:r>
      <w:r w:rsidR="005C30C2" w:rsidRPr="00041B02">
        <w:t xml:space="preserve"> breach</w:t>
      </w:r>
      <w:r w:rsidRPr="00041B02">
        <w:t>ing</w:t>
      </w:r>
      <w:r w:rsidR="005C30C2" w:rsidRPr="00041B02">
        <w:t xml:space="preserve"> conditions of bail</w:t>
      </w:r>
      <w:r w:rsidR="005C30C2" w:rsidRPr="00041B02">
        <w:rPr>
          <w:rStyle w:val="FootnoteReference"/>
        </w:rPr>
        <w:footnoteReference w:id="36"/>
      </w:r>
      <w:r w:rsidR="005C30C2" w:rsidRPr="00041B02">
        <w:t xml:space="preserve"> to children</w:t>
      </w:r>
      <w:r w:rsidR="00306ECE" w:rsidRPr="00041B02">
        <w:t>, which the government has accepted is incompatible with human rights</w:t>
      </w:r>
      <w:r w:rsidR="005C30C2" w:rsidRPr="00041B02">
        <w:t>.</w:t>
      </w:r>
    </w:p>
    <w:p w14:paraId="28A31C70" w14:textId="486FC269" w:rsidR="005F418B" w:rsidRPr="00041B02" w:rsidRDefault="005F418B" w:rsidP="005F418B">
      <w:pPr>
        <w:pStyle w:val="Numberedparagraph"/>
      </w:pPr>
      <w:r w:rsidRPr="00041B02">
        <w:t xml:space="preserve">While high profile incidents have occurred </w:t>
      </w:r>
      <w:r w:rsidR="008B6607">
        <w:t>where</w:t>
      </w:r>
      <w:r w:rsidRPr="00041B02">
        <w:t xml:space="preserve"> young people </w:t>
      </w:r>
      <w:r w:rsidR="008B6607">
        <w:t>have committed</w:t>
      </w:r>
      <w:r w:rsidRPr="00041B02">
        <w:t xml:space="preserve"> further offences while on bail, these </w:t>
      </w:r>
      <w:r w:rsidR="008B6607">
        <w:t>instances</w:t>
      </w:r>
      <w:r w:rsidR="004176D3" w:rsidRPr="00041B02">
        <w:t xml:space="preserve"> are</w:t>
      </w:r>
      <w:r w:rsidRPr="00041B02">
        <w:t xml:space="preserve"> exceptions</w:t>
      </w:r>
      <w:r w:rsidR="004176D3" w:rsidRPr="00041B02">
        <w:t xml:space="preserve"> </w:t>
      </w:r>
      <w:r w:rsidR="0031483E" w:rsidRPr="00041B02">
        <w:t xml:space="preserve">to the rule, </w:t>
      </w:r>
      <w:r w:rsidR="004176D3" w:rsidRPr="00041B02">
        <w:t>and the vast majority of youth offenders do not breach bail conditions or offend while on bail.</w:t>
      </w:r>
    </w:p>
    <w:p w14:paraId="6CFE7E8F" w14:textId="11046FDD" w:rsidR="008D06C4" w:rsidRPr="00041B02" w:rsidRDefault="003F0BC4" w:rsidP="001A5BCF">
      <w:pPr>
        <w:pStyle w:val="Numberedparagraph"/>
      </w:pPr>
      <w:r w:rsidRPr="00041B02">
        <w:t>Courts</w:t>
      </w:r>
      <w:r w:rsidR="00B35155" w:rsidRPr="00041B02">
        <w:t xml:space="preserve"> should b</w:t>
      </w:r>
      <w:r w:rsidRPr="00041B02">
        <w:t xml:space="preserve">e able to respond flexibly to the broad range of cases that come before the justice system. </w:t>
      </w:r>
      <w:r w:rsidR="00E449B7" w:rsidRPr="00041B02">
        <w:t>At their core, b</w:t>
      </w:r>
      <w:r w:rsidR="00C5769F" w:rsidRPr="00041B02">
        <w:t>ail laws are a risk management strategy</w:t>
      </w:r>
      <w:r w:rsidR="00E449B7" w:rsidRPr="00041B02">
        <w:t xml:space="preserve"> to ensure that offenders return to court and do not</w:t>
      </w:r>
      <w:r w:rsidR="007F3705" w:rsidRPr="00041B02">
        <w:t xml:space="preserve"> reoffend before being brought to justice. Bail </w:t>
      </w:r>
      <w:r w:rsidR="003334C2" w:rsidRPr="00041B02">
        <w:t xml:space="preserve">laws should not be a proxy for guilt and punishment, as </w:t>
      </w:r>
      <w:r w:rsidR="008951FA">
        <w:t>such an approach</w:t>
      </w:r>
      <w:r w:rsidR="003334C2" w:rsidRPr="00041B02">
        <w:t xml:space="preserve"> undermines </w:t>
      </w:r>
      <w:r w:rsidR="00C8309A">
        <w:t xml:space="preserve">the </w:t>
      </w:r>
      <w:r w:rsidR="008D06C4" w:rsidRPr="00041B02">
        <w:t xml:space="preserve">fundamental </w:t>
      </w:r>
      <w:r w:rsidR="00C8309A">
        <w:t xml:space="preserve">right to the </w:t>
      </w:r>
      <w:r w:rsidR="008D06C4" w:rsidRPr="00041B02">
        <w:t>presumption of innocence</w:t>
      </w:r>
      <w:r w:rsidR="003334C2" w:rsidRPr="00041B02">
        <w:t>.</w:t>
      </w:r>
    </w:p>
    <w:p w14:paraId="01A4C195" w14:textId="3E227B41" w:rsidR="005F418B" w:rsidRPr="00041B02" w:rsidRDefault="00CA7A12" w:rsidP="00CA7A12">
      <w:pPr>
        <w:pStyle w:val="Numberedparagraph"/>
      </w:pPr>
      <w:r w:rsidRPr="00041B02">
        <w:t>As well as the ethical and human rights concerns, there are concerning economic</w:t>
      </w:r>
      <w:r w:rsidR="00740542" w:rsidRPr="00041B02">
        <w:t xml:space="preserve">, </w:t>
      </w:r>
      <w:r w:rsidRPr="00041B02">
        <w:t>resource</w:t>
      </w:r>
      <w:r w:rsidR="00740542" w:rsidRPr="00041B02">
        <w:t xml:space="preserve">-implications of placing more and more children on remand in custody. </w:t>
      </w:r>
      <w:r w:rsidR="00841A96">
        <w:t>The Justice Reform Initiative has noted</w:t>
      </w:r>
      <w:r w:rsidR="00D12E05">
        <w:t xml:space="preserve"> that Queensland’s</w:t>
      </w:r>
      <w:r w:rsidR="00E969A7">
        <w:t>:</w:t>
      </w:r>
    </w:p>
    <w:p w14:paraId="3C6DDECF" w14:textId="4F927881" w:rsidR="00841A96" w:rsidRPr="001A5BCF" w:rsidRDefault="00E969A7" w:rsidP="00D12E05">
      <w:pPr>
        <w:pStyle w:val="Quote"/>
      </w:pPr>
      <w:r>
        <w:t>…o</w:t>
      </w:r>
      <w:r w:rsidR="00D12E05">
        <w:t>ver-reliance on remand is even more apparent among children, with consequences that can shift the direction of a child’s life. In the June quarter of 2021, 235 children (88%) were in detention without having been sentenced, with 32 children (12%) detained under sentence. Queensland has by far the highest number of young people (all ages) in unsentenced detention. On average, it takes 309 days – almost a year – to finalise a matter in the Queensland Children’s Court. This means, that when sentenced, most children on remand have already served their sentence, or spent more time in prison than would have otherwise been ordered by the courts. Remand disconnects children from family, cultural and community supports, and increases the likelihood of reoffending.</w:t>
      </w:r>
      <w:r w:rsidR="00600DDC">
        <w:rPr>
          <w:rStyle w:val="FootnoteReference"/>
        </w:rPr>
        <w:footnoteReference w:id="37"/>
      </w:r>
    </w:p>
    <w:p w14:paraId="138BB7A0" w14:textId="165E5754" w:rsidR="00D12E05" w:rsidRPr="00D12E05" w:rsidRDefault="00111367" w:rsidP="00D12E05">
      <w:pPr>
        <w:pStyle w:val="Numberedparagraph"/>
      </w:pPr>
      <w:r>
        <w:t xml:space="preserve">This trend continues. </w:t>
      </w:r>
      <w:r w:rsidR="00DB3FAC">
        <w:t>In the June quarter of 2022</w:t>
      </w:r>
      <w:r w:rsidR="004D5B11">
        <w:t xml:space="preserve">, </w:t>
      </w:r>
      <w:r w:rsidR="00E725C0">
        <w:t>248 children (</w:t>
      </w:r>
      <w:r>
        <w:t>89%</w:t>
      </w:r>
      <w:r w:rsidR="00E725C0">
        <w:t xml:space="preserve">) were in detention without having </w:t>
      </w:r>
      <w:r>
        <w:t>b</w:t>
      </w:r>
      <w:r w:rsidR="00E725C0">
        <w:t xml:space="preserve">een sentenced with </w:t>
      </w:r>
      <w:r w:rsidR="008C0C6D">
        <w:t>30 children (</w:t>
      </w:r>
      <w:r>
        <w:t>11%</w:t>
      </w:r>
      <w:r w:rsidR="008C0C6D">
        <w:t>)</w:t>
      </w:r>
      <w:r w:rsidR="00A34D7D">
        <w:t xml:space="preserve"> detained under sentence.</w:t>
      </w:r>
      <w:r>
        <w:rPr>
          <w:rStyle w:val="FootnoteReference"/>
        </w:rPr>
        <w:footnoteReference w:id="38"/>
      </w:r>
      <w:r w:rsidR="00A34D7D">
        <w:t xml:space="preserve"> </w:t>
      </w:r>
    </w:p>
    <w:p w14:paraId="0217E8B6" w14:textId="04A4051D" w:rsidR="009E4144" w:rsidRDefault="009E4144" w:rsidP="001B70B1">
      <w:pPr>
        <w:pStyle w:val="Heading3"/>
      </w:pPr>
      <w:r>
        <w:t>Expansion of ‘show cause’ provision for bail</w:t>
      </w:r>
    </w:p>
    <w:p w14:paraId="56442CB5" w14:textId="6E82BC13" w:rsidR="00DF6E7E" w:rsidRPr="00041B02" w:rsidRDefault="00DF6E7E" w:rsidP="009E4144">
      <w:pPr>
        <w:pStyle w:val="Numberedparagraph"/>
      </w:pPr>
      <w:r w:rsidRPr="00041B02">
        <w:t xml:space="preserve">When a presumption against bail </w:t>
      </w:r>
      <w:r w:rsidR="004149EE">
        <w:t xml:space="preserve">(also known as a ‘reverse onus’) </w:t>
      </w:r>
      <w:r w:rsidRPr="00041B02">
        <w:t xml:space="preserve">for children was introduced in 2021, the Commission raised serious concerns and </w:t>
      </w:r>
      <w:r w:rsidR="00325320" w:rsidRPr="00041B02">
        <w:t>advised the government</w:t>
      </w:r>
      <w:r w:rsidRPr="00041B02">
        <w:t xml:space="preserve"> that </w:t>
      </w:r>
      <w:r w:rsidR="00262178" w:rsidRPr="00041B02">
        <w:t xml:space="preserve">the new laws may not be compatible with the </w:t>
      </w:r>
      <w:r w:rsidR="00626440">
        <w:t>HR</w:t>
      </w:r>
      <w:r w:rsidR="00262178" w:rsidRPr="00041B02">
        <w:t xml:space="preserve"> Act.</w:t>
      </w:r>
    </w:p>
    <w:p w14:paraId="2C44923E" w14:textId="1A75ABAE" w:rsidR="004D6E92" w:rsidRPr="00041B02" w:rsidRDefault="004D6E92" w:rsidP="009E4144">
      <w:pPr>
        <w:pStyle w:val="Numberedparagraph"/>
      </w:pPr>
      <w:r w:rsidRPr="00041B02">
        <w:t xml:space="preserve">The </w:t>
      </w:r>
      <w:r w:rsidRPr="00041B02">
        <w:rPr>
          <w:i/>
        </w:rPr>
        <w:t>Youth Justice and Other Legislation Amendment Act 2019</w:t>
      </w:r>
      <w:r w:rsidR="00415257" w:rsidRPr="00041B02">
        <w:rPr>
          <w:i/>
        </w:rPr>
        <w:t xml:space="preserve"> </w:t>
      </w:r>
      <w:r w:rsidR="00415257" w:rsidRPr="00041B02">
        <w:t xml:space="preserve">removed </w:t>
      </w:r>
      <w:r w:rsidR="00D2695D">
        <w:t xml:space="preserve">some </w:t>
      </w:r>
      <w:r w:rsidR="000C3C18" w:rsidRPr="00041B02">
        <w:t>legislative</w:t>
      </w:r>
      <w:r w:rsidR="00415257" w:rsidRPr="00041B02">
        <w:t xml:space="preserve"> barriers to bail</w:t>
      </w:r>
      <w:r w:rsidR="00EB2A70">
        <w:t xml:space="preserve">. </w:t>
      </w:r>
      <w:r w:rsidR="00FE0E97" w:rsidRPr="00041B02">
        <w:t xml:space="preserve">In </w:t>
      </w:r>
      <w:r w:rsidR="00226EA6" w:rsidRPr="00041B02">
        <w:t>2020</w:t>
      </w:r>
      <w:r w:rsidR="00FE0E97" w:rsidRPr="00041B02">
        <w:t>, th</w:t>
      </w:r>
      <w:r w:rsidR="00AA6D32" w:rsidRPr="00041B02">
        <w:t xml:space="preserve">is position was </w:t>
      </w:r>
      <w:r w:rsidR="00222868" w:rsidRPr="00041B02">
        <w:t xml:space="preserve">quickly </w:t>
      </w:r>
      <w:r w:rsidR="00AA6D32" w:rsidRPr="00041B02">
        <w:t>rev</w:t>
      </w:r>
      <w:r w:rsidR="00E9464E" w:rsidRPr="00041B02">
        <w:t>ersed through</w:t>
      </w:r>
      <w:r w:rsidR="00FE0E97" w:rsidRPr="00041B02">
        <w:t xml:space="preserve"> </w:t>
      </w:r>
      <w:r w:rsidR="00226EA6" w:rsidRPr="00041B02">
        <w:t>amendments to an unrelated Bill</w:t>
      </w:r>
      <w:r w:rsidR="00BE502E" w:rsidRPr="00041B02">
        <w:rPr>
          <w:rStyle w:val="FootnoteReference"/>
        </w:rPr>
        <w:footnoteReference w:id="39"/>
      </w:r>
      <w:r w:rsidR="00226EA6" w:rsidRPr="00041B02">
        <w:t xml:space="preserve"> which were declared ‘urgent’.</w:t>
      </w:r>
      <w:r w:rsidR="00487A5F" w:rsidRPr="00041B02">
        <w:t xml:space="preserve"> The 2020 </w:t>
      </w:r>
      <w:r w:rsidR="00487A5F" w:rsidRPr="00041B02">
        <w:lastRenderedPageBreak/>
        <w:t xml:space="preserve">amendments meant a child will be refused bail if an </w:t>
      </w:r>
      <w:r w:rsidR="00222868" w:rsidRPr="00041B02">
        <w:t>‘</w:t>
      </w:r>
      <w:r w:rsidR="00487A5F" w:rsidRPr="00041B02">
        <w:t>unacceptable risk</w:t>
      </w:r>
      <w:r w:rsidR="00222868" w:rsidRPr="00041B02">
        <w:t>’</w:t>
      </w:r>
      <w:r w:rsidR="00487A5F" w:rsidRPr="00041B02">
        <w:t xml:space="preserve"> to the safety of the community. </w:t>
      </w:r>
      <w:r w:rsidR="004B2B73" w:rsidRPr="00041B02">
        <w:t xml:space="preserve">The </w:t>
      </w:r>
      <w:r w:rsidR="004B2B73" w:rsidRPr="00041B02">
        <w:rPr>
          <w:i/>
        </w:rPr>
        <w:t>Youth Justice and Other Legislation Amendment Bill 2021</w:t>
      </w:r>
      <w:r w:rsidR="00EA1771" w:rsidRPr="00041B02">
        <w:rPr>
          <w:i/>
        </w:rPr>
        <w:t xml:space="preserve"> </w:t>
      </w:r>
      <w:r w:rsidR="00F937EC" w:rsidRPr="00041B02">
        <w:t xml:space="preserve">(the 2021 amendments) </w:t>
      </w:r>
      <w:r w:rsidR="00EA1771" w:rsidRPr="00041B02">
        <w:t xml:space="preserve">made a further amendment to require that a court or police officer must refuse to release a child from custody </w:t>
      </w:r>
      <w:r w:rsidR="000E4C46" w:rsidRPr="00041B02">
        <w:t xml:space="preserve">in connection with a charge of a prescribed indictable offence, </w:t>
      </w:r>
      <w:r w:rsidR="00EA1771" w:rsidRPr="00041B02">
        <w:t xml:space="preserve">unless </w:t>
      </w:r>
      <w:r w:rsidR="00CF6939" w:rsidRPr="00041B02">
        <w:t xml:space="preserve">the child can show cause </w:t>
      </w:r>
      <w:r w:rsidR="00D15040" w:rsidRPr="00041B02">
        <w:t>that</w:t>
      </w:r>
      <w:r w:rsidR="00CF6939" w:rsidRPr="00041B02">
        <w:t xml:space="preserve"> </w:t>
      </w:r>
      <w:r w:rsidR="00087A1E" w:rsidRPr="00041B02">
        <w:t>they are not an unacceptable risk</w:t>
      </w:r>
      <w:r w:rsidR="00D15040" w:rsidRPr="00041B02">
        <w:t>.</w:t>
      </w:r>
    </w:p>
    <w:p w14:paraId="4155F556" w14:textId="77777777" w:rsidR="00CE6A3D" w:rsidRDefault="000E7C43" w:rsidP="009E4144">
      <w:pPr>
        <w:pStyle w:val="Numberedparagraph"/>
      </w:pPr>
      <w:r w:rsidRPr="00041B02">
        <w:t>At the time, the Commission commented that</w:t>
      </w:r>
      <w:r w:rsidR="0094337A" w:rsidRPr="00041B02">
        <w:t xml:space="preserve"> it was too early to understand the full impact </w:t>
      </w:r>
      <w:r w:rsidR="00D53E78" w:rsidRPr="00041B02">
        <w:t>and human rights compatibility issues</w:t>
      </w:r>
      <w:r w:rsidR="00C438C9" w:rsidRPr="00041B02">
        <w:t xml:space="preserve">, but that it would be hard for the government to justify the changes to bail laws so soon after </w:t>
      </w:r>
      <w:r w:rsidR="00CE6A3D">
        <w:t xml:space="preserve">the </w:t>
      </w:r>
      <w:r w:rsidR="00C438C9" w:rsidRPr="00041B02">
        <w:t xml:space="preserve">earlier changes. </w:t>
      </w:r>
    </w:p>
    <w:p w14:paraId="0D15ADBB" w14:textId="611B2146" w:rsidR="000E7C43" w:rsidRPr="00041B02" w:rsidRDefault="00CE6A3D" w:rsidP="009E4144">
      <w:pPr>
        <w:pStyle w:val="Numberedparagraph"/>
      </w:pPr>
      <w:r>
        <w:t>The Commission</w:t>
      </w:r>
      <w:r w:rsidR="00C438C9" w:rsidRPr="00041B02">
        <w:t xml:space="preserve"> also noted </w:t>
      </w:r>
      <w:r w:rsidR="00E21E8C" w:rsidRPr="00041B02">
        <w:t xml:space="preserve">the </w:t>
      </w:r>
      <w:r w:rsidR="008775D8" w:rsidRPr="00041B02">
        <w:t xml:space="preserve">additional </w:t>
      </w:r>
      <w:r w:rsidR="009B2855" w:rsidRPr="00041B02">
        <w:t xml:space="preserve">layer </w:t>
      </w:r>
      <w:r w:rsidR="00D50524">
        <w:t xml:space="preserve">of </w:t>
      </w:r>
      <w:r w:rsidR="008775D8" w:rsidRPr="00041B02">
        <w:t xml:space="preserve">complexity </w:t>
      </w:r>
      <w:r w:rsidR="00771543" w:rsidRPr="00041B02">
        <w:t>that would need to be navigated by police and courts.</w:t>
      </w:r>
      <w:r w:rsidR="00B52244" w:rsidRPr="00041B02">
        <w:t xml:space="preserve"> In relation to the human rights impacts </w:t>
      </w:r>
      <w:r w:rsidR="00F11D12">
        <w:t>the Commission</w:t>
      </w:r>
      <w:r w:rsidR="00B52244" w:rsidRPr="00041B02">
        <w:t xml:space="preserve"> </w:t>
      </w:r>
      <w:r>
        <w:t>considered</w:t>
      </w:r>
      <w:r w:rsidR="00B52244" w:rsidRPr="00041B02">
        <w:t xml:space="preserve"> that:</w:t>
      </w:r>
    </w:p>
    <w:p w14:paraId="12F28336" w14:textId="5D89799F" w:rsidR="00930A39" w:rsidRPr="00041B02" w:rsidRDefault="00930A39" w:rsidP="00930A39">
      <w:pPr>
        <w:pStyle w:val="Quote"/>
      </w:pPr>
      <w:r w:rsidRPr="00041B02">
        <w:t>A</w:t>
      </w:r>
      <w:r w:rsidR="008340A3" w:rsidRPr="00041B02">
        <w:t xml:space="preserve"> presumption against bail limits several human rights under the HRA including the right to liberty (s 29) and protection of children (s 26) and is ‘at odds’ with international standards that depriving children of their liberty must be reserved as a last resort and limited to exceptional cases. The statement also notes that the right to be presumed innocent under s 32(1) is also limited for similar reasons.</w:t>
      </w:r>
    </w:p>
    <w:p w14:paraId="408C604A" w14:textId="3890A3FD" w:rsidR="001A2B59" w:rsidRPr="00041B02" w:rsidRDefault="001A2B59" w:rsidP="009E4144">
      <w:pPr>
        <w:pStyle w:val="Numberedparagraph"/>
      </w:pPr>
      <w:r w:rsidRPr="00041B02">
        <w:t xml:space="preserve">The Commission was concerned </w:t>
      </w:r>
      <w:r w:rsidR="00F937EC" w:rsidRPr="00041B02">
        <w:t xml:space="preserve">at the time </w:t>
      </w:r>
      <w:r w:rsidRPr="00041B02">
        <w:t xml:space="preserve">that other applicable rights were not considered in the development of the </w:t>
      </w:r>
      <w:r w:rsidR="009E62FE" w:rsidRPr="00041B02">
        <w:t xml:space="preserve">2021 </w:t>
      </w:r>
      <w:r w:rsidR="00F937EC" w:rsidRPr="00041B02">
        <w:t>amendments</w:t>
      </w:r>
      <w:r w:rsidR="001A1C7D" w:rsidRPr="00041B02">
        <w:t>, as follows</w:t>
      </w:r>
      <w:r w:rsidR="00D62F3C" w:rsidRPr="00041B02">
        <w:t>:</w:t>
      </w:r>
    </w:p>
    <w:p w14:paraId="338E378C" w14:textId="3344D11E" w:rsidR="00D62F3C" w:rsidRPr="00041B02" w:rsidRDefault="00E00E3B" w:rsidP="00E00E3B">
      <w:pPr>
        <w:pStyle w:val="Quote"/>
      </w:pPr>
      <w:r w:rsidRPr="00041B02">
        <w:t>Section 32(3) in particular provides that “a child</w:t>
      </w:r>
      <w:r w:rsidR="00EA6C92" w:rsidRPr="00041B02">
        <w:t xml:space="preserve"> charged with a criminal offence has the right to a procedure that takes account of the child’s age and the desirability of promoting the child's rehabilitation.” Despite not discussing this right, the Statement acknowledges that these changes are contrary to efforts to rehabilitate children in the criminal justice system.</w:t>
      </w:r>
    </w:p>
    <w:p w14:paraId="002928DD" w14:textId="0824D3D2" w:rsidR="008F0AD7" w:rsidRPr="00041B02" w:rsidRDefault="008F0AD7" w:rsidP="008F0AD7">
      <w:pPr>
        <w:pStyle w:val="Quote"/>
      </w:pPr>
      <w:r w:rsidRPr="00041B02">
        <w:t>Further, in light of the likelihood that these changes will increase the number of children in detention, thereby risking the prolonged detention of all children (remand and sentenced) in adult watch houses, the laws are also likely to limit s 33 of the HRA which requires that children must be segregated from detained adults and that a child who has been convicted of an offence must be treated in a way that is appropriate for the child’s age.</w:t>
      </w:r>
    </w:p>
    <w:p w14:paraId="7487BACB" w14:textId="0662AA05" w:rsidR="001A1C7D" w:rsidRPr="00041B02" w:rsidRDefault="001A1C7D" w:rsidP="009E4144">
      <w:pPr>
        <w:pStyle w:val="Numberedparagraph"/>
      </w:pPr>
      <w:r w:rsidRPr="00041B02">
        <w:t>The Commissi</w:t>
      </w:r>
      <w:r w:rsidR="004B747A" w:rsidRPr="00041B02">
        <w:t xml:space="preserve">on </w:t>
      </w:r>
      <w:r w:rsidR="0000731F">
        <w:t>remains in</w:t>
      </w:r>
      <w:r w:rsidR="004B747A" w:rsidRPr="00041B02">
        <w:t xml:space="preserve"> </w:t>
      </w:r>
      <w:r w:rsidR="00D50524">
        <w:t xml:space="preserve">serious </w:t>
      </w:r>
      <w:r w:rsidR="004B747A" w:rsidRPr="00041B02">
        <w:t xml:space="preserve">doubt </w:t>
      </w:r>
      <w:r w:rsidR="0000731F">
        <w:t xml:space="preserve">about </w:t>
      </w:r>
      <w:r w:rsidR="004B747A" w:rsidRPr="00041B02">
        <w:t>the</w:t>
      </w:r>
      <w:r w:rsidR="00C31FFB" w:rsidRPr="00041B02">
        <w:t xml:space="preserve"> human rights compatibility of </w:t>
      </w:r>
      <w:r w:rsidR="007C2281" w:rsidRPr="00041B02">
        <w:t>a</w:t>
      </w:r>
      <w:r w:rsidR="00216773" w:rsidRPr="00041B02">
        <w:t xml:space="preserve"> </w:t>
      </w:r>
      <w:r w:rsidRPr="00041B02">
        <w:t>presumption against bail for children</w:t>
      </w:r>
      <w:r w:rsidR="00711E6B" w:rsidRPr="00041B02">
        <w:t xml:space="preserve">. In submissions </w:t>
      </w:r>
      <w:r w:rsidR="00751F47" w:rsidRPr="00041B02">
        <w:t>about</w:t>
      </w:r>
      <w:r w:rsidR="00711E6B" w:rsidRPr="00041B02">
        <w:t xml:space="preserve"> the 2021 </w:t>
      </w:r>
      <w:r w:rsidR="000833A9" w:rsidRPr="00041B02">
        <w:t>amendments</w:t>
      </w:r>
      <w:r w:rsidR="00751F47" w:rsidRPr="00041B02">
        <w:t>,</w:t>
      </w:r>
      <w:r w:rsidR="00711E6B" w:rsidRPr="00041B02">
        <w:t xml:space="preserve"> we noted that</w:t>
      </w:r>
      <w:r w:rsidR="00D9388B" w:rsidRPr="00041B02">
        <w:t xml:space="preserve"> there was insufficient justification </w:t>
      </w:r>
      <w:r w:rsidR="00751F47" w:rsidRPr="00041B02">
        <w:t>for</w:t>
      </w:r>
      <w:r w:rsidR="00D9388B" w:rsidRPr="00041B02">
        <w:t xml:space="preserve"> </w:t>
      </w:r>
      <w:r w:rsidR="00F23BF6" w:rsidRPr="00041B02">
        <w:t xml:space="preserve">why the ‘prescribed indictable offences’ </w:t>
      </w:r>
      <w:r w:rsidR="00D60FF7" w:rsidRPr="00041B02">
        <w:t>had</w:t>
      </w:r>
      <w:r w:rsidR="00F23BF6" w:rsidRPr="00041B02">
        <w:t xml:space="preserve"> been selected based on some criteria that is rationally connected to the purpose</w:t>
      </w:r>
      <w:r w:rsidR="006B6B3C" w:rsidRPr="00041B02">
        <w:t>.</w:t>
      </w:r>
      <w:r w:rsidR="006B6B3C" w:rsidRPr="00041B02">
        <w:rPr>
          <w:rStyle w:val="FootnoteReference"/>
        </w:rPr>
        <w:footnoteReference w:id="40"/>
      </w:r>
    </w:p>
    <w:p w14:paraId="08A9D47B" w14:textId="1801E9FF" w:rsidR="006B1D10" w:rsidRPr="00041B02" w:rsidRDefault="000833A9" w:rsidP="000833A9">
      <w:pPr>
        <w:pStyle w:val="Numberedparagraph"/>
      </w:pPr>
      <w:r w:rsidRPr="00041B02">
        <w:t>The current Bill proposes to extend the prescribed offences to which the presumption against bail applies.</w:t>
      </w:r>
      <w:r w:rsidR="00D60FF7" w:rsidRPr="00041B02">
        <w:t xml:space="preserve"> </w:t>
      </w:r>
      <w:r w:rsidR="008510D4" w:rsidRPr="00041B02">
        <w:t>These new offences are</w:t>
      </w:r>
      <w:r w:rsidR="007C6030" w:rsidRPr="00041B02">
        <w:t xml:space="preserve"> unlawful use of a </w:t>
      </w:r>
      <w:r w:rsidR="007C6030" w:rsidRPr="00041B02">
        <w:lastRenderedPageBreak/>
        <w:t>mo</w:t>
      </w:r>
      <w:r w:rsidR="00AA5420">
        <w:t>tor</w:t>
      </w:r>
      <w:r w:rsidR="007C6030" w:rsidRPr="00041B02">
        <w:t xml:space="preserve"> </w:t>
      </w:r>
      <w:r w:rsidR="004D3454" w:rsidRPr="00041B02">
        <w:t>vehicle</w:t>
      </w:r>
      <w:r w:rsidR="007C6030" w:rsidRPr="00041B02">
        <w:t xml:space="preserve"> where the child is a </w:t>
      </w:r>
      <w:r w:rsidR="00556632" w:rsidRPr="00041B02">
        <w:t>passenger and</w:t>
      </w:r>
      <w:r w:rsidR="004D3454" w:rsidRPr="00041B02">
        <w:t xml:space="preserve"> entering or being in premises with the intention to commit an indictable offence.</w:t>
      </w:r>
    </w:p>
    <w:p w14:paraId="74A9262B" w14:textId="6EF1C766" w:rsidR="000833A9" w:rsidRPr="00041B02" w:rsidRDefault="00D60FF7" w:rsidP="000833A9">
      <w:pPr>
        <w:pStyle w:val="Numberedparagraph"/>
      </w:pPr>
      <w:r w:rsidRPr="00041B02">
        <w:t>The Statement of Compatibility</w:t>
      </w:r>
      <w:r w:rsidR="007E7F4A">
        <w:t xml:space="preserve"> again</w:t>
      </w:r>
      <w:r w:rsidRPr="00041B02">
        <w:t xml:space="preserve"> </w:t>
      </w:r>
      <w:r w:rsidR="00B327E5">
        <w:t>does not</w:t>
      </w:r>
      <w:r w:rsidRPr="00041B02">
        <w:t xml:space="preserve"> justify the selection of offences, and the Commission remains of the view that the provision </w:t>
      </w:r>
      <w:r w:rsidR="009A6B0D">
        <w:t>may be</w:t>
      </w:r>
      <w:r w:rsidRPr="00041B02">
        <w:t xml:space="preserve"> incompatible with human rights.</w:t>
      </w:r>
      <w:r w:rsidR="001537F2" w:rsidRPr="00041B02">
        <w:t xml:space="preserve"> </w:t>
      </w:r>
      <w:r w:rsidR="00DB1661" w:rsidRPr="00041B02">
        <w:t>The</w:t>
      </w:r>
      <w:r w:rsidR="001537F2" w:rsidRPr="00041B02">
        <w:t xml:space="preserve"> Statement has not </w:t>
      </w:r>
      <w:r w:rsidR="006B1D10" w:rsidRPr="00041B02">
        <w:t>provided</w:t>
      </w:r>
      <w:r w:rsidR="001537F2" w:rsidRPr="00041B02">
        <w:t xml:space="preserve"> any evidence to show that young people who commit </w:t>
      </w:r>
      <w:r w:rsidR="00921ED5" w:rsidRPr="00041B02">
        <w:t>these kinds of offences</w:t>
      </w:r>
      <w:r w:rsidR="001537F2" w:rsidRPr="00041B02">
        <w:t xml:space="preserve"> are more likely to breach bail conditions</w:t>
      </w:r>
      <w:r w:rsidR="00295C37" w:rsidRPr="00041B02">
        <w:t>, reoffend on bail,</w:t>
      </w:r>
      <w:r w:rsidR="001537F2" w:rsidRPr="00041B02">
        <w:t xml:space="preserve"> or fail to appear in court</w:t>
      </w:r>
      <w:r w:rsidR="00921ED5" w:rsidRPr="00041B02">
        <w:t xml:space="preserve">, </w:t>
      </w:r>
      <w:r w:rsidR="00714EBB">
        <w:t>which may</w:t>
      </w:r>
      <w:r w:rsidR="00295C37" w:rsidRPr="00041B02">
        <w:t xml:space="preserve"> justify a reversal of the onus on bail</w:t>
      </w:r>
      <w:r w:rsidR="001537F2" w:rsidRPr="00041B02">
        <w:t>.</w:t>
      </w:r>
      <w:r w:rsidR="006415F1" w:rsidRPr="00041B02">
        <w:t xml:space="preserve"> Instead, the Statement contains a generic statement that </w:t>
      </w:r>
      <w:r w:rsidR="00295C37" w:rsidRPr="00041B02">
        <w:t>‘</w:t>
      </w:r>
      <w:r w:rsidR="006415F1" w:rsidRPr="00041B02">
        <w:t xml:space="preserve">it is considered to </w:t>
      </w:r>
      <w:r w:rsidR="008D294B" w:rsidRPr="00041B02">
        <w:t>be justified</w:t>
      </w:r>
      <w:r w:rsidR="00295C37" w:rsidRPr="00041B02">
        <w:t>’</w:t>
      </w:r>
      <w:r w:rsidR="008D294B" w:rsidRPr="00041B02">
        <w:t xml:space="preserve"> on the basis of </w:t>
      </w:r>
      <w:r w:rsidR="00714EBB">
        <w:t>‘</w:t>
      </w:r>
      <w:r w:rsidR="008D294B" w:rsidRPr="00041B02">
        <w:t>community safety</w:t>
      </w:r>
      <w:r w:rsidR="00714EBB">
        <w:t>’</w:t>
      </w:r>
      <w:r w:rsidR="008D294B" w:rsidRPr="00041B02">
        <w:t xml:space="preserve"> from ‘</w:t>
      </w:r>
      <w:r w:rsidR="00DB4172" w:rsidRPr="00041B02">
        <w:t xml:space="preserve">serious repeat </w:t>
      </w:r>
      <w:r w:rsidR="00295C37" w:rsidRPr="00041B02">
        <w:t>offenders</w:t>
      </w:r>
      <w:r w:rsidR="00DB4172" w:rsidRPr="00041B02">
        <w:t>.</w:t>
      </w:r>
      <w:r w:rsidR="00295C37" w:rsidRPr="00041B02">
        <w:t>’</w:t>
      </w:r>
      <w:r w:rsidR="006A7C8B">
        <w:rPr>
          <w:rStyle w:val="FootnoteReference"/>
        </w:rPr>
        <w:footnoteReference w:id="41"/>
      </w:r>
    </w:p>
    <w:p w14:paraId="6E030DF2" w14:textId="67988097" w:rsidR="005C520C" w:rsidRPr="00454134" w:rsidRDefault="005C520C" w:rsidP="00D73161">
      <w:pPr>
        <w:pStyle w:val="Heading4"/>
        <w:rPr>
          <w:rFonts w:ascii="Arial" w:hAnsi="Arial" w:cs="Arial"/>
          <w:i w:val="0"/>
        </w:rPr>
      </w:pPr>
      <w:r w:rsidRPr="00454134">
        <w:rPr>
          <w:rFonts w:ascii="Arial" w:hAnsi="Arial" w:cs="Arial"/>
          <w:i w:val="0"/>
        </w:rPr>
        <w:t>Recent Victorian coronial findings</w:t>
      </w:r>
    </w:p>
    <w:p w14:paraId="562F6E59" w14:textId="02F5C292" w:rsidR="000833A9" w:rsidRPr="00041B02" w:rsidRDefault="0089104D" w:rsidP="009E4144">
      <w:pPr>
        <w:pStyle w:val="Numberedparagraph"/>
      </w:pPr>
      <w:r>
        <w:t>The</w:t>
      </w:r>
      <w:r w:rsidR="00604A7D">
        <w:t xml:space="preserve"> Committee should have </w:t>
      </w:r>
      <w:r w:rsidR="00DE0EE1">
        <w:t>due</w:t>
      </w:r>
      <w:r w:rsidR="00604A7D">
        <w:t xml:space="preserve"> regard to the recent Victorian Coroner’s Court findings on the inquest into the passing of Veronica Nelson.</w:t>
      </w:r>
      <w:r w:rsidR="00B314A2">
        <w:t xml:space="preserve"> Following amendments in 2018 in Victoria, an accused person’s entitlement to bail was qualified by provisions requiring bail decision makers to refuse bail</w:t>
      </w:r>
      <w:r w:rsidR="009B059F">
        <w:t xml:space="preserve">. There is a presumption that bail </w:t>
      </w:r>
      <w:r>
        <w:t>will</w:t>
      </w:r>
      <w:r w:rsidR="009B059F">
        <w:t xml:space="preserve"> be refused if an accused is charged with a prescribed offence</w:t>
      </w:r>
      <w:r w:rsidR="00C35352">
        <w:t>.</w:t>
      </w:r>
    </w:p>
    <w:p w14:paraId="5B40B679" w14:textId="5F71DDF4" w:rsidR="007324DE" w:rsidRPr="00041B02" w:rsidRDefault="007324DE" w:rsidP="009E4144">
      <w:pPr>
        <w:pStyle w:val="Numberedparagraph"/>
      </w:pPr>
      <w:r>
        <w:t>Ms Nelson was directly impacted by the high reverse onus threshold for bail</w:t>
      </w:r>
      <w:r w:rsidR="00CF5E5F">
        <w:t xml:space="preserve">. She </w:t>
      </w:r>
      <w:r>
        <w:t xml:space="preserve">was </w:t>
      </w:r>
      <w:r w:rsidR="00CF5E5F">
        <w:t>unable</w:t>
      </w:r>
      <w:r>
        <w:t xml:space="preserve"> to meet an exceptional circumstances test, even though she was not presenting any risk to community safety</w:t>
      </w:r>
      <w:r w:rsidR="00CF5E5F">
        <w:t>, and then passed away in custody</w:t>
      </w:r>
      <w:r>
        <w:t>.</w:t>
      </w:r>
      <w:r w:rsidR="005E4363">
        <w:t xml:space="preserve"> The Coroner’s Court noted that low-level, non-violent offending is frequently linked to social circumstances including homelessness, drug dependence or mental illness, and disproportionately </w:t>
      </w:r>
      <w:r w:rsidR="0059058E">
        <w:t>effects</w:t>
      </w:r>
      <w:r w:rsidR="005E4363">
        <w:t xml:space="preserve"> Aboriginal peoples.</w:t>
      </w:r>
      <w:r w:rsidR="005E4363">
        <w:rPr>
          <w:rStyle w:val="FootnoteReference"/>
        </w:rPr>
        <w:footnoteReference w:id="42"/>
      </w:r>
    </w:p>
    <w:p w14:paraId="483F68D3" w14:textId="4750F3CD" w:rsidR="009E4144" w:rsidRPr="00041B02" w:rsidRDefault="00066AB7" w:rsidP="00447B8E">
      <w:pPr>
        <w:pStyle w:val="Numberedparagraph"/>
      </w:pPr>
      <w:r>
        <w:t xml:space="preserve">On this basis, the Coroner found that the Bail Act provisions in Victoria have a discriminatory impact on First Nations people, resulting in ‘grossly disproportionate’ </w:t>
      </w:r>
      <w:r w:rsidR="00E07610">
        <w:t>rates</w:t>
      </w:r>
      <w:r>
        <w:t xml:space="preserve"> of remand in custody</w:t>
      </w:r>
      <w:r w:rsidR="00D55094">
        <w:t>,</w:t>
      </w:r>
      <w:r w:rsidR="00E07610">
        <w:rPr>
          <w:rStyle w:val="FootnoteReference"/>
        </w:rPr>
        <w:footnoteReference w:id="43"/>
      </w:r>
      <w:r w:rsidR="00D55094">
        <w:t xml:space="preserve"> recommending that the reverse onus on bail be repealed.</w:t>
      </w:r>
      <w:r w:rsidR="00D55094">
        <w:rPr>
          <w:rStyle w:val="FootnoteReference"/>
        </w:rPr>
        <w:footnoteReference w:id="44"/>
      </w:r>
      <w:r w:rsidR="00D55094">
        <w:t xml:space="preserve"> The </w:t>
      </w:r>
      <w:r w:rsidR="00447B8E">
        <w:t>Coroner</w:t>
      </w:r>
      <w:r w:rsidR="00D55094">
        <w:t xml:space="preserve"> further </w:t>
      </w:r>
      <w:r w:rsidR="00C42292">
        <w:t>found</w:t>
      </w:r>
      <w:r w:rsidR="00D55094">
        <w:t xml:space="preserve"> that </w:t>
      </w:r>
      <w:r w:rsidR="0051569F">
        <w:t xml:space="preserve">the </w:t>
      </w:r>
      <w:r w:rsidR="00447B8E">
        <w:t>reverse</w:t>
      </w:r>
      <w:r w:rsidR="0051569F">
        <w:t xml:space="preserve"> onus on bail is too broad and imposes an unreasonable limitation on the right not to be automatically detained in custody in the </w:t>
      </w:r>
      <w:r w:rsidR="00C35352">
        <w:t>Charter</w:t>
      </w:r>
      <w:r w:rsidR="00294F3A">
        <w:rPr>
          <w:iCs/>
        </w:rPr>
        <w:t>,</w:t>
      </w:r>
      <w:r w:rsidR="00C42292">
        <w:t xml:space="preserve"> and is therefore incompatible with the </w:t>
      </w:r>
      <w:r w:rsidR="006F4DDD">
        <w:t>Charter</w:t>
      </w:r>
      <w:r w:rsidR="0051569F">
        <w:t>.</w:t>
      </w:r>
      <w:r w:rsidR="00447B8E">
        <w:rPr>
          <w:rStyle w:val="FootnoteReference"/>
        </w:rPr>
        <w:footnoteReference w:id="45"/>
      </w:r>
    </w:p>
    <w:p w14:paraId="11D923CA" w14:textId="06967FF4" w:rsidR="00C35352" w:rsidRPr="00041B02" w:rsidRDefault="00C35352" w:rsidP="00447B8E">
      <w:pPr>
        <w:pStyle w:val="Numberedparagraph"/>
      </w:pPr>
      <w:r>
        <w:t xml:space="preserve">The situation </w:t>
      </w:r>
      <w:r w:rsidR="00E46057">
        <w:t xml:space="preserve">in Queensland </w:t>
      </w:r>
      <w:r>
        <w:t xml:space="preserve">is </w:t>
      </w:r>
      <w:r w:rsidR="00F36F72">
        <w:t xml:space="preserve">clearly </w:t>
      </w:r>
      <w:r>
        <w:t xml:space="preserve">analogous. As </w:t>
      </w:r>
      <w:r w:rsidR="006F14DA">
        <w:t>around half</w:t>
      </w:r>
      <w:r w:rsidR="00D2695D">
        <w:t xml:space="preserve"> of </w:t>
      </w:r>
      <w:r w:rsidR="006F14DA">
        <w:t>the</w:t>
      </w:r>
      <w:r w:rsidR="00D2695D">
        <w:t xml:space="preserve"> children in youth justice </w:t>
      </w:r>
      <w:r w:rsidR="006F14DA">
        <w:t>detention</w:t>
      </w:r>
      <w:r w:rsidR="00F36F72">
        <w:t xml:space="preserve"> in Queensland</w:t>
      </w:r>
      <w:r w:rsidR="00D2695D">
        <w:t xml:space="preserve"> are Aboriginal or Torres Strait Islander</w:t>
      </w:r>
      <w:r w:rsidR="00B42E85">
        <w:t xml:space="preserve"> (despite making up 5% of the population)</w:t>
      </w:r>
      <w:r w:rsidR="00D2695D">
        <w:t>,</w:t>
      </w:r>
      <w:r w:rsidR="004147F6" w:rsidRPr="00A211F3">
        <w:rPr>
          <w:rStyle w:val="FootnoteReference"/>
        </w:rPr>
        <w:footnoteReference w:id="46"/>
      </w:r>
      <w:r w:rsidR="00D2695D">
        <w:t xml:space="preserve"> the </w:t>
      </w:r>
      <w:r w:rsidR="002E02C2">
        <w:t xml:space="preserve">presumption against bail will </w:t>
      </w:r>
      <w:r w:rsidR="002E02C2">
        <w:lastRenderedPageBreak/>
        <w:t xml:space="preserve">disproportionately </w:t>
      </w:r>
      <w:r w:rsidR="005B19F8" w:rsidRPr="00A211F3">
        <w:t>affect</w:t>
      </w:r>
      <w:r w:rsidR="002E02C2">
        <w:t xml:space="preserve"> First Nations children</w:t>
      </w:r>
      <w:r w:rsidR="008A2D0E">
        <w:t xml:space="preserve">, </w:t>
      </w:r>
      <w:r w:rsidR="008A2D0E" w:rsidRPr="00A211F3">
        <w:t>including when they are engaging non-violent offending</w:t>
      </w:r>
      <w:r w:rsidR="002E02C2" w:rsidRPr="00A211F3">
        <w:t>.</w:t>
      </w:r>
      <w:r w:rsidR="004147F6" w:rsidRPr="00041B02">
        <w:t xml:space="preserve"> </w:t>
      </w:r>
    </w:p>
    <w:p w14:paraId="5864C123" w14:textId="752B6F69" w:rsidR="00291198" w:rsidRDefault="009E4144" w:rsidP="00D73161">
      <w:pPr>
        <w:pStyle w:val="Heading3"/>
      </w:pPr>
      <w:r>
        <w:t xml:space="preserve">Breach of bail </w:t>
      </w:r>
      <w:r w:rsidR="007C2D6F">
        <w:t xml:space="preserve">conditions </w:t>
      </w:r>
      <w:r>
        <w:t>offence</w:t>
      </w:r>
    </w:p>
    <w:p w14:paraId="532A040B" w14:textId="7D4A4A19" w:rsidR="0018229F" w:rsidRPr="00041B02" w:rsidRDefault="00066030" w:rsidP="003F05C7">
      <w:pPr>
        <w:pStyle w:val="Numberedparagraph"/>
      </w:pPr>
      <w:r w:rsidRPr="00041B02">
        <w:t xml:space="preserve">Clause 5 of the Bill </w:t>
      </w:r>
      <w:r w:rsidR="00E320F2" w:rsidRPr="00041B02">
        <w:t xml:space="preserve">amends section 29 of the </w:t>
      </w:r>
      <w:r w:rsidR="00E320F2" w:rsidRPr="00041B02">
        <w:rPr>
          <w:i/>
          <w:iCs/>
        </w:rPr>
        <w:t xml:space="preserve">Bail Act 1980 </w:t>
      </w:r>
      <w:r w:rsidR="00017021" w:rsidRPr="00041B02">
        <w:t>so that it will apply</w:t>
      </w:r>
      <w:r w:rsidR="00266271" w:rsidRPr="00041B02">
        <w:t xml:space="preserve"> to </w:t>
      </w:r>
      <w:r w:rsidR="00017021" w:rsidRPr="00041B02">
        <w:t xml:space="preserve">children. Under section 29 it is an offence punishable by a maximum of 40 penalty units or 2 years imprisonment </w:t>
      </w:r>
      <w:r w:rsidR="007C00C4" w:rsidRPr="00041B02">
        <w:t>to</w:t>
      </w:r>
      <w:r w:rsidR="0068398E" w:rsidRPr="00041B02">
        <w:t xml:space="preserve"> </w:t>
      </w:r>
      <w:r w:rsidR="007C00C4" w:rsidRPr="00041B02">
        <w:t>break</w:t>
      </w:r>
      <w:r w:rsidR="0068398E" w:rsidRPr="00041B02">
        <w:t xml:space="preserve"> any condition of the undertaking on which the defendant was granted bail requiring their appearance before court.</w:t>
      </w:r>
      <w:r w:rsidR="002C0D85">
        <w:t xml:space="preserve"> </w:t>
      </w:r>
    </w:p>
    <w:p w14:paraId="3CB49B33" w14:textId="129314DF" w:rsidR="007C2D6F" w:rsidRPr="00454134" w:rsidRDefault="007C2D6F" w:rsidP="00D73161">
      <w:pPr>
        <w:pStyle w:val="Heading4"/>
        <w:rPr>
          <w:rFonts w:ascii="Arial" w:hAnsi="Arial" w:cs="Arial"/>
        </w:rPr>
      </w:pPr>
      <w:r w:rsidRPr="00454134">
        <w:rPr>
          <w:rFonts w:ascii="Arial" w:hAnsi="Arial" w:cs="Arial"/>
        </w:rPr>
        <w:t>Legislative history</w:t>
      </w:r>
    </w:p>
    <w:p w14:paraId="3CB1C60D" w14:textId="4C4C054C" w:rsidR="00B82F1D" w:rsidRPr="00041B02" w:rsidRDefault="00B82F1D" w:rsidP="003F05C7">
      <w:pPr>
        <w:pStyle w:val="Numberedparagraph"/>
      </w:pPr>
      <w:r w:rsidRPr="00041B02">
        <w:t xml:space="preserve">In 1988, the </w:t>
      </w:r>
      <w:r w:rsidR="00952206" w:rsidRPr="008F5296">
        <w:rPr>
          <w:i/>
        </w:rPr>
        <w:t>Bail Act 1980</w:t>
      </w:r>
      <w:r w:rsidR="00952206" w:rsidRPr="00041B02">
        <w:t xml:space="preserve"> was</w:t>
      </w:r>
      <w:r w:rsidR="008B1F84" w:rsidRPr="00041B02">
        <w:t xml:space="preserve"> amended to include an offence o</w:t>
      </w:r>
      <w:r w:rsidR="00731DF4" w:rsidRPr="00041B02">
        <w:t>f</w:t>
      </w:r>
      <w:r w:rsidR="008B1F84" w:rsidRPr="00041B02">
        <w:t xml:space="preserve"> breaching bail conditions</w:t>
      </w:r>
      <w:r w:rsidR="006E72E2" w:rsidRPr="00041B02">
        <w:t>,</w:t>
      </w:r>
      <w:r w:rsidR="008B1F84" w:rsidRPr="00041B02">
        <w:t xml:space="preserve"> </w:t>
      </w:r>
      <w:r w:rsidR="00EE3971" w:rsidRPr="00041B02">
        <w:t>applying</w:t>
      </w:r>
      <w:r w:rsidR="008B1F84" w:rsidRPr="00041B02">
        <w:t xml:space="preserve"> only </w:t>
      </w:r>
      <w:r w:rsidR="00EE3971" w:rsidRPr="00041B02">
        <w:t>to adults.</w:t>
      </w:r>
      <w:r w:rsidR="00C77FA7">
        <w:rPr>
          <w:rStyle w:val="FootnoteReference"/>
        </w:rPr>
        <w:footnoteReference w:id="47"/>
      </w:r>
      <w:r w:rsidR="00EE3971" w:rsidRPr="00041B02">
        <w:t xml:space="preserve"> </w:t>
      </w:r>
      <w:r w:rsidR="00137266" w:rsidRPr="00041B02">
        <w:t>While being subject to minor amendments since, the</w:t>
      </w:r>
      <w:r w:rsidR="00EE3971" w:rsidRPr="00041B02">
        <w:t xml:space="preserve"> provision has never before </w:t>
      </w:r>
      <w:r w:rsidR="00137266" w:rsidRPr="00041B02">
        <w:t>been</w:t>
      </w:r>
      <w:r w:rsidR="00EE3971" w:rsidRPr="00041B02">
        <w:t xml:space="preserve"> </w:t>
      </w:r>
      <w:r w:rsidR="008B1F84" w:rsidRPr="00041B02">
        <w:t xml:space="preserve">applied to </w:t>
      </w:r>
      <w:r w:rsidR="00EE3971" w:rsidRPr="00041B02">
        <w:t>children.</w:t>
      </w:r>
    </w:p>
    <w:p w14:paraId="5845E2B4" w14:textId="3E9F6D3E" w:rsidR="00F01528" w:rsidRPr="00F01528" w:rsidRDefault="003B7204" w:rsidP="003F05C7">
      <w:pPr>
        <w:pStyle w:val="Numberedparagraph"/>
      </w:pPr>
      <w:r w:rsidRPr="00041B02">
        <w:t xml:space="preserve">In </w:t>
      </w:r>
      <w:r w:rsidR="003D2916">
        <w:t>2014</w:t>
      </w:r>
      <w:r w:rsidR="006F12A0" w:rsidRPr="00041B02">
        <w:t>, the government at the time introduced a</w:t>
      </w:r>
      <w:r w:rsidR="009B5F08">
        <w:t>n</w:t>
      </w:r>
      <w:r w:rsidR="006F12A0" w:rsidRPr="00041B02">
        <w:t xml:space="preserve"> offence</w:t>
      </w:r>
      <w:r w:rsidR="009B5F08">
        <w:t xml:space="preserve"> to </w:t>
      </w:r>
      <w:r w:rsidR="003915B1">
        <w:t>commit</w:t>
      </w:r>
      <w:r w:rsidR="00F01528">
        <w:t xml:space="preserve"> a </w:t>
      </w:r>
      <w:r w:rsidR="003915B1">
        <w:t>further</w:t>
      </w:r>
      <w:r w:rsidR="00F01528">
        <w:t xml:space="preserve"> offence </w:t>
      </w:r>
      <w:r w:rsidR="003915B1">
        <w:t>on bail</w:t>
      </w:r>
      <w:r w:rsidR="006F12A0" w:rsidRPr="00041B02">
        <w:t>.</w:t>
      </w:r>
      <w:r w:rsidR="0072695B">
        <w:rPr>
          <w:rStyle w:val="FootnoteReference"/>
        </w:rPr>
        <w:footnoteReference w:id="48"/>
      </w:r>
      <w:r w:rsidR="006F12A0" w:rsidRPr="00041B02">
        <w:t xml:space="preserve"> </w:t>
      </w:r>
      <w:r w:rsidR="003915B1">
        <w:t xml:space="preserve">This is not the same as what is proposed by </w:t>
      </w:r>
      <w:r w:rsidR="00F01528">
        <w:t xml:space="preserve">the </w:t>
      </w:r>
      <w:r w:rsidR="003915B1">
        <w:t xml:space="preserve">current Bill because it </w:t>
      </w:r>
      <w:r w:rsidR="00D21774">
        <w:t xml:space="preserve">was not about breaching bail conditions but was confined to </w:t>
      </w:r>
      <w:r w:rsidR="001E7C86">
        <w:t xml:space="preserve">criminal </w:t>
      </w:r>
      <w:r w:rsidR="00D60EED">
        <w:t>activity</w:t>
      </w:r>
      <w:r w:rsidR="001E7C86">
        <w:t xml:space="preserve"> while on bail</w:t>
      </w:r>
      <w:r w:rsidR="00F01528">
        <w:rPr>
          <w:i/>
          <w:iCs/>
        </w:rPr>
        <w:t xml:space="preserve">. </w:t>
      </w:r>
      <w:r w:rsidR="00F01528">
        <w:t>T</w:t>
      </w:r>
      <w:r w:rsidR="00BE28E9">
        <w:t xml:space="preserve">he Explanatory Notes </w:t>
      </w:r>
      <w:r w:rsidR="00DE2F5A">
        <w:t xml:space="preserve">stated the intention of the </w:t>
      </w:r>
      <w:r w:rsidR="00827381">
        <w:t>new offence introduced in</w:t>
      </w:r>
      <w:r w:rsidR="00DE2F5A">
        <w:t xml:space="preserve"> 2014 </w:t>
      </w:r>
      <w:r w:rsidR="00B63F8D">
        <w:t xml:space="preserve"> was </w:t>
      </w:r>
      <w:r w:rsidR="00312537">
        <w:t>not to punish a child for multiple</w:t>
      </w:r>
      <w:r w:rsidR="007951C7">
        <w:t xml:space="preserve"> offences </w:t>
      </w:r>
      <w:r w:rsidR="00312537">
        <w:t xml:space="preserve">arising out of a single series of criminal acts committed by a young </w:t>
      </w:r>
      <w:r w:rsidR="00224E4D">
        <w:t xml:space="preserve">person </w:t>
      </w:r>
      <w:r w:rsidR="00312537">
        <w:t>while on bail</w:t>
      </w:r>
      <w:r w:rsidR="00066B4D">
        <w:t xml:space="preserve">. </w:t>
      </w:r>
      <w:r w:rsidR="002B6C79">
        <w:t>Rather, an offender should only be held liable f</w:t>
      </w:r>
      <w:r w:rsidR="00007E34">
        <w:t xml:space="preserve">or </w:t>
      </w:r>
      <w:r w:rsidR="00007E34">
        <w:rPr>
          <w:i/>
          <w:iCs/>
        </w:rPr>
        <w:t xml:space="preserve">one </w:t>
      </w:r>
      <w:r w:rsidR="00007E34">
        <w:t>breach of bail offence.</w:t>
      </w:r>
      <w:r w:rsidR="00007E34" w:rsidRPr="00007E34">
        <w:rPr>
          <w:rStyle w:val="FootnoteReference"/>
        </w:rPr>
        <w:t xml:space="preserve"> </w:t>
      </w:r>
      <w:r w:rsidR="00007E34">
        <w:rPr>
          <w:rStyle w:val="FootnoteReference"/>
        </w:rPr>
        <w:footnoteReference w:id="49"/>
      </w:r>
    </w:p>
    <w:p w14:paraId="7BC01D7C" w14:textId="256F5026" w:rsidR="00FA1535" w:rsidRPr="00F01528" w:rsidRDefault="00FA1535" w:rsidP="003F05C7">
      <w:pPr>
        <w:pStyle w:val="Numberedparagraph"/>
      </w:pPr>
      <w:r>
        <w:t xml:space="preserve">Submissions to the parliamentary inquiry at the time criticised this offence as being unnecessary and unlikely to have any practical effect, </w:t>
      </w:r>
      <w:r w:rsidR="007A13C3">
        <w:t xml:space="preserve">that it </w:t>
      </w:r>
      <w:r w:rsidR="00237235">
        <w:t>could amount to double-punishment</w:t>
      </w:r>
      <w:r>
        <w:t xml:space="preserve"> and </w:t>
      </w:r>
      <w:r w:rsidR="00237235">
        <w:t>would be less effective than other alternatives.</w:t>
      </w:r>
      <w:r w:rsidR="000015D1">
        <w:rPr>
          <w:rStyle w:val="FootnoteReference"/>
        </w:rPr>
        <w:footnoteReference w:id="50"/>
      </w:r>
    </w:p>
    <w:p w14:paraId="7D27C89F" w14:textId="2CEDDE87" w:rsidR="00DA605C" w:rsidRDefault="00323501" w:rsidP="003F05C7">
      <w:pPr>
        <w:pStyle w:val="Numberedparagraph"/>
      </w:pPr>
      <w:r w:rsidRPr="00041B02">
        <w:t xml:space="preserve">The </w:t>
      </w:r>
      <w:r w:rsidR="002A66C6" w:rsidRPr="00041B02">
        <w:t>offence was removed in 2015</w:t>
      </w:r>
      <w:r w:rsidR="00F821D8">
        <w:rPr>
          <w:rStyle w:val="FootnoteReference"/>
        </w:rPr>
        <w:footnoteReference w:id="51"/>
      </w:r>
      <w:r w:rsidR="009777AF">
        <w:t xml:space="preserve"> after a government commitment to repeal the 2014 changes</w:t>
      </w:r>
      <w:r w:rsidR="00DA605C">
        <w:t xml:space="preserve"> on the basis of </w:t>
      </w:r>
      <w:r w:rsidR="00521A3A">
        <w:t>‘</w:t>
      </w:r>
      <w:r w:rsidR="00DA605C">
        <w:rPr>
          <w:rFonts w:eastAsia="Times New Roman"/>
        </w:rPr>
        <w:t xml:space="preserve">international evidence that </w:t>
      </w:r>
      <w:r w:rsidR="00521A3A">
        <w:rPr>
          <w:rFonts w:eastAsia="Times New Roman"/>
        </w:rPr>
        <w:t>increasing the severity of punishment is ineffective in reducing recidivism, particularly by children and young people.’</w:t>
      </w:r>
      <w:r w:rsidR="007A2F3E">
        <w:rPr>
          <w:rStyle w:val="FootnoteReference"/>
          <w:rFonts w:eastAsia="Times New Roman"/>
        </w:rPr>
        <w:footnoteReference w:id="52"/>
      </w:r>
    </w:p>
    <w:p w14:paraId="3A9DED07" w14:textId="4B599DA6" w:rsidR="00E72C46" w:rsidRPr="00041B02" w:rsidRDefault="006F12A0" w:rsidP="003F05C7">
      <w:pPr>
        <w:pStyle w:val="Numberedparagraph"/>
      </w:pPr>
      <w:r w:rsidRPr="00041B02">
        <w:t xml:space="preserve">The Premier commented in 2017 </w:t>
      </w:r>
      <w:r w:rsidR="00F63790">
        <w:t>as follows</w:t>
      </w:r>
      <w:r w:rsidRPr="00041B02">
        <w:t>:</w:t>
      </w:r>
    </w:p>
    <w:p w14:paraId="34C82564" w14:textId="099F11FA" w:rsidR="006F12A0" w:rsidRPr="00041B02" w:rsidRDefault="006F12A0" w:rsidP="00F63790">
      <w:pPr>
        <w:pStyle w:val="Quote"/>
      </w:pPr>
      <w:r w:rsidRPr="00041B02">
        <w:t>Take the breach of bail offence for instance – the LNP introduced this while they were in Government but courts rarely heard these matters. In fact, less than 10 breaches of bail cases went before the court.</w:t>
      </w:r>
    </w:p>
    <w:p w14:paraId="7D4F4D02" w14:textId="36814910" w:rsidR="006F12A0" w:rsidRPr="00041B02" w:rsidRDefault="006F12A0" w:rsidP="00F63790">
      <w:pPr>
        <w:pStyle w:val="Quote"/>
      </w:pPr>
      <w:r w:rsidRPr="00041B02">
        <w:t>What’s more is that it did nothing to reduce the rates of young people who offended while on bail; it clearly did not act as a deterrent.</w:t>
      </w:r>
      <w:r w:rsidRPr="00041B02">
        <w:rPr>
          <w:rStyle w:val="FootnoteReference"/>
        </w:rPr>
        <w:footnoteReference w:id="53"/>
      </w:r>
    </w:p>
    <w:p w14:paraId="6BD7F6F3" w14:textId="28D6904D" w:rsidR="00947A53" w:rsidRPr="00947A53" w:rsidRDefault="00947A53" w:rsidP="00947A53">
      <w:pPr>
        <w:pStyle w:val="Numberedparagraph"/>
      </w:pPr>
      <w:r>
        <w:t xml:space="preserve">The Commission is unaware of any updates in international evidence </w:t>
      </w:r>
      <w:r w:rsidR="001B78EE">
        <w:t>produced</w:t>
      </w:r>
      <w:r>
        <w:t xml:space="preserve"> in the last </w:t>
      </w:r>
      <w:r w:rsidR="001B78EE">
        <w:t>8 years to show</w:t>
      </w:r>
      <w:r>
        <w:t xml:space="preserve"> that harsher penalties are effective in reducing </w:t>
      </w:r>
      <w:r>
        <w:lastRenderedPageBreak/>
        <w:t>recidivism.</w:t>
      </w:r>
      <w:r w:rsidR="004231DC">
        <w:t xml:space="preserve"> While a breach of bail </w:t>
      </w:r>
      <w:r w:rsidR="009B083A">
        <w:t xml:space="preserve">conditions </w:t>
      </w:r>
      <w:r w:rsidR="004231DC">
        <w:t>offence may be popular with some sectors of the community, if there is no objective evidence that it will be a deterrent, then</w:t>
      </w:r>
      <w:r w:rsidR="00144E0D">
        <w:t xml:space="preserve"> the</w:t>
      </w:r>
      <w:r w:rsidR="004231DC">
        <w:t xml:space="preserve"> law should not be amended.</w:t>
      </w:r>
    </w:p>
    <w:p w14:paraId="484B16F9" w14:textId="359594C5" w:rsidR="004231DC" w:rsidRPr="00947A53" w:rsidRDefault="004231DC" w:rsidP="00947A53">
      <w:pPr>
        <w:pStyle w:val="Numberedparagraph"/>
      </w:pPr>
      <w:r>
        <w:t xml:space="preserve">The 2014 </w:t>
      </w:r>
      <w:r w:rsidR="00105DA3">
        <w:t>amendment</w:t>
      </w:r>
      <w:r>
        <w:t xml:space="preserve"> </w:t>
      </w:r>
      <w:r w:rsidR="00105DA3">
        <w:t>was</w:t>
      </w:r>
      <w:r w:rsidR="00144E0D">
        <w:t xml:space="preserve"> at least </w:t>
      </w:r>
      <w:r w:rsidR="00C601E6">
        <w:t xml:space="preserve">a more proportionate </w:t>
      </w:r>
      <w:r w:rsidR="009A5486">
        <w:t>option</w:t>
      </w:r>
      <w:r w:rsidR="00C601E6">
        <w:t xml:space="preserve"> </w:t>
      </w:r>
      <w:r w:rsidR="00105DA3">
        <w:t>as it focussed</w:t>
      </w:r>
      <w:r w:rsidR="00C601E6">
        <w:t xml:space="preserve"> </w:t>
      </w:r>
      <w:r>
        <w:t xml:space="preserve">on </w:t>
      </w:r>
      <w:r>
        <w:rPr>
          <w:i/>
          <w:iCs/>
        </w:rPr>
        <w:t xml:space="preserve">criminal </w:t>
      </w:r>
      <w:r>
        <w:t>behaviour committed while on bail</w:t>
      </w:r>
      <w:r w:rsidR="005006DF">
        <w:t xml:space="preserve"> rather than criminalising behaviour </w:t>
      </w:r>
      <w:r w:rsidR="00D7133C">
        <w:t>which</w:t>
      </w:r>
      <w:r w:rsidR="005006DF">
        <w:t xml:space="preserve"> is otherwise not unlawful</w:t>
      </w:r>
      <w:r>
        <w:t>.</w:t>
      </w:r>
    </w:p>
    <w:p w14:paraId="3BCF2BD8" w14:textId="3A3C6784" w:rsidR="001F4D05" w:rsidRPr="00454134" w:rsidRDefault="001F4D05" w:rsidP="00D73161">
      <w:pPr>
        <w:pStyle w:val="Heading4"/>
        <w:rPr>
          <w:rFonts w:ascii="Arial" w:hAnsi="Arial" w:cs="Arial"/>
        </w:rPr>
      </w:pPr>
      <w:r w:rsidRPr="00454134">
        <w:rPr>
          <w:rFonts w:ascii="Arial" w:hAnsi="Arial" w:cs="Arial"/>
        </w:rPr>
        <w:t>Human rights issues</w:t>
      </w:r>
    </w:p>
    <w:p w14:paraId="5F1BE170" w14:textId="38FBB447" w:rsidR="00EB1699" w:rsidRPr="00041B02" w:rsidRDefault="00EB1699" w:rsidP="003F05C7">
      <w:pPr>
        <w:pStyle w:val="Numberedparagraph"/>
      </w:pPr>
      <w:r w:rsidRPr="00041B02">
        <w:t>Th</w:t>
      </w:r>
      <w:r w:rsidR="00A80481" w:rsidRPr="00041B02">
        <w:t xml:space="preserve">e Bill and Statement of Compatibility </w:t>
      </w:r>
      <w:r w:rsidR="002679A6">
        <w:t xml:space="preserve">for the current Bill </w:t>
      </w:r>
      <w:r w:rsidR="00A80481" w:rsidRPr="00041B02">
        <w:t xml:space="preserve">acknowledges that </w:t>
      </w:r>
      <w:r w:rsidR="000E5596" w:rsidRPr="00041B02">
        <w:t>the provision is</w:t>
      </w:r>
      <w:r w:rsidR="00A80481" w:rsidRPr="00041B02">
        <w:t xml:space="preserve"> not compatible with the HR Act</w:t>
      </w:r>
      <w:r w:rsidR="00FA0750" w:rsidRPr="00041B02">
        <w:t xml:space="preserve">, including because it directly contradicts the </w:t>
      </w:r>
      <w:r w:rsidR="00B03960" w:rsidRPr="00041B02">
        <w:rPr>
          <w:i/>
          <w:iCs/>
        </w:rPr>
        <w:t>Beijing Rules</w:t>
      </w:r>
      <w:r w:rsidR="00B03960" w:rsidRPr="00041B02">
        <w:rPr>
          <w:rStyle w:val="FootnoteReference"/>
        </w:rPr>
        <w:footnoteReference w:id="54"/>
      </w:r>
      <w:r w:rsidR="000E37FB" w:rsidRPr="00041B02">
        <w:rPr>
          <w:i/>
          <w:iCs/>
        </w:rPr>
        <w:t xml:space="preserve"> </w:t>
      </w:r>
      <w:r w:rsidR="000E37FB" w:rsidRPr="00041B02">
        <w:t xml:space="preserve">and the </w:t>
      </w:r>
      <w:r w:rsidR="00FE577C" w:rsidRPr="00041B02">
        <w:rPr>
          <w:i/>
          <w:iCs/>
        </w:rPr>
        <w:t>Havana Rules</w:t>
      </w:r>
      <w:r w:rsidR="00FE577C" w:rsidRPr="00041B02">
        <w:t>.</w:t>
      </w:r>
      <w:r w:rsidR="00FE577C" w:rsidRPr="00041B02">
        <w:rPr>
          <w:rStyle w:val="FootnoteReference"/>
        </w:rPr>
        <w:footnoteReference w:id="55"/>
      </w:r>
      <w:r w:rsidR="0081323C" w:rsidRPr="00041B02">
        <w:t xml:space="preserve"> </w:t>
      </w:r>
    </w:p>
    <w:p w14:paraId="32259F1D" w14:textId="137D8CDF" w:rsidR="00DD4C8B" w:rsidRPr="00041B02" w:rsidRDefault="00DD4C8B" w:rsidP="003F05C7">
      <w:pPr>
        <w:pStyle w:val="Numberedparagraph"/>
      </w:pPr>
      <w:r w:rsidRPr="00041B02">
        <w:t xml:space="preserve">The Statement of Compatibility does not justify the change except to say that </w:t>
      </w:r>
      <w:r w:rsidR="00B735F3" w:rsidRPr="00041B02">
        <w:t xml:space="preserve">it is to ‘ensure that young people comply with bail </w:t>
      </w:r>
      <w:r w:rsidR="00F8654C" w:rsidRPr="00041B02">
        <w:t>conditions</w:t>
      </w:r>
      <w:r w:rsidR="00B735F3" w:rsidRPr="00041B02">
        <w:t>.</w:t>
      </w:r>
      <w:r w:rsidR="00F8654C" w:rsidRPr="00041B02">
        <w:t>’</w:t>
      </w:r>
      <w:r w:rsidR="00B735F3" w:rsidRPr="00041B02">
        <w:t xml:space="preserve"> </w:t>
      </w:r>
      <w:r w:rsidR="004E6AB0" w:rsidRPr="00041B02">
        <w:t xml:space="preserve">The Statement fails to explain how </w:t>
      </w:r>
      <w:r w:rsidR="00462385">
        <w:t>making</w:t>
      </w:r>
      <w:r w:rsidR="004E6AB0" w:rsidRPr="00041B02">
        <w:t xml:space="preserve"> breach of bail </w:t>
      </w:r>
      <w:r w:rsidR="00462385">
        <w:t xml:space="preserve">conditions </w:t>
      </w:r>
      <w:r w:rsidR="004E6AB0" w:rsidRPr="00041B02">
        <w:t xml:space="preserve">as an offence </w:t>
      </w:r>
      <w:r w:rsidR="00462385">
        <w:t>for children</w:t>
      </w:r>
      <w:r w:rsidR="004E6AB0" w:rsidRPr="00041B02">
        <w:t xml:space="preserve"> will achieve better compliance</w:t>
      </w:r>
      <w:r w:rsidR="001E15F1" w:rsidRPr="00041B02">
        <w:t xml:space="preserve"> by young people</w:t>
      </w:r>
      <w:r w:rsidR="00462385">
        <w:t>.</w:t>
      </w:r>
      <w:r w:rsidR="004E4B6A">
        <w:t xml:space="preserve"> </w:t>
      </w:r>
      <w:r w:rsidR="00752C8A">
        <w:t>Taking this approach</w:t>
      </w:r>
      <w:r w:rsidR="004E4B6A">
        <w:t xml:space="preserve"> is directly contradictory to previous </w:t>
      </w:r>
      <w:r w:rsidR="00BA0528">
        <w:t>statements made by the current government about the value of a breach of bail conditions offence</w:t>
      </w:r>
      <w:r w:rsidR="004E6AB0" w:rsidRPr="00041B02">
        <w:t>.</w:t>
      </w:r>
    </w:p>
    <w:p w14:paraId="4CD569AC" w14:textId="57C89227" w:rsidR="00B257A4" w:rsidRPr="00454134" w:rsidRDefault="00414A29" w:rsidP="00D73161">
      <w:pPr>
        <w:pStyle w:val="Heading4"/>
        <w:rPr>
          <w:rFonts w:ascii="Arial" w:hAnsi="Arial" w:cs="Arial"/>
        </w:rPr>
      </w:pPr>
      <w:r w:rsidRPr="00454134">
        <w:rPr>
          <w:rFonts w:ascii="Arial" w:hAnsi="Arial" w:cs="Arial"/>
        </w:rPr>
        <w:t>Prop</w:t>
      </w:r>
      <w:r w:rsidR="003231E5" w:rsidRPr="00454134">
        <w:rPr>
          <w:rFonts w:ascii="Arial" w:hAnsi="Arial" w:cs="Arial"/>
        </w:rPr>
        <w:t xml:space="preserve">osed approach </w:t>
      </w:r>
      <w:r w:rsidR="00A55E85" w:rsidRPr="00454134">
        <w:rPr>
          <w:rFonts w:ascii="Arial" w:hAnsi="Arial" w:cs="Arial"/>
        </w:rPr>
        <w:t>likely to be unfair and ineffective</w:t>
      </w:r>
    </w:p>
    <w:p w14:paraId="4A7C4AEB" w14:textId="2F213A06" w:rsidR="00ED778A" w:rsidRPr="00041B02" w:rsidRDefault="00BC425A" w:rsidP="003F05C7">
      <w:pPr>
        <w:pStyle w:val="Numberedparagraph"/>
      </w:pPr>
      <w:r w:rsidRPr="00041B02">
        <w:t>Through</w:t>
      </w:r>
      <w:r w:rsidR="00E209B5" w:rsidRPr="00041B02">
        <w:t xml:space="preserve"> </w:t>
      </w:r>
      <w:r w:rsidR="00142653" w:rsidRPr="00041B02">
        <w:t>a breach of bail offence</w:t>
      </w:r>
      <w:r w:rsidR="00E209B5" w:rsidRPr="00041B02">
        <w:t xml:space="preserve">, a person is criminalised for actions that are not </w:t>
      </w:r>
      <w:r w:rsidR="002E40F7" w:rsidRPr="00041B02">
        <w:t>in ordinary circumstances</w:t>
      </w:r>
      <w:r w:rsidR="00E209B5" w:rsidRPr="00041B02">
        <w:t xml:space="preserve"> criminal actions. For example, if a young person </w:t>
      </w:r>
      <w:r w:rsidR="00487079" w:rsidRPr="00041B02">
        <w:t xml:space="preserve">stays out past their curfew </w:t>
      </w:r>
      <w:r w:rsidR="00C65411" w:rsidRPr="00041B02">
        <w:t xml:space="preserve">or </w:t>
      </w:r>
      <w:r w:rsidR="00FF794E">
        <w:t>changes</w:t>
      </w:r>
      <w:r w:rsidR="00BB6DB5" w:rsidRPr="00041B02">
        <w:t xml:space="preserve"> their </w:t>
      </w:r>
      <w:r w:rsidR="00A55068" w:rsidRPr="00041B02">
        <w:t>place of</w:t>
      </w:r>
      <w:r w:rsidR="00BB6DB5" w:rsidRPr="00041B02">
        <w:t xml:space="preserve"> residence</w:t>
      </w:r>
      <w:r w:rsidR="001A1A5C" w:rsidRPr="00041B02">
        <w:t>,</w:t>
      </w:r>
      <w:r w:rsidR="00EF7B99" w:rsidRPr="00041B02">
        <w:t xml:space="preserve"> </w:t>
      </w:r>
      <w:r w:rsidR="00487079" w:rsidRPr="00041B02">
        <w:t>t</w:t>
      </w:r>
      <w:r w:rsidR="006F05C2" w:rsidRPr="00041B02">
        <w:t>his behaviour is punished</w:t>
      </w:r>
      <w:r w:rsidR="00D1268A" w:rsidRPr="00041B02">
        <w:t xml:space="preserve"> as a criminal offence in </w:t>
      </w:r>
      <w:r w:rsidR="00393913">
        <w:t>addition</w:t>
      </w:r>
      <w:r w:rsidR="00393913" w:rsidRPr="00041B02">
        <w:t xml:space="preserve"> </w:t>
      </w:r>
      <w:r w:rsidR="00D1268A" w:rsidRPr="00041B02">
        <w:t>to</w:t>
      </w:r>
      <w:r w:rsidR="00393913">
        <w:t xml:space="preserve"> receiving</w:t>
      </w:r>
      <w:r w:rsidR="00D1268A" w:rsidRPr="00041B02">
        <w:t xml:space="preserve"> punishment for the initial </w:t>
      </w:r>
      <w:r w:rsidR="00593DDD" w:rsidRPr="00041B02">
        <w:t>offence</w:t>
      </w:r>
      <w:r w:rsidR="00D1268A" w:rsidRPr="00041B02">
        <w:t xml:space="preserve"> for which they are on bail.</w:t>
      </w:r>
      <w:r w:rsidR="002761B5" w:rsidRPr="00041B02">
        <w:t xml:space="preserve"> </w:t>
      </w:r>
    </w:p>
    <w:p w14:paraId="3A17FB5B" w14:textId="1AAB98CD" w:rsidR="001729A4" w:rsidRPr="000045E2" w:rsidRDefault="001729A4" w:rsidP="003F05C7">
      <w:pPr>
        <w:pStyle w:val="Numberedparagraph"/>
      </w:pPr>
      <w:r w:rsidRPr="000045E2">
        <w:t xml:space="preserve">A breach of bail </w:t>
      </w:r>
      <w:r w:rsidR="00E201B3" w:rsidRPr="000045E2">
        <w:t>offence</w:t>
      </w:r>
      <w:r w:rsidRPr="000045E2">
        <w:t xml:space="preserve"> could be especially punitive for a young person who is </w:t>
      </w:r>
      <w:r w:rsidR="002F53D9" w:rsidRPr="000045E2">
        <w:t>substance</w:t>
      </w:r>
      <w:r w:rsidR="00E3076A">
        <w:t>-</w:t>
      </w:r>
      <w:r w:rsidRPr="000045E2">
        <w:t>addicted</w:t>
      </w:r>
      <w:r w:rsidR="00185346" w:rsidRPr="000045E2">
        <w:t xml:space="preserve"> and has a </w:t>
      </w:r>
      <w:r w:rsidR="00170C72">
        <w:t>bail</w:t>
      </w:r>
      <w:r w:rsidR="00185346" w:rsidRPr="000045E2">
        <w:t xml:space="preserve"> condition not to consume alcohol or drugs. Diverting the child to a </w:t>
      </w:r>
      <w:r w:rsidR="00CA3A9C" w:rsidRPr="000045E2">
        <w:t>treatment program</w:t>
      </w:r>
      <w:r w:rsidR="0054785C" w:rsidRPr="000045E2">
        <w:t xml:space="preserve"> </w:t>
      </w:r>
      <w:r w:rsidR="009F1040" w:rsidRPr="000045E2">
        <w:t>may be a better course of action</w:t>
      </w:r>
      <w:r w:rsidR="00E201B3" w:rsidRPr="000045E2">
        <w:t xml:space="preserve"> </w:t>
      </w:r>
      <w:r w:rsidR="00185346" w:rsidRPr="000045E2">
        <w:t>instead</w:t>
      </w:r>
      <w:r w:rsidR="00E201B3" w:rsidRPr="000045E2">
        <w:t xml:space="preserve"> of </w:t>
      </w:r>
      <w:r w:rsidR="00DD4C8B" w:rsidRPr="000045E2">
        <w:t>further</w:t>
      </w:r>
      <w:r w:rsidR="00185346" w:rsidRPr="000045E2">
        <w:t xml:space="preserve"> criminalising this behaviour.</w:t>
      </w:r>
    </w:p>
    <w:p w14:paraId="2B711C54" w14:textId="77777777" w:rsidR="00FF464E" w:rsidRDefault="00835137" w:rsidP="003F05C7">
      <w:pPr>
        <w:pStyle w:val="Numberedparagraph"/>
      </w:pPr>
      <w:r w:rsidRPr="00041B02">
        <w:t xml:space="preserve">The current, and more appropriate course of action is for the court to reconsider whether </w:t>
      </w:r>
      <w:r w:rsidR="00FF464E">
        <w:t>a person should</w:t>
      </w:r>
      <w:r w:rsidR="004D7A8E" w:rsidRPr="00041B02">
        <w:t xml:space="preserve"> be</w:t>
      </w:r>
      <w:r w:rsidRPr="00041B02">
        <w:t xml:space="preserve"> </w:t>
      </w:r>
      <w:r w:rsidR="00FF464E">
        <w:t>instead remanded in custody,</w:t>
      </w:r>
      <w:r w:rsidRPr="00041B02">
        <w:t xml:space="preserve"> or </w:t>
      </w:r>
      <w:r w:rsidR="004D7A8E" w:rsidRPr="00041B02">
        <w:t>whether to</w:t>
      </w:r>
      <w:r w:rsidRPr="00041B02">
        <w:t xml:space="preserve"> place additional or different conditions on bail. </w:t>
      </w:r>
      <w:r w:rsidR="00D0428D" w:rsidRPr="00041B02">
        <w:t xml:space="preserve">As acknowledged by the Statement of Compatibility there are many alternative options including </w:t>
      </w:r>
      <w:r w:rsidR="00551756" w:rsidRPr="00041B02">
        <w:t>investing resources into bail support programs for children.</w:t>
      </w:r>
      <w:r w:rsidR="00551756" w:rsidRPr="00041B02">
        <w:rPr>
          <w:rStyle w:val="FootnoteReference"/>
        </w:rPr>
        <w:footnoteReference w:id="56"/>
      </w:r>
      <w:r w:rsidR="007C41C9" w:rsidRPr="00041B02">
        <w:t xml:space="preserve"> </w:t>
      </w:r>
    </w:p>
    <w:p w14:paraId="23CF9DCF" w14:textId="5634320E" w:rsidR="00835137" w:rsidRPr="00041B02" w:rsidRDefault="007C41C9" w:rsidP="003F05C7">
      <w:pPr>
        <w:pStyle w:val="Numberedparagraph"/>
      </w:pPr>
      <w:r w:rsidRPr="00041B02">
        <w:t>Bail support programs</w:t>
      </w:r>
      <w:r w:rsidR="00194421" w:rsidRPr="00041B02">
        <w:t>, which prioritise support over supervision</w:t>
      </w:r>
      <w:r w:rsidRPr="00041B02">
        <w:t xml:space="preserve"> are evidence-based</w:t>
      </w:r>
      <w:r w:rsidR="00194421" w:rsidRPr="00041B02">
        <w:t>. Such measures</w:t>
      </w:r>
      <w:r w:rsidRPr="00041B02">
        <w:t xml:space="preserve"> are much </w:t>
      </w:r>
      <w:r w:rsidR="00194421" w:rsidRPr="00041B02">
        <w:t>more</w:t>
      </w:r>
      <w:r w:rsidRPr="00041B02">
        <w:t xml:space="preserve"> likely to succeed than </w:t>
      </w:r>
      <w:r w:rsidR="00194421" w:rsidRPr="00041B02">
        <w:t xml:space="preserve">taking </w:t>
      </w:r>
      <w:r w:rsidRPr="00041B02">
        <w:t xml:space="preserve">a punitive approach because </w:t>
      </w:r>
      <w:r w:rsidR="00194421" w:rsidRPr="00041B02">
        <w:t xml:space="preserve">the program can work with the young person on an individual </w:t>
      </w:r>
      <w:r w:rsidR="00194421" w:rsidRPr="00041B02">
        <w:lastRenderedPageBreak/>
        <w:t>basis</w:t>
      </w:r>
      <w:r w:rsidRPr="00041B02">
        <w:t xml:space="preserve"> to understand and address why the child is </w:t>
      </w:r>
      <w:r w:rsidR="00194421" w:rsidRPr="00041B02">
        <w:t>struggling to</w:t>
      </w:r>
      <w:r w:rsidRPr="00041B02">
        <w:t xml:space="preserve"> meet their conditions.</w:t>
      </w:r>
      <w:r w:rsidR="00194421" w:rsidRPr="00041B02">
        <w:rPr>
          <w:rStyle w:val="FootnoteReference"/>
        </w:rPr>
        <w:footnoteReference w:id="57"/>
      </w:r>
    </w:p>
    <w:p w14:paraId="6B5E2F0C" w14:textId="6B6541D6" w:rsidR="002E40F7" w:rsidRPr="00041B02" w:rsidRDefault="00473713" w:rsidP="003F05C7">
      <w:pPr>
        <w:pStyle w:val="Numberedparagraph"/>
      </w:pPr>
      <w:r w:rsidRPr="00041B02">
        <w:t xml:space="preserve">The </w:t>
      </w:r>
      <w:r w:rsidR="009A27DA" w:rsidRPr="00041B02">
        <w:t>Atkinson</w:t>
      </w:r>
      <w:r w:rsidRPr="00041B02">
        <w:t xml:space="preserve"> report recommended that </w:t>
      </w:r>
      <w:r w:rsidR="00D05379" w:rsidRPr="00041B02">
        <w:t xml:space="preserve">to the greatest extent possible, bail conditions </w:t>
      </w:r>
      <w:r w:rsidR="00A15C40" w:rsidRPr="00041B02">
        <w:t>should</w:t>
      </w:r>
      <w:r w:rsidR="00D05379" w:rsidRPr="00041B02">
        <w:t xml:space="preserve"> not place </w:t>
      </w:r>
      <w:r w:rsidR="00194421" w:rsidRPr="00041B02">
        <w:t>unrealistic</w:t>
      </w:r>
      <w:r w:rsidR="00D05379" w:rsidRPr="00041B02">
        <w:t xml:space="preserve"> </w:t>
      </w:r>
      <w:r w:rsidR="009A27DA" w:rsidRPr="00041B02">
        <w:t>expectations</w:t>
      </w:r>
      <w:r w:rsidR="00D05379" w:rsidRPr="00041B02">
        <w:t xml:space="preserve"> on children </w:t>
      </w:r>
      <w:r w:rsidR="00194421" w:rsidRPr="00041B02">
        <w:t>while ensuring community</w:t>
      </w:r>
      <w:r w:rsidR="00B00FDC" w:rsidRPr="00041B02">
        <w:t xml:space="preserve"> safety</w:t>
      </w:r>
      <w:r w:rsidR="00194421" w:rsidRPr="00041B02">
        <w:t>.</w:t>
      </w:r>
      <w:r w:rsidR="00194421" w:rsidRPr="00041B02">
        <w:rPr>
          <w:rStyle w:val="FootnoteReference"/>
        </w:rPr>
        <w:footnoteReference w:id="58"/>
      </w:r>
      <w:r w:rsidR="00194421" w:rsidRPr="00041B02">
        <w:t xml:space="preserve"> </w:t>
      </w:r>
      <w:r w:rsidR="003B3A21" w:rsidRPr="00041B02">
        <w:t>A potential</w:t>
      </w:r>
      <w:r w:rsidR="002E40F7" w:rsidRPr="00041B02">
        <w:t xml:space="preserve"> perverse outcome of a breach of bail offence is that Magistrates may be more reticent to </w:t>
      </w:r>
      <w:r w:rsidR="00A64998" w:rsidRPr="00041B02">
        <w:t>place</w:t>
      </w:r>
      <w:r w:rsidR="002E40F7" w:rsidRPr="00041B02">
        <w:t xml:space="preserve"> conditions on bail because it may set children up to fail. </w:t>
      </w:r>
      <w:r w:rsidR="00127223" w:rsidRPr="00041B02">
        <w:t>E</w:t>
      </w:r>
      <w:r w:rsidR="007D6588" w:rsidRPr="00041B02">
        <w:t>xtending</w:t>
      </w:r>
      <w:r w:rsidR="00A200FB">
        <w:t xml:space="preserve"> the</w:t>
      </w:r>
      <w:r w:rsidR="002E40F7" w:rsidRPr="00041B02">
        <w:t xml:space="preserve"> breach of bail</w:t>
      </w:r>
      <w:r w:rsidR="007D6588" w:rsidRPr="00041B02">
        <w:t xml:space="preserve"> offence to minors may </w:t>
      </w:r>
      <w:r w:rsidR="00311A8E">
        <w:t>limit the use of</w:t>
      </w:r>
      <w:r w:rsidR="002E40F7" w:rsidRPr="00041B02">
        <w:t xml:space="preserve"> risk</w:t>
      </w:r>
      <w:r w:rsidR="00311A8E">
        <w:t xml:space="preserve"> </w:t>
      </w:r>
      <w:r w:rsidR="00A200FB">
        <w:t>mitigation achieved</w:t>
      </w:r>
      <w:r w:rsidR="00311A8E">
        <w:t xml:space="preserve"> </w:t>
      </w:r>
      <w:r w:rsidR="00A200FB">
        <w:t>through</w:t>
      </w:r>
      <w:r w:rsidR="00311A8E">
        <w:t xml:space="preserve"> setting reasonable conditions on bail</w:t>
      </w:r>
      <w:r w:rsidR="002E40F7" w:rsidRPr="00041B02">
        <w:t>, which ultimately fails to protect victims and the broader community.</w:t>
      </w:r>
    </w:p>
    <w:p w14:paraId="34A4C84C" w14:textId="5600628A" w:rsidR="00C55268" w:rsidRPr="00041B02" w:rsidRDefault="00760710" w:rsidP="003F05C7">
      <w:pPr>
        <w:pStyle w:val="Numberedparagraph"/>
      </w:pPr>
      <w:r w:rsidRPr="00041B02">
        <w:t xml:space="preserve">The Commission does not agree that a breach of bail offence for children will improve community safety. </w:t>
      </w:r>
      <w:r w:rsidR="00C55268" w:rsidRPr="00041B02">
        <w:t xml:space="preserve">At a </w:t>
      </w:r>
      <w:r w:rsidRPr="00041B02">
        <w:t xml:space="preserve">minimum, the Commission recommends that the </w:t>
      </w:r>
      <w:r w:rsidR="00950CEE" w:rsidRPr="00041B02">
        <w:t xml:space="preserve">offence </w:t>
      </w:r>
      <w:r w:rsidR="008C3831" w:rsidRPr="00041B02">
        <w:t>should not apply</w:t>
      </w:r>
      <w:r w:rsidR="00950CEE" w:rsidRPr="00041B02">
        <w:t xml:space="preserve"> to all breaches of bail conditions</w:t>
      </w:r>
      <w:r w:rsidR="008C3831" w:rsidRPr="00041B02">
        <w:t>,</w:t>
      </w:r>
      <w:r w:rsidR="00950CEE" w:rsidRPr="00041B02">
        <w:t xml:space="preserve"> but </w:t>
      </w:r>
      <w:r w:rsidR="00B87153" w:rsidRPr="00041B02">
        <w:t>be</w:t>
      </w:r>
      <w:r w:rsidR="008C3831" w:rsidRPr="00041B02">
        <w:t xml:space="preserve"> confined to</w:t>
      </w:r>
      <w:r w:rsidR="00950CEE" w:rsidRPr="00041B02">
        <w:t xml:space="preserve"> only </w:t>
      </w:r>
      <w:r w:rsidR="008C3831" w:rsidRPr="00041B02">
        <w:t>breaches</w:t>
      </w:r>
      <w:r w:rsidR="00950CEE" w:rsidRPr="00041B02">
        <w:t xml:space="preserve"> that are serious</w:t>
      </w:r>
      <w:r w:rsidR="00B87153" w:rsidRPr="00041B02">
        <w:t xml:space="preserve"> in nature, and that are</w:t>
      </w:r>
      <w:r w:rsidR="00950CEE" w:rsidRPr="00041B02">
        <w:t xml:space="preserve"> </w:t>
      </w:r>
      <w:r w:rsidR="00E66AB5" w:rsidRPr="00041B02">
        <w:t>not trivial, technical or that occur where there are exceptional circumstances, such as where a young person has been unable to maintain their conditions because their safety is in jeopardy.</w:t>
      </w:r>
    </w:p>
    <w:p w14:paraId="518095A8" w14:textId="41BA4649" w:rsidR="007E1470" w:rsidRDefault="007E1470" w:rsidP="003F05C7">
      <w:pPr>
        <w:pStyle w:val="Numberedparagraph"/>
      </w:pPr>
      <w:r>
        <w:t xml:space="preserve">Other </w:t>
      </w:r>
      <w:r w:rsidR="00FF09E6">
        <w:t xml:space="preserve">significantly less restrictive and reasonably available </w:t>
      </w:r>
      <w:r>
        <w:t>alternative options could include:</w:t>
      </w:r>
    </w:p>
    <w:p w14:paraId="15CF8364" w14:textId="2D3B0CAB" w:rsidR="00107CAB" w:rsidRDefault="00C26CBA" w:rsidP="007E1470">
      <w:pPr>
        <w:pStyle w:val="Numberedparagraph"/>
        <w:numPr>
          <w:ilvl w:val="1"/>
          <w:numId w:val="13"/>
        </w:numPr>
      </w:pPr>
      <w:r>
        <w:t xml:space="preserve">Increasing the number of bail assistance support </w:t>
      </w:r>
      <w:r w:rsidR="00A57AD9">
        <w:t>programs</w:t>
      </w:r>
      <w:r>
        <w:t xml:space="preserve"> in Queensland, particularly for youth offenders</w:t>
      </w:r>
      <w:r w:rsidR="00A57AD9">
        <w:t>, including by provi</w:t>
      </w:r>
      <w:r w:rsidR="000E3A7B">
        <w:t>ding accommodation and support to remain engaged in education.</w:t>
      </w:r>
    </w:p>
    <w:p w14:paraId="2547CA18" w14:textId="7FB675BB" w:rsidR="007E1470" w:rsidRPr="00041B02" w:rsidRDefault="0091236B" w:rsidP="007E1470">
      <w:pPr>
        <w:pStyle w:val="Numberedparagraph"/>
        <w:numPr>
          <w:ilvl w:val="1"/>
          <w:numId w:val="13"/>
        </w:numPr>
      </w:pPr>
      <w:r>
        <w:t>Creating an entry on a person’s criminal history where the court has made a finding that re-offending has occurred while on bail</w:t>
      </w:r>
      <w:r w:rsidR="00804809">
        <w:t>. This would allow breach of bail information to be available to the judiciary</w:t>
      </w:r>
      <w:r w:rsidR="00012FE1">
        <w:t>,</w:t>
      </w:r>
      <w:r w:rsidR="00804809">
        <w:t xml:space="preserve"> but further offences are not created.</w:t>
      </w:r>
      <w:r w:rsidR="00804809">
        <w:rPr>
          <w:rStyle w:val="FootnoteReference"/>
        </w:rPr>
        <w:footnoteReference w:id="59"/>
      </w:r>
    </w:p>
    <w:p w14:paraId="7F65187D" w14:textId="53DC50F5" w:rsidR="00FF464E" w:rsidRPr="00041B02" w:rsidRDefault="00FF464E" w:rsidP="00FF464E">
      <w:pPr>
        <w:pStyle w:val="Numberedparagraph"/>
      </w:pPr>
      <w:r w:rsidRPr="00041B02">
        <w:t>The Commission also questions whether breaches of bail offences will be included in the youth crime statistics recorded by the Children’s Court. If</w:t>
      </w:r>
      <w:r>
        <w:t xml:space="preserve"> breach of bail condition</w:t>
      </w:r>
      <w:r w:rsidRPr="00041B02">
        <w:t xml:space="preserve"> offences</w:t>
      </w:r>
      <w:r>
        <w:t xml:space="preserve"> are recorded</w:t>
      </w:r>
      <w:r w:rsidRPr="00041B02">
        <w:t xml:space="preserve"> in the same way as initial offences, the data will likely show a misleading increase in offending overall in years to come.</w:t>
      </w:r>
    </w:p>
    <w:p w14:paraId="2D2AD3F1" w14:textId="5FBCDA48" w:rsidR="0019588F" w:rsidRDefault="0019588F" w:rsidP="0019588F">
      <w:pPr>
        <w:pStyle w:val="Heading2"/>
      </w:pPr>
      <w:bookmarkStart w:id="24" w:name="_Toc128123995"/>
      <w:r>
        <w:t>New police powers of arrest</w:t>
      </w:r>
      <w:bookmarkEnd w:id="24"/>
    </w:p>
    <w:p w14:paraId="7DDA8EBB" w14:textId="1D1FBA0D" w:rsidR="008B3C72" w:rsidRPr="00041B02" w:rsidRDefault="00627810" w:rsidP="008B3C72">
      <w:pPr>
        <w:pStyle w:val="Numberedparagraph"/>
      </w:pPr>
      <w:r w:rsidRPr="00041B02">
        <w:t>Proposed s 59AA of</w:t>
      </w:r>
      <w:r w:rsidR="008B3C72" w:rsidRPr="00041B02">
        <w:t xml:space="preserve"> the Bill removes the requirement for police to consider alternatives to arrest if they reasonably suspect a child on bail for a prescribed indictable offence or certain domestic violence offences has contravened or is contravening a bail condition</w:t>
      </w:r>
      <w:r w:rsidR="006E3814" w:rsidRPr="00041B02">
        <w:t>. Of particular concern is s 59AA</w:t>
      </w:r>
      <w:r w:rsidR="0014692D" w:rsidRPr="00041B02">
        <w:t>(</w:t>
      </w:r>
      <w:r w:rsidR="006E3814" w:rsidRPr="00041B02">
        <w:t xml:space="preserve">2) which states that </w:t>
      </w:r>
      <w:r w:rsidR="0014692D" w:rsidRPr="00041B02">
        <w:t>t</w:t>
      </w:r>
      <w:r w:rsidR="006E3814" w:rsidRPr="00041B02">
        <w:t xml:space="preserve">he section applies if a police officer reasonably suspects a child </w:t>
      </w:r>
      <w:r w:rsidR="006E3814" w:rsidRPr="00041B02">
        <w:rPr>
          <w:b/>
          <w:bCs/>
        </w:rPr>
        <w:t xml:space="preserve">is likely </w:t>
      </w:r>
      <w:r w:rsidR="006E3814" w:rsidRPr="00041B02">
        <w:t xml:space="preserve">to </w:t>
      </w:r>
      <w:r w:rsidR="006E3814" w:rsidRPr="00041B02">
        <w:lastRenderedPageBreak/>
        <w:t>contravene a condition imposed on a grant of bail to the child for one of these offences</w:t>
      </w:r>
    </w:p>
    <w:p w14:paraId="29DD721C" w14:textId="22B4C00C" w:rsidR="008B3C72" w:rsidRPr="00041B02" w:rsidRDefault="006E3814" w:rsidP="008B3C72">
      <w:pPr>
        <w:pStyle w:val="Numberedparagraph"/>
      </w:pPr>
      <w:r w:rsidRPr="00041B02">
        <w:t xml:space="preserve">This appears a very low threshold, particularly when a bail condition may </w:t>
      </w:r>
      <w:r w:rsidR="00755F41" w:rsidRPr="00041B02">
        <w:t xml:space="preserve">require a child to engage, or not engage, in a broad range of conduct. Many such conditions would cover behaviour </w:t>
      </w:r>
      <w:r w:rsidR="00505483">
        <w:t xml:space="preserve">that is </w:t>
      </w:r>
      <w:r w:rsidR="00755F41" w:rsidRPr="00041B02">
        <w:t>not otherwise criminal</w:t>
      </w:r>
      <w:r w:rsidR="000A1AAA">
        <w:t xml:space="preserve"> in nature</w:t>
      </w:r>
      <w:r w:rsidR="00755F41" w:rsidRPr="00041B02">
        <w:t>. This provision</w:t>
      </w:r>
      <w:r w:rsidR="003A6260" w:rsidRPr="00041B02">
        <w:t xml:space="preserve"> would permit arrest when a police officer merely </w:t>
      </w:r>
      <w:r w:rsidR="00850223" w:rsidRPr="00041B02">
        <w:t xml:space="preserve">suspects that a young person is likely to engage in that conduct at some future time. There </w:t>
      </w:r>
      <w:r w:rsidR="00077F48">
        <w:t>are</w:t>
      </w:r>
      <w:r w:rsidR="00850223" w:rsidRPr="00041B02">
        <w:t xml:space="preserve"> no criteria or safeguards in the provision to </w:t>
      </w:r>
      <w:r w:rsidR="00932E72" w:rsidRPr="00041B02">
        <w:t>explain how a police officer is to form this opinion, and s 59AA(3) merely requires the officer to consi</w:t>
      </w:r>
      <w:r w:rsidR="006F1ADD" w:rsidRPr="00041B02">
        <w:t>d</w:t>
      </w:r>
      <w:r w:rsidR="00932E72" w:rsidRPr="00041B02">
        <w:t xml:space="preserve">er </w:t>
      </w:r>
      <w:r w:rsidR="006F1ADD" w:rsidRPr="00041B02">
        <w:t xml:space="preserve">one of the actions mentioned in s 59A(3)(a) to (c). </w:t>
      </w:r>
      <w:r w:rsidR="00755F41" w:rsidRPr="00041B02">
        <w:t xml:space="preserve"> </w:t>
      </w:r>
    </w:p>
    <w:p w14:paraId="5EFBCD10" w14:textId="4C6C959E" w:rsidR="00CB7749" w:rsidRPr="00041B02" w:rsidRDefault="00CB7749" w:rsidP="008B3C72">
      <w:pPr>
        <w:pStyle w:val="Numberedparagraph"/>
      </w:pPr>
      <w:r w:rsidRPr="00041B02">
        <w:t xml:space="preserve">The </w:t>
      </w:r>
      <w:r w:rsidR="00481BA6">
        <w:t>S</w:t>
      </w:r>
      <w:r>
        <w:t>tatement</w:t>
      </w:r>
      <w:r w:rsidRPr="00041B02">
        <w:t xml:space="preserve"> of </w:t>
      </w:r>
      <w:r w:rsidR="00481BA6">
        <w:t>C</w:t>
      </w:r>
      <w:r w:rsidR="0059618E">
        <w:t>ompatibility</w:t>
      </w:r>
      <w:r w:rsidRPr="00041B02">
        <w:t xml:space="preserve"> </w:t>
      </w:r>
      <w:r w:rsidR="001B5321" w:rsidRPr="00041B02">
        <w:t>does not discuss proposed</w:t>
      </w:r>
      <w:r w:rsidR="00CC6410" w:rsidRPr="00041B02">
        <w:t xml:space="preserve"> </w:t>
      </w:r>
      <w:r w:rsidR="001B5321" w:rsidRPr="00041B02">
        <w:t>s 59AA in detail, and merely asserts that the provision is compatible with human rights</w:t>
      </w:r>
      <w:r w:rsidR="00B6412C" w:rsidRPr="00041B02">
        <w:t xml:space="preserve">, primarily because of the obligations on a police officer as a public entity under s 58 of the HR Act. The statement does not discuss how </w:t>
      </w:r>
      <w:r w:rsidR="006C1576" w:rsidRPr="00041B02">
        <w:t xml:space="preserve">a </w:t>
      </w:r>
      <w:r w:rsidR="00965351" w:rsidRPr="00041B02">
        <w:t>child arrested under this provision could assert the unlawfulness of the arrest, nor does it specifically discuss why proposed s 59AA(2) is necessary and proportionate. A less restrictive option</w:t>
      </w:r>
      <w:r w:rsidR="00E64CD4" w:rsidRPr="00041B02">
        <w:t>, in relation to the rights to liberty (s 29</w:t>
      </w:r>
      <w:r w:rsidR="005916FB">
        <w:t xml:space="preserve"> HR Act</w:t>
      </w:r>
      <w:r w:rsidR="00E64CD4" w:rsidRPr="00041B02">
        <w:t>) and of children (s 26</w:t>
      </w:r>
      <w:r w:rsidR="005916FB">
        <w:t xml:space="preserve"> HR Act</w:t>
      </w:r>
      <w:r w:rsidR="00E64CD4" w:rsidRPr="00041B02">
        <w:t>),</w:t>
      </w:r>
      <w:r w:rsidR="00965351" w:rsidRPr="00041B02">
        <w:t xml:space="preserve"> would be to remove s 59AA(2) entirely.</w:t>
      </w:r>
      <w:r w:rsidR="001B5321" w:rsidRPr="00041B02">
        <w:t xml:space="preserve"> </w:t>
      </w:r>
      <w:r w:rsidR="00965351" w:rsidRPr="00041B02">
        <w:t>At a minimum, t</w:t>
      </w:r>
      <w:r w:rsidR="00C13C17" w:rsidRPr="00041B02">
        <w:t xml:space="preserve">he Commission suggests the </w:t>
      </w:r>
      <w:r w:rsidR="00711948" w:rsidRPr="00041B02">
        <w:t xml:space="preserve">potential use of this power </w:t>
      </w:r>
      <w:r w:rsidR="00C75A64" w:rsidRPr="00041B02">
        <w:t xml:space="preserve">requires </w:t>
      </w:r>
      <w:r w:rsidR="00E13E8D" w:rsidRPr="00041B02">
        <w:t>greater justification</w:t>
      </w:r>
      <w:r w:rsidR="00B637D0" w:rsidRPr="00041B02">
        <w:t xml:space="preserve">. </w:t>
      </w:r>
    </w:p>
    <w:p w14:paraId="5A0A8362" w14:textId="4BA29AB8" w:rsidR="79172BD2" w:rsidRDefault="00034E2B" w:rsidP="421534A8">
      <w:pPr>
        <w:pStyle w:val="Heading2"/>
      </w:pPr>
      <w:bookmarkStart w:id="25" w:name="_Toc128123996"/>
      <w:r>
        <w:t xml:space="preserve">Serious </w:t>
      </w:r>
      <w:r w:rsidR="005916FB">
        <w:t>repeat offender declaration</w:t>
      </w:r>
      <w:bookmarkEnd w:id="25"/>
    </w:p>
    <w:p w14:paraId="12D77637" w14:textId="6220537A" w:rsidR="004E785D" w:rsidRPr="00041B02" w:rsidRDefault="79172BD2" w:rsidP="00E7508C">
      <w:pPr>
        <w:pStyle w:val="Numberedparagraph"/>
        <w:rPr>
          <w:lang w:val="en-GB"/>
        </w:rPr>
      </w:pPr>
      <w:r w:rsidRPr="421534A8">
        <w:rPr>
          <w:lang w:val="en-US"/>
        </w:rPr>
        <w:t>Whil</w:t>
      </w:r>
      <w:r w:rsidR="0019099D">
        <w:rPr>
          <w:lang w:val="en-US"/>
        </w:rPr>
        <w:t>e</w:t>
      </w:r>
      <w:r w:rsidRPr="00041B02">
        <w:rPr>
          <w:lang w:val="en-US"/>
        </w:rPr>
        <w:t xml:space="preserve"> the principle of detention as a last resort remains in the </w:t>
      </w:r>
      <w:r w:rsidRPr="00293C8A">
        <w:rPr>
          <w:i/>
          <w:lang w:val="en-US"/>
        </w:rPr>
        <w:t xml:space="preserve">Youth Justice </w:t>
      </w:r>
      <w:r w:rsidR="004C3E24" w:rsidRPr="00293C8A">
        <w:rPr>
          <w:i/>
          <w:lang w:val="en-US"/>
        </w:rPr>
        <w:t>Act</w:t>
      </w:r>
      <w:r w:rsidR="00293C8A" w:rsidRPr="00293C8A">
        <w:rPr>
          <w:i/>
          <w:iCs/>
          <w:lang w:val="en-US"/>
        </w:rPr>
        <w:t xml:space="preserve"> 1992</w:t>
      </w:r>
      <w:r w:rsidR="00293C8A">
        <w:rPr>
          <w:lang w:val="en-US"/>
        </w:rPr>
        <w:t xml:space="preserve"> (</w:t>
      </w:r>
      <w:r w:rsidR="00293C8A" w:rsidRPr="00293C8A">
        <w:rPr>
          <w:b/>
          <w:bCs/>
          <w:lang w:val="en-US"/>
        </w:rPr>
        <w:t>YJ Act</w:t>
      </w:r>
      <w:r w:rsidR="00293C8A">
        <w:rPr>
          <w:lang w:val="en-US"/>
        </w:rPr>
        <w:t>)</w:t>
      </w:r>
      <w:r w:rsidRPr="421534A8">
        <w:rPr>
          <w:lang w:val="en-US"/>
        </w:rPr>
        <w:t>,</w:t>
      </w:r>
      <w:r w:rsidRPr="00041B02">
        <w:rPr>
          <w:lang w:val="en-US"/>
        </w:rPr>
        <w:t xml:space="preserve"> this is incompatible with the introduction of ‘serious repeat offender’ declarations. </w:t>
      </w:r>
    </w:p>
    <w:p w14:paraId="7AB58966" w14:textId="338C9E22" w:rsidR="005C6882" w:rsidRPr="00041B02" w:rsidRDefault="79172BD2" w:rsidP="00E7508C">
      <w:pPr>
        <w:pStyle w:val="Numberedparagraph"/>
        <w:rPr>
          <w:lang w:val="en-GB"/>
        </w:rPr>
      </w:pPr>
      <w:r w:rsidRPr="00041B02">
        <w:rPr>
          <w:lang w:val="en-US"/>
        </w:rPr>
        <w:t>If made, this declaration requires the court to have primary consideration</w:t>
      </w:r>
      <w:r w:rsidR="0075742E" w:rsidRPr="00041B02">
        <w:rPr>
          <w:lang w:val="en-US"/>
        </w:rPr>
        <w:t xml:space="preserve"> when sentencing</w:t>
      </w:r>
      <w:r w:rsidRPr="00041B02">
        <w:rPr>
          <w:lang w:val="en-US"/>
        </w:rPr>
        <w:t xml:space="preserve"> to the factors set out in s</w:t>
      </w:r>
      <w:r w:rsidR="00537B82">
        <w:rPr>
          <w:lang w:val="en-US"/>
        </w:rPr>
        <w:t xml:space="preserve"> </w:t>
      </w:r>
      <w:r w:rsidRPr="00041B02">
        <w:rPr>
          <w:lang w:val="en-US"/>
        </w:rPr>
        <w:t>150A(3)(a)-(e</w:t>
      </w:r>
      <w:r w:rsidR="005C6882" w:rsidRPr="00041B02">
        <w:rPr>
          <w:lang w:val="en-US"/>
        </w:rPr>
        <w:t>)</w:t>
      </w:r>
      <w:r w:rsidR="00AE37B5" w:rsidRPr="00041B02">
        <w:rPr>
          <w:lang w:val="en-US"/>
        </w:rPr>
        <w:t>, these being:</w:t>
      </w:r>
    </w:p>
    <w:p w14:paraId="71E2F527" w14:textId="371C6950" w:rsidR="00AE37B5" w:rsidRPr="00041B02" w:rsidRDefault="00BA67FB" w:rsidP="00731DDB">
      <w:pPr>
        <w:pStyle w:val="Numberedparagraph"/>
        <w:numPr>
          <w:ilvl w:val="1"/>
          <w:numId w:val="33"/>
        </w:numPr>
        <w:rPr>
          <w:lang w:val="en-GB"/>
        </w:rPr>
      </w:pPr>
      <w:r w:rsidRPr="00041B02">
        <w:rPr>
          <w:lang w:val="en-GB"/>
        </w:rPr>
        <w:t xml:space="preserve">The need to protect members of the community; and </w:t>
      </w:r>
    </w:p>
    <w:p w14:paraId="353A87B7" w14:textId="5674FC6A" w:rsidR="00BA67FB" w:rsidRPr="00041B02" w:rsidRDefault="00B5669C" w:rsidP="00731DDB">
      <w:pPr>
        <w:pStyle w:val="Numberedparagraph"/>
        <w:numPr>
          <w:ilvl w:val="1"/>
          <w:numId w:val="33"/>
        </w:numPr>
        <w:rPr>
          <w:lang w:val="en-GB"/>
        </w:rPr>
      </w:pPr>
      <w:r w:rsidRPr="00041B02">
        <w:rPr>
          <w:lang w:val="en-GB"/>
        </w:rPr>
        <w:t xml:space="preserve">The nature and extent of violence, if any, used in the commission of the offence; and </w:t>
      </w:r>
    </w:p>
    <w:p w14:paraId="67DF5B9E" w14:textId="6F96EE15" w:rsidR="00B5669C" w:rsidRPr="00041B02" w:rsidRDefault="005B588C" w:rsidP="00731DDB">
      <w:pPr>
        <w:pStyle w:val="Numberedparagraph"/>
        <w:numPr>
          <w:ilvl w:val="1"/>
          <w:numId w:val="33"/>
        </w:numPr>
        <w:rPr>
          <w:lang w:val="en-GB"/>
        </w:rPr>
      </w:pPr>
      <w:r w:rsidRPr="00041B02">
        <w:rPr>
          <w:lang w:val="en-GB"/>
        </w:rPr>
        <w:t xml:space="preserve">The extent of disregard by the child in the commission of the </w:t>
      </w:r>
      <w:r>
        <w:rPr>
          <w:lang w:val="en-GB"/>
        </w:rPr>
        <w:t>off</w:t>
      </w:r>
      <w:r w:rsidR="00E55F55">
        <w:rPr>
          <w:lang w:val="en-GB"/>
        </w:rPr>
        <w:t>e</w:t>
      </w:r>
      <w:r>
        <w:rPr>
          <w:lang w:val="en-GB"/>
        </w:rPr>
        <w:t>nce</w:t>
      </w:r>
      <w:r w:rsidRPr="00041B02">
        <w:rPr>
          <w:lang w:val="en-GB"/>
        </w:rPr>
        <w:t xml:space="preserve"> for the interests of public safety</w:t>
      </w:r>
      <w:r w:rsidR="00970CFF" w:rsidRPr="00041B02">
        <w:rPr>
          <w:lang w:val="en-GB"/>
        </w:rPr>
        <w:t xml:space="preserve">; and </w:t>
      </w:r>
    </w:p>
    <w:p w14:paraId="5DD3E52C" w14:textId="460F6508" w:rsidR="00970CFF" w:rsidRPr="00041B02" w:rsidRDefault="0058193F" w:rsidP="00731DDB">
      <w:pPr>
        <w:pStyle w:val="Numberedparagraph"/>
        <w:numPr>
          <w:ilvl w:val="1"/>
          <w:numId w:val="33"/>
        </w:numPr>
        <w:rPr>
          <w:lang w:val="en-GB"/>
        </w:rPr>
      </w:pPr>
      <w:r w:rsidRPr="00041B02">
        <w:rPr>
          <w:lang w:val="en-GB"/>
        </w:rPr>
        <w:t xml:space="preserve">The impact of the offence on public safety; and </w:t>
      </w:r>
    </w:p>
    <w:p w14:paraId="3FF816F4" w14:textId="49401F48" w:rsidR="0058193F" w:rsidRPr="00041B02" w:rsidRDefault="0058193F" w:rsidP="00731DDB">
      <w:pPr>
        <w:pStyle w:val="Numberedparagraph"/>
        <w:numPr>
          <w:ilvl w:val="1"/>
          <w:numId w:val="33"/>
        </w:numPr>
        <w:rPr>
          <w:lang w:val="en-GB"/>
        </w:rPr>
      </w:pPr>
      <w:r w:rsidRPr="00041B02">
        <w:rPr>
          <w:lang w:val="en-GB"/>
        </w:rPr>
        <w:t>The child’s previous offending and bail history</w:t>
      </w:r>
      <w:r w:rsidR="000F0DA7" w:rsidRPr="00041B02">
        <w:rPr>
          <w:lang w:val="en-GB"/>
        </w:rPr>
        <w:t>.</w:t>
      </w:r>
    </w:p>
    <w:p w14:paraId="4931BB23" w14:textId="1AE60EB5" w:rsidR="008736FD" w:rsidRPr="00041B02" w:rsidRDefault="008736FD" w:rsidP="00E7508C">
      <w:pPr>
        <w:pStyle w:val="Numberedparagraph"/>
        <w:rPr>
          <w:lang w:val="en-GB"/>
        </w:rPr>
      </w:pPr>
      <w:r w:rsidRPr="00041B02">
        <w:rPr>
          <w:lang w:val="en-GB"/>
        </w:rPr>
        <w:t>On the fa</w:t>
      </w:r>
      <w:r w:rsidR="00FF1D36" w:rsidRPr="00041B02">
        <w:rPr>
          <w:lang w:val="en-GB"/>
        </w:rPr>
        <w:t>ce</w:t>
      </w:r>
      <w:r w:rsidRPr="00041B02">
        <w:rPr>
          <w:lang w:val="en-GB"/>
        </w:rPr>
        <w:t xml:space="preserve"> of it, this would displace the sentencing considerations contained in s 150 of the </w:t>
      </w:r>
      <w:r w:rsidR="000632C8">
        <w:rPr>
          <w:lang w:val="en-GB"/>
        </w:rPr>
        <w:t>YJ Act</w:t>
      </w:r>
      <w:r w:rsidRPr="00041B02">
        <w:rPr>
          <w:i/>
          <w:iCs/>
          <w:lang w:val="en-GB"/>
        </w:rPr>
        <w:t xml:space="preserve">, </w:t>
      </w:r>
      <w:r w:rsidR="007153E0" w:rsidRPr="00041B02">
        <w:rPr>
          <w:lang w:val="en-GB"/>
        </w:rPr>
        <w:t xml:space="preserve">or at the very </w:t>
      </w:r>
      <w:r w:rsidR="006802F6" w:rsidRPr="00041B02">
        <w:rPr>
          <w:lang w:val="en-GB"/>
        </w:rPr>
        <w:t xml:space="preserve">least </w:t>
      </w:r>
      <w:r w:rsidR="00F52184" w:rsidRPr="00041B02">
        <w:rPr>
          <w:lang w:val="en-GB"/>
        </w:rPr>
        <w:t>require less weight to be placed upon them</w:t>
      </w:r>
      <w:r w:rsidR="002B3EA6">
        <w:rPr>
          <w:lang w:val="en-GB"/>
        </w:rPr>
        <w:t xml:space="preserve"> in </w:t>
      </w:r>
      <w:r w:rsidR="00537B82">
        <w:rPr>
          <w:lang w:val="en-GB"/>
        </w:rPr>
        <w:t>favour of the factors in s 150A(a)-(e)</w:t>
      </w:r>
      <w:r w:rsidR="003E6F27">
        <w:rPr>
          <w:lang w:val="en-GB"/>
        </w:rPr>
        <w:t>.</w:t>
      </w:r>
    </w:p>
    <w:p w14:paraId="1C46F8C7" w14:textId="618D5A70" w:rsidR="00F52184" w:rsidRPr="00041B02" w:rsidRDefault="00ED2981" w:rsidP="00E7508C">
      <w:pPr>
        <w:pStyle w:val="Numberedparagraph"/>
        <w:rPr>
          <w:lang w:val="en-GB"/>
        </w:rPr>
      </w:pPr>
      <w:r>
        <w:rPr>
          <w:lang w:val="en-GB"/>
        </w:rPr>
        <w:t>Sentencing c</w:t>
      </w:r>
      <w:r w:rsidR="002609E6">
        <w:rPr>
          <w:lang w:val="en-GB"/>
        </w:rPr>
        <w:t xml:space="preserve">onsiderations which </w:t>
      </w:r>
      <w:r w:rsidR="00D54E09">
        <w:rPr>
          <w:lang w:val="en-GB"/>
        </w:rPr>
        <w:t>would no longer be</w:t>
      </w:r>
      <w:r>
        <w:rPr>
          <w:lang w:val="en-GB"/>
        </w:rPr>
        <w:t xml:space="preserve"> considered ‘primary’ </w:t>
      </w:r>
      <w:r w:rsidR="0036324C">
        <w:rPr>
          <w:lang w:val="en-GB"/>
        </w:rPr>
        <w:t>would include</w:t>
      </w:r>
      <w:r w:rsidR="00F52184" w:rsidRPr="00041B02">
        <w:rPr>
          <w:lang w:val="en-GB"/>
        </w:rPr>
        <w:t xml:space="preserve"> the youth justice principles</w:t>
      </w:r>
      <w:r w:rsidR="003906DF" w:rsidRPr="00041B02">
        <w:rPr>
          <w:lang w:val="en-GB"/>
        </w:rPr>
        <w:t xml:space="preserve"> and the special considerations </w:t>
      </w:r>
      <w:r w:rsidR="00C51B93" w:rsidRPr="00041B02">
        <w:rPr>
          <w:lang w:val="en-GB"/>
        </w:rPr>
        <w:t>in s 150(2), including that</w:t>
      </w:r>
      <w:r w:rsidR="000E7E8C" w:rsidRPr="00041B02">
        <w:rPr>
          <w:lang w:val="en-GB"/>
        </w:rPr>
        <w:t xml:space="preserve"> detention should be imposed as a last </w:t>
      </w:r>
      <w:r w:rsidR="00C36795" w:rsidRPr="00041B02">
        <w:rPr>
          <w:lang w:val="en-GB"/>
        </w:rPr>
        <w:t>resort</w:t>
      </w:r>
      <w:r w:rsidR="000E7E8C" w:rsidRPr="00041B02">
        <w:rPr>
          <w:lang w:val="en-GB"/>
        </w:rPr>
        <w:t>.</w:t>
      </w:r>
      <w:r w:rsidR="00C36795" w:rsidRPr="00041B02">
        <w:rPr>
          <w:lang w:val="en-GB"/>
        </w:rPr>
        <w:t xml:space="preserve"> </w:t>
      </w:r>
    </w:p>
    <w:p w14:paraId="00E157E6" w14:textId="07F6EDFC" w:rsidR="000A56EB" w:rsidRPr="00041B02" w:rsidRDefault="00675F3C" w:rsidP="003768F0">
      <w:pPr>
        <w:pStyle w:val="Numberedparagraph"/>
        <w:rPr>
          <w:lang w:val="en-GB"/>
        </w:rPr>
      </w:pPr>
      <w:r w:rsidRPr="00041B02">
        <w:rPr>
          <w:lang w:val="en-US"/>
        </w:rPr>
        <w:lastRenderedPageBreak/>
        <w:t xml:space="preserve">The introduction of this new section is unnecessary. </w:t>
      </w:r>
      <w:r w:rsidR="00CD2B7F" w:rsidRPr="00041B02">
        <w:rPr>
          <w:lang w:val="en-US"/>
        </w:rPr>
        <w:t>A court sentencing an offender wil</w:t>
      </w:r>
      <w:r w:rsidR="00724D2F" w:rsidRPr="00041B02">
        <w:rPr>
          <w:lang w:val="en-US"/>
        </w:rPr>
        <w:t xml:space="preserve">l, under the current sentencing regime, consider all factors proposed in </w:t>
      </w:r>
      <w:r w:rsidR="00FB3F67" w:rsidRPr="00041B02">
        <w:rPr>
          <w:lang w:val="en-US"/>
        </w:rPr>
        <w:t>s</w:t>
      </w:r>
      <w:r w:rsidR="007A59DA" w:rsidRPr="00041B02">
        <w:rPr>
          <w:lang w:val="en-US"/>
        </w:rPr>
        <w:t xml:space="preserve"> 150A</w:t>
      </w:r>
      <w:r w:rsidR="002B455E" w:rsidRPr="00041B02">
        <w:rPr>
          <w:lang w:val="en-US"/>
        </w:rPr>
        <w:t>(3)(a)-(e) and</w:t>
      </w:r>
      <w:r w:rsidR="00401C6D" w:rsidRPr="00041B02">
        <w:rPr>
          <w:lang w:val="en-US"/>
        </w:rPr>
        <w:t xml:space="preserve"> weigh them </w:t>
      </w:r>
      <w:r w:rsidR="00505416" w:rsidRPr="00041B02">
        <w:rPr>
          <w:lang w:val="en-US"/>
        </w:rPr>
        <w:t xml:space="preserve">with all other relevant factors to come to a sentence that is </w:t>
      </w:r>
      <w:r w:rsidR="00266C19" w:rsidRPr="00041B02">
        <w:rPr>
          <w:lang w:val="en-US"/>
        </w:rPr>
        <w:t xml:space="preserve">appropriate taking into account all circumstances in the matter. </w:t>
      </w:r>
    </w:p>
    <w:p w14:paraId="743090D3" w14:textId="27DDFE24" w:rsidR="000A56EB" w:rsidRPr="00041B02" w:rsidRDefault="00581FA7" w:rsidP="000A56EB">
      <w:pPr>
        <w:pStyle w:val="Numberedparagraph"/>
        <w:rPr>
          <w:lang w:val="en-GB"/>
        </w:rPr>
      </w:pPr>
      <w:r w:rsidRPr="00041B02">
        <w:rPr>
          <w:lang w:val="en-US"/>
        </w:rPr>
        <w:t xml:space="preserve">By </w:t>
      </w:r>
      <w:r w:rsidR="007D445C" w:rsidRPr="00041B02">
        <w:rPr>
          <w:lang w:val="en-US"/>
        </w:rPr>
        <w:t>requiring a</w:t>
      </w:r>
      <w:r w:rsidR="00F35740" w:rsidRPr="00041B02">
        <w:rPr>
          <w:lang w:val="en-US"/>
        </w:rPr>
        <w:t xml:space="preserve"> court to place primary </w:t>
      </w:r>
      <w:r w:rsidR="00F51ABA" w:rsidRPr="00041B02">
        <w:rPr>
          <w:lang w:val="en-US"/>
        </w:rPr>
        <w:t xml:space="preserve">regard to factors </w:t>
      </w:r>
      <w:r w:rsidR="00E253C1" w:rsidRPr="00041B02">
        <w:rPr>
          <w:lang w:val="en-US"/>
        </w:rPr>
        <w:t>in s 150A(</w:t>
      </w:r>
      <w:r w:rsidR="00CB15F6" w:rsidRPr="00041B02">
        <w:rPr>
          <w:lang w:val="en-US"/>
        </w:rPr>
        <w:t>3)(a)-(e)</w:t>
      </w:r>
      <w:r w:rsidR="00B3584E" w:rsidRPr="00041B02">
        <w:rPr>
          <w:lang w:val="en-US"/>
        </w:rPr>
        <w:t>, this creates</w:t>
      </w:r>
      <w:r w:rsidRPr="00041B02">
        <w:rPr>
          <w:lang w:val="en-US"/>
        </w:rPr>
        <w:t xml:space="preserve"> a hierarchy of sentencing principles</w:t>
      </w:r>
      <w:r w:rsidR="003768F0" w:rsidRPr="00041B02">
        <w:rPr>
          <w:lang w:val="en-US"/>
        </w:rPr>
        <w:t xml:space="preserve"> and places </w:t>
      </w:r>
      <w:r w:rsidRPr="00041B02">
        <w:rPr>
          <w:lang w:val="en-US"/>
        </w:rPr>
        <w:t>constraints on the exercise of discretion by a sentencing court.</w:t>
      </w:r>
      <w:r w:rsidR="003768F0" w:rsidRPr="00041B02">
        <w:rPr>
          <w:lang w:val="en-US"/>
        </w:rPr>
        <w:t xml:space="preserve"> </w:t>
      </w:r>
    </w:p>
    <w:p w14:paraId="02A306E7" w14:textId="4A37C76D" w:rsidR="004C0A6C" w:rsidRPr="00041B02" w:rsidRDefault="00C41748" w:rsidP="00E7508C">
      <w:pPr>
        <w:pStyle w:val="Numberedparagraph"/>
        <w:rPr>
          <w:lang w:val="en-GB"/>
        </w:rPr>
      </w:pPr>
      <w:r w:rsidRPr="00041B02">
        <w:rPr>
          <w:lang w:val="en-GB"/>
        </w:rPr>
        <w:t>The serious re</w:t>
      </w:r>
      <w:r w:rsidR="00FA2675" w:rsidRPr="00041B02">
        <w:rPr>
          <w:lang w:val="en-GB"/>
        </w:rPr>
        <w:t>peat offender declaration may also</w:t>
      </w:r>
      <w:r w:rsidR="00095EB3" w:rsidRPr="00041B02">
        <w:rPr>
          <w:lang w:val="en-GB"/>
        </w:rPr>
        <w:t xml:space="preserve"> be in contradiction with long established principles articulated in </w:t>
      </w:r>
      <w:r w:rsidR="00095EB3" w:rsidRPr="00041B02">
        <w:rPr>
          <w:i/>
          <w:iCs/>
          <w:lang w:val="en-GB"/>
        </w:rPr>
        <w:t xml:space="preserve">Veen </w:t>
      </w:r>
      <w:r w:rsidR="00925CBD" w:rsidRPr="00041B02">
        <w:rPr>
          <w:i/>
          <w:iCs/>
          <w:lang w:val="en-GB"/>
        </w:rPr>
        <w:t>(No 2)</w:t>
      </w:r>
      <w:r w:rsidR="00F86363" w:rsidRPr="00041B02">
        <w:rPr>
          <w:lang w:val="en-GB"/>
        </w:rPr>
        <w:t>,</w:t>
      </w:r>
      <w:r w:rsidR="00FE3A5E" w:rsidRPr="00041B02">
        <w:rPr>
          <w:rStyle w:val="FootnoteReference"/>
          <w:lang w:val="en-GB"/>
        </w:rPr>
        <w:footnoteReference w:id="60"/>
      </w:r>
      <w:r w:rsidR="00F86363" w:rsidRPr="00041B02">
        <w:rPr>
          <w:lang w:val="en-GB"/>
        </w:rPr>
        <w:t xml:space="preserve"> which state</w:t>
      </w:r>
      <w:r w:rsidR="00E7665A">
        <w:rPr>
          <w:lang w:val="en-GB"/>
        </w:rPr>
        <w:t>:</w:t>
      </w:r>
    </w:p>
    <w:p w14:paraId="1927E93D" w14:textId="4BAC6EB5" w:rsidR="00F86363" w:rsidRPr="00041B02" w:rsidRDefault="00F86363" w:rsidP="00F86363">
      <w:pPr>
        <w:pStyle w:val="Numberedparagraph"/>
        <w:numPr>
          <w:ilvl w:val="0"/>
          <w:numId w:val="0"/>
        </w:numPr>
        <w:ind w:left="984"/>
        <w:rPr>
          <w:lang w:val="en-GB"/>
        </w:rPr>
      </w:pPr>
      <w:r w:rsidRPr="00041B02">
        <w:rPr>
          <w:i/>
          <w:iCs/>
          <w:lang w:val="en-GB"/>
        </w:rPr>
        <w:t>‘</w:t>
      </w:r>
      <w:r w:rsidR="007C26C2">
        <w:rPr>
          <w:i/>
          <w:iCs/>
          <w:lang w:val="en-GB"/>
        </w:rPr>
        <w:t>T</w:t>
      </w:r>
      <w:r w:rsidRPr="00041B02">
        <w:rPr>
          <w:i/>
          <w:iCs/>
          <w:lang w:val="en-GB"/>
        </w:rPr>
        <w:t>he antecedent criminal history of an offender is a factor which may be taken into account in determining the sentence to be imposed, but it cannot be given such weight as to lead to the imposition of a penalty which is disproportionate to the gravity of the instant offence’</w:t>
      </w:r>
      <w:r w:rsidRPr="00041B02">
        <w:rPr>
          <w:rStyle w:val="FootnoteReference"/>
          <w:i/>
          <w:iCs/>
          <w:lang w:val="en-GB"/>
        </w:rPr>
        <w:footnoteReference w:id="61"/>
      </w:r>
    </w:p>
    <w:p w14:paraId="2C627EFA" w14:textId="38166E32" w:rsidR="007C479B" w:rsidRDefault="00922333" w:rsidP="007C479B">
      <w:pPr>
        <w:pStyle w:val="Numberedparagraph"/>
      </w:pPr>
      <w:r w:rsidRPr="00041B02">
        <w:t xml:space="preserve">The making of a serious repeat offender declaration is predicated on </w:t>
      </w:r>
      <w:r w:rsidR="00362FDF" w:rsidRPr="00041B02">
        <w:t>a</w:t>
      </w:r>
      <w:r w:rsidRPr="00041B02">
        <w:t xml:space="preserve"> child’s criminal history</w:t>
      </w:r>
      <w:r w:rsidR="007D07CD" w:rsidRPr="00041B02">
        <w:t xml:space="preserve">. When made, it requires </w:t>
      </w:r>
      <w:r w:rsidR="00AC175F" w:rsidRPr="00041B02">
        <w:t xml:space="preserve">one of the </w:t>
      </w:r>
      <w:r w:rsidR="007D07CD" w:rsidRPr="00041B02">
        <w:t xml:space="preserve">primary </w:t>
      </w:r>
      <w:r w:rsidR="003E1A69" w:rsidRPr="00041B02">
        <w:t>consideration</w:t>
      </w:r>
      <w:r w:rsidR="00362FDF">
        <w:t>s</w:t>
      </w:r>
      <w:r w:rsidR="003E1A69" w:rsidRPr="00041B02">
        <w:t xml:space="preserve"> when sentencing to </w:t>
      </w:r>
      <w:r w:rsidR="009D5C95" w:rsidRPr="00041B02">
        <w:t>be a child’s criminal history</w:t>
      </w:r>
      <w:r w:rsidR="000677F0" w:rsidRPr="00041B02">
        <w:t xml:space="preserve">. This elevates the relevance of a child’s history beyond </w:t>
      </w:r>
      <w:r w:rsidR="004708A8" w:rsidRPr="00041B02">
        <w:t>‘</w:t>
      </w:r>
      <w:r w:rsidR="004708A8" w:rsidRPr="00041B02">
        <w:rPr>
          <w:i/>
          <w:iCs/>
        </w:rPr>
        <w:t>one factor that may be taken into account</w:t>
      </w:r>
      <w:r w:rsidR="004708A8" w:rsidRPr="00041B02">
        <w:t xml:space="preserve">’ and </w:t>
      </w:r>
      <w:r w:rsidR="00C037CD" w:rsidRPr="00041B02">
        <w:t xml:space="preserve">gives it weight which </w:t>
      </w:r>
      <w:r w:rsidR="001A2A27" w:rsidRPr="00041B02">
        <w:t xml:space="preserve">could result </w:t>
      </w:r>
      <w:r w:rsidR="00C037CD" w:rsidRPr="00041B02">
        <w:t xml:space="preserve">in the imposition of penalties disproportionate to the </w:t>
      </w:r>
      <w:r w:rsidR="00DC3D8D" w:rsidRPr="00041B02">
        <w:t xml:space="preserve">offence </w:t>
      </w:r>
      <w:r w:rsidR="00BB67B9" w:rsidRPr="00041B02">
        <w:t>a child is being sentenced for.</w:t>
      </w:r>
      <w:r w:rsidR="00231BA4" w:rsidRPr="00041B02">
        <w:t xml:space="preserve"> </w:t>
      </w:r>
    </w:p>
    <w:p w14:paraId="792812F9" w14:textId="047325C9" w:rsidR="008778BF" w:rsidRPr="00041B02" w:rsidRDefault="007C479B" w:rsidP="007C479B">
      <w:pPr>
        <w:pStyle w:val="Numberedparagraph"/>
      </w:pPr>
      <w:r>
        <w:t>D</w:t>
      </w:r>
      <w:r w:rsidR="00334D90">
        <w:t>isplacing the rehabilitation of a child as a primary sentencing consideration</w:t>
      </w:r>
      <w:r w:rsidR="000055FE">
        <w:t xml:space="preserve"> </w:t>
      </w:r>
      <w:r w:rsidR="001A20EF">
        <w:t xml:space="preserve">is </w:t>
      </w:r>
      <w:r w:rsidR="00F62DCE">
        <w:t xml:space="preserve">in breach of </w:t>
      </w:r>
      <w:r w:rsidR="007A2FF3">
        <w:t xml:space="preserve">the </w:t>
      </w:r>
      <w:r w:rsidR="00E40B64" w:rsidRPr="006407A9">
        <w:rPr>
          <w:i/>
          <w:iCs/>
        </w:rPr>
        <w:t>C</w:t>
      </w:r>
      <w:r w:rsidR="008265BE" w:rsidRPr="006407A9">
        <w:rPr>
          <w:i/>
          <w:iCs/>
        </w:rPr>
        <w:t>onvention</w:t>
      </w:r>
      <w:r w:rsidR="008265BE" w:rsidRPr="006407A9">
        <w:rPr>
          <w:i/>
        </w:rPr>
        <w:t xml:space="preserve"> of the </w:t>
      </w:r>
      <w:r w:rsidR="00341252">
        <w:rPr>
          <w:i/>
          <w:iCs/>
        </w:rPr>
        <w:t>R</w:t>
      </w:r>
      <w:r w:rsidR="008265BE" w:rsidRPr="006407A9">
        <w:rPr>
          <w:i/>
          <w:iCs/>
        </w:rPr>
        <w:t>ights</w:t>
      </w:r>
      <w:r w:rsidR="008265BE" w:rsidRPr="006407A9">
        <w:rPr>
          <w:i/>
        </w:rPr>
        <w:t xml:space="preserve"> of </w:t>
      </w:r>
      <w:r w:rsidR="00341252">
        <w:rPr>
          <w:i/>
          <w:iCs/>
        </w:rPr>
        <w:t>the</w:t>
      </w:r>
      <w:r w:rsidR="00341252" w:rsidRPr="006407A9">
        <w:rPr>
          <w:i/>
          <w:iCs/>
        </w:rPr>
        <w:t xml:space="preserve"> </w:t>
      </w:r>
      <w:r w:rsidR="00341252">
        <w:rPr>
          <w:i/>
          <w:iCs/>
        </w:rPr>
        <w:t>C</w:t>
      </w:r>
      <w:r w:rsidR="008265BE" w:rsidRPr="006407A9">
        <w:rPr>
          <w:i/>
          <w:iCs/>
        </w:rPr>
        <w:t>hild</w:t>
      </w:r>
      <w:r w:rsidR="00CF2B19">
        <w:rPr>
          <w:rStyle w:val="FootnoteReference"/>
        </w:rPr>
        <w:footnoteReference w:id="62"/>
      </w:r>
      <w:r w:rsidR="008265BE">
        <w:t xml:space="preserve"> and </w:t>
      </w:r>
      <w:r w:rsidR="00B32927">
        <w:t xml:space="preserve">rights in criminal proceedings, which provide that a child charged with a criminal offence has the right to </w:t>
      </w:r>
      <w:r w:rsidR="00FA4607">
        <w:t xml:space="preserve">a </w:t>
      </w:r>
      <w:r w:rsidR="00B32927">
        <w:t>procedure that takes account of the child’s age and the desirability of promoting the child’s rehabilitation.</w:t>
      </w:r>
      <w:r w:rsidR="00B32927">
        <w:rPr>
          <w:rStyle w:val="FootnoteReference"/>
        </w:rPr>
        <w:footnoteReference w:id="63"/>
      </w:r>
    </w:p>
    <w:p w14:paraId="7AA0C41F" w14:textId="77840D18" w:rsidR="004A2E6F" w:rsidRPr="00041B02" w:rsidRDefault="004C0A6C" w:rsidP="00063690">
      <w:pPr>
        <w:pStyle w:val="Numberedparagraph"/>
      </w:pPr>
      <w:r w:rsidRPr="00041B02">
        <w:t>The</w:t>
      </w:r>
      <w:r w:rsidR="008778BF">
        <w:t xml:space="preserve"> Government is undoubtedly aware of this as the</w:t>
      </w:r>
      <w:r w:rsidRPr="00041B02">
        <w:t xml:space="preserve"> Bill proposes that s 150A be subject to an override declaration, acknowledging that it is</w:t>
      </w:r>
      <w:r w:rsidR="00AC4F7B">
        <w:t xml:space="preserve"> fundamentally</w:t>
      </w:r>
      <w:r w:rsidRPr="00041B02">
        <w:t xml:space="preserve"> incompatible with human rights. </w:t>
      </w:r>
    </w:p>
    <w:p w14:paraId="78286B70" w14:textId="3C9BF8E5" w:rsidR="001B0249" w:rsidRDefault="009559F6" w:rsidP="009446F5">
      <w:pPr>
        <w:pStyle w:val="Heading2"/>
        <w:rPr>
          <w:lang w:val="en-GB"/>
        </w:rPr>
      </w:pPr>
      <w:bookmarkStart w:id="26" w:name="_Toc128123997"/>
      <w:r>
        <w:rPr>
          <w:lang w:val="en-GB"/>
        </w:rPr>
        <w:t>I</w:t>
      </w:r>
      <w:r w:rsidR="009446F5">
        <w:rPr>
          <w:lang w:val="en-GB"/>
        </w:rPr>
        <w:t>ntroduction of s</w:t>
      </w:r>
      <w:r w:rsidR="00CE5D52">
        <w:rPr>
          <w:lang w:val="en-GB"/>
        </w:rPr>
        <w:t>276A</w:t>
      </w:r>
      <w:bookmarkEnd w:id="26"/>
    </w:p>
    <w:p w14:paraId="73718508" w14:textId="4F8E367A" w:rsidR="000B3CFE" w:rsidRPr="00041B02" w:rsidRDefault="00CE5D52" w:rsidP="00CE5D52">
      <w:pPr>
        <w:pStyle w:val="Numberedparagraph"/>
      </w:pPr>
      <w:r w:rsidRPr="00041B02">
        <w:t xml:space="preserve">The </w:t>
      </w:r>
      <w:r w:rsidR="009C6C49">
        <w:t>B</w:t>
      </w:r>
      <w:r w:rsidR="00CC6F3E" w:rsidRPr="00041B02">
        <w:t xml:space="preserve">ill proposes amending the </w:t>
      </w:r>
      <w:r w:rsidR="000632C8">
        <w:t>YJ Act</w:t>
      </w:r>
      <w:r w:rsidR="00CC6F3E" w:rsidRPr="00041B02">
        <w:t>, to introduce a new s 27</w:t>
      </w:r>
      <w:r w:rsidR="000B3CFE" w:rsidRPr="00041B02">
        <w:t>6A.</w:t>
      </w:r>
    </w:p>
    <w:p w14:paraId="63356012" w14:textId="77777777" w:rsidR="00B938EB" w:rsidRPr="00041B02" w:rsidRDefault="000B3CFE" w:rsidP="00CE5D52">
      <w:pPr>
        <w:pStyle w:val="Numberedparagraph"/>
      </w:pPr>
      <w:r w:rsidRPr="00041B02">
        <w:t xml:space="preserve">This provision </w:t>
      </w:r>
      <w:r w:rsidR="008A29AC" w:rsidRPr="00041B02">
        <w:t>states that</w:t>
      </w:r>
      <w:r w:rsidR="00CE5D52" w:rsidRPr="00041B02">
        <w:t xml:space="preserve"> in the event a child breaches a conditional release order</w:t>
      </w:r>
      <w:r w:rsidR="008A29AC" w:rsidRPr="00041B02">
        <w:t xml:space="preserve"> (</w:t>
      </w:r>
      <w:r w:rsidR="008A29AC" w:rsidRPr="00824C26">
        <w:rPr>
          <w:b/>
          <w:bCs/>
        </w:rPr>
        <w:t>CRO</w:t>
      </w:r>
      <w:r w:rsidR="008A29AC" w:rsidRPr="00041B02">
        <w:t>)</w:t>
      </w:r>
      <w:r w:rsidR="00CE5D52" w:rsidRPr="00041B02">
        <w:t xml:space="preserve">, the court </w:t>
      </w:r>
      <w:r w:rsidR="00CE5D52" w:rsidRPr="00041B02">
        <w:rPr>
          <w:u w:val="single"/>
        </w:rPr>
        <w:t>must</w:t>
      </w:r>
      <w:r w:rsidR="00CE5D52" w:rsidRPr="00041B02">
        <w:t xml:space="preserve"> revoke the order and order the child serve the sentence of detention for which the conditional release order was made</w:t>
      </w:r>
      <w:r w:rsidR="00E2609B" w:rsidRPr="00041B02">
        <w:t>,</w:t>
      </w:r>
      <w:r w:rsidR="00CE5D52" w:rsidRPr="00041B02">
        <w:t xml:space="preserve"> unless </w:t>
      </w:r>
      <w:r w:rsidR="004F00F0" w:rsidRPr="00041B02">
        <w:t>there are s</w:t>
      </w:r>
      <w:r w:rsidR="004F2859" w:rsidRPr="00041B02">
        <w:t xml:space="preserve">pecial circumstances. </w:t>
      </w:r>
    </w:p>
    <w:p w14:paraId="207D2E54" w14:textId="47307A40" w:rsidR="0049594B" w:rsidRPr="00041B02" w:rsidRDefault="00272A25" w:rsidP="00CE5D52">
      <w:pPr>
        <w:pStyle w:val="Numberedparagraph"/>
      </w:pPr>
      <w:r w:rsidRPr="00041B02">
        <w:lastRenderedPageBreak/>
        <w:t xml:space="preserve">Unless special circumstances apply, courts will lose the option of </w:t>
      </w:r>
      <w:r w:rsidR="00377C5E" w:rsidRPr="00041B02">
        <w:t>revoking the conditional release order or allowing the order to</w:t>
      </w:r>
      <w:r w:rsidR="00D54456" w:rsidRPr="00041B02">
        <w:t xml:space="preserve"> continue for compliance. </w:t>
      </w:r>
    </w:p>
    <w:p w14:paraId="033F2FFC" w14:textId="4E8310D1" w:rsidR="002E33A2" w:rsidRPr="00041B02" w:rsidRDefault="0087777F" w:rsidP="00CE5D52">
      <w:pPr>
        <w:pStyle w:val="Numberedparagraph"/>
      </w:pPr>
      <w:r w:rsidRPr="00041B02">
        <w:t xml:space="preserve">A CRO is an intensive order, requiring large amounts of engagement from a child. It is worth noting that </w:t>
      </w:r>
      <w:r w:rsidR="00DD33E0" w:rsidRPr="00041B02">
        <w:t xml:space="preserve">a breach of a CRO does not necessarily arise due to </w:t>
      </w:r>
      <w:r w:rsidR="002E33A2" w:rsidRPr="00041B02">
        <w:t xml:space="preserve">further offending but could be something as simple as not attending a program or reporting as required. </w:t>
      </w:r>
    </w:p>
    <w:p w14:paraId="7BCBBEC6" w14:textId="23756B05" w:rsidR="00D54456" w:rsidRDefault="00D54456" w:rsidP="00CE5D52">
      <w:pPr>
        <w:pStyle w:val="Numberedparagraph"/>
      </w:pPr>
      <w:r w:rsidRPr="00041B02">
        <w:t xml:space="preserve">This section </w:t>
      </w:r>
      <w:r w:rsidR="005365CC" w:rsidRPr="00041B02">
        <w:t>ex</w:t>
      </w:r>
      <w:r w:rsidR="00FB5C83" w:rsidRPr="00041B02">
        <w:t xml:space="preserve">poses children to </w:t>
      </w:r>
      <w:r w:rsidR="009F1647" w:rsidRPr="00041B02">
        <w:t xml:space="preserve">potentially significant time in detention, for conduct that would not necessarily in itself be considered criminal. </w:t>
      </w:r>
    </w:p>
    <w:p w14:paraId="5DA89FB4" w14:textId="027BA090" w:rsidR="006903AE" w:rsidRPr="00041B02" w:rsidRDefault="006903AE" w:rsidP="00CE5D52">
      <w:pPr>
        <w:pStyle w:val="Numberedparagraph"/>
      </w:pPr>
      <w:r>
        <w:t xml:space="preserve">This section will disproportionately impact </w:t>
      </w:r>
      <w:r w:rsidR="00EE0522">
        <w:t xml:space="preserve">already disadvantaged children, particularly those without stable accommodation or who </w:t>
      </w:r>
      <w:r>
        <w:t>lack family support, including children under the care of the Department of Child Safet</w:t>
      </w:r>
      <w:r w:rsidR="00EE0522">
        <w:t>y.</w:t>
      </w:r>
    </w:p>
    <w:p w14:paraId="6CFC0D9C" w14:textId="03BE54A4" w:rsidR="421534A8" w:rsidRPr="00041B02" w:rsidRDefault="008B4A03" w:rsidP="421534A8">
      <w:pPr>
        <w:pStyle w:val="Numberedparagraph"/>
      </w:pPr>
      <w:r w:rsidRPr="00041B02">
        <w:t xml:space="preserve">By requiring that a court </w:t>
      </w:r>
      <w:r w:rsidRPr="00041B02">
        <w:rPr>
          <w:u w:val="single"/>
        </w:rPr>
        <w:t>must</w:t>
      </w:r>
      <w:r w:rsidRPr="00041B02">
        <w:t xml:space="preserve"> take a certain action, the Government is curtailing </w:t>
      </w:r>
      <w:r w:rsidR="00ED6AB3" w:rsidRPr="00041B02">
        <w:t>t</w:t>
      </w:r>
      <w:r w:rsidR="00F50ADA" w:rsidRPr="00041B02">
        <w:t>he discretion of the courts</w:t>
      </w:r>
      <w:r w:rsidR="00A26861" w:rsidRPr="00041B02">
        <w:t xml:space="preserve"> and failing to acknowledge that</w:t>
      </w:r>
      <w:r w:rsidR="00017F60" w:rsidRPr="00041B02">
        <w:t xml:space="preserve"> </w:t>
      </w:r>
      <w:r w:rsidR="005F52C6" w:rsidRPr="00041B02">
        <w:t>every</w:t>
      </w:r>
      <w:r w:rsidR="00A26861" w:rsidRPr="00041B02">
        <w:t xml:space="preserve"> matter </w:t>
      </w:r>
      <w:r w:rsidR="005F52C6" w:rsidRPr="00041B02">
        <w:t xml:space="preserve">before a court should be determined on its individual </w:t>
      </w:r>
      <w:r w:rsidR="00017F60" w:rsidRPr="00041B02">
        <w:t xml:space="preserve">facts. </w:t>
      </w:r>
    </w:p>
    <w:p w14:paraId="205C4250" w14:textId="68318F05" w:rsidR="00010B66" w:rsidRDefault="00175010" w:rsidP="421534A8">
      <w:pPr>
        <w:pStyle w:val="Numberedparagraph"/>
      </w:pPr>
      <w:r w:rsidRPr="00041B02">
        <w:t xml:space="preserve">This section is purely punitive and offers little scope for rehabilitation of a child and a child’s best interests to be considered. </w:t>
      </w:r>
    </w:p>
    <w:p w14:paraId="7CA7BD8C" w14:textId="16C97C23" w:rsidR="00C654AB" w:rsidRPr="00041B02" w:rsidRDefault="00C654AB" w:rsidP="421534A8">
      <w:pPr>
        <w:pStyle w:val="Numberedparagraph"/>
      </w:pPr>
      <w:r>
        <w:t xml:space="preserve">Again, the Commission highlights that the introduction of this provision </w:t>
      </w:r>
      <w:r w:rsidR="006317F5">
        <w:t>unreasonably limits the rights of children,</w:t>
      </w:r>
      <w:r w:rsidR="00CF2B19">
        <w:rPr>
          <w:rStyle w:val="FootnoteReference"/>
        </w:rPr>
        <w:footnoteReference w:id="64"/>
      </w:r>
      <w:r>
        <w:t xml:space="preserve"> and rights in criminal proceedings</w:t>
      </w:r>
      <w:r w:rsidR="002165B4">
        <w:t xml:space="preserve"> as it does not consider the desirability of promoting the child’s rehabilitation</w:t>
      </w:r>
      <w:r>
        <w:t>.</w:t>
      </w:r>
      <w:r>
        <w:rPr>
          <w:rStyle w:val="FootnoteReference"/>
        </w:rPr>
        <w:footnoteReference w:id="65"/>
      </w:r>
    </w:p>
    <w:p w14:paraId="20302599" w14:textId="3B2B909E" w:rsidR="0096269A" w:rsidRPr="00041B02" w:rsidRDefault="00743114" w:rsidP="421534A8">
      <w:pPr>
        <w:pStyle w:val="Numberedparagraph"/>
      </w:pPr>
      <w:r w:rsidRPr="00041B02">
        <w:t xml:space="preserve">The </w:t>
      </w:r>
      <w:r w:rsidR="004A2E6F" w:rsidRPr="00041B02">
        <w:t>B</w:t>
      </w:r>
      <w:r w:rsidRPr="00041B02">
        <w:t xml:space="preserve">ill proposes that </w:t>
      </w:r>
      <w:r w:rsidR="00162AEE" w:rsidRPr="00041B02">
        <w:t>s</w:t>
      </w:r>
      <w:r w:rsidR="00766FA1" w:rsidRPr="00041B02">
        <w:t xml:space="preserve"> 246A</w:t>
      </w:r>
      <w:r w:rsidRPr="00041B02">
        <w:t xml:space="preserve"> be subject to an override declaration, acknowledging that </w:t>
      </w:r>
      <w:r w:rsidR="00766FA1" w:rsidRPr="00041B02">
        <w:t>it</w:t>
      </w:r>
      <w:r w:rsidR="004D5F0E" w:rsidRPr="00041B02">
        <w:t xml:space="preserve"> is inc</w:t>
      </w:r>
      <w:r w:rsidR="00405165" w:rsidRPr="00041B02">
        <w:t>ompatible w</w:t>
      </w:r>
      <w:r w:rsidR="006258A3" w:rsidRPr="00041B02">
        <w:t xml:space="preserve">ith human rights. </w:t>
      </w:r>
    </w:p>
    <w:p w14:paraId="78C9DC03" w14:textId="558B541B" w:rsidR="008D551E" w:rsidRDefault="008D551E" w:rsidP="008D551E">
      <w:pPr>
        <w:pStyle w:val="Heading1"/>
      </w:pPr>
      <w:bookmarkStart w:id="27" w:name="_Toc128123998"/>
      <w:r>
        <w:t xml:space="preserve">Continued </w:t>
      </w:r>
      <w:r w:rsidR="000E767E">
        <w:t>inhumane</w:t>
      </w:r>
      <w:r>
        <w:t xml:space="preserve"> treatment of children</w:t>
      </w:r>
      <w:bookmarkEnd w:id="27"/>
    </w:p>
    <w:p w14:paraId="61F782D1" w14:textId="295357F5" w:rsidR="007B4DB8" w:rsidRPr="00041B02" w:rsidRDefault="007B4DB8" w:rsidP="005A2F31">
      <w:pPr>
        <w:pStyle w:val="Numberedparagraph"/>
      </w:pPr>
      <w:r w:rsidRPr="00041B02">
        <w:t xml:space="preserve">From the Commission’s perspective, </w:t>
      </w:r>
      <w:r w:rsidR="00C53154">
        <w:t>a</w:t>
      </w:r>
      <w:r w:rsidRPr="00041B02">
        <w:t xml:space="preserve"> crisis in the present youth justice system is the prolonged detention of children in police cells.</w:t>
      </w:r>
    </w:p>
    <w:p w14:paraId="4BBE3252" w14:textId="0C3C3AA7" w:rsidR="005A2F31" w:rsidRPr="00041B02" w:rsidRDefault="005A2F31" w:rsidP="005A2F31">
      <w:pPr>
        <w:pStyle w:val="Numberedparagraph"/>
      </w:pPr>
      <w:r w:rsidRPr="00041B02">
        <w:t xml:space="preserve">The Commission is deeply concerned about the lack of any plan to immediately cease the practice of prolonged watch house detention. </w:t>
      </w:r>
      <w:r w:rsidR="00C00136">
        <w:t>The</w:t>
      </w:r>
      <w:r w:rsidR="00C00136" w:rsidRPr="00041B02">
        <w:t xml:space="preserve"> </w:t>
      </w:r>
      <w:r w:rsidR="00CF41A3" w:rsidRPr="00041B02">
        <w:t>amendments</w:t>
      </w:r>
      <w:r w:rsidR="00C00136">
        <w:t xml:space="preserve"> proposed by this Bill</w:t>
      </w:r>
      <w:r w:rsidRPr="00041B02">
        <w:t xml:space="preserve"> will inevitably lead to greater pressure on detention centres and threaten to normalise the inhumane treatment of children by exposing them to an unacceptable risk of psychological and physical harm. </w:t>
      </w:r>
      <w:r w:rsidR="0047580B">
        <w:t>Keeping children in watch houses for prolonged periods</w:t>
      </w:r>
      <w:r w:rsidR="00AE370D" w:rsidRPr="00041B02">
        <w:t xml:space="preserve"> limits several human rights including humane treatment while in detention (s 30), </w:t>
      </w:r>
      <w:r w:rsidR="00FE6C24" w:rsidRPr="00041B02">
        <w:t xml:space="preserve">cruel, inhuman and degrading treatment (s 17) and </w:t>
      </w:r>
      <w:r w:rsidR="003E6554" w:rsidRPr="00041B02">
        <w:t xml:space="preserve">the special protection of children (s 26). </w:t>
      </w:r>
    </w:p>
    <w:p w14:paraId="361B484F" w14:textId="77777777" w:rsidR="007F6B8C" w:rsidRDefault="00CF41A3" w:rsidP="005A2F31">
      <w:pPr>
        <w:pStyle w:val="Numberedparagraph"/>
      </w:pPr>
      <w:r w:rsidRPr="00041B02">
        <w:lastRenderedPageBreak/>
        <w:t>The Commission has</w:t>
      </w:r>
      <w:r w:rsidR="00662555" w:rsidRPr="00041B02">
        <w:t xml:space="preserve"> heard troubling accounts of up to 11 children held for long periods in a single cell with only one toilet. </w:t>
      </w:r>
      <w:r w:rsidRPr="00041B02">
        <w:t xml:space="preserve">It is deeply </w:t>
      </w:r>
      <w:r w:rsidR="004A4D37" w:rsidRPr="00041B02">
        <w:t>concerning</w:t>
      </w:r>
      <w:r w:rsidRPr="00041B02">
        <w:t xml:space="preserve"> that this Bill will further exacerbate </w:t>
      </w:r>
      <w:r w:rsidR="00633B0E" w:rsidRPr="00041B02">
        <w:t xml:space="preserve">this </w:t>
      </w:r>
      <w:r w:rsidR="00F31E9C" w:rsidRPr="00041B02">
        <w:t>issue.</w:t>
      </w:r>
    </w:p>
    <w:p w14:paraId="2CD08E68" w14:textId="4EEE8CDF" w:rsidR="00662555" w:rsidRPr="00041B02" w:rsidRDefault="007F6B8C" w:rsidP="005A2F31">
      <w:pPr>
        <w:pStyle w:val="Numberedparagraph"/>
      </w:pPr>
      <w:r>
        <w:t>In light of the high rates of remand detention in Queensland, it seems</w:t>
      </w:r>
      <w:r w:rsidR="002A0F24">
        <w:t xml:space="preserve"> </w:t>
      </w:r>
      <w:r w:rsidR="00D83D8A">
        <w:t>the</w:t>
      </w:r>
      <w:r w:rsidR="00BF5AA8">
        <w:t xml:space="preserve"> youth justice</w:t>
      </w:r>
      <w:r w:rsidR="00D83D8A">
        <w:t xml:space="preserve"> </w:t>
      </w:r>
      <w:r w:rsidR="002645C4">
        <w:t xml:space="preserve">system is </w:t>
      </w:r>
      <w:r w:rsidR="00EA0F17">
        <w:t>warehous</w:t>
      </w:r>
      <w:r w:rsidR="00BF5AA8">
        <w:t>ing</w:t>
      </w:r>
      <w:r w:rsidR="002645C4">
        <w:t xml:space="preserve"> children </w:t>
      </w:r>
      <w:r w:rsidR="00EA0F17">
        <w:t xml:space="preserve">in </w:t>
      </w:r>
      <w:r w:rsidR="002A0F24">
        <w:t xml:space="preserve">cells originally designed for </w:t>
      </w:r>
      <w:r w:rsidR="002645C4">
        <w:t xml:space="preserve">the very </w:t>
      </w:r>
      <w:r w:rsidR="00EA24D9">
        <w:t>short-term</w:t>
      </w:r>
      <w:r w:rsidR="002645C4">
        <w:t xml:space="preserve"> detention of adults. </w:t>
      </w:r>
    </w:p>
    <w:p w14:paraId="15743311" w14:textId="19752CA6" w:rsidR="00162524" w:rsidRDefault="005B6BEB" w:rsidP="005B6BEB">
      <w:pPr>
        <w:pStyle w:val="Heading1"/>
      </w:pPr>
      <w:bookmarkStart w:id="28" w:name="_Toc128123999"/>
      <w:r>
        <w:t xml:space="preserve">Positive use of </w:t>
      </w:r>
      <w:r w:rsidR="00BB4B62">
        <w:t>m</w:t>
      </w:r>
      <w:r w:rsidR="00DA7663">
        <w:t>ulti</w:t>
      </w:r>
      <w:r w:rsidR="00665124">
        <w:t>-agency</w:t>
      </w:r>
      <w:r w:rsidR="00DA7663">
        <w:t xml:space="preserve"> </w:t>
      </w:r>
      <w:r w:rsidR="00A12CFC">
        <w:t>p</w:t>
      </w:r>
      <w:r w:rsidR="00DA7663">
        <w:t>anels</w:t>
      </w:r>
      <w:bookmarkEnd w:id="28"/>
    </w:p>
    <w:p w14:paraId="3E57A455" w14:textId="25D410AB" w:rsidR="00DA7663" w:rsidRPr="00041B02" w:rsidRDefault="003D2B6A" w:rsidP="00DA7663">
      <w:pPr>
        <w:pStyle w:val="Numberedparagraph"/>
      </w:pPr>
      <w:r w:rsidRPr="00041B02">
        <w:t>The Commission support</w:t>
      </w:r>
      <w:r w:rsidR="0028491B" w:rsidRPr="00041B02">
        <w:t>s</w:t>
      </w:r>
      <w:r w:rsidRPr="00041B02">
        <w:t xml:space="preserve"> one of the proposed amendments, </w:t>
      </w:r>
      <w:r w:rsidR="00665124" w:rsidRPr="00041B02">
        <w:t>being the establishment</w:t>
      </w:r>
      <w:r w:rsidR="009B211E" w:rsidRPr="00041B02">
        <w:t xml:space="preserve"> in clause 37</w:t>
      </w:r>
      <w:r w:rsidR="00665124" w:rsidRPr="00041B02">
        <w:t xml:space="preserve"> of statutory arrangements similar to the Suspect</w:t>
      </w:r>
      <w:r w:rsidR="004D3CF7" w:rsidRPr="00041B02">
        <w:t>ed</w:t>
      </w:r>
      <w:r w:rsidR="00665124" w:rsidRPr="00041B02">
        <w:t xml:space="preserve"> Child Abuse and </w:t>
      </w:r>
      <w:r w:rsidR="004D3CF7" w:rsidRPr="00041B02">
        <w:t>Neglect</w:t>
      </w:r>
      <w:r w:rsidR="00665124" w:rsidRPr="00041B02">
        <w:t xml:space="preserve"> (SCAN) system in the </w:t>
      </w:r>
      <w:r w:rsidR="00665124" w:rsidRPr="00041B02">
        <w:rPr>
          <w:i/>
          <w:iCs/>
        </w:rPr>
        <w:t xml:space="preserve">Children Protection Act 1999, </w:t>
      </w:r>
      <w:r w:rsidR="00665124" w:rsidRPr="00041B02">
        <w:t>to ensure the continuation of m</w:t>
      </w:r>
      <w:r w:rsidR="004D3CF7" w:rsidRPr="00041B02">
        <w:t>u</w:t>
      </w:r>
      <w:r w:rsidR="00665124" w:rsidRPr="00041B02">
        <w:t>lti-agency</w:t>
      </w:r>
      <w:r w:rsidR="004D3CF7" w:rsidRPr="00041B02">
        <w:t xml:space="preserve"> collaborative panels (MACPs). </w:t>
      </w:r>
      <w:r w:rsidR="00965D3D" w:rsidRPr="00041B02">
        <w:t xml:space="preserve">The purpose of these panels is to provide </w:t>
      </w:r>
      <w:r w:rsidR="00A7463C" w:rsidRPr="00041B02">
        <w:t>intensive case management and holistic support for children identified as high risk or requiring a collaborative response through a multi-agency and multidisciplinary approach.</w:t>
      </w:r>
    </w:p>
    <w:p w14:paraId="59FDA5E3" w14:textId="34013CCC" w:rsidR="00AA2CD4" w:rsidRPr="00041B02" w:rsidRDefault="00AA2CD4">
      <w:pPr>
        <w:pStyle w:val="Numberedparagraph"/>
      </w:pPr>
      <w:r w:rsidRPr="00041B02">
        <w:t xml:space="preserve">Proposed section 282W of </w:t>
      </w:r>
      <w:r w:rsidRPr="00D83F97">
        <w:t>the YJ Act will</w:t>
      </w:r>
      <w:r w:rsidRPr="00041B02">
        <w:t xml:space="preserve"> provide that the chief executive must decide, in consultation with the core members, the classes of children charged with offences</w:t>
      </w:r>
      <w:r w:rsidR="0086792D">
        <w:t>,</w:t>
      </w:r>
      <w:r w:rsidRPr="00041B02">
        <w:t xml:space="preserve"> </w:t>
      </w:r>
      <w:r w:rsidRPr="0086792D">
        <w:rPr>
          <w:b/>
        </w:rPr>
        <w:t>or at risk of being charged with offences</w:t>
      </w:r>
      <w:r w:rsidR="0086792D">
        <w:rPr>
          <w:b/>
          <w:bCs/>
        </w:rPr>
        <w:t>,</w:t>
      </w:r>
      <w:r w:rsidRPr="00041B02">
        <w:t xml:space="preserve"> who may be referred to the MACP system, and that the members of the MACP system may refer a child within an eligible category.</w:t>
      </w:r>
    </w:p>
    <w:p w14:paraId="161904F7" w14:textId="763BCA69" w:rsidR="00DA7663" w:rsidRPr="00041B02" w:rsidRDefault="00994A3A" w:rsidP="00DA7663">
      <w:pPr>
        <w:pStyle w:val="Numberedparagraph"/>
      </w:pPr>
      <w:r w:rsidRPr="00041B02">
        <w:t xml:space="preserve">The Commission </w:t>
      </w:r>
      <w:r w:rsidR="007E61EA" w:rsidRPr="00041B02">
        <w:t>particularly supports</w:t>
      </w:r>
      <w:r w:rsidRPr="00041B02">
        <w:t xml:space="preserve"> </w:t>
      </w:r>
      <w:r w:rsidR="00A5080D" w:rsidRPr="00041B02">
        <w:t xml:space="preserve"> </w:t>
      </w:r>
      <w:r w:rsidRPr="00041B02">
        <w:t xml:space="preserve">the ability for </w:t>
      </w:r>
      <w:r w:rsidR="00DA7663" w:rsidRPr="00041B02">
        <w:t xml:space="preserve">‘at risk’ young people </w:t>
      </w:r>
      <w:r w:rsidRPr="00041B02">
        <w:t xml:space="preserve">to be referred </w:t>
      </w:r>
      <w:r w:rsidR="00A5080D">
        <w:t>to</w:t>
      </w:r>
      <w:r w:rsidR="00A5080D" w:rsidRPr="00041B02">
        <w:t xml:space="preserve"> </w:t>
      </w:r>
      <w:r w:rsidRPr="00041B02">
        <w:t xml:space="preserve">what could be </w:t>
      </w:r>
      <w:r w:rsidR="007E61EA" w:rsidRPr="00041B02">
        <w:t>life-changing intervention and prevention</w:t>
      </w:r>
      <w:r w:rsidR="0050755F" w:rsidRPr="00041B02">
        <w:t xml:space="preserve"> </w:t>
      </w:r>
      <w:r w:rsidR="00A5080D">
        <w:t>programs</w:t>
      </w:r>
      <w:r w:rsidR="007E61EA" w:rsidRPr="00041B02">
        <w:t>. This has the potential to be a particularly effective intervention</w:t>
      </w:r>
      <w:r w:rsidR="0050755F" w:rsidRPr="00041B02">
        <w:t xml:space="preserve"> in situations where schools refer young people. </w:t>
      </w:r>
    </w:p>
    <w:p w14:paraId="575F2631" w14:textId="571C2C37" w:rsidR="002F2D97" w:rsidRPr="00041B02" w:rsidRDefault="004C3D32" w:rsidP="00DA7663">
      <w:pPr>
        <w:pStyle w:val="Numberedparagraph"/>
      </w:pPr>
      <w:r w:rsidRPr="00041B02">
        <w:t>However, in order to be effective and proportionate limit the right to privacy and other rights of these children, identified in the Statement of Compatibility, sufficient r</w:t>
      </w:r>
      <w:r w:rsidR="002F2D97" w:rsidRPr="00041B02">
        <w:t>esources should be</w:t>
      </w:r>
      <w:r w:rsidRPr="00041B02">
        <w:t xml:space="preserve"> provided to ensure these panels are able to engage in meaningful</w:t>
      </w:r>
      <w:r w:rsidR="00D36D2C">
        <w:t>,</w:t>
      </w:r>
      <w:r w:rsidRPr="00041B02">
        <w:t xml:space="preserve"> preventative work for children at risk</w:t>
      </w:r>
      <w:r w:rsidR="002F2D97" w:rsidRPr="00041B02">
        <w:t xml:space="preserve">. </w:t>
      </w:r>
    </w:p>
    <w:p w14:paraId="1741E291" w14:textId="1D3D704A" w:rsidR="0050755F" w:rsidRPr="00041B02" w:rsidRDefault="0050755F" w:rsidP="00DA7663">
      <w:pPr>
        <w:pStyle w:val="Numberedparagraph"/>
      </w:pPr>
      <w:r w:rsidRPr="00041B02">
        <w:t xml:space="preserve">The Commission </w:t>
      </w:r>
      <w:r w:rsidR="005244BE">
        <w:t>recommends</w:t>
      </w:r>
      <w:r w:rsidRPr="00041B02">
        <w:t xml:space="preserve"> the government should provide more information on how it will fund and implement these changes, including whether schools will receive greater resources to facilitate such referrals. </w:t>
      </w:r>
    </w:p>
    <w:p w14:paraId="6E90BAC1" w14:textId="0FF3C25D" w:rsidR="008D551E" w:rsidRDefault="008D551E" w:rsidP="00374D39">
      <w:pPr>
        <w:pStyle w:val="Heading1"/>
      </w:pPr>
      <w:bookmarkStart w:id="29" w:name="_Toc128124000"/>
      <w:r w:rsidRPr="008D551E">
        <w:t>Conclusion</w:t>
      </w:r>
      <w:bookmarkEnd w:id="29"/>
    </w:p>
    <w:p w14:paraId="262A66B1" w14:textId="2B64EEE3" w:rsidR="00441DA5" w:rsidRPr="00041B02" w:rsidRDefault="00EE3950" w:rsidP="00441DA5">
      <w:pPr>
        <w:pStyle w:val="Numberedparagraph"/>
      </w:pPr>
      <w:r>
        <w:t>In the Commissions view,</w:t>
      </w:r>
      <w:r w:rsidR="00441DA5">
        <w:t xml:space="preserve"> the Bill will not reduce</w:t>
      </w:r>
      <w:r w:rsidR="00441DA5" w:rsidRPr="00041B02">
        <w:t xml:space="preserve"> recidivism, increase community safety </w:t>
      </w:r>
      <w:r w:rsidR="00441DA5">
        <w:t>or</w:t>
      </w:r>
      <w:r w:rsidR="00441DA5" w:rsidRPr="00041B02">
        <w:t xml:space="preserve"> rehabilitate our children. </w:t>
      </w:r>
    </w:p>
    <w:p w14:paraId="649C5BC1" w14:textId="6ED14E6D" w:rsidR="00E771C7" w:rsidRDefault="00E01B9E" w:rsidP="009A0448">
      <w:pPr>
        <w:pStyle w:val="Numberedparagraph"/>
      </w:pPr>
      <w:r w:rsidRPr="00E771C7">
        <w:t>Overriding</w:t>
      </w:r>
      <w:r w:rsidR="00E771C7" w:rsidRPr="00E771C7">
        <w:t xml:space="preserve"> the human rights of children in the Queensland justice system has not been justified by the statement about exceptional circumstances, or the statement of compatibility.</w:t>
      </w:r>
    </w:p>
    <w:p w14:paraId="49220264" w14:textId="3EEC94E8" w:rsidR="00D96AA2" w:rsidRPr="00041B02" w:rsidRDefault="009A0448" w:rsidP="00B55707">
      <w:pPr>
        <w:pStyle w:val="Numberedparagraph"/>
      </w:pPr>
      <w:r w:rsidRPr="00041B02">
        <w:lastRenderedPageBreak/>
        <w:t>The Commission suggests t</w:t>
      </w:r>
      <w:r w:rsidR="00A95118" w:rsidRPr="00041B02">
        <w:t xml:space="preserve">he only way to </w:t>
      </w:r>
      <w:r w:rsidR="00C16731">
        <w:t>properly address youth justice reform</w:t>
      </w:r>
      <w:r w:rsidR="00A95118" w:rsidRPr="00041B02">
        <w:t xml:space="preserve"> is </w:t>
      </w:r>
      <w:r w:rsidR="001B6B39" w:rsidRPr="00041B02">
        <w:t xml:space="preserve">for the government to </w:t>
      </w:r>
      <w:r w:rsidR="00CA3466">
        <w:t>widely</w:t>
      </w:r>
      <w:r w:rsidR="001B6B39" w:rsidRPr="00041B02">
        <w:t xml:space="preserve"> engage in meaningful consultation, and properly consider evidence-based solutions.</w:t>
      </w:r>
      <w:r w:rsidR="00D96AA2" w:rsidRPr="00041B02">
        <w:t xml:space="preserve"> That consultation must include engagement with victims</w:t>
      </w:r>
      <w:r w:rsidR="00B55707" w:rsidRPr="00041B02">
        <w:t xml:space="preserve"> of crime</w:t>
      </w:r>
      <w:r w:rsidR="00D96AA2" w:rsidRPr="00041B02">
        <w:t>, young people, legal</w:t>
      </w:r>
      <w:r w:rsidR="0087360A">
        <w:t>, criminology and sociology</w:t>
      </w:r>
      <w:r w:rsidR="00D96AA2" w:rsidRPr="00041B02">
        <w:t xml:space="preserve"> experts and </w:t>
      </w:r>
      <w:r w:rsidR="004302A9">
        <w:t>community organisations</w:t>
      </w:r>
      <w:r w:rsidR="00D96AA2" w:rsidRPr="00041B02">
        <w:t xml:space="preserve"> such as </w:t>
      </w:r>
      <w:r w:rsidR="004302A9">
        <w:t>those representing</w:t>
      </w:r>
      <w:r w:rsidR="00D96AA2" w:rsidRPr="00041B02">
        <w:t xml:space="preserve"> Aboriginal and Torres Strait Islander organisations and communities. The community is ready to be part of finding evidence-based solutions to these complex issues. </w:t>
      </w:r>
    </w:p>
    <w:p w14:paraId="2D04D76C" w14:textId="77777777" w:rsidR="005C1BE0" w:rsidRDefault="00E04A29" w:rsidP="008D45CB">
      <w:pPr>
        <w:pStyle w:val="Numberedparagraph"/>
      </w:pPr>
      <w:r w:rsidRPr="00041B02">
        <w:t xml:space="preserve">The </w:t>
      </w:r>
      <w:r w:rsidR="00C16731" w:rsidRPr="00041B02">
        <w:t>Comm</w:t>
      </w:r>
      <w:r w:rsidR="00C16731">
        <w:t xml:space="preserve">ittee should recommend that the Bill not be </w:t>
      </w:r>
      <w:r w:rsidRPr="00041B02">
        <w:t>passed</w:t>
      </w:r>
      <w:r w:rsidR="00967728">
        <w:t>. I</w:t>
      </w:r>
      <w:r w:rsidR="00BE6BA1" w:rsidRPr="00041B02">
        <w:t xml:space="preserve">t does not demonstrate any limitations on human rights are </w:t>
      </w:r>
      <w:r w:rsidR="003B5870" w:rsidRPr="00041B02">
        <w:t>proportionate</w:t>
      </w:r>
      <w:r w:rsidR="00BE6BA1" w:rsidRPr="00041B02">
        <w:t xml:space="preserve">, particularly when the Bill will not achieve its purpose. </w:t>
      </w:r>
    </w:p>
    <w:p w14:paraId="6B8D2641" w14:textId="2E43DD07" w:rsidR="00E04A29" w:rsidRPr="00041B02" w:rsidRDefault="00E53BD3" w:rsidP="008D45CB">
      <w:pPr>
        <w:pStyle w:val="Numberedparagraph"/>
      </w:pPr>
      <w:r>
        <w:t>The Commission recommends Parliament not apply</w:t>
      </w:r>
      <w:r w:rsidR="00BE6BA1" w:rsidRPr="00041B02">
        <w:t xml:space="preserve"> the override declaration as this is not an example of </w:t>
      </w:r>
      <w:r w:rsidR="003B5870" w:rsidRPr="00041B02">
        <w:t>exceptional circumstances</w:t>
      </w:r>
      <w:r w:rsidR="00407B31" w:rsidRPr="00041B02">
        <w:t>, nor is it reasonable to limit the rights identified</w:t>
      </w:r>
      <w:r w:rsidR="003B5870" w:rsidRPr="00041B02">
        <w:t xml:space="preserve">. </w:t>
      </w:r>
      <w:r w:rsidR="00BE6BA1" w:rsidRPr="00041B02">
        <w:t xml:space="preserve"> </w:t>
      </w:r>
    </w:p>
    <w:p w14:paraId="3E08AA84" w14:textId="45D3A42D" w:rsidR="008D45CB" w:rsidRPr="00041B02" w:rsidRDefault="008D45CB" w:rsidP="008D45CB">
      <w:pPr>
        <w:pStyle w:val="Numberedparagraph"/>
      </w:pPr>
      <w:r w:rsidRPr="00041B02">
        <w:t xml:space="preserve">The Commission </w:t>
      </w:r>
      <w:r w:rsidR="00CC4DE7">
        <w:t xml:space="preserve">suggests </w:t>
      </w:r>
      <w:r w:rsidRPr="00041B02">
        <w:t>the Committee recommend that the Government consult broadly to develop:</w:t>
      </w:r>
    </w:p>
    <w:p w14:paraId="6D8256FA" w14:textId="2D499F12" w:rsidR="008D45CB" w:rsidRPr="00041B02" w:rsidRDefault="008D45CB" w:rsidP="008E0874">
      <w:pPr>
        <w:pStyle w:val="Numberedparagraph"/>
        <w:numPr>
          <w:ilvl w:val="1"/>
          <w:numId w:val="13"/>
        </w:numPr>
      </w:pPr>
      <w:r w:rsidRPr="00041B02">
        <w:t>An urgent plan to remove children from watchhouse detention and ensure compliance with international human rights standards; and</w:t>
      </w:r>
    </w:p>
    <w:p w14:paraId="3C4FAA89" w14:textId="138841DC" w:rsidR="008D45CB" w:rsidRPr="00041B02" w:rsidRDefault="008D45CB" w:rsidP="008E0874">
      <w:pPr>
        <w:pStyle w:val="Numberedparagraph"/>
        <w:numPr>
          <w:ilvl w:val="1"/>
          <w:numId w:val="13"/>
        </w:numPr>
      </w:pPr>
      <w:r w:rsidRPr="00041B02">
        <w:t xml:space="preserve">A whole of government plan </w:t>
      </w:r>
      <w:r w:rsidR="00160D23">
        <w:t>to directly address the causes of youth offending, with particular emphasis on supporting children,</w:t>
      </w:r>
      <w:r w:rsidR="0075778C">
        <w:t xml:space="preserve"> teachers and parents </w:t>
      </w:r>
      <w:r w:rsidR="00D21B83">
        <w:t xml:space="preserve">to maintain </w:t>
      </w:r>
      <w:r w:rsidR="006B7637">
        <w:t xml:space="preserve">engagement in education. </w:t>
      </w:r>
    </w:p>
    <w:p w14:paraId="5908B4B0" w14:textId="5BB24E43" w:rsidR="008D45CB" w:rsidRPr="00041B02" w:rsidRDefault="008D45CB" w:rsidP="008D45CB">
      <w:pPr>
        <w:pStyle w:val="Numberedparagraph"/>
      </w:pPr>
      <w:r w:rsidRPr="00041B02">
        <w:t>Without meaningful engagement to identify long lasting solutions, for victims, for children and for the wider community, nothing will change.</w:t>
      </w:r>
    </w:p>
    <w:sectPr w:rsidR="008D45CB" w:rsidRPr="00041B02" w:rsidSect="003A3833">
      <w:headerReference w:type="default" r:id="rId13"/>
      <w:footerReference w:type="default" r:id="rId14"/>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B601" w14:textId="77777777" w:rsidR="00DB165D" w:rsidRDefault="00DB165D" w:rsidP="0034134D">
      <w:r>
        <w:separator/>
      </w:r>
    </w:p>
  </w:endnote>
  <w:endnote w:type="continuationSeparator" w:id="0">
    <w:p w14:paraId="49E99D85" w14:textId="77777777" w:rsidR="00DB165D" w:rsidRDefault="00DB165D" w:rsidP="0034134D">
      <w:r>
        <w:continuationSeparator/>
      </w:r>
    </w:p>
  </w:endnote>
  <w:endnote w:type="continuationNotice" w:id="1">
    <w:p w14:paraId="76D8AA85" w14:textId="77777777" w:rsidR="00DB165D" w:rsidRDefault="00DB1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8B98" w14:textId="5A364833"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9A6238">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EF6A" w14:textId="77777777" w:rsidR="00DB165D" w:rsidRDefault="00DB165D" w:rsidP="0034134D">
      <w:r>
        <w:separator/>
      </w:r>
    </w:p>
  </w:footnote>
  <w:footnote w:type="continuationSeparator" w:id="0">
    <w:p w14:paraId="7471C3D0" w14:textId="77777777" w:rsidR="00DB165D" w:rsidRDefault="00DB165D" w:rsidP="0034134D">
      <w:r>
        <w:continuationSeparator/>
      </w:r>
    </w:p>
  </w:footnote>
  <w:footnote w:type="continuationNotice" w:id="1">
    <w:p w14:paraId="6CD02E54" w14:textId="77777777" w:rsidR="00DB165D" w:rsidRDefault="00DB165D"/>
  </w:footnote>
  <w:footnote w:id="2">
    <w:p w14:paraId="2DD24ADF" w14:textId="04A36138" w:rsidR="00E07AA3" w:rsidRDefault="00E07AA3">
      <w:pPr>
        <w:pStyle w:val="FootnoteText"/>
      </w:pPr>
      <w:r>
        <w:rPr>
          <w:rStyle w:val="FootnoteReference"/>
        </w:rPr>
        <w:footnoteRef/>
      </w:r>
      <w:r>
        <w:t xml:space="preserve"> </w:t>
      </w:r>
      <w:r w:rsidR="005A71A4" w:rsidRPr="005A71A4">
        <w:rPr>
          <w:rFonts w:cs="Arial"/>
          <w:szCs w:val="20"/>
        </w:rPr>
        <w:t>B</w:t>
      </w:r>
      <w:r w:rsidR="00B82D37">
        <w:rPr>
          <w:rFonts w:cs="Arial"/>
          <w:szCs w:val="20"/>
        </w:rPr>
        <w:t>ob</w:t>
      </w:r>
      <w:r w:rsidRPr="00250267">
        <w:rPr>
          <w:rFonts w:cs="Arial"/>
          <w:szCs w:val="20"/>
        </w:rPr>
        <w:t xml:space="preserve"> Atkinson, </w:t>
      </w:r>
      <w:r w:rsidRPr="005A71A4">
        <w:rPr>
          <w:rFonts w:cs="Arial"/>
          <w:i/>
          <w:szCs w:val="20"/>
        </w:rPr>
        <w:t xml:space="preserve">Report on Youth Justice from Bob Atkinson AO, APM, Special Advisor to Di Farmer MP, Minister for Child Safety, Youth and Women and </w:t>
      </w:r>
      <w:r w:rsidR="005A71A4" w:rsidRPr="005A71A4">
        <w:rPr>
          <w:rFonts w:cs="Arial"/>
          <w:i/>
          <w:iCs/>
          <w:szCs w:val="20"/>
        </w:rPr>
        <w:t xml:space="preserve">Minister </w:t>
      </w:r>
      <w:r w:rsidRPr="005A71A4">
        <w:rPr>
          <w:rFonts w:cs="Arial"/>
          <w:i/>
          <w:szCs w:val="20"/>
        </w:rPr>
        <w:t>for Prevention of Domestic and Family Violence</w:t>
      </w:r>
      <w:r w:rsidRPr="00250267">
        <w:rPr>
          <w:rFonts w:cs="Arial"/>
          <w:szCs w:val="20"/>
        </w:rPr>
        <w:t xml:space="preserve"> (2018</w:t>
      </w:r>
      <w:r w:rsidR="005A71A4" w:rsidRPr="005A71A4">
        <w:rPr>
          <w:rFonts w:cs="Arial"/>
          <w:szCs w:val="20"/>
        </w:rPr>
        <w:t>)</w:t>
      </w:r>
      <w:r w:rsidRPr="00250267">
        <w:rPr>
          <w:rFonts w:cs="Arial"/>
          <w:szCs w:val="20"/>
        </w:rPr>
        <w:t xml:space="preserve"> 21.</w:t>
      </w:r>
    </w:p>
  </w:footnote>
  <w:footnote w:id="3">
    <w:p w14:paraId="2F345C1B" w14:textId="4AAB14C2" w:rsidR="03F768DD" w:rsidRDefault="03F768DD">
      <w:r w:rsidRPr="005B17E9">
        <w:rPr>
          <w:rStyle w:val="FootnoteReference"/>
          <w:rFonts w:ascii="Arial" w:hAnsi="Arial"/>
          <w:sz w:val="20"/>
        </w:rPr>
        <w:footnoteRef/>
      </w:r>
      <w:r>
        <w:t xml:space="preserve"> </w:t>
      </w:r>
      <w:r w:rsidRPr="11894A75">
        <w:rPr>
          <w:rFonts w:ascii="Arial" w:eastAsia="Arial" w:hAnsi="Arial" w:cs="Arial"/>
          <w:i/>
          <w:sz w:val="20"/>
          <w:szCs w:val="20"/>
        </w:rPr>
        <w:t>Human Rights Act 2019</w:t>
      </w:r>
      <w:r w:rsidR="68B938B7" w:rsidRPr="11894A75">
        <w:rPr>
          <w:rFonts w:ascii="Arial" w:eastAsia="Arial" w:hAnsi="Arial" w:cs="Arial"/>
          <w:i/>
          <w:sz w:val="20"/>
          <w:szCs w:val="20"/>
        </w:rPr>
        <w:t xml:space="preserve"> </w:t>
      </w:r>
      <w:r w:rsidR="17E258F4" w:rsidRPr="11894A75">
        <w:rPr>
          <w:rFonts w:ascii="Arial" w:eastAsia="Arial" w:hAnsi="Arial" w:cs="Arial"/>
          <w:i/>
          <w:sz w:val="20"/>
          <w:szCs w:val="20"/>
        </w:rPr>
        <w:t>(Qld)</w:t>
      </w:r>
      <w:r w:rsidRPr="11894A75">
        <w:rPr>
          <w:rFonts w:ascii="Arial" w:eastAsia="Arial" w:hAnsi="Arial" w:cs="Arial"/>
          <w:sz w:val="20"/>
          <w:szCs w:val="20"/>
        </w:rPr>
        <w:t xml:space="preserve"> s 8. </w:t>
      </w:r>
    </w:p>
  </w:footnote>
  <w:footnote w:id="4">
    <w:p w14:paraId="15628D4F" w14:textId="5A588024" w:rsidR="00B0042F" w:rsidRDefault="00B0042F">
      <w:pPr>
        <w:pStyle w:val="FootnoteText"/>
      </w:pPr>
      <w:r>
        <w:rPr>
          <w:rStyle w:val="FootnoteReference"/>
        </w:rPr>
        <w:footnoteRef/>
      </w:r>
      <w:r>
        <w:t xml:space="preserve"> </w:t>
      </w:r>
      <w:r w:rsidR="004D2CFE">
        <w:rPr>
          <w:i/>
          <w:iCs/>
        </w:rPr>
        <w:t xml:space="preserve">Human Rights Act 2019 </w:t>
      </w:r>
      <w:r w:rsidR="004D2CFE">
        <w:t xml:space="preserve">(Qld) </w:t>
      </w:r>
      <w:r w:rsidRPr="000A5313">
        <w:t>s 13(2)(a)</w:t>
      </w:r>
      <w:r>
        <w:t>.</w:t>
      </w:r>
    </w:p>
  </w:footnote>
  <w:footnote w:id="5">
    <w:p w14:paraId="69076C59" w14:textId="682E6AF6" w:rsidR="00B0042F" w:rsidRDefault="00B0042F">
      <w:pPr>
        <w:pStyle w:val="FootnoteText"/>
      </w:pPr>
      <w:r>
        <w:rPr>
          <w:rStyle w:val="FootnoteReference"/>
        </w:rPr>
        <w:footnoteRef/>
      </w:r>
      <w:r>
        <w:t xml:space="preserve"> </w:t>
      </w:r>
      <w:r w:rsidR="008B48E1">
        <w:rPr>
          <w:i/>
          <w:iCs/>
        </w:rPr>
        <w:t xml:space="preserve">Human Rights Act 2019 </w:t>
      </w:r>
      <w:r w:rsidR="008B48E1">
        <w:t xml:space="preserve">(Qld) </w:t>
      </w:r>
      <w:r w:rsidRPr="000A5313">
        <w:t>s 13(2)(b)</w:t>
      </w:r>
      <w:r>
        <w:t>.</w:t>
      </w:r>
    </w:p>
  </w:footnote>
  <w:footnote w:id="6">
    <w:p w14:paraId="5D3B619B" w14:textId="0890836C" w:rsidR="00B0042F" w:rsidRDefault="00B0042F">
      <w:pPr>
        <w:pStyle w:val="FootnoteText"/>
      </w:pPr>
      <w:r>
        <w:rPr>
          <w:rStyle w:val="FootnoteReference"/>
        </w:rPr>
        <w:footnoteRef/>
      </w:r>
      <w:r>
        <w:t xml:space="preserve"> </w:t>
      </w:r>
      <w:r w:rsidR="008B48E1">
        <w:rPr>
          <w:i/>
          <w:iCs/>
        </w:rPr>
        <w:t xml:space="preserve">Human Rights Act 2019 </w:t>
      </w:r>
      <w:r w:rsidR="008B48E1">
        <w:t xml:space="preserve">(Qld) </w:t>
      </w:r>
      <w:r>
        <w:t xml:space="preserve"> </w:t>
      </w:r>
      <w:r w:rsidRPr="000A5313">
        <w:t>s 13(2)(</w:t>
      </w:r>
      <w:r>
        <w:t>c</w:t>
      </w:r>
      <w:r w:rsidRPr="000A5313">
        <w:t>)</w:t>
      </w:r>
      <w:r>
        <w:t>.</w:t>
      </w:r>
    </w:p>
  </w:footnote>
  <w:footnote w:id="7">
    <w:p w14:paraId="793B426F" w14:textId="24A1142D" w:rsidR="00BF39D0" w:rsidRDefault="00BF39D0">
      <w:pPr>
        <w:pStyle w:val="FootnoteText"/>
      </w:pPr>
      <w:r>
        <w:rPr>
          <w:rStyle w:val="FootnoteReference"/>
        </w:rPr>
        <w:footnoteRef/>
      </w:r>
      <w:r>
        <w:t xml:space="preserve"> Explanatory Notes, </w:t>
      </w:r>
      <w:r w:rsidRPr="00B82D37">
        <w:rPr>
          <w:i/>
          <w:iCs/>
        </w:rPr>
        <w:t>Human Rights Bill 2018</w:t>
      </w:r>
      <w:r w:rsidR="00E55F4C">
        <w:t xml:space="preserve"> (Qld)</w:t>
      </w:r>
      <w:r w:rsidR="009B2A39" w:rsidRPr="1C0BA6BC">
        <w:rPr>
          <w:i/>
          <w:iCs/>
        </w:rPr>
        <w:t>,</w:t>
      </w:r>
      <w:r w:rsidRPr="3F5DBCC3">
        <w:t>16</w:t>
      </w:r>
      <w:r w:rsidR="00E55F4C">
        <w:t>-</w:t>
      </w:r>
      <w:r w:rsidRPr="3F5DBCC3">
        <w:t>18.</w:t>
      </w:r>
    </w:p>
  </w:footnote>
  <w:footnote w:id="8">
    <w:p w14:paraId="7A105421" w14:textId="395D958A" w:rsidR="004D2CFE" w:rsidRDefault="004D2CFE">
      <w:pPr>
        <w:pStyle w:val="FootnoteText"/>
      </w:pPr>
      <w:r>
        <w:rPr>
          <w:rStyle w:val="FootnoteReference"/>
        </w:rPr>
        <w:footnoteRef/>
      </w:r>
      <w:r>
        <w:t xml:space="preserve"> </w:t>
      </w:r>
      <w:r w:rsidRPr="00801F7A">
        <w:t>Statement of Compatibility, Strengthening Community Safety Bill 2023, 1. A similar statement is included on page 1 of the Explanatory Notes.</w:t>
      </w:r>
    </w:p>
  </w:footnote>
  <w:footnote w:id="9">
    <w:p w14:paraId="2D47EEAD" w14:textId="77777777" w:rsidR="004E46DC" w:rsidRPr="00CD3759" w:rsidRDefault="004E46DC" w:rsidP="004E46DC">
      <w:pPr>
        <w:pStyle w:val="FootnoteText"/>
      </w:pPr>
      <w:r>
        <w:rPr>
          <w:rStyle w:val="FootnoteReference"/>
        </w:rPr>
        <w:footnoteRef/>
      </w:r>
      <w:r>
        <w:t xml:space="preserve"> </w:t>
      </w:r>
      <w:r>
        <w:rPr>
          <w:i/>
          <w:iCs/>
        </w:rPr>
        <w:t xml:space="preserve">Human Rights Act 2019 </w:t>
      </w:r>
      <w:r>
        <w:t xml:space="preserve">(Qld) s 16. </w:t>
      </w:r>
    </w:p>
  </w:footnote>
  <w:footnote w:id="10">
    <w:p w14:paraId="3B9C3D5D" w14:textId="77777777" w:rsidR="004E46DC" w:rsidRDefault="004E46DC" w:rsidP="004E46DC">
      <w:r w:rsidRPr="00BD669D">
        <w:rPr>
          <w:rStyle w:val="FootnoteReference"/>
          <w:rFonts w:ascii="Arial" w:hAnsi="Arial"/>
          <w:sz w:val="20"/>
        </w:rPr>
        <w:footnoteRef/>
      </w:r>
      <w:r>
        <w:t xml:space="preserve"> </w:t>
      </w:r>
      <w:r w:rsidRPr="00454134">
        <w:rPr>
          <w:rFonts w:ascii="Arial" w:hAnsi="Arial"/>
          <w:i/>
          <w:sz w:val="20"/>
        </w:rPr>
        <w:t>Human Rights Act 2019</w:t>
      </w:r>
      <w:r w:rsidRPr="00454134">
        <w:rPr>
          <w:rFonts w:ascii="Arial" w:hAnsi="Arial"/>
          <w:sz w:val="20"/>
        </w:rPr>
        <w:t xml:space="preserve"> </w:t>
      </w:r>
      <w:r w:rsidRPr="00BD669D">
        <w:rPr>
          <w:rFonts w:ascii="Arial" w:hAnsi="Arial"/>
          <w:sz w:val="20"/>
        </w:rPr>
        <w:t>(Qld) ss 43, 45.</w:t>
      </w:r>
      <w:r>
        <w:t xml:space="preserve"> </w:t>
      </w:r>
    </w:p>
  </w:footnote>
  <w:footnote w:id="11">
    <w:p w14:paraId="73EADC71" w14:textId="17E492B8" w:rsidR="004E46DC" w:rsidRDefault="004E46DC" w:rsidP="004E46DC">
      <w:pPr>
        <w:pStyle w:val="FootnoteText"/>
      </w:pPr>
      <w:r>
        <w:rPr>
          <w:rStyle w:val="FootnoteReference"/>
        </w:rPr>
        <w:footnoteRef/>
      </w:r>
      <w:r>
        <w:t xml:space="preserve"> </w:t>
      </w:r>
      <w:r>
        <w:rPr>
          <w:i/>
          <w:iCs/>
        </w:rPr>
        <w:t xml:space="preserve">Human Rights Act 2019 </w:t>
      </w:r>
      <w:r>
        <w:t xml:space="preserve">(Qld) s 43. </w:t>
      </w:r>
    </w:p>
  </w:footnote>
  <w:footnote w:id="12">
    <w:p w14:paraId="2B678FC8" w14:textId="50113E01" w:rsidR="004302AC" w:rsidRPr="004302AC" w:rsidRDefault="004302AC">
      <w:pPr>
        <w:pStyle w:val="FootnoteText"/>
      </w:pPr>
      <w:r>
        <w:rPr>
          <w:rStyle w:val="FootnoteReference"/>
        </w:rPr>
        <w:footnoteRef/>
      </w:r>
      <w:r>
        <w:t xml:space="preserve"> </w:t>
      </w:r>
      <w:r>
        <w:rPr>
          <w:i/>
          <w:iCs/>
        </w:rPr>
        <w:t>Human Rights Act 2019</w:t>
      </w:r>
      <w:r>
        <w:rPr>
          <w:i/>
        </w:rPr>
        <w:t xml:space="preserve"> </w:t>
      </w:r>
      <w:r w:rsidR="00287D38">
        <w:t>(Qld)</w:t>
      </w:r>
      <w:r>
        <w:t xml:space="preserve"> s</w:t>
      </w:r>
      <w:r w:rsidR="004B456B">
        <w:t>s</w:t>
      </w:r>
      <w:r>
        <w:t xml:space="preserve"> 16, 24 and 29.</w:t>
      </w:r>
    </w:p>
  </w:footnote>
  <w:footnote w:id="13">
    <w:p w14:paraId="732DAEC8" w14:textId="3E7B285E" w:rsidR="00D149B7" w:rsidRPr="00D149B7" w:rsidRDefault="00D149B7">
      <w:pPr>
        <w:pStyle w:val="FootnoteText"/>
        <w:rPr>
          <w:lang w:val="en-US"/>
        </w:rPr>
      </w:pPr>
      <w:r>
        <w:rPr>
          <w:rStyle w:val="FootnoteReference"/>
        </w:rPr>
        <w:footnoteRef/>
      </w:r>
      <w:r>
        <w:t xml:space="preserve"> </w:t>
      </w:r>
      <w:r w:rsidR="00563A8D" w:rsidRPr="005A71A4">
        <w:rPr>
          <w:rFonts w:cs="Arial"/>
          <w:szCs w:val="20"/>
        </w:rPr>
        <w:t>B</w:t>
      </w:r>
      <w:r w:rsidR="00563A8D">
        <w:rPr>
          <w:rFonts w:cs="Arial"/>
          <w:szCs w:val="20"/>
        </w:rPr>
        <w:t>ob</w:t>
      </w:r>
      <w:r w:rsidR="00563A8D" w:rsidRPr="00250267">
        <w:rPr>
          <w:rFonts w:cs="Arial"/>
          <w:szCs w:val="20"/>
        </w:rPr>
        <w:t xml:space="preserve"> Atkinson, </w:t>
      </w:r>
      <w:r w:rsidR="00563A8D" w:rsidRPr="005A71A4">
        <w:rPr>
          <w:rFonts w:cs="Arial"/>
          <w:i/>
          <w:szCs w:val="20"/>
        </w:rPr>
        <w:t xml:space="preserve">Report on Youth Justice from Bob Atkinson AO, APM, Special Advisor to Di Farmer MP, Minister for Child Safety, Youth and Women and </w:t>
      </w:r>
      <w:r w:rsidR="00563A8D" w:rsidRPr="005A71A4">
        <w:rPr>
          <w:rFonts w:cs="Arial"/>
          <w:i/>
          <w:iCs/>
          <w:szCs w:val="20"/>
        </w:rPr>
        <w:t xml:space="preserve">Minister </w:t>
      </w:r>
      <w:r w:rsidR="00563A8D" w:rsidRPr="005A71A4">
        <w:rPr>
          <w:rFonts w:cs="Arial"/>
          <w:i/>
          <w:szCs w:val="20"/>
        </w:rPr>
        <w:t>for Prevention of Domestic and Family Violence</w:t>
      </w:r>
      <w:r w:rsidR="00563A8D" w:rsidRPr="00250267">
        <w:rPr>
          <w:rFonts w:cs="Arial"/>
          <w:szCs w:val="20"/>
        </w:rPr>
        <w:t xml:space="preserve"> (2018</w:t>
      </w:r>
      <w:r w:rsidR="00563A8D" w:rsidRPr="005A71A4">
        <w:rPr>
          <w:rFonts w:cs="Arial"/>
          <w:szCs w:val="20"/>
        </w:rPr>
        <w:t>)</w:t>
      </w:r>
      <w:r w:rsidR="00563A8D">
        <w:rPr>
          <w:rFonts w:cs="Arial"/>
          <w:szCs w:val="20"/>
        </w:rPr>
        <w:t>.</w:t>
      </w:r>
    </w:p>
  </w:footnote>
  <w:footnote w:id="14">
    <w:p w14:paraId="6BB9AD73" w14:textId="6B559793" w:rsidR="00B12E4C" w:rsidRPr="00E919C7" w:rsidRDefault="00B12E4C" w:rsidP="00B12E4C">
      <w:pPr>
        <w:pStyle w:val="FootnoteText"/>
        <w:rPr>
          <w:lang w:val="en-US"/>
        </w:rPr>
      </w:pPr>
      <w:r>
        <w:rPr>
          <w:rStyle w:val="FootnoteReference"/>
        </w:rPr>
        <w:footnoteRef/>
      </w:r>
      <w:r>
        <w:t xml:space="preserve"> </w:t>
      </w:r>
      <w:r w:rsidR="00CA4BD5" w:rsidRPr="00CA4BD5">
        <w:rPr>
          <w:i/>
          <w:iCs/>
          <w:lang w:val="en-US"/>
        </w:rPr>
        <w:t>Bail Act 1985</w:t>
      </w:r>
      <w:r w:rsidR="00CA4BD5">
        <w:rPr>
          <w:lang w:val="en-US"/>
        </w:rPr>
        <w:t xml:space="preserve"> (SA) s 17(1);</w:t>
      </w:r>
      <w:r>
        <w:rPr>
          <w:lang w:val="en-US"/>
        </w:rPr>
        <w:t xml:space="preserve"> </w:t>
      </w:r>
      <w:r w:rsidR="003E4025" w:rsidRPr="00955E5E">
        <w:rPr>
          <w:i/>
          <w:iCs/>
          <w:lang w:val="en-US"/>
        </w:rPr>
        <w:t>Bail Act 1982</w:t>
      </w:r>
      <w:r w:rsidR="003E4025" w:rsidRPr="00955E5E">
        <w:rPr>
          <w:lang w:val="en-US"/>
        </w:rPr>
        <w:t xml:space="preserve"> </w:t>
      </w:r>
      <w:r w:rsidR="003E4025">
        <w:rPr>
          <w:lang w:val="en-US"/>
        </w:rPr>
        <w:t>(</w:t>
      </w:r>
      <w:r>
        <w:rPr>
          <w:lang w:val="en-US"/>
        </w:rPr>
        <w:t>WA</w:t>
      </w:r>
      <w:r w:rsidR="003E4025">
        <w:rPr>
          <w:lang w:val="en-US"/>
        </w:rPr>
        <w:t>) s 51;</w:t>
      </w:r>
      <w:r>
        <w:rPr>
          <w:lang w:val="en-US"/>
        </w:rPr>
        <w:t xml:space="preserve"> </w:t>
      </w:r>
      <w:r w:rsidR="00955E5E" w:rsidRPr="00955E5E">
        <w:rPr>
          <w:i/>
          <w:iCs/>
          <w:lang w:val="en-US"/>
        </w:rPr>
        <w:t>Bail Act 1982</w:t>
      </w:r>
      <w:r w:rsidR="00955E5E" w:rsidRPr="00955E5E">
        <w:rPr>
          <w:lang w:val="en-US"/>
        </w:rPr>
        <w:t xml:space="preserve"> </w:t>
      </w:r>
      <w:r w:rsidR="00955E5E">
        <w:rPr>
          <w:lang w:val="en-US"/>
        </w:rPr>
        <w:t>(</w:t>
      </w:r>
      <w:r>
        <w:rPr>
          <w:lang w:val="en-US"/>
        </w:rPr>
        <w:t>NT</w:t>
      </w:r>
      <w:r w:rsidR="00955E5E">
        <w:rPr>
          <w:lang w:val="en-US"/>
        </w:rPr>
        <w:t>) ss 37B and 38AA</w:t>
      </w:r>
      <w:r w:rsidR="00BD002A">
        <w:rPr>
          <w:lang w:val="en-US"/>
        </w:rPr>
        <w:t>.</w:t>
      </w:r>
    </w:p>
  </w:footnote>
  <w:footnote w:id="15">
    <w:p w14:paraId="636DD516" w14:textId="05AC1662" w:rsidR="00AE791B" w:rsidRPr="00E50E54" w:rsidRDefault="00AE791B">
      <w:pPr>
        <w:pStyle w:val="FootnoteText"/>
      </w:pPr>
      <w:r>
        <w:rPr>
          <w:rStyle w:val="FootnoteReference"/>
        </w:rPr>
        <w:footnoteRef/>
      </w:r>
      <w:r>
        <w:t xml:space="preserve"> </w:t>
      </w:r>
      <w:r w:rsidR="00476BC3">
        <w:t xml:space="preserve">Queensland Government, </w:t>
      </w:r>
      <w:r w:rsidR="00E50E54">
        <w:rPr>
          <w:i/>
          <w:iCs/>
        </w:rPr>
        <w:t xml:space="preserve">Working Together: Changing the Story, </w:t>
      </w:r>
      <w:r w:rsidR="009D054D">
        <w:t xml:space="preserve">Youth Justice Strategy 2019 </w:t>
      </w:r>
      <w:r w:rsidR="006D68DD">
        <w:t>–</w:t>
      </w:r>
      <w:r w:rsidR="009D054D">
        <w:t xml:space="preserve"> 2023</w:t>
      </w:r>
      <w:r w:rsidR="006D68DD">
        <w:t>, 1.</w:t>
      </w:r>
    </w:p>
  </w:footnote>
  <w:footnote w:id="16">
    <w:p w14:paraId="2CEAC485" w14:textId="77777777" w:rsidR="00B12E4C" w:rsidRDefault="00B12E4C" w:rsidP="00B12E4C">
      <w:pPr>
        <w:pStyle w:val="FootnoteText"/>
      </w:pPr>
      <w:r>
        <w:rPr>
          <w:rStyle w:val="FootnoteReference"/>
        </w:rPr>
        <w:footnoteRef/>
      </w:r>
      <w:r>
        <w:t xml:space="preserve"> Queensland Government, </w:t>
      </w:r>
      <w:r w:rsidRPr="00103D18">
        <w:rPr>
          <w:i/>
        </w:rPr>
        <w:t>Working Together, Changing the Story</w:t>
      </w:r>
      <w:r>
        <w:t xml:space="preserve">, Youth Justice Strategy 2019-23, 8. </w:t>
      </w:r>
    </w:p>
  </w:footnote>
  <w:footnote w:id="17">
    <w:p w14:paraId="7190BB66" w14:textId="4D360AB5" w:rsidR="002711F9" w:rsidRDefault="002711F9">
      <w:pPr>
        <w:pStyle w:val="FootnoteText"/>
      </w:pPr>
      <w:r>
        <w:rPr>
          <w:rStyle w:val="FootnoteReference"/>
        </w:rPr>
        <w:footnoteRef/>
      </w:r>
      <w:r>
        <w:t xml:space="preserve"> </w:t>
      </w:r>
      <w:r w:rsidR="009559F6">
        <w:t xml:space="preserve">Queensland Government, </w:t>
      </w:r>
      <w:r w:rsidR="009559F6" w:rsidRPr="00103D18">
        <w:rPr>
          <w:i/>
        </w:rPr>
        <w:t>Working Together, Changing the Story</w:t>
      </w:r>
      <w:r w:rsidR="009559F6">
        <w:t>, Youth Justice Strategy 2019-23, 8.</w:t>
      </w:r>
    </w:p>
  </w:footnote>
  <w:footnote w:id="18">
    <w:p w14:paraId="4717CF96" w14:textId="7065EFDB" w:rsidR="00DA4761" w:rsidRPr="00DA4761" w:rsidRDefault="00DA4761">
      <w:pPr>
        <w:pStyle w:val="FootnoteText"/>
        <w:rPr>
          <w:lang w:val="en-US"/>
        </w:rPr>
      </w:pPr>
      <w:r>
        <w:rPr>
          <w:rStyle w:val="FootnoteReference"/>
        </w:rPr>
        <w:footnoteRef/>
      </w:r>
      <w:r>
        <w:t xml:space="preserve"> </w:t>
      </w:r>
      <w:r w:rsidR="00530AFC">
        <w:t>Queensland Government,</w:t>
      </w:r>
      <w:r>
        <w:t xml:space="preserve"> </w:t>
      </w:r>
      <w:r w:rsidR="00DE4711" w:rsidRPr="00DE4711">
        <w:rPr>
          <w:i/>
          <w:iCs/>
        </w:rPr>
        <w:t>Queensland Children’s Wellbeing Framework</w:t>
      </w:r>
      <w:r w:rsidR="00446107">
        <w:rPr>
          <w:i/>
          <w:iCs/>
        </w:rPr>
        <w:t xml:space="preserve"> </w:t>
      </w:r>
      <w:r w:rsidR="00DE4711" w:rsidRPr="00DE4711">
        <w:rPr>
          <w:i/>
          <w:iCs/>
        </w:rPr>
        <w:t>Giving all our children a great start</w:t>
      </w:r>
      <w:r w:rsidR="00CA0FB0">
        <w:rPr>
          <w:i/>
          <w:iCs/>
        </w:rPr>
        <w:t xml:space="preserve"> </w:t>
      </w:r>
      <w:r w:rsidR="000E4729">
        <w:t>(2023)</w:t>
      </w:r>
      <w:r w:rsidR="00380DA1">
        <w:t>.</w:t>
      </w:r>
    </w:p>
  </w:footnote>
  <w:footnote w:id="19">
    <w:p w14:paraId="2325AFD1" w14:textId="743E24E4" w:rsidR="00E32985" w:rsidRPr="00FD23A0" w:rsidRDefault="00E32985">
      <w:pPr>
        <w:pStyle w:val="FootnoteText"/>
        <w:rPr>
          <w:lang w:val="en-US"/>
        </w:rPr>
      </w:pPr>
      <w:r>
        <w:rPr>
          <w:rStyle w:val="FootnoteReference"/>
        </w:rPr>
        <w:footnoteRef/>
      </w:r>
      <w:r>
        <w:t xml:space="preserve"> </w:t>
      </w:r>
      <w:r w:rsidR="003D3E5B">
        <w:t>Queensland Government</w:t>
      </w:r>
      <w:r w:rsidR="008F34B0">
        <w:t xml:space="preserve"> (Department of Communities, Child Safety and Disability services)</w:t>
      </w:r>
      <w:r w:rsidR="003D3E5B">
        <w:t xml:space="preserve">, </w:t>
      </w:r>
      <w:r w:rsidR="00FD23A0">
        <w:rPr>
          <w:i/>
          <w:iCs/>
        </w:rPr>
        <w:t xml:space="preserve">Queensland Youth Strategy: Building young Queenslanders for a global future </w:t>
      </w:r>
      <w:r w:rsidR="00FD23A0">
        <w:t>(</w:t>
      </w:r>
      <w:r w:rsidR="008F34B0">
        <w:t>2017)</w:t>
      </w:r>
      <w:r w:rsidR="007E4CA6">
        <w:t xml:space="preserve"> 2. </w:t>
      </w:r>
    </w:p>
  </w:footnote>
  <w:footnote w:id="20">
    <w:p w14:paraId="1689964E" w14:textId="77777777" w:rsidR="00C21B04" w:rsidRPr="00C21B04" w:rsidRDefault="00C21B04" w:rsidP="00C21B04">
      <w:pPr>
        <w:pStyle w:val="FootnoteText"/>
        <w:rPr>
          <w:lang w:val="en-US"/>
        </w:rPr>
      </w:pPr>
      <w:r>
        <w:rPr>
          <w:rStyle w:val="FootnoteReference"/>
        </w:rPr>
        <w:footnoteRef/>
      </w:r>
      <w:r>
        <w:t xml:space="preserve"> </w:t>
      </w:r>
      <w:r>
        <w:rPr>
          <w:lang w:val="en-US"/>
        </w:rPr>
        <w:t xml:space="preserve">See also </w:t>
      </w:r>
      <w:r w:rsidRPr="001F586C">
        <w:rPr>
          <w:i/>
          <w:lang w:val="en-US"/>
        </w:rPr>
        <w:t>United Nations Convention on the Rights of the Child</w:t>
      </w:r>
      <w:r w:rsidR="00B53067">
        <w:rPr>
          <w:i/>
          <w:iCs/>
          <w:lang w:val="en-US"/>
        </w:rPr>
        <w:t xml:space="preserve">, </w:t>
      </w:r>
      <w:r w:rsidR="00B53067">
        <w:rPr>
          <w:lang w:val="en-US"/>
        </w:rPr>
        <w:t xml:space="preserve">GA Res </w:t>
      </w:r>
      <w:r w:rsidR="00A717F3" w:rsidRPr="00A717F3">
        <w:rPr>
          <w:lang w:val="en-US"/>
        </w:rPr>
        <w:t>44/25</w:t>
      </w:r>
      <w:r w:rsidR="00786DE5">
        <w:rPr>
          <w:lang w:val="en-US"/>
        </w:rPr>
        <w:t>, UN D</w:t>
      </w:r>
      <w:r w:rsidR="00446107">
        <w:rPr>
          <w:lang w:val="en-US"/>
        </w:rPr>
        <w:t>oc</w:t>
      </w:r>
      <w:r w:rsidR="00786DE5">
        <w:rPr>
          <w:lang w:val="en-US"/>
        </w:rPr>
        <w:t xml:space="preserve"> </w:t>
      </w:r>
      <w:r w:rsidR="00E3712C">
        <w:rPr>
          <w:lang w:val="en-US"/>
        </w:rPr>
        <w:t>A/RES/44/25</w:t>
      </w:r>
      <w:r w:rsidR="00786DE5">
        <w:rPr>
          <w:lang w:val="en-US"/>
        </w:rPr>
        <w:t xml:space="preserve"> </w:t>
      </w:r>
      <w:r w:rsidR="009A1641">
        <w:rPr>
          <w:lang w:val="en-US"/>
        </w:rPr>
        <w:t>(</w:t>
      </w:r>
      <w:r w:rsidR="00A717F3" w:rsidRPr="00A717F3">
        <w:rPr>
          <w:lang w:val="en-US"/>
        </w:rPr>
        <w:t>20 November 1989</w:t>
      </w:r>
      <w:r w:rsidR="00856ED8">
        <w:rPr>
          <w:lang w:val="en-US"/>
        </w:rPr>
        <w:t>)</w:t>
      </w:r>
      <w:r w:rsidR="001E5EA1">
        <w:rPr>
          <w:lang w:val="en-US"/>
        </w:rPr>
        <w:t xml:space="preserve"> art 37</w:t>
      </w:r>
      <w:r w:rsidR="00B61408">
        <w:rPr>
          <w:lang w:val="en-US"/>
        </w:rPr>
        <w:t xml:space="preserve">; and </w:t>
      </w:r>
      <w:r w:rsidRPr="00AC087E">
        <w:rPr>
          <w:i/>
          <w:lang w:val="en-US"/>
        </w:rPr>
        <w:t>United Nations Standard Minimum Rules for the Administration of Juvenile Justice</w:t>
      </w:r>
      <w:r w:rsidR="00AC087E">
        <w:rPr>
          <w:lang w:val="en-US"/>
        </w:rPr>
        <w:t xml:space="preserve"> </w:t>
      </w:r>
      <w:r w:rsidR="00AC087E">
        <w:rPr>
          <w:i/>
          <w:iCs/>
          <w:lang w:val="en-US"/>
        </w:rPr>
        <w:t xml:space="preserve">(‘The Beijing Rules’) </w:t>
      </w:r>
      <w:r w:rsidR="00714855">
        <w:rPr>
          <w:lang w:val="en-US"/>
        </w:rPr>
        <w:t>GA</w:t>
      </w:r>
      <w:r w:rsidR="00207043">
        <w:rPr>
          <w:lang w:val="en-US"/>
        </w:rPr>
        <w:t xml:space="preserve"> Res </w:t>
      </w:r>
      <w:r w:rsidR="00963302">
        <w:rPr>
          <w:lang w:val="en-US"/>
        </w:rPr>
        <w:t>40/33, UN Doc A/RES/40/33 (</w:t>
      </w:r>
      <w:r w:rsidR="00DD5C70">
        <w:rPr>
          <w:lang w:val="en-US"/>
        </w:rPr>
        <w:t>29 November 1985)</w:t>
      </w:r>
      <w:r w:rsidR="00380DA1">
        <w:rPr>
          <w:lang w:val="en-US"/>
        </w:rPr>
        <w:t>.</w:t>
      </w:r>
    </w:p>
  </w:footnote>
  <w:footnote w:id="21">
    <w:p w14:paraId="53A34435" w14:textId="6FFB0AC7" w:rsidR="004F0626" w:rsidRDefault="004F0626" w:rsidP="004F0626">
      <w:pPr>
        <w:pStyle w:val="FootnoteText"/>
      </w:pPr>
      <w:r>
        <w:rPr>
          <w:rStyle w:val="FootnoteReference"/>
        </w:rPr>
        <w:footnoteRef/>
      </w:r>
      <w:r>
        <w:t xml:space="preserve"> </w:t>
      </w:r>
      <w:r w:rsidR="00E26162">
        <w:t xml:space="preserve">Queensland </w:t>
      </w:r>
      <w:r w:rsidR="005642BA">
        <w:t>Governments Statisticians Office</w:t>
      </w:r>
      <w:r w:rsidR="00E26162">
        <w:t xml:space="preserve">, </w:t>
      </w:r>
      <w:r w:rsidR="005B536F">
        <w:rPr>
          <w:i/>
          <w:iCs/>
        </w:rPr>
        <w:t xml:space="preserve">Youth Offending </w:t>
      </w:r>
      <w:r w:rsidR="005B536F">
        <w:t>(</w:t>
      </w:r>
      <w:r w:rsidR="005642BA">
        <w:t xml:space="preserve">Research Brief, </w:t>
      </w:r>
      <w:r w:rsidR="005B536F">
        <w:t>April 2021)</w:t>
      </w:r>
      <w:r w:rsidR="00F33968">
        <w:t>, 7.</w:t>
      </w:r>
      <w:r w:rsidR="003D4759">
        <w:t xml:space="preserve"> </w:t>
      </w:r>
    </w:p>
  </w:footnote>
  <w:footnote w:id="22">
    <w:p w14:paraId="2040B031" w14:textId="55E51840" w:rsidR="009D5352" w:rsidRPr="00B82D37" w:rsidRDefault="009D5352" w:rsidP="005642BA">
      <w:pPr>
        <w:pStyle w:val="NoSpacing"/>
        <w:rPr>
          <w:rFonts w:ascii="Arial" w:hAnsi="Arial" w:cs="Arial"/>
          <w:sz w:val="20"/>
          <w:szCs w:val="20"/>
        </w:rPr>
      </w:pPr>
      <w:r w:rsidRPr="005642BA">
        <w:rPr>
          <w:rStyle w:val="FootnoteReference"/>
          <w:rFonts w:ascii="Arial" w:hAnsi="Arial" w:cs="Arial"/>
          <w:sz w:val="20"/>
          <w:szCs w:val="20"/>
        </w:rPr>
        <w:footnoteRef/>
      </w:r>
      <w:r w:rsidRPr="005642BA">
        <w:rPr>
          <w:rFonts w:ascii="Arial" w:hAnsi="Arial" w:cs="Arial"/>
          <w:sz w:val="20"/>
          <w:szCs w:val="20"/>
        </w:rPr>
        <w:t xml:space="preserve"> </w:t>
      </w:r>
      <w:r w:rsidR="00DF1BA2" w:rsidRPr="00B82D37">
        <w:rPr>
          <w:rFonts w:ascii="Arial" w:hAnsi="Arial" w:cs="Arial"/>
          <w:sz w:val="20"/>
          <w:szCs w:val="20"/>
        </w:rPr>
        <w:t xml:space="preserve">Queensland Governments Statisticians Office, </w:t>
      </w:r>
      <w:r w:rsidR="00DF1BA2" w:rsidRPr="00B82D37">
        <w:rPr>
          <w:rFonts w:ascii="Arial" w:hAnsi="Arial" w:cs="Arial"/>
          <w:i/>
          <w:iCs/>
          <w:sz w:val="20"/>
          <w:szCs w:val="20"/>
        </w:rPr>
        <w:t xml:space="preserve">Youth Offending </w:t>
      </w:r>
      <w:r w:rsidR="00DF1BA2" w:rsidRPr="00B82D37">
        <w:rPr>
          <w:rFonts w:ascii="Arial" w:hAnsi="Arial" w:cs="Arial"/>
          <w:sz w:val="20"/>
          <w:szCs w:val="20"/>
        </w:rPr>
        <w:t xml:space="preserve">(Research Brief, April 2021), 12; </w:t>
      </w:r>
      <w:r w:rsidR="004047AA" w:rsidRPr="00B82D37">
        <w:rPr>
          <w:rFonts w:ascii="Arial" w:hAnsi="Arial" w:cs="Arial"/>
          <w:sz w:val="20"/>
          <w:szCs w:val="20"/>
        </w:rPr>
        <w:t>Laurence Stein</w:t>
      </w:r>
      <w:r w:rsidR="00F92BF1" w:rsidRPr="00B82D37">
        <w:rPr>
          <w:rFonts w:ascii="Arial" w:hAnsi="Arial" w:cs="Arial"/>
          <w:sz w:val="20"/>
          <w:szCs w:val="20"/>
        </w:rPr>
        <w:t xml:space="preserve">berg, </w:t>
      </w:r>
      <w:r w:rsidR="00686276" w:rsidRPr="00B82D37">
        <w:rPr>
          <w:rFonts w:ascii="Arial" w:hAnsi="Arial" w:cs="Arial"/>
          <w:sz w:val="20"/>
          <w:szCs w:val="20"/>
        </w:rPr>
        <w:t>‘</w:t>
      </w:r>
      <w:r w:rsidR="00FE5A50" w:rsidRPr="00B82D37">
        <w:rPr>
          <w:rFonts w:ascii="Arial" w:hAnsi="Arial" w:cs="Arial"/>
          <w:sz w:val="20"/>
          <w:szCs w:val="20"/>
        </w:rPr>
        <w:t xml:space="preserve">A Social Neuroscience Perspective </w:t>
      </w:r>
      <w:r w:rsidR="00F861A0" w:rsidRPr="00B82D37">
        <w:rPr>
          <w:rFonts w:ascii="Arial" w:hAnsi="Arial" w:cs="Arial"/>
          <w:sz w:val="20"/>
          <w:szCs w:val="20"/>
        </w:rPr>
        <w:t>on Adolescent Risk Taking</w:t>
      </w:r>
      <w:r w:rsidR="00D83C03" w:rsidRPr="00B82D37">
        <w:rPr>
          <w:rFonts w:ascii="Arial" w:hAnsi="Arial" w:cs="Arial"/>
          <w:sz w:val="20"/>
          <w:szCs w:val="20"/>
        </w:rPr>
        <w:t xml:space="preserve">’ (2008) </w:t>
      </w:r>
      <w:r w:rsidR="00C518EB" w:rsidRPr="00B82D37">
        <w:rPr>
          <w:rFonts w:ascii="Arial" w:hAnsi="Arial" w:cs="Arial"/>
          <w:sz w:val="20"/>
          <w:szCs w:val="20"/>
        </w:rPr>
        <w:t xml:space="preserve">28(1) </w:t>
      </w:r>
      <w:r w:rsidR="002E7209" w:rsidRPr="00B82D37">
        <w:rPr>
          <w:rFonts w:ascii="Arial" w:hAnsi="Arial" w:cs="Arial"/>
          <w:iCs/>
          <w:sz w:val="20"/>
          <w:szCs w:val="20"/>
        </w:rPr>
        <w:t xml:space="preserve">National Library of Medicine </w:t>
      </w:r>
      <w:r w:rsidR="00A97217" w:rsidRPr="00B82D37">
        <w:rPr>
          <w:rFonts w:ascii="Arial" w:hAnsi="Arial" w:cs="Arial"/>
          <w:sz w:val="20"/>
          <w:szCs w:val="20"/>
        </w:rPr>
        <w:t xml:space="preserve">78; </w:t>
      </w:r>
      <w:r w:rsidR="009D4656" w:rsidRPr="00B82D37">
        <w:rPr>
          <w:rFonts w:ascii="Arial" w:hAnsi="Arial" w:cs="Arial"/>
          <w:sz w:val="20"/>
          <w:szCs w:val="20"/>
        </w:rPr>
        <w:t xml:space="preserve">Queensland Government, Working Together, Changing the Story, Youth Justice Strategy 2019-23, </w:t>
      </w:r>
      <w:r w:rsidR="00950638" w:rsidRPr="00B82D37">
        <w:rPr>
          <w:rFonts w:ascii="Arial" w:hAnsi="Arial" w:cs="Arial"/>
          <w:sz w:val="20"/>
          <w:szCs w:val="20"/>
        </w:rPr>
        <w:t>6</w:t>
      </w:r>
      <w:r w:rsidR="00E86D69" w:rsidRPr="00B82D37">
        <w:rPr>
          <w:rFonts w:ascii="Arial" w:hAnsi="Arial" w:cs="Arial"/>
          <w:sz w:val="20"/>
          <w:szCs w:val="20"/>
        </w:rPr>
        <w:t xml:space="preserve">. </w:t>
      </w:r>
    </w:p>
  </w:footnote>
  <w:footnote w:id="23">
    <w:p w14:paraId="397C974C" w14:textId="238380C5" w:rsidR="004F0626" w:rsidRPr="009634F7" w:rsidRDefault="004F0626" w:rsidP="005642BA">
      <w:pPr>
        <w:pStyle w:val="NoSpacing"/>
      </w:pPr>
      <w:r w:rsidRPr="00B82D37">
        <w:rPr>
          <w:rStyle w:val="FootnoteReference"/>
          <w:rFonts w:ascii="Arial" w:hAnsi="Arial" w:cs="Arial"/>
          <w:sz w:val="20"/>
          <w:szCs w:val="20"/>
        </w:rPr>
        <w:footnoteRef/>
      </w:r>
      <w:r w:rsidRPr="00B82D37">
        <w:rPr>
          <w:rFonts w:ascii="Arial" w:hAnsi="Arial" w:cs="Arial"/>
          <w:sz w:val="20"/>
          <w:szCs w:val="20"/>
        </w:rPr>
        <w:t xml:space="preserve"> </w:t>
      </w:r>
      <w:r w:rsidR="00461D2D" w:rsidRPr="00B82D37">
        <w:rPr>
          <w:rFonts w:ascii="Arial" w:hAnsi="Arial" w:cs="Arial"/>
          <w:sz w:val="20"/>
          <w:szCs w:val="20"/>
        </w:rPr>
        <w:t xml:space="preserve">Ross </w:t>
      </w:r>
      <w:r w:rsidR="00461D2D" w:rsidRPr="00B82D37">
        <w:rPr>
          <w:rFonts w:ascii="Arial" w:hAnsi="Arial" w:cs="Arial"/>
          <w:sz w:val="20"/>
          <w:szCs w:val="20"/>
        </w:rPr>
        <w:t xml:space="preserve">Homel, ‘Why locking up youth offenders fails to reduce crime – and what we should be doing instead’ </w:t>
      </w:r>
      <w:r w:rsidR="00F50EA6" w:rsidRPr="00B82D37">
        <w:rPr>
          <w:rFonts w:ascii="Arial" w:hAnsi="Arial" w:cs="Arial"/>
          <w:i/>
          <w:iCs/>
          <w:sz w:val="20"/>
          <w:szCs w:val="20"/>
        </w:rPr>
        <w:t>The Guardian</w:t>
      </w:r>
      <w:r w:rsidR="00B51B6F" w:rsidRPr="00B82D37">
        <w:rPr>
          <w:rFonts w:ascii="Arial" w:hAnsi="Arial" w:cs="Arial"/>
          <w:i/>
          <w:iCs/>
          <w:sz w:val="20"/>
          <w:szCs w:val="20"/>
        </w:rPr>
        <w:t xml:space="preserve"> </w:t>
      </w:r>
      <w:r w:rsidR="00B51B6F" w:rsidRPr="00B82D37">
        <w:rPr>
          <w:rFonts w:ascii="Arial" w:hAnsi="Arial" w:cs="Arial"/>
          <w:sz w:val="20"/>
          <w:szCs w:val="20"/>
        </w:rPr>
        <w:t>(online, 2</w:t>
      </w:r>
      <w:r w:rsidR="00BE6DBE" w:rsidRPr="00B82D37">
        <w:rPr>
          <w:rFonts w:ascii="Arial" w:hAnsi="Arial" w:cs="Arial"/>
          <w:sz w:val="20"/>
          <w:szCs w:val="20"/>
        </w:rPr>
        <w:t>1</w:t>
      </w:r>
      <w:r w:rsidR="00F50EA6" w:rsidRPr="00B82D37">
        <w:rPr>
          <w:rFonts w:ascii="Arial" w:hAnsi="Arial" w:cs="Arial"/>
          <w:sz w:val="20"/>
          <w:szCs w:val="20"/>
        </w:rPr>
        <w:t xml:space="preserve"> February 2023) </w:t>
      </w:r>
      <w:r w:rsidR="00F50EA6" w:rsidRPr="00B82D37">
        <w:rPr>
          <w:rFonts w:ascii="Arial" w:hAnsi="Arial" w:cs="Arial"/>
          <w:i/>
          <w:iCs/>
          <w:sz w:val="20"/>
          <w:szCs w:val="20"/>
        </w:rPr>
        <w:t xml:space="preserve"> </w:t>
      </w:r>
      <w:r w:rsidR="00461D2D" w:rsidRPr="00B82D37">
        <w:rPr>
          <w:rFonts w:ascii="Arial" w:hAnsi="Arial" w:cs="Arial"/>
          <w:sz w:val="20"/>
          <w:szCs w:val="20"/>
        </w:rPr>
        <w:t xml:space="preserve"> </w:t>
      </w:r>
      <w:r w:rsidR="00B51B6F" w:rsidRPr="00B82D37">
        <w:rPr>
          <w:rFonts w:ascii="Arial" w:hAnsi="Arial" w:cs="Arial"/>
          <w:sz w:val="20"/>
          <w:szCs w:val="20"/>
        </w:rPr>
        <w:t>&lt;</w:t>
      </w:r>
      <w:r w:rsidR="003B3B63" w:rsidRPr="00B82D37">
        <w:rPr>
          <w:rFonts w:ascii="Arial" w:hAnsi="Arial" w:cs="Arial"/>
          <w:sz w:val="20"/>
          <w:szCs w:val="20"/>
        </w:rPr>
        <w:t>https://www.theguardian.com/commentisfree/2023/feb/21/why-locking-up-youth-offenders-fails-to-reduce-and-what-we-should-be-doing-instead?</w:t>
      </w:r>
      <w:r w:rsidR="000F6919" w:rsidRPr="00B82D37">
        <w:rPr>
          <w:rFonts w:ascii="Arial" w:hAnsi="Arial" w:cs="Arial"/>
          <w:sz w:val="20"/>
          <w:szCs w:val="20"/>
        </w:rPr>
        <w:t>&gt;</w:t>
      </w:r>
      <w:r w:rsidR="00AD2AA1" w:rsidRPr="00B82D37">
        <w:rPr>
          <w:rFonts w:ascii="Arial" w:hAnsi="Arial" w:cs="Arial"/>
          <w:sz w:val="20"/>
          <w:szCs w:val="20"/>
        </w:rPr>
        <w:t>.</w:t>
      </w:r>
    </w:p>
  </w:footnote>
  <w:footnote w:id="24">
    <w:p w14:paraId="21913F85" w14:textId="5CD1724C" w:rsidR="00721164" w:rsidRPr="00C21FD2" w:rsidRDefault="00721164" w:rsidP="00721164">
      <w:pPr>
        <w:pStyle w:val="FootnoteText"/>
        <w:rPr>
          <w:lang w:val="en-US"/>
        </w:rPr>
      </w:pPr>
      <w:r>
        <w:rPr>
          <w:rStyle w:val="FootnoteReference"/>
        </w:rPr>
        <w:footnoteRef/>
      </w:r>
      <w:r>
        <w:t xml:space="preserve"> </w:t>
      </w:r>
      <w:r w:rsidR="004F4464" w:rsidRPr="004F4464">
        <w:rPr>
          <w:lang w:val="en-US"/>
        </w:rPr>
        <w:t>Legal Affairs and Community Safety Committee, Parliament of Queensland,</w:t>
      </w:r>
      <w:r>
        <w:rPr>
          <w:lang w:val="en-US"/>
        </w:rPr>
        <w:t xml:space="preserve"> </w:t>
      </w:r>
      <w:r w:rsidR="00485A9C">
        <w:rPr>
          <w:i/>
          <w:iCs/>
          <w:lang w:val="en-US"/>
        </w:rPr>
        <w:t>Inquiry into Human Rights Bill 2018</w:t>
      </w:r>
      <w:r>
        <w:rPr>
          <w:i/>
          <w:lang w:val="en-US"/>
        </w:rPr>
        <w:t xml:space="preserve"> </w:t>
      </w:r>
      <w:r w:rsidR="00F15911">
        <w:rPr>
          <w:lang w:val="en-US"/>
        </w:rPr>
        <w:t>(</w:t>
      </w:r>
      <w:r w:rsidR="00016708">
        <w:rPr>
          <w:lang w:val="en-US"/>
        </w:rPr>
        <w:t xml:space="preserve">Report 26, </w:t>
      </w:r>
      <w:r w:rsidR="00C414A5">
        <w:rPr>
          <w:lang w:val="en-US"/>
        </w:rPr>
        <w:t>February 2019</w:t>
      </w:r>
      <w:r w:rsidR="00F15911">
        <w:rPr>
          <w:lang w:val="en-US"/>
        </w:rPr>
        <w:t>)</w:t>
      </w:r>
      <w:r>
        <w:rPr>
          <w:lang w:val="en-US"/>
        </w:rPr>
        <w:t xml:space="preserve"> 65-67. </w:t>
      </w:r>
    </w:p>
  </w:footnote>
  <w:footnote w:id="25">
    <w:p w14:paraId="390E8F72" w14:textId="020BEA31" w:rsidR="00422744" w:rsidRPr="00B82D37" w:rsidRDefault="00422744" w:rsidP="00422744">
      <w:pPr>
        <w:pStyle w:val="FootnoteText"/>
        <w:rPr>
          <w:i/>
          <w:iCs/>
          <w:lang w:val="en-US"/>
        </w:rPr>
      </w:pPr>
      <w:r>
        <w:rPr>
          <w:rStyle w:val="FootnoteReference"/>
        </w:rPr>
        <w:footnoteRef/>
      </w:r>
      <w:r>
        <w:t xml:space="preserve"> </w:t>
      </w:r>
      <w:r>
        <w:rPr>
          <w:lang w:val="en-US"/>
        </w:rPr>
        <w:t xml:space="preserve">For further discussion of these issues see </w:t>
      </w:r>
      <w:r>
        <w:t xml:space="preserve">Julie </w:t>
      </w:r>
      <w:r w:rsidRPr="0028506B">
        <w:t xml:space="preserve">Debeljak, </w:t>
      </w:r>
      <w:r>
        <w:t>‘</w:t>
      </w:r>
      <w:r w:rsidRPr="0028506B">
        <w:t>Of Parole and Public Emergencies: Why the Victorian Charter Override Provision Should be Repealed</w:t>
      </w:r>
      <w:r>
        <w:t>’</w:t>
      </w:r>
      <w:r w:rsidRPr="0028506B">
        <w:t xml:space="preserve"> </w:t>
      </w:r>
      <w:r>
        <w:t xml:space="preserve">(2022) 45(2) </w:t>
      </w:r>
      <w:r w:rsidRPr="00A54B1C">
        <w:rPr>
          <w:i/>
          <w:iCs/>
        </w:rPr>
        <w:t>University of New South Wales Law Journal</w:t>
      </w:r>
      <w:r>
        <w:rPr>
          <w:i/>
          <w:iCs/>
        </w:rPr>
        <w:t xml:space="preserve"> </w:t>
      </w:r>
      <w:r w:rsidRPr="0028506B">
        <w:t>1</w:t>
      </w:r>
      <w:r>
        <w:t>.</w:t>
      </w:r>
    </w:p>
  </w:footnote>
  <w:footnote w:id="26">
    <w:p w14:paraId="5C3EA78F" w14:textId="47B4679B" w:rsidR="00721164" w:rsidRDefault="00721164" w:rsidP="00721164">
      <w:pPr>
        <w:pStyle w:val="FootnoteText"/>
      </w:pPr>
      <w:r>
        <w:rPr>
          <w:rStyle w:val="FootnoteReference"/>
        </w:rPr>
        <w:footnoteRef/>
      </w:r>
      <w:r>
        <w:t xml:space="preserve"> </w:t>
      </w:r>
      <w:r w:rsidRPr="00D44554">
        <w:rPr>
          <w:i/>
          <w:iCs/>
        </w:rPr>
        <w:t>International Covenant on Civil and Political Rights</w:t>
      </w:r>
      <w:r>
        <w:t xml:space="preserve">, opened for signature 16 December 1966, </w:t>
      </w:r>
    </w:p>
    <w:p w14:paraId="6AAEF569" w14:textId="497C4C77" w:rsidR="00721164" w:rsidRPr="00D44554" w:rsidRDefault="00721164" w:rsidP="00721164">
      <w:pPr>
        <w:pStyle w:val="FootnoteText"/>
        <w:rPr>
          <w:lang w:val="en-US"/>
        </w:rPr>
      </w:pPr>
      <w:r>
        <w:t>(</w:t>
      </w:r>
      <w:r w:rsidR="002D1200">
        <w:t xml:space="preserve">entered into force </w:t>
      </w:r>
      <w:r w:rsidR="00992A9A">
        <w:t>23 March 1976</w:t>
      </w:r>
      <w:r>
        <w:t>) art 4</w:t>
      </w:r>
    </w:p>
  </w:footnote>
  <w:footnote w:id="27">
    <w:p w14:paraId="3D083BF7" w14:textId="7680BB12" w:rsidR="00CA3B8F" w:rsidRPr="00831127" w:rsidRDefault="00CA3B8F" w:rsidP="00CA3B8F">
      <w:pPr>
        <w:pStyle w:val="FootnoteText"/>
        <w:rPr>
          <w:lang w:val="en-US"/>
        </w:rPr>
      </w:pPr>
      <w:r>
        <w:rPr>
          <w:rStyle w:val="FootnoteReference"/>
        </w:rPr>
        <w:footnoteRef/>
      </w:r>
      <w:r>
        <w:t xml:space="preserve"> </w:t>
      </w:r>
      <w:r w:rsidR="003F4370">
        <w:t xml:space="preserve">United Nations High Commissioner for Human Rights, </w:t>
      </w:r>
      <w:r w:rsidR="00BC71EF" w:rsidRPr="00BC71EF">
        <w:rPr>
          <w:i/>
          <w:iCs/>
        </w:rPr>
        <w:t>Emergency Measures and COVID-19: Guidance</w:t>
      </w:r>
      <w:r w:rsidR="00831127">
        <w:rPr>
          <w:i/>
          <w:iCs/>
        </w:rPr>
        <w:t xml:space="preserve"> </w:t>
      </w:r>
      <w:r w:rsidR="00831127">
        <w:t xml:space="preserve">(27 April 2020). </w:t>
      </w:r>
    </w:p>
  </w:footnote>
  <w:footnote w:id="28">
    <w:p w14:paraId="66051ADE" w14:textId="62F4851D" w:rsidR="00CA3B8F" w:rsidRPr="00CD106C" w:rsidRDefault="00CA3B8F" w:rsidP="00CA3B8F">
      <w:pPr>
        <w:pStyle w:val="FootnoteText"/>
        <w:rPr>
          <w:i/>
          <w:lang w:val="en-US"/>
        </w:rPr>
      </w:pPr>
      <w:r>
        <w:rPr>
          <w:rStyle w:val="FootnoteReference"/>
        </w:rPr>
        <w:footnoteRef/>
      </w:r>
      <w:r>
        <w:t xml:space="preserve"> </w:t>
      </w:r>
      <w:r w:rsidR="00184A12">
        <w:rPr>
          <w:i/>
          <w:iCs/>
        </w:rPr>
        <w:t>Public Health Act 2005</w:t>
      </w:r>
      <w:r w:rsidR="00912211">
        <w:rPr>
          <w:i/>
          <w:iCs/>
        </w:rPr>
        <w:t xml:space="preserve"> </w:t>
      </w:r>
      <w:r w:rsidR="00912211">
        <w:t xml:space="preserve">s 323 and accompanying </w:t>
      </w:r>
      <w:r w:rsidR="00B37AF3">
        <w:t>regulations</w:t>
      </w:r>
      <w:r w:rsidR="00C64BEB">
        <w:t>.</w:t>
      </w:r>
    </w:p>
  </w:footnote>
  <w:footnote w:id="29">
    <w:p w14:paraId="099239E1" w14:textId="4DD88454" w:rsidR="00287673" w:rsidRPr="00EF7498" w:rsidRDefault="00287673" w:rsidP="00287673">
      <w:pPr>
        <w:pStyle w:val="FootnoteText"/>
        <w:rPr>
          <w:lang w:val="en-US"/>
        </w:rPr>
      </w:pPr>
      <w:r>
        <w:rPr>
          <w:rStyle w:val="FootnoteReference"/>
        </w:rPr>
        <w:footnoteRef/>
      </w:r>
      <w:r>
        <w:t xml:space="preserve"> </w:t>
      </w:r>
      <w:r w:rsidR="004D0F7D">
        <w:t>See</w:t>
      </w:r>
      <w:r w:rsidR="00C50D0C">
        <w:t xml:space="preserve"> ICCPR</w:t>
      </w:r>
      <w:r w:rsidR="004D0F7D">
        <w:t xml:space="preserve"> article 4 and </w:t>
      </w:r>
      <w:r w:rsidR="00252C8E">
        <w:t xml:space="preserve">Human Rights Committee, </w:t>
      </w:r>
      <w:r w:rsidR="004D0F7D" w:rsidRPr="00252C8E">
        <w:rPr>
          <w:i/>
        </w:rPr>
        <w:t xml:space="preserve">General Comment </w:t>
      </w:r>
      <w:r w:rsidR="00252C8E">
        <w:rPr>
          <w:i/>
          <w:iCs/>
        </w:rPr>
        <w:t xml:space="preserve">No </w:t>
      </w:r>
      <w:r w:rsidR="004D0F7D" w:rsidRPr="00252C8E">
        <w:rPr>
          <w:i/>
        </w:rPr>
        <w:t>29</w:t>
      </w:r>
      <w:r w:rsidR="00252C8E">
        <w:rPr>
          <w:i/>
          <w:iCs/>
        </w:rPr>
        <w:t xml:space="preserve">: </w:t>
      </w:r>
      <w:r w:rsidR="00E62F79">
        <w:rPr>
          <w:i/>
          <w:iCs/>
        </w:rPr>
        <w:t>States of Emergency (article 4)</w:t>
      </w:r>
      <w:r w:rsidR="009A329C">
        <w:rPr>
          <w:i/>
          <w:iCs/>
        </w:rPr>
        <w:t xml:space="preserve">, </w:t>
      </w:r>
      <w:r w:rsidR="009A329C">
        <w:t>UN Doc CCPR/C/</w:t>
      </w:r>
      <w:r w:rsidR="00B04D8D" w:rsidRPr="00B04D8D">
        <w:t>21/Rev.1/Add.11</w:t>
      </w:r>
      <w:r w:rsidR="00B04D8D">
        <w:t xml:space="preserve"> (2011)</w:t>
      </w:r>
      <w:r w:rsidR="004D0F7D">
        <w:t xml:space="preserve"> </w:t>
      </w:r>
      <w:r w:rsidR="004D0F7D">
        <w:rPr>
          <w:lang w:val="en-US"/>
        </w:rPr>
        <w:t>f</w:t>
      </w:r>
      <w:r>
        <w:rPr>
          <w:lang w:val="en-US"/>
        </w:rPr>
        <w:t xml:space="preserve">ootnote 5 to [10].  </w:t>
      </w:r>
    </w:p>
  </w:footnote>
  <w:footnote w:id="30">
    <w:p w14:paraId="0A87618D" w14:textId="0E95C184" w:rsidR="009F080E" w:rsidRPr="00454134" w:rsidRDefault="009F080E">
      <w:pPr>
        <w:pStyle w:val="FootnoteText"/>
        <w:rPr>
          <w:lang w:val="en-US"/>
        </w:rPr>
      </w:pPr>
      <w:r>
        <w:rPr>
          <w:rStyle w:val="FootnoteReference"/>
        </w:rPr>
        <w:footnoteRef/>
      </w:r>
      <w:r>
        <w:t xml:space="preserve"> </w:t>
      </w:r>
      <w:r w:rsidRPr="009F080E">
        <w:t>In 2018</w:t>
      </w:r>
      <w:r w:rsidR="006937CF">
        <w:t xml:space="preserve"> </w:t>
      </w:r>
      <w:r w:rsidRPr="009F080E">
        <w:t xml:space="preserve">the </w:t>
      </w:r>
      <w:r w:rsidRPr="00454134">
        <w:rPr>
          <w:i/>
        </w:rPr>
        <w:t>Corrections Amendment (Parole) Act 2018</w:t>
      </w:r>
      <w:r w:rsidRPr="009F080E">
        <w:t xml:space="preserve"> (Vic)</w:t>
      </w:r>
      <w:r w:rsidR="007C2968">
        <w:t xml:space="preserve"> made amendments</w:t>
      </w:r>
      <w:r w:rsidRPr="009F080E">
        <w:t xml:space="preserve"> to prevent the Adult Parole Board from granting parole </w:t>
      </w:r>
      <w:r w:rsidR="008835D2">
        <w:t>in certain circumstances</w:t>
      </w:r>
      <w:r w:rsidRPr="009F080E">
        <w:t xml:space="preserve">. </w:t>
      </w:r>
      <w:r w:rsidR="00D74B69">
        <w:t xml:space="preserve">The </w:t>
      </w:r>
      <w:r w:rsidRPr="00454134">
        <w:rPr>
          <w:i/>
        </w:rPr>
        <w:t>Corrections Amendment (Parole) Act 2014</w:t>
      </w:r>
      <w:r w:rsidRPr="009F080E">
        <w:t>, amend</w:t>
      </w:r>
      <w:r w:rsidR="00713B11">
        <w:t>ed</w:t>
      </w:r>
      <w:r w:rsidRPr="009F080E">
        <w:t xml:space="preserve"> the Corrections Act to restrict</w:t>
      </w:r>
      <w:r>
        <w:t>ing</w:t>
      </w:r>
      <w:r w:rsidRPr="009F080E">
        <w:t xml:space="preserve"> the Parole Board from granting parole to</w:t>
      </w:r>
      <w:r>
        <w:t xml:space="preserve"> a particular prisoner</w:t>
      </w:r>
      <w:r w:rsidRPr="009F080E">
        <w:t xml:space="preserve">; and the </w:t>
      </w:r>
      <w:r w:rsidRPr="00454134">
        <w:rPr>
          <w:i/>
        </w:rPr>
        <w:t>Legal Profession Uniform Law Application Act 2014</w:t>
      </w:r>
      <w:r w:rsidRPr="009F080E">
        <w:t>, to implement a uniform legal professional conduct scheme.</w:t>
      </w:r>
      <w:r w:rsidR="00D32DCB">
        <w:t xml:space="preserve"> </w:t>
      </w:r>
      <w:r w:rsidR="00D32DCB" w:rsidRPr="00D32DCB">
        <w:t xml:space="preserve">The </w:t>
      </w:r>
      <w:r w:rsidR="00D32DCB" w:rsidRPr="00D32DCB">
        <w:rPr>
          <w:i/>
          <w:iCs/>
        </w:rPr>
        <w:t>ACT Human Rights Act 2004</w:t>
      </w:r>
      <w:r w:rsidR="00D32DCB" w:rsidRPr="00D32DCB">
        <w:t xml:space="preserve"> does not have an equivalent override declaration process.</w:t>
      </w:r>
    </w:p>
  </w:footnote>
  <w:footnote w:id="31">
    <w:p w14:paraId="5526FA30" w14:textId="238332D1" w:rsidR="0092491B" w:rsidRPr="0092491B" w:rsidRDefault="0092491B">
      <w:pPr>
        <w:pStyle w:val="FootnoteText"/>
        <w:rPr>
          <w:lang w:val="en-US"/>
        </w:rPr>
      </w:pPr>
      <w:r>
        <w:rPr>
          <w:rStyle w:val="FootnoteReference"/>
        </w:rPr>
        <w:footnoteRef/>
      </w:r>
      <w:r>
        <w:t xml:space="preserve"> </w:t>
      </w:r>
      <w:r w:rsidR="00727611" w:rsidRPr="00727611">
        <w:t xml:space="preserve">Childrens Court of Queensland, </w:t>
      </w:r>
      <w:r w:rsidR="00727611" w:rsidRPr="00B517D7">
        <w:rPr>
          <w:i/>
        </w:rPr>
        <w:t>Annual Report 2021-22</w:t>
      </w:r>
      <w:r w:rsidR="00727611" w:rsidRPr="00727611">
        <w:t xml:space="preserve"> (Report, 202</w:t>
      </w:r>
      <w:r w:rsidR="00727611">
        <w:t>2</w:t>
      </w:r>
      <w:r w:rsidR="00727611" w:rsidRPr="00727611">
        <w:t xml:space="preserve">) </w:t>
      </w:r>
      <w:r w:rsidR="005921CC">
        <w:t>4 [14]-[15]</w:t>
      </w:r>
    </w:p>
  </w:footnote>
  <w:footnote w:id="32">
    <w:p w14:paraId="19349166" w14:textId="436C4F99" w:rsidR="0014689B" w:rsidRPr="0014689B" w:rsidRDefault="0014689B">
      <w:pPr>
        <w:pStyle w:val="FootnoteText"/>
        <w:rPr>
          <w:lang w:val="en-US"/>
        </w:rPr>
      </w:pPr>
      <w:r>
        <w:rPr>
          <w:rStyle w:val="FootnoteReference"/>
        </w:rPr>
        <w:footnoteRef/>
      </w:r>
      <w:r>
        <w:t xml:space="preserve"> </w:t>
      </w:r>
      <w:r w:rsidR="000816ED">
        <w:t xml:space="preserve">As summarised in Michael Brett Young, </w:t>
      </w:r>
      <w:r w:rsidR="000816ED" w:rsidRPr="00C5192C">
        <w:rPr>
          <w:i/>
          <w:iCs/>
        </w:rPr>
        <w:t>From Commitment to Culture: The 2015 Review of the Charter of</w:t>
      </w:r>
      <w:r w:rsidR="000816ED">
        <w:rPr>
          <w:i/>
          <w:iCs/>
        </w:rPr>
        <w:t xml:space="preserve"> </w:t>
      </w:r>
      <w:r w:rsidR="000816ED" w:rsidRPr="00C5192C">
        <w:rPr>
          <w:i/>
          <w:iCs/>
        </w:rPr>
        <w:t>Human Rights and Responsibilities Act 2006</w:t>
      </w:r>
      <w:r w:rsidR="000816ED">
        <w:t xml:space="preserve"> (Report, September 2015) 198</w:t>
      </w:r>
    </w:p>
  </w:footnote>
  <w:footnote w:id="33">
    <w:p w14:paraId="1F525611" w14:textId="7DAEAFB8" w:rsidR="000816ED" w:rsidRPr="000816ED" w:rsidRDefault="000816ED">
      <w:pPr>
        <w:pStyle w:val="FootnoteText"/>
        <w:rPr>
          <w:lang w:val="en-US"/>
        </w:rPr>
      </w:pPr>
      <w:r>
        <w:rPr>
          <w:rStyle w:val="FootnoteReference"/>
        </w:rPr>
        <w:footnoteRef/>
      </w:r>
      <w:r>
        <w:t xml:space="preserve"> Michael Brett Young, </w:t>
      </w:r>
      <w:r w:rsidRPr="00C5192C">
        <w:rPr>
          <w:i/>
          <w:iCs/>
        </w:rPr>
        <w:t>From Commitment to Culture: The 2015 Review of the Charter of</w:t>
      </w:r>
      <w:r>
        <w:rPr>
          <w:i/>
          <w:iCs/>
        </w:rPr>
        <w:t xml:space="preserve"> </w:t>
      </w:r>
      <w:r w:rsidRPr="00C5192C">
        <w:rPr>
          <w:i/>
          <w:iCs/>
        </w:rPr>
        <w:t>Human Rights and Responsibilities Act 2006</w:t>
      </w:r>
      <w:r>
        <w:t xml:space="preserve"> (Report, September 2015) 198</w:t>
      </w:r>
      <w:r w:rsidR="003557B8">
        <w:t>.</w:t>
      </w:r>
    </w:p>
  </w:footnote>
  <w:footnote w:id="34">
    <w:p w14:paraId="0966B70C" w14:textId="31982DB1" w:rsidR="00FC617D" w:rsidRPr="00FC617D" w:rsidRDefault="00FC617D">
      <w:pPr>
        <w:pStyle w:val="FootnoteText"/>
        <w:rPr>
          <w:lang w:val="en-US"/>
        </w:rPr>
      </w:pPr>
      <w:r>
        <w:rPr>
          <w:rStyle w:val="FootnoteReference"/>
        </w:rPr>
        <w:footnoteRef/>
      </w:r>
      <w:r w:rsidR="006D4652">
        <w:t xml:space="preserve"> Michael Brett Young, </w:t>
      </w:r>
      <w:r w:rsidR="006D4652" w:rsidRPr="00C5192C">
        <w:rPr>
          <w:i/>
          <w:iCs/>
        </w:rPr>
        <w:t>From Commitment to Culture: The 2015 Review of the Charter of</w:t>
      </w:r>
      <w:r w:rsidR="006D4652">
        <w:rPr>
          <w:i/>
          <w:iCs/>
        </w:rPr>
        <w:t xml:space="preserve"> </w:t>
      </w:r>
      <w:r w:rsidR="006D4652" w:rsidRPr="00C5192C">
        <w:rPr>
          <w:i/>
          <w:iCs/>
        </w:rPr>
        <w:t>Human Rights and Responsibilities Act 2006</w:t>
      </w:r>
      <w:r w:rsidR="006D4652">
        <w:t xml:space="preserve"> (Report, September 2015) 199</w:t>
      </w:r>
      <w:r w:rsidR="003557B8">
        <w:t>.</w:t>
      </w:r>
    </w:p>
  </w:footnote>
  <w:footnote w:id="35">
    <w:p w14:paraId="5285BC18" w14:textId="77777777" w:rsidR="00C5192C" w:rsidRPr="00C5192C" w:rsidRDefault="004A5C5B" w:rsidP="00C5192C">
      <w:pPr>
        <w:pStyle w:val="FootnoteText"/>
        <w:rPr>
          <w:i/>
          <w:iCs/>
        </w:rPr>
      </w:pPr>
      <w:r>
        <w:rPr>
          <w:rStyle w:val="FootnoteReference"/>
        </w:rPr>
        <w:footnoteRef/>
      </w:r>
      <w:r>
        <w:t xml:space="preserve"> </w:t>
      </w:r>
      <w:r w:rsidR="00C5192C">
        <w:t xml:space="preserve">Michael Brett Young, </w:t>
      </w:r>
      <w:r w:rsidR="00C5192C" w:rsidRPr="00C5192C">
        <w:rPr>
          <w:i/>
          <w:iCs/>
        </w:rPr>
        <w:t>From Commitment to Culture: The 2015 Review of the Charter of</w:t>
      </w:r>
    </w:p>
    <w:p w14:paraId="1F0D71C8" w14:textId="361D9EEA" w:rsidR="004A5C5B" w:rsidRPr="004A5C5B" w:rsidRDefault="00C5192C">
      <w:pPr>
        <w:pStyle w:val="FootnoteText"/>
        <w:rPr>
          <w:lang w:val="en-US"/>
        </w:rPr>
      </w:pPr>
      <w:r w:rsidRPr="00C5192C">
        <w:rPr>
          <w:i/>
          <w:iCs/>
        </w:rPr>
        <w:t>Human Rights and Responsibilities Act 2006</w:t>
      </w:r>
      <w:r>
        <w:t xml:space="preserve"> (Report, September 2015) </w:t>
      </w:r>
      <w:r w:rsidR="00593A56">
        <w:t>199</w:t>
      </w:r>
      <w:r w:rsidR="003557B8">
        <w:t>.</w:t>
      </w:r>
    </w:p>
  </w:footnote>
  <w:footnote w:id="36">
    <w:p w14:paraId="6A16AF92" w14:textId="1FB1E615" w:rsidR="005C30C2" w:rsidRPr="005C30C2" w:rsidRDefault="005C30C2">
      <w:pPr>
        <w:pStyle w:val="FootnoteText"/>
      </w:pPr>
      <w:r>
        <w:rPr>
          <w:rStyle w:val="FootnoteReference"/>
        </w:rPr>
        <w:footnoteRef/>
      </w:r>
      <w:r>
        <w:t xml:space="preserve"> </w:t>
      </w:r>
      <w:r>
        <w:rPr>
          <w:i/>
          <w:iCs/>
        </w:rPr>
        <w:t>Bail Act 1980</w:t>
      </w:r>
      <w:r>
        <w:t xml:space="preserve"> s 29</w:t>
      </w:r>
      <w:r w:rsidR="00306ECE">
        <w:t>.</w:t>
      </w:r>
    </w:p>
  </w:footnote>
  <w:footnote w:id="37">
    <w:p w14:paraId="457CEC26" w14:textId="747645DE" w:rsidR="00600DDC" w:rsidRPr="00600DDC" w:rsidRDefault="00600DDC">
      <w:pPr>
        <w:pStyle w:val="FootnoteText"/>
        <w:rPr>
          <w:lang w:val="en-US"/>
        </w:rPr>
      </w:pPr>
      <w:r>
        <w:rPr>
          <w:rStyle w:val="FootnoteReference"/>
        </w:rPr>
        <w:footnoteRef/>
      </w:r>
      <w:r>
        <w:t xml:space="preserve"> </w:t>
      </w:r>
      <w:r w:rsidR="00D214D9">
        <w:t xml:space="preserve">Justice Reform Initiative, </w:t>
      </w:r>
      <w:r w:rsidR="00601C13">
        <w:t>‘</w:t>
      </w:r>
      <w:r w:rsidR="00D214D9" w:rsidRPr="00601C13">
        <w:t xml:space="preserve">Jailing is failing: </w:t>
      </w:r>
      <w:r w:rsidR="00344D6E" w:rsidRPr="00601C13">
        <w:t>insig</w:t>
      </w:r>
      <w:r w:rsidR="00601C13" w:rsidRPr="00601C13">
        <w:t>h</w:t>
      </w:r>
      <w:r w:rsidR="00344D6E" w:rsidRPr="00601C13">
        <w:t>ts into imprisonment in Queensland</w:t>
      </w:r>
      <w:r w:rsidR="00601C13">
        <w:t>’</w:t>
      </w:r>
      <w:r w:rsidR="00BB5AFB">
        <w:t xml:space="preserve"> </w:t>
      </w:r>
      <w:r w:rsidR="00B07995">
        <w:t>(</w:t>
      </w:r>
      <w:r w:rsidR="00433ACD">
        <w:t xml:space="preserve">Paper, </w:t>
      </w:r>
      <w:r w:rsidR="00B07995">
        <w:t>November 2022) &lt;</w:t>
      </w:r>
      <w:r w:rsidR="00B07995" w:rsidRPr="00B07995">
        <w:t>https://assets.nationbuilder.com/justicereforminitiative/pages/318/attachments/original/1668450143/JRI_Insights_QLD.pdf?1668450143</w:t>
      </w:r>
      <w:r w:rsidR="00B07995">
        <w:t>&gt;</w:t>
      </w:r>
    </w:p>
  </w:footnote>
  <w:footnote w:id="38">
    <w:p w14:paraId="3C490151" w14:textId="762AD3C8" w:rsidR="00111367" w:rsidRPr="00111367" w:rsidRDefault="00111367">
      <w:pPr>
        <w:pStyle w:val="FootnoteText"/>
        <w:rPr>
          <w:lang w:val="en-US"/>
        </w:rPr>
      </w:pPr>
      <w:r>
        <w:rPr>
          <w:rStyle w:val="FootnoteReference"/>
        </w:rPr>
        <w:footnoteRef/>
      </w:r>
      <w:r>
        <w:t xml:space="preserve"> </w:t>
      </w:r>
      <w:r w:rsidR="00F6166F" w:rsidRPr="00F6166F">
        <w:t xml:space="preserve">Australian Institute of Health and Welfare, </w:t>
      </w:r>
      <w:r w:rsidR="00F6166F" w:rsidRPr="00615CAB">
        <w:rPr>
          <w:i/>
        </w:rPr>
        <w:t>Youth detention population in Australia 2022</w:t>
      </w:r>
      <w:r w:rsidR="001478B3">
        <w:t xml:space="preserve"> (Catalogue No </w:t>
      </w:r>
      <w:r w:rsidR="001478B3" w:rsidRPr="001478B3">
        <w:t>JUV 139</w:t>
      </w:r>
      <w:r w:rsidR="00B431A7">
        <w:t xml:space="preserve">, </w:t>
      </w:r>
      <w:r w:rsidR="00EB7987">
        <w:t>13 December 2022</w:t>
      </w:r>
      <w:r w:rsidR="00B431A7">
        <w:t>)</w:t>
      </w:r>
      <w:r w:rsidR="00F6166F" w:rsidRPr="00F6166F">
        <w:t xml:space="preserve"> </w:t>
      </w:r>
    </w:p>
  </w:footnote>
  <w:footnote w:id="39">
    <w:p w14:paraId="56875C28" w14:textId="17C77582" w:rsidR="00BE502E" w:rsidRPr="00FD32ED" w:rsidRDefault="00BE502E">
      <w:pPr>
        <w:pStyle w:val="FootnoteText"/>
      </w:pPr>
      <w:r>
        <w:rPr>
          <w:rStyle w:val="FootnoteReference"/>
        </w:rPr>
        <w:footnoteRef/>
      </w:r>
      <w:r>
        <w:t xml:space="preserve"> </w:t>
      </w:r>
      <w:r w:rsidR="00FD32ED">
        <w:rPr>
          <w:i/>
          <w:iCs/>
        </w:rPr>
        <w:t>Community Services Industry (Portable Long Service Leave) Act 2020</w:t>
      </w:r>
      <w:r w:rsidR="00FD32ED">
        <w:t>, division 8.</w:t>
      </w:r>
    </w:p>
  </w:footnote>
  <w:footnote w:id="40">
    <w:p w14:paraId="46DFF954" w14:textId="76B2F542" w:rsidR="006B6B3C" w:rsidRDefault="006B6B3C">
      <w:pPr>
        <w:pStyle w:val="FootnoteText"/>
      </w:pPr>
      <w:r>
        <w:rPr>
          <w:rStyle w:val="FootnoteReference"/>
        </w:rPr>
        <w:footnoteRef/>
      </w:r>
      <w:r>
        <w:t xml:space="preserve"> </w:t>
      </w:r>
      <w:r w:rsidR="00B51F26">
        <w:t xml:space="preserve">See also </w:t>
      </w:r>
      <w:r w:rsidR="00B51F26" w:rsidRPr="00C31FFB">
        <w:rPr>
          <w:i/>
        </w:rPr>
        <w:t>Re application for bail by Islam</w:t>
      </w:r>
      <w:r w:rsidR="00B51F26" w:rsidRPr="00C31FFB">
        <w:t xml:space="preserve"> (2010) 175 ACTR 30</w:t>
      </w:r>
      <w:r w:rsidR="00B51F26">
        <w:t>: t</w:t>
      </w:r>
      <w:r w:rsidR="000A6996">
        <w:t xml:space="preserve">he ACT Supreme Court </w:t>
      </w:r>
      <w:r w:rsidR="00A21BD3">
        <w:t xml:space="preserve">issued a declaration of </w:t>
      </w:r>
      <w:r w:rsidR="00AF5809">
        <w:t>incompatibility in relation to a provision requiring a person</w:t>
      </w:r>
      <w:r w:rsidR="00BD6CF5">
        <w:t xml:space="preserve"> to show exceptional circumstances for bail</w:t>
      </w:r>
      <w:r w:rsidR="00AF5809">
        <w:t xml:space="preserve">. </w:t>
      </w:r>
      <w:r w:rsidR="001B69FE">
        <w:t xml:space="preserve">The provision was found to be </w:t>
      </w:r>
      <w:r w:rsidR="00BD6CF5">
        <w:t xml:space="preserve">inconsistent with </w:t>
      </w:r>
      <w:r w:rsidR="001B69FE">
        <w:t xml:space="preserve">human rights as it was </w:t>
      </w:r>
      <w:r w:rsidR="004E3CDD">
        <w:t>not proportionate to the purpose to be achieved.</w:t>
      </w:r>
      <w:r w:rsidR="00AB7ECC">
        <w:t xml:space="preserve"> </w:t>
      </w:r>
    </w:p>
  </w:footnote>
  <w:footnote w:id="41">
    <w:p w14:paraId="4C7B7E74" w14:textId="65A02029" w:rsidR="006A7C8B" w:rsidRDefault="006A7C8B">
      <w:pPr>
        <w:pStyle w:val="FootnoteText"/>
      </w:pPr>
      <w:r>
        <w:rPr>
          <w:rStyle w:val="FootnoteReference"/>
        </w:rPr>
        <w:footnoteRef/>
      </w:r>
      <w:r>
        <w:t xml:space="preserve"> Explanatory Notes, </w:t>
      </w:r>
      <w:r w:rsidR="00BE0523">
        <w:t>Strengthening Community Safety Bill 2023, 12.</w:t>
      </w:r>
    </w:p>
  </w:footnote>
  <w:footnote w:id="42">
    <w:p w14:paraId="1E3F6708" w14:textId="1A01DC4A" w:rsidR="005E4363" w:rsidRDefault="005E4363">
      <w:pPr>
        <w:pStyle w:val="FootnoteText"/>
      </w:pPr>
      <w:r>
        <w:rPr>
          <w:rStyle w:val="FootnoteReference"/>
        </w:rPr>
        <w:footnoteRef/>
      </w:r>
      <w:r>
        <w:t xml:space="preserve"> </w:t>
      </w:r>
      <w:r w:rsidR="00684E89" w:rsidRPr="006E1312">
        <w:t>Victorian Courts</w:t>
      </w:r>
      <w:r w:rsidR="00277496" w:rsidRPr="006E1312">
        <w:t xml:space="preserve"> </w:t>
      </w:r>
      <w:r w:rsidR="007F533C" w:rsidRPr="006E1312">
        <w:t xml:space="preserve">(2023) </w:t>
      </w:r>
      <w:r w:rsidR="000678B6" w:rsidRPr="006E1312">
        <w:t>Inquest into the death of Veronica Nelson</w:t>
      </w:r>
      <w:r w:rsidR="007F533C" w:rsidRPr="006E1312">
        <w:t xml:space="preserve"> (</w:t>
      </w:r>
      <w:r w:rsidR="00850297" w:rsidRPr="006E1312">
        <w:t xml:space="preserve">File No. COR </w:t>
      </w:r>
      <w:r w:rsidR="00F67578" w:rsidRPr="006E1312">
        <w:t>2020</w:t>
      </w:r>
      <w:r w:rsidR="00684E89" w:rsidRPr="006E1312">
        <w:t>/0021)</w:t>
      </w:r>
      <w:r w:rsidR="005B1455" w:rsidRPr="006E1312">
        <w:t xml:space="preserve">, </w:t>
      </w:r>
      <w:r w:rsidRPr="006E1312">
        <w:t>368</w:t>
      </w:r>
      <w:r w:rsidR="0059058E" w:rsidRPr="006E1312">
        <w:t>-37</w:t>
      </w:r>
      <w:r w:rsidR="005C520C" w:rsidRPr="006E1312">
        <w:t>4.</w:t>
      </w:r>
    </w:p>
  </w:footnote>
  <w:footnote w:id="43">
    <w:p w14:paraId="201B8DF1" w14:textId="6B4669BB" w:rsidR="00E07610" w:rsidRDefault="00E07610">
      <w:pPr>
        <w:pStyle w:val="FootnoteText"/>
      </w:pPr>
      <w:r>
        <w:rPr>
          <w:rStyle w:val="FootnoteReference"/>
        </w:rPr>
        <w:footnoteRef/>
      </w:r>
      <w:r>
        <w:t xml:space="preserve"> </w:t>
      </w:r>
      <w:r w:rsidR="006E1312" w:rsidRPr="006E1312">
        <w:t xml:space="preserve">Victorian Courts (2023) Inquest into the death of Veronica Nelson (File No. COR 2020/0021), </w:t>
      </w:r>
      <w:r>
        <w:t>375.</w:t>
      </w:r>
    </w:p>
  </w:footnote>
  <w:footnote w:id="44">
    <w:p w14:paraId="25AB9D26" w14:textId="66D9027A" w:rsidR="00D55094" w:rsidRDefault="00D55094">
      <w:pPr>
        <w:pStyle w:val="FootnoteText"/>
      </w:pPr>
      <w:r>
        <w:rPr>
          <w:rStyle w:val="FootnoteReference"/>
        </w:rPr>
        <w:footnoteRef/>
      </w:r>
      <w:r>
        <w:t xml:space="preserve"> </w:t>
      </w:r>
      <w:r w:rsidR="006E1312" w:rsidRPr="006E1312">
        <w:t xml:space="preserve">Victorian Courts (2023) Inquest into the death of Veronica Nelson (File No. COR 2020/0021), </w:t>
      </w:r>
      <w:r>
        <w:t>381.</w:t>
      </w:r>
    </w:p>
  </w:footnote>
  <w:footnote w:id="45">
    <w:p w14:paraId="23098186" w14:textId="6B325EE2" w:rsidR="00447B8E" w:rsidRDefault="00447B8E">
      <w:pPr>
        <w:pStyle w:val="FootnoteText"/>
      </w:pPr>
      <w:r>
        <w:rPr>
          <w:rStyle w:val="FootnoteReference"/>
        </w:rPr>
        <w:footnoteRef/>
      </w:r>
      <w:r>
        <w:t xml:space="preserve"> </w:t>
      </w:r>
      <w:r w:rsidR="00E07150" w:rsidRPr="006E1312">
        <w:t>Victorian Courts (2023) Inquest into the death of Veronica Nelson (File No. COR 2020/0021),</w:t>
      </w:r>
      <w:r>
        <w:t xml:space="preserve"> </w:t>
      </w:r>
      <w:r w:rsidR="00C42292">
        <w:t>390.</w:t>
      </w:r>
    </w:p>
  </w:footnote>
  <w:footnote w:id="46">
    <w:p w14:paraId="699DEC9A" w14:textId="0BE9C37A" w:rsidR="004147F6" w:rsidRDefault="004147F6" w:rsidP="004147F6">
      <w:pPr>
        <w:pStyle w:val="FootnoteText"/>
      </w:pPr>
      <w:r>
        <w:rPr>
          <w:rStyle w:val="FootnoteReference"/>
        </w:rPr>
        <w:footnoteRef/>
      </w:r>
      <w:r>
        <w:t xml:space="preserve"> </w:t>
      </w:r>
      <w:r w:rsidR="00255FCA" w:rsidRPr="00F6166F">
        <w:t xml:space="preserve">Australian Institute of Health and Welfare, </w:t>
      </w:r>
      <w:r w:rsidR="00255FCA" w:rsidRPr="00615CAB">
        <w:rPr>
          <w:i/>
          <w:iCs/>
        </w:rPr>
        <w:t>Youth detention population in Australia 2022</w:t>
      </w:r>
      <w:r w:rsidR="00255FCA">
        <w:t xml:space="preserve"> (Catalogue No </w:t>
      </w:r>
      <w:r w:rsidR="00255FCA" w:rsidRPr="001478B3">
        <w:t>JUV 139</w:t>
      </w:r>
      <w:r w:rsidR="00255FCA">
        <w:t>, 13 December 2022) Supplementary Tables.</w:t>
      </w:r>
    </w:p>
  </w:footnote>
  <w:footnote w:id="47">
    <w:p w14:paraId="1B741485" w14:textId="4C16AFC9" w:rsidR="00C77FA7" w:rsidRPr="00C77FA7" w:rsidRDefault="00C77FA7">
      <w:pPr>
        <w:pStyle w:val="FootnoteText"/>
      </w:pPr>
      <w:r>
        <w:rPr>
          <w:rStyle w:val="FootnoteReference"/>
        </w:rPr>
        <w:footnoteRef/>
      </w:r>
      <w:r>
        <w:t xml:space="preserve"> </w:t>
      </w:r>
      <w:r w:rsidRPr="00C77FA7">
        <w:rPr>
          <w:i/>
          <w:iCs/>
        </w:rPr>
        <w:t>Bail Act and Another Act Amendment Act 1989</w:t>
      </w:r>
      <w:r>
        <w:rPr>
          <w:i/>
          <w:iCs/>
        </w:rPr>
        <w:t xml:space="preserve"> </w:t>
      </w:r>
      <w:r>
        <w:t>(Qld).</w:t>
      </w:r>
    </w:p>
  </w:footnote>
  <w:footnote w:id="48">
    <w:p w14:paraId="558754EB" w14:textId="7428D40C" w:rsidR="0072695B" w:rsidRPr="0072695B" w:rsidRDefault="0072695B">
      <w:pPr>
        <w:pStyle w:val="FootnoteText"/>
      </w:pPr>
      <w:r>
        <w:rPr>
          <w:rStyle w:val="FootnoteReference"/>
        </w:rPr>
        <w:footnoteRef/>
      </w:r>
      <w:r>
        <w:t xml:space="preserve"> </w:t>
      </w:r>
      <w:r>
        <w:rPr>
          <w:i/>
          <w:iCs/>
        </w:rPr>
        <w:t xml:space="preserve">Youth Justice and Other Legislation Amendment Act 2014 </w:t>
      </w:r>
      <w:r>
        <w:t>(Qld).</w:t>
      </w:r>
    </w:p>
  </w:footnote>
  <w:footnote w:id="49">
    <w:p w14:paraId="460E5B84" w14:textId="77777777" w:rsidR="00007E34" w:rsidRDefault="00007E34" w:rsidP="00007E34">
      <w:pPr>
        <w:pStyle w:val="FootnoteText"/>
      </w:pPr>
      <w:r>
        <w:rPr>
          <w:rStyle w:val="FootnoteReference"/>
        </w:rPr>
        <w:footnoteRef/>
      </w:r>
      <w:r>
        <w:t xml:space="preserve"> </w:t>
      </w:r>
      <w:r>
        <w:rPr>
          <w:rStyle w:val="markedcontent"/>
          <w:rFonts w:cs="Arial"/>
        </w:rPr>
        <w:t>Explanatory Notes, Youth Justice and Other Legislation Amendment Bill 2014, 4.</w:t>
      </w:r>
    </w:p>
  </w:footnote>
  <w:footnote w:id="50">
    <w:p w14:paraId="3A627881" w14:textId="18FD564C" w:rsidR="000015D1" w:rsidRDefault="000015D1">
      <w:pPr>
        <w:pStyle w:val="FootnoteText"/>
      </w:pPr>
      <w:r>
        <w:rPr>
          <w:rStyle w:val="FootnoteReference"/>
        </w:rPr>
        <w:footnoteRef/>
      </w:r>
      <w:r>
        <w:t xml:space="preserve"> </w:t>
      </w:r>
      <w:r w:rsidR="00751630">
        <w:rPr>
          <w:i/>
          <w:iCs/>
        </w:rPr>
        <w:t xml:space="preserve">Legal Affairs and Community Safety Committee, </w:t>
      </w:r>
      <w:r w:rsidR="00751630">
        <w:t>Report no. 58</w:t>
      </w:r>
      <w:r w:rsidR="00751630">
        <w:rPr>
          <w:i/>
          <w:iCs/>
        </w:rPr>
        <w:t xml:space="preserve"> </w:t>
      </w:r>
      <w:r w:rsidR="00751630">
        <w:t>(March 2014)</w:t>
      </w:r>
      <w:r w:rsidR="005F5D29">
        <w:t>, 10 - 12.</w:t>
      </w:r>
      <w:r w:rsidR="00751630">
        <w:t xml:space="preserve"> </w:t>
      </w:r>
    </w:p>
  </w:footnote>
  <w:footnote w:id="51">
    <w:p w14:paraId="2D4C27C5" w14:textId="4FC5C2C0" w:rsidR="00F821D8" w:rsidRPr="00F821D8" w:rsidRDefault="00F821D8">
      <w:pPr>
        <w:pStyle w:val="FootnoteText"/>
      </w:pPr>
      <w:r>
        <w:rPr>
          <w:rStyle w:val="FootnoteReference"/>
        </w:rPr>
        <w:footnoteRef/>
      </w:r>
      <w:r>
        <w:t xml:space="preserve"> </w:t>
      </w:r>
      <w:r>
        <w:rPr>
          <w:i/>
          <w:iCs/>
        </w:rPr>
        <w:t>Youth Justice and Other Legislation Amendment Act 2015</w:t>
      </w:r>
      <w:r w:rsidR="00E166B7">
        <w:rPr>
          <w:i/>
          <w:iCs/>
        </w:rPr>
        <w:t>.</w:t>
      </w:r>
    </w:p>
  </w:footnote>
  <w:footnote w:id="52">
    <w:p w14:paraId="3C7EB2CA" w14:textId="4E4265B3" w:rsidR="007A2F3E" w:rsidRDefault="007A2F3E">
      <w:pPr>
        <w:pStyle w:val="FootnoteText"/>
      </w:pPr>
      <w:r>
        <w:rPr>
          <w:rStyle w:val="FootnoteReference"/>
        </w:rPr>
        <w:footnoteRef/>
      </w:r>
      <w:r>
        <w:t xml:space="preserve"> Explanatory Notes, Youth Justice and Other Legislation Amendment Bill 2015, 1.</w:t>
      </w:r>
    </w:p>
  </w:footnote>
  <w:footnote w:id="53">
    <w:p w14:paraId="06B53150" w14:textId="617E3889" w:rsidR="006F12A0" w:rsidRDefault="006F12A0">
      <w:pPr>
        <w:pStyle w:val="FootnoteText"/>
      </w:pPr>
      <w:r>
        <w:rPr>
          <w:rStyle w:val="FootnoteReference"/>
        </w:rPr>
        <w:footnoteRef/>
      </w:r>
      <w:r>
        <w:t xml:space="preserve"> </w:t>
      </w:r>
      <w:r w:rsidR="00876E4F" w:rsidRPr="001652BE">
        <w:t xml:space="preserve">Queensland </w:t>
      </w:r>
      <w:r w:rsidR="00892B97" w:rsidRPr="001652BE">
        <w:t>Government, ‘</w:t>
      </w:r>
      <w:r>
        <w:t>Media statement</w:t>
      </w:r>
      <w:r w:rsidR="003E6BCA" w:rsidRPr="001652BE">
        <w:t>:</w:t>
      </w:r>
      <w:r w:rsidR="00284EAD" w:rsidRPr="00AF5455">
        <w:t xml:space="preserve"> Palaszczuk Government committed to tackling youth crime</w:t>
      </w:r>
      <w:r w:rsidR="00923369">
        <w:t>’</w:t>
      </w:r>
      <w:r w:rsidR="00284EAD" w:rsidRPr="001652BE">
        <w:t xml:space="preserve"> (</w:t>
      </w:r>
      <w:r>
        <w:t>2017</w:t>
      </w:r>
      <w:r w:rsidR="00284EAD" w:rsidRPr="001652BE">
        <w:t>)</w:t>
      </w:r>
      <w:r w:rsidR="00D30CFF" w:rsidRPr="001652BE">
        <w:t xml:space="preserve"> </w:t>
      </w:r>
      <w:r w:rsidR="00AF5455" w:rsidRPr="001652BE">
        <w:t>&lt;</w:t>
      </w:r>
      <w:r w:rsidR="00D30CFF" w:rsidRPr="00D30CFF">
        <w:t>https://statements.qld.gov.au/statements/82326</w:t>
      </w:r>
      <w:r w:rsidR="00AF5455" w:rsidRPr="00AF5455">
        <w:t>&gt;</w:t>
      </w:r>
      <w:r w:rsidR="00AF5455">
        <w:t>.</w:t>
      </w:r>
    </w:p>
  </w:footnote>
  <w:footnote w:id="54">
    <w:p w14:paraId="15D4654B" w14:textId="3D0E4194" w:rsidR="00B03960" w:rsidRPr="00A37D9A" w:rsidRDefault="00B03960" w:rsidP="00A37D9A">
      <w:pPr>
        <w:pStyle w:val="xmsolistparagraph"/>
        <w:ind w:left="0"/>
        <w:rPr>
          <w:rFonts w:ascii="Arial" w:eastAsia="Times New Roman" w:hAnsi="Arial" w:cs="Arial"/>
          <w:sz w:val="20"/>
          <w:szCs w:val="20"/>
        </w:rPr>
      </w:pPr>
      <w:r>
        <w:rPr>
          <w:rStyle w:val="FootnoteReference"/>
        </w:rPr>
        <w:footnoteRef/>
      </w:r>
      <w:r>
        <w:t xml:space="preserve"> </w:t>
      </w:r>
      <w:r w:rsidR="009F2BF4" w:rsidRPr="00A37D9A">
        <w:rPr>
          <w:rFonts w:ascii="Arial" w:hAnsi="Arial" w:cs="Arial"/>
          <w:i/>
          <w:sz w:val="20"/>
          <w:szCs w:val="20"/>
          <w:lang w:val="en-US"/>
        </w:rPr>
        <w:t>United Nations Standard Minimum Rules for the Administration of Juvenile Justice</w:t>
      </w:r>
      <w:r w:rsidR="00A37D9A" w:rsidRPr="00A37D9A">
        <w:rPr>
          <w:rFonts w:ascii="Arial" w:hAnsi="Arial" w:cs="Arial"/>
          <w:sz w:val="20"/>
          <w:szCs w:val="20"/>
          <w:lang w:val="en-US"/>
        </w:rPr>
        <w:t xml:space="preserve"> </w:t>
      </w:r>
      <w:r w:rsidR="00A37D9A" w:rsidRPr="00A37D9A">
        <w:rPr>
          <w:rFonts w:ascii="Arial" w:hAnsi="Arial" w:cs="Arial"/>
          <w:i/>
          <w:iCs/>
          <w:sz w:val="20"/>
          <w:szCs w:val="20"/>
          <w:lang w:val="en-US"/>
        </w:rPr>
        <w:t xml:space="preserve">(‘The Beijing Rules’) </w:t>
      </w:r>
      <w:r w:rsidR="00A37D9A" w:rsidRPr="00A37D9A">
        <w:rPr>
          <w:rFonts w:ascii="Arial" w:hAnsi="Arial" w:cs="Arial"/>
          <w:sz w:val="20"/>
          <w:szCs w:val="20"/>
          <w:lang w:val="en-US"/>
        </w:rPr>
        <w:t>GA Res 40/33, UN Doc A/RES/40/33 (29 November 1985)</w:t>
      </w:r>
      <w:r w:rsidR="000E37FB" w:rsidRPr="00A37D9A">
        <w:rPr>
          <w:rFonts w:ascii="Arial" w:hAnsi="Arial" w:cs="Arial"/>
          <w:sz w:val="20"/>
          <w:szCs w:val="20"/>
          <w:lang w:val="en-US"/>
        </w:rPr>
        <w:t xml:space="preserve"> </w:t>
      </w:r>
      <w:r w:rsidR="000E37FB" w:rsidRPr="00A37D9A">
        <w:rPr>
          <w:rFonts w:ascii="Arial" w:hAnsi="Arial" w:cs="Arial"/>
          <w:sz w:val="20"/>
          <w:szCs w:val="20"/>
        </w:rPr>
        <w:t>rule 13 – detention pending trial must be a measure of last resort and for the shortest possible period of time</w:t>
      </w:r>
      <w:r w:rsidR="00EB5470" w:rsidRPr="00A37D9A">
        <w:rPr>
          <w:rFonts w:ascii="Arial" w:hAnsi="Arial" w:cs="Arial"/>
          <w:sz w:val="20"/>
          <w:szCs w:val="20"/>
        </w:rPr>
        <w:t>;</w:t>
      </w:r>
      <w:r w:rsidR="00634F00" w:rsidRPr="00A37D9A">
        <w:rPr>
          <w:rFonts w:ascii="Arial" w:hAnsi="Arial" w:cs="Arial"/>
          <w:sz w:val="20"/>
          <w:szCs w:val="20"/>
        </w:rPr>
        <w:t xml:space="preserve"> rule 11</w:t>
      </w:r>
      <w:r w:rsidR="00EB5470" w:rsidRPr="00A37D9A">
        <w:rPr>
          <w:rFonts w:ascii="Arial" w:hAnsi="Arial" w:cs="Arial"/>
          <w:sz w:val="20"/>
          <w:szCs w:val="20"/>
        </w:rPr>
        <w:t xml:space="preserve"> </w:t>
      </w:r>
      <w:r w:rsidR="00E82D25" w:rsidRPr="00A37D9A">
        <w:rPr>
          <w:rFonts w:ascii="Arial" w:hAnsi="Arial" w:cs="Arial"/>
          <w:sz w:val="20"/>
          <w:szCs w:val="20"/>
        </w:rPr>
        <w:t>–</w:t>
      </w:r>
      <w:r w:rsidR="00EB5470" w:rsidRPr="00A37D9A">
        <w:rPr>
          <w:rFonts w:ascii="Arial" w:hAnsi="Arial" w:cs="Arial"/>
          <w:sz w:val="20"/>
          <w:szCs w:val="20"/>
        </w:rPr>
        <w:t xml:space="preserve"> </w:t>
      </w:r>
      <w:r w:rsidR="00E82D25" w:rsidRPr="00A37D9A">
        <w:rPr>
          <w:rFonts w:ascii="Arial" w:hAnsi="Arial" w:cs="Arial"/>
          <w:sz w:val="20"/>
          <w:szCs w:val="20"/>
        </w:rPr>
        <w:t>diversion from the criminal justice system.</w:t>
      </w:r>
    </w:p>
  </w:footnote>
  <w:footnote w:id="55">
    <w:p w14:paraId="637476F1" w14:textId="5194BCE8" w:rsidR="00FE577C" w:rsidRDefault="00FE577C">
      <w:pPr>
        <w:pStyle w:val="FootnoteText"/>
      </w:pPr>
      <w:r>
        <w:rPr>
          <w:rStyle w:val="FootnoteReference"/>
        </w:rPr>
        <w:footnoteRef/>
      </w:r>
      <w:r>
        <w:t xml:space="preserve"> </w:t>
      </w:r>
      <w:r w:rsidRPr="00FE577C">
        <w:rPr>
          <w:i/>
          <w:iCs/>
        </w:rPr>
        <w:t>United Nations Rules for the Protection of Juveniles Deprived of their Liberty</w:t>
      </w:r>
      <w:r>
        <w:t>, pt III</w:t>
      </w:r>
      <w:r w:rsidR="001A0D98">
        <w:t xml:space="preserve"> - </w:t>
      </w:r>
      <w:r w:rsidR="003A2C45">
        <w:t>d</w:t>
      </w:r>
      <w:r w:rsidR="001A0D98">
        <w:t xml:space="preserve">etention before trial shall be avoided to the extent possible and limited to exceptional circumstances. </w:t>
      </w:r>
      <w:r w:rsidR="003A2C45">
        <w:t>All</w:t>
      </w:r>
      <w:r w:rsidR="001A0D98">
        <w:t xml:space="preserve"> efforts shall be made to apply alternative measures</w:t>
      </w:r>
      <w:r>
        <w:t>.</w:t>
      </w:r>
    </w:p>
  </w:footnote>
  <w:footnote w:id="56">
    <w:p w14:paraId="12A85904" w14:textId="18C1428C" w:rsidR="00551756" w:rsidRDefault="00551756">
      <w:pPr>
        <w:pStyle w:val="FootnoteText"/>
      </w:pPr>
      <w:r>
        <w:rPr>
          <w:rStyle w:val="FootnoteReference"/>
        </w:rPr>
        <w:footnoteRef/>
      </w:r>
      <w:r>
        <w:t xml:space="preserve"> </w:t>
      </w:r>
      <w:r w:rsidR="003A765D">
        <w:t>Statement of Compatibility</w:t>
      </w:r>
      <w:r w:rsidR="009724E8">
        <w:t xml:space="preserve">, </w:t>
      </w:r>
      <w:r w:rsidR="00C96B2D" w:rsidRPr="00C96B2D">
        <w:t>Strengthening Community Safety Bill 2023</w:t>
      </w:r>
      <w:r w:rsidR="009724E8">
        <w:t xml:space="preserve"> </w:t>
      </w:r>
      <w:r w:rsidR="004B47CC">
        <w:t>3.</w:t>
      </w:r>
    </w:p>
  </w:footnote>
  <w:footnote w:id="57">
    <w:p w14:paraId="6132FA51" w14:textId="16B4877A" w:rsidR="00194421" w:rsidRDefault="00194421">
      <w:pPr>
        <w:pStyle w:val="FootnoteText"/>
      </w:pPr>
      <w:r>
        <w:rPr>
          <w:rStyle w:val="FootnoteReference"/>
        </w:rPr>
        <w:footnoteRef/>
      </w:r>
      <w:r>
        <w:t xml:space="preserve"> </w:t>
      </w:r>
      <w:r w:rsidR="004B1E1A" w:rsidRPr="004B1E1A">
        <w:t>B</w:t>
      </w:r>
      <w:r w:rsidR="006245AA">
        <w:t>ob</w:t>
      </w:r>
      <w:r w:rsidR="004B1E1A" w:rsidRPr="004B1E1A">
        <w:t xml:space="preserve"> Atkinson, </w:t>
      </w:r>
      <w:r w:rsidR="004B1E1A" w:rsidRPr="00BB60A7">
        <w:rPr>
          <w:i/>
        </w:rPr>
        <w:t>Report on Youth Justice from Bob Atkinson AO, APM, Special Advisor to Di Farmer MP, Minister for Child Safety, Youth and Women and Minister for Prevention of Domestic and Family Violence</w:t>
      </w:r>
      <w:r w:rsidR="004B1E1A" w:rsidRPr="004B1E1A">
        <w:t xml:space="preserve"> (2018)</w:t>
      </w:r>
      <w:r w:rsidR="004B1E1A">
        <w:t xml:space="preserve"> </w:t>
      </w:r>
      <w:r>
        <w:t>49-50.</w:t>
      </w:r>
    </w:p>
  </w:footnote>
  <w:footnote w:id="58">
    <w:p w14:paraId="733CD0CF" w14:textId="63A18B92" w:rsidR="00194421" w:rsidRDefault="00194421">
      <w:pPr>
        <w:pStyle w:val="FootnoteText"/>
      </w:pPr>
      <w:r>
        <w:rPr>
          <w:rStyle w:val="FootnoteReference"/>
        </w:rPr>
        <w:footnoteRef/>
      </w:r>
      <w:r>
        <w:t xml:space="preserve"> </w:t>
      </w:r>
      <w:r w:rsidR="00BB60A7" w:rsidRPr="00BB60A7">
        <w:t>B</w:t>
      </w:r>
      <w:r w:rsidR="006245AA">
        <w:t>ob</w:t>
      </w:r>
      <w:r w:rsidR="00BB60A7" w:rsidRPr="00BB60A7">
        <w:t xml:space="preserve"> Atkinson, </w:t>
      </w:r>
      <w:r w:rsidR="00BB60A7" w:rsidRPr="00BB60A7">
        <w:rPr>
          <w:i/>
          <w:iCs/>
        </w:rPr>
        <w:t>Report on Youth Justice from Bob Atkinson AO, APM, Special Advisor to Di Farmer MP, Minister for Child Safety, Youth and Women and Minister for Prevention of Domestic and Family Violence</w:t>
      </w:r>
      <w:r w:rsidR="00BB60A7" w:rsidRPr="00BB60A7">
        <w:t xml:space="preserve"> (2018)</w:t>
      </w:r>
      <w:r w:rsidR="00BB60A7">
        <w:t xml:space="preserve"> </w:t>
      </w:r>
      <w:r>
        <w:t>51.</w:t>
      </w:r>
    </w:p>
  </w:footnote>
  <w:footnote w:id="59">
    <w:p w14:paraId="62B686F7" w14:textId="0CEBAB17" w:rsidR="00804809" w:rsidRDefault="00804809">
      <w:pPr>
        <w:pStyle w:val="FootnoteText"/>
      </w:pPr>
      <w:r>
        <w:rPr>
          <w:rStyle w:val="FootnoteReference"/>
        </w:rPr>
        <w:footnoteRef/>
      </w:r>
      <w:r>
        <w:t xml:space="preserve"> This </w:t>
      </w:r>
      <w:r w:rsidR="000E3A7B">
        <w:t>were</w:t>
      </w:r>
      <w:r>
        <w:t xml:space="preserve"> recommendation</w:t>
      </w:r>
      <w:r w:rsidR="000E3A7B">
        <w:t>s</w:t>
      </w:r>
      <w:r>
        <w:t xml:space="preserve"> of the Queensland Law Society in 2014</w:t>
      </w:r>
      <w:r w:rsidR="005F3CF5">
        <w:t xml:space="preserve"> as reported </w:t>
      </w:r>
      <w:r w:rsidR="004A4178">
        <w:t>by</w:t>
      </w:r>
      <w:r w:rsidR="005F3CF5">
        <w:t xml:space="preserve"> </w:t>
      </w:r>
      <w:r w:rsidR="004A4178">
        <w:rPr>
          <w:i/>
          <w:iCs/>
        </w:rPr>
        <w:t>Legal Affairs</w:t>
      </w:r>
      <w:r w:rsidR="002251E8">
        <w:rPr>
          <w:i/>
        </w:rPr>
        <w:t xml:space="preserve"> and </w:t>
      </w:r>
      <w:r w:rsidR="004A4178">
        <w:rPr>
          <w:i/>
          <w:iCs/>
        </w:rPr>
        <w:t xml:space="preserve">Community Safety Committee, </w:t>
      </w:r>
      <w:r w:rsidR="004A4178">
        <w:t>Report no. 58</w:t>
      </w:r>
      <w:r w:rsidR="004A4178">
        <w:rPr>
          <w:i/>
          <w:iCs/>
        </w:rPr>
        <w:t xml:space="preserve"> </w:t>
      </w:r>
      <w:r w:rsidR="004A4178">
        <w:t>(March</w:t>
      </w:r>
      <w:r w:rsidR="002251E8">
        <w:t xml:space="preserve"> 2014</w:t>
      </w:r>
      <w:r w:rsidR="004A4178">
        <w:t xml:space="preserve">), </w:t>
      </w:r>
      <w:r w:rsidR="000E3A7B">
        <w:t xml:space="preserve">12 - </w:t>
      </w:r>
      <w:r w:rsidR="004A4178">
        <w:t>13.</w:t>
      </w:r>
    </w:p>
  </w:footnote>
  <w:footnote w:id="60">
    <w:p w14:paraId="091CEA13" w14:textId="55D06316" w:rsidR="00FE3A5E" w:rsidRDefault="00FE3A5E">
      <w:pPr>
        <w:pStyle w:val="FootnoteText"/>
      </w:pPr>
      <w:r>
        <w:rPr>
          <w:rStyle w:val="FootnoteReference"/>
        </w:rPr>
        <w:footnoteRef/>
      </w:r>
      <w:r>
        <w:t xml:space="preserve"> </w:t>
      </w:r>
      <w:r w:rsidR="00155CE5">
        <w:t xml:space="preserve">(1988) </w:t>
      </w:r>
      <w:r>
        <w:t>164 CLR</w:t>
      </w:r>
      <w:r w:rsidR="00155CE5">
        <w:t xml:space="preserve"> 465.</w:t>
      </w:r>
      <w:r>
        <w:t xml:space="preserve"> </w:t>
      </w:r>
    </w:p>
  </w:footnote>
  <w:footnote w:id="61">
    <w:p w14:paraId="7DE4A95D" w14:textId="46213446" w:rsidR="00F86363" w:rsidRPr="00A56919" w:rsidRDefault="00F86363">
      <w:pPr>
        <w:pStyle w:val="FootnoteText"/>
        <w:rPr>
          <w:rFonts w:cs="Arial"/>
          <w:szCs w:val="20"/>
        </w:rPr>
      </w:pPr>
      <w:r>
        <w:rPr>
          <w:rStyle w:val="FootnoteReference"/>
        </w:rPr>
        <w:footnoteRef/>
      </w:r>
      <w:r>
        <w:t xml:space="preserve"> </w:t>
      </w:r>
      <w:r w:rsidR="00165683">
        <w:rPr>
          <w:i/>
        </w:rPr>
        <w:t xml:space="preserve">Veen No 2 </w:t>
      </w:r>
      <w:r w:rsidR="00165683">
        <w:t>(</w:t>
      </w:r>
      <w:r w:rsidR="00165683" w:rsidRPr="00A56919">
        <w:rPr>
          <w:rFonts w:cs="Arial"/>
          <w:szCs w:val="20"/>
        </w:rPr>
        <w:t>1988</w:t>
      </w:r>
      <w:r w:rsidR="002F43B2" w:rsidRPr="00A56919">
        <w:rPr>
          <w:rFonts w:cs="Arial"/>
          <w:szCs w:val="20"/>
        </w:rPr>
        <w:t>)</w:t>
      </w:r>
      <w:r w:rsidR="00165683" w:rsidRPr="00A56919">
        <w:rPr>
          <w:rFonts w:cs="Arial"/>
          <w:szCs w:val="20"/>
        </w:rPr>
        <w:t xml:space="preserve"> 164 CLR 465</w:t>
      </w:r>
      <w:r w:rsidR="00490A87">
        <w:rPr>
          <w:rFonts w:cs="Arial"/>
          <w:szCs w:val="20"/>
        </w:rPr>
        <w:t>, 14</w:t>
      </w:r>
      <w:r w:rsidR="00165683" w:rsidRPr="00A56919">
        <w:rPr>
          <w:rFonts w:cs="Arial"/>
          <w:szCs w:val="20"/>
        </w:rPr>
        <w:t xml:space="preserve">. </w:t>
      </w:r>
    </w:p>
  </w:footnote>
  <w:footnote w:id="62">
    <w:p w14:paraId="6785193E" w14:textId="2F4EFE18" w:rsidR="00CF2B19" w:rsidRPr="00A56919" w:rsidRDefault="00CF2B19">
      <w:pPr>
        <w:pStyle w:val="FootnoteText"/>
        <w:rPr>
          <w:rFonts w:cs="Arial"/>
          <w:szCs w:val="20"/>
        </w:rPr>
      </w:pPr>
      <w:r w:rsidRPr="00A56919">
        <w:rPr>
          <w:rStyle w:val="FootnoteReference"/>
          <w:rFonts w:cs="Arial"/>
          <w:szCs w:val="20"/>
        </w:rPr>
        <w:footnoteRef/>
      </w:r>
      <w:r w:rsidRPr="00A56919">
        <w:rPr>
          <w:rFonts w:cs="Arial"/>
          <w:szCs w:val="20"/>
        </w:rPr>
        <w:t xml:space="preserve"> </w:t>
      </w:r>
      <w:r w:rsidR="009559F6" w:rsidRPr="001F586C">
        <w:rPr>
          <w:i/>
          <w:lang w:val="en-US"/>
        </w:rPr>
        <w:t>United Nations Convention on the Rights of the Child</w:t>
      </w:r>
      <w:r w:rsidR="009559F6">
        <w:rPr>
          <w:i/>
          <w:iCs/>
          <w:lang w:val="en-US"/>
        </w:rPr>
        <w:t xml:space="preserve">, </w:t>
      </w:r>
      <w:r w:rsidR="009559F6">
        <w:rPr>
          <w:lang w:val="en-US"/>
        </w:rPr>
        <w:t xml:space="preserve">GA Res </w:t>
      </w:r>
      <w:r w:rsidR="009559F6" w:rsidRPr="00A717F3">
        <w:rPr>
          <w:lang w:val="en-US"/>
        </w:rPr>
        <w:t>44/25</w:t>
      </w:r>
      <w:r w:rsidR="009559F6">
        <w:rPr>
          <w:lang w:val="en-US"/>
        </w:rPr>
        <w:t>, UN Doc A/RES/44/25 (</w:t>
      </w:r>
      <w:r w:rsidR="009559F6" w:rsidRPr="00A717F3">
        <w:rPr>
          <w:lang w:val="en-US"/>
        </w:rPr>
        <w:t>20 November 1989</w:t>
      </w:r>
      <w:r w:rsidR="009559F6">
        <w:rPr>
          <w:lang w:val="en-US"/>
        </w:rPr>
        <w:t>).</w:t>
      </w:r>
    </w:p>
  </w:footnote>
  <w:footnote w:id="63">
    <w:p w14:paraId="565F0CA2" w14:textId="783D0E2C" w:rsidR="00B32927" w:rsidRPr="00B32927" w:rsidRDefault="00B32927">
      <w:pPr>
        <w:pStyle w:val="FootnoteText"/>
      </w:pPr>
      <w:r w:rsidRPr="00A56919">
        <w:rPr>
          <w:rStyle w:val="FootnoteReference"/>
          <w:rFonts w:cs="Arial"/>
          <w:szCs w:val="20"/>
        </w:rPr>
        <w:footnoteRef/>
      </w:r>
      <w:r w:rsidRPr="00A56919">
        <w:rPr>
          <w:rFonts w:cs="Arial"/>
          <w:szCs w:val="20"/>
        </w:rPr>
        <w:t xml:space="preserve"> </w:t>
      </w:r>
      <w:r w:rsidRPr="00A56919">
        <w:rPr>
          <w:rFonts w:cs="Arial"/>
          <w:i/>
          <w:iCs/>
          <w:szCs w:val="20"/>
        </w:rPr>
        <w:t xml:space="preserve">Human Rights Act 2019 </w:t>
      </w:r>
      <w:r w:rsidR="002F43B2" w:rsidRPr="00A56919">
        <w:rPr>
          <w:rFonts w:cs="Arial"/>
          <w:szCs w:val="20"/>
        </w:rPr>
        <w:t>(Qld)</w:t>
      </w:r>
      <w:r w:rsidRPr="00A56919">
        <w:rPr>
          <w:rFonts w:cs="Arial"/>
          <w:i/>
          <w:iCs/>
          <w:szCs w:val="20"/>
        </w:rPr>
        <w:t xml:space="preserve"> </w:t>
      </w:r>
      <w:r w:rsidRPr="00A56919">
        <w:rPr>
          <w:rFonts w:cs="Arial"/>
          <w:szCs w:val="20"/>
        </w:rPr>
        <w:t>s 32(</w:t>
      </w:r>
      <w:r w:rsidR="00B713F0" w:rsidRPr="00A56919">
        <w:rPr>
          <w:rFonts w:cs="Arial"/>
          <w:szCs w:val="20"/>
        </w:rPr>
        <w:t>3).</w:t>
      </w:r>
      <w:r w:rsidR="00B713F0">
        <w:t xml:space="preserve"> </w:t>
      </w:r>
    </w:p>
  </w:footnote>
  <w:footnote w:id="64">
    <w:p w14:paraId="509C55A4" w14:textId="6D13BB19" w:rsidR="00CF2B19" w:rsidRDefault="00CF2B19">
      <w:pPr>
        <w:pStyle w:val="FootnoteText"/>
      </w:pPr>
      <w:r>
        <w:rPr>
          <w:rStyle w:val="FootnoteReference"/>
        </w:rPr>
        <w:footnoteRef/>
      </w:r>
      <w:r>
        <w:t xml:space="preserve"> </w:t>
      </w:r>
      <w:r w:rsidR="00140BF4">
        <w:rPr>
          <w:i/>
          <w:iCs/>
        </w:rPr>
        <w:t xml:space="preserve">Human Rights Act 2019 </w:t>
      </w:r>
      <w:r w:rsidR="00140BF4">
        <w:t xml:space="preserve">(Qld) s 26 and </w:t>
      </w:r>
      <w:r w:rsidR="009559F6" w:rsidRPr="001F586C">
        <w:rPr>
          <w:i/>
          <w:lang w:val="en-US"/>
        </w:rPr>
        <w:t>United Nations Convention on the Rights of the Child</w:t>
      </w:r>
      <w:r w:rsidR="009559F6">
        <w:rPr>
          <w:i/>
          <w:iCs/>
          <w:lang w:val="en-US"/>
        </w:rPr>
        <w:t xml:space="preserve">, </w:t>
      </w:r>
      <w:r w:rsidR="009559F6">
        <w:rPr>
          <w:lang w:val="en-US"/>
        </w:rPr>
        <w:t xml:space="preserve">GA Res </w:t>
      </w:r>
      <w:r w:rsidR="009559F6" w:rsidRPr="00A717F3">
        <w:rPr>
          <w:lang w:val="en-US"/>
        </w:rPr>
        <w:t>44/25</w:t>
      </w:r>
      <w:r w:rsidR="009559F6">
        <w:rPr>
          <w:lang w:val="en-US"/>
        </w:rPr>
        <w:t>, UN Doc A/RES/44/25 (</w:t>
      </w:r>
      <w:r w:rsidR="009559F6" w:rsidRPr="00A717F3">
        <w:rPr>
          <w:lang w:val="en-US"/>
        </w:rPr>
        <w:t>20 November 1989</w:t>
      </w:r>
      <w:r w:rsidR="009559F6">
        <w:rPr>
          <w:lang w:val="en-US"/>
        </w:rPr>
        <w:t>).</w:t>
      </w:r>
    </w:p>
  </w:footnote>
  <w:footnote w:id="65">
    <w:p w14:paraId="3AA68E68" w14:textId="75D49778" w:rsidR="00C654AB" w:rsidRPr="00B32927" w:rsidRDefault="00C654AB" w:rsidP="00C654AB">
      <w:pPr>
        <w:pStyle w:val="FootnoteText"/>
      </w:pPr>
      <w:r>
        <w:rPr>
          <w:rStyle w:val="FootnoteReference"/>
        </w:rPr>
        <w:footnoteRef/>
      </w:r>
      <w:r>
        <w:t xml:space="preserve"> </w:t>
      </w:r>
      <w:r>
        <w:rPr>
          <w:i/>
          <w:iCs/>
        </w:rPr>
        <w:t xml:space="preserve">Human Rights Act 2019 </w:t>
      </w:r>
      <w:r w:rsidR="002F43B2">
        <w:t>(Qld)</w:t>
      </w:r>
      <w:r>
        <w:rPr>
          <w:i/>
          <w:iCs/>
        </w:rPr>
        <w:t xml:space="preserve"> </w:t>
      </w:r>
      <w:r>
        <w:t xml:space="preserve">s 32(3).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01931715"/>
    <w:multiLevelType w:val="hybridMultilevel"/>
    <w:tmpl w:val="68781AF0"/>
    <w:lvl w:ilvl="0" w:tplc="2062C98A">
      <w:numFmt w:val="bullet"/>
      <w:lvlText w:val="-"/>
      <w:lvlJc w:val="left"/>
      <w:pPr>
        <w:ind w:left="720" w:hanging="360"/>
      </w:pPr>
      <w:rPr>
        <w:rFonts w:ascii="Lato" w:eastAsia="Calibri" w:hAnsi="Lato"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0250E7E"/>
    <w:multiLevelType w:val="multilevel"/>
    <w:tmpl w:val="C66EF686"/>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168402B9"/>
    <w:multiLevelType w:val="multilevel"/>
    <w:tmpl w:val="5A888286"/>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A6A44"/>
    <w:multiLevelType w:val="hybridMultilevel"/>
    <w:tmpl w:val="72B4E5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4E5689"/>
    <w:multiLevelType w:val="hybridMultilevel"/>
    <w:tmpl w:val="FFFFFFFF"/>
    <w:lvl w:ilvl="0" w:tplc="0C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6D1450"/>
    <w:multiLevelType w:val="hybridMultilevel"/>
    <w:tmpl w:val="EC96F4AC"/>
    <w:lvl w:ilvl="0" w:tplc="BDFE6028">
      <w:start w:val="1"/>
      <w:numFmt w:val="bullet"/>
      <w:pStyle w:val="Bulletpointreview"/>
      <w:lvlText w:val=""/>
      <w:lvlJc w:val="left"/>
      <w:pPr>
        <w:tabs>
          <w:tab w:val="num" w:pos="720"/>
        </w:tabs>
        <w:ind w:left="720" w:hanging="360"/>
      </w:pPr>
      <w:rPr>
        <w:rFonts w:ascii="Symbol" w:hAnsi="Symbol" w:hint="default"/>
      </w:rPr>
    </w:lvl>
    <w:lvl w:ilvl="1" w:tplc="F20C443C">
      <w:start w:val="1"/>
      <w:numFmt w:val="bullet"/>
      <w:pStyle w:val="Bulletpointreview2"/>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6EE7CDE"/>
    <w:multiLevelType w:val="multilevel"/>
    <w:tmpl w:val="686A22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680E217B"/>
    <w:multiLevelType w:val="multilevel"/>
    <w:tmpl w:val="CF9E7BC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6"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71510563"/>
    <w:multiLevelType w:val="multilevel"/>
    <w:tmpl w:val="7A36F4BE"/>
    <w:lvl w:ilvl="0">
      <w:start w:val="1"/>
      <w:numFmt w:val="decimal"/>
      <w:lvlText w:val="%1."/>
      <w:lvlJc w:val="left"/>
      <w:pPr>
        <w:ind w:left="567" w:hanging="567"/>
      </w:pPr>
      <w:rPr>
        <w:rFonts w:hint="default"/>
      </w:rPr>
    </w:lvl>
    <w:lvl w:ilvl="1">
      <w:start w:val="1"/>
      <w:numFmt w:val="lowerLetter"/>
      <w:lvlText w:val="%2)"/>
      <w:lvlJc w:val="left"/>
      <w:pPr>
        <w:ind w:left="984"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9"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0"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05BC33"/>
    <w:multiLevelType w:val="multilevel"/>
    <w:tmpl w:val="FFFFFFFF"/>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4"/>
  </w:num>
  <w:num w:numId="3">
    <w:abstractNumId w:val="29"/>
  </w:num>
  <w:num w:numId="4">
    <w:abstractNumId w:val="15"/>
  </w:num>
  <w:num w:numId="5">
    <w:abstractNumId w:val="18"/>
  </w:num>
  <w:num w:numId="6">
    <w:abstractNumId w:val="22"/>
  </w:num>
  <w:num w:numId="7">
    <w:abstractNumId w:val="4"/>
  </w:num>
  <w:num w:numId="8">
    <w:abstractNumId w:val="16"/>
  </w:num>
  <w:num w:numId="9">
    <w:abstractNumId w:val="27"/>
  </w:num>
  <w:num w:numId="10">
    <w:abstractNumId w:val="30"/>
  </w:num>
  <w:num w:numId="11">
    <w:abstractNumId w:val="23"/>
  </w:num>
  <w:num w:numId="12">
    <w:abstractNumId w:val="17"/>
  </w:num>
  <w:num w:numId="13">
    <w:abstractNumId w:val="7"/>
  </w:num>
  <w:num w:numId="14">
    <w:abstractNumId w:val="10"/>
  </w:num>
  <w:num w:numId="15">
    <w:abstractNumId w:val="15"/>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5"/>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1"/>
  </w:num>
  <w:num w:numId="21">
    <w:abstractNumId w:val="9"/>
  </w:num>
  <w:num w:numId="22">
    <w:abstractNumId w:val="19"/>
  </w:num>
  <w:num w:numId="23">
    <w:abstractNumId w:val="2"/>
  </w:num>
  <w:num w:numId="24">
    <w:abstractNumId w:val="31"/>
  </w:num>
  <w:num w:numId="25">
    <w:abstractNumId w:val="6"/>
  </w:num>
  <w:num w:numId="26">
    <w:abstractNumId w:val="26"/>
  </w:num>
  <w:num w:numId="27">
    <w:abstractNumId w:val="12"/>
  </w:num>
  <w:num w:numId="28">
    <w:abstractNumId w:val="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3"/>
  </w:num>
  <w:num w:numId="31">
    <w:abstractNumId w:val="1"/>
  </w:num>
  <w:num w:numId="32">
    <w:abstractNumId w:val="8"/>
  </w:num>
  <w:num w:numId="33">
    <w:abstractNumId w:val="28"/>
  </w:num>
  <w:num w:numId="34">
    <w:abstractNumId w:val="0"/>
  </w:num>
  <w:num w:numId="35">
    <w:abstractNumId w:val="20"/>
  </w:num>
  <w:num w:numId="36">
    <w:abstractNumId w:val="2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0044"/>
    <w:rsid w:val="000001E2"/>
    <w:rsid w:val="00000669"/>
    <w:rsid w:val="00000949"/>
    <w:rsid w:val="00000A88"/>
    <w:rsid w:val="000010E3"/>
    <w:rsid w:val="000015D1"/>
    <w:rsid w:val="000019EC"/>
    <w:rsid w:val="00001BFD"/>
    <w:rsid w:val="00001E64"/>
    <w:rsid w:val="00002512"/>
    <w:rsid w:val="00002751"/>
    <w:rsid w:val="000027E3"/>
    <w:rsid w:val="00002A5F"/>
    <w:rsid w:val="00002BB1"/>
    <w:rsid w:val="00002F05"/>
    <w:rsid w:val="0000357F"/>
    <w:rsid w:val="00003BEC"/>
    <w:rsid w:val="00003DA4"/>
    <w:rsid w:val="000045E2"/>
    <w:rsid w:val="000053A1"/>
    <w:rsid w:val="000055FE"/>
    <w:rsid w:val="00007233"/>
    <w:rsid w:val="0000731F"/>
    <w:rsid w:val="0000761F"/>
    <w:rsid w:val="00007CA2"/>
    <w:rsid w:val="00007E34"/>
    <w:rsid w:val="0001002B"/>
    <w:rsid w:val="000100B9"/>
    <w:rsid w:val="0001042C"/>
    <w:rsid w:val="000106EA"/>
    <w:rsid w:val="00010B66"/>
    <w:rsid w:val="00010D35"/>
    <w:rsid w:val="00010E81"/>
    <w:rsid w:val="00010EAF"/>
    <w:rsid w:val="000116B6"/>
    <w:rsid w:val="00011779"/>
    <w:rsid w:val="00011A1B"/>
    <w:rsid w:val="00011CBC"/>
    <w:rsid w:val="00011D4D"/>
    <w:rsid w:val="0001284A"/>
    <w:rsid w:val="00012B09"/>
    <w:rsid w:val="00012E71"/>
    <w:rsid w:val="00012FE1"/>
    <w:rsid w:val="000130BD"/>
    <w:rsid w:val="000138A2"/>
    <w:rsid w:val="000138E7"/>
    <w:rsid w:val="00013905"/>
    <w:rsid w:val="00013BA7"/>
    <w:rsid w:val="00013E4E"/>
    <w:rsid w:val="00014349"/>
    <w:rsid w:val="00014D55"/>
    <w:rsid w:val="00014FC0"/>
    <w:rsid w:val="000157DF"/>
    <w:rsid w:val="00015D44"/>
    <w:rsid w:val="00016708"/>
    <w:rsid w:val="00016B54"/>
    <w:rsid w:val="00016D6A"/>
    <w:rsid w:val="00016E59"/>
    <w:rsid w:val="00016F08"/>
    <w:rsid w:val="00017021"/>
    <w:rsid w:val="00017160"/>
    <w:rsid w:val="00017168"/>
    <w:rsid w:val="00017530"/>
    <w:rsid w:val="00017D8B"/>
    <w:rsid w:val="00017F60"/>
    <w:rsid w:val="000200D2"/>
    <w:rsid w:val="0002128F"/>
    <w:rsid w:val="00021409"/>
    <w:rsid w:val="00021659"/>
    <w:rsid w:val="00022058"/>
    <w:rsid w:val="000220B3"/>
    <w:rsid w:val="0002284D"/>
    <w:rsid w:val="0002351E"/>
    <w:rsid w:val="00023A0B"/>
    <w:rsid w:val="0002436C"/>
    <w:rsid w:val="000247FC"/>
    <w:rsid w:val="0002486A"/>
    <w:rsid w:val="00024C36"/>
    <w:rsid w:val="00024EA4"/>
    <w:rsid w:val="00025D54"/>
    <w:rsid w:val="00026449"/>
    <w:rsid w:val="000268DB"/>
    <w:rsid w:val="00027054"/>
    <w:rsid w:val="000270C0"/>
    <w:rsid w:val="00027752"/>
    <w:rsid w:val="000301C3"/>
    <w:rsid w:val="00031050"/>
    <w:rsid w:val="00031861"/>
    <w:rsid w:val="000329F0"/>
    <w:rsid w:val="00032F5C"/>
    <w:rsid w:val="000337C0"/>
    <w:rsid w:val="00033A70"/>
    <w:rsid w:val="00033B54"/>
    <w:rsid w:val="00034417"/>
    <w:rsid w:val="00034B8B"/>
    <w:rsid w:val="00034E2B"/>
    <w:rsid w:val="00034FF4"/>
    <w:rsid w:val="000353EA"/>
    <w:rsid w:val="000357F0"/>
    <w:rsid w:val="00035817"/>
    <w:rsid w:val="00035C80"/>
    <w:rsid w:val="000367D5"/>
    <w:rsid w:val="00036987"/>
    <w:rsid w:val="00036B44"/>
    <w:rsid w:val="00036F20"/>
    <w:rsid w:val="0003732A"/>
    <w:rsid w:val="00040804"/>
    <w:rsid w:val="00041B02"/>
    <w:rsid w:val="00041E58"/>
    <w:rsid w:val="000424AF"/>
    <w:rsid w:val="000441A0"/>
    <w:rsid w:val="0004485D"/>
    <w:rsid w:val="00044A7F"/>
    <w:rsid w:val="00044DC2"/>
    <w:rsid w:val="00045181"/>
    <w:rsid w:val="00045B46"/>
    <w:rsid w:val="00046477"/>
    <w:rsid w:val="0004684E"/>
    <w:rsid w:val="00046CAB"/>
    <w:rsid w:val="00046E9F"/>
    <w:rsid w:val="00046FB7"/>
    <w:rsid w:val="00047551"/>
    <w:rsid w:val="00047983"/>
    <w:rsid w:val="00047C35"/>
    <w:rsid w:val="00047C63"/>
    <w:rsid w:val="0005076B"/>
    <w:rsid w:val="00050BA9"/>
    <w:rsid w:val="000518AD"/>
    <w:rsid w:val="00051D4A"/>
    <w:rsid w:val="00052290"/>
    <w:rsid w:val="00052899"/>
    <w:rsid w:val="00052A5E"/>
    <w:rsid w:val="00052CAB"/>
    <w:rsid w:val="00054120"/>
    <w:rsid w:val="0005418F"/>
    <w:rsid w:val="000546E8"/>
    <w:rsid w:val="000557B3"/>
    <w:rsid w:val="0005586B"/>
    <w:rsid w:val="00055DE1"/>
    <w:rsid w:val="0005648D"/>
    <w:rsid w:val="000565CC"/>
    <w:rsid w:val="00056960"/>
    <w:rsid w:val="00057023"/>
    <w:rsid w:val="00057780"/>
    <w:rsid w:val="0005779A"/>
    <w:rsid w:val="00057D21"/>
    <w:rsid w:val="00060556"/>
    <w:rsid w:val="00060911"/>
    <w:rsid w:val="00060ECE"/>
    <w:rsid w:val="00060F99"/>
    <w:rsid w:val="000612C1"/>
    <w:rsid w:val="000615A5"/>
    <w:rsid w:val="00061619"/>
    <w:rsid w:val="00061CBB"/>
    <w:rsid w:val="00062061"/>
    <w:rsid w:val="00062635"/>
    <w:rsid w:val="00062A23"/>
    <w:rsid w:val="000632C8"/>
    <w:rsid w:val="00063428"/>
    <w:rsid w:val="00063690"/>
    <w:rsid w:val="000637C7"/>
    <w:rsid w:val="00063804"/>
    <w:rsid w:val="00063EDF"/>
    <w:rsid w:val="00064775"/>
    <w:rsid w:val="00064780"/>
    <w:rsid w:val="00064EEF"/>
    <w:rsid w:val="00065744"/>
    <w:rsid w:val="00066030"/>
    <w:rsid w:val="000663BE"/>
    <w:rsid w:val="00066AB7"/>
    <w:rsid w:val="00066B4D"/>
    <w:rsid w:val="00066DDF"/>
    <w:rsid w:val="00067749"/>
    <w:rsid w:val="000677F0"/>
    <w:rsid w:val="0006782D"/>
    <w:rsid w:val="000678B6"/>
    <w:rsid w:val="00070656"/>
    <w:rsid w:val="00071753"/>
    <w:rsid w:val="00071C89"/>
    <w:rsid w:val="00072CE6"/>
    <w:rsid w:val="00072EBA"/>
    <w:rsid w:val="000731D3"/>
    <w:rsid w:val="00074012"/>
    <w:rsid w:val="00074746"/>
    <w:rsid w:val="0007495B"/>
    <w:rsid w:val="00074FFC"/>
    <w:rsid w:val="00075AB0"/>
    <w:rsid w:val="00075CEB"/>
    <w:rsid w:val="00076239"/>
    <w:rsid w:val="0007682B"/>
    <w:rsid w:val="0007767A"/>
    <w:rsid w:val="00077A76"/>
    <w:rsid w:val="00077F48"/>
    <w:rsid w:val="0008005B"/>
    <w:rsid w:val="00080287"/>
    <w:rsid w:val="000804C4"/>
    <w:rsid w:val="00081394"/>
    <w:rsid w:val="000816EA"/>
    <w:rsid w:val="000816ED"/>
    <w:rsid w:val="00081927"/>
    <w:rsid w:val="000827DB"/>
    <w:rsid w:val="00082CBB"/>
    <w:rsid w:val="00083023"/>
    <w:rsid w:val="000833A9"/>
    <w:rsid w:val="0008345A"/>
    <w:rsid w:val="000838DB"/>
    <w:rsid w:val="00086487"/>
    <w:rsid w:val="00086B3C"/>
    <w:rsid w:val="00087A1E"/>
    <w:rsid w:val="000900BB"/>
    <w:rsid w:val="00090188"/>
    <w:rsid w:val="000908F7"/>
    <w:rsid w:val="00090BA1"/>
    <w:rsid w:val="000915EB"/>
    <w:rsid w:val="00091EEF"/>
    <w:rsid w:val="00092346"/>
    <w:rsid w:val="00092F7D"/>
    <w:rsid w:val="00093A48"/>
    <w:rsid w:val="00093A57"/>
    <w:rsid w:val="00093DE6"/>
    <w:rsid w:val="00094319"/>
    <w:rsid w:val="0009448A"/>
    <w:rsid w:val="0009569E"/>
    <w:rsid w:val="00095800"/>
    <w:rsid w:val="00095C05"/>
    <w:rsid w:val="00095EB3"/>
    <w:rsid w:val="00095FBB"/>
    <w:rsid w:val="00096517"/>
    <w:rsid w:val="00096780"/>
    <w:rsid w:val="00097650"/>
    <w:rsid w:val="00097693"/>
    <w:rsid w:val="000A0DB7"/>
    <w:rsid w:val="000A0F65"/>
    <w:rsid w:val="000A1AAA"/>
    <w:rsid w:val="000A1E28"/>
    <w:rsid w:val="000A201B"/>
    <w:rsid w:val="000A22CB"/>
    <w:rsid w:val="000A275B"/>
    <w:rsid w:val="000A37C7"/>
    <w:rsid w:val="000A3958"/>
    <w:rsid w:val="000A4D6A"/>
    <w:rsid w:val="000A4F32"/>
    <w:rsid w:val="000A5313"/>
    <w:rsid w:val="000A56EB"/>
    <w:rsid w:val="000A5A9B"/>
    <w:rsid w:val="000A609A"/>
    <w:rsid w:val="000A640A"/>
    <w:rsid w:val="000A64E7"/>
    <w:rsid w:val="000A6996"/>
    <w:rsid w:val="000A6A53"/>
    <w:rsid w:val="000A6C5A"/>
    <w:rsid w:val="000A79DC"/>
    <w:rsid w:val="000B08B1"/>
    <w:rsid w:val="000B2CA1"/>
    <w:rsid w:val="000B3ABF"/>
    <w:rsid w:val="000B3CFE"/>
    <w:rsid w:val="000B503D"/>
    <w:rsid w:val="000B52D3"/>
    <w:rsid w:val="000B5EAC"/>
    <w:rsid w:val="000B6187"/>
    <w:rsid w:val="000B6196"/>
    <w:rsid w:val="000B6710"/>
    <w:rsid w:val="000B6C72"/>
    <w:rsid w:val="000B6ECC"/>
    <w:rsid w:val="000B6F49"/>
    <w:rsid w:val="000B7217"/>
    <w:rsid w:val="000B739D"/>
    <w:rsid w:val="000B759F"/>
    <w:rsid w:val="000B77A5"/>
    <w:rsid w:val="000B794F"/>
    <w:rsid w:val="000B7BF6"/>
    <w:rsid w:val="000C0202"/>
    <w:rsid w:val="000C0244"/>
    <w:rsid w:val="000C11F9"/>
    <w:rsid w:val="000C13F0"/>
    <w:rsid w:val="000C14FE"/>
    <w:rsid w:val="000C1986"/>
    <w:rsid w:val="000C1CAB"/>
    <w:rsid w:val="000C1D54"/>
    <w:rsid w:val="000C1E38"/>
    <w:rsid w:val="000C233C"/>
    <w:rsid w:val="000C236F"/>
    <w:rsid w:val="000C3279"/>
    <w:rsid w:val="000C3B81"/>
    <w:rsid w:val="000C3C18"/>
    <w:rsid w:val="000C3E60"/>
    <w:rsid w:val="000C3F99"/>
    <w:rsid w:val="000C411B"/>
    <w:rsid w:val="000C4328"/>
    <w:rsid w:val="000C4580"/>
    <w:rsid w:val="000C4604"/>
    <w:rsid w:val="000C4AEE"/>
    <w:rsid w:val="000C4C21"/>
    <w:rsid w:val="000C4F3F"/>
    <w:rsid w:val="000C53DF"/>
    <w:rsid w:val="000C5727"/>
    <w:rsid w:val="000C6215"/>
    <w:rsid w:val="000C662B"/>
    <w:rsid w:val="000C6E1A"/>
    <w:rsid w:val="000C7498"/>
    <w:rsid w:val="000C7A88"/>
    <w:rsid w:val="000D01F0"/>
    <w:rsid w:val="000D0CD0"/>
    <w:rsid w:val="000D1AD6"/>
    <w:rsid w:val="000D1ECA"/>
    <w:rsid w:val="000D25E2"/>
    <w:rsid w:val="000D2622"/>
    <w:rsid w:val="000D28BE"/>
    <w:rsid w:val="000D3143"/>
    <w:rsid w:val="000D3B2F"/>
    <w:rsid w:val="000D3FD0"/>
    <w:rsid w:val="000D4937"/>
    <w:rsid w:val="000D49A5"/>
    <w:rsid w:val="000D50A5"/>
    <w:rsid w:val="000D63CA"/>
    <w:rsid w:val="000D6456"/>
    <w:rsid w:val="000D6C62"/>
    <w:rsid w:val="000D7817"/>
    <w:rsid w:val="000D78B8"/>
    <w:rsid w:val="000D7F45"/>
    <w:rsid w:val="000E0132"/>
    <w:rsid w:val="000E052F"/>
    <w:rsid w:val="000E1039"/>
    <w:rsid w:val="000E1138"/>
    <w:rsid w:val="000E16AE"/>
    <w:rsid w:val="000E1F6C"/>
    <w:rsid w:val="000E2187"/>
    <w:rsid w:val="000E2872"/>
    <w:rsid w:val="000E2CC1"/>
    <w:rsid w:val="000E37FB"/>
    <w:rsid w:val="000E39A5"/>
    <w:rsid w:val="000E3A7B"/>
    <w:rsid w:val="000E3D59"/>
    <w:rsid w:val="000E4130"/>
    <w:rsid w:val="000E45FC"/>
    <w:rsid w:val="000E4729"/>
    <w:rsid w:val="000E4C46"/>
    <w:rsid w:val="000E5356"/>
    <w:rsid w:val="000E5596"/>
    <w:rsid w:val="000E5FA6"/>
    <w:rsid w:val="000E605E"/>
    <w:rsid w:val="000E615D"/>
    <w:rsid w:val="000E6886"/>
    <w:rsid w:val="000E689C"/>
    <w:rsid w:val="000E7100"/>
    <w:rsid w:val="000E767E"/>
    <w:rsid w:val="000E7A87"/>
    <w:rsid w:val="000E7C43"/>
    <w:rsid w:val="000E7DE1"/>
    <w:rsid w:val="000E7E8C"/>
    <w:rsid w:val="000F0608"/>
    <w:rsid w:val="000F097B"/>
    <w:rsid w:val="000F0BC1"/>
    <w:rsid w:val="000F0BD6"/>
    <w:rsid w:val="000F0DA7"/>
    <w:rsid w:val="000F0EB3"/>
    <w:rsid w:val="000F25D4"/>
    <w:rsid w:val="000F2B49"/>
    <w:rsid w:val="000F2DDE"/>
    <w:rsid w:val="000F2F1D"/>
    <w:rsid w:val="000F37C7"/>
    <w:rsid w:val="000F3C50"/>
    <w:rsid w:val="000F4098"/>
    <w:rsid w:val="000F4F47"/>
    <w:rsid w:val="000F54D9"/>
    <w:rsid w:val="000F5FDE"/>
    <w:rsid w:val="000F62B8"/>
    <w:rsid w:val="000F679F"/>
    <w:rsid w:val="000F6919"/>
    <w:rsid w:val="000F7397"/>
    <w:rsid w:val="0010006F"/>
    <w:rsid w:val="001002C6"/>
    <w:rsid w:val="00100A31"/>
    <w:rsid w:val="00100B19"/>
    <w:rsid w:val="00100B4D"/>
    <w:rsid w:val="00101AF0"/>
    <w:rsid w:val="0010217F"/>
    <w:rsid w:val="001024F6"/>
    <w:rsid w:val="0010272A"/>
    <w:rsid w:val="00103D18"/>
    <w:rsid w:val="00104077"/>
    <w:rsid w:val="00104278"/>
    <w:rsid w:val="00105138"/>
    <w:rsid w:val="00105217"/>
    <w:rsid w:val="001052AB"/>
    <w:rsid w:val="00105518"/>
    <w:rsid w:val="00105627"/>
    <w:rsid w:val="0010579A"/>
    <w:rsid w:val="00105DA3"/>
    <w:rsid w:val="00106090"/>
    <w:rsid w:val="0010649F"/>
    <w:rsid w:val="0010657A"/>
    <w:rsid w:val="0010663F"/>
    <w:rsid w:val="001066BD"/>
    <w:rsid w:val="001067F3"/>
    <w:rsid w:val="00107CAB"/>
    <w:rsid w:val="0011066D"/>
    <w:rsid w:val="00110C3F"/>
    <w:rsid w:val="00110ED0"/>
    <w:rsid w:val="00111367"/>
    <w:rsid w:val="00112FCC"/>
    <w:rsid w:val="00113546"/>
    <w:rsid w:val="00114AC1"/>
    <w:rsid w:val="00115384"/>
    <w:rsid w:val="00115A85"/>
    <w:rsid w:val="001161EB"/>
    <w:rsid w:val="00116264"/>
    <w:rsid w:val="00116753"/>
    <w:rsid w:val="00116A12"/>
    <w:rsid w:val="00116B28"/>
    <w:rsid w:val="00117176"/>
    <w:rsid w:val="0011777C"/>
    <w:rsid w:val="001200F5"/>
    <w:rsid w:val="00120C98"/>
    <w:rsid w:val="00121479"/>
    <w:rsid w:val="00121BFB"/>
    <w:rsid w:val="00121E6F"/>
    <w:rsid w:val="001221EE"/>
    <w:rsid w:val="00122A6B"/>
    <w:rsid w:val="00122F10"/>
    <w:rsid w:val="00123247"/>
    <w:rsid w:val="0012392D"/>
    <w:rsid w:val="00123AFA"/>
    <w:rsid w:val="00123E2D"/>
    <w:rsid w:val="00123F04"/>
    <w:rsid w:val="001247FB"/>
    <w:rsid w:val="00124A35"/>
    <w:rsid w:val="00124FFA"/>
    <w:rsid w:val="001250B0"/>
    <w:rsid w:val="0012515F"/>
    <w:rsid w:val="001254DA"/>
    <w:rsid w:val="00127069"/>
    <w:rsid w:val="00127223"/>
    <w:rsid w:val="00127390"/>
    <w:rsid w:val="00130442"/>
    <w:rsid w:val="001304EE"/>
    <w:rsid w:val="001305BF"/>
    <w:rsid w:val="00130B7F"/>
    <w:rsid w:val="00130F1A"/>
    <w:rsid w:val="001311A9"/>
    <w:rsid w:val="001313A7"/>
    <w:rsid w:val="00131862"/>
    <w:rsid w:val="00131E7E"/>
    <w:rsid w:val="00132CB4"/>
    <w:rsid w:val="001336A8"/>
    <w:rsid w:val="00133B55"/>
    <w:rsid w:val="0013515F"/>
    <w:rsid w:val="001351EB"/>
    <w:rsid w:val="0013560E"/>
    <w:rsid w:val="001357A7"/>
    <w:rsid w:val="001362ED"/>
    <w:rsid w:val="00137266"/>
    <w:rsid w:val="0013762E"/>
    <w:rsid w:val="00137F11"/>
    <w:rsid w:val="0014006E"/>
    <w:rsid w:val="0014022A"/>
    <w:rsid w:val="001408B9"/>
    <w:rsid w:val="00140B82"/>
    <w:rsid w:val="00140BF4"/>
    <w:rsid w:val="00140D0B"/>
    <w:rsid w:val="00141242"/>
    <w:rsid w:val="00141378"/>
    <w:rsid w:val="001413D0"/>
    <w:rsid w:val="00141A39"/>
    <w:rsid w:val="00142104"/>
    <w:rsid w:val="001425F0"/>
    <w:rsid w:val="00142653"/>
    <w:rsid w:val="00142910"/>
    <w:rsid w:val="001429DD"/>
    <w:rsid w:val="00142C96"/>
    <w:rsid w:val="00143C84"/>
    <w:rsid w:val="0014497D"/>
    <w:rsid w:val="00144BE2"/>
    <w:rsid w:val="00144E0D"/>
    <w:rsid w:val="0014506E"/>
    <w:rsid w:val="00145126"/>
    <w:rsid w:val="00146898"/>
    <w:rsid w:val="0014689B"/>
    <w:rsid w:val="0014692D"/>
    <w:rsid w:val="00146A13"/>
    <w:rsid w:val="00146DBA"/>
    <w:rsid w:val="0014781E"/>
    <w:rsid w:val="001478B3"/>
    <w:rsid w:val="00147CBE"/>
    <w:rsid w:val="0015003D"/>
    <w:rsid w:val="001501A4"/>
    <w:rsid w:val="001504AE"/>
    <w:rsid w:val="00152280"/>
    <w:rsid w:val="0015285E"/>
    <w:rsid w:val="001531E3"/>
    <w:rsid w:val="0015347A"/>
    <w:rsid w:val="001537F2"/>
    <w:rsid w:val="00153CE6"/>
    <w:rsid w:val="00154B83"/>
    <w:rsid w:val="0015549B"/>
    <w:rsid w:val="00155CE5"/>
    <w:rsid w:val="0015656A"/>
    <w:rsid w:val="001569BC"/>
    <w:rsid w:val="00156F14"/>
    <w:rsid w:val="00157C36"/>
    <w:rsid w:val="00160258"/>
    <w:rsid w:val="00160CF6"/>
    <w:rsid w:val="00160D23"/>
    <w:rsid w:val="00161DF0"/>
    <w:rsid w:val="00162524"/>
    <w:rsid w:val="00162AEE"/>
    <w:rsid w:val="001631CC"/>
    <w:rsid w:val="00163706"/>
    <w:rsid w:val="00163FD0"/>
    <w:rsid w:val="0016463A"/>
    <w:rsid w:val="001652BE"/>
    <w:rsid w:val="00165683"/>
    <w:rsid w:val="00165B6A"/>
    <w:rsid w:val="00166569"/>
    <w:rsid w:val="00166CD0"/>
    <w:rsid w:val="001678CB"/>
    <w:rsid w:val="00170C72"/>
    <w:rsid w:val="00171C79"/>
    <w:rsid w:val="00171D6E"/>
    <w:rsid w:val="00172880"/>
    <w:rsid w:val="001729A4"/>
    <w:rsid w:val="0017324A"/>
    <w:rsid w:val="00173F5B"/>
    <w:rsid w:val="00174BFB"/>
    <w:rsid w:val="00175010"/>
    <w:rsid w:val="0017517C"/>
    <w:rsid w:val="00176A22"/>
    <w:rsid w:val="00177254"/>
    <w:rsid w:val="001774DD"/>
    <w:rsid w:val="001776C6"/>
    <w:rsid w:val="00177752"/>
    <w:rsid w:val="0017798E"/>
    <w:rsid w:val="001809FD"/>
    <w:rsid w:val="001812A8"/>
    <w:rsid w:val="0018194F"/>
    <w:rsid w:val="00181AB9"/>
    <w:rsid w:val="00181EF6"/>
    <w:rsid w:val="0018229F"/>
    <w:rsid w:val="001822C5"/>
    <w:rsid w:val="001825CB"/>
    <w:rsid w:val="00182865"/>
    <w:rsid w:val="00182946"/>
    <w:rsid w:val="00182BF6"/>
    <w:rsid w:val="00182E06"/>
    <w:rsid w:val="00182E7C"/>
    <w:rsid w:val="00183935"/>
    <w:rsid w:val="00183A7B"/>
    <w:rsid w:val="00183B86"/>
    <w:rsid w:val="001840E7"/>
    <w:rsid w:val="001844CA"/>
    <w:rsid w:val="00184A12"/>
    <w:rsid w:val="00184D4D"/>
    <w:rsid w:val="00184DEC"/>
    <w:rsid w:val="00184EA4"/>
    <w:rsid w:val="00185346"/>
    <w:rsid w:val="00185508"/>
    <w:rsid w:val="00186314"/>
    <w:rsid w:val="00186669"/>
    <w:rsid w:val="00186716"/>
    <w:rsid w:val="0018709D"/>
    <w:rsid w:val="001871CD"/>
    <w:rsid w:val="00187774"/>
    <w:rsid w:val="00187BDF"/>
    <w:rsid w:val="00187CFF"/>
    <w:rsid w:val="00187D43"/>
    <w:rsid w:val="001902FA"/>
    <w:rsid w:val="0019099D"/>
    <w:rsid w:val="00190EBC"/>
    <w:rsid w:val="00190FA2"/>
    <w:rsid w:val="001916E4"/>
    <w:rsid w:val="00191B67"/>
    <w:rsid w:val="00191B86"/>
    <w:rsid w:val="0019203A"/>
    <w:rsid w:val="0019388D"/>
    <w:rsid w:val="00194421"/>
    <w:rsid w:val="001947B1"/>
    <w:rsid w:val="0019588F"/>
    <w:rsid w:val="00195945"/>
    <w:rsid w:val="00195B07"/>
    <w:rsid w:val="00195E9F"/>
    <w:rsid w:val="00196331"/>
    <w:rsid w:val="0019658E"/>
    <w:rsid w:val="00197534"/>
    <w:rsid w:val="001A0375"/>
    <w:rsid w:val="001A0C6E"/>
    <w:rsid w:val="001A0D98"/>
    <w:rsid w:val="001A12BD"/>
    <w:rsid w:val="001A191C"/>
    <w:rsid w:val="001A1A5C"/>
    <w:rsid w:val="001A1C7D"/>
    <w:rsid w:val="001A1D94"/>
    <w:rsid w:val="001A20EF"/>
    <w:rsid w:val="001A219D"/>
    <w:rsid w:val="001A2893"/>
    <w:rsid w:val="001A2A27"/>
    <w:rsid w:val="001A2B59"/>
    <w:rsid w:val="001A31EE"/>
    <w:rsid w:val="001A3821"/>
    <w:rsid w:val="001A3AF0"/>
    <w:rsid w:val="001A3C9C"/>
    <w:rsid w:val="001A428F"/>
    <w:rsid w:val="001A489B"/>
    <w:rsid w:val="001A492F"/>
    <w:rsid w:val="001A5BCF"/>
    <w:rsid w:val="001A5C40"/>
    <w:rsid w:val="001A5E7B"/>
    <w:rsid w:val="001A5FDC"/>
    <w:rsid w:val="001A6206"/>
    <w:rsid w:val="001A621D"/>
    <w:rsid w:val="001A6C2A"/>
    <w:rsid w:val="001A6E37"/>
    <w:rsid w:val="001A7921"/>
    <w:rsid w:val="001A7DB2"/>
    <w:rsid w:val="001AE32B"/>
    <w:rsid w:val="001B0221"/>
    <w:rsid w:val="001B0249"/>
    <w:rsid w:val="001B0311"/>
    <w:rsid w:val="001B0F29"/>
    <w:rsid w:val="001B18CD"/>
    <w:rsid w:val="001B1A27"/>
    <w:rsid w:val="001B1DFC"/>
    <w:rsid w:val="001B21A2"/>
    <w:rsid w:val="001B251A"/>
    <w:rsid w:val="001B2BB9"/>
    <w:rsid w:val="001B3063"/>
    <w:rsid w:val="001B3488"/>
    <w:rsid w:val="001B4C30"/>
    <w:rsid w:val="001B528B"/>
    <w:rsid w:val="001B5321"/>
    <w:rsid w:val="001B5470"/>
    <w:rsid w:val="001B5489"/>
    <w:rsid w:val="001B57C6"/>
    <w:rsid w:val="001B59DA"/>
    <w:rsid w:val="001B69FE"/>
    <w:rsid w:val="001B6AF4"/>
    <w:rsid w:val="001B6B39"/>
    <w:rsid w:val="001B6D60"/>
    <w:rsid w:val="001B70B1"/>
    <w:rsid w:val="001B78EE"/>
    <w:rsid w:val="001B7DC2"/>
    <w:rsid w:val="001C01F8"/>
    <w:rsid w:val="001C01FD"/>
    <w:rsid w:val="001C03AC"/>
    <w:rsid w:val="001C0685"/>
    <w:rsid w:val="001C127F"/>
    <w:rsid w:val="001C158B"/>
    <w:rsid w:val="001C1EB9"/>
    <w:rsid w:val="001C22E2"/>
    <w:rsid w:val="001C2C68"/>
    <w:rsid w:val="001C37BA"/>
    <w:rsid w:val="001C38F4"/>
    <w:rsid w:val="001C3E72"/>
    <w:rsid w:val="001C47FE"/>
    <w:rsid w:val="001C4DE1"/>
    <w:rsid w:val="001C4F50"/>
    <w:rsid w:val="001C5826"/>
    <w:rsid w:val="001C59A7"/>
    <w:rsid w:val="001C66D7"/>
    <w:rsid w:val="001C6B72"/>
    <w:rsid w:val="001C6E00"/>
    <w:rsid w:val="001C71AD"/>
    <w:rsid w:val="001C79F3"/>
    <w:rsid w:val="001D0727"/>
    <w:rsid w:val="001D0C8B"/>
    <w:rsid w:val="001D0E05"/>
    <w:rsid w:val="001D25FB"/>
    <w:rsid w:val="001D2C02"/>
    <w:rsid w:val="001D30D4"/>
    <w:rsid w:val="001D3260"/>
    <w:rsid w:val="001D402C"/>
    <w:rsid w:val="001D43EE"/>
    <w:rsid w:val="001D47BF"/>
    <w:rsid w:val="001D4F8D"/>
    <w:rsid w:val="001D50C0"/>
    <w:rsid w:val="001D5699"/>
    <w:rsid w:val="001D5AB2"/>
    <w:rsid w:val="001D63E4"/>
    <w:rsid w:val="001D6C24"/>
    <w:rsid w:val="001D74E1"/>
    <w:rsid w:val="001D7758"/>
    <w:rsid w:val="001D79D2"/>
    <w:rsid w:val="001E077B"/>
    <w:rsid w:val="001E0909"/>
    <w:rsid w:val="001E1055"/>
    <w:rsid w:val="001E14A3"/>
    <w:rsid w:val="001E15F1"/>
    <w:rsid w:val="001E1F44"/>
    <w:rsid w:val="001E28A1"/>
    <w:rsid w:val="001E2B47"/>
    <w:rsid w:val="001E31A7"/>
    <w:rsid w:val="001E38B5"/>
    <w:rsid w:val="001E3A26"/>
    <w:rsid w:val="001E4917"/>
    <w:rsid w:val="001E5450"/>
    <w:rsid w:val="001E5EA1"/>
    <w:rsid w:val="001E6173"/>
    <w:rsid w:val="001E61AE"/>
    <w:rsid w:val="001E7C86"/>
    <w:rsid w:val="001F0268"/>
    <w:rsid w:val="001F0DE0"/>
    <w:rsid w:val="001F2245"/>
    <w:rsid w:val="001F28C4"/>
    <w:rsid w:val="001F310C"/>
    <w:rsid w:val="001F3726"/>
    <w:rsid w:val="001F3E0F"/>
    <w:rsid w:val="001F3F19"/>
    <w:rsid w:val="001F4145"/>
    <w:rsid w:val="001F4D05"/>
    <w:rsid w:val="001F586C"/>
    <w:rsid w:val="001F5F4B"/>
    <w:rsid w:val="001F62AD"/>
    <w:rsid w:val="001F6650"/>
    <w:rsid w:val="001F6862"/>
    <w:rsid w:val="001F6F49"/>
    <w:rsid w:val="001F727C"/>
    <w:rsid w:val="001F72A9"/>
    <w:rsid w:val="001F72C6"/>
    <w:rsid w:val="001F7404"/>
    <w:rsid w:val="001F751B"/>
    <w:rsid w:val="00200A03"/>
    <w:rsid w:val="00200AB9"/>
    <w:rsid w:val="00200F0B"/>
    <w:rsid w:val="00201C4B"/>
    <w:rsid w:val="00202173"/>
    <w:rsid w:val="00202556"/>
    <w:rsid w:val="00202802"/>
    <w:rsid w:val="00202DB2"/>
    <w:rsid w:val="00203572"/>
    <w:rsid w:val="002044D5"/>
    <w:rsid w:val="00204B58"/>
    <w:rsid w:val="00205255"/>
    <w:rsid w:val="00205753"/>
    <w:rsid w:val="002057FE"/>
    <w:rsid w:val="00206A29"/>
    <w:rsid w:val="00207043"/>
    <w:rsid w:val="00207804"/>
    <w:rsid w:val="002100AE"/>
    <w:rsid w:val="002104E6"/>
    <w:rsid w:val="00210D67"/>
    <w:rsid w:val="00210EEB"/>
    <w:rsid w:val="00211092"/>
    <w:rsid w:val="002113D1"/>
    <w:rsid w:val="0021181C"/>
    <w:rsid w:val="00211E04"/>
    <w:rsid w:val="00211F42"/>
    <w:rsid w:val="0021249C"/>
    <w:rsid w:val="002125C0"/>
    <w:rsid w:val="002132F6"/>
    <w:rsid w:val="002135E9"/>
    <w:rsid w:val="00213C84"/>
    <w:rsid w:val="00213CCA"/>
    <w:rsid w:val="00213FCE"/>
    <w:rsid w:val="002157E3"/>
    <w:rsid w:val="00215BD7"/>
    <w:rsid w:val="00215EE6"/>
    <w:rsid w:val="002165B4"/>
    <w:rsid w:val="00216671"/>
    <w:rsid w:val="00216773"/>
    <w:rsid w:val="002167F3"/>
    <w:rsid w:val="002168EF"/>
    <w:rsid w:val="00216B25"/>
    <w:rsid w:val="00216E21"/>
    <w:rsid w:val="0021742D"/>
    <w:rsid w:val="002175A9"/>
    <w:rsid w:val="00217AB1"/>
    <w:rsid w:val="00217DEB"/>
    <w:rsid w:val="0022007A"/>
    <w:rsid w:val="002203D7"/>
    <w:rsid w:val="00220491"/>
    <w:rsid w:val="002218EB"/>
    <w:rsid w:val="0022205E"/>
    <w:rsid w:val="00222868"/>
    <w:rsid w:val="002237A0"/>
    <w:rsid w:val="00224108"/>
    <w:rsid w:val="002243F4"/>
    <w:rsid w:val="002247D4"/>
    <w:rsid w:val="00224ABF"/>
    <w:rsid w:val="00224B30"/>
    <w:rsid w:val="00224E4D"/>
    <w:rsid w:val="002251E8"/>
    <w:rsid w:val="00225510"/>
    <w:rsid w:val="0022652C"/>
    <w:rsid w:val="002265F5"/>
    <w:rsid w:val="00226EA6"/>
    <w:rsid w:val="00227178"/>
    <w:rsid w:val="0022761F"/>
    <w:rsid w:val="00230126"/>
    <w:rsid w:val="00230823"/>
    <w:rsid w:val="0023085A"/>
    <w:rsid w:val="00230FE1"/>
    <w:rsid w:val="00231B53"/>
    <w:rsid w:val="00231BA4"/>
    <w:rsid w:val="00231F2A"/>
    <w:rsid w:val="00232664"/>
    <w:rsid w:val="00233446"/>
    <w:rsid w:val="00233E96"/>
    <w:rsid w:val="00233F52"/>
    <w:rsid w:val="00234DE8"/>
    <w:rsid w:val="00235527"/>
    <w:rsid w:val="00235E36"/>
    <w:rsid w:val="0023649D"/>
    <w:rsid w:val="0023708C"/>
    <w:rsid w:val="00237117"/>
    <w:rsid w:val="00237235"/>
    <w:rsid w:val="00237624"/>
    <w:rsid w:val="0023793F"/>
    <w:rsid w:val="00237A4F"/>
    <w:rsid w:val="00237B93"/>
    <w:rsid w:val="00237D8E"/>
    <w:rsid w:val="002401DD"/>
    <w:rsid w:val="00240676"/>
    <w:rsid w:val="00240777"/>
    <w:rsid w:val="00240A7A"/>
    <w:rsid w:val="00240EF9"/>
    <w:rsid w:val="0024194E"/>
    <w:rsid w:val="00241A8A"/>
    <w:rsid w:val="00241B14"/>
    <w:rsid w:val="0024209F"/>
    <w:rsid w:val="00242412"/>
    <w:rsid w:val="00242799"/>
    <w:rsid w:val="00242ADF"/>
    <w:rsid w:val="00242C7F"/>
    <w:rsid w:val="002431B0"/>
    <w:rsid w:val="0024343F"/>
    <w:rsid w:val="00243943"/>
    <w:rsid w:val="00244701"/>
    <w:rsid w:val="0024476C"/>
    <w:rsid w:val="00244776"/>
    <w:rsid w:val="00244CCD"/>
    <w:rsid w:val="0024569D"/>
    <w:rsid w:val="00246122"/>
    <w:rsid w:val="00246C13"/>
    <w:rsid w:val="00246EE0"/>
    <w:rsid w:val="00247C0A"/>
    <w:rsid w:val="00247C71"/>
    <w:rsid w:val="00247D67"/>
    <w:rsid w:val="00250267"/>
    <w:rsid w:val="00251AB3"/>
    <w:rsid w:val="00252033"/>
    <w:rsid w:val="0025218E"/>
    <w:rsid w:val="00252711"/>
    <w:rsid w:val="0025287D"/>
    <w:rsid w:val="00252B28"/>
    <w:rsid w:val="00252C8E"/>
    <w:rsid w:val="00253AAE"/>
    <w:rsid w:val="00253B42"/>
    <w:rsid w:val="00253E9D"/>
    <w:rsid w:val="00254FAE"/>
    <w:rsid w:val="0025523D"/>
    <w:rsid w:val="002558EB"/>
    <w:rsid w:val="00255A43"/>
    <w:rsid w:val="00255FCA"/>
    <w:rsid w:val="00257308"/>
    <w:rsid w:val="002576FD"/>
    <w:rsid w:val="00257FA1"/>
    <w:rsid w:val="002603C3"/>
    <w:rsid w:val="002607CF"/>
    <w:rsid w:val="00260847"/>
    <w:rsid w:val="002609E6"/>
    <w:rsid w:val="00260BEB"/>
    <w:rsid w:val="00261C65"/>
    <w:rsid w:val="00261CB6"/>
    <w:rsid w:val="00261CFA"/>
    <w:rsid w:val="00262178"/>
    <w:rsid w:val="0026237B"/>
    <w:rsid w:val="00262727"/>
    <w:rsid w:val="00262796"/>
    <w:rsid w:val="00262A2F"/>
    <w:rsid w:val="00262F57"/>
    <w:rsid w:val="002633BC"/>
    <w:rsid w:val="002638E3"/>
    <w:rsid w:val="00264018"/>
    <w:rsid w:val="002645C4"/>
    <w:rsid w:val="0026517E"/>
    <w:rsid w:val="002652F7"/>
    <w:rsid w:val="00265997"/>
    <w:rsid w:val="00266169"/>
    <w:rsid w:val="00266271"/>
    <w:rsid w:val="002665C0"/>
    <w:rsid w:val="002666F9"/>
    <w:rsid w:val="00266C19"/>
    <w:rsid w:val="0026734A"/>
    <w:rsid w:val="00267913"/>
    <w:rsid w:val="002679A6"/>
    <w:rsid w:val="00270048"/>
    <w:rsid w:val="002704EE"/>
    <w:rsid w:val="002705E1"/>
    <w:rsid w:val="002711F9"/>
    <w:rsid w:val="00271410"/>
    <w:rsid w:val="00272032"/>
    <w:rsid w:val="002725C0"/>
    <w:rsid w:val="00272953"/>
    <w:rsid w:val="00272A25"/>
    <w:rsid w:val="00272FF9"/>
    <w:rsid w:val="002750DD"/>
    <w:rsid w:val="00275152"/>
    <w:rsid w:val="0027567B"/>
    <w:rsid w:val="0027570E"/>
    <w:rsid w:val="00275CCB"/>
    <w:rsid w:val="00275FD8"/>
    <w:rsid w:val="00276088"/>
    <w:rsid w:val="002761B5"/>
    <w:rsid w:val="00276754"/>
    <w:rsid w:val="00276F28"/>
    <w:rsid w:val="00277496"/>
    <w:rsid w:val="00277EEF"/>
    <w:rsid w:val="00277F07"/>
    <w:rsid w:val="00277FD1"/>
    <w:rsid w:val="00280145"/>
    <w:rsid w:val="002801DD"/>
    <w:rsid w:val="002816BD"/>
    <w:rsid w:val="0028171A"/>
    <w:rsid w:val="00281E22"/>
    <w:rsid w:val="002821DF"/>
    <w:rsid w:val="00282CDB"/>
    <w:rsid w:val="00282F8F"/>
    <w:rsid w:val="0028346F"/>
    <w:rsid w:val="00283CE6"/>
    <w:rsid w:val="00283D88"/>
    <w:rsid w:val="0028491B"/>
    <w:rsid w:val="00284EAD"/>
    <w:rsid w:val="00284FF0"/>
    <w:rsid w:val="0028506B"/>
    <w:rsid w:val="002857A0"/>
    <w:rsid w:val="00285E8E"/>
    <w:rsid w:val="0028609D"/>
    <w:rsid w:val="002860D3"/>
    <w:rsid w:val="00286530"/>
    <w:rsid w:val="00286553"/>
    <w:rsid w:val="002866A6"/>
    <w:rsid w:val="00286FEB"/>
    <w:rsid w:val="00287673"/>
    <w:rsid w:val="00287D2D"/>
    <w:rsid w:val="00287D38"/>
    <w:rsid w:val="00287E57"/>
    <w:rsid w:val="002902E0"/>
    <w:rsid w:val="002907BD"/>
    <w:rsid w:val="00291198"/>
    <w:rsid w:val="00291346"/>
    <w:rsid w:val="00291D0C"/>
    <w:rsid w:val="0029283D"/>
    <w:rsid w:val="00292C50"/>
    <w:rsid w:val="00293574"/>
    <w:rsid w:val="00293889"/>
    <w:rsid w:val="00293A74"/>
    <w:rsid w:val="00293C8A"/>
    <w:rsid w:val="00293C9F"/>
    <w:rsid w:val="0029443F"/>
    <w:rsid w:val="00294ADF"/>
    <w:rsid w:val="00294E66"/>
    <w:rsid w:val="00294EE9"/>
    <w:rsid w:val="00294F3A"/>
    <w:rsid w:val="00295723"/>
    <w:rsid w:val="00295B0F"/>
    <w:rsid w:val="00295C37"/>
    <w:rsid w:val="00296740"/>
    <w:rsid w:val="002978C7"/>
    <w:rsid w:val="00297A19"/>
    <w:rsid w:val="002A03F1"/>
    <w:rsid w:val="002A0659"/>
    <w:rsid w:val="002A0F24"/>
    <w:rsid w:val="002A29BE"/>
    <w:rsid w:val="002A36C3"/>
    <w:rsid w:val="002A3D7B"/>
    <w:rsid w:val="002A4479"/>
    <w:rsid w:val="002A4717"/>
    <w:rsid w:val="002A4CC6"/>
    <w:rsid w:val="002A57A5"/>
    <w:rsid w:val="002A60CD"/>
    <w:rsid w:val="002A61D5"/>
    <w:rsid w:val="002A66C6"/>
    <w:rsid w:val="002A67AA"/>
    <w:rsid w:val="002A6ACD"/>
    <w:rsid w:val="002A6EDB"/>
    <w:rsid w:val="002A7AC3"/>
    <w:rsid w:val="002A7B8A"/>
    <w:rsid w:val="002B0008"/>
    <w:rsid w:val="002B016E"/>
    <w:rsid w:val="002B0476"/>
    <w:rsid w:val="002B1ABE"/>
    <w:rsid w:val="002B25AD"/>
    <w:rsid w:val="002B27E0"/>
    <w:rsid w:val="002B35B4"/>
    <w:rsid w:val="002B3AA2"/>
    <w:rsid w:val="002B3AEE"/>
    <w:rsid w:val="002B3D52"/>
    <w:rsid w:val="002B3EA6"/>
    <w:rsid w:val="002B4475"/>
    <w:rsid w:val="002B455E"/>
    <w:rsid w:val="002B4864"/>
    <w:rsid w:val="002B4B6E"/>
    <w:rsid w:val="002B4B9D"/>
    <w:rsid w:val="002B5615"/>
    <w:rsid w:val="002B5AED"/>
    <w:rsid w:val="002B5CA8"/>
    <w:rsid w:val="002B624D"/>
    <w:rsid w:val="002B65D4"/>
    <w:rsid w:val="002B6770"/>
    <w:rsid w:val="002B6C79"/>
    <w:rsid w:val="002B6D4E"/>
    <w:rsid w:val="002B7864"/>
    <w:rsid w:val="002B7CC5"/>
    <w:rsid w:val="002C024F"/>
    <w:rsid w:val="002C04F8"/>
    <w:rsid w:val="002C099F"/>
    <w:rsid w:val="002C0D85"/>
    <w:rsid w:val="002C15B9"/>
    <w:rsid w:val="002C2790"/>
    <w:rsid w:val="002C2F6A"/>
    <w:rsid w:val="002C34ED"/>
    <w:rsid w:val="002C360C"/>
    <w:rsid w:val="002C4151"/>
    <w:rsid w:val="002C43E2"/>
    <w:rsid w:val="002C4688"/>
    <w:rsid w:val="002C47F7"/>
    <w:rsid w:val="002C4AA6"/>
    <w:rsid w:val="002C4BA6"/>
    <w:rsid w:val="002C502B"/>
    <w:rsid w:val="002C5082"/>
    <w:rsid w:val="002C54B2"/>
    <w:rsid w:val="002C5656"/>
    <w:rsid w:val="002C6382"/>
    <w:rsid w:val="002C6E38"/>
    <w:rsid w:val="002C6E8A"/>
    <w:rsid w:val="002C6EA2"/>
    <w:rsid w:val="002C71B8"/>
    <w:rsid w:val="002C74E2"/>
    <w:rsid w:val="002C75D5"/>
    <w:rsid w:val="002C7611"/>
    <w:rsid w:val="002C7BAB"/>
    <w:rsid w:val="002D01C8"/>
    <w:rsid w:val="002D0385"/>
    <w:rsid w:val="002D088B"/>
    <w:rsid w:val="002D1014"/>
    <w:rsid w:val="002D1200"/>
    <w:rsid w:val="002D1567"/>
    <w:rsid w:val="002D2521"/>
    <w:rsid w:val="002D2629"/>
    <w:rsid w:val="002D327D"/>
    <w:rsid w:val="002D386B"/>
    <w:rsid w:val="002D4255"/>
    <w:rsid w:val="002D4570"/>
    <w:rsid w:val="002D45FE"/>
    <w:rsid w:val="002D46A2"/>
    <w:rsid w:val="002D509D"/>
    <w:rsid w:val="002D5213"/>
    <w:rsid w:val="002D52D6"/>
    <w:rsid w:val="002D5951"/>
    <w:rsid w:val="002D5D3D"/>
    <w:rsid w:val="002D5E9D"/>
    <w:rsid w:val="002D6068"/>
    <w:rsid w:val="002D72D8"/>
    <w:rsid w:val="002D7797"/>
    <w:rsid w:val="002D7E27"/>
    <w:rsid w:val="002E02C2"/>
    <w:rsid w:val="002E09E3"/>
    <w:rsid w:val="002E1915"/>
    <w:rsid w:val="002E1B40"/>
    <w:rsid w:val="002E1B8E"/>
    <w:rsid w:val="002E20FB"/>
    <w:rsid w:val="002E2385"/>
    <w:rsid w:val="002E32E2"/>
    <w:rsid w:val="002E33A2"/>
    <w:rsid w:val="002E3C99"/>
    <w:rsid w:val="002E40F7"/>
    <w:rsid w:val="002E433B"/>
    <w:rsid w:val="002E4615"/>
    <w:rsid w:val="002E5015"/>
    <w:rsid w:val="002E50A8"/>
    <w:rsid w:val="002E5360"/>
    <w:rsid w:val="002E6394"/>
    <w:rsid w:val="002E6929"/>
    <w:rsid w:val="002E6E56"/>
    <w:rsid w:val="002E7209"/>
    <w:rsid w:val="002E744F"/>
    <w:rsid w:val="002E7A99"/>
    <w:rsid w:val="002E7B79"/>
    <w:rsid w:val="002E7EB7"/>
    <w:rsid w:val="002E7F95"/>
    <w:rsid w:val="002F0E64"/>
    <w:rsid w:val="002F1438"/>
    <w:rsid w:val="002F18FC"/>
    <w:rsid w:val="002F1DE0"/>
    <w:rsid w:val="002F235B"/>
    <w:rsid w:val="002F24AD"/>
    <w:rsid w:val="002F2D97"/>
    <w:rsid w:val="002F2EB3"/>
    <w:rsid w:val="002F3319"/>
    <w:rsid w:val="002F3C56"/>
    <w:rsid w:val="002F40A9"/>
    <w:rsid w:val="002F431F"/>
    <w:rsid w:val="002F43B2"/>
    <w:rsid w:val="002F49BF"/>
    <w:rsid w:val="002F53D9"/>
    <w:rsid w:val="002F661E"/>
    <w:rsid w:val="002F6AE8"/>
    <w:rsid w:val="002F6C43"/>
    <w:rsid w:val="002F751F"/>
    <w:rsid w:val="002F7C5F"/>
    <w:rsid w:val="002F7E3C"/>
    <w:rsid w:val="002F7FF0"/>
    <w:rsid w:val="00300562"/>
    <w:rsid w:val="0030069F"/>
    <w:rsid w:val="00300787"/>
    <w:rsid w:val="0030094B"/>
    <w:rsid w:val="003010BC"/>
    <w:rsid w:val="003018E0"/>
    <w:rsid w:val="00301E5A"/>
    <w:rsid w:val="003020C5"/>
    <w:rsid w:val="00302BC9"/>
    <w:rsid w:val="003037FC"/>
    <w:rsid w:val="00303A7E"/>
    <w:rsid w:val="00303FF5"/>
    <w:rsid w:val="00305299"/>
    <w:rsid w:val="00305A6B"/>
    <w:rsid w:val="00306ECE"/>
    <w:rsid w:val="00310105"/>
    <w:rsid w:val="00310190"/>
    <w:rsid w:val="003102A6"/>
    <w:rsid w:val="00310CB2"/>
    <w:rsid w:val="003111C0"/>
    <w:rsid w:val="00311505"/>
    <w:rsid w:val="00311749"/>
    <w:rsid w:val="003117B3"/>
    <w:rsid w:val="00311A8E"/>
    <w:rsid w:val="00312537"/>
    <w:rsid w:val="00312C2A"/>
    <w:rsid w:val="003140B2"/>
    <w:rsid w:val="003142BA"/>
    <w:rsid w:val="0031483E"/>
    <w:rsid w:val="00315331"/>
    <w:rsid w:val="0031534C"/>
    <w:rsid w:val="0031626A"/>
    <w:rsid w:val="00316308"/>
    <w:rsid w:val="00316C5B"/>
    <w:rsid w:val="00316C6E"/>
    <w:rsid w:val="00316DF8"/>
    <w:rsid w:val="00317607"/>
    <w:rsid w:val="003176DB"/>
    <w:rsid w:val="00317BC6"/>
    <w:rsid w:val="003200F4"/>
    <w:rsid w:val="003204FA"/>
    <w:rsid w:val="00321445"/>
    <w:rsid w:val="0032276A"/>
    <w:rsid w:val="003227FE"/>
    <w:rsid w:val="00322A42"/>
    <w:rsid w:val="00322AE6"/>
    <w:rsid w:val="00322CAA"/>
    <w:rsid w:val="003231E5"/>
    <w:rsid w:val="00323501"/>
    <w:rsid w:val="00323946"/>
    <w:rsid w:val="00323C72"/>
    <w:rsid w:val="00323DAA"/>
    <w:rsid w:val="00323F97"/>
    <w:rsid w:val="00324AE9"/>
    <w:rsid w:val="00324CB5"/>
    <w:rsid w:val="0032516B"/>
    <w:rsid w:val="00325320"/>
    <w:rsid w:val="00325A16"/>
    <w:rsid w:val="00325BC8"/>
    <w:rsid w:val="00325BD8"/>
    <w:rsid w:val="00325D27"/>
    <w:rsid w:val="0032628F"/>
    <w:rsid w:val="00326BDF"/>
    <w:rsid w:val="0032745D"/>
    <w:rsid w:val="00327F9B"/>
    <w:rsid w:val="003303AA"/>
    <w:rsid w:val="0033055E"/>
    <w:rsid w:val="0033080C"/>
    <w:rsid w:val="00330E69"/>
    <w:rsid w:val="00331EDE"/>
    <w:rsid w:val="0033216F"/>
    <w:rsid w:val="00332B18"/>
    <w:rsid w:val="00332B65"/>
    <w:rsid w:val="00332E96"/>
    <w:rsid w:val="003330D1"/>
    <w:rsid w:val="00333223"/>
    <w:rsid w:val="0033349D"/>
    <w:rsid w:val="003334A4"/>
    <w:rsid w:val="003334C2"/>
    <w:rsid w:val="003343CB"/>
    <w:rsid w:val="00334D90"/>
    <w:rsid w:val="00335180"/>
    <w:rsid w:val="00336BC5"/>
    <w:rsid w:val="00337F4D"/>
    <w:rsid w:val="003401F3"/>
    <w:rsid w:val="00340A61"/>
    <w:rsid w:val="00341252"/>
    <w:rsid w:val="0034134D"/>
    <w:rsid w:val="00341598"/>
    <w:rsid w:val="00342BC2"/>
    <w:rsid w:val="003430A9"/>
    <w:rsid w:val="003438B9"/>
    <w:rsid w:val="00343C5F"/>
    <w:rsid w:val="003445F7"/>
    <w:rsid w:val="00344D6E"/>
    <w:rsid w:val="00344F59"/>
    <w:rsid w:val="00344FB8"/>
    <w:rsid w:val="0034535F"/>
    <w:rsid w:val="00346096"/>
    <w:rsid w:val="00346106"/>
    <w:rsid w:val="00346761"/>
    <w:rsid w:val="00346B71"/>
    <w:rsid w:val="0034721C"/>
    <w:rsid w:val="00347692"/>
    <w:rsid w:val="00347AFF"/>
    <w:rsid w:val="0035081B"/>
    <w:rsid w:val="00350968"/>
    <w:rsid w:val="003509BA"/>
    <w:rsid w:val="00350A05"/>
    <w:rsid w:val="00350D39"/>
    <w:rsid w:val="003514EB"/>
    <w:rsid w:val="003519DC"/>
    <w:rsid w:val="00351A78"/>
    <w:rsid w:val="00351C2E"/>
    <w:rsid w:val="0035258F"/>
    <w:rsid w:val="0035278F"/>
    <w:rsid w:val="00352864"/>
    <w:rsid w:val="00352AAF"/>
    <w:rsid w:val="0035332A"/>
    <w:rsid w:val="0035362E"/>
    <w:rsid w:val="00353640"/>
    <w:rsid w:val="00353D37"/>
    <w:rsid w:val="00354832"/>
    <w:rsid w:val="00354A58"/>
    <w:rsid w:val="00354AA2"/>
    <w:rsid w:val="00354DF7"/>
    <w:rsid w:val="003557B8"/>
    <w:rsid w:val="0035580E"/>
    <w:rsid w:val="00355876"/>
    <w:rsid w:val="0035654D"/>
    <w:rsid w:val="00357477"/>
    <w:rsid w:val="003577BF"/>
    <w:rsid w:val="0035795A"/>
    <w:rsid w:val="00357EA5"/>
    <w:rsid w:val="00360942"/>
    <w:rsid w:val="00360CE7"/>
    <w:rsid w:val="003612F5"/>
    <w:rsid w:val="0036184F"/>
    <w:rsid w:val="00361A89"/>
    <w:rsid w:val="00361DD9"/>
    <w:rsid w:val="00361DDB"/>
    <w:rsid w:val="00362B22"/>
    <w:rsid w:val="00362CD5"/>
    <w:rsid w:val="00362FDF"/>
    <w:rsid w:val="00363003"/>
    <w:rsid w:val="003630F4"/>
    <w:rsid w:val="0036324C"/>
    <w:rsid w:val="0036332E"/>
    <w:rsid w:val="00364722"/>
    <w:rsid w:val="00364C26"/>
    <w:rsid w:val="00364CAE"/>
    <w:rsid w:val="00365506"/>
    <w:rsid w:val="00365760"/>
    <w:rsid w:val="00365782"/>
    <w:rsid w:val="00365BB1"/>
    <w:rsid w:val="00366152"/>
    <w:rsid w:val="003668C4"/>
    <w:rsid w:val="00366B89"/>
    <w:rsid w:val="00367441"/>
    <w:rsid w:val="00367770"/>
    <w:rsid w:val="00367BF1"/>
    <w:rsid w:val="00367FCE"/>
    <w:rsid w:val="00370336"/>
    <w:rsid w:val="00370FF9"/>
    <w:rsid w:val="00371180"/>
    <w:rsid w:val="0037129A"/>
    <w:rsid w:val="00371832"/>
    <w:rsid w:val="0037194E"/>
    <w:rsid w:val="00372B6B"/>
    <w:rsid w:val="00372BCD"/>
    <w:rsid w:val="00372C31"/>
    <w:rsid w:val="00372C6D"/>
    <w:rsid w:val="00373049"/>
    <w:rsid w:val="003737D9"/>
    <w:rsid w:val="003740DF"/>
    <w:rsid w:val="0037427C"/>
    <w:rsid w:val="00374378"/>
    <w:rsid w:val="003744CE"/>
    <w:rsid w:val="00374A74"/>
    <w:rsid w:val="00374D39"/>
    <w:rsid w:val="00374E31"/>
    <w:rsid w:val="00375133"/>
    <w:rsid w:val="00375563"/>
    <w:rsid w:val="00375BA3"/>
    <w:rsid w:val="00375C27"/>
    <w:rsid w:val="0037664B"/>
    <w:rsid w:val="003768F0"/>
    <w:rsid w:val="00376A12"/>
    <w:rsid w:val="00376B06"/>
    <w:rsid w:val="003777B7"/>
    <w:rsid w:val="00377C01"/>
    <w:rsid w:val="00377C5E"/>
    <w:rsid w:val="00380A36"/>
    <w:rsid w:val="00380DA1"/>
    <w:rsid w:val="003818CE"/>
    <w:rsid w:val="00382D51"/>
    <w:rsid w:val="003841A2"/>
    <w:rsid w:val="003847F0"/>
    <w:rsid w:val="00385F41"/>
    <w:rsid w:val="00386449"/>
    <w:rsid w:val="00386656"/>
    <w:rsid w:val="00386955"/>
    <w:rsid w:val="00386AEA"/>
    <w:rsid w:val="003871EF"/>
    <w:rsid w:val="00387DD9"/>
    <w:rsid w:val="003906DF"/>
    <w:rsid w:val="003915B1"/>
    <w:rsid w:val="0039189D"/>
    <w:rsid w:val="003920C9"/>
    <w:rsid w:val="00392522"/>
    <w:rsid w:val="00392CE0"/>
    <w:rsid w:val="00393913"/>
    <w:rsid w:val="0039419C"/>
    <w:rsid w:val="00394335"/>
    <w:rsid w:val="003943EE"/>
    <w:rsid w:val="00394C2C"/>
    <w:rsid w:val="00395332"/>
    <w:rsid w:val="00395495"/>
    <w:rsid w:val="003957B5"/>
    <w:rsid w:val="00395DF0"/>
    <w:rsid w:val="003975E1"/>
    <w:rsid w:val="00397A4F"/>
    <w:rsid w:val="00397D0A"/>
    <w:rsid w:val="003A0B96"/>
    <w:rsid w:val="003A0DED"/>
    <w:rsid w:val="003A10BA"/>
    <w:rsid w:val="003A12C0"/>
    <w:rsid w:val="003A1D9B"/>
    <w:rsid w:val="003A1E1C"/>
    <w:rsid w:val="003A25FC"/>
    <w:rsid w:val="003A2674"/>
    <w:rsid w:val="003A2C45"/>
    <w:rsid w:val="003A3833"/>
    <w:rsid w:val="003A38CC"/>
    <w:rsid w:val="003A39E9"/>
    <w:rsid w:val="003A4076"/>
    <w:rsid w:val="003A45BE"/>
    <w:rsid w:val="003A47DA"/>
    <w:rsid w:val="003A5A74"/>
    <w:rsid w:val="003A5D9D"/>
    <w:rsid w:val="003A6260"/>
    <w:rsid w:val="003A666E"/>
    <w:rsid w:val="003A67E8"/>
    <w:rsid w:val="003A73A3"/>
    <w:rsid w:val="003A765D"/>
    <w:rsid w:val="003A7B09"/>
    <w:rsid w:val="003A7D59"/>
    <w:rsid w:val="003A7F03"/>
    <w:rsid w:val="003B0A61"/>
    <w:rsid w:val="003B1257"/>
    <w:rsid w:val="003B144E"/>
    <w:rsid w:val="003B183D"/>
    <w:rsid w:val="003B197E"/>
    <w:rsid w:val="003B1B74"/>
    <w:rsid w:val="003B1BEC"/>
    <w:rsid w:val="003B2E5C"/>
    <w:rsid w:val="003B2FB9"/>
    <w:rsid w:val="003B357E"/>
    <w:rsid w:val="003B3A21"/>
    <w:rsid w:val="003B3B63"/>
    <w:rsid w:val="003B3B6D"/>
    <w:rsid w:val="003B4780"/>
    <w:rsid w:val="003B48C8"/>
    <w:rsid w:val="003B48FD"/>
    <w:rsid w:val="003B4D24"/>
    <w:rsid w:val="003B4FC1"/>
    <w:rsid w:val="003B5870"/>
    <w:rsid w:val="003B6339"/>
    <w:rsid w:val="003B655F"/>
    <w:rsid w:val="003B7204"/>
    <w:rsid w:val="003B7269"/>
    <w:rsid w:val="003B743E"/>
    <w:rsid w:val="003B7876"/>
    <w:rsid w:val="003C03F1"/>
    <w:rsid w:val="003C0D7A"/>
    <w:rsid w:val="003C1AD4"/>
    <w:rsid w:val="003C1B81"/>
    <w:rsid w:val="003C252E"/>
    <w:rsid w:val="003C2709"/>
    <w:rsid w:val="003C38D9"/>
    <w:rsid w:val="003C3E52"/>
    <w:rsid w:val="003C3EA6"/>
    <w:rsid w:val="003C443B"/>
    <w:rsid w:val="003C4602"/>
    <w:rsid w:val="003C4815"/>
    <w:rsid w:val="003C4E1F"/>
    <w:rsid w:val="003C4F11"/>
    <w:rsid w:val="003C5899"/>
    <w:rsid w:val="003C592F"/>
    <w:rsid w:val="003C5F6F"/>
    <w:rsid w:val="003C6044"/>
    <w:rsid w:val="003C663A"/>
    <w:rsid w:val="003C66AB"/>
    <w:rsid w:val="003C6A61"/>
    <w:rsid w:val="003C6F16"/>
    <w:rsid w:val="003C6F93"/>
    <w:rsid w:val="003D0B75"/>
    <w:rsid w:val="003D0E9D"/>
    <w:rsid w:val="003D0F03"/>
    <w:rsid w:val="003D1780"/>
    <w:rsid w:val="003D1D61"/>
    <w:rsid w:val="003D1D8C"/>
    <w:rsid w:val="003D1DB4"/>
    <w:rsid w:val="003D215E"/>
    <w:rsid w:val="003D2310"/>
    <w:rsid w:val="003D2642"/>
    <w:rsid w:val="003D266A"/>
    <w:rsid w:val="003D2916"/>
    <w:rsid w:val="003D2B6A"/>
    <w:rsid w:val="003D2FAA"/>
    <w:rsid w:val="003D2FBC"/>
    <w:rsid w:val="003D3239"/>
    <w:rsid w:val="003D3429"/>
    <w:rsid w:val="003D34B7"/>
    <w:rsid w:val="003D3AAC"/>
    <w:rsid w:val="003D3E5B"/>
    <w:rsid w:val="003D4759"/>
    <w:rsid w:val="003D4D1C"/>
    <w:rsid w:val="003D5135"/>
    <w:rsid w:val="003D5DC0"/>
    <w:rsid w:val="003D5F33"/>
    <w:rsid w:val="003D625C"/>
    <w:rsid w:val="003D6262"/>
    <w:rsid w:val="003D6479"/>
    <w:rsid w:val="003D6E32"/>
    <w:rsid w:val="003D6E66"/>
    <w:rsid w:val="003D6F23"/>
    <w:rsid w:val="003D7BF3"/>
    <w:rsid w:val="003E0586"/>
    <w:rsid w:val="003E0FA4"/>
    <w:rsid w:val="003E0FC2"/>
    <w:rsid w:val="003E19FC"/>
    <w:rsid w:val="003E1A69"/>
    <w:rsid w:val="003E2054"/>
    <w:rsid w:val="003E2155"/>
    <w:rsid w:val="003E250A"/>
    <w:rsid w:val="003E25E1"/>
    <w:rsid w:val="003E26D5"/>
    <w:rsid w:val="003E3379"/>
    <w:rsid w:val="003E38D9"/>
    <w:rsid w:val="003E3936"/>
    <w:rsid w:val="003E3B7D"/>
    <w:rsid w:val="003E4025"/>
    <w:rsid w:val="003E4BEC"/>
    <w:rsid w:val="003E4DB7"/>
    <w:rsid w:val="003E5098"/>
    <w:rsid w:val="003E57E5"/>
    <w:rsid w:val="003E6554"/>
    <w:rsid w:val="003E6589"/>
    <w:rsid w:val="003E6BCA"/>
    <w:rsid w:val="003E6E7C"/>
    <w:rsid w:val="003E6F27"/>
    <w:rsid w:val="003E72D3"/>
    <w:rsid w:val="003E79A2"/>
    <w:rsid w:val="003E7B09"/>
    <w:rsid w:val="003F01A1"/>
    <w:rsid w:val="003F05C7"/>
    <w:rsid w:val="003F0BC4"/>
    <w:rsid w:val="003F0CED"/>
    <w:rsid w:val="003F200C"/>
    <w:rsid w:val="003F2932"/>
    <w:rsid w:val="003F332B"/>
    <w:rsid w:val="003F3760"/>
    <w:rsid w:val="003F4360"/>
    <w:rsid w:val="003F4370"/>
    <w:rsid w:val="003F4455"/>
    <w:rsid w:val="003F47EA"/>
    <w:rsid w:val="003F4EE2"/>
    <w:rsid w:val="003F51B4"/>
    <w:rsid w:val="003F5348"/>
    <w:rsid w:val="003F59EB"/>
    <w:rsid w:val="003F5C3E"/>
    <w:rsid w:val="003F5E48"/>
    <w:rsid w:val="003F6F7E"/>
    <w:rsid w:val="003F7792"/>
    <w:rsid w:val="003F7799"/>
    <w:rsid w:val="003F77DA"/>
    <w:rsid w:val="003F78E6"/>
    <w:rsid w:val="00400AD7"/>
    <w:rsid w:val="004010A5"/>
    <w:rsid w:val="0040148C"/>
    <w:rsid w:val="00401C6D"/>
    <w:rsid w:val="00401E9F"/>
    <w:rsid w:val="004024F7"/>
    <w:rsid w:val="004026E5"/>
    <w:rsid w:val="00402A16"/>
    <w:rsid w:val="0040398A"/>
    <w:rsid w:val="00403AB4"/>
    <w:rsid w:val="004047AA"/>
    <w:rsid w:val="00405165"/>
    <w:rsid w:val="00405642"/>
    <w:rsid w:val="00405963"/>
    <w:rsid w:val="004059A9"/>
    <w:rsid w:val="0040603E"/>
    <w:rsid w:val="00406479"/>
    <w:rsid w:val="00406720"/>
    <w:rsid w:val="004074B3"/>
    <w:rsid w:val="0040753A"/>
    <w:rsid w:val="00407568"/>
    <w:rsid w:val="00407B31"/>
    <w:rsid w:val="00407B59"/>
    <w:rsid w:val="0041062F"/>
    <w:rsid w:val="00410C73"/>
    <w:rsid w:val="00410F70"/>
    <w:rsid w:val="00411393"/>
    <w:rsid w:val="00411603"/>
    <w:rsid w:val="00411651"/>
    <w:rsid w:val="004118B3"/>
    <w:rsid w:val="00411919"/>
    <w:rsid w:val="00411BD2"/>
    <w:rsid w:val="00411FC9"/>
    <w:rsid w:val="00412B36"/>
    <w:rsid w:val="00412FC1"/>
    <w:rsid w:val="00413842"/>
    <w:rsid w:val="0041387F"/>
    <w:rsid w:val="00413BBC"/>
    <w:rsid w:val="004144D1"/>
    <w:rsid w:val="00414537"/>
    <w:rsid w:val="004147F6"/>
    <w:rsid w:val="004149EE"/>
    <w:rsid w:val="00414A29"/>
    <w:rsid w:val="00414A76"/>
    <w:rsid w:val="00414FD4"/>
    <w:rsid w:val="004150E3"/>
    <w:rsid w:val="00415231"/>
    <w:rsid w:val="00415257"/>
    <w:rsid w:val="00415755"/>
    <w:rsid w:val="00415773"/>
    <w:rsid w:val="00415E13"/>
    <w:rsid w:val="004167D8"/>
    <w:rsid w:val="004168BD"/>
    <w:rsid w:val="004170E4"/>
    <w:rsid w:val="004173B2"/>
    <w:rsid w:val="004175F5"/>
    <w:rsid w:val="004176D3"/>
    <w:rsid w:val="00420876"/>
    <w:rsid w:val="004209D4"/>
    <w:rsid w:val="00420A7A"/>
    <w:rsid w:val="00421429"/>
    <w:rsid w:val="00421EA0"/>
    <w:rsid w:val="0042209B"/>
    <w:rsid w:val="004222DB"/>
    <w:rsid w:val="004223F8"/>
    <w:rsid w:val="00422744"/>
    <w:rsid w:val="0042290A"/>
    <w:rsid w:val="0042307D"/>
    <w:rsid w:val="004231DC"/>
    <w:rsid w:val="0042376C"/>
    <w:rsid w:val="00423BFD"/>
    <w:rsid w:val="004245FA"/>
    <w:rsid w:val="00424AA3"/>
    <w:rsid w:val="00424B97"/>
    <w:rsid w:val="0042517C"/>
    <w:rsid w:val="00425486"/>
    <w:rsid w:val="00425FF9"/>
    <w:rsid w:val="0042647D"/>
    <w:rsid w:val="004269B8"/>
    <w:rsid w:val="004273D6"/>
    <w:rsid w:val="0043007E"/>
    <w:rsid w:val="004302A9"/>
    <w:rsid w:val="004302AC"/>
    <w:rsid w:val="00430686"/>
    <w:rsid w:val="0043070E"/>
    <w:rsid w:val="00430ECB"/>
    <w:rsid w:val="004313E5"/>
    <w:rsid w:val="0043140B"/>
    <w:rsid w:val="0043191F"/>
    <w:rsid w:val="00431D51"/>
    <w:rsid w:val="004326A2"/>
    <w:rsid w:val="00432E52"/>
    <w:rsid w:val="00432F89"/>
    <w:rsid w:val="00433857"/>
    <w:rsid w:val="00433ACD"/>
    <w:rsid w:val="00433ED4"/>
    <w:rsid w:val="00434104"/>
    <w:rsid w:val="00434368"/>
    <w:rsid w:val="004345F3"/>
    <w:rsid w:val="00434788"/>
    <w:rsid w:val="00434ACD"/>
    <w:rsid w:val="004353C9"/>
    <w:rsid w:val="00435F73"/>
    <w:rsid w:val="00436842"/>
    <w:rsid w:val="00436C41"/>
    <w:rsid w:val="004375CE"/>
    <w:rsid w:val="00437B7C"/>
    <w:rsid w:val="00437F3A"/>
    <w:rsid w:val="00440219"/>
    <w:rsid w:val="00440386"/>
    <w:rsid w:val="00440559"/>
    <w:rsid w:val="00440868"/>
    <w:rsid w:val="004418EC"/>
    <w:rsid w:val="004419EA"/>
    <w:rsid w:val="00441BFB"/>
    <w:rsid w:val="00441C66"/>
    <w:rsid w:val="00441DA5"/>
    <w:rsid w:val="00441E35"/>
    <w:rsid w:val="004424F3"/>
    <w:rsid w:val="00442C9D"/>
    <w:rsid w:val="00442D33"/>
    <w:rsid w:val="00442F04"/>
    <w:rsid w:val="00443082"/>
    <w:rsid w:val="00445319"/>
    <w:rsid w:val="004457EC"/>
    <w:rsid w:val="00445C50"/>
    <w:rsid w:val="00446107"/>
    <w:rsid w:val="00446DF7"/>
    <w:rsid w:val="004474C9"/>
    <w:rsid w:val="00447864"/>
    <w:rsid w:val="00447B8E"/>
    <w:rsid w:val="00447D54"/>
    <w:rsid w:val="00450780"/>
    <w:rsid w:val="00451416"/>
    <w:rsid w:val="0045154C"/>
    <w:rsid w:val="00451C63"/>
    <w:rsid w:val="0045281C"/>
    <w:rsid w:val="0045294D"/>
    <w:rsid w:val="00452DC0"/>
    <w:rsid w:val="004538FC"/>
    <w:rsid w:val="00453DA5"/>
    <w:rsid w:val="00454134"/>
    <w:rsid w:val="00454AF8"/>
    <w:rsid w:val="00454D6A"/>
    <w:rsid w:val="00454EBD"/>
    <w:rsid w:val="00456D4B"/>
    <w:rsid w:val="004571BB"/>
    <w:rsid w:val="0045765D"/>
    <w:rsid w:val="004577D2"/>
    <w:rsid w:val="00457B72"/>
    <w:rsid w:val="0046079B"/>
    <w:rsid w:val="0046171D"/>
    <w:rsid w:val="00461D2D"/>
    <w:rsid w:val="004621E2"/>
    <w:rsid w:val="00462385"/>
    <w:rsid w:val="004627C7"/>
    <w:rsid w:val="004629AD"/>
    <w:rsid w:val="00462B5F"/>
    <w:rsid w:val="00463BEF"/>
    <w:rsid w:val="004640F9"/>
    <w:rsid w:val="00464618"/>
    <w:rsid w:val="00464C44"/>
    <w:rsid w:val="00464EA2"/>
    <w:rsid w:val="0046514A"/>
    <w:rsid w:val="004653F0"/>
    <w:rsid w:val="0046570E"/>
    <w:rsid w:val="00465C6B"/>
    <w:rsid w:val="00466216"/>
    <w:rsid w:val="004669AC"/>
    <w:rsid w:val="004679B2"/>
    <w:rsid w:val="00467A8F"/>
    <w:rsid w:val="00467C30"/>
    <w:rsid w:val="00467C50"/>
    <w:rsid w:val="004701A5"/>
    <w:rsid w:val="004708A8"/>
    <w:rsid w:val="00471145"/>
    <w:rsid w:val="004715FD"/>
    <w:rsid w:val="00471B60"/>
    <w:rsid w:val="004720DB"/>
    <w:rsid w:val="00472579"/>
    <w:rsid w:val="00472DA3"/>
    <w:rsid w:val="00472EDC"/>
    <w:rsid w:val="00473713"/>
    <w:rsid w:val="00473958"/>
    <w:rsid w:val="00473E1E"/>
    <w:rsid w:val="00474909"/>
    <w:rsid w:val="00474B1E"/>
    <w:rsid w:val="0047580B"/>
    <w:rsid w:val="00476A5D"/>
    <w:rsid w:val="00476AAB"/>
    <w:rsid w:val="00476BC3"/>
    <w:rsid w:val="00477173"/>
    <w:rsid w:val="00477B7E"/>
    <w:rsid w:val="004801EC"/>
    <w:rsid w:val="00480F2D"/>
    <w:rsid w:val="00480FDA"/>
    <w:rsid w:val="00481533"/>
    <w:rsid w:val="00481BA6"/>
    <w:rsid w:val="0048215D"/>
    <w:rsid w:val="004836EE"/>
    <w:rsid w:val="004853FD"/>
    <w:rsid w:val="00485A9C"/>
    <w:rsid w:val="00486236"/>
    <w:rsid w:val="00486753"/>
    <w:rsid w:val="00486DF8"/>
    <w:rsid w:val="00487079"/>
    <w:rsid w:val="0048741E"/>
    <w:rsid w:val="00487A5F"/>
    <w:rsid w:val="004903F5"/>
    <w:rsid w:val="00490A87"/>
    <w:rsid w:val="00490B13"/>
    <w:rsid w:val="0049120B"/>
    <w:rsid w:val="004914D8"/>
    <w:rsid w:val="00491C92"/>
    <w:rsid w:val="00492197"/>
    <w:rsid w:val="004926D0"/>
    <w:rsid w:val="00492888"/>
    <w:rsid w:val="00492E17"/>
    <w:rsid w:val="004931DF"/>
    <w:rsid w:val="00493FE2"/>
    <w:rsid w:val="0049462B"/>
    <w:rsid w:val="004947CB"/>
    <w:rsid w:val="00494D53"/>
    <w:rsid w:val="00494EF0"/>
    <w:rsid w:val="0049594B"/>
    <w:rsid w:val="00496160"/>
    <w:rsid w:val="00496DFB"/>
    <w:rsid w:val="00497A0C"/>
    <w:rsid w:val="004A0AE2"/>
    <w:rsid w:val="004A0D3E"/>
    <w:rsid w:val="004A0E13"/>
    <w:rsid w:val="004A170A"/>
    <w:rsid w:val="004A2375"/>
    <w:rsid w:val="004A2545"/>
    <w:rsid w:val="004A28E2"/>
    <w:rsid w:val="004A2D83"/>
    <w:rsid w:val="004A2E6F"/>
    <w:rsid w:val="004A325C"/>
    <w:rsid w:val="004A3F3A"/>
    <w:rsid w:val="004A4000"/>
    <w:rsid w:val="004A407E"/>
    <w:rsid w:val="004A4178"/>
    <w:rsid w:val="004A4583"/>
    <w:rsid w:val="004A4D37"/>
    <w:rsid w:val="004A4E53"/>
    <w:rsid w:val="004A55E4"/>
    <w:rsid w:val="004A5C5B"/>
    <w:rsid w:val="004A6D58"/>
    <w:rsid w:val="004A6F71"/>
    <w:rsid w:val="004A7371"/>
    <w:rsid w:val="004B0599"/>
    <w:rsid w:val="004B0B7E"/>
    <w:rsid w:val="004B1625"/>
    <w:rsid w:val="004B1E1A"/>
    <w:rsid w:val="004B24D5"/>
    <w:rsid w:val="004B2A4F"/>
    <w:rsid w:val="004B2A70"/>
    <w:rsid w:val="004B2B73"/>
    <w:rsid w:val="004B2E4F"/>
    <w:rsid w:val="004B3724"/>
    <w:rsid w:val="004B3764"/>
    <w:rsid w:val="004B3C55"/>
    <w:rsid w:val="004B456B"/>
    <w:rsid w:val="004B46EE"/>
    <w:rsid w:val="004B47CC"/>
    <w:rsid w:val="004B4AD6"/>
    <w:rsid w:val="004B6016"/>
    <w:rsid w:val="004B6345"/>
    <w:rsid w:val="004B63E6"/>
    <w:rsid w:val="004B6484"/>
    <w:rsid w:val="004B71ED"/>
    <w:rsid w:val="004B72FF"/>
    <w:rsid w:val="004B747A"/>
    <w:rsid w:val="004B77CE"/>
    <w:rsid w:val="004B796A"/>
    <w:rsid w:val="004B7A25"/>
    <w:rsid w:val="004B7E04"/>
    <w:rsid w:val="004C0687"/>
    <w:rsid w:val="004C08E4"/>
    <w:rsid w:val="004C09D1"/>
    <w:rsid w:val="004C0A6C"/>
    <w:rsid w:val="004C1276"/>
    <w:rsid w:val="004C17FC"/>
    <w:rsid w:val="004C2886"/>
    <w:rsid w:val="004C2E1A"/>
    <w:rsid w:val="004C320B"/>
    <w:rsid w:val="004C37D9"/>
    <w:rsid w:val="004C3D32"/>
    <w:rsid w:val="004C3E24"/>
    <w:rsid w:val="004C526F"/>
    <w:rsid w:val="004C5358"/>
    <w:rsid w:val="004C58E2"/>
    <w:rsid w:val="004C6C29"/>
    <w:rsid w:val="004C6D8C"/>
    <w:rsid w:val="004C7051"/>
    <w:rsid w:val="004C73CA"/>
    <w:rsid w:val="004C7C44"/>
    <w:rsid w:val="004D0796"/>
    <w:rsid w:val="004D0C8E"/>
    <w:rsid w:val="004D0F7D"/>
    <w:rsid w:val="004D1364"/>
    <w:rsid w:val="004D261B"/>
    <w:rsid w:val="004D2810"/>
    <w:rsid w:val="004D2934"/>
    <w:rsid w:val="004D2ADB"/>
    <w:rsid w:val="004D2B63"/>
    <w:rsid w:val="004D2CFE"/>
    <w:rsid w:val="004D2DC8"/>
    <w:rsid w:val="004D31CE"/>
    <w:rsid w:val="004D3454"/>
    <w:rsid w:val="004D3CF7"/>
    <w:rsid w:val="004D3EBE"/>
    <w:rsid w:val="004D49D5"/>
    <w:rsid w:val="004D50F8"/>
    <w:rsid w:val="004D52E0"/>
    <w:rsid w:val="004D5601"/>
    <w:rsid w:val="004D5B11"/>
    <w:rsid w:val="004D5F0E"/>
    <w:rsid w:val="004D5F50"/>
    <w:rsid w:val="004D60AE"/>
    <w:rsid w:val="004D6B0F"/>
    <w:rsid w:val="004D6DA3"/>
    <w:rsid w:val="004D6E92"/>
    <w:rsid w:val="004D77C0"/>
    <w:rsid w:val="004D791C"/>
    <w:rsid w:val="004D7A8E"/>
    <w:rsid w:val="004D7FBB"/>
    <w:rsid w:val="004E0E44"/>
    <w:rsid w:val="004E0F4B"/>
    <w:rsid w:val="004E1B01"/>
    <w:rsid w:val="004E234B"/>
    <w:rsid w:val="004E2E80"/>
    <w:rsid w:val="004E3682"/>
    <w:rsid w:val="004E36E7"/>
    <w:rsid w:val="004E3CDD"/>
    <w:rsid w:val="004E3D6B"/>
    <w:rsid w:val="004E3DE3"/>
    <w:rsid w:val="004E3F1F"/>
    <w:rsid w:val="004E43A8"/>
    <w:rsid w:val="004E4595"/>
    <w:rsid w:val="004E464A"/>
    <w:rsid w:val="004E46DC"/>
    <w:rsid w:val="004E48D2"/>
    <w:rsid w:val="004E4B6A"/>
    <w:rsid w:val="004E5172"/>
    <w:rsid w:val="004E58C1"/>
    <w:rsid w:val="004E6454"/>
    <w:rsid w:val="004E6632"/>
    <w:rsid w:val="004E6AB0"/>
    <w:rsid w:val="004E7657"/>
    <w:rsid w:val="004E785D"/>
    <w:rsid w:val="004E7C26"/>
    <w:rsid w:val="004E7E16"/>
    <w:rsid w:val="004F00F0"/>
    <w:rsid w:val="004F0335"/>
    <w:rsid w:val="004F0626"/>
    <w:rsid w:val="004F075A"/>
    <w:rsid w:val="004F097D"/>
    <w:rsid w:val="004F0B87"/>
    <w:rsid w:val="004F0FAB"/>
    <w:rsid w:val="004F13FD"/>
    <w:rsid w:val="004F1A59"/>
    <w:rsid w:val="004F1AB7"/>
    <w:rsid w:val="004F1AF7"/>
    <w:rsid w:val="004F22ED"/>
    <w:rsid w:val="004F23DB"/>
    <w:rsid w:val="004F2859"/>
    <w:rsid w:val="004F2CB8"/>
    <w:rsid w:val="004F2E95"/>
    <w:rsid w:val="004F35CD"/>
    <w:rsid w:val="004F4236"/>
    <w:rsid w:val="004F4464"/>
    <w:rsid w:val="004F45DB"/>
    <w:rsid w:val="004F45E7"/>
    <w:rsid w:val="004F4CB1"/>
    <w:rsid w:val="004F53B3"/>
    <w:rsid w:val="004F58A8"/>
    <w:rsid w:val="004F6185"/>
    <w:rsid w:val="004F6677"/>
    <w:rsid w:val="004F6BB6"/>
    <w:rsid w:val="004F6C7A"/>
    <w:rsid w:val="004F7046"/>
    <w:rsid w:val="004F756C"/>
    <w:rsid w:val="004F7C1A"/>
    <w:rsid w:val="004F7D5A"/>
    <w:rsid w:val="004F874C"/>
    <w:rsid w:val="005006DF"/>
    <w:rsid w:val="00500727"/>
    <w:rsid w:val="005008EC"/>
    <w:rsid w:val="005009D5"/>
    <w:rsid w:val="00500AD0"/>
    <w:rsid w:val="00500D10"/>
    <w:rsid w:val="00500FB4"/>
    <w:rsid w:val="00501584"/>
    <w:rsid w:val="005018C8"/>
    <w:rsid w:val="00501C49"/>
    <w:rsid w:val="005021E2"/>
    <w:rsid w:val="0050277C"/>
    <w:rsid w:val="00502924"/>
    <w:rsid w:val="00502AFF"/>
    <w:rsid w:val="00502D3A"/>
    <w:rsid w:val="00503077"/>
    <w:rsid w:val="00503102"/>
    <w:rsid w:val="005034C9"/>
    <w:rsid w:val="005038D3"/>
    <w:rsid w:val="00503926"/>
    <w:rsid w:val="00503FD3"/>
    <w:rsid w:val="0050460A"/>
    <w:rsid w:val="005051D5"/>
    <w:rsid w:val="005051F0"/>
    <w:rsid w:val="00505416"/>
    <w:rsid w:val="00505483"/>
    <w:rsid w:val="00505E28"/>
    <w:rsid w:val="005062A6"/>
    <w:rsid w:val="005066BD"/>
    <w:rsid w:val="00507271"/>
    <w:rsid w:val="0050755F"/>
    <w:rsid w:val="0050785D"/>
    <w:rsid w:val="00510455"/>
    <w:rsid w:val="005104C6"/>
    <w:rsid w:val="00510695"/>
    <w:rsid w:val="00511A14"/>
    <w:rsid w:val="00514314"/>
    <w:rsid w:val="00514513"/>
    <w:rsid w:val="00514631"/>
    <w:rsid w:val="00514664"/>
    <w:rsid w:val="005146D7"/>
    <w:rsid w:val="00514A14"/>
    <w:rsid w:val="00514BB5"/>
    <w:rsid w:val="0051569F"/>
    <w:rsid w:val="00515A32"/>
    <w:rsid w:val="0051619C"/>
    <w:rsid w:val="005161BA"/>
    <w:rsid w:val="00516283"/>
    <w:rsid w:val="00516A01"/>
    <w:rsid w:val="00516AE8"/>
    <w:rsid w:val="00516BA6"/>
    <w:rsid w:val="00516F23"/>
    <w:rsid w:val="0051728C"/>
    <w:rsid w:val="00517696"/>
    <w:rsid w:val="005177C0"/>
    <w:rsid w:val="00517D74"/>
    <w:rsid w:val="00520290"/>
    <w:rsid w:val="005202A4"/>
    <w:rsid w:val="005205D0"/>
    <w:rsid w:val="0052162D"/>
    <w:rsid w:val="00521A3A"/>
    <w:rsid w:val="00521E99"/>
    <w:rsid w:val="005240CF"/>
    <w:rsid w:val="00524296"/>
    <w:rsid w:val="005244BE"/>
    <w:rsid w:val="00524762"/>
    <w:rsid w:val="00524D6B"/>
    <w:rsid w:val="0052564A"/>
    <w:rsid w:val="005256FA"/>
    <w:rsid w:val="00525762"/>
    <w:rsid w:val="0052603D"/>
    <w:rsid w:val="00527D29"/>
    <w:rsid w:val="00530A03"/>
    <w:rsid w:val="00530A77"/>
    <w:rsid w:val="00530AFC"/>
    <w:rsid w:val="00530FEE"/>
    <w:rsid w:val="005311E4"/>
    <w:rsid w:val="0053184E"/>
    <w:rsid w:val="00531D17"/>
    <w:rsid w:val="00531E74"/>
    <w:rsid w:val="00532B48"/>
    <w:rsid w:val="00533075"/>
    <w:rsid w:val="00533533"/>
    <w:rsid w:val="00533D3D"/>
    <w:rsid w:val="00534FF6"/>
    <w:rsid w:val="00535872"/>
    <w:rsid w:val="00535A2B"/>
    <w:rsid w:val="00535B57"/>
    <w:rsid w:val="005360C1"/>
    <w:rsid w:val="00536149"/>
    <w:rsid w:val="00536312"/>
    <w:rsid w:val="005365CC"/>
    <w:rsid w:val="00536DC2"/>
    <w:rsid w:val="00537772"/>
    <w:rsid w:val="00537B82"/>
    <w:rsid w:val="00540136"/>
    <w:rsid w:val="00540180"/>
    <w:rsid w:val="0054069D"/>
    <w:rsid w:val="00540E24"/>
    <w:rsid w:val="005410A7"/>
    <w:rsid w:val="00541443"/>
    <w:rsid w:val="00541CA9"/>
    <w:rsid w:val="00541E89"/>
    <w:rsid w:val="00541F9D"/>
    <w:rsid w:val="00542445"/>
    <w:rsid w:val="005427F0"/>
    <w:rsid w:val="005439A2"/>
    <w:rsid w:val="00543ECF"/>
    <w:rsid w:val="00544011"/>
    <w:rsid w:val="005443AA"/>
    <w:rsid w:val="00544A3F"/>
    <w:rsid w:val="00544C2D"/>
    <w:rsid w:val="00544CAE"/>
    <w:rsid w:val="005453AA"/>
    <w:rsid w:val="00545601"/>
    <w:rsid w:val="00545A81"/>
    <w:rsid w:val="00545EC0"/>
    <w:rsid w:val="005461CD"/>
    <w:rsid w:val="005471B0"/>
    <w:rsid w:val="0054741C"/>
    <w:rsid w:val="0054785C"/>
    <w:rsid w:val="00547EBE"/>
    <w:rsid w:val="00551756"/>
    <w:rsid w:val="00552477"/>
    <w:rsid w:val="005526EC"/>
    <w:rsid w:val="00552997"/>
    <w:rsid w:val="005535B6"/>
    <w:rsid w:val="005547C8"/>
    <w:rsid w:val="00556632"/>
    <w:rsid w:val="00556B03"/>
    <w:rsid w:val="0055717F"/>
    <w:rsid w:val="0055776F"/>
    <w:rsid w:val="005601FF"/>
    <w:rsid w:val="00560993"/>
    <w:rsid w:val="00560F1A"/>
    <w:rsid w:val="00561119"/>
    <w:rsid w:val="00561540"/>
    <w:rsid w:val="005615A0"/>
    <w:rsid w:val="00561FCB"/>
    <w:rsid w:val="00563A8D"/>
    <w:rsid w:val="00563BF7"/>
    <w:rsid w:val="005642BA"/>
    <w:rsid w:val="0056523E"/>
    <w:rsid w:val="005653E2"/>
    <w:rsid w:val="005658E1"/>
    <w:rsid w:val="005664F0"/>
    <w:rsid w:val="00566C87"/>
    <w:rsid w:val="00567223"/>
    <w:rsid w:val="00567816"/>
    <w:rsid w:val="00567A7C"/>
    <w:rsid w:val="005700F9"/>
    <w:rsid w:val="005701C6"/>
    <w:rsid w:val="00570328"/>
    <w:rsid w:val="005703B5"/>
    <w:rsid w:val="00572272"/>
    <w:rsid w:val="005722CC"/>
    <w:rsid w:val="005725BB"/>
    <w:rsid w:val="0057313E"/>
    <w:rsid w:val="00573DE6"/>
    <w:rsid w:val="00573DEB"/>
    <w:rsid w:val="005740F6"/>
    <w:rsid w:val="0057419F"/>
    <w:rsid w:val="0057444F"/>
    <w:rsid w:val="0057464D"/>
    <w:rsid w:val="00574728"/>
    <w:rsid w:val="00574D31"/>
    <w:rsid w:val="00574F9F"/>
    <w:rsid w:val="00575FF3"/>
    <w:rsid w:val="0057721C"/>
    <w:rsid w:val="0057797B"/>
    <w:rsid w:val="00580083"/>
    <w:rsid w:val="0058060D"/>
    <w:rsid w:val="0058193F"/>
    <w:rsid w:val="00581A8E"/>
    <w:rsid w:val="00581FA7"/>
    <w:rsid w:val="005828D3"/>
    <w:rsid w:val="00582A93"/>
    <w:rsid w:val="00583126"/>
    <w:rsid w:val="00583314"/>
    <w:rsid w:val="00584036"/>
    <w:rsid w:val="0058516A"/>
    <w:rsid w:val="005852DB"/>
    <w:rsid w:val="00585317"/>
    <w:rsid w:val="00585AA6"/>
    <w:rsid w:val="00585C5E"/>
    <w:rsid w:val="00585F64"/>
    <w:rsid w:val="0058624D"/>
    <w:rsid w:val="005868C4"/>
    <w:rsid w:val="00587297"/>
    <w:rsid w:val="005874D9"/>
    <w:rsid w:val="005877CB"/>
    <w:rsid w:val="00587916"/>
    <w:rsid w:val="00587DED"/>
    <w:rsid w:val="0059058E"/>
    <w:rsid w:val="00590809"/>
    <w:rsid w:val="00590909"/>
    <w:rsid w:val="00590A82"/>
    <w:rsid w:val="00591094"/>
    <w:rsid w:val="00591129"/>
    <w:rsid w:val="00591471"/>
    <w:rsid w:val="00591591"/>
    <w:rsid w:val="005916B2"/>
    <w:rsid w:val="005916EB"/>
    <w:rsid w:val="005916FB"/>
    <w:rsid w:val="0059178F"/>
    <w:rsid w:val="0059193A"/>
    <w:rsid w:val="005921CC"/>
    <w:rsid w:val="005929FA"/>
    <w:rsid w:val="0059321A"/>
    <w:rsid w:val="005933EE"/>
    <w:rsid w:val="00593867"/>
    <w:rsid w:val="00593A56"/>
    <w:rsid w:val="00593DDD"/>
    <w:rsid w:val="005941A3"/>
    <w:rsid w:val="00594B2B"/>
    <w:rsid w:val="00594CAA"/>
    <w:rsid w:val="005959BC"/>
    <w:rsid w:val="0059618E"/>
    <w:rsid w:val="005A0B4D"/>
    <w:rsid w:val="005A150A"/>
    <w:rsid w:val="005A1723"/>
    <w:rsid w:val="005A17F8"/>
    <w:rsid w:val="005A1988"/>
    <w:rsid w:val="005A247D"/>
    <w:rsid w:val="005A2F31"/>
    <w:rsid w:val="005A4102"/>
    <w:rsid w:val="005A4B0D"/>
    <w:rsid w:val="005A4F03"/>
    <w:rsid w:val="005A5019"/>
    <w:rsid w:val="005A50FE"/>
    <w:rsid w:val="005A545C"/>
    <w:rsid w:val="005A579E"/>
    <w:rsid w:val="005A5E4C"/>
    <w:rsid w:val="005A6155"/>
    <w:rsid w:val="005A643E"/>
    <w:rsid w:val="005A6A94"/>
    <w:rsid w:val="005A6EEA"/>
    <w:rsid w:val="005A71A4"/>
    <w:rsid w:val="005A732E"/>
    <w:rsid w:val="005A7627"/>
    <w:rsid w:val="005A7A5B"/>
    <w:rsid w:val="005A7C66"/>
    <w:rsid w:val="005A7DDD"/>
    <w:rsid w:val="005B0582"/>
    <w:rsid w:val="005B09D9"/>
    <w:rsid w:val="005B1455"/>
    <w:rsid w:val="005B17E9"/>
    <w:rsid w:val="005B19F8"/>
    <w:rsid w:val="005B1C56"/>
    <w:rsid w:val="005B25EB"/>
    <w:rsid w:val="005B2EB3"/>
    <w:rsid w:val="005B35D3"/>
    <w:rsid w:val="005B3C12"/>
    <w:rsid w:val="005B404C"/>
    <w:rsid w:val="005B4664"/>
    <w:rsid w:val="005B4799"/>
    <w:rsid w:val="005B4EBD"/>
    <w:rsid w:val="005B536F"/>
    <w:rsid w:val="005B588C"/>
    <w:rsid w:val="005B607B"/>
    <w:rsid w:val="005B6BEB"/>
    <w:rsid w:val="005B6CB7"/>
    <w:rsid w:val="005B77EF"/>
    <w:rsid w:val="005B7822"/>
    <w:rsid w:val="005B78B4"/>
    <w:rsid w:val="005B7BC4"/>
    <w:rsid w:val="005B7E50"/>
    <w:rsid w:val="005C0564"/>
    <w:rsid w:val="005C0F1D"/>
    <w:rsid w:val="005C1591"/>
    <w:rsid w:val="005C1817"/>
    <w:rsid w:val="005C1B3F"/>
    <w:rsid w:val="005C1BE0"/>
    <w:rsid w:val="005C1D9E"/>
    <w:rsid w:val="005C2977"/>
    <w:rsid w:val="005C2D08"/>
    <w:rsid w:val="005C2D5B"/>
    <w:rsid w:val="005C30C2"/>
    <w:rsid w:val="005C362C"/>
    <w:rsid w:val="005C38D3"/>
    <w:rsid w:val="005C3FB8"/>
    <w:rsid w:val="005C430D"/>
    <w:rsid w:val="005C439A"/>
    <w:rsid w:val="005C520C"/>
    <w:rsid w:val="005C5E2C"/>
    <w:rsid w:val="005C6882"/>
    <w:rsid w:val="005C7315"/>
    <w:rsid w:val="005C77CB"/>
    <w:rsid w:val="005C79F8"/>
    <w:rsid w:val="005C7F0C"/>
    <w:rsid w:val="005D084C"/>
    <w:rsid w:val="005D0B99"/>
    <w:rsid w:val="005D0E82"/>
    <w:rsid w:val="005D0F7C"/>
    <w:rsid w:val="005D101A"/>
    <w:rsid w:val="005D1769"/>
    <w:rsid w:val="005D1AE4"/>
    <w:rsid w:val="005D2C6D"/>
    <w:rsid w:val="005D32F1"/>
    <w:rsid w:val="005D3BCD"/>
    <w:rsid w:val="005D3D5A"/>
    <w:rsid w:val="005D3DE1"/>
    <w:rsid w:val="005D430C"/>
    <w:rsid w:val="005D485A"/>
    <w:rsid w:val="005D4A29"/>
    <w:rsid w:val="005D4D4B"/>
    <w:rsid w:val="005D502E"/>
    <w:rsid w:val="005D5A16"/>
    <w:rsid w:val="005D60A8"/>
    <w:rsid w:val="005D6555"/>
    <w:rsid w:val="005D7639"/>
    <w:rsid w:val="005D7782"/>
    <w:rsid w:val="005D799C"/>
    <w:rsid w:val="005E0936"/>
    <w:rsid w:val="005E09A7"/>
    <w:rsid w:val="005E0E89"/>
    <w:rsid w:val="005E0EA1"/>
    <w:rsid w:val="005E12A2"/>
    <w:rsid w:val="005E130F"/>
    <w:rsid w:val="005E144C"/>
    <w:rsid w:val="005E2FF6"/>
    <w:rsid w:val="005E3641"/>
    <w:rsid w:val="005E4363"/>
    <w:rsid w:val="005E452A"/>
    <w:rsid w:val="005E4F0B"/>
    <w:rsid w:val="005E5033"/>
    <w:rsid w:val="005E5043"/>
    <w:rsid w:val="005E5159"/>
    <w:rsid w:val="005E53E9"/>
    <w:rsid w:val="005E5A8A"/>
    <w:rsid w:val="005E5BCA"/>
    <w:rsid w:val="005E663E"/>
    <w:rsid w:val="005E6C5A"/>
    <w:rsid w:val="005E7291"/>
    <w:rsid w:val="005E7A49"/>
    <w:rsid w:val="005F0329"/>
    <w:rsid w:val="005F077A"/>
    <w:rsid w:val="005F0CE9"/>
    <w:rsid w:val="005F0F12"/>
    <w:rsid w:val="005F0F47"/>
    <w:rsid w:val="005F0FB2"/>
    <w:rsid w:val="005F1C1E"/>
    <w:rsid w:val="005F21F1"/>
    <w:rsid w:val="005F27B4"/>
    <w:rsid w:val="005F2E5C"/>
    <w:rsid w:val="005F2FED"/>
    <w:rsid w:val="005F3458"/>
    <w:rsid w:val="005F3A76"/>
    <w:rsid w:val="005F3CF5"/>
    <w:rsid w:val="005F3EA7"/>
    <w:rsid w:val="005F418B"/>
    <w:rsid w:val="005F45A7"/>
    <w:rsid w:val="005F483F"/>
    <w:rsid w:val="005F4C31"/>
    <w:rsid w:val="005F5112"/>
    <w:rsid w:val="005F52C6"/>
    <w:rsid w:val="005F5368"/>
    <w:rsid w:val="005F5CAE"/>
    <w:rsid w:val="005F5D06"/>
    <w:rsid w:val="005F5D29"/>
    <w:rsid w:val="005F74BA"/>
    <w:rsid w:val="005F76E9"/>
    <w:rsid w:val="005F79D9"/>
    <w:rsid w:val="005F7D36"/>
    <w:rsid w:val="00600439"/>
    <w:rsid w:val="00600518"/>
    <w:rsid w:val="006009E3"/>
    <w:rsid w:val="00600DDC"/>
    <w:rsid w:val="00600F63"/>
    <w:rsid w:val="00601261"/>
    <w:rsid w:val="00601C13"/>
    <w:rsid w:val="0060247C"/>
    <w:rsid w:val="006024CD"/>
    <w:rsid w:val="006032CC"/>
    <w:rsid w:val="0060462C"/>
    <w:rsid w:val="00604A7D"/>
    <w:rsid w:val="006058A8"/>
    <w:rsid w:val="00605A2E"/>
    <w:rsid w:val="00605B41"/>
    <w:rsid w:val="00606263"/>
    <w:rsid w:val="0060685A"/>
    <w:rsid w:val="006068F3"/>
    <w:rsid w:val="00606F76"/>
    <w:rsid w:val="006076D1"/>
    <w:rsid w:val="006101CF"/>
    <w:rsid w:val="00610BCE"/>
    <w:rsid w:val="00611F65"/>
    <w:rsid w:val="006121A4"/>
    <w:rsid w:val="00612A37"/>
    <w:rsid w:val="00612B27"/>
    <w:rsid w:val="00612DC7"/>
    <w:rsid w:val="006136A1"/>
    <w:rsid w:val="0061435D"/>
    <w:rsid w:val="00614691"/>
    <w:rsid w:val="006149E3"/>
    <w:rsid w:val="006157B2"/>
    <w:rsid w:val="0061593C"/>
    <w:rsid w:val="00615CAB"/>
    <w:rsid w:val="00616D8E"/>
    <w:rsid w:val="00616E4F"/>
    <w:rsid w:val="00617119"/>
    <w:rsid w:val="00617579"/>
    <w:rsid w:val="00617E4F"/>
    <w:rsid w:val="00617F81"/>
    <w:rsid w:val="0062063E"/>
    <w:rsid w:val="006207DC"/>
    <w:rsid w:val="00621110"/>
    <w:rsid w:val="006212FA"/>
    <w:rsid w:val="00621303"/>
    <w:rsid w:val="00621B0B"/>
    <w:rsid w:val="00621C1E"/>
    <w:rsid w:val="00621ED6"/>
    <w:rsid w:val="006224E8"/>
    <w:rsid w:val="00622F56"/>
    <w:rsid w:val="00623039"/>
    <w:rsid w:val="00623189"/>
    <w:rsid w:val="006236E4"/>
    <w:rsid w:val="006239F5"/>
    <w:rsid w:val="00623DB6"/>
    <w:rsid w:val="006245AA"/>
    <w:rsid w:val="00624B0F"/>
    <w:rsid w:val="006252B6"/>
    <w:rsid w:val="006257FC"/>
    <w:rsid w:val="006258A3"/>
    <w:rsid w:val="00625FED"/>
    <w:rsid w:val="00626440"/>
    <w:rsid w:val="006266F3"/>
    <w:rsid w:val="00626AD8"/>
    <w:rsid w:val="00627334"/>
    <w:rsid w:val="00627810"/>
    <w:rsid w:val="006302C6"/>
    <w:rsid w:val="00630A27"/>
    <w:rsid w:val="00630A3B"/>
    <w:rsid w:val="00630D04"/>
    <w:rsid w:val="0063119C"/>
    <w:rsid w:val="00631798"/>
    <w:rsid w:val="006317F5"/>
    <w:rsid w:val="00631996"/>
    <w:rsid w:val="00631F31"/>
    <w:rsid w:val="00632D57"/>
    <w:rsid w:val="00633500"/>
    <w:rsid w:val="006335BE"/>
    <w:rsid w:val="00633B0E"/>
    <w:rsid w:val="00634919"/>
    <w:rsid w:val="00634F00"/>
    <w:rsid w:val="006359F3"/>
    <w:rsid w:val="00635EBE"/>
    <w:rsid w:val="00636154"/>
    <w:rsid w:val="00636859"/>
    <w:rsid w:val="0063768D"/>
    <w:rsid w:val="006376F8"/>
    <w:rsid w:val="00637B34"/>
    <w:rsid w:val="006406AD"/>
    <w:rsid w:val="006406B7"/>
    <w:rsid w:val="006407A9"/>
    <w:rsid w:val="00640AA9"/>
    <w:rsid w:val="00640D4E"/>
    <w:rsid w:val="006410F5"/>
    <w:rsid w:val="00641140"/>
    <w:rsid w:val="006415F1"/>
    <w:rsid w:val="006418AD"/>
    <w:rsid w:val="00641B0A"/>
    <w:rsid w:val="00641D58"/>
    <w:rsid w:val="00641DE1"/>
    <w:rsid w:val="00642241"/>
    <w:rsid w:val="00642BCB"/>
    <w:rsid w:val="00642F71"/>
    <w:rsid w:val="00644884"/>
    <w:rsid w:val="00644E93"/>
    <w:rsid w:val="00645BBE"/>
    <w:rsid w:val="006464F9"/>
    <w:rsid w:val="006466AD"/>
    <w:rsid w:val="00646D8F"/>
    <w:rsid w:val="006478AC"/>
    <w:rsid w:val="00647A48"/>
    <w:rsid w:val="00647EFE"/>
    <w:rsid w:val="00647F54"/>
    <w:rsid w:val="006501BF"/>
    <w:rsid w:val="00650279"/>
    <w:rsid w:val="006505BA"/>
    <w:rsid w:val="00650F23"/>
    <w:rsid w:val="00651760"/>
    <w:rsid w:val="00651790"/>
    <w:rsid w:val="006521CE"/>
    <w:rsid w:val="006523A8"/>
    <w:rsid w:val="0065244F"/>
    <w:rsid w:val="0065259C"/>
    <w:rsid w:val="006526F7"/>
    <w:rsid w:val="0065323C"/>
    <w:rsid w:val="00653829"/>
    <w:rsid w:val="0065559B"/>
    <w:rsid w:val="00655FAD"/>
    <w:rsid w:val="0065642F"/>
    <w:rsid w:val="0065660E"/>
    <w:rsid w:val="006570B0"/>
    <w:rsid w:val="006575A3"/>
    <w:rsid w:val="00657C4D"/>
    <w:rsid w:val="006600B5"/>
    <w:rsid w:val="00660472"/>
    <w:rsid w:val="00660B42"/>
    <w:rsid w:val="00660B5C"/>
    <w:rsid w:val="00660E37"/>
    <w:rsid w:val="00661284"/>
    <w:rsid w:val="0066136B"/>
    <w:rsid w:val="006614C7"/>
    <w:rsid w:val="00661658"/>
    <w:rsid w:val="00661683"/>
    <w:rsid w:val="00661B0C"/>
    <w:rsid w:val="00661DF8"/>
    <w:rsid w:val="006622B5"/>
    <w:rsid w:val="00662555"/>
    <w:rsid w:val="0066289E"/>
    <w:rsid w:val="00663ECB"/>
    <w:rsid w:val="0066428D"/>
    <w:rsid w:val="00664AAE"/>
    <w:rsid w:val="00665124"/>
    <w:rsid w:val="006656FE"/>
    <w:rsid w:val="006667DD"/>
    <w:rsid w:val="00667487"/>
    <w:rsid w:val="0066772E"/>
    <w:rsid w:val="00667ACC"/>
    <w:rsid w:val="00670437"/>
    <w:rsid w:val="00670473"/>
    <w:rsid w:val="00670559"/>
    <w:rsid w:val="00670659"/>
    <w:rsid w:val="00670CFB"/>
    <w:rsid w:val="00670FC4"/>
    <w:rsid w:val="00671CC7"/>
    <w:rsid w:val="00672EE7"/>
    <w:rsid w:val="0067332D"/>
    <w:rsid w:val="006736DB"/>
    <w:rsid w:val="006737D1"/>
    <w:rsid w:val="00673AF1"/>
    <w:rsid w:val="006749B2"/>
    <w:rsid w:val="006751B4"/>
    <w:rsid w:val="00675F3C"/>
    <w:rsid w:val="006760AD"/>
    <w:rsid w:val="00676705"/>
    <w:rsid w:val="00676851"/>
    <w:rsid w:val="006769BF"/>
    <w:rsid w:val="00677003"/>
    <w:rsid w:val="0067728C"/>
    <w:rsid w:val="0067785D"/>
    <w:rsid w:val="00677C06"/>
    <w:rsid w:val="00677EB9"/>
    <w:rsid w:val="00680090"/>
    <w:rsid w:val="006802F6"/>
    <w:rsid w:val="0068096E"/>
    <w:rsid w:val="006816CA"/>
    <w:rsid w:val="00681D21"/>
    <w:rsid w:val="006822BE"/>
    <w:rsid w:val="00682E98"/>
    <w:rsid w:val="00683233"/>
    <w:rsid w:val="006833E4"/>
    <w:rsid w:val="0068398E"/>
    <w:rsid w:val="00684398"/>
    <w:rsid w:val="00684661"/>
    <w:rsid w:val="00684B5A"/>
    <w:rsid w:val="00684DC2"/>
    <w:rsid w:val="00684E89"/>
    <w:rsid w:val="006853FA"/>
    <w:rsid w:val="006857A4"/>
    <w:rsid w:val="00685B5C"/>
    <w:rsid w:val="00685FFA"/>
    <w:rsid w:val="00686016"/>
    <w:rsid w:val="00686276"/>
    <w:rsid w:val="006865BC"/>
    <w:rsid w:val="00686976"/>
    <w:rsid w:val="00686A33"/>
    <w:rsid w:val="00686CAA"/>
    <w:rsid w:val="00687431"/>
    <w:rsid w:val="0069026C"/>
    <w:rsid w:val="006903AE"/>
    <w:rsid w:val="0069058A"/>
    <w:rsid w:val="006905A3"/>
    <w:rsid w:val="00690A26"/>
    <w:rsid w:val="00690AE2"/>
    <w:rsid w:val="00690EF4"/>
    <w:rsid w:val="0069149A"/>
    <w:rsid w:val="00691A8A"/>
    <w:rsid w:val="00692044"/>
    <w:rsid w:val="00692E71"/>
    <w:rsid w:val="00693171"/>
    <w:rsid w:val="00693676"/>
    <w:rsid w:val="006937CF"/>
    <w:rsid w:val="00694221"/>
    <w:rsid w:val="0069449E"/>
    <w:rsid w:val="00694628"/>
    <w:rsid w:val="00694673"/>
    <w:rsid w:val="00694A39"/>
    <w:rsid w:val="00694CC6"/>
    <w:rsid w:val="006952EC"/>
    <w:rsid w:val="00695EA8"/>
    <w:rsid w:val="00696365"/>
    <w:rsid w:val="006963E1"/>
    <w:rsid w:val="006968C7"/>
    <w:rsid w:val="00696E91"/>
    <w:rsid w:val="0069750C"/>
    <w:rsid w:val="00697962"/>
    <w:rsid w:val="006A02FC"/>
    <w:rsid w:val="006A0A85"/>
    <w:rsid w:val="006A0E02"/>
    <w:rsid w:val="006A0F7C"/>
    <w:rsid w:val="006A0F84"/>
    <w:rsid w:val="006A1247"/>
    <w:rsid w:val="006A1268"/>
    <w:rsid w:val="006A1E87"/>
    <w:rsid w:val="006A3709"/>
    <w:rsid w:val="006A39A0"/>
    <w:rsid w:val="006A3A36"/>
    <w:rsid w:val="006A3DC7"/>
    <w:rsid w:val="006A3F11"/>
    <w:rsid w:val="006A422F"/>
    <w:rsid w:val="006A4931"/>
    <w:rsid w:val="006A6028"/>
    <w:rsid w:val="006A61EB"/>
    <w:rsid w:val="006A6416"/>
    <w:rsid w:val="006A69E7"/>
    <w:rsid w:val="006A7B3A"/>
    <w:rsid w:val="006A7C8B"/>
    <w:rsid w:val="006B00FC"/>
    <w:rsid w:val="006B037D"/>
    <w:rsid w:val="006B19F1"/>
    <w:rsid w:val="006B1ADE"/>
    <w:rsid w:val="006B1D10"/>
    <w:rsid w:val="006B2327"/>
    <w:rsid w:val="006B2A74"/>
    <w:rsid w:val="006B2BED"/>
    <w:rsid w:val="006B2EDE"/>
    <w:rsid w:val="006B4413"/>
    <w:rsid w:val="006B474A"/>
    <w:rsid w:val="006B48B2"/>
    <w:rsid w:val="006B5DAF"/>
    <w:rsid w:val="006B6278"/>
    <w:rsid w:val="006B6376"/>
    <w:rsid w:val="006B6481"/>
    <w:rsid w:val="006B6688"/>
    <w:rsid w:val="006B668D"/>
    <w:rsid w:val="006B67AA"/>
    <w:rsid w:val="006B68BC"/>
    <w:rsid w:val="006B69B2"/>
    <w:rsid w:val="006B6B3C"/>
    <w:rsid w:val="006B6C7F"/>
    <w:rsid w:val="006B71E5"/>
    <w:rsid w:val="006B7637"/>
    <w:rsid w:val="006B7974"/>
    <w:rsid w:val="006C0383"/>
    <w:rsid w:val="006C061A"/>
    <w:rsid w:val="006C06DD"/>
    <w:rsid w:val="006C1576"/>
    <w:rsid w:val="006C1A45"/>
    <w:rsid w:val="006C1E2A"/>
    <w:rsid w:val="006C2179"/>
    <w:rsid w:val="006C2E83"/>
    <w:rsid w:val="006C2ECF"/>
    <w:rsid w:val="006C301F"/>
    <w:rsid w:val="006C42CC"/>
    <w:rsid w:val="006C49ED"/>
    <w:rsid w:val="006C4AE9"/>
    <w:rsid w:val="006C4CB5"/>
    <w:rsid w:val="006C506A"/>
    <w:rsid w:val="006C54F8"/>
    <w:rsid w:val="006C7B92"/>
    <w:rsid w:val="006D0068"/>
    <w:rsid w:val="006D03AF"/>
    <w:rsid w:val="006D0618"/>
    <w:rsid w:val="006D06C4"/>
    <w:rsid w:val="006D0CD6"/>
    <w:rsid w:val="006D1214"/>
    <w:rsid w:val="006D140C"/>
    <w:rsid w:val="006D159D"/>
    <w:rsid w:val="006D167D"/>
    <w:rsid w:val="006D20CA"/>
    <w:rsid w:val="006D313A"/>
    <w:rsid w:val="006D375C"/>
    <w:rsid w:val="006D39B9"/>
    <w:rsid w:val="006D3A2F"/>
    <w:rsid w:val="006D3E74"/>
    <w:rsid w:val="006D4652"/>
    <w:rsid w:val="006D4B07"/>
    <w:rsid w:val="006D4B71"/>
    <w:rsid w:val="006D5423"/>
    <w:rsid w:val="006D5867"/>
    <w:rsid w:val="006D6558"/>
    <w:rsid w:val="006D65DC"/>
    <w:rsid w:val="006D68DD"/>
    <w:rsid w:val="006D701C"/>
    <w:rsid w:val="006D715A"/>
    <w:rsid w:val="006D722C"/>
    <w:rsid w:val="006E04AB"/>
    <w:rsid w:val="006E08F5"/>
    <w:rsid w:val="006E105E"/>
    <w:rsid w:val="006E1312"/>
    <w:rsid w:val="006E14B0"/>
    <w:rsid w:val="006E1596"/>
    <w:rsid w:val="006E1E4E"/>
    <w:rsid w:val="006E288D"/>
    <w:rsid w:val="006E3814"/>
    <w:rsid w:val="006E38DB"/>
    <w:rsid w:val="006E3A9E"/>
    <w:rsid w:val="006E590A"/>
    <w:rsid w:val="006E6279"/>
    <w:rsid w:val="006E663C"/>
    <w:rsid w:val="006E6663"/>
    <w:rsid w:val="006E68BE"/>
    <w:rsid w:val="006E72E2"/>
    <w:rsid w:val="006E7844"/>
    <w:rsid w:val="006E7ACA"/>
    <w:rsid w:val="006E7DA5"/>
    <w:rsid w:val="006E7F41"/>
    <w:rsid w:val="006F05C2"/>
    <w:rsid w:val="006F0979"/>
    <w:rsid w:val="006F12A0"/>
    <w:rsid w:val="006F14DA"/>
    <w:rsid w:val="006F15B5"/>
    <w:rsid w:val="006F17E2"/>
    <w:rsid w:val="006F18A5"/>
    <w:rsid w:val="006F1ADD"/>
    <w:rsid w:val="006F1D3D"/>
    <w:rsid w:val="006F1E2F"/>
    <w:rsid w:val="006F1EFD"/>
    <w:rsid w:val="006F1F8D"/>
    <w:rsid w:val="006F212D"/>
    <w:rsid w:val="006F2BC9"/>
    <w:rsid w:val="006F2C3E"/>
    <w:rsid w:val="006F2D06"/>
    <w:rsid w:val="006F2F59"/>
    <w:rsid w:val="006F3CBB"/>
    <w:rsid w:val="006F3E0C"/>
    <w:rsid w:val="006F4194"/>
    <w:rsid w:val="006F45A0"/>
    <w:rsid w:val="006F4D2B"/>
    <w:rsid w:val="006F4DDD"/>
    <w:rsid w:val="006F5C4B"/>
    <w:rsid w:val="006F623D"/>
    <w:rsid w:val="006F6CCA"/>
    <w:rsid w:val="006F704A"/>
    <w:rsid w:val="006F7D89"/>
    <w:rsid w:val="006F7E46"/>
    <w:rsid w:val="007013A5"/>
    <w:rsid w:val="00701595"/>
    <w:rsid w:val="00701BE5"/>
    <w:rsid w:val="00702503"/>
    <w:rsid w:val="0070251A"/>
    <w:rsid w:val="00702C97"/>
    <w:rsid w:val="00702DB9"/>
    <w:rsid w:val="00703322"/>
    <w:rsid w:val="00703665"/>
    <w:rsid w:val="00704BC9"/>
    <w:rsid w:val="0070537D"/>
    <w:rsid w:val="007054DF"/>
    <w:rsid w:val="00705C28"/>
    <w:rsid w:val="00705D63"/>
    <w:rsid w:val="0070664D"/>
    <w:rsid w:val="0070670E"/>
    <w:rsid w:val="007069A1"/>
    <w:rsid w:val="00706A05"/>
    <w:rsid w:val="007101A7"/>
    <w:rsid w:val="00710443"/>
    <w:rsid w:val="00711948"/>
    <w:rsid w:val="00711D3F"/>
    <w:rsid w:val="00711E6B"/>
    <w:rsid w:val="007121CB"/>
    <w:rsid w:val="00713B11"/>
    <w:rsid w:val="00714855"/>
    <w:rsid w:val="00714BCA"/>
    <w:rsid w:val="00714EBB"/>
    <w:rsid w:val="00714F95"/>
    <w:rsid w:val="00714F98"/>
    <w:rsid w:val="007153E0"/>
    <w:rsid w:val="007154BA"/>
    <w:rsid w:val="00715595"/>
    <w:rsid w:val="00715A75"/>
    <w:rsid w:val="00715CF0"/>
    <w:rsid w:val="00715DEB"/>
    <w:rsid w:val="00715EBE"/>
    <w:rsid w:val="007166B1"/>
    <w:rsid w:val="00716FC1"/>
    <w:rsid w:val="00717CC1"/>
    <w:rsid w:val="00720548"/>
    <w:rsid w:val="00720ABA"/>
    <w:rsid w:val="00721164"/>
    <w:rsid w:val="00721969"/>
    <w:rsid w:val="00721E2A"/>
    <w:rsid w:val="00721EEA"/>
    <w:rsid w:val="007223F0"/>
    <w:rsid w:val="00722AF7"/>
    <w:rsid w:val="00722BA2"/>
    <w:rsid w:val="00722D2B"/>
    <w:rsid w:val="00722D6F"/>
    <w:rsid w:val="00723102"/>
    <w:rsid w:val="00724337"/>
    <w:rsid w:val="00724D2F"/>
    <w:rsid w:val="00724D63"/>
    <w:rsid w:val="00724F0D"/>
    <w:rsid w:val="00724FC6"/>
    <w:rsid w:val="00725ABB"/>
    <w:rsid w:val="00725D0E"/>
    <w:rsid w:val="0072695B"/>
    <w:rsid w:val="00726A4A"/>
    <w:rsid w:val="00726A66"/>
    <w:rsid w:val="007271E1"/>
    <w:rsid w:val="00727611"/>
    <w:rsid w:val="00727D77"/>
    <w:rsid w:val="00730224"/>
    <w:rsid w:val="00730D33"/>
    <w:rsid w:val="007316BA"/>
    <w:rsid w:val="00731B18"/>
    <w:rsid w:val="00731B95"/>
    <w:rsid w:val="00731DDB"/>
    <w:rsid w:val="00731DF4"/>
    <w:rsid w:val="00731E19"/>
    <w:rsid w:val="007320B4"/>
    <w:rsid w:val="00732454"/>
    <w:rsid w:val="007324DE"/>
    <w:rsid w:val="00733263"/>
    <w:rsid w:val="007335B9"/>
    <w:rsid w:val="00733D5C"/>
    <w:rsid w:val="007344E1"/>
    <w:rsid w:val="00734D1F"/>
    <w:rsid w:val="00734F67"/>
    <w:rsid w:val="0073582F"/>
    <w:rsid w:val="00735BA1"/>
    <w:rsid w:val="00735E4D"/>
    <w:rsid w:val="00736019"/>
    <w:rsid w:val="0073606B"/>
    <w:rsid w:val="00736853"/>
    <w:rsid w:val="00736932"/>
    <w:rsid w:val="00736C2C"/>
    <w:rsid w:val="00740542"/>
    <w:rsid w:val="0074230D"/>
    <w:rsid w:val="007425C3"/>
    <w:rsid w:val="007429BD"/>
    <w:rsid w:val="00742BC7"/>
    <w:rsid w:val="007430AE"/>
    <w:rsid w:val="00743114"/>
    <w:rsid w:val="0074382B"/>
    <w:rsid w:val="00744169"/>
    <w:rsid w:val="0074457C"/>
    <w:rsid w:val="007448EF"/>
    <w:rsid w:val="00744D77"/>
    <w:rsid w:val="00745207"/>
    <w:rsid w:val="007457E2"/>
    <w:rsid w:val="00745C55"/>
    <w:rsid w:val="00746781"/>
    <w:rsid w:val="00746DE5"/>
    <w:rsid w:val="0074767B"/>
    <w:rsid w:val="0074E9FA"/>
    <w:rsid w:val="00750136"/>
    <w:rsid w:val="007508B7"/>
    <w:rsid w:val="00750D30"/>
    <w:rsid w:val="00751630"/>
    <w:rsid w:val="00751AE0"/>
    <w:rsid w:val="00751F47"/>
    <w:rsid w:val="00752087"/>
    <w:rsid w:val="00752C8A"/>
    <w:rsid w:val="00753035"/>
    <w:rsid w:val="00753999"/>
    <w:rsid w:val="00753F2A"/>
    <w:rsid w:val="0075530E"/>
    <w:rsid w:val="00755F41"/>
    <w:rsid w:val="0075658B"/>
    <w:rsid w:val="0075742E"/>
    <w:rsid w:val="0075778C"/>
    <w:rsid w:val="00757C09"/>
    <w:rsid w:val="00757E5F"/>
    <w:rsid w:val="0076018F"/>
    <w:rsid w:val="00760710"/>
    <w:rsid w:val="00760967"/>
    <w:rsid w:val="00760F6A"/>
    <w:rsid w:val="007611F4"/>
    <w:rsid w:val="00761291"/>
    <w:rsid w:val="00761527"/>
    <w:rsid w:val="007617CE"/>
    <w:rsid w:val="007619FB"/>
    <w:rsid w:val="00761AC7"/>
    <w:rsid w:val="007626FC"/>
    <w:rsid w:val="00762E2C"/>
    <w:rsid w:val="0076321D"/>
    <w:rsid w:val="00763604"/>
    <w:rsid w:val="007636A2"/>
    <w:rsid w:val="00764010"/>
    <w:rsid w:val="00764056"/>
    <w:rsid w:val="0076456F"/>
    <w:rsid w:val="00764920"/>
    <w:rsid w:val="00764A76"/>
    <w:rsid w:val="00764C10"/>
    <w:rsid w:val="00765CF1"/>
    <w:rsid w:val="00765D81"/>
    <w:rsid w:val="00765DFE"/>
    <w:rsid w:val="007663CD"/>
    <w:rsid w:val="00766411"/>
    <w:rsid w:val="00766549"/>
    <w:rsid w:val="0076683C"/>
    <w:rsid w:val="007668FB"/>
    <w:rsid w:val="00766AF9"/>
    <w:rsid w:val="00766BB2"/>
    <w:rsid w:val="00766FA1"/>
    <w:rsid w:val="00770055"/>
    <w:rsid w:val="00771543"/>
    <w:rsid w:val="0077198E"/>
    <w:rsid w:val="00771A1D"/>
    <w:rsid w:val="00771DF7"/>
    <w:rsid w:val="00772030"/>
    <w:rsid w:val="00772CB8"/>
    <w:rsid w:val="007732C6"/>
    <w:rsid w:val="00773B8D"/>
    <w:rsid w:val="00773FB1"/>
    <w:rsid w:val="0077444C"/>
    <w:rsid w:val="0077487F"/>
    <w:rsid w:val="00774C90"/>
    <w:rsid w:val="007756EE"/>
    <w:rsid w:val="00775710"/>
    <w:rsid w:val="00775757"/>
    <w:rsid w:val="00776615"/>
    <w:rsid w:val="0077688B"/>
    <w:rsid w:val="00776C3C"/>
    <w:rsid w:val="0077732D"/>
    <w:rsid w:val="00778C4F"/>
    <w:rsid w:val="00780C0A"/>
    <w:rsid w:val="007810A6"/>
    <w:rsid w:val="00781107"/>
    <w:rsid w:val="00781C53"/>
    <w:rsid w:val="00781D6A"/>
    <w:rsid w:val="0078218C"/>
    <w:rsid w:val="007824F8"/>
    <w:rsid w:val="007836A1"/>
    <w:rsid w:val="007836CA"/>
    <w:rsid w:val="00783C53"/>
    <w:rsid w:val="00783E7E"/>
    <w:rsid w:val="007840E5"/>
    <w:rsid w:val="007857D5"/>
    <w:rsid w:val="007857FB"/>
    <w:rsid w:val="00785B93"/>
    <w:rsid w:val="00785C76"/>
    <w:rsid w:val="00786989"/>
    <w:rsid w:val="00786DE5"/>
    <w:rsid w:val="00787088"/>
    <w:rsid w:val="0078710E"/>
    <w:rsid w:val="00787845"/>
    <w:rsid w:val="00787A57"/>
    <w:rsid w:val="00787CCB"/>
    <w:rsid w:val="00790058"/>
    <w:rsid w:val="007909FD"/>
    <w:rsid w:val="007911D8"/>
    <w:rsid w:val="007918C7"/>
    <w:rsid w:val="00791CA0"/>
    <w:rsid w:val="00791D4B"/>
    <w:rsid w:val="00792CD4"/>
    <w:rsid w:val="00793342"/>
    <w:rsid w:val="0079453D"/>
    <w:rsid w:val="007951C7"/>
    <w:rsid w:val="007958BF"/>
    <w:rsid w:val="00795957"/>
    <w:rsid w:val="00795EA5"/>
    <w:rsid w:val="00795F35"/>
    <w:rsid w:val="00796099"/>
    <w:rsid w:val="00796BD2"/>
    <w:rsid w:val="00796D66"/>
    <w:rsid w:val="0079717E"/>
    <w:rsid w:val="00797ACA"/>
    <w:rsid w:val="00797AFA"/>
    <w:rsid w:val="00797D16"/>
    <w:rsid w:val="007A117C"/>
    <w:rsid w:val="007A1377"/>
    <w:rsid w:val="007A13C3"/>
    <w:rsid w:val="007A1C69"/>
    <w:rsid w:val="007A2040"/>
    <w:rsid w:val="007A204E"/>
    <w:rsid w:val="007A2B24"/>
    <w:rsid w:val="007A2CA8"/>
    <w:rsid w:val="007A2F36"/>
    <w:rsid w:val="007A2F3E"/>
    <w:rsid w:val="007A2FF3"/>
    <w:rsid w:val="007A35CF"/>
    <w:rsid w:val="007A3BF2"/>
    <w:rsid w:val="007A3E26"/>
    <w:rsid w:val="007A3F82"/>
    <w:rsid w:val="007A45D7"/>
    <w:rsid w:val="007A4CAA"/>
    <w:rsid w:val="007A540A"/>
    <w:rsid w:val="007A5641"/>
    <w:rsid w:val="007A59DA"/>
    <w:rsid w:val="007A61F2"/>
    <w:rsid w:val="007A6DAC"/>
    <w:rsid w:val="007A77CD"/>
    <w:rsid w:val="007B0291"/>
    <w:rsid w:val="007B031F"/>
    <w:rsid w:val="007B0F0B"/>
    <w:rsid w:val="007B1970"/>
    <w:rsid w:val="007B2014"/>
    <w:rsid w:val="007B25BD"/>
    <w:rsid w:val="007B27BA"/>
    <w:rsid w:val="007B2E0B"/>
    <w:rsid w:val="007B36C7"/>
    <w:rsid w:val="007B3EC6"/>
    <w:rsid w:val="007B4824"/>
    <w:rsid w:val="007B4CB4"/>
    <w:rsid w:val="007B4DB8"/>
    <w:rsid w:val="007B538A"/>
    <w:rsid w:val="007B6E7D"/>
    <w:rsid w:val="007B6FFE"/>
    <w:rsid w:val="007B72B6"/>
    <w:rsid w:val="007B73AE"/>
    <w:rsid w:val="007B7FE5"/>
    <w:rsid w:val="007C0071"/>
    <w:rsid w:val="007C00C4"/>
    <w:rsid w:val="007C056B"/>
    <w:rsid w:val="007C0C5C"/>
    <w:rsid w:val="007C1B6B"/>
    <w:rsid w:val="007C1F8D"/>
    <w:rsid w:val="007C20CA"/>
    <w:rsid w:val="007C2281"/>
    <w:rsid w:val="007C22FE"/>
    <w:rsid w:val="007C2631"/>
    <w:rsid w:val="007C26C2"/>
    <w:rsid w:val="007C2968"/>
    <w:rsid w:val="007C2D6F"/>
    <w:rsid w:val="007C2DA7"/>
    <w:rsid w:val="007C347C"/>
    <w:rsid w:val="007C3669"/>
    <w:rsid w:val="007C3B90"/>
    <w:rsid w:val="007C41C9"/>
    <w:rsid w:val="007C435C"/>
    <w:rsid w:val="007C479B"/>
    <w:rsid w:val="007C47D8"/>
    <w:rsid w:val="007C49C5"/>
    <w:rsid w:val="007C4CB8"/>
    <w:rsid w:val="007C4CD9"/>
    <w:rsid w:val="007C4FEF"/>
    <w:rsid w:val="007C510E"/>
    <w:rsid w:val="007C5753"/>
    <w:rsid w:val="007C58B7"/>
    <w:rsid w:val="007C5900"/>
    <w:rsid w:val="007C593D"/>
    <w:rsid w:val="007C5986"/>
    <w:rsid w:val="007C5D69"/>
    <w:rsid w:val="007C6030"/>
    <w:rsid w:val="007C62E7"/>
    <w:rsid w:val="007C66A8"/>
    <w:rsid w:val="007C6CEC"/>
    <w:rsid w:val="007C7299"/>
    <w:rsid w:val="007C7B99"/>
    <w:rsid w:val="007C7D98"/>
    <w:rsid w:val="007C7FD4"/>
    <w:rsid w:val="007D0694"/>
    <w:rsid w:val="007D07CD"/>
    <w:rsid w:val="007D0AF8"/>
    <w:rsid w:val="007D0FEC"/>
    <w:rsid w:val="007D137F"/>
    <w:rsid w:val="007D17A7"/>
    <w:rsid w:val="007D1864"/>
    <w:rsid w:val="007D1CB8"/>
    <w:rsid w:val="007D26D3"/>
    <w:rsid w:val="007D3153"/>
    <w:rsid w:val="007D32BB"/>
    <w:rsid w:val="007D3E4E"/>
    <w:rsid w:val="007D42E9"/>
    <w:rsid w:val="007D445C"/>
    <w:rsid w:val="007D4A05"/>
    <w:rsid w:val="007D4F92"/>
    <w:rsid w:val="007D5A0E"/>
    <w:rsid w:val="007D6588"/>
    <w:rsid w:val="007D6C3F"/>
    <w:rsid w:val="007E090E"/>
    <w:rsid w:val="007E1470"/>
    <w:rsid w:val="007E2939"/>
    <w:rsid w:val="007E2C00"/>
    <w:rsid w:val="007E35E2"/>
    <w:rsid w:val="007E4612"/>
    <w:rsid w:val="007E4CA6"/>
    <w:rsid w:val="007E56FF"/>
    <w:rsid w:val="007E60BC"/>
    <w:rsid w:val="007E61EA"/>
    <w:rsid w:val="007E636D"/>
    <w:rsid w:val="007E6B30"/>
    <w:rsid w:val="007E707F"/>
    <w:rsid w:val="007E76FE"/>
    <w:rsid w:val="007E7F4A"/>
    <w:rsid w:val="007EE162"/>
    <w:rsid w:val="007F1A16"/>
    <w:rsid w:val="007F21A5"/>
    <w:rsid w:val="007F24BE"/>
    <w:rsid w:val="007F24C3"/>
    <w:rsid w:val="007F2654"/>
    <w:rsid w:val="007F28E9"/>
    <w:rsid w:val="007F312E"/>
    <w:rsid w:val="007F3705"/>
    <w:rsid w:val="007F377B"/>
    <w:rsid w:val="007F3805"/>
    <w:rsid w:val="007F3F69"/>
    <w:rsid w:val="007F4048"/>
    <w:rsid w:val="007F4377"/>
    <w:rsid w:val="007F465E"/>
    <w:rsid w:val="007F4909"/>
    <w:rsid w:val="007F4D8A"/>
    <w:rsid w:val="007F4EA3"/>
    <w:rsid w:val="007F4F44"/>
    <w:rsid w:val="007F524F"/>
    <w:rsid w:val="007F5339"/>
    <w:rsid w:val="007F533C"/>
    <w:rsid w:val="007F5418"/>
    <w:rsid w:val="007F583B"/>
    <w:rsid w:val="007F5B89"/>
    <w:rsid w:val="007F6548"/>
    <w:rsid w:val="007F65C0"/>
    <w:rsid w:val="007F665A"/>
    <w:rsid w:val="007F670B"/>
    <w:rsid w:val="007F6849"/>
    <w:rsid w:val="007F6B8C"/>
    <w:rsid w:val="007F7E95"/>
    <w:rsid w:val="007F7FDC"/>
    <w:rsid w:val="008007FF"/>
    <w:rsid w:val="00800ED8"/>
    <w:rsid w:val="00801433"/>
    <w:rsid w:val="00801805"/>
    <w:rsid w:val="00801C80"/>
    <w:rsid w:val="00801E7F"/>
    <w:rsid w:val="00801F7A"/>
    <w:rsid w:val="00801FDA"/>
    <w:rsid w:val="00802152"/>
    <w:rsid w:val="0080244D"/>
    <w:rsid w:val="00802534"/>
    <w:rsid w:val="0080290B"/>
    <w:rsid w:val="008037F9"/>
    <w:rsid w:val="00803ABA"/>
    <w:rsid w:val="00803EDC"/>
    <w:rsid w:val="008043D9"/>
    <w:rsid w:val="008043F7"/>
    <w:rsid w:val="0080463C"/>
    <w:rsid w:val="00804809"/>
    <w:rsid w:val="00805298"/>
    <w:rsid w:val="008052A2"/>
    <w:rsid w:val="00805768"/>
    <w:rsid w:val="00805A70"/>
    <w:rsid w:val="00806377"/>
    <w:rsid w:val="008065F4"/>
    <w:rsid w:val="00806607"/>
    <w:rsid w:val="0080700B"/>
    <w:rsid w:val="0080747C"/>
    <w:rsid w:val="008101EC"/>
    <w:rsid w:val="00810239"/>
    <w:rsid w:val="008109D2"/>
    <w:rsid w:val="00810A57"/>
    <w:rsid w:val="0081134C"/>
    <w:rsid w:val="008115EC"/>
    <w:rsid w:val="00811E08"/>
    <w:rsid w:val="0081323C"/>
    <w:rsid w:val="0081377B"/>
    <w:rsid w:val="0081407C"/>
    <w:rsid w:val="00814336"/>
    <w:rsid w:val="008153B6"/>
    <w:rsid w:val="008157C3"/>
    <w:rsid w:val="00816D25"/>
    <w:rsid w:val="008171BA"/>
    <w:rsid w:val="0081724C"/>
    <w:rsid w:val="008175AD"/>
    <w:rsid w:val="008203E7"/>
    <w:rsid w:val="00820970"/>
    <w:rsid w:val="00820A5C"/>
    <w:rsid w:val="00821040"/>
    <w:rsid w:val="00821B49"/>
    <w:rsid w:val="00822113"/>
    <w:rsid w:val="008221E7"/>
    <w:rsid w:val="0082295A"/>
    <w:rsid w:val="00823261"/>
    <w:rsid w:val="00823306"/>
    <w:rsid w:val="008235A1"/>
    <w:rsid w:val="0082377A"/>
    <w:rsid w:val="0082440C"/>
    <w:rsid w:val="00824681"/>
    <w:rsid w:val="008246A3"/>
    <w:rsid w:val="00824C26"/>
    <w:rsid w:val="00824D4D"/>
    <w:rsid w:val="008250D8"/>
    <w:rsid w:val="00825642"/>
    <w:rsid w:val="00825B82"/>
    <w:rsid w:val="008265BE"/>
    <w:rsid w:val="00826816"/>
    <w:rsid w:val="00827381"/>
    <w:rsid w:val="00827429"/>
    <w:rsid w:val="0082754F"/>
    <w:rsid w:val="00827692"/>
    <w:rsid w:val="00827948"/>
    <w:rsid w:val="00827A99"/>
    <w:rsid w:val="00827E58"/>
    <w:rsid w:val="0083067B"/>
    <w:rsid w:val="00830C04"/>
    <w:rsid w:val="00830F2F"/>
    <w:rsid w:val="00831127"/>
    <w:rsid w:val="0083135F"/>
    <w:rsid w:val="0083160B"/>
    <w:rsid w:val="00831F78"/>
    <w:rsid w:val="00832EA9"/>
    <w:rsid w:val="008339E9"/>
    <w:rsid w:val="008340A3"/>
    <w:rsid w:val="0083416E"/>
    <w:rsid w:val="0083471B"/>
    <w:rsid w:val="00835137"/>
    <w:rsid w:val="008351F7"/>
    <w:rsid w:val="008353E9"/>
    <w:rsid w:val="008354CE"/>
    <w:rsid w:val="00836F8D"/>
    <w:rsid w:val="00836FF6"/>
    <w:rsid w:val="00837069"/>
    <w:rsid w:val="0083734A"/>
    <w:rsid w:val="00837479"/>
    <w:rsid w:val="00837498"/>
    <w:rsid w:val="0083753B"/>
    <w:rsid w:val="0083795D"/>
    <w:rsid w:val="0083799A"/>
    <w:rsid w:val="00837BDB"/>
    <w:rsid w:val="00837DF5"/>
    <w:rsid w:val="00840B4A"/>
    <w:rsid w:val="00840CF7"/>
    <w:rsid w:val="00840FBA"/>
    <w:rsid w:val="00841A96"/>
    <w:rsid w:val="00842287"/>
    <w:rsid w:val="00842878"/>
    <w:rsid w:val="008431BC"/>
    <w:rsid w:val="0084370F"/>
    <w:rsid w:val="00843982"/>
    <w:rsid w:val="00843EC2"/>
    <w:rsid w:val="0084437D"/>
    <w:rsid w:val="00845386"/>
    <w:rsid w:val="00845B4B"/>
    <w:rsid w:val="00845C28"/>
    <w:rsid w:val="00845C91"/>
    <w:rsid w:val="0084604E"/>
    <w:rsid w:val="00846BF2"/>
    <w:rsid w:val="008470F3"/>
    <w:rsid w:val="008472CB"/>
    <w:rsid w:val="00847320"/>
    <w:rsid w:val="008477A8"/>
    <w:rsid w:val="00850120"/>
    <w:rsid w:val="00850155"/>
    <w:rsid w:val="0085016A"/>
    <w:rsid w:val="00850223"/>
    <w:rsid w:val="00850297"/>
    <w:rsid w:val="008503A5"/>
    <w:rsid w:val="008510D4"/>
    <w:rsid w:val="008525EA"/>
    <w:rsid w:val="008532A7"/>
    <w:rsid w:val="00853852"/>
    <w:rsid w:val="00853CA3"/>
    <w:rsid w:val="008543CC"/>
    <w:rsid w:val="00854BEF"/>
    <w:rsid w:val="00855058"/>
    <w:rsid w:val="008552F7"/>
    <w:rsid w:val="008567B5"/>
    <w:rsid w:val="00856A94"/>
    <w:rsid w:val="00856DAF"/>
    <w:rsid w:val="00856ED8"/>
    <w:rsid w:val="00857C20"/>
    <w:rsid w:val="00857FFA"/>
    <w:rsid w:val="00860558"/>
    <w:rsid w:val="00860650"/>
    <w:rsid w:val="008608A2"/>
    <w:rsid w:val="008608B4"/>
    <w:rsid w:val="008610F2"/>
    <w:rsid w:val="0086114F"/>
    <w:rsid w:val="00861D9D"/>
    <w:rsid w:val="00861FBD"/>
    <w:rsid w:val="008620D6"/>
    <w:rsid w:val="008621D8"/>
    <w:rsid w:val="008624E7"/>
    <w:rsid w:val="0086337A"/>
    <w:rsid w:val="008633A8"/>
    <w:rsid w:val="00863463"/>
    <w:rsid w:val="0086439D"/>
    <w:rsid w:val="0086440A"/>
    <w:rsid w:val="008646B8"/>
    <w:rsid w:val="00864B1B"/>
    <w:rsid w:val="00865BEF"/>
    <w:rsid w:val="008665C9"/>
    <w:rsid w:val="00866AC4"/>
    <w:rsid w:val="00867158"/>
    <w:rsid w:val="008671F4"/>
    <w:rsid w:val="00867527"/>
    <w:rsid w:val="0086792D"/>
    <w:rsid w:val="008679FF"/>
    <w:rsid w:val="00867AB4"/>
    <w:rsid w:val="00867AFD"/>
    <w:rsid w:val="0087006C"/>
    <w:rsid w:val="00870418"/>
    <w:rsid w:val="008709E2"/>
    <w:rsid w:val="00871031"/>
    <w:rsid w:val="00871324"/>
    <w:rsid w:val="0087145A"/>
    <w:rsid w:val="00872414"/>
    <w:rsid w:val="00872863"/>
    <w:rsid w:val="008728E5"/>
    <w:rsid w:val="0087360A"/>
    <w:rsid w:val="008736FD"/>
    <w:rsid w:val="0087435E"/>
    <w:rsid w:val="008745D5"/>
    <w:rsid w:val="00874EE4"/>
    <w:rsid w:val="00875330"/>
    <w:rsid w:val="00875335"/>
    <w:rsid w:val="008757A7"/>
    <w:rsid w:val="008759BA"/>
    <w:rsid w:val="00875E98"/>
    <w:rsid w:val="00875F29"/>
    <w:rsid w:val="00876E4F"/>
    <w:rsid w:val="00876F03"/>
    <w:rsid w:val="00876FDE"/>
    <w:rsid w:val="0087716F"/>
    <w:rsid w:val="008775D8"/>
    <w:rsid w:val="0087777F"/>
    <w:rsid w:val="008778BF"/>
    <w:rsid w:val="00877A72"/>
    <w:rsid w:val="00877C3A"/>
    <w:rsid w:val="00877EDE"/>
    <w:rsid w:val="008803A6"/>
    <w:rsid w:val="00880A63"/>
    <w:rsid w:val="00882261"/>
    <w:rsid w:val="008827C3"/>
    <w:rsid w:val="00883566"/>
    <w:rsid w:val="008835D2"/>
    <w:rsid w:val="00884601"/>
    <w:rsid w:val="008854DA"/>
    <w:rsid w:val="00885975"/>
    <w:rsid w:val="008861B2"/>
    <w:rsid w:val="00886C0F"/>
    <w:rsid w:val="008903BC"/>
    <w:rsid w:val="0089046F"/>
    <w:rsid w:val="00890522"/>
    <w:rsid w:val="0089104D"/>
    <w:rsid w:val="008912BC"/>
    <w:rsid w:val="00891429"/>
    <w:rsid w:val="008914D1"/>
    <w:rsid w:val="00891797"/>
    <w:rsid w:val="0089208D"/>
    <w:rsid w:val="00892B97"/>
    <w:rsid w:val="008930A1"/>
    <w:rsid w:val="008936D9"/>
    <w:rsid w:val="008943C9"/>
    <w:rsid w:val="0089443B"/>
    <w:rsid w:val="00894CE4"/>
    <w:rsid w:val="00894FCF"/>
    <w:rsid w:val="008951FA"/>
    <w:rsid w:val="00895646"/>
    <w:rsid w:val="008957E5"/>
    <w:rsid w:val="00896003"/>
    <w:rsid w:val="00896B38"/>
    <w:rsid w:val="00896FE9"/>
    <w:rsid w:val="008970A8"/>
    <w:rsid w:val="008972E7"/>
    <w:rsid w:val="00897DE9"/>
    <w:rsid w:val="008A0021"/>
    <w:rsid w:val="008A0669"/>
    <w:rsid w:val="008A06C7"/>
    <w:rsid w:val="008A130C"/>
    <w:rsid w:val="008A20AB"/>
    <w:rsid w:val="008A27BD"/>
    <w:rsid w:val="008A29AC"/>
    <w:rsid w:val="008A29E5"/>
    <w:rsid w:val="008A2D0E"/>
    <w:rsid w:val="008A2F6A"/>
    <w:rsid w:val="008A4A74"/>
    <w:rsid w:val="008A4F15"/>
    <w:rsid w:val="008A6716"/>
    <w:rsid w:val="008A7B7F"/>
    <w:rsid w:val="008A7DAD"/>
    <w:rsid w:val="008B0352"/>
    <w:rsid w:val="008B0494"/>
    <w:rsid w:val="008B0FB3"/>
    <w:rsid w:val="008B12E5"/>
    <w:rsid w:val="008B1844"/>
    <w:rsid w:val="008B18E1"/>
    <w:rsid w:val="008B1ACD"/>
    <w:rsid w:val="008B1F84"/>
    <w:rsid w:val="008B2C97"/>
    <w:rsid w:val="008B3191"/>
    <w:rsid w:val="008B319E"/>
    <w:rsid w:val="008B3C72"/>
    <w:rsid w:val="008B4076"/>
    <w:rsid w:val="008B42F3"/>
    <w:rsid w:val="008B48E1"/>
    <w:rsid w:val="008B4A03"/>
    <w:rsid w:val="008B5A62"/>
    <w:rsid w:val="008B5C64"/>
    <w:rsid w:val="008B649C"/>
    <w:rsid w:val="008B6607"/>
    <w:rsid w:val="008B6775"/>
    <w:rsid w:val="008B6988"/>
    <w:rsid w:val="008B71F7"/>
    <w:rsid w:val="008B7782"/>
    <w:rsid w:val="008B77AE"/>
    <w:rsid w:val="008B7AB1"/>
    <w:rsid w:val="008C0864"/>
    <w:rsid w:val="008C09EB"/>
    <w:rsid w:val="008C0C6D"/>
    <w:rsid w:val="008C12A0"/>
    <w:rsid w:val="008C18EF"/>
    <w:rsid w:val="008C2F36"/>
    <w:rsid w:val="008C30A0"/>
    <w:rsid w:val="008C35E9"/>
    <w:rsid w:val="008C3735"/>
    <w:rsid w:val="008C3831"/>
    <w:rsid w:val="008C3CC4"/>
    <w:rsid w:val="008C3D59"/>
    <w:rsid w:val="008C410C"/>
    <w:rsid w:val="008C4F3F"/>
    <w:rsid w:val="008C595F"/>
    <w:rsid w:val="008C6189"/>
    <w:rsid w:val="008C6368"/>
    <w:rsid w:val="008C68DD"/>
    <w:rsid w:val="008C6AD0"/>
    <w:rsid w:val="008C709D"/>
    <w:rsid w:val="008C7474"/>
    <w:rsid w:val="008C7F7C"/>
    <w:rsid w:val="008D06C4"/>
    <w:rsid w:val="008D0CD5"/>
    <w:rsid w:val="008D0F0C"/>
    <w:rsid w:val="008D11C9"/>
    <w:rsid w:val="008D1B31"/>
    <w:rsid w:val="008D2446"/>
    <w:rsid w:val="008D256B"/>
    <w:rsid w:val="008D294B"/>
    <w:rsid w:val="008D29B3"/>
    <w:rsid w:val="008D2C47"/>
    <w:rsid w:val="008D3553"/>
    <w:rsid w:val="008D3724"/>
    <w:rsid w:val="008D374F"/>
    <w:rsid w:val="008D45CB"/>
    <w:rsid w:val="008D4D8D"/>
    <w:rsid w:val="008D4DEA"/>
    <w:rsid w:val="008D551E"/>
    <w:rsid w:val="008D5AB3"/>
    <w:rsid w:val="008D62B9"/>
    <w:rsid w:val="008D6614"/>
    <w:rsid w:val="008D66A5"/>
    <w:rsid w:val="008D6D32"/>
    <w:rsid w:val="008D6E3F"/>
    <w:rsid w:val="008D7E35"/>
    <w:rsid w:val="008E01AD"/>
    <w:rsid w:val="008E0210"/>
    <w:rsid w:val="008E0874"/>
    <w:rsid w:val="008E0A8F"/>
    <w:rsid w:val="008E0D31"/>
    <w:rsid w:val="008E1326"/>
    <w:rsid w:val="008E1E59"/>
    <w:rsid w:val="008E2642"/>
    <w:rsid w:val="008E2FB8"/>
    <w:rsid w:val="008E304C"/>
    <w:rsid w:val="008E3846"/>
    <w:rsid w:val="008E4170"/>
    <w:rsid w:val="008E4176"/>
    <w:rsid w:val="008E43C5"/>
    <w:rsid w:val="008E4658"/>
    <w:rsid w:val="008E4AA7"/>
    <w:rsid w:val="008E4B16"/>
    <w:rsid w:val="008E5142"/>
    <w:rsid w:val="008E53C2"/>
    <w:rsid w:val="008E593B"/>
    <w:rsid w:val="008E5B8A"/>
    <w:rsid w:val="008E63F7"/>
    <w:rsid w:val="008E6959"/>
    <w:rsid w:val="008E6B40"/>
    <w:rsid w:val="008E792D"/>
    <w:rsid w:val="008F0AD7"/>
    <w:rsid w:val="008F0C67"/>
    <w:rsid w:val="008F11E9"/>
    <w:rsid w:val="008F2A78"/>
    <w:rsid w:val="008F2D44"/>
    <w:rsid w:val="008F2D8D"/>
    <w:rsid w:val="008F34B0"/>
    <w:rsid w:val="008F4418"/>
    <w:rsid w:val="008F5296"/>
    <w:rsid w:val="008F6CF3"/>
    <w:rsid w:val="008F7710"/>
    <w:rsid w:val="008F799E"/>
    <w:rsid w:val="00900921"/>
    <w:rsid w:val="00900B7F"/>
    <w:rsid w:val="00900CEA"/>
    <w:rsid w:val="0090100A"/>
    <w:rsid w:val="0090102E"/>
    <w:rsid w:val="009013D9"/>
    <w:rsid w:val="00901722"/>
    <w:rsid w:val="00901C80"/>
    <w:rsid w:val="00901CA1"/>
    <w:rsid w:val="00901E5C"/>
    <w:rsid w:val="009026FF"/>
    <w:rsid w:val="0090283C"/>
    <w:rsid w:val="00902944"/>
    <w:rsid w:val="00902CF3"/>
    <w:rsid w:val="00902CF9"/>
    <w:rsid w:val="00902E18"/>
    <w:rsid w:val="00902EA6"/>
    <w:rsid w:val="00903155"/>
    <w:rsid w:val="009036AF"/>
    <w:rsid w:val="00903891"/>
    <w:rsid w:val="00904D52"/>
    <w:rsid w:val="00904FE7"/>
    <w:rsid w:val="00905084"/>
    <w:rsid w:val="00905481"/>
    <w:rsid w:val="00905A21"/>
    <w:rsid w:val="0090665E"/>
    <w:rsid w:val="00906A10"/>
    <w:rsid w:val="009075CB"/>
    <w:rsid w:val="00907701"/>
    <w:rsid w:val="009079DD"/>
    <w:rsid w:val="00907C16"/>
    <w:rsid w:val="009101F8"/>
    <w:rsid w:val="00910A0C"/>
    <w:rsid w:val="009115AE"/>
    <w:rsid w:val="009116DC"/>
    <w:rsid w:val="009117EE"/>
    <w:rsid w:val="00911AB6"/>
    <w:rsid w:val="00911B51"/>
    <w:rsid w:val="00912211"/>
    <w:rsid w:val="0091236B"/>
    <w:rsid w:val="0091253D"/>
    <w:rsid w:val="00912585"/>
    <w:rsid w:val="00912BC9"/>
    <w:rsid w:val="00912E7D"/>
    <w:rsid w:val="009134E8"/>
    <w:rsid w:val="00913999"/>
    <w:rsid w:val="0091460C"/>
    <w:rsid w:val="00914828"/>
    <w:rsid w:val="009149BD"/>
    <w:rsid w:val="00914A01"/>
    <w:rsid w:val="00914DCC"/>
    <w:rsid w:val="00915B06"/>
    <w:rsid w:val="00916167"/>
    <w:rsid w:val="00916FE3"/>
    <w:rsid w:val="00917094"/>
    <w:rsid w:val="009170A9"/>
    <w:rsid w:val="0091728D"/>
    <w:rsid w:val="0091740A"/>
    <w:rsid w:val="0091740C"/>
    <w:rsid w:val="00917626"/>
    <w:rsid w:val="00920934"/>
    <w:rsid w:val="00920A7A"/>
    <w:rsid w:val="00921ED5"/>
    <w:rsid w:val="00922195"/>
    <w:rsid w:val="00922238"/>
    <w:rsid w:val="00922333"/>
    <w:rsid w:val="00922359"/>
    <w:rsid w:val="00922F29"/>
    <w:rsid w:val="0092319C"/>
    <w:rsid w:val="00923369"/>
    <w:rsid w:val="00923D37"/>
    <w:rsid w:val="00924820"/>
    <w:rsid w:val="0092491B"/>
    <w:rsid w:val="00924DBD"/>
    <w:rsid w:val="009256AC"/>
    <w:rsid w:val="00925CBD"/>
    <w:rsid w:val="0092624C"/>
    <w:rsid w:val="009262EA"/>
    <w:rsid w:val="00926410"/>
    <w:rsid w:val="00926415"/>
    <w:rsid w:val="00926672"/>
    <w:rsid w:val="00926937"/>
    <w:rsid w:val="00926AA6"/>
    <w:rsid w:val="00926E05"/>
    <w:rsid w:val="009270EA"/>
    <w:rsid w:val="009277A8"/>
    <w:rsid w:val="009302A4"/>
    <w:rsid w:val="00930447"/>
    <w:rsid w:val="00930733"/>
    <w:rsid w:val="00930A39"/>
    <w:rsid w:val="00930C1C"/>
    <w:rsid w:val="009313A6"/>
    <w:rsid w:val="009315BB"/>
    <w:rsid w:val="009315ED"/>
    <w:rsid w:val="0093190A"/>
    <w:rsid w:val="00932DB8"/>
    <w:rsid w:val="00932E72"/>
    <w:rsid w:val="0093307B"/>
    <w:rsid w:val="00934B0C"/>
    <w:rsid w:val="00934B56"/>
    <w:rsid w:val="00934BB0"/>
    <w:rsid w:val="00934FFB"/>
    <w:rsid w:val="009351F4"/>
    <w:rsid w:val="00935517"/>
    <w:rsid w:val="00936229"/>
    <w:rsid w:val="00936968"/>
    <w:rsid w:val="00936C9C"/>
    <w:rsid w:val="00937271"/>
    <w:rsid w:val="009373A2"/>
    <w:rsid w:val="00937B06"/>
    <w:rsid w:val="0093E672"/>
    <w:rsid w:val="00940944"/>
    <w:rsid w:val="00940C73"/>
    <w:rsid w:val="00941AB1"/>
    <w:rsid w:val="00941FC9"/>
    <w:rsid w:val="00941FE9"/>
    <w:rsid w:val="00942313"/>
    <w:rsid w:val="009429E7"/>
    <w:rsid w:val="00942D56"/>
    <w:rsid w:val="0094337A"/>
    <w:rsid w:val="009446F5"/>
    <w:rsid w:val="009447F0"/>
    <w:rsid w:val="00945368"/>
    <w:rsid w:val="009459F2"/>
    <w:rsid w:val="00945A0B"/>
    <w:rsid w:val="00945AF8"/>
    <w:rsid w:val="00946685"/>
    <w:rsid w:val="00946C07"/>
    <w:rsid w:val="00947172"/>
    <w:rsid w:val="00947690"/>
    <w:rsid w:val="00947A53"/>
    <w:rsid w:val="00947B27"/>
    <w:rsid w:val="00947EB1"/>
    <w:rsid w:val="00950113"/>
    <w:rsid w:val="00950638"/>
    <w:rsid w:val="00950CEE"/>
    <w:rsid w:val="00951134"/>
    <w:rsid w:val="00951F2C"/>
    <w:rsid w:val="00952206"/>
    <w:rsid w:val="00953854"/>
    <w:rsid w:val="009539F1"/>
    <w:rsid w:val="00953D4D"/>
    <w:rsid w:val="00954190"/>
    <w:rsid w:val="009546A9"/>
    <w:rsid w:val="0095564D"/>
    <w:rsid w:val="009559F6"/>
    <w:rsid w:val="00955E5E"/>
    <w:rsid w:val="009566CF"/>
    <w:rsid w:val="00956BF5"/>
    <w:rsid w:val="00956C9E"/>
    <w:rsid w:val="009608B7"/>
    <w:rsid w:val="0096175C"/>
    <w:rsid w:val="0096178B"/>
    <w:rsid w:val="00961FAE"/>
    <w:rsid w:val="009625DA"/>
    <w:rsid w:val="0096269A"/>
    <w:rsid w:val="00963293"/>
    <w:rsid w:val="00963302"/>
    <w:rsid w:val="009634F7"/>
    <w:rsid w:val="00963DEE"/>
    <w:rsid w:val="00963FD2"/>
    <w:rsid w:val="00965351"/>
    <w:rsid w:val="00965432"/>
    <w:rsid w:val="00965882"/>
    <w:rsid w:val="00965D3D"/>
    <w:rsid w:val="00965D9B"/>
    <w:rsid w:val="00966A36"/>
    <w:rsid w:val="00966B6F"/>
    <w:rsid w:val="00966F68"/>
    <w:rsid w:val="00967728"/>
    <w:rsid w:val="00970028"/>
    <w:rsid w:val="00970903"/>
    <w:rsid w:val="00970CFF"/>
    <w:rsid w:val="00970FE8"/>
    <w:rsid w:val="009716A0"/>
    <w:rsid w:val="00971CAC"/>
    <w:rsid w:val="009724AB"/>
    <w:rsid w:val="009724E8"/>
    <w:rsid w:val="00972DBC"/>
    <w:rsid w:val="00973856"/>
    <w:rsid w:val="00974329"/>
    <w:rsid w:val="009746DD"/>
    <w:rsid w:val="0097521B"/>
    <w:rsid w:val="00975686"/>
    <w:rsid w:val="009759F3"/>
    <w:rsid w:val="00976231"/>
    <w:rsid w:val="009762F9"/>
    <w:rsid w:val="009763FB"/>
    <w:rsid w:val="00976C3F"/>
    <w:rsid w:val="009777AF"/>
    <w:rsid w:val="009800F2"/>
    <w:rsid w:val="0098081A"/>
    <w:rsid w:val="00980830"/>
    <w:rsid w:val="00981F05"/>
    <w:rsid w:val="00982AEB"/>
    <w:rsid w:val="00982C4E"/>
    <w:rsid w:val="00982DB1"/>
    <w:rsid w:val="00983F94"/>
    <w:rsid w:val="00985051"/>
    <w:rsid w:val="0098532A"/>
    <w:rsid w:val="00985357"/>
    <w:rsid w:val="009855DE"/>
    <w:rsid w:val="00985646"/>
    <w:rsid w:val="00987057"/>
    <w:rsid w:val="009872FE"/>
    <w:rsid w:val="00987430"/>
    <w:rsid w:val="00990D5B"/>
    <w:rsid w:val="00991384"/>
    <w:rsid w:val="009916F8"/>
    <w:rsid w:val="00992A9A"/>
    <w:rsid w:val="00992AD0"/>
    <w:rsid w:val="00993E4F"/>
    <w:rsid w:val="00994A3A"/>
    <w:rsid w:val="0099513A"/>
    <w:rsid w:val="009960FF"/>
    <w:rsid w:val="0099659D"/>
    <w:rsid w:val="00997231"/>
    <w:rsid w:val="009976CD"/>
    <w:rsid w:val="00997CC7"/>
    <w:rsid w:val="009A012C"/>
    <w:rsid w:val="009A0448"/>
    <w:rsid w:val="009A0501"/>
    <w:rsid w:val="009A0CEF"/>
    <w:rsid w:val="009A1226"/>
    <w:rsid w:val="009A1641"/>
    <w:rsid w:val="009A1E0F"/>
    <w:rsid w:val="009A2476"/>
    <w:rsid w:val="009A25E7"/>
    <w:rsid w:val="009A27DA"/>
    <w:rsid w:val="009A329C"/>
    <w:rsid w:val="009A3B05"/>
    <w:rsid w:val="009A3E5E"/>
    <w:rsid w:val="009A429B"/>
    <w:rsid w:val="009A46BB"/>
    <w:rsid w:val="009A5486"/>
    <w:rsid w:val="009A556B"/>
    <w:rsid w:val="009A600B"/>
    <w:rsid w:val="009A6238"/>
    <w:rsid w:val="009A6B0D"/>
    <w:rsid w:val="009A6B32"/>
    <w:rsid w:val="009A7551"/>
    <w:rsid w:val="009A7758"/>
    <w:rsid w:val="009A7945"/>
    <w:rsid w:val="009A7A4F"/>
    <w:rsid w:val="009B059F"/>
    <w:rsid w:val="009B06C6"/>
    <w:rsid w:val="009B083A"/>
    <w:rsid w:val="009B0D16"/>
    <w:rsid w:val="009B1373"/>
    <w:rsid w:val="009B194B"/>
    <w:rsid w:val="009B1F03"/>
    <w:rsid w:val="009B1F7B"/>
    <w:rsid w:val="009B205D"/>
    <w:rsid w:val="009B211E"/>
    <w:rsid w:val="009B2855"/>
    <w:rsid w:val="009B2A39"/>
    <w:rsid w:val="009B3D2F"/>
    <w:rsid w:val="009B3E2F"/>
    <w:rsid w:val="009B43E3"/>
    <w:rsid w:val="009B44AE"/>
    <w:rsid w:val="009B47D6"/>
    <w:rsid w:val="009B4DA0"/>
    <w:rsid w:val="009B528D"/>
    <w:rsid w:val="009B5F08"/>
    <w:rsid w:val="009B5F5E"/>
    <w:rsid w:val="009B6137"/>
    <w:rsid w:val="009B6675"/>
    <w:rsid w:val="009B787E"/>
    <w:rsid w:val="009B7A0D"/>
    <w:rsid w:val="009C0F23"/>
    <w:rsid w:val="009C2715"/>
    <w:rsid w:val="009C29AB"/>
    <w:rsid w:val="009C58B2"/>
    <w:rsid w:val="009C6C49"/>
    <w:rsid w:val="009C7098"/>
    <w:rsid w:val="009C72B9"/>
    <w:rsid w:val="009D04AB"/>
    <w:rsid w:val="009D054D"/>
    <w:rsid w:val="009D0A99"/>
    <w:rsid w:val="009D0E4D"/>
    <w:rsid w:val="009D11AD"/>
    <w:rsid w:val="009D1475"/>
    <w:rsid w:val="009D23B5"/>
    <w:rsid w:val="009D3109"/>
    <w:rsid w:val="009D393D"/>
    <w:rsid w:val="009D3B40"/>
    <w:rsid w:val="009D3DA1"/>
    <w:rsid w:val="009D40A3"/>
    <w:rsid w:val="009D4656"/>
    <w:rsid w:val="009D5352"/>
    <w:rsid w:val="009D5A11"/>
    <w:rsid w:val="009D5C0A"/>
    <w:rsid w:val="009D5C95"/>
    <w:rsid w:val="009D5CC3"/>
    <w:rsid w:val="009D5E96"/>
    <w:rsid w:val="009D61A0"/>
    <w:rsid w:val="009D664B"/>
    <w:rsid w:val="009D6A1B"/>
    <w:rsid w:val="009D6D31"/>
    <w:rsid w:val="009D6E57"/>
    <w:rsid w:val="009E0D8C"/>
    <w:rsid w:val="009E3103"/>
    <w:rsid w:val="009E3255"/>
    <w:rsid w:val="009E3C53"/>
    <w:rsid w:val="009E3E5B"/>
    <w:rsid w:val="009E4037"/>
    <w:rsid w:val="009E4144"/>
    <w:rsid w:val="009E42AE"/>
    <w:rsid w:val="009E4556"/>
    <w:rsid w:val="009E47E1"/>
    <w:rsid w:val="009E48FD"/>
    <w:rsid w:val="009E4ABD"/>
    <w:rsid w:val="009E590F"/>
    <w:rsid w:val="009E62FE"/>
    <w:rsid w:val="009E65BC"/>
    <w:rsid w:val="009E660D"/>
    <w:rsid w:val="009E6B84"/>
    <w:rsid w:val="009E6C30"/>
    <w:rsid w:val="009E705C"/>
    <w:rsid w:val="009E781A"/>
    <w:rsid w:val="009E7BBA"/>
    <w:rsid w:val="009F05C6"/>
    <w:rsid w:val="009F05C7"/>
    <w:rsid w:val="009F080E"/>
    <w:rsid w:val="009F1040"/>
    <w:rsid w:val="009F1647"/>
    <w:rsid w:val="009F1BFC"/>
    <w:rsid w:val="009F226F"/>
    <w:rsid w:val="009F2585"/>
    <w:rsid w:val="009F270B"/>
    <w:rsid w:val="009F28E0"/>
    <w:rsid w:val="009F2962"/>
    <w:rsid w:val="009F2BF4"/>
    <w:rsid w:val="009F2FFE"/>
    <w:rsid w:val="009F3AA1"/>
    <w:rsid w:val="009F3D3E"/>
    <w:rsid w:val="009F3E8A"/>
    <w:rsid w:val="009F4047"/>
    <w:rsid w:val="009F44CE"/>
    <w:rsid w:val="009F4E6A"/>
    <w:rsid w:val="009F52C2"/>
    <w:rsid w:val="009F532B"/>
    <w:rsid w:val="009F555C"/>
    <w:rsid w:val="009F604F"/>
    <w:rsid w:val="009F6D65"/>
    <w:rsid w:val="009F6E6B"/>
    <w:rsid w:val="009F6E84"/>
    <w:rsid w:val="009F72A1"/>
    <w:rsid w:val="009F7487"/>
    <w:rsid w:val="009F77F9"/>
    <w:rsid w:val="009F7858"/>
    <w:rsid w:val="00A00222"/>
    <w:rsid w:val="00A0082F"/>
    <w:rsid w:val="00A016E7"/>
    <w:rsid w:val="00A0197B"/>
    <w:rsid w:val="00A01FC8"/>
    <w:rsid w:val="00A020F8"/>
    <w:rsid w:val="00A023C1"/>
    <w:rsid w:val="00A0299F"/>
    <w:rsid w:val="00A02C61"/>
    <w:rsid w:val="00A02C85"/>
    <w:rsid w:val="00A02CA7"/>
    <w:rsid w:val="00A02E97"/>
    <w:rsid w:val="00A03200"/>
    <w:rsid w:val="00A032E8"/>
    <w:rsid w:val="00A038F6"/>
    <w:rsid w:val="00A03D97"/>
    <w:rsid w:val="00A03EF3"/>
    <w:rsid w:val="00A04B0E"/>
    <w:rsid w:val="00A051D9"/>
    <w:rsid w:val="00A05E72"/>
    <w:rsid w:val="00A05EB7"/>
    <w:rsid w:val="00A06002"/>
    <w:rsid w:val="00A06665"/>
    <w:rsid w:val="00A06E01"/>
    <w:rsid w:val="00A07494"/>
    <w:rsid w:val="00A10458"/>
    <w:rsid w:val="00A1055F"/>
    <w:rsid w:val="00A10CC3"/>
    <w:rsid w:val="00A122E9"/>
    <w:rsid w:val="00A123E6"/>
    <w:rsid w:val="00A12CFC"/>
    <w:rsid w:val="00A12D4E"/>
    <w:rsid w:val="00A14176"/>
    <w:rsid w:val="00A14E67"/>
    <w:rsid w:val="00A14F49"/>
    <w:rsid w:val="00A1530A"/>
    <w:rsid w:val="00A1562F"/>
    <w:rsid w:val="00A15B45"/>
    <w:rsid w:val="00A15C40"/>
    <w:rsid w:val="00A15C5D"/>
    <w:rsid w:val="00A161AE"/>
    <w:rsid w:val="00A1624B"/>
    <w:rsid w:val="00A16356"/>
    <w:rsid w:val="00A174A2"/>
    <w:rsid w:val="00A200FB"/>
    <w:rsid w:val="00A20B22"/>
    <w:rsid w:val="00A20BF0"/>
    <w:rsid w:val="00A20C17"/>
    <w:rsid w:val="00A211F3"/>
    <w:rsid w:val="00A21BD3"/>
    <w:rsid w:val="00A21DC4"/>
    <w:rsid w:val="00A21DF9"/>
    <w:rsid w:val="00A21EB1"/>
    <w:rsid w:val="00A22351"/>
    <w:rsid w:val="00A2276B"/>
    <w:rsid w:val="00A22C63"/>
    <w:rsid w:val="00A22C9E"/>
    <w:rsid w:val="00A24952"/>
    <w:rsid w:val="00A24B6E"/>
    <w:rsid w:val="00A24C13"/>
    <w:rsid w:val="00A25770"/>
    <w:rsid w:val="00A25B46"/>
    <w:rsid w:val="00A25E11"/>
    <w:rsid w:val="00A25FA8"/>
    <w:rsid w:val="00A26861"/>
    <w:rsid w:val="00A26E43"/>
    <w:rsid w:val="00A30198"/>
    <w:rsid w:val="00A3023E"/>
    <w:rsid w:val="00A30B37"/>
    <w:rsid w:val="00A312DE"/>
    <w:rsid w:val="00A31390"/>
    <w:rsid w:val="00A329DC"/>
    <w:rsid w:val="00A33597"/>
    <w:rsid w:val="00A33EAD"/>
    <w:rsid w:val="00A33EC4"/>
    <w:rsid w:val="00A34278"/>
    <w:rsid w:val="00A34CA5"/>
    <w:rsid w:val="00A34D7D"/>
    <w:rsid w:val="00A350BE"/>
    <w:rsid w:val="00A352A4"/>
    <w:rsid w:val="00A35BBA"/>
    <w:rsid w:val="00A35BE4"/>
    <w:rsid w:val="00A35CDE"/>
    <w:rsid w:val="00A35D6C"/>
    <w:rsid w:val="00A367B3"/>
    <w:rsid w:val="00A36D3D"/>
    <w:rsid w:val="00A36EE3"/>
    <w:rsid w:val="00A3792A"/>
    <w:rsid w:val="00A37B4B"/>
    <w:rsid w:val="00A37D9A"/>
    <w:rsid w:val="00A40C0E"/>
    <w:rsid w:val="00A40D64"/>
    <w:rsid w:val="00A4126C"/>
    <w:rsid w:val="00A4164C"/>
    <w:rsid w:val="00A41E3D"/>
    <w:rsid w:val="00A4232E"/>
    <w:rsid w:val="00A424D5"/>
    <w:rsid w:val="00A42CB9"/>
    <w:rsid w:val="00A42E82"/>
    <w:rsid w:val="00A43138"/>
    <w:rsid w:val="00A43D9C"/>
    <w:rsid w:val="00A44895"/>
    <w:rsid w:val="00A448EA"/>
    <w:rsid w:val="00A45319"/>
    <w:rsid w:val="00A45369"/>
    <w:rsid w:val="00A45E7E"/>
    <w:rsid w:val="00A4617C"/>
    <w:rsid w:val="00A4692D"/>
    <w:rsid w:val="00A46E56"/>
    <w:rsid w:val="00A4711F"/>
    <w:rsid w:val="00A50450"/>
    <w:rsid w:val="00A5080D"/>
    <w:rsid w:val="00A5129F"/>
    <w:rsid w:val="00A51995"/>
    <w:rsid w:val="00A51B1C"/>
    <w:rsid w:val="00A52283"/>
    <w:rsid w:val="00A527E9"/>
    <w:rsid w:val="00A52FB2"/>
    <w:rsid w:val="00A533D1"/>
    <w:rsid w:val="00A53D1F"/>
    <w:rsid w:val="00A54647"/>
    <w:rsid w:val="00A54B1C"/>
    <w:rsid w:val="00A54BE4"/>
    <w:rsid w:val="00A55068"/>
    <w:rsid w:val="00A558F2"/>
    <w:rsid w:val="00A55B13"/>
    <w:rsid w:val="00A55B14"/>
    <w:rsid w:val="00A55E85"/>
    <w:rsid w:val="00A55F9C"/>
    <w:rsid w:val="00A56919"/>
    <w:rsid w:val="00A56950"/>
    <w:rsid w:val="00A56B4F"/>
    <w:rsid w:val="00A57008"/>
    <w:rsid w:val="00A576DD"/>
    <w:rsid w:val="00A57AD9"/>
    <w:rsid w:val="00A6008C"/>
    <w:rsid w:val="00A60217"/>
    <w:rsid w:val="00A60337"/>
    <w:rsid w:val="00A6064A"/>
    <w:rsid w:val="00A60DC0"/>
    <w:rsid w:val="00A61219"/>
    <w:rsid w:val="00A61714"/>
    <w:rsid w:val="00A63FAA"/>
    <w:rsid w:val="00A642F4"/>
    <w:rsid w:val="00A64998"/>
    <w:rsid w:val="00A64ABC"/>
    <w:rsid w:val="00A65884"/>
    <w:rsid w:val="00A66BD6"/>
    <w:rsid w:val="00A67077"/>
    <w:rsid w:val="00A677C2"/>
    <w:rsid w:val="00A67863"/>
    <w:rsid w:val="00A70D15"/>
    <w:rsid w:val="00A70E36"/>
    <w:rsid w:val="00A70E45"/>
    <w:rsid w:val="00A70EBB"/>
    <w:rsid w:val="00A717ED"/>
    <w:rsid w:val="00A717F3"/>
    <w:rsid w:val="00A719F4"/>
    <w:rsid w:val="00A724BE"/>
    <w:rsid w:val="00A72753"/>
    <w:rsid w:val="00A728E7"/>
    <w:rsid w:val="00A72DAE"/>
    <w:rsid w:val="00A73C0D"/>
    <w:rsid w:val="00A73F9B"/>
    <w:rsid w:val="00A7463C"/>
    <w:rsid w:val="00A751B5"/>
    <w:rsid w:val="00A7562E"/>
    <w:rsid w:val="00A75AF9"/>
    <w:rsid w:val="00A76153"/>
    <w:rsid w:val="00A7627D"/>
    <w:rsid w:val="00A764E8"/>
    <w:rsid w:val="00A76EB4"/>
    <w:rsid w:val="00A76F4D"/>
    <w:rsid w:val="00A76F52"/>
    <w:rsid w:val="00A77CD6"/>
    <w:rsid w:val="00A80481"/>
    <w:rsid w:val="00A807B9"/>
    <w:rsid w:val="00A80845"/>
    <w:rsid w:val="00A80D63"/>
    <w:rsid w:val="00A80F8E"/>
    <w:rsid w:val="00A811EC"/>
    <w:rsid w:val="00A811F2"/>
    <w:rsid w:val="00A812A6"/>
    <w:rsid w:val="00A81416"/>
    <w:rsid w:val="00A82AE8"/>
    <w:rsid w:val="00A82B16"/>
    <w:rsid w:val="00A83568"/>
    <w:rsid w:val="00A83A11"/>
    <w:rsid w:val="00A83ADD"/>
    <w:rsid w:val="00A83C58"/>
    <w:rsid w:val="00A84B58"/>
    <w:rsid w:val="00A84BA0"/>
    <w:rsid w:val="00A84E73"/>
    <w:rsid w:val="00A855A9"/>
    <w:rsid w:val="00A8574F"/>
    <w:rsid w:val="00A85FCC"/>
    <w:rsid w:val="00A865AA"/>
    <w:rsid w:val="00A86830"/>
    <w:rsid w:val="00A86C94"/>
    <w:rsid w:val="00A86EE9"/>
    <w:rsid w:val="00A8734D"/>
    <w:rsid w:val="00A90071"/>
    <w:rsid w:val="00A90373"/>
    <w:rsid w:val="00A90467"/>
    <w:rsid w:val="00A90507"/>
    <w:rsid w:val="00A90725"/>
    <w:rsid w:val="00A9075D"/>
    <w:rsid w:val="00A92103"/>
    <w:rsid w:val="00A928B6"/>
    <w:rsid w:val="00A94999"/>
    <w:rsid w:val="00A95118"/>
    <w:rsid w:val="00A95280"/>
    <w:rsid w:val="00A955EB"/>
    <w:rsid w:val="00A95DAA"/>
    <w:rsid w:val="00A964D2"/>
    <w:rsid w:val="00A96894"/>
    <w:rsid w:val="00A96BA2"/>
    <w:rsid w:val="00A97217"/>
    <w:rsid w:val="00A97A0B"/>
    <w:rsid w:val="00AA0011"/>
    <w:rsid w:val="00AA0430"/>
    <w:rsid w:val="00AA0467"/>
    <w:rsid w:val="00AA077F"/>
    <w:rsid w:val="00AA1020"/>
    <w:rsid w:val="00AA1AFD"/>
    <w:rsid w:val="00AA2CD4"/>
    <w:rsid w:val="00AA342B"/>
    <w:rsid w:val="00AA3690"/>
    <w:rsid w:val="00AA3B0A"/>
    <w:rsid w:val="00AA3D76"/>
    <w:rsid w:val="00AA4094"/>
    <w:rsid w:val="00AA447B"/>
    <w:rsid w:val="00AA471E"/>
    <w:rsid w:val="00AA4911"/>
    <w:rsid w:val="00AA4AD5"/>
    <w:rsid w:val="00AA5420"/>
    <w:rsid w:val="00AA5593"/>
    <w:rsid w:val="00AA56D6"/>
    <w:rsid w:val="00AA6149"/>
    <w:rsid w:val="00AA68FA"/>
    <w:rsid w:val="00AA6D32"/>
    <w:rsid w:val="00AA6DC3"/>
    <w:rsid w:val="00AA763F"/>
    <w:rsid w:val="00AA848D"/>
    <w:rsid w:val="00AB10C9"/>
    <w:rsid w:val="00AB13B9"/>
    <w:rsid w:val="00AB16D6"/>
    <w:rsid w:val="00AB3368"/>
    <w:rsid w:val="00AB3564"/>
    <w:rsid w:val="00AB37C6"/>
    <w:rsid w:val="00AB3EFD"/>
    <w:rsid w:val="00AB41FC"/>
    <w:rsid w:val="00AB4535"/>
    <w:rsid w:val="00AB52C1"/>
    <w:rsid w:val="00AB549C"/>
    <w:rsid w:val="00AB5ACE"/>
    <w:rsid w:val="00AB5BFA"/>
    <w:rsid w:val="00AB6F14"/>
    <w:rsid w:val="00AB76FD"/>
    <w:rsid w:val="00AB7AA7"/>
    <w:rsid w:val="00AB7E27"/>
    <w:rsid w:val="00AB7ECC"/>
    <w:rsid w:val="00AC0414"/>
    <w:rsid w:val="00AC0518"/>
    <w:rsid w:val="00AC087E"/>
    <w:rsid w:val="00AC0E09"/>
    <w:rsid w:val="00AC1377"/>
    <w:rsid w:val="00AC1679"/>
    <w:rsid w:val="00AC175F"/>
    <w:rsid w:val="00AC1B8D"/>
    <w:rsid w:val="00AC1D66"/>
    <w:rsid w:val="00AC234F"/>
    <w:rsid w:val="00AC23FC"/>
    <w:rsid w:val="00AC24C2"/>
    <w:rsid w:val="00AC28AC"/>
    <w:rsid w:val="00AC2D6B"/>
    <w:rsid w:val="00AC33CB"/>
    <w:rsid w:val="00AC3639"/>
    <w:rsid w:val="00AC3CEC"/>
    <w:rsid w:val="00AC3DA6"/>
    <w:rsid w:val="00AC468A"/>
    <w:rsid w:val="00AC4EFD"/>
    <w:rsid w:val="00AC4F7B"/>
    <w:rsid w:val="00AC5057"/>
    <w:rsid w:val="00AC55F3"/>
    <w:rsid w:val="00AC5954"/>
    <w:rsid w:val="00AC5EB5"/>
    <w:rsid w:val="00AC61E3"/>
    <w:rsid w:val="00AC648E"/>
    <w:rsid w:val="00AC68DB"/>
    <w:rsid w:val="00AC70E4"/>
    <w:rsid w:val="00AC71AD"/>
    <w:rsid w:val="00AC776C"/>
    <w:rsid w:val="00AC7B94"/>
    <w:rsid w:val="00AD0C7B"/>
    <w:rsid w:val="00AD0D1B"/>
    <w:rsid w:val="00AD19D1"/>
    <w:rsid w:val="00AD1AE8"/>
    <w:rsid w:val="00AD1FD4"/>
    <w:rsid w:val="00AD26A1"/>
    <w:rsid w:val="00AD27B9"/>
    <w:rsid w:val="00AD2A1C"/>
    <w:rsid w:val="00AD2AA1"/>
    <w:rsid w:val="00AD2D90"/>
    <w:rsid w:val="00AD2DE4"/>
    <w:rsid w:val="00AD3245"/>
    <w:rsid w:val="00AD4C05"/>
    <w:rsid w:val="00AD4D86"/>
    <w:rsid w:val="00AD5D91"/>
    <w:rsid w:val="00AD5EE4"/>
    <w:rsid w:val="00AD6093"/>
    <w:rsid w:val="00AD631E"/>
    <w:rsid w:val="00AD6352"/>
    <w:rsid w:val="00AD68FB"/>
    <w:rsid w:val="00AD6B5C"/>
    <w:rsid w:val="00AD724D"/>
    <w:rsid w:val="00AD757D"/>
    <w:rsid w:val="00AD75EB"/>
    <w:rsid w:val="00AD7614"/>
    <w:rsid w:val="00AE01E8"/>
    <w:rsid w:val="00AE069F"/>
    <w:rsid w:val="00AE0D01"/>
    <w:rsid w:val="00AE1342"/>
    <w:rsid w:val="00AE16C2"/>
    <w:rsid w:val="00AE16E2"/>
    <w:rsid w:val="00AE176D"/>
    <w:rsid w:val="00AE2EB2"/>
    <w:rsid w:val="00AE370D"/>
    <w:rsid w:val="00AE37B5"/>
    <w:rsid w:val="00AE3A61"/>
    <w:rsid w:val="00AE3B7F"/>
    <w:rsid w:val="00AE43BA"/>
    <w:rsid w:val="00AE48D8"/>
    <w:rsid w:val="00AE4ACA"/>
    <w:rsid w:val="00AE5AFB"/>
    <w:rsid w:val="00AE5CF7"/>
    <w:rsid w:val="00AE62D9"/>
    <w:rsid w:val="00AE6797"/>
    <w:rsid w:val="00AE6C07"/>
    <w:rsid w:val="00AE6EDC"/>
    <w:rsid w:val="00AE6F72"/>
    <w:rsid w:val="00AE7538"/>
    <w:rsid w:val="00AE7762"/>
    <w:rsid w:val="00AE791B"/>
    <w:rsid w:val="00AE7AC1"/>
    <w:rsid w:val="00AE7C73"/>
    <w:rsid w:val="00AE7DA6"/>
    <w:rsid w:val="00AE7DC1"/>
    <w:rsid w:val="00AF070D"/>
    <w:rsid w:val="00AF0965"/>
    <w:rsid w:val="00AF0B6F"/>
    <w:rsid w:val="00AF0BDD"/>
    <w:rsid w:val="00AF12FD"/>
    <w:rsid w:val="00AF28BF"/>
    <w:rsid w:val="00AF2EBD"/>
    <w:rsid w:val="00AF304A"/>
    <w:rsid w:val="00AF33E4"/>
    <w:rsid w:val="00AF345B"/>
    <w:rsid w:val="00AF3483"/>
    <w:rsid w:val="00AF382B"/>
    <w:rsid w:val="00AF43F9"/>
    <w:rsid w:val="00AF4412"/>
    <w:rsid w:val="00AF4BB0"/>
    <w:rsid w:val="00AF4E89"/>
    <w:rsid w:val="00AF5455"/>
    <w:rsid w:val="00AF5809"/>
    <w:rsid w:val="00AF5D40"/>
    <w:rsid w:val="00AF635C"/>
    <w:rsid w:val="00AF67C1"/>
    <w:rsid w:val="00AF6D73"/>
    <w:rsid w:val="00AF7162"/>
    <w:rsid w:val="00AF762D"/>
    <w:rsid w:val="00AF7CC8"/>
    <w:rsid w:val="00B0042F"/>
    <w:rsid w:val="00B00FDC"/>
    <w:rsid w:val="00B010EA"/>
    <w:rsid w:val="00B013F7"/>
    <w:rsid w:val="00B013FA"/>
    <w:rsid w:val="00B01578"/>
    <w:rsid w:val="00B029A5"/>
    <w:rsid w:val="00B029A7"/>
    <w:rsid w:val="00B03079"/>
    <w:rsid w:val="00B031A4"/>
    <w:rsid w:val="00B03960"/>
    <w:rsid w:val="00B03BA1"/>
    <w:rsid w:val="00B04D8D"/>
    <w:rsid w:val="00B053A5"/>
    <w:rsid w:val="00B05D9F"/>
    <w:rsid w:val="00B05F4F"/>
    <w:rsid w:val="00B0659F"/>
    <w:rsid w:val="00B075AF"/>
    <w:rsid w:val="00B07995"/>
    <w:rsid w:val="00B106D2"/>
    <w:rsid w:val="00B112E9"/>
    <w:rsid w:val="00B11F04"/>
    <w:rsid w:val="00B12675"/>
    <w:rsid w:val="00B12AB9"/>
    <w:rsid w:val="00B12B44"/>
    <w:rsid w:val="00B12E32"/>
    <w:rsid w:val="00B12E4C"/>
    <w:rsid w:val="00B13A39"/>
    <w:rsid w:val="00B13C09"/>
    <w:rsid w:val="00B13D24"/>
    <w:rsid w:val="00B145E6"/>
    <w:rsid w:val="00B16AA5"/>
    <w:rsid w:val="00B1743A"/>
    <w:rsid w:val="00B17B88"/>
    <w:rsid w:val="00B17E54"/>
    <w:rsid w:val="00B17F23"/>
    <w:rsid w:val="00B17FC0"/>
    <w:rsid w:val="00B2024E"/>
    <w:rsid w:val="00B20298"/>
    <w:rsid w:val="00B203B1"/>
    <w:rsid w:val="00B2091A"/>
    <w:rsid w:val="00B2126A"/>
    <w:rsid w:val="00B212D2"/>
    <w:rsid w:val="00B2150E"/>
    <w:rsid w:val="00B2192D"/>
    <w:rsid w:val="00B21E8F"/>
    <w:rsid w:val="00B22564"/>
    <w:rsid w:val="00B23256"/>
    <w:rsid w:val="00B233E1"/>
    <w:rsid w:val="00B23E4B"/>
    <w:rsid w:val="00B24D84"/>
    <w:rsid w:val="00B25789"/>
    <w:rsid w:val="00B257A4"/>
    <w:rsid w:val="00B26D5B"/>
    <w:rsid w:val="00B27630"/>
    <w:rsid w:val="00B27B85"/>
    <w:rsid w:val="00B304A3"/>
    <w:rsid w:val="00B3068B"/>
    <w:rsid w:val="00B30795"/>
    <w:rsid w:val="00B3089D"/>
    <w:rsid w:val="00B30CA0"/>
    <w:rsid w:val="00B30DA8"/>
    <w:rsid w:val="00B30DD0"/>
    <w:rsid w:val="00B30DDF"/>
    <w:rsid w:val="00B31276"/>
    <w:rsid w:val="00B31383"/>
    <w:rsid w:val="00B3138D"/>
    <w:rsid w:val="00B3146F"/>
    <w:rsid w:val="00B314A2"/>
    <w:rsid w:val="00B327E5"/>
    <w:rsid w:val="00B32927"/>
    <w:rsid w:val="00B32954"/>
    <w:rsid w:val="00B33381"/>
    <w:rsid w:val="00B3368E"/>
    <w:rsid w:val="00B33D95"/>
    <w:rsid w:val="00B3493F"/>
    <w:rsid w:val="00B34943"/>
    <w:rsid w:val="00B35155"/>
    <w:rsid w:val="00B353EA"/>
    <w:rsid w:val="00B3584E"/>
    <w:rsid w:val="00B360EA"/>
    <w:rsid w:val="00B36339"/>
    <w:rsid w:val="00B36D58"/>
    <w:rsid w:val="00B3748D"/>
    <w:rsid w:val="00B3752A"/>
    <w:rsid w:val="00B3765B"/>
    <w:rsid w:val="00B377C3"/>
    <w:rsid w:val="00B378E4"/>
    <w:rsid w:val="00B37AF3"/>
    <w:rsid w:val="00B37BC6"/>
    <w:rsid w:val="00B37F87"/>
    <w:rsid w:val="00B40077"/>
    <w:rsid w:val="00B4072C"/>
    <w:rsid w:val="00B40B54"/>
    <w:rsid w:val="00B4126B"/>
    <w:rsid w:val="00B41356"/>
    <w:rsid w:val="00B41C87"/>
    <w:rsid w:val="00B42281"/>
    <w:rsid w:val="00B423A1"/>
    <w:rsid w:val="00B42E85"/>
    <w:rsid w:val="00B431A7"/>
    <w:rsid w:val="00B438B9"/>
    <w:rsid w:val="00B452C4"/>
    <w:rsid w:val="00B45844"/>
    <w:rsid w:val="00B45EE0"/>
    <w:rsid w:val="00B4657E"/>
    <w:rsid w:val="00B46BAB"/>
    <w:rsid w:val="00B473C2"/>
    <w:rsid w:val="00B47811"/>
    <w:rsid w:val="00B479DA"/>
    <w:rsid w:val="00B47FE4"/>
    <w:rsid w:val="00B50F67"/>
    <w:rsid w:val="00B517D7"/>
    <w:rsid w:val="00B51B6F"/>
    <w:rsid w:val="00B51F26"/>
    <w:rsid w:val="00B52244"/>
    <w:rsid w:val="00B52618"/>
    <w:rsid w:val="00B53067"/>
    <w:rsid w:val="00B530C9"/>
    <w:rsid w:val="00B53F72"/>
    <w:rsid w:val="00B54956"/>
    <w:rsid w:val="00B55253"/>
    <w:rsid w:val="00B55707"/>
    <w:rsid w:val="00B55C1E"/>
    <w:rsid w:val="00B55C70"/>
    <w:rsid w:val="00B55CC0"/>
    <w:rsid w:val="00B55D4B"/>
    <w:rsid w:val="00B5637F"/>
    <w:rsid w:val="00B5669C"/>
    <w:rsid w:val="00B57618"/>
    <w:rsid w:val="00B6069D"/>
    <w:rsid w:val="00B60889"/>
    <w:rsid w:val="00B60E0A"/>
    <w:rsid w:val="00B61408"/>
    <w:rsid w:val="00B614C8"/>
    <w:rsid w:val="00B62493"/>
    <w:rsid w:val="00B637D0"/>
    <w:rsid w:val="00B63920"/>
    <w:rsid w:val="00B639E3"/>
    <w:rsid w:val="00B63F8D"/>
    <w:rsid w:val="00B6412C"/>
    <w:rsid w:val="00B6425D"/>
    <w:rsid w:val="00B642E8"/>
    <w:rsid w:val="00B6495A"/>
    <w:rsid w:val="00B64F4E"/>
    <w:rsid w:val="00B6558C"/>
    <w:rsid w:val="00B66347"/>
    <w:rsid w:val="00B676D3"/>
    <w:rsid w:val="00B6777A"/>
    <w:rsid w:val="00B67E6E"/>
    <w:rsid w:val="00B70672"/>
    <w:rsid w:val="00B70B59"/>
    <w:rsid w:val="00B7123C"/>
    <w:rsid w:val="00B713F0"/>
    <w:rsid w:val="00B71965"/>
    <w:rsid w:val="00B720B4"/>
    <w:rsid w:val="00B726F6"/>
    <w:rsid w:val="00B72765"/>
    <w:rsid w:val="00B72A18"/>
    <w:rsid w:val="00B72E9C"/>
    <w:rsid w:val="00B72E9F"/>
    <w:rsid w:val="00B72F0E"/>
    <w:rsid w:val="00B735F3"/>
    <w:rsid w:val="00B738DA"/>
    <w:rsid w:val="00B73C44"/>
    <w:rsid w:val="00B740B5"/>
    <w:rsid w:val="00B74CBE"/>
    <w:rsid w:val="00B7552F"/>
    <w:rsid w:val="00B763B5"/>
    <w:rsid w:val="00B7684F"/>
    <w:rsid w:val="00B7767F"/>
    <w:rsid w:val="00B77786"/>
    <w:rsid w:val="00B800A4"/>
    <w:rsid w:val="00B80444"/>
    <w:rsid w:val="00B80CA0"/>
    <w:rsid w:val="00B80E41"/>
    <w:rsid w:val="00B81A53"/>
    <w:rsid w:val="00B81BF6"/>
    <w:rsid w:val="00B8244F"/>
    <w:rsid w:val="00B82CE9"/>
    <w:rsid w:val="00B82D37"/>
    <w:rsid w:val="00B82F1D"/>
    <w:rsid w:val="00B83AE9"/>
    <w:rsid w:val="00B8455A"/>
    <w:rsid w:val="00B84789"/>
    <w:rsid w:val="00B8497A"/>
    <w:rsid w:val="00B849F5"/>
    <w:rsid w:val="00B84E29"/>
    <w:rsid w:val="00B850B5"/>
    <w:rsid w:val="00B8584B"/>
    <w:rsid w:val="00B864CE"/>
    <w:rsid w:val="00B86671"/>
    <w:rsid w:val="00B86802"/>
    <w:rsid w:val="00B8692E"/>
    <w:rsid w:val="00B86F90"/>
    <w:rsid w:val="00B87153"/>
    <w:rsid w:val="00B87348"/>
    <w:rsid w:val="00B8743D"/>
    <w:rsid w:val="00B87FB4"/>
    <w:rsid w:val="00B902B3"/>
    <w:rsid w:val="00B907FF"/>
    <w:rsid w:val="00B90FE5"/>
    <w:rsid w:val="00B911E0"/>
    <w:rsid w:val="00B914AF"/>
    <w:rsid w:val="00B91C4E"/>
    <w:rsid w:val="00B91EA6"/>
    <w:rsid w:val="00B92135"/>
    <w:rsid w:val="00B923A3"/>
    <w:rsid w:val="00B925A2"/>
    <w:rsid w:val="00B92BC7"/>
    <w:rsid w:val="00B930DD"/>
    <w:rsid w:val="00B933A9"/>
    <w:rsid w:val="00B938EB"/>
    <w:rsid w:val="00B93AB2"/>
    <w:rsid w:val="00B93FF8"/>
    <w:rsid w:val="00B94CB4"/>
    <w:rsid w:val="00B94E49"/>
    <w:rsid w:val="00B95124"/>
    <w:rsid w:val="00B95522"/>
    <w:rsid w:val="00B95EE9"/>
    <w:rsid w:val="00B96584"/>
    <w:rsid w:val="00B96E15"/>
    <w:rsid w:val="00BA0528"/>
    <w:rsid w:val="00BA0772"/>
    <w:rsid w:val="00BA086A"/>
    <w:rsid w:val="00BA130A"/>
    <w:rsid w:val="00BA1B55"/>
    <w:rsid w:val="00BA2438"/>
    <w:rsid w:val="00BA29F6"/>
    <w:rsid w:val="00BA2C51"/>
    <w:rsid w:val="00BA2DA7"/>
    <w:rsid w:val="00BA4124"/>
    <w:rsid w:val="00BA4C2F"/>
    <w:rsid w:val="00BA4ECA"/>
    <w:rsid w:val="00BA51E1"/>
    <w:rsid w:val="00BA5DDC"/>
    <w:rsid w:val="00BA5E83"/>
    <w:rsid w:val="00BA60D5"/>
    <w:rsid w:val="00BA611D"/>
    <w:rsid w:val="00BA61BD"/>
    <w:rsid w:val="00BA67FB"/>
    <w:rsid w:val="00BA6881"/>
    <w:rsid w:val="00BA6952"/>
    <w:rsid w:val="00BA6A88"/>
    <w:rsid w:val="00BA73BD"/>
    <w:rsid w:val="00BA74E9"/>
    <w:rsid w:val="00BA7A83"/>
    <w:rsid w:val="00BA7A88"/>
    <w:rsid w:val="00BA7E59"/>
    <w:rsid w:val="00BB09F6"/>
    <w:rsid w:val="00BB0B80"/>
    <w:rsid w:val="00BB102C"/>
    <w:rsid w:val="00BB117C"/>
    <w:rsid w:val="00BB2144"/>
    <w:rsid w:val="00BB2B81"/>
    <w:rsid w:val="00BB2F50"/>
    <w:rsid w:val="00BB303F"/>
    <w:rsid w:val="00BB3FDD"/>
    <w:rsid w:val="00BB430B"/>
    <w:rsid w:val="00BB46FB"/>
    <w:rsid w:val="00BB49BD"/>
    <w:rsid w:val="00BB4B62"/>
    <w:rsid w:val="00BB5000"/>
    <w:rsid w:val="00BB5252"/>
    <w:rsid w:val="00BB5AB6"/>
    <w:rsid w:val="00BB5AFB"/>
    <w:rsid w:val="00BB60A7"/>
    <w:rsid w:val="00BB6341"/>
    <w:rsid w:val="00BB67B9"/>
    <w:rsid w:val="00BB6B22"/>
    <w:rsid w:val="00BB6DB5"/>
    <w:rsid w:val="00BB7129"/>
    <w:rsid w:val="00BB73CF"/>
    <w:rsid w:val="00BB7CDC"/>
    <w:rsid w:val="00BC12A2"/>
    <w:rsid w:val="00BC1471"/>
    <w:rsid w:val="00BC20BB"/>
    <w:rsid w:val="00BC22EC"/>
    <w:rsid w:val="00BC27A3"/>
    <w:rsid w:val="00BC2974"/>
    <w:rsid w:val="00BC3D0D"/>
    <w:rsid w:val="00BC425A"/>
    <w:rsid w:val="00BC467D"/>
    <w:rsid w:val="00BC4B23"/>
    <w:rsid w:val="00BC524E"/>
    <w:rsid w:val="00BC543D"/>
    <w:rsid w:val="00BC5C2D"/>
    <w:rsid w:val="00BC5E64"/>
    <w:rsid w:val="00BC6CB1"/>
    <w:rsid w:val="00BC6FA6"/>
    <w:rsid w:val="00BC71EF"/>
    <w:rsid w:val="00BD002A"/>
    <w:rsid w:val="00BD115A"/>
    <w:rsid w:val="00BD1504"/>
    <w:rsid w:val="00BD173F"/>
    <w:rsid w:val="00BD240E"/>
    <w:rsid w:val="00BD28EE"/>
    <w:rsid w:val="00BD2A9C"/>
    <w:rsid w:val="00BD38E0"/>
    <w:rsid w:val="00BD3F47"/>
    <w:rsid w:val="00BD456D"/>
    <w:rsid w:val="00BD4979"/>
    <w:rsid w:val="00BD4E1F"/>
    <w:rsid w:val="00BD5092"/>
    <w:rsid w:val="00BD533D"/>
    <w:rsid w:val="00BD6284"/>
    <w:rsid w:val="00BD629C"/>
    <w:rsid w:val="00BD667F"/>
    <w:rsid w:val="00BD669D"/>
    <w:rsid w:val="00BD6C52"/>
    <w:rsid w:val="00BD6CF5"/>
    <w:rsid w:val="00BD7F3F"/>
    <w:rsid w:val="00BE0523"/>
    <w:rsid w:val="00BE08C2"/>
    <w:rsid w:val="00BE1144"/>
    <w:rsid w:val="00BE12D9"/>
    <w:rsid w:val="00BE2267"/>
    <w:rsid w:val="00BE236A"/>
    <w:rsid w:val="00BE2720"/>
    <w:rsid w:val="00BE28E9"/>
    <w:rsid w:val="00BE3043"/>
    <w:rsid w:val="00BE3443"/>
    <w:rsid w:val="00BE35B0"/>
    <w:rsid w:val="00BE45D5"/>
    <w:rsid w:val="00BE45F1"/>
    <w:rsid w:val="00BE49C1"/>
    <w:rsid w:val="00BE4E64"/>
    <w:rsid w:val="00BE502E"/>
    <w:rsid w:val="00BE5E6A"/>
    <w:rsid w:val="00BE6440"/>
    <w:rsid w:val="00BE6B8A"/>
    <w:rsid w:val="00BE6BA1"/>
    <w:rsid w:val="00BE6D53"/>
    <w:rsid w:val="00BE6DBE"/>
    <w:rsid w:val="00BE70AE"/>
    <w:rsid w:val="00BE7418"/>
    <w:rsid w:val="00BE7BFC"/>
    <w:rsid w:val="00BE7E26"/>
    <w:rsid w:val="00BF0161"/>
    <w:rsid w:val="00BF0FDF"/>
    <w:rsid w:val="00BF11FC"/>
    <w:rsid w:val="00BF145B"/>
    <w:rsid w:val="00BF1948"/>
    <w:rsid w:val="00BF1C33"/>
    <w:rsid w:val="00BF27C2"/>
    <w:rsid w:val="00BF2B08"/>
    <w:rsid w:val="00BF2C47"/>
    <w:rsid w:val="00BF2C79"/>
    <w:rsid w:val="00BF30D7"/>
    <w:rsid w:val="00BF3552"/>
    <w:rsid w:val="00BF39CC"/>
    <w:rsid w:val="00BF39D0"/>
    <w:rsid w:val="00BF3E9A"/>
    <w:rsid w:val="00BF4069"/>
    <w:rsid w:val="00BF4DC4"/>
    <w:rsid w:val="00BF5142"/>
    <w:rsid w:val="00BF5992"/>
    <w:rsid w:val="00BF5AA8"/>
    <w:rsid w:val="00BF5F95"/>
    <w:rsid w:val="00BF63CB"/>
    <w:rsid w:val="00BF65AD"/>
    <w:rsid w:val="00BF680F"/>
    <w:rsid w:val="00BF6C31"/>
    <w:rsid w:val="00BF6C87"/>
    <w:rsid w:val="00BF6DFE"/>
    <w:rsid w:val="00BF6E13"/>
    <w:rsid w:val="00BF70C7"/>
    <w:rsid w:val="00BF7A19"/>
    <w:rsid w:val="00BF7BA1"/>
    <w:rsid w:val="00BF7E1F"/>
    <w:rsid w:val="00BFF7E3"/>
    <w:rsid w:val="00C00066"/>
    <w:rsid w:val="00C00136"/>
    <w:rsid w:val="00C00900"/>
    <w:rsid w:val="00C01DCF"/>
    <w:rsid w:val="00C0258A"/>
    <w:rsid w:val="00C02717"/>
    <w:rsid w:val="00C0292E"/>
    <w:rsid w:val="00C02A26"/>
    <w:rsid w:val="00C02FA7"/>
    <w:rsid w:val="00C037CD"/>
    <w:rsid w:val="00C039DC"/>
    <w:rsid w:val="00C03A69"/>
    <w:rsid w:val="00C03EE0"/>
    <w:rsid w:val="00C0443E"/>
    <w:rsid w:val="00C044DA"/>
    <w:rsid w:val="00C047E1"/>
    <w:rsid w:val="00C04B1F"/>
    <w:rsid w:val="00C04D28"/>
    <w:rsid w:val="00C04FA7"/>
    <w:rsid w:val="00C0503B"/>
    <w:rsid w:val="00C05BBE"/>
    <w:rsid w:val="00C065D4"/>
    <w:rsid w:val="00C0738F"/>
    <w:rsid w:val="00C078F2"/>
    <w:rsid w:val="00C10064"/>
    <w:rsid w:val="00C100A2"/>
    <w:rsid w:val="00C1072F"/>
    <w:rsid w:val="00C108C3"/>
    <w:rsid w:val="00C11C79"/>
    <w:rsid w:val="00C122F7"/>
    <w:rsid w:val="00C123C4"/>
    <w:rsid w:val="00C12676"/>
    <w:rsid w:val="00C13134"/>
    <w:rsid w:val="00C13AF6"/>
    <w:rsid w:val="00C13C17"/>
    <w:rsid w:val="00C13CD7"/>
    <w:rsid w:val="00C13E33"/>
    <w:rsid w:val="00C142DD"/>
    <w:rsid w:val="00C151D7"/>
    <w:rsid w:val="00C15929"/>
    <w:rsid w:val="00C15F4D"/>
    <w:rsid w:val="00C16731"/>
    <w:rsid w:val="00C1696A"/>
    <w:rsid w:val="00C17837"/>
    <w:rsid w:val="00C17DE5"/>
    <w:rsid w:val="00C17FD0"/>
    <w:rsid w:val="00C203C3"/>
    <w:rsid w:val="00C2064A"/>
    <w:rsid w:val="00C20DF4"/>
    <w:rsid w:val="00C20ECB"/>
    <w:rsid w:val="00C21562"/>
    <w:rsid w:val="00C21955"/>
    <w:rsid w:val="00C21B04"/>
    <w:rsid w:val="00C21FD2"/>
    <w:rsid w:val="00C22643"/>
    <w:rsid w:val="00C2276E"/>
    <w:rsid w:val="00C22CC9"/>
    <w:rsid w:val="00C22D48"/>
    <w:rsid w:val="00C2396B"/>
    <w:rsid w:val="00C24F3F"/>
    <w:rsid w:val="00C2533F"/>
    <w:rsid w:val="00C2542D"/>
    <w:rsid w:val="00C255F9"/>
    <w:rsid w:val="00C25A13"/>
    <w:rsid w:val="00C26639"/>
    <w:rsid w:val="00C26CBA"/>
    <w:rsid w:val="00C3071A"/>
    <w:rsid w:val="00C30B97"/>
    <w:rsid w:val="00C30C9F"/>
    <w:rsid w:val="00C30D8F"/>
    <w:rsid w:val="00C31150"/>
    <w:rsid w:val="00C3122D"/>
    <w:rsid w:val="00C313C2"/>
    <w:rsid w:val="00C3184F"/>
    <w:rsid w:val="00C31E40"/>
    <w:rsid w:val="00C31FFB"/>
    <w:rsid w:val="00C3201C"/>
    <w:rsid w:val="00C327D0"/>
    <w:rsid w:val="00C33416"/>
    <w:rsid w:val="00C3362F"/>
    <w:rsid w:val="00C33C3C"/>
    <w:rsid w:val="00C349F9"/>
    <w:rsid w:val="00C35352"/>
    <w:rsid w:val="00C35743"/>
    <w:rsid w:val="00C35B47"/>
    <w:rsid w:val="00C35E69"/>
    <w:rsid w:val="00C36372"/>
    <w:rsid w:val="00C36795"/>
    <w:rsid w:val="00C369B8"/>
    <w:rsid w:val="00C40082"/>
    <w:rsid w:val="00C405EC"/>
    <w:rsid w:val="00C40B99"/>
    <w:rsid w:val="00C4116E"/>
    <w:rsid w:val="00C414A5"/>
    <w:rsid w:val="00C414D9"/>
    <w:rsid w:val="00C41748"/>
    <w:rsid w:val="00C41E9A"/>
    <w:rsid w:val="00C42292"/>
    <w:rsid w:val="00C42397"/>
    <w:rsid w:val="00C42B00"/>
    <w:rsid w:val="00C43030"/>
    <w:rsid w:val="00C438C9"/>
    <w:rsid w:val="00C43C36"/>
    <w:rsid w:val="00C4407C"/>
    <w:rsid w:val="00C44A55"/>
    <w:rsid w:val="00C44CE6"/>
    <w:rsid w:val="00C44FAC"/>
    <w:rsid w:val="00C4520D"/>
    <w:rsid w:val="00C46160"/>
    <w:rsid w:val="00C462B6"/>
    <w:rsid w:val="00C475F6"/>
    <w:rsid w:val="00C507D9"/>
    <w:rsid w:val="00C50D0C"/>
    <w:rsid w:val="00C51265"/>
    <w:rsid w:val="00C518EB"/>
    <w:rsid w:val="00C5192C"/>
    <w:rsid w:val="00C51B93"/>
    <w:rsid w:val="00C5215E"/>
    <w:rsid w:val="00C52466"/>
    <w:rsid w:val="00C526DC"/>
    <w:rsid w:val="00C52B03"/>
    <w:rsid w:val="00C53154"/>
    <w:rsid w:val="00C53F24"/>
    <w:rsid w:val="00C54A95"/>
    <w:rsid w:val="00C55268"/>
    <w:rsid w:val="00C558C8"/>
    <w:rsid w:val="00C55BD3"/>
    <w:rsid w:val="00C55C2B"/>
    <w:rsid w:val="00C56514"/>
    <w:rsid w:val="00C56CFB"/>
    <w:rsid w:val="00C5727F"/>
    <w:rsid w:val="00C5769F"/>
    <w:rsid w:val="00C601E6"/>
    <w:rsid w:val="00C60845"/>
    <w:rsid w:val="00C60B8B"/>
    <w:rsid w:val="00C60FE1"/>
    <w:rsid w:val="00C627FD"/>
    <w:rsid w:val="00C62BBC"/>
    <w:rsid w:val="00C63087"/>
    <w:rsid w:val="00C63844"/>
    <w:rsid w:val="00C641D7"/>
    <w:rsid w:val="00C647BE"/>
    <w:rsid w:val="00C64B96"/>
    <w:rsid w:val="00C64BEB"/>
    <w:rsid w:val="00C64E7D"/>
    <w:rsid w:val="00C65411"/>
    <w:rsid w:val="00C654AB"/>
    <w:rsid w:val="00C657D4"/>
    <w:rsid w:val="00C65D68"/>
    <w:rsid w:val="00C662E6"/>
    <w:rsid w:val="00C664B8"/>
    <w:rsid w:val="00C664E7"/>
    <w:rsid w:val="00C66E1D"/>
    <w:rsid w:val="00C672A9"/>
    <w:rsid w:val="00C67FF6"/>
    <w:rsid w:val="00C701A1"/>
    <w:rsid w:val="00C7129B"/>
    <w:rsid w:val="00C71378"/>
    <w:rsid w:val="00C71D88"/>
    <w:rsid w:val="00C730BA"/>
    <w:rsid w:val="00C7391F"/>
    <w:rsid w:val="00C73DC4"/>
    <w:rsid w:val="00C746FE"/>
    <w:rsid w:val="00C74BDF"/>
    <w:rsid w:val="00C7575E"/>
    <w:rsid w:val="00C75A62"/>
    <w:rsid w:val="00C75A64"/>
    <w:rsid w:val="00C7631F"/>
    <w:rsid w:val="00C77261"/>
    <w:rsid w:val="00C77C43"/>
    <w:rsid w:val="00C77FA7"/>
    <w:rsid w:val="00C809F3"/>
    <w:rsid w:val="00C80C24"/>
    <w:rsid w:val="00C81328"/>
    <w:rsid w:val="00C81498"/>
    <w:rsid w:val="00C82A95"/>
    <w:rsid w:val="00C8309A"/>
    <w:rsid w:val="00C8354D"/>
    <w:rsid w:val="00C8362E"/>
    <w:rsid w:val="00C83C2C"/>
    <w:rsid w:val="00C83D45"/>
    <w:rsid w:val="00C840AC"/>
    <w:rsid w:val="00C845D7"/>
    <w:rsid w:val="00C845F9"/>
    <w:rsid w:val="00C84F23"/>
    <w:rsid w:val="00C8564F"/>
    <w:rsid w:val="00C8673E"/>
    <w:rsid w:val="00C868AB"/>
    <w:rsid w:val="00C868B0"/>
    <w:rsid w:val="00C869A1"/>
    <w:rsid w:val="00C87AE4"/>
    <w:rsid w:val="00C9002D"/>
    <w:rsid w:val="00C9113F"/>
    <w:rsid w:val="00C9153A"/>
    <w:rsid w:val="00C915AA"/>
    <w:rsid w:val="00C91623"/>
    <w:rsid w:val="00C91D52"/>
    <w:rsid w:val="00C92949"/>
    <w:rsid w:val="00C92977"/>
    <w:rsid w:val="00C92993"/>
    <w:rsid w:val="00C92D93"/>
    <w:rsid w:val="00C92F42"/>
    <w:rsid w:val="00C93420"/>
    <w:rsid w:val="00C9342F"/>
    <w:rsid w:val="00C93A74"/>
    <w:rsid w:val="00C945B2"/>
    <w:rsid w:val="00C945DF"/>
    <w:rsid w:val="00C949B7"/>
    <w:rsid w:val="00C94AEF"/>
    <w:rsid w:val="00C958DC"/>
    <w:rsid w:val="00C95A68"/>
    <w:rsid w:val="00C95CC1"/>
    <w:rsid w:val="00C95D8F"/>
    <w:rsid w:val="00C96704"/>
    <w:rsid w:val="00C96B2D"/>
    <w:rsid w:val="00C96E45"/>
    <w:rsid w:val="00C9716F"/>
    <w:rsid w:val="00CA025B"/>
    <w:rsid w:val="00CA0FB0"/>
    <w:rsid w:val="00CA162B"/>
    <w:rsid w:val="00CA1AFD"/>
    <w:rsid w:val="00CA1E31"/>
    <w:rsid w:val="00CA23CF"/>
    <w:rsid w:val="00CA24DE"/>
    <w:rsid w:val="00CA2A40"/>
    <w:rsid w:val="00CA30F6"/>
    <w:rsid w:val="00CA3466"/>
    <w:rsid w:val="00CA34DA"/>
    <w:rsid w:val="00CA39F4"/>
    <w:rsid w:val="00CA3A9C"/>
    <w:rsid w:val="00CA3B8F"/>
    <w:rsid w:val="00CA3D8A"/>
    <w:rsid w:val="00CA43A9"/>
    <w:rsid w:val="00CA4879"/>
    <w:rsid w:val="00CA4BD5"/>
    <w:rsid w:val="00CA5021"/>
    <w:rsid w:val="00CA60DC"/>
    <w:rsid w:val="00CA6698"/>
    <w:rsid w:val="00CA6902"/>
    <w:rsid w:val="00CA7430"/>
    <w:rsid w:val="00CA762B"/>
    <w:rsid w:val="00CA7A12"/>
    <w:rsid w:val="00CA7B24"/>
    <w:rsid w:val="00CA7B87"/>
    <w:rsid w:val="00CA7DF7"/>
    <w:rsid w:val="00CA7E03"/>
    <w:rsid w:val="00CB0018"/>
    <w:rsid w:val="00CB01D4"/>
    <w:rsid w:val="00CB06F9"/>
    <w:rsid w:val="00CB0BBF"/>
    <w:rsid w:val="00CB0F00"/>
    <w:rsid w:val="00CB0F3A"/>
    <w:rsid w:val="00CB158E"/>
    <w:rsid w:val="00CB15F6"/>
    <w:rsid w:val="00CB1EAC"/>
    <w:rsid w:val="00CB1F7F"/>
    <w:rsid w:val="00CB27BC"/>
    <w:rsid w:val="00CB2A4B"/>
    <w:rsid w:val="00CB2C7A"/>
    <w:rsid w:val="00CB3055"/>
    <w:rsid w:val="00CB33E6"/>
    <w:rsid w:val="00CB33FF"/>
    <w:rsid w:val="00CB39F6"/>
    <w:rsid w:val="00CB3D40"/>
    <w:rsid w:val="00CB4118"/>
    <w:rsid w:val="00CB4177"/>
    <w:rsid w:val="00CB4ABC"/>
    <w:rsid w:val="00CB4D6F"/>
    <w:rsid w:val="00CB5A7E"/>
    <w:rsid w:val="00CB651C"/>
    <w:rsid w:val="00CB70CD"/>
    <w:rsid w:val="00CB729C"/>
    <w:rsid w:val="00CB7749"/>
    <w:rsid w:val="00CB78DD"/>
    <w:rsid w:val="00CB79AE"/>
    <w:rsid w:val="00CB7D31"/>
    <w:rsid w:val="00CC0024"/>
    <w:rsid w:val="00CC03BC"/>
    <w:rsid w:val="00CC06C1"/>
    <w:rsid w:val="00CC075F"/>
    <w:rsid w:val="00CC0D15"/>
    <w:rsid w:val="00CC0DFF"/>
    <w:rsid w:val="00CC0ECC"/>
    <w:rsid w:val="00CC16E5"/>
    <w:rsid w:val="00CC172C"/>
    <w:rsid w:val="00CC177A"/>
    <w:rsid w:val="00CC192F"/>
    <w:rsid w:val="00CC209C"/>
    <w:rsid w:val="00CC20C9"/>
    <w:rsid w:val="00CC235F"/>
    <w:rsid w:val="00CC2667"/>
    <w:rsid w:val="00CC2E5C"/>
    <w:rsid w:val="00CC322F"/>
    <w:rsid w:val="00CC35E9"/>
    <w:rsid w:val="00CC3C14"/>
    <w:rsid w:val="00CC456E"/>
    <w:rsid w:val="00CC48C1"/>
    <w:rsid w:val="00CC4DE7"/>
    <w:rsid w:val="00CC5C2F"/>
    <w:rsid w:val="00CC5FED"/>
    <w:rsid w:val="00CC6410"/>
    <w:rsid w:val="00CC6630"/>
    <w:rsid w:val="00CC6AD9"/>
    <w:rsid w:val="00CC6F3E"/>
    <w:rsid w:val="00CC77B0"/>
    <w:rsid w:val="00CD004E"/>
    <w:rsid w:val="00CD0685"/>
    <w:rsid w:val="00CD0732"/>
    <w:rsid w:val="00CD092F"/>
    <w:rsid w:val="00CD106C"/>
    <w:rsid w:val="00CD1195"/>
    <w:rsid w:val="00CD1A59"/>
    <w:rsid w:val="00CD1D21"/>
    <w:rsid w:val="00CD1DB0"/>
    <w:rsid w:val="00CD1E33"/>
    <w:rsid w:val="00CD20EA"/>
    <w:rsid w:val="00CD2B7F"/>
    <w:rsid w:val="00CD3759"/>
    <w:rsid w:val="00CD3DDF"/>
    <w:rsid w:val="00CD3FF9"/>
    <w:rsid w:val="00CD4302"/>
    <w:rsid w:val="00CD431A"/>
    <w:rsid w:val="00CD4FBE"/>
    <w:rsid w:val="00CD5282"/>
    <w:rsid w:val="00CD5307"/>
    <w:rsid w:val="00CD536D"/>
    <w:rsid w:val="00CD568F"/>
    <w:rsid w:val="00CD5C7E"/>
    <w:rsid w:val="00CD5D81"/>
    <w:rsid w:val="00CD5F37"/>
    <w:rsid w:val="00CD60FB"/>
    <w:rsid w:val="00CD7704"/>
    <w:rsid w:val="00CD7889"/>
    <w:rsid w:val="00CD7BA5"/>
    <w:rsid w:val="00CD7CE9"/>
    <w:rsid w:val="00CE12E4"/>
    <w:rsid w:val="00CE14AA"/>
    <w:rsid w:val="00CE1780"/>
    <w:rsid w:val="00CE1A60"/>
    <w:rsid w:val="00CE25AF"/>
    <w:rsid w:val="00CE286A"/>
    <w:rsid w:val="00CE2C5E"/>
    <w:rsid w:val="00CE31F1"/>
    <w:rsid w:val="00CE3597"/>
    <w:rsid w:val="00CE36E9"/>
    <w:rsid w:val="00CE37E2"/>
    <w:rsid w:val="00CE3804"/>
    <w:rsid w:val="00CE42BC"/>
    <w:rsid w:val="00CE4544"/>
    <w:rsid w:val="00CE5220"/>
    <w:rsid w:val="00CE532D"/>
    <w:rsid w:val="00CE5CC7"/>
    <w:rsid w:val="00CE5D52"/>
    <w:rsid w:val="00CE6A3D"/>
    <w:rsid w:val="00CE7049"/>
    <w:rsid w:val="00CF0531"/>
    <w:rsid w:val="00CF1BB8"/>
    <w:rsid w:val="00CF1BED"/>
    <w:rsid w:val="00CF26C0"/>
    <w:rsid w:val="00CF2930"/>
    <w:rsid w:val="00CF2B19"/>
    <w:rsid w:val="00CF2CD7"/>
    <w:rsid w:val="00CF32D8"/>
    <w:rsid w:val="00CF3442"/>
    <w:rsid w:val="00CF41A3"/>
    <w:rsid w:val="00CF4296"/>
    <w:rsid w:val="00CF4BF3"/>
    <w:rsid w:val="00CF4E51"/>
    <w:rsid w:val="00CF5E5F"/>
    <w:rsid w:val="00CF6670"/>
    <w:rsid w:val="00CF6939"/>
    <w:rsid w:val="00CF6DC3"/>
    <w:rsid w:val="00D0004E"/>
    <w:rsid w:val="00D00D4D"/>
    <w:rsid w:val="00D01AE1"/>
    <w:rsid w:val="00D01E70"/>
    <w:rsid w:val="00D01EB0"/>
    <w:rsid w:val="00D025E2"/>
    <w:rsid w:val="00D02E09"/>
    <w:rsid w:val="00D041D8"/>
    <w:rsid w:val="00D0428D"/>
    <w:rsid w:val="00D05379"/>
    <w:rsid w:val="00D05404"/>
    <w:rsid w:val="00D058D7"/>
    <w:rsid w:val="00D05D9E"/>
    <w:rsid w:val="00D05F00"/>
    <w:rsid w:val="00D064A2"/>
    <w:rsid w:val="00D07AE2"/>
    <w:rsid w:val="00D10047"/>
    <w:rsid w:val="00D102EC"/>
    <w:rsid w:val="00D10622"/>
    <w:rsid w:val="00D106EE"/>
    <w:rsid w:val="00D10839"/>
    <w:rsid w:val="00D10C50"/>
    <w:rsid w:val="00D113BF"/>
    <w:rsid w:val="00D1268A"/>
    <w:rsid w:val="00D1281C"/>
    <w:rsid w:val="00D12E05"/>
    <w:rsid w:val="00D140AD"/>
    <w:rsid w:val="00D14696"/>
    <w:rsid w:val="00D149B7"/>
    <w:rsid w:val="00D149D6"/>
    <w:rsid w:val="00D14D06"/>
    <w:rsid w:val="00D15040"/>
    <w:rsid w:val="00D15C60"/>
    <w:rsid w:val="00D170C4"/>
    <w:rsid w:val="00D171E3"/>
    <w:rsid w:val="00D17208"/>
    <w:rsid w:val="00D175F9"/>
    <w:rsid w:val="00D20F1C"/>
    <w:rsid w:val="00D20FB7"/>
    <w:rsid w:val="00D21103"/>
    <w:rsid w:val="00D2119D"/>
    <w:rsid w:val="00D21202"/>
    <w:rsid w:val="00D214D9"/>
    <w:rsid w:val="00D214F5"/>
    <w:rsid w:val="00D21774"/>
    <w:rsid w:val="00D21B83"/>
    <w:rsid w:val="00D21FB8"/>
    <w:rsid w:val="00D239B6"/>
    <w:rsid w:val="00D23C64"/>
    <w:rsid w:val="00D23DC1"/>
    <w:rsid w:val="00D24644"/>
    <w:rsid w:val="00D24F1C"/>
    <w:rsid w:val="00D252DD"/>
    <w:rsid w:val="00D253BD"/>
    <w:rsid w:val="00D25430"/>
    <w:rsid w:val="00D257DC"/>
    <w:rsid w:val="00D2644F"/>
    <w:rsid w:val="00D266CE"/>
    <w:rsid w:val="00D2695D"/>
    <w:rsid w:val="00D2697A"/>
    <w:rsid w:val="00D30132"/>
    <w:rsid w:val="00D304A0"/>
    <w:rsid w:val="00D306BA"/>
    <w:rsid w:val="00D30CFF"/>
    <w:rsid w:val="00D30D26"/>
    <w:rsid w:val="00D30DB5"/>
    <w:rsid w:val="00D317F3"/>
    <w:rsid w:val="00D3199C"/>
    <w:rsid w:val="00D3222C"/>
    <w:rsid w:val="00D325F2"/>
    <w:rsid w:val="00D326F2"/>
    <w:rsid w:val="00D32856"/>
    <w:rsid w:val="00D3292B"/>
    <w:rsid w:val="00D32B95"/>
    <w:rsid w:val="00D32C59"/>
    <w:rsid w:val="00D32DCB"/>
    <w:rsid w:val="00D33110"/>
    <w:rsid w:val="00D335F2"/>
    <w:rsid w:val="00D338B6"/>
    <w:rsid w:val="00D33ABD"/>
    <w:rsid w:val="00D33FEE"/>
    <w:rsid w:val="00D3419A"/>
    <w:rsid w:val="00D34335"/>
    <w:rsid w:val="00D34CB9"/>
    <w:rsid w:val="00D34CDE"/>
    <w:rsid w:val="00D3513E"/>
    <w:rsid w:val="00D353F2"/>
    <w:rsid w:val="00D35B0E"/>
    <w:rsid w:val="00D35DEC"/>
    <w:rsid w:val="00D361B9"/>
    <w:rsid w:val="00D36CAC"/>
    <w:rsid w:val="00D36D2C"/>
    <w:rsid w:val="00D36E33"/>
    <w:rsid w:val="00D37306"/>
    <w:rsid w:val="00D37353"/>
    <w:rsid w:val="00D37894"/>
    <w:rsid w:val="00D37A9C"/>
    <w:rsid w:val="00D40200"/>
    <w:rsid w:val="00D40948"/>
    <w:rsid w:val="00D40E3D"/>
    <w:rsid w:val="00D40E6C"/>
    <w:rsid w:val="00D41547"/>
    <w:rsid w:val="00D429F6"/>
    <w:rsid w:val="00D42BD3"/>
    <w:rsid w:val="00D4323D"/>
    <w:rsid w:val="00D43636"/>
    <w:rsid w:val="00D442C7"/>
    <w:rsid w:val="00D44554"/>
    <w:rsid w:val="00D44B40"/>
    <w:rsid w:val="00D44E21"/>
    <w:rsid w:val="00D44FCC"/>
    <w:rsid w:val="00D4548D"/>
    <w:rsid w:val="00D46446"/>
    <w:rsid w:val="00D46A07"/>
    <w:rsid w:val="00D46B7C"/>
    <w:rsid w:val="00D46EF2"/>
    <w:rsid w:val="00D47114"/>
    <w:rsid w:val="00D4717F"/>
    <w:rsid w:val="00D50524"/>
    <w:rsid w:val="00D511C3"/>
    <w:rsid w:val="00D51929"/>
    <w:rsid w:val="00D51F7E"/>
    <w:rsid w:val="00D52272"/>
    <w:rsid w:val="00D5265A"/>
    <w:rsid w:val="00D52E5C"/>
    <w:rsid w:val="00D5373F"/>
    <w:rsid w:val="00D53BAE"/>
    <w:rsid w:val="00D53C8D"/>
    <w:rsid w:val="00D53E78"/>
    <w:rsid w:val="00D54456"/>
    <w:rsid w:val="00D54A89"/>
    <w:rsid w:val="00D54E09"/>
    <w:rsid w:val="00D54EFB"/>
    <w:rsid w:val="00D55094"/>
    <w:rsid w:val="00D551C3"/>
    <w:rsid w:val="00D56225"/>
    <w:rsid w:val="00D56468"/>
    <w:rsid w:val="00D5650B"/>
    <w:rsid w:val="00D56C97"/>
    <w:rsid w:val="00D56D52"/>
    <w:rsid w:val="00D56EB3"/>
    <w:rsid w:val="00D57043"/>
    <w:rsid w:val="00D571D9"/>
    <w:rsid w:val="00D57BCC"/>
    <w:rsid w:val="00D57CEA"/>
    <w:rsid w:val="00D57E11"/>
    <w:rsid w:val="00D57E80"/>
    <w:rsid w:val="00D60933"/>
    <w:rsid w:val="00D60EED"/>
    <w:rsid w:val="00D60FF7"/>
    <w:rsid w:val="00D60FFA"/>
    <w:rsid w:val="00D616A6"/>
    <w:rsid w:val="00D61B81"/>
    <w:rsid w:val="00D621FB"/>
    <w:rsid w:val="00D6241A"/>
    <w:rsid w:val="00D62697"/>
    <w:rsid w:val="00D6278B"/>
    <w:rsid w:val="00D62D48"/>
    <w:rsid w:val="00D62F3C"/>
    <w:rsid w:val="00D63EAF"/>
    <w:rsid w:val="00D64075"/>
    <w:rsid w:val="00D646B0"/>
    <w:rsid w:val="00D64CE8"/>
    <w:rsid w:val="00D66FAA"/>
    <w:rsid w:val="00D6769B"/>
    <w:rsid w:val="00D67E4D"/>
    <w:rsid w:val="00D6DA7C"/>
    <w:rsid w:val="00D70D9E"/>
    <w:rsid w:val="00D71190"/>
    <w:rsid w:val="00D7133C"/>
    <w:rsid w:val="00D714C3"/>
    <w:rsid w:val="00D715B8"/>
    <w:rsid w:val="00D71AC5"/>
    <w:rsid w:val="00D7259C"/>
    <w:rsid w:val="00D729EB"/>
    <w:rsid w:val="00D72F27"/>
    <w:rsid w:val="00D730CE"/>
    <w:rsid w:val="00D73161"/>
    <w:rsid w:val="00D7331C"/>
    <w:rsid w:val="00D73C51"/>
    <w:rsid w:val="00D74066"/>
    <w:rsid w:val="00D74335"/>
    <w:rsid w:val="00D74689"/>
    <w:rsid w:val="00D74AF1"/>
    <w:rsid w:val="00D74B69"/>
    <w:rsid w:val="00D7544C"/>
    <w:rsid w:val="00D75FDE"/>
    <w:rsid w:val="00D762CE"/>
    <w:rsid w:val="00D76EC7"/>
    <w:rsid w:val="00D76F2A"/>
    <w:rsid w:val="00D77582"/>
    <w:rsid w:val="00D77FC0"/>
    <w:rsid w:val="00D808C1"/>
    <w:rsid w:val="00D80D39"/>
    <w:rsid w:val="00D81731"/>
    <w:rsid w:val="00D82147"/>
    <w:rsid w:val="00D8291C"/>
    <w:rsid w:val="00D82944"/>
    <w:rsid w:val="00D82CF5"/>
    <w:rsid w:val="00D83141"/>
    <w:rsid w:val="00D833C1"/>
    <w:rsid w:val="00D8386D"/>
    <w:rsid w:val="00D83BD2"/>
    <w:rsid w:val="00D83C03"/>
    <w:rsid w:val="00D83C0E"/>
    <w:rsid w:val="00D83CC4"/>
    <w:rsid w:val="00D83D8A"/>
    <w:rsid w:val="00D83F97"/>
    <w:rsid w:val="00D852E4"/>
    <w:rsid w:val="00D85B58"/>
    <w:rsid w:val="00D85EAC"/>
    <w:rsid w:val="00D86386"/>
    <w:rsid w:val="00D86B87"/>
    <w:rsid w:val="00D87070"/>
    <w:rsid w:val="00D8766A"/>
    <w:rsid w:val="00D903D0"/>
    <w:rsid w:val="00D90ECB"/>
    <w:rsid w:val="00D90F70"/>
    <w:rsid w:val="00D91D11"/>
    <w:rsid w:val="00D91F5A"/>
    <w:rsid w:val="00D921DF"/>
    <w:rsid w:val="00D9388B"/>
    <w:rsid w:val="00D93D62"/>
    <w:rsid w:val="00D95512"/>
    <w:rsid w:val="00D95691"/>
    <w:rsid w:val="00D96792"/>
    <w:rsid w:val="00D96AA2"/>
    <w:rsid w:val="00D96BB3"/>
    <w:rsid w:val="00D96EAB"/>
    <w:rsid w:val="00D97655"/>
    <w:rsid w:val="00D978B4"/>
    <w:rsid w:val="00D978C8"/>
    <w:rsid w:val="00D97D3F"/>
    <w:rsid w:val="00DA03BA"/>
    <w:rsid w:val="00DA06F6"/>
    <w:rsid w:val="00DA0A52"/>
    <w:rsid w:val="00DA151B"/>
    <w:rsid w:val="00DA1F0E"/>
    <w:rsid w:val="00DA265B"/>
    <w:rsid w:val="00DA3713"/>
    <w:rsid w:val="00DA381E"/>
    <w:rsid w:val="00DA4761"/>
    <w:rsid w:val="00DA53F4"/>
    <w:rsid w:val="00DA5746"/>
    <w:rsid w:val="00DA5E68"/>
    <w:rsid w:val="00DA605C"/>
    <w:rsid w:val="00DA662D"/>
    <w:rsid w:val="00DA66C3"/>
    <w:rsid w:val="00DA66DA"/>
    <w:rsid w:val="00DA6A82"/>
    <w:rsid w:val="00DA70C5"/>
    <w:rsid w:val="00DA7663"/>
    <w:rsid w:val="00DA76B2"/>
    <w:rsid w:val="00DB165D"/>
    <w:rsid w:val="00DB1661"/>
    <w:rsid w:val="00DB1857"/>
    <w:rsid w:val="00DB19B0"/>
    <w:rsid w:val="00DB1A19"/>
    <w:rsid w:val="00DB221C"/>
    <w:rsid w:val="00DB29E1"/>
    <w:rsid w:val="00DB3AEE"/>
    <w:rsid w:val="00DB3BD6"/>
    <w:rsid w:val="00DB3EC2"/>
    <w:rsid w:val="00DB3FAC"/>
    <w:rsid w:val="00DB4172"/>
    <w:rsid w:val="00DB43F9"/>
    <w:rsid w:val="00DB489B"/>
    <w:rsid w:val="00DB510C"/>
    <w:rsid w:val="00DB5878"/>
    <w:rsid w:val="00DB5F24"/>
    <w:rsid w:val="00DB6C73"/>
    <w:rsid w:val="00DB6EED"/>
    <w:rsid w:val="00DB7287"/>
    <w:rsid w:val="00DC048F"/>
    <w:rsid w:val="00DC0A10"/>
    <w:rsid w:val="00DC0EDF"/>
    <w:rsid w:val="00DC2212"/>
    <w:rsid w:val="00DC2753"/>
    <w:rsid w:val="00DC2EB9"/>
    <w:rsid w:val="00DC3B36"/>
    <w:rsid w:val="00DC3D8D"/>
    <w:rsid w:val="00DC3DBC"/>
    <w:rsid w:val="00DC4079"/>
    <w:rsid w:val="00DC425D"/>
    <w:rsid w:val="00DC43C2"/>
    <w:rsid w:val="00DC4CCA"/>
    <w:rsid w:val="00DC4DB5"/>
    <w:rsid w:val="00DC4E8C"/>
    <w:rsid w:val="00DC553C"/>
    <w:rsid w:val="00DC5F25"/>
    <w:rsid w:val="00DC608E"/>
    <w:rsid w:val="00DC6098"/>
    <w:rsid w:val="00DC655B"/>
    <w:rsid w:val="00DC6EC5"/>
    <w:rsid w:val="00DC7280"/>
    <w:rsid w:val="00DC7576"/>
    <w:rsid w:val="00DD01E2"/>
    <w:rsid w:val="00DD060E"/>
    <w:rsid w:val="00DD0788"/>
    <w:rsid w:val="00DD0DC5"/>
    <w:rsid w:val="00DD0F52"/>
    <w:rsid w:val="00DD122B"/>
    <w:rsid w:val="00DD1490"/>
    <w:rsid w:val="00DD1CC5"/>
    <w:rsid w:val="00DD2998"/>
    <w:rsid w:val="00DD2FDA"/>
    <w:rsid w:val="00DD33E0"/>
    <w:rsid w:val="00DD349D"/>
    <w:rsid w:val="00DD4168"/>
    <w:rsid w:val="00DD44A5"/>
    <w:rsid w:val="00DD472C"/>
    <w:rsid w:val="00DD497D"/>
    <w:rsid w:val="00DD4BBB"/>
    <w:rsid w:val="00DD4C8B"/>
    <w:rsid w:val="00DD595F"/>
    <w:rsid w:val="00DD5B07"/>
    <w:rsid w:val="00DD5B86"/>
    <w:rsid w:val="00DD5C70"/>
    <w:rsid w:val="00DD5F1B"/>
    <w:rsid w:val="00DD5F8F"/>
    <w:rsid w:val="00DD62FE"/>
    <w:rsid w:val="00DD6321"/>
    <w:rsid w:val="00DD6332"/>
    <w:rsid w:val="00DD670D"/>
    <w:rsid w:val="00DD69AA"/>
    <w:rsid w:val="00DD766A"/>
    <w:rsid w:val="00DD7883"/>
    <w:rsid w:val="00DD7A12"/>
    <w:rsid w:val="00DE03F3"/>
    <w:rsid w:val="00DE03F7"/>
    <w:rsid w:val="00DE0BAB"/>
    <w:rsid w:val="00DE0EE1"/>
    <w:rsid w:val="00DE1D45"/>
    <w:rsid w:val="00DE2937"/>
    <w:rsid w:val="00DE2A28"/>
    <w:rsid w:val="00DE2B4B"/>
    <w:rsid w:val="00DE2E56"/>
    <w:rsid w:val="00DE2F5A"/>
    <w:rsid w:val="00DE3067"/>
    <w:rsid w:val="00DE4069"/>
    <w:rsid w:val="00DE4711"/>
    <w:rsid w:val="00DE53A0"/>
    <w:rsid w:val="00DE53C3"/>
    <w:rsid w:val="00DE564B"/>
    <w:rsid w:val="00DE5699"/>
    <w:rsid w:val="00DE60E5"/>
    <w:rsid w:val="00DE62F6"/>
    <w:rsid w:val="00DE6B1E"/>
    <w:rsid w:val="00DE6C66"/>
    <w:rsid w:val="00DE7192"/>
    <w:rsid w:val="00DE7E99"/>
    <w:rsid w:val="00DE7EFE"/>
    <w:rsid w:val="00DE7F0D"/>
    <w:rsid w:val="00DF01C6"/>
    <w:rsid w:val="00DF0CBD"/>
    <w:rsid w:val="00DF120A"/>
    <w:rsid w:val="00DF13AA"/>
    <w:rsid w:val="00DF180B"/>
    <w:rsid w:val="00DF1B39"/>
    <w:rsid w:val="00DF1B5B"/>
    <w:rsid w:val="00DF1BA2"/>
    <w:rsid w:val="00DF254F"/>
    <w:rsid w:val="00DF2656"/>
    <w:rsid w:val="00DF2CFB"/>
    <w:rsid w:val="00DF2F15"/>
    <w:rsid w:val="00DF3820"/>
    <w:rsid w:val="00DF385C"/>
    <w:rsid w:val="00DF3F10"/>
    <w:rsid w:val="00DF42EA"/>
    <w:rsid w:val="00DF554D"/>
    <w:rsid w:val="00DF56EE"/>
    <w:rsid w:val="00DF5723"/>
    <w:rsid w:val="00DF5AE3"/>
    <w:rsid w:val="00DF5E8B"/>
    <w:rsid w:val="00DF6B5F"/>
    <w:rsid w:val="00DF6E7E"/>
    <w:rsid w:val="00DF7D42"/>
    <w:rsid w:val="00E00DCF"/>
    <w:rsid w:val="00E00E3B"/>
    <w:rsid w:val="00E013D0"/>
    <w:rsid w:val="00E013F6"/>
    <w:rsid w:val="00E015E9"/>
    <w:rsid w:val="00E01B9E"/>
    <w:rsid w:val="00E01BA7"/>
    <w:rsid w:val="00E01FC3"/>
    <w:rsid w:val="00E02360"/>
    <w:rsid w:val="00E02BF6"/>
    <w:rsid w:val="00E03D17"/>
    <w:rsid w:val="00E03F8F"/>
    <w:rsid w:val="00E04A29"/>
    <w:rsid w:val="00E05278"/>
    <w:rsid w:val="00E06B1F"/>
    <w:rsid w:val="00E06B33"/>
    <w:rsid w:val="00E06D26"/>
    <w:rsid w:val="00E06D2D"/>
    <w:rsid w:val="00E07150"/>
    <w:rsid w:val="00E07579"/>
    <w:rsid w:val="00E07610"/>
    <w:rsid w:val="00E07811"/>
    <w:rsid w:val="00E0792D"/>
    <w:rsid w:val="00E07AA3"/>
    <w:rsid w:val="00E1083E"/>
    <w:rsid w:val="00E10B5F"/>
    <w:rsid w:val="00E10F5C"/>
    <w:rsid w:val="00E10F8A"/>
    <w:rsid w:val="00E11449"/>
    <w:rsid w:val="00E11646"/>
    <w:rsid w:val="00E11C2F"/>
    <w:rsid w:val="00E11DD8"/>
    <w:rsid w:val="00E12333"/>
    <w:rsid w:val="00E1251D"/>
    <w:rsid w:val="00E12844"/>
    <w:rsid w:val="00E13440"/>
    <w:rsid w:val="00E13620"/>
    <w:rsid w:val="00E13CFB"/>
    <w:rsid w:val="00E13E02"/>
    <w:rsid w:val="00E13E8D"/>
    <w:rsid w:val="00E14573"/>
    <w:rsid w:val="00E14897"/>
    <w:rsid w:val="00E15356"/>
    <w:rsid w:val="00E15D95"/>
    <w:rsid w:val="00E15D99"/>
    <w:rsid w:val="00E15E88"/>
    <w:rsid w:val="00E1631A"/>
    <w:rsid w:val="00E166B7"/>
    <w:rsid w:val="00E16C78"/>
    <w:rsid w:val="00E17449"/>
    <w:rsid w:val="00E200BC"/>
    <w:rsid w:val="00E201B3"/>
    <w:rsid w:val="00E2070A"/>
    <w:rsid w:val="00E209B5"/>
    <w:rsid w:val="00E20AEB"/>
    <w:rsid w:val="00E217D6"/>
    <w:rsid w:val="00E21E8C"/>
    <w:rsid w:val="00E21FEC"/>
    <w:rsid w:val="00E228B2"/>
    <w:rsid w:val="00E23265"/>
    <w:rsid w:val="00E246B3"/>
    <w:rsid w:val="00E24720"/>
    <w:rsid w:val="00E253C1"/>
    <w:rsid w:val="00E25CE2"/>
    <w:rsid w:val="00E2609B"/>
    <w:rsid w:val="00E26162"/>
    <w:rsid w:val="00E261C8"/>
    <w:rsid w:val="00E2643C"/>
    <w:rsid w:val="00E26AF0"/>
    <w:rsid w:val="00E26F88"/>
    <w:rsid w:val="00E27D16"/>
    <w:rsid w:val="00E3076A"/>
    <w:rsid w:val="00E30AF2"/>
    <w:rsid w:val="00E30E57"/>
    <w:rsid w:val="00E30EAB"/>
    <w:rsid w:val="00E30F31"/>
    <w:rsid w:val="00E320F2"/>
    <w:rsid w:val="00E32985"/>
    <w:rsid w:val="00E32E01"/>
    <w:rsid w:val="00E33E67"/>
    <w:rsid w:val="00E348BA"/>
    <w:rsid w:val="00E34FA9"/>
    <w:rsid w:val="00E35432"/>
    <w:rsid w:val="00E35CB9"/>
    <w:rsid w:val="00E3657B"/>
    <w:rsid w:val="00E36F3E"/>
    <w:rsid w:val="00E3712C"/>
    <w:rsid w:val="00E374F8"/>
    <w:rsid w:val="00E400C4"/>
    <w:rsid w:val="00E4025E"/>
    <w:rsid w:val="00E40B64"/>
    <w:rsid w:val="00E41017"/>
    <w:rsid w:val="00E418C4"/>
    <w:rsid w:val="00E41BD3"/>
    <w:rsid w:val="00E41E58"/>
    <w:rsid w:val="00E41E98"/>
    <w:rsid w:val="00E42AFC"/>
    <w:rsid w:val="00E42EEB"/>
    <w:rsid w:val="00E43C8D"/>
    <w:rsid w:val="00E43E85"/>
    <w:rsid w:val="00E4417C"/>
    <w:rsid w:val="00E444D7"/>
    <w:rsid w:val="00E449B7"/>
    <w:rsid w:val="00E45E61"/>
    <w:rsid w:val="00E46057"/>
    <w:rsid w:val="00E46660"/>
    <w:rsid w:val="00E46FE7"/>
    <w:rsid w:val="00E50E4D"/>
    <w:rsid w:val="00E50E54"/>
    <w:rsid w:val="00E50F4C"/>
    <w:rsid w:val="00E50FAF"/>
    <w:rsid w:val="00E518A0"/>
    <w:rsid w:val="00E528FE"/>
    <w:rsid w:val="00E52F64"/>
    <w:rsid w:val="00E53A44"/>
    <w:rsid w:val="00E53BD3"/>
    <w:rsid w:val="00E540D8"/>
    <w:rsid w:val="00E5435D"/>
    <w:rsid w:val="00E548A5"/>
    <w:rsid w:val="00E54B68"/>
    <w:rsid w:val="00E55F4C"/>
    <w:rsid w:val="00E55F55"/>
    <w:rsid w:val="00E56627"/>
    <w:rsid w:val="00E56C72"/>
    <w:rsid w:val="00E5720F"/>
    <w:rsid w:val="00E5756A"/>
    <w:rsid w:val="00E57C35"/>
    <w:rsid w:val="00E605C9"/>
    <w:rsid w:val="00E60B55"/>
    <w:rsid w:val="00E60D0A"/>
    <w:rsid w:val="00E613B7"/>
    <w:rsid w:val="00E6143B"/>
    <w:rsid w:val="00E614B2"/>
    <w:rsid w:val="00E6165F"/>
    <w:rsid w:val="00E622EF"/>
    <w:rsid w:val="00E6286C"/>
    <w:rsid w:val="00E629F1"/>
    <w:rsid w:val="00E62F79"/>
    <w:rsid w:val="00E63245"/>
    <w:rsid w:val="00E649AD"/>
    <w:rsid w:val="00E64CD4"/>
    <w:rsid w:val="00E64D6F"/>
    <w:rsid w:val="00E64EC3"/>
    <w:rsid w:val="00E65604"/>
    <w:rsid w:val="00E65614"/>
    <w:rsid w:val="00E66163"/>
    <w:rsid w:val="00E66AB5"/>
    <w:rsid w:val="00E66B58"/>
    <w:rsid w:val="00E670E3"/>
    <w:rsid w:val="00E6776E"/>
    <w:rsid w:val="00E67B35"/>
    <w:rsid w:val="00E70034"/>
    <w:rsid w:val="00E70B37"/>
    <w:rsid w:val="00E70B68"/>
    <w:rsid w:val="00E70DD0"/>
    <w:rsid w:val="00E710E1"/>
    <w:rsid w:val="00E71553"/>
    <w:rsid w:val="00E7165C"/>
    <w:rsid w:val="00E717D7"/>
    <w:rsid w:val="00E71803"/>
    <w:rsid w:val="00E7182A"/>
    <w:rsid w:val="00E71E96"/>
    <w:rsid w:val="00E7215F"/>
    <w:rsid w:val="00E725C0"/>
    <w:rsid w:val="00E7275A"/>
    <w:rsid w:val="00E72774"/>
    <w:rsid w:val="00E72C46"/>
    <w:rsid w:val="00E73065"/>
    <w:rsid w:val="00E7320C"/>
    <w:rsid w:val="00E7408B"/>
    <w:rsid w:val="00E74311"/>
    <w:rsid w:val="00E74A8B"/>
    <w:rsid w:val="00E7508C"/>
    <w:rsid w:val="00E75D93"/>
    <w:rsid w:val="00E760B7"/>
    <w:rsid w:val="00E761ED"/>
    <w:rsid w:val="00E7665A"/>
    <w:rsid w:val="00E76B51"/>
    <w:rsid w:val="00E771C7"/>
    <w:rsid w:val="00E772EA"/>
    <w:rsid w:val="00E7746A"/>
    <w:rsid w:val="00E7768F"/>
    <w:rsid w:val="00E8024C"/>
    <w:rsid w:val="00E80798"/>
    <w:rsid w:val="00E80B4A"/>
    <w:rsid w:val="00E80C82"/>
    <w:rsid w:val="00E81038"/>
    <w:rsid w:val="00E81451"/>
    <w:rsid w:val="00E82132"/>
    <w:rsid w:val="00E8291D"/>
    <w:rsid w:val="00E8298D"/>
    <w:rsid w:val="00E82D25"/>
    <w:rsid w:val="00E845C8"/>
    <w:rsid w:val="00E851A2"/>
    <w:rsid w:val="00E8550B"/>
    <w:rsid w:val="00E8567C"/>
    <w:rsid w:val="00E85A37"/>
    <w:rsid w:val="00E8689B"/>
    <w:rsid w:val="00E86B75"/>
    <w:rsid w:val="00E86B77"/>
    <w:rsid w:val="00E86D69"/>
    <w:rsid w:val="00E877B7"/>
    <w:rsid w:val="00E87BFE"/>
    <w:rsid w:val="00E90163"/>
    <w:rsid w:val="00E91243"/>
    <w:rsid w:val="00E9132A"/>
    <w:rsid w:val="00E91990"/>
    <w:rsid w:val="00E919C7"/>
    <w:rsid w:val="00E91A9E"/>
    <w:rsid w:val="00E92131"/>
    <w:rsid w:val="00E9213B"/>
    <w:rsid w:val="00E92A0B"/>
    <w:rsid w:val="00E92AE1"/>
    <w:rsid w:val="00E92F64"/>
    <w:rsid w:val="00E931C9"/>
    <w:rsid w:val="00E93973"/>
    <w:rsid w:val="00E9403C"/>
    <w:rsid w:val="00E940D7"/>
    <w:rsid w:val="00E9413E"/>
    <w:rsid w:val="00E9418A"/>
    <w:rsid w:val="00E94381"/>
    <w:rsid w:val="00E9464E"/>
    <w:rsid w:val="00E957DD"/>
    <w:rsid w:val="00E95D64"/>
    <w:rsid w:val="00E96972"/>
    <w:rsid w:val="00E969A7"/>
    <w:rsid w:val="00E96FB2"/>
    <w:rsid w:val="00EA033A"/>
    <w:rsid w:val="00EA09D0"/>
    <w:rsid w:val="00EA0F17"/>
    <w:rsid w:val="00EA0F56"/>
    <w:rsid w:val="00EA0F64"/>
    <w:rsid w:val="00EA0FB4"/>
    <w:rsid w:val="00EA1771"/>
    <w:rsid w:val="00EA1975"/>
    <w:rsid w:val="00EA1DFF"/>
    <w:rsid w:val="00EA24D9"/>
    <w:rsid w:val="00EA2B98"/>
    <w:rsid w:val="00EA30DB"/>
    <w:rsid w:val="00EA34B7"/>
    <w:rsid w:val="00EA3756"/>
    <w:rsid w:val="00EA3B3D"/>
    <w:rsid w:val="00EA4066"/>
    <w:rsid w:val="00EA4115"/>
    <w:rsid w:val="00EA417D"/>
    <w:rsid w:val="00EA58E8"/>
    <w:rsid w:val="00EA5DBB"/>
    <w:rsid w:val="00EA5EF1"/>
    <w:rsid w:val="00EA6C92"/>
    <w:rsid w:val="00EA7867"/>
    <w:rsid w:val="00EA794B"/>
    <w:rsid w:val="00EA7A5D"/>
    <w:rsid w:val="00EA7C6A"/>
    <w:rsid w:val="00EB0466"/>
    <w:rsid w:val="00EB1247"/>
    <w:rsid w:val="00EB1699"/>
    <w:rsid w:val="00EB18AA"/>
    <w:rsid w:val="00EB2A70"/>
    <w:rsid w:val="00EB3433"/>
    <w:rsid w:val="00EB3471"/>
    <w:rsid w:val="00EB3738"/>
    <w:rsid w:val="00EB37AC"/>
    <w:rsid w:val="00EB3929"/>
    <w:rsid w:val="00EB42BF"/>
    <w:rsid w:val="00EB4491"/>
    <w:rsid w:val="00EB44C9"/>
    <w:rsid w:val="00EB4586"/>
    <w:rsid w:val="00EB5211"/>
    <w:rsid w:val="00EB5386"/>
    <w:rsid w:val="00EB5470"/>
    <w:rsid w:val="00EB5479"/>
    <w:rsid w:val="00EB591D"/>
    <w:rsid w:val="00EB5F39"/>
    <w:rsid w:val="00EB6445"/>
    <w:rsid w:val="00EB66C7"/>
    <w:rsid w:val="00EB6E9E"/>
    <w:rsid w:val="00EB7987"/>
    <w:rsid w:val="00EB7E1A"/>
    <w:rsid w:val="00EB7E3E"/>
    <w:rsid w:val="00EC00E3"/>
    <w:rsid w:val="00EC00F4"/>
    <w:rsid w:val="00EC012C"/>
    <w:rsid w:val="00EC01EB"/>
    <w:rsid w:val="00EC0443"/>
    <w:rsid w:val="00EC2C0C"/>
    <w:rsid w:val="00EC2C99"/>
    <w:rsid w:val="00EC308B"/>
    <w:rsid w:val="00EC30FB"/>
    <w:rsid w:val="00EC33A9"/>
    <w:rsid w:val="00EC354F"/>
    <w:rsid w:val="00EC4334"/>
    <w:rsid w:val="00EC4534"/>
    <w:rsid w:val="00EC4641"/>
    <w:rsid w:val="00EC4936"/>
    <w:rsid w:val="00EC4E29"/>
    <w:rsid w:val="00EC5FF2"/>
    <w:rsid w:val="00EC6441"/>
    <w:rsid w:val="00EC66CF"/>
    <w:rsid w:val="00EC6C1D"/>
    <w:rsid w:val="00EC6E2E"/>
    <w:rsid w:val="00EC6E9C"/>
    <w:rsid w:val="00EC6EFF"/>
    <w:rsid w:val="00EC7595"/>
    <w:rsid w:val="00EC7C13"/>
    <w:rsid w:val="00EC7FAB"/>
    <w:rsid w:val="00ED00EA"/>
    <w:rsid w:val="00ED0709"/>
    <w:rsid w:val="00ED10E2"/>
    <w:rsid w:val="00ED27D1"/>
    <w:rsid w:val="00ED2981"/>
    <w:rsid w:val="00ED3641"/>
    <w:rsid w:val="00ED38C6"/>
    <w:rsid w:val="00ED426F"/>
    <w:rsid w:val="00ED575F"/>
    <w:rsid w:val="00ED6006"/>
    <w:rsid w:val="00ED6470"/>
    <w:rsid w:val="00ED65F0"/>
    <w:rsid w:val="00ED6947"/>
    <w:rsid w:val="00ED6AB3"/>
    <w:rsid w:val="00ED71FD"/>
    <w:rsid w:val="00ED73D2"/>
    <w:rsid w:val="00ED74C8"/>
    <w:rsid w:val="00ED778A"/>
    <w:rsid w:val="00ED7A3F"/>
    <w:rsid w:val="00ED7CFE"/>
    <w:rsid w:val="00ED7E08"/>
    <w:rsid w:val="00EE03B2"/>
    <w:rsid w:val="00EE0522"/>
    <w:rsid w:val="00EE123F"/>
    <w:rsid w:val="00EE176C"/>
    <w:rsid w:val="00EE1E7E"/>
    <w:rsid w:val="00EE20B9"/>
    <w:rsid w:val="00EE20D8"/>
    <w:rsid w:val="00EE21EB"/>
    <w:rsid w:val="00EE25BB"/>
    <w:rsid w:val="00EE25F7"/>
    <w:rsid w:val="00EE345C"/>
    <w:rsid w:val="00EE34B0"/>
    <w:rsid w:val="00EE361A"/>
    <w:rsid w:val="00EE3950"/>
    <w:rsid w:val="00EE3971"/>
    <w:rsid w:val="00EE3BB8"/>
    <w:rsid w:val="00EE43C7"/>
    <w:rsid w:val="00EE482A"/>
    <w:rsid w:val="00EE7436"/>
    <w:rsid w:val="00EE778E"/>
    <w:rsid w:val="00EF013C"/>
    <w:rsid w:val="00EF0450"/>
    <w:rsid w:val="00EF0924"/>
    <w:rsid w:val="00EF0FEE"/>
    <w:rsid w:val="00EF1210"/>
    <w:rsid w:val="00EF1A5B"/>
    <w:rsid w:val="00EF1CED"/>
    <w:rsid w:val="00EF2668"/>
    <w:rsid w:val="00EF2CD3"/>
    <w:rsid w:val="00EF2EB3"/>
    <w:rsid w:val="00EF315A"/>
    <w:rsid w:val="00EF3556"/>
    <w:rsid w:val="00EF47BE"/>
    <w:rsid w:val="00EF4A67"/>
    <w:rsid w:val="00EF4F64"/>
    <w:rsid w:val="00EF510F"/>
    <w:rsid w:val="00EF5463"/>
    <w:rsid w:val="00EF65B5"/>
    <w:rsid w:val="00EF7059"/>
    <w:rsid w:val="00EF7095"/>
    <w:rsid w:val="00EF72C2"/>
    <w:rsid w:val="00EF7498"/>
    <w:rsid w:val="00EF763E"/>
    <w:rsid w:val="00EF797C"/>
    <w:rsid w:val="00EF7B99"/>
    <w:rsid w:val="00F00A32"/>
    <w:rsid w:val="00F00BE4"/>
    <w:rsid w:val="00F012E6"/>
    <w:rsid w:val="00F01528"/>
    <w:rsid w:val="00F0157E"/>
    <w:rsid w:val="00F01907"/>
    <w:rsid w:val="00F020DD"/>
    <w:rsid w:val="00F02A85"/>
    <w:rsid w:val="00F02E41"/>
    <w:rsid w:val="00F0324C"/>
    <w:rsid w:val="00F0432B"/>
    <w:rsid w:val="00F04692"/>
    <w:rsid w:val="00F05875"/>
    <w:rsid w:val="00F06EA5"/>
    <w:rsid w:val="00F077FC"/>
    <w:rsid w:val="00F07C9B"/>
    <w:rsid w:val="00F07F5B"/>
    <w:rsid w:val="00F101D5"/>
    <w:rsid w:val="00F10491"/>
    <w:rsid w:val="00F10640"/>
    <w:rsid w:val="00F1086F"/>
    <w:rsid w:val="00F1093E"/>
    <w:rsid w:val="00F11254"/>
    <w:rsid w:val="00F1134C"/>
    <w:rsid w:val="00F11D12"/>
    <w:rsid w:val="00F12660"/>
    <w:rsid w:val="00F12686"/>
    <w:rsid w:val="00F12867"/>
    <w:rsid w:val="00F12B84"/>
    <w:rsid w:val="00F134D1"/>
    <w:rsid w:val="00F13E99"/>
    <w:rsid w:val="00F13EE9"/>
    <w:rsid w:val="00F142EF"/>
    <w:rsid w:val="00F1444F"/>
    <w:rsid w:val="00F145C0"/>
    <w:rsid w:val="00F15911"/>
    <w:rsid w:val="00F15BCB"/>
    <w:rsid w:val="00F16922"/>
    <w:rsid w:val="00F17227"/>
    <w:rsid w:val="00F1779C"/>
    <w:rsid w:val="00F17A1D"/>
    <w:rsid w:val="00F17B4C"/>
    <w:rsid w:val="00F17BDC"/>
    <w:rsid w:val="00F17C2F"/>
    <w:rsid w:val="00F200AB"/>
    <w:rsid w:val="00F20CDA"/>
    <w:rsid w:val="00F20F50"/>
    <w:rsid w:val="00F20F79"/>
    <w:rsid w:val="00F22A99"/>
    <w:rsid w:val="00F23146"/>
    <w:rsid w:val="00F23BF6"/>
    <w:rsid w:val="00F247FD"/>
    <w:rsid w:val="00F24AE8"/>
    <w:rsid w:val="00F24B31"/>
    <w:rsid w:val="00F26018"/>
    <w:rsid w:val="00F26D26"/>
    <w:rsid w:val="00F26FC5"/>
    <w:rsid w:val="00F2781D"/>
    <w:rsid w:val="00F3065A"/>
    <w:rsid w:val="00F3086B"/>
    <w:rsid w:val="00F30BCE"/>
    <w:rsid w:val="00F30CC9"/>
    <w:rsid w:val="00F31C56"/>
    <w:rsid w:val="00F31E9C"/>
    <w:rsid w:val="00F33968"/>
    <w:rsid w:val="00F33BB4"/>
    <w:rsid w:val="00F34077"/>
    <w:rsid w:val="00F34838"/>
    <w:rsid w:val="00F34E44"/>
    <w:rsid w:val="00F34E4D"/>
    <w:rsid w:val="00F35740"/>
    <w:rsid w:val="00F35BD6"/>
    <w:rsid w:val="00F361B5"/>
    <w:rsid w:val="00F3673D"/>
    <w:rsid w:val="00F36913"/>
    <w:rsid w:val="00F36A8A"/>
    <w:rsid w:val="00F36E5B"/>
    <w:rsid w:val="00F36F72"/>
    <w:rsid w:val="00F376ED"/>
    <w:rsid w:val="00F40506"/>
    <w:rsid w:val="00F4051A"/>
    <w:rsid w:val="00F40E5C"/>
    <w:rsid w:val="00F41DE2"/>
    <w:rsid w:val="00F41E0F"/>
    <w:rsid w:val="00F41F3C"/>
    <w:rsid w:val="00F41F9B"/>
    <w:rsid w:val="00F422E1"/>
    <w:rsid w:val="00F4293F"/>
    <w:rsid w:val="00F4302B"/>
    <w:rsid w:val="00F43B77"/>
    <w:rsid w:val="00F43E27"/>
    <w:rsid w:val="00F4420D"/>
    <w:rsid w:val="00F44FB7"/>
    <w:rsid w:val="00F461B4"/>
    <w:rsid w:val="00F46C9C"/>
    <w:rsid w:val="00F5076C"/>
    <w:rsid w:val="00F5086B"/>
    <w:rsid w:val="00F50ADA"/>
    <w:rsid w:val="00F50C3D"/>
    <w:rsid w:val="00F50EA6"/>
    <w:rsid w:val="00F5153A"/>
    <w:rsid w:val="00F517F1"/>
    <w:rsid w:val="00F51ABA"/>
    <w:rsid w:val="00F51BC3"/>
    <w:rsid w:val="00F51FF7"/>
    <w:rsid w:val="00F52184"/>
    <w:rsid w:val="00F5251E"/>
    <w:rsid w:val="00F52537"/>
    <w:rsid w:val="00F536BD"/>
    <w:rsid w:val="00F53B4C"/>
    <w:rsid w:val="00F53C2A"/>
    <w:rsid w:val="00F54424"/>
    <w:rsid w:val="00F5446B"/>
    <w:rsid w:val="00F54E44"/>
    <w:rsid w:val="00F552D1"/>
    <w:rsid w:val="00F5536E"/>
    <w:rsid w:val="00F557D5"/>
    <w:rsid w:val="00F558ED"/>
    <w:rsid w:val="00F55BDE"/>
    <w:rsid w:val="00F55D9A"/>
    <w:rsid w:val="00F55DEB"/>
    <w:rsid w:val="00F574D0"/>
    <w:rsid w:val="00F57774"/>
    <w:rsid w:val="00F601B0"/>
    <w:rsid w:val="00F60429"/>
    <w:rsid w:val="00F6073A"/>
    <w:rsid w:val="00F6166F"/>
    <w:rsid w:val="00F62153"/>
    <w:rsid w:val="00F621B5"/>
    <w:rsid w:val="00F62394"/>
    <w:rsid w:val="00F62481"/>
    <w:rsid w:val="00F62DCE"/>
    <w:rsid w:val="00F63790"/>
    <w:rsid w:val="00F6379D"/>
    <w:rsid w:val="00F63877"/>
    <w:rsid w:val="00F63BC8"/>
    <w:rsid w:val="00F63EEA"/>
    <w:rsid w:val="00F645DB"/>
    <w:rsid w:val="00F64949"/>
    <w:rsid w:val="00F652E8"/>
    <w:rsid w:val="00F65306"/>
    <w:rsid w:val="00F653C9"/>
    <w:rsid w:val="00F65985"/>
    <w:rsid w:val="00F65C4B"/>
    <w:rsid w:val="00F65E73"/>
    <w:rsid w:val="00F665A0"/>
    <w:rsid w:val="00F66F04"/>
    <w:rsid w:val="00F67151"/>
    <w:rsid w:val="00F672E6"/>
    <w:rsid w:val="00F67578"/>
    <w:rsid w:val="00F679F4"/>
    <w:rsid w:val="00F7083E"/>
    <w:rsid w:val="00F71511"/>
    <w:rsid w:val="00F71755"/>
    <w:rsid w:val="00F726C4"/>
    <w:rsid w:val="00F72FE4"/>
    <w:rsid w:val="00F732AA"/>
    <w:rsid w:val="00F73546"/>
    <w:rsid w:val="00F7409A"/>
    <w:rsid w:val="00F741BE"/>
    <w:rsid w:val="00F7423C"/>
    <w:rsid w:val="00F74562"/>
    <w:rsid w:val="00F755C9"/>
    <w:rsid w:val="00F758BA"/>
    <w:rsid w:val="00F75AEA"/>
    <w:rsid w:val="00F75E00"/>
    <w:rsid w:val="00F76231"/>
    <w:rsid w:val="00F80D11"/>
    <w:rsid w:val="00F8150A"/>
    <w:rsid w:val="00F81801"/>
    <w:rsid w:val="00F821D8"/>
    <w:rsid w:val="00F82265"/>
    <w:rsid w:val="00F82670"/>
    <w:rsid w:val="00F8267F"/>
    <w:rsid w:val="00F8282C"/>
    <w:rsid w:val="00F82E8B"/>
    <w:rsid w:val="00F83159"/>
    <w:rsid w:val="00F83D6F"/>
    <w:rsid w:val="00F84787"/>
    <w:rsid w:val="00F853AB"/>
    <w:rsid w:val="00F85D21"/>
    <w:rsid w:val="00F86052"/>
    <w:rsid w:val="00F8614E"/>
    <w:rsid w:val="00F861A0"/>
    <w:rsid w:val="00F86264"/>
    <w:rsid w:val="00F86363"/>
    <w:rsid w:val="00F8654C"/>
    <w:rsid w:val="00F86697"/>
    <w:rsid w:val="00F87138"/>
    <w:rsid w:val="00F8737F"/>
    <w:rsid w:val="00F87924"/>
    <w:rsid w:val="00F90430"/>
    <w:rsid w:val="00F90C0B"/>
    <w:rsid w:val="00F9101C"/>
    <w:rsid w:val="00F9119F"/>
    <w:rsid w:val="00F928FE"/>
    <w:rsid w:val="00F92BF1"/>
    <w:rsid w:val="00F93325"/>
    <w:rsid w:val="00F934C4"/>
    <w:rsid w:val="00F937EC"/>
    <w:rsid w:val="00F939DF"/>
    <w:rsid w:val="00F9405E"/>
    <w:rsid w:val="00F94617"/>
    <w:rsid w:val="00F95BFD"/>
    <w:rsid w:val="00F96B95"/>
    <w:rsid w:val="00F9767D"/>
    <w:rsid w:val="00F97EA2"/>
    <w:rsid w:val="00FA050D"/>
    <w:rsid w:val="00FA0750"/>
    <w:rsid w:val="00FA0C74"/>
    <w:rsid w:val="00FA1473"/>
    <w:rsid w:val="00FA1535"/>
    <w:rsid w:val="00FA1F07"/>
    <w:rsid w:val="00FA1F61"/>
    <w:rsid w:val="00FA2675"/>
    <w:rsid w:val="00FA2DFD"/>
    <w:rsid w:val="00FA3557"/>
    <w:rsid w:val="00FA37FC"/>
    <w:rsid w:val="00FA3E37"/>
    <w:rsid w:val="00FA44D4"/>
    <w:rsid w:val="00FA4607"/>
    <w:rsid w:val="00FA4B8A"/>
    <w:rsid w:val="00FA58C7"/>
    <w:rsid w:val="00FA5951"/>
    <w:rsid w:val="00FA5C8D"/>
    <w:rsid w:val="00FA6911"/>
    <w:rsid w:val="00FA7191"/>
    <w:rsid w:val="00FA7823"/>
    <w:rsid w:val="00FA78A9"/>
    <w:rsid w:val="00FA7910"/>
    <w:rsid w:val="00FB0668"/>
    <w:rsid w:val="00FB0A3D"/>
    <w:rsid w:val="00FB15C1"/>
    <w:rsid w:val="00FB1A5F"/>
    <w:rsid w:val="00FB1FFA"/>
    <w:rsid w:val="00FB346B"/>
    <w:rsid w:val="00FB3ABB"/>
    <w:rsid w:val="00FB3EBA"/>
    <w:rsid w:val="00FB3F67"/>
    <w:rsid w:val="00FB4D15"/>
    <w:rsid w:val="00FB4D82"/>
    <w:rsid w:val="00FB5460"/>
    <w:rsid w:val="00FB5C4A"/>
    <w:rsid w:val="00FB5C83"/>
    <w:rsid w:val="00FB5CA0"/>
    <w:rsid w:val="00FC00BA"/>
    <w:rsid w:val="00FC035F"/>
    <w:rsid w:val="00FC0813"/>
    <w:rsid w:val="00FC1240"/>
    <w:rsid w:val="00FC18E9"/>
    <w:rsid w:val="00FC3185"/>
    <w:rsid w:val="00FC421B"/>
    <w:rsid w:val="00FC45AC"/>
    <w:rsid w:val="00FC5840"/>
    <w:rsid w:val="00FC59BC"/>
    <w:rsid w:val="00FC5DD0"/>
    <w:rsid w:val="00FC617D"/>
    <w:rsid w:val="00FC650F"/>
    <w:rsid w:val="00FC6797"/>
    <w:rsid w:val="00FC6D88"/>
    <w:rsid w:val="00FC71AD"/>
    <w:rsid w:val="00FC78E3"/>
    <w:rsid w:val="00FD0A2B"/>
    <w:rsid w:val="00FD156A"/>
    <w:rsid w:val="00FD19E0"/>
    <w:rsid w:val="00FD23A0"/>
    <w:rsid w:val="00FD26B2"/>
    <w:rsid w:val="00FD2B94"/>
    <w:rsid w:val="00FD3153"/>
    <w:rsid w:val="00FD32ED"/>
    <w:rsid w:val="00FD3782"/>
    <w:rsid w:val="00FD3A35"/>
    <w:rsid w:val="00FD3B24"/>
    <w:rsid w:val="00FD3B28"/>
    <w:rsid w:val="00FD4014"/>
    <w:rsid w:val="00FD4260"/>
    <w:rsid w:val="00FD5023"/>
    <w:rsid w:val="00FD68F8"/>
    <w:rsid w:val="00FD69B7"/>
    <w:rsid w:val="00FD6A6B"/>
    <w:rsid w:val="00FD71C3"/>
    <w:rsid w:val="00FE055A"/>
    <w:rsid w:val="00FE0B34"/>
    <w:rsid w:val="00FE0E97"/>
    <w:rsid w:val="00FE17D2"/>
    <w:rsid w:val="00FE1C34"/>
    <w:rsid w:val="00FE1C47"/>
    <w:rsid w:val="00FE25E3"/>
    <w:rsid w:val="00FE30D4"/>
    <w:rsid w:val="00FE3684"/>
    <w:rsid w:val="00FE3A5E"/>
    <w:rsid w:val="00FE451E"/>
    <w:rsid w:val="00FE465A"/>
    <w:rsid w:val="00FE4D88"/>
    <w:rsid w:val="00FE54C5"/>
    <w:rsid w:val="00FE577C"/>
    <w:rsid w:val="00FE5A50"/>
    <w:rsid w:val="00FE5BB4"/>
    <w:rsid w:val="00FE6005"/>
    <w:rsid w:val="00FE67EE"/>
    <w:rsid w:val="00FE68AD"/>
    <w:rsid w:val="00FE6C24"/>
    <w:rsid w:val="00FE6D1D"/>
    <w:rsid w:val="00FE6DB7"/>
    <w:rsid w:val="00FE70F1"/>
    <w:rsid w:val="00FE756F"/>
    <w:rsid w:val="00FE77AB"/>
    <w:rsid w:val="00FE7BE5"/>
    <w:rsid w:val="00FE7FE2"/>
    <w:rsid w:val="00FF0167"/>
    <w:rsid w:val="00FF01B3"/>
    <w:rsid w:val="00FF09E6"/>
    <w:rsid w:val="00FF15BE"/>
    <w:rsid w:val="00FF1A7B"/>
    <w:rsid w:val="00FF1D36"/>
    <w:rsid w:val="00FF1D5E"/>
    <w:rsid w:val="00FF28D5"/>
    <w:rsid w:val="00FF2A0A"/>
    <w:rsid w:val="00FF3800"/>
    <w:rsid w:val="00FF39A6"/>
    <w:rsid w:val="00FF3AE0"/>
    <w:rsid w:val="00FF427C"/>
    <w:rsid w:val="00FF464E"/>
    <w:rsid w:val="00FF545E"/>
    <w:rsid w:val="00FF581B"/>
    <w:rsid w:val="00FF587B"/>
    <w:rsid w:val="00FF58B6"/>
    <w:rsid w:val="00FF6442"/>
    <w:rsid w:val="00FF6A3E"/>
    <w:rsid w:val="00FF794E"/>
    <w:rsid w:val="00FF7FB8"/>
    <w:rsid w:val="010A034A"/>
    <w:rsid w:val="010E05E7"/>
    <w:rsid w:val="01255C34"/>
    <w:rsid w:val="0133FCCB"/>
    <w:rsid w:val="01374129"/>
    <w:rsid w:val="015259B6"/>
    <w:rsid w:val="015D1A21"/>
    <w:rsid w:val="016A96CC"/>
    <w:rsid w:val="016E71A8"/>
    <w:rsid w:val="017AF682"/>
    <w:rsid w:val="01813E75"/>
    <w:rsid w:val="01B351AF"/>
    <w:rsid w:val="01C3E4EA"/>
    <w:rsid w:val="01F2700F"/>
    <w:rsid w:val="01F3F90E"/>
    <w:rsid w:val="02008E42"/>
    <w:rsid w:val="021FD705"/>
    <w:rsid w:val="0229C059"/>
    <w:rsid w:val="022E84A4"/>
    <w:rsid w:val="0268BF52"/>
    <w:rsid w:val="0277A21F"/>
    <w:rsid w:val="02ADEDED"/>
    <w:rsid w:val="02AE2A7C"/>
    <w:rsid w:val="02B3AF69"/>
    <w:rsid w:val="02CF0D6D"/>
    <w:rsid w:val="02E2A624"/>
    <w:rsid w:val="0308D0E9"/>
    <w:rsid w:val="0324A7BB"/>
    <w:rsid w:val="034DC7D8"/>
    <w:rsid w:val="0352BC22"/>
    <w:rsid w:val="0357700E"/>
    <w:rsid w:val="037418A6"/>
    <w:rsid w:val="03756153"/>
    <w:rsid w:val="038FA38E"/>
    <w:rsid w:val="03969C2C"/>
    <w:rsid w:val="039EBE1E"/>
    <w:rsid w:val="03BFB143"/>
    <w:rsid w:val="03D277A0"/>
    <w:rsid w:val="03F768DD"/>
    <w:rsid w:val="0436ABBC"/>
    <w:rsid w:val="045EF293"/>
    <w:rsid w:val="046D08DD"/>
    <w:rsid w:val="048670CA"/>
    <w:rsid w:val="04A246D1"/>
    <w:rsid w:val="04F2A09D"/>
    <w:rsid w:val="0504A77A"/>
    <w:rsid w:val="051849EE"/>
    <w:rsid w:val="051AD8C2"/>
    <w:rsid w:val="0535F95D"/>
    <w:rsid w:val="05427DC1"/>
    <w:rsid w:val="05467A70"/>
    <w:rsid w:val="057E890E"/>
    <w:rsid w:val="05C47503"/>
    <w:rsid w:val="05CD0209"/>
    <w:rsid w:val="05D4EB50"/>
    <w:rsid w:val="05D94C06"/>
    <w:rsid w:val="06064988"/>
    <w:rsid w:val="064370A0"/>
    <w:rsid w:val="0669593D"/>
    <w:rsid w:val="066F3E46"/>
    <w:rsid w:val="06757497"/>
    <w:rsid w:val="068ACE39"/>
    <w:rsid w:val="06E4CC34"/>
    <w:rsid w:val="06FA8ED1"/>
    <w:rsid w:val="0718776A"/>
    <w:rsid w:val="073CF292"/>
    <w:rsid w:val="07411F0F"/>
    <w:rsid w:val="074A49F4"/>
    <w:rsid w:val="075EA16F"/>
    <w:rsid w:val="076ED612"/>
    <w:rsid w:val="0780A212"/>
    <w:rsid w:val="07AF7660"/>
    <w:rsid w:val="07C5C75E"/>
    <w:rsid w:val="07CF2332"/>
    <w:rsid w:val="07F090FA"/>
    <w:rsid w:val="081F39A3"/>
    <w:rsid w:val="0823278B"/>
    <w:rsid w:val="08280BB8"/>
    <w:rsid w:val="0830C28C"/>
    <w:rsid w:val="083A8995"/>
    <w:rsid w:val="083E0BEC"/>
    <w:rsid w:val="0866A1A6"/>
    <w:rsid w:val="08C6FDAB"/>
    <w:rsid w:val="08C82356"/>
    <w:rsid w:val="08CB5E61"/>
    <w:rsid w:val="08D3AFD6"/>
    <w:rsid w:val="08FE7869"/>
    <w:rsid w:val="09450D87"/>
    <w:rsid w:val="09553BD9"/>
    <w:rsid w:val="09B23BA0"/>
    <w:rsid w:val="09B8265E"/>
    <w:rsid w:val="09D1BCF1"/>
    <w:rsid w:val="09E5949A"/>
    <w:rsid w:val="09EF6EF5"/>
    <w:rsid w:val="0A0AEF03"/>
    <w:rsid w:val="0A3571A1"/>
    <w:rsid w:val="0A3BE286"/>
    <w:rsid w:val="0A40FD16"/>
    <w:rsid w:val="0A7837C3"/>
    <w:rsid w:val="0AA53545"/>
    <w:rsid w:val="0B0B3692"/>
    <w:rsid w:val="0B1A1E13"/>
    <w:rsid w:val="0B2FE60C"/>
    <w:rsid w:val="0B3FB5C1"/>
    <w:rsid w:val="0B627C0D"/>
    <w:rsid w:val="0B6F53BA"/>
    <w:rsid w:val="0B84B827"/>
    <w:rsid w:val="0B90733A"/>
    <w:rsid w:val="0BAB93D5"/>
    <w:rsid w:val="0BCAFDEF"/>
    <w:rsid w:val="0BE60D88"/>
    <w:rsid w:val="0C192A1B"/>
    <w:rsid w:val="0C1BEB20"/>
    <w:rsid w:val="0C2F5106"/>
    <w:rsid w:val="0C3BAF12"/>
    <w:rsid w:val="0C7A1B67"/>
    <w:rsid w:val="0C7C16D1"/>
    <w:rsid w:val="0C800F5F"/>
    <w:rsid w:val="0C9CF8E8"/>
    <w:rsid w:val="0CB7B4DC"/>
    <w:rsid w:val="0CCDD536"/>
    <w:rsid w:val="0CE977BB"/>
    <w:rsid w:val="0CEF2FA8"/>
    <w:rsid w:val="0D0F2EA6"/>
    <w:rsid w:val="0D492A9E"/>
    <w:rsid w:val="0D4DEFFB"/>
    <w:rsid w:val="0D4EEC1A"/>
    <w:rsid w:val="0D6FF965"/>
    <w:rsid w:val="0D90BC6A"/>
    <w:rsid w:val="0DBBE7F9"/>
    <w:rsid w:val="0DBFE46C"/>
    <w:rsid w:val="0DD35D86"/>
    <w:rsid w:val="0E177135"/>
    <w:rsid w:val="0E301275"/>
    <w:rsid w:val="0E3E6178"/>
    <w:rsid w:val="0E5AB0B6"/>
    <w:rsid w:val="0E86C23A"/>
    <w:rsid w:val="0EC34E9F"/>
    <w:rsid w:val="0EC4A9C5"/>
    <w:rsid w:val="0EE4BA80"/>
    <w:rsid w:val="0EF34C71"/>
    <w:rsid w:val="0F04D66D"/>
    <w:rsid w:val="0F0F9AA1"/>
    <w:rsid w:val="0F16A328"/>
    <w:rsid w:val="0F18077B"/>
    <w:rsid w:val="0F1F55C9"/>
    <w:rsid w:val="0F318B32"/>
    <w:rsid w:val="0F354310"/>
    <w:rsid w:val="0F3C9823"/>
    <w:rsid w:val="0F47F155"/>
    <w:rsid w:val="0F5F7FF4"/>
    <w:rsid w:val="0F6E487B"/>
    <w:rsid w:val="0F7E33EE"/>
    <w:rsid w:val="0FA11063"/>
    <w:rsid w:val="1017658A"/>
    <w:rsid w:val="101DEE47"/>
    <w:rsid w:val="102F0FAB"/>
    <w:rsid w:val="1033B1E9"/>
    <w:rsid w:val="104D7E87"/>
    <w:rsid w:val="10562BCC"/>
    <w:rsid w:val="106CF649"/>
    <w:rsid w:val="10CA16C0"/>
    <w:rsid w:val="10F673ED"/>
    <w:rsid w:val="1141CF63"/>
    <w:rsid w:val="11436C89"/>
    <w:rsid w:val="1147CD3F"/>
    <w:rsid w:val="115995FF"/>
    <w:rsid w:val="117AE747"/>
    <w:rsid w:val="11894A75"/>
    <w:rsid w:val="11FDEBBB"/>
    <w:rsid w:val="120090F1"/>
    <w:rsid w:val="121D1C38"/>
    <w:rsid w:val="12333E05"/>
    <w:rsid w:val="126A85F2"/>
    <w:rsid w:val="126AC39D"/>
    <w:rsid w:val="12711777"/>
    <w:rsid w:val="1274C6AC"/>
    <w:rsid w:val="1282476D"/>
    <w:rsid w:val="12B6C865"/>
    <w:rsid w:val="12C93C56"/>
    <w:rsid w:val="12D71B44"/>
    <w:rsid w:val="12FD7B24"/>
    <w:rsid w:val="13181470"/>
    <w:rsid w:val="134EA1A5"/>
    <w:rsid w:val="1355454F"/>
    <w:rsid w:val="136F94B8"/>
    <w:rsid w:val="13753533"/>
    <w:rsid w:val="13870360"/>
    <w:rsid w:val="138DC52F"/>
    <w:rsid w:val="13968CF1"/>
    <w:rsid w:val="13A76830"/>
    <w:rsid w:val="13B7B716"/>
    <w:rsid w:val="13BC028F"/>
    <w:rsid w:val="13C1C0AC"/>
    <w:rsid w:val="13DC065E"/>
    <w:rsid w:val="13E88648"/>
    <w:rsid w:val="14012C4F"/>
    <w:rsid w:val="14088162"/>
    <w:rsid w:val="1408DC7A"/>
    <w:rsid w:val="14159E58"/>
    <w:rsid w:val="1430C548"/>
    <w:rsid w:val="14341D4D"/>
    <w:rsid w:val="14357EE4"/>
    <w:rsid w:val="145EDF6E"/>
    <w:rsid w:val="14627C66"/>
    <w:rsid w:val="146BE931"/>
    <w:rsid w:val="14787708"/>
    <w:rsid w:val="147F49D4"/>
    <w:rsid w:val="14A06DC7"/>
    <w:rsid w:val="14DD1E1C"/>
    <w:rsid w:val="14E65A68"/>
    <w:rsid w:val="14E9BAD4"/>
    <w:rsid w:val="14FE6F64"/>
    <w:rsid w:val="151598D6"/>
    <w:rsid w:val="15249A12"/>
    <w:rsid w:val="153D49CD"/>
    <w:rsid w:val="15406D3A"/>
    <w:rsid w:val="1555D74D"/>
    <w:rsid w:val="1571EB75"/>
    <w:rsid w:val="158A895B"/>
    <w:rsid w:val="1593F470"/>
    <w:rsid w:val="159BC431"/>
    <w:rsid w:val="15AADD88"/>
    <w:rsid w:val="15AC63F1"/>
    <w:rsid w:val="15B0811E"/>
    <w:rsid w:val="15B09FFF"/>
    <w:rsid w:val="15B9E2B8"/>
    <w:rsid w:val="15CE4A14"/>
    <w:rsid w:val="15DD798D"/>
    <w:rsid w:val="15E25846"/>
    <w:rsid w:val="1604E38F"/>
    <w:rsid w:val="16814A39"/>
    <w:rsid w:val="16948277"/>
    <w:rsid w:val="16B8C4F7"/>
    <w:rsid w:val="16DC1E44"/>
    <w:rsid w:val="16E5C279"/>
    <w:rsid w:val="1724669B"/>
    <w:rsid w:val="17395506"/>
    <w:rsid w:val="174592E9"/>
    <w:rsid w:val="1749B815"/>
    <w:rsid w:val="17533C1A"/>
    <w:rsid w:val="17623F0E"/>
    <w:rsid w:val="1781C54C"/>
    <w:rsid w:val="1784B46C"/>
    <w:rsid w:val="17E258F4"/>
    <w:rsid w:val="17ED8D62"/>
    <w:rsid w:val="17EEF564"/>
    <w:rsid w:val="1822D923"/>
    <w:rsid w:val="183EF984"/>
    <w:rsid w:val="1852EC9F"/>
    <w:rsid w:val="18627630"/>
    <w:rsid w:val="1874AD35"/>
    <w:rsid w:val="18A59D28"/>
    <w:rsid w:val="18B75BD3"/>
    <w:rsid w:val="18C5514A"/>
    <w:rsid w:val="18D8CB57"/>
    <w:rsid w:val="18F3EBF2"/>
    <w:rsid w:val="191044DF"/>
    <w:rsid w:val="1919328B"/>
    <w:rsid w:val="1924EAB0"/>
    <w:rsid w:val="19431FD5"/>
    <w:rsid w:val="195785C2"/>
    <w:rsid w:val="198F17E0"/>
    <w:rsid w:val="19D18D9C"/>
    <w:rsid w:val="19DD4659"/>
    <w:rsid w:val="1A09330C"/>
    <w:rsid w:val="1A31CFD8"/>
    <w:rsid w:val="1A6F0283"/>
    <w:rsid w:val="1A8710B4"/>
    <w:rsid w:val="1A974437"/>
    <w:rsid w:val="1AB2A23B"/>
    <w:rsid w:val="1AB8B186"/>
    <w:rsid w:val="1ACDC2D6"/>
    <w:rsid w:val="1B083C89"/>
    <w:rsid w:val="1B2496AC"/>
    <w:rsid w:val="1B2EC868"/>
    <w:rsid w:val="1B350CAD"/>
    <w:rsid w:val="1B3694D0"/>
    <w:rsid w:val="1B3FB747"/>
    <w:rsid w:val="1B7965FA"/>
    <w:rsid w:val="1B7A30FA"/>
    <w:rsid w:val="1BB60C6E"/>
    <w:rsid w:val="1BBC7B4C"/>
    <w:rsid w:val="1BE309F0"/>
    <w:rsid w:val="1BF4D2B0"/>
    <w:rsid w:val="1C0BA6BC"/>
    <w:rsid w:val="1C0E6D75"/>
    <w:rsid w:val="1C246C11"/>
    <w:rsid w:val="1C60342A"/>
    <w:rsid w:val="1CC6FD26"/>
    <w:rsid w:val="1CE5ADC4"/>
    <w:rsid w:val="1CF3B803"/>
    <w:rsid w:val="1CF5478B"/>
    <w:rsid w:val="1D1DC836"/>
    <w:rsid w:val="1D3C0B7E"/>
    <w:rsid w:val="1D5407DE"/>
    <w:rsid w:val="1D558BA3"/>
    <w:rsid w:val="1E004913"/>
    <w:rsid w:val="1E1A09A5"/>
    <w:rsid w:val="1E3ECC0A"/>
    <w:rsid w:val="1E527D50"/>
    <w:rsid w:val="1E6993E5"/>
    <w:rsid w:val="1E82130C"/>
    <w:rsid w:val="1E93EACE"/>
    <w:rsid w:val="1EA81EC9"/>
    <w:rsid w:val="1EB0F34C"/>
    <w:rsid w:val="1EBD22DE"/>
    <w:rsid w:val="1EC75D45"/>
    <w:rsid w:val="1EDA590C"/>
    <w:rsid w:val="1EF6B389"/>
    <w:rsid w:val="1F2AFFD6"/>
    <w:rsid w:val="1F3D5D97"/>
    <w:rsid w:val="1F6FAD88"/>
    <w:rsid w:val="1F9ECA63"/>
    <w:rsid w:val="1FF8EECC"/>
    <w:rsid w:val="201B04A9"/>
    <w:rsid w:val="204120D7"/>
    <w:rsid w:val="20B744CE"/>
    <w:rsid w:val="20E79BE2"/>
    <w:rsid w:val="20ED46C6"/>
    <w:rsid w:val="212AE173"/>
    <w:rsid w:val="21311DB8"/>
    <w:rsid w:val="2148FA0B"/>
    <w:rsid w:val="2149846C"/>
    <w:rsid w:val="214FD23C"/>
    <w:rsid w:val="2151A10E"/>
    <w:rsid w:val="216AAFF2"/>
    <w:rsid w:val="217DD701"/>
    <w:rsid w:val="2182678D"/>
    <w:rsid w:val="21B3C5A6"/>
    <w:rsid w:val="21DF8FF2"/>
    <w:rsid w:val="21FB6726"/>
    <w:rsid w:val="222219CB"/>
    <w:rsid w:val="22389EB6"/>
    <w:rsid w:val="22504459"/>
    <w:rsid w:val="225443B2"/>
    <w:rsid w:val="228D3CAE"/>
    <w:rsid w:val="229D9750"/>
    <w:rsid w:val="22C172C6"/>
    <w:rsid w:val="22D46A00"/>
    <w:rsid w:val="22F3445D"/>
    <w:rsid w:val="22F49766"/>
    <w:rsid w:val="23082FC2"/>
    <w:rsid w:val="230BF5B8"/>
    <w:rsid w:val="2313B315"/>
    <w:rsid w:val="23186E09"/>
    <w:rsid w:val="231CFBCD"/>
    <w:rsid w:val="2327035B"/>
    <w:rsid w:val="23436295"/>
    <w:rsid w:val="234731C4"/>
    <w:rsid w:val="234AC075"/>
    <w:rsid w:val="2352E888"/>
    <w:rsid w:val="238CC391"/>
    <w:rsid w:val="239A47C1"/>
    <w:rsid w:val="239F34C4"/>
    <w:rsid w:val="23A9DA0D"/>
    <w:rsid w:val="23DEFC28"/>
    <w:rsid w:val="24262D10"/>
    <w:rsid w:val="242AF8F3"/>
    <w:rsid w:val="243067D2"/>
    <w:rsid w:val="2439D05F"/>
    <w:rsid w:val="2471223D"/>
    <w:rsid w:val="24939CEB"/>
    <w:rsid w:val="24BC692A"/>
    <w:rsid w:val="24C7FF39"/>
    <w:rsid w:val="24CDCF6C"/>
    <w:rsid w:val="2509FD16"/>
    <w:rsid w:val="2531E970"/>
    <w:rsid w:val="25549C8C"/>
    <w:rsid w:val="2562E301"/>
    <w:rsid w:val="256D34AF"/>
    <w:rsid w:val="2577B67E"/>
    <w:rsid w:val="25AACE4D"/>
    <w:rsid w:val="25C9B826"/>
    <w:rsid w:val="25E6A9C1"/>
    <w:rsid w:val="25E9B5BE"/>
    <w:rsid w:val="25F0F42C"/>
    <w:rsid w:val="260003F4"/>
    <w:rsid w:val="2605C570"/>
    <w:rsid w:val="260D53BA"/>
    <w:rsid w:val="260EF961"/>
    <w:rsid w:val="26212374"/>
    <w:rsid w:val="265AE6F0"/>
    <w:rsid w:val="2676BDC2"/>
    <w:rsid w:val="26846102"/>
    <w:rsid w:val="26A11FF4"/>
    <w:rsid w:val="26A3744C"/>
    <w:rsid w:val="26B15E28"/>
    <w:rsid w:val="26DBF79C"/>
    <w:rsid w:val="271F6858"/>
    <w:rsid w:val="2721A9CA"/>
    <w:rsid w:val="273393E0"/>
    <w:rsid w:val="27518B29"/>
    <w:rsid w:val="27725919"/>
    <w:rsid w:val="27864360"/>
    <w:rsid w:val="278AFF0A"/>
    <w:rsid w:val="2790843C"/>
    <w:rsid w:val="27A41A63"/>
    <w:rsid w:val="27A911C0"/>
    <w:rsid w:val="27F4613C"/>
    <w:rsid w:val="27FAFA58"/>
    <w:rsid w:val="27FB166F"/>
    <w:rsid w:val="2813A382"/>
    <w:rsid w:val="2839C09A"/>
    <w:rsid w:val="28755DAA"/>
    <w:rsid w:val="2893492F"/>
    <w:rsid w:val="28B4C473"/>
    <w:rsid w:val="28BA64AB"/>
    <w:rsid w:val="28D3C774"/>
    <w:rsid w:val="28F460A1"/>
    <w:rsid w:val="290E1315"/>
    <w:rsid w:val="2911244F"/>
    <w:rsid w:val="2927FD05"/>
    <w:rsid w:val="292B620D"/>
    <w:rsid w:val="292E566A"/>
    <w:rsid w:val="294CF94B"/>
    <w:rsid w:val="298136E4"/>
    <w:rsid w:val="29A04ADB"/>
    <w:rsid w:val="29AE8E6A"/>
    <w:rsid w:val="29BADAEC"/>
    <w:rsid w:val="29E9C9BE"/>
    <w:rsid w:val="29EC1173"/>
    <w:rsid w:val="2A123F4C"/>
    <w:rsid w:val="2A16A002"/>
    <w:rsid w:val="2A1F7485"/>
    <w:rsid w:val="2A3A7771"/>
    <w:rsid w:val="2ABCDD6B"/>
    <w:rsid w:val="2AC93318"/>
    <w:rsid w:val="2AE6DC06"/>
    <w:rsid w:val="2AE7DEDB"/>
    <w:rsid w:val="2AE9DF40"/>
    <w:rsid w:val="2B2E74FB"/>
    <w:rsid w:val="2B2F092B"/>
    <w:rsid w:val="2B36B2F8"/>
    <w:rsid w:val="2B3D076E"/>
    <w:rsid w:val="2B45F8EF"/>
    <w:rsid w:val="2B632833"/>
    <w:rsid w:val="2B6AA50E"/>
    <w:rsid w:val="2B710644"/>
    <w:rsid w:val="2B7223D4"/>
    <w:rsid w:val="2B7A21BF"/>
    <w:rsid w:val="2B82D893"/>
    <w:rsid w:val="2BAF62CE"/>
    <w:rsid w:val="2BE2C7E4"/>
    <w:rsid w:val="2BEC1630"/>
    <w:rsid w:val="2BF91898"/>
    <w:rsid w:val="2BFA14B7"/>
    <w:rsid w:val="2C1D7468"/>
    <w:rsid w:val="2C2172CB"/>
    <w:rsid w:val="2C3C6853"/>
    <w:rsid w:val="2C5A96C2"/>
    <w:rsid w:val="2C60593A"/>
    <w:rsid w:val="2C9038B7"/>
    <w:rsid w:val="2CB76FB3"/>
    <w:rsid w:val="2CF5D8F8"/>
    <w:rsid w:val="2D568B82"/>
    <w:rsid w:val="2D8D8531"/>
    <w:rsid w:val="2D9B267A"/>
    <w:rsid w:val="2DA4F181"/>
    <w:rsid w:val="2DAEEFC6"/>
    <w:rsid w:val="2DAF5F05"/>
    <w:rsid w:val="2E0FFF11"/>
    <w:rsid w:val="2E3EB63F"/>
    <w:rsid w:val="2E8BF36B"/>
    <w:rsid w:val="2E903FB8"/>
    <w:rsid w:val="2EAAFA5C"/>
    <w:rsid w:val="2EB023C5"/>
    <w:rsid w:val="2EBBB803"/>
    <w:rsid w:val="2ED755CE"/>
    <w:rsid w:val="2ED7C50D"/>
    <w:rsid w:val="2EDED44F"/>
    <w:rsid w:val="2EE27B97"/>
    <w:rsid w:val="2EEF1C6A"/>
    <w:rsid w:val="2EFC4296"/>
    <w:rsid w:val="2F00F3D6"/>
    <w:rsid w:val="2F07D501"/>
    <w:rsid w:val="2F091C2A"/>
    <w:rsid w:val="2F0F86C3"/>
    <w:rsid w:val="2F3E6A22"/>
    <w:rsid w:val="2F4E7089"/>
    <w:rsid w:val="2F59B923"/>
    <w:rsid w:val="2F8873AA"/>
    <w:rsid w:val="2F924446"/>
    <w:rsid w:val="2F9C9BCF"/>
    <w:rsid w:val="2FCDE9E1"/>
    <w:rsid w:val="2FE998FD"/>
    <w:rsid w:val="2FF23EFB"/>
    <w:rsid w:val="3021C921"/>
    <w:rsid w:val="3022C8CA"/>
    <w:rsid w:val="303B8DC2"/>
    <w:rsid w:val="3060C700"/>
    <w:rsid w:val="3088F50D"/>
    <w:rsid w:val="30D780C0"/>
    <w:rsid w:val="31552AFA"/>
    <w:rsid w:val="315F0BA5"/>
    <w:rsid w:val="3169AFA1"/>
    <w:rsid w:val="31B4C8BB"/>
    <w:rsid w:val="31BB4AC5"/>
    <w:rsid w:val="31C79448"/>
    <w:rsid w:val="31ECC7DA"/>
    <w:rsid w:val="31FE909A"/>
    <w:rsid w:val="3212A1CB"/>
    <w:rsid w:val="321564A6"/>
    <w:rsid w:val="32409952"/>
    <w:rsid w:val="3261B0A8"/>
    <w:rsid w:val="3281421D"/>
    <w:rsid w:val="32875917"/>
    <w:rsid w:val="328EAE2A"/>
    <w:rsid w:val="32A30BFE"/>
    <w:rsid w:val="32AB3B1E"/>
    <w:rsid w:val="32C3348B"/>
    <w:rsid w:val="32ED2EA7"/>
    <w:rsid w:val="32F3266A"/>
    <w:rsid w:val="32F9C7B5"/>
    <w:rsid w:val="3316CC11"/>
    <w:rsid w:val="3340E9E0"/>
    <w:rsid w:val="334E1D8D"/>
    <w:rsid w:val="33649574"/>
    <w:rsid w:val="33697B91"/>
    <w:rsid w:val="3382A60F"/>
    <w:rsid w:val="33958E7D"/>
    <w:rsid w:val="33AD0C8D"/>
    <w:rsid w:val="33D9711D"/>
    <w:rsid w:val="33F6299D"/>
    <w:rsid w:val="342203F8"/>
    <w:rsid w:val="3429211F"/>
    <w:rsid w:val="344D5632"/>
    <w:rsid w:val="34738547"/>
    <w:rsid w:val="348D80E3"/>
    <w:rsid w:val="3492E94B"/>
    <w:rsid w:val="3499E346"/>
    <w:rsid w:val="34BAB136"/>
    <w:rsid w:val="34C94970"/>
    <w:rsid w:val="34CCFD4E"/>
    <w:rsid w:val="34D5B422"/>
    <w:rsid w:val="34F2A213"/>
    <w:rsid w:val="34F37960"/>
    <w:rsid w:val="34F8004B"/>
    <w:rsid w:val="35169848"/>
    <w:rsid w:val="351DD348"/>
    <w:rsid w:val="3527C3F3"/>
    <w:rsid w:val="353D2714"/>
    <w:rsid w:val="35796B72"/>
    <w:rsid w:val="3585540C"/>
    <w:rsid w:val="3590EB16"/>
    <w:rsid w:val="359D4D79"/>
    <w:rsid w:val="35E76457"/>
    <w:rsid w:val="3603DBA6"/>
    <w:rsid w:val="363AF722"/>
    <w:rsid w:val="36447481"/>
    <w:rsid w:val="365B8DEC"/>
    <w:rsid w:val="367049B6"/>
    <w:rsid w:val="369A542E"/>
    <w:rsid w:val="369C2425"/>
    <w:rsid w:val="36A0A833"/>
    <w:rsid w:val="36B1861F"/>
    <w:rsid w:val="36C5D3FC"/>
    <w:rsid w:val="36DA4857"/>
    <w:rsid w:val="36E14DE5"/>
    <w:rsid w:val="36E8A2F8"/>
    <w:rsid w:val="370D605B"/>
    <w:rsid w:val="370ECEC6"/>
    <w:rsid w:val="371DADA7"/>
    <w:rsid w:val="371E1056"/>
    <w:rsid w:val="3734C6DA"/>
    <w:rsid w:val="37534256"/>
    <w:rsid w:val="375A9769"/>
    <w:rsid w:val="378794EB"/>
    <w:rsid w:val="379C4241"/>
    <w:rsid w:val="37AF79D7"/>
    <w:rsid w:val="37E88F4A"/>
    <w:rsid w:val="37F01C51"/>
    <w:rsid w:val="380BF014"/>
    <w:rsid w:val="3819273D"/>
    <w:rsid w:val="385632C0"/>
    <w:rsid w:val="385E8167"/>
    <w:rsid w:val="387A8E90"/>
    <w:rsid w:val="38801A5B"/>
    <w:rsid w:val="3883B7AD"/>
    <w:rsid w:val="388D55EE"/>
    <w:rsid w:val="3893AC63"/>
    <w:rsid w:val="38CA81AA"/>
    <w:rsid w:val="38FCF38F"/>
    <w:rsid w:val="391D70FF"/>
    <w:rsid w:val="393475CD"/>
    <w:rsid w:val="39A2131F"/>
    <w:rsid w:val="39CB2BC2"/>
    <w:rsid w:val="39CBD11D"/>
    <w:rsid w:val="39D199D8"/>
    <w:rsid w:val="39DAB553"/>
    <w:rsid w:val="39E26570"/>
    <w:rsid w:val="39FB3271"/>
    <w:rsid w:val="3A0ADAFE"/>
    <w:rsid w:val="3A10C4C1"/>
    <w:rsid w:val="3A24729A"/>
    <w:rsid w:val="3A2FEAFA"/>
    <w:rsid w:val="3A362596"/>
    <w:rsid w:val="3A37D880"/>
    <w:rsid w:val="3A4329F5"/>
    <w:rsid w:val="3A6C2B15"/>
    <w:rsid w:val="3A984E36"/>
    <w:rsid w:val="3AFF4B8C"/>
    <w:rsid w:val="3B138CE4"/>
    <w:rsid w:val="3B1A49D5"/>
    <w:rsid w:val="3B21467E"/>
    <w:rsid w:val="3B2FC8B4"/>
    <w:rsid w:val="3B6D66BF"/>
    <w:rsid w:val="3B7C9B32"/>
    <w:rsid w:val="3B8F7741"/>
    <w:rsid w:val="3BA4D6AF"/>
    <w:rsid w:val="3BB2BC40"/>
    <w:rsid w:val="3BB48C37"/>
    <w:rsid w:val="3BB4CB65"/>
    <w:rsid w:val="3BCD758F"/>
    <w:rsid w:val="3BD37610"/>
    <w:rsid w:val="3BF8D1B8"/>
    <w:rsid w:val="3C023CC9"/>
    <w:rsid w:val="3C2AE15E"/>
    <w:rsid w:val="3C38EBA0"/>
    <w:rsid w:val="3C3F6112"/>
    <w:rsid w:val="3C49EFAF"/>
    <w:rsid w:val="3C57DEE0"/>
    <w:rsid w:val="3C629D1D"/>
    <w:rsid w:val="3C807BAC"/>
    <w:rsid w:val="3CA9274A"/>
    <w:rsid w:val="3CE80BDE"/>
    <w:rsid w:val="3CF2701D"/>
    <w:rsid w:val="3D1ABB5A"/>
    <w:rsid w:val="3D4E5EC2"/>
    <w:rsid w:val="3D51A1A6"/>
    <w:rsid w:val="3D5B4913"/>
    <w:rsid w:val="3D66C058"/>
    <w:rsid w:val="3D734280"/>
    <w:rsid w:val="3D7E38A7"/>
    <w:rsid w:val="3DC7803F"/>
    <w:rsid w:val="3DC872BB"/>
    <w:rsid w:val="3DCC8C8C"/>
    <w:rsid w:val="3DD44107"/>
    <w:rsid w:val="3DDEDB2F"/>
    <w:rsid w:val="3DE398C2"/>
    <w:rsid w:val="3DF9CEAF"/>
    <w:rsid w:val="3DFC2633"/>
    <w:rsid w:val="3E2D550E"/>
    <w:rsid w:val="3E40E21F"/>
    <w:rsid w:val="3E5A5290"/>
    <w:rsid w:val="3E61A7A3"/>
    <w:rsid w:val="3E620CBD"/>
    <w:rsid w:val="3E81B0B7"/>
    <w:rsid w:val="3EAA844B"/>
    <w:rsid w:val="3ECAF740"/>
    <w:rsid w:val="3F41DBA4"/>
    <w:rsid w:val="3F478614"/>
    <w:rsid w:val="3F5DBCC3"/>
    <w:rsid w:val="3F8E74B6"/>
    <w:rsid w:val="3FBB5FDD"/>
    <w:rsid w:val="3FCDC1EC"/>
    <w:rsid w:val="403B7E87"/>
    <w:rsid w:val="40528B6E"/>
    <w:rsid w:val="405F5DE4"/>
    <w:rsid w:val="40B8FE56"/>
    <w:rsid w:val="40BC50EA"/>
    <w:rsid w:val="40E77120"/>
    <w:rsid w:val="40F178BE"/>
    <w:rsid w:val="410BCEB2"/>
    <w:rsid w:val="4137FAF0"/>
    <w:rsid w:val="415E97D4"/>
    <w:rsid w:val="41608A2F"/>
    <w:rsid w:val="4164B532"/>
    <w:rsid w:val="418F9572"/>
    <w:rsid w:val="41B763F4"/>
    <w:rsid w:val="41C5D581"/>
    <w:rsid w:val="41DDA7DC"/>
    <w:rsid w:val="41EF5663"/>
    <w:rsid w:val="42047A88"/>
    <w:rsid w:val="420F38E5"/>
    <w:rsid w:val="421534A8"/>
    <w:rsid w:val="422F0D4A"/>
    <w:rsid w:val="4250FC61"/>
    <w:rsid w:val="42A0C098"/>
    <w:rsid w:val="42D172BC"/>
    <w:rsid w:val="42D2CA35"/>
    <w:rsid w:val="4331957E"/>
    <w:rsid w:val="433FC2DE"/>
    <w:rsid w:val="4348A49C"/>
    <w:rsid w:val="435BE696"/>
    <w:rsid w:val="43B5E477"/>
    <w:rsid w:val="43C3DE75"/>
    <w:rsid w:val="43CDDB07"/>
    <w:rsid w:val="43D40BB4"/>
    <w:rsid w:val="43D8B48B"/>
    <w:rsid w:val="4407C67C"/>
    <w:rsid w:val="44305EA1"/>
    <w:rsid w:val="445828F4"/>
    <w:rsid w:val="44679763"/>
    <w:rsid w:val="44866002"/>
    <w:rsid w:val="44877D5B"/>
    <w:rsid w:val="449B9A73"/>
    <w:rsid w:val="44D19920"/>
    <w:rsid w:val="44E113B8"/>
    <w:rsid w:val="45273C35"/>
    <w:rsid w:val="453ADBEB"/>
    <w:rsid w:val="4569D2A6"/>
    <w:rsid w:val="45DB9C6A"/>
    <w:rsid w:val="45DDD477"/>
    <w:rsid w:val="45F5A2EF"/>
    <w:rsid w:val="46090202"/>
    <w:rsid w:val="46454BAC"/>
    <w:rsid w:val="464DF8F1"/>
    <w:rsid w:val="4659A99B"/>
    <w:rsid w:val="4687A4B1"/>
    <w:rsid w:val="46A4FE8F"/>
    <w:rsid w:val="46AAA4EC"/>
    <w:rsid w:val="46AFC00C"/>
    <w:rsid w:val="46DB2224"/>
    <w:rsid w:val="46F31B91"/>
    <w:rsid w:val="46FA479C"/>
    <w:rsid w:val="47061FAA"/>
    <w:rsid w:val="470BF167"/>
    <w:rsid w:val="471383DF"/>
    <w:rsid w:val="471BB85D"/>
    <w:rsid w:val="472D39DB"/>
    <w:rsid w:val="47454D9F"/>
    <w:rsid w:val="4749D40D"/>
    <w:rsid w:val="4761737F"/>
    <w:rsid w:val="477CFF86"/>
    <w:rsid w:val="4785E88A"/>
    <w:rsid w:val="478BE666"/>
    <w:rsid w:val="479501E1"/>
    <w:rsid w:val="47964734"/>
    <w:rsid w:val="47AD2E1F"/>
    <w:rsid w:val="47BF1F0C"/>
    <w:rsid w:val="47C98842"/>
    <w:rsid w:val="47FF46BC"/>
    <w:rsid w:val="47FF6576"/>
    <w:rsid w:val="4807DC8F"/>
    <w:rsid w:val="480C23FB"/>
    <w:rsid w:val="4814CD61"/>
    <w:rsid w:val="486B6E92"/>
    <w:rsid w:val="48955938"/>
    <w:rsid w:val="48A896A5"/>
    <w:rsid w:val="48AA94C7"/>
    <w:rsid w:val="48C09BF0"/>
    <w:rsid w:val="48C6AC32"/>
    <w:rsid w:val="48CCF275"/>
    <w:rsid w:val="48DAC9BE"/>
    <w:rsid w:val="490EC13B"/>
    <w:rsid w:val="492D4659"/>
    <w:rsid w:val="4938BFC8"/>
    <w:rsid w:val="493EE6E6"/>
    <w:rsid w:val="4957DB77"/>
    <w:rsid w:val="495C40F5"/>
    <w:rsid w:val="497165B8"/>
    <w:rsid w:val="4973397B"/>
    <w:rsid w:val="497BDB2D"/>
    <w:rsid w:val="4992F933"/>
    <w:rsid w:val="49AC00D8"/>
    <w:rsid w:val="49B5C979"/>
    <w:rsid w:val="49BCE1A0"/>
    <w:rsid w:val="49BCF5C7"/>
    <w:rsid w:val="49CD347F"/>
    <w:rsid w:val="49DCD972"/>
    <w:rsid w:val="49EDA3B0"/>
    <w:rsid w:val="49FE7E90"/>
    <w:rsid w:val="4A454576"/>
    <w:rsid w:val="4A66AE2B"/>
    <w:rsid w:val="4A6D7D9B"/>
    <w:rsid w:val="4A7F4560"/>
    <w:rsid w:val="4A8BA91D"/>
    <w:rsid w:val="4ABD6F22"/>
    <w:rsid w:val="4AC5386E"/>
    <w:rsid w:val="4AF42F29"/>
    <w:rsid w:val="4B28E760"/>
    <w:rsid w:val="4B46E942"/>
    <w:rsid w:val="4BA0924C"/>
    <w:rsid w:val="4C0456D7"/>
    <w:rsid w:val="4C591C44"/>
    <w:rsid w:val="4C7115B1"/>
    <w:rsid w:val="4C9294C5"/>
    <w:rsid w:val="4CC0A519"/>
    <w:rsid w:val="4D3F6AEE"/>
    <w:rsid w:val="4D43B15B"/>
    <w:rsid w:val="4D8B614C"/>
    <w:rsid w:val="4D8C8D78"/>
    <w:rsid w:val="4DBC2C74"/>
    <w:rsid w:val="4DBE387F"/>
    <w:rsid w:val="4DEFC37F"/>
    <w:rsid w:val="4DFCA7D9"/>
    <w:rsid w:val="4E2E2621"/>
    <w:rsid w:val="4E32F328"/>
    <w:rsid w:val="4E5A4355"/>
    <w:rsid w:val="4E5BEBEA"/>
    <w:rsid w:val="4E844C7A"/>
    <w:rsid w:val="4E85095C"/>
    <w:rsid w:val="4E8921B4"/>
    <w:rsid w:val="4E94AFA2"/>
    <w:rsid w:val="4EA345C3"/>
    <w:rsid w:val="4EE4C13F"/>
    <w:rsid w:val="4EEF3389"/>
    <w:rsid w:val="4F07E717"/>
    <w:rsid w:val="4F0B4778"/>
    <w:rsid w:val="4F0EC502"/>
    <w:rsid w:val="4F1215B2"/>
    <w:rsid w:val="4F3E2C37"/>
    <w:rsid w:val="4F587D15"/>
    <w:rsid w:val="4F6F8A6F"/>
    <w:rsid w:val="4F80B9C1"/>
    <w:rsid w:val="4F846A0D"/>
    <w:rsid w:val="4F99B7D8"/>
    <w:rsid w:val="4FCC1BCA"/>
    <w:rsid w:val="4FE93995"/>
    <w:rsid w:val="500A1BAC"/>
    <w:rsid w:val="500BB05B"/>
    <w:rsid w:val="50131893"/>
    <w:rsid w:val="501BA474"/>
    <w:rsid w:val="5039A8E4"/>
    <w:rsid w:val="5041BEB1"/>
    <w:rsid w:val="504D4C33"/>
    <w:rsid w:val="50ADDCBA"/>
    <w:rsid w:val="50C2D505"/>
    <w:rsid w:val="50E77A8C"/>
    <w:rsid w:val="510D0C16"/>
    <w:rsid w:val="5114DAF2"/>
    <w:rsid w:val="516D8A51"/>
    <w:rsid w:val="5173480E"/>
    <w:rsid w:val="51789F06"/>
    <w:rsid w:val="51798DBF"/>
    <w:rsid w:val="51891B0C"/>
    <w:rsid w:val="51944BC6"/>
    <w:rsid w:val="51B46EEB"/>
    <w:rsid w:val="51BE4A21"/>
    <w:rsid w:val="521D97FA"/>
    <w:rsid w:val="521DA905"/>
    <w:rsid w:val="5241D661"/>
    <w:rsid w:val="524FBFE3"/>
    <w:rsid w:val="526B39A6"/>
    <w:rsid w:val="5289508E"/>
    <w:rsid w:val="528BF90A"/>
    <w:rsid w:val="52FC2E07"/>
    <w:rsid w:val="530FDE5F"/>
    <w:rsid w:val="531525D9"/>
    <w:rsid w:val="532BA00B"/>
    <w:rsid w:val="532BC791"/>
    <w:rsid w:val="5364F1FD"/>
    <w:rsid w:val="53BB94B6"/>
    <w:rsid w:val="53BE4CCE"/>
    <w:rsid w:val="53CA663A"/>
    <w:rsid w:val="540E0C99"/>
    <w:rsid w:val="54177C09"/>
    <w:rsid w:val="542996C7"/>
    <w:rsid w:val="5437CA34"/>
    <w:rsid w:val="546B658D"/>
    <w:rsid w:val="549B8B38"/>
    <w:rsid w:val="54A74101"/>
    <w:rsid w:val="54ABAB35"/>
    <w:rsid w:val="54CA204C"/>
    <w:rsid w:val="54CEFF5D"/>
    <w:rsid w:val="54D1D65A"/>
    <w:rsid w:val="54D43E83"/>
    <w:rsid w:val="54FE7DA8"/>
    <w:rsid w:val="5511E05F"/>
    <w:rsid w:val="55262584"/>
    <w:rsid w:val="55441279"/>
    <w:rsid w:val="5550A6A1"/>
    <w:rsid w:val="55677AAD"/>
    <w:rsid w:val="556B7DEB"/>
    <w:rsid w:val="55710BAA"/>
    <w:rsid w:val="558D03DC"/>
    <w:rsid w:val="5593B661"/>
    <w:rsid w:val="55A79C7A"/>
    <w:rsid w:val="55A8F4F5"/>
    <w:rsid w:val="55B01076"/>
    <w:rsid w:val="55B3C6AF"/>
    <w:rsid w:val="55CD039E"/>
    <w:rsid w:val="55DC26EF"/>
    <w:rsid w:val="55E0C431"/>
    <w:rsid w:val="55E5E849"/>
    <w:rsid w:val="560D0E52"/>
    <w:rsid w:val="561DEC60"/>
    <w:rsid w:val="562A1BD6"/>
    <w:rsid w:val="562FED93"/>
    <w:rsid w:val="56383AB0"/>
    <w:rsid w:val="56453C71"/>
    <w:rsid w:val="56624525"/>
    <w:rsid w:val="56A455BA"/>
    <w:rsid w:val="56A70C5F"/>
    <w:rsid w:val="56AFDBCF"/>
    <w:rsid w:val="56C05327"/>
    <w:rsid w:val="56CB6354"/>
    <w:rsid w:val="56D6B233"/>
    <w:rsid w:val="56FD554F"/>
    <w:rsid w:val="56FEFD68"/>
    <w:rsid w:val="573EA54C"/>
    <w:rsid w:val="5746D6AD"/>
    <w:rsid w:val="57507BF6"/>
    <w:rsid w:val="57672669"/>
    <w:rsid w:val="576AE9F2"/>
    <w:rsid w:val="577A27FD"/>
    <w:rsid w:val="578D6D4B"/>
    <w:rsid w:val="57912D0D"/>
    <w:rsid w:val="5799535C"/>
    <w:rsid w:val="57C8B973"/>
    <w:rsid w:val="57DD763F"/>
    <w:rsid w:val="57DEAECD"/>
    <w:rsid w:val="57F54F0C"/>
    <w:rsid w:val="58012E44"/>
    <w:rsid w:val="5802FC0E"/>
    <w:rsid w:val="580C946C"/>
    <w:rsid w:val="585F4DC1"/>
    <w:rsid w:val="5865A873"/>
    <w:rsid w:val="586BC6F7"/>
    <w:rsid w:val="586D1E21"/>
    <w:rsid w:val="586FE94F"/>
    <w:rsid w:val="5875E72B"/>
    <w:rsid w:val="58BFF049"/>
    <w:rsid w:val="58CB8179"/>
    <w:rsid w:val="58DE5CEE"/>
    <w:rsid w:val="592ED94C"/>
    <w:rsid w:val="5940AFA6"/>
    <w:rsid w:val="59503597"/>
    <w:rsid w:val="5965A480"/>
    <w:rsid w:val="597D74AB"/>
    <w:rsid w:val="59A1EE2A"/>
    <w:rsid w:val="59C8C48E"/>
    <w:rsid w:val="59DDC99E"/>
    <w:rsid w:val="59E9A75C"/>
    <w:rsid w:val="59EC6A35"/>
    <w:rsid w:val="59F0C942"/>
    <w:rsid w:val="5A0264B3"/>
    <w:rsid w:val="5A037D57"/>
    <w:rsid w:val="5A121093"/>
    <w:rsid w:val="5A3363EC"/>
    <w:rsid w:val="5A3628BC"/>
    <w:rsid w:val="5A4D15F2"/>
    <w:rsid w:val="5A69687A"/>
    <w:rsid w:val="5A785ADB"/>
    <w:rsid w:val="5A7CDCE0"/>
    <w:rsid w:val="5A8A6A40"/>
    <w:rsid w:val="5AACAD70"/>
    <w:rsid w:val="5ABDC094"/>
    <w:rsid w:val="5ACEC81C"/>
    <w:rsid w:val="5ADA8181"/>
    <w:rsid w:val="5AFD337B"/>
    <w:rsid w:val="5B3CD219"/>
    <w:rsid w:val="5BBD93D4"/>
    <w:rsid w:val="5BC673EA"/>
    <w:rsid w:val="5BC83CCF"/>
    <w:rsid w:val="5BDD1525"/>
    <w:rsid w:val="5BF25778"/>
    <w:rsid w:val="5BFA24DC"/>
    <w:rsid w:val="5C030D19"/>
    <w:rsid w:val="5C10A5BA"/>
    <w:rsid w:val="5C1264B8"/>
    <w:rsid w:val="5C1E9F52"/>
    <w:rsid w:val="5C228C27"/>
    <w:rsid w:val="5C4F0996"/>
    <w:rsid w:val="5C506B57"/>
    <w:rsid w:val="5C6E1A82"/>
    <w:rsid w:val="5C7442D4"/>
    <w:rsid w:val="5C7F8716"/>
    <w:rsid w:val="5C8906F8"/>
    <w:rsid w:val="5C8992D0"/>
    <w:rsid w:val="5C8F9640"/>
    <w:rsid w:val="5C936D5B"/>
    <w:rsid w:val="5C99B872"/>
    <w:rsid w:val="5CA11FD1"/>
    <w:rsid w:val="5CA9A42A"/>
    <w:rsid w:val="5CAEBC79"/>
    <w:rsid w:val="5CBAD6E9"/>
    <w:rsid w:val="5CFF8C12"/>
    <w:rsid w:val="5D0E0DC8"/>
    <w:rsid w:val="5D23AFDF"/>
    <w:rsid w:val="5D257647"/>
    <w:rsid w:val="5D7688A1"/>
    <w:rsid w:val="5D80ABEC"/>
    <w:rsid w:val="5D8C1541"/>
    <w:rsid w:val="5D9EBFCB"/>
    <w:rsid w:val="5DB48BFE"/>
    <w:rsid w:val="5DB948B5"/>
    <w:rsid w:val="5DC6E3C9"/>
    <w:rsid w:val="5E041797"/>
    <w:rsid w:val="5E0E09EF"/>
    <w:rsid w:val="5E17CDAA"/>
    <w:rsid w:val="5E506BD7"/>
    <w:rsid w:val="5E5B16CA"/>
    <w:rsid w:val="5E735C85"/>
    <w:rsid w:val="5E8D58BA"/>
    <w:rsid w:val="5EB6F671"/>
    <w:rsid w:val="5EEE60AA"/>
    <w:rsid w:val="5EF1DF8F"/>
    <w:rsid w:val="5F0222D2"/>
    <w:rsid w:val="5F06A23E"/>
    <w:rsid w:val="5F07691C"/>
    <w:rsid w:val="5F09E31B"/>
    <w:rsid w:val="5F258C17"/>
    <w:rsid w:val="5F2F4C30"/>
    <w:rsid w:val="5F38B1D0"/>
    <w:rsid w:val="5F437B5A"/>
    <w:rsid w:val="5F628ABD"/>
    <w:rsid w:val="5F6F7B34"/>
    <w:rsid w:val="5F7CF765"/>
    <w:rsid w:val="5F859917"/>
    <w:rsid w:val="5FA59431"/>
    <w:rsid w:val="5FB752A1"/>
    <w:rsid w:val="6007468B"/>
    <w:rsid w:val="6009D6AF"/>
    <w:rsid w:val="60448624"/>
    <w:rsid w:val="60B69961"/>
    <w:rsid w:val="60D93922"/>
    <w:rsid w:val="6113699E"/>
    <w:rsid w:val="6135AEC9"/>
    <w:rsid w:val="6137C7C5"/>
    <w:rsid w:val="6145F819"/>
    <w:rsid w:val="6175462E"/>
    <w:rsid w:val="61A08A95"/>
    <w:rsid w:val="61BFDE92"/>
    <w:rsid w:val="61D1DE35"/>
    <w:rsid w:val="61E3E355"/>
    <w:rsid w:val="61F12AF8"/>
    <w:rsid w:val="6206F658"/>
    <w:rsid w:val="6218D838"/>
    <w:rsid w:val="62270A4D"/>
    <w:rsid w:val="6235DCAC"/>
    <w:rsid w:val="625407CF"/>
    <w:rsid w:val="6255D7C6"/>
    <w:rsid w:val="62720A4E"/>
    <w:rsid w:val="6282D548"/>
    <w:rsid w:val="6298FEBE"/>
    <w:rsid w:val="62A5C115"/>
    <w:rsid w:val="62B43380"/>
    <w:rsid w:val="62B5D82A"/>
    <w:rsid w:val="62E9D2B4"/>
    <w:rsid w:val="62FC1ECC"/>
    <w:rsid w:val="63007F82"/>
    <w:rsid w:val="6300E524"/>
    <w:rsid w:val="63214D72"/>
    <w:rsid w:val="6344460C"/>
    <w:rsid w:val="63471945"/>
    <w:rsid w:val="6368E54F"/>
    <w:rsid w:val="637ABC91"/>
    <w:rsid w:val="63964B62"/>
    <w:rsid w:val="639B3463"/>
    <w:rsid w:val="63ACF37F"/>
    <w:rsid w:val="63C80E41"/>
    <w:rsid w:val="63EBA950"/>
    <w:rsid w:val="63F833EC"/>
    <w:rsid w:val="6422DE4B"/>
    <w:rsid w:val="643A02B2"/>
    <w:rsid w:val="643CB112"/>
    <w:rsid w:val="643DB6C7"/>
    <w:rsid w:val="6442AFF7"/>
    <w:rsid w:val="644917FF"/>
    <w:rsid w:val="6453CE8C"/>
    <w:rsid w:val="645D6058"/>
    <w:rsid w:val="645DE4B9"/>
    <w:rsid w:val="647F108C"/>
    <w:rsid w:val="64951035"/>
    <w:rsid w:val="64D1E219"/>
    <w:rsid w:val="64DEAC84"/>
    <w:rsid w:val="6574A0D5"/>
    <w:rsid w:val="65794859"/>
    <w:rsid w:val="658B1119"/>
    <w:rsid w:val="65A22550"/>
    <w:rsid w:val="65DEA796"/>
    <w:rsid w:val="65E5DB35"/>
    <w:rsid w:val="66048D6E"/>
    <w:rsid w:val="66311F80"/>
    <w:rsid w:val="664366CE"/>
    <w:rsid w:val="664592E6"/>
    <w:rsid w:val="664FDE4C"/>
    <w:rsid w:val="66510C41"/>
    <w:rsid w:val="6653208E"/>
    <w:rsid w:val="6654C860"/>
    <w:rsid w:val="66B04BFC"/>
    <w:rsid w:val="66F94B77"/>
    <w:rsid w:val="6716CA00"/>
    <w:rsid w:val="672621BB"/>
    <w:rsid w:val="67296847"/>
    <w:rsid w:val="67531F3D"/>
    <w:rsid w:val="675BF9EB"/>
    <w:rsid w:val="6761BFD4"/>
    <w:rsid w:val="676B9779"/>
    <w:rsid w:val="67726152"/>
    <w:rsid w:val="677C5F0A"/>
    <w:rsid w:val="677E4BBF"/>
    <w:rsid w:val="677F985E"/>
    <w:rsid w:val="677FC776"/>
    <w:rsid w:val="678C22F8"/>
    <w:rsid w:val="67A390AE"/>
    <w:rsid w:val="67B8D925"/>
    <w:rsid w:val="67CF1085"/>
    <w:rsid w:val="67E1F757"/>
    <w:rsid w:val="680DBF1F"/>
    <w:rsid w:val="6818D293"/>
    <w:rsid w:val="6822030F"/>
    <w:rsid w:val="686A5977"/>
    <w:rsid w:val="686E0150"/>
    <w:rsid w:val="687D2374"/>
    <w:rsid w:val="68968736"/>
    <w:rsid w:val="689E937E"/>
    <w:rsid w:val="68B938B7"/>
    <w:rsid w:val="68EDB39C"/>
    <w:rsid w:val="68F1CED9"/>
    <w:rsid w:val="690ECC07"/>
    <w:rsid w:val="695521D0"/>
    <w:rsid w:val="696A1F2C"/>
    <w:rsid w:val="69DABCA5"/>
    <w:rsid w:val="69EE0414"/>
    <w:rsid w:val="69EF6D6A"/>
    <w:rsid w:val="69F71496"/>
    <w:rsid w:val="69FBD9F3"/>
    <w:rsid w:val="69FCC0F0"/>
    <w:rsid w:val="6A237863"/>
    <w:rsid w:val="6A2D382B"/>
    <w:rsid w:val="6A409887"/>
    <w:rsid w:val="6A415FF5"/>
    <w:rsid w:val="6A54FA74"/>
    <w:rsid w:val="6A55BBA0"/>
    <w:rsid w:val="6A5E61DE"/>
    <w:rsid w:val="6A67C9A2"/>
    <w:rsid w:val="6A940D50"/>
    <w:rsid w:val="6AB0FEEB"/>
    <w:rsid w:val="6ADDFC6D"/>
    <w:rsid w:val="6B0D637C"/>
    <w:rsid w:val="6B49208B"/>
    <w:rsid w:val="6B5A648B"/>
    <w:rsid w:val="6B8D92BA"/>
    <w:rsid w:val="6BC20067"/>
    <w:rsid w:val="6BD6ACF6"/>
    <w:rsid w:val="6BE32D08"/>
    <w:rsid w:val="6BE7095D"/>
    <w:rsid w:val="6BF4325A"/>
    <w:rsid w:val="6BFB6E5F"/>
    <w:rsid w:val="6C14BF7E"/>
    <w:rsid w:val="6C1B69FE"/>
    <w:rsid w:val="6C27775D"/>
    <w:rsid w:val="6C5845AE"/>
    <w:rsid w:val="6C589B1C"/>
    <w:rsid w:val="6C685D45"/>
    <w:rsid w:val="6C782210"/>
    <w:rsid w:val="6CBA4DE5"/>
    <w:rsid w:val="6CBC81C9"/>
    <w:rsid w:val="6CC0EECC"/>
    <w:rsid w:val="6CC35115"/>
    <w:rsid w:val="6D031D1E"/>
    <w:rsid w:val="6D2E8554"/>
    <w:rsid w:val="6D75807C"/>
    <w:rsid w:val="6D8C6478"/>
    <w:rsid w:val="6D9B0027"/>
    <w:rsid w:val="6DABFEE9"/>
    <w:rsid w:val="6DBC1FE1"/>
    <w:rsid w:val="6DC458FF"/>
    <w:rsid w:val="6DD198D0"/>
    <w:rsid w:val="6DFA14A2"/>
    <w:rsid w:val="6E07E095"/>
    <w:rsid w:val="6E2E2BF9"/>
    <w:rsid w:val="6E318813"/>
    <w:rsid w:val="6E464530"/>
    <w:rsid w:val="6E867F32"/>
    <w:rsid w:val="6E98F5B9"/>
    <w:rsid w:val="6E9F2666"/>
    <w:rsid w:val="6EC02115"/>
    <w:rsid w:val="6ED3F3A7"/>
    <w:rsid w:val="6EDAB597"/>
    <w:rsid w:val="6EE52345"/>
    <w:rsid w:val="6EF89D09"/>
    <w:rsid w:val="6F6A2B28"/>
    <w:rsid w:val="6F9FD7B4"/>
    <w:rsid w:val="6FAB651C"/>
    <w:rsid w:val="6FB761DD"/>
    <w:rsid w:val="6FB7C753"/>
    <w:rsid w:val="6FE57FFB"/>
    <w:rsid w:val="6FE78788"/>
    <w:rsid w:val="7010EDAD"/>
    <w:rsid w:val="702B2627"/>
    <w:rsid w:val="704A6299"/>
    <w:rsid w:val="705AD330"/>
    <w:rsid w:val="70A3F57E"/>
    <w:rsid w:val="70C2F45D"/>
    <w:rsid w:val="70CB65C4"/>
    <w:rsid w:val="70D93188"/>
    <w:rsid w:val="70DEA37F"/>
    <w:rsid w:val="710EFCE1"/>
    <w:rsid w:val="710F4D7A"/>
    <w:rsid w:val="7110665E"/>
    <w:rsid w:val="711AE39A"/>
    <w:rsid w:val="7139867B"/>
    <w:rsid w:val="71DDA65A"/>
    <w:rsid w:val="71E48DC4"/>
    <w:rsid w:val="71EB33C5"/>
    <w:rsid w:val="7235325E"/>
    <w:rsid w:val="72648780"/>
    <w:rsid w:val="7274F774"/>
    <w:rsid w:val="72800607"/>
    <w:rsid w:val="72852049"/>
    <w:rsid w:val="72B87A63"/>
    <w:rsid w:val="72BD3FC0"/>
    <w:rsid w:val="72BE836C"/>
    <w:rsid w:val="72F4070C"/>
    <w:rsid w:val="72F4BA7E"/>
    <w:rsid w:val="72F8653E"/>
    <w:rsid w:val="7326FFB3"/>
    <w:rsid w:val="733B2D26"/>
    <w:rsid w:val="73546860"/>
    <w:rsid w:val="7356F120"/>
    <w:rsid w:val="7366AEEF"/>
    <w:rsid w:val="73774CFA"/>
    <w:rsid w:val="737F9929"/>
    <w:rsid w:val="738BBEEB"/>
    <w:rsid w:val="7393AC71"/>
    <w:rsid w:val="73A1AAF8"/>
    <w:rsid w:val="73C7FF06"/>
    <w:rsid w:val="73CC0ED0"/>
    <w:rsid w:val="73EBA4AD"/>
    <w:rsid w:val="740AD833"/>
    <w:rsid w:val="740C2AFE"/>
    <w:rsid w:val="740D5765"/>
    <w:rsid w:val="741A2B2E"/>
    <w:rsid w:val="7420F9D8"/>
    <w:rsid w:val="7426D321"/>
    <w:rsid w:val="7432249B"/>
    <w:rsid w:val="749B775A"/>
    <w:rsid w:val="74F53F8D"/>
    <w:rsid w:val="74F5725E"/>
    <w:rsid w:val="7507D28F"/>
    <w:rsid w:val="7511142B"/>
    <w:rsid w:val="752F4A01"/>
    <w:rsid w:val="75462660"/>
    <w:rsid w:val="7566E26E"/>
    <w:rsid w:val="756B574B"/>
    <w:rsid w:val="75A1D5EA"/>
    <w:rsid w:val="75CAF89A"/>
    <w:rsid w:val="75DC4F9D"/>
    <w:rsid w:val="75DEDF53"/>
    <w:rsid w:val="7618271C"/>
    <w:rsid w:val="764E440E"/>
    <w:rsid w:val="76632D4A"/>
    <w:rsid w:val="767CFC47"/>
    <w:rsid w:val="7690B785"/>
    <w:rsid w:val="76D9DF17"/>
    <w:rsid w:val="76DFB9D0"/>
    <w:rsid w:val="7701B184"/>
    <w:rsid w:val="770920E5"/>
    <w:rsid w:val="771F6E24"/>
    <w:rsid w:val="77424A81"/>
    <w:rsid w:val="775AB69D"/>
    <w:rsid w:val="777BACCE"/>
    <w:rsid w:val="77887DDB"/>
    <w:rsid w:val="778D89B5"/>
    <w:rsid w:val="77A9945B"/>
    <w:rsid w:val="77B62681"/>
    <w:rsid w:val="77C982D8"/>
    <w:rsid w:val="77F92DB9"/>
    <w:rsid w:val="782056AE"/>
    <w:rsid w:val="78211564"/>
    <w:rsid w:val="78369682"/>
    <w:rsid w:val="78635E22"/>
    <w:rsid w:val="7863F666"/>
    <w:rsid w:val="7865C5C8"/>
    <w:rsid w:val="786FA426"/>
    <w:rsid w:val="7893E845"/>
    <w:rsid w:val="789CEA69"/>
    <w:rsid w:val="78BA841A"/>
    <w:rsid w:val="78C5AC1F"/>
    <w:rsid w:val="79030920"/>
    <w:rsid w:val="7905DCB6"/>
    <w:rsid w:val="79172BD2"/>
    <w:rsid w:val="79677454"/>
    <w:rsid w:val="797AE33A"/>
    <w:rsid w:val="797C31DD"/>
    <w:rsid w:val="79A92F5F"/>
    <w:rsid w:val="79B5F559"/>
    <w:rsid w:val="79F10E01"/>
    <w:rsid w:val="7A01F1D6"/>
    <w:rsid w:val="7A08E119"/>
    <w:rsid w:val="7A17309B"/>
    <w:rsid w:val="7A1824DB"/>
    <w:rsid w:val="7A1FBF70"/>
    <w:rsid w:val="7A28C83A"/>
    <w:rsid w:val="7A41C0C8"/>
    <w:rsid w:val="7A8F75BC"/>
    <w:rsid w:val="7A9164D0"/>
    <w:rsid w:val="7AAF2FB9"/>
    <w:rsid w:val="7AEB6963"/>
    <w:rsid w:val="7AECAF94"/>
    <w:rsid w:val="7B030327"/>
    <w:rsid w:val="7B0FC124"/>
    <w:rsid w:val="7B4237C6"/>
    <w:rsid w:val="7B4F3DD3"/>
    <w:rsid w:val="7B5608C1"/>
    <w:rsid w:val="7B6B0CD6"/>
    <w:rsid w:val="7B71295C"/>
    <w:rsid w:val="7B7E5E95"/>
    <w:rsid w:val="7B8918C7"/>
    <w:rsid w:val="7BB8D848"/>
    <w:rsid w:val="7BBDCF6D"/>
    <w:rsid w:val="7BE2FD70"/>
    <w:rsid w:val="7BE77E83"/>
    <w:rsid w:val="7C1D9780"/>
    <w:rsid w:val="7C294D34"/>
    <w:rsid w:val="7C2DCCA9"/>
    <w:rsid w:val="7C3E42E4"/>
    <w:rsid w:val="7C474B52"/>
    <w:rsid w:val="7C4DDF59"/>
    <w:rsid w:val="7C52C174"/>
    <w:rsid w:val="7C74DA83"/>
    <w:rsid w:val="7C76B3E6"/>
    <w:rsid w:val="7C7C2DC2"/>
    <w:rsid w:val="7CA6C9D6"/>
    <w:rsid w:val="7CBCD5CF"/>
    <w:rsid w:val="7CC1DFE5"/>
    <w:rsid w:val="7CD29592"/>
    <w:rsid w:val="7CD58871"/>
    <w:rsid w:val="7CF12AB4"/>
    <w:rsid w:val="7CFFAB7E"/>
    <w:rsid w:val="7CFFB9FA"/>
    <w:rsid w:val="7D1ADA95"/>
    <w:rsid w:val="7D1BC0C9"/>
    <w:rsid w:val="7D2ACA35"/>
    <w:rsid w:val="7D30AC97"/>
    <w:rsid w:val="7D397D76"/>
    <w:rsid w:val="7D5301AC"/>
    <w:rsid w:val="7D62389C"/>
    <w:rsid w:val="7D71AE6B"/>
    <w:rsid w:val="7D7D4575"/>
    <w:rsid w:val="7DA31187"/>
    <w:rsid w:val="7DA8A92F"/>
    <w:rsid w:val="7DAA2326"/>
    <w:rsid w:val="7DC23C64"/>
    <w:rsid w:val="7E2BC0F9"/>
    <w:rsid w:val="7E30A5EB"/>
    <w:rsid w:val="7E5F9C5C"/>
    <w:rsid w:val="7E633BB7"/>
    <w:rsid w:val="7E64DEBD"/>
    <w:rsid w:val="7E9914B6"/>
    <w:rsid w:val="7EA191BF"/>
    <w:rsid w:val="7EDAE815"/>
    <w:rsid w:val="7F1E21A7"/>
    <w:rsid w:val="7F259521"/>
    <w:rsid w:val="7F2F2B2C"/>
    <w:rsid w:val="7F55F5EC"/>
    <w:rsid w:val="7F88AFFE"/>
    <w:rsid w:val="7F9A1A0F"/>
    <w:rsid w:val="7FA11F9D"/>
    <w:rsid w:val="7FAC7DDC"/>
    <w:rsid w:val="7FCDA356"/>
    <w:rsid w:val="7FE5C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594BE"/>
  <w14:defaultImageDpi w14:val="330"/>
  <w15:docId w15:val="{BFAF7A2C-CC5A-4855-B9EC-EBCDF05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paragraph" w:styleId="Heading4">
    <w:name w:val="heading 4"/>
    <w:basedOn w:val="Normal"/>
    <w:next w:val="Normal"/>
    <w:link w:val="Heading4Char"/>
    <w:uiPriority w:val="9"/>
    <w:unhideWhenUsed/>
    <w:qFormat/>
    <w:rsid w:val="008453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rFonts w:ascii="Arial" w:hAnsi="Arial"/>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C203C3"/>
    <w:pPr>
      <w:spacing w:line="259" w:lineRule="auto"/>
      <w:outlineLvl w:val="9"/>
    </w:pPr>
    <w:rPr>
      <w:rFonts w:cs="Arial"/>
      <w:b/>
      <w:sz w:val="36"/>
      <w:szCs w:val="36"/>
    </w:rPr>
  </w:style>
  <w:style w:type="paragraph" w:styleId="TOC1">
    <w:name w:val="toc 1"/>
    <w:basedOn w:val="Normal"/>
    <w:next w:val="Normal"/>
    <w:autoRedefine/>
    <w:uiPriority w:val="39"/>
    <w:unhideWhenUsed/>
    <w:rsid w:val="00D91D11"/>
    <w:pPr>
      <w:tabs>
        <w:tab w:val="right" w:leader="dot" w:pos="8222"/>
      </w:tabs>
      <w:spacing w:after="100"/>
    </w:pPr>
    <w:rPr>
      <w:rFonts w:ascii="Arial" w:hAnsi="Arial"/>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D252DD"/>
    <w:pPr>
      <w:numPr>
        <w:numId w:val="13"/>
      </w:numPr>
      <w:spacing w:before="120" w:after="240" w:line="276" w:lineRule="auto"/>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D252DD"/>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FB0A3D"/>
    <w:pPr>
      <w:numPr>
        <w:numId w:val="16"/>
      </w:numPr>
      <w:spacing w:after="120"/>
      <w:contextualSpacing w:val="0"/>
    </w:pPr>
    <w:rPr>
      <w:rFonts w:ascii="Arial" w:hAnsi="Arial" w:cs="Arial"/>
      <w:sz w:val="22"/>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character" w:customStyle="1" w:styleId="listnumber">
    <w:name w:val="listnumber"/>
    <w:basedOn w:val="DefaultParagraphFont"/>
    <w:rsid w:val="004C7C44"/>
  </w:style>
  <w:style w:type="character" w:styleId="UnresolvedMention">
    <w:name w:val="Unresolved Mention"/>
    <w:basedOn w:val="DefaultParagraphFont"/>
    <w:uiPriority w:val="99"/>
    <w:semiHidden/>
    <w:unhideWhenUsed/>
    <w:rsid w:val="005B588C"/>
    <w:rPr>
      <w:color w:val="605E5C"/>
      <w:shd w:val="clear" w:color="auto" w:fill="E1DFDD"/>
    </w:rPr>
  </w:style>
  <w:style w:type="paragraph" w:styleId="NormalWeb">
    <w:name w:val="Normal (Web)"/>
    <w:basedOn w:val="Normal"/>
    <w:uiPriority w:val="99"/>
    <w:semiHidden/>
    <w:unhideWhenUsed/>
    <w:rsid w:val="00905084"/>
    <w:pPr>
      <w:spacing w:before="100" w:beforeAutospacing="1" w:after="100" w:afterAutospacing="1"/>
    </w:pPr>
    <w:rPr>
      <w:rFonts w:ascii="Times New Roman" w:eastAsia="Times New Roman" w:hAnsi="Times New Roman" w:cs="Times New Roman"/>
      <w:lang w:eastAsia="en-AU"/>
    </w:rPr>
  </w:style>
  <w:style w:type="paragraph" w:styleId="BodyTextIndent">
    <w:name w:val="Body Text Indent"/>
    <w:basedOn w:val="Normal"/>
    <w:link w:val="BodyTextIndentChar"/>
    <w:uiPriority w:val="99"/>
    <w:semiHidden/>
    <w:unhideWhenUsed/>
    <w:rsid w:val="00B34943"/>
    <w:pPr>
      <w:spacing w:after="120"/>
      <w:ind w:left="283"/>
    </w:pPr>
  </w:style>
  <w:style w:type="character" w:customStyle="1" w:styleId="BodyTextIndentChar">
    <w:name w:val="Body Text Indent Char"/>
    <w:basedOn w:val="DefaultParagraphFont"/>
    <w:link w:val="BodyTextIndent"/>
    <w:uiPriority w:val="99"/>
    <w:semiHidden/>
    <w:rsid w:val="00B34943"/>
    <w:rPr>
      <w:lang w:val="en-AU"/>
    </w:rPr>
  </w:style>
  <w:style w:type="paragraph" w:styleId="BodyTextFirstIndent2">
    <w:name w:val="Body Text First Indent 2"/>
    <w:link w:val="BodyTextFirstIndent2Char"/>
    <w:uiPriority w:val="99"/>
    <w:semiHidden/>
    <w:unhideWhenUsed/>
    <w:rsid w:val="00B34943"/>
    <w:pPr>
      <w:ind w:firstLine="210"/>
    </w:pPr>
    <w:rPr>
      <w:rFonts w:ascii="Arial" w:eastAsia="Calibri" w:hAnsi="Arial" w:cs="Arial"/>
      <w:sz w:val="22"/>
      <w:szCs w:val="22"/>
      <w:lang w:val="en-AU" w:eastAsia="en-AU"/>
    </w:rPr>
  </w:style>
  <w:style w:type="character" w:customStyle="1" w:styleId="BodyTextFirstIndent2Char">
    <w:name w:val="Body Text First Indent 2 Char"/>
    <w:basedOn w:val="BodyTextIndentChar"/>
    <w:link w:val="BodyTextFirstIndent2"/>
    <w:uiPriority w:val="99"/>
    <w:semiHidden/>
    <w:rsid w:val="00B34943"/>
    <w:rPr>
      <w:rFonts w:ascii="Arial" w:eastAsia="Calibri" w:hAnsi="Arial" w:cs="Arial"/>
      <w:sz w:val="22"/>
      <w:szCs w:val="22"/>
      <w:lang w:val="en-AU" w:eastAsia="en-AU"/>
    </w:rPr>
  </w:style>
  <w:style w:type="paragraph" w:styleId="ListNumber5">
    <w:name w:val="List Number 5"/>
    <w:uiPriority w:val="99"/>
    <w:semiHidden/>
    <w:unhideWhenUsed/>
    <w:rsid w:val="00B34943"/>
    <w:pPr>
      <w:numPr>
        <w:numId w:val="34"/>
      </w:numPr>
      <w:contextualSpacing/>
    </w:pPr>
    <w:rPr>
      <w:rFonts w:ascii="Arial" w:eastAsia="Calibri" w:hAnsi="Arial" w:cs="Arial"/>
      <w:sz w:val="22"/>
      <w:szCs w:val="22"/>
      <w:lang w:val="en-AU" w:eastAsia="en-AU"/>
    </w:rPr>
  </w:style>
  <w:style w:type="paragraph" w:customStyle="1" w:styleId="Bulletpointreview">
    <w:name w:val="Bullet point review"/>
    <w:basedOn w:val="Normal"/>
    <w:qFormat/>
    <w:rsid w:val="00B34943"/>
    <w:pPr>
      <w:numPr>
        <w:numId w:val="35"/>
      </w:numPr>
      <w:spacing w:before="240" w:after="240"/>
    </w:pPr>
    <w:rPr>
      <w:rFonts w:ascii="Arial" w:eastAsia="Calibri" w:hAnsi="Arial" w:cs="Arial"/>
      <w:sz w:val="21"/>
      <w:szCs w:val="22"/>
      <w:lang w:eastAsia="en-AU"/>
    </w:rPr>
  </w:style>
  <w:style w:type="paragraph" w:customStyle="1" w:styleId="Bulletpointreview2">
    <w:name w:val="Bullet point review 2"/>
    <w:basedOn w:val="Bulletpointreview"/>
    <w:qFormat/>
    <w:rsid w:val="006905A3"/>
    <w:pPr>
      <w:numPr>
        <w:ilvl w:val="1"/>
      </w:numPr>
      <w:tabs>
        <w:tab w:val="clear" w:pos="1440"/>
        <w:tab w:val="num" w:pos="1134"/>
      </w:tabs>
      <w:ind w:left="1134" w:hanging="425"/>
    </w:pPr>
  </w:style>
  <w:style w:type="character" w:customStyle="1" w:styleId="Heading4Char">
    <w:name w:val="Heading 4 Char"/>
    <w:basedOn w:val="DefaultParagraphFont"/>
    <w:link w:val="Heading4"/>
    <w:uiPriority w:val="9"/>
    <w:rsid w:val="00845386"/>
    <w:rPr>
      <w:rFonts w:asciiTheme="majorHAnsi" w:eastAsiaTheme="majorEastAsia" w:hAnsiTheme="majorHAnsi" w:cstheme="majorBidi"/>
      <w:i/>
      <w:iCs/>
      <w:color w:val="365F91" w:themeColor="accent1" w:themeShade="BF"/>
      <w:lang w:val="en-AU"/>
    </w:rPr>
  </w:style>
  <w:style w:type="character" w:customStyle="1" w:styleId="markedcontent">
    <w:name w:val="markedcontent"/>
    <w:basedOn w:val="DefaultParagraphFont"/>
    <w:rsid w:val="003A39E9"/>
  </w:style>
  <w:style w:type="character" w:customStyle="1" w:styleId="ui-provider">
    <w:name w:val="ui-provider"/>
    <w:basedOn w:val="DefaultParagraphFont"/>
    <w:rsid w:val="007C347C"/>
  </w:style>
  <w:style w:type="paragraph" w:customStyle="1" w:styleId="xmsolistparagraph">
    <w:name w:val="x_msolistparagraph"/>
    <w:basedOn w:val="Normal"/>
    <w:rsid w:val="0091253D"/>
    <w:pPr>
      <w:ind w:left="720"/>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41267">
      <w:bodyDiv w:val="1"/>
      <w:marLeft w:val="0"/>
      <w:marRight w:val="0"/>
      <w:marTop w:val="0"/>
      <w:marBottom w:val="0"/>
      <w:divBdr>
        <w:top w:val="none" w:sz="0" w:space="0" w:color="auto"/>
        <w:left w:val="none" w:sz="0" w:space="0" w:color="auto"/>
        <w:bottom w:val="none" w:sz="0" w:space="0" w:color="auto"/>
        <w:right w:val="none" w:sz="0" w:space="0" w:color="auto"/>
      </w:divBdr>
    </w:div>
    <w:div w:id="551236554">
      <w:bodyDiv w:val="1"/>
      <w:marLeft w:val="0"/>
      <w:marRight w:val="0"/>
      <w:marTop w:val="0"/>
      <w:marBottom w:val="0"/>
      <w:divBdr>
        <w:top w:val="none" w:sz="0" w:space="0" w:color="auto"/>
        <w:left w:val="none" w:sz="0" w:space="0" w:color="auto"/>
        <w:bottom w:val="none" w:sz="0" w:space="0" w:color="auto"/>
        <w:right w:val="none" w:sz="0" w:space="0" w:color="auto"/>
      </w:divBdr>
    </w:div>
    <w:div w:id="727345437">
      <w:bodyDiv w:val="1"/>
      <w:marLeft w:val="0"/>
      <w:marRight w:val="0"/>
      <w:marTop w:val="0"/>
      <w:marBottom w:val="0"/>
      <w:divBdr>
        <w:top w:val="none" w:sz="0" w:space="0" w:color="auto"/>
        <w:left w:val="none" w:sz="0" w:space="0" w:color="auto"/>
        <w:bottom w:val="none" w:sz="0" w:space="0" w:color="auto"/>
        <w:right w:val="none" w:sz="0" w:space="0" w:color="auto"/>
      </w:divBdr>
      <w:divsChild>
        <w:div w:id="653722468">
          <w:blockQuote w:val="1"/>
          <w:marLeft w:val="600"/>
          <w:marRight w:val="0"/>
          <w:marTop w:val="120"/>
          <w:marBottom w:val="120"/>
          <w:divBdr>
            <w:top w:val="none" w:sz="0" w:space="0" w:color="auto"/>
            <w:left w:val="none" w:sz="0" w:space="0" w:color="auto"/>
            <w:bottom w:val="none" w:sz="0" w:space="0" w:color="auto"/>
            <w:right w:val="none" w:sz="0" w:space="0" w:color="auto"/>
          </w:divBdr>
        </w:div>
        <w:div w:id="856500002">
          <w:blockQuote w:val="1"/>
          <w:marLeft w:val="600"/>
          <w:marRight w:val="0"/>
          <w:marTop w:val="120"/>
          <w:marBottom w:val="120"/>
          <w:divBdr>
            <w:top w:val="none" w:sz="0" w:space="0" w:color="auto"/>
            <w:left w:val="none" w:sz="0" w:space="0" w:color="auto"/>
            <w:bottom w:val="none" w:sz="0" w:space="0" w:color="auto"/>
            <w:right w:val="none" w:sz="0" w:space="0" w:color="auto"/>
          </w:divBdr>
        </w:div>
        <w:div w:id="11520174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9121724">
      <w:bodyDiv w:val="1"/>
      <w:marLeft w:val="0"/>
      <w:marRight w:val="0"/>
      <w:marTop w:val="0"/>
      <w:marBottom w:val="0"/>
      <w:divBdr>
        <w:top w:val="none" w:sz="0" w:space="0" w:color="auto"/>
        <w:left w:val="none" w:sz="0" w:space="0" w:color="auto"/>
        <w:bottom w:val="none" w:sz="0" w:space="0" w:color="auto"/>
        <w:right w:val="none" w:sz="0" w:space="0" w:color="auto"/>
      </w:divBdr>
      <w:divsChild>
        <w:div w:id="167183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38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0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2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79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12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3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162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158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75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8744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22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89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0135112">
      <w:bodyDiv w:val="1"/>
      <w:marLeft w:val="0"/>
      <w:marRight w:val="0"/>
      <w:marTop w:val="0"/>
      <w:marBottom w:val="0"/>
      <w:divBdr>
        <w:top w:val="none" w:sz="0" w:space="0" w:color="auto"/>
        <w:left w:val="none" w:sz="0" w:space="0" w:color="auto"/>
        <w:bottom w:val="none" w:sz="0" w:space="0" w:color="auto"/>
        <w:right w:val="none" w:sz="0" w:space="0" w:color="auto"/>
      </w:divBdr>
    </w:div>
    <w:div w:id="1135877424">
      <w:bodyDiv w:val="1"/>
      <w:marLeft w:val="0"/>
      <w:marRight w:val="0"/>
      <w:marTop w:val="0"/>
      <w:marBottom w:val="0"/>
      <w:divBdr>
        <w:top w:val="none" w:sz="0" w:space="0" w:color="auto"/>
        <w:left w:val="none" w:sz="0" w:space="0" w:color="auto"/>
        <w:bottom w:val="none" w:sz="0" w:space="0" w:color="auto"/>
        <w:right w:val="none" w:sz="0" w:space="0" w:color="auto"/>
      </w:divBdr>
    </w:div>
    <w:div w:id="1356737177">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460801282">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642418437">
      <w:bodyDiv w:val="1"/>
      <w:marLeft w:val="0"/>
      <w:marRight w:val="0"/>
      <w:marTop w:val="0"/>
      <w:marBottom w:val="0"/>
      <w:divBdr>
        <w:top w:val="none" w:sz="0" w:space="0" w:color="auto"/>
        <w:left w:val="none" w:sz="0" w:space="0" w:color="auto"/>
        <w:bottom w:val="none" w:sz="0" w:space="0" w:color="auto"/>
        <w:right w:val="none" w:sz="0" w:space="0" w:color="auto"/>
      </w:divBdr>
    </w:div>
    <w:div w:id="1878010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6B2DDAFC3E804FACCCC089121CD92B" ma:contentTypeVersion="13" ma:contentTypeDescription="Create a new document." ma:contentTypeScope="" ma:versionID="766234b5bc9596bde9e50db07f2843fe">
  <xsd:schema xmlns:xsd="http://www.w3.org/2001/XMLSchema" xmlns:xs="http://www.w3.org/2001/XMLSchema" xmlns:p="http://schemas.microsoft.com/office/2006/metadata/properties" xmlns:ns3="7c25c73a-2120-49f0-9580-e7c4822a68af" xmlns:ns4="955b5d79-bca6-4671-8224-dc83b7be33c7" targetNamespace="http://schemas.microsoft.com/office/2006/metadata/properties" ma:root="true" ma:fieldsID="4d2972f2754f792ff6301084aea176c3" ns3:_="" ns4:_="">
    <xsd:import namespace="7c25c73a-2120-49f0-9580-e7c4822a68af"/>
    <xsd:import namespace="955b5d79-bca6-4671-8224-dc83b7be33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5c73a-2120-49f0-9580-e7c4822a6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b5d79-bca6-4671-8224-dc83b7be33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7c25c73a-2120-49f0-9580-e7c4822a68a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FCD3E2-70F6-4656-B383-8FB8BEECB4D5}">
  <ds:schemaRefs>
    <ds:schemaRef ds:uri="http://schemas.openxmlformats.org/officeDocument/2006/bibliography"/>
  </ds:schemaRefs>
</ds:datastoreItem>
</file>

<file path=customXml/itemProps3.xml><?xml version="1.0" encoding="utf-8"?>
<ds:datastoreItem xmlns:ds="http://schemas.openxmlformats.org/officeDocument/2006/customXml" ds:itemID="{01DBA3A0-3564-4FC2-B472-8F993AEAB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5c73a-2120-49f0-9580-e7c4822a68af"/>
    <ds:schemaRef ds:uri="955b5d79-bca6-4671-8224-dc83b7be3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EC89D-2D2F-4ABD-B47F-AD0EF6C1894B}">
  <ds:schemaRefs>
    <ds:schemaRef ds:uri="http://schemas.microsoft.com/sharepoint/v3/contenttype/forms"/>
  </ds:schemaRefs>
</ds:datastoreItem>
</file>

<file path=customXml/itemProps5.xml><?xml version="1.0" encoding="utf-8"?>
<ds:datastoreItem xmlns:ds="http://schemas.openxmlformats.org/officeDocument/2006/customXml" ds:itemID="{F09115F5-4FDB-4693-9C83-BA932F6BF998}">
  <ds:schemaRefs>
    <ds:schemaRef ds:uri="http://purl.org/dc/terms/"/>
    <ds:schemaRef ds:uri="http://schemas.openxmlformats.org/package/2006/metadata/core-properties"/>
    <ds:schemaRef ds:uri="955b5d79-bca6-4671-8224-dc83b7be33c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c25c73a-2120-49f0-9580-e7c4822a68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7306</Words>
  <Characters>41650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Strengthening Community Safety Bill 2023</vt:lpstr>
    </vt:vector>
  </TitlesOfParts>
  <Company/>
  <LinksUpToDate>false</LinksUpToDate>
  <CharactersWithSpaces>48859</CharactersWithSpaces>
  <SharedDoc>false</SharedDoc>
  <HLinks>
    <vt:vector size="102" baseType="variant">
      <vt:variant>
        <vt:i4>1048635</vt:i4>
      </vt:variant>
      <vt:variant>
        <vt:i4>98</vt:i4>
      </vt:variant>
      <vt:variant>
        <vt:i4>0</vt:i4>
      </vt:variant>
      <vt:variant>
        <vt:i4>5</vt:i4>
      </vt:variant>
      <vt:variant>
        <vt:lpwstr/>
      </vt:variant>
      <vt:variant>
        <vt:lpwstr>_Toc128124000</vt:lpwstr>
      </vt:variant>
      <vt:variant>
        <vt:i4>1966130</vt:i4>
      </vt:variant>
      <vt:variant>
        <vt:i4>92</vt:i4>
      </vt:variant>
      <vt:variant>
        <vt:i4>0</vt:i4>
      </vt:variant>
      <vt:variant>
        <vt:i4>5</vt:i4>
      </vt:variant>
      <vt:variant>
        <vt:lpwstr/>
      </vt:variant>
      <vt:variant>
        <vt:lpwstr>_Toc128123999</vt:lpwstr>
      </vt:variant>
      <vt:variant>
        <vt:i4>1966130</vt:i4>
      </vt:variant>
      <vt:variant>
        <vt:i4>86</vt:i4>
      </vt:variant>
      <vt:variant>
        <vt:i4>0</vt:i4>
      </vt:variant>
      <vt:variant>
        <vt:i4>5</vt:i4>
      </vt:variant>
      <vt:variant>
        <vt:lpwstr/>
      </vt:variant>
      <vt:variant>
        <vt:lpwstr>_Toc128123998</vt:lpwstr>
      </vt:variant>
      <vt:variant>
        <vt:i4>1966130</vt:i4>
      </vt:variant>
      <vt:variant>
        <vt:i4>80</vt:i4>
      </vt:variant>
      <vt:variant>
        <vt:i4>0</vt:i4>
      </vt:variant>
      <vt:variant>
        <vt:i4>5</vt:i4>
      </vt:variant>
      <vt:variant>
        <vt:lpwstr/>
      </vt:variant>
      <vt:variant>
        <vt:lpwstr>_Toc128123997</vt:lpwstr>
      </vt:variant>
      <vt:variant>
        <vt:i4>1966130</vt:i4>
      </vt:variant>
      <vt:variant>
        <vt:i4>74</vt:i4>
      </vt:variant>
      <vt:variant>
        <vt:i4>0</vt:i4>
      </vt:variant>
      <vt:variant>
        <vt:i4>5</vt:i4>
      </vt:variant>
      <vt:variant>
        <vt:lpwstr/>
      </vt:variant>
      <vt:variant>
        <vt:lpwstr>_Toc128123996</vt:lpwstr>
      </vt:variant>
      <vt:variant>
        <vt:i4>1966130</vt:i4>
      </vt:variant>
      <vt:variant>
        <vt:i4>68</vt:i4>
      </vt:variant>
      <vt:variant>
        <vt:i4>0</vt:i4>
      </vt:variant>
      <vt:variant>
        <vt:i4>5</vt:i4>
      </vt:variant>
      <vt:variant>
        <vt:lpwstr/>
      </vt:variant>
      <vt:variant>
        <vt:lpwstr>_Toc128123995</vt:lpwstr>
      </vt:variant>
      <vt:variant>
        <vt:i4>1966130</vt:i4>
      </vt:variant>
      <vt:variant>
        <vt:i4>62</vt:i4>
      </vt:variant>
      <vt:variant>
        <vt:i4>0</vt:i4>
      </vt:variant>
      <vt:variant>
        <vt:i4>5</vt:i4>
      </vt:variant>
      <vt:variant>
        <vt:lpwstr/>
      </vt:variant>
      <vt:variant>
        <vt:lpwstr>_Toc128123994</vt:lpwstr>
      </vt:variant>
      <vt:variant>
        <vt:i4>1966130</vt:i4>
      </vt:variant>
      <vt:variant>
        <vt:i4>56</vt:i4>
      </vt:variant>
      <vt:variant>
        <vt:i4>0</vt:i4>
      </vt:variant>
      <vt:variant>
        <vt:i4>5</vt:i4>
      </vt:variant>
      <vt:variant>
        <vt:lpwstr/>
      </vt:variant>
      <vt:variant>
        <vt:lpwstr>_Toc128123993</vt:lpwstr>
      </vt:variant>
      <vt:variant>
        <vt:i4>1966130</vt:i4>
      </vt:variant>
      <vt:variant>
        <vt:i4>50</vt:i4>
      </vt:variant>
      <vt:variant>
        <vt:i4>0</vt:i4>
      </vt:variant>
      <vt:variant>
        <vt:i4>5</vt:i4>
      </vt:variant>
      <vt:variant>
        <vt:lpwstr/>
      </vt:variant>
      <vt:variant>
        <vt:lpwstr>_Toc128123992</vt:lpwstr>
      </vt:variant>
      <vt:variant>
        <vt:i4>1966130</vt:i4>
      </vt:variant>
      <vt:variant>
        <vt:i4>44</vt:i4>
      </vt:variant>
      <vt:variant>
        <vt:i4>0</vt:i4>
      </vt:variant>
      <vt:variant>
        <vt:i4>5</vt:i4>
      </vt:variant>
      <vt:variant>
        <vt:lpwstr/>
      </vt:variant>
      <vt:variant>
        <vt:lpwstr>_Toc128123991</vt:lpwstr>
      </vt:variant>
      <vt:variant>
        <vt:i4>1966130</vt:i4>
      </vt:variant>
      <vt:variant>
        <vt:i4>38</vt:i4>
      </vt:variant>
      <vt:variant>
        <vt:i4>0</vt:i4>
      </vt:variant>
      <vt:variant>
        <vt:i4>5</vt:i4>
      </vt:variant>
      <vt:variant>
        <vt:lpwstr/>
      </vt:variant>
      <vt:variant>
        <vt:lpwstr>_Toc128123990</vt:lpwstr>
      </vt:variant>
      <vt:variant>
        <vt:i4>2031666</vt:i4>
      </vt:variant>
      <vt:variant>
        <vt:i4>32</vt:i4>
      </vt:variant>
      <vt:variant>
        <vt:i4>0</vt:i4>
      </vt:variant>
      <vt:variant>
        <vt:i4>5</vt:i4>
      </vt:variant>
      <vt:variant>
        <vt:lpwstr/>
      </vt:variant>
      <vt:variant>
        <vt:lpwstr>_Toc128123989</vt:lpwstr>
      </vt:variant>
      <vt:variant>
        <vt:i4>2031666</vt:i4>
      </vt:variant>
      <vt:variant>
        <vt:i4>26</vt:i4>
      </vt:variant>
      <vt:variant>
        <vt:i4>0</vt:i4>
      </vt:variant>
      <vt:variant>
        <vt:i4>5</vt:i4>
      </vt:variant>
      <vt:variant>
        <vt:lpwstr/>
      </vt:variant>
      <vt:variant>
        <vt:lpwstr>_Toc128123988</vt:lpwstr>
      </vt:variant>
      <vt:variant>
        <vt:i4>2031666</vt:i4>
      </vt:variant>
      <vt:variant>
        <vt:i4>20</vt:i4>
      </vt:variant>
      <vt:variant>
        <vt:i4>0</vt:i4>
      </vt:variant>
      <vt:variant>
        <vt:i4>5</vt:i4>
      </vt:variant>
      <vt:variant>
        <vt:lpwstr/>
      </vt:variant>
      <vt:variant>
        <vt:lpwstr>_Toc128123987</vt:lpwstr>
      </vt:variant>
      <vt:variant>
        <vt:i4>2031666</vt:i4>
      </vt:variant>
      <vt:variant>
        <vt:i4>14</vt:i4>
      </vt:variant>
      <vt:variant>
        <vt:i4>0</vt:i4>
      </vt:variant>
      <vt:variant>
        <vt:i4>5</vt:i4>
      </vt:variant>
      <vt:variant>
        <vt:lpwstr/>
      </vt:variant>
      <vt:variant>
        <vt:lpwstr>_Toc128123986</vt:lpwstr>
      </vt:variant>
      <vt:variant>
        <vt:i4>2031666</vt:i4>
      </vt:variant>
      <vt:variant>
        <vt:i4>8</vt:i4>
      </vt:variant>
      <vt:variant>
        <vt:i4>0</vt:i4>
      </vt:variant>
      <vt:variant>
        <vt:i4>5</vt:i4>
      </vt:variant>
      <vt:variant>
        <vt:lpwstr/>
      </vt:variant>
      <vt:variant>
        <vt:lpwstr>_Toc128123985</vt:lpwstr>
      </vt:variant>
      <vt:variant>
        <vt:i4>2031666</vt:i4>
      </vt:variant>
      <vt:variant>
        <vt:i4>2</vt:i4>
      </vt:variant>
      <vt:variant>
        <vt:i4>0</vt:i4>
      </vt:variant>
      <vt:variant>
        <vt:i4>5</vt:i4>
      </vt:variant>
      <vt:variant>
        <vt:lpwstr/>
      </vt:variant>
      <vt:variant>
        <vt:lpwstr>_Toc128123984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Community Safety Bill 2023</dc:title>
  <dc:subject/>
  <dc:creator>Sean Costello</dc:creator>
  <cp:keywords/>
  <dc:description/>
  <cp:lastModifiedBy>Jessica O’Keeffe</cp:lastModifiedBy>
  <cp:revision>2</cp:revision>
  <cp:lastPrinted>2023-01-14T16:39:00Z</cp:lastPrinted>
  <dcterms:created xsi:type="dcterms:W3CDTF">2023-03-15T00:29:00Z</dcterms:created>
  <dcterms:modified xsi:type="dcterms:W3CDTF">2023-03-15T00:29:00Z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0x0101007C6B2DDAFC3E804FACCCC089121CD92B</vt:lpwstr>
  </property>
</Properties>
</file>