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D6DD5" w14:textId="5FA88827" w:rsidR="003647CE" w:rsidRPr="007957FB" w:rsidRDefault="00DE20F4" w:rsidP="00DE20F4">
      <w:pPr>
        <w:spacing w:before="240" w:after="0" w:line="240" w:lineRule="auto"/>
        <w:rPr>
          <w:rFonts w:ascii="Arial" w:eastAsia="Times New Roman" w:hAnsi="Arial" w:cs="Arial"/>
          <w:color w:val="000000"/>
          <w:lang w:eastAsia="en-AU"/>
        </w:rPr>
      </w:pPr>
      <w:r w:rsidRPr="007957FB">
        <w:rPr>
          <w:rFonts w:ascii="Arial" w:eastAsia="Times New Roman" w:hAnsi="Arial" w:cs="Arial"/>
          <w:color w:val="000000"/>
          <w:lang w:eastAsia="en-AU"/>
        </w:rPr>
        <w:t>Our ref:  BNE5413739</w:t>
      </w:r>
    </w:p>
    <w:p w14:paraId="6F57E7B6" w14:textId="1A611D51" w:rsidR="00DE20F4" w:rsidRPr="007957FB" w:rsidRDefault="00DE20F4" w:rsidP="003647CE">
      <w:pPr>
        <w:spacing w:after="0" w:line="240" w:lineRule="auto"/>
        <w:rPr>
          <w:rFonts w:ascii="Arial" w:eastAsia="Times New Roman" w:hAnsi="Arial" w:cs="Arial"/>
          <w:color w:val="000000"/>
          <w:lang w:eastAsia="en-AU"/>
        </w:rPr>
      </w:pPr>
    </w:p>
    <w:p w14:paraId="1AAE6AFE" w14:textId="77777777" w:rsidR="00DE20F4" w:rsidRPr="007957FB" w:rsidRDefault="00DE20F4" w:rsidP="003647CE">
      <w:pPr>
        <w:spacing w:after="0" w:line="240" w:lineRule="auto"/>
        <w:rPr>
          <w:rFonts w:ascii="Arial" w:eastAsia="Times New Roman" w:hAnsi="Arial" w:cs="Arial"/>
          <w:color w:val="000000"/>
          <w:lang w:eastAsia="en-AU"/>
        </w:rPr>
      </w:pPr>
    </w:p>
    <w:p w14:paraId="0EEB6DE2" w14:textId="7A65C56C" w:rsidR="003647CE" w:rsidRPr="007957FB" w:rsidRDefault="0098152E" w:rsidP="003647CE">
      <w:pPr>
        <w:spacing w:after="0" w:line="240" w:lineRule="auto"/>
        <w:rPr>
          <w:rFonts w:ascii="Arial" w:eastAsia="Times New Roman" w:hAnsi="Arial" w:cs="Arial"/>
          <w:color w:val="000000"/>
          <w:lang w:eastAsia="en-AU"/>
        </w:rPr>
      </w:pPr>
      <w:r>
        <w:rPr>
          <w:rFonts w:ascii="Arial" w:eastAsia="Times New Roman" w:hAnsi="Arial" w:cs="Arial"/>
          <w:color w:val="000000"/>
          <w:lang w:eastAsia="en-AU"/>
        </w:rPr>
        <w:t>1</w:t>
      </w:r>
      <w:r w:rsidR="00030DAD">
        <w:rPr>
          <w:rFonts w:ascii="Arial" w:eastAsia="Times New Roman" w:hAnsi="Arial" w:cs="Arial"/>
          <w:color w:val="000000"/>
          <w:lang w:eastAsia="en-AU"/>
        </w:rPr>
        <w:t>6</w:t>
      </w:r>
      <w:r w:rsidR="003647CE" w:rsidRPr="007957FB">
        <w:rPr>
          <w:rFonts w:ascii="Arial" w:eastAsia="Times New Roman" w:hAnsi="Arial" w:cs="Arial"/>
          <w:color w:val="000000"/>
          <w:lang w:eastAsia="en-AU"/>
        </w:rPr>
        <w:t xml:space="preserve"> March 2023</w:t>
      </w:r>
    </w:p>
    <w:p w14:paraId="78E320FC" w14:textId="720336BB" w:rsidR="003647CE" w:rsidRDefault="003647CE" w:rsidP="003647CE">
      <w:pPr>
        <w:spacing w:after="0" w:line="240" w:lineRule="auto"/>
        <w:rPr>
          <w:rFonts w:ascii="Arial" w:eastAsia="Times New Roman" w:hAnsi="Arial" w:cs="Arial"/>
          <w:color w:val="000000"/>
          <w:lang w:eastAsia="en-AU"/>
        </w:rPr>
      </w:pPr>
    </w:p>
    <w:p w14:paraId="0057A5F0" w14:textId="77777777" w:rsidR="00030DAD" w:rsidRPr="007957FB" w:rsidRDefault="00030DAD" w:rsidP="003647CE">
      <w:pPr>
        <w:spacing w:after="0" w:line="240" w:lineRule="auto"/>
        <w:rPr>
          <w:rFonts w:ascii="Arial" w:eastAsia="Times New Roman" w:hAnsi="Arial" w:cs="Arial"/>
          <w:color w:val="000000"/>
          <w:lang w:eastAsia="en-AU"/>
        </w:rPr>
      </w:pPr>
    </w:p>
    <w:p w14:paraId="6C739F48" w14:textId="6DDDD362" w:rsidR="00030DAD" w:rsidRDefault="00030DAD" w:rsidP="003647CE">
      <w:pPr>
        <w:spacing w:after="0" w:line="240" w:lineRule="auto"/>
        <w:rPr>
          <w:rFonts w:ascii="Arial" w:eastAsia="Times New Roman" w:hAnsi="Arial" w:cs="Arial"/>
          <w:color w:val="000000"/>
          <w:lang w:eastAsia="en-AU"/>
        </w:rPr>
      </w:pPr>
      <w:r>
        <w:rPr>
          <w:rFonts w:ascii="Arial" w:eastAsia="Times New Roman" w:hAnsi="Arial" w:cs="Arial"/>
          <w:color w:val="000000"/>
          <w:lang w:eastAsia="en-AU"/>
        </w:rPr>
        <w:t>Committee Secretary</w:t>
      </w:r>
    </w:p>
    <w:p w14:paraId="3EF8775C" w14:textId="0E018C64" w:rsidR="003647CE" w:rsidRPr="007957FB" w:rsidRDefault="003647CE" w:rsidP="003647CE">
      <w:pPr>
        <w:spacing w:after="0" w:line="240" w:lineRule="auto"/>
        <w:rPr>
          <w:rFonts w:ascii="Arial" w:eastAsia="Times New Roman" w:hAnsi="Arial" w:cs="Arial"/>
          <w:color w:val="000000"/>
          <w:lang w:eastAsia="en-AU"/>
        </w:rPr>
      </w:pPr>
      <w:r w:rsidRPr="007957FB">
        <w:rPr>
          <w:rFonts w:ascii="Arial" w:eastAsia="Times New Roman" w:hAnsi="Arial" w:cs="Arial"/>
          <w:color w:val="000000"/>
          <w:lang w:eastAsia="en-AU"/>
        </w:rPr>
        <w:t>Community Support and Services Committee</w:t>
      </w:r>
    </w:p>
    <w:p w14:paraId="4C8F82DB" w14:textId="4D33ABFB" w:rsidR="003647CE" w:rsidRDefault="00030DAD" w:rsidP="003647CE">
      <w:pPr>
        <w:spacing w:after="0" w:line="240" w:lineRule="auto"/>
        <w:rPr>
          <w:rFonts w:ascii="Arial" w:eastAsia="Times New Roman" w:hAnsi="Arial" w:cs="Arial"/>
          <w:color w:val="000000"/>
          <w:lang w:eastAsia="en-AU"/>
        </w:rPr>
      </w:pPr>
      <w:r>
        <w:rPr>
          <w:rFonts w:ascii="Arial" w:eastAsia="Times New Roman" w:hAnsi="Arial" w:cs="Arial"/>
          <w:color w:val="000000"/>
          <w:lang w:eastAsia="en-AU"/>
        </w:rPr>
        <w:t>Parliament House</w:t>
      </w:r>
    </w:p>
    <w:p w14:paraId="52598F0E" w14:textId="297FBFF7" w:rsidR="00030DAD" w:rsidRDefault="00030DAD" w:rsidP="003647CE">
      <w:pPr>
        <w:spacing w:after="0" w:line="240" w:lineRule="auto"/>
        <w:rPr>
          <w:rFonts w:ascii="Arial" w:eastAsia="Times New Roman" w:hAnsi="Arial" w:cs="Arial"/>
          <w:color w:val="000000"/>
          <w:lang w:eastAsia="en-AU"/>
        </w:rPr>
      </w:pPr>
      <w:proofErr w:type="spellStart"/>
      <w:r>
        <w:rPr>
          <w:rFonts w:ascii="Arial" w:eastAsia="Times New Roman" w:hAnsi="Arial" w:cs="Arial"/>
          <w:color w:val="000000"/>
          <w:lang w:eastAsia="en-AU"/>
        </w:rPr>
        <w:t>Cnr</w:t>
      </w:r>
      <w:proofErr w:type="spellEnd"/>
      <w:r>
        <w:rPr>
          <w:rFonts w:ascii="Arial" w:eastAsia="Times New Roman" w:hAnsi="Arial" w:cs="Arial"/>
          <w:color w:val="000000"/>
          <w:lang w:eastAsia="en-AU"/>
        </w:rPr>
        <w:t xml:space="preserve"> Alice and George Street</w:t>
      </w:r>
    </w:p>
    <w:p w14:paraId="24F43DE0" w14:textId="5067593F" w:rsidR="00030DAD" w:rsidRPr="007957FB" w:rsidRDefault="00030DAD" w:rsidP="003647CE">
      <w:pPr>
        <w:spacing w:after="0" w:line="240" w:lineRule="auto"/>
        <w:rPr>
          <w:rFonts w:ascii="Arial" w:eastAsia="Times New Roman" w:hAnsi="Arial" w:cs="Arial"/>
          <w:color w:val="000000"/>
          <w:lang w:eastAsia="en-AU"/>
        </w:rPr>
      </w:pPr>
      <w:r>
        <w:rPr>
          <w:rFonts w:ascii="Arial" w:eastAsia="Times New Roman" w:hAnsi="Arial" w:cs="Arial"/>
          <w:color w:val="000000"/>
          <w:lang w:eastAsia="en-AU"/>
        </w:rPr>
        <w:t>Brisbane Qld   4000</w:t>
      </w:r>
    </w:p>
    <w:p w14:paraId="6753039C" w14:textId="77777777" w:rsidR="003647CE" w:rsidRPr="007957FB" w:rsidRDefault="003647CE" w:rsidP="003647CE">
      <w:pPr>
        <w:spacing w:after="0" w:line="240" w:lineRule="auto"/>
        <w:rPr>
          <w:rFonts w:ascii="Arial" w:eastAsia="Times New Roman" w:hAnsi="Arial" w:cs="Arial"/>
          <w:color w:val="000000"/>
          <w:lang w:eastAsia="en-AU"/>
        </w:rPr>
      </w:pPr>
    </w:p>
    <w:p w14:paraId="791FFC07" w14:textId="77777777" w:rsidR="003647CE" w:rsidRPr="007957FB" w:rsidRDefault="003647CE" w:rsidP="003647CE">
      <w:pPr>
        <w:spacing w:after="0" w:line="240" w:lineRule="auto"/>
        <w:rPr>
          <w:rFonts w:ascii="Arial" w:eastAsia="Times New Roman" w:hAnsi="Arial" w:cs="Arial"/>
          <w:color w:val="000000"/>
          <w:lang w:eastAsia="en-AU"/>
        </w:rPr>
      </w:pPr>
    </w:p>
    <w:p w14:paraId="7AECDF72" w14:textId="0464BBF7" w:rsidR="003647CE" w:rsidRPr="007957FB" w:rsidRDefault="003647CE" w:rsidP="003647CE">
      <w:pPr>
        <w:spacing w:after="0" w:line="240" w:lineRule="auto"/>
        <w:rPr>
          <w:rFonts w:ascii="Arial" w:eastAsia="Times New Roman" w:hAnsi="Arial" w:cs="Arial"/>
          <w:color w:val="000000"/>
          <w:lang w:eastAsia="en-AU"/>
        </w:rPr>
      </w:pPr>
      <w:r w:rsidRPr="007957FB">
        <w:rPr>
          <w:rFonts w:ascii="Arial" w:eastAsia="Times New Roman" w:hAnsi="Arial" w:cs="Arial"/>
          <w:b/>
          <w:i/>
          <w:color w:val="000000"/>
          <w:lang w:eastAsia="en-AU"/>
        </w:rPr>
        <w:t xml:space="preserve">By email to: </w:t>
      </w:r>
      <w:r w:rsidRPr="007957FB">
        <w:rPr>
          <w:rFonts w:ascii="Arial" w:eastAsia="Times New Roman" w:hAnsi="Arial" w:cs="Arial"/>
          <w:color w:val="000000"/>
          <w:lang w:eastAsia="en-AU"/>
        </w:rPr>
        <w:t xml:space="preserve">cssc@parliament.qld.gov.au   </w:t>
      </w:r>
    </w:p>
    <w:p w14:paraId="278BA203" w14:textId="77777777" w:rsidR="003647CE" w:rsidRPr="007957FB" w:rsidRDefault="003647CE" w:rsidP="003647CE">
      <w:pPr>
        <w:spacing w:after="0" w:line="240" w:lineRule="auto"/>
        <w:rPr>
          <w:rFonts w:ascii="Arial" w:eastAsia="Times New Roman" w:hAnsi="Arial" w:cs="Arial"/>
          <w:b/>
          <w:i/>
          <w:color w:val="000000"/>
          <w:lang w:eastAsia="en-AU"/>
        </w:rPr>
      </w:pPr>
    </w:p>
    <w:p w14:paraId="6C4507AE" w14:textId="77777777" w:rsidR="003647CE" w:rsidRPr="007957FB" w:rsidRDefault="003647CE" w:rsidP="003647CE">
      <w:pPr>
        <w:spacing w:after="0" w:line="240" w:lineRule="auto"/>
        <w:rPr>
          <w:rFonts w:ascii="Arial" w:eastAsia="Times New Roman" w:hAnsi="Arial" w:cs="Arial"/>
          <w:color w:val="000000"/>
          <w:lang w:eastAsia="en-AU"/>
        </w:rPr>
      </w:pPr>
    </w:p>
    <w:p w14:paraId="2F449460" w14:textId="77777777" w:rsidR="003647CE" w:rsidRPr="007957FB" w:rsidRDefault="003647CE" w:rsidP="003647CE">
      <w:pPr>
        <w:spacing w:after="0" w:line="240" w:lineRule="auto"/>
        <w:rPr>
          <w:rFonts w:ascii="Arial" w:eastAsia="Times New Roman" w:hAnsi="Arial" w:cs="Arial"/>
          <w:color w:val="000000"/>
          <w:lang w:eastAsia="en-AU"/>
        </w:rPr>
      </w:pPr>
    </w:p>
    <w:p w14:paraId="74FCEB95" w14:textId="57480FDF" w:rsidR="003647CE" w:rsidRPr="007957FB" w:rsidRDefault="003647CE" w:rsidP="003647CE">
      <w:pPr>
        <w:spacing w:before="120" w:after="240" w:line="240" w:lineRule="auto"/>
        <w:rPr>
          <w:rFonts w:ascii="Arial" w:eastAsia="Times New Roman" w:hAnsi="Arial" w:cs="Arial"/>
          <w:color w:val="000000"/>
          <w:lang w:eastAsia="en-AU"/>
        </w:rPr>
      </w:pPr>
      <w:r w:rsidRPr="007957FB">
        <w:rPr>
          <w:rFonts w:ascii="Arial" w:eastAsia="Times New Roman" w:hAnsi="Arial" w:cs="Arial"/>
          <w:color w:val="000000"/>
          <w:lang w:eastAsia="en-AU"/>
        </w:rPr>
        <w:t>Dear Committee</w:t>
      </w:r>
      <w:r w:rsidR="00030DAD">
        <w:rPr>
          <w:rFonts w:ascii="Arial" w:eastAsia="Times New Roman" w:hAnsi="Arial" w:cs="Arial"/>
          <w:color w:val="000000"/>
          <w:lang w:eastAsia="en-AU"/>
        </w:rPr>
        <w:t xml:space="preserve"> </w:t>
      </w:r>
    </w:p>
    <w:p w14:paraId="0522636D" w14:textId="1DFE1A8E" w:rsidR="003647CE" w:rsidRPr="007957FB" w:rsidRDefault="003647CE" w:rsidP="009E4AFB">
      <w:pPr>
        <w:pStyle w:val="Heading1"/>
        <w:rPr>
          <w:rFonts w:eastAsia="Times New Roman"/>
          <w:lang w:eastAsia="en-AU"/>
        </w:rPr>
      </w:pPr>
      <w:r w:rsidRPr="007957FB">
        <w:rPr>
          <w:rFonts w:eastAsia="Times New Roman"/>
          <w:lang w:eastAsia="en-AU"/>
        </w:rPr>
        <w:t>Path to Treaty Bill 2023</w:t>
      </w:r>
    </w:p>
    <w:p w14:paraId="25E6A2A0" w14:textId="2E9875EA" w:rsidR="003647CE" w:rsidRPr="007957FB" w:rsidRDefault="003647CE" w:rsidP="003647CE">
      <w:pPr>
        <w:spacing w:before="120" w:after="240" w:line="240" w:lineRule="auto"/>
        <w:rPr>
          <w:rFonts w:ascii="Arial" w:eastAsia="Times New Roman" w:hAnsi="Arial" w:cs="Arial"/>
          <w:color w:val="000000"/>
          <w:lang w:eastAsia="en-AU"/>
        </w:rPr>
      </w:pPr>
      <w:r w:rsidRPr="007957FB">
        <w:rPr>
          <w:rFonts w:ascii="Arial" w:eastAsia="Times New Roman" w:hAnsi="Arial" w:cs="Arial"/>
          <w:color w:val="000000"/>
          <w:lang w:eastAsia="en-AU"/>
        </w:rPr>
        <w:t>Thank you for the opportunity to make a submission in relation to this Bill.</w:t>
      </w:r>
    </w:p>
    <w:p w14:paraId="1BF99265" w14:textId="388E297F" w:rsidR="003647CE" w:rsidRPr="007957FB" w:rsidRDefault="003647CE" w:rsidP="003647CE">
      <w:pPr>
        <w:spacing w:before="120" w:after="240" w:line="240" w:lineRule="auto"/>
        <w:rPr>
          <w:rFonts w:ascii="Arial" w:eastAsia="Times New Roman" w:hAnsi="Arial" w:cs="Arial"/>
          <w:color w:val="000000"/>
          <w:lang w:eastAsia="en-AU"/>
        </w:rPr>
      </w:pPr>
      <w:r w:rsidRPr="007957FB">
        <w:rPr>
          <w:rFonts w:ascii="Arial" w:eastAsia="Times New Roman" w:hAnsi="Arial" w:cs="Arial"/>
          <w:color w:val="000000"/>
          <w:lang w:eastAsia="en-AU"/>
        </w:rPr>
        <w:t xml:space="preserve">The Queensland Human Rights Commission has functions under the </w:t>
      </w:r>
      <w:r w:rsidRPr="007957FB">
        <w:rPr>
          <w:rFonts w:ascii="Arial" w:eastAsia="Times New Roman" w:hAnsi="Arial" w:cs="Arial"/>
          <w:i/>
          <w:color w:val="000000"/>
          <w:lang w:eastAsia="en-AU"/>
        </w:rPr>
        <w:t xml:space="preserve">Anti-Discrimination Act 1991 </w:t>
      </w:r>
      <w:r w:rsidRPr="007957FB">
        <w:rPr>
          <w:rFonts w:ascii="Arial" w:eastAsia="Times New Roman" w:hAnsi="Arial" w:cs="Arial"/>
          <w:color w:val="000000"/>
          <w:lang w:eastAsia="en-AU"/>
        </w:rPr>
        <w:t xml:space="preserve">and the </w:t>
      </w:r>
      <w:r w:rsidRPr="007957FB">
        <w:rPr>
          <w:rFonts w:ascii="Arial" w:eastAsia="Times New Roman" w:hAnsi="Arial" w:cs="Arial"/>
          <w:i/>
          <w:color w:val="000000"/>
          <w:lang w:eastAsia="en-AU"/>
        </w:rPr>
        <w:t xml:space="preserve">Human Rights Act 2019 </w:t>
      </w:r>
      <w:r w:rsidRPr="007957FB">
        <w:rPr>
          <w:rFonts w:ascii="Arial" w:eastAsia="Times New Roman" w:hAnsi="Arial" w:cs="Arial"/>
          <w:color w:val="000000"/>
          <w:lang w:eastAsia="en-AU"/>
        </w:rPr>
        <w:t>to promote an understanding and discussion of human rights in Queensland, and to provide information and educative services about human rights.</w:t>
      </w:r>
    </w:p>
    <w:p w14:paraId="1F359A8E" w14:textId="44509CA7" w:rsidR="00B61A0C" w:rsidRPr="007957FB" w:rsidRDefault="00B61A0C" w:rsidP="003647CE">
      <w:pPr>
        <w:spacing w:before="120" w:after="240" w:line="240" w:lineRule="auto"/>
        <w:rPr>
          <w:rFonts w:ascii="Arial" w:eastAsia="Times New Roman" w:hAnsi="Arial" w:cs="Arial"/>
          <w:color w:val="000000"/>
          <w:lang w:eastAsia="en-AU"/>
        </w:rPr>
      </w:pPr>
      <w:r w:rsidRPr="007957FB">
        <w:rPr>
          <w:rFonts w:ascii="Arial" w:eastAsia="Times New Roman" w:hAnsi="Arial" w:cs="Arial"/>
          <w:color w:val="000000"/>
          <w:lang w:eastAsia="en-AU"/>
        </w:rPr>
        <w:t xml:space="preserve">The Commission writes in support of </w:t>
      </w:r>
      <w:r w:rsidR="00A6001D" w:rsidRPr="007957FB">
        <w:rPr>
          <w:rFonts w:ascii="Arial" w:eastAsia="Times New Roman" w:hAnsi="Arial" w:cs="Arial"/>
          <w:color w:val="000000"/>
          <w:lang w:eastAsia="en-AU"/>
        </w:rPr>
        <w:t>the</w:t>
      </w:r>
      <w:r w:rsidRPr="007957FB">
        <w:rPr>
          <w:rFonts w:ascii="Arial" w:eastAsia="Times New Roman" w:hAnsi="Arial" w:cs="Arial"/>
          <w:color w:val="000000"/>
          <w:lang w:eastAsia="en-AU"/>
        </w:rPr>
        <w:t xml:space="preserve"> </w:t>
      </w:r>
      <w:r w:rsidR="00407C10">
        <w:rPr>
          <w:rFonts w:ascii="Arial" w:eastAsia="Times New Roman" w:hAnsi="Arial" w:cs="Arial"/>
          <w:color w:val="000000"/>
          <w:lang w:eastAsia="en-AU"/>
        </w:rPr>
        <w:t xml:space="preserve">intent of the </w:t>
      </w:r>
      <w:r w:rsidRPr="007957FB">
        <w:rPr>
          <w:rFonts w:ascii="Arial" w:eastAsia="Times New Roman" w:hAnsi="Arial" w:cs="Arial"/>
          <w:color w:val="000000"/>
          <w:lang w:eastAsia="en-AU"/>
        </w:rPr>
        <w:t>Bill</w:t>
      </w:r>
      <w:r w:rsidR="00B71620" w:rsidRPr="007957FB">
        <w:rPr>
          <w:rFonts w:ascii="Arial" w:eastAsia="Times New Roman" w:hAnsi="Arial" w:cs="Arial"/>
          <w:color w:val="000000"/>
          <w:lang w:eastAsia="en-AU"/>
        </w:rPr>
        <w:t xml:space="preserve">, which promotes </w:t>
      </w:r>
      <w:r w:rsidRPr="007957FB">
        <w:rPr>
          <w:rFonts w:ascii="Arial" w:eastAsia="Times New Roman" w:hAnsi="Arial" w:cs="Arial"/>
          <w:color w:val="000000"/>
          <w:lang w:eastAsia="en-AU"/>
        </w:rPr>
        <w:t>the human rights of Aboriginal and Torres Strait Islander Queenslanders</w:t>
      </w:r>
      <w:r w:rsidR="000D171E" w:rsidRPr="007957FB">
        <w:rPr>
          <w:rStyle w:val="FootnoteReference"/>
          <w:rFonts w:ascii="Arial" w:eastAsia="Times New Roman" w:hAnsi="Arial" w:cs="Arial"/>
          <w:color w:val="000000"/>
          <w:lang w:eastAsia="en-AU"/>
        </w:rPr>
        <w:footnoteReference w:id="1"/>
      </w:r>
      <w:r w:rsidR="00030DAD">
        <w:rPr>
          <w:rFonts w:ascii="Arial" w:eastAsia="Times New Roman" w:hAnsi="Arial" w:cs="Arial"/>
          <w:color w:val="000000"/>
          <w:lang w:eastAsia="en-AU"/>
        </w:rPr>
        <w:t>,</w:t>
      </w:r>
      <w:r w:rsidR="00CD3F9E" w:rsidRPr="007957FB">
        <w:rPr>
          <w:rFonts w:ascii="Arial" w:eastAsia="Times New Roman" w:hAnsi="Arial" w:cs="Arial"/>
          <w:color w:val="000000"/>
          <w:lang w:eastAsia="en-AU"/>
        </w:rPr>
        <w:t xml:space="preserve"> including</w:t>
      </w:r>
      <w:r w:rsidRPr="007957FB">
        <w:rPr>
          <w:rFonts w:ascii="Arial" w:eastAsia="Times New Roman" w:hAnsi="Arial" w:cs="Arial"/>
          <w:color w:val="000000"/>
          <w:lang w:eastAsia="en-AU"/>
        </w:rPr>
        <w:t xml:space="preserve"> through:</w:t>
      </w:r>
    </w:p>
    <w:p w14:paraId="4FB52042" w14:textId="31072E02" w:rsidR="00B71620" w:rsidRPr="007957FB" w:rsidRDefault="00CD3F9E" w:rsidP="00B61A0C">
      <w:pPr>
        <w:pStyle w:val="ListParagraph"/>
        <w:numPr>
          <w:ilvl w:val="0"/>
          <w:numId w:val="3"/>
        </w:numPr>
        <w:spacing w:before="120" w:after="240" w:line="240" w:lineRule="auto"/>
        <w:rPr>
          <w:rFonts w:ascii="Arial" w:hAnsi="Arial" w:cs="Arial"/>
        </w:rPr>
      </w:pPr>
      <w:r w:rsidRPr="007957FB">
        <w:rPr>
          <w:rFonts w:ascii="Arial" w:hAnsi="Arial" w:cs="Arial"/>
        </w:rPr>
        <w:t xml:space="preserve">Creating </w:t>
      </w:r>
      <w:r w:rsidR="00084535" w:rsidRPr="007957FB">
        <w:rPr>
          <w:rFonts w:ascii="Arial" w:hAnsi="Arial" w:cs="Arial"/>
        </w:rPr>
        <w:t xml:space="preserve">a </w:t>
      </w:r>
      <w:r w:rsidRPr="007957FB">
        <w:rPr>
          <w:rFonts w:ascii="Arial" w:hAnsi="Arial" w:cs="Arial"/>
        </w:rPr>
        <w:t>First Nations Treaty Institute</w:t>
      </w:r>
      <w:r w:rsidR="00A278BA">
        <w:rPr>
          <w:rFonts w:ascii="Arial" w:hAnsi="Arial" w:cs="Arial"/>
        </w:rPr>
        <w:t xml:space="preserve"> (Treaty Institute)</w:t>
      </w:r>
      <w:r w:rsidRPr="007957FB">
        <w:rPr>
          <w:rFonts w:ascii="Arial" w:hAnsi="Arial" w:cs="Arial"/>
        </w:rPr>
        <w:t xml:space="preserve"> </w:t>
      </w:r>
      <w:r w:rsidR="00B71620" w:rsidRPr="007957FB">
        <w:rPr>
          <w:rFonts w:ascii="Arial" w:hAnsi="Arial" w:cs="Arial"/>
        </w:rPr>
        <w:t xml:space="preserve">to support and prepare </w:t>
      </w:r>
      <w:r w:rsidR="00084535" w:rsidRPr="007957FB">
        <w:rPr>
          <w:rFonts w:ascii="Arial" w:hAnsi="Arial" w:cs="Arial"/>
        </w:rPr>
        <w:t xml:space="preserve">Aboriginal </w:t>
      </w:r>
      <w:r w:rsidR="00617FE1" w:rsidRPr="007957FB">
        <w:rPr>
          <w:rFonts w:ascii="Arial" w:hAnsi="Arial" w:cs="Arial"/>
        </w:rPr>
        <w:t xml:space="preserve">people </w:t>
      </w:r>
      <w:r w:rsidR="00084535" w:rsidRPr="007957FB">
        <w:rPr>
          <w:rFonts w:ascii="Arial" w:hAnsi="Arial" w:cs="Arial"/>
        </w:rPr>
        <w:t xml:space="preserve">and Torres Strait Islander peoples </w:t>
      </w:r>
      <w:r w:rsidR="00617FE1" w:rsidRPr="007957FB">
        <w:rPr>
          <w:rFonts w:ascii="Arial" w:hAnsi="Arial" w:cs="Arial"/>
        </w:rPr>
        <w:t xml:space="preserve">to participate in </w:t>
      </w:r>
      <w:r w:rsidR="00B71620" w:rsidRPr="007957FB">
        <w:rPr>
          <w:rFonts w:ascii="Arial" w:hAnsi="Arial" w:cs="Arial"/>
        </w:rPr>
        <w:t xml:space="preserve">treaty negotiations </w:t>
      </w:r>
      <w:r w:rsidR="00084535" w:rsidRPr="007957FB">
        <w:rPr>
          <w:rFonts w:ascii="Arial" w:hAnsi="Arial" w:cs="Arial"/>
        </w:rPr>
        <w:t xml:space="preserve">with </w:t>
      </w:r>
      <w:r w:rsidR="00B71620" w:rsidRPr="007957FB">
        <w:rPr>
          <w:rFonts w:ascii="Arial" w:hAnsi="Arial" w:cs="Arial"/>
        </w:rPr>
        <w:t>the Queensland government;</w:t>
      </w:r>
    </w:p>
    <w:p w14:paraId="1C3742D4" w14:textId="21539516" w:rsidR="00CD3F9E" w:rsidRPr="007957FB" w:rsidRDefault="00B71620" w:rsidP="00B61A0C">
      <w:pPr>
        <w:pStyle w:val="ListParagraph"/>
        <w:numPr>
          <w:ilvl w:val="0"/>
          <w:numId w:val="3"/>
        </w:numPr>
        <w:spacing w:before="120" w:after="240" w:line="240" w:lineRule="auto"/>
        <w:rPr>
          <w:rFonts w:ascii="Arial" w:hAnsi="Arial" w:cs="Arial"/>
        </w:rPr>
      </w:pPr>
      <w:r w:rsidRPr="007957FB">
        <w:rPr>
          <w:rFonts w:ascii="Arial" w:hAnsi="Arial" w:cs="Arial"/>
        </w:rPr>
        <w:t>Establishing a formal inquiry</w:t>
      </w:r>
      <w:r w:rsidR="00A278BA">
        <w:rPr>
          <w:rFonts w:ascii="Arial" w:hAnsi="Arial" w:cs="Arial"/>
        </w:rPr>
        <w:t xml:space="preserve"> (the Inquiry)</w:t>
      </w:r>
      <w:r w:rsidRPr="007957FB">
        <w:rPr>
          <w:rFonts w:ascii="Arial" w:hAnsi="Arial" w:cs="Arial"/>
        </w:rPr>
        <w:t xml:space="preserve"> </w:t>
      </w:r>
      <w:r w:rsidR="00CD3F9E" w:rsidRPr="007957FB">
        <w:rPr>
          <w:rFonts w:ascii="Arial" w:hAnsi="Arial" w:cs="Arial"/>
        </w:rPr>
        <w:t>to conduct truth-telling and healing conversations in Queensland</w:t>
      </w:r>
      <w:r w:rsidR="002644C5" w:rsidRPr="007957FB">
        <w:rPr>
          <w:rFonts w:ascii="Arial" w:hAnsi="Arial" w:cs="Arial"/>
        </w:rPr>
        <w:t xml:space="preserve">, to record and share Queensland Aboriginal and Torres Strait Islander history, tradition and culture, </w:t>
      </w:r>
      <w:r w:rsidR="00481695" w:rsidRPr="007957FB">
        <w:rPr>
          <w:rFonts w:ascii="Arial" w:hAnsi="Arial" w:cs="Arial"/>
        </w:rPr>
        <w:t xml:space="preserve">and </w:t>
      </w:r>
      <w:r w:rsidR="002644C5" w:rsidRPr="007957FB">
        <w:rPr>
          <w:rFonts w:ascii="Arial" w:hAnsi="Arial" w:cs="Arial"/>
        </w:rPr>
        <w:t>the impact</w:t>
      </w:r>
      <w:r w:rsidR="00481695" w:rsidRPr="007957FB">
        <w:rPr>
          <w:rFonts w:ascii="Arial" w:hAnsi="Arial" w:cs="Arial"/>
        </w:rPr>
        <w:t>s and effects of</w:t>
      </w:r>
      <w:r w:rsidR="002644C5" w:rsidRPr="007957FB">
        <w:rPr>
          <w:rFonts w:ascii="Arial" w:hAnsi="Arial" w:cs="Arial"/>
        </w:rPr>
        <w:t xml:space="preserve"> colonisation</w:t>
      </w:r>
      <w:r w:rsidR="00CD3F9E" w:rsidRPr="007957FB">
        <w:rPr>
          <w:rFonts w:ascii="Arial" w:hAnsi="Arial" w:cs="Arial"/>
        </w:rPr>
        <w:t>; and</w:t>
      </w:r>
    </w:p>
    <w:p w14:paraId="7F963C91" w14:textId="728A3601" w:rsidR="00555A12" w:rsidRPr="007957FB" w:rsidRDefault="00B61A0C" w:rsidP="00CD3F9E">
      <w:pPr>
        <w:pStyle w:val="ListParagraph"/>
        <w:numPr>
          <w:ilvl w:val="0"/>
          <w:numId w:val="3"/>
        </w:numPr>
        <w:spacing w:before="120" w:after="240" w:line="240" w:lineRule="auto"/>
        <w:rPr>
          <w:rFonts w:ascii="Arial" w:hAnsi="Arial" w:cs="Arial"/>
        </w:rPr>
      </w:pPr>
      <w:r w:rsidRPr="007957FB">
        <w:rPr>
          <w:rFonts w:ascii="Arial" w:hAnsi="Arial" w:cs="Arial"/>
        </w:rPr>
        <w:t xml:space="preserve">Removing outdated and discriminatory provisions of the </w:t>
      </w:r>
      <w:r w:rsidRPr="007957FB">
        <w:rPr>
          <w:rFonts w:ascii="Arial" w:hAnsi="Arial" w:cs="Arial"/>
          <w:i/>
          <w:iCs/>
        </w:rPr>
        <w:t>Aboriginal and Torres Strait Islander Communities (Justice, Land and Other Matters) Act 1984</w:t>
      </w:r>
      <w:r w:rsidRPr="007957FB">
        <w:rPr>
          <w:rFonts w:ascii="Arial" w:hAnsi="Arial" w:cs="Arial"/>
        </w:rPr>
        <w:t>.</w:t>
      </w:r>
    </w:p>
    <w:p w14:paraId="68CF4E09" w14:textId="18ADE92C" w:rsidR="008959B8" w:rsidRPr="007957FB" w:rsidRDefault="00432B8D" w:rsidP="003647CE">
      <w:pPr>
        <w:spacing w:before="120" w:after="240" w:line="240" w:lineRule="auto"/>
        <w:rPr>
          <w:rFonts w:ascii="Arial" w:eastAsia="Times New Roman" w:hAnsi="Arial" w:cs="Arial"/>
          <w:color w:val="000000"/>
          <w:lang w:eastAsia="en-AU"/>
        </w:rPr>
      </w:pPr>
      <w:r w:rsidRPr="007957FB">
        <w:rPr>
          <w:rFonts w:ascii="Arial" w:eastAsia="Times New Roman" w:hAnsi="Arial" w:cs="Arial"/>
          <w:color w:val="000000"/>
          <w:lang w:eastAsia="en-AU"/>
        </w:rPr>
        <w:t>Truth</w:t>
      </w:r>
      <w:r w:rsidR="00552F82" w:rsidRPr="007957FB">
        <w:rPr>
          <w:rFonts w:ascii="Arial" w:eastAsia="Times New Roman" w:hAnsi="Arial" w:cs="Arial"/>
          <w:color w:val="000000"/>
          <w:lang w:eastAsia="en-AU"/>
        </w:rPr>
        <w:t xml:space="preserve"> and </w:t>
      </w:r>
      <w:r w:rsidRPr="007957FB">
        <w:rPr>
          <w:rFonts w:ascii="Arial" w:eastAsia="Times New Roman" w:hAnsi="Arial" w:cs="Arial"/>
          <w:color w:val="000000"/>
          <w:lang w:eastAsia="en-AU"/>
        </w:rPr>
        <w:t xml:space="preserve">treaty </w:t>
      </w:r>
      <w:r w:rsidR="000924AF" w:rsidRPr="007957FB">
        <w:rPr>
          <w:rFonts w:ascii="Arial" w:eastAsia="Times New Roman" w:hAnsi="Arial" w:cs="Arial"/>
          <w:color w:val="000000"/>
          <w:lang w:eastAsia="en-AU"/>
        </w:rPr>
        <w:t xml:space="preserve">are necessary steps to </w:t>
      </w:r>
      <w:r w:rsidR="00891713" w:rsidRPr="007957FB">
        <w:rPr>
          <w:rFonts w:ascii="Arial" w:eastAsia="Times New Roman" w:hAnsi="Arial" w:cs="Arial"/>
          <w:color w:val="000000"/>
          <w:lang w:eastAsia="en-AU"/>
        </w:rPr>
        <w:t xml:space="preserve">achieve </w:t>
      </w:r>
      <w:r w:rsidR="000924AF" w:rsidRPr="007957FB">
        <w:rPr>
          <w:rFonts w:ascii="Arial" w:eastAsia="Times New Roman" w:hAnsi="Arial" w:cs="Arial"/>
          <w:color w:val="000000"/>
          <w:lang w:eastAsia="en-AU"/>
        </w:rPr>
        <w:t xml:space="preserve">equal recognition and formal equality before the law for Aboriginal peoples and Torres Strait Islander peoples as required by </w:t>
      </w:r>
      <w:r w:rsidR="000924AF" w:rsidRPr="007957FB">
        <w:rPr>
          <w:rFonts w:ascii="Arial" w:eastAsia="Times New Roman" w:hAnsi="Arial" w:cs="Arial"/>
          <w:color w:val="000000"/>
          <w:lang w:eastAsia="en-AU"/>
        </w:rPr>
        <w:lastRenderedPageBreak/>
        <w:t xml:space="preserve">section 15 of the </w:t>
      </w:r>
      <w:r w:rsidR="000924AF" w:rsidRPr="00AF3A95">
        <w:rPr>
          <w:rFonts w:ascii="Arial" w:eastAsia="Times New Roman" w:hAnsi="Arial" w:cs="Arial"/>
          <w:i/>
          <w:iCs/>
          <w:color w:val="000000"/>
          <w:lang w:eastAsia="en-AU"/>
        </w:rPr>
        <w:t>Human Rights Act 2019.</w:t>
      </w:r>
      <w:r w:rsidR="000924AF" w:rsidRPr="007957FB">
        <w:rPr>
          <w:rFonts w:ascii="Arial" w:eastAsia="Times New Roman" w:hAnsi="Arial" w:cs="Arial"/>
          <w:color w:val="000000"/>
          <w:lang w:eastAsia="en-AU"/>
        </w:rPr>
        <w:t xml:space="preserve"> They are also </w:t>
      </w:r>
      <w:r w:rsidR="00891713" w:rsidRPr="007957FB">
        <w:rPr>
          <w:rFonts w:ascii="Arial" w:eastAsia="Times New Roman" w:hAnsi="Arial" w:cs="Arial"/>
          <w:color w:val="000000"/>
          <w:lang w:eastAsia="en-AU"/>
        </w:rPr>
        <w:t xml:space="preserve">significant </w:t>
      </w:r>
      <w:r w:rsidR="000924AF" w:rsidRPr="007957FB">
        <w:rPr>
          <w:rFonts w:ascii="Arial" w:eastAsia="Times New Roman" w:hAnsi="Arial" w:cs="Arial"/>
          <w:color w:val="000000"/>
          <w:lang w:eastAsia="en-AU"/>
        </w:rPr>
        <w:t xml:space="preserve">for </w:t>
      </w:r>
      <w:r w:rsidR="00891713" w:rsidRPr="007957FB">
        <w:rPr>
          <w:rFonts w:ascii="Arial" w:eastAsia="Times New Roman" w:hAnsi="Arial" w:cs="Arial"/>
          <w:color w:val="000000"/>
          <w:lang w:eastAsia="en-AU"/>
        </w:rPr>
        <w:t xml:space="preserve">the </w:t>
      </w:r>
      <w:r w:rsidR="000924AF" w:rsidRPr="007957FB">
        <w:rPr>
          <w:rFonts w:ascii="Arial" w:eastAsia="Times New Roman" w:hAnsi="Arial" w:cs="Arial"/>
          <w:color w:val="000000"/>
          <w:lang w:eastAsia="en-AU"/>
        </w:rPr>
        <w:t>cultural rights of Aboriginal people</w:t>
      </w:r>
      <w:r w:rsidR="00891713" w:rsidRPr="007957FB">
        <w:rPr>
          <w:rFonts w:ascii="Arial" w:eastAsia="Times New Roman" w:hAnsi="Arial" w:cs="Arial"/>
          <w:color w:val="000000"/>
          <w:lang w:eastAsia="en-AU"/>
        </w:rPr>
        <w:t>s</w:t>
      </w:r>
      <w:r w:rsidR="000924AF" w:rsidRPr="007957FB">
        <w:rPr>
          <w:rFonts w:ascii="Arial" w:eastAsia="Times New Roman" w:hAnsi="Arial" w:cs="Arial"/>
          <w:color w:val="000000"/>
          <w:lang w:eastAsia="en-AU"/>
        </w:rPr>
        <w:t xml:space="preserve"> and Torres Strait Islander people</w:t>
      </w:r>
      <w:r w:rsidR="00891713" w:rsidRPr="007957FB">
        <w:rPr>
          <w:rFonts w:ascii="Arial" w:eastAsia="Times New Roman" w:hAnsi="Arial" w:cs="Arial"/>
          <w:color w:val="000000"/>
          <w:lang w:eastAsia="en-AU"/>
        </w:rPr>
        <w:t xml:space="preserve">s which are given specific acknowledgement and protection by the preamble and section 28 of the </w:t>
      </w:r>
      <w:r w:rsidR="00891713" w:rsidRPr="00AF3A95">
        <w:rPr>
          <w:rFonts w:ascii="Arial" w:eastAsia="Times New Roman" w:hAnsi="Arial" w:cs="Arial"/>
          <w:i/>
          <w:iCs/>
          <w:color w:val="000000"/>
          <w:lang w:eastAsia="en-AU"/>
        </w:rPr>
        <w:t>Human Rights Act 2019.</w:t>
      </w:r>
      <w:r w:rsidR="00891713" w:rsidRPr="007957FB">
        <w:rPr>
          <w:rFonts w:ascii="Arial" w:eastAsia="Times New Roman" w:hAnsi="Arial" w:cs="Arial"/>
          <w:color w:val="000000"/>
          <w:lang w:eastAsia="en-AU"/>
        </w:rPr>
        <w:t xml:space="preserve"> </w:t>
      </w:r>
    </w:p>
    <w:p w14:paraId="036F4F14" w14:textId="051A5144" w:rsidR="00B12C0B" w:rsidRPr="007957FB" w:rsidRDefault="003647CE" w:rsidP="00B12C0B">
      <w:pPr>
        <w:spacing w:before="120" w:after="240" w:line="240" w:lineRule="auto"/>
        <w:rPr>
          <w:rFonts w:ascii="Arial" w:eastAsia="Times New Roman" w:hAnsi="Arial" w:cs="Arial"/>
          <w:color w:val="000000"/>
          <w:lang w:eastAsia="en-AU"/>
        </w:rPr>
      </w:pPr>
      <w:r w:rsidRPr="007957FB">
        <w:rPr>
          <w:rFonts w:ascii="Arial" w:eastAsia="Times New Roman" w:hAnsi="Arial" w:cs="Arial"/>
          <w:color w:val="000000"/>
          <w:lang w:eastAsia="en-AU"/>
        </w:rPr>
        <w:t>The human rights</w:t>
      </w:r>
      <w:r w:rsidR="00AF3A95">
        <w:rPr>
          <w:rFonts w:ascii="Arial" w:eastAsia="Times New Roman" w:hAnsi="Arial" w:cs="Arial"/>
          <w:color w:val="000000"/>
          <w:lang w:eastAsia="en-AU"/>
        </w:rPr>
        <w:t>, including the cultural rights,</w:t>
      </w:r>
      <w:r w:rsidRPr="007957FB">
        <w:rPr>
          <w:rFonts w:ascii="Arial" w:eastAsia="Times New Roman" w:hAnsi="Arial" w:cs="Arial"/>
          <w:color w:val="000000"/>
          <w:lang w:eastAsia="en-AU"/>
        </w:rPr>
        <w:t xml:space="preserve"> of Aboriginal </w:t>
      </w:r>
      <w:r w:rsidR="00552F82" w:rsidRPr="007957FB">
        <w:rPr>
          <w:rFonts w:ascii="Arial" w:eastAsia="Times New Roman" w:hAnsi="Arial" w:cs="Arial"/>
          <w:color w:val="000000"/>
          <w:lang w:eastAsia="en-AU"/>
        </w:rPr>
        <w:t xml:space="preserve">peoples </w:t>
      </w:r>
      <w:r w:rsidRPr="007957FB">
        <w:rPr>
          <w:rFonts w:ascii="Arial" w:eastAsia="Times New Roman" w:hAnsi="Arial" w:cs="Arial"/>
          <w:color w:val="000000"/>
          <w:lang w:eastAsia="en-AU"/>
        </w:rPr>
        <w:t xml:space="preserve">and Torres Strait Islander peoples </w:t>
      </w:r>
      <w:r w:rsidR="00891713" w:rsidRPr="007957FB">
        <w:rPr>
          <w:rFonts w:ascii="Arial" w:eastAsia="Times New Roman" w:hAnsi="Arial" w:cs="Arial"/>
          <w:color w:val="000000"/>
          <w:lang w:eastAsia="en-AU"/>
        </w:rPr>
        <w:t xml:space="preserve">must also </w:t>
      </w:r>
      <w:r w:rsidR="00552F82" w:rsidRPr="007957FB">
        <w:rPr>
          <w:rFonts w:ascii="Arial" w:eastAsia="Times New Roman" w:hAnsi="Arial" w:cs="Arial"/>
          <w:color w:val="000000"/>
          <w:lang w:eastAsia="en-AU"/>
        </w:rPr>
        <w:t xml:space="preserve">inform the processes towards achieving </w:t>
      </w:r>
      <w:r w:rsidR="00432B8D" w:rsidRPr="007957FB">
        <w:rPr>
          <w:rFonts w:ascii="Arial" w:eastAsia="Times New Roman" w:hAnsi="Arial" w:cs="Arial"/>
          <w:color w:val="000000"/>
          <w:lang w:eastAsia="en-AU"/>
        </w:rPr>
        <w:t>truth</w:t>
      </w:r>
      <w:r w:rsidR="00552F82" w:rsidRPr="007957FB">
        <w:rPr>
          <w:rFonts w:ascii="Arial" w:eastAsia="Times New Roman" w:hAnsi="Arial" w:cs="Arial"/>
          <w:color w:val="000000"/>
          <w:lang w:eastAsia="en-AU"/>
        </w:rPr>
        <w:t xml:space="preserve"> and </w:t>
      </w:r>
      <w:r w:rsidR="00432B8D" w:rsidRPr="007957FB">
        <w:rPr>
          <w:rFonts w:ascii="Arial" w:eastAsia="Times New Roman" w:hAnsi="Arial" w:cs="Arial"/>
          <w:color w:val="000000"/>
          <w:lang w:eastAsia="en-AU"/>
        </w:rPr>
        <w:t>treaty</w:t>
      </w:r>
      <w:r w:rsidR="00552F82" w:rsidRPr="007957FB">
        <w:rPr>
          <w:rFonts w:ascii="Arial" w:eastAsia="Times New Roman" w:hAnsi="Arial" w:cs="Arial"/>
          <w:color w:val="000000"/>
          <w:lang w:eastAsia="en-AU"/>
        </w:rPr>
        <w:t xml:space="preserve">. </w:t>
      </w:r>
      <w:r w:rsidRPr="007957FB">
        <w:rPr>
          <w:rFonts w:ascii="Arial" w:eastAsia="Times New Roman" w:hAnsi="Arial" w:cs="Arial"/>
          <w:color w:val="000000"/>
          <w:lang w:eastAsia="en-AU"/>
        </w:rPr>
        <w:t xml:space="preserve">The cultural rights in the </w:t>
      </w:r>
      <w:r w:rsidRPr="007957FB">
        <w:rPr>
          <w:rFonts w:ascii="Arial" w:eastAsia="Times New Roman" w:hAnsi="Arial" w:cs="Arial"/>
          <w:i/>
          <w:color w:val="000000"/>
          <w:lang w:eastAsia="en-AU"/>
        </w:rPr>
        <w:t xml:space="preserve">Human Rights Act 2019 </w:t>
      </w:r>
      <w:r w:rsidRPr="007957FB">
        <w:rPr>
          <w:rFonts w:ascii="Arial" w:eastAsia="Times New Roman" w:hAnsi="Arial" w:cs="Arial"/>
          <w:color w:val="000000"/>
          <w:lang w:eastAsia="en-AU"/>
        </w:rPr>
        <w:t xml:space="preserve">are drawn from the </w:t>
      </w:r>
      <w:r w:rsidRPr="00312892">
        <w:rPr>
          <w:rFonts w:ascii="Arial" w:eastAsia="Times New Roman" w:hAnsi="Arial" w:cs="Arial"/>
          <w:iCs/>
          <w:color w:val="000000"/>
          <w:lang w:eastAsia="en-AU"/>
        </w:rPr>
        <w:t>International Covenant on Civil and Political Rights</w:t>
      </w:r>
      <w:r w:rsidRPr="007957FB">
        <w:rPr>
          <w:rFonts w:ascii="Arial" w:eastAsia="Times New Roman" w:hAnsi="Arial" w:cs="Arial"/>
          <w:color w:val="000000"/>
          <w:lang w:eastAsia="en-AU"/>
        </w:rPr>
        <w:t>, article</w:t>
      </w:r>
      <w:r w:rsidR="00B12C0B" w:rsidRPr="007957FB">
        <w:rPr>
          <w:rFonts w:ascii="Arial" w:eastAsia="Times New Roman" w:hAnsi="Arial" w:cs="Arial"/>
          <w:color w:val="000000"/>
          <w:lang w:eastAsia="en-AU"/>
        </w:rPr>
        <w:t xml:space="preserve"> </w:t>
      </w:r>
      <w:r w:rsidR="00030DAD">
        <w:rPr>
          <w:rFonts w:ascii="Arial" w:eastAsia="Times New Roman" w:hAnsi="Arial" w:cs="Arial"/>
          <w:color w:val="000000"/>
          <w:lang w:eastAsia="en-AU"/>
        </w:rPr>
        <w:t>27</w:t>
      </w:r>
      <w:r w:rsidRPr="007957FB">
        <w:rPr>
          <w:rFonts w:ascii="Arial" w:eastAsia="Times New Roman" w:hAnsi="Arial" w:cs="Arial"/>
          <w:color w:val="000000"/>
          <w:lang w:eastAsia="en-AU"/>
        </w:rPr>
        <w:t xml:space="preserve">, and the </w:t>
      </w:r>
      <w:r w:rsidRPr="00312892">
        <w:rPr>
          <w:rFonts w:ascii="Arial" w:eastAsia="Times New Roman" w:hAnsi="Arial" w:cs="Arial"/>
          <w:iCs/>
          <w:color w:val="000000"/>
          <w:lang w:eastAsia="en-AU"/>
        </w:rPr>
        <w:t xml:space="preserve">United </w:t>
      </w:r>
      <w:r w:rsidR="00030DAD" w:rsidRPr="00312892">
        <w:rPr>
          <w:rFonts w:ascii="Arial" w:eastAsia="Times New Roman" w:hAnsi="Arial" w:cs="Arial"/>
          <w:iCs/>
          <w:color w:val="000000"/>
          <w:lang w:eastAsia="en-AU"/>
        </w:rPr>
        <w:t xml:space="preserve">Nations </w:t>
      </w:r>
      <w:r w:rsidRPr="00312892">
        <w:rPr>
          <w:rFonts w:ascii="Arial" w:eastAsia="Times New Roman" w:hAnsi="Arial" w:cs="Arial"/>
          <w:iCs/>
          <w:color w:val="000000"/>
          <w:lang w:eastAsia="en-AU"/>
        </w:rPr>
        <w:t>Declaration on the Rights of Indigenous Peoples</w:t>
      </w:r>
      <w:r w:rsidRPr="007957FB">
        <w:rPr>
          <w:rFonts w:ascii="Arial" w:eastAsia="Times New Roman" w:hAnsi="Arial" w:cs="Arial"/>
          <w:color w:val="000000"/>
          <w:lang w:eastAsia="en-AU"/>
        </w:rPr>
        <w:t>,</w:t>
      </w:r>
      <w:r w:rsidR="003646CC">
        <w:rPr>
          <w:rFonts w:ascii="Arial" w:eastAsia="Times New Roman" w:hAnsi="Arial" w:cs="Arial"/>
          <w:color w:val="000000"/>
          <w:lang w:eastAsia="en-AU"/>
        </w:rPr>
        <w:t xml:space="preserve"> </w:t>
      </w:r>
      <w:r w:rsidRPr="007957FB">
        <w:rPr>
          <w:rFonts w:ascii="Arial" w:eastAsia="Times New Roman" w:hAnsi="Arial" w:cs="Arial"/>
          <w:color w:val="000000"/>
          <w:lang w:eastAsia="en-AU"/>
        </w:rPr>
        <w:t xml:space="preserve">articles </w:t>
      </w:r>
      <w:r w:rsidR="003646CC">
        <w:rPr>
          <w:rFonts w:ascii="Arial" w:eastAsia="Times New Roman" w:hAnsi="Arial" w:cs="Arial"/>
          <w:color w:val="000000"/>
          <w:lang w:eastAsia="en-AU"/>
        </w:rPr>
        <w:t xml:space="preserve">8, </w:t>
      </w:r>
      <w:r w:rsidRPr="007957FB">
        <w:rPr>
          <w:rFonts w:ascii="Arial" w:eastAsia="Times New Roman" w:hAnsi="Arial" w:cs="Arial"/>
          <w:color w:val="000000"/>
          <w:lang w:eastAsia="en-AU"/>
        </w:rPr>
        <w:t>25</w:t>
      </w:r>
      <w:r w:rsidR="003646CC">
        <w:rPr>
          <w:rFonts w:ascii="Arial" w:eastAsia="Times New Roman" w:hAnsi="Arial" w:cs="Arial"/>
          <w:color w:val="000000"/>
          <w:lang w:eastAsia="en-AU"/>
        </w:rPr>
        <w:t>, 29</w:t>
      </w:r>
      <w:r w:rsidRPr="007957FB">
        <w:rPr>
          <w:rFonts w:ascii="Arial" w:eastAsia="Times New Roman" w:hAnsi="Arial" w:cs="Arial"/>
          <w:color w:val="000000"/>
          <w:lang w:eastAsia="en-AU"/>
        </w:rPr>
        <w:t xml:space="preserve"> and 31.</w:t>
      </w:r>
      <w:r w:rsidR="00B12C0B" w:rsidRPr="007957FB">
        <w:rPr>
          <w:rFonts w:ascii="Arial" w:eastAsia="Times New Roman" w:hAnsi="Arial" w:cs="Arial"/>
          <w:color w:val="000000"/>
          <w:lang w:eastAsia="en-AU"/>
        </w:rPr>
        <w:t xml:space="preserve"> The Commission commends the government for </w:t>
      </w:r>
      <w:r w:rsidR="008959B8" w:rsidRPr="007957FB">
        <w:rPr>
          <w:rFonts w:ascii="Arial" w:eastAsia="Times New Roman" w:hAnsi="Arial" w:cs="Arial"/>
          <w:color w:val="000000"/>
          <w:lang w:eastAsia="en-AU"/>
        </w:rPr>
        <w:t xml:space="preserve">reflecting these provisions in the </w:t>
      </w:r>
      <w:r w:rsidR="00B12C0B" w:rsidRPr="007957FB">
        <w:rPr>
          <w:rFonts w:ascii="Arial" w:eastAsia="Times New Roman" w:hAnsi="Arial" w:cs="Arial"/>
          <w:color w:val="000000"/>
          <w:lang w:eastAsia="en-AU"/>
        </w:rPr>
        <w:t>principles in Clause 6 of the Bill:</w:t>
      </w:r>
    </w:p>
    <w:p w14:paraId="5385E2F2" w14:textId="7AED02A0" w:rsidR="00B12C0B" w:rsidRPr="007957FB" w:rsidRDefault="00B12C0B" w:rsidP="00B12C0B">
      <w:pPr>
        <w:pStyle w:val="ListParagraph"/>
        <w:numPr>
          <w:ilvl w:val="0"/>
          <w:numId w:val="3"/>
        </w:numPr>
        <w:spacing w:before="120" w:after="240" w:line="240" w:lineRule="auto"/>
        <w:rPr>
          <w:rFonts w:ascii="Arial" w:hAnsi="Arial" w:cs="Arial"/>
        </w:rPr>
      </w:pPr>
      <w:r w:rsidRPr="007957FB">
        <w:rPr>
          <w:rFonts w:ascii="Arial" w:hAnsi="Arial" w:cs="Arial"/>
        </w:rPr>
        <w:t>to ensure that, in partnership and good faith, the rights and history of Aboriginal peoples and Torres Strait Islander peoples are acknowledged and respected in accordance with both the Human Rights Act 2019 and the principles of the United Nations Declaration on the Rights of Indigenous Peoples</w:t>
      </w:r>
    </w:p>
    <w:p w14:paraId="048EC8E7" w14:textId="29C358F6" w:rsidR="00B12C0B" w:rsidRPr="007957FB" w:rsidRDefault="00B12C0B" w:rsidP="00B12C0B">
      <w:pPr>
        <w:pStyle w:val="ListParagraph"/>
        <w:numPr>
          <w:ilvl w:val="0"/>
          <w:numId w:val="3"/>
        </w:numPr>
        <w:spacing w:before="120" w:after="240" w:line="240" w:lineRule="auto"/>
        <w:rPr>
          <w:rFonts w:ascii="Arial" w:hAnsi="Arial" w:cs="Arial"/>
        </w:rPr>
      </w:pPr>
      <w:r w:rsidRPr="007957FB">
        <w:rPr>
          <w:rFonts w:ascii="Arial" w:hAnsi="Arial" w:cs="Arial"/>
        </w:rPr>
        <w:t>the importance of self-determination</w:t>
      </w:r>
    </w:p>
    <w:p w14:paraId="46389DE6" w14:textId="22101FA7" w:rsidR="00B12C0B" w:rsidRPr="007957FB" w:rsidRDefault="00B12C0B" w:rsidP="00B12C0B">
      <w:pPr>
        <w:pStyle w:val="ListParagraph"/>
        <w:numPr>
          <w:ilvl w:val="0"/>
          <w:numId w:val="3"/>
        </w:numPr>
        <w:spacing w:before="120" w:after="240" w:line="240" w:lineRule="auto"/>
        <w:rPr>
          <w:rFonts w:ascii="Arial" w:hAnsi="Arial" w:cs="Arial"/>
        </w:rPr>
      </w:pPr>
      <w:r w:rsidRPr="007957FB">
        <w:rPr>
          <w:rFonts w:ascii="Arial" w:hAnsi="Arial" w:cs="Arial"/>
        </w:rPr>
        <w:t>the importance of communities being able to give free, prior and informed consent</w:t>
      </w:r>
    </w:p>
    <w:p w14:paraId="5F9B05E9" w14:textId="39277246" w:rsidR="00B12C0B" w:rsidRPr="007957FB" w:rsidRDefault="00B12C0B" w:rsidP="00B12C0B">
      <w:pPr>
        <w:pStyle w:val="ListParagraph"/>
        <w:numPr>
          <w:ilvl w:val="0"/>
          <w:numId w:val="3"/>
        </w:numPr>
        <w:spacing w:before="120" w:after="240" w:line="240" w:lineRule="auto"/>
        <w:rPr>
          <w:rFonts w:ascii="Arial" w:hAnsi="Arial" w:cs="Arial"/>
        </w:rPr>
      </w:pPr>
      <w:r w:rsidRPr="007957FB">
        <w:rPr>
          <w:rFonts w:ascii="Arial" w:hAnsi="Arial" w:cs="Arial"/>
        </w:rPr>
        <w:t xml:space="preserve">respect and promotion of Aboriginal law, Aboriginal tradition, Torres Strait Islander law and </w:t>
      </w:r>
      <w:proofErr w:type="spellStart"/>
      <w:r w:rsidRPr="007957FB">
        <w:rPr>
          <w:rFonts w:ascii="Arial" w:hAnsi="Arial" w:cs="Arial"/>
        </w:rPr>
        <w:t>Ailan</w:t>
      </w:r>
      <w:proofErr w:type="spellEnd"/>
      <w:r w:rsidRPr="007957FB">
        <w:rPr>
          <w:rFonts w:ascii="Arial" w:hAnsi="Arial" w:cs="Arial"/>
        </w:rPr>
        <w:t xml:space="preserve"> </w:t>
      </w:r>
      <w:proofErr w:type="spellStart"/>
      <w:r w:rsidRPr="007957FB">
        <w:rPr>
          <w:rFonts w:ascii="Arial" w:hAnsi="Arial" w:cs="Arial"/>
        </w:rPr>
        <w:t>Kastom</w:t>
      </w:r>
      <w:proofErr w:type="spellEnd"/>
    </w:p>
    <w:p w14:paraId="788F35EF" w14:textId="3E50B473" w:rsidR="00B12C0B" w:rsidRPr="007957FB" w:rsidRDefault="00B12C0B" w:rsidP="00B12C0B">
      <w:pPr>
        <w:pStyle w:val="ListParagraph"/>
        <w:numPr>
          <w:ilvl w:val="0"/>
          <w:numId w:val="3"/>
        </w:numPr>
        <w:spacing w:before="120" w:after="240" w:line="240" w:lineRule="auto"/>
        <w:rPr>
          <w:rFonts w:ascii="Arial" w:hAnsi="Arial" w:cs="Arial"/>
        </w:rPr>
      </w:pPr>
      <w:r w:rsidRPr="007957FB">
        <w:rPr>
          <w:rFonts w:ascii="Arial" w:hAnsi="Arial" w:cs="Arial"/>
        </w:rPr>
        <w:t>equality and non-discrimination.</w:t>
      </w:r>
    </w:p>
    <w:p w14:paraId="5DF107F6" w14:textId="014A797D" w:rsidR="003647CE" w:rsidRDefault="00B12C0B" w:rsidP="003647CE">
      <w:pPr>
        <w:spacing w:before="120" w:after="240" w:line="240" w:lineRule="auto"/>
        <w:rPr>
          <w:rFonts w:ascii="Arial" w:eastAsia="Times New Roman" w:hAnsi="Arial" w:cs="Arial"/>
          <w:color w:val="000000"/>
          <w:lang w:eastAsia="en-AU"/>
        </w:rPr>
      </w:pPr>
      <w:r w:rsidRPr="007957FB">
        <w:rPr>
          <w:rFonts w:ascii="Arial" w:eastAsia="Times New Roman" w:hAnsi="Arial" w:cs="Arial"/>
          <w:color w:val="000000"/>
          <w:lang w:eastAsia="en-AU"/>
        </w:rPr>
        <w:t xml:space="preserve">Embedding these human rights principles is critical to achieve a process of treaty making </w:t>
      </w:r>
      <w:r w:rsidR="00552F82" w:rsidRPr="007957FB">
        <w:rPr>
          <w:rFonts w:ascii="Arial" w:eastAsia="Times New Roman" w:hAnsi="Arial" w:cs="Arial"/>
          <w:color w:val="000000"/>
          <w:lang w:eastAsia="en-AU"/>
        </w:rPr>
        <w:t xml:space="preserve">and truth telling </w:t>
      </w:r>
      <w:r w:rsidRPr="007957FB">
        <w:rPr>
          <w:rFonts w:ascii="Arial" w:eastAsia="Times New Roman" w:hAnsi="Arial" w:cs="Arial"/>
          <w:color w:val="000000"/>
          <w:lang w:eastAsia="en-AU"/>
        </w:rPr>
        <w:t>that respects and promotes human rights.</w:t>
      </w:r>
    </w:p>
    <w:p w14:paraId="21235BCC" w14:textId="7C7BF05A" w:rsidR="00AF3A95" w:rsidRDefault="00AF3A95" w:rsidP="003647CE">
      <w:pPr>
        <w:spacing w:before="120" w:after="240" w:line="240" w:lineRule="auto"/>
        <w:rPr>
          <w:rFonts w:ascii="Arial" w:eastAsia="Times New Roman" w:hAnsi="Arial" w:cs="Arial"/>
          <w:color w:val="000000"/>
          <w:lang w:eastAsia="en-AU"/>
        </w:rPr>
      </w:pPr>
      <w:r>
        <w:rPr>
          <w:rFonts w:ascii="Arial" w:eastAsia="Times New Roman" w:hAnsi="Arial" w:cs="Arial"/>
          <w:color w:val="000000"/>
          <w:lang w:eastAsia="en-AU"/>
        </w:rPr>
        <w:t>The Commission acknowledges the considerable work undertaken by the Interim Truth and Treaty Body</w:t>
      </w:r>
      <w:r w:rsidR="004A1CCA">
        <w:rPr>
          <w:rFonts w:ascii="Arial" w:eastAsia="Times New Roman" w:hAnsi="Arial" w:cs="Arial"/>
          <w:color w:val="000000"/>
          <w:lang w:eastAsia="en-AU"/>
        </w:rPr>
        <w:t>,</w:t>
      </w:r>
      <w:r>
        <w:rPr>
          <w:rFonts w:ascii="Arial" w:eastAsia="Times New Roman" w:hAnsi="Arial" w:cs="Arial"/>
          <w:color w:val="000000"/>
          <w:lang w:eastAsia="en-AU"/>
        </w:rPr>
        <w:t xml:space="preserve"> the Department of Seniors, Disability Services and Aboriginal and Torres Strait Islander Partnerships</w:t>
      </w:r>
      <w:r w:rsidR="004A1CCA">
        <w:rPr>
          <w:rFonts w:ascii="Arial" w:eastAsia="Times New Roman" w:hAnsi="Arial" w:cs="Arial"/>
          <w:color w:val="000000"/>
          <w:lang w:eastAsia="en-AU"/>
        </w:rPr>
        <w:t>, and other entities</w:t>
      </w:r>
      <w:r>
        <w:rPr>
          <w:rFonts w:ascii="Arial" w:eastAsia="Times New Roman" w:hAnsi="Arial" w:cs="Arial"/>
          <w:color w:val="000000"/>
          <w:lang w:eastAsia="en-AU"/>
        </w:rPr>
        <w:t xml:space="preserve"> to develop this legislation in a relatively short timeframe.</w:t>
      </w:r>
    </w:p>
    <w:p w14:paraId="563617B9" w14:textId="35FF7F9E" w:rsidR="00A62444" w:rsidRDefault="00F73B26" w:rsidP="003647CE">
      <w:pPr>
        <w:spacing w:before="120" w:after="240" w:line="240" w:lineRule="auto"/>
        <w:rPr>
          <w:rFonts w:ascii="Arial" w:eastAsia="Times New Roman" w:hAnsi="Arial" w:cs="Arial"/>
          <w:color w:val="000000"/>
          <w:lang w:eastAsia="en-AU"/>
        </w:rPr>
      </w:pPr>
      <w:r>
        <w:rPr>
          <w:rFonts w:ascii="Arial" w:eastAsia="Times New Roman" w:hAnsi="Arial" w:cs="Arial"/>
          <w:color w:val="000000"/>
          <w:lang w:eastAsia="en-AU"/>
        </w:rPr>
        <w:t>The Commission’s general observation is that the</w:t>
      </w:r>
      <w:r w:rsidR="00A62444">
        <w:rPr>
          <w:rFonts w:ascii="Arial" w:eastAsia="Times New Roman" w:hAnsi="Arial" w:cs="Arial"/>
          <w:color w:val="000000"/>
          <w:lang w:eastAsia="en-AU"/>
        </w:rPr>
        <w:t xml:space="preserve"> Inquiry’s</w:t>
      </w:r>
      <w:r>
        <w:rPr>
          <w:rFonts w:ascii="Arial" w:eastAsia="Times New Roman" w:hAnsi="Arial" w:cs="Arial"/>
          <w:color w:val="000000"/>
          <w:lang w:eastAsia="en-AU"/>
        </w:rPr>
        <w:t xml:space="preserve"> compulsive powers provided for in the Bill are insufficient</w:t>
      </w:r>
      <w:r w:rsidR="00A278BA">
        <w:rPr>
          <w:rFonts w:ascii="Arial" w:eastAsia="Times New Roman" w:hAnsi="Arial" w:cs="Arial"/>
          <w:color w:val="000000"/>
          <w:lang w:eastAsia="en-AU"/>
        </w:rPr>
        <w:t xml:space="preserve">. While the leadership may determine </w:t>
      </w:r>
      <w:r w:rsidR="00A62444">
        <w:rPr>
          <w:rFonts w:ascii="Arial" w:eastAsia="Times New Roman" w:hAnsi="Arial" w:cs="Arial"/>
          <w:color w:val="000000"/>
          <w:lang w:eastAsia="en-AU"/>
        </w:rPr>
        <w:t xml:space="preserve">that </w:t>
      </w:r>
      <w:r w:rsidR="00A278BA">
        <w:rPr>
          <w:rFonts w:ascii="Arial" w:eastAsia="Times New Roman" w:hAnsi="Arial" w:cs="Arial"/>
          <w:color w:val="000000"/>
          <w:lang w:eastAsia="en-AU"/>
        </w:rPr>
        <w:t xml:space="preserve">the strategic direction for the Inquiry favours community engagement and voluntary participation, the </w:t>
      </w:r>
      <w:r w:rsidR="00A62444">
        <w:rPr>
          <w:rFonts w:ascii="Arial" w:eastAsia="Times New Roman" w:hAnsi="Arial" w:cs="Arial"/>
          <w:color w:val="000000"/>
          <w:lang w:eastAsia="en-AU"/>
        </w:rPr>
        <w:t>I</w:t>
      </w:r>
      <w:r w:rsidR="00A278BA">
        <w:rPr>
          <w:rFonts w:ascii="Arial" w:eastAsia="Times New Roman" w:hAnsi="Arial" w:cs="Arial"/>
          <w:color w:val="000000"/>
          <w:lang w:eastAsia="en-AU"/>
        </w:rPr>
        <w:t xml:space="preserve">nquiry powers should not be curbed at the outset. As a necessary part of the truth telling process, the Inquiry will need to be given the powers and mechanisms necessary to promote </w:t>
      </w:r>
      <w:r w:rsidR="009A0BAB">
        <w:rPr>
          <w:rFonts w:ascii="Arial" w:eastAsia="Times New Roman" w:hAnsi="Arial" w:cs="Arial"/>
          <w:color w:val="000000"/>
          <w:lang w:eastAsia="en-AU"/>
        </w:rPr>
        <w:t xml:space="preserve">participation and </w:t>
      </w:r>
      <w:r w:rsidR="00A62444">
        <w:rPr>
          <w:rFonts w:ascii="Arial" w:eastAsia="Times New Roman" w:hAnsi="Arial" w:cs="Arial"/>
          <w:color w:val="000000"/>
          <w:lang w:eastAsia="en-AU"/>
        </w:rPr>
        <w:t>accountability</w:t>
      </w:r>
      <w:r w:rsidR="00A278BA">
        <w:rPr>
          <w:rFonts w:ascii="Arial" w:eastAsia="Times New Roman" w:hAnsi="Arial" w:cs="Arial"/>
          <w:color w:val="000000"/>
          <w:lang w:eastAsia="en-AU"/>
        </w:rPr>
        <w:t>.</w:t>
      </w:r>
    </w:p>
    <w:p w14:paraId="7C1C896A" w14:textId="490815B8" w:rsidR="00A278BA" w:rsidRPr="007957FB" w:rsidRDefault="00A278BA" w:rsidP="003647CE">
      <w:pPr>
        <w:spacing w:before="120" w:after="240" w:line="240" w:lineRule="auto"/>
        <w:rPr>
          <w:rFonts w:ascii="Arial" w:eastAsia="Times New Roman" w:hAnsi="Arial" w:cs="Arial"/>
          <w:color w:val="000000"/>
          <w:lang w:eastAsia="en-AU"/>
        </w:rPr>
      </w:pPr>
      <w:r>
        <w:rPr>
          <w:rFonts w:ascii="Arial" w:eastAsia="Times New Roman" w:hAnsi="Arial" w:cs="Arial"/>
          <w:color w:val="000000"/>
          <w:lang w:eastAsia="en-AU"/>
        </w:rPr>
        <w:t xml:space="preserve">While supporting many aspects of the Bill, the Commission recommends some changes to ensure that the legislative framework empowers the Treaty Institute and the Inquiry to meet their objectives. </w:t>
      </w:r>
    </w:p>
    <w:p w14:paraId="0859A0B5" w14:textId="728FCC22" w:rsidR="00C634CA" w:rsidRDefault="00C634CA" w:rsidP="009E4AFB">
      <w:pPr>
        <w:pStyle w:val="Heading1"/>
        <w:rPr>
          <w:rFonts w:eastAsia="Times New Roman"/>
          <w:lang w:eastAsia="en-AU"/>
        </w:rPr>
      </w:pPr>
      <w:r w:rsidRPr="007957FB">
        <w:rPr>
          <w:rFonts w:eastAsia="Times New Roman"/>
          <w:lang w:eastAsia="en-AU"/>
        </w:rPr>
        <w:t>Summary of recommendations</w:t>
      </w:r>
    </w:p>
    <w:p w14:paraId="11972A71" w14:textId="5F51FDE3" w:rsidR="00C22B22" w:rsidRPr="00C22B22" w:rsidRDefault="00C22B22" w:rsidP="00C22B22">
      <w:pPr>
        <w:rPr>
          <w:rFonts w:ascii="Arial" w:hAnsi="Arial" w:cs="Arial"/>
          <w:lang w:eastAsia="en-AU"/>
        </w:rPr>
      </w:pPr>
      <w:r w:rsidRPr="00C22B22">
        <w:rPr>
          <w:rFonts w:ascii="Arial" w:hAnsi="Arial" w:cs="Arial"/>
          <w:lang w:eastAsia="en-AU"/>
        </w:rPr>
        <w:t>The Commission recommends:</w:t>
      </w:r>
    </w:p>
    <w:p w14:paraId="484D5CE9" w14:textId="2031096B" w:rsidR="00D8415D" w:rsidRPr="00D8415D" w:rsidRDefault="00D8415D" w:rsidP="00D8415D">
      <w:pPr>
        <w:pStyle w:val="ListParagraph"/>
        <w:numPr>
          <w:ilvl w:val="0"/>
          <w:numId w:val="5"/>
        </w:numPr>
        <w:spacing w:before="240" w:after="0" w:line="259" w:lineRule="auto"/>
        <w:ind w:left="714" w:hanging="357"/>
        <w:contextualSpacing w:val="0"/>
        <w:rPr>
          <w:rFonts w:ascii="Arial" w:hAnsi="Arial" w:cs="Arial"/>
        </w:rPr>
      </w:pPr>
      <w:r w:rsidRPr="00D8415D">
        <w:rPr>
          <w:rFonts w:ascii="Arial" w:hAnsi="Arial" w:cs="Arial"/>
        </w:rPr>
        <w:t xml:space="preserve">The Treaty Institute is prescribed as a public entity for the purposes of the </w:t>
      </w:r>
      <w:r w:rsidRPr="00D8415D">
        <w:rPr>
          <w:rFonts w:ascii="Arial" w:hAnsi="Arial" w:cs="Arial"/>
          <w:i/>
          <w:iCs/>
        </w:rPr>
        <w:t>Human Rights Act 2019</w:t>
      </w:r>
      <w:r w:rsidRPr="00D8415D">
        <w:rPr>
          <w:rFonts w:ascii="Arial" w:hAnsi="Arial" w:cs="Arial"/>
        </w:rPr>
        <w:t xml:space="preserve">, so that it is subject to the obligations of public entities as provided for under that Act. </w:t>
      </w:r>
      <w:r w:rsidR="00C22B22">
        <w:rPr>
          <w:rFonts w:ascii="Arial" w:hAnsi="Arial" w:cs="Arial"/>
        </w:rPr>
        <w:t>(</w:t>
      </w:r>
      <w:r w:rsidR="008A533F">
        <w:rPr>
          <w:rFonts w:ascii="Arial" w:hAnsi="Arial" w:cs="Arial"/>
        </w:rPr>
        <w:t>c</w:t>
      </w:r>
      <w:r w:rsidR="00C22B22">
        <w:rPr>
          <w:rFonts w:ascii="Arial" w:hAnsi="Arial" w:cs="Arial"/>
        </w:rPr>
        <w:t>lause 12)</w:t>
      </w:r>
    </w:p>
    <w:p w14:paraId="5AF22C36" w14:textId="6E0F9188" w:rsidR="00D8415D" w:rsidRPr="00D8415D" w:rsidRDefault="00D8415D" w:rsidP="00D8415D">
      <w:pPr>
        <w:pStyle w:val="ListParagraph"/>
        <w:numPr>
          <w:ilvl w:val="0"/>
          <w:numId w:val="5"/>
        </w:numPr>
        <w:spacing w:before="240" w:after="0" w:line="259" w:lineRule="auto"/>
        <w:ind w:left="714" w:hanging="357"/>
        <w:contextualSpacing w:val="0"/>
        <w:rPr>
          <w:rFonts w:ascii="Arial" w:hAnsi="Arial" w:cs="Arial"/>
        </w:rPr>
      </w:pPr>
      <w:r w:rsidRPr="00D8415D">
        <w:rPr>
          <w:rFonts w:ascii="Arial" w:hAnsi="Arial" w:cs="Arial"/>
        </w:rPr>
        <w:t>Clarif</w:t>
      </w:r>
      <w:r w:rsidR="00C22B22">
        <w:rPr>
          <w:rFonts w:ascii="Arial" w:hAnsi="Arial" w:cs="Arial"/>
        </w:rPr>
        <w:t>ication of</w:t>
      </w:r>
      <w:r w:rsidRPr="00D8415D">
        <w:rPr>
          <w:rFonts w:ascii="Arial" w:hAnsi="Arial" w:cs="Arial"/>
        </w:rPr>
        <w:t xml:space="preserve"> whether the single Code of Conduct for the Queensland Public Service is to apply to the Treaty Institute, having regard to whether a bespoke, co-designed code of conduct would better achieve the goals of independence, cultural rights and self-determination for the Treaty Institute.</w:t>
      </w:r>
      <w:r w:rsidR="00C22B22">
        <w:rPr>
          <w:rFonts w:ascii="Arial" w:hAnsi="Arial" w:cs="Arial"/>
        </w:rPr>
        <w:t xml:space="preserve"> (</w:t>
      </w:r>
      <w:r w:rsidR="008A533F">
        <w:rPr>
          <w:rFonts w:ascii="Arial" w:hAnsi="Arial" w:cs="Arial"/>
        </w:rPr>
        <w:t>c</w:t>
      </w:r>
      <w:r w:rsidR="00C22B22">
        <w:rPr>
          <w:rFonts w:ascii="Arial" w:hAnsi="Arial" w:cs="Arial"/>
        </w:rPr>
        <w:t>lause 12)</w:t>
      </w:r>
    </w:p>
    <w:p w14:paraId="1796FE18" w14:textId="7D897B1C" w:rsidR="00D8415D" w:rsidRPr="00D8415D" w:rsidRDefault="00C22B22" w:rsidP="00D8415D">
      <w:pPr>
        <w:pStyle w:val="ListParagraph"/>
        <w:numPr>
          <w:ilvl w:val="0"/>
          <w:numId w:val="5"/>
        </w:numPr>
        <w:spacing w:before="240" w:after="0" w:line="259" w:lineRule="auto"/>
        <w:ind w:left="714" w:hanging="357"/>
        <w:contextualSpacing w:val="0"/>
        <w:rPr>
          <w:rFonts w:ascii="Arial" w:hAnsi="Arial" w:cs="Arial"/>
        </w:rPr>
      </w:pPr>
      <w:r>
        <w:rPr>
          <w:rFonts w:ascii="Arial" w:hAnsi="Arial" w:cs="Arial"/>
        </w:rPr>
        <w:lastRenderedPageBreak/>
        <w:t xml:space="preserve">That </w:t>
      </w:r>
      <w:r w:rsidR="00D8415D" w:rsidRPr="00D8415D">
        <w:rPr>
          <w:rFonts w:ascii="Arial" w:hAnsi="Arial" w:cs="Arial"/>
        </w:rPr>
        <w:t xml:space="preserve">persons who have been convicted of indictable offences (aside from spent convictions) are not automatically disqualified from holding Council or senior executive officer roles on the Treaty Institute, but rather that criminal histories are required to be considered as one aspect of weighing up suitability for the role. </w:t>
      </w:r>
      <w:r>
        <w:rPr>
          <w:rFonts w:ascii="Arial" w:hAnsi="Arial" w:cs="Arial"/>
        </w:rPr>
        <w:t>(</w:t>
      </w:r>
      <w:r w:rsidR="008A533F">
        <w:rPr>
          <w:rFonts w:ascii="Arial" w:hAnsi="Arial" w:cs="Arial"/>
        </w:rPr>
        <w:t>c</w:t>
      </w:r>
      <w:r>
        <w:rPr>
          <w:rFonts w:ascii="Arial" w:hAnsi="Arial" w:cs="Arial"/>
        </w:rPr>
        <w:t>lause 55)</w:t>
      </w:r>
    </w:p>
    <w:p w14:paraId="169E9678" w14:textId="314A8AAD" w:rsidR="00D8415D" w:rsidRPr="00D8415D" w:rsidRDefault="00D8415D" w:rsidP="00D8415D">
      <w:pPr>
        <w:pStyle w:val="ListParagraph"/>
        <w:numPr>
          <w:ilvl w:val="0"/>
          <w:numId w:val="5"/>
        </w:numPr>
        <w:spacing w:before="240" w:after="0" w:line="259" w:lineRule="auto"/>
        <w:ind w:left="714" w:hanging="357"/>
        <w:contextualSpacing w:val="0"/>
        <w:rPr>
          <w:rFonts w:ascii="Arial" w:hAnsi="Arial" w:cs="Arial"/>
        </w:rPr>
      </w:pPr>
      <w:r w:rsidRPr="00D8415D">
        <w:rPr>
          <w:rFonts w:ascii="Arial" w:hAnsi="Arial" w:cs="Arial"/>
        </w:rPr>
        <w:t>Reconsideration of the 3 year timeframe for formal truth-telling, even with the possibility of extension, having regard to Queensland’s geographical size, two distinct cultural groups</w:t>
      </w:r>
      <w:r w:rsidR="003D4863">
        <w:rPr>
          <w:rFonts w:ascii="Arial" w:hAnsi="Arial" w:cs="Arial"/>
        </w:rPr>
        <w:t>, cultural safety of participants</w:t>
      </w:r>
      <w:r w:rsidR="000F6E06">
        <w:rPr>
          <w:rFonts w:ascii="Arial" w:hAnsi="Arial" w:cs="Arial"/>
        </w:rPr>
        <w:t>,</w:t>
      </w:r>
      <w:r w:rsidR="003D4863">
        <w:rPr>
          <w:rFonts w:ascii="Arial" w:hAnsi="Arial" w:cs="Arial"/>
        </w:rPr>
        <w:t xml:space="preserve"> and </w:t>
      </w:r>
      <w:r w:rsidRPr="00D8415D">
        <w:rPr>
          <w:rFonts w:ascii="Arial" w:hAnsi="Arial" w:cs="Arial"/>
        </w:rPr>
        <w:t xml:space="preserve">the need to afford </w:t>
      </w:r>
      <w:r w:rsidR="003D4863">
        <w:rPr>
          <w:rFonts w:ascii="Arial" w:hAnsi="Arial" w:cs="Arial"/>
        </w:rPr>
        <w:t>time for First Nations groups to prepare and consider how they wish to participate in truth telling</w:t>
      </w:r>
      <w:r w:rsidRPr="00D8415D">
        <w:rPr>
          <w:rFonts w:ascii="Arial" w:hAnsi="Arial" w:cs="Arial"/>
        </w:rPr>
        <w:t>.</w:t>
      </w:r>
      <w:r w:rsidR="00C22B22">
        <w:rPr>
          <w:rFonts w:ascii="Arial" w:hAnsi="Arial" w:cs="Arial"/>
        </w:rPr>
        <w:t xml:space="preserve"> (clause </w:t>
      </w:r>
      <w:r w:rsidR="008A533F">
        <w:rPr>
          <w:rFonts w:ascii="Arial" w:hAnsi="Arial" w:cs="Arial"/>
        </w:rPr>
        <w:t>64)</w:t>
      </w:r>
    </w:p>
    <w:p w14:paraId="5CFF3276" w14:textId="6A588200" w:rsidR="00D8415D" w:rsidRPr="00D8415D" w:rsidRDefault="00D8415D" w:rsidP="00D8415D">
      <w:pPr>
        <w:pStyle w:val="ListParagraph"/>
        <w:numPr>
          <w:ilvl w:val="0"/>
          <w:numId w:val="5"/>
        </w:numPr>
        <w:spacing w:before="240" w:after="0" w:line="259" w:lineRule="auto"/>
        <w:ind w:left="714" w:hanging="357"/>
        <w:contextualSpacing w:val="0"/>
        <w:rPr>
          <w:rFonts w:ascii="Arial" w:hAnsi="Arial" w:cs="Arial"/>
        </w:rPr>
      </w:pPr>
      <w:r w:rsidRPr="00D8415D">
        <w:rPr>
          <w:rFonts w:ascii="Arial" w:hAnsi="Arial" w:cs="Arial"/>
        </w:rPr>
        <w:t>Strengthening the Bill to support and give priority to providing culturally appropriate professional services to address experiences of stress and psychological trauma associated with the Inquiry process, and independent advocacy to facilitate broad and meaningful participation.</w:t>
      </w:r>
      <w:r w:rsidR="008A533F">
        <w:rPr>
          <w:rFonts w:ascii="Arial" w:hAnsi="Arial" w:cs="Arial"/>
        </w:rPr>
        <w:t xml:space="preserve"> (clause 72)</w:t>
      </w:r>
    </w:p>
    <w:p w14:paraId="453FD3E6" w14:textId="0388C386" w:rsidR="00D8415D" w:rsidRPr="00D8415D" w:rsidRDefault="00D8415D" w:rsidP="00D8415D">
      <w:pPr>
        <w:pStyle w:val="ListParagraph"/>
        <w:numPr>
          <w:ilvl w:val="0"/>
          <w:numId w:val="5"/>
        </w:numPr>
        <w:spacing w:before="240" w:after="0" w:line="259" w:lineRule="auto"/>
        <w:ind w:left="714" w:hanging="357"/>
        <w:contextualSpacing w:val="0"/>
        <w:rPr>
          <w:rFonts w:ascii="Arial" w:hAnsi="Arial" w:cs="Arial"/>
        </w:rPr>
      </w:pPr>
      <w:r w:rsidRPr="00D8415D">
        <w:rPr>
          <w:rFonts w:ascii="Arial" w:hAnsi="Arial" w:cs="Arial"/>
        </w:rPr>
        <w:t>Increase powers of the Inquiry to compel information and attendance</w:t>
      </w:r>
      <w:r w:rsidR="00FC6500">
        <w:rPr>
          <w:rFonts w:ascii="Arial" w:hAnsi="Arial" w:cs="Arial"/>
        </w:rPr>
        <w:t xml:space="preserve"> </w:t>
      </w:r>
      <w:r w:rsidR="001835C0">
        <w:rPr>
          <w:rFonts w:ascii="Arial" w:hAnsi="Arial" w:cs="Arial"/>
        </w:rPr>
        <w:t>from</w:t>
      </w:r>
      <w:r w:rsidR="00FC6500">
        <w:rPr>
          <w:rFonts w:ascii="Arial" w:hAnsi="Arial" w:cs="Arial"/>
        </w:rPr>
        <w:t xml:space="preserve"> any person</w:t>
      </w:r>
      <w:r w:rsidRPr="00D8415D">
        <w:rPr>
          <w:rFonts w:ascii="Arial" w:hAnsi="Arial" w:cs="Arial"/>
        </w:rPr>
        <w:t xml:space="preserve">, </w:t>
      </w:r>
      <w:r w:rsidR="00FC6500">
        <w:rPr>
          <w:rFonts w:ascii="Arial" w:hAnsi="Arial" w:cs="Arial"/>
        </w:rPr>
        <w:t xml:space="preserve">or </w:t>
      </w:r>
      <w:r w:rsidR="00EF3A9E">
        <w:rPr>
          <w:rFonts w:ascii="Arial" w:hAnsi="Arial" w:cs="Arial"/>
        </w:rPr>
        <w:t xml:space="preserve">at </w:t>
      </w:r>
      <w:r w:rsidR="00DB0363">
        <w:rPr>
          <w:rFonts w:ascii="Arial" w:hAnsi="Arial" w:cs="Arial"/>
        </w:rPr>
        <w:t>a</w:t>
      </w:r>
      <w:r w:rsidR="00FC6500">
        <w:rPr>
          <w:rFonts w:ascii="Arial" w:hAnsi="Arial" w:cs="Arial"/>
        </w:rPr>
        <w:t xml:space="preserve"> </w:t>
      </w:r>
      <w:r w:rsidR="00DB0363">
        <w:rPr>
          <w:rFonts w:ascii="Arial" w:hAnsi="Arial" w:cs="Arial"/>
        </w:rPr>
        <w:t>minimum</w:t>
      </w:r>
      <w:r w:rsidR="00FC6500">
        <w:rPr>
          <w:rFonts w:ascii="Arial" w:hAnsi="Arial" w:cs="Arial"/>
        </w:rPr>
        <w:t xml:space="preserve"> </w:t>
      </w:r>
      <w:r w:rsidR="00DF5B96">
        <w:rPr>
          <w:rFonts w:ascii="Arial" w:hAnsi="Arial" w:cs="Arial"/>
        </w:rPr>
        <w:t xml:space="preserve">to </w:t>
      </w:r>
      <w:r w:rsidR="00FC6500">
        <w:rPr>
          <w:rFonts w:ascii="Arial" w:hAnsi="Arial" w:cs="Arial"/>
        </w:rPr>
        <w:t>include</w:t>
      </w:r>
      <w:r w:rsidRPr="00D8415D">
        <w:rPr>
          <w:rFonts w:ascii="Arial" w:hAnsi="Arial" w:cs="Arial"/>
        </w:rPr>
        <w:t xml:space="preserve"> local governments,</w:t>
      </w:r>
      <w:r w:rsidR="000F6E06">
        <w:rPr>
          <w:rFonts w:ascii="Arial" w:hAnsi="Arial" w:cs="Arial"/>
        </w:rPr>
        <w:t xml:space="preserve"> the</w:t>
      </w:r>
      <w:r w:rsidRPr="00D8415D">
        <w:rPr>
          <w:rFonts w:ascii="Arial" w:hAnsi="Arial" w:cs="Arial"/>
        </w:rPr>
        <w:t xml:space="preserve"> Queensland Police Service, missionaries and other faith-based service providers, and other organisations that act or have acted on behalf of the State, to ensure the effectiveness and cultural safety of the truth telling and healing process.</w:t>
      </w:r>
      <w:r w:rsidR="008A533F">
        <w:rPr>
          <w:rFonts w:ascii="Arial" w:hAnsi="Arial" w:cs="Arial"/>
        </w:rPr>
        <w:t xml:space="preserve"> (clauses 75, 80, 81, 85)</w:t>
      </w:r>
    </w:p>
    <w:p w14:paraId="3CB10223" w14:textId="7588F984" w:rsidR="00D8415D" w:rsidRPr="00D8415D" w:rsidRDefault="00D8415D" w:rsidP="00D8415D">
      <w:pPr>
        <w:pStyle w:val="ListParagraph"/>
        <w:numPr>
          <w:ilvl w:val="0"/>
          <w:numId w:val="5"/>
        </w:numPr>
        <w:spacing w:before="240" w:after="0" w:line="259" w:lineRule="auto"/>
        <w:ind w:left="714" w:hanging="357"/>
        <w:contextualSpacing w:val="0"/>
        <w:rPr>
          <w:rFonts w:ascii="Arial" w:hAnsi="Arial" w:cs="Arial"/>
        </w:rPr>
      </w:pPr>
      <w:r w:rsidRPr="00D8415D">
        <w:rPr>
          <w:rFonts w:ascii="Arial" w:hAnsi="Arial" w:cs="Arial"/>
        </w:rPr>
        <w:t xml:space="preserve">Narrow clause 83(a)(ii) of the Bill which allows a person to refuse to comply with a notice to produce issued by the Inquiry because the document or thing contains personal information. For example, a more balanced ground for refusal could be where disclosure would reasonably be expected to cause </w:t>
      </w:r>
      <w:r w:rsidR="008A671D">
        <w:rPr>
          <w:rFonts w:ascii="Arial" w:hAnsi="Arial" w:cs="Arial"/>
        </w:rPr>
        <w:t xml:space="preserve">the </w:t>
      </w:r>
      <w:r w:rsidRPr="00D8415D">
        <w:rPr>
          <w:rFonts w:ascii="Arial" w:hAnsi="Arial" w:cs="Arial"/>
        </w:rPr>
        <w:t xml:space="preserve">individual harm, or the individual has refused consent for the information to be disclosed. Alternatively, the Commission recommends that if the document or thing contains personal information, then the document or thing must be provided to the Inquiry with the personal information redacted, or else a summary of the information </w:t>
      </w:r>
      <w:r w:rsidR="008A671D">
        <w:rPr>
          <w:rFonts w:ascii="Arial" w:hAnsi="Arial" w:cs="Arial"/>
        </w:rPr>
        <w:t xml:space="preserve">must be provided </w:t>
      </w:r>
      <w:r w:rsidRPr="00D8415D">
        <w:rPr>
          <w:rFonts w:ascii="Arial" w:hAnsi="Arial" w:cs="Arial"/>
        </w:rPr>
        <w:t>in a way that does not disclose personal information.</w:t>
      </w:r>
      <w:r w:rsidR="008A533F">
        <w:rPr>
          <w:rFonts w:ascii="Arial" w:hAnsi="Arial" w:cs="Arial"/>
        </w:rPr>
        <w:t xml:space="preserve"> (clause 83(a)(ii)).</w:t>
      </w:r>
    </w:p>
    <w:p w14:paraId="6DABBB8C" w14:textId="14D8ED67" w:rsidR="00D8415D" w:rsidRPr="00D8415D" w:rsidRDefault="00D8415D" w:rsidP="00D8415D">
      <w:pPr>
        <w:pStyle w:val="ListParagraph"/>
        <w:numPr>
          <w:ilvl w:val="0"/>
          <w:numId w:val="5"/>
        </w:numPr>
        <w:spacing w:before="240" w:after="0" w:line="259" w:lineRule="auto"/>
        <w:ind w:left="714" w:hanging="357"/>
        <w:contextualSpacing w:val="0"/>
        <w:rPr>
          <w:rFonts w:ascii="Arial" w:hAnsi="Arial" w:cs="Arial"/>
        </w:rPr>
      </w:pPr>
      <w:r w:rsidRPr="00D8415D">
        <w:rPr>
          <w:rFonts w:ascii="Arial" w:hAnsi="Arial" w:cs="Arial"/>
        </w:rPr>
        <w:t xml:space="preserve">There be a review 12 months after the commencement of the Inquiry in relation to the mechanisms and powers of the Inquiry. </w:t>
      </w:r>
      <w:r w:rsidR="008A533F">
        <w:rPr>
          <w:rFonts w:ascii="Arial" w:hAnsi="Arial" w:cs="Arial"/>
        </w:rPr>
        <w:t>(clause 94)</w:t>
      </w:r>
    </w:p>
    <w:p w14:paraId="28C14203" w14:textId="545A2F85" w:rsidR="00552F82" w:rsidRPr="007957FB" w:rsidRDefault="002E582A" w:rsidP="009E4AFB">
      <w:pPr>
        <w:pStyle w:val="Heading1"/>
        <w:rPr>
          <w:rFonts w:eastAsia="Times New Roman"/>
          <w:lang w:eastAsia="en-AU"/>
        </w:rPr>
      </w:pPr>
      <w:r w:rsidRPr="007957FB">
        <w:rPr>
          <w:rFonts w:eastAsia="Times New Roman"/>
          <w:lang w:eastAsia="en-AU"/>
        </w:rPr>
        <w:t xml:space="preserve">Accountability and independence of the </w:t>
      </w:r>
      <w:r w:rsidR="001F310C">
        <w:rPr>
          <w:rFonts w:eastAsia="Times New Roman"/>
          <w:lang w:eastAsia="en-AU"/>
        </w:rPr>
        <w:t xml:space="preserve">Treaty </w:t>
      </w:r>
      <w:r w:rsidRPr="007957FB">
        <w:rPr>
          <w:rFonts w:eastAsia="Times New Roman"/>
          <w:lang w:eastAsia="en-AU"/>
        </w:rPr>
        <w:t xml:space="preserve">Institute </w:t>
      </w:r>
    </w:p>
    <w:p w14:paraId="47AF9456" w14:textId="37C90BFB" w:rsidR="00E97C9A" w:rsidRPr="007957FB" w:rsidRDefault="00E97C9A" w:rsidP="002E582A">
      <w:pPr>
        <w:rPr>
          <w:rFonts w:ascii="Arial" w:hAnsi="Arial" w:cs="Arial"/>
        </w:rPr>
      </w:pPr>
      <w:r w:rsidRPr="007957FB">
        <w:rPr>
          <w:rFonts w:ascii="Arial" w:hAnsi="Arial" w:cs="Arial"/>
        </w:rPr>
        <w:t xml:space="preserve">The </w:t>
      </w:r>
      <w:r w:rsidR="00F62472">
        <w:rPr>
          <w:rFonts w:ascii="Arial" w:hAnsi="Arial" w:cs="Arial"/>
        </w:rPr>
        <w:t>legislative framework for</w:t>
      </w:r>
      <w:r w:rsidRPr="007957FB">
        <w:rPr>
          <w:rFonts w:ascii="Arial" w:hAnsi="Arial" w:cs="Arial"/>
        </w:rPr>
        <w:t xml:space="preserve"> the Treaty Institute proposed by the </w:t>
      </w:r>
      <w:r w:rsidR="002E582A" w:rsidRPr="007957FB">
        <w:rPr>
          <w:rFonts w:ascii="Arial" w:hAnsi="Arial" w:cs="Arial"/>
        </w:rPr>
        <w:t xml:space="preserve">Bill </w:t>
      </w:r>
      <w:r w:rsidRPr="007957FB">
        <w:rPr>
          <w:rFonts w:ascii="Arial" w:hAnsi="Arial" w:cs="Arial"/>
        </w:rPr>
        <w:t xml:space="preserve">seeks to balance </w:t>
      </w:r>
      <w:r w:rsidR="008F695F" w:rsidRPr="007957FB">
        <w:rPr>
          <w:rFonts w:ascii="Arial" w:hAnsi="Arial" w:cs="Arial"/>
        </w:rPr>
        <w:t xml:space="preserve">the Institute’s independence and self-determination, </w:t>
      </w:r>
      <w:r w:rsidRPr="007957FB">
        <w:rPr>
          <w:rFonts w:ascii="Arial" w:hAnsi="Arial" w:cs="Arial"/>
        </w:rPr>
        <w:t>against mechanisms to ensure its accountability, transparency and credibility.</w:t>
      </w:r>
    </w:p>
    <w:p w14:paraId="2C64AF45" w14:textId="2F01C0F4" w:rsidR="008F695F" w:rsidRPr="007957FB" w:rsidRDefault="00E97C9A" w:rsidP="002E582A">
      <w:pPr>
        <w:rPr>
          <w:rFonts w:ascii="Arial" w:hAnsi="Arial" w:cs="Arial"/>
        </w:rPr>
      </w:pPr>
      <w:r w:rsidRPr="007957FB">
        <w:rPr>
          <w:rFonts w:ascii="Arial" w:hAnsi="Arial" w:cs="Arial"/>
        </w:rPr>
        <w:t xml:space="preserve">Clause 12 of the Bill lists the accountability mechanisms to which the Treaty Institute is subject, including the </w:t>
      </w:r>
      <w:r w:rsidRPr="007957FB">
        <w:rPr>
          <w:rFonts w:ascii="Arial" w:hAnsi="Arial" w:cs="Arial"/>
          <w:i/>
          <w:iCs/>
        </w:rPr>
        <w:t>Financial Accountability Act</w:t>
      </w:r>
      <w:r w:rsidR="00F62472">
        <w:rPr>
          <w:rFonts w:ascii="Arial" w:hAnsi="Arial" w:cs="Arial"/>
          <w:i/>
          <w:iCs/>
        </w:rPr>
        <w:t xml:space="preserve"> 2009</w:t>
      </w:r>
      <w:r w:rsidRPr="007957FB">
        <w:rPr>
          <w:rFonts w:ascii="Arial" w:hAnsi="Arial" w:cs="Arial"/>
        </w:rPr>
        <w:t xml:space="preserve">, the </w:t>
      </w:r>
      <w:r w:rsidRPr="007957FB">
        <w:rPr>
          <w:rFonts w:ascii="Arial" w:hAnsi="Arial" w:cs="Arial"/>
          <w:i/>
          <w:iCs/>
        </w:rPr>
        <w:t>Crime and Corruption Act 2001</w:t>
      </w:r>
      <w:r w:rsidRPr="007957FB">
        <w:rPr>
          <w:rFonts w:ascii="Arial" w:hAnsi="Arial" w:cs="Arial"/>
        </w:rPr>
        <w:t xml:space="preserve">, and the right to information and information privacy legislation. The </w:t>
      </w:r>
      <w:r w:rsidRPr="007957FB">
        <w:rPr>
          <w:rFonts w:ascii="Arial" w:hAnsi="Arial" w:cs="Arial"/>
          <w:i/>
          <w:iCs/>
        </w:rPr>
        <w:t>Human Rights Act 2019</w:t>
      </w:r>
      <w:r w:rsidRPr="007957FB">
        <w:rPr>
          <w:rFonts w:ascii="Arial" w:hAnsi="Arial" w:cs="Arial"/>
        </w:rPr>
        <w:t xml:space="preserve"> is not listed</w:t>
      </w:r>
      <w:r w:rsidR="002D32D3" w:rsidRPr="007957FB">
        <w:rPr>
          <w:rFonts w:ascii="Arial" w:hAnsi="Arial" w:cs="Arial"/>
        </w:rPr>
        <w:t>, although the Explanatory Note</w:t>
      </w:r>
      <w:r w:rsidR="00312892">
        <w:rPr>
          <w:rFonts w:ascii="Arial" w:hAnsi="Arial" w:cs="Arial"/>
        </w:rPr>
        <w:t>s</w:t>
      </w:r>
      <w:r w:rsidR="002D32D3" w:rsidRPr="007957FB">
        <w:rPr>
          <w:rFonts w:ascii="Arial" w:hAnsi="Arial" w:cs="Arial"/>
        </w:rPr>
        <w:t xml:space="preserve"> to the Bill indicate that </w:t>
      </w:r>
      <w:r w:rsidR="00DD5B37" w:rsidRPr="007957FB">
        <w:rPr>
          <w:rFonts w:ascii="Arial" w:hAnsi="Arial" w:cs="Arial"/>
        </w:rPr>
        <w:t xml:space="preserve">it is intended that the Treaty Institute be subject to the </w:t>
      </w:r>
      <w:r w:rsidR="00DD5B37" w:rsidRPr="007957FB">
        <w:rPr>
          <w:rFonts w:ascii="Arial" w:hAnsi="Arial" w:cs="Arial"/>
          <w:i/>
          <w:iCs/>
        </w:rPr>
        <w:t>Human Rights Act 2019</w:t>
      </w:r>
      <w:r w:rsidR="00DD5B37" w:rsidRPr="007957FB">
        <w:rPr>
          <w:rFonts w:ascii="Arial" w:hAnsi="Arial" w:cs="Arial"/>
        </w:rPr>
        <w:t>.</w:t>
      </w:r>
      <w:r w:rsidR="00DD5B37" w:rsidRPr="007957FB">
        <w:rPr>
          <w:rStyle w:val="FootnoteReference"/>
          <w:rFonts w:ascii="Arial" w:hAnsi="Arial" w:cs="Arial"/>
        </w:rPr>
        <w:footnoteReference w:id="2"/>
      </w:r>
      <w:r w:rsidR="00DD5B37" w:rsidRPr="007957FB">
        <w:rPr>
          <w:rFonts w:ascii="Arial" w:hAnsi="Arial" w:cs="Arial"/>
        </w:rPr>
        <w:t xml:space="preserve"> </w:t>
      </w:r>
    </w:p>
    <w:p w14:paraId="4CA9E0C8" w14:textId="453F1ACD" w:rsidR="002E582A" w:rsidRPr="007957FB" w:rsidRDefault="00E97C9A" w:rsidP="002E582A">
      <w:pPr>
        <w:rPr>
          <w:rFonts w:ascii="Arial" w:hAnsi="Arial" w:cs="Arial"/>
        </w:rPr>
      </w:pPr>
      <w:r w:rsidRPr="007957FB">
        <w:rPr>
          <w:rFonts w:ascii="Arial" w:hAnsi="Arial" w:cs="Arial"/>
        </w:rPr>
        <w:lastRenderedPageBreak/>
        <w:t xml:space="preserve">Under the </w:t>
      </w:r>
      <w:r w:rsidRPr="007957FB">
        <w:rPr>
          <w:rFonts w:ascii="Arial" w:hAnsi="Arial" w:cs="Arial"/>
          <w:i/>
          <w:iCs/>
        </w:rPr>
        <w:t>Human Rights</w:t>
      </w:r>
      <w:r w:rsidR="002F5B70">
        <w:rPr>
          <w:rFonts w:ascii="Arial" w:hAnsi="Arial" w:cs="Arial"/>
          <w:i/>
          <w:iCs/>
        </w:rPr>
        <w:t xml:space="preserve"> Act</w:t>
      </w:r>
      <w:r w:rsidRPr="007957FB">
        <w:rPr>
          <w:rFonts w:ascii="Arial" w:hAnsi="Arial" w:cs="Arial"/>
          <w:i/>
          <w:iCs/>
        </w:rPr>
        <w:t xml:space="preserve"> 2019</w:t>
      </w:r>
      <w:r w:rsidRPr="007957FB">
        <w:rPr>
          <w:rFonts w:ascii="Arial" w:hAnsi="Arial" w:cs="Arial"/>
        </w:rPr>
        <w:t xml:space="preserve">, public entities have obligations to </w:t>
      </w:r>
      <w:r w:rsidR="00C4547C" w:rsidRPr="007957FB">
        <w:rPr>
          <w:rFonts w:ascii="Arial" w:hAnsi="Arial" w:cs="Arial"/>
        </w:rPr>
        <w:t>act and make decisions in a way that is compatible with human rights; and give proper consideration to human rights when making a decision.</w:t>
      </w:r>
      <w:r w:rsidR="00C4547C" w:rsidRPr="007957FB">
        <w:rPr>
          <w:rStyle w:val="FootnoteReference"/>
          <w:rFonts w:ascii="Arial" w:hAnsi="Arial" w:cs="Arial"/>
        </w:rPr>
        <w:footnoteReference w:id="3"/>
      </w:r>
      <w:r w:rsidR="00C4547C" w:rsidRPr="007957FB">
        <w:rPr>
          <w:rFonts w:ascii="Arial" w:hAnsi="Arial" w:cs="Arial"/>
        </w:rPr>
        <w:t xml:space="preserve"> A person may complain about an alleged contravention of this obligation to the Commission for dispute resolution, and may raise this as an additional ground for relief if </w:t>
      </w:r>
      <w:r w:rsidR="0030790D" w:rsidRPr="007957FB">
        <w:rPr>
          <w:rFonts w:ascii="Arial" w:hAnsi="Arial" w:cs="Arial"/>
        </w:rPr>
        <w:t xml:space="preserve">legally challenging the </w:t>
      </w:r>
      <w:r w:rsidR="00C4547C" w:rsidRPr="007957FB">
        <w:rPr>
          <w:rFonts w:ascii="Arial" w:hAnsi="Arial" w:cs="Arial"/>
        </w:rPr>
        <w:t>public entity</w:t>
      </w:r>
      <w:r w:rsidR="0030790D" w:rsidRPr="007957FB">
        <w:rPr>
          <w:rFonts w:ascii="Arial" w:hAnsi="Arial" w:cs="Arial"/>
        </w:rPr>
        <w:t>’s act or decision</w:t>
      </w:r>
      <w:r w:rsidR="00C4547C" w:rsidRPr="007957FB">
        <w:rPr>
          <w:rFonts w:ascii="Arial" w:hAnsi="Arial" w:cs="Arial"/>
        </w:rPr>
        <w:t xml:space="preserve"> for other reasons.</w:t>
      </w:r>
      <w:r w:rsidR="00C4547C" w:rsidRPr="007957FB">
        <w:rPr>
          <w:rStyle w:val="FootnoteReference"/>
          <w:rFonts w:ascii="Arial" w:hAnsi="Arial" w:cs="Arial"/>
        </w:rPr>
        <w:footnoteReference w:id="4"/>
      </w:r>
      <w:r w:rsidR="00C4547C" w:rsidRPr="007957FB">
        <w:rPr>
          <w:rFonts w:ascii="Arial" w:hAnsi="Arial" w:cs="Arial"/>
        </w:rPr>
        <w:t xml:space="preserve"> </w:t>
      </w:r>
    </w:p>
    <w:p w14:paraId="6E419102" w14:textId="7E77A1D5" w:rsidR="00885018" w:rsidRPr="007957FB" w:rsidRDefault="0030790D" w:rsidP="002E582A">
      <w:pPr>
        <w:rPr>
          <w:rFonts w:ascii="Arial" w:hAnsi="Arial" w:cs="Arial"/>
          <w:i/>
          <w:iCs/>
        </w:rPr>
      </w:pPr>
      <w:r w:rsidRPr="007957FB">
        <w:rPr>
          <w:rFonts w:ascii="Arial" w:hAnsi="Arial" w:cs="Arial"/>
        </w:rPr>
        <w:t xml:space="preserve">Public entities are defined under section 9 of the </w:t>
      </w:r>
      <w:r w:rsidRPr="007957FB">
        <w:rPr>
          <w:rFonts w:ascii="Arial" w:hAnsi="Arial" w:cs="Arial"/>
          <w:i/>
          <w:iCs/>
        </w:rPr>
        <w:t>Human Rights Act 2019</w:t>
      </w:r>
      <w:r w:rsidRPr="007957FB">
        <w:rPr>
          <w:rFonts w:ascii="Arial" w:hAnsi="Arial" w:cs="Arial"/>
        </w:rPr>
        <w:t xml:space="preserve">. It is the Commission’s view that the Treaty Institute would meet the definition of a functional public entity under section 9(1)(f) </w:t>
      </w:r>
      <w:r w:rsidR="00885018" w:rsidRPr="007957FB">
        <w:rPr>
          <w:rFonts w:ascii="Arial" w:hAnsi="Arial" w:cs="Arial"/>
        </w:rPr>
        <w:t xml:space="preserve">of the Act </w:t>
      </w:r>
      <w:r w:rsidRPr="007957FB">
        <w:rPr>
          <w:rFonts w:ascii="Arial" w:hAnsi="Arial" w:cs="Arial"/>
        </w:rPr>
        <w:t xml:space="preserve">as ‘an entity established under an Act when the entity is performing functions of a public nature’. </w:t>
      </w:r>
    </w:p>
    <w:p w14:paraId="0749B141" w14:textId="30E712A3" w:rsidR="0030790D" w:rsidRPr="007957FB" w:rsidRDefault="00885018" w:rsidP="002E582A">
      <w:pPr>
        <w:rPr>
          <w:rFonts w:ascii="Arial" w:hAnsi="Arial" w:cs="Arial"/>
        </w:rPr>
      </w:pPr>
      <w:r w:rsidRPr="007957FB">
        <w:rPr>
          <w:rFonts w:ascii="Arial" w:hAnsi="Arial" w:cs="Arial"/>
        </w:rPr>
        <w:t xml:space="preserve">However, to avoid </w:t>
      </w:r>
      <w:r w:rsidR="00CB7AF9" w:rsidRPr="007957FB">
        <w:rPr>
          <w:rFonts w:ascii="Arial" w:hAnsi="Arial" w:cs="Arial"/>
        </w:rPr>
        <w:t>uncertainty</w:t>
      </w:r>
      <w:r w:rsidRPr="007957FB">
        <w:rPr>
          <w:rFonts w:ascii="Arial" w:hAnsi="Arial" w:cs="Arial"/>
        </w:rPr>
        <w:t xml:space="preserve"> as to which functions of the Treaty Institute the </w:t>
      </w:r>
      <w:r w:rsidRPr="007957FB">
        <w:rPr>
          <w:rFonts w:ascii="Arial" w:hAnsi="Arial" w:cs="Arial"/>
          <w:i/>
          <w:iCs/>
        </w:rPr>
        <w:t>Human Rights Act 2019</w:t>
      </w:r>
      <w:r w:rsidRPr="007957FB">
        <w:rPr>
          <w:rFonts w:ascii="Arial" w:hAnsi="Arial" w:cs="Arial"/>
        </w:rPr>
        <w:t xml:space="preserve"> applies, the Commission recommends that the Treaty Institute </w:t>
      </w:r>
      <w:r w:rsidR="008F270F" w:rsidRPr="007957FB">
        <w:rPr>
          <w:rFonts w:ascii="Arial" w:hAnsi="Arial" w:cs="Arial"/>
        </w:rPr>
        <w:t xml:space="preserve">be prescribed a public entity for the purposes of the </w:t>
      </w:r>
      <w:r w:rsidR="008F270F" w:rsidRPr="007957FB">
        <w:rPr>
          <w:rFonts w:ascii="Arial" w:hAnsi="Arial" w:cs="Arial"/>
          <w:i/>
          <w:iCs/>
        </w:rPr>
        <w:t>Human Rights Act 2019</w:t>
      </w:r>
      <w:r w:rsidR="008F270F" w:rsidRPr="007957FB">
        <w:rPr>
          <w:rFonts w:ascii="Arial" w:hAnsi="Arial" w:cs="Arial"/>
        </w:rPr>
        <w:t xml:space="preserve">. </w:t>
      </w:r>
    </w:p>
    <w:p w14:paraId="44228EAE" w14:textId="77777777" w:rsidR="00CB7AF9" w:rsidRPr="007957FB" w:rsidRDefault="00DD5B37" w:rsidP="002E582A">
      <w:pPr>
        <w:rPr>
          <w:rFonts w:ascii="Arial" w:hAnsi="Arial" w:cs="Arial"/>
        </w:rPr>
      </w:pPr>
      <w:r w:rsidRPr="007957FB">
        <w:rPr>
          <w:rFonts w:ascii="Arial" w:hAnsi="Arial" w:cs="Arial"/>
        </w:rPr>
        <w:t xml:space="preserve">Clause 12(2)(e) of the Bill clarifies that the Treaty Institute is a public sector entity under the </w:t>
      </w:r>
      <w:r w:rsidRPr="007957FB">
        <w:rPr>
          <w:rFonts w:ascii="Arial" w:hAnsi="Arial" w:cs="Arial"/>
          <w:i/>
          <w:iCs/>
        </w:rPr>
        <w:t>Public Sector Ethics Act 1994</w:t>
      </w:r>
      <w:r w:rsidRPr="007957FB">
        <w:rPr>
          <w:rFonts w:ascii="Arial" w:hAnsi="Arial" w:cs="Arial"/>
        </w:rPr>
        <w:t>.</w:t>
      </w:r>
      <w:r w:rsidR="00CB7AF9" w:rsidRPr="007957FB">
        <w:rPr>
          <w:rFonts w:ascii="Arial" w:hAnsi="Arial" w:cs="Arial"/>
        </w:rPr>
        <w:t xml:space="preserve"> Under that Act, the chief executive officer of the public sector entity must ensure that a code of conduct is prepared for the entity, which is then approved by the responsible Minister.</w:t>
      </w:r>
      <w:r w:rsidR="00CB7AF9" w:rsidRPr="007957FB">
        <w:rPr>
          <w:rStyle w:val="FootnoteReference"/>
          <w:rFonts w:ascii="Arial" w:hAnsi="Arial" w:cs="Arial"/>
        </w:rPr>
        <w:footnoteReference w:id="5"/>
      </w:r>
      <w:r w:rsidR="00CB7AF9" w:rsidRPr="007957FB">
        <w:rPr>
          <w:rFonts w:ascii="Arial" w:hAnsi="Arial" w:cs="Arial"/>
        </w:rPr>
        <w:t xml:space="preserve"> </w:t>
      </w:r>
    </w:p>
    <w:p w14:paraId="024BD5A5" w14:textId="4D5D05D9" w:rsidR="00DD5B37" w:rsidRPr="007957FB" w:rsidRDefault="00CB7AF9" w:rsidP="002E582A">
      <w:pPr>
        <w:rPr>
          <w:rFonts w:ascii="Arial" w:hAnsi="Arial" w:cs="Arial"/>
        </w:rPr>
      </w:pPr>
      <w:r w:rsidRPr="007957FB">
        <w:rPr>
          <w:rFonts w:ascii="Arial" w:hAnsi="Arial" w:cs="Arial"/>
        </w:rPr>
        <w:t>It is not clear whether the single Code of Conduct for the Queensland Public Service</w:t>
      </w:r>
      <w:r w:rsidR="00837524" w:rsidRPr="007957FB">
        <w:rPr>
          <w:rStyle w:val="FootnoteReference"/>
          <w:rFonts w:ascii="Arial" w:hAnsi="Arial" w:cs="Arial"/>
        </w:rPr>
        <w:footnoteReference w:id="6"/>
      </w:r>
      <w:r w:rsidRPr="007957FB">
        <w:rPr>
          <w:rFonts w:ascii="Arial" w:hAnsi="Arial" w:cs="Arial"/>
        </w:rPr>
        <w:t xml:space="preserve"> </w:t>
      </w:r>
      <w:r w:rsidR="00E45B77" w:rsidRPr="007957FB">
        <w:rPr>
          <w:rFonts w:ascii="Arial" w:hAnsi="Arial" w:cs="Arial"/>
        </w:rPr>
        <w:t xml:space="preserve">is intended </w:t>
      </w:r>
      <w:r w:rsidRPr="007957FB">
        <w:rPr>
          <w:rFonts w:ascii="Arial" w:hAnsi="Arial" w:cs="Arial"/>
        </w:rPr>
        <w:t xml:space="preserve">apply to the Treaty Institute or whether a </w:t>
      </w:r>
      <w:r w:rsidR="00E45B77" w:rsidRPr="007957FB">
        <w:rPr>
          <w:rFonts w:ascii="Arial" w:hAnsi="Arial" w:cs="Arial"/>
        </w:rPr>
        <w:t xml:space="preserve">bespoke, co-designed code of conduct will be developed. Some provisions of the single Code of Conduct could be </w:t>
      </w:r>
      <w:r w:rsidR="009F6845" w:rsidRPr="007957FB">
        <w:rPr>
          <w:rFonts w:ascii="Arial" w:hAnsi="Arial" w:cs="Arial"/>
        </w:rPr>
        <w:t>difficult to reconcile with the independence, purpose and functions of the Treaty Institute, including:</w:t>
      </w:r>
    </w:p>
    <w:p w14:paraId="51C60FC4" w14:textId="79D7E520" w:rsidR="009F6845" w:rsidRPr="00967CF4" w:rsidRDefault="009F6845" w:rsidP="009F6845">
      <w:pPr>
        <w:ind w:firstLine="720"/>
        <w:rPr>
          <w:rFonts w:ascii="Arial" w:hAnsi="Arial" w:cs="Arial"/>
          <w:b/>
          <w:bCs/>
          <w:sz w:val="20"/>
          <w:szCs w:val="20"/>
        </w:rPr>
      </w:pPr>
      <w:r w:rsidRPr="00967CF4">
        <w:rPr>
          <w:rFonts w:ascii="Arial" w:hAnsi="Arial" w:cs="Arial"/>
          <w:b/>
          <w:bCs/>
          <w:sz w:val="20"/>
          <w:szCs w:val="20"/>
        </w:rPr>
        <w:t>3.1 Commit to our roles in public service</w:t>
      </w:r>
    </w:p>
    <w:p w14:paraId="3657AFCA" w14:textId="77777777" w:rsidR="009F6845" w:rsidRPr="00967CF4" w:rsidRDefault="009F6845" w:rsidP="009F6845">
      <w:pPr>
        <w:ind w:left="720"/>
        <w:rPr>
          <w:rFonts w:ascii="Arial" w:hAnsi="Arial" w:cs="Arial"/>
          <w:sz w:val="20"/>
          <w:szCs w:val="20"/>
        </w:rPr>
      </w:pPr>
      <w:r w:rsidRPr="00967CF4">
        <w:rPr>
          <w:rFonts w:ascii="Arial" w:hAnsi="Arial" w:cs="Arial"/>
          <w:sz w:val="20"/>
          <w:szCs w:val="20"/>
        </w:rPr>
        <w:t xml:space="preserve">Our role is to undertake our duties, and to give effect to the policies of the elected government, regardless of its political complexion. </w:t>
      </w:r>
    </w:p>
    <w:p w14:paraId="5CFFAD33" w14:textId="77777777" w:rsidR="009F6845" w:rsidRPr="00967CF4" w:rsidRDefault="009F6845" w:rsidP="009F6845">
      <w:pPr>
        <w:ind w:left="720"/>
        <w:rPr>
          <w:rFonts w:ascii="Arial" w:hAnsi="Arial" w:cs="Arial"/>
          <w:sz w:val="20"/>
          <w:szCs w:val="20"/>
        </w:rPr>
      </w:pPr>
      <w:r w:rsidRPr="00967CF4">
        <w:rPr>
          <w:rFonts w:ascii="Arial" w:hAnsi="Arial" w:cs="Arial"/>
          <w:sz w:val="20"/>
          <w:szCs w:val="20"/>
        </w:rPr>
        <w:t xml:space="preserve">We will: </w:t>
      </w:r>
    </w:p>
    <w:p w14:paraId="57A46F0B" w14:textId="77777777" w:rsidR="009F6845" w:rsidRPr="00967CF4" w:rsidRDefault="009F6845" w:rsidP="009F6845">
      <w:pPr>
        <w:ind w:left="720"/>
        <w:rPr>
          <w:rFonts w:ascii="Arial" w:hAnsi="Arial" w:cs="Arial"/>
          <w:sz w:val="20"/>
          <w:szCs w:val="20"/>
        </w:rPr>
      </w:pPr>
      <w:r w:rsidRPr="00967CF4">
        <w:rPr>
          <w:rFonts w:ascii="Arial" w:hAnsi="Arial" w:cs="Arial"/>
          <w:sz w:val="20"/>
          <w:szCs w:val="20"/>
        </w:rPr>
        <w:t xml:space="preserve">a. accept that the elected government has the right to determine policy and priorities </w:t>
      </w:r>
    </w:p>
    <w:p w14:paraId="7E9B3FDC" w14:textId="77777777" w:rsidR="009F6845" w:rsidRPr="00967CF4" w:rsidRDefault="009F6845" w:rsidP="009F6845">
      <w:pPr>
        <w:ind w:left="720"/>
        <w:rPr>
          <w:rFonts w:ascii="Arial" w:hAnsi="Arial" w:cs="Arial"/>
          <w:sz w:val="20"/>
          <w:szCs w:val="20"/>
        </w:rPr>
      </w:pPr>
      <w:r w:rsidRPr="00967CF4">
        <w:rPr>
          <w:rFonts w:ascii="Arial" w:hAnsi="Arial" w:cs="Arial"/>
          <w:sz w:val="20"/>
          <w:szCs w:val="20"/>
        </w:rPr>
        <w:t>b. be responsive to the government of the day and implement decisions and policies professionally and impartially</w:t>
      </w:r>
    </w:p>
    <w:p w14:paraId="5A44D9F4" w14:textId="5FF362B8" w:rsidR="009F6845" w:rsidRPr="00967CF4" w:rsidRDefault="009F6845" w:rsidP="009F6845">
      <w:pPr>
        <w:ind w:left="720"/>
        <w:rPr>
          <w:rFonts w:ascii="Arial" w:hAnsi="Arial" w:cs="Arial"/>
          <w:sz w:val="20"/>
          <w:szCs w:val="20"/>
        </w:rPr>
      </w:pPr>
      <w:r w:rsidRPr="00967CF4">
        <w:rPr>
          <w:rFonts w:ascii="Arial" w:hAnsi="Arial" w:cs="Arial"/>
          <w:sz w:val="20"/>
          <w:szCs w:val="20"/>
        </w:rPr>
        <w:t xml:space="preserve">… </w:t>
      </w:r>
    </w:p>
    <w:p w14:paraId="1E6A4121" w14:textId="2EA12BBB" w:rsidR="009F6845" w:rsidRPr="00967CF4" w:rsidRDefault="009F6845" w:rsidP="009F6845">
      <w:pPr>
        <w:ind w:firstLine="720"/>
        <w:rPr>
          <w:rFonts w:ascii="Arial" w:hAnsi="Arial" w:cs="Arial"/>
          <w:b/>
          <w:bCs/>
          <w:sz w:val="20"/>
          <w:szCs w:val="20"/>
        </w:rPr>
      </w:pPr>
      <w:r w:rsidRPr="00967CF4">
        <w:rPr>
          <w:rFonts w:ascii="Arial" w:hAnsi="Arial" w:cs="Arial"/>
          <w:b/>
          <w:bCs/>
          <w:sz w:val="20"/>
          <w:szCs w:val="20"/>
        </w:rPr>
        <w:t>4.1 Ensure diligence in public administration</w:t>
      </w:r>
    </w:p>
    <w:p w14:paraId="34ACEE8A" w14:textId="1055C50B" w:rsidR="009F6845" w:rsidRPr="00967CF4" w:rsidRDefault="009F6845" w:rsidP="009F6845">
      <w:pPr>
        <w:ind w:firstLine="720"/>
        <w:rPr>
          <w:rFonts w:ascii="Arial" w:hAnsi="Arial" w:cs="Arial"/>
          <w:sz w:val="20"/>
          <w:szCs w:val="20"/>
        </w:rPr>
      </w:pPr>
      <w:r w:rsidRPr="00967CF4">
        <w:rPr>
          <w:rFonts w:ascii="Arial" w:hAnsi="Arial" w:cs="Arial"/>
          <w:sz w:val="20"/>
          <w:szCs w:val="20"/>
        </w:rPr>
        <w:t>…</w:t>
      </w:r>
    </w:p>
    <w:p w14:paraId="6D516082" w14:textId="4574F0FE" w:rsidR="009F6845" w:rsidRPr="00967CF4" w:rsidRDefault="009F6845" w:rsidP="009F6845">
      <w:pPr>
        <w:ind w:firstLine="720"/>
        <w:rPr>
          <w:rFonts w:ascii="Arial" w:hAnsi="Arial" w:cs="Arial"/>
          <w:sz w:val="20"/>
          <w:szCs w:val="20"/>
        </w:rPr>
      </w:pPr>
      <w:r w:rsidRPr="00967CF4">
        <w:rPr>
          <w:rFonts w:ascii="Arial" w:hAnsi="Arial" w:cs="Arial"/>
          <w:sz w:val="20"/>
          <w:szCs w:val="20"/>
        </w:rPr>
        <w:t>We will:</w:t>
      </w:r>
    </w:p>
    <w:p w14:paraId="324E0A61" w14:textId="71F0F563" w:rsidR="009F6845" w:rsidRPr="00967CF4" w:rsidRDefault="009F6845" w:rsidP="009F6845">
      <w:pPr>
        <w:ind w:firstLine="720"/>
        <w:rPr>
          <w:rFonts w:ascii="Arial" w:hAnsi="Arial" w:cs="Arial"/>
          <w:sz w:val="20"/>
          <w:szCs w:val="20"/>
        </w:rPr>
      </w:pPr>
      <w:r w:rsidRPr="00967CF4">
        <w:rPr>
          <w:rFonts w:ascii="Arial" w:hAnsi="Arial" w:cs="Arial"/>
          <w:sz w:val="20"/>
          <w:szCs w:val="20"/>
        </w:rPr>
        <w:t>…</w:t>
      </w:r>
    </w:p>
    <w:p w14:paraId="65F04D0A" w14:textId="77777777" w:rsidR="009F6845" w:rsidRPr="00967CF4" w:rsidRDefault="009F6845" w:rsidP="009F6845">
      <w:pPr>
        <w:ind w:left="720"/>
        <w:rPr>
          <w:rFonts w:ascii="Arial" w:hAnsi="Arial" w:cs="Arial"/>
          <w:sz w:val="20"/>
          <w:szCs w:val="20"/>
        </w:rPr>
      </w:pPr>
      <w:r w:rsidRPr="00967CF4">
        <w:rPr>
          <w:rFonts w:ascii="Arial" w:hAnsi="Arial" w:cs="Arial"/>
          <w:sz w:val="20"/>
          <w:szCs w:val="20"/>
        </w:rPr>
        <w:t xml:space="preserve">d. comply with all </w:t>
      </w:r>
      <w:r w:rsidRPr="002F5B70">
        <w:rPr>
          <w:rFonts w:ascii="Arial" w:hAnsi="Arial" w:cs="Arial"/>
          <w:sz w:val="20"/>
          <w:szCs w:val="20"/>
        </w:rPr>
        <w:t>reasonable and lawful instructions</w:t>
      </w:r>
      <w:r w:rsidRPr="00967CF4">
        <w:rPr>
          <w:rFonts w:ascii="Arial" w:hAnsi="Arial" w:cs="Arial"/>
          <w:sz w:val="20"/>
          <w:szCs w:val="20"/>
        </w:rPr>
        <w:t>, whether or not we personally agree with a given policy direction.</w:t>
      </w:r>
    </w:p>
    <w:p w14:paraId="0CF2EA11" w14:textId="3479374E" w:rsidR="00F62472" w:rsidRDefault="00F62472" w:rsidP="002E582A">
      <w:pPr>
        <w:rPr>
          <w:rFonts w:ascii="Arial" w:hAnsi="Arial" w:cs="Arial"/>
        </w:rPr>
      </w:pPr>
      <w:r>
        <w:rPr>
          <w:rFonts w:ascii="Arial" w:hAnsi="Arial" w:cs="Arial"/>
        </w:rPr>
        <w:lastRenderedPageBreak/>
        <w:t xml:space="preserve">There may be times where the Treaty Institute </w:t>
      </w:r>
      <w:r w:rsidR="00E32F61">
        <w:rPr>
          <w:rFonts w:ascii="Arial" w:hAnsi="Arial" w:cs="Arial"/>
        </w:rPr>
        <w:t>is not</w:t>
      </w:r>
      <w:r>
        <w:rPr>
          <w:rFonts w:ascii="Arial" w:hAnsi="Arial" w:cs="Arial"/>
        </w:rPr>
        <w:t xml:space="preserve"> aligned with the policy position of the government</w:t>
      </w:r>
      <w:r w:rsidR="005D5BA4">
        <w:rPr>
          <w:rFonts w:ascii="Arial" w:hAnsi="Arial" w:cs="Arial"/>
        </w:rPr>
        <w:t xml:space="preserve"> on a range of issues</w:t>
      </w:r>
      <w:r w:rsidR="00F73B26">
        <w:rPr>
          <w:rFonts w:ascii="Arial" w:hAnsi="Arial" w:cs="Arial"/>
        </w:rPr>
        <w:t xml:space="preserve">, and therefore </w:t>
      </w:r>
      <w:r w:rsidR="001226A8">
        <w:rPr>
          <w:rFonts w:ascii="Arial" w:hAnsi="Arial" w:cs="Arial"/>
        </w:rPr>
        <w:t xml:space="preserve">adherence </w:t>
      </w:r>
      <w:r w:rsidR="00A43992">
        <w:rPr>
          <w:rFonts w:ascii="Arial" w:hAnsi="Arial" w:cs="Arial"/>
        </w:rPr>
        <w:t xml:space="preserve">to </w:t>
      </w:r>
      <w:r w:rsidR="00F73B26">
        <w:rPr>
          <w:rFonts w:ascii="Arial" w:hAnsi="Arial" w:cs="Arial"/>
        </w:rPr>
        <w:t>these aspects</w:t>
      </w:r>
      <w:r w:rsidR="001226A8">
        <w:rPr>
          <w:rFonts w:ascii="Arial" w:hAnsi="Arial" w:cs="Arial"/>
        </w:rPr>
        <w:t xml:space="preserve"> of the single Code of Conduct could hamper its independence from government</w:t>
      </w:r>
      <w:r>
        <w:rPr>
          <w:rFonts w:ascii="Arial" w:hAnsi="Arial" w:cs="Arial"/>
        </w:rPr>
        <w:t xml:space="preserve">. </w:t>
      </w:r>
    </w:p>
    <w:p w14:paraId="4B857C5B" w14:textId="2F1C798A" w:rsidR="00E97C9A" w:rsidRDefault="00E45B77" w:rsidP="002E582A">
      <w:pPr>
        <w:rPr>
          <w:rFonts w:ascii="Arial" w:hAnsi="Arial" w:cs="Arial"/>
        </w:rPr>
      </w:pPr>
      <w:r w:rsidRPr="007957FB">
        <w:rPr>
          <w:rFonts w:ascii="Arial" w:hAnsi="Arial" w:cs="Arial"/>
        </w:rPr>
        <w:t xml:space="preserve">The Commission recommends careful consideration as to whether the single Code of Conduct </w:t>
      </w:r>
      <w:r w:rsidR="009F6845" w:rsidRPr="007957FB">
        <w:rPr>
          <w:rFonts w:ascii="Arial" w:hAnsi="Arial" w:cs="Arial"/>
        </w:rPr>
        <w:t xml:space="preserve">should </w:t>
      </w:r>
      <w:r w:rsidRPr="007957FB">
        <w:rPr>
          <w:rFonts w:ascii="Arial" w:hAnsi="Arial" w:cs="Arial"/>
        </w:rPr>
        <w:t>be adopted by the Treaty Institute</w:t>
      </w:r>
      <w:r w:rsidR="009F6845" w:rsidRPr="007957FB">
        <w:rPr>
          <w:rFonts w:ascii="Arial" w:hAnsi="Arial" w:cs="Arial"/>
        </w:rPr>
        <w:t xml:space="preserve"> or whether the development of a separate code, which could additionally take into account the cultural rights of Aboriginal people</w:t>
      </w:r>
      <w:r w:rsidR="002F5B70">
        <w:rPr>
          <w:rFonts w:ascii="Arial" w:hAnsi="Arial" w:cs="Arial"/>
        </w:rPr>
        <w:t>s</w:t>
      </w:r>
      <w:r w:rsidR="009F6845" w:rsidRPr="007957FB">
        <w:rPr>
          <w:rFonts w:ascii="Arial" w:hAnsi="Arial" w:cs="Arial"/>
        </w:rPr>
        <w:t xml:space="preserve"> and Torres Strait Islander people</w:t>
      </w:r>
      <w:r w:rsidR="002F5B70">
        <w:rPr>
          <w:rFonts w:ascii="Arial" w:hAnsi="Arial" w:cs="Arial"/>
        </w:rPr>
        <w:t>s</w:t>
      </w:r>
      <w:r w:rsidR="00F62472">
        <w:rPr>
          <w:rFonts w:ascii="Arial" w:hAnsi="Arial" w:cs="Arial"/>
        </w:rPr>
        <w:t xml:space="preserve"> and the importance of self-determination,</w:t>
      </w:r>
      <w:r w:rsidR="009F6845" w:rsidRPr="007957FB">
        <w:rPr>
          <w:rFonts w:ascii="Arial" w:hAnsi="Arial" w:cs="Arial"/>
        </w:rPr>
        <w:t xml:space="preserve"> is more appropriate. </w:t>
      </w:r>
    </w:p>
    <w:p w14:paraId="6380F8C6" w14:textId="77777777" w:rsidR="004552C2" w:rsidRPr="008232BA" w:rsidRDefault="004552C2" w:rsidP="009E4AFB">
      <w:pPr>
        <w:pStyle w:val="Heading1"/>
        <w:rPr>
          <w:rFonts w:eastAsia="Times New Roman"/>
          <w:lang w:eastAsia="en-AU"/>
        </w:rPr>
      </w:pPr>
      <w:r w:rsidRPr="008232BA">
        <w:rPr>
          <w:rFonts w:eastAsia="Times New Roman"/>
          <w:lang w:eastAsia="en-AU"/>
        </w:rPr>
        <w:t>Appointment of members</w:t>
      </w:r>
    </w:p>
    <w:p w14:paraId="285F75CD" w14:textId="7C82E47B" w:rsidR="009626FB" w:rsidRDefault="00DF67F6" w:rsidP="002E582A">
      <w:pPr>
        <w:rPr>
          <w:rFonts w:ascii="Arial" w:hAnsi="Arial" w:cs="Arial"/>
        </w:rPr>
      </w:pPr>
      <w:r>
        <w:rPr>
          <w:rFonts w:ascii="Arial" w:hAnsi="Arial" w:cs="Arial"/>
        </w:rPr>
        <w:t>Under clause 55 of the Bill, p</w:t>
      </w:r>
      <w:r w:rsidR="009626FB">
        <w:rPr>
          <w:rFonts w:ascii="Arial" w:hAnsi="Arial" w:cs="Arial"/>
        </w:rPr>
        <w:t xml:space="preserve">eople who have been convicted of indictable offences </w:t>
      </w:r>
      <w:r w:rsidR="004D5A0A">
        <w:rPr>
          <w:rFonts w:ascii="Arial" w:hAnsi="Arial" w:cs="Arial"/>
        </w:rPr>
        <w:t>(aside from spent convictions</w:t>
      </w:r>
      <w:r w:rsidR="0088749E">
        <w:rPr>
          <w:rStyle w:val="FootnoteReference"/>
          <w:rFonts w:ascii="Arial" w:hAnsi="Arial" w:cs="Arial"/>
        </w:rPr>
        <w:footnoteReference w:id="7"/>
      </w:r>
      <w:r w:rsidR="004D5A0A">
        <w:rPr>
          <w:rFonts w:ascii="Arial" w:hAnsi="Arial" w:cs="Arial"/>
        </w:rPr>
        <w:t>) are disqualified from becoming or continuing as members of the Treaty Institute Council</w:t>
      </w:r>
      <w:r w:rsidR="0088749E">
        <w:rPr>
          <w:rFonts w:ascii="Arial" w:hAnsi="Arial" w:cs="Arial"/>
        </w:rPr>
        <w:t xml:space="preserve"> </w:t>
      </w:r>
      <w:r w:rsidR="008F1A2D">
        <w:rPr>
          <w:rFonts w:ascii="Arial" w:hAnsi="Arial" w:cs="Arial"/>
        </w:rPr>
        <w:t>or a senior executive officer</w:t>
      </w:r>
      <w:r w:rsidR="00B421B1">
        <w:rPr>
          <w:rFonts w:ascii="Arial" w:hAnsi="Arial" w:cs="Arial"/>
        </w:rPr>
        <w:t>,</w:t>
      </w:r>
      <w:r w:rsidR="00773DC3">
        <w:rPr>
          <w:rFonts w:ascii="Arial" w:hAnsi="Arial" w:cs="Arial"/>
        </w:rPr>
        <w:t xml:space="preserve"> or where they have refused to </w:t>
      </w:r>
      <w:r w:rsidR="004D5A0A">
        <w:rPr>
          <w:rFonts w:ascii="Arial" w:hAnsi="Arial" w:cs="Arial"/>
        </w:rPr>
        <w:t>disclose criminal history</w:t>
      </w:r>
      <w:r>
        <w:rPr>
          <w:rFonts w:ascii="Arial" w:hAnsi="Arial" w:cs="Arial"/>
        </w:rPr>
        <w:t xml:space="preserve">. </w:t>
      </w:r>
      <w:r w:rsidR="00B421B1">
        <w:rPr>
          <w:rFonts w:ascii="Arial" w:hAnsi="Arial" w:cs="Arial"/>
        </w:rPr>
        <w:t xml:space="preserve">Apart from the Treaty Institute secretary, these are identified positions. </w:t>
      </w:r>
    </w:p>
    <w:p w14:paraId="7AA2BFC2" w14:textId="7061AAD4" w:rsidR="00773DC3" w:rsidRDefault="000D07AA" w:rsidP="002E582A">
      <w:pPr>
        <w:rPr>
          <w:rFonts w:ascii="Arial" w:hAnsi="Arial" w:cs="Arial"/>
        </w:rPr>
      </w:pPr>
      <w:r>
        <w:rPr>
          <w:rFonts w:ascii="Arial" w:hAnsi="Arial" w:cs="Arial"/>
        </w:rPr>
        <w:t xml:space="preserve">Automatic disqualification may be arbitrary and not compatible with </w:t>
      </w:r>
      <w:r w:rsidR="008F1A2D">
        <w:rPr>
          <w:rFonts w:ascii="Arial" w:hAnsi="Arial" w:cs="Arial"/>
        </w:rPr>
        <w:t>rights to recognition and equality before the law, taking part in private life, and to privacy</w:t>
      </w:r>
      <w:r>
        <w:rPr>
          <w:rFonts w:ascii="Arial" w:hAnsi="Arial" w:cs="Arial"/>
        </w:rPr>
        <w:t>.</w:t>
      </w:r>
      <w:r w:rsidR="00B421B1">
        <w:rPr>
          <w:rStyle w:val="FootnoteReference"/>
          <w:rFonts w:ascii="Arial" w:hAnsi="Arial" w:cs="Arial"/>
        </w:rPr>
        <w:footnoteReference w:id="8"/>
      </w:r>
      <w:r>
        <w:rPr>
          <w:rFonts w:ascii="Arial" w:hAnsi="Arial" w:cs="Arial"/>
        </w:rPr>
        <w:t xml:space="preserve"> </w:t>
      </w:r>
      <w:r w:rsidR="004D5A0A">
        <w:rPr>
          <w:rFonts w:ascii="Arial" w:hAnsi="Arial" w:cs="Arial"/>
        </w:rPr>
        <w:t xml:space="preserve">The Commission considers that </w:t>
      </w:r>
      <w:r w:rsidR="00773DC3">
        <w:rPr>
          <w:rFonts w:ascii="Arial" w:hAnsi="Arial" w:cs="Arial"/>
        </w:rPr>
        <w:t>criminal history checks</w:t>
      </w:r>
      <w:r w:rsidR="004D5A0A">
        <w:rPr>
          <w:rFonts w:ascii="Arial" w:hAnsi="Arial" w:cs="Arial"/>
        </w:rPr>
        <w:t xml:space="preserve"> may disproportionately disadvantage Aboriginal and Torres Strait Islander applicants who are recognised as strong community leaders</w:t>
      </w:r>
      <w:r w:rsidR="00773DC3">
        <w:rPr>
          <w:rFonts w:ascii="Arial" w:hAnsi="Arial" w:cs="Arial"/>
        </w:rPr>
        <w:t xml:space="preserve"> but have been involved in the criminal justice system in the past. These applicants may have unique perspectives and </w:t>
      </w:r>
      <w:r w:rsidR="00C30B12">
        <w:rPr>
          <w:rFonts w:ascii="Arial" w:hAnsi="Arial" w:cs="Arial"/>
        </w:rPr>
        <w:t>value</w:t>
      </w:r>
      <w:r w:rsidR="00773DC3">
        <w:rPr>
          <w:rFonts w:ascii="Arial" w:hAnsi="Arial" w:cs="Arial"/>
        </w:rPr>
        <w:t xml:space="preserve"> to bring to the role from a lived-experience perspective.</w:t>
      </w:r>
    </w:p>
    <w:p w14:paraId="76CA3AF8" w14:textId="7F47C997" w:rsidR="004D5A0A" w:rsidRDefault="00773DC3" w:rsidP="002E582A">
      <w:pPr>
        <w:rPr>
          <w:rFonts w:ascii="Arial" w:hAnsi="Arial" w:cs="Arial"/>
        </w:rPr>
      </w:pPr>
      <w:r>
        <w:rPr>
          <w:rFonts w:ascii="Arial" w:hAnsi="Arial" w:cs="Arial"/>
        </w:rPr>
        <w:t>The Commission understands the justification that the integrity</w:t>
      </w:r>
      <w:r w:rsidR="004E7E91">
        <w:rPr>
          <w:rFonts w:ascii="Arial" w:hAnsi="Arial" w:cs="Arial"/>
        </w:rPr>
        <w:t xml:space="preserve"> and propriety</w:t>
      </w:r>
      <w:r>
        <w:rPr>
          <w:rFonts w:ascii="Arial" w:hAnsi="Arial" w:cs="Arial"/>
        </w:rPr>
        <w:t xml:space="preserve"> of the Treaty Institute is vital and may take precedence over </w:t>
      </w:r>
      <w:r w:rsidR="00EC3A66">
        <w:rPr>
          <w:rFonts w:ascii="Arial" w:hAnsi="Arial" w:cs="Arial"/>
        </w:rPr>
        <w:t>the protection of individual human</w:t>
      </w:r>
      <w:r>
        <w:rPr>
          <w:rFonts w:ascii="Arial" w:hAnsi="Arial" w:cs="Arial"/>
        </w:rPr>
        <w:t xml:space="preserve"> rights.</w:t>
      </w:r>
      <w:r>
        <w:rPr>
          <w:rStyle w:val="FootnoteReference"/>
          <w:rFonts w:ascii="Arial" w:hAnsi="Arial" w:cs="Arial"/>
        </w:rPr>
        <w:footnoteReference w:id="9"/>
      </w:r>
      <w:r>
        <w:rPr>
          <w:rFonts w:ascii="Arial" w:hAnsi="Arial" w:cs="Arial"/>
        </w:rPr>
        <w:t xml:space="preserve"> However, </w:t>
      </w:r>
      <w:bookmarkStart w:id="0" w:name="_Hlk129779290"/>
      <w:r w:rsidR="004E7E91">
        <w:rPr>
          <w:rFonts w:ascii="Arial" w:hAnsi="Arial" w:cs="Arial"/>
        </w:rPr>
        <w:t xml:space="preserve">automatic </w:t>
      </w:r>
      <w:r w:rsidR="00196830">
        <w:rPr>
          <w:rFonts w:ascii="Arial" w:hAnsi="Arial" w:cs="Arial"/>
        </w:rPr>
        <w:t xml:space="preserve">disqualification of </w:t>
      </w:r>
      <w:r w:rsidR="005A387A">
        <w:rPr>
          <w:rFonts w:ascii="Arial" w:hAnsi="Arial" w:cs="Arial"/>
        </w:rPr>
        <w:t xml:space="preserve">a person </w:t>
      </w:r>
      <w:r w:rsidR="00196830">
        <w:rPr>
          <w:rFonts w:ascii="Arial" w:hAnsi="Arial" w:cs="Arial"/>
        </w:rPr>
        <w:t xml:space="preserve">from sitting on the </w:t>
      </w:r>
      <w:r w:rsidR="005A387A">
        <w:rPr>
          <w:rFonts w:ascii="Arial" w:hAnsi="Arial" w:cs="Arial"/>
        </w:rPr>
        <w:t>Treaty Institute Council</w:t>
      </w:r>
      <w:r w:rsidR="00196830">
        <w:rPr>
          <w:rFonts w:ascii="Arial" w:hAnsi="Arial" w:cs="Arial"/>
        </w:rPr>
        <w:t xml:space="preserve"> because of their criminal history</w:t>
      </w:r>
      <w:r w:rsidR="004E7E91">
        <w:rPr>
          <w:rFonts w:ascii="Arial" w:hAnsi="Arial" w:cs="Arial"/>
        </w:rPr>
        <w:t>, without consideration of any</w:t>
      </w:r>
      <w:r w:rsidR="00196830">
        <w:rPr>
          <w:rFonts w:ascii="Arial" w:hAnsi="Arial" w:cs="Arial"/>
        </w:rPr>
        <w:t xml:space="preserve"> </w:t>
      </w:r>
      <w:r w:rsidR="00EC3A66">
        <w:rPr>
          <w:rFonts w:ascii="Arial" w:hAnsi="Arial" w:cs="Arial"/>
        </w:rPr>
        <w:t xml:space="preserve">other </w:t>
      </w:r>
      <w:r w:rsidR="004E7E91">
        <w:rPr>
          <w:rFonts w:ascii="Arial" w:hAnsi="Arial" w:cs="Arial"/>
        </w:rPr>
        <w:t xml:space="preserve">circumstances, </w:t>
      </w:r>
      <w:r w:rsidR="00196830">
        <w:rPr>
          <w:rFonts w:ascii="Arial" w:hAnsi="Arial" w:cs="Arial"/>
        </w:rPr>
        <w:t xml:space="preserve">is not necessary to achieve that purpose, and could be achieved in a </w:t>
      </w:r>
      <w:r w:rsidR="004E7E91">
        <w:rPr>
          <w:rFonts w:ascii="Arial" w:hAnsi="Arial" w:cs="Arial"/>
        </w:rPr>
        <w:t>way that is less restrictive of human rights.</w:t>
      </w:r>
      <w:bookmarkEnd w:id="0"/>
    </w:p>
    <w:p w14:paraId="0A56FEE7" w14:textId="042773D0" w:rsidR="00773DC3" w:rsidRPr="007957FB" w:rsidRDefault="000D07AA" w:rsidP="002E582A">
      <w:pPr>
        <w:rPr>
          <w:rFonts w:ascii="Arial" w:hAnsi="Arial" w:cs="Arial"/>
        </w:rPr>
      </w:pPr>
      <w:r>
        <w:rPr>
          <w:rFonts w:ascii="Arial" w:hAnsi="Arial" w:cs="Arial"/>
        </w:rPr>
        <w:t>Rather than an automatic disqualification, a</w:t>
      </w:r>
      <w:r w:rsidR="00773DC3">
        <w:rPr>
          <w:rFonts w:ascii="Arial" w:hAnsi="Arial" w:cs="Arial"/>
        </w:rPr>
        <w:t xml:space="preserve"> less restrictive option would </w:t>
      </w:r>
      <w:r>
        <w:rPr>
          <w:rFonts w:ascii="Arial" w:hAnsi="Arial" w:cs="Arial"/>
        </w:rPr>
        <w:t>be to</w:t>
      </w:r>
      <w:r w:rsidR="00773DC3">
        <w:rPr>
          <w:rFonts w:ascii="Arial" w:hAnsi="Arial" w:cs="Arial"/>
        </w:rPr>
        <w:t xml:space="preserve"> individually consider applicants’ criminal history information in context</w:t>
      </w:r>
      <w:r w:rsidR="00CA23A4">
        <w:rPr>
          <w:rFonts w:ascii="Arial" w:hAnsi="Arial" w:cs="Arial"/>
        </w:rPr>
        <w:t>,</w:t>
      </w:r>
      <w:r w:rsidR="00773DC3">
        <w:rPr>
          <w:rFonts w:ascii="Arial" w:hAnsi="Arial" w:cs="Arial"/>
        </w:rPr>
        <w:t xml:space="preserve"> as one aspect of weighing up suitability for the role.</w:t>
      </w:r>
    </w:p>
    <w:p w14:paraId="3760D8BE" w14:textId="3D6F6C57" w:rsidR="00336AE5" w:rsidRPr="007957FB" w:rsidRDefault="00336AE5" w:rsidP="009E4AFB">
      <w:pPr>
        <w:pStyle w:val="Heading1"/>
        <w:rPr>
          <w:rFonts w:eastAsia="Times New Roman"/>
          <w:lang w:eastAsia="en-AU"/>
        </w:rPr>
      </w:pPr>
      <w:r w:rsidRPr="007957FB">
        <w:rPr>
          <w:rFonts w:eastAsia="Times New Roman"/>
          <w:lang w:eastAsia="en-AU"/>
        </w:rPr>
        <w:t xml:space="preserve">Term of </w:t>
      </w:r>
      <w:r w:rsidR="004552C2">
        <w:rPr>
          <w:rFonts w:eastAsia="Times New Roman"/>
          <w:lang w:eastAsia="en-AU"/>
        </w:rPr>
        <w:t>I</w:t>
      </w:r>
      <w:r w:rsidR="004552C2" w:rsidRPr="007957FB">
        <w:rPr>
          <w:rFonts w:eastAsia="Times New Roman"/>
          <w:lang w:eastAsia="en-AU"/>
        </w:rPr>
        <w:t>nquiry</w:t>
      </w:r>
    </w:p>
    <w:p w14:paraId="5920FC5B" w14:textId="5E50CB3D" w:rsidR="009505FE" w:rsidRPr="007957FB" w:rsidRDefault="009505FE" w:rsidP="00336AE5">
      <w:pPr>
        <w:spacing w:before="120" w:after="240" w:line="240" w:lineRule="auto"/>
        <w:rPr>
          <w:rFonts w:ascii="Arial" w:eastAsia="Times New Roman" w:hAnsi="Arial" w:cs="Arial"/>
          <w:color w:val="000000"/>
          <w:lang w:eastAsia="en-AU"/>
        </w:rPr>
      </w:pPr>
      <w:r w:rsidRPr="007957FB">
        <w:rPr>
          <w:rFonts w:ascii="Arial" w:eastAsia="Times New Roman" w:hAnsi="Arial" w:cs="Arial"/>
          <w:color w:val="000000"/>
          <w:lang w:eastAsia="en-AU"/>
        </w:rPr>
        <w:t>The Inquiry is established for a term of 3 years, although the Minister has discretion to extend this period on notice from the Inquiry or on the Minister’s own initiative.</w:t>
      </w:r>
      <w:r w:rsidR="008A533F">
        <w:rPr>
          <w:rStyle w:val="FootnoteReference"/>
          <w:rFonts w:ascii="Arial" w:eastAsia="Times New Roman" w:hAnsi="Arial" w:cs="Arial"/>
          <w:color w:val="000000"/>
          <w:lang w:eastAsia="en-AU"/>
        </w:rPr>
        <w:footnoteReference w:id="10"/>
      </w:r>
    </w:p>
    <w:p w14:paraId="38A28CEC" w14:textId="15608C1F" w:rsidR="009505FE" w:rsidRPr="007957FB" w:rsidRDefault="009505FE" w:rsidP="00336AE5">
      <w:pPr>
        <w:spacing w:before="120" w:after="240" w:line="240" w:lineRule="auto"/>
        <w:rPr>
          <w:rFonts w:ascii="Arial" w:eastAsia="Times New Roman" w:hAnsi="Arial" w:cs="Arial"/>
          <w:color w:val="000000"/>
          <w:lang w:eastAsia="en-AU"/>
        </w:rPr>
      </w:pPr>
      <w:r w:rsidRPr="007957FB">
        <w:rPr>
          <w:rFonts w:ascii="Arial" w:eastAsia="Times New Roman" w:hAnsi="Arial" w:cs="Arial"/>
          <w:color w:val="000000"/>
          <w:lang w:eastAsia="en-AU"/>
        </w:rPr>
        <w:t xml:space="preserve">The term of Inquiry reflects </w:t>
      </w:r>
      <w:r w:rsidR="00C634CA" w:rsidRPr="007957FB">
        <w:rPr>
          <w:rFonts w:ascii="Arial" w:eastAsia="Times New Roman" w:hAnsi="Arial" w:cs="Arial"/>
          <w:color w:val="000000"/>
          <w:lang w:eastAsia="en-AU"/>
        </w:rPr>
        <w:t>Treaty Advancement Committee</w:t>
      </w:r>
      <w:r w:rsidRPr="007957FB">
        <w:rPr>
          <w:rFonts w:ascii="Arial" w:eastAsia="Times New Roman" w:hAnsi="Arial" w:cs="Arial"/>
          <w:color w:val="000000"/>
          <w:lang w:eastAsia="en-AU"/>
        </w:rPr>
        <w:t xml:space="preserve"> Report Recommendation 14</w:t>
      </w:r>
      <w:r w:rsidR="00C634CA" w:rsidRPr="007957FB">
        <w:rPr>
          <w:rFonts w:ascii="Arial" w:eastAsia="Times New Roman" w:hAnsi="Arial" w:cs="Arial"/>
          <w:color w:val="000000"/>
          <w:lang w:eastAsia="en-AU"/>
        </w:rPr>
        <w:t xml:space="preserve">. The Committee gave the following explanation: </w:t>
      </w:r>
    </w:p>
    <w:p w14:paraId="51E42660" w14:textId="77777777" w:rsidR="00C634CA" w:rsidRPr="007C4819" w:rsidRDefault="009505FE" w:rsidP="00C634CA">
      <w:pPr>
        <w:spacing w:before="120" w:after="240" w:line="240" w:lineRule="auto"/>
        <w:ind w:left="720"/>
        <w:rPr>
          <w:rFonts w:ascii="Arial" w:eastAsia="Times New Roman" w:hAnsi="Arial" w:cs="Arial"/>
          <w:color w:val="000000"/>
          <w:sz w:val="20"/>
          <w:szCs w:val="20"/>
          <w:lang w:eastAsia="en-AU"/>
        </w:rPr>
      </w:pPr>
      <w:r w:rsidRPr="007C4819">
        <w:rPr>
          <w:rFonts w:ascii="Arial" w:eastAsia="Times New Roman" w:hAnsi="Arial" w:cs="Arial"/>
          <w:color w:val="000000"/>
          <w:sz w:val="20"/>
          <w:szCs w:val="20"/>
          <w:lang w:eastAsia="en-AU"/>
        </w:rPr>
        <w:t xml:space="preserve">The Committee believes that with sufficient engagement and support from the Queensland Government to access existing work and research to support the chronicling of colonisation of Queensland, along with adequate financial backing to conduct its inquiry, a three-year timeframe is appropriate. This is a common length of term for Inquiries of this nature that </w:t>
      </w:r>
      <w:r w:rsidRPr="007C4819">
        <w:rPr>
          <w:rFonts w:ascii="Arial" w:eastAsia="Times New Roman" w:hAnsi="Arial" w:cs="Arial"/>
          <w:color w:val="000000"/>
          <w:sz w:val="20"/>
          <w:szCs w:val="20"/>
          <w:lang w:eastAsia="en-AU"/>
        </w:rPr>
        <w:lastRenderedPageBreak/>
        <w:t xml:space="preserve">seeks to ensure a balance between being comprehensive while guarding against losing momentum and focus. This also takes into account that additional truth telling and healing led by the Institute will continue as a function beyond the three-year time frame of the formal Inquiry. </w:t>
      </w:r>
    </w:p>
    <w:p w14:paraId="14AF0575" w14:textId="77777777" w:rsidR="00C634CA" w:rsidRPr="008A533F" w:rsidRDefault="009505FE" w:rsidP="00C634CA">
      <w:pPr>
        <w:spacing w:before="120" w:after="240" w:line="240" w:lineRule="auto"/>
        <w:ind w:left="720"/>
        <w:rPr>
          <w:rFonts w:ascii="Arial" w:eastAsia="Times New Roman" w:hAnsi="Arial" w:cs="Arial"/>
          <w:b/>
          <w:bCs/>
          <w:color w:val="000000"/>
          <w:sz w:val="20"/>
          <w:szCs w:val="20"/>
          <w:lang w:eastAsia="en-AU"/>
        </w:rPr>
      </w:pPr>
      <w:r w:rsidRPr="008A533F">
        <w:rPr>
          <w:rFonts w:ascii="Arial" w:eastAsia="Times New Roman" w:hAnsi="Arial" w:cs="Arial"/>
          <w:b/>
          <w:bCs/>
          <w:color w:val="000000"/>
          <w:sz w:val="20"/>
          <w:szCs w:val="20"/>
          <w:lang w:eastAsia="en-AU"/>
        </w:rPr>
        <w:t xml:space="preserve">Rationale </w:t>
      </w:r>
    </w:p>
    <w:p w14:paraId="4BD486AB" w14:textId="19711C0B" w:rsidR="009505FE" w:rsidRPr="007C4819" w:rsidRDefault="009505FE" w:rsidP="00C634CA">
      <w:pPr>
        <w:spacing w:before="120" w:after="240" w:line="240" w:lineRule="auto"/>
        <w:ind w:left="720"/>
        <w:rPr>
          <w:rFonts w:ascii="Arial" w:eastAsia="Times New Roman" w:hAnsi="Arial" w:cs="Arial"/>
          <w:color w:val="000000"/>
          <w:sz w:val="20"/>
          <w:szCs w:val="20"/>
          <w:lang w:eastAsia="en-AU"/>
        </w:rPr>
      </w:pPr>
      <w:r w:rsidRPr="007C4819">
        <w:rPr>
          <w:rFonts w:ascii="Arial" w:eastAsia="Times New Roman" w:hAnsi="Arial" w:cs="Arial"/>
          <w:color w:val="000000"/>
          <w:sz w:val="20"/>
          <w:szCs w:val="20"/>
          <w:lang w:eastAsia="en-AU"/>
        </w:rPr>
        <w:t xml:space="preserve">The Committee acknowledges that the formal Truth Telling and Healing Inquiry has an arduous task in uncovering the history of the colonisation of Queensland at a state-wide level. The term length was guided by examples of other truth telling processes. For example, the Victorian Government and the First Peoples’ Assembly established their truth and justice process, the </w:t>
      </w:r>
      <w:proofErr w:type="spellStart"/>
      <w:r w:rsidRPr="007C4819">
        <w:rPr>
          <w:rFonts w:ascii="Arial" w:eastAsia="Times New Roman" w:hAnsi="Arial" w:cs="Arial"/>
          <w:color w:val="000000"/>
          <w:sz w:val="20"/>
          <w:szCs w:val="20"/>
          <w:lang w:eastAsia="en-AU"/>
        </w:rPr>
        <w:t>Yoorrook</w:t>
      </w:r>
      <w:proofErr w:type="spellEnd"/>
      <w:r w:rsidRPr="007C4819">
        <w:rPr>
          <w:rFonts w:ascii="Arial" w:eastAsia="Times New Roman" w:hAnsi="Arial" w:cs="Arial"/>
          <w:color w:val="000000"/>
          <w:sz w:val="20"/>
          <w:szCs w:val="20"/>
          <w:lang w:eastAsia="en-AU"/>
        </w:rPr>
        <w:t xml:space="preserve"> Justice Commission, in May 2021 and it is due to provide its final report by the end of June 2024, a period of just over three years. It was noted that a survey of best international practice conducted by the Northern Territory Treaty Commissioner also indicated that a defined timeframe for a truth telling process in the order of three years appeared to be optimal.</w:t>
      </w:r>
      <w:r w:rsidR="00C634CA" w:rsidRPr="007C4819">
        <w:rPr>
          <w:rStyle w:val="FootnoteReference"/>
          <w:rFonts w:ascii="Arial" w:eastAsia="Times New Roman" w:hAnsi="Arial" w:cs="Arial"/>
          <w:color w:val="000000"/>
          <w:sz w:val="20"/>
          <w:szCs w:val="20"/>
          <w:lang w:eastAsia="en-AU"/>
        </w:rPr>
        <w:footnoteReference w:id="11"/>
      </w:r>
    </w:p>
    <w:p w14:paraId="41AF5916" w14:textId="55B483C9" w:rsidR="009505FE" w:rsidRPr="007957FB" w:rsidRDefault="00C634CA" w:rsidP="00336AE5">
      <w:pPr>
        <w:spacing w:before="120" w:after="240" w:line="240" w:lineRule="auto"/>
        <w:rPr>
          <w:rFonts w:ascii="Arial" w:eastAsia="Times New Roman" w:hAnsi="Arial" w:cs="Arial"/>
          <w:color w:val="000000"/>
          <w:lang w:eastAsia="en-AU"/>
        </w:rPr>
      </w:pPr>
      <w:r w:rsidRPr="007957FB">
        <w:rPr>
          <w:rFonts w:ascii="Arial" w:eastAsia="Times New Roman" w:hAnsi="Arial" w:cs="Arial"/>
          <w:color w:val="000000"/>
          <w:lang w:eastAsia="en-AU"/>
        </w:rPr>
        <w:t xml:space="preserve">As pointed out by the Interim Truth and Treaty Body at the Parliamentary Hearing on 13 March 2023, Queensland is unique due to its geographical size and two distinct cultural groups. For this reason, </w:t>
      </w:r>
      <w:r w:rsidR="00F746B2" w:rsidRPr="007957FB">
        <w:rPr>
          <w:rFonts w:ascii="Arial" w:eastAsia="Times New Roman" w:hAnsi="Arial" w:cs="Arial"/>
          <w:color w:val="000000"/>
          <w:lang w:eastAsia="en-AU"/>
        </w:rPr>
        <w:t xml:space="preserve">the Commission urges reconsideration of whether the 3-year timeframe for formal truth-telling, even with the option of extension, </w:t>
      </w:r>
      <w:r w:rsidR="007C4819">
        <w:rPr>
          <w:rFonts w:ascii="Arial" w:eastAsia="Times New Roman" w:hAnsi="Arial" w:cs="Arial"/>
          <w:color w:val="000000"/>
          <w:lang w:eastAsia="en-AU"/>
        </w:rPr>
        <w:t>is realistic</w:t>
      </w:r>
      <w:r w:rsidR="00F746B2" w:rsidRPr="007957FB">
        <w:rPr>
          <w:rFonts w:ascii="Arial" w:eastAsia="Times New Roman" w:hAnsi="Arial" w:cs="Arial"/>
          <w:color w:val="000000"/>
          <w:lang w:eastAsia="en-AU"/>
        </w:rPr>
        <w:t xml:space="preserve"> to achieve the Inquiry’s goals, especially if taking evidence on country and in community.</w:t>
      </w:r>
      <w:r w:rsidR="00F73B26">
        <w:rPr>
          <w:rFonts w:ascii="Arial" w:eastAsia="Times New Roman" w:hAnsi="Arial" w:cs="Arial"/>
          <w:color w:val="000000"/>
          <w:lang w:eastAsia="en-AU"/>
        </w:rPr>
        <w:t xml:space="preserve"> </w:t>
      </w:r>
      <w:r w:rsidR="00A43992">
        <w:rPr>
          <w:rFonts w:ascii="Arial" w:eastAsia="Times New Roman" w:hAnsi="Arial" w:cs="Arial"/>
          <w:color w:val="000000"/>
          <w:lang w:eastAsia="en-AU"/>
        </w:rPr>
        <w:t>Considering the need for First Peoples to prepare for and consider how they wish to participate in the Inquiry, t</w:t>
      </w:r>
      <w:r w:rsidR="00F73B26">
        <w:rPr>
          <w:rFonts w:ascii="Arial" w:eastAsia="Times New Roman" w:hAnsi="Arial" w:cs="Arial"/>
          <w:color w:val="000000"/>
          <w:lang w:eastAsia="en-AU"/>
        </w:rPr>
        <w:t xml:space="preserve">here is a risk that a short timeframe will </w:t>
      </w:r>
      <w:r w:rsidR="00FE31E9">
        <w:rPr>
          <w:rFonts w:ascii="Arial" w:eastAsia="Times New Roman" w:hAnsi="Arial" w:cs="Arial"/>
          <w:color w:val="000000"/>
          <w:lang w:eastAsia="en-AU"/>
        </w:rPr>
        <w:t>compromise the</w:t>
      </w:r>
      <w:r w:rsidR="00F73B26">
        <w:rPr>
          <w:rFonts w:ascii="Arial" w:eastAsia="Times New Roman" w:hAnsi="Arial" w:cs="Arial"/>
          <w:color w:val="000000"/>
          <w:lang w:eastAsia="en-AU"/>
        </w:rPr>
        <w:t xml:space="preserve"> quality of outcomes as well as the cultural safety for participants.</w:t>
      </w:r>
    </w:p>
    <w:p w14:paraId="54345287" w14:textId="5694FE9D" w:rsidR="009F6845" w:rsidRPr="009E4AFB" w:rsidRDefault="00432B8D" w:rsidP="009E4AFB">
      <w:pPr>
        <w:pStyle w:val="Heading1"/>
      </w:pPr>
      <w:r w:rsidRPr="009E4AFB">
        <w:t xml:space="preserve">Support for stress and psychological trauma </w:t>
      </w:r>
    </w:p>
    <w:p w14:paraId="4D951592" w14:textId="62594ACA" w:rsidR="009F6845" w:rsidRPr="007957FB" w:rsidRDefault="00432B8D" w:rsidP="003647CE">
      <w:pPr>
        <w:spacing w:before="120" w:after="240" w:line="240" w:lineRule="auto"/>
        <w:rPr>
          <w:rFonts w:ascii="Arial" w:eastAsia="Times New Roman" w:hAnsi="Arial" w:cs="Arial"/>
          <w:color w:val="000000"/>
          <w:lang w:eastAsia="en-AU"/>
        </w:rPr>
      </w:pPr>
      <w:r w:rsidRPr="007957FB">
        <w:rPr>
          <w:rFonts w:ascii="Arial" w:eastAsia="Times New Roman" w:hAnsi="Arial" w:cs="Arial"/>
          <w:color w:val="000000"/>
          <w:lang w:eastAsia="en-AU"/>
        </w:rPr>
        <w:t>The Explanatory Note</w:t>
      </w:r>
      <w:r w:rsidR="00942565">
        <w:rPr>
          <w:rFonts w:ascii="Arial" w:eastAsia="Times New Roman" w:hAnsi="Arial" w:cs="Arial"/>
          <w:color w:val="000000"/>
          <w:lang w:eastAsia="en-AU"/>
        </w:rPr>
        <w:t>s</w:t>
      </w:r>
      <w:r w:rsidRPr="007957FB">
        <w:rPr>
          <w:rFonts w:ascii="Arial" w:eastAsia="Times New Roman" w:hAnsi="Arial" w:cs="Arial"/>
          <w:color w:val="000000"/>
          <w:lang w:eastAsia="en-AU"/>
        </w:rPr>
        <w:t xml:space="preserve"> to the Bill acknowledge </w:t>
      </w:r>
      <w:r w:rsidR="00DA6478" w:rsidRPr="007957FB">
        <w:rPr>
          <w:rFonts w:ascii="Arial" w:eastAsia="Times New Roman" w:hAnsi="Arial" w:cs="Arial"/>
          <w:color w:val="000000"/>
          <w:lang w:eastAsia="en-AU"/>
        </w:rPr>
        <w:t xml:space="preserve">the very real risk </w:t>
      </w:r>
      <w:r w:rsidRPr="007957FB">
        <w:rPr>
          <w:rFonts w:ascii="Arial" w:eastAsia="Times New Roman" w:hAnsi="Arial" w:cs="Arial"/>
          <w:color w:val="000000"/>
          <w:lang w:eastAsia="en-AU"/>
        </w:rPr>
        <w:t xml:space="preserve">that truth-telling may result in stress and psychological trauma for a person. </w:t>
      </w:r>
      <w:r w:rsidR="00DA6478" w:rsidRPr="007957FB">
        <w:rPr>
          <w:rFonts w:ascii="Arial" w:eastAsia="Times New Roman" w:hAnsi="Arial" w:cs="Arial"/>
          <w:color w:val="000000"/>
          <w:lang w:eastAsia="en-AU"/>
        </w:rPr>
        <w:t>Failure to properly and sufficiently address this risk will be a barrier to full participation in the process, impair the function and goals of the inquiry, and may amount to indirect discrimination of a witness on the basis of race or disability.</w:t>
      </w:r>
    </w:p>
    <w:p w14:paraId="4498BC17" w14:textId="22C278F2" w:rsidR="002449AC" w:rsidRPr="007957FB" w:rsidRDefault="002449AC" w:rsidP="003647CE">
      <w:pPr>
        <w:spacing w:before="120" w:after="240" w:line="240" w:lineRule="auto"/>
        <w:rPr>
          <w:rFonts w:ascii="Arial" w:eastAsia="Times New Roman" w:hAnsi="Arial" w:cs="Arial"/>
          <w:color w:val="000000"/>
          <w:lang w:eastAsia="en-AU"/>
        </w:rPr>
      </w:pPr>
      <w:r w:rsidRPr="007957FB">
        <w:rPr>
          <w:rFonts w:ascii="Arial" w:eastAsia="Times New Roman" w:hAnsi="Arial" w:cs="Arial"/>
          <w:color w:val="000000"/>
          <w:lang w:eastAsia="en-AU"/>
        </w:rPr>
        <w:t>Clause 72(2) of the Bill requires that the Inquiry make guidelines for procedures:</w:t>
      </w:r>
    </w:p>
    <w:p w14:paraId="720F7059" w14:textId="3D3015AF" w:rsidR="002449AC" w:rsidRPr="007957FB" w:rsidRDefault="002449AC" w:rsidP="002449AC">
      <w:pPr>
        <w:pStyle w:val="ListParagraph"/>
        <w:numPr>
          <w:ilvl w:val="0"/>
          <w:numId w:val="3"/>
        </w:numPr>
        <w:spacing w:before="120" w:after="240" w:line="240" w:lineRule="auto"/>
        <w:rPr>
          <w:rFonts w:ascii="Arial" w:hAnsi="Arial" w:cs="Arial"/>
        </w:rPr>
      </w:pPr>
      <w:r w:rsidRPr="007957FB">
        <w:rPr>
          <w:rFonts w:ascii="Arial" w:hAnsi="Arial" w:cs="Arial"/>
        </w:rPr>
        <w:t xml:space="preserve">to recognise whether a person is experiencing stress or </w:t>
      </w:r>
      <w:r w:rsidR="007970AE" w:rsidRPr="007957FB">
        <w:rPr>
          <w:rFonts w:ascii="Arial" w:hAnsi="Arial" w:cs="Arial"/>
        </w:rPr>
        <w:t xml:space="preserve">psychological </w:t>
      </w:r>
      <w:r w:rsidRPr="007957FB">
        <w:rPr>
          <w:rFonts w:ascii="Arial" w:hAnsi="Arial" w:cs="Arial"/>
        </w:rPr>
        <w:t>trauma</w:t>
      </w:r>
      <w:r w:rsidR="00942565">
        <w:rPr>
          <w:rFonts w:ascii="Arial" w:hAnsi="Arial" w:cs="Arial"/>
        </w:rPr>
        <w:t>;</w:t>
      </w:r>
      <w:r w:rsidRPr="007957FB">
        <w:rPr>
          <w:rFonts w:ascii="Arial" w:hAnsi="Arial" w:cs="Arial"/>
        </w:rPr>
        <w:t xml:space="preserve"> </w:t>
      </w:r>
    </w:p>
    <w:p w14:paraId="5D34CAE5" w14:textId="5FF800A3" w:rsidR="002449AC" w:rsidRPr="007957FB" w:rsidRDefault="002449AC" w:rsidP="002449AC">
      <w:pPr>
        <w:pStyle w:val="ListParagraph"/>
        <w:numPr>
          <w:ilvl w:val="0"/>
          <w:numId w:val="3"/>
        </w:numPr>
        <w:spacing w:before="120" w:after="240" w:line="240" w:lineRule="auto"/>
        <w:rPr>
          <w:rFonts w:ascii="Arial" w:hAnsi="Arial" w:cs="Arial"/>
        </w:rPr>
      </w:pPr>
      <w:r w:rsidRPr="007957FB">
        <w:rPr>
          <w:rFonts w:ascii="Arial" w:hAnsi="Arial" w:cs="Arial"/>
        </w:rPr>
        <w:t>for supporting the person</w:t>
      </w:r>
      <w:r w:rsidR="007970AE" w:rsidRPr="007957FB">
        <w:rPr>
          <w:rFonts w:ascii="Arial" w:hAnsi="Arial" w:cs="Arial"/>
        </w:rPr>
        <w:t xml:space="preserve"> experiencing stress or psychological trauma;</w:t>
      </w:r>
      <w:r w:rsidRPr="007957FB">
        <w:rPr>
          <w:rFonts w:ascii="Arial" w:hAnsi="Arial" w:cs="Arial"/>
        </w:rPr>
        <w:t xml:space="preserve"> and</w:t>
      </w:r>
    </w:p>
    <w:p w14:paraId="6FA56D2E" w14:textId="0930A5AB" w:rsidR="00DA6478" w:rsidRPr="007957FB" w:rsidRDefault="002449AC" w:rsidP="002449AC">
      <w:pPr>
        <w:pStyle w:val="ListParagraph"/>
        <w:numPr>
          <w:ilvl w:val="0"/>
          <w:numId w:val="3"/>
        </w:numPr>
        <w:spacing w:before="120" w:after="240" w:line="240" w:lineRule="auto"/>
        <w:rPr>
          <w:rFonts w:ascii="Arial" w:hAnsi="Arial" w:cs="Arial"/>
        </w:rPr>
      </w:pPr>
      <w:r w:rsidRPr="007957FB">
        <w:rPr>
          <w:rFonts w:ascii="Arial" w:hAnsi="Arial" w:cs="Arial"/>
        </w:rPr>
        <w:t xml:space="preserve">for preventing, reducing or mitigating stress or psychological trauma experienced. </w:t>
      </w:r>
    </w:p>
    <w:p w14:paraId="07A70844" w14:textId="26DE073C" w:rsidR="00DA6478" w:rsidRPr="007957FB" w:rsidRDefault="005F02B7" w:rsidP="003647CE">
      <w:pPr>
        <w:spacing w:before="120" w:after="240" w:line="240" w:lineRule="auto"/>
        <w:rPr>
          <w:rFonts w:ascii="Arial" w:eastAsia="Times New Roman" w:hAnsi="Arial" w:cs="Arial"/>
          <w:color w:val="000000"/>
          <w:lang w:eastAsia="en-AU"/>
        </w:rPr>
      </w:pPr>
      <w:r w:rsidRPr="007957FB">
        <w:rPr>
          <w:rFonts w:ascii="Arial" w:eastAsia="Times New Roman" w:hAnsi="Arial" w:cs="Arial"/>
          <w:color w:val="000000"/>
          <w:lang w:eastAsia="en-AU"/>
        </w:rPr>
        <w:t xml:space="preserve">The oral </w:t>
      </w:r>
      <w:r w:rsidR="007970AE" w:rsidRPr="007957FB">
        <w:rPr>
          <w:rFonts w:ascii="Arial" w:eastAsia="Times New Roman" w:hAnsi="Arial" w:cs="Arial"/>
          <w:color w:val="000000"/>
          <w:lang w:eastAsia="en-AU"/>
        </w:rPr>
        <w:t>briefing from the Department</w:t>
      </w:r>
      <w:r w:rsidRPr="007957FB">
        <w:rPr>
          <w:rFonts w:ascii="Arial" w:eastAsia="Times New Roman" w:hAnsi="Arial" w:cs="Arial"/>
          <w:color w:val="000000"/>
          <w:lang w:eastAsia="en-AU"/>
        </w:rPr>
        <w:t xml:space="preserve"> noted that they were closely </w:t>
      </w:r>
      <w:r w:rsidR="0034366C" w:rsidRPr="007957FB">
        <w:rPr>
          <w:rFonts w:ascii="Arial" w:eastAsia="Times New Roman" w:hAnsi="Arial" w:cs="Arial"/>
          <w:color w:val="000000"/>
          <w:lang w:eastAsia="en-AU"/>
        </w:rPr>
        <w:t xml:space="preserve">looking at </w:t>
      </w:r>
      <w:r w:rsidRPr="007957FB">
        <w:rPr>
          <w:rFonts w:ascii="Arial" w:eastAsia="Times New Roman" w:hAnsi="Arial" w:cs="Arial"/>
          <w:color w:val="000000"/>
          <w:lang w:eastAsia="en-AU"/>
        </w:rPr>
        <w:t xml:space="preserve">the experiences of the Victorian </w:t>
      </w:r>
      <w:proofErr w:type="spellStart"/>
      <w:r w:rsidRPr="007957FB">
        <w:rPr>
          <w:rFonts w:ascii="Arial" w:eastAsia="Times New Roman" w:hAnsi="Arial" w:cs="Arial"/>
          <w:color w:val="000000"/>
          <w:lang w:eastAsia="en-AU"/>
        </w:rPr>
        <w:t>Yoorrook</w:t>
      </w:r>
      <w:proofErr w:type="spellEnd"/>
      <w:r w:rsidRPr="007957FB">
        <w:rPr>
          <w:rFonts w:ascii="Arial" w:eastAsia="Times New Roman" w:hAnsi="Arial" w:cs="Arial"/>
          <w:color w:val="000000"/>
          <w:lang w:eastAsia="en-AU"/>
        </w:rPr>
        <w:t xml:space="preserve"> </w:t>
      </w:r>
      <w:r w:rsidR="00C87275" w:rsidRPr="007957FB">
        <w:rPr>
          <w:rFonts w:ascii="Arial" w:eastAsia="Times New Roman" w:hAnsi="Arial" w:cs="Arial"/>
          <w:color w:val="000000"/>
          <w:lang w:eastAsia="en-AU"/>
        </w:rPr>
        <w:t xml:space="preserve">Justice </w:t>
      </w:r>
      <w:r w:rsidRPr="007957FB">
        <w:rPr>
          <w:rFonts w:ascii="Arial" w:eastAsia="Times New Roman" w:hAnsi="Arial" w:cs="Arial"/>
          <w:color w:val="000000"/>
          <w:lang w:eastAsia="en-AU"/>
        </w:rPr>
        <w:t xml:space="preserve">Commission </w:t>
      </w:r>
      <w:r w:rsidR="0034366C" w:rsidRPr="007957FB">
        <w:rPr>
          <w:rFonts w:ascii="Arial" w:eastAsia="Times New Roman" w:hAnsi="Arial" w:cs="Arial"/>
          <w:color w:val="000000"/>
          <w:lang w:eastAsia="en-AU"/>
        </w:rPr>
        <w:t xml:space="preserve">and </w:t>
      </w:r>
      <w:r w:rsidR="001579C8" w:rsidRPr="007957FB">
        <w:rPr>
          <w:rFonts w:ascii="Arial" w:eastAsia="Times New Roman" w:hAnsi="Arial" w:cs="Arial"/>
          <w:color w:val="000000"/>
          <w:lang w:eastAsia="en-AU"/>
        </w:rPr>
        <w:t>that:</w:t>
      </w:r>
    </w:p>
    <w:p w14:paraId="51AEF527" w14:textId="5729E51C" w:rsidR="007970AE" w:rsidRPr="00964464" w:rsidRDefault="005F02B7" w:rsidP="005F02B7">
      <w:pPr>
        <w:spacing w:before="120" w:after="240" w:line="240" w:lineRule="auto"/>
        <w:ind w:left="720"/>
        <w:rPr>
          <w:rFonts w:ascii="Arial" w:eastAsia="Times New Roman" w:hAnsi="Arial" w:cs="Arial"/>
          <w:color w:val="000000"/>
          <w:sz w:val="20"/>
          <w:szCs w:val="20"/>
          <w:lang w:eastAsia="en-AU"/>
        </w:rPr>
      </w:pPr>
      <w:r w:rsidRPr="00964464">
        <w:rPr>
          <w:rFonts w:ascii="Arial" w:eastAsia="Times New Roman" w:hAnsi="Arial" w:cs="Arial"/>
          <w:color w:val="000000"/>
          <w:sz w:val="20"/>
          <w:szCs w:val="20"/>
          <w:lang w:eastAsia="en-AU"/>
        </w:rPr>
        <w:t xml:space="preserve">It is very important that there are resources </w:t>
      </w:r>
      <w:proofErr w:type="spellStart"/>
      <w:r w:rsidR="0034366C" w:rsidRPr="00964464">
        <w:rPr>
          <w:rFonts w:ascii="Arial" w:eastAsia="Times New Roman" w:hAnsi="Arial" w:cs="Arial"/>
          <w:color w:val="000000"/>
          <w:sz w:val="20"/>
          <w:szCs w:val="20"/>
          <w:lang w:eastAsia="en-AU"/>
        </w:rPr>
        <w:t>ie</w:t>
      </w:r>
      <w:proofErr w:type="spellEnd"/>
      <w:r w:rsidR="0034366C" w:rsidRPr="00964464">
        <w:rPr>
          <w:rFonts w:ascii="Arial" w:eastAsia="Times New Roman" w:hAnsi="Arial" w:cs="Arial"/>
          <w:color w:val="000000"/>
          <w:sz w:val="20"/>
          <w:szCs w:val="20"/>
          <w:lang w:eastAsia="en-AU"/>
        </w:rPr>
        <w:t xml:space="preserve"> you know people </w:t>
      </w:r>
      <w:r w:rsidRPr="00964464">
        <w:rPr>
          <w:rFonts w:ascii="Arial" w:eastAsia="Times New Roman" w:hAnsi="Arial" w:cs="Arial"/>
          <w:color w:val="000000"/>
          <w:sz w:val="20"/>
          <w:szCs w:val="20"/>
          <w:lang w:eastAsia="en-AU"/>
        </w:rPr>
        <w:t xml:space="preserve">on the ground that can go in </w:t>
      </w:r>
      <w:r w:rsidR="0034366C" w:rsidRPr="00964464">
        <w:rPr>
          <w:rFonts w:ascii="Arial" w:eastAsia="Times New Roman" w:hAnsi="Arial" w:cs="Arial"/>
          <w:color w:val="000000"/>
          <w:sz w:val="20"/>
          <w:szCs w:val="20"/>
          <w:lang w:eastAsia="en-AU"/>
        </w:rPr>
        <w:t>pre, during and be there post for the truth telling processes</w:t>
      </w:r>
      <w:r w:rsidR="001579C8" w:rsidRPr="00964464">
        <w:rPr>
          <w:rFonts w:ascii="Arial" w:eastAsia="Times New Roman" w:hAnsi="Arial" w:cs="Arial"/>
          <w:color w:val="000000"/>
          <w:sz w:val="20"/>
          <w:szCs w:val="20"/>
          <w:lang w:eastAsia="en-AU"/>
        </w:rPr>
        <w:t>. T</w:t>
      </w:r>
      <w:r w:rsidR="0034366C" w:rsidRPr="00964464">
        <w:rPr>
          <w:rFonts w:ascii="Arial" w:eastAsia="Times New Roman" w:hAnsi="Arial" w:cs="Arial"/>
          <w:color w:val="000000"/>
          <w:sz w:val="20"/>
          <w:szCs w:val="20"/>
          <w:lang w:eastAsia="en-AU"/>
        </w:rPr>
        <w:t xml:space="preserve">o support people to get ready for that, to voluntary participate in that if they wish, support through the process and then post support in terms of any needs and issues that arise afterwards. </w:t>
      </w:r>
      <w:r w:rsidR="001579C8" w:rsidRPr="00964464">
        <w:rPr>
          <w:rFonts w:ascii="Arial" w:eastAsia="Times New Roman" w:hAnsi="Arial" w:cs="Arial"/>
          <w:color w:val="000000"/>
          <w:sz w:val="20"/>
          <w:szCs w:val="20"/>
          <w:lang w:eastAsia="en-AU"/>
        </w:rPr>
        <w:t xml:space="preserve">.. </w:t>
      </w:r>
      <w:r w:rsidR="0034366C" w:rsidRPr="00964464">
        <w:rPr>
          <w:rFonts w:ascii="Arial" w:eastAsia="Times New Roman" w:hAnsi="Arial" w:cs="Arial"/>
          <w:color w:val="000000"/>
          <w:sz w:val="20"/>
          <w:szCs w:val="20"/>
          <w:lang w:eastAsia="en-AU"/>
        </w:rPr>
        <w:t>It’s a key part</w:t>
      </w:r>
      <w:r w:rsidR="001579C8" w:rsidRPr="00964464">
        <w:rPr>
          <w:rFonts w:ascii="Arial" w:eastAsia="Times New Roman" w:hAnsi="Arial" w:cs="Arial"/>
          <w:color w:val="000000"/>
          <w:sz w:val="20"/>
          <w:szCs w:val="20"/>
          <w:lang w:eastAsia="en-AU"/>
        </w:rPr>
        <w:t xml:space="preserve"> of our planning</w:t>
      </w:r>
      <w:r w:rsidR="0034366C" w:rsidRPr="00964464">
        <w:rPr>
          <w:rFonts w:ascii="Arial" w:eastAsia="Times New Roman" w:hAnsi="Arial" w:cs="Arial"/>
          <w:color w:val="000000"/>
          <w:sz w:val="20"/>
          <w:szCs w:val="20"/>
          <w:lang w:eastAsia="en-AU"/>
        </w:rPr>
        <w:t xml:space="preserve"> </w:t>
      </w:r>
      <w:r w:rsidR="001579C8" w:rsidRPr="00964464">
        <w:rPr>
          <w:rFonts w:ascii="Arial" w:eastAsia="Times New Roman" w:hAnsi="Arial" w:cs="Arial"/>
          <w:color w:val="000000"/>
          <w:sz w:val="20"/>
          <w:szCs w:val="20"/>
          <w:lang w:eastAsia="en-AU"/>
        </w:rPr>
        <w:t xml:space="preserve">around </w:t>
      </w:r>
      <w:r w:rsidR="0034366C" w:rsidRPr="00964464">
        <w:rPr>
          <w:rFonts w:ascii="Arial" w:eastAsia="Times New Roman" w:hAnsi="Arial" w:cs="Arial"/>
          <w:color w:val="000000"/>
          <w:sz w:val="20"/>
          <w:szCs w:val="20"/>
          <w:lang w:eastAsia="en-AU"/>
        </w:rPr>
        <w:t>operationalising the bill to make sure that’s in place and certainly a guiding principle is that we will be approaching this from a healing and trauma-informed approach.</w:t>
      </w:r>
      <w:r w:rsidR="00C85EAD">
        <w:rPr>
          <w:rStyle w:val="FootnoteReference"/>
          <w:rFonts w:ascii="Arial" w:eastAsia="Times New Roman" w:hAnsi="Arial" w:cs="Arial"/>
          <w:color w:val="000000"/>
          <w:sz w:val="20"/>
          <w:szCs w:val="20"/>
          <w:lang w:eastAsia="en-AU"/>
        </w:rPr>
        <w:footnoteReference w:id="12"/>
      </w:r>
    </w:p>
    <w:p w14:paraId="7D4E4318" w14:textId="7C5641AC" w:rsidR="00432B8D" w:rsidRPr="007957FB" w:rsidRDefault="001579C8" w:rsidP="003647CE">
      <w:pPr>
        <w:spacing w:before="120" w:after="240" w:line="240" w:lineRule="auto"/>
        <w:rPr>
          <w:rFonts w:ascii="Arial" w:eastAsia="Times New Roman" w:hAnsi="Arial" w:cs="Arial"/>
          <w:color w:val="000000"/>
          <w:lang w:eastAsia="en-AU"/>
        </w:rPr>
      </w:pPr>
      <w:r w:rsidRPr="007957FB">
        <w:rPr>
          <w:rFonts w:ascii="Arial" w:eastAsia="Times New Roman" w:hAnsi="Arial" w:cs="Arial"/>
          <w:color w:val="000000"/>
          <w:lang w:eastAsia="en-AU"/>
        </w:rPr>
        <w:lastRenderedPageBreak/>
        <w:t>The Commission highlights the need to ensure professional</w:t>
      </w:r>
      <w:r w:rsidR="00D74A39" w:rsidRPr="007957FB">
        <w:rPr>
          <w:rFonts w:ascii="Arial" w:eastAsia="Times New Roman" w:hAnsi="Arial" w:cs="Arial"/>
          <w:color w:val="000000"/>
          <w:lang w:eastAsia="en-AU"/>
        </w:rPr>
        <w:t>,</w:t>
      </w:r>
      <w:r w:rsidRPr="007957FB">
        <w:rPr>
          <w:rFonts w:ascii="Arial" w:eastAsia="Times New Roman" w:hAnsi="Arial" w:cs="Arial"/>
          <w:color w:val="000000"/>
          <w:lang w:eastAsia="en-AU"/>
        </w:rPr>
        <w:t xml:space="preserve"> </w:t>
      </w:r>
      <w:r w:rsidR="00D74A39" w:rsidRPr="007957FB">
        <w:rPr>
          <w:rFonts w:ascii="Arial" w:eastAsia="Times New Roman" w:hAnsi="Arial" w:cs="Arial"/>
          <w:color w:val="000000"/>
          <w:lang w:eastAsia="en-AU"/>
        </w:rPr>
        <w:t xml:space="preserve">culturally appropriate, </w:t>
      </w:r>
      <w:r w:rsidR="00B15A57" w:rsidRPr="007957FB">
        <w:rPr>
          <w:rFonts w:ascii="Arial" w:eastAsia="Times New Roman" w:hAnsi="Arial" w:cs="Arial"/>
          <w:color w:val="000000"/>
          <w:lang w:eastAsia="en-AU"/>
        </w:rPr>
        <w:t>mental health</w:t>
      </w:r>
      <w:r w:rsidR="006F1061" w:rsidRPr="007957FB">
        <w:rPr>
          <w:rFonts w:ascii="Arial" w:eastAsia="Times New Roman" w:hAnsi="Arial" w:cs="Arial"/>
          <w:color w:val="000000"/>
          <w:lang w:eastAsia="en-AU"/>
        </w:rPr>
        <w:t xml:space="preserve"> </w:t>
      </w:r>
      <w:r w:rsidRPr="007957FB">
        <w:rPr>
          <w:rFonts w:ascii="Arial" w:eastAsia="Times New Roman" w:hAnsi="Arial" w:cs="Arial"/>
          <w:color w:val="000000"/>
          <w:lang w:eastAsia="en-AU"/>
        </w:rPr>
        <w:t xml:space="preserve">support is available </w:t>
      </w:r>
      <w:r w:rsidR="00B15A57" w:rsidRPr="007957FB">
        <w:rPr>
          <w:rFonts w:ascii="Arial" w:eastAsia="Times New Roman" w:hAnsi="Arial" w:cs="Arial"/>
          <w:color w:val="000000"/>
          <w:lang w:eastAsia="en-AU"/>
        </w:rPr>
        <w:t xml:space="preserve">for people giving testimony or making a submission, before, during and after </w:t>
      </w:r>
      <w:r w:rsidR="00942565">
        <w:rPr>
          <w:rFonts w:ascii="Arial" w:eastAsia="Times New Roman" w:hAnsi="Arial" w:cs="Arial"/>
          <w:color w:val="000000"/>
          <w:lang w:eastAsia="en-AU"/>
        </w:rPr>
        <w:t>a</w:t>
      </w:r>
      <w:r w:rsidR="00B15A57" w:rsidRPr="007957FB">
        <w:rPr>
          <w:rFonts w:ascii="Arial" w:eastAsia="Times New Roman" w:hAnsi="Arial" w:cs="Arial"/>
          <w:color w:val="000000"/>
          <w:lang w:eastAsia="en-AU"/>
        </w:rPr>
        <w:t xml:space="preserve"> truth-telling session or hearing.</w:t>
      </w:r>
    </w:p>
    <w:p w14:paraId="7ED589D5" w14:textId="63968B15" w:rsidR="00B15A57" w:rsidRPr="007957FB" w:rsidRDefault="00D74A39" w:rsidP="003647CE">
      <w:pPr>
        <w:spacing w:before="120" w:after="240" w:line="240" w:lineRule="auto"/>
        <w:rPr>
          <w:rFonts w:ascii="Arial" w:eastAsia="Times New Roman" w:hAnsi="Arial" w:cs="Arial"/>
          <w:color w:val="000000"/>
          <w:lang w:eastAsia="en-AU"/>
        </w:rPr>
      </w:pPr>
      <w:r w:rsidRPr="00C11BBF">
        <w:rPr>
          <w:rFonts w:ascii="Arial" w:eastAsia="Times New Roman" w:hAnsi="Arial" w:cs="Arial"/>
          <w:color w:val="000000"/>
          <w:lang w:eastAsia="en-AU"/>
        </w:rPr>
        <w:t>The Commission additionally recommends</w:t>
      </w:r>
      <w:r w:rsidR="00B15A57" w:rsidRPr="00C11BBF">
        <w:rPr>
          <w:rFonts w:ascii="Arial" w:eastAsia="Times New Roman" w:hAnsi="Arial" w:cs="Arial"/>
          <w:color w:val="000000"/>
          <w:lang w:eastAsia="en-AU"/>
        </w:rPr>
        <w:t xml:space="preserve"> adequately funded </w:t>
      </w:r>
      <w:r w:rsidR="00C11BBF" w:rsidRPr="00C11BBF">
        <w:rPr>
          <w:rFonts w:ascii="Arial" w:eastAsia="Times New Roman" w:hAnsi="Arial" w:cs="Arial"/>
          <w:color w:val="000000"/>
          <w:lang w:eastAsia="en-AU"/>
        </w:rPr>
        <w:t xml:space="preserve">independent </w:t>
      </w:r>
      <w:r w:rsidR="00B15A57" w:rsidRPr="00C11BBF">
        <w:rPr>
          <w:rFonts w:ascii="Arial" w:eastAsia="Times New Roman" w:hAnsi="Arial" w:cs="Arial"/>
          <w:color w:val="000000"/>
          <w:lang w:eastAsia="en-AU"/>
        </w:rPr>
        <w:t>advocacy</w:t>
      </w:r>
      <w:r w:rsidR="00C87275" w:rsidRPr="00C11BBF">
        <w:rPr>
          <w:rFonts w:ascii="Arial" w:eastAsia="Times New Roman" w:hAnsi="Arial" w:cs="Arial"/>
          <w:color w:val="000000"/>
          <w:lang w:eastAsia="en-AU"/>
        </w:rPr>
        <w:t xml:space="preserve"> services</w:t>
      </w:r>
      <w:r w:rsidR="00B15A57" w:rsidRPr="00C11BBF">
        <w:rPr>
          <w:rFonts w:ascii="Arial" w:eastAsia="Times New Roman" w:hAnsi="Arial" w:cs="Arial"/>
          <w:color w:val="000000"/>
          <w:lang w:eastAsia="en-AU"/>
        </w:rPr>
        <w:t xml:space="preserve"> for </w:t>
      </w:r>
      <w:r w:rsidR="00C11BBF">
        <w:rPr>
          <w:rFonts w:ascii="Arial" w:eastAsia="Times New Roman" w:hAnsi="Arial" w:cs="Arial"/>
          <w:color w:val="000000"/>
          <w:lang w:eastAsia="en-AU"/>
        </w:rPr>
        <w:t xml:space="preserve">individuals </w:t>
      </w:r>
      <w:r w:rsidR="00C87275" w:rsidRPr="00C11BBF">
        <w:rPr>
          <w:rFonts w:ascii="Arial" w:eastAsia="Times New Roman" w:hAnsi="Arial" w:cs="Arial"/>
          <w:color w:val="000000"/>
          <w:lang w:eastAsia="en-AU"/>
        </w:rPr>
        <w:t>wishing to participate in truth telling</w:t>
      </w:r>
      <w:r w:rsidR="001226A8">
        <w:rPr>
          <w:rFonts w:ascii="Arial" w:eastAsia="Times New Roman" w:hAnsi="Arial" w:cs="Arial"/>
          <w:color w:val="000000"/>
          <w:lang w:eastAsia="en-AU"/>
        </w:rPr>
        <w:t xml:space="preserve">. </w:t>
      </w:r>
      <w:r w:rsidR="00FA6176">
        <w:rPr>
          <w:rFonts w:ascii="Arial" w:eastAsia="Times New Roman" w:hAnsi="Arial" w:cs="Arial"/>
          <w:color w:val="000000"/>
          <w:lang w:eastAsia="en-AU"/>
        </w:rPr>
        <w:t xml:space="preserve">Advocacy </w:t>
      </w:r>
      <w:r w:rsidR="007A3519">
        <w:rPr>
          <w:rFonts w:ascii="Arial" w:eastAsia="Times New Roman" w:hAnsi="Arial" w:cs="Arial"/>
          <w:color w:val="000000"/>
          <w:lang w:eastAsia="en-AU"/>
        </w:rPr>
        <w:t>is</w:t>
      </w:r>
      <w:r w:rsidR="00FA6176">
        <w:rPr>
          <w:rFonts w:ascii="Arial" w:eastAsia="Times New Roman" w:hAnsi="Arial" w:cs="Arial"/>
          <w:color w:val="000000"/>
          <w:lang w:eastAsia="en-AU"/>
        </w:rPr>
        <w:t xml:space="preserve"> essential </w:t>
      </w:r>
      <w:r w:rsidR="00F73B26">
        <w:rPr>
          <w:rFonts w:ascii="Arial" w:eastAsia="Times New Roman" w:hAnsi="Arial" w:cs="Arial"/>
          <w:color w:val="000000"/>
          <w:lang w:eastAsia="en-AU"/>
        </w:rPr>
        <w:t>for some participants, especially those who are vulnerable, to</w:t>
      </w:r>
      <w:r w:rsidR="00FA6176">
        <w:rPr>
          <w:rFonts w:ascii="Arial" w:eastAsia="Times New Roman" w:hAnsi="Arial" w:cs="Arial"/>
          <w:color w:val="000000"/>
          <w:lang w:eastAsia="en-AU"/>
        </w:rPr>
        <w:t xml:space="preserve"> have a voice in the process. </w:t>
      </w:r>
      <w:r w:rsidR="001226A8">
        <w:rPr>
          <w:rFonts w:ascii="Arial" w:eastAsia="Times New Roman" w:hAnsi="Arial" w:cs="Arial"/>
          <w:color w:val="000000"/>
          <w:lang w:eastAsia="en-AU"/>
        </w:rPr>
        <w:t>The government should not</w:t>
      </w:r>
      <w:r w:rsidR="00030DAD">
        <w:rPr>
          <w:rFonts w:ascii="Arial" w:eastAsia="Times New Roman" w:hAnsi="Arial" w:cs="Arial"/>
          <w:color w:val="000000"/>
          <w:lang w:eastAsia="en-AU"/>
        </w:rPr>
        <w:t xml:space="preserve"> </w:t>
      </w:r>
      <w:r w:rsidR="001226A8">
        <w:rPr>
          <w:rFonts w:ascii="Arial" w:eastAsia="Times New Roman" w:hAnsi="Arial" w:cs="Arial"/>
          <w:color w:val="000000"/>
          <w:lang w:eastAsia="en-AU"/>
        </w:rPr>
        <w:t>seek to rely</w:t>
      </w:r>
      <w:r w:rsidR="00C87275" w:rsidRPr="00C11BBF">
        <w:rPr>
          <w:rFonts w:ascii="Arial" w:eastAsia="Times New Roman" w:hAnsi="Arial" w:cs="Arial"/>
          <w:color w:val="000000"/>
          <w:lang w:eastAsia="en-AU"/>
        </w:rPr>
        <w:t xml:space="preserve"> on the existing resources of First Nations non-government agencies</w:t>
      </w:r>
      <w:r w:rsidR="001226A8">
        <w:rPr>
          <w:rFonts w:ascii="Arial" w:eastAsia="Times New Roman" w:hAnsi="Arial" w:cs="Arial"/>
          <w:color w:val="000000"/>
          <w:lang w:eastAsia="en-AU"/>
        </w:rPr>
        <w:t xml:space="preserve"> or the many unpaid volunteers </w:t>
      </w:r>
      <w:r w:rsidR="00FA6176">
        <w:rPr>
          <w:rFonts w:ascii="Arial" w:eastAsia="Times New Roman" w:hAnsi="Arial" w:cs="Arial"/>
          <w:color w:val="000000"/>
          <w:lang w:eastAsia="en-AU"/>
        </w:rPr>
        <w:t>working for their communities.</w:t>
      </w:r>
    </w:p>
    <w:p w14:paraId="771CCAE2" w14:textId="5B1F1855" w:rsidR="00C87275" w:rsidRPr="007957FB" w:rsidRDefault="00C87275" w:rsidP="003647CE">
      <w:pPr>
        <w:spacing w:before="120" w:after="240" w:line="240" w:lineRule="auto"/>
        <w:rPr>
          <w:rFonts w:ascii="Arial" w:hAnsi="Arial" w:cs="Arial"/>
        </w:rPr>
      </w:pPr>
      <w:r w:rsidRPr="007957FB">
        <w:rPr>
          <w:rFonts w:ascii="Arial" w:eastAsia="Times New Roman" w:hAnsi="Arial" w:cs="Arial"/>
          <w:color w:val="000000"/>
          <w:lang w:eastAsia="en-AU"/>
        </w:rPr>
        <w:t xml:space="preserve">While these are largely matters for operationalisation, consideration could be given to strengthening the wording of the Bill to give these matters priority. For example, the </w:t>
      </w:r>
      <w:proofErr w:type="spellStart"/>
      <w:r w:rsidRPr="007957FB">
        <w:rPr>
          <w:rFonts w:ascii="Arial" w:eastAsia="Times New Roman" w:hAnsi="Arial" w:cs="Arial"/>
          <w:color w:val="000000"/>
          <w:lang w:eastAsia="en-AU"/>
        </w:rPr>
        <w:t>Yoorrook</w:t>
      </w:r>
      <w:proofErr w:type="spellEnd"/>
      <w:r w:rsidRPr="007957FB">
        <w:rPr>
          <w:rFonts w:ascii="Arial" w:eastAsia="Times New Roman" w:hAnsi="Arial" w:cs="Arial"/>
          <w:color w:val="000000"/>
          <w:lang w:eastAsia="en-AU"/>
        </w:rPr>
        <w:t xml:space="preserve"> Justice Commission, set up under letters patent directs the Commission </w:t>
      </w:r>
      <w:r w:rsidRPr="007957FB">
        <w:rPr>
          <w:rFonts w:ascii="Arial" w:hAnsi="Arial" w:cs="Arial"/>
        </w:rPr>
        <w:t>to ‘adopt practices and approaches to minimise harm and re-traumatisation for First Peoples’.</w:t>
      </w:r>
      <w:r w:rsidR="006F1061" w:rsidRPr="007957FB">
        <w:rPr>
          <w:rStyle w:val="FootnoteReference"/>
          <w:rFonts w:ascii="Arial" w:hAnsi="Arial" w:cs="Arial"/>
        </w:rPr>
        <w:footnoteReference w:id="13"/>
      </w:r>
    </w:p>
    <w:p w14:paraId="7C35D8CB" w14:textId="4E8DC129" w:rsidR="00D74A39" w:rsidRPr="007957FB" w:rsidRDefault="00D74A39" w:rsidP="009E4AFB">
      <w:pPr>
        <w:pStyle w:val="Heading1"/>
        <w:rPr>
          <w:rFonts w:eastAsia="Times New Roman"/>
          <w:lang w:eastAsia="en-AU"/>
        </w:rPr>
      </w:pPr>
      <w:r w:rsidRPr="007957FB">
        <w:rPr>
          <w:rFonts w:eastAsia="Times New Roman"/>
          <w:lang w:eastAsia="en-AU"/>
        </w:rPr>
        <w:t xml:space="preserve">Powers to </w:t>
      </w:r>
      <w:r w:rsidR="00A87E72" w:rsidRPr="007957FB">
        <w:rPr>
          <w:rFonts w:eastAsia="Times New Roman"/>
          <w:lang w:eastAsia="en-AU"/>
        </w:rPr>
        <w:t xml:space="preserve">require production and attendance </w:t>
      </w:r>
    </w:p>
    <w:p w14:paraId="13AB39C6" w14:textId="04541C3E" w:rsidR="00C87275" w:rsidRPr="007957FB" w:rsidRDefault="00874208" w:rsidP="003647CE">
      <w:pPr>
        <w:spacing w:before="120" w:after="240" w:line="240" w:lineRule="auto"/>
        <w:rPr>
          <w:rFonts w:ascii="Arial" w:eastAsia="Times New Roman" w:hAnsi="Arial" w:cs="Arial"/>
          <w:color w:val="000000"/>
          <w:lang w:eastAsia="en-AU"/>
        </w:rPr>
      </w:pPr>
      <w:r w:rsidRPr="007957FB">
        <w:rPr>
          <w:rFonts w:ascii="Arial" w:eastAsia="Times New Roman" w:hAnsi="Arial" w:cs="Arial"/>
          <w:color w:val="000000"/>
          <w:lang w:eastAsia="en-AU"/>
        </w:rPr>
        <w:t>The Inquiry model proposed intends to encourage voluntary participation and sharing of histories from both Aboriginal and Torres Strait Islander peoples and non-Indigenous Queenslanders.</w:t>
      </w:r>
      <w:r w:rsidRPr="007957FB">
        <w:rPr>
          <w:rStyle w:val="FootnoteReference"/>
          <w:rFonts w:ascii="Arial" w:eastAsia="Times New Roman" w:hAnsi="Arial" w:cs="Arial"/>
          <w:color w:val="000000"/>
          <w:lang w:eastAsia="en-AU"/>
        </w:rPr>
        <w:footnoteReference w:id="14"/>
      </w:r>
    </w:p>
    <w:p w14:paraId="29218040" w14:textId="417C2803" w:rsidR="00B831AD" w:rsidRPr="007957FB" w:rsidRDefault="00B831AD" w:rsidP="00B831AD">
      <w:pPr>
        <w:spacing w:before="120" w:after="240" w:line="240" w:lineRule="auto"/>
        <w:rPr>
          <w:rFonts w:ascii="Arial" w:eastAsia="Times New Roman" w:hAnsi="Arial" w:cs="Arial"/>
          <w:color w:val="000000"/>
          <w:lang w:eastAsia="en-AU"/>
        </w:rPr>
      </w:pPr>
      <w:r w:rsidRPr="007957FB">
        <w:rPr>
          <w:rFonts w:ascii="Arial" w:eastAsia="Times New Roman" w:hAnsi="Arial" w:cs="Arial"/>
          <w:color w:val="000000"/>
          <w:lang w:eastAsia="en-AU"/>
        </w:rPr>
        <w:t>For this reason, only government entities:</w:t>
      </w:r>
    </w:p>
    <w:p w14:paraId="5317D48E" w14:textId="078B7382" w:rsidR="00B831AD" w:rsidRPr="007957FB" w:rsidRDefault="00B831AD" w:rsidP="00B831AD">
      <w:pPr>
        <w:pStyle w:val="ListParagraph"/>
        <w:numPr>
          <w:ilvl w:val="0"/>
          <w:numId w:val="3"/>
        </w:numPr>
        <w:spacing w:before="120" w:after="240" w:line="240" w:lineRule="auto"/>
        <w:rPr>
          <w:rFonts w:ascii="Arial" w:hAnsi="Arial" w:cs="Arial"/>
        </w:rPr>
      </w:pPr>
      <w:r w:rsidRPr="007957FB">
        <w:rPr>
          <w:rFonts w:ascii="Arial" w:hAnsi="Arial" w:cs="Arial"/>
        </w:rPr>
        <w:t>are unable to tell the Inquiry to not record a document or thing given during a truth telling session (clause 75(3)</w:t>
      </w:r>
      <w:r w:rsidR="002B62E6">
        <w:rPr>
          <w:rFonts w:ascii="Arial" w:hAnsi="Arial" w:cs="Arial"/>
        </w:rPr>
        <w:t>);</w:t>
      </w:r>
    </w:p>
    <w:p w14:paraId="458C5BD6" w14:textId="1EF06626" w:rsidR="00B831AD" w:rsidRPr="007957FB" w:rsidRDefault="00B831AD" w:rsidP="00B831AD">
      <w:pPr>
        <w:pStyle w:val="ListParagraph"/>
        <w:numPr>
          <w:ilvl w:val="0"/>
          <w:numId w:val="3"/>
        </w:numPr>
        <w:spacing w:before="120" w:after="240" w:line="240" w:lineRule="auto"/>
        <w:rPr>
          <w:rFonts w:ascii="Arial" w:hAnsi="Arial" w:cs="Arial"/>
        </w:rPr>
      </w:pPr>
      <w:r w:rsidRPr="007957FB">
        <w:rPr>
          <w:rFonts w:ascii="Arial" w:hAnsi="Arial" w:cs="Arial"/>
        </w:rPr>
        <w:t>are unable to give a document or thing subject to conditions (clause 80(6)</w:t>
      </w:r>
      <w:r w:rsidR="002B62E6">
        <w:rPr>
          <w:rFonts w:ascii="Arial" w:hAnsi="Arial" w:cs="Arial"/>
        </w:rPr>
        <w:t>);</w:t>
      </w:r>
    </w:p>
    <w:p w14:paraId="7CFCE3DB" w14:textId="6BF97613" w:rsidR="00B831AD" w:rsidRPr="007957FB" w:rsidRDefault="00A87E72" w:rsidP="00B831AD">
      <w:pPr>
        <w:pStyle w:val="ListParagraph"/>
        <w:numPr>
          <w:ilvl w:val="0"/>
          <w:numId w:val="3"/>
        </w:numPr>
        <w:spacing w:before="120" w:after="240" w:line="240" w:lineRule="auto"/>
        <w:rPr>
          <w:rFonts w:ascii="Arial" w:hAnsi="Arial" w:cs="Arial"/>
        </w:rPr>
      </w:pPr>
      <w:r w:rsidRPr="007957FB">
        <w:rPr>
          <w:rFonts w:ascii="Arial" w:hAnsi="Arial" w:cs="Arial"/>
        </w:rPr>
        <w:t>can be issued with a production notice to give a document or thing, or make a written submission to the Inquiry (clause 81)</w:t>
      </w:r>
      <w:r w:rsidR="002B62E6">
        <w:rPr>
          <w:rFonts w:ascii="Arial" w:hAnsi="Arial" w:cs="Arial"/>
        </w:rPr>
        <w:t>;</w:t>
      </w:r>
    </w:p>
    <w:p w14:paraId="717CCC19" w14:textId="2793A850" w:rsidR="00A87E72" w:rsidRPr="007957FB" w:rsidRDefault="00A87E72" w:rsidP="00B831AD">
      <w:pPr>
        <w:pStyle w:val="ListParagraph"/>
        <w:numPr>
          <w:ilvl w:val="0"/>
          <w:numId w:val="3"/>
        </w:numPr>
        <w:spacing w:before="120" w:after="240" w:line="240" w:lineRule="auto"/>
        <w:rPr>
          <w:rFonts w:ascii="Arial" w:hAnsi="Arial" w:cs="Arial"/>
        </w:rPr>
      </w:pPr>
      <w:r w:rsidRPr="007957FB">
        <w:rPr>
          <w:rFonts w:ascii="Arial" w:hAnsi="Arial" w:cs="Arial"/>
        </w:rPr>
        <w:t xml:space="preserve">can be issued with an attendance notice </w:t>
      </w:r>
      <w:r w:rsidR="009C190D" w:rsidRPr="007957FB">
        <w:rPr>
          <w:rFonts w:ascii="Arial" w:hAnsi="Arial" w:cs="Arial"/>
        </w:rPr>
        <w:t>to attend a truth-telling hearing (clause 85).</w:t>
      </w:r>
    </w:p>
    <w:p w14:paraId="5F3B8954" w14:textId="6D7709BF" w:rsidR="009C190D" w:rsidRPr="007957FB" w:rsidRDefault="009C190D" w:rsidP="009C190D">
      <w:pPr>
        <w:autoSpaceDE w:val="0"/>
        <w:autoSpaceDN w:val="0"/>
        <w:adjustRightInd w:val="0"/>
        <w:spacing w:after="0" w:line="240" w:lineRule="auto"/>
        <w:rPr>
          <w:rFonts w:ascii="Arial" w:hAnsi="Arial" w:cs="Arial"/>
        </w:rPr>
      </w:pPr>
      <w:r w:rsidRPr="007957FB">
        <w:rPr>
          <w:rFonts w:ascii="Arial" w:hAnsi="Arial" w:cs="Arial"/>
        </w:rPr>
        <w:t xml:space="preserve">Government entities are defined by the Bill by reference to section 276 of the </w:t>
      </w:r>
      <w:r w:rsidRPr="007957FB">
        <w:rPr>
          <w:rFonts w:ascii="Arial" w:hAnsi="Arial" w:cs="Arial"/>
          <w:i/>
          <w:iCs/>
        </w:rPr>
        <w:t>Public Sector Act 2022</w:t>
      </w:r>
      <w:r w:rsidRPr="007957FB">
        <w:rPr>
          <w:rFonts w:ascii="Arial" w:hAnsi="Arial" w:cs="Arial"/>
        </w:rPr>
        <w:t xml:space="preserve">. This does not include many entities and organisations </w:t>
      </w:r>
      <w:r w:rsidR="00897318">
        <w:rPr>
          <w:rFonts w:ascii="Arial" w:hAnsi="Arial" w:cs="Arial"/>
        </w:rPr>
        <w:t>which</w:t>
      </w:r>
      <w:r w:rsidR="00897318" w:rsidRPr="007957FB">
        <w:rPr>
          <w:rFonts w:ascii="Arial" w:hAnsi="Arial" w:cs="Arial"/>
        </w:rPr>
        <w:t xml:space="preserve"> </w:t>
      </w:r>
      <w:r w:rsidRPr="007957FB">
        <w:rPr>
          <w:rFonts w:ascii="Arial" w:hAnsi="Arial" w:cs="Arial"/>
        </w:rPr>
        <w:t xml:space="preserve">have had significant involvement in the histories and experiences of Queensland First Nations people, including local governments, the Queensland Police Service, </w:t>
      </w:r>
      <w:r w:rsidR="006F3518" w:rsidRPr="007957FB">
        <w:rPr>
          <w:rFonts w:ascii="Arial" w:hAnsi="Arial" w:cs="Arial"/>
        </w:rPr>
        <w:t xml:space="preserve">missionaries and other </w:t>
      </w:r>
      <w:r w:rsidR="00897318" w:rsidRPr="007957FB">
        <w:rPr>
          <w:rFonts w:ascii="Arial" w:hAnsi="Arial" w:cs="Arial"/>
        </w:rPr>
        <w:t>faith</w:t>
      </w:r>
      <w:r w:rsidR="00897318">
        <w:rPr>
          <w:rFonts w:ascii="Arial" w:hAnsi="Arial" w:cs="Arial"/>
        </w:rPr>
        <w:t>-</w:t>
      </w:r>
      <w:r w:rsidR="006F3518" w:rsidRPr="007957FB">
        <w:rPr>
          <w:rFonts w:ascii="Arial" w:hAnsi="Arial" w:cs="Arial"/>
        </w:rPr>
        <w:t xml:space="preserve">based </w:t>
      </w:r>
      <w:r w:rsidR="00897318">
        <w:rPr>
          <w:rFonts w:ascii="Arial" w:hAnsi="Arial" w:cs="Arial"/>
        </w:rPr>
        <w:t>service providers</w:t>
      </w:r>
      <w:r w:rsidR="006F3518" w:rsidRPr="007957FB">
        <w:rPr>
          <w:rFonts w:ascii="Arial" w:hAnsi="Arial" w:cs="Arial"/>
        </w:rPr>
        <w:t xml:space="preserve">, and other organisations that </w:t>
      </w:r>
      <w:r w:rsidR="00897318">
        <w:rPr>
          <w:rFonts w:ascii="Arial" w:hAnsi="Arial" w:cs="Arial"/>
        </w:rPr>
        <w:t xml:space="preserve">act or have acted </w:t>
      </w:r>
      <w:r w:rsidR="006F3518" w:rsidRPr="007957FB">
        <w:rPr>
          <w:rFonts w:ascii="Arial" w:hAnsi="Arial" w:cs="Arial"/>
        </w:rPr>
        <w:t xml:space="preserve">on behalf of the State. </w:t>
      </w:r>
    </w:p>
    <w:p w14:paraId="1AE57007" w14:textId="4571EAA9" w:rsidR="00A87E72" w:rsidRPr="007957FB" w:rsidRDefault="006F3518" w:rsidP="009C190D">
      <w:pPr>
        <w:spacing w:before="120" w:after="240" w:line="240" w:lineRule="auto"/>
        <w:rPr>
          <w:rFonts w:ascii="Arial" w:hAnsi="Arial" w:cs="Arial"/>
        </w:rPr>
      </w:pPr>
      <w:r w:rsidRPr="007957FB">
        <w:rPr>
          <w:rFonts w:ascii="Arial" w:hAnsi="Arial" w:cs="Arial"/>
        </w:rPr>
        <w:t>An important purpose of truth telling is healing and reconciliation</w:t>
      </w:r>
      <w:r w:rsidR="00027198">
        <w:rPr>
          <w:rFonts w:ascii="Arial" w:hAnsi="Arial" w:cs="Arial"/>
        </w:rPr>
        <w:t>, which must be a two-</w:t>
      </w:r>
      <w:r w:rsidR="00795472">
        <w:rPr>
          <w:rFonts w:ascii="Arial" w:hAnsi="Arial" w:cs="Arial"/>
        </w:rPr>
        <w:t>way</w:t>
      </w:r>
      <w:r w:rsidR="00027198">
        <w:rPr>
          <w:rFonts w:ascii="Arial" w:hAnsi="Arial" w:cs="Arial"/>
        </w:rPr>
        <w:t xml:space="preserve"> conversation</w:t>
      </w:r>
      <w:r w:rsidRPr="007957FB">
        <w:rPr>
          <w:rFonts w:ascii="Arial" w:hAnsi="Arial" w:cs="Arial"/>
        </w:rPr>
        <w:t xml:space="preserve">. </w:t>
      </w:r>
      <w:r w:rsidR="00A56F70" w:rsidRPr="007957FB">
        <w:rPr>
          <w:rFonts w:ascii="Arial" w:hAnsi="Arial" w:cs="Arial"/>
        </w:rPr>
        <w:t>T</w:t>
      </w:r>
      <w:r w:rsidRPr="007957FB">
        <w:rPr>
          <w:rFonts w:ascii="Arial" w:hAnsi="Arial" w:cs="Arial"/>
        </w:rPr>
        <w:t xml:space="preserve">ruth and healing </w:t>
      </w:r>
      <w:r w:rsidR="00A56F70" w:rsidRPr="007957FB">
        <w:rPr>
          <w:rFonts w:ascii="Arial" w:hAnsi="Arial" w:cs="Arial"/>
        </w:rPr>
        <w:t xml:space="preserve">can </w:t>
      </w:r>
      <w:r w:rsidRPr="007957FB">
        <w:rPr>
          <w:rFonts w:ascii="Arial" w:hAnsi="Arial" w:cs="Arial"/>
        </w:rPr>
        <w:t xml:space="preserve">only be achieved </w:t>
      </w:r>
      <w:r w:rsidR="002F0754" w:rsidRPr="007957FB">
        <w:rPr>
          <w:rFonts w:ascii="Arial" w:hAnsi="Arial" w:cs="Arial"/>
        </w:rPr>
        <w:t xml:space="preserve">by hearing from </w:t>
      </w:r>
      <w:r w:rsidRPr="007957FB">
        <w:rPr>
          <w:rFonts w:ascii="Arial" w:hAnsi="Arial" w:cs="Arial"/>
        </w:rPr>
        <w:t>perpetrators</w:t>
      </w:r>
      <w:r w:rsidR="00A56F70" w:rsidRPr="007957FB">
        <w:rPr>
          <w:rFonts w:ascii="Arial" w:hAnsi="Arial" w:cs="Arial"/>
        </w:rPr>
        <w:t xml:space="preserve"> and non-Indigenous perspectives, </w:t>
      </w:r>
      <w:r w:rsidR="002F0754" w:rsidRPr="007957FB">
        <w:rPr>
          <w:rFonts w:ascii="Arial" w:hAnsi="Arial" w:cs="Arial"/>
        </w:rPr>
        <w:t xml:space="preserve">so that </w:t>
      </w:r>
      <w:r w:rsidR="00A56F70" w:rsidRPr="007957FB">
        <w:rPr>
          <w:rFonts w:ascii="Arial" w:hAnsi="Arial" w:cs="Arial"/>
        </w:rPr>
        <w:t>all sides are listened to.</w:t>
      </w:r>
      <w:r w:rsidR="002F0754" w:rsidRPr="007957FB">
        <w:rPr>
          <w:rFonts w:ascii="Arial" w:hAnsi="Arial" w:cs="Arial"/>
        </w:rPr>
        <w:t xml:space="preserve"> </w:t>
      </w:r>
      <w:r w:rsidR="003F0BAF" w:rsidRPr="007957FB">
        <w:rPr>
          <w:rFonts w:ascii="Arial" w:hAnsi="Arial" w:cs="Arial"/>
        </w:rPr>
        <w:t>G</w:t>
      </w:r>
      <w:r w:rsidR="002F0754" w:rsidRPr="007957FB">
        <w:rPr>
          <w:rFonts w:ascii="Arial" w:hAnsi="Arial" w:cs="Arial"/>
        </w:rPr>
        <w:t xml:space="preserve">iven the purposes of the Inquiry, it </w:t>
      </w:r>
      <w:r w:rsidR="00030DAD">
        <w:rPr>
          <w:rFonts w:ascii="Arial" w:hAnsi="Arial" w:cs="Arial"/>
        </w:rPr>
        <w:t xml:space="preserve">may </w:t>
      </w:r>
      <w:r w:rsidR="002F0754" w:rsidRPr="007957FB">
        <w:rPr>
          <w:rFonts w:ascii="Arial" w:hAnsi="Arial" w:cs="Arial"/>
        </w:rPr>
        <w:t>be incompatible with cultural rights of Aboriginal peoples and Torres Strait Islander peoples</w:t>
      </w:r>
      <w:r w:rsidR="00C55C63">
        <w:rPr>
          <w:rFonts w:ascii="Arial" w:hAnsi="Arial" w:cs="Arial"/>
        </w:rPr>
        <w:t>,</w:t>
      </w:r>
      <w:r w:rsidR="002F0754" w:rsidRPr="007957FB">
        <w:rPr>
          <w:rFonts w:ascii="Arial" w:hAnsi="Arial" w:cs="Arial"/>
        </w:rPr>
        <w:t xml:space="preserve"> </w:t>
      </w:r>
      <w:r w:rsidR="003F0BAF" w:rsidRPr="007957FB">
        <w:rPr>
          <w:rFonts w:ascii="Arial" w:hAnsi="Arial" w:cs="Arial"/>
        </w:rPr>
        <w:t xml:space="preserve">the right </w:t>
      </w:r>
      <w:r w:rsidR="002F0754" w:rsidRPr="007957FB">
        <w:rPr>
          <w:rFonts w:ascii="Arial" w:hAnsi="Arial" w:cs="Arial"/>
        </w:rPr>
        <w:t>to recognition and equality before the law</w:t>
      </w:r>
      <w:r w:rsidR="00C55C63">
        <w:rPr>
          <w:rFonts w:ascii="Arial" w:hAnsi="Arial" w:cs="Arial"/>
        </w:rPr>
        <w:t>, and the right to freedom of expression</w:t>
      </w:r>
      <w:r w:rsidR="002F0754" w:rsidRPr="007957FB">
        <w:rPr>
          <w:rFonts w:ascii="Arial" w:hAnsi="Arial" w:cs="Arial"/>
        </w:rPr>
        <w:t xml:space="preserve"> if a public entity refuse</w:t>
      </w:r>
      <w:r w:rsidR="002B62E6">
        <w:rPr>
          <w:rFonts w:ascii="Arial" w:hAnsi="Arial" w:cs="Arial"/>
        </w:rPr>
        <w:t>s</w:t>
      </w:r>
      <w:r w:rsidR="002F0754" w:rsidRPr="007957FB">
        <w:rPr>
          <w:rFonts w:ascii="Arial" w:hAnsi="Arial" w:cs="Arial"/>
        </w:rPr>
        <w:t xml:space="preserve"> to engage with the Inquiry</w:t>
      </w:r>
      <w:r w:rsidR="003F0BAF" w:rsidRPr="007957FB">
        <w:rPr>
          <w:rFonts w:ascii="Arial" w:hAnsi="Arial" w:cs="Arial"/>
        </w:rPr>
        <w:t>,</w:t>
      </w:r>
      <w:r w:rsidR="002F0754" w:rsidRPr="007957FB">
        <w:rPr>
          <w:rFonts w:ascii="Arial" w:hAnsi="Arial" w:cs="Arial"/>
        </w:rPr>
        <w:t xml:space="preserve"> unless it could demonstrably justify its reasons for not doing so. </w:t>
      </w:r>
    </w:p>
    <w:p w14:paraId="3A891826" w14:textId="569D49E8" w:rsidR="00A56F70" w:rsidRPr="007957FB" w:rsidRDefault="00A56F70" w:rsidP="009C190D">
      <w:pPr>
        <w:spacing w:before="120" w:after="240" w:line="240" w:lineRule="auto"/>
        <w:rPr>
          <w:rFonts w:ascii="Arial" w:hAnsi="Arial" w:cs="Arial"/>
        </w:rPr>
      </w:pPr>
      <w:r w:rsidRPr="007957FB">
        <w:rPr>
          <w:rFonts w:ascii="Arial" w:hAnsi="Arial" w:cs="Arial"/>
        </w:rPr>
        <w:t xml:space="preserve">While the Inquiry </w:t>
      </w:r>
      <w:r w:rsidR="002F0754" w:rsidRPr="007957FB">
        <w:rPr>
          <w:rFonts w:ascii="Arial" w:hAnsi="Arial" w:cs="Arial"/>
        </w:rPr>
        <w:t>may primarily rely on voluntary participation</w:t>
      </w:r>
      <w:r w:rsidR="00E434E3">
        <w:rPr>
          <w:rFonts w:ascii="Arial" w:hAnsi="Arial" w:cs="Arial"/>
        </w:rPr>
        <w:t xml:space="preserve"> in practice</w:t>
      </w:r>
      <w:r w:rsidR="002F0754" w:rsidRPr="007957FB">
        <w:rPr>
          <w:rFonts w:ascii="Arial" w:hAnsi="Arial" w:cs="Arial"/>
        </w:rPr>
        <w:t xml:space="preserve">, the Commission recommends that there </w:t>
      </w:r>
      <w:r w:rsidR="00C55C63">
        <w:rPr>
          <w:rFonts w:ascii="Arial" w:hAnsi="Arial" w:cs="Arial"/>
        </w:rPr>
        <w:t xml:space="preserve">still be </w:t>
      </w:r>
      <w:r w:rsidR="002F0754" w:rsidRPr="007957FB">
        <w:rPr>
          <w:rFonts w:ascii="Arial" w:hAnsi="Arial" w:cs="Arial"/>
        </w:rPr>
        <w:t xml:space="preserve">powers of compulsion where the Inquiry deems it appropriate to meet the functions and goal of the Inquiry. </w:t>
      </w:r>
      <w:r w:rsidR="00785FDB">
        <w:rPr>
          <w:rFonts w:ascii="Arial" w:hAnsi="Arial" w:cs="Arial"/>
        </w:rPr>
        <w:t xml:space="preserve">For example, the Inquiry may need to investigate the removal of children to dormitories under the control of a faith-based organisation and compel the production of information and records. </w:t>
      </w:r>
      <w:r w:rsidR="002F0754" w:rsidRPr="007957FB">
        <w:rPr>
          <w:rFonts w:ascii="Arial" w:hAnsi="Arial" w:cs="Arial"/>
        </w:rPr>
        <w:t xml:space="preserve">At present, the application of compulsion powers only to ‘government entities’ is too narrow. </w:t>
      </w:r>
      <w:r w:rsidR="00A04D63">
        <w:rPr>
          <w:rFonts w:ascii="Arial" w:hAnsi="Arial" w:cs="Arial"/>
        </w:rPr>
        <w:t xml:space="preserve">Not providing </w:t>
      </w:r>
      <w:r w:rsidR="00A04D63">
        <w:rPr>
          <w:rFonts w:ascii="Arial" w:hAnsi="Arial" w:cs="Arial"/>
        </w:rPr>
        <w:lastRenderedPageBreak/>
        <w:t xml:space="preserve">the Inquiry with </w:t>
      </w:r>
      <w:r w:rsidR="006225D5">
        <w:rPr>
          <w:rFonts w:ascii="Arial" w:hAnsi="Arial" w:cs="Arial"/>
        </w:rPr>
        <w:t>adequate</w:t>
      </w:r>
      <w:r w:rsidR="00A04D63">
        <w:rPr>
          <w:rFonts w:ascii="Arial" w:hAnsi="Arial" w:cs="Arial"/>
        </w:rPr>
        <w:t xml:space="preserve"> powers at the outset risks the effectiveness </w:t>
      </w:r>
      <w:r w:rsidR="00A278BA">
        <w:rPr>
          <w:rFonts w:ascii="Arial" w:hAnsi="Arial" w:cs="Arial"/>
        </w:rPr>
        <w:t xml:space="preserve">and cultural safety </w:t>
      </w:r>
      <w:r w:rsidR="00A04D63">
        <w:rPr>
          <w:rFonts w:ascii="Arial" w:hAnsi="Arial" w:cs="Arial"/>
        </w:rPr>
        <w:t>of the truth telling and healing process.</w:t>
      </w:r>
    </w:p>
    <w:p w14:paraId="7308DE0E" w14:textId="4C6C9147" w:rsidR="003F0BAF" w:rsidRPr="007957FB" w:rsidRDefault="003F0BAF" w:rsidP="009E4AFB">
      <w:pPr>
        <w:pStyle w:val="Heading1"/>
      </w:pPr>
      <w:r w:rsidRPr="007957FB">
        <w:t>Grounds to refuse compliance with production notices</w:t>
      </w:r>
    </w:p>
    <w:p w14:paraId="7F45CEBC" w14:textId="1FEED0A6" w:rsidR="003F0BAF" w:rsidRPr="007957FB" w:rsidRDefault="003F0BAF" w:rsidP="003F0BAF">
      <w:pPr>
        <w:autoSpaceDE w:val="0"/>
        <w:autoSpaceDN w:val="0"/>
        <w:adjustRightInd w:val="0"/>
        <w:spacing w:after="0" w:line="240" w:lineRule="auto"/>
        <w:rPr>
          <w:rFonts w:ascii="Arial" w:hAnsi="Arial" w:cs="Arial"/>
        </w:rPr>
      </w:pPr>
      <w:r w:rsidRPr="007957FB">
        <w:rPr>
          <w:rFonts w:ascii="Arial" w:hAnsi="Arial" w:cs="Arial"/>
        </w:rPr>
        <w:t>Clause 83 of the Bill sets out reasons a government entity can provide for not complying with a notice to produce a document or thing. This includes:</w:t>
      </w:r>
    </w:p>
    <w:p w14:paraId="3418EEDE" w14:textId="77777777" w:rsidR="003F0BAF" w:rsidRPr="007957FB" w:rsidRDefault="003F0BAF" w:rsidP="003F0BAF">
      <w:pPr>
        <w:autoSpaceDE w:val="0"/>
        <w:autoSpaceDN w:val="0"/>
        <w:adjustRightInd w:val="0"/>
        <w:spacing w:after="0" w:line="240" w:lineRule="auto"/>
        <w:rPr>
          <w:rFonts w:ascii="Arial" w:hAnsi="Arial" w:cs="Arial"/>
        </w:rPr>
      </w:pPr>
    </w:p>
    <w:p w14:paraId="3B909C21" w14:textId="4BE1D4C8" w:rsidR="003F0BAF" w:rsidRPr="003177EF" w:rsidRDefault="003F0BAF" w:rsidP="003F0BAF">
      <w:pPr>
        <w:autoSpaceDE w:val="0"/>
        <w:autoSpaceDN w:val="0"/>
        <w:adjustRightInd w:val="0"/>
        <w:spacing w:after="0" w:line="240" w:lineRule="auto"/>
        <w:ind w:left="720"/>
        <w:rPr>
          <w:rFonts w:ascii="Arial" w:hAnsi="Arial" w:cs="Arial"/>
          <w:sz w:val="20"/>
          <w:szCs w:val="20"/>
          <w:u w:val="single"/>
        </w:rPr>
      </w:pPr>
      <w:r w:rsidRPr="003177EF">
        <w:rPr>
          <w:rFonts w:ascii="Arial" w:hAnsi="Arial" w:cs="Arial"/>
          <w:sz w:val="20"/>
          <w:szCs w:val="20"/>
        </w:rPr>
        <w:t xml:space="preserve">(ii) the document or thing is, or contains, personal information and the person is not able to give the document or thing without disclosing the personal information; </w:t>
      </w:r>
    </w:p>
    <w:p w14:paraId="03B6D2A9" w14:textId="77777777" w:rsidR="003F0BAF" w:rsidRPr="007957FB" w:rsidRDefault="003F0BAF" w:rsidP="003F0BAF">
      <w:pPr>
        <w:autoSpaceDE w:val="0"/>
        <w:autoSpaceDN w:val="0"/>
        <w:adjustRightInd w:val="0"/>
        <w:spacing w:after="0" w:line="240" w:lineRule="auto"/>
        <w:rPr>
          <w:rFonts w:ascii="Arial" w:hAnsi="Arial" w:cs="Arial"/>
        </w:rPr>
      </w:pPr>
    </w:p>
    <w:p w14:paraId="557E6829" w14:textId="77841A48" w:rsidR="003F0BAF" w:rsidRPr="007957FB" w:rsidRDefault="003F0BAF" w:rsidP="003F0BAF">
      <w:pPr>
        <w:autoSpaceDE w:val="0"/>
        <w:autoSpaceDN w:val="0"/>
        <w:adjustRightInd w:val="0"/>
        <w:spacing w:after="0" w:line="240" w:lineRule="auto"/>
        <w:rPr>
          <w:rFonts w:ascii="Arial" w:hAnsi="Arial" w:cs="Arial"/>
        </w:rPr>
      </w:pPr>
      <w:r w:rsidRPr="007957FB">
        <w:rPr>
          <w:rFonts w:ascii="Arial" w:hAnsi="Arial" w:cs="Arial"/>
        </w:rPr>
        <w:t xml:space="preserve">If a government entity refuses to produce the document, they </w:t>
      </w:r>
      <w:r w:rsidR="003177EF">
        <w:rPr>
          <w:rFonts w:ascii="Arial" w:hAnsi="Arial" w:cs="Arial"/>
        </w:rPr>
        <w:t>can</w:t>
      </w:r>
      <w:r w:rsidRPr="007957FB">
        <w:rPr>
          <w:rFonts w:ascii="Arial" w:hAnsi="Arial" w:cs="Arial"/>
        </w:rPr>
        <w:t xml:space="preserve"> be required to attend a truth-telling hearing and </w:t>
      </w:r>
      <w:r w:rsidR="003177EF">
        <w:rPr>
          <w:rFonts w:ascii="Arial" w:hAnsi="Arial" w:cs="Arial"/>
        </w:rPr>
        <w:t>explain</w:t>
      </w:r>
      <w:r w:rsidRPr="007957FB">
        <w:rPr>
          <w:rFonts w:ascii="Arial" w:hAnsi="Arial" w:cs="Arial"/>
        </w:rPr>
        <w:t xml:space="preserve"> their reasons for not providing the information.</w:t>
      </w:r>
      <w:r w:rsidR="003177EF">
        <w:rPr>
          <w:rStyle w:val="FootnoteReference"/>
          <w:rFonts w:ascii="Arial" w:hAnsi="Arial" w:cs="Arial"/>
        </w:rPr>
        <w:footnoteReference w:id="15"/>
      </w:r>
      <w:r w:rsidRPr="007957FB">
        <w:rPr>
          <w:rFonts w:ascii="Arial" w:hAnsi="Arial" w:cs="Arial"/>
        </w:rPr>
        <w:t xml:space="preserve"> </w:t>
      </w:r>
    </w:p>
    <w:p w14:paraId="738390B1" w14:textId="77777777" w:rsidR="003F0BAF" w:rsidRPr="007957FB" w:rsidRDefault="003F0BAF" w:rsidP="003F0BAF">
      <w:pPr>
        <w:autoSpaceDE w:val="0"/>
        <w:autoSpaceDN w:val="0"/>
        <w:adjustRightInd w:val="0"/>
        <w:spacing w:after="0" w:line="240" w:lineRule="auto"/>
        <w:rPr>
          <w:rFonts w:ascii="Arial" w:hAnsi="Arial" w:cs="Arial"/>
        </w:rPr>
      </w:pPr>
    </w:p>
    <w:p w14:paraId="046D2D08" w14:textId="77777777" w:rsidR="003F0BAF" w:rsidRPr="007957FB" w:rsidRDefault="003F0BAF" w:rsidP="003F0BAF">
      <w:pPr>
        <w:autoSpaceDE w:val="0"/>
        <w:autoSpaceDN w:val="0"/>
        <w:adjustRightInd w:val="0"/>
        <w:spacing w:after="0" w:line="240" w:lineRule="auto"/>
        <w:rPr>
          <w:rFonts w:ascii="Arial" w:hAnsi="Arial" w:cs="Arial"/>
        </w:rPr>
      </w:pPr>
      <w:r w:rsidRPr="007957FB">
        <w:rPr>
          <w:rFonts w:ascii="Arial" w:hAnsi="Arial" w:cs="Arial"/>
        </w:rPr>
        <w:t xml:space="preserve">The definition of personal information takes its meaning from the </w:t>
      </w:r>
      <w:r w:rsidRPr="007957FB">
        <w:rPr>
          <w:rFonts w:ascii="Arial" w:hAnsi="Arial" w:cs="Arial"/>
          <w:i/>
          <w:iCs/>
        </w:rPr>
        <w:t>Information Privacy Act 2009</w:t>
      </w:r>
      <w:r w:rsidRPr="007957FB">
        <w:rPr>
          <w:rFonts w:ascii="Arial" w:hAnsi="Arial" w:cs="Arial"/>
        </w:rPr>
        <w:t>:</w:t>
      </w:r>
    </w:p>
    <w:p w14:paraId="6568E48C" w14:textId="0F171AD6" w:rsidR="003F0BAF" w:rsidRPr="007957FB" w:rsidRDefault="003F0BAF" w:rsidP="003F0BAF">
      <w:pPr>
        <w:autoSpaceDE w:val="0"/>
        <w:autoSpaceDN w:val="0"/>
        <w:adjustRightInd w:val="0"/>
        <w:spacing w:after="0" w:line="240" w:lineRule="auto"/>
        <w:rPr>
          <w:rFonts w:ascii="Arial" w:hAnsi="Arial" w:cs="Arial"/>
        </w:rPr>
      </w:pPr>
      <w:r w:rsidRPr="007957FB">
        <w:rPr>
          <w:rFonts w:ascii="Arial" w:hAnsi="Arial" w:cs="Arial"/>
        </w:rPr>
        <w:t xml:space="preserve"> </w:t>
      </w:r>
    </w:p>
    <w:p w14:paraId="0414B883" w14:textId="21F14547" w:rsidR="003F0BAF" w:rsidRPr="009E4AFB" w:rsidRDefault="003F0BAF" w:rsidP="009E4AFB">
      <w:pPr>
        <w:autoSpaceDE w:val="0"/>
        <w:autoSpaceDN w:val="0"/>
        <w:adjustRightInd w:val="0"/>
        <w:spacing w:after="240" w:line="240" w:lineRule="auto"/>
        <w:ind w:left="720"/>
        <w:rPr>
          <w:rFonts w:ascii="Arial" w:hAnsi="Arial" w:cs="Arial"/>
          <w:sz w:val="20"/>
          <w:szCs w:val="20"/>
        </w:rPr>
      </w:pPr>
      <w:r w:rsidRPr="009E4AFB">
        <w:rPr>
          <w:rFonts w:ascii="Arial" w:hAnsi="Arial" w:cs="Arial"/>
          <w:b/>
          <w:bCs/>
          <w:i/>
          <w:iCs/>
          <w:color w:val="000000"/>
          <w:sz w:val="20"/>
          <w:szCs w:val="20"/>
          <w:shd w:val="clear" w:color="auto" w:fill="FFFFFF"/>
        </w:rPr>
        <w:t>Personal information</w:t>
      </w:r>
      <w:r w:rsidRPr="009E4AFB">
        <w:rPr>
          <w:rFonts w:ascii="Arial" w:hAnsi="Arial" w:cs="Arial"/>
          <w:color w:val="000000"/>
          <w:sz w:val="20"/>
          <w:szCs w:val="20"/>
          <w:shd w:val="clear" w:color="auto" w:fill="FFFFFF"/>
        </w:rPr>
        <w:t> is information or an opinion, including information or an opinion forming part of a database, whether true or not, and whether recorded in a material form or not, about an individual whose identity is apparent, or can reasonably be ascertained, from the information or opinion.</w:t>
      </w:r>
      <w:r w:rsidR="003177EF">
        <w:rPr>
          <w:rStyle w:val="FootnoteReference"/>
          <w:rFonts w:ascii="Arial" w:hAnsi="Arial" w:cs="Arial"/>
          <w:color w:val="000000"/>
          <w:sz w:val="20"/>
          <w:szCs w:val="20"/>
          <w:shd w:val="clear" w:color="auto" w:fill="FFFFFF"/>
        </w:rPr>
        <w:footnoteReference w:id="16"/>
      </w:r>
    </w:p>
    <w:p w14:paraId="52BA512D" w14:textId="0ABDCC9E" w:rsidR="0059772E" w:rsidRDefault="003F0BAF" w:rsidP="003647CE">
      <w:pPr>
        <w:spacing w:before="120" w:after="240" w:line="240" w:lineRule="auto"/>
        <w:rPr>
          <w:rFonts w:ascii="Arial" w:eastAsia="Times New Roman" w:hAnsi="Arial" w:cs="Arial"/>
          <w:color w:val="000000"/>
          <w:lang w:eastAsia="en-AU"/>
        </w:rPr>
      </w:pPr>
      <w:r w:rsidRPr="007957FB">
        <w:rPr>
          <w:rFonts w:ascii="Arial" w:eastAsia="Times New Roman" w:hAnsi="Arial" w:cs="Arial"/>
          <w:color w:val="000000"/>
          <w:lang w:eastAsia="en-AU"/>
        </w:rPr>
        <w:t xml:space="preserve">In the Commission’s view, </w:t>
      </w:r>
      <w:r w:rsidR="00EA2004" w:rsidRPr="007957FB">
        <w:rPr>
          <w:rFonts w:ascii="Arial" w:eastAsia="Times New Roman" w:hAnsi="Arial" w:cs="Arial"/>
          <w:color w:val="000000"/>
          <w:lang w:eastAsia="en-AU"/>
        </w:rPr>
        <w:t xml:space="preserve">refusing to produce on the basis of personal information </w:t>
      </w:r>
      <w:r w:rsidRPr="007957FB">
        <w:rPr>
          <w:rFonts w:ascii="Arial" w:eastAsia="Times New Roman" w:hAnsi="Arial" w:cs="Arial"/>
          <w:color w:val="000000"/>
          <w:lang w:eastAsia="en-AU"/>
        </w:rPr>
        <w:t xml:space="preserve">is too broad and could </w:t>
      </w:r>
      <w:r w:rsidR="00EA41C6" w:rsidRPr="007957FB">
        <w:rPr>
          <w:rFonts w:ascii="Arial" w:eastAsia="Times New Roman" w:hAnsi="Arial" w:cs="Arial"/>
          <w:color w:val="000000"/>
          <w:lang w:eastAsia="en-AU"/>
        </w:rPr>
        <w:t xml:space="preserve">unjustifiably impair the functions of the Inquiry. While protection of the right to privacy of individuals must be considered, </w:t>
      </w:r>
      <w:r w:rsidR="0059772E">
        <w:rPr>
          <w:rFonts w:ascii="Arial" w:eastAsia="Times New Roman" w:hAnsi="Arial" w:cs="Arial"/>
          <w:color w:val="000000"/>
          <w:lang w:eastAsia="en-AU"/>
        </w:rPr>
        <w:t>this</w:t>
      </w:r>
      <w:r w:rsidR="0059772E" w:rsidRPr="007957FB">
        <w:rPr>
          <w:rFonts w:ascii="Arial" w:eastAsia="Times New Roman" w:hAnsi="Arial" w:cs="Arial"/>
          <w:color w:val="000000"/>
          <w:lang w:eastAsia="en-AU"/>
        </w:rPr>
        <w:t xml:space="preserve"> </w:t>
      </w:r>
      <w:r w:rsidR="00EA41C6" w:rsidRPr="007957FB">
        <w:rPr>
          <w:rFonts w:ascii="Arial" w:eastAsia="Times New Roman" w:hAnsi="Arial" w:cs="Arial"/>
          <w:color w:val="000000"/>
          <w:lang w:eastAsia="en-AU"/>
        </w:rPr>
        <w:t xml:space="preserve">must be balanced against the functions of the Inquiry and the confidentiality obligations imposed on the Inquiry itself. </w:t>
      </w:r>
      <w:r w:rsidR="0059772E">
        <w:rPr>
          <w:rFonts w:ascii="Arial" w:eastAsia="Times New Roman" w:hAnsi="Arial" w:cs="Arial"/>
          <w:color w:val="000000"/>
          <w:lang w:eastAsia="en-AU"/>
        </w:rPr>
        <w:t>A vast number of documents that the Inquiry will need to have produced are likely to contain</w:t>
      </w:r>
      <w:r w:rsidR="00795472">
        <w:rPr>
          <w:rFonts w:ascii="Arial" w:eastAsia="Times New Roman" w:hAnsi="Arial" w:cs="Arial"/>
          <w:color w:val="000000"/>
          <w:lang w:eastAsia="en-AU"/>
        </w:rPr>
        <w:t xml:space="preserve"> personal information.</w:t>
      </w:r>
      <w:r w:rsidR="0059772E">
        <w:rPr>
          <w:rFonts w:ascii="Arial" w:eastAsia="Times New Roman" w:hAnsi="Arial" w:cs="Arial"/>
          <w:color w:val="000000"/>
          <w:lang w:eastAsia="en-AU"/>
        </w:rPr>
        <w:t xml:space="preserve"> </w:t>
      </w:r>
    </w:p>
    <w:p w14:paraId="502A00A6" w14:textId="6F6E68D3" w:rsidR="00874208" w:rsidRPr="007957FB" w:rsidRDefault="00EA41C6" w:rsidP="003647CE">
      <w:pPr>
        <w:spacing w:before="120" w:after="240" w:line="240" w:lineRule="auto"/>
        <w:rPr>
          <w:rFonts w:ascii="Arial" w:eastAsia="Times New Roman" w:hAnsi="Arial" w:cs="Arial"/>
          <w:color w:val="000000"/>
          <w:lang w:eastAsia="en-AU"/>
        </w:rPr>
      </w:pPr>
      <w:r w:rsidRPr="007957FB">
        <w:rPr>
          <w:rFonts w:ascii="Arial" w:eastAsia="Times New Roman" w:hAnsi="Arial" w:cs="Arial"/>
          <w:color w:val="000000"/>
          <w:lang w:eastAsia="en-AU"/>
        </w:rPr>
        <w:t>Clause 91 of the Bill makes it an offence</w:t>
      </w:r>
      <w:r w:rsidR="0019230A" w:rsidRPr="007957FB">
        <w:rPr>
          <w:rFonts w:ascii="Arial" w:eastAsia="Times New Roman" w:hAnsi="Arial" w:cs="Arial"/>
          <w:color w:val="000000"/>
          <w:lang w:eastAsia="en-AU"/>
        </w:rPr>
        <w:t xml:space="preserve"> for Inquiry members or staff </w:t>
      </w:r>
      <w:r w:rsidRPr="007957FB">
        <w:rPr>
          <w:rFonts w:ascii="Arial" w:eastAsia="Times New Roman" w:hAnsi="Arial" w:cs="Arial"/>
          <w:color w:val="000000"/>
          <w:lang w:eastAsia="en-AU"/>
        </w:rPr>
        <w:t xml:space="preserve">to disclose </w:t>
      </w:r>
      <w:r w:rsidR="0019230A" w:rsidRPr="007957FB">
        <w:rPr>
          <w:rFonts w:ascii="Arial" w:eastAsia="Times New Roman" w:hAnsi="Arial" w:cs="Arial"/>
          <w:color w:val="000000"/>
          <w:lang w:eastAsia="en-AU"/>
        </w:rPr>
        <w:t xml:space="preserve">or use </w:t>
      </w:r>
      <w:r w:rsidRPr="007957FB">
        <w:rPr>
          <w:rFonts w:ascii="Arial" w:eastAsia="Times New Roman" w:hAnsi="Arial" w:cs="Arial"/>
          <w:color w:val="000000"/>
          <w:lang w:eastAsia="en-AU"/>
        </w:rPr>
        <w:t>confidential information (that is, personal information that is not publicly available)</w:t>
      </w:r>
      <w:r w:rsidR="0019230A" w:rsidRPr="007957FB">
        <w:rPr>
          <w:rFonts w:ascii="Arial" w:eastAsia="Times New Roman" w:hAnsi="Arial" w:cs="Arial"/>
          <w:color w:val="000000"/>
          <w:lang w:eastAsia="en-AU"/>
        </w:rPr>
        <w:t xml:space="preserve"> </w:t>
      </w:r>
      <w:r w:rsidR="0021630B">
        <w:rPr>
          <w:rFonts w:ascii="Arial" w:eastAsia="Times New Roman" w:hAnsi="Arial" w:cs="Arial"/>
          <w:color w:val="000000"/>
          <w:lang w:eastAsia="en-AU"/>
        </w:rPr>
        <w:t>except</w:t>
      </w:r>
      <w:r w:rsidR="0019230A" w:rsidRPr="007957FB">
        <w:rPr>
          <w:rFonts w:ascii="Arial" w:eastAsia="Times New Roman" w:hAnsi="Arial" w:cs="Arial"/>
          <w:color w:val="000000"/>
          <w:lang w:eastAsia="en-AU"/>
        </w:rPr>
        <w:t xml:space="preserve"> in certain circumstances, including where that is necessary to perform the Inquiry’s functions, with the consent of the individual, or the disclosure is deidentified. </w:t>
      </w:r>
    </w:p>
    <w:p w14:paraId="563C1E34" w14:textId="752B02A1" w:rsidR="00336AE5" w:rsidRPr="007957FB" w:rsidRDefault="00336AE5" w:rsidP="003647CE">
      <w:pPr>
        <w:spacing w:before="120" w:after="240" w:line="240" w:lineRule="auto"/>
        <w:rPr>
          <w:rFonts w:ascii="Arial" w:eastAsia="Times New Roman" w:hAnsi="Arial" w:cs="Arial"/>
          <w:color w:val="000000"/>
          <w:lang w:eastAsia="en-AU"/>
        </w:rPr>
      </w:pPr>
      <w:r w:rsidRPr="007957FB">
        <w:rPr>
          <w:rFonts w:ascii="Arial" w:eastAsia="Times New Roman" w:hAnsi="Arial" w:cs="Arial"/>
          <w:color w:val="000000"/>
          <w:lang w:eastAsia="en-AU"/>
        </w:rPr>
        <w:t>The Commission recommends narrowing the ground</w:t>
      </w:r>
      <w:r w:rsidR="00A278BA">
        <w:rPr>
          <w:rFonts w:ascii="Arial" w:eastAsia="Times New Roman" w:hAnsi="Arial" w:cs="Arial"/>
          <w:color w:val="000000"/>
          <w:lang w:eastAsia="en-AU"/>
        </w:rPr>
        <w:t>s</w:t>
      </w:r>
      <w:r w:rsidRPr="007957FB">
        <w:rPr>
          <w:rFonts w:ascii="Arial" w:eastAsia="Times New Roman" w:hAnsi="Arial" w:cs="Arial"/>
          <w:color w:val="000000"/>
          <w:lang w:eastAsia="en-AU"/>
        </w:rPr>
        <w:t xml:space="preserve"> </w:t>
      </w:r>
      <w:r w:rsidR="0059772E">
        <w:rPr>
          <w:rFonts w:ascii="Arial" w:eastAsia="Times New Roman" w:hAnsi="Arial" w:cs="Arial"/>
          <w:color w:val="000000"/>
          <w:lang w:eastAsia="en-AU"/>
        </w:rPr>
        <w:t xml:space="preserve">on which an entity or person can refuse to comply with a notice to produce </w:t>
      </w:r>
      <w:r w:rsidRPr="007957FB">
        <w:rPr>
          <w:rFonts w:ascii="Arial" w:eastAsia="Times New Roman" w:hAnsi="Arial" w:cs="Arial"/>
          <w:color w:val="000000"/>
          <w:lang w:eastAsia="en-AU"/>
        </w:rPr>
        <w:t xml:space="preserve">to circumstances where disclosure would reasonably </w:t>
      </w:r>
      <w:r w:rsidR="00F11E97">
        <w:rPr>
          <w:rFonts w:ascii="Arial" w:eastAsia="Times New Roman" w:hAnsi="Arial" w:cs="Arial"/>
          <w:color w:val="000000"/>
          <w:lang w:eastAsia="en-AU"/>
        </w:rPr>
        <w:t xml:space="preserve">be </w:t>
      </w:r>
      <w:r w:rsidRPr="007957FB">
        <w:rPr>
          <w:rFonts w:ascii="Arial" w:eastAsia="Times New Roman" w:hAnsi="Arial" w:cs="Arial"/>
          <w:color w:val="000000"/>
          <w:lang w:eastAsia="en-AU"/>
        </w:rPr>
        <w:t>expected to cause the individual harm, or the individual has refused consent for the information to be disclosed.</w:t>
      </w:r>
    </w:p>
    <w:p w14:paraId="3A27B458" w14:textId="067EC9B8" w:rsidR="00F73B26" w:rsidRDefault="0019230A" w:rsidP="003647CE">
      <w:pPr>
        <w:spacing w:before="120" w:after="240" w:line="240" w:lineRule="auto"/>
        <w:rPr>
          <w:rFonts w:ascii="Arial" w:eastAsia="Times New Roman" w:hAnsi="Arial" w:cs="Arial"/>
          <w:color w:val="000000"/>
          <w:lang w:eastAsia="en-AU"/>
        </w:rPr>
      </w:pPr>
      <w:r w:rsidRPr="007957FB">
        <w:rPr>
          <w:rFonts w:ascii="Arial" w:eastAsia="Times New Roman" w:hAnsi="Arial" w:cs="Arial"/>
          <w:color w:val="000000"/>
          <w:lang w:eastAsia="en-AU"/>
        </w:rPr>
        <w:t xml:space="preserve">Alternatively, the Commission recommends that if a document or thing contains personal information, then the </w:t>
      </w:r>
      <w:r w:rsidR="00F11E97">
        <w:rPr>
          <w:rFonts w:ascii="Arial" w:eastAsia="Times New Roman" w:hAnsi="Arial" w:cs="Arial"/>
          <w:color w:val="000000"/>
          <w:lang w:eastAsia="en-AU"/>
        </w:rPr>
        <w:t xml:space="preserve">entity or person </w:t>
      </w:r>
      <w:r w:rsidRPr="007957FB">
        <w:rPr>
          <w:rFonts w:ascii="Arial" w:eastAsia="Times New Roman" w:hAnsi="Arial" w:cs="Arial"/>
          <w:color w:val="000000"/>
          <w:lang w:eastAsia="en-AU"/>
        </w:rPr>
        <w:t xml:space="preserve">must give that document or thing with the personal information redacted, or must provide a summary of the information in a way that does not disclose personal information. </w:t>
      </w:r>
    </w:p>
    <w:p w14:paraId="45CADA2A" w14:textId="48385C4C" w:rsidR="00F73B26" w:rsidRDefault="00F73B26" w:rsidP="009E4AFB">
      <w:pPr>
        <w:pStyle w:val="Heading1"/>
        <w:rPr>
          <w:rFonts w:eastAsia="Times New Roman"/>
          <w:lang w:eastAsia="en-AU"/>
        </w:rPr>
      </w:pPr>
      <w:r w:rsidRPr="00755B42">
        <w:rPr>
          <w:rFonts w:eastAsia="Times New Roman"/>
          <w:lang w:eastAsia="en-AU"/>
        </w:rPr>
        <w:t>Legislative review</w:t>
      </w:r>
    </w:p>
    <w:p w14:paraId="17021068" w14:textId="40EE5D76" w:rsidR="00FE31E9" w:rsidRPr="00F73B26" w:rsidRDefault="00F73B26" w:rsidP="003647CE">
      <w:pPr>
        <w:spacing w:before="120" w:after="240" w:line="240" w:lineRule="auto"/>
        <w:rPr>
          <w:rFonts w:ascii="Arial" w:eastAsia="Times New Roman" w:hAnsi="Arial" w:cs="Arial"/>
          <w:color w:val="000000"/>
          <w:lang w:eastAsia="en-AU"/>
        </w:rPr>
      </w:pPr>
      <w:r>
        <w:rPr>
          <w:rFonts w:ascii="Arial" w:eastAsia="Times New Roman" w:hAnsi="Arial" w:cs="Arial"/>
          <w:color w:val="000000"/>
          <w:lang w:eastAsia="en-AU"/>
        </w:rPr>
        <w:t xml:space="preserve">Clause 94 </w:t>
      </w:r>
      <w:r w:rsidR="0021630B">
        <w:rPr>
          <w:rFonts w:ascii="Arial" w:eastAsia="Times New Roman" w:hAnsi="Arial" w:cs="Arial"/>
          <w:color w:val="000000"/>
          <w:lang w:eastAsia="en-AU"/>
        </w:rPr>
        <w:t xml:space="preserve">of the Bill </w:t>
      </w:r>
      <w:r>
        <w:rPr>
          <w:rFonts w:ascii="Arial" w:eastAsia="Times New Roman" w:hAnsi="Arial" w:cs="Arial"/>
          <w:color w:val="000000"/>
          <w:lang w:eastAsia="en-AU"/>
        </w:rPr>
        <w:t xml:space="preserve">requires that after 5 years the </w:t>
      </w:r>
      <w:r w:rsidR="0088604D">
        <w:rPr>
          <w:rFonts w:ascii="Arial" w:eastAsia="Times New Roman" w:hAnsi="Arial" w:cs="Arial"/>
          <w:color w:val="000000"/>
          <w:lang w:eastAsia="en-AU"/>
        </w:rPr>
        <w:t>operation</w:t>
      </w:r>
      <w:r>
        <w:rPr>
          <w:rFonts w:ascii="Arial" w:eastAsia="Times New Roman" w:hAnsi="Arial" w:cs="Arial"/>
          <w:color w:val="000000"/>
          <w:lang w:eastAsia="en-AU"/>
        </w:rPr>
        <w:t xml:space="preserve"> and efficacy of the Bill be reviewed. </w:t>
      </w:r>
      <w:r w:rsidR="00D8415D">
        <w:rPr>
          <w:rFonts w:ascii="Arial" w:eastAsia="Times New Roman" w:hAnsi="Arial" w:cs="Arial"/>
          <w:color w:val="000000"/>
          <w:lang w:eastAsia="en-AU"/>
        </w:rPr>
        <w:t xml:space="preserve">The Inquiry will likely already be completed by this time. </w:t>
      </w:r>
      <w:r>
        <w:rPr>
          <w:rFonts w:ascii="Arial" w:eastAsia="Times New Roman" w:hAnsi="Arial" w:cs="Arial"/>
          <w:color w:val="000000"/>
          <w:lang w:eastAsia="en-AU"/>
        </w:rPr>
        <w:t xml:space="preserve">There may be practical issues that arise during the course of the Inquiry in relation to </w:t>
      </w:r>
      <w:r w:rsidR="00D8415D">
        <w:rPr>
          <w:rFonts w:ascii="Arial" w:eastAsia="Times New Roman" w:hAnsi="Arial" w:cs="Arial"/>
          <w:color w:val="000000"/>
          <w:lang w:eastAsia="en-AU"/>
        </w:rPr>
        <w:t xml:space="preserve">its </w:t>
      </w:r>
      <w:r>
        <w:rPr>
          <w:rFonts w:ascii="Arial" w:eastAsia="Times New Roman" w:hAnsi="Arial" w:cs="Arial"/>
          <w:color w:val="000000"/>
          <w:lang w:eastAsia="en-AU"/>
        </w:rPr>
        <w:t xml:space="preserve">mechanisms and powers. </w:t>
      </w:r>
      <w:r>
        <w:rPr>
          <w:rFonts w:ascii="Arial" w:eastAsia="Times New Roman" w:hAnsi="Arial" w:cs="Arial"/>
          <w:color w:val="000000"/>
          <w:lang w:eastAsia="en-AU"/>
        </w:rPr>
        <w:lastRenderedPageBreak/>
        <w:t xml:space="preserve">The Commission suggests that the Bill should </w:t>
      </w:r>
      <w:r w:rsidR="00A43992">
        <w:rPr>
          <w:rFonts w:ascii="Arial" w:eastAsia="Times New Roman" w:hAnsi="Arial" w:cs="Arial"/>
          <w:color w:val="000000"/>
          <w:lang w:eastAsia="en-AU"/>
        </w:rPr>
        <w:t xml:space="preserve">additionally </w:t>
      </w:r>
      <w:r>
        <w:rPr>
          <w:rFonts w:ascii="Arial" w:eastAsia="Times New Roman" w:hAnsi="Arial" w:cs="Arial"/>
          <w:color w:val="000000"/>
          <w:lang w:eastAsia="en-AU"/>
        </w:rPr>
        <w:t>provide for a legislative review confined to these practical matters after 12 months from when the Inquiry commences.</w:t>
      </w:r>
    </w:p>
    <w:p w14:paraId="7DFDDF04" w14:textId="77777777" w:rsidR="003647CE" w:rsidRPr="007957FB" w:rsidRDefault="003647CE" w:rsidP="003647CE">
      <w:pPr>
        <w:spacing w:before="240" w:after="0" w:line="240" w:lineRule="auto"/>
        <w:rPr>
          <w:rFonts w:ascii="Arial" w:eastAsia="Times New Roman" w:hAnsi="Arial" w:cs="Arial"/>
          <w:color w:val="000000"/>
          <w:lang w:eastAsia="en-AU"/>
        </w:rPr>
      </w:pPr>
      <w:r w:rsidRPr="007957FB">
        <w:rPr>
          <w:rFonts w:ascii="Arial" w:eastAsia="Times New Roman" w:hAnsi="Arial" w:cs="Arial"/>
          <w:color w:val="000000"/>
          <w:lang w:eastAsia="en-AU"/>
        </w:rPr>
        <w:t>Yours sincerely</w:t>
      </w:r>
    </w:p>
    <w:p w14:paraId="0F61A2CE" w14:textId="577AD118" w:rsidR="003647CE" w:rsidRPr="007957FB" w:rsidRDefault="003647CE" w:rsidP="003647CE">
      <w:pPr>
        <w:spacing w:before="120" w:after="0" w:line="240" w:lineRule="auto"/>
        <w:rPr>
          <w:rFonts w:ascii="Arial" w:eastAsia="Times New Roman" w:hAnsi="Arial" w:cs="Arial"/>
          <w:color w:val="000000"/>
          <w:lang w:eastAsia="en-AU"/>
        </w:rPr>
      </w:pPr>
    </w:p>
    <w:p w14:paraId="2FAF602D" w14:textId="77777777" w:rsidR="003647CE" w:rsidRPr="007957FB" w:rsidRDefault="003647CE" w:rsidP="003647CE">
      <w:pPr>
        <w:spacing w:before="120" w:after="0" w:line="240" w:lineRule="auto"/>
        <w:rPr>
          <w:rFonts w:ascii="Arial" w:eastAsia="Times New Roman" w:hAnsi="Arial" w:cs="Arial"/>
          <w:b/>
          <w:color w:val="000000"/>
          <w:lang w:eastAsia="en-AU"/>
        </w:rPr>
      </w:pPr>
      <w:r w:rsidRPr="007957FB">
        <w:rPr>
          <w:rFonts w:ascii="Arial" w:eastAsia="Times New Roman" w:hAnsi="Arial" w:cs="Arial"/>
          <w:b/>
          <w:color w:val="000000"/>
          <w:lang w:eastAsia="en-AU"/>
        </w:rPr>
        <w:t>SCOTT MCDOUGALL</w:t>
      </w:r>
    </w:p>
    <w:p w14:paraId="76095FAF" w14:textId="77777777" w:rsidR="003647CE" w:rsidRPr="007957FB" w:rsidRDefault="003647CE" w:rsidP="003647CE">
      <w:pPr>
        <w:spacing w:after="0" w:line="240" w:lineRule="auto"/>
        <w:rPr>
          <w:rFonts w:ascii="Arial" w:eastAsia="Times New Roman" w:hAnsi="Arial" w:cs="Arial"/>
          <w:b/>
          <w:i/>
          <w:color w:val="000000"/>
          <w:lang w:eastAsia="en-AU"/>
        </w:rPr>
      </w:pPr>
      <w:r w:rsidRPr="007957FB">
        <w:rPr>
          <w:rFonts w:ascii="Arial" w:eastAsia="Times New Roman" w:hAnsi="Arial" w:cs="Arial"/>
          <w:b/>
          <w:color w:val="000000"/>
          <w:lang w:eastAsia="en-AU"/>
        </w:rPr>
        <w:t>Queensland Human Rights Commissioner</w:t>
      </w:r>
    </w:p>
    <w:p w14:paraId="0D4A816E" w14:textId="3449C176" w:rsidR="003647CE" w:rsidRDefault="003647CE">
      <w:pPr>
        <w:rPr>
          <w:rFonts w:ascii="Arial" w:hAnsi="Arial" w:cs="Arial"/>
        </w:rPr>
      </w:pPr>
    </w:p>
    <w:p w14:paraId="0C8F9C45" w14:textId="2AE647F2" w:rsidR="00620533" w:rsidRPr="007957FB" w:rsidRDefault="00620533">
      <w:pPr>
        <w:rPr>
          <w:rFonts w:ascii="Arial" w:hAnsi="Arial" w:cs="Arial"/>
        </w:rPr>
      </w:pPr>
    </w:p>
    <w:sectPr w:rsidR="00620533" w:rsidRPr="007957FB" w:rsidSect="00644E6C">
      <w:headerReference w:type="default" r:id="rId8"/>
      <w:footerReference w:type="default" r:id="rId9"/>
      <w:headerReference w:type="first" r:id="rId10"/>
      <w:footerReference w:type="first" r:id="rId11"/>
      <w:pgSz w:w="11906" w:h="16838" w:code="9"/>
      <w:pgMar w:top="1559" w:right="1474" w:bottom="1440" w:left="1474" w:header="709" w:footer="6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A781D" w14:textId="77777777" w:rsidR="006A1B53" w:rsidRDefault="006A1B53" w:rsidP="00246E04">
      <w:pPr>
        <w:spacing w:after="0" w:line="240" w:lineRule="auto"/>
      </w:pPr>
      <w:r>
        <w:separator/>
      </w:r>
    </w:p>
  </w:endnote>
  <w:endnote w:type="continuationSeparator" w:id="0">
    <w:p w14:paraId="32EF0C8D" w14:textId="77777777" w:rsidR="006A1B53" w:rsidRDefault="006A1B53" w:rsidP="00246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E3A66" w14:textId="77777777" w:rsidR="00644E6C" w:rsidRDefault="00644E6C" w:rsidP="00644E6C">
    <w:pPr>
      <w:pStyle w:val="Footer"/>
      <w:tabs>
        <w:tab w:val="clear" w:pos="4513"/>
        <w:tab w:val="clear" w:pos="9026"/>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D1E6A" w14:textId="242B286E" w:rsidR="00644E6C" w:rsidRDefault="003647CE" w:rsidP="00644E6C">
    <w:pPr>
      <w:pStyle w:val="Footer"/>
      <w:tabs>
        <w:tab w:val="clear" w:pos="4513"/>
        <w:tab w:val="clear" w:pos="9026"/>
      </w:tabs>
    </w:pPr>
    <w:r w:rsidRPr="005434A3">
      <w:rPr>
        <w:noProof/>
      </w:rPr>
      <w:drawing>
        <wp:inline distT="0" distB="0" distL="0" distR="0" wp14:anchorId="40DE1864" wp14:editId="740FFB5E">
          <wp:extent cx="5657850" cy="1085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7850" cy="10858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35B2B" w14:textId="77777777" w:rsidR="006A1B53" w:rsidRDefault="006A1B53" w:rsidP="00246E04">
      <w:pPr>
        <w:spacing w:after="0" w:line="240" w:lineRule="auto"/>
      </w:pPr>
      <w:r>
        <w:separator/>
      </w:r>
    </w:p>
  </w:footnote>
  <w:footnote w:type="continuationSeparator" w:id="0">
    <w:p w14:paraId="7A069A47" w14:textId="77777777" w:rsidR="006A1B53" w:rsidRDefault="006A1B53" w:rsidP="00246E04">
      <w:pPr>
        <w:spacing w:after="0" w:line="240" w:lineRule="auto"/>
      </w:pPr>
      <w:r>
        <w:continuationSeparator/>
      </w:r>
    </w:p>
  </w:footnote>
  <w:footnote w:id="1">
    <w:p w14:paraId="792FA19D" w14:textId="40F3BC69" w:rsidR="000D171E" w:rsidRPr="00B12C0B" w:rsidRDefault="000D171E">
      <w:pPr>
        <w:pStyle w:val="FootnoteText"/>
        <w:rPr>
          <w:rFonts w:ascii="Arial" w:hAnsi="Arial" w:cs="Arial"/>
        </w:rPr>
      </w:pPr>
      <w:r w:rsidRPr="00B12C0B">
        <w:rPr>
          <w:rStyle w:val="FootnoteReference"/>
          <w:rFonts w:ascii="Arial" w:hAnsi="Arial" w:cs="Arial"/>
        </w:rPr>
        <w:footnoteRef/>
      </w:r>
      <w:r w:rsidRPr="00B12C0B">
        <w:rPr>
          <w:rFonts w:ascii="Arial" w:hAnsi="Arial" w:cs="Arial"/>
        </w:rPr>
        <w:t xml:space="preserve"> Not limited to but including </w:t>
      </w:r>
      <w:r w:rsidRPr="00B12C0B">
        <w:rPr>
          <w:rFonts w:ascii="Arial" w:hAnsi="Arial" w:cs="Arial"/>
          <w:i/>
          <w:iCs/>
        </w:rPr>
        <w:t xml:space="preserve">Human Rights Act 2019 </w:t>
      </w:r>
      <w:r w:rsidR="00FA2709" w:rsidRPr="00B12C0B">
        <w:rPr>
          <w:rFonts w:ascii="Arial" w:hAnsi="Arial" w:cs="Arial"/>
        </w:rPr>
        <w:t>s</w:t>
      </w:r>
      <w:r w:rsidRPr="00B12C0B">
        <w:rPr>
          <w:rFonts w:ascii="Arial" w:hAnsi="Arial" w:cs="Arial"/>
        </w:rPr>
        <w:t xml:space="preserve"> 28 Cultural rights of Aboriginal peoples and Torres Strait Islander peoples, </w:t>
      </w:r>
      <w:r w:rsidR="00FA2709" w:rsidRPr="00B12C0B">
        <w:rPr>
          <w:rFonts w:ascii="Arial" w:hAnsi="Arial" w:cs="Arial"/>
        </w:rPr>
        <w:t>s 15 Recognition and equality before the law</w:t>
      </w:r>
      <w:r w:rsidR="00407C10">
        <w:rPr>
          <w:rFonts w:ascii="Arial" w:hAnsi="Arial" w:cs="Arial"/>
        </w:rPr>
        <w:t>,</w:t>
      </w:r>
      <w:r w:rsidR="00FA2709" w:rsidRPr="00B12C0B">
        <w:rPr>
          <w:rFonts w:ascii="Arial" w:hAnsi="Arial" w:cs="Arial"/>
        </w:rPr>
        <w:t xml:space="preserve"> and s</w:t>
      </w:r>
      <w:r w:rsidRPr="00B12C0B">
        <w:rPr>
          <w:rFonts w:ascii="Arial" w:hAnsi="Arial" w:cs="Arial"/>
        </w:rPr>
        <w:t xml:space="preserve"> 21 Freedom of expression</w:t>
      </w:r>
      <w:r w:rsidR="00FA2709" w:rsidRPr="00B12C0B">
        <w:rPr>
          <w:rFonts w:ascii="Arial" w:hAnsi="Arial" w:cs="Arial"/>
        </w:rPr>
        <w:t>.</w:t>
      </w:r>
    </w:p>
  </w:footnote>
  <w:footnote w:id="2">
    <w:p w14:paraId="024CAE5D" w14:textId="24A4593A" w:rsidR="00DD5B37" w:rsidRPr="00C22B22" w:rsidRDefault="00DD5B37">
      <w:pPr>
        <w:pStyle w:val="FootnoteText"/>
        <w:rPr>
          <w:rFonts w:ascii="Arial" w:hAnsi="Arial" w:cs="Arial"/>
          <w:lang w:val="en-US"/>
        </w:rPr>
      </w:pPr>
      <w:r w:rsidRPr="00C22B22">
        <w:rPr>
          <w:rStyle w:val="FootnoteReference"/>
          <w:rFonts w:ascii="Arial" w:hAnsi="Arial" w:cs="Arial"/>
        </w:rPr>
        <w:footnoteRef/>
      </w:r>
      <w:r w:rsidRPr="00C22B22">
        <w:rPr>
          <w:rFonts w:ascii="Arial" w:hAnsi="Arial" w:cs="Arial"/>
        </w:rPr>
        <w:t xml:space="preserve"> </w:t>
      </w:r>
      <w:r w:rsidRPr="00C22B22">
        <w:rPr>
          <w:rFonts w:ascii="Arial" w:hAnsi="Arial" w:cs="Arial"/>
          <w:lang w:val="en-US"/>
        </w:rPr>
        <w:t>Explanatory Note</w:t>
      </w:r>
      <w:r w:rsidR="00073ECB" w:rsidRPr="00C22B22">
        <w:rPr>
          <w:rFonts w:ascii="Arial" w:hAnsi="Arial" w:cs="Arial"/>
          <w:lang w:val="en-US"/>
        </w:rPr>
        <w:t>s, Path to Treaty Bill 2023</w:t>
      </w:r>
      <w:r w:rsidR="00DF67F6" w:rsidRPr="00C22B22">
        <w:rPr>
          <w:rFonts w:ascii="Arial" w:hAnsi="Arial" w:cs="Arial"/>
          <w:lang w:val="en-US"/>
        </w:rPr>
        <w:t xml:space="preserve"> (Qld)</w:t>
      </w:r>
      <w:r w:rsidRPr="00C22B22">
        <w:rPr>
          <w:rFonts w:ascii="Arial" w:hAnsi="Arial" w:cs="Arial"/>
          <w:lang w:val="en-US"/>
        </w:rPr>
        <w:t xml:space="preserve"> 16.</w:t>
      </w:r>
    </w:p>
  </w:footnote>
  <w:footnote w:id="3">
    <w:p w14:paraId="0A7A23CC" w14:textId="17B6DA7F" w:rsidR="00C4547C" w:rsidRPr="00C22B22" w:rsidRDefault="00C4547C">
      <w:pPr>
        <w:pStyle w:val="FootnoteText"/>
        <w:rPr>
          <w:rFonts w:ascii="Arial" w:hAnsi="Arial" w:cs="Arial"/>
          <w:lang w:val="en-US"/>
        </w:rPr>
      </w:pPr>
      <w:r w:rsidRPr="00C22B22">
        <w:rPr>
          <w:rStyle w:val="FootnoteReference"/>
          <w:rFonts w:ascii="Arial" w:hAnsi="Arial" w:cs="Arial"/>
        </w:rPr>
        <w:footnoteRef/>
      </w:r>
      <w:r w:rsidRPr="00C22B22">
        <w:rPr>
          <w:rFonts w:ascii="Arial" w:hAnsi="Arial" w:cs="Arial"/>
        </w:rPr>
        <w:t xml:space="preserve"> </w:t>
      </w:r>
      <w:r w:rsidRPr="00C22B22">
        <w:rPr>
          <w:rFonts w:ascii="Arial" w:hAnsi="Arial" w:cs="Arial"/>
          <w:i/>
          <w:iCs/>
        </w:rPr>
        <w:t>Human Rights Act 2019</w:t>
      </w:r>
      <w:r w:rsidRPr="00C22B22">
        <w:rPr>
          <w:rFonts w:ascii="Arial" w:hAnsi="Arial" w:cs="Arial"/>
        </w:rPr>
        <w:t xml:space="preserve"> (Qld) s 58(1).</w:t>
      </w:r>
    </w:p>
  </w:footnote>
  <w:footnote w:id="4">
    <w:p w14:paraId="4AB2C677" w14:textId="7C8ED000" w:rsidR="00C4547C" w:rsidRPr="00C4547C" w:rsidRDefault="00C4547C">
      <w:pPr>
        <w:pStyle w:val="FootnoteText"/>
        <w:rPr>
          <w:lang w:val="en-US"/>
        </w:rPr>
      </w:pPr>
      <w:r w:rsidRPr="00C22B22">
        <w:rPr>
          <w:rStyle w:val="FootnoteReference"/>
          <w:rFonts w:ascii="Arial" w:hAnsi="Arial" w:cs="Arial"/>
        </w:rPr>
        <w:footnoteRef/>
      </w:r>
      <w:r w:rsidRPr="00C22B22">
        <w:rPr>
          <w:rFonts w:ascii="Arial" w:hAnsi="Arial" w:cs="Arial"/>
        </w:rPr>
        <w:t xml:space="preserve"> </w:t>
      </w:r>
      <w:r w:rsidR="0030790D" w:rsidRPr="00C22B22">
        <w:rPr>
          <w:rFonts w:ascii="Arial" w:hAnsi="Arial" w:cs="Arial"/>
          <w:i/>
          <w:iCs/>
        </w:rPr>
        <w:t>Human Rights Act 2019</w:t>
      </w:r>
      <w:r w:rsidR="0030790D" w:rsidRPr="00C22B22">
        <w:rPr>
          <w:rFonts w:ascii="Arial" w:hAnsi="Arial" w:cs="Arial"/>
        </w:rPr>
        <w:t xml:space="preserve"> (Qld) s</w:t>
      </w:r>
      <w:r w:rsidR="00351969" w:rsidRPr="00C22B22">
        <w:rPr>
          <w:rFonts w:ascii="Arial" w:hAnsi="Arial" w:cs="Arial"/>
        </w:rPr>
        <w:t>s 64,</w:t>
      </w:r>
      <w:r w:rsidR="0030790D" w:rsidRPr="00C22B22">
        <w:rPr>
          <w:rFonts w:ascii="Arial" w:hAnsi="Arial" w:cs="Arial"/>
        </w:rPr>
        <w:t xml:space="preserve"> 59.</w:t>
      </w:r>
    </w:p>
  </w:footnote>
  <w:footnote w:id="5">
    <w:p w14:paraId="06FF64A5" w14:textId="20F3FADF" w:rsidR="00CB7AF9" w:rsidRPr="00C22B22" w:rsidRDefault="00CB7AF9">
      <w:pPr>
        <w:pStyle w:val="FootnoteText"/>
        <w:rPr>
          <w:rFonts w:ascii="Arial" w:hAnsi="Arial" w:cs="Arial"/>
          <w:lang w:val="en-US"/>
        </w:rPr>
      </w:pPr>
      <w:r w:rsidRPr="00C22B22">
        <w:rPr>
          <w:rStyle w:val="FootnoteReference"/>
          <w:rFonts w:ascii="Arial" w:hAnsi="Arial" w:cs="Arial"/>
        </w:rPr>
        <w:footnoteRef/>
      </w:r>
      <w:r w:rsidRPr="00C22B22">
        <w:rPr>
          <w:rFonts w:ascii="Arial" w:hAnsi="Arial" w:cs="Arial"/>
        </w:rPr>
        <w:t xml:space="preserve"> </w:t>
      </w:r>
      <w:r w:rsidRPr="00C22B22">
        <w:rPr>
          <w:rFonts w:ascii="Arial" w:hAnsi="Arial" w:cs="Arial"/>
          <w:i/>
          <w:iCs/>
        </w:rPr>
        <w:t>Public Sector Ethics Act 1994</w:t>
      </w:r>
      <w:r w:rsidR="00DF67F6" w:rsidRPr="00C22B22">
        <w:rPr>
          <w:rFonts w:ascii="Arial" w:hAnsi="Arial" w:cs="Arial"/>
        </w:rPr>
        <w:t xml:space="preserve"> (Qld)</w:t>
      </w:r>
      <w:r w:rsidRPr="00C22B22">
        <w:rPr>
          <w:rFonts w:ascii="Arial" w:hAnsi="Arial" w:cs="Arial"/>
        </w:rPr>
        <w:t xml:space="preserve"> s</w:t>
      </w:r>
      <w:r w:rsidRPr="00C22B22">
        <w:rPr>
          <w:rFonts w:ascii="Arial" w:hAnsi="Arial" w:cs="Arial"/>
          <w:lang w:val="en-US"/>
        </w:rPr>
        <w:t>s 15 and 17.</w:t>
      </w:r>
    </w:p>
  </w:footnote>
  <w:footnote w:id="6">
    <w:p w14:paraId="04B64315" w14:textId="3A27DC7E" w:rsidR="00837524" w:rsidRPr="00837524" w:rsidRDefault="00837524">
      <w:pPr>
        <w:pStyle w:val="FootnoteText"/>
        <w:rPr>
          <w:lang w:val="en-US"/>
        </w:rPr>
      </w:pPr>
      <w:r w:rsidRPr="00C22B22">
        <w:rPr>
          <w:rStyle w:val="FootnoteReference"/>
          <w:rFonts w:ascii="Arial" w:hAnsi="Arial" w:cs="Arial"/>
        </w:rPr>
        <w:footnoteRef/>
      </w:r>
      <w:r w:rsidRPr="00C22B22">
        <w:rPr>
          <w:rFonts w:ascii="Arial" w:hAnsi="Arial" w:cs="Arial"/>
        </w:rPr>
        <w:t xml:space="preserve"> </w:t>
      </w:r>
      <w:r w:rsidR="00DF67F6" w:rsidRPr="00C22B22">
        <w:rPr>
          <w:rFonts w:ascii="Arial" w:hAnsi="Arial" w:cs="Arial"/>
          <w:lang w:val="en-US"/>
        </w:rPr>
        <w:t>State of Queensland (Public Service Commission)</w:t>
      </w:r>
      <w:r w:rsidR="00FA58E3" w:rsidRPr="00C22B22">
        <w:rPr>
          <w:rFonts w:ascii="Arial" w:hAnsi="Arial" w:cs="Arial"/>
          <w:lang w:val="en-US"/>
        </w:rPr>
        <w:t xml:space="preserve">, </w:t>
      </w:r>
      <w:r w:rsidR="00FA58E3" w:rsidRPr="00C22B22">
        <w:rPr>
          <w:rFonts w:ascii="Arial" w:hAnsi="Arial" w:cs="Arial"/>
          <w:i/>
          <w:iCs/>
          <w:lang w:val="en-US"/>
        </w:rPr>
        <w:t xml:space="preserve">Code of Conduct for the Queensland Public Service </w:t>
      </w:r>
      <w:r w:rsidR="00FA58E3" w:rsidRPr="00C22B22">
        <w:rPr>
          <w:rFonts w:ascii="Arial" w:hAnsi="Arial" w:cs="Arial"/>
          <w:lang w:val="en-US"/>
        </w:rPr>
        <w:t>(</w:t>
      </w:r>
      <w:r w:rsidRPr="00C22B22">
        <w:rPr>
          <w:rFonts w:ascii="Arial" w:hAnsi="Arial" w:cs="Arial"/>
          <w:lang w:val="en-US"/>
        </w:rPr>
        <w:t>1 January 2011</w:t>
      </w:r>
      <w:r w:rsidR="00FA58E3" w:rsidRPr="00C22B22">
        <w:rPr>
          <w:rFonts w:ascii="Arial" w:hAnsi="Arial" w:cs="Arial"/>
          <w:lang w:val="en-US"/>
        </w:rPr>
        <w:t>).</w:t>
      </w:r>
    </w:p>
  </w:footnote>
  <w:footnote w:id="7">
    <w:p w14:paraId="3F4D28B6" w14:textId="5532BF24" w:rsidR="0088749E" w:rsidRPr="00C22B22" w:rsidRDefault="0088749E">
      <w:pPr>
        <w:pStyle w:val="FootnoteText"/>
        <w:rPr>
          <w:rFonts w:ascii="Arial" w:hAnsi="Arial" w:cs="Arial"/>
          <w:lang w:val="en-US"/>
        </w:rPr>
      </w:pPr>
      <w:r>
        <w:rPr>
          <w:rStyle w:val="FootnoteReference"/>
        </w:rPr>
        <w:footnoteRef/>
      </w:r>
      <w:r>
        <w:t xml:space="preserve"> </w:t>
      </w:r>
      <w:r w:rsidRPr="00C22B22">
        <w:rPr>
          <w:rFonts w:ascii="Arial" w:hAnsi="Arial" w:cs="Arial"/>
        </w:rPr>
        <w:t>‘</w:t>
      </w:r>
      <w:r w:rsidRPr="007D44B4">
        <w:rPr>
          <w:rFonts w:ascii="Arial" w:hAnsi="Arial" w:cs="Arial"/>
        </w:rPr>
        <w:t xml:space="preserve">Spent convictions’ are defined in the Bill as meaning convictions for which the rehabilitation period under the </w:t>
      </w:r>
      <w:r w:rsidRPr="007D44B4">
        <w:rPr>
          <w:rFonts w:ascii="Arial" w:hAnsi="Arial" w:cs="Arial"/>
          <w:i/>
          <w:iCs/>
        </w:rPr>
        <w:t>Criminal Law (Rehabilitation of Offenders) Act 1986</w:t>
      </w:r>
      <w:r w:rsidRPr="007D44B4">
        <w:rPr>
          <w:rFonts w:ascii="Arial" w:hAnsi="Arial" w:cs="Arial"/>
        </w:rPr>
        <w:t xml:space="preserve"> (Qld) has expired and has not been revived. Broadly speaking this is 10 years for convictions dealt with as an adult, and otherwise 5 years.</w:t>
      </w:r>
    </w:p>
  </w:footnote>
  <w:footnote w:id="8">
    <w:p w14:paraId="6DE3850B" w14:textId="55F03763" w:rsidR="00B421B1" w:rsidRPr="008A533F" w:rsidRDefault="00B421B1">
      <w:pPr>
        <w:pStyle w:val="FootnoteText"/>
        <w:rPr>
          <w:rFonts w:ascii="Arial" w:hAnsi="Arial" w:cs="Arial"/>
          <w:lang w:val="en-US"/>
        </w:rPr>
      </w:pPr>
      <w:r w:rsidRPr="00C22B22">
        <w:rPr>
          <w:rStyle w:val="FootnoteReference"/>
          <w:rFonts w:ascii="Arial" w:hAnsi="Arial" w:cs="Arial"/>
        </w:rPr>
        <w:footnoteRef/>
      </w:r>
      <w:r w:rsidRPr="00C22B22">
        <w:rPr>
          <w:rFonts w:ascii="Arial" w:hAnsi="Arial" w:cs="Arial"/>
        </w:rPr>
        <w:t xml:space="preserve"> </w:t>
      </w:r>
      <w:r w:rsidRPr="008A533F">
        <w:rPr>
          <w:rFonts w:ascii="Arial" w:hAnsi="Arial" w:cs="Arial"/>
          <w:i/>
          <w:iCs/>
          <w:lang w:val="en-US"/>
        </w:rPr>
        <w:t>Human Rights Act 2019</w:t>
      </w:r>
      <w:r w:rsidRPr="008A533F">
        <w:rPr>
          <w:rFonts w:ascii="Arial" w:hAnsi="Arial" w:cs="Arial"/>
          <w:lang w:val="en-US"/>
        </w:rPr>
        <w:t xml:space="preserve"> (Qld) ss 15, 23 and 25.</w:t>
      </w:r>
    </w:p>
  </w:footnote>
  <w:footnote w:id="9">
    <w:p w14:paraId="2E1CC812" w14:textId="4A28FABB" w:rsidR="00773DC3" w:rsidRPr="008A533F" w:rsidRDefault="00773DC3">
      <w:pPr>
        <w:pStyle w:val="FootnoteText"/>
        <w:rPr>
          <w:rFonts w:ascii="Arial" w:hAnsi="Arial" w:cs="Arial"/>
        </w:rPr>
      </w:pPr>
      <w:r w:rsidRPr="008A533F">
        <w:rPr>
          <w:rStyle w:val="FootnoteReference"/>
          <w:rFonts w:ascii="Arial" w:hAnsi="Arial" w:cs="Arial"/>
        </w:rPr>
        <w:footnoteRef/>
      </w:r>
      <w:r w:rsidRPr="008A533F">
        <w:rPr>
          <w:rFonts w:ascii="Arial" w:hAnsi="Arial" w:cs="Arial"/>
        </w:rPr>
        <w:t xml:space="preserve"> </w:t>
      </w:r>
      <w:r w:rsidR="004E7E91" w:rsidRPr="008A533F">
        <w:rPr>
          <w:rFonts w:ascii="Arial" w:hAnsi="Arial" w:cs="Arial"/>
          <w:lang w:val="en-US"/>
        </w:rPr>
        <w:t>Explanatory Notes, Path to Treaty Bill 2023 (Qld) 9-10.</w:t>
      </w:r>
    </w:p>
  </w:footnote>
  <w:footnote w:id="10">
    <w:p w14:paraId="5C91CA69" w14:textId="30D11B45" w:rsidR="008A533F" w:rsidRPr="008A533F" w:rsidRDefault="008A533F">
      <w:pPr>
        <w:pStyle w:val="FootnoteText"/>
        <w:rPr>
          <w:lang w:val="en-US"/>
        </w:rPr>
      </w:pPr>
      <w:r w:rsidRPr="008A533F">
        <w:rPr>
          <w:rStyle w:val="FootnoteReference"/>
          <w:rFonts w:ascii="Arial" w:hAnsi="Arial" w:cs="Arial"/>
        </w:rPr>
        <w:footnoteRef/>
      </w:r>
      <w:r w:rsidRPr="008A533F">
        <w:rPr>
          <w:rFonts w:ascii="Arial" w:hAnsi="Arial" w:cs="Arial"/>
        </w:rPr>
        <w:t xml:space="preserve"> </w:t>
      </w:r>
      <w:r w:rsidR="007D44B4">
        <w:rPr>
          <w:rFonts w:ascii="Arial" w:hAnsi="Arial" w:cs="Arial"/>
        </w:rPr>
        <w:t xml:space="preserve">Path to </w:t>
      </w:r>
      <w:r w:rsidRPr="008A533F">
        <w:rPr>
          <w:rFonts w:ascii="Arial" w:hAnsi="Arial" w:cs="Arial"/>
          <w:lang w:val="en-US"/>
        </w:rPr>
        <w:t>Treaty Bill 2023 (Qld) clause 64.</w:t>
      </w:r>
    </w:p>
  </w:footnote>
  <w:footnote w:id="11">
    <w:p w14:paraId="4A2F578E" w14:textId="7A341AEB" w:rsidR="007C4819" w:rsidRPr="00C22B22" w:rsidRDefault="00C634CA" w:rsidP="007C4819">
      <w:pPr>
        <w:pStyle w:val="FootnoteText"/>
        <w:rPr>
          <w:rFonts w:ascii="Arial" w:hAnsi="Arial" w:cs="Arial"/>
        </w:rPr>
      </w:pPr>
      <w:r w:rsidRPr="00C22B22">
        <w:rPr>
          <w:rStyle w:val="FootnoteReference"/>
          <w:rFonts w:ascii="Arial" w:hAnsi="Arial" w:cs="Arial"/>
        </w:rPr>
        <w:footnoteRef/>
      </w:r>
      <w:r w:rsidR="007C4819" w:rsidRPr="00C22B22">
        <w:rPr>
          <w:rFonts w:ascii="Arial" w:hAnsi="Arial" w:cs="Arial"/>
        </w:rPr>
        <w:t xml:space="preserve"> State of Queensland (Department of Seniors, Disability Services and Aboriginal and Torres</w:t>
      </w:r>
    </w:p>
    <w:p w14:paraId="234D90DD" w14:textId="3BF9A17B" w:rsidR="00C634CA" w:rsidRPr="00C22B22" w:rsidRDefault="007C4819" w:rsidP="007C4819">
      <w:pPr>
        <w:pStyle w:val="FootnoteText"/>
        <w:rPr>
          <w:rFonts w:ascii="Arial" w:hAnsi="Arial" w:cs="Arial"/>
          <w:lang w:val="en-US"/>
        </w:rPr>
      </w:pPr>
      <w:r w:rsidRPr="00C22B22">
        <w:rPr>
          <w:rFonts w:ascii="Arial" w:hAnsi="Arial" w:cs="Arial"/>
        </w:rPr>
        <w:t xml:space="preserve">Strait Islander Partnerships) </w:t>
      </w:r>
      <w:r w:rsidRPr="00C22B22">
        <w:rPr>
          <w:rFonts w:ascii="Arial" w:hAnsi="Arial" w:cs="Arial"/>
          <w:i/>
          <w:iCs/>
        </w:rPr>
        <w:t>Treaty Advancement Committee Report</w:t>
      </w:r>
      <w:r w:rsidRPr="00C22B22">
        <w:rPr>
          <w:rFonts w:ascii="Arial" w:hAnsi="Arial" w:cs="Arial"/>
        </w:rPr>
        <w:t>, October 2021</w:t>
      </w:r>
      <w:r w:rsidR="00C634CA" w:rsidRPr="00C22B22">
        <w:rPr>
          <w:rFonts w:ascii="Arial" w:hAnsi="Arial" w:cs="Arial"/>
        </w:rPr>
        <w:t xml:space="preserve"> </w:t>
      </w:r>
      <w:r w:rsidR="00C634CA" w:rsidRPr="00C22B22">
        <w:rPr>
          <w:rFonts w:ascii="Arial" w:hAnsi="Arial" w:cs="Arial"/>
          <w:lang w:val="en-US"/>
        </w:rPr>
        <w:t>34.</w:t>
      </w:r>
    </w:p>
  </w:footnote>
  <w:footnote w:id="12">
    <w:p w14:paraId="0C1896AE" w14:textId="54C7FC50" w:rsidR="00C85EAD" w:rsidRPr="00C85EAD" w:rsidRDefault="00C85EAD">
      <w:pPr>
        <w:pStyle w:val="FootnoteText"/>
        <w:rPr>
          <w:lang w:val="en-US"/>
        </w:rPr>
      </w:pPr>
      <w:r w:rsidRPr="00C22B22">
        <w:rPr>
          <w:rStyle w:val="FootnoteReference"/>
          <w:rFonts w:ascii="Arial" w:hAnsi="Arial" w:cs="Arial"/>
        </w:rPr>
        <w:footnoteRef/>
      </w:r>
      <w:r w:rsidRPr="00C22B22">
        <w:rPr>
          <w:rFonts w:ascii="Arial" w:hAnsi="Arial" w:cs="Arial"/>
        </w:rPr>
        <w:t xml:space="preserve"> Evidence </w:t>
      </w:r>
      <w:r w:rsidR="009E4AFB" w:rsidRPr="00C22B22">
        <w:rPr>
          <w:rFonts w:ascii="Arial" w:hAnsi="Arial" w:cs="Arial"/>
        </w:rPr>
        <w:t xml:space="preserve">to Community Support and Services Committee, Queensland Parliament, Brisbane, 13 March 2023, 38.38 min (Jason </w:t>
      </w:r>
      <w:r w:rsidRPr="00C22B22">
        <w:rPr>
          <w:rFonts w:ascii="Arial" w:hAnsi="Arial" w:cs="Arial"/>
        </w:rPr>
        <w:t>Kidd</w:t>
      </w:r>
      <w:r w:rsidR="009E4AFB" w:rsidRPr="00C22B22">
        <w:rPr>
          <w:rFonts w:ascii="Arial" w:hAnsi="Arial" w:cs="Arial"/>
        </w:rPr>
        <w:t>, Acting Deputy Director-General, Disability Services and Aboriginal and Torres Strait Islander Partnerships).</w:t>
      </w:r>
    </w:p>
  </w:footnote>
  <w:footnote w:id="13">
    <w:p w14:paraId="368FE8E7" w14:textId="080C1508" w:rsidR="006F1061" w:rsidRPr="00C22B22" w:rsidRDefault="006F1061" w:rsidP="00C85EAD">
      <w:pPr>
        <w:pStyle w:val="FootnoteText"/>
        <w:rPr>
          <w:rFonts w:ascii="Arial" w:hAnsi="Arial" w:cs="Arial"/>
          <w:lang w:val="en-US"/>
        </w:rPr>
      </w:pPr>
      <w:r w:rsidRPr="00C22B22">
        <w:rPr>
          <w:rStyle w:val="FootnoteReference"/>
          <w:rFonts w:ascii="Arial" w:hAnsi="Arial" w:cs="Arial"/>
        </w:rPr>
        <w:footnoteRef/>
      </w:r>
      <w:r w:rsidRPr="00C22B22">
        <w:rPr>
          <w:rFonts w:ascii="Arial" w:hAnsi="Arial" w:cs="Arial"/>
        </w:rPr>
        <w:t xml:space="preserve"> </w:t>
      </w:r>
      <w:r w:rsidR="00C85EAD" w:rsidRPr="00C22B22">
        <w:rPr>
          <w:rFonts w:ascii="Arial" w:hAnsi="Arial" w:cs="Arial"/>
          <w:lang w:val="en-US"/>
        </w:rPr>
        <w:t xml:space="preserve">Letters patent from the </w:t>
      </w:r>
      <w:proofErr w:type="spellStart"/>
      <w:r w:rsidR="00C85EAD" w:rsidRPr="00C22B22">
        <w:rPr>
          <w:rFonts w:ascii="Arial" w:hAnsi="Arial" w:cs="Arial"/>
          <w:lang w:val="en-US"/>
        </w:rPr>
        <w:t>Honourable</w:t>
      </w:r>
      <w:proofErr w:type="spellEnd"/>
      <w:r w:rsidR="00C85EAD" w:rsidRPr="00C22B22">
        <w:rPr>
          <w:rFonts w:ascii="Arial" w:hAnsi="Arial" w:cs="Arial"/>
          <w:lang w:val="en-US"/>
        </w:rPr>
        <w:t xml:space="preserve"> Linda Dessau AC, Governor of Victoria, 12 May 2021, </w:t>
      </w:r>
      <w:r w:rsidR="00942565">
        <w:rPr>
          <w:rFonts w:ascii="Arial" w:hAnsi="Arial" w:cs="Arial"/>
          <w:lang w:val="en-US"/>
        </w:rPr>
        <w:t>s</w:t>
      </w:r>
      <w:r w:rsidR="001C1DD2" w:rsidRPr="00C22B22">
        <w:rPr>
          <w:rFonts w:ascii="Arial" w:hAnsi="Arial" w:cs="Arial"/>
          <w:lang w:val="en-US"/>
        </w:rPr>
        <w:t xml:space="preserve">ection 4(g) </w:t>
      </w:r>
      <w:r w:rsidR="00C85EAD" w:rsidRPr="00C22B22">
        <w:rPr>
          <w:rFonts w:ascii="Arial" w:hAnsi="Arial" w:cs="Arial"/>
          <w:lang w:val="en-US"/>
        </w:rPr>
        <w:t>&lt;https://yoorrookjusticecommission.org.au/wp-content/uploads/2021/09/Letters-Patent-Yoo-rrook-Justice-Commission-signed-10-1.pdf&gt;.</w:t>
      </w:r>
    </w:p>
  </w:footnote>
  <w:footnote w:id="14">
    <w:p w14:paraId="05628359" w14:textId="07517E61" w:rsidR="00874208" w:rsidRPr="00874208" w:rsidRDefault="00874208">
      <w:pPr>
        <w:pStyle w:val="FootnoteText"/>
        <w:rPr>
          <w:lang w:val="en-US"/>
        </w:rPr>
      </w:pPr>
      <w:r w:rsidRPr="00C22B22">
        <w:rPr>
          <w:rStyle w:val="FootnoteReference"/>
          <w:rFonts w:ascii="Arial" w:hAnsi="Arial" w:cs="Arial"/>
        </w:rPr>
        <w:footnoteRef/>
      </w:r>
      <w:r w:rsidRPr="00C22B22">
        <w:rPr>
          <w:rFonts w:ascii="Arial" w:hAnsi="Arial" w:cs="Arial"/>
        </w:rPr>
        <w:t xml:space="preserve"> </w:t>
      </w:r>
      <w:r w:rsidR="00C22B22" w:rsidRPr="00C22B22">
        <w:rPr>
          <w:rFonts w:ascii="Arial" w:hAnsi="Arial" w:cs="Arial"/>
          <w:lang w:val="en-US"/>
        </w:rPr>
        <w:t xml:space="preserve">Explanatory Notes, Path to Treaty Bill 2023 (Qld) </w:t>
      </w:r>
      <w:r w:rsidRPr="00C22B22">
        <w:rPr>
          <w:rFonts w:ascii="Arial" w:hAnsi="Arial" w:cs="Arial"/>
          <w:lang w:val="en-US"/>
        </w:rPr>
        <w:t>4</w:t>
      </w:r>
      <w:r w:rsidR="00C22B22" w:rsidRPr="00C22B22">
        <w:rPr>
          <w:rFonts w:ascii="Arial" w:hAnsi="Arial" w:cs="Arial"/>
          <w:lang w:val="en-US"/>
        </w:rPr>
        <w:t>.</w:t>
      </w:r>
    </w:p>
  </w:footnote>
  <w:footnote w:id="15">
    <w:p w14:paraId="02676A6A" w14:textId="3D0653B0" w:rsidR="003177EF" w:rsidRPr="00225614" w:rsidRDefault="003177EF">
      <w:pPr>
        <w:pStyle w:val="FootnoteText"/>
        <w:rPr>
          <w:rFonts w:ascii="Arial" w:hAnsi="Arial" w:cs="Arial"/>
          <w:lang w:val="en-US"/>
        </w:rPr>
      </w:pPr>
      <w:r w:rsidRPr="00225614">
        <w:rPr>
          <w:rStyle w:val="FootnoteReference"/>
          <w:rFonts w:ascii="Arial" w:hAnsi="Arial" w:cs="Arial"/>
        </w:rPr>
        <w:footnoteRef/>
      </w:r>
      <w:r w:rsidRPr="00225614">
        <w:rPr>
          <w:rFonts w:ascii="Arial" w:hAnsi="Arial" w:cs="Arial"/>
        </w:rPr>
        <w:t xml:space="preserve"> </w:t>
      </w:r>
      <w:r w:rsidRPr="00225614">
        <w:rPr>
          <w:rFonts w:ascii="Arial" w:hAnsi="Arial" w:cs="Arial"/>
          <w:lang w:val="en-US"/>
        </w:rPr>
        <w:t>Path to Treaty Bill 2023 (Qld) clause 85.</w:t>
      </w:r>
    </w:p>
  </w:footnote>
  <w:footnote w:id="16">
    <w:p w14:paraId="3FFB77DB" w14:textId="73C152DC" w:rsidR="003177EF" w:rsidRPr="003177EF" w:rsidRDefault="003177EF">
      <w:pPr>
        <w:pStyle w:val="FootnoteText"/>
        <w:rPr>
          <w:lang w:val="en-US"/>
        </w:rPr>
      </w:pPr>
      <w:r w:rsidRPr="00225614">
        <w:rPr>
          <w:rStyle w:val="FootnoteReference"/>
          <w:rFonts w:ascii="Arial" w:hAnsi="Arial" w:cs="Arial"/>
        </w:rPr>
        <w:footnoteRef/>
      </w:r>
      <w:r w:rsidRPr="00225614">
        <w:rPr>
          <w:rFonts w:ascii="Arial" w:hAnsi="Arial" w:cs="Arial"/>
        </w:rPr>
        <w:t xml:space="preserve"> </w:t>
      </w:r>
      <w:r w:rsidRPr="00225614">
        <w:rPr>
          <w:rFonts w:ascii="Arial" w:hAnsi="Arial" w:cs="Arial"/>
          <w:lang w:val="en-US"/>
        </w:rPr>
        <w:t xml:space="preserve">Path to Treaty Bill 2023 (Qld) Schedule 1 (definition of ‘personal information’); </w:t>
      </w:r>
      <w:r w:rsidRPr="00225614">
        <w:rPr>
          <w:rFonts w:ascii="Arial" w:hAnsi="Arial" w:cs="Arial"/>
          <w:i/>
          <w:iCs/>
          <w:lang w:val="en-US"/>
        </w:rPr>
        <w:t>Information Privacy Act 2009</w:t>
      </w:r>
      <w:r w:rsidRPr="00225614">
        <w:rPr>
          <w:rFonts w:ascii="Arial" w:hAnsi="Arial" w:cs="Arial"/>
          <w:lang w:val="en-US"/>
        </w:rPr>
        <w:t xml:space="preserve"> (Qld) s 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A821B" w14:textId="490DA5E0" w:rsidR="00644E6C" w:rsidRDefault="00284EE8" w:rsidP="00644E6C">
    <w:pPr>
      <w:pStyle w:val="Header"/>
      <w:tabs>
        <w:tab w:val="clear" w:pos="4513"/>
        <w:tab w:val="clear" w:pos="9026"/>
        <w:tab w:val="right" w:pos="9332"/>
      </w:tabs>
      <w:rPr>
        <w:rFonts w:ascii="Arial" w:hAnsi="Arial" w:cs="Arial"/>
        <w:sz w:val="20"/>
        <w:lang w:val="en-US"/>
      </w:rPr>
    </w:pPr>
    <w:r>
      <w:rPr>
        <w:rFonts w:ascii="Arial" w:hAnsi="Arial" w:cs="Arial"/>
        <w:sz w:val="20"/>
        <w:lang w:val="en-US"/>
      </w:rPr>
      <w:t>Path to Treaty</w:t>
    </w:r>
    <w:r w:rsidR="00246E04">
      <w:rPr>
        <w:rFonts w:ascii="Arial" w:hAnsi="Arial" w:cs="Arial"/>
        <w:sz w:val="20"/>
        <w:lang w:val="en-US"/>
      </w:rPr>
      <w:t xml:space="preserve"> Bill 2023</w:t>
    </w:r>
    <w:r>
      <w:rPr>
        <w:rFonts w:ascii="Arial" w:hAnsi="Arial" w:cs="Arial"/>
        <w:sz w:val="20"/>
        <w:lang w:val="en-US"/>
      </w:rPr>
      <w:tab/>
    </w:r>
    <w:r w:rsidRPr="004809C8">
      <w:rPr>
        <w:rFonts w:ascii="Arial" w:hAnsi="Arial" w:cs="Arial"/>
        <w:sz w:val="20"/>
        <w:lang w:val="en-US"/>
      </w:rPr>
      <w:t xml:space="preserve">Page </w:t>
    </w:r>
    <w:r w:rsidRPr="004809C8">
      <w:rPr>
        <w:rFonts w:ascii="Arial" w:hAnsi="Arial" w:cs="Arial"/>
        <w:bCs/>
        <w:sz w:val="20"/>
        <w:lang w:val="en-US"/>
      </w:rPr>
      <w:fldChar w:fldCharType="begin"/>
    </w:r>
    <w:r w:rsidRPr="004809C8">
      <w:rPr>
        <w:rFonts w:ascii="Arial" w:hAnsi="Arial" w:cs="Arial"/>
        <w:bCs/>
        <w:sz w:val="20"/>
        <w:lang w:val="en-US"/>
      </w:rPr>
      <w:instrText xml:space="preserve"> PAGE  \* Arabic  \* MERGEFORMAT </w:instrText>
    </w:r>
    <w:r w:rsidRPr="004809C8">
      <w:rPr>
        <w:rFonts w:ascii="Arial" w:hAnsi="Arial" w:cs="Arial"/>
        <w:bCs/>
        <w:sz w:val="20"/>
        <w:lang w:val="en-US"/>
      </w:rPr>
      <w:fldChar w:fldCharType="separate"/>
    </w:r>
    <w:r>
      <w:rPr>
        <w:rFonts w:ascii="Arial" w:hAnsi="Arial" w:cs="Arial"/>
        <w:bCs/>
        <w:noProof/>
        <w:sz w:val="20"/>
        <w:lang w:val="en-US"/>
      </w:rPr>
      <w:t>2</w:t>
    </w:r>
    <w:r w:rsidRPr="004809C8">
      <w:rPr>
        <w:rFonts w:ascii="Arial" w:hAnsi="Arial" w:cs="Arial"/>
        <w:bCs/>
        <w:sz w:val="20"/>
        <w:lang w:val="en-US"/>
      </w:rPr>
      <w:fldChar w:fldCharType="end"/>
    </w:r>
    <w:r w:rsidRPr="004809C8">
      <w:rPr>
        <w:rFonts w:ascii="Arial" w:hAnsi="Arial" w:cs="Arial"/>
        <w:sz w:val="20"/>
        <w:lang w:val="en-US"/>
      </w:rPr>
      <w:t xml:space="preserve"> of </w:t>
    </w:r>
    <w:r w:rsidRPr="004809C8">
      <w:rPr>
        <w:rFonts w:ascii="Arial" w:hAnsi="Arial" w:cs="Arial"/>
        <w:bCs/>
        <w:sz w:val="20"/>
        <w:lang w:val="en-US"/>
      </w:rPr>
      <w:fldChar w:fldCharType="begin"/>
    </w:r>
    <w:r w:rsidRPr="004809C8">
      <w:rPr>
        <w:rFonts w:ascii="Arial" w:hAnsi="Arial" w:cs="Arial"/>
        <w:bCs/>
        <w:sz w:val="20"/>
        <w:lang w:val="en-US"/>
      </w:rPr>
      <w:instrText xml:space="preserve"> NUMPAGES  \* Arabic  \* MERGEFORMAT </w:instrText>
    </w:r>
    <w:r w:rsidRPr="004809C8">
      <w:rPr>
        <w:rFonts w:ascii="Arial" w:hAnsi="Arial" w:cs="Arial"/>
        <w:bCs/>
        <w:sz w:val="20"/>
        <w:lang w:val="en-US"/>
      </w:rPr>
      <w:fldChar w:fldCharType="separate"/>
    </w:r>
    <w:r>
      <w:rPr>
        <w:rFonts w:ascii="Arial" w:hAnsi="Arial" w:cs="Arial"/>
        <w:bCs/>
        <w:noProof/>
        <w:sz w:val="20"/>
        <w:lang w:val="en-US"/>
      </w:rPr>
      <w:t>2</w:t>
    </w:r>
    <w:r w:rsidRPr="004809C8">
      <w:rPr>
        <w:rFonts w:ascii="Arial" w:hAnsi="Arial" w:cs="Arial"/>
        <w:bCs/>
        <w:sz w:val="20"/>
        <w:lang w:val="en-US"/>
      </w:rPr>
      <w:fldChar w:fldCharType="end"/>
    </w:r>
  </w:p>
  <w:p w14:paraId="623E0E1D" w14:textId="77777777" w:rsidR="00644E6C" w:rsidRDefault="00644E6C" w:rsidP="00644E6C">
    <w:pPr>
      <w:pStyle w:val="Header"/>
      <w:pBdr>
        <w:bottom w:val="single" w:sz="6" w:space="1" w:color="auto"/>
      </w:pBdr>
      <w:tabs>
        <w:tab w:val="clear" w:pos="4513"/>
        <w:tab w:val="clear" w:pos="9026"/>
        <w:tab w:val="right" w:pos="9332"/>
      </w:tabs>
      <w:rPr>
        <w:rFonts w:ascii="Arial" w:hAnsi="Arial" w:cs="Arial"/>
        <w:sz w:val="20"/>
        <w:lang w:val="en-US"/>
      </w:rPr>
    </w:pPr>
  </w:p>
  <w:p w14:paraId="01B0533E" w14:textId="77777777" w:rsidR="00644E6C" w:rsidRPr="00163A3A" w:rsidRDefault="00644E6C" w:rsidP="00644E6C">
    <w:pPr>
      <w:pStyle w:val="Header"/>
      <w:tabs>
        <w:tab w:val="clear" w:pos="4513"/>
        <w:tab w:val="clear" w:pos="9026"/>
        <w:tab w:val="right" w:pos="9332"/>
      </w:tabs>
      <w:rPr>
        <w:rFonts w:ascii="Arial" w:hAnsi="Arial" w:cs="Arial"/>
        <w:sz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A79DF" w14:textId="79F536CE" w:rsidR="00644E6C" w:rsidRDefault="003647CE" w:rsidP="00644E6C">
    <w:pPr>
      <w:pStyle w:val="Header"/>
      <w:tabs>
        <w:tab w:val="clear" w:pos="4513"/>
        <w:tab w:val="clear" w:pos="9026"/>
      </w:tabs>
    </w:pPr>
    <w:r w:rsidRPr="002A3956">
      <w:rPr>
        <w:noProof/>
      </w:rPr>
      <w:drawing>
        <wp:inline distT="0" distB="0" distL="0" distR="0" wp14:anchorId="60A8A566" wp14:editId="5D96B6F1">
          <wp:extent cx="2124075" cy="8953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l="4526"/>
                  <a:stretch>
                    <a:fillRect/>
                  </a:stretch>
                </pic:blipFill>
                <pic:spPr bwMode="auto">
                  <a:xfrm>
                    <a:off x="0" y="0"/>
                    <a:ext cx="2124075" cy="895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70BED"/>
    <w:multiLevelType w:val="hybridMultilevel"/>
    <w:tmpl w:val="FFFFFFFF"/>
    <w:lvl w:ilvl="0" w:tplc="518CD318">
      <w:start w:val="1"/>
      <w:numFmt w:val="decimal"/>
      <w:lvlText w:val="(%1)"/>
      <w:lvlJc w:val="left"/>
      <w:pPr>
        <w:ind w:left="1080" w:hanging="360"/>
      </w:pPr>
      <w:rPr>
        <w:rFonts w:cs="Times New Roman" w:hint="default"/>
      </w:rPr>
    </w:lvl>
    <w:lvl w:ilvl="1" w:tplc="86607A1E">
      <w:start w:val="1"/>
      <w:numFmt w:val="lowerLetter"/>
      <w:lvlText w:val="(%2)"/>
      <w:lvlJc w:val="left"/>
      <w:pPr>
        <w:ind w:left="1800" w:hanging="360"/>
      </w:pPr>
      <w:rPr>
        <w:rFonts w:cs="Times New Roman" w:hint="default"/>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1" w15:restartNumberingAfterBreak="0">
    <w:nsid w:val="1AED397D"/>
    <w:multiLevelType w:val="hybridMultilevel"/>
    <w:tmpl w:val="452651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C5C43DB"/>
    <w:multiLevelType w:val="hybridMultilevel"/>
    <w:tmpl w:val="2FC852F4"/>
    <w:lvl w:ilvl="0" w:tplc="75E8AABA">
      <w:start w:val="5"/>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3465E0F"/>
    <w:multiLevelType w:val="hybridMultilevel"/>
    <w:tmpl w:val="595214E2"/>
    <w:lvl w:ilvl="0" w:tplc="DCF429B4">
      <w:start w:val="5"/>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4983995"/>
    <w:multiLevelType w:val="hybridMultilevel"/>
    <w:tmpl w:val="9C9E05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124106312">
    <w:abstractNumId w:val="0"/>
  </w:num>
  <w:num w:numId="2" w16cid:durableId="460853391">
    <w:abstractNumId w:val="2"/>
  </w:num>
  <w:num w:numId="3" w16cid:durableId="1885292656">
    <w:abstractNumId w:val="3"/>
  </w:num>
  <w:num w:numId="4" w16cid:durableId="2022778529">
    <w:abstractNumId w:val="4"/>
  </w:num>
  <w:num w:numId="5" w16cid:durableId="1324435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7CE"/>
    <w:rsid w:val="00015AAB"/>
    <w:rsid w:val="00027198"/>
    <w:rsid w:val="00030DAD"/>
    <w:rsid w:val="00070687"/>
    <w:rsid w:val="00073ECB"/>
    <w:rsid w:val="00084535"/>
    <w:rsid w:val="000924AF"/>
    <w:rsid w:val="00093542"/>
    <w:rsid w:val="000D07AA"/>
    <w:rsid w:val="000D171E"/>
    <w:rsid w:val="000F6E06"/>
    <w:rsid w:val="00101B8F"/>
    <w:rsid w:val="001226A8"/>
    <w:rsid w:val="00147646"/>
    <w:rsid w:val="001579C8"/>
    <w:rsid w:val="001835C0"/>
    <w:rsid w:val="0019230A"/>
    <w:rsid w:val="00196830"/>
    <w:rsid w:val="001C1DD2"/>
    <w:rsid w:val="001F310C"/>
    <w:rsid w:val="0021630B"/>
    <w:rsid w:val="00225614"/>
    <w:rsid w:val="002449AC"/>
    <w:rsid w:val="00246E04"/>
    <w:rsid w:val="002644C5"/>
    <w:rsid w:val="00284EE8"/>
    <w:rsid w:val="002B62E6"/>
    <w:rsid w:val="002D32D3"/>
    <w:rsid w:val="002E582A"/>
    <w:rsid w:val="002F0754"/>
    <w:rsid w:val="002F578B"/>
    <w:rsid w:val="002F5B70"/>
    <w:rsid w:val="0030790D"/>
    <w:rsid w:val="00312892"/>
    <w:rsid w:val="003177EF"/>
    <w:rsid w:val="00336AE5"/>
    <w:rsid w:val="0034366C"/>
    <w:rsid w:val="00351969"/>
    <w:rsid w:val="003646CC"/>
    <w:rsid w:val="003647CE"/>
    <w:rsid w:val="003D4863"/>
    <w:rsid w:val="003F0BAF"/>
    <w:rsid w:val="00407C10"/>
    <w:rsid w:val="00432B8D"/>
    <w:rsid w:val="004552C2"/>
    <w:rsid w:val="00481695"/>
    <w:rsid w:val="004A1CCA"/>
    <w:rsid w:val="004D5A0A"/>
    <w:rsid w:val="004E7E91"/>
    <w:rsid w:val="00552F82"/>
    <w:rsid w:val="00555A12"/>
    <w:rsid w:val="0059772E"/>
    <w:rsid w:val="005A387A"/>
    <w:rsid w:val="005B69AE"/>
    <w:rsid w:val="005D5BA4"/>
    <w:rsid w:val="005F02B7"/>
    <w:rsid w:val="00617FE1"/>
    <w:rsid w:val="00620533"/>
    <w:rsid w:val="006225D5"/>
    <w:rsid w:val="00644E6C"/>
    <w:rsid w:val="00671574"/>
    <w:rsid w:val="006A1B53"/>
    <w:rsid w:val="006F1061"/>
    <w:rsid w:val="006F3518"/>
    <w:rsid w:val="00755B42"/>
    <w:rsid w:val="00773DC3"/>
    <w:rsid w:val="00785FDB"/>
    <w:rsid w:val="00795472"/>
    <w:rsid w:val="007957FB"/>
    <w:rsid w:val="007970AE"/>
    <w:rsid w:val="007A3519"/>
    <w:rsid w:val="007C4819"/>
    <w:rsid w:val="007D44B4"/>
    <w:rsid w:val="00837524"/>
    <w:rsid w:val="00874208"/>
    <w:rsid w:val="00885018"/>
    <w:rsid w:val="0088604D"/>
    <w:rsid w:val="0088749E"/>
    <w:rsid w:val="00891713"/>
    <w:rsid w:val="008959B8"/>
    <w:rsid w:val="00897318"/>
    <w:rsid w:val="008A533F"/>
    <w:rsid w:val="008A671D"/>
    <w:rsid w:val="008F1A2D"/>
    <w:rsid w:val="008F270F"/>
    <w:rsid w:val="008F695F"/>
    <w:rsid w:val="00942565"/>
    <w:rsid w:val="009505FE"/>
    <w:rsid w:val="009626FB"/>
    <w:rsid w:val="00964464"/>
    <w:rsid w:val="00967CF4"/>
    <w:rsid w:val="0098152E"/>
    <w:rsid w:val="009A0BAB"/>
    <w:rsid w:val="009C190D"/>
    <w:rsid w:val="009E4AFB"/>
    <w:rsid w:val="009F6845"/>
    <w:rsid w:val="00A04D63"/>
    <w:rsid w:val="00A17248"/>
    <w:rsid w:val="00A278BA"/>
    <w:rsid w:val="00A30999"/>
    <w:rsid w:val="00A43992"/>
    <w:rsid w:val="00A56F70"/>
    <w:rsid w:val="00A6001D"/>
    <w:rsid w:val="00A62444"/>
    <w:rsid w:val="00A869C1"/>
    <w:rsid w:val="00A87E72"/>
    <w:rsid w:val="00AB54C4"/>
    <w:rsid w:val="00AF3A95"/>
    <w:rsid w:val="00B12C0B"/>
    <w:rsid w:val="00B15A57"/>
    <w:rsid w:val="00B35AEF"/>
    <w:rsid w:val="00B421B1"/>
    <w:rsid w:val="00B61A0C"/>
    <w:rsid w:val="00B71620"/>
    <w:rsid w:val="00B831AD"/>
    <w:rsid w:val="00BA3220"/>
    <w:rsid w:val="00C11BBF"/>
    <w:rsid w:val="00C22B22"/>
    <w:rsid w:val="00C30B12"/>
    <w:rsid w:val="00C4547C"/>
    <w:rsid w:val="00C55C63"/>
    <w:rsid w:val="00C634CA"/>
    <w:rsid w:val="00C85EAD"/>
    <w:rsid w:val="00C87275"/>
    <w:rsid w:val="00CA23A4"/>
    <w:rsid w:val="00CB7AF9"/>
    <w:rsid w:val="00CD3F9E"/>
    <w:rsid w:val="00D74A39"/>
    <w:rsid w:val="00D83B7A"/>
    <w:rsid w:val="00D8415D"/>
    <w:rsid w:val="00DA6478"/>
    <w:rsid w:val="00DB0363"/>
    <w:rsid w:val="00DD5B37"/>
    <w:rsid w:val="00DE20F4"/>
    <w:rsid w:val="00DF5B96"/>
    <w:rsid w:val="00DF67F6"/>
    <w:rsid w:val="00E32F61"/>
    <w:rsid w:val="00E434E3"/>
    <w:rsid w:val="00E45B77"/>
    <w:rsid w:val="00E97C9A"/>
    <w:rsid w:val="00EA2004"/>
    <w:rsid w:val="00EA41C6"/>
    <w:rsid w:val="00EC3A66"/>
    <w:rsid w:val="00EF3A9E"/>
    <w:rsid w:val="00F11E97"/>
    <w:rsid w:val="00F62472"/>
    <w:rsid w:val="00F6422E"/>
    <w:rsid w:val="00F73B26"/>
    <w:rsid w:val="00F746B2"/>
    <w:rsid w:val="00FA2709"/>
    <w:rsid w:val="00FA58E3"/>
    <w:rsid w:val="00FA6176"/>
    <w:rsid w:val="00FC6500"/>
    <w:rsid w:val="00FE31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AEAFA"/>
  <w15:chartTrackingRefBased/>
  <w15:docId w15:val="{7E431F44-352C-4F78-947C-C33EB6D52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4AFB"/>
    <w:pPr>
      <w:keepNext/>
      <w:keepLines/>
      <w:spacing w:before="240" w:after="240" w:line="240" w:lineRule="auto"/>
      <w:outlineLvl w:val="0"/>
    </w:pPr>
    <w:rPr>
      <w:rFonts w:ascii="Arial" w:eastAsiaTheme="majorEastAsia" w:hAnsi="Arial" w:cstheme="majorBidi"/>
      <w:b/>
      <w:bCs/>
      <w:sz w:val="24"/>
      <w:szCs w:val="32"/>
    </w:rPr>
  </w:style>
  <w:style w:type="paragraph" w:styleId="Heading2">
    <w:name w:val="heading 2"/>
    <w:basedOn w:val="Normal"/>
    <w:next w:val="Normal"/>
    <w:link w:val="Heading2Char"/>
    <w:uiPriority w:val="9"/>
    <w:unhideWhenUsed/>
    <w:qFormat/>
    <w:rsid w:val="001F310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47CE"/>
    <w:pPr>
      <w:tabs>
        <w:tab w:val="center" w:pos="4513"/>
        <w:tab w:val="right" w:pos="9026"/>
      </w:tabs>
      <w:spacing w:after="0" w:line="240" w:lineRule="auto"/>
    </w:pPr>
    <w:rPr>
      <w:rFonts w:ascii="Calibri" w:eastAsia="Times New Roman" w:hAnsi="Calibri" w:cs="Calibri"/>
      <w:color w:val="000000"/>
      <w:lang w:eastAsia="en-AU"/>
    </w:rPr>
  </w:style>
  <w:style w:type="character" w:customStyle="1" w:styleId="HeaderChar">
    <w:name w:val="Header Char"/>
    <w:basedOn w:val="DefaultParagraphFont"/>
    <w:link w:val="Header"/>
    <w:uiPriority w:val="99"/>
    <w:rsid w:val="003647CE"/>
    <w:rPr>
      <w:rFonts w:ascii="Calibri" w:eastAsia="Times New Roman" w:hAnsi="Calibri" w:cs="Calibri"/>
      <w:color w:val="000000"/>
      <w:lang w:eastAsia="en-AU"/>
    </w:rPr>
  </w:style>
  <w:style w:type="paragraph" w:styleId="Footer">
    <w:name w:val="footer"/>
    <w:basedOn w:val="Normal"/>
    <w:link w:val="FooterChar"/>
    <w:uiPriority w:val="99"/>
    <w:unhideWhenUsed/>
    <w:rsid w:val="003647CE"/>
    <w:pPr>
      <w:tabs>
        <w:tab w:val="center" w:pos="4513"/>
        <w:tab w:val="right" w:pos="9026"/>
      </w:tabs>
      <w:spacing w:after="0" w:line="240" w:lineRule="auto"/>
    </w:pPr>
    <w:rPr>
      <w:rFonts w:ascii="Calibri" w:eastAsia="Times New Roman" w:hAnsi="Calibri" w:cs="Calibri"/>
      <w:color w:val="000000"/>
      <w:lang w:eastAsia="en-AU"/>
    </w:rPr>
  </w:style>
  <w:style w:type="character" w:customStyle="1" w:styleId="FooterChar">
    <w:name w:val="Footer Char"/>
    <w:basedOn w:val="DefaultParagraphFont"/>
    <w:link w:val="Footer"/>
    <w:uiPriority w:val="99"/>
    <w:rsid w:val="003647CE"/>
    <w:rPr>
      <w:rFonts w:ascii="Calibri" w:eastAsia="Times New Roman" w:hAnsi="Calibri" w:cs="Calibri"/>
      <w:color w:val="000000"/>
      <w:lang w:eastAsia="en-AU"/>
    </w:rPr>
  </w:style>
  <w:style w:type="character" w:styleId="Hyperlink">
    <w:name w:val="Hyperlink"/>
    <w:basedOn w:val="DefaultParagraphFont"/>
    <w:uiPriority w:val="99"/>
    <w:unhideWhenUsed/>
    <w:rsid w:val="003647CE"/>
    <w:rPr>
      <w:rFonts w:cs="Times New Roman"/>
      <w:color w:val="0000FF"/>
      <w:u w:val="single"/>
    </w:rPr>
  </w:style>
  <w:style w:type="paragraph" w:styleId="ListParagraph">
    <w:name w:val="List Paragraph"/>
    <w:basedOn w:val="Normal"/>
    <w:uiPriority w:val="7"/>
    <w:qFormat/>
    <w:rsid w:val="003647CE"/>
    <w:pPr>
      <w:spacing w:line="256" w:lineRule="auto"/>
      <w:ind w:left="720"/>
      <w:contextualSpacing/>
    </w:pPr>
    <w:rPr>
      <w:rFonts w:ascii="Calibri" w:eastAsia="Times New Roman" w:hAnsi="Calibri" w:cs="Calibri"/>
      <w:color w:val="000000"/>
      <w:lang w:eastAsia="en-AU"/>
    </w:rPr>
  </w:style>
  <w:style w:type="character" w:styleId="CommentReference">
    <w:name w:val="annotation reference"/>
    <w:basedOn w:val="DefaultParagraphFont"/>
    <w:uiPriority w:val="99"/>
    <w:semiHidden/>
    <w:unhideWhenUsed/>
    <w:rsid w:val="00246E04"/>
    <w:rPr>
      <w:sz w:val="16"/>
      <w:szCs w:val="16"/>
    </w:rPr>
  </w:style>
  <w:style w:type="paragraph" w:styleId="CommentText">
    <w:name w:val="annotation text"/>
    <w:basedOn w:val="Normal"/>
    <w:link w:val="CommentTextChar"/>
    <w:uiPriority w:val="99"/>
    <w:unhideWhenUsed/>
    <w:rsid w:val="00246E04"/>
    <w:pPr>
      <w:spacing w:line="240" w:lineRule="auto"/>
    </w:pPr>
    <w:rPr>
      <w:sz w:val="20"/>
      <w:szCs w:val="20"/>
    </w:rPr>
  </w:style>
  <w:style w:type="character" w:customStyle="1" w:styleId="CommentTextChar">
    <w:name w:val="Comment Text Char"/>
    <w:basedOn w:val="DefaultParagraphFont"/>
    <w:link w:val="CommentText"/>
    <w:uiPriority w:val="99"/>
    <w:rsid w:val="00246E04"/>
    <w:rPr>
      <w:sz w:val="20"/>
      <w:szCs w:val="20"/>
    </w:rPr>
  </w:style>
  <w:style w:type="paragraph" w:styleId="CommentSubject">
    <w:name w:val="annotation subject"/>
    <w:basedOn w:val="CommentText"/>
    <w:next w:val="CommentText"/>
    <w:link w:val="CommentSubjectChar"/>
    <w:uiPriority w:val="99"/>
    <w:semiHidden/>
    <w:unhideWhenUsed/>
    <w:rsid w:val="00246E04"/>
    <w:rPr>
      <w:b/>
      <w:bCs/>
    </w:rPr>
  </w:style>
  <w:style w:type="character" w:customStyle="1" w:styleId="CommentSubjectChar">
    <w:name w:val="Comment Subject Char"/>
    <w:basedOn w:val="CommentTextChar"/>
    <w:link w:val="CommentSubject"/>
    <w:uiPriority w:val="99"/>
    <w:semiHidden/>
    <w:rsid w:val="00246E04"/>
    <w:rPr>
      <w:b/>
      <w:bCs/>
      <w:sz w:val="20"/>
      <w:szCs w:val="20"/>
    </w:rPr>
  </w:style>
  <w:style w:type="paragraph" w:styleId="FootnoteText">
    <w:name w:val="footnote text"/>
    <w:basedOn w:val="Normal"/>
    <w:link w:val="FootnoteTextChar"/>
    <w:uiPriority w:val="99"/>
    <w:unhideWhenUsed/>
    <w:rsid w:val="000D171E"/>
    <w:pPr>
      <w:spacing w:after="0" w:line="240" w:lineRule="auto"/>
    </w:pPr>
    <w:rPr>
      <w:sz w:val="20"/>
      <w:szCs w:val="20"/>
    </w:rPr>
  </w:style>
  <w:style w:type="character" w:customStyle="1" w:styleId="FootnoteTextChar">
    <w:name w:val="Footnote Text Char"/>
    <w:basedOn w:val="DefaultParagraphFont"/>
    <w:link w:val="FootnoteText"/>
    <w:uiPriority w:val="99"/>
    <w:rsid w:val="000D171E"/>
    <w:rPr>
      <w:sz w:val="20"/>
      <w:szCs w:val="20"/>
    </w:rPr>
  </w:style>
  <w:style w:type="character" w:styleId="FootnoteReference">
    <w:name w:val="footnote reference"/>
    <w:basedOn w:val="DefaultParagraphFont"/>
    <w:uiPriority w:val="99"/>
    <w:semiHidden/>
    <w:unhideWhenUsed/>
    <w:rsid w:val="000D171E"/>
    <w:rPr>
      <w:vertAlign w:val="superscript"/>
    </w:rPr>
  </w:style>
  <w:style w:type="character" w:styleId="FollowedHyperlink">
    <w:name w:val="FollowedHyperlink"/>
    <w:basedOn w:val="DefaultParagraphFont"/>
    <w:uiPriority w:val="99"/>
    <w:semiHidden/>
    <w:unhideWhenUsed/>
    <w:rsid w:val="006F1061"/>
    <w:rPr>
      <w:color w:val="954F72" w:themeColor="followedHyperlink"/>
      <w:u w:val="single"/>
    </w:rPr>
  </w:style>
  <w:style w:type="paragraph" w:styleId="Revision">
    <w:name w:val="Revision"/>
    <w:hidden/>
    <w:uiPriority w:val="99"/>
    <w:semiHidden/>
    <w:rsid w:val="00AF3A95"/>
    <w:pPr>
      <w:spacing w:after="0" w:line="240" w:lineRule="auto"/>
    </w:pPr>
  </w:style>
  <w:style w:type="character" w:customStyle="1" w:styleId="Heading1Char">
    <w:name w:val="Heading 1 Char"/>
    <w:basedOn w:val="DefaultParagraphFont"/>
    <w:link w:val="Heading1"/>
    <w:uiPriority w:val="9"/>
    <w:rsid w:val="009E4AFB"/>
    <w:rPr>
      <w:rFonts w:ascii="Arial" w:eastAsiaTheme="majorEastAsia" w:hAnsi="Arial" w:cstheme="majorBidi"/>
      <w:b/>
      <w:bCs/>
      <w:sz w:val="24"/>
      <w:szCs w:val="32"/>
    </w:rPr>
  </w:style>
  <w:style w:type="character" w:customStyle="1" w:styleId="Heading2Char">
    <w:name w:val="Heading 2 Char"/>
    <w:basedOn w:val="DefaultParagraphFont"/>
    <w:link w:val="Heading2"/>
    <w:uiPriority w:val="9"/>
    <w:rsid w:val="001F310C"/>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C85E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94283-2B07-4F75-9532-93211F130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3311</Words>
  <Characters>18876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ADCQ</Company>
  <LinksUpToDate>false</LinksUpToDate>
  <CharactersWithSpaces>22143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Corkhill</dc:creator>
  <cp:keywords/>
  <dc:description/>
  <cp:lastModifiedBy>Jessica O'Keeffe</cp:lastModifiedBy>
  <cp:revision>2</cp:revision>
  <cp:lastPrinted>2023-03-16T07:55:00Z</cp:lastPrinted>
  <dcterms:created xsi:type="dcterms:W3CDTF">2023-03-23T01:34:00Z</dcterms:created>
  <dcterms:modified xsi:type="dcterms:W3CDTF">2023-03-23T01:34:00Z</dcterms:modified>
</cp:coreProperties>
</file>