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966B8" w14:textId="7546417B" w:rsidR="00D32E5A" w:rsidRPr="00B70074" w:rsidRDefault="00B200C7" w:rsidP="00D32E5A">
      <w:pPr>
        <w:pStyle w:val="ListParagraph"/>
        <w:rPr>
          <w:sz w:val="20"/>
          <w:szCs w:val="20"/>
          <w:lang w:val="en-US"/>
        </w:rPr>
      </w:pPr>
      <w:r w:rsidRPr="00B70074">
        <w:rPr>
          <w:sz w:val="20"/>
          <w:szCs w:val="20"/>
          <w:lang w:val="en-US"/>
        </w:rPr>
        <w:t xml:space="preserve">Our ref: </w:t>
      </w:r>
      <w:r w:rsidR="00B70074" w:rsidRPr="00B70074">
        <w:rPr>
          <w:sz w:val="20"/>
          <w:szCs w:val="20"/>
          <w:lang w:val="en-US"/>
        </w:rPr>
        <w:t>BNE3417293:RL</w:t>
      </w:r>
    </w:p>
    <w:p w14:paraId="4EC32227" w14:textId="450B27E8" w:rsidR="00B200C7" w:rsidRDefault="00B200C7" w:rsidP="00D32E5A">
      <w:pPr>
        <w:pStyle w:val="ListParagraph"/>
        <w:rPr>
          <w:lang w:val="en-US"/>
        </w:rPr>
      </w:pPr>
    </w:p>
    <w:p w14:paraId="5806C3F3" w14:textId="62791952" w:rsidR="00B200C7" w:rsidRPr="00B70074" w:rsidRDefault="000438E9" w:rsidP="00D32E5A">
      <w:pPr>
        <w:pStyle w:val="ListParagraph"/>
        <w:rPr>
          <w:sz w:val="22"/>
          <w:lang w:val="en-US"/>
        </w:rPr>
      </w:pPr>
      <w:r w:rsidRPr="00226BD2">
        <w:rPr>
          <w:sz w:val="22"/>
          <w:lang w:val="en-US"/>
        </w:rPr>
        <w:t xml:space="preserve">4 </w:t>
      </w:r>
      <w:r w:rsidR="003E15F9" w:rsidRPr="00226BD2">
        <w:rPr>
          <w:sz w:val="22"/>
          <w:lang w:val="en-US"/>
        </w:rPr>
        <w:t>January</w:t>
      </w:r>
      <w:r w:rsidR="00D14F1D" w:rsidRPr="00226BD2">
        <w:rPr>
          <w:sz w:val="22"/>
          <w:lang w:val="en-US"/>
        </w:rPr>
        <w:t xml:space="preserve"> </w:t>
      </w:r>
      <w:r w:rsidR="00B200C7" w:rsidRPr="00226BD2">
        <w:rPr>
          <w:sz w:val="22"/>
          <w:lang w:val="en-US"/>
        </w:rPr>
        <w:t>202</w:t>
      </w:r>
      <w:r w:rsidR="003E15F9" w:rsidRPr="00226BD2">
        <w:rPr>
          <w:sz w:val="22"/>
          <w:lang w:val="en-US"/>
        </w:rPr>
        <w:t>3</w:t>
      </w:r>
    </w:p>
    <w:p w14:paraId="65CACEC2" w14:textId="388587E9" w:rsidR="00B200C7" w:rsidRPr="00B70074" w:rsidRDefault="00B200C7" w:rsidP="00D32E5A">
      <w:pPr>
        <w:pStyle w:val="ListParagraph"/>
        <w:rPr>
          <w:sz w:val="22"/>
          <w:lang w:val="en-US"/>
        </w:rPr>
      </w:pPr>
    </w:p>
    <w:p w14:paraId="75BBC6DD" w14:textId="77777777" w:rsidR="00B200C7" w:rsidRPr="00B70074" w:rsidRDefault="00B200C7" w:rsidP="00D32E5A">
      <w:pPr>
        <w:pStyle w:val="ListParagraph"/>
        <w:rPr>
          <w:sz w:val="22"/>
          <w:lang w:val="en-US"/>
        </w:rPr>
      </w:pPr>
    </w:p>
    <w:p w14:paraId="7C7E7BE9" w14:textId="77777777" w:rsidR="00D14F1D" w:rsidRDefault="00D14F1D" w:rsidP="00D14F1D">
      <w:pPr>
        <w:pStyle w:val="ListParagraph"/>
        <w:rPr>
          <w:sz w:val="22"/>
          <w:lang w:val="en-US"/>
        </w:rPr>
      </w:pPr>
      <w:r>
        <w:rPr>
          <w:sz w:val="22"/>
          <w:lang w:val="en-US"/>
        </w:rPr>
        <w:t>Committee Secretary</w:t>
      </w:r>
    </w:p>
    <w:p w14:paraId="51F8AB4B" w14:textId="20B30AAB" w:rsidR="00B200C7" w:rsidRDefault="00D14F1D" w:rsidP="00D32E5A">
      <w:pPr>
        <w:pStyle w:val="ListParagraph"/>
        <w:rPr>
          <w:sz w:val="22"/>
          <w:lang w:val="en-US"/>
        </w:rPr>
      </w:pPr>
      <w:r>
        <w:rPr>
          <w:sz w:val="22"/>
          <w:lang w:val="en-US"/>
        </w:rPr>
        <w:t xml:space="preserve">Health and Environment Committee </w:t>
      </w:r>
    </w:p>
    <w:p w14:paraId="29E91FC6" w14:textId="0A9453B0" w:rsidR="00B200C7" w:rsidRDefault="00D14F1D" w:rsidP="00D32E5A">
      <w:pPr>
        <w:pStyle w:val="ListParagraph"/>
        <w:rPr>
          <w:sz w:val="22"/>
          <w:lang w:val="en-US"/>
        </w:rPr>
      </w:pPr>
      <w:r>
        <w:rPr>
          <w:sz w:val="22"/>
          <w:lang w:val="en-US"/>
        </w:rPr>
        <w:t>Parliament House</w:t>
      </w:r>
    </w:p>
    <w:p w14:paraId="775B431A" w14:textId="7DC2F0F0" w:rsidR="00D14F1D" w:rsidRDefault="00D14F1D" w:rsidP="00D32E5A">
      <w:pPr>
        <w:pStyle w:val="ListParagraph"/>
        <w:rPr>
          <w:sz w:val="22"/>
          <w:lang w:val="en-US"/>
        </w:rPr>
      </w:pPr>
      <w:r>
        <w:rPr>
          <w:sz w:val="22"/>
          <w:lang w:val="en-US"/>
        </w:rPr>
        <w:t>George St</w:t>
      </w:r>
    </w:p>
    <w:p w14:paraId="3AA22691" w14:textId="0B7C3B13" w:rsidR="00D14F1D" w:rsidRPr="00B70074" w:rsidRDefault="00D14F1D" w:rsidP="00D32E5A">
      <w:pPr>
        <w:pStyle w:val="ListParagraph"/>
        <w:rPr>
          <w:sz w:val="22"/>
          <w:lang w:val="en-US"/>
        </w:rPr>
      </w:pPr>
      <w:r>
        <w:rPr>
          <w:sz w:val="22"/>
          <w:lang w:val="en-US"/>
        </w:rPr>
        <w:t>Brisbane Qld 4000</w:t>
      </w:r>
    </w:p>
    <w:p w14:paraId="6479EC00" w14:textId="77777777" w:rsidR="00B200C7" w:rsidRPr="00B70074" w:rsidRDefault="00B200C7" w:rsidP="00D32E5A">
      <w:pPr>
        <w:pStyle w:val="ListParagraph"/>
        <w:rPr>
          <w:sz w:val="22"/>
          <w:lang w:val="en-US"/>
        </w:rPr>
      </w:pPr>
    </w:p>
    <w:p w14:paraId="7AB36FFE" w14:textId="50DC60B4" w:rsidR="00B200C7" w:rsidRPr="00B70074" w:rsidRDefault="00B200C7" w:rsidP="00D32E5A">
      <w:pPr>
        <w:pStyle w:val="ListParagraph"/>
        <w:rPr>
          <w:sz w:val="22"/>
          <w:lang w:val="en-US"/>
        </w:rPr>
      </w:pPr>
    </w:p>
    <w:p w14:paraId="45114475" w14:textId="55469594" w:rsidR="00B200C7" w:rsidRPr="00B70074" w:rsidRDefault="00B200C7" w:rsidP="00D32E5A">
      <w:pPr>
        <w:pStyle w:val="ListParagraph"/>
        <w:rPr>
          <w:sz w:val="22"/>
          <w:lang w:val="en-US"/>
        </w:rPr>
      </w:pPr>
      <w:r w:rsidRPr="00B70074">
        <w:rPr>
          <w:sz w:val="22"/>
          <w:lang w:val="en-US"/>
        </w:rPr>
        <w:t xml:space="preserve">By email only: </w:t>
      </w:r>
      <w:hyperlink r:id="rId11" w:history="1">
        <w:r w:rsidR="00D14F1D" w:rsidRPr="00822088">
          <w:rPr>
            <w:rStyle w:val="Hyperlink"/>
            <w:sz w:val="22"/>
            <w:lang w:val="en-US"/>
          </w:rPr>
          <w:t>HEC@parliament.qld.gov.au</w:t>
        </w:r>
      </w:hyperlink>
      <w:r w:rsidR="00D14F1D">
        <w:rPr>
          <w:sz w:val="22"/>
          <w:lang w:val="en-US"/>
        </w:rPr>
        <w:t xml:space="preserve"> </w:t>
      </w:r>
    </w:p>
    <w:p w14:paraId="05E4BB0D" w14:textId="77777777" w:rsidR="00B200C7" w:rsidRPr="00B70074" w:rsidRDefault="00B200C7" w:rsidP="00D32E5A">
      <w:pPr>
        <w:pStyle w:val="ListParagraph"/>
        <w:rPr>
          <w:sz w:val="22"/>
          <w:lang w:val="en-US"/>
        </w:rPr>
      </w:pPr>
    </w:p>
    <w:p w14:paraId="61C582BD" w14:textId="39CB3153" w:rsidR="00B200C7" w:rsidRPr="00B70074" w:rsidRDefault="00B200C7" w:rsidP="00D32E5A">
      <w:pPr>
        <w:pStyle w:val="ListParagraph"/>
        <w:rPr>
          <w:sz w:val="22"/>
          <w:lang w:val="en-US"/>
        </w:rPr>
      </w:pPr>
      <w:r w:rsidRPr="00B70074">
        <w:rPr>
          <w:sz w:val="22"/>
          <w:lang w:val="en-US"/>
        </w:rPr>
        <w:t xml:space="preserve">Dear </w:t>
      </w:r>
      <w:r w:rsidR="00D14F1D">
        <w:rPr>
          <w:sz w:val="22"/>
          <w:lang w:val="en-US"/>
        </w:rPr>
        <w:t xml:space="preserve">Committee Secretary </w:t>
      </w:r>
    </w:p>
    <w:p w14:paraId="2BA98BA5" w14:textId="77777777" w:rsidR="00B200C7" w:rsidRPr="00B70074" w:rsidRDefault="00B200C7" w:rsidP="00D32E5A">
      <w:pPr>
        <w:pStyle w:val="ListParagraph"/>
        <w:rPr>
          <w:sz w:val="22"/>
          <w:lang w:val="en-US"/>
        </w:rPr>
      </w:pPr>
    </w:p>
    <w:p w14:paraId="3176B5EE" w14:textId="0E1BC99E" w:rsidR="00B200C7" w:rsidRPr="00B70074" w:rsidRDefault="00B200C7" w:rsidP="00D32E5A">
      <w:pPr>
        <w:pStyle w:val="ListParagraph"/>
        <w:rPr>
          <w:b/>
          <w:bCs/>
          <w:sz w:val="22"/>
          <w:lang w:val="en-US"/>
        </w:rPr>
      </w:pPr>
      <w:r w:rsidRPr="00B70074">
        <w:rPr>
          <w:b/>
          <w:bCs/>
          <w:sz w:val="22"/>
          <w:lang w:val="en-US"/>
        </w:rPr>
        <w:t>Health and Other Leg</w:t>
      </w:r>
      <w:r w:rsidR="00226BD2">
        <w:rPr>
          <w:b/>
          <w:bCs/>
          <w:sz w:val="22"/>
          <w:lang w:val="en-US"/>
        </w:rPr>
        <w:t>i</w:t>
      </w:r>
      <w:r w:rsidRPr="00B70074">
        <w:rPr>
          <w:b/>
          <w:bCs/>
          <w:sz w:val="22"/>
          <w:lang w:val="en-US"/>
        </w:rPr>
        <w:t>slation Amendment Bill 2022</w:t>
      </w:r>
    </w:p>
    <w:p w14:paraId="1E5B6FE2" w14:textId="34E00193" w:rsidR="00B200C7" w:rsidRPr="00B70074" w:rsidRDefault="00B200C7" w:rsidP="00D32E5A">
      <w:pPr>
        <w:pStyle w:val="ListParagraph"/>
        <w:rPr>
          <w:b/>
          <w:bCs/>
          <w:sz w:val="22"/>
          <w:lang w:val="en-US"/>
        </w:rPr>
      </w:pPr>
    </w:p>
    <w:p w14:paraId="10A94164" w14:textId="0063E54F" w:rsidR="00B200C7" w:rsidRDefault="00B200C7" w:rsidP="00D32E5A">
      <w:pPr>
        <w:pStyle w:val="ListParagraph"/>
        <w:rPr>
          <w:sz w:val="22"/>
          <w:lang w:val="en-US"/>
        </w:rPr>
      </w:pPr>
      <w:r w:rsidRPr="00B70074">
        <w:rPr>
          <w:sz w:val="22"/>
          <w:lang w:val="en-US"/>
        </w:rPr>
        <w:t xml:space="preserve">Thank you for the opportunity to </w:t>
      </w:r>
      <w:r w:rsidR="00DC0632" w:rsidRPr="00B70074">
        <w:rPr>
          <w:sz w:val="22"/>
          <w:lang w:val="en-US"/>
        </w:rPr>
        <w:t xml:space="preserve">provide </w:t>
      </w:r>
      <w:r w:rsidR="00D14F1D">
        <w:rPr>
          <w:sz w:val="22"/>
          <w:lang w:val="en-US"/>
        </w:rPr>
        <w:t xml:space="preserve">submissions </w:t>
      </w:r>
      <w:r w:rsidRPr="00B70074">
        <w:rPr>
          <w:sz w:val="22"/>
          <w:lang w:val="en-US"/>
        </w:rPr>
        <w:t>on the above Bill</w:t>
      </w:r>
      <w:r w:rsidR="00D14F1D">
        <w:rPr>
          <w:sz w:val="22"/>
          <w:lang w:val="en-US"/>
        </w:rPr>
        <w:t xml:space="preserve">. </w:t>
      </w:r>
    </w:p>
    <w:p w14:paraId="1360B2A3" w14:textId="7FB1CDC3" w:rsidR="00D14F1D" w:rsidRDefault="00D14F1D" w:rsidP="00D32E5A">
      <w:pPr>
        <w:pStyle w:val="ListParagraph"/>
        <w:rPr>
          <w:sz w:val="22"/>
          <w:lang w:val="en-US"/>
        </w:rPr>
      </w:pPr>
    </w:p>
    <w:p w14:paraId="323DBF3C" w14:textId="2993A983" w:rsidR="00BB1E83" w:rsidRDefault="00D14F1D" w:rsidP="00D14F1D">
      <w:pPr>
        <w:pStyle w:val="ListParagraph"/>
        <w:rPr>
          <w:sz w:val="22"/>
          <w:lang w:val="en-US"/>
        </w:rPr>
      </w:pPr>
      <w:r>
        <w:rPr>
          <w:sz w:val="22"/>
          <w:lang w:val="en-US"/>
        </w:rPr>
        <w:t xml:space="preserve">The </w:t>
      </w:r>
      <w:r w:rsidR="00C2102D">
        <w:rPr>
          <w:sz w:val="22"/>
          <w:lang w:val="en-US"/>
        </w:rPr>
        <w:t xml:space="preserve">Queensland Human Rights </w:t>
      </w:r>
      <w:r>
        <w:rPr>
          <w:sz w:val="22"/>
          <w:lang w:val="en-US"/>
        </w:rPr>
        <w:t xml:space="preserve">Commission’s submissions are confined to amendments proposed to the </w:t>
      </w:r>
      <w:r w:rsidRPr="00D14F1D">
        <w:rPr>
          <w:i/>
          <w:iCs/>
          <w:sz w:val="22"/>
          <w:lang w:val="en-US"/>
        </w:rPr>
        <w:t>Recording</w:t>
      </w:r>
      <w:r>
        <w:rPr>
          <w:sz w:val="22"/>
          <w:lang w:val="en-US"/>
        </w:rPr>
        <w:t xml:space="preserve"> of </w:t>
      </w:r>
      <w:r w:rsidRPr="00D14F1D">
        <w:rPr>
          <w:i/>
          <w:iCs/>
          <w:sz w:val="22"/>
          <w:lang w:val="en-US"/>
        </w:rPr>
        <w:t>Evidence Act 1962</w:t>
      </w:r>
      <w:r>
        <w:rPr>
          <w:sz w:val="22"/>
          <w:lang w:val="en-US"/>
        </w:rPr>
        <w:t xml:space="preserve">, to ensure that the Mental Health Review Tribunal is legislatively obliged to </w:t>
      </w:r>
      <w:r w:rsidR="007A023E">
        <w:rPr>
          <w:sz w:val="22"/>
          <w:lang w:val="en-US"/>
        </w:rPr>
        <w:t xml:space="preserve">accurately </w:t>
      </w:r>
      <w:r>
        <w:rPr>
          <w:sz w:val="22"/>
          <w:lang w:val="en-US"/>
        </w:rPr>
        <w:t>record its proceedings</w:t>
      </w:r>
      <w:r w:rsidR="007A023E">
        <w:rPr>
          <w:sz w:val="22"/>
          <w:lang w:val="en-US"/>
        </w:rPr>
        <w:t>, for example, by way of electronic audio recording</w:t>
      </w:r>
      <w:r>
        <w:rPr>
          <w:sz w:val="22"/>
          <w:lang w:val="en-US"/>
        </w:rPr>
        <w:t xml:space="preserve">. </w:t>
      </w:r>
    </w:p>
    <w:p w14:paraId="7557445F" w14:textId="2FE6F942" w:rsidR="00D14F1D" w:rsidRDefault="00D14F1D" w:rsidP="00D14F1D">
      <w:pPr>
        <w:pStyle w:val="ListParagraph"/>
        <w:rPr>
          <w:sz w:val="22"/>
          <w:lang w:val="en-US"/>
        </w:rPr>
      </w:pPr>
    </w:p>
    <w:p w14:paraId="4AF51F7C" w14:textId="5689D9F2" w:rsidR="00D14F1D" w:rsidRPr="00D14F1D" w:rsidRDefault="00D14F1D" w:rsidP="00D14F1D">
      <w:pPr>
        <w:pStyle w:val="ListParagraph"/>
        <w:rPr>
          <w:b/>
          <w:bCs/>
          <w:sz w:val="22"/>
          <w:lang w:val="en-US"/>
        </w:rPr>
      </w:pPr>
      <w:r w:rsidRPr="00D14F1D">
        <w:rPr>
          <w:b/>
          <w:bCs/>
          <w:sz w:val="22"/>
          <w:lang w:val="en-US"/>
        </w:rPr>
        <w:t>Relevant human rights</w:t>
      </w:r>
    </w:p>
    <w:p w14:paraId="7326C4F3" w14:textId="511F71D9" w:rsidR="006B5619" w:rsidRDefault="006B5619" w:rsidP="00DC0632">
      <w:pPr>
        <w:pStyle w:val="ListParagraph"/>
        <w:rPr>
          <w:sz w:val="22"/>
          <w:lang w:val="en-US"/>
        </w:rPr>
      </w:pPr>
    </w:p>
    <w:p w14:paraId="5B944DED" w14:textId="67A3B1A6" w:rsidR="00395064" w:rsidRDefault="00D14F1D" w:rsidP="00395064">
      <w:pPr>
        <w:pStyle w:val="ListParagraph"/>
        <w:rPr>
          <w:sz w:val="22"/>
          <w:lang w:val="en-US"/>
        </w:rPr>
      </w:pPr>
      <w:r w:rsidRPr="00B70074">
        <w:rPr>
          <w:sz w:val="22"/>
          <w:lang w:val="en-US"/>
        </w:rPr>
        <w:t xml:space="preserve">Section 30 of the </w:t>
      </w:r>
      <w:r w:rsidR="00B02B5A" w:rsidRPr="00B02B5A">
        <w:rPr>
          <w:i/>
          <w:iCs/>
          <w:sz w:val="22"/>
          <w:lang w:val="en-US"/>
        </w:rPr>
        <w:t xml:space="preserve">Human Rights </w:t>
      </w:r>
      <w:r w:rsidRPr="00B02B5A">
        <w:rPr>
          <w:i/>
          <w:iCs/>
          <w:sz w:val="22"/>
          <w:lang w:val="en-US"/>
        </w:rPr>
        <w:t xml:space="preserve">Act </w:t>
      </w:r>
      <w:r w:rsidR="00B02B5A" w:rsidRPr="00B02B5A">
        <w:rPr>
          <w:i/>
          <w:iCs/>
          <w:sz w:val="22"/>
          <w:lang w:val="en-US"/>
        </w:rPr>
        <w:t>2019</w:t>
      </w:r>
      <w:r w:rsidR="00B02B5A">
        <w:rPr>
          <w:sz w:val="22"/>
          <w:lang w:val="en-US"/>
        </w:rPr>
        <w:t xml:space="preserve"> </w:t>
      </w:r>
      <w:r w:rsidRPr="00B70074">
        <w:rPr>
          <w:sz w:val="22"/>
          <w:lang w:val="en-US"/>
        </w:rPr>
        <w:t>protects a person’s right to a fair and public hearing, and for judgments to be publicly available. Publicity of hearings and decisions ensures the transparency of proceedings and provides an important safeguard for the interest of the individual and of society at large.</w:t>
      </w:r>
      <w:r w:rsidRPr="00B70074">
        <w:rPr>
          <w:rStyle w:val="FootnoteReference"/>
          <w:sz w:val="22"/>
          <w:lang w:val="en-US"/>
        </w:rPr>
        <w:footnoteReference w:id="1"/>
      </w:r>
      <w:r w:rsidRPr="00B70074">
        <w:rPr>
          <w:sz w:val="22"/>
          <w:lang w:val="en-US"/>
        </w:rPr>
        <w:t xml:space="preserve"> </w:t>
      </w:r>
      <w:r w:rsidR="00B02B5A">
        <w:rPr>
          <w:sz w:val="22"/>
          <w:lang w:val="en-US"/>
        </w:rPr>
        <w:t xml:space="preserve">Recording and/or transcription of proceedings </w:t>
      </w:r>
      <w:r w:rsidR="00395064">
        <w:rPr>
          <w:sz w:val="22"/>
          <w:lang w:val="en-US"/>
        </w:rPr>
        <w:t xml:space="preserve">enhances accuracy, </w:t>
      </w:r>
      <w:r w:rsidR="00B02B5A">
        <w:rPr>
          <w:sz w:val="22"/>
          <w:lang w:val="en-US"/>
        </w:rPr>
        <w:t>transparency and safeguardin</w:t>
      </w:r>
      <w:r w:rsidR="00395064">
        <w:rPr>
          <w:sz w:val="22"/>
          <w:lang w:val="en-US"/>
        </w:rPr>
        <w:t>g</w:t>
      </w:r>
      <w:r w:rsidR="00B02B5A">
        <w:rPr>
          <w:sz w:val="22"/>
          <w:lang w:val="en-US"/>
        </w:rPr>
        <w:t xml:space="preserve">, particularly in jurisdictions such as the </w:t>
      </w:r>
      <w:r w:rsidR="00395064">
        <w:rPr>
          <w:sz w:val="22"/>
          <w:lang w:val="en-US"/>
        </w:rPr>
        <w:t xml:space="preserve">Mental </w:t>
      </w:r>
      <w:r w:rsidR="00B02B5A">
        <w:rPr>
          <w:sz w:val="22"/>
          <w:lang w:val="en-US"/>
        </w:rPr>
        <w:t xml:space="preserve">Health Review Tribunal where there are good reasons for </w:t>
      </w:r>
      <w:r w:rsidR="00395064">
        <w:rPr>
          <w:sz w:val="22"/>
          <w:lang w:val="en-US"/>
        </w:rPr>
        <w:t>proceedings and decisions not to be made public.</w:t>
      </w:r>
    </w:p>
    <w:p w14:paraId="7C968BED" w14:textId="019AE4E3" w:rsidR="00395064" w:rsidRDefault="00395064" w:rsidP="00395064">
      <w:pPr>
        <w:pStyle w:val="ListParagraph"/>
        <w:rPr>
          <w:sz w:val="22"/>
          <w:lang w:val="en-US"/>
        </w:rPr>
      </w:pPr>
    </w:p>
    <w:p w14:paraId="598818B0" w14:textId="654DFF09" w:rsidR="00395064" w:rsidRDefault="00E56CB6" w:rsidP="00395064">
      <w:pPr>
        <w:pStyle w:val="ListParagraph"/>
        <w:rPr>
          <w:sz w:val="22"/>
          <w:lang w:val="en-US"/>
        </w:rPr>
      </w:pPr>
      <w:r>
        <w:rPr>
          <w:sz w:val="22"/>
          <w:lang w:val="en-US"/>
        </w:rPr>
        <w:t xml:space="preserve">Section 15 of the </w:t>
      </w:r>
      <w:r w:rsidRPr="00E56CB6">
        <w:rPr>
          <w:i/>
          <w:iCs/>
          <w:sz w:val="22"/>
          <w:lang w:val="en-US"/>
        </w:rPr>
        <w:t>Human Rights Act</w:t>
      </w:r>
      <w:r>
        <w:rPr>
          <w:sz w:val="22"/>
          <w:lang w:val="en-US"/>
        </w:rPr>
        <w:t xml:space="preserve"> provides for recognition and equality before the law, in particular, that every person is equal before the law and is entitled to the equal protection the law without discrimination. It follows that a person before the Mental Health Review Tribunal should have the same protections as another person appearing </w:t>
      </w:r>
      <w:r>
        <w:rPr>
          <w:sz w:val="22"/>
          <w:lang w:val="en-US"/>
        </w:rPr>
        <w:lastRenderedPageBreak/>
        <w:t xml:space="preserve">before another court or tribunal where determinations regarding liberty and self-determination are made, including access to an accurate </w:t>
      </w:r>
      <w:r w:rsidR="00B51594">
        <w:rPr>
          <w:sz w:val="22"/>
          <w:lang w:val="en-US"/>
        </w:rPr>
        <w:t>record of proceedings.</w:t>
      </w:r>
    </w:p>
    <w:p w14:paraId="3855F0A0" w14:textId="66B42B87" w:rsidR="00395064" w:rsidRDefault="00395064" w:rsidP="00D14F1D">
      <w:pPr>
        <w:pStyle w:val="ListParagraph"/>
        <w:rPr>
          <w:sz w:val="22"/>
          <w:lang w:val="en-US"/>
        </w:rPr>
      </w:pPr>
    </w:p>
    <w:p w14:paraId="1E341630" w14:textId="77777777" w:rsidR="00B51594" w:rsidRDefault="00B51594" w:rsidP="00B51594">
      <w:pPr>
        <w:pStyle w:val="ListParagraph"/>
        <w:rPr>
          <w:sz w:val="22"/>
          <w:lang w:val="en-US"/>
        </w:rPr>
      </w:pPr>
      <w:r>
        <w:rPr>
          <w:sz w:val="22"/>
          <w:lang w:val="en-US"/>
        </w:rPr>
        <w:t xml:space="preserve">The recording of proceedings involves the collection, use and disclosure of personal information, and therefore has the potential to limit the right to privacy under section 25 of the </w:t>
      </w:r>
      <w:r w:rsidRPr="00395064">
        <w:rPr>
          <w:i/>
          <w:iCs/>
          <w:sz w:val="22"/>
          <w:lang w:val="en-US"/>
        </w:rPr>
        <w:t>Human Rights Act</w:t>
      </w:r>
      <w:r>
        <w:rPr>
          <w:sz w:val="22"/>
          <w:lang w:val="en-US"/>
        </w:rPr>
        <w:t xml:space="preserve">. </w:t>
      </w:r>
    </w:p>
    <w:p w14:paraId="4A7ADE6F" w14:textId="77777777" w:rsidR="00B51594" w:rsidRDefault="00B51594" w:rsidP="00D14F1D">
      <w:pPr>
        <w:pStyle w:val="ListParagraph"/>
        <w:rPr>
          <w:sz w:val="22"/>
          <w:lang w:val="en-US"/>
        </w:rPr>
      </w:pPr>
    </w:p>
    <w:p w14:paraId="7BBEFF15" w14:textId="39031C65" w:rsidR="00522A15" w:rsidRPr="00B70074" w:rsidRDefault="009A3745" w:rsidP="00DC0632">
      <w:pPr>
        <w:pStyle w:val="ListParagraph"/>
        <w:rPr>
          <w:b/>
          <w:bCs/>
          <w:sz w:val="22"/>
          <w:lang w:val="en-US"/>
        </w:rPr>
      </w:pPr>
      <w:r w:rsidRPr="00B70074">
        <w:rPr>
          <w:b/>
          <w:bCs/>
          <w:sz w:val="22"/>
          <w:lang w:val="en-US"/>
        </w:rPr>
        <w:t>Recording of hearings before the Mental Health Review Tribunal</w:t>
      </w:r>
    </w:p>
    <w:p w14:paraId="518191D3" w14:textId="77777777" w:rsidR="009A3745" w:rsidRPr="00B70074" w:rsidRDefault="009A3745" w:rsidP="009A3745">
      <w:pPr>
        <w:pStyle w:val="ListParagraph"/>
        <w:rPr>
          <w:sz w:val="22"/>
          <w:lang w:val="en-US"/>
        </w:rPr>
      </w:pPr>
    </w:p>
    <w:p w14:paraId="2DBBBE30" w14:textId="77777777" w:rsidR="00B51594" w:rsidRPr="00B70074" w:rsidRDefault="00B51594" w:rsidP="00B51594">
      <w:pPr>
        <w:pStyle w:val="ListParagraph"/>
        <w:rPr>
          <w:sz w:val="22"/>
          <w:lang w:val="en-US"/>
        </w:rPr>
      </w:pPr>
      <w:r>
        <w:rPr>
          <w:sz w:val="22"/>
          <w:lang w:val="en-US"/>
        </w:rPr>
        <w:t xml:space="preserve">Currently, section 5(1) of the </w:t>
      </w:r>
      <w:r w:rsidRPr="00B51594">
        <w:rPr>
          <w:i/>
          <w:iCs/>
          <w:sz w:val="22"/>
          <w:lang w:val="en-US"/>
        </w:rPr>
        <w:t>Recording of Evidence Act</w:t>
      </w:r>
      <w:r>
        <w:rPr>
          <w:sz w:val="22"/>
          <w:lang w:val="en-US"/>
        </w:rPr>
        <w:t xml:space="preserve"> requires that all relevant matter in a legal proceeding is to be recorded. </w:t>
      </w:r>
      <w:r w:rsidRPr="00B70074">
        <w:rPr>
          <w:sz w:val="22"/>
          <w:lang w:val="en-US"/>
        </w:rPr>
        <w:t xml:space="preserve">The notes provide examples of recording such as ‘in shorthand’ and ‘by recording equipment’. </w:t>
      </w:r>
    </w:p>
    <w:p w14:paraId="167BFE06" w14:textId="77777777" w:rsidR="00B51594" w:rsidRPr="00B70074" w:rsidRDefault="00B51594" w:rsidP="00B51594">
      <w:pPr>
        <w:pStyle w:val="ListParagraph"/>
        <w:rPr>
          <w:sz w:val="22"/>
          <w:lang w:val="en-US"/>
        </w:rPr>
      </w:pPr>
    </w:p>
    <w:p w14:paraId="2DCCE3B4" w14:textId="4055108B" w:rsidR="00B51594" w:rsidRPr="00B70074" w:rsidRDefault="00B51594" w:rsidP="00B51594">
      <w:pPr>
        <w:pStyle w:val="ListParagraph"/>
        <w:contextualSpacing w:val="0"/>
        <w:rPr>
          <w:sz w:val="22"/>
          <w:lang w:val="en-US"/>
        </w:rPr>
      </w:pPr>
      <w:r w:rsidRPr="00B70074">
        <w:rPr>
          <w:sz w:val="22"/>
          <w:lang w:val="en-US"/>
        </w:rPr>
        <w:t xml:space="preserve">The history of section 5 of the </w:t>
      </w:r>
      <w:r w:rsidR="00E85786" w:rsidRPr="00E85786">
        <w:rPr>
          <w:i/>
          <w:iCs/>
          <w:sz w:val="22"/>
          <w:lang w:val="en-US"/>
        </w:rPr>
        <w:t xml:space="preserve">Recording of Evidence </w:t>
      </w:r>
      <w:r w:rsidRPr="00E85786">
        <w:rPr>
          <w:i/>
          <w:iCs/>
          <w:sz w:val="22"/>
          <w:lang w:val="en-US"/>
        </w:rPr>
        <w:t>Act</w:t>
      </w:r>
      <w:r w:rsidRPr="00B70074">
        <w:rPr>
          <w:sz w:val="22"/>
          <w:lang w:val="en-US"/>
        </w:rPr>
        <w:t xml:space="preserve"> can be </w:t>
      </w:r>
      <w:proofErr w:type="spellStart"/>
      <w:r w:rsidRPr="00B70074">
        <w:rPr>
          <w:sz w:val="22"/>
          <w:lang w:val="en-US"/>
        </w:rPr>
        <w:t>summarised</w:t>
      </w:r>
      <w:proofErr w:type="spellEnd"/>
      <w:r w:rsidRPr="00B70074">
        <w:rPr>
          <w:sz w:val="22"/>
          <w:lang w:val="en-US"/>
        </w:rPr>
        <w:t xml:space="preserve"> as follows:</w:t>
      </w:r>
    </w:p>
    <w:p w14:paraId="28483AB9" w14:textId="77777777" w:rsidR="00B51594" w:rsidRPr="00B70074" w:rsidRDefault="00B51594" w:rsidP="00226BD2">
      <w:pPr>
        <w:pStyle w:val="ListParagraph"/>
        <w:numPr>
          <w:ilvl w:val="0"/>
          <w:numId w:val="18"/>
        </w:numPr>
        <w:ind w:left="1077" w:hanging="357"/>
        <w:contextualSpacing w:val="0"/>
        <w:rPr>
          <w:sz w:val="22"/>
          <w:lang w:val="en-US"/>
        </w:rPr>
      </w:pPr>
      <w:r w:rsidRPr="00B70074">
        <w:rPr>
          <w:sz w:val="22"/>
          <w:lang w:val="en-US"/>
        </w:rPr>
        <w:t>Prior to the current provision being inserted on 26 February 2013, section 5 gave discretion to courts or judicial persons to record legal proceedings, if a shorthand reporter was available, in shorthand, or, if recording equipment and a recorder were available, by the recording equipment.</w:t>
      </w:r>
    </w:p>
    <w:p w14:paraId="760185DF" w14:textId="185B87FD" w:rsidR="00B51594" w:rsidRPr="00B70074" w:rsidRDefault="00B51594" w:rsidP="00B51594">
      <w:pPr>
        <w:pStyle w:val="ListParagraph"/>
        <w:numPr>
          <w:ilvl w:val="0"/>
          <w:numId w:val="18"/>
        </w:numPr>
        <w:rPr>
          <w:sz w:val="22"/>
          <w:lang w:val="en-US"/>
        </w:rPr>
      </w:pPr>
      <w:r w:rsidRPr="00B70074">
        <w:rPr>
          <w:sz w:val="22"/>
          <w:lang w:val="en-US"/>
        </w:rPr>
        <w:t xml:space="preserve">The current provision was inserted by the </w:t>
      </w:r>
      <w:r w:rsidRPr="00B70074">
        <w:rPr>
          <w:i/>
          <w:iCs/>
          <w:sz w:val="22"/>
          <w:lang w:val="en-US"/>
        </w:rPr>
        <w:t>Classification of Computer Games and Images and Other Legislation Amendment Act 2013</w:t>
      </w:r>
      <w:r w:rsidRPr="00B70074">
        <w:rPr>
          <w:sz w:val="22"/>
          <w:lang w:val="en-US"/>
        </w:rPr>
        <w:t xml:space="preserve">. </w:t>
      </w:r>
      <w:r w:rsidR="003E15F9">
        <w:rPr>
          <w:sz w:val="22"/>
          <w:lang w:val="en-US"/>
        </w:rPr>
        <w:t>The Queensland Civil and Administrative Tribunal (</w:t>
      </w:r>
      <w:r w:rsidRPr="00B70074">
        <w:rPr>
          <w:sz w:val="22"/>
          <w:lang w:val="en-US"/>
        </w:rPr>
        <w:t>QCAT</w:t>
      </w:r>
      <w:r w:rsidR="003E15F9">
        <w:rPr>
          <w:sz w:val="22"/>
          <w:lang w:val="en-US"/>
        </w:rPr>
        <w:t>)</w:t>
      </w:r>
      <w:r>
        <w:rPr>
          <w:sz w:val="22"/>
          <w:lang w:val="en-US"/>
        </w:rPr>
        <w:t>,</w:t>
      </w:r>
      <w:r w:rsidRPr="00B70074">
        <w:rPr>
          <w:sz w:val="22"/>
          <w:lang w:val="en-US"/>
        </w:rPr>
        <w:t xml:space="preserve"> but not the </w:t>
      </w:r>
      <w:r>
        <w:rPr>
          <w:sz w:val="22"/>
          <w:lang w:val="en-US"/>
        </w:rPr>
        <w:t xml:space="preserve">Mental Health Review </w:t>
      </w:r>
      <w:r w:rsidRPr="00B70074">
        <w:rPr>
          <w:sz w:val="22"/>
          <w:lang w:val="en-US"/>
        </w:rPr>
        <w:t>Tribunal, were consulted on the proposed amendments.</w:t>
      </w:r>
      <w:r w:rsidRPr="00B70074">
        <w:rPr>
          <w:rStyle w:val="FootnoteReference"/>
          <w:sz w:val="22"/>
          <w:lang w:val="en-US"/>
        </w:rPr>
        <w:footnoteReference w:id="2"/>
      </w:r>
      <w:r w:rsidRPr="00B70074">
        <w:rPr>
          <w:sz w:val="22"/>
          <w:lang w:val="en-US"/>
        </w:rPr>
        <w:t xml:space="preserve"> The Explanatory Note indicates the intention of amendments to section 5 to change from merely </w:t>
      </w:r>
      <w:proofErr w:type="spellStart"/>
      <w:r w:rsidRPr="00B70074">
        <w:rPr>
          <w:sz w:val="22"/>
          <w:lang w:val="en-US"/>
        </w:rPr>
        <w:t>authorising</w:t>
      </w:r>
      <w:proofErr w:type="spellEnd"/>
      <w:r w:rsidRPr="00B70074">
        <w:rPr>
          <w:sz w:val="22"/>
          <w:lang w:val="en-US"/>
        </w:rPr>
        <w:t xml:space="preserve"> recording, to requiring the recording of legal proceedings. There was also the intention to clarify that the obligation to record extends to tribunal proceedings.</w:t>
      </w:r>
      <w:r w:rsidRPr="00B70074">
        <w:rPr>
          <w:rStyle w:val="FootnoteReference"/>
          <w:sz w:val="22"/>
          <w:lang w:val="en-US"/>
        </w:rPr>
        <w:footnoteReference w:id="3"/>
      </w:r>
    </w:p>
    <w:p w14:paraId="6FDDAD35" w14:textId="3379C4D5" w:rsidR="00B51594" w:rsidRDefault="00B51594" w:rsidP="009A3745">
      <w:pPr>
        <w:pStyle w:val="ListParagraph"/>
        <w:rPr>
          <w:sz w:val="22"/>
          <w:lang w:val="en-US"/>
        </w:rPr>
      </w:pPr>
    </w:p>
    <w:p w14:paraId="578C69CA" w14:textId="4AED73DE" w:rsidR="00B51594" w:rsidRDefault="00E85786" w:rsidP="009A3745">
      <w:pPr>
        <w:pStyle w:val="ListParagraph"/>
        <w:rPr>
          <w:sz w:val="22"/>
          <w:lang w:val="en-US"/>
        </w:rPr>
      </w:pPr>
      <w:r>
        <w:rPr>
          <w:sz w:val="22"/>
          <w:lang w:val="en-US"/>
        </w:rPr>
        <w:t>The Mental Health Review Tribunal intends to, but does not currently, electronically record their proceedings</w:t>
      </w:r>
      <w:r w:rsidRPr="00AD7587">
        <w:rPr>
          <w:sz w:val="22"/>
          <w:lang w:val="en-US"/>
        </w:rPr>
        <w:t xml:space="preserve">. In the Mental Health Review Tribunal’s view, their current practice of taking notes by one of the sitting tribunal members is sufficient to meet the requirements of the </w:t>
      </w:r>
      <w:r w:rsidRPr="00AD7587">
        <w:rPr>
          <w:i/>
          <w:iCs/>
          <w:sz w:val="22"/>
          <w:lang w:val="en-US"/>
        </w:rPr>
        <w:t>Recording of Evidence Act</w:t>
      </w:r>
      <w:r w:rsidRPr="00AD7587">
        <w:rPr>
          <w:sz w:val="22"/>
          <w:lang w:val="en-US"/>
        </w:rPr>
        <w:t>.</w:t>
      </w:r>
      <w:r w:rsidRPr="00AD7587">
        <w:rPr>
          <w:rStyle w:val="FootnoteReference"/>
          <w:sz w:val="22"/>
          <w:lang w:val="en-US"/>
        </w:rPr>
        <w:footnoteReference w:id="4"/>
      </w:r>
      <w:r>
        <w:rPr>
          <w:sz w:val="22"/>
          <w:lang w:val="en-US"/>
        </w:rPr>
        <w:t xml:space="preserve"> </w:t>
      </w:r>
    </w:p>
    <w:p w14:paraId="79EC421C" w14:textId="1282ECC2" w:rsidR="00B51594" w:rsidRDefault="00B51594" w:rsidP="009A3745">
      <w:pPr>
        <w:pStyle w:val="ListParagraph"/>
        <w:rPr>
          <w:sz w:val="22"/>
          <w:lang w:val="en-US"/>
        </w:rPr>
      </w:pPr>
    </w:p>
    <w:p w14:paraId="1588CBAF" w14:textId="503B8527" w:rsidR="00E85786" w:rsidRPr="00E85786" w:rsidRDefault="00E85786" w:rsidP="009A3745">
      <w:pPr>
        <w:pStyle w:val="ListParagraph"/>
        <w:rPr>
          <w:sz w:val="22"/>
        </w:rPr>
      </w:pPr>
      <w:r w:rsidRPr="00E85786">
        <w:rPr>
          <w:sz w:val="22"/>
          <w:lang w:val="en-US"/>
        </w:rPr>
        <w:t>In the Commission’s view, th</w:t>
      </w:r>
      <w:r w:rsidR="00C35D06">
        <w:rPr>
          <w:sz w:val="22"/>
          <w:lang w:val="en-US"/>
        </w:rPr>
        <w:t>e current practice</w:t>
      </w:r>
      <w:r w:rsidRPr="00E85786">
        <w:rPr>
          <w:sz w:val="22"/>
          <w:lang w:val="en-US"/>
        </w:rPr>
        <w:t xml:space="preserve"> is not sufficient to meet the requirements of the </w:t>
      </w:r>
      <w:r w:rsidRPr="00E85786">
        <w:rPr>
          <w:i/>
          <w:iCs/>
          <w:sz w:val="22"/>
          <w:lang w:val="en-US"/>
        </w:rPr>
        <w:t>Recording of Evidence Act</w:t>
      </w:r>
      <w:r w:rsidRPr="00E85786">
        <w:rPr>
          <w:sz w:val="22"/>
          <w:lang w:val="en-US"/>
        </w:rPr>
        <w:t xml:space="preserve">, nor the obligations imposed by the </w:t>
      </w:r>
      <w:r w:rsidRPr="00E85786">
        <w:rPr>
          <w:i/>
          <w:iCs/>
          <w:sz w:val="22"/>
          <w:lang w:val="en-US"/>
        </w:rPr>
        <w:t>Human Rights Act</w:t>
      </w:r>
      <w:r w:rsidRPr="00E85786">
        <w:rPr>
          <w:sz w:val="22"/>
        </w:rPr>
        <w:t xml:space="preserve"> under the rights to fair hearing and equality. </w:t>
      </w:r>
      <w:r w:rsidR="00C35D06">
        <w:rPr>
          <w:sz w:val="22"/>
        </w:rPr>
        <w:t xml:space="preserve">Limitations to these rights are not outweighed by considerations of the right to privacy of the individual, particularly in view of the protections </w:t>
      </w:r>
      <w:r w:rsidR="003B253D">
        <w:rPr>
          <w:sz w:val="22"/>
        </w:rPr>
        <w:t xml:space="preserve">regarding </w:t>
      </w:r>
      <w:r w:rsidR="00C35D06">
        <w:rPr>
          <w:sz w:val="22"/>
        </w:rPr>
        <w:t>access to the recording</w:t>
      </w:r>
      <w:r w:rsidR="003B253D">
        <w:rPr>
          <w:sz w:val="22"/>
        </w:rPr>
        <w:t>s</w:t>
      </w:r>
      <w:r w:rsidR="00C35D06">
        <w:rPr>
          <w:sz w:val="22"/>
        </w:rPr>
        <w:t xml:space="preserve"> </w:t>
      </w:r>
      <w:r w:rsidR="003B253D">
        <w:rPr>
          <w:sz w:val="22"/>
        </w:rPr>
        <w:t xml:space="preserve">proposed </w:t>
      </w:r>
      <w:r w:rsidR="00C35D06">
        <w:rPr>
          <w:sz w:val="22"/>
        </w:rPr>
        <w:t xml:space="preserve">by amendments to the </w:t>
      </w:r>
      <w:r w:rsidR="00C35D06" w:rsidRPr="00C35D06">
        <w:rPr>
          <w:i/>
          <w:iCs/>
          <w:sz w:val="22"/>
        </w:rPr>
        <w:t>Mental Health Act 2016</w:t>
      </w:r>
      <w:r w:rsidR="00C35D06">
        <w:rPr>
          <w:sz w:val="22"/>
        </w:rPr>
        <w:t xml:space="preserve"> by this bill. </w:t>
      </w:r>
    </w:p>
    <w:p w14:paraId="43C1918A" w14:textId="588F0CA1" w:rsidR="00E85786" w:rsidRDefault="00E85786" w:rsidP="009A3745">
      <w:pPr>
        <w:pStyle w:val="ListParagraph"/>
        <w:rPr>
          <w:sz w:val="22"/>
          <w:lang w:val="en-US"/>
        </w:rPr>
      </w:pPr>
    </w:p>
    <w:p w14:paraId="02E47414" w14:textId="557E8258" w:rsidR="00C35D06" w:rsidRDefault="00C35D06" w:rsidP="009A3745">
      <w:pPr>
        <w:pStyle w:val="ListParagraph"/>
        <w:rPr>
          <w:sz w:val="22"/>
          <w:lang w:val="en-US"/>
        </w:rPr>
      </w:pPr>
      <w:r>
        <w:rPr>
          <w:sz w:val="22"/>
          <w:lang w:val="en-US"/>
        </w:rPr>
        <w:lastRenderedPageBreak/>
        <w:t xml:space="preserve">According to the Explanatory Notes, the </w:t>
      </w:r>
      <w:r w:rsidR="007319B7">
        <w:rPr>
          <w:sz w:val="22"/>
          <w:lang w:val="en-US"/>
        </w:rPr>
        <w:t xml:space="preserve">bill ‘aims to ensure that persons subject to proceedings and relevant entities such as their mental health service and courts can request and obtain </w:t>
      </w:r>
      <w:r w:rsidR="007319B7" w:rsidRPr="007319B7">
        <w:rPr>
          <w:i/>
          <w:iCs/>
          <w:sz w:val="22"/>
          <w:lang w:val="en-US"/>
        </w:rPr>
        <w:t>accurate</w:t>
      </w:r>
      <w:r w:rsidR="007319B7">
        <w:rPr>
          <w:sz w:val="22"/>
          <w:lang w:val="en-US"/>
        </w:rPr>
        <w:t xml:space="preserve"> records of hearings. </w:t>
      </w:r>
      <w:r w:rsidR="007319B7" w:rsidRPr="007319B7">
        <w:rPr>
          <w:i/>
          <w:iCs/>
          <w:sz w:val="22"/>
          <w:lang w:val="en-US"/>
        </w:rPr>
        <w:t>Accurate</w:t>
      </w:r>
      <w:r w:rsidR="007319B7">
        <w:rPr>
          <w:sz w:val="22"/>
          <w:lang w:val="en-US"/>
        </w:rPr>
        <w:t xml:space="preserve"> records of hearings can assist a person who has had a hearing and their treating team to recall and understand the MHRT’s decision, and, if needed, support them to seek advice. </w:t>
      </w:r>
      <w:r w:rsidR="007319B7" w:rsidRPr="007319B7">
        <w:rPr>
          <w:i/>
          <w:iCs/>
          <w:sz w:val="22"/>
          <w:lang w:val="en-US"/>
        </w:rPr>
        <w:t>Accurate</w:t>
      </w:r>
      <w:r w:rsidR="007319B7">
        <w:rPr>
          <w:sz w:val="22"/>
          <w:lang w:val="en-US"/>
        </w:rPr>
        <w:t xml:space="preserve"> records also support the Mental Health Court where a person before </w:t>
      </w:r>
      <w:r w:rsidR="007176FA">
        <w:rPr>
          <w:sz w:val="22"/>
          <w:lang w:val="en-US"/>
        </w:rPr>
        <w:t xml:space="preserve">the </w:t>
      </w:r>
      <w:r w:rsidR="007319B7">
        <w:rPr>
          <w:sz w:val="22"/>
          <w:lang w:val="en-US"/>
        </w:rPr>
        <w:t>Court has had a relevant MHRT matter’</w:t>
      </w:r>
      <w:r w:rsidR="0073084E">
        <w:rPr>
          <w:sz w:val="22"/>
          <w:lang w:val="en-US"/>
        </w:rPr>
        <w:t xml:space="preserve"> (emphasis added)</w:t>
      </w:r>
      <w:r w:rsidR="003E15F9">
        <w:rPr>
          <w:sz w:val="22"/>
          <w:lang w:val="en-US"/>
        </w:rPr>
        <w:t>.</w:t>
      </w:r>
      <w:r w:rsidR="007319B7">
        <w:rPr>
          <w:rStyle w:val="FootnoteReference"/>
          <w:sz w:val="22"/>
          <w:lang w:val="en-US"/>
        </w:rPr>
        <w:footnoteReference w:id="5"/>
      </w:r>
    </w:p>
    <w:p w14:paraId="2A2235F2" w14:textId="7D7C5203" w:rsidR="00C35D06" w:rsidRDefault="00C35D06" w:rsidP="009A3745">
      <w:pPr>
        <w:pStyle w:val="ListParagraph"/>
        <w:rPr>
          <w:sz w:val="22"/>
          <w:lang w:val="en-US"/>
        </w:rPr>
      </w:pPr>
    </w:p>
    <w:p w14:paraId="2D070327" w14:textId="288A339D" w:rsidR="00BA5CB8" w:rsidRPr="007319B7" w:rsidRDefault="007176FA" w:rsidP="007319B7">
      <w:pPr>
        <w:pStyle w:val="ListParagraph"/>
        <w:rPr>
          <w:sz w:val="22"/>
          <w:lang w:val="en-US"/>
        </w:rPr>
      </w:pPr>
      <w:r>
        <w:rPr>
          <w:sz w:val="22"/>
          <w:lang w:val="en-US"/>
        </w:rPr>
        <w:t>For clarity, t</w:t>
      </w:r>
      <w:r w:rsidR="00C35D06">
        <w:rPr>
          <w:sz w:val="22"/>
          <w:lang w:val="en-US"/>
        </w:rPr>
        <w:t xml:space="preserve">he Commission submits that </w:t>
      </w:r>
      <w:r w:rsidR="007319B7">
        <w:rPr>
          <w:sz w:val="22"/>
          <w:lang w:val="en-US"/>
        </w:rPr>
        <w:t xml:space="preserve">further amendment to the </w:t>
      </w:r>
      <w:r w:rsidR="007319B7" w:rsidRPr="007319B7">
        <w:rPr>
          <w:i/>
          <w:iCs/>
          <w:sz w:val="22"/>
          <w:lang w:val="en-US"/>
        </w:rPr>
        <w:t>Recording of Evidence Act</w:t>
      </w:r>
      <w:r w:rsidR="007319B7">
        <w:rPr>
          <w:sz w:val="22"/>
          <w:lang w:val="en-US"/>
        </w:rPr>
        <w:t xml:space="preserve"> </w:t>
      </w:r>
      <w:r>
        <w:rPr>
          <w:sz w:val="22"/>
          <w:lang w:val="en-US"/>
        </w:rPr>
        <w:t xml:space="preserve">may be needed </w:t>
      </w:r>
      <w:r w:rsidR="007319B7">
        <w:rPr>
          <w:sz w:val="22"/>
          <w:lang w:val="en-US"/>
        </w:rPr>
        <w:t xml:space="preserve">to </w:t>
      </w:r>
      <w:r>
        <w:rPr>
          <w:sz w:val="22"/>
          <w:lang w:val="en-US"/>
        </w:rPr>
        <w:t xml:space="preserve">require the Mental Health Review Tribunal to take </w:t>
      </w:r>
      <w:r w:rsidR="007319B7">
        <w:rPr>
          <w:sz w:val="22"/>
          <w:lang w:val="en-US"/>
        </w:rPr>
        <w:t>‘accurate record</w:t>
      </w:r>
      <w:r w:rsidR="0073084E">
        <w:rPr>
          <w:sz w:val="22"/>
          <w:lang w:val="en-US"/>
        </w:rPr>
        <w:t>s</w:t>
      </w:r>
      <w:r w:rsidR="007319B7">
        <w:rPr>
          <w:sz w:val="22"/>
          <w:lang w:val="en-US"/>
        </w:rPr>
        <w:t xml:space="preserve">’ of hearings, </w:t>
      </w:r>
      <w:r w:rsidR="00BA5CB8" w:rsidRPr="007319B7">
        <w:rPr>
          <w:sz w:val="22"/>
          <w:lang w:val="en-US"/>
        </w:rPr>
        <w:t xml:space="preserve">which in the Commission’s respectful submission, </w:t>
      </w:r>
      <w:r w:rsidR="003B253D" w:rsidRPr="007319B7">
        <w:rPr>
          <w:sz w:val="22"/>
          <w:lang w:val="en-US"/>
        </w:rPr>
        <w:t xml:space="preserve">can only be achieved through </w:t>
      </w:r>
      <w:r w:rsidR="003E2F1C" w:rsidRPr="007319B7">
        <w:rPr>
          <w:sz w:val="22"/>
          <w:lang w:val="en-US"/>
        </w:rPr>
        <w:t xml:space="preserve">electronic </w:t>
      </w:r>
      <w:r w:rsidR="003B253D" w:rsidRPr="007319B7">
        <w:rPr>
          <w:sz w:val="22"/>
          <w:lang w:val="en-US"/>
        </w:rPr>
        <w:t>audio recording, professional short hand record</w:t>
      </w:r>
      <w:r w:rsidR="003E2F1C" w:rsidRPr="007319B7">
        <w:rPr>
          <w:sz w:val="22"/>
          <w:lang w:val="en-US"/>
        </w:rPr>
        <w:t>ing,</w:t>
      </w:r>
      <w:r w:rsidR="003B253D" w:rsidRPr="007319B7">
        <w:rPr>
          <w:sz w:val="22"/>
          <w:lang w:val="en-US"/>
        </w:rPr>
        <w:t xml:space="preserve"> or similar</w:t>
      </w:r>
      <w:r w:rsidR="003E2F1C" w:rsidRPr="007319B7">
        <w:rPr>
          <w:sz w:val="22"/>
          <w:lang w:val="en-US"/>
        </w:rPr>
        <w:t xml:space="preserve"> practice</w:t>
      </w:r>
      <w:r w:rsidR="003B253D" w:rsidRPr="007319B7">
        <w:rPr>
          <w:sz w:val="22"/>
          <w:lang w:val="en-US"/>
        </w:rPr>
        <w:t xml:space="preserve">. </w:t>
      </w:r>
    </w:p>
    <w:p w14:paraId="463F8568" w14:textId="0DEDBAEE" w:rsidR="003E2F1C" w:rsidRDefault="003E2F1C" w:rsidP="009A3745">
      <w:pPr>
        <w:pStyle w:val="ListParagraph"/>
        <w:rPr>
          <w:sz w:val="22"/>
          <w:lang w:val="en-US"/>
        </w:rPr>
      </w:pPr>
    </w:p>
    <w:p w14:paraId="7428EF42" w14:textId="45DDB27D" w:rsidR="003E2F1C" w:rsidRPr="00A862A9" w:rsidRDefault="003E2F1C" w:rsidP="00A862A9">
      <w:pPr>
        <w:pStyle w:val="ListParagraph"/>
        <w:rPr>
          <w:sz w:val="22"/>
          <w:lang w:val="en-US"/>
        </w:rPr>
      </w:pPr>
      <w:r>
        <w:rPr>
          <w:sz w:val="22"/>
          <w:lang w:val="en-US"/>
        </w:rPr>
        <w:t xml:space="preserve">The Commission acknowledges that it might be appropriate for there to be an exception </w:t>
      </w:r>
      <w:r w:rsidR="007176FA">
        <w:rPr>
          <w:sz w:val="22"/>
          <w:lang w:val="en-US"/>
        </w:rPr>
        <w:t xml:space="preserve">to </w:t>
      </w:r>
      <w:r w:rsidR="00F82EE0">
        <w:rPr>
          <w:sz w:val="22"/>
          <w:lang w:val="en-US"/>
        </w:rPr>
        <w:t xml:space="preserve">electronic recording </w:t>
      </w:r>
      <w:r w:rsidR="007176FA">
        <w:rPr>
          <w:sz w:val="22"/>
          <w:lang w:val="en-US"/>
        </w:rPr>
        <w:t xml:space="preserve">where it </w:t>
      </w:r>
      <w:r w:rsidR="00F82EE0">
        <w:rPr>
          <w:sz w:val="22"/>
          <w:lang w:val="en-US"/>
        </w:rPr>
        <w:t xml:space="preserve">would cause significant distress to the individual, such that it would justify limitation to rights to fair hearing and equality, and the practice may amount to torture, cruel, inhuman or degrading treatment of that individual (under section 17 of the </w:t>
      </w:r>
      <w:r w:rsidR="00F82EE0" w:rsidRPr="00F82EE0">
        <w:rPr>
          <w:i/>
          <w:iCs/>
          <w:sz w:val="22"/>
          <w:lang w:val="en-US"/>
        </w:rPr>
        <w:t>Human Rights Act</w:t>
      </w:r>
      <w:r w:rsidR="00F82EE0">
        <w:rPr>
          <w:sz w:val="22"/>
          <w:lang w:val="en-US"/>
        </w:rPr>
        <w:t>).  However, it is anticipated such circumstances would be exceptional</w:t>
      </w:r>
      <w:r w:rsidR="00A862A9">
        <w:rPr>
          <w:sz w:val="22"/>
          <w:lang w:val="en-US"/>
        </w:rPr>
        <w:t xml:space="preserve"> and may be avoided if a proper explanation of the purpose </w:t>
      </w:r>
      <w:r w:rsidR="00A862A9" w:rsidRPr="00A862A9">
        <w:rPr>
          <w:sz w:val="22"/>
          <w:lang w:val="en-US"/>
        </w:rPr>
        <w:t xml:space="preserve">of recording is </w:t>
      </w:r>
      <w:r w:rsidR="00A862A9">
        <w:rPr>
          <w:sz w:val="22"/>
          <w:lang w:val="en-US"/>
        </w:rPr>
        <w:t>provided (ideally, before the hearing)</w:t>
      </w:r>
      <w:r w:rsidR="00F82EE0" w:rsidRPr="00A862A9">
        <w:rPr>
          <w:sz w:val="22"/>
          <w:lang w:val="en-US"/>
        </w:rPr>
        <w:t xml:space="preserve">. </w:t>
      </w:r>
    </w:p>
    <w:p w14:paraId="6ED3303D" w14:textId="240B56FA" w:rsidR="00ED324A" w:rsidRPr="00B70074" w:rsidRDefault="00ED324A" w:rsidP="00DC0632">
      <w:pPr>
        <w:pStyle w:val="ListParagraph"/>
        <w:rPr>
          <w:sz w:val="22"/>
          <w:lang w:val="en-US"/>
        </w:rPr>
      </w:pPr>
    </w:p>
    <w:p w14:paraId="69CBBC90" w14:textId="423964B4" w:rsidR="00B70074" w:rsidRDefault="00B70074" w:rsidP="00150735">
      <w:pPr>
        <w:pStyle w:val="ListParagraph"/>
        <w:rPr>
          <w:sz w:val="22"/>
          <w:lang w:val="en-US"/>
        </w:rPr>
      </w:pPr>
      <w:r>
        <w:rPr>
          <w:sz w:val="22"/>
          <w:lang w:val="en-US"/>
        </w:rPr>
        <w:t>Yours sincerely</w:t>
      </w:r>
    </w:p>
    <w:p w14:paraId="54B458F1" w14:textId="481FA489" w:rsidR="00B70074" w:rsidRDefault="00B70074" w:rsidP="00150735">
      <w:pPr>
        <w:pStyle w:val="ListParagraph"/>
        <w:rPr>
          <w:noProof/>
          <w:sz w:val="22"/>
          <w:lang w:val="en-US"/>
        </w:rPr>
      </w:pPr>
    </w:p>
    <w:p w14:paraId="65597FA0" w14:textId="17A2B0F4" w:rsidR="00ED4490" w:rsidRPr="00ED4490" w:rsidRDefault="000438E9" w:rsidP="00ED4490">
      <w:pPr>
        <w:pStyle w:val="ListParagraph"/>
        <w:rPr>
          <w:b/>
          <w:bCs/>
          <w:sz w:val="22"/>
          <w:lang w:val="en-US"/>
        </w:rPr>
      </w:pPr>
      <w:r>
        <w:rPr>
          <w:b/>
          <w:bCs/>
          <w:sz w:val="22"/>
          <w:lang w:val="en-US"/>
        </w:rPr>
        <w:t>Neroli Holmes</w:t>
      </w:r>
    </w:p>
    <w:p w14:paraId="64D57DD3" w14:textId="00AE569E" w:rsidR="00A762DF" w:rsidRPr="00ED4490" w:rsidRDefault="005B7257" w:rsidP="005B7257">
      <w:pPr>
        <w:pStyle w:val="ListParagraph"/>
        <w:rPr>
          <w:b/>
          <w:bCs/>
          <w:sz w:val="22"/>
          <w:lang w:val="en-US"/>
        </w:rPr>
      </w:pPr>
      <w:r w:rsidRPr="005B7257">
        <w:rPr>
          <w:b/>
          <w:bCs/>
          <w:sz w:val="22"/>
          <w:lang w:val="en-US"/>
        </w:rPr>
        <w:t>A/g Queensland Human Rights Commissioner</w:t>
      </w:r>
    </w:p>
    <w:sectPr w:rsidR="00A762DF" w:rsidRPr="00ED4490" w:rsidSect="000C13C7">
      <w:headerReference w:type="default" r:id="rId12"/>
      <w:footerReference w:type="default" r:id="rId13"/>
      <w:headerReference w:type="first" r:id="rId14"/>
      <w:footerReference w:type="first" r:id="rId15"/>
      <w:pgSz w:w="11906" w:h="16838"/>
      <w:pgMar w:top="2127" w:right="1440" w:bottom="1440" w:left="1134" w:header="708" w:footer="65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4761F" w14:textId="77777777" w:rsidR="00B200C7" w:rsidRDefault="00B200C7" w:rsidP="00304408">
      <w:pPr>
        <w:spacing w:after="0" w:line="240" w:lineRule="auto"/>
      </w:pPr>
      <w:r>
        <w:separator/>
      </w:r>
    </w:p>
  </w:endnote>
  <w:endnote w:type="continuationSeparator" w:id="0">
    <w:p w14:paraId="1478633A" w14:textId="77777777" w:rsidR="00B200C7" w:rsidRDefault="00B200C7" w:rsidP="003044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CA07D" w14:textId="2DD27448" w:rsidR="00BC7248" w:rsidRDefault="00BC7248" w:rsidP="00911F7B">
    <w:pPr>
      <w:pStyle w:val="Footer"/>
      <w:tabs>
        <w:tab w:val="clear" w:pos="4513"/>
        <w:tab w:val="clear" w:pos="9026"/>
      </w:tab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50AA9" w14:textId="77777777" w:rsidR="00BC7248" w:rsidRDefault="00BC7248" w:rsidP="000C13C7">
    <w:pPr>
      <w:pStyle w:val="Footer"/>
      <w:tabs>
        <w:tab w:val="clear" w:pos="4513"/>
        <w:tab w:val="clear" w:pos="9026"/>
      </w:tabs>
    </w:pPr>
    <w:r>
      <w:rPr>
        <w:noProof/>
        <w:lang w:eastAsia="en-AU"/>
      </w:rPr>
      <w:drawing>
        <wp:inline distT="0" distB="0" distL="0" distR="0" wp14:anchorId="3A3D53C7" wp14:editId="5DC3DD05">
          <wp:extent cx="5657578" cy="1085182"/>
          <wp:effectExtent l="0" t="0" r="63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QHRC FOOTER.png"/>
                  <pic:cNvPicPr/>
                </pic:nvPicPr>
                <pic:blipFill>
                  <a:blip r:embed="rId1">
                    <a:extLst>
                      <a:ext uri="{28A0092B-C50C-407E-A947-70E740481C1C}">
                        <a14:useLocalDpi xmlns:a14="http://schemas.microsoft.com/office/drawing/2010/main" val="0"/>
                      </a:ext>
                    </a:extLst>
                  </a:blip>
                  <a:stretch>
                    <a:fillRect/>
                  </a:stretch>
                </pic:blipFill>
                <pic:spPr>
                  <a:xfrm>
                    <a:off x="0" y="0"/>
                    <a:ext cx="5657578" cy="108518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65FA1" w14:textId="77777777" w:rsidR="00B200C7" w:rsidRDefault="00B200C7" w:rsidP="00304408">
      <w:pPr>
        <w:spacing w:after="0" w:line="240" w:lineRule="auto"/>
      </w:pPr>
      <w:r>
        <w:separator/>
      </w:r>
    </w:p>
  </w:footnote>
  <w:footnote w:type="continuationSeparator" w:id="0">
    <w:p w14:paraId="2383C0D3" w14:textId="77777777" w:rsidR="00B200C7" w:rsidRDefault="00B200C7" w:rsidP="00304408">
      <w:pPr>
        <w:spacing w:after="0" w:line="240" w:lineRule="auto"/>
      </w:pPr>
      <w:r>
        <w:continuationSeparator/>
      </w:r>
    </w:p>
  </w:footnote>
  <w:footnote w:id="1">
    <w:p w14:paraId="27FD0F77" w14:textId="77777777" w:rsidR="00D14F1D" w:rsidRPr="0095009D" w:rsidRDefault="00D14F1D" w:rsidP="00D14F1D">
      <w:pPr>
        <w:pStyle w:val="FootnoteText"/>
        <w:rPr>
          <w:lang w:val="en-US"/>
        </w:rPr>
      </w:pPr>
      <w:r>
        <w:rPr>
          <w:rStyle w:val="FootnoteReference"/>
        </w:rPr>
        <w:footnoteRef/>
      </w:r>
      <w:r>
        <w:t xml:space="preserve"> United Nations Human Rights Committee, </w:t>
      </w:r>
      <w:r w:rsidRPr="009411A8">
        <w:rPr>
          <w:i/>
          <w:iCs/>
        </w:rPr>
        <w:t>General Comment No. 32</w:t>
      </w:r>
      <w:r>
        <w:rPr>
          <w:i/>
          <w:iCs/>
        </w:rPr>
        <w:t>,</w:t>
      </w:r>
      <w:r w:rsidRPr="009411A8">
        <w:rPr>
          <w:i/>
          <w:iCs/>
        </w:rPr>
        <w:t xml:space="preserve"> Article 14: Right</w:t>
      </w:r>
      <w:r>
        <w:rPr>
          <w:i/>
          <w:iCs/>
        </w:rPr>
        <w:t xml:space="preserve"> </w:t>
      </w:r>
      <w:r w:rsidRPr="009411A8">
        <w:rPr>
          <w:i/>
          <w:iCs/>
        </w:rPr>
        <w:t>to equality before courts and tribunals and to a fair trial</w:t>
      </w:r>
      <w:r>
        <w:t>, 19</w:t>
      </w:r>
      <w:r w:rsidRPr="009411A8">
        <w:rPr>
          <w:vertAlign w:val="superscript"/>
        </w:rPr>
        <w:t>th</w:t>
      </w:r>
      <w:r>
        <w:t xml:space="preserve"> </w:t>
      </w:r>
      <w:proofErr w:type="spellStart"/>
      <w:r>
        <w:t>sess</w:t>
      </w:r>
      <w:proofErr w:type="spellEnd"/>
      <w:r>
        <w:t xml:space="preserve">, UN Doc CCPR/C/GC/32 (23 August 2007) </w:t>
      </w:r>
      <w:r>
        <w:rPr>
          <w:lang w:val="en-US"/>
        </w:rPr>
        <w:t>[28].</w:t>
      </w:r>
    </w:p>
  </w:footnote>
  <w:footnote w:id="2">
    <w:p w14:paraId="6180ECEE" w14:textId="77777777" w:rsidR="00B51594" w:rsidRPr="00483BBA" w:rsidRDefault="00B51594" w:rsidP="00B51594">
      <w:pPr>
        <w:pStyle w:val="FootnoteText"/>
        <w:rPr>
          <w:lang w:val="en-US"/>
        </w:rPr>
      </w:pPr>
      <w:r>
        <w:rPr>
          <w:rStyle w:val="FootnoteReference"/>
        </w:rPr>
        <w:footnoteRef/>
      </w:r>
      <w:r>
        <w:t xml:space="preserve"> </w:t>
      </w:r>
      <w:r>
        <w:rPr>
          <w:lang w:val="en-US"/>
        </w:rPr>
        <w:t>Explanatory Note,</w:t>
      </w:r>
      <w:r w:rsidRPr="007957E6">
        <w:t xml:space="preserve"> </w:t>
      </w:r>
      <w:r w:rsidRPr="007957E6">
        <w:rPr>
          <w:lang w:val="en-US"/>
        </w:rPr>
        <w:t xml:space="preserve">Classification of Computer Games and Images and Other Legislation Amendment </w:t>
      </w:r>
      <w:r>
        <w:rPr>
          <w:lang w:val="en-US"/>
        </w:rPr>
        <w:t>Bill 2012 8.</w:t>
      </w:r>
    </w:p>
  </w:footnote>
  <w:footnote w:id="3">
    <w:p w14:paraId="2A0E403A" w14:textId="77777777" w:rsidR="00B51594" w:rsidRPr="00483BBA" w:rsidRDefault="00B51594" w:rsidP="00B51594">
      <w:pPr>
        <w:pStyle w:val="FootnoteText"/>
        <w:rPr>
          <w:lang w:val="en-US"/>
        </w:rPr>
      </w:pPr>
      <w:r>
        <w:rPr>
          <w:rStyle w:val="FootnoteReference"/>
        </w:rPr>
        <w:footnoteRef/>
      </w:r>
      <w:r>
        <w:t xml:space="preserve"> </w:t>
      </w:r>
      <w:r>
        <w:rPr>
          <w:lang w:val="en-US"/>
        </w:rPr>
        <w:t>Ibid 19.</w:t>
      </w:r>
    </w:p>
  </w:footnote>
  <w:footnote w:id="4">
    <w:p w14:paraId="145FBA81" w14:textId="77777777" w:rsidR="00E85786" w:rsidRPr="00A553A0" w:rsidRDefault="00E85786" w:rsidP="00E85786">
      <w:pPr>
        <w:pStyle w:val="FootnoteText"/>
        <w:rPr>
          <w:lang w:val="en-US"/>
        </w:rPr>
      </w:pPr>
      <w:r w:rsidRPr="00AD7587">
        <w:rPr>
          <w:rStyle w:val="FootnoteReference"/>
        </w:rPr>
        <w:footnoteRef/>
      </w:r>
      <w:r w:rsidRPr="00AD7587">
        <w:t xml:space="preserve"> State Development and Regional Industries Committee, Queensland Parliament, </w:t>
      </w:r>
      <w:r w:rsidRPr="00AD7587">
        <w:rPr>
          <w:i/>
          <w:iCs/>
        </w:rPr>
        <w:t>Health and Other Legislation Amendment Bill 2021</w:t>
      </w:r>
      <w:r w:rsidRPr="00AD7587">
        <w:t xml:space="preserve"> (Report No. 17, February 2022) </w:t>
      </w:r>
      <w:r w:rsidRPr="00AD7587">
        <w:rPr>
          <w:lang w:val="en-US"/>
        </w:rPr>
        <w:t>26-27.</w:t>
      </w:r>
    </w:p>
  </w:footnote>
  <w:footnote w:id="5">
    <w:p w14:paraId="2B2A16C1" w14:textId="16568318" w:rsidR="007319B7" w:rsidRPr="007319B7" w:rsidRDefault="007319B7">
      <w:pPr>
        <w:pStyle w:val="FootnoteText"/>
        <w:rPr>
          <w:lang w:val="en-US"/>
        </w:rPr>
      </w:pPr>
      <w:r>
        <w:rPr>
          <w:rStyle w:val="FootnoteReference"/>
        </w:rPr>
        <w:footnoteRef/>
      </w:r>
      <w:r>
        <w:t xml:space="preserve"> Explanatory Note</w:t>
      </w:r>
      <w:r w:rsidR="0073084E">
        <w:t>s</w:t>
      </w:r>
      <w:r>
        <w:t>, Health and Other Legislation Amendment Bill 2022 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6013790"/>
      <w:docPartObj>
        <w:docPartGallery w:val="Page Numbers (Top of Page)"/>
        <w:docPartUnique/>
      </w:docPartObj>
    </w:sdtPr>
    <w:sdtEndPr>
      <w:rPr>
        <w:noProof/>
      </w:rPr>
    </w:sdtEndPr>
    <w:sdtContent>
      <w:p w14:paraId="48B8A4F6" w14:textId="245236CE" w:rsidR="00B71746" w:rsidRDefault="00B7174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FF9F46A" w14:textId="77777777" w:rsidR="00BC7248" w:rsidRDefault="00BC7248" w:rsidP="00304408">
    <w:pPr>
      <w:pStyle w:val="Header"/>
      <w:tabs>
        <w:tab w:val="clear" w:pos="4513"/>
        <w:tab w:val="clear" w:pos="902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2E578" w14:textId="77777777" w:rsidR="00BC7248" w:rsidRDefault="00BC7248" w:rsidP="000C13C7">
    <w:pPr>
      <w:pStyle w:val="Header"/>
      <w:tabs>
        <w:tab w:val="clear" w:pos="4513"/>
        <w:tab w:val="clear" w:pos="9026"/>
      </w:tabs>
    </w:pPr>
    <w:r>
      <w:rPr>
        <w:noProof/>
        <w:lang w:eastAsia="en-AU"/>
      </w:rPr>
      <w:drawing>
        <wp:inline distT="0" distB="0" distL="0" distR="0" wp14:anchorId="28F48EBD" wp14:editId="4914B3AA">
          <wp:extent cx="2147504" cy="895985"/>
          <wp:effectExtent l="0" t="0" r="571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HRC LOGO.png"/>
                  <pic:cNvPicPr/>
                </pic:nvPicPr>
                <pic:blipFill rotWithShape="1">
                  <a:blip r:embed="rId1">
                    <a:extLst>
                      <a:ext uri="{28A0092B-C50C-407E-A947-70E740481C1C}">
                        <a14:useLocalDpi xmlns:a14="http://schemas.microsoft.com/office/drawing/2010/main" val="0"/>
                      </a:ext>
                    </a:extLst>
                  </a:blip>
                  <a:srcRect l="4518"/>
                  <a:stretch/>
                </pic:blipFill>
                <pic:spPr bwMode="auto">
                  <a:xfrm>
                    <a:off x="0" y="0"/>
                    <a:ext cx="2147995" cy="89619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F20F4"/>
    <w:multiLevelType w:val="hybridMultilevel"/>
    <w:tmpl w:val="E7540F72"/>
    <w:lvl w:ilvl="0" w:tplc="7B8063B8">
      <w:numFmt w:val="bullet"/>
      <w:lvlText w:val="•"/>
      <w:lvlJc w:val="left"/>
      <w:pPr>
        <w:ind w:left="1080" w:hanging="360"/>
      </w:pPr>
      <w:rPr>
        <w:rFonts w:ascii="Arial" w:eastAsiaTheme="minorHAnsi" w:hAnsi="Arial" w:cs="Aria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01AB3C2A"/>
    <w:multiLevelType w:val="hybridMultilevel"/>
    <w:tmpl w:val="E242A83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03DB2128"/>
    <w:multiLevelType w:val="hybridMultilevel"/>
    <w:tmpl w:val="9814AC18"/>
    <w:lvl w:ilvl="0" w:tplc="CED682F2">
      <w:numFmt w:val="bullet"/>
      <w:lvlText w:val=""/>
      <w:lvlJc w:val="left"/>
      <w:pPr>
        <w:ind w:left="1440" w:hanging="360"/>
      </w:pPr>
      <w:rPr>
        <w:rFonts w:ascii="Symbol" w:eastAsiaTheme="minorHAnsi" w:hAnsi="Symbol" w:cstheme="minorBid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068969B8"/>
    <w:multiLevelType w:val="multilevel"/>
    <w:tmpl w:val="EC007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9E5E8C"/>
    <w:multiLevelType w:val="multilevel"/>
    <w:tmpl w:val="C3CE2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9477D0"/>
    <w:multiLevelType w:val="hybridMultilevel"/>
    <w:tmpl w:val="8CA4D3CA"/>
    <w:lvl w:ilvl="0" w:tplc="83689D4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BB75442"/>
    <w:multiLevelType w:val="multilevel"/>
    <w:tmpl w:val="5796A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0951DB"/>
    <w:multiLevelType w:val="hybridMultilevel"/>
    <w:tmpl w:val="2806BE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36D67FA6"/>
    <w:multiLevelType w:val="multilevel"/>
    <w:tmpl w:val="D1041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2C024D"/>
    <w:multiLevelType w:val="multilevel"/>
    <w:tmpl w:val="FB0200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4E47C0"/>
    <w:multiLevelType w:val="hybridMultilevel"/>
    <w:tmpl w:val="C0FADD18"/>
    <w:lvl w:ilvl="0" w:tplc="169846A0">
      <w:start w:val="1"/>
      <w:numFmt w:val="bullet"/>
      <w:lvlText w:val=""/>
      <w:lvlJc w:val="left"/>
      <w:pPr>
        <w:ind w:left="1080" w:hanging="360"/>
      </w:pPr>
      <w:rPr>
        <w:rFonts w:ascii="Symbol" w:eastAsiaTheme="minorHAnsi" w:hAnsi="Symbol"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44147D4C"/>
    <w:multiLevelType w:val="multilevel"/>
    <w:tmpl w:val="23C2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F0E00DE"/>
    <w:multiLevelType w:val="hybridMultilevel"/>
    <w:tmpl w:val="C1C058C4"/>
    <w:lvl w:ilvl="0" w:tplc="58E4B4FC">
      <w:start w:val="19"/>
      <w:numFmt w:val="bullet"/>
      <w:lvlText w:val=""/>
      <w:lvlJc w:val="left"/>
      <w:pPr>
        <w:ind w:left="1080" w:hanging="360"/>
      </w:pPr>
      <w:rPr>
        <w:rFonts w:ascii="Symbol" w:eastAsiaTheme="minorHAnsi" w:hAnsi="Symbol"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53D84B5A"/>
    <w:multiLevelType w:val="multilevel"/>
    <w:tmpl w:val="1640D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2F3C8B"/>
    <w:multiLevelType w:val="multilevel"/>
    <w:tmpl w:val="B0540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AD56733"/>
    <w:multiLevelType w:val="hybridMultilevel"/>
    <w:tmpl w:val="049C42D6"/>
    <w:lvl w:ilvl="0" w:tplc="C6CC0E4E">
      <w:numFmt w:val="bullet"/>
      <w:lvlText w:val=""/>
      <w:lvlJc w:val="left"/>
      <w:pPr>
        <w:ind w:left="720" w:hanging="360"/>
      </w:pPr>
      <w:rPr>
        <w:rFonts w:ascii="Symbol" w:eastAsia="Calibr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5C4476E7"/>
    <w:multiLevelType w:val="hybridMultilevel"/>
    <w:tmpl w:val="31620338"/>
    <w:lvl w:ilvl="0" w:tplc="19761E20">
      <w:start w:val="1"/>
      <w:numFmt w:val="decimal"/>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682B0EA2"/>
    <w:multiLevelType w:val="hybridMultilevel"/>
    <w:tmpl w:val="026ADC40"/>
    <w:lvl w:ilvl="0" w:tplc="CED682F2">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63A5C6E"/>
    <w:multiLevelType w:val="multilevel"/>
    <w:tmpl w:val="5394C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DD64FA"/>
    <w:multiLevelType w:val="hybridMultilevel"/>
    <w:tmpl w:val="10305FE8"/>
    <w:lvl w:ilvl="0" w:tplc="CED682F2">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F70483F"/>
    <w:multiLevelType w:val="multilevel"/>
    <w:tmpl w:val="AA449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4"/>
  </w:num>
  <w:num w:numId="3">
    <w:abstractNumId w:val="18"/>
  </w:num>
  <w:num w:numId="4">
    <w:abstractNumId w:val="3"/>
  </w:num>
  <w:num w:numId="5">
    <w:abstractNumId w:val="9"/>
  </w:num>
  <w:num w:numId="6">
    <w:abstractNumId w:val="14"/>
  </w:num>
  <w:num w:numId="7">
    <w:abstractNumId w:val="8"/>
  </w:num>
  <w:num w:numId="8">
    <w:abstractNumId w:val="11"/>
  </w:num>
  <w:num w:numId="9">
    <w:abstractNumId w:val="20"/>
  </w:num>
  <w:num w:numId="10">
    <w:abstractNumId w:val="6"/>
  </w:num>
  <w:num w:numId="11">
    <w:abstractNumId w:val="19"/>
  </w:num>
  <w:num w:numId="12">
    <w:abstractNumId w:val="5"/>
  </w:num>
  <w:num w:numId="13">
    <w:abstractNumId w:val="2"/>
  </w:num>
  <w:num w:numId="14">
    <w:abstractNumId w:val="17"/>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2"/>
  </w:num>
  <w:num w:numId="19">
    <w:abstractNumId w:val="15"/>
  </w:num>
  <w:num w:numId="20">
    <w:abstractNumId w:val="16"/>
  </w:num>
  <w:num w:numId="21">
    <w:abstractNumId w:val="10"/>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0C7"/>
    <w:rsid w:val="00033DAF"/>
    <w:rsid w:val="000438E9"/>
    <w:rsid w:val="00060641"/>
    <w:rsid w:val="00065885"/>
    <w:rsid w:val="000A7298"/>
    <w:rsid w:val="000B5146"/>
    <w:rsid w:val="000C13C7"/>
    <w:rsid w:val="000D1BD7"/>
    <w:rsid w:val="000D4725"/>
    <w:rsid w:val="000F31ED"/>
    <w:rsid w:val="00103F0E"/>
    <w:rsid w:val="00114C4D"/>
    <w:rsid w:val="00126FA4"/>
    <w:rsid w:val="00145493"/>
    <w:rsid w:val="00145BFA"/>
    <w:rsid w:val="00150735"/>
    <w:rsid w:val="00180FC5"/>
    <w:rsid w:val="00186EF1"/>
    <w:rsid w:val="00226BD2"/>
    <w:rsid w:val="00236AA1"/>
    <w:rsid w:val="00286AC4"/>
    <w:rsid w:val="00291BF1"/>
    <w:rsid w:val="00294CA6"/>
    <w:rsid w:val="002E6BBB"/>
    <w:rsid w:val="002F10E4"/>
    <w:rsid w:val="00304408"/>
    <w:rsid w:val="00356CDB"/>
    <w:rsid w:val="003617E4"/>
    <w:rsid w:val="003855E3"/>
    <w:rsid w:val="0039081C"/>
    <w:rsid w:val="00395064"/>
    <w:rsid w:val="003A05AB"/>
    <w:rsid w:val="003A6344"/>
    <w:rsid w:val="003B253D"/>
    <w:rsid w:val="003C3837"/>
    <w:rsid w:val="003E15F9"/>
    <w:rsid w:val="003E2F1C"/>
    <w:rsid w:val="003F2C49"/>
    <w:rsid w:val="004365AA"/>
    <w:rsid w:val="00455498"/>
    <w:rsid w:val="004557B8"/>
    <w:rsid w:val="00464217"/>
    <w:rsid w:val="00483BBA"/>
    <w:rsid w:val="004B0789"/>
    <w:rsid w:val="004D090F"/>
    <w:rsid w:val="004D554E"/>
    <w:rsid w:val="00515ADC"/>
    <w:rsid w:val="00522A15"/>
    <w:rsid w:val="00546013"/>
    <w:rsid w:val="00591D87"/>
    <w:rsid w:val="005B7257"/>
    <w:rsid w:val="006129E9"/>
    <w:rsid w:val="00612ED7"/>
    <w:rsid w:val="00625416"/>
    <w:rsid w:val="00634F96"/>
    <w:rsid w:val="006458A8"/>
    <w:rsid w:val="006937D5"/>
    <w:rsid w:val="006A3692"/>
    <w:rsid w:val="006A70EB"/>
    <w:rsid w:val="006B5619"/>
    <w:rsid w:val="006C657D"/>
    <w:rsid w:val="0070439D"/>
    <w:rsid w:val="007068C7"/>
    <w:rsid w:val="007176FA"/>
    <w:rsid w:val="0073084E"/>
    <w:rsid w:val="007319B7"/>
    <w:rsid w:val="00787057"/>
    <w:rsid w:val="007957E6"/>
    <w:rsid w:val="007A023E"/>
    <w:rsid w:val="007C2BE8"/>
    <w:rsid w:val="007E0B6B"/>
    <w:rsid w:val="007E7C64"/>
    <w:rsid w:val="00817EBB"/>
    <w:rsid w:val="008344AA"/>
    <w:rsid w:val="008426B8"/>
    <w:rsid w:val="008473B5"/>
    <w:rsid w:val="00880ADA"/>
    <w:rsid w:val="008A33B6"/>
    <w:rsid w:val="008F0B87"/>
    <w:rsid w:val="008F5DDC"/>
    <w:rsid w:val="00911F7B"/>
    <w:rsid w:val="009160B4"/>
    <w:rsid w:val="009411A8"/>
    <w:rsid w:val="0095009D"/>
    <w:rsid w:val="00981885"/>
    <w:rsid w:val="009A3745"/>
    <w:rsid w:val="009B686A"/>
    <w:rsid w:val="009E1DDD"/>
    <w:rsid w:val="009E72B4"/>
    <w:rsid w:val="00A07526"/>
    <w:rsid w:val="00A519CD"/>
    <w:rsid w:val="00A553A0"/>
    <w:rsid w:val="00A75964"/>
    <w:rsid w:val="00A762DF"/>
    <w:rsid w:val="00A862A9"/>
    <w:rsid w:val="00AD7587"/>
    <w:rsid w:val="00B00A25"/>
    <w:rsid w:val="00B02B5A"/>
    <w:rsid w:val="00B04568"/>
    <w:rsid w:val="00B200C7"/>
    <w:rsid w:val="00B2097C"/>
    <w:rsid w:val="00B21C94"/>
    <w:rsid w:val="00B452AC"/>
    <w:rsid w:val="00B51594"/>
    <w:rsid w:val="00B70074"/>
    <w:rsid w:val="00B71746"/>
    <w:rsid w:val="00BA5CB8"/>
    <w:rsid w:val="00BB0EA6"/>
    <w:rsid w:val="00BB1E83"/>
    <w:rsid w:val="00BC7248"/>
    <w:rsid w:val="00C2102D"/>
    <w:rsid w:val="00C35D06"/>
    <w:rsid w:val="00C73F47"/>
    <w:rsid w:val="00CD3846"/>
    <w:rsid w:val="00D025F7"/>
    <w:rsid w:val="00D14F1D"/>
    <w:rsid w:val="00D22031"/>
    <w:rsid w:val="00D32E5A"/>
    <w:rsid w:val="00D4348D"/>
    <w:rsid w:val="00D51C7C"/>
    <w:rsid w:val="00D771D9"/>
    <w:rsid w:val="00D8743C"/>
    <w:rsid w:val="00DB5005"/>
    <w:rsid w:val="00DC0632"/>
    <w:rsid w:val="00DC1618"/>
    <w:rsid w:val="00DD1382"/>
    <w:rsid w:val="00DE53D1"/>
    <w:rsid w:val="00E56CB6"/>
    <w:rsid w:val="00E733C3"/>
    <w:rsid w:val="00E85786"/>
    <w:rsid w:val="00ED324A"/>
    <w:rsid w:val="00ED4490"/>
    <w:rsid w:val="00EE5543"/>
    <w:rsid w:val="00F23CAC"/>
    <w:rsid w:val="00F34C10"/>
    <w:rsid w:val="00F777F3"/>
    <w:rsid w:val="00F82EE0"/>
    <w:rsid w:val="00F929F3"/>
    <w:rsid w:val="00FA4FD3"/>
    <w:rsid w:val="00FF3E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220624"/>
  <w15:chartTrackingRefBased/>
  <w15:docId w15:val="{F9A40F30-F59B-4068-ADF5-C3B74B0B0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7D5"/>
    <w:rPr>
      <w:rFonts w:ascii="Arial" w:hAnsi="Arial"/>
      <w:sz w:val="24"/>
    </w:rPr>
  </w:style>
  <w:style w:type="paragraph" w:styleId="Heading1">
    <w:name w:val="heading 1"/>
    <w:basedOn w:val="Normal"/>
    <w:link w:val="Heading1Char"/>
    <w:uiPriority w:val="9"/>
    <w:qFormat/>
    <w:rsid w:val="006937D5"/>
    <w:pPr>
      <w:spacing w:before="100" w:beforeAutospacing="1" w:after="100" w:afterAutospacing="1" w:line="240" w:lineRule="auto"/>
      <w:outlineLvl w:val="0"/>
    </w:pPr>
    <w:rPr>
      <w:rFonts w:eastAsia="Times New Roman" w:cs="Times New Roman"/>
      <w:bCs/>
      <w:color w:val="347B9F"/>
      <w:kern w:val="36"/>
      <w:sz w:val="48"/>
      <w:szCs w:val="48"/>
      <w:lang w:eastAsia="en-AU"/>
    </w:rPr>
  </w:style>
  <w:style w:type="paragraph" w:styleId="Heading2">
    <w:name w:val="heading 2"/>
    <w:basedOn w:val="Normal"/>
    <w:link w:val="Heading2Char"/>
    <w:uiPriority w:val="9"/>
    <w:qFormat/>
    <w:rsid w:val="007E7C64"/>
    <w:pPr>
      <w:spacing w:before="100" w:beforeAutospacing="1" w:after="100" w:afterAutospacing="1" w:line="240" w:lineRule="auto"/>
      <w:outlineLvl w:val="1"/>
    </w:pPr>
    <w:rPr>
      <w:rFonts w:eastAsia="Times New Roman" w:cs="Times New Roman"/>
      <w:bCs/>
      <w:color w:val="347B9F"/>
      <w:sz w:val="36"/>
      <w:szCs w:val="36"/>
      <w:lang w:eastAsia="en-AU"/>
    </w:rPr>
  </w:style>
  <w:style w:type="paragraph" w:styleId="Heading3">
    <w:name w:val="heading 3"/>
    <w:basedOn w:val="Normal"/>
    <w:next w:val="Normal"/>
    <w:link w:val="Heading3Char"/>
    <w:uiPriority w:val="9"/>
    <w:unhideWhenUsed/>
    <w:qFormat/>
    <w:rsid w:val="007E7C64"/>
    <w:pPr>
      <w:keepNext/>
      <w:keepLines/>
      <w:spacing w:before="40" w:after="0"/>
      <w:outlineLvl w:val="2"/>
    </w:pPr>
    <w:rPr>
      <w:rFonts w:eastAsiaTheme="majorEastAsia" w:cstheme="majorBidi"/>
      <w:color w:val="347B9F"/>
      <w:sz w:val="28"/>
      <w:szCs w:val="24"/>
    </w:rPr>
  </w:style>
  <w:style w:type="paragraph" w:styleId="Heading5">
    <w:name w:val="heading 5"/>
    <w:basedOn w:val="Normal"/>
    <w:next w:val="Normal"/>
    <w:link w:val="Heading5Char"/>
    <w:uiPriority w:val="9"/>
    <w:semiHidden/>
    <w:unhideWhenUsed/>
    <w:qFormat/>
    <w:rsid w:val="00880ADA"/>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1">
    <w:name w:val="Style1"/>
    <w:basedOn w:val="DefaultParagraphFont"/>
    <w:uiPriority w:val="1"/>
    <w:rsid w:val="00126FA4"/>
    <w:rPr>
      <w:sz w:val="32"/>
    </w:rPr>
  </w:style>
  <w:style w:type="paragraph" w:styleId="Header">
    <w:name w:val="header"/>
    <w:basedOn w:val="Normal"/>
    <w:link w:val="HeaderChar"/>
    <w:uiPriority w:val="99"/>
    <w:unhideWhenUsed/>
    <w:rsid w:val="003044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4408"/>
  </w:style>
  <w:style w:type="paragraph" w:styleId="Footer">
    <w:name w:val="footer"/>
    <w:basedOn w:val="Normal"/>
    <w:link w:val="FooterChar"/>
    <w:uiPriority w:val="99"/>
    <w:unhideWhenUsed/>
    <w:qFormat/>
    <w:rsid w:val="006937D5"/>
    <w:pPr>
      <w:tabs>
        <w:tab w:val="center" w:pos="4513"/>
        <w:tab w:val="right" w:pos="9026"/>
      </w:tabs>
      <w:spacing w:after="0" w:line="240" w:lineRule="auto"/>
    </w:pPr>
    <w:rPr>
      <w:sz w:val="20"/>
    </w:rPr>
  </w:style>
  <w:style w:type="character" w:customStyle="1" w:styleId="FooterChar">
    <w:name w:val="Footer Char"/>
    <w:basedOn w:val="DefaultParagraphFont"/>
    <w:link w:val="Footer"/>
    <w:uiPriority w:val="99"/>
    <w:rsid w:val="006937D5"/>
    <w:rPr>
      <w:rFonts w:ascii="Arial" w:hAnsi="Arial"/>
      <w:sz w:val="20"/>
    </w:rPr>
  </w:style>
  <w:style w:type="character" w:customStyle="1" w:styleId="Heading1Char">
    <w:name w:val="Heading 1 Char"/>
    <w:basedOn w:val="DefaultParagraphFont"/>
    <w:link w:val="Heading1"/>
    <w:uiPriority w:val="9"/>
    <w:rsid w:val="006937D5"/>
    <w:rPr>
      <w:rFonts w:ascii="Arial" w:eastAsia="Times New Roman" w:hAnsi="Arial" w:cs="Times New Roman"/>
      <w:bCs/>
      <w:color w:val="347B9F"/>
      <w:kern w:val="36"/>
      <w:sz w:val="48"/>
      <w:szCs w:val="48"/>
      <w:lang w:eastAsia="en-AU"/>
    </w:rPr>
  </w:style>
  <w:style w:type="character" w:customStyle="1" w:styleId="Heading2Char">
    <w:name w:val="Heading 2 Char"/>
    <w:basedOn w:val="DefaultParagraphFont"/>
    <w:link w:val="Heading2"/>
    <w:uiPriority w:val="9"/>
    <w:rsid w:val="007E7C64"/>
    <w:rPr>
      <w:rFonts w:ascii="Arial" w:eastAsia="Times New Roman" w:hAnsi="Arial" w:cs="Times New Roman"/>
      <w:bCs/>
      <w:color w:val="347B9F"/>
      <w:sz w:val="36"/>
      <w:szCs w:val="36"/>
      <w:lang w:eastAsia="en-AU"/>
    </w:rPr>
  </w:style>
  <w:style w:type="paragraph" w:customStyle="1" w:styleId="visuallyhidden">
    <w:name w:val="visuallyhidden"/>
    <w:basedOn w:val="Normal"/>
    <w:rsid w:val="008F5DDC"/>
    <w:pPr>
      <w:spacing w:before="100" w:beforeAutospacing="1" w:after="100" w:afterAutospacing="1" w:line="240" w:lineRule="auto"/>
    </w:pPr>
    <w:rPr>
      <w:rFonts w:ascii="Times New Roman" w:eastAsia="Times New Roman" w:hAnsi="Times New Roman" w:cs="Times New Roman"/>
      <w:szCs w:val="24"/>
      <w:lang w:eastAsia="en-AU"/>
    </w:rPr>
  </w:style>
  <w:style w:type="character" w:styleId="Hyperlink">
    <w:name w:val="Hyperlink"/>
    <w:basedOn w:val="DefaultParagraphFont"/>
    <w:uiPriority w:val="99"/>
    <w:unhideWhenUsed/>
    <w:rsid w:val="008F5DDC"/>
    <w:rPr>
      <w:color w:val="0000FF"/>
      <w:u w:val="single"/>
    </w:rPr>
  </w:style>
  <w:style w:type="character" w:customStyle="1" w:styleId="clear-row">
    <w:name w:val="clear-row"/>
    <w:basedOn w:val="DefaultParagraphFont"/>
    <w:rsid w:val="008F5DDC"/>
  </w:style>
  <w:style w:type="character" w:customStyle="1" w:styleId="visuallyhidden1">
    <w:name w:val="visuallyhidden1"/>
    <w:basedOn w:val="DefaultParagraphFont"/>
    <w:rsid w:val="008F5DDC"/>
  </w:style>
  <w:style w:type="character" w:customStyle="1" w:styleId="abbr">
    <w:name w:val="abbr"/>
    <w:basedOn w:val="DefaultParagraphFont"/>
    <w:rsid w:val="008F5DDC"/>
  </w:style>
  <w:style w:type="paragraph" w:styleId="z-TopofForm">
    <w:name w:val="HTML Top of Form"/>
    <w:basedOn w:val="Normal"/>
    <w:next w:val="Normal"/>
    <w:link w:val="z-TopofFormChar"/>
    <w:hidden/>
    <w:uiPriority w:val="99"/>
    <w:semiHidden/>
    <w:unhideWhenUsed/>
    <w:rsid w:val="008F5DDC"/>
    <w:pPr>
      <w:pBdr>
        <w:bottom w:val="single" w:sz="6" w:space="1" w:color="auto"/>
      </w:pBdr>
      <w:spacing w:after="0" w:line="240" w:lineRule="auto"/>
      <w:jc w:val="center"/>
    </w:pPr>
    <w:rPr>
      <w:rFonts w:eastAsia="Times New Roman" w:cs="Arial"/>
      <w:vanish/>
      <w:sz w:val="16"/>
      <w:szCs w:val="16"/>
      <w:lang w:eastAsia="en-AU"/>
    </w:rPr>
  </w:style>
  <w:style w:type="character" w:customStyle="1" w:styleId="z-TopofFormChar">
    <w:name w:val="z-Top of Form Char"/>
    <w:basedOn w:val="DefaultParagraphFont"/>
    <w:link w:val="z-TopofForm"/>
    <w:uiPriority w:val="99"/>
    <w:semiHidden/>
    <w:rsid w:val="008F5DDC"/>
    <w:rPr>
      <w:rFonts w:ascii="Arial" w:eastAsia="Times New Roman" w:hAnsi="Arial" w:cs="Arial"/>
      <w:vanish/>
      <w:sz w:val="16"/>
      <w:szCs w:val="16"/>
      <w:lang w:eastAsia="en-AU"/>
    </w:rPr>
  </w:style>
  <w:style w:type="paragraph" w:styleId="z-BottomofForm">
    <w:name w:val="HTML Bottom of Form"/>
    <w:basedOn w:val="Normal"/>
    <w:next w:val="Normal"/>
    <w:link w:val="z-BottomofFormChar"/>
    <w:hidden/>
    <w:uiPriority w:val="99"/>
    <w:semiHidden/>
    <w:unhideWhenUsed/>
    <w:rsid w:val="008F5DDC"/>
    <w:pPr>
      <w:pBdr>
        <w:top w:val="single" w:sz="6" w:space="1" w:color="auto"/>
      </w:pBdr>
      <w:spacing w:after="0" w:line="240" w:lineRule="auto"/>
      <w:jc w:val="center"/>
    </w:pPr>
    <w:rPr>
      <w:rFonts w:eastAsia="Times New Roman" w:cs="Arial"/>
      <w:vanish/>
      <w:sz w:val="16"/>
      <w:szCs w:val="16"/>
      <w:lang w:eastAsia="en-AU"/>
    </w:rPr>
  </w:style>
  <w:style w:type="character" w:customStyle="1" w:styleId="z-BottomofFormChar">
    <w:name w:val="z-Bottom of Form Char"/>
    <w:basedOn w:val="DefaultParagraphFont"/>
    <w:link w:val="z-BottomofForm"/>
    <w:uiPriority w:val="99"/>
    <w:semiHidden/>
    <w:rsid w:val="008F5DDC"/>
    <w:rPr>
      <w:rFonts w:ascii="Arial" w:eastAsia="Times New Roman" w:hAnsi="Arial" w:cs="Arial"/>
      <w:vanish/>
      <w:sz w:val="16"/>
      <w:szCs w:val="16"/>
      <w:lang w:eastAsia="en-AU"/>
    </w:rPr>
  </w:style>
  <w:style w:type="paragraph" w:styleId="NormalWeb">
    <w:name w:val="Normal (Web)"/>
    <w:basedOn w:val="Normal"/>
    <w:uiPriority w:val="99"/>
    <w:semiHidden/>
    <w:unhideWhenUsed/>
    <w:rsid w:val="008F5DDC"/>
    <w:pPr>
      <w:spacing w:before="100" w:beforeAutospacing="1" w:after="100" w:afterAutospacing="1" w:line="240" w:lineRule="auto"/>
    </w:pPr>
    <w:rPr>
      <w:rFonts w:ascii="Times New Roman" w:eastAsia="Times New Roman" w:hAnsi="Times New Roman" w:cs="Times New Roman"/>
      <w:szCs w:val="24"/>
      <w:lang w:eastAsia="en-AU"/>
    </w:rPr>
  </w:style>
  <w:style w:type="character" w:customStyle="1" w:styleId="file-summary-info">
    <w:name w:val="file-summary-info"/>
    <w:basedOn w:val="DefaultParagraphFont"/>
    <w:rsid w:val="008F5DDC"/>
  </w:style>
  <w:style w:type="character" w:styleId="HTMLCite">
    <w:name w:val="HTML Cite"/>
    <w:basedOn w:val="DefaultParagraphFont"/>
    <w:uiPriority w:val="99"/>
    <w:semiHidden/>
    <w:unhideWhenUsed/>
    <w:rsid w:val="008F5DDC"/>
    <w:rPr>
      <w:i/>
      <w:iCs/>
    </w:rPr>
  </w:style>
  <w:style w:type="character" w:styleId="Emphasis">
    <w:name w:val="Emphasis"/>
    <w:basedOn w:val="DefaultParagraphFont"/>
    <w:uiPriority w:val="20"/>
    <w:rsid w:val="008F5DDC"/>
    <w:rPr>
      <w:i/>
      <w:iCs/>
    </w:rPr>
  </w:style>
  <w:style w:type="character" w:customStyle="1" w:styleId="social-footerlabel">
    <w:name w:val="social-footer__label"/>
    <w:basedOn w:val="DefaultParagraphFont"/>
    <w:rsid w:val="008F5DDC"/>
  </w:style>
  <w:style w:type="character" w:customStyle="1" w:styleId="Heading3Char">
    <w:name w:val="Heading 3 Char"/>
    <w:basedOn w:val="DefaultParagraphFont"/>
    <w:link w:val="Heading3"/>
    <w:uiPriority w:val="9"/>
    <w:rsid w:val="007E7C64"/>
    <w:rPr>
      <w:rFonts w:ascii="Arial" w:eastAsiaTheme="majorEastAsia" w:hAnsi="Arial" w:cstheme="majorBidi"/>
      <w:color w:val="347B9F"/>
      <w:sz w:val="28"/>
      <w:szCs w:val="24"/>
    </w:rPr>
  </w:style>
  <w:style w:type="paragraph" w:styleId="Quote">
    <w:name w:val="Quote"/>
    <w:basedOn w:val="Normal"/>
    <w:next w:val="Normal"/>
    <w:link w:val="QuoteChar"/>
    <w:uiPriority w:val="29"/>
    <w:qFormat/>
    <w:rsid w:val="007E7C64"/>
    <w:pPr>
      <w:spacing w:before="200" w:after="160"/>
      <w:ind w:left="864" w:right="864"/>
    </w:pPr>
    <w:rPr>
      <w:i/>
      <w:iCs/>
      <w:color w:val="000000" w:themeColor="text1"/>
    </w:rPr>
  </w:style>
  <w:style w:type="character" w:customStyle="1" w:styleId="QuoteChar">
    <w:name w:val="Quote Char"/>
    <w:basedOn w:val="DefaultParagraphFont"/>
    <w:link w:val="Quote"/>
    <w:uiPriority w:val="29"/>
    <w:rsid w:val="007E7C64"/>
    <w:rPr>
      <w:rFonts w:ascii="Arial" w:hAnsi="Arial"/>
      <w:i/>
      <w:iCs/>
      <w:color w:val="000000" w:themeColor="text1"/>
      <w:sz w:val="24"/>
    </w:rPr>
  </w:style>
  <w:style w:type="paragraph" w:styleId="Title">
    <w:name w:val="Title"/>
    <w:basedOn w:val="Normal"/>
    <w:next w:val="Normal"/>
    <w:link w:val="TitleChar"/>
    <w:uiPriority w:val="10"/>
    <w:rsid w:val="006937D5"/>
    <w:pPr>
      <w:spacing w:after="0" w:line="240" w:lineRule="auto"/>
      <w:contextualSpacing/>
    </w:pPr>
    <w:rPr>
      <w:rFonts w:eastAsiaTheme="majorEastAsia" w:cstheme="majorBidi"/>
      <w:color w:val="000000" w:themeColor="text1"/>
      <w:spacing w:val="-10"/>
      <w:kern w:val="28"/>
      <w:sz w:val="72"/>
      <w:szCs w:val="56"/>
    </w:rPr>
  </w:style>
  <w:style w:type="character" w:customStyle="1" w:styleId="TitleChar">
    <w:name w:val="Title Char"/>
    <w:basedOn w:val="DefaultParagraphFont"/>
    <w:link w:val="Title"/>
    <w:uiPriority w:val="10"/>
    <w:rsid w:val="006937D5"/>
    <w:rPr>
      <w:rFonts w:ascii="Arial" w:eastAsiaTheme="majorEastAsia" w:hAnsi="Arial" w:cstheme="majorBidi"/>
      <w:color w:val="000000" w:themeColor="text1"/>
      <w:spacing w:val="-10"/>
      <w:kern w:val="28"/>
      <w:sz w:val="72"/>
      <w:szCs w:val="56"/>
    </w:rPr>
  </w:style>
  <w:style w:type="paragraph" w:customStyle="1" w:styleId="Heading1black">
    <w:name w:val="Heading 1 (black)"/>
    <w:basedOn w:val="Heading1"/>
    <w:qFormat/>
    <w:rsid w:val="006937D5"/>
    <w:rPr>
      <w:color w:val="000000" w:themeColor="text1"/>
    </w:rPr>
  </w:style>
  <w:style w:type="paragraph" w:customStyle="1" w:styleId="Heading2black">
    <w:name w:val="Heading 2 (black)"/>
    <w:basedOn w:val="Heading1black"/>
    <w:qFormat/>
    <w:rsid w:val="006937D5"/>
    <w:rPr>
      <w:sz w:val="36"/>
    </w:rPr>
  </w:style>
  <w:style w:type="paragraph" w:customStyle="1" w:styleId="Heading3black">
    <w:name w:val="Heading 3 (black)"/>
    <w:basedOn w:val="Heading2black"/>
    <w:qFormat/>
    <w:rsid w:val="006937D5"/>
    <w:rPr>
      <w:sz w:val="28"/>
    </w:rPr>
  </w:style>
  <w:style w:type="paragraph" w:customStyle="1" w:styleId="Heading1darkblue">
    <w:name w:val="Heading 1 (dark blue)"/>
    <w:basedOn w:val="Heading1black"/>
    <w:qFormat/>
    <w:rsid w:val="006937D5"/>
    <w:rPr>
      <w:color w:val="004270"/>
    </w:rPr>
  </w:style>
  <w:style w:type="paragraph" w:customStyle="1" w:styleId="Heading2darkblue">
    <w:name w:val="Heading 2 (dark blue)"/>
    <w:basedOn w:val="Heading1darkblue"/>
    <w:qFormat/>
    <w:rsid w:val="006937D5"/>
    <w:rPr>
      <w:sz w:val="36"/>
    </w:rPr>
  </w:style>
  <w:style w:type="paragraph" w:customStyle="1" w:styleId="Heading3darkblue">
    <w:name w:val="Heading 3 (dark blue)"/>
    <w:basedOn w:val="Heading1darkblue"/>
    <w:qFormat/>
    <w:rsid w:val="006937D5"/>
    <w:rPr>
      <w:sz w:val="28"/>
    </w:rPr>
  </w:style>
  <w:style w:type="paragraph" w:styleId="ListParagraph">
    <w:name w:val="List Paragraph"/>
    <w:basedOn w:val="Normal"/>
    <w:uiPriority w:val="34"/>
    <w:qFormat/>
    <w:rsid w:val="00591D87"/>
    <w:pPr>
      <w:ind w:left="720"/>
      <w:contextualSpacing/>
    </w:pPr>
  </w:style>
  <w:style w:type="character" w:customStyle="1" w:styleId="Heading5Char">
    <w:name w:val="Heading 5 Char"/>
    <w:basedOn w:val="DefaultParagraphFont"/>
    <w:link w:val="Heading5"/>
    <w:uiPriority w:val="9"/>
    <w:semiHidden/>
    <w:rsid w:val="00880ADA"/>
    <w:rPr>
      <w:rFonts w:asciiTheme="majorHAnsi" w:eastAsiaTheme="majorEastAsia" w:hAnsiTheme="majorHAnsi" w:cstheme="majorBidi"/>
      <w:color w:val="365F91" w:themeColor="accent1" w:themeShade="BF"/>
      <w:sz w:val="24"/>
    </w:rPr>
  </w:style>
  <w:style w:type="character" w:styleId="FollowedHyperlink">
    <w:name w:val="FollowedHyperlink"/>
    <w:basedOn w:val="DefaultParagraphFont"/>
    <w:uiPriority w:val="99"/>
    <w:semiHidden/>
    <w:unhideWhenUsed/>
    <w:rsid w:val="00356CDB"/>
    <w:rPr>
      <w:color w:val="800080" w:themeColor="followedHyperlink"/>
      <w:u w:val="single"/>
    </w:rPr>
  </w:style>
  <w:style w:type="character" w:styleId="UnresolvedMention">
    <w:name w:val="Unresolved Mention"/>
    <w:basedOn w:val="DefaultParagraphFont"/>
    <w:uiPriority w:val="99"/>
    <w:semiHidden/>
    <w:unhideWhenUsed/>
    <w:rsid w:val="00B200C7"/>
    <w:rPr>
      <w:color w:val="605E5C"/>
      <w:shd w:val="clear" w:color="auto" w:fill="E1DFDD"/>
    </w:rPr>
  </w:style>
  <w:style w:type="paragraph" w:styleId="FootnoteText">
    <w:name w:val="footnote text"/>
    <w:basedOn w:val="Normal"/>
    <w:link w:val="FootnoteTextChar"/>
    <w:uiPriority w:val="99"/>
    <w:semiHidden/>
    <w:unhideWhenUsed/>
    <w:rsid w:val="00483B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83BBA"/>
    <w:rPr>
      <w:rFonts w:ascii="Arial" w:hAnsi="Arial"/>
      <w:sz w:val="20"/>
      <w:szCs w:val="20"/>
    </w:rPr>
  </w:style>
  <w:style w:type="character" w:styleId="FootnoteReference">
    <w:name w:val="footnote reference"/>
    <w:basedOn w:val="DefaultParagraphFont"/>
    <w:uiPriority w:val="99"/>
    <w:semiHidden/>
    <w:unhideWhenUsed/>
    <w:rsid w:val="00483BBA"/>
    <w:rPr>
      <w:vertAlign w:val="superscript"/>
    </w:rPr>
  </w:style>
  <w:style w:type="character" w:styleId="CommentReference">
    <w:name w:val="annotation reference"/>
    <w:basedOn w:val="DefaultParagraphFont"/>
    <w:uiPriority w:val="99"/>
    <w:semiHidden/>
    <w:unhideWhenUsed/>
    <w:rsid w:val="00286AC4"/>
    <w:rPr>
      <w:sz w:val="16"/>
      <w:szCs w:val="16"/>
    </w:rPr>
  </w:style>
  <w:style w:type="paragraph" w:styleId="CommentText">
    <w:name w:val="annotation text"/>
    <w:basedOn w:val="Normal"/>
    <w:link w:val="CommentTextChar"/>
    <w:uiPriority w:val="99"/>
    <w:semiHidden/>
    <w:unhideWhenUsed/>
    <w:rsid w:val="00286AC4"/>
    <w:pPr>
      <w:spacing w:line="240" w:lineRule="auto"/>
    </w:pPr>
    <w:rPr>
      <w:sz w:val="20"/>
      <w:szCs w:val="20"/>
    </w:rPr>
  </w:style>
  <w:style w:type="character" w:customStyle="1" w:styleId="CommentTextChar">
    <w:name w:val="Comment Text Char"/>
    <w:basedOn w:val="DefaultParagraphFont"/>
    <w:link w:val="CommentText"/>
    <w:uiPriority w:val="99"/>
    <w:semiHidden/>
    <w:rsid w:val="00286AC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86AC4"/>
    <w:rPr>
      <w:b/>
      <w:bCs/>
    </w:rPr>
  </w:style>
  <w:style w:type="character" w:customStyle="1" w:styleId="CommentSubjectChar">
    <w:name w:val="Comment Subject Char"/>
    <w:basedOn w:val="CommentTextChar"/>
    <w:link w:val="CommentSubject"/>
    <w:uiPriority w:val="99"/>
    <w:semiHidden/>
    <w:rsid w:val="00286AC4"/>
    <w:rPr>
      <w:rFonts w:ascii="Arial" w:hAnsi="Arial"/>
      <w:b/>
      <w:bCs/>
      <w:sz w:val="20"/>
      <w:szCs w:val="20"/>
    </w:rPr>
  </w:style>
  <w:style w:type="paragraph" w:styleId="Revision">
    <w:name w:val="Revision"/>
    <w:hidden/>
    <w:uiPriority w:val="99"/>
    <w:semiHidden/>
    <w:rsid w:val="007C2BE8"/>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567737">
      <w:bodyDiv w:val="1"/>
      <w:marLeft w:val="0"/>
      <w:marRight w:val="0"/>
      <w:marTop w:val="0"/>
      <w:marBottom w:val="0"/>
      <w:divBdr>
        <w:top w:val="none" w:sz="0" w:space="0" w:color="auto"/>
        <w:left w:val="none" w:sz="0" w:space="0" w:color="auto"/>
        <w:bottom w:val="none" w:sz="0" w:space="0" w:color="auto"/>
        <w:right w:val="none" w:sz="0" w:space="0" w:color="auto"/>
      </w:divBdr>
      <w:divsChild>
        <w:div w:id="249974394">
          <w:marLeft w:val="0"/>
          <w:marRight w:val="0"/>
          <w:marTop w:val="0"/>
          <w:marBottom w:val="0"/>
          <w:divBdr>
            <w:top w:val="none" w:sz="0" w:space="0" w:color="auto"/>
            <w:left w:val="none" w:sz="0" w:space="0" w:color="auto"/>
            <w:bottom w:val="none" w:sz="0" w:space="0" w:color="auto"/>
            <w:right w:val="none" w:sz="0" w:space="0" w:color="auto"/>
          </w:divBdr>
          <w:divsChild>
            <w:div w:id="1241673590">
              <w:marLeft w:val="0"/>
              <w:marRight w:val="0"/>
              <w:marTop w:val="0"/>
              <w:marBottom w:val="0"/>
              <w:divBdr>
                <w:top w:val="none" w:sz="0" w:space="0" w:color="auto"/>
                <w:left w:val="none" w:sz="0" w:space="0" w:color="auto"/>
                <w:bottom w:val="single" w:sz="6" w:space="0" w:color="EAEAEA"/>
                <w:right w:val="none" w:sz="0" w:space="0" w:color="auto"/>
              </w:divBdr>
              <w:divsChild>
                <w:div w:id="791942988">
                  <w:marLeft w:val="0"/>
                  <w:marRight w:val="0"/>
                  <w:marTop w:val="0"/>
                  <w:marBottom w:val="0"/>
                  <w:divBdr>
                    <w:top w:val="none" w:sz="0" w:space="0" w:color="auto"/>
                    <w:left w:val="none" w:sz="0" w:space="0" w:color="auto"/>
                    <w:bottom w:val="none" w:sz="0" w:space="0" w:color="auto"/>
                    <w:right w:val="none" w:sz="0" w:space="0" w:color="auto"/>
                  </w:divBdr>
                </w:div>
              </w:divsChild>
            </w:div>
            <w:div w:id="1159150442">
              <w:marLeft w:val="0"/>
              <w:marRight w:val="0"/>
              <w:marTop w:val="0"/>
              <w:marBottom w:val="0"/>
              <w:divBdr>
                <w:top w:val="none" w:sz="0" w:space="0" w:color="auto"/>
                <w:left w:val="none" w:sz="0" w:space="0" w:color="auto"/>
                <w:bottom w:val="none" w:sz="0" w:space="0" w:color="auto"/>
                <w:right w:val="none" w:sz="0" w:space="0" w:color="auto"/>
              </w:divBdr>
              <w:divsChild>
                <w:div w:id="794450430">
                  <w:marLeft w:val="0"/>
                  <w:marRight w:val="0"/>
                  <w:marTop w:val="0"/>
                  <w:marBottom w:val="0"/>
                  <w:divBdr>
                    <w:top w:val="none" w:sz="0" w:space="0" w:color="auto"/>
                    <w:left w:val="none" w:sz="0" w:space="0" w:color="auto"/>
                    <w:bottom w:val="none" w:sz="0" w:space="0" w:color="auto"/>
                    <w:right w:val="none" w:sz="0" w:space="0" w:color="auto"/>
                  </w:divBdr>
                </w:div>
                <w:div w:id="2002006961">
                  <w:marLeft w:val="750"/>
                  <w:marRight w:val="0"/>
                  <w:marTop w:val="375"/>
                  <w:marBottom w:val="0"/>
                  <w:divBdr>
                    <w:top w:val="none" w:sz="0" w:space="0" w:color="auto"/>
                    <w:left w:val="none" w:sz="0" w:space="0" w:color="auto"/>
                    <w:bottom w:val="none" w:sz="0" w:space="0" w:color="auto"/>
                    <w:right w:val="none" w:sz="0" w:space="0" w:color="auto"/>
                  </w:divBdr>
                </w:div>
                <w:div w:id="519393170">
                  <w:marLeft w:val="375"/>
                  <w:marRight w:val="0"/>
                  <w:marTop w:val="375"/>
                  <w:marBottom w:val="0"/>
                  <w:divBdr>
                    <w:top w:val="none" w:sz="0" w:space="0" w:color="auto"/>
                    <w:left w:val="none" w:sz="0" w:space="0" w:color="auto"/>
                    <w:bottom w:val="none" w:sz="0" w:space="0" w:color="auto"/>
                    <w:right w:val="none" w:sz="0" w:space="0" w:color="auto"/>
                  </w:divBdr>
                </w:div>
              </w:divsChild>
            </w:div>
            <w:div w:id="1734810442">
              <w:marLeft w:val="0"/>
              <w:marRight w:val="0"/>
              <w:marTop w:val="0"/>
              <w:marBottom w:val="0"/>
              <w:divBdr>
                <w:top w:val="none" w:sz="0" w:space="0" w:color="auto"/>
                <w:left w:val="none" w:sz="0" w:space="0" w:color="auto"/>
                <w:bottom w:val="none" w:sz="0" w:space="0" w:color="auto"/>
                <w:right w:val="none" w:sz="0" w:space="0" w:color="auto"/>
              </w:divBdr>
            </w:div>
            <w:div w:id="1719433243">
              <w:marLeft w:val="0"/>
              <w:marRight w:val="0"/>
              <w:marTop w:val="0"/>
              <w:marBottom w:val="0"/>
              <w:divBdr>
                <w:top w:val="none" w:sz="0" w:space="0" w:color="auto"/>
                <w:left w:val="none" w:sz="0" w:space="0" w:color="auto"/>
                <w:bottom w:val="none" w:sz="0" w:space="0" w:color="auto"/>
                <w:right w:val="none" w:sz="0" w:space="0" w:color="auto"/>
              </w:divBdr>
              <w:divsChild>
                <w:div w:id="444621797">
                  <w:marLeft w:val="0"/>
                  <w:marRight w:val="0"/>
                  <w:marTop w:val="0"/>
                  <w:marBottom w:val="0"/>
                  <w:divBdr>
                    <w:top w:val="none" w:sz="0" w:space="0" w:color="auto"/>
                    <w:left w:val="none" w:sz="0" w:space="0" w:color="auto"/>
                    <w:bottom w:val="none" w:sz="0" w:space="0" w:color="auto"/>
                    <w:right w:val="none" w:sz="0" w:space="0" w:color="auto"/>
                  </w:divBdr>
                  <w:divsChild>
                    <w:div w:id="160702324">
                      <w:marLeft w:val="0"/>
                      <w:marRight w:val="0"/>
                      <w:marTop w:val="0"/>
                      <w:marBottom w:val="0"/>
                      <w:divBdr>
                        <w:top w:val="none" w:sz="0" w:space="0" w:color="auto"/>
                        <w:left w:val="none" w:sz="0" w:space="0" w:color="auto"/>
                        <w:bottom w:val="none" w:sz="0" w:space="0" w:color="auto"/>
                        <w:right w:val="none" w:sz="0" w:space="0" w:color="auto"/>
                      </w:divBdr>
                    </w:div>
                    <w:div w:id="1460732176">
                      <w:marLeft w:val="0"/>
                      <w:marRight w:val="0"/>
                      <w:marTop w:val="600"/>
                      <w:marBottom w:val="450"/>
                      <w:divBdr>
                        <w:top w:val="none" w:sz="0" w:space="0" w:color="auto"/>
                        <w:left w:val="none" w:sz="0" w:space="0" w:color="auto"/>
                        <w:bottom w:val="none" w:sz="0" w:space="0" w:color="auto"/>
                        <w:right w:val="none" w:sz="0" w:space="0" w:color="auto"/>
                      </w:divBdr>
                      <w:divsChild>
                        <w:div w:id="706879672">
                          <w:marLeft w:val="0"/>
                          <w:marRight w:val="0"/>
                          <w:marTop w:val="0"/>
                          <w:marBottom w:val="0"/>
                          <w:divBdr>
                            <w:top w:val="none" w:sz="0" w:space="0" w:color="auto"/>
                            <w:left w:val="none" w:sz="0" w:space="0" w:color="auto"/>
                            <w:bottom w:val="none" w:sz="0" w:space="0" w:color="auto"/>
                            <w:right w:val="none" w:sz="0" w:space="0" w:color="auto"/>
                          </w:divBdr>
                          <w:divsChild>
                            <w:div w:id="1066881554">
                              <w:marLeft w:val="0"/>
                              <w:marRight w:val="0"/>
                              <w:marTop w:val="0"/>
                              <w:marBottom w:val="0"/>
                              <w:divBdr>
                                <w:top w:val="none" w:sz="0" w:space="0" w:color="auto"/>
                                <w:left w:val="none" w:sz="0" w:space="0" w:color="auto"/>
                                <w:bottom w:val="none" w:sz="0" w:space="0" w:color="auto"/>
                                <w:right w:val="none" w:sz="0" w:space="0" w:color="auto"/>
                              </w:divBdr>
                              <w:divsChild>
                                <w:div w:id="3959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077274">
                      <w:marLeft w:val="0"/>
                      <w:marRight w:val="0"/>
                      <w:marTop w:val="450"/>
                      <w:marBottom w:val="450"/>
                      <w:divBdr>
                        <w:top w:val="none" w:sz="0" w:space="0" w:color="auto"/>
                        <w:left w:val="single" w:sz="6" w:space="23" w:color="EAEAEA"/>
                        <w:bottom w:val="none" w:sz="0" w:space="0" w:color="auto"/>
                        <w:right w:val="none" w:sz="0" w:space="0" w:color="auto"/>
                      </w:divBdr>
                      <w:divsChild>
                        <w:div w:id="881988913">
                          <w:marLeft w:val="0"/>
                          <w:marRight w:val="0"/>
                          <w:marTop w:val="0"/>
                          <w:marBottom w:val="0"/>
                          <w:divBdr>
                            <w:top w:val="none" w:sz="0" w:space="0" w:color="auto"/>
                            <w:left w:val="none" w:sz="0" w:space="0" w:color="auto"/>
                            <w:bottom w:val="none" w:sz="0" w:space="0" w:color="auto"/>
                            <w:right w:val="none" w:sz="0" w:space="0" w:color="auto"/>
                          </w:divBdr>
                          <w:divsChild>
                            <w:div w:id="194753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77652">
              <w:marLeft w:val="0"/>
              <w:marRight w:val="0"/>
              <w:marTop w:val="0"/>
              <w:marBottom w:val="0"/>
              <w:divBdr>
                <w:top w:val="none" w:sz="0" w:space="0" w:color="auto"/>
                <w:left w:val="none" w:sz="0" w:space="0" w:color="auto"/>
                <w:bottom w:val="none" w:sz="0" w:space="0" w:color="auto"/>
                <w:right w:val="none" w:sz="0" w:space="0" w:color="auto"/>
              </w:divBdr>
              <w:divsChild>
                <w:div w:id="1490173132">
                  <w:marLeft w:val="0"/>
                  <w:marRight w:val="0"/>
                  <w:marTop w:val="0"/>
                  <w:marBottom w:val="0"/>
                  <w:divBdr>
                    <w:top w:val="none" w:sz="0" w:space="0" w:color="auto"/>
                    <w:left w:val="none" w:sz="0" w:space="0" w:color="auto"/>
                    <w:bottom w:val="none" w:sz="0" w:space="0" w:color="auto"/>
                    <w:right w:val="none" w:sz="0" w:space="0" w:color="auto"/>
                  </w:divBdr>
                </w:div>
              </w:divsChild>
            </w:div>
            <w:div w:id="645356884">
              <w:marLeft w:val="0"/>
              <w:marRight w:val="0"/>
              <w:marTop w:val="0"/>
              <w:marBottom w:val="0"/>
              <w:divBdr>
                <w:top w:val="none" w:sz="0" w:space="0" w:color="auto"/>
                <w:left w:val="none" w:sz="0" w:space="0" w:color="auto"/>
                <w:bottom w:val="none" w:sz="0" w:space="0" w:color="auto"/>
                <w:right w:val="none" w:sz="0" w:space="0" w:color="auto"/>
              </w:divBdr>
            </w:div>
          </w:divsChild>
        </w:div>
        <w:div w:id="1109470018">
          <w:marLeft w:val="0"/>
          <w:marRight w:val="0"/>
          <w:marTop w:val="0"/>
          <w:marBottom w:val="0"/>
          <w:divBdr>
            <w:top w:val="none" w:sz="0" w:space="0" w:color="auto"/>
            <w:left w:val="none" w:sz="0" w:space="0" w:color="auto"/>
            <w:bottom w:val="none" w:sz="0" w:space="0" w:color="auto"/>
            <w:right w:val="none" w:sz="0" w:space="0" w:color="auto"/>
          </w:divBdr>
        </w:div>
      </w:divsChild>
    </w:div>
    <w:div w:id="624307933">
      <w:bodyDiv w:val="1"/>
      <w:marLeft w:val="0"/>
      <w:marRight w:val="0"/>
      <w:marTop w:val="0"/>
      <w:marBottom w:val="0"/>
      <w:divBdr>
        <w:top w:val="none" w:sz="0" w:space="0" w:color="auto"/>
        <w:left w:val="none" w:sz="0" w:space="0" w:color="auto"/>
        <w:bottom w:val="none" w:sz="0" w:space="0" w:color="auto"/>
        <w:right w:val="none" w:sz="0" w:space="0" w:color="auto"/>
      </w:divBdr>
    </w:div>
    <w:div w:id="643852401">
      <w:bodyDiv w:val="1"/>
      <w:marLeft w:val="0"/>
      <w:marRight w:val="0"/>
      <w:marTop w:val="0"/>
      <w:marBottom w:val="0"/>
      <w:divBdr>
        <w:top w:val="none" w:sz="0" w:space="0" w:color="auto"/>
        <w:left w:val="none" w:sz="0" w:space="0" w:color="auto"/>
        <w:bottom w:val="none" w:sz="0" w:space="0" w:color="auto"/>
        <w:right w:val="none" w:sz="0" w:space="0" w:color="auto"/>
      </w:divBdr>
    </w:div>
    <w:div w:id="684946464">
      <w:bodyDiv w:val="1"/>
      <w:marLeft w:val="0"/>
      <w:marRight w:val="0"/>
      <w:marTop w:val="0"/>
      <w:marBottom w:val="0"/>
      <w:divBdr>
        <w:top w:val="none" w:sz="0" w:space="0" w:color="auto"/>
        <w:left w:val="none" w:sz="0" w:space="0" w:color="auto"/>
        <w:bottom w:val="none" w:sz="0" w:space="0" w:color="auto"/>
        <w:right w:val="none" w:sz="0" w:space="0" w:color="auto"/>
      </w:divBdr>
      <w:divsChild>
        <w:div w:id="1420104321">
          <w:marLeft w:val="0"/>
          <w:marRight w:val="0"/>
          <w:marTop w:val="83"/>
          <w:marBottom w:val="0"/>
          <w:divBdr>
            <w:top w:val="none" w:sz="0" w:space="0" w:color="auto"/>
            <w:left w:val="none" w:sz="0" w:space="0" w:color="auto"/>
            <w:bottom w:val="none" w:sz="0" w:space="0" w:color="auto"/>
            <w:right w:val="none" w:sz="0" w:space="0" w:color="auto"/>
          </w:divBdr>
          <w:divsChild>
            <w:div w:id="1070226956">
              <w:marLeft w:val="0"/>
              <w:marRight w:val="0"/>
              <w:marTop w:val="83"/>
              <w:marBottom w:val="0"/>
              <w:divBdr>
                <w:top w:val="none" w:sz="0" w:space="0" w:color="auto"/>
                <w:left w:val="none" w:sz="0" w:space="0" w:color="auto"/>
                <w:bottom w:val="none" w:sz="0" w:space="0" w:color="auto"/>
                <w:right w:val="none" w:sz="0" w:space="0" w:color="auto"/>
              </w:divBdr>
              <w:divsChild>
                <w:div w:id="1731465213">
                  <w:marLeft w:val="0"/>
                  <w:marRight w:val="0"/>
                  <w:marTop w:val="83"/>
                  <w:marBottom w:val="0"/>
                  <w:divBdr>
                    <w:top w:val="none" w:sz="0" w:space="0" w:color="auto"/>
                    <w:left w:val="none" w:sz="0" w:space="0" w:color="auto"/>
                    <w:bottom w:val="none" w:sz="0" w:space="0" w:color="auto"/>
                    <w:right w:val="none" w:sz="0" w:space="0" w:color="auto"/>
                  </w:divBdr>
                </w:div>
                <w:div w:id="1578132428">
                  <w:marLeft w:val="0"/>
                  <w:marRight w:val="0"/>
                  <w:marTop w:val="83"/>
                  <w:marBottom w:val="0"/>
                  <w:divBdr>
                    <w:top w:val="none" w:sz="0" w:space="0" w:color="auto"/>
                    <w:left w:val="none" w:sz="0" w:space="0" w:color="auto"/>
                    <w:bottom w:val="none" w:sz="0" w:space="0" w:color="auto"/>
                    <w:right w:val="none" w:sz="0" w:space="0" w:color="auto"/>
                  </w:divBdr>
                </w:div>
              </w:divsChild>
            </w:div>
            <w:div w:id="675812956">
              <w:marLeft w:val="0"/>
              <w:marRight w:val="0"/>
              <w:marTop w:val="83"/>
              <w:marBottom w:val="0"/>
              <w:divBdr>
                <w:top w:val="none" w:sz="0" w:space="0" w:color="auto"/>
                <w:left w:val="none" w:sz="0" w:space="0" w:color="auto"/>
                <w:bottom w:val="none" w:sz="0" w:space="0" w:color="auto"/>
                <w:right w:val="none" w:sz="0" w:space="0" w:color="auto"/>
              </w:divBdr>
            </w:div>
          </w:divsChild>
        </w:div>
        <w:div w:id="1915819681">
          <w:marLeft w:val="0"/>
          <w:marRight w:val="0"/>
          <w:marTop w:val="83"/>
          <w:marBottom w:val="0"/>
          <w:divBdr>
            <w:top w:val="none" w:sz="0" w:space="0" w:color="auto"/>
            <w:left w:val="none" w:sz="0" w:space="0" w:color="auto"/>
            <w:bottom w:val="none" w:sz="0" w:space="0" w:color="auto"/>
            <w:right w:val="none" w:sz="0" w:space="0" w:color="auto"/>
          </w:divBdr>
        </w:div>
        <w:div w:id="213466460">
          <w:marLeft w:val="0"/>
          <w:marRight w:val="0"/>
          <w:marTop w:val="83"/>
          <w:marBottom w:val="0"/>
          <w:divBdr>
            <w:top w:val="none" w:sz="0" w:space="0" w:color="auto"/>
            <w:left w:val="none" w:sz="0" w:space="0" w:color="auto"/>
            <w:bottom w:val="none" w:sz="0" w:space="0" w:color="auto"/>
            <w:right w:val="none" w:sz="0" w:space="0" w:color="auto"/>
          </w:divBdr>
          <w:divsChild>
            <w:div w:id="840584220">
              <w:marLeft w:val="0"/>
              <w:marRight w:val="0"/>
              <w:marTop w:val="83"/>
              <w:marBottom w:val="0"/>
              <w:divBdr>
                <w:top w:val="none" w:sz="0" w:space="0" w:color="auto"/>
                <w:left w:val="none" w:sz="0" w:space="0" w:color="auto"/>
                <w:bottom w:val="none" w:sz="0" w:space="0" w:color="auto"/>
                <w:right w:val="none" w:sz="0" w:space="0" w:color="auto"/>
              </w:divBdr>
            </w:div>
            <w:div w:id="2019887648">
              <w:marLeft w:val="0"/>
              <w:marRight w:val="0"/>
              <w:marTop w:val="83"/>
              <w:marBottom w:val="0"/>
              <w:divBdr>
                <w:top w:val="none" w:sz="0" w:space="0" w:color="auto"/>
                <w:left w:val="none" w:sz="0" w:space="0" w:color="auto"/>
                <w:bottom w:val="none" w:sz="0" w:space="0" w:color="auto"/>
                <w:right w:val="none" w:sz="0" w:space="0" w:color="auto"/>
              </w:divBdr>
            </w:div>
            <w:div w:id="455415972">
              <w:marLeft w:val="0"/>
              <w:marRight w:val="0"/>
              <w:marTop w:val="83"/>
              <w:marBottom w:val="0"/>
              <w:divBdr>
                <w:top w:val="none" w:sz="0" w:space="0" w:color="auto"/>
                <w:left w:val="none" w:sz="0" w:space="0" w:color="auto"/>
                <w:bottom w:val="none" w:sz="0" w:space="0" w:color="auto"/>
                <w:right w:val="none" w:sz="0" w:space="0" w:color="auto"/>
              </w:divBdr>
              <w:divsChild>
                <w:div w:id="1804082365">
                  <w:marLeft w:val="0"/>
                  <w:marRight w:val="0"/>
                  <w:marTop w:val="83"/>
                  <w:marBottom w:val="0"/>
                  <w:divBdr>
                    <w:top w:val="none" w:sz="0" w:space="0" w:color="auto"/>
                    <w:left w:val="none" w:sz="0" w:space="0" w:color="auto"/>
                    <w:bottom w:val="none" w:sz="0" w:space="0" w:color="auto"/>
                    <w:right w:val="none" w:sz="0" w:space="0" w:color="auto"/>
                  </w:divBdr>
                </w:div>
                <w:div w:id="319962213">
                  <w:marLeft w:val="0"/>
                  <w:marRight w:val="0"/>
                  <w:marTop w:val="83"/>
                  <w:marBottom w:val="0"/>
                  <w:divBdr>
                    <w:top w:val="none" w:sz="0" w:space="0" w:color="auto"/>
                    <w:left w:val="none" w:sz="0" w:space="0" w:color="auto"/>
                    <w:bottom w:val="none" w:sz="0" w:space="0" w:color="auto"/>
                    <w:right w:val="none" w:sz="0" w:space="0" w:color="auto"/>
                  </w:divBdr>
                </w:div>
              </w:divsChild>
            </w:div>
            <w:div w:id="1382248559">
              <w:marLeft w:val="0"/>
              <w:marRight w:val="0"/>
              <w:marTop w:val="83"/>
              <w:marBottom w:val="0"/>
              <w:divBdr>
                <w:top w:val="none" w:sz="0" w:space="0" w:color="auto"/>
                <w:left w:val="none" w:sz="0" w:space="0" w:color="auto"/>
                <w:bottom w:val="none" w:sz="0" w:space="0" w:color="auto"/>
                <w:right w:val="none" w:sz="0" w:space="0" w:color="auto"/>
              </w:divBdr>
            </w:div>
          </w:divsChild>
        </w:div>
        <w:div w:id="329799971">
          <w:marLeft w:val="0"/>
          <w:marRight w:val="0"/>
          <w:marTop w:val="83"/>
          <w:marBottom w:val="0"/>
          <w:divBdr>
            <w:top w:val="none" w:sz="0" w:space="0" w:color="auto"/>
            <w:left w:val="none" w:sz="0" w:space="0" w:color="auto"/>
            <w:bottom w:val="none" w:sz="0" w:space="0" w:color="auto"/>
            <w:right w:val="none" w:sz="0" w:space="0" w:color="auto"/>
          </w:divBdr>
        </w:div>
      </w:divsChild>
    </w:div>
    <w:div w:id="963539902">
      <w:bodyDiv w:val="1"/>
      <w:marLeft w:val="0"/>
      <w:marRight w:val="0"/>
      <w:marTop w:val="0"/>
      <w:marBottom w:val="0"/>
      <w:divBdr>
        <w:top w:val="none" w:sz="0" w:space="0" w:color="auto"/>
        <w:left w:val="none" w:sz="0" w:space="0" w:color="auto"/>
        <w:bottom w:val="none" w:sz="0" w:space="0" w:color="auto"/>
        <w:right w:val="none" w:sz="0" w:space="0" w:color="auto"/>
      </w:divBdr>
    </w:div>
    <w:div w:id="1016348963">
      <w:bodyDiv w:val="1"/>
      <w:marLeft w:val="0"/>
      <w:marRight w:val="0"/>
      <w:marTop w:val="0"/>
      <w:marBottom w:val="0"/>
      <w:divBdr>
        <w:top w:val="none" w:sz="0" w:space="0" w:color="auto"/>
        <w:left w:val="none" w:sz="0" w:space="0" w:color="auto"/>
        <w:bottom w:val="none" w:sz="0" w:space="0" w:color="auto"/>
        <w:right w:val="none" w:sz="0" w:space="0" w:color="auto"/>
      </w:divBdr>
    </w:div>
    <w:div w:id="1380281700">
      <w:bodyDiv w:val="1"/>
      <w:marLeft w:val="0"/>
      <w:marRight w:val="0"/>
      <w:marTop w:val="0"/>
      <w:marBottom w:val="0"/>
      <w:divBdr>
        <w:top w:val="none" w:sz="0" w:space="0" w:color="auto"/>
        <w:left w:val="none" w:sz="0" w:space="0" w:color="auto"/>
        <w:bottom w:val="none" w:sz="0" w:space="0" w:color="auto"/>
        <w:right w:val="none" w:sz="0" w:space="0" w:color="auto"/>
      </w:divBdr>
    </w:div>
    <w:div w:id="1704398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C@parliament.qld.gov.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LEGAL%20RESEARCH%20&amp;%20POLICY%20(Team)\Sandpit\QHRC%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03E084C2B5FDE4DAA0444A51E1C7627" ma:contentTypeVersion="7" ma:contentTypeDescription="Create a new document." ma:contentTypeScope="" ma:versionID="b34ca78338a3b8df2afc266e28b871ce">
  <xsd:schema xmlns:xsd="http://www.w3.org/2001/XMLSchema" xmlns:xs="http://www.w3.org/2001/XMLSchema" xmlns:p="http://schemas.microsoft.com/office/2006/metadata/properties" xmlns:ns3="51a76b0b-ee59-461b-91d6-78307dbc35cf" xmlns:ns4="fe5d69ac-25c9-43c2-bfd9-5081e8fcfe1a" targetNamespace="http://schemas.microsoft.com/office/2006/metadata/properties" ma:root="true" ma:fieldsID="8bd3321904930804a2e5413f618e008b" ns3:_="" ns4:_="">
    <xsd:import namespace="51a76b0b-ee59-461b-91d6-78307dbc35cf"/>
    <xsd:import namespace="fe5d69ac-25c9-43c2-bfd9-5081e8fcfe1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a76b0b-ee59-461b-91d6-78307dbc35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5d69ac-25c9-43c2-bfd9-5081e8fcfe1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6EB475-92B3-48F3-94B4-16F6AF65FC9F}">
  <ds:schemaRefs>
    <ds:schemaRef ds:uri="http://schemas.microsoft.com/sharepoint/v3/contenttype/forms"/>
  </ds:schemaRefs>
</ds:datastoreItem>
</file>

<file path=customXml/itemProps2.xml><?xml version="1.0" encoding="utf-8"?>
<ds:datastoreItem xmlns:ds="http://schemas.openxmlformats.org/officeDocument/2006/customXml" ds:itemID="{2D57C908-0285-4C73-8A96-595AC481483D}">
  <ds:schemaRefs>
    <ds:schemaRef ds:uri="http://schemas.microsoft.com/office/2006/metadata/properties"/>
    <ds:schemaRef ds:uri="http://purl.org/dc/terms/"/>
    <ds:schemaRef ds:uri="http://schemas.openxmlformats.org/package/2006/metadata/core-properties"/>
    <ds:schemaRef ds:uri="51a76b0b-ee59-461b-91d6-78307dbc35cf"/>
    <ds:schemaRef ds:uri="http://purl.org/dc/dcmitype/"/>
    <ds:schemaRef ds:uri="fe5d69ac-25c9-43c2-bfd9-5081e8fcfe1a"/>
    <ds:schemaRef ds:uri="http://schemas.microsoft.com/office/2006/documentManagement/types"/>
    <ds:schemaRef ds:uri="http://purl.org/dc/elements/1.1/"/>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AA5E63BC-3975-4DB8-8C95-5BC3610C4001}">
  <ds:schemaRefs>
    <ds:schemaRef ds:uri="http://schemas.openxmlformats.org/officeDocument/2006/bibliography"/>
  </ds:schemaRefs>
</ds:datastoreItem>
</file>

<file path=customXml/itemProps4.xml><?xml version="1.0" encoding="utf-8"?>
<ds:datastoreItem xmlns:ds="http://schemas.openxmlformats.org/officeDocument/2006/customXml" ds:itemID="{FD8211DD-EEB5-4B51-B0E2-0C52029E4F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a76b0b-ee59-461b-91d6-78307dbc35cf"/>
    <ds:schemaRef ds:uri="fe5d69ac-25c9-43c2-bfd9-5081e8fcfe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QHRC letterhead</Template>
  <TotalTime>156</TotalTime>
  <Pages>3</Pages>
  <Words>823</Words>
  <Characters>4694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ADCQ</Company>
  <LinksUpToDate>false</LinksUpToDate>
  <CharactersWithSpaces>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Rebekah Leong</dc:creator>
  <cp:keywords/>
  <dc:description/>
  <cp:lastModifiedBy>Sean Costello</cp:lastModifiedBy>
  <cp:revision>8</cp:revision>
  <cp:lastPrinted>2023-01-04T02:25:00Z</cp:lastPrinted>
  <dcterms:created xsi:type="dcterms:W3CDTF">2022-12-19T04:10:00Z</dcterms:created>
  <dcterms:modified xsi:type="dcterms:W3CDTF">2023-01-04T02:31:00Z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0x010100403E084C2B5FDE4DAA0444A51E1C7627</vt:lpwstr>
  </property>
</Properties>
</file>