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D6DD5" w14:textId="606C7915" w:rsidR="003647CE" w:rsidRPr="007C6191" w:rsidRDefault="00DE20F4" w:rsidP="00DE20F4">
      <w:pPr>
        <w:spacing w:before="240" w:after="0" w:line="240" w:lineRule="auto"/>
        <w:rPr>
          <w:rFonts w:ascii="Arial" w:eastAsia="Times New Roman" w:hAnsi="Arial" w:cs="Arial"/>
          <w:color w:val="000000"/>
          <w:sz w:val="20"/>
          <w:szCs w:val="20"/>
          <w:lang w:eastAsia="en-AU"/>
        </w:rPr>
      </w:pPr>
      <w:r w:rsidRPr="007C6191">
        <w:rPr>
          <w:rFonts w:ascii="Arial" w:eastAsia="Times New Roman" w:hAnsi="Arial" w:cs="Arial"/>
          <w:color w:val="000000"/>
          <w:sz w:val="20"/>
          <w:szCs w:val="20"/>
          <w:lang w:eastAsia="en-AU"/>
        </w:rPr>
        <w:t xml:space="preserve">Our ref:  </w:t>
      </w:r>
      <w:r w:rsidR="007C6191" w:rsidRPr="007C6191">
        <w:rPr>
          <w:rFonts w:ascii="Arial" w:eastAsia="Times New Roman" w:hAnsi="Arial" w:cs="Arial"/>
          <w:color w:val="000000"/>
          <w:sz w:val="20"/>
          <w:szCs w:val="20"/>
          <w:lang w:eastAsia="en-AU"/>
        </w:rPr>
        <w:t>BNE5413748</w:t>
      </w:r>
    </w:p>
    <w:p w14:paraId="6F57E7B6" w14:textId="1A611D51" w:rsidR="00DE20F4" w:rsidRPr="007957FB" w:rsidRDefault="00DE20F4" w:rsidP="003647CE">
      <w:pPr>
        <w:spacing w:after="0" w:line="240" w:lineRule="auto"/>
        <w:rPr>
          <w:rFonts w:ascii="Arial" w:eastAsia="Times New Roman" w:hAnsi="Arial" w:cs="Arial"/>
          <w:color w:val="000000"/>
          <w:lang w:eastAsia="en-AU"/>
        </w:rPr>
      </w:pPr>
    </w:p>
    <w:p w14:paraId="1AAE6AFE" w14:textId="77777777" w:rsidR="00DE20F4" w:rsidRPr="007957FB" w:rsidRDefault="00DE20F4" w:rsidP="003647CE">
      <w:pPr>
        <w:spacing w:after="0" w:line="240" w:lineRule="auto"/>
        <w:rPr>
          <w:rFonts w:ascii="Arial" w:eastAsia="Times New Roman" w:hAnsi="Arial" w:cs="Arial"/>
          <w:color w:val="000000"/>
          <w:lang w:eastAsia="en-AU"/>
        </w:rPr>
      </w:pPr>
    </w:p>
    <w:p w14:paraId="0EEB6DE2" w14:textId="618D6E29" w:rsidR="003647CE" w:rsidRPr="007957FB" w:rsidRDefault="007C6191" w:rsidP="003647CE">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6</w:t>
      </w:r>
      <w:r w:rsidR="0087667A">
        <w:rPr>
          <w:rFonts w:ascii="Arial" w:eastAsia="Times New Roman" w:hAnsi="Arial" w:cs="Arial"/>
          <w:color w:val="000000"/>
          <w:lang w:eastAsia="en-AU"/>
        </w:rPr>
        <w:t xml:space="preserve"> April</w:t>
      </w:r>
      <w:r w:rsidR="003647CE" w:rsidRPr="007957FB">
        <w:rPr>
          <w:rFonts w:ascii="Arial" w:eastAsia="Times New Roman" w:hAnsi="Arial" w:cs="Arial"/>
          <w:color w:val="000000"/>
          <w:lang w:eastAsia="en-AU"/>
        </w:rPr>
        <w:t xml:space="preserve"> 2023</w:t>
      </w:r>
    </w:p>
    <w:p w14:paraId="78E320FC" w14:textId="720336BB" w:rsidR="003647CE" w:rsidRDefault="003647CE" w:rsidP="003647CE">
      <w:pPr>
        <w:spacing w:after="0" w:line="240" w:lineRule="auto"/>
        <w:rPr>
          <w:rFonts w:ascii="Arial" w:eastAsia="Times New Roman" w:hAnsi="Arial" w:cs="Arial"/>
          <w:color w:val="000000"/>
          <w:lang w:eastAsia="en-AU"/>
        </w:rPr>
      </w:pPr>
    </w:p>
    <w:p w14:paraId="0057A5F0" w14:textId="77777777" w:rsidR="00030DAD" w:rsidRPr="007957FB" w:rsidRDefault="00030DAD" w:rsidP="003647CE">
      <w:pPr>
        <w:spacing w:after="0" w:line="240" w:lineRule="auto"/>
        <w:rPr>
          <w:rFonts w:ascii="Arial" w:eastAsia="Times New Roman" w:hAnsi="Arial" w:cs="Arial"/>
          <w:color w:val="000000"/>
          <w:lang w:eastAsia="en-AU"/>
        </w:rPr>
      </w:pPr>
    </w:p>
    <w:p w14:paraId="291C75EA" w14:textId="6CE98432" w:rsidR="00364589" w:rsidRDefault="00364589" w:rsidP="003647CE">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FCC Act review team</w:t>
      </w:r>
    </w:p>
    <w:p w14:paraId="24F43DE0" w14:textId="1D0F3466" w:rsidR="00030DAD" w:rsidRDefault="00364589" w:rsidP="003647CE">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Strategic Policy and Legal Services</w:t>
      </w:r>
    </w:p>
    <w:p w14:paraId="61E233C2" w14:textId="33ECA08A" w:rsidR="00364589" w:rsidRDefault="00364589" w:rsidP="003647CE">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Department of Justice and Attorney-General</w:t>
      </w:r>
    </w:p>
    <w:p w14:paraId="09129245" w14:textId="77777777" w:rsidR="00364589" w:rsidRDefault="00364589" w:rsidP="003647CE">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50 Ann St </w:t>
      </w:r>
    </w:p>
    <w:p w14:paraId="17D79FE2" w14:textId="49DE5609" w:rsidR="00364589" w:rsidRPr="007957FB" w:rsidRDefault="00364589" w:rsidP="003647CE">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Brisbane Qld 4000</w:t>
      </w:r>
    </w:p>
    <w:p w14:paraId="6753039C" w14:textId="77777777" w:rsidR="003647CE" w:rsidRPr="007957FB" w:rsidRDefault="003647CE" w:rsidP="003647CE">
      <w:pPr>
        <w:spacing w:after="0" w:line="240" w:lineRule="auto"/>
        <w:rPr>
          <w:rFonts w:ascii="Arial" w:eastAsia="Times New Roman" w:hAnsi="Arial" w:cs="Arial"/>
          <w:color w:val="000000"/>
          <w:lang w:eastAsia="en-AU"/>
        </w:rPr>
      </w:pPr>
    </w:p>
    <w:p w14:paraId="791FFC07" w14:textId="77777777" w:rsidR="003647CE" w:rsidRPr="007957FB" w:rsidRDefault="003647CE" w:rsidP="003647CE">
      <w:pPr>
        <w:spacing w:after="0" w:line="240" w:lineRule="auto"/>
        <w:rPr>
          <w:rFonts w:ascii="Arial" w:eastAsia="Times New Roman" w:hAnsi="Arial" w:cs="Arial"/>
          <w:color w:val="000000"/>
          <w:lang w:eastAsia="en-AU"/>
        </w:rPr>
      </w:pPr>
    </w:p>
    <w:p w14:paraId="7AECDF72" w14:textId="443DA395" w:rsidR="003647CE" w:rsidRPr="007957FB" w:rsidRDefault="003647CE" w:rsidP="003647CE">
      <w:pPr>
        <w:spacing w:after="0" w:line="240" w:lineRule="auto"/>
        <w:rPr>
          <w:rFonts w:ascii="Arial" w:eastAsia="Times New Roman" w:hAnsi="Arial" w:cs="Arial"/>
          <w:color w:val="000000"/>
          <w:lang w:eastAsia="en-AU"/>
        </w:rPr>
      </w:pPr>
      <w:r w:rsidRPr="007957FB">
        <w:rPr>
          <w:rFonts w:ascii="Arial" w:eastAsia="Times New Roman" w:hAnsi="Arial" w:cs="Arial"/>
          <w:b/>
          <w:i/>
          <w:color w:val="000000"/>
          <w:lang w:eastAsia="en-AU"/>
        </w:rPr>
        <w:t xml:space="preserve">By email to: </w:t>
      </w:r>
      <w:hyperlink r:id="rId8" w:history="1">
        <w:r w:rsidR="00364589" w:rsidRPr="00324B47">
          <w:rPr>
            <w:rStyle w:val="Hyperlink"/>
            <w:rFonts w:ascii="Arial" w:eastAsia="Times New Roman" w:hAnsi="Arial" w:cs="Arial"/>
            <w:lang w:eastAsia="en-AU"/>
          </w:rPr>
          <w:t>fccactreview@justice.qld.gov.au</w:t>
        </w:r>
      </w:hyperlink>
      <w:r w:rsidR="00364589">
        <w:rPr>
          <w:rFonts w:ascii="Arial" w:eastAsia="Times New Roman" w:hAnsi="Arial" w:cs="Arial"/>
          <w:color w:val="000000"/>
          <w:lang w:eastAsia="en-AU"/>
        </w:rPr>
        <w:t xml:space="preserve"> </w:t>
      </w:r>
    </w:p>
    <w:p w14:paraId="278BA203" w14:textId="77777777" w:rsidR="003647CE" w:rsidRPr="007957FB" w:rsidRDefault="003647CE" w:rsidP="003647CE">
      <w:pPr>
        <w:spacing w:after="0" w:line="240" w:lineRule="auto"/>
        <w:rPr>
          <w:rFonts w:ascii="Arial" w:eastAsia="Times New Roman" w:hAnsi="Arial" w:cs="Arial"/>
          <w:b/>
          <w:i/>
          <w:color w:val="000000"/>
          <w:lang w:eastAsia="en-AU"/>
        </w:rPr>
      </w:pPr>
    </w:p>
    <w:p w14:paraId="6C4507AE" w14:textId="77777777" w:rsidR="003647CE" w:rsidRPr="007957FB" w:rsidRDefault="003647CE" w:rsidP="003647CE">
      <w:pPr>
        <w:spacing w:after="0" w:line="240" w:lineRule="auto"/>
        <w:rPr>
          <w:rFonts w:ascii="Arial" w:eastAsia="Times New Roman" w:hAnsi="Arial" w:cs="Arial"/>
          <w:color w:val="000000"/>
          <w:lang w:eastAsia="en-AU"/>
        </w:rPr>
      </w:pPr>
    </w:p>
    <w:p w14:paraId="2F449460" w14:textId="77777777" w:rsidR="003647CE" w:rsidRPr="007957FB" w:rsidRDefault="003647CE" w:rsidP="003647CE">
      <w:pPr>
        <w:spacing w:after="0" w:line="240" w:lineRule="auto"/>
        <w:rPr>
          <w:rFonts w:ascii="Arial" w:eastAsia="Times New Roman" w:hAnsi="Arial" w:cs="Arial"/>
          <w:color w:val="000000"/>
          <w:lang w:eastAsia="en-AU"/>
        </w:rPr>
      </w:pPr>
    </w:p>
    <w:p w14:paraId="74FCEB95" w14:textId="68CC86B6" w:rsidR="003647CE" w:rsidRDefault="003647CE" w:rsidP="003647CE">
      <w:pPr>
        <w:spacing w:before="120" w:after="240" w:line="240" w:lineRule="auto"/>
        <w:rPr>
          <w:rFonts w:ascii="Arial" w:eastAsia="Times New Roman" w:hAnsi="Arial" w:cs="Arial"/>
          <w:color w:val="000000"/>
          <w:lang w:eastAsia="en-AU"/>
        </w:rPr>
      </w:pPr>
      <w:r w:rsidRPr="007957FB">
        <w:rPr>
          <w:rFonts w:ascii="Arial" w:eastAsia="Times New Roman" w:hAnsi="Arial" w:cs="Arial"/>
          <w:color w:val="000000"/>
          <w:lang w:eastAsia="en-AU"/>
        </w:rPr>
        <w:t xml:space="preserve">Dear </w:t>
      </w:r>
      <w:r w:rsidR="00364589">
        <w:rPr>
          <w:rFonts w:ascii="Arial" w:eastAsia="Times New Roman" w:hAnsi="Arial" w:cs="Arial"/>
          <w:color w:val="000000"/>
          <w:lang w:eastAsia="en-AU"/>
        </w:rPr>
        <w:t>Review Team</w:t>
      </w:r>
    </w:p>
    <w:p w14:paraId="0958E03E" w14:textId="15C16572" w:rsidR="00364589" w:rsidRPr="006A6E7E" w:rsidRDefault="00364589" w:rsidP="006A6E7E">
      <w:pPr>
        <w:rPr>
          <w:rFonts w:ascii="Arial" w:hAnsi="Arial" w:cs="Arial"/>
          <w:b/>
          <w:bCs/>
          <w:lang w:eastAsia="en-AU"/>
        </w:rPr>
      </w:pPr>
      <w:r w:rsidRPr="006A6E7E">
        <w:rPr>
          <w:rFonts w:ascii="Arial" w:hAnsi="Arial" w:cs="Arial"/>
          <w:b/>
          <w:bCs/>
          <w:lang w:eastAsia="en-AU"/>
        </w:rPr>
        <w:t xml:space="preserve">Review of the </w:t>
      </w:r>
      <w:r w:rsidRPr="0003567A">
        <w:rPr>
          <w:rFonts w:ascii="Arial" w:hAnsi="Arial" w:cs="Arial"/>
          <w:b/>
          <w:bCs/>
          <w:i/>
          <w:iCs/>
          <w:lang w:eastAsia="en-AU"/>
        </w:rPr>
        <w:t>Family and Child Commission Act 2014</w:t>
      </w:r>
    </w:p>
    <w:p w14:paraId="25E6A2A0" w14:textId="52182A9D" w:rsidR="003647CE" w:rsidRPr="003F69C6" w:rsidRDefault="003647CE" w:rsidP="003647CE">
      <w:pPr>
        <w:spacing w:before="120" w:after="240" w:line="240" w:lineRule="auto"/>
        <w:rPr>
          <w:rFonts w:ascii="Arial" w:eastAsia="Times New Roman" w:hAnsi="Arial" w:cs="Arial"/>
          <w:color w:val="000000"/>
          <w:lang w:eastAsia="en-AU"/>
        </w:rPr>
      </w:pPr>
      <w:r w:rsidRPr="003F69C6">
        <w:rPr>
          <w:rFonts w:ascii="Arial" w:eastAsia="Times New Roman" w:hAnsi="Arial" w:cs="Arial"/>
          <w:color w:val="000000"/>
          <w:lang w:eastAsia="en-AU"/>
        </w:rPr>
        <w:t xml:space="preserve">Thank you for the opportunity to </w:t>
      </w:r>
      <w:r w:rsidR="002253C5" w:rsidRPr="003F69C6">
        <w:rPr>
          <w:rFonts w:ascii="Arial" w:eastAsia="Times New Roman" w:hAnsi="Arial" w:cs="Arial"/>
          <w:color w:val="000000"/>
          <w:lang w:eastAsia="en-AU"/>
        </w:rPr>
        <w:t xml:space="preserve">make submissions on </w:t>
      </w:r>
      <w:r w:rsidR="00364589" w:rsidRPr="003F69C6">
        <w:rPr>
          <w:rFonts w:ascii="Arial" w:eastAsia="Times New Roman" w:hAnsi="Arial" w:cs="Arial"/>
          <w:color w:val="000000"/>
          <w:lang w:eastAsia="en-AU"/>
        </w:rPr>
        <w:t>th</w:t>
      </w:r>
      <w:r w:rsidR="003237E4" w:rsidRPr="003F69C6">
        <w:rPr>
          <w:rFonts w:ascii="Arial" w:eastAsia="Times New Roman" w:hAnsi="Arial" w:cs="Arial"/>
          <w:color w:val="000000"/>
          <w:lang w:eastAsia="en-AU"/>
        </w:rPr>
        <w:t>e</w:t>
      </w:r>
      <w:r w:rsidR="00364589" w:rsidRPr="003F69C6">
        <w:rPr>
          <w:rFonts w:ascii="Arial" w:eastAsia="Times New Roman" w:hAnsi="Arial" w:cs="Arial"/>
          <w:color w:val="000000"/>
          <w:lang w:eastAsia="en-AU"/>
        </w:rPr>
        <w:t xml:space="preserve"> review </w:t>
      </w:r>
      <w:r w:rsidR="003237E4" w:rsidRPr="003F69C6">
        <w:rPr>
          <w:rFonts w:ascii="Arial" w:eastAsia="Times New Roman" w:hAnsi="Arial" w:cs="Arial"/>
          <w:color w:val="000000"/>
          <w:lang w:eastAsia="en-AU"/>
        </w:rPr>
        <w:t xml:space="preserve">of the </w:t>
      </w:r>
      <w:r w:rsidR="003237E4" w:rsidRPr="003F69C6">
        <w:rPr>
          <w:rFonts w:ascii="Arial" w:eastAsia="Times New Roman" w:hAnsi="Arial" w:cs="Arial"/>
          <w:i/>
          <w:iCs/>
          <w:color w:val="000000"/>
          <w:lang w:eastAsia="en-AU"/>
        </w:rPr>
        <w:t>Family and Child Commission Act 2014</w:t>
      </w:r>
      <w:r w:rsidR="003237E4" w:rsidRPr="003F69C6">
        <w:rPr>
          <w:rFonts w:ascii="Arial" w:eastAsia="Times New Roman" w:hAnsi="Arial" w:cs="Arial"/>
          <w:color w:val="000000"/>
          <w:lang w:eastAsia="en-AU"/>
        </w:rPr>
        <w:t xml:space="preserve"> (</w:t>
      </w:r>
      <w:r w:rsidR="003237E4" w:rsidRPr="003F69C6">
        <w:rPr>
          <w:rFonts w:ascii="Arial" w:eastAsia="Times New Roman" w:hAnsi="Arial" w:cs="Arial"/>
          <w:b/>
          <w:bCs/>
          <w:color w:val="000000"/>
          <w:lang w:eastAsia="en-AU"/>
        </w:rPr>
        <w:t>FCC Act</w:t>
      </w:r>
      <w:r w:rsidR="003237E4" w:rsidRPr="003F69C6">
        <w:rPr>
          <w:rFonts w:ascii="Arial" w:eastAsia="Times New Roman" w:hAnsi="Arial" w:cs="Arial"/>
          <w:color w:val="000000"/>
          <w:lang w:eastAsia="en-AU"/>
        </w:rPr>
        <w:t xml:space="preserve">) </w:t>
      </w:r>
      <w:r w:rsidR="00364589" w:rsidRPr="003F69C6">
        <w:rPr>
          <w:rFonts w:ascii="Arial" w:eastAsia="Times New Roman" w:hAnsi="Arial" w:cs="Arial"/>
          <w:color w:val="000000"/>
          <w:lang w:eastAsia="en-AU"/>
        </w:rPr>
        <w:t xml:space="preserve">and consultation paper dated March 2023. </w:t>
      </w:r>
    </w:p>
    <w:p w14:paraId="0A8CB371" w14:textId="0427B263" w:rsidR="002253C5" w:rsidRPr="003F69C6" w:rsidRDefault="00E75D61" w:rsidP="003647CE">
      <w:pPr>
        <w:spacing w:before="120" w:after="240" w:line="240" w:lineRule="auto"/>
        <w:rPr>
          <w:rFonts w:ascii="Arial" w:eastAsia="Times New Roman" w:hAnsi="Arial" w:cs="Arial"/>
          <w:color w:val="000000"/>
          <w:lang w:eastAsia="en-AU"/>
        </w:rPr>
      </w:pPr>
      <w:r w:rsidRPr="003F69C6">
        <w:rPr>
          <w:rFonts w:ascii="Arial" w:eastAsia="Times New Roman" w:hAnsi="Arial" w:cs="Arial"/>
          <w:color w:val="000000"/>
          <w:lang w:eastAsia="en-AU"/>
        </w:rPr>
        <w:t>The Queensland Family and Child Commission (</w:t>
      </w:r>
      <w:r w:rsidRPr="003F69C6">
        <w:rPr>
          <w:rFonts w:ascii="Arial" w:eastAsia="Times New Roman" w:hAnsi="Arial" w:cs="Arial"/>
          <w:b/>
          <w:bCs/>
          <w:color w:val="000000"/>
          <w:lang w:eastAsia="en-AU"/>
        </w:rPr>
        <w:t>QFCC</w:t>
      </w:r>
      <w:r w:rsidRPr="003F69C6">
        <w:rPr>
          <w:rFonts w:ascii="Arial" w:eastAsia="Times New Roman" w:hAnsi="Arial" w:cs="Arial"/>
          <w:color w:val="000000"/>
          <w:lang w:eastAsia="en-AU"/>
        </w:rPr>
        <w:t xml:space="preserve">) </w:t>
      </w:r>
      <w:r w:rsidR="00813229" w:rsidRPr="003F69C6">
        <w:rPr>
          <w:rFonts w:ascii="Arial" w:eastAsia="Times New Roman" w:hAnsi="Arial" w:cs="Arial"/>
          <w:color w:val="000000"/>
          <w:lang w:eastAsia="en-AU"/>
        </w:rPr>
        <w:t>provides</w:t>
      </w:r>
      <w:r w:rsidRPr="003F69C6">
        <w:rPr>
          <w:rFonts w:ascii="Arial" w:eastAsia="Times New Roman" w:hAnsi="Arial" w:cs="Arial"/>
          <w:color w:val="000000"/>
          <w:lang w:eastAsia="en-AU"/>
        </w:rPr>
        <w:t xml:space="preserve"> an essential component of </w:t>
      </w:r>
      <w:r w:rsidR="004D0A02" w:rsidRPr="003F69C6">
        <w:rPr>
          <w:rFonts w:ascii="Arial" w:eastAsia="Times New Roman" w:hAnsi="Arial" w:cs="Arial"/>
          <w:color w:val="000000"/>
          <w:lang w:eastAsia="en-AU"/>
        </w:rPr>
        <w:t xml:space="preserve">the government </w:t>
      </w:r>
      <w:r w:rsidR="00433A88" w:rsidRPr="003F69C6">
        <w:rPr>
          <w:rFonts w:ascii="Arial" w:eastAsia="Times New Roman" w:hAnsi="Arial" w:cs="Arial"/>
          <w:color w:val="000000"/>
          <w:lang w:eastAsia="en-AU"/>
        </w:rPr>
        <w:t xml:space="preserve">framework to protect and support vulnerable children, </w:t>
      </w:r>
      <w:r w:rsidR="00CB318A" w:rsidRPr="003F69C6">
        <w:rPr>
          <w:rFonts w:ascii="Arial" w:eastAsia="Times New Roman" w:hAnsi="Arial" w:cs="Arial"/>
          <w:color w:val="000000"/>
          <w:lang w:eastAsia="en-AU"/>
        </w:rPr>
        <w:t>recommended</w:t>
      </w:r>
      <w:r w:rsidR="00433A88" w:rsidRPr="003F69C6">
        <w:rPr>
          <w:rFonts w:ascii="Arial" w:eastAsia="Times New Roman" w:hAnsi="Arial" w:cs="Arial"/>
          <w:color w:val="000000"/>
          <w:lang w:eastAsia="en-AU"/>
        </w:rPr>
        <w:t xml:space="preserve"> by the Carmody Inquiry to be an oversight body of the child protection system</w:t>
      </w:r>
      <w:r w:rsidR="00820059" w:rsidRPr="003F69C6">
        <w:rPr>
          <w:rFonts w:ascii="Arial" w:eastAsia="Times New Roman" w:hAnsi="Arial" w:cs="Arial"/>
          <w:color w:val="000000"/>
          <w:lang w:eastAsia="en-AU"/>
        </w:rPr>
        <w:t xml:space="preserve">, promote support for families, and to advocate systemically </w:t>
      </w:r>
      <w:r w:rsidR="00DF033D" w:rsidRPr="003F69C6">
        <w:rPr>
          <w:rFonts w:ascii="Arial" w:eastAsia="Times New Roman" w:hAnsi="Arial" w:cs="Arial"/>
          <w:color w:val="000000"/>
          <w:lang w:eastAsia="en-AU"/>
        </w:rPr>
        <w:t>for the rights, interests and wellbeing of children and young people.</w:t>
      </w:r>
      <w:r w:rsidR="00DF033D" w:rsidRPr="003F69C6">
        <w:rPr>
          <w:rStyle w:val="FootnoteReference"/>
          <w:rFonts w:ascii="Arial" w:eastAsia="Times New Roman" w:hAnsi="Arial" w:cs="Arial"/>
          <w:color w:val="000000"/>
          <w:lang w:eastAsia="en-AU"/>
        </w:rPr>
        <w:footnoteReference w:id="1"/>
      </w:r>
      <w:r w:rsidR="00DF033D" w:rsidRPr="003F69C6">
        <w:rPr>
          <w:rFonts w:ascii="Arial" w:eastAsia="Times New Roman" w:hAnsi="Arial" w:cs="Arial"/>
          <w:color w:val="000000"/>
          <w:lang w:eastAsia="en-AU"/>
        </w:rPr>
        <w:t xml:space="preserve"> </w:t>
      </w:r>
    </w:p>
    <w:p w14:paraId="3E2D9A3B" w14:textId="3657FFC6" w:rsidR="00FA69A8" w:rsidRPr="003F69C6" w:rsidRDefault="00CE512A" w:rsidP="00FA69A8">
      <w:pPr>
        <w:spacing w:before="120" w:after="240" w:line="240" w:lineRule="auto"/>
        <w:rPr>
          <w:rFonts w:ascii="Arial" w:eastAsia="Times New Roman" w:hAnsi="Arial" w:cs="Arial"/>
          <w:color w:val="000000"/>
          <w:lang w:eastAsia="en-AU"/>
        </w:rPr>
      </w:pPr>
      <w:r w:rsidRPr="003F69C6">
        <w:rPr>
          <w:rFonts w:ascii="Arial" w:eastAsia="Times New Roman" w:hAnsi="Arial" w:cs="Arial"/>
          <w:color w:val="000000"/>
          <w:lang w:eastAsia="en-AU"/>
        </w:rPr>
        <w:t>T</w:t>
      </w:r>
      <w:r w:rsidR="00FA69A8" w:rsidRPr="003F69C6">
        <w:rPr>
          <w:rFonts w:ascii="Arial" w:eastAsia="Times New Roman" w:hAnsi="Arial" w:cs="Arial"/>
          <w:color w:val="000000"/>
          <w:lang w:eastAsia="en-AU"/>
        </w:rPr>
        <w:t>he Queensland Human Rights Commission (</w:t>
      </w:r>
      <w:r w:rsidR="00FA69A8" w:rsidRPr="003F69C6">
        <w:rPr>
          <w:rFonts w:ascii="Arial" w:eastAsia="Times New Roman" w:hAnsi="Arial" w:cs="Arial"/>
          <w:b/>
          <w:bCs/>
          <w:color w:val="000000"/>
          <w:lang w:eastAsia="en-AU"/>
        </w:rPr>
        <w:t>QHRC</w:t>
      </w:r>
      <w:r w:rsidR="00FA69A8" w:rsidRPr="003F69C6">
        <w:rPr>
          <w:rFonts w:ascii="Arial" w:eastAsia="Times New Roman" w:hAnsi="Arial" w:cs="Arial"/>
          <w:color w:val="000000"/>
          <w:lang w:eastAsia="en-AU"/>
        </w:rPr>
        <w:t xml:space="preserve">) </w:t>
      </w:r>
      <w:r w:rsidR="003F69C6" w:rsidRPr="003F69C6">
        <w:rPr>
          <w:rFonts w:ascii="Arial" w:eastAsia="Times New Roman" w:hAnsi="Arial" w:cs="Arial"/>
          <w:color w:val="000000"/>
          <w:lang w:eastAsia="en-AU"/>
        </w:rPr>
        <w:t xml:space="preserve">is a statutory body established under the </w:t>
      </w:r>
      <w:r w:rsidR="00FA69A8" w:rsidRPr="003F69C6">
        <w:rPr>
          <w:rFonts w:ascii="Arial" w:eastAsia="Times New Roman" w:hAnsi="Arial" w:cs="Arial"/>
          <w:i/>
          <w:color w:val="000000"/>
          <w:lang w:eastAsia="en-AU"/>
        </w:rPr>
        <w:t>Anti-Discrimination Act 1991</w:t>
      </w:r>
      <w:r w:rsidR="003F69C6" w:rsidRPr="003F69C6">
        <w:rPr>
          <w:rFonts w:ascii="Arial" w:eastAsia="Times New Roman" w:hAnsi="Arial" w:cs="Arial"/>
          <w:i/>
          <w:color w:val="000000"/>
          <w:lang w:eastAsia="en-AU"/>
        </w:rPr>
        <w:t xml:space="preserve">. </w:t>
      </w:r>
      <w:r w:rsidR="003F69C6" w:rsidRPr="003F69C6">
        <w:rPr>
          <w:rFonts w:ascii="Arial" w:eastAsia="Times New Roman" w:hAnsi="Arial" w:cs="Arial"/>
          <w:iCs/>
          <w:color w:val="000000"/>
          <w:lang w:eastAsia="en-AU"/>
        </w:rPr>
        <w:t>The QHRC has functions under that Act and</w:t>
      </w:r>
      <w:r w:rsidR="003F69C6" w:rsidRPr="003F69C6">
        <w:rPr>
          <w:rFonts w:ascii="Arial" w:eastAsia="Times New Roman" w:hAnsi="Arial" w:cs="Arial"/>
          <w:i/>
          <w:color w:val="000000"/>
          <w:lang w:eastAsia="en-AU"/>
        </w:rPr>
        <w:t xml:space="preserve"> </w:t>
      </w:r>
      <w:r w:rsidR="00FA69A8" w:rsidRPr="003F69C6">
        <w:rPr>
          <w:rFonts w:ascii="Arial" w:eastAsia="Times New Roman" w:hAnsi="Arial" w:cs="Arial"/>
          <w:color w:val="000000"/>
          <w:lang w:eastAsia="en-AU"/>
        </w:rPr>
        <w:t xml:space="preserve">the </w:t>
      </w:r>
      <w:r w:rsidR="00FA69A8" w:rsidRPr="003F69C6">
        <w:rPr>
          <w:rFonts w:ascii="Arial" w:eastAsia="Times New Roman" w:hAnsi="Arial" w:cs="Arial"/>
          <w:i/>
          <w:color w:val="000000"/>
          <w:lang w:eastAsia="en-AU"/>
        </w:rPr>
        <w:t xml:space="preserve">Human Rights Act 2019 </w:t>
      </w:r>
      <w:r w:rsidR="003237E4" w:rsidRPr="003F69C6">
        <w:rPr>
          <w:rFonts w:ascii="Arial" w:hAnsi="Arial" w:cs="Arial"/>
        </w:rPr>
        <w:t>(</w:t>
      </w:r>
      <w:r w:rsidR="003237E4" w:rsidRPr="003F69C6">
        <w:rPr>
          <w:rFonts w:ascii="Arial" w:hAnsi="Arial" w:cs="Arial"/>
          <w:b/>
          <w:bCs/>
        </w:rPr>
        <w:t>HR Act</w:t>
      </w:r>
      <w:r w:rsidR="003237E4" w:rsidRPr="003F69C6">
        <w:rPr>
          <w:rFonts w:ascii="Arial" w:hAnsi="Arial" w:cs="Arial"/>
        </w:rPr>
        <w:t xml:space="preserve">) </w:t>
      </w:r>
      <w:r w:rsidR="00FA69A8" w:rsidRPr="003F69C6">
        <w:rPr>
          <w:rFonts w:ascii="Arial" w:eastAsia="Times New Roman" w:hAnsi="Arial" w:cs="Arial"/>
          <w:color w:val="000000"/>
          <w:lang w:eastAsia="en-AU"/>
        </w:rPr>
        <w:t xml:space="preserve">to conduct systemic reviews and other activities to promote an understanding and discussion of human rights, and to build a human rights culture in the Queensland public sector. The QHRC draws upon this experience in making submissions on this review. </w:t>
      </w:r>
    </w:p>
    <w:p w14:paraId="0859A0B5" w14:textId="728FCC22" w:rsidR="00C634CA" w:rsidRPr="006A6E7E" w:rsidRDefault="00C634CA" w:rsidP="006A6E7E">
      <w:pPr>
        <w:pStyle w:val="Heading1"/>
      </w:pPr>
      <w:r w:rsidRPr="006A6E7E">
        <w:t>Summary of recommendations</w:t>
      </w:r>
    </w:p>
    <w:p w14:paraId="116A6B27" w14:textId="77777777" w:rsidR="0087667A" w:rsidRDefault="0087667A" w:rsidP="0087667A">
      <w:pPr>
        <w:rPr>
          <w:rFonts w:ascii="Arial" w:hAnsi="Arial" w:cs="Arial"/>
          <w:lang w:eastAsia="en-AU"/>
        </w:rPr>
      </w:pPr>
      <w:r w:rsidRPr="009C1C98">
        <w:rPr>
          <w:rFonts w:ascii="Arial" w:hAnsi="Arial" w:cs="Arial"/>
          <w:lang w:eastAsia="en-AU"/>
        </w:rPr>
        <w:t xml:space="preserve">The </w:t>
      </w:r>
      <w:r>
        <w:rPr>
          <w:rFonts w:ascii="Arial" w:hAnsi="Arial" w:cs="Arial"/>
          <w:lang w:eastAsia="en-AU"/>
        </w:rPr>
        <w:t>QHRC recommends, organised in accordance with the review’s terms of reference (</w:t>
      </w:r>
      <w:r w:rsidRPr="003F69C6">
        <w:rPr>
          <w:rFonts w:ascii="Arial" w:hAnsi="Arial" w:cs="Arial"/>
          <w:b/>
          <w:bCs/>
          <w:lang w:eastAsia="en-AU"/>
        </w:rPr>
        <w:t>TOR</w:t>
      </w:r>
      <w:r>
        <w:rPr>
          <w:rFonts w:ascii="Arial" w:hAnsi="Arial" w:cs="Arial"/>
          <w:lang w:eastAsia="en-AU"/>
        </w:rPr>
        <w:t>) :</w:t>
      </w:r>
    </w:p>
    <w:p w14:paraId="3A9D81F2" w14:textId="77777777" w:rsidR="0087667A" w:rsidRPr="00BC372B" w:rsidRDefault="0087667A" w:rsidP="0087667A">
      <w:pPr>
        <w:pStyle w:val="ListParagraph"/>
        <w:numPr>
          <w:ilvl w:val="0"/>
          <w:numId w:val="12"/>
        </w:numPr>
        <w:rPr>
          <w:rFonts w:ascii="Arial" w:hAnsi="Arial" w:cs="Arial"/>
          <w:sz w:val="20"/>
          <w:szCs w:val="20"/>
        </w:rPr>
      </w:pPr>
      <w:r w:rsidRPr="00BC372B">
        <w:rPr>
          <w:rFonts w:ascii="Arial" w:hAnsi="Arial" w:cs="Arial"/>
          <w:sz w:val="20"/>
          <w:szCs w:val="20"/>
        </w:rPr>
        <w:t xml:space="preserve">The object of the FCC Act include express reference to the human rights of children and young people. </w:t>
      </w:r>
    </w:p>
    <w:p w14:paraId="478F0565" w14:textId="77777777" w:rsidR="0087667A" w:rsidRPr="00BC372B" w:rsidRDefault="0087667A" w:rsidP="0087667A">
      <w:pPr>
        <w:pStyle w:val="ListParagraph"/>
        <w:rPr>
          <w:rFonts w:ascii="Arial" w:hAnsi="Arial" w:cs="Arial"/>
          <w:sz w:val="20"/>
          <w:szCs w:val="20"/>
        </w:rPr>
      </w:pPr>
    </w:p>
    <w:p w14:paraId="54CEBD6B" w14:textId="6BDDAF4D" w:rsidR="0087667A" w:rsidRPr="00BC372B" w:rsidRDefault="00993779" w:rsidP="0087667A">
      <w:pPr>
        <w:pStyle w:val="ListParagraph"/>
        <w:numPr>
          <w:ilvl w:val="0"/>
          <w:numId w:val="12"/>
        </w:numPr>
        <w:rPr>
          <w:rFonts w:ascii="Arial" w:hAnsi="Arial" w:cs="Arial"/>
          <w:sz w:val="20"/>
          <w:szCs w:val="20"/>
          <w:lang w:eastAsia="en-US"/>
        </w:rPr>
      </w:pPr>
      <w:r>
        <w:rPr>
          <w:rFonts w:ascii="Arial" w:hAnsi="Arial" w:cs="Arial"/>
          <w:sz w:val="20"/>
          <w:szCs w:val="20"/>
          <w:lang w:eastAsia="en-US"/>
        </w:rPr>
        <w:lastRenderedPageBreak/>
        <w:t xml:space="preserve">The </w:t>
      </w:r>
      <w:r w:rsidR="0087667A" w:rsidRPr="00BC372B">
        <w:rPr>
          <w:rFonts w:ascii="Arial" w:hAnsi="Arial" w:cs="Arial"/>
          <w:sz w:val="20"/>
          <w:szCs w:val="20"/>
          <w:lang w:eastAsia="en-US"/>
        </w:rPr>
        <w:t xml:space="preserve">QFCC </w:t>
      </w:r>
      <w:r>
        <w:rPr>
          <w:rFonts w:ascii="Arial" w:hAnsi="Arial" w:cs="Arial"/>
          <w:sz w:val="20"/>
          <w:szCs w:val="20"/>
          <w:lang w:eastAsia="en-US"/>
        </w:rPr>
        <w:t xml:space="preserve">have a function </w:t>
      </w:r>
      <w:r w:rsidR="0087667A" w:rsidRPr="00BC372B">
        <w:rPr>
          <w:rFonts w:ascii="Arial" w:hAnsi="Arial" w:cs="Arial"/>
          <w:sz w:val="20"/>
          <w:szCs w:val="20"/>
          <w:lang w:eastAsia="en-US"/>
        </w:rPr>
        <w:t>to promote participation by children and young people in the making of decisions that affect their lives.</w:t>
      </w:r>
    </w:p>
    <w:p w14:paraId="1A45A7E3" w14:textId="77777777" w:rsidR="0087667A" w:rsidRPr="00BC372B" w:rsidRDefault="0087667A" w:rsidP="0087667A">
      <w:pPr>
        <w:pStyle w:val="ListParagraph"/>
        <w:rPr>
          <w:rFonts w:ascii="Arial" w:hAnsi="Arial" w:cs="Arial"/>
          <w:sz w:val="20"/>
          <w:szCs w:val="20"/>
          <w:lang w:eastAsia="en-US"/>
        </w:rPr>
      </w:pPr>
    </w:p>
    <w:p w14:paraId="7D466629" w14:textId="77777777" w:rsidR="0087667A" w:rsidRPr="00BC372B" w:rsidRDefault="0087667A" w:rsidP="0087667A">
      <w:pPr>
        <w:pStyle w:val="ListParagraph"/>
        <w:numPr>
          <w:ilvl w:val="0"/>
          <w:numId w:val="12"/>
        </w:numPr>
        <w:shd w:val="clear" w:color="auto" w:fill="FFFFFF"/>
        <w:spacing w:after="150" w:line="240" w:lineRule="auto"/>
        <w:rPr>
          <w:rFonts w:ascii="Arial" w:hAnsi="Arial" w:cs="Arial"/>
          <w:sz w:val="20"/>
          <w:szCs w:val="20"/>
        </w:rPr>
      </w:pPr>
      <w:r w:rsidRPr="00BC372B">
        <w:rPr>
          <w:rFonts w:ascii="Arial" w:hAnsi="Arial" w:cs="Arial"/>
          <w:sz w:val="20"/>
          <w:szCs w:val="20"/>
          <w:shd w:val="clear" w:color="auto" w:fill="FFFFFF"/>
        </w:rPr>
        <w:t xml:space="preserve">Systems of advocacy, investigation and oversight for protecting the rights of children and young people at risk should be mapped and gaps identified </w:t>
      </w:r>
      <w:r w:rsidRPr="00BC372B">
        <w:rPr>
          <w:rFonts w:ascii="Arial" w:hAnsi="Arial" w:cs="Arial"/>
          <w:sz w:val="20"/>
          <w:szCs w:val="20"/>
        </w:rPr>
        <w:t>to assist in determining whether the QFCC’s powers are appropriate and fit for purpose.</w:t>
      </w:r>
    </w:p>
    <w:p w14:paraId="10CA23AA" w14:textId="77777777" w:rsidR="0087667A" w:rsidRPr="00BC372B" w:rsidRDefault="0087667A" w:rsidP="0087667A">
      <w:pPr>
        <w:pStyle w:val="ListParagraph"/>
        <w:rPr>
          <w:rFonts w:ascii="Arial" w:hAnsi="Arial" w:cs="Arial"/>
          <w:sz w:val="20"/>
          <w:szCs w:val="20"/>
        </w:rPr>
      </w:pPr>
    </w:p>
    <w:p w14:paraId="35C6F279" w14:textId="77777777" w:rsidR="0087667A" w:rsidRPr="00BC372B" w:rsidRDefault="0087667A" w:rsidP="0087667A">
      <w:pPr>
        <w:pStyle w:val="ListParagraph"/>
        <w:numPr>
          <w:ilvl w:val="0"/>
          <w:numId w:val="12"/>
        </w:numPr>
        <w:rPr>
          <w:rFonts w:ascii="Arial" w:hAnsi="Arial" w:cs="Arial"/>
          <w:sz w:val="20"/>
          <w:szCs w:val="20"/>
          <w:lang w:eastAsia="en-US"/>
        </w:rPr>
      </w:pPr>
      <w:r w:rsidRPr="00BC372B">
        <w:rPr>
          <w:rFonts w:ascii="Arial" w:hAnsi="Arial" w:cs="Arial"/>
          <w:sz w:val="20"/>
          <w:szCs w:val="20"/>
        </w:rPr>
        <w:t>Section 9(2) of the FCC Act, which provides that it is not a function of the QFCC ‘to investigate the circumstances of a particular child, young person or family or advocate on their behalf’, is amended so that it clearly means that the QFCC does not investigate individual complaints or allegations, or advocate on behalf of individuals.</w:t>
      </w:r>
    </w:p>
    <w:p w14:paraId="2C50CAE6" w14:textId="77777777" w:rsidR="0087667A" w:rsidRPr="00BC372B" w:rsidRDefault="0087667A" w:rsidP="0087667A">
      <w:pPr>
        <w:pStyle w:val="ListParagraph"/>
        <w:rPr>
          <w:rFonts w:ascii="Arial" w:hAnsi="Arial" w:cs="Arial"/>
          <w:sz w:val="20"/>
          <w:szCs w:val="20"/>
          <w:lang w:eastAsia="en-US"/>
        </w:rPr>
      </w:pPr>
    </w:p>
    <w:p w14:paraId="3284A336" w14:textId="77777777" w:rsidR="0087667A" w:rsidRPr="00BC372B" w:rsidRDefault="0087667A" w:rsidP="0087667A">
      <w:pPr>
        <w:pStyle w:val="ListParagraph"/>
        <w:numPr>
          <w:ilvl w:val="0"/>
          <w:numId w:val="12"/>
        </w:numPr>
        <w:rPr>
          <w:rFonts w:ascii="Arial" w:hAnsi="Arial" w:cs="Arial"/>
          <w:sz w:val="20"/>
          <w:szCs w:val="20"/>
        </w:rPr>
      </w:pPr>
      <w:r w:rsidRPr="00BC372B">
        <w:rPr>
          <w:rFonts w:ascii="Arial" w:hAnsi="Arial" w:cs="Arial"/>
          <w:sz w:val="20"/>
          <w:szCs w:val="20"/>
        </w:rPr>
        <w:t>The powers of the QFCC to receive and compel information from public entities is strengthened, subject to individual rights to privacy.</w:t>
      </w:r>
    </w:p>
    <w:p w14:paraId="2576174D" w14:textId="77777777" w:rsidR="0087667A" w:rsidRPr="00BC372B" w:rsidRDefault="0087667A" w:rsidP="0087667A">
      <w:pPr>
        <w:pStyle w:val="ListParagraph"/>
        <w:rPr>
          <w:rFonts w:ascii="Arial" w:hAnsi="Arial" w:cs="Arial"/>
          <w:sz w:val="20"/>
          <w:szCs w:val="20"/>
        </w:rPr>
      </w:pPr>
    </w:p>
    <w:p w14:paraId="3E689FCB" w14:textId="1E5336DC" w:rsidR="0087667A" w:rsidRDefault="0087667A" w:rsidP="0087667A">
      <w:pPr>
        <w:pStyle w:val="ListParagraph"/>
        <w:numPr>
          <w:ilvl w:val="0"/>
          <w:numId w:val="12"/>
        </w:numPr>
        <w:rPr>
          <w:rFonts w:ascii="Arial" w:hAnsi="Arial" w:cs="Arial"/>
          <w:sz w:val="20"/>
          <w:szCs w:val="20"/>
        </w:rPr>
      </w:pPr>
      <w:r w:rsidRPr="00BC372B">
        <w:rPr>
          <w:rFonts w:ascii="Arial" w:hAnsi="Arial" w:cs="Arial"/>
          <w:sz w:val="20"/>
          <w:szCs w:val="20"/>
        </w:rPr>
        <w:t>Appropriate relevant agencies should be required to report annually on their achievement of FCC Act objects, including collaboration with other agencies.</w:t>
      </w:r>
    </w:p>
    <w:p w14:paraId="4E399255" w14:textId="77777777" w:rsidR="00993779" w:rsidRPr="00993779" w:rsidRDefault="00993779" w:rsidP="00993779">
      <w:pPr>
        <w:pStyle w:val="ListParagraph"/>
        <w:rPr>
          <w:rFonts w:ascii="Arial" w:hAnsi="Arial" w:cs="Arial"/>
          <w:sz w:val="20"/>
          <w:szCs w:val="20"/>
        </w:rPr>
      </w:pPr>
    </w:p>
    <w:p w14:paraId="796C63B2" w14:textId="2C0A55E5" w:rsidR="00993779" w:rsidRPr="00BC372B" w:rsidRDefault="00993779" w:rsidP="0087667A">
      <w:pPr>
        <w:pStyle w:val="ListParagraph"/>
        <w:numPr>
          <w:ilvl w:val="0"/>
          <w:numId w:val="12"/>
        </w:numPr>
        <w:rPr>
          <w:rFonts w:ascii="Arial" w:hAnsi="Arial" w:cs="Arial"/>
          <w:sz w:val="20"/>
          <w:szCs w:val="20"/>
        </w:rPr>
      </w:pPr>
      <w:r>
        <w:rPr>
          <w:rFonts w:ascii="Arial" w:hAnsi="Arial" w:cs="Arial"/>
          <w:sz w:val="20"/>
          <w:szCs w:val="20"/>
        </w:rPr>
        <w:t>The QFCC have a function to prepare and monitor a whole of government strategic plan to protect the rights and improve the lives of children at risk.</w:t>
      </w:r>
    </w:p>
    <w:p w14:paraId="4EC6F8C6" w14:textId="77777777" w:rsidR="0087667A" w:rsidRPr="00BC372B" w:rsidRDefault="0087667A" w:rsidP="0087667A">
      <w:pPr>
        <w:pStyle w:val="ListParagraph"/>
        <w:rPr>
          <w:rFonts w:ascii="Arial" w:hAnsi="Arial" w:cs="Arial"/>
          <w:sz w:val="20"/>
          <w:szCs w:val="20"/>
        </w:rPr>
      </w:pPr>
    </w:p>
    <w:p w14:paraId="4242AF74" w14:textId="77777777" w:rsidR="0087667A" w:rsidRPr="00BC372B" w:rsidRDefault="0087667A" w:rsidP="0087667A">
      <w:pPr>
        <w:pStyle w:val="ListParagraph"/>
        <w:numPr>
          <w:ilvl w:val="0"/>
          <w:numId w:val="12"/>
        </w:numPr>
        <w:rPr>
          <w:rFonts w:ascii="Arial" w:hAnsi="Arial" w:cs="Arial"/>
          <w:sz w:val="20"/>
          <w:szCs w:val="20"/>
        </w:rPr>
      </w:pPr>
      <w:r w:rsidRPr="00BC372B">
        <w:rPr>
          <w:rFonts w:ascii="Arial" w:hAnsi="Arial" w:cs="Arial"/>
          <w:sz w:val="20"/>
          <w:szCs w:val="20"/>
        </w:rPr>
        <w:t xml:space="preserve">Consideration be given to whether the FCC Act sufficiently encompasses NDIS funded services, for example, whether they fall within the definition of ‘relevant agency’. </w:t>
      </w:r>
    </w:p>
    <w:p w14:paraId="1351C1B8" w14:textId="77777777" w:rsidR="0087667A" w:rsidRPr="00BC372B" w:rsidRDefault="0087667A" w:rsidP="0087667A">
      <w:pPr>
        <w:pStyle w:val="ListParagraph"/>
        <w:rPr>
          <w:rFonts w:ascii="Arial" w:hAnsi="Arial" w:cs="Arial"/>
          <w:sz w:val="20"/>
          <w:szCs w:val="20"/>
        </w:rPr>
      </w:pPr>
    </w:p>
    <w:p w14:paraId="42817BBF" w14:textId="77777777" w:rsidR="0087667A" w:rsidRPr="00BC372B" w:rsidRDefault="0087667A" w:rsidP="0087667A">
      <w:pPr>
        <w:pStyle w:val="ListParagraph"/>
        <w:numPr>
          <w:ilvl w:val="0"/>
          <w:numId w:val="12"/>
        </w:numPr>
        <w:shd w:val="clear" w:color="auto" w:fill="FFFFFF"/>
        <w:spacing w:after="150" w:line="240" w:lineRule="auto"/>
        <w:rPr>
          <w:rFonts w:ascii="Arial" w:hAnsi="Arial" w:cs="Arial"/>
          <w:sz w:val="20"/>
          <w:szCs w:val="20"/>
          <w:shd w:val="clear" w:color="auto" w:fill="FFFFFF"/>
        </w:rPr>
      </w:pPr>
      <w:r w:rsidRPr="00BC372B">
        <w:rPr>
          <w:rFonts w:ascii="Arial" w:hAnsi="Arial" w:cs="Arial"/>
          <w:sz w:val="20"/>
          <w:szCs w:val="20"/>
          <w:shd w:val="clear" w:color="auto" w:fill="FFFFFF"/>
        </w:rPr>
        <w:t xml:space="preserve">Ensuring all QFCC reports are tabled by the Minister in the Legislative Assembly, subject prior consideration of privacy rights of individuals identified in the report and procedural fairness. </w:t>
      </w:r>
    </w:p>
    <w:p w14:paraId="7C75284C" w14:textId="77777777" w:rsidR="0087667A" w:rsidRPr="00BC372B" w:rsidRDefault="0087667A" w:rsidP="0087667A">
      <w:pPr>
        <w:pStyle w:val="ListParagraph"/>
        <w:shd w:val="clear" w:color="auto" w:fill="FFFFFF"/>
        <w:spacing w:after="150" w:line="240" w:lineRule="auto"/>
        <w:rPr>
          <w:rFonts w:ascii="Arial" w:hAnsi="Arial" w:cs="Arial"/>
          <w:sz w:val="20"/>
          <w:szCs w:val="20"/>
          <w:shd w:val="clear" w:color="auto" w:fill="FFFFFF"/>
        </w:rPr>
      </w:pPr>
    </w:p>
    <w:p w14:paraId="20105E61" w14:textId="34F6F0E6" w:rsidR="0087667A" w:rsidRPr="0087667A" w:rsidRDefault="0087667A" w:rsidP="0087667A">
      <w:pPr>
        <w:pStyle w:val="ListParagraph"/>
        <w:numPr>
          <w:ilvl w:val="0"/>
          <w:numId w:val="12"/>
        </w:numPr>
        <w:shd w:val="clear" w:color="auto" w:fill="FFFFFF"/>
        <w:spacing w:after="150" w:line="240" w:lineRule="auto"/>
        <w:rPr>
          <w:rFonts w:ascii="Arial" w:hAnsi="Arial" w:cs="Arial"/>
          <w:sz w:val="20"/>
          <w:szCs w:val="20"/>
          <w:shd w:val="clear" w:color="auto" w:fill="FFFFFF"/>
        </w:rPr>
      </w:pPr>
      <w:r w:rsidRPr="00BC372B">
        <w:rPr>
          <w:rFonts w:ascii="Arial" w:hAnsi="Arial" w:cs="Arial"/>
          <w:sz w:val="20"/>
          <w:szCs w:val="20"/>
          <w:shd w:val="clear" w:color="auto" w:fill="FFFFFF"/>
        </w:rPr>
        <w:t>QFCC should not be generally subject to ministerial direction.</w:t>
      </w:r>
    </w:p>
    <w:p w14:paraId="28C14203" w14:textId="093CE7DE" w:rsidR="00552F82" w:rsidRPr="009C1C98" w:rsidRDefault="00364589" w:rsidP="006A6E7E">
      <w:pPr>
        <w:pStyle w:val="Heading1"/>
      </w:pPr>
      <w:r w:rsidRPr="009C1C98">
        <w:t xml:space="preserve">TOR 1: Amendments to the </w:t>
      </w:r>
      <w:r w:rsidRPr="00971BAE">
        <w:t>objects</w:t>
      </w:r>
      <w:r w:rsidRPr="009C1C98">
        <w:t xml:space="preserve"> of the Act</w:t>
      </w:r>
    </w:p>
    <w:p w14:paraId="69F2DB35" w14:textId="6B7F5702" w:rsidR="00EC120E" w:rsidRPr="00834229" w:rsidRDefault="00EC120E" w:rsidP="00834229">
      <w:pPr>
        <w:pStyle w:val="Heading2"/>
      </w:pPr>
      <w:bookmarkStart w:id="0" w:name="_Toc131431922"/>
      <w:r w:rsidRPr="00834229">
        <w:t xml:space="preserve">Include reference to human rights in the objects </w:t>
      </w:r>
      <w:r w:rsidR="00834229">
        <w:t>o</w:t>
      </w:r>
      <w:r w:rsidRPr="00834229">
        <w:t>f the FCC Act</w:t>
      </w:r>
      <w:bookmarkEnd w:id="0"/>
    </w:p>
    <w:p w14:paraId="1D33784E" w14:textId="280BDB90" w:rsidR="003237E4" w:rsidRPr="009C1C98" w:rsidRDefault="003237E4" w:rsidP="00364589">
      <w:pPr>
        <w:rPr>
          <w:rFonts w:ascii="Arial" w:hAnsi="Arial" w:cs="Arial"/>
        </w:rPr>
      </w:pPr>
      <w:r w:rsidRPr="009C1C98">
        <w:rPr>
          <w:rFonts w:ascii="Arial" w:hAnsi="Arial" w:cs="Arial"/>
        </w:rPr>
        <w:t>The object of the FCC Act is to establish the QFCC:</w:t>
      </w:r>
    </w:p>
    <w:p w14:paraId="03E61AE8" w14:textId="6EF6A9CF" w:rsidR="003237E4" w:rsidRPr="00AF6ACC" w:rsidRDefault="003237E4" w:rsidP="00A05C45">
      <w:pPr>
        <w:shd w:val="clear" w:color="auto" w:fill="FFFFFF"/>
        <w:spacing w:after="120" w:line="240" w:lineRule="auto"/>
        <w:ind w:left="851" w:hanging="251"/>
        <w:rPr>
          <w:rFonts w:ascii="Arial" w:eastAsia="Times New Roman" w:hAnsi="Arial" w:cs="Arial"/>
          <w:color w:val="000000"/>
          <w:sz w:val="20"/>
          <w:szCs w:val="20"/>
          <w:lang w:eastAsia="en-AU"/>
        </w:rPr>
      </w:pPr>
      <w:r w:rsidRPr="00AF6ACC">
        <w:rPr>
          <w:rFonts w:ascii="Arial" w:eastAsia="Times New Roman" w:hAnsi="Arial" w:cs="Arial"/>
          <w:color w:val="000000"/>
          <w:sz w:val="20"/>
          <w:szCs w:val="20"/>
          <w:lang w:eastAsia="en-AU"/>
        </w:rPr>
        <w:t>(a) to promote the safety, wellbeing and best interests of children and young people; and</w:t>
      </w:r>
    </w:p>
    <w:p w14:paraId="2DA2F9DE" w14:textId="07DD6071" w:rsidR="003237E4" w:rsidRPr="00AF6ACC" w:rsidRDefault="003237E4" w:rsidP="00A05C45">
      <w:pPr>
        <w:shd w:val="clear" w:color="auto" w:fill="FFFFFF"/>
        <w:spacing w:after="120" w:line="240" w:lineRule="auto"/>
        <w:ind w:left="851" w:hanging="251"/>
        <w:rPr>
          <w:rFonts w:ascii="Arial" w:eastAsia="Times New Roman" w:hAnsi="Arial" w:cs="Arial"/>
          <w:color w:val="000000"/>
          <w:sz w:val="20"/>
          <w:szCs w:val="20"/>
          <w:lang w:eastAsia="en-AU"/>
        </w:rPr>
      </w:pPr>
      <w:r w:rsidRPr="00AF6ACC">
        <w:rPr>
          <w:rFonts w:ascii="Arial" w:eastAsia="Times New Roman" w:hAnsi="Arial" w:cs="Arial"/>
          <w:color w:val="000000"/>
          <w:sz w:val="20"/>
          <w:szCs w:val="20"/>
          <w:lang w:eastAsia="en-AU"/>
        </w:rPr>
        <w:t>(b) to promote and advocate the responsibility of families and communities to protect and care for children and young people; and</w:t>
      </w:r>
    </w:p>
    <w:p w14:paraId="60588D57" w14:textId="1BD86FA5" w:rsidR="003237E4" w:rsidRPr="008840F0" w:rsidRDefault="003237E4" w:rsidP="008840F0">
      <w:pPr>
        <w:shd w:val="clear" w:color="auto" w:fill="FFFFFF"/>
        <w:spacing w:after="120" w:line="240" w:lineRule="auto"/>
        <w:ind w:left="851" w:hanging="251"/>
        <w:rPr>
          <w:rFonts w:ascii="Arial" w:eastAsia="Times New Roman" w:hAnsi="Arial" w:cs="Arial"/>
          <w:color w:val="000000"/>
          <w:sz w:val="20"/>
          <w:szCs w:val="20"/>
          <w:lang w:eastAsia="en-AU"/>
        </w:rPr>
      </w:pPr>
      <w:r w:rsidRPr="00AF6ACC">
        <w:rPr>
          <w:rFonts w:ascii="Arial" w:eastAsia="Times New Roman" w:hAnsi="Arial" w:cs="Arial"/>
          <w:color w:val="000000"/>
          <w:sz w:val="20"/>
          <w:szCs w:val="20"/>
          <w:lang w:eastAsia="en-AU"/>
        </w:rPr>
        <w:t>(c) to improve the child protection system</w:t>
      </w:r>
      <w:r w:rsidRPr="003237E4">
        <w:rPr>
          <w:rFonts w:ascii="Arial" w:eastAsia="Times New Roman" w:hAnsi="Arial" w:cs="Arial"/>
          <w:color w:val="000000"/>
          <w:lang w:eastAsia="en-AU"/>
        </w:rPr>
        <w:t>.</w:t>
      </w:r>
      <w:r w:rsidR="00AF6ACC">
        <w:rPr>
          <w:rStyle w:val="FootnoteReference"/>
          <w:rFonts w:ascii="Arial" w:eastAsia="Times New Roman" w:hAnsi="Arial" w:cs="Arial"/>
          <w:color w:val="000000"/>
          <w:lang w:eastAsia="en-AU"/>
        </w:rPr>
        <w:footnoteReference w:id="2"/>
      </w:r>
      <w:r w:rsidR="000557A1" w:rsidRPr="009C1C98">
        <w:rPr>
          <w:rFonts w:ascii="Arial" w:eastAsia="Times New Roman" w:hAnsi="Arial" w:cs="Arial"/>
          <w:color w:val="000000"/>
          <w:lang w:eastAsia="en-AU"/>
        </w:rPr>
        <w:t xml:space="preserve"> </w:t>
      </w:r>
    </w:p>
    <w:p w14:paraId="379678EB" w14:textId="6DF41504" w:rsidR="00AF3FE4" w:rsidRPr="00A05C45" w:rsidRDefault="00364589" w:rsidP="000A5168">
      <w:pPr>
        <w:spacing w:before="240"/>
        <w:rPr>
          <w:rFonts w:ascii="Arial" w:hAnsi="Arial" w:cs="Arial"/>
        </w:rPr>
      </w:pPr>
      <w:r w:rsidRPr="009C1C98">
        <w:rPr>
          <w:rFonts w:ascii="Arial" w:hAnsi="Arial" w:cs="Arial"/>
        </w:rPr>
        <w:t>The FCC Act came into force before the commencement of the HR</w:t>
      </w:r>
      <w:r w:rsidR="000557A1" w:rsidRPr="009C1C98">
        <w:rPr>
          <w:rFonts w:ascii="Arial" w:hAnsi="Arial" w:cs="Arial"/>
        </w:rPr>
        <w:t xml:space="preserve"> </w:t>
      </w:r>
      <w:r w:rsidRPr="009C1C98">
        <w:rPr>
          <w:rFonts w:ascii="Arial" w:hAnsi="Arial" w:cs="Arial"/>
        </w:rPr>
        <w:t>A</w:t>
      </w:r>
      <w:r w:rsidR="000557A1" w:rsidRPr="009C1C98">
        <w:rPr>
          <w:rFonts w:ascii="Arial" w:hAnsi="Arial" w:cs="Arial"/>
        </w:rPr>
        <w:t>ct</w:t>
      </w:r>
      <w:r w:rsidRPr="009C1C98">
        <w:rPr>
          <w:rFonts w:ascii="Arial" w:hAnsi="Arial" w:cs="Arial"/>
        </w:rPr>
        <w:t xml:space="preserve"> on 1 January 2020. </w:t>
      </w:r>
      <w:r w:rsidR="000557A1" w:rsidRPr="009C1C98">
        <w:rPr>
          <w:rFonts w:ascii="Arial" w:hAnsi="Arial" w:cs="Arial"/>
        </w:rPr>
        <w:t>The HR Act</w:t>
      </w:r>
      <w:r w:rsidR="00805FA4" w:rsidRPr="009C1C98">
        <w:rPr>
          <w:rFonts w:ascii="Arial" w:hAnsi="Arial" w:cs="Arial"/>
        </w:rPr>
        <w:t>, and the rights it protects,</w:t>
      </w:r>
      <w:r w:rsidR="000557A1" w:rsidRPr="009C1C98">
        <w:rPr>
          <w:rFonts w:ascii="Arial" w:hAnsi="Arial" w:cs="Arial"/>
        </w:rPr>
        <w:t xml:space="preserve"> provides a </w:t>
      </w:r>
      <w:r w:rsidR="000A5168" w:rsidRPr="009C1C98">
        <w:rPr>
          <w:rFonts w:ascii="Arial" w:hAnsi="Arial" w:cs="Arial"/>
        </w:rPr>
        <w:t xml:space="preserve">comprehensive </w:t>
      </w:r>
      <w:r w:rsidR="000557A1" w:rsidRPr="009C1C98">
        <w:rPr>
          <w:rFonts w:ascii="Arial" w:hAnsi="Arial" w:cs="Arial"/>
        </w:rPr>
        <w:t xml:space="preserve">framework </w:t>
      </w:r>
      <w:r w:rsidR="00805FA4" w:rsidRPr="009C1C98">
        <w:rPr>
          <w:rFonts w:ascii="Arial" w:hAnsi="Arial" w:cs="Arial"/>
        </w:rPr>
        <w:t xml:space="preserve">against which service systems </w:t>
      </w:r>
      <w:r w:rsidR="00AF6ACC">
        <w:rPr>
          <w:rFonts w:ascii="Arial" w:hAnsi="Arial" w:cs="Arial"/>
        </w:rPr>
        <w:t xml:space="preserve">can be consistently assessed </w:t>
      </w:r>
      <w:r w:rsidR="000A5168" w:rsidRPr="009C1C98">
        <w:rPr>
          <w:rFonts w:ascii="Arial" w:hAnsi="Arial" w:cs="Arial"/>
        </w:rPr>
        <w:t xml:space="preserve">and </w:t>
      </w:r>
      <w:r w:rsidR="00AF6ACC">
        <w:rPr>
          <w:rFonts w:ascii="Arial" w:hAnsi="Arial" w:cs="Arial"/>
        </w:rPr>
        <w:t>shortfalls identified</w:t>
      </w:r>
      <w:r w:rsidR="000A5168" w:rsidRPr="009C1C98">
        <w:rPr>
          <w:rFonts w:ascii="Arial" w:hAnsi="Arial" w:cs="Arial"/>
        </w:rPr>
        <w:t xml:space="preserve">. </w:t>
      </w:r>
      <w:r w:rsidR="00AF3FE4" w:rsidRPr="009C1C98">
        <w:rPr>
          <w:rFonts w:ascii="Arial" w:hAnsi="Arial" w:cs="Arial"/>
        </w:rPr>
        <w:t xml:space="preserve">While ‘safety, wellbeing and best interests’ </w:t>
      </w:r>
      <w:r w:rsidR="00065929" w:rsidRPr="009C1C98">
        <w:rPr>
          <w:rFonts w:ascii="Arial" w:hAnsi="Arial" w:cs="Arial"/>
        </w:rPr>
        <w:t>is broad, it arguably risks overlooking matters</w:t>
      </w:r>
      <w:r w:rsidR="00AF6ACC">
        <w:rPr>
          <w:rFonts w:ascii="Arial" w:hAnsi="Arial" w:cs="Arial"/>
        </w:rPr>
        <w:t xml:space="preserve"> protected under the HR Act,</w:t>
      </w:r>
      <w:r w:rsidR="00065929" w:rsidRPr="009C1C98">
        <w:rPr>
          <w:rFonts w:ascii="Arial" w:hAnsi="Arial" w:cs="Arial"/>
        </w:rPr>
        <w:t xml:space="preserve"> such as child’s right to equality and </w:t>
      </w:r>
      <w:proofErr w:type="spellStart"/>
      <w:r w:rsidR="00065929" w:rsidRPr="009C1C98">
        <w:rPr>
          <w:rFonts w:ascii="Arial" w:hAnsi="Arial" w:cs="Arial"/>
        </w:rPr>
        <w:t>self determination</w:t>
      </w:r>
      <w:proofErr w:type="spellEnd"/>
      <w:r w:rsidR="00065929" w:rsidRPr="009C1C98">
        <w:rPr>
          <w:rFonts w:ascii="Arial" w:hAnsi="Arial" w:cs="Arial"/>
        </w:rPr>
        <w:t xml:space="preserve">, freedom of expression and the right to receive information, the right to privacy and individual identity, </w:t>
      </w:r>
      <w:r w:rsidR="00A05C45" w:rsidRPr="009C1C98">
        <w:rPr>
          <w:rFonts w:ascii="Arial" w:hAnsi="Arial" w:cs="Arial"/>
        </w:rPr>
        <w:t xml:space="preserve">and the special </w:t>
      </w:r>
      <w:r w:rsidR="00671A9E">
        <w:rPr>
          <w:rFonts w:ascii="Arial" w:hAnsi="Arial" w:cs="Arial"/>
        </w:rPr>
        <w:t>importance of</w:t>
      </w:r>
      <w:r w:rsidR="00A05C45" w:rsidRPr="00A05C45">
        <w:rPr>
          <w:rFonts w:ascii="Arial" w:hAnsi="Arial" w:cs="Arial"/>
        </w:rPr>
        <w:t xml:space="preserve"> cultural rights of Aboriginal peoples and Torres Strait Islander peoples.</w:t>
      </w:r>
      <w:r w:rsidR="00AF6ACC">
        <w:rPr>
          <w:rStyle w:val="FootnoteReference"/>
          <w:rFonts w:ascii="Arial" w:hAnsi="Arial" w:cs="Arial"/>
        </w:rPr>
        <w:footnoteReference w:id="3"/>
      </w:r>
      <w:r w:rsidR="00A05C45" w:rsidRPr="00A05C45">
        <w:rPr>
          <w:rFonts w:ascii="Arial" w:hAnsi="Arial" w:cs="Arial"/>
        </w:rPr>
        <w:t xml:space="preserve"> </w:t>
      </w:r>
    </w:p>
    <w:p w14:paraId="09F26A8E" w14:textId="440B0FD2" w:rsidR="000A5168" w:rsidRPr="00A05C45" w:rsidRDefault="000A5168" w:rsidP="000A5168">
      <w:pPr>
        <w:spacing w:before="240"/>
        <w:rPr>
          <w:rFonts w:ascii="Arial" w:hAnsi="Arial" w:cs="Arial"/>
        </w:rPr>
      </w:pPr>
      <w:r w:rsidRPr="00A05C45">
        <w:rPr>
          <w:rFonts w:ascii="Arial" w:hAnsi="Arial" w:cs="Arial"/>
        </w:rPr>
        <w:lastRenderedPageBreak/>
        <w:t xml:space="preserve">The ‘relevant agencies’ which make up the child protection system (as defined under </w:t>
      </w:r>
      <w:r w:rsidR="00671A9E">
        <w:rPr>
          <w:rFonts w:ascii="Arial" w:hAnsi="Arial" w:cs="Arial"/>
        </w:rPr>
        <w:t xml:space="preserve">Schedule 1 of </w:t>
      </w:r>
      <w:r w:rsidRPr="00A05C45">
        <w:rPr>
          <w:rFonts w:ascii="Arial" w:hAnsi="Arial" w:cs="Arial"/>
        </w:rPr>
        <w:t>the FCC Act)</w:t>
      </w:r>
      <w:r w:rsidR="00AF6ACC">
        <w:rPr>
          <w:rFonts w:ascii="Arial" w:hAnsi="Arial" w:cs="Arial"/>
        </w:rPr>
        <w:t>, as well as the QFCC itself,</w:t>
      </w:r>
      <w:r w:rsidRPr="00A05C45">
        <w:rPr>
          <w:rFonts w:ascii="Arial" w:hAnsi="Arial" w:cs="Arial"/>
        </w:rPr>
        <w:t xml:space="preserve"> are all ‘public entities’ under the HR Act, and have responsibilities to act compatibly with</w:t>
      </w:r>
      <w:r w:rsidR="00FD49B3" w:rsidRPr="00A05C45">
        <w:rPr>
          <w:rFonts w:ascii="Arial" w:hAnsi="Arial" w:cs="Arial"/>
        </w:rPr>
        <w:t xml:space="preserve"> human rights, and give proper consideration to human rights when making decisions.</w:t>
      </w:r>
      <w:r w:rsidR="00876DAA">
        <w:rPr>
          <w:rStyle w:val="FootnoteReference"/>
          <w:rFonts w:ascii="Arial" w:hAnsi="Arial" w:cs="Arial"/>
        </w:rPr>
        <w:footnoteReference w:id="4"/>
      </w:r>
      <w:r w:rsidR="00FD49B3" w:rsidRPr="00A05C45">
        <w:rPr>
          <w:rFonts w:ascii="Arial" w:hAnsi="Arial" w:cs="Arial"/>
        </w:rPr>
        <w:t xml:space="preserve"> </w:t>
      </w:r>
      <w:r w:rsidR="00A05C45" w:rsidRPr="00A05C45">
        <w:rPr>
          <w:rFonts w:ascii="Arial" w:hAnsi="Arial" w:cs="Arial"/>
        </w:rPr>
        <w:t xml:space="preserve">It </w:t>
      </w:r>
      <w:r w:rsidR="00625B86">
        <w:rPr>
          <w:rFonts w:ascii="Arial" w:hAnsi="Arial" w:cs="Arial"/>
        </w:rPr>
        <w:t>is therefore</w:t>
      </w:r>
      <w:r w:rsidR="00A05C45" w:rsidRPr="00A05C45">
        <w:rPr>
          <w:rFonts w:ascii="Arial" w:hAnsi="Arial" w:cs="Arial"/>
        </w:rPr>
        <w:t xml:space="preserve"> not an additional burden on these agencies to incorporate human rights into the objects and responsibilities of the FCC</w:t>
      </w:r>
      <w:r w:rsidR="00876DAA">
        <w:rPr>
          <w:rFonts w:ascii="Arial" w:hAnsi="Arial" w:cs="Arial"/>
        </w:rPr>
        <w:t xml:space="preserve"> Act</w:t>
      </w:r>
      <w:r w:rsidR="00A05C45" w:rsidRPr="00A05C45">
        <w:rPr>
          <w:rFonts w:ascii="Arial" w:hAnsi="Arial" w:cs="Arial"/>
        </w:rPr>
        <w:t>.</w:t>
      </w:r>
    </w:p>
    <w:p w14:paraId="63ABD03C" w14:textId="114B2220" w:rsidR="00FD49B3" w:rsidRPr="00A05C45" w:rsidRDefault="00FD49B3" w:rsidP="000A5168">
      <w:pPr>
        <w:spacing w:before="240"/>
        <w:rPr>
          <w:rFonts w:ascii="Arial" w:hAnsi="Arial" w:cs="Arial"/>
        </w:rPr>
      </w:pPr>
      <w:r w:rsidRPr="00A05C45">
        <w:rPr>
          <w:rFonts w:ascii="Arial" w:hAnsi="Arial" w:cs="Arial"/>
        </w:rPr>
        <w:t>In the QHRC’s view, it would be appropriate and preferable for the FCC Act to include express reference to the human rights of children</w:t>
      </w:r>
      <w:r w:rsidR="0026528C">
        <w:rPr>
          <w:rFonts w:ascii="Arial" w:hAnsi="Arial" w:cs="Arial"/>
        </w:rPr>
        <w:t xml:space="preserve"> and</w:t>
      </w:r>
      <w:r w:rsidR="000D03C6">
        <w:rPr>
          <w:rFonts w:ascii="Arial" w:hAnsi="Arial" w:cs="Arial"/>
        </w:rPr>
        <w:t xml:space="preserve"> </w:t>
      </w:r>
      <w:r w:rsidRPr="00A05C45">
        <w:rPr>
          <w:rFonts w:ascii="Arial" w:hAnsi="Arial" w:cs="Arial"/>
        </w:rPr>
        <w:t>young people</w:t>
      </w:r>
      <w:r w:rsidR="000D03C6">
        <w:rPr>
          <w:rFonts w:ascii="Arial" w:hAnsi="Arial" w:cs="Arial"/>
        </w:rPr>
        <w:t xml:space="preserve"> </w:t>
      </w:r>
      <w:r w:rsidRPr="00A05C45">
        <w:rPr>
          <w:rFonts w:ascii="Arial" w:hAnsi="Arial" w:cs="Arial"/>
        </w:rPr>
        <w:t>in the objects of the FCC Act</w:t>
      </w:r>
      <w:r w:rsidR="002B10D7">
        <w:rPr>
          <w:rFonts w:ascii="Arial" w:hAnsi="Arial" w:cs="Arial"/>
        </w:rPr>
        <w:t>, with any necessary cascading amendments to the QFCC’s functions set out in s</w:t>
      </w:r>
      <w:r w:rsidR="00876DAA">
        <w:rPr>
          <w:rFonts w:ascii="Arial" w:hAnsi="Arial" w:cs="Arial"/>
        </w:rPr>
        <w:t>ection</w:t>
      </w:r>
      <w:r w:rsidR="002B10D7">
        <w:rPr>
          <w:rFonts w:ascii="Arial" w:hAnsi="Arial" w:cs="Arial"/>
        </w:rPr>
        <w:t xml:space="preserve"> 9</w:t>
      </w:r>
      <w:r w:rsidR="00065929" w:rsidRPr="00A05C45">
        <w:rPr>
          <w:rFonts w:ascii="Arial" w:hAnsi="Arial" w:cs="Arial"/>
        </w:rPr>
        <w:t xml:space="preserve">. </w:t>
      </w:r>
    </w:p>
    <w:p w14:paraId="0097DC89" w14:textId="1A0141B5" w:rsidR="00364589" w:rsidRPr="00DA3FD1" w:rsidRDefault="00364589" w:rsidP="006A6E7E">
      <w:pPr>
        <w:pStyle w:val="Heading1"/>
      </w:pPr>
      <w:bookmarkStart w:id="1" w:name="_Hlk131430001"/>
      <w:r w:rsidRPr="00DA3FD1">
        <w:t xml:space="preserve">TOR </w:t>
      </w:r>
      <w:r w:rsidR="00320B7F" w:rsidRPr="00DA3FD1">
        <w:t>5a</w:t>
      </w:r>
      <w:r w:rsidRPr="00DA3FD1">
        <w:t xml:space="preserve">: whether </w:t>
      </w:r>
      <w:r w:rsidR="00320B7F" w:rsidRPr="00DA3FD1">
        <w:t>the QFCC’s powers in the Act are appropriate and fit for purpose</w:t>
      </w:r>
    </w:p>
    <w:p w14:paraId="219E7393" w14:textId="67AB89CB" w:rsidR="003F767B" w:rsidRPr="00143D28" w:rsidRDefault="003F767B" w:rsidP="00834229">
      <w:pPr>
        <w:pStyle w:val="Heading2"/>
        <w:rPr>
          <w:rStyle w:val="listnumber"/>
        </w:rPr>
      </w:pPr>
      <w:bookmarkStart w:id="2" w:name="_Toc131431923"/>
      <w:bookmarkEnd w:id="1"/>
      <w:r w:rsidRPr="00143D28">
        <w:rPr>
          <w:rStyle w:val="listnumber"/>
        </w:rPr>
        <w:t>Participation by children and young people in the making of decisions that affect their lives</w:t>
      </w:r>
    </w:p>
    <w:p w14:paraId="4D9A31C2" w14:textId="3AF2B71F" w:rsidR="00143D28" w:rsidRPr="007F444B" w:rsidRDefault="00143D28" w:rsidP="00143D28">
      <w:pPr>
        <w:rPr>
          <w:rFonts w:ascii="Arial" w:hAnsi="Arial" w:cs="Arial"/>
        </w:rPr>
      </w:pPr>
      <w:r w:rsidRPr="007F444B">
        <w:rPr>
          <w:rFonts w:ascii="Arial" w:hAnsi="Arial" w:cs="Arial"/>
        </w:rPr>
        <w:t>The Carmody Inquiry highlighted the importance of child participation in decisions that affect them, for their growth and development, to have a sense of personal power and control</w:t>
      </w:r>
      <w:r w:rsidR="00733CB4" w:rsidRPr="007F444B">
        <w:rPr>
          <w:rFonts w:ascii="Arial" w:hAnsi="Arial" w:cs="Arial"/>
        </w:rPr>
        <w:t>, and ultimately to achieve better outcomes</w:t>
      </w:r>
      <w:r w:rsidRPr="007F444B">
        <w:rPr>
          <w:rFonts w:ascii="Arial" w:hAnsi="Arial" w:cs="Arial"/>
        </w:rPr>
        <w:t>.</w:t>
      </w:r>
      <w:r w:rsidR="00733CB4" w:rsidRPr="007F444B">
        <w:rPr>
          <w:rStyle w:val="FootnoteReference"/>
          <w:rFonts w:ascii="Arial" w:hAnsi="Arial" w:cs="Arial"/>
        </w:rPr>
        <w:footnoteReference w:id="5"/>
      </w:r>
      <w:r w:rsidRPr="007F444B">
        <w:rPr>
          <w:rFonts w:ascii="Arial" w:hAnsi="Arial" w:cs="Arial"/>
        </w:rPr>
        <w:t xml:space="preserve"> </w:t>
      </w:r>
      <w:r w:rsidR="00733CB4" w:rsidRPr="007F444B">
        <w:rPr>
          <w:rFonts w:ascii="Arial" w:hAnsi="Arial" w:cs="Arial"/>
        </w:rPr>
        <w:t>Th</w:t>
      </w:r>
      <w:r w:rsidR="00D33BA3">
        <w:rPr>
          <w:rFonts w:ascii="Arial" w:hAnsi="Arial" w:cs="Arial"/>
        </w:rPr>
        <w:t>is</w:t>
      </w:r>
      <w:r w:rsidR="00733CB4" w:rsidRPr="007F444B">
        <w:rPr>
          <w:rFonts w:ascii="Arial" w:hAnsi="Arial" w:cs="Arial"/>
        </w:rPr>
        <w:t xml:space="preserve"> right to </w:t>
      </w:r>
      <w:r w:rsidR="00D33BA3">
        <w:rPr>
          <w:rFonts w:ascii="Arial" w:hAnsi="Arial" w:cs="Arial"/>
        </w:rPr>
        <w:t xml:space="preserve">increasing </w:t>
      </w:r>
      <w:r w:rsidR="00733CB4" w:rsidRPr="007F444B">
        <w:rPr>
          <w:rFonts w:ascii="Arial" w:hAnsi="Arial" w:cs="Arial"/>
        </w:rPr>
        <w:t xml:space="preserve">levels of autonomy and </w:t>
      </w:r>
      <w:proofErr w:type="spellStart"/>
      <w:r w:rsidR="00733CB4" w:rsidRPr="007F444B">
        <w:rPr>
          <w:rFonts w:ascii="Arial" w:hAnsi="Arial" w:cs="Arial"/>
        </w:rPr>
        <w:t>self determination</w:t>
      </w:r>
      <w:proofErr w:type="spellEnd"/>
      <w:r w:rsidR="00733CB4" w:rsidRPr="007F444B">
        <w:rPr>
          <w:rFonts w:ascii="Arial" w:hAnsi="Arial" w:cs="Arial"/>
        </w:rPr>
        <w:t xml:space="preserve"> receives protection from a number of different rights under the HR Act, including the right to recognition and equality before the law, the right to privacy, the rights of the child, and freedom of expression. </w:t>
      </w:r>
    </w:p>
    <w:p w14:paraId="05628C8F" w14:textId="7D017F9A" w:rsidR="00143D28" w:rsidRDefault="007F444B" w:rsidP="00143D28">
      <w:pPr>
        <w:rPr>
          <w:rFonts w:ascii="Arial" w:hAnsi="Arial" w:cs="Arial"/>
        </w:rPr>
      </w:pPr>
      <w:r w:rsidRPr="007F444B">
        <w:rPr>
          <w:rFonts w:ascii="Arial" w:hAnsi="Arial" w:cs="Arial"/>
        </w:rPr>
        <w:t xml:space="preserve">As a result of the Carmody Inquiry, the Public Guardian was established providing both child advocacy services for individuals and supporting children through the community visitors program. </w:t>
      </w:r>
    </w:p>
    <w:p w14:paraId="576F0171" w14:textId="3D893773" w:rsidR="00A32D45" w:rsidRDefault="00A32D45" w:rsidP="00A32D45">
      <w:pPr>
        <w:rPr>
          <w:rFonts w:ascii="Arial" w:hAnsi="Arial" w:cs="Arial"/>
        </w:rPr>
      </w:pPr>
      <w:r>
        <w:rPr>
          <w:rFonts w:ascii="Arial" w:hAnsi="Arial" w:cs="Arial"/>
        </w:rPr>
        <w:t>Under the FCC Act, in performing their functions, the commissioner must engage with, and take account of, the views of children, young people and their families.</w:t>
      </w:r>
      <w:r>
        <w:rPr>
          <w:rStyle w:val="FootnoteReference"/>
          <w:rFonts w:ascii="Arial" w:hAnsi="Arial" w:cs="Arial"/>
        </w:rPr>
        <w:footnoteReference w:id="6"/>
      </w:r>
      <w:r>
        <w:rPr>
          <w:rFonts w:ascii="Arial" w:hAnsi="Arial" w:cs="Arial"/>
        </w:rPr>
        <w:t xml:space="preserve"> </w:t>
      </w:r>
      <w:r w:rsidR="00D33BA3">
        <w:rPr>
          <w:rFonts w:ascii="Arial" w:hAnsi="Arial" w:cs="Arial"/>
        </w:rPr>
        <w:t xml:space="preserve">The </w:t>
      </w:r>
      <w:r>
        <w:rPr>
          <w:rFonts w:ascii="Arial" w:hAnsi="Arial" w:cs="Arial"/>
        </w:rPr>
        <w:t>ACIL Allen review</w:t>
      </w:r>
      <w:r w:rsidR="00D33BA3">
        <w:rPr>
          <w:rFonts w:ascii="Arial" w:hAnsi="Arial" w:cs="Arial"/>
        </w:rPr>
        <w:t xml:space="preserve"> noted</w:t>
      </w:r>
      <w:r>
        <w:rPr>
          <w:rFonts w:ascii="Arial" w:hAnsi="Arial" w:cs="Arial"/>
        </w:rPr>
        <w:t xml:space="preserve"> QFCC</w:t>
      </w:r>
      <w:r w:rsidR="00D33BA3">
        <w:rPr>
          <w:rFonts w:ascii="Arial" w:hAnsi="Arial" w:cs="Arial"/>
        </w:rPr>
        <w:t>’s</w:t>
      </w:r>
      <w:r>
        <w:rPr>
          <w:rFonts w:ascii="Arial" w:hAnsi="Arial" w:cs="Arial"/>
        </w:rPr>
        <w:t xml:space="preserve"> strong connection with young people and </w:t>
      </w:r>
      <w:r w:rsidR="00D33BA3">
        <w:rPr>
          <w:rFonts w:ascii="Arial" w:hAnsi="Arial" w:cs="Arial"/>
        </w:rPr>
        <w:t xml:space="preserve">that </w:t>
      </w:r>
      <w:r>
        <w:rPr>
          <w:rFonts w:ascii="Arial" w:hAnsi="Arial" w:cs="Arial"/>
        </w:rPr>
        <w:t>their voices are influential in shaping QFCC’s work and priorities.</w:t>
      </w:r>
      <w:r>
        <w:rPr>
          <w:rStyle w:val="FootnoteReference"/>
          <w:rFonts w:ascii="Arial" w:hAnsi="Arial" w:cs="Arial"/>
        </w:rPr>
        <w:footnoteReference w:id="7"/>
      </w:r>
      <w:r>
        <w:rPr>
          <w:rFonts w:ascii="Arial" w:hAnsi="Arial" w:cs="Arial"/>
        </w:rPr>
        <w:t xml:space="preserve"> </w:t>
      </w:r>
    </w:p>
    <w:p w14:paraId="6E4886C5" w14:textId="4E7F8E7B" w:rsidR="00A32D45" w:rsidRPr="007F444B" w:rsidRDefault="00D33BA3" w:rsidP="00A32D45">
      <w:pPr>
        <w:rPr>
          <w:rFonts w:ascii="Arial" w:hAnsi="Arial" w:cs="Arial"/>
        </w:rPr>
      </w:pPr>
      <w:r>
        <w:rPr>
          <w:rFonts w:ascii="Arial" w:hAnsi="Arial" w:cs="Arial"/>
        </w:rPr>
        <w:t>The QHRC considers that t</w:t>
      </w:r>
      <w:r w:rsidR="00A32D45">
        <w:rPr>
          <w:rFonts w:ascii="Arial" w:hAnsi="Arial" w:cs="Arial"/>
        </w:rPr>
        <w:t xml:space="preserve">he Public Guardian’s individual advocacy role would be complemented by an express function </w:t>
      </w:r>
      <w:r w:rsidR="002A2702">
        <w:rPr>
          <w:rFonts w:ascii="Arial" w:hAnsi="Arial" w:cs="Arial"/>
        </w:rPr>
        <w:t>under s</w:t>
      </w:r>
      <w:r w:rsidR="0003567A">
        <w:rPr>
          <w:rFonts w:ascii="Arial" w:hAnsi="Arial" w:cs="Arial"/>
        </w:rPr>
        <w:t>ection</w:t>
      </w:r>
      <w:r w:rsidR="002A2702">
        <w:rPr>
          <w:rFonts w:ascii="Arial" w:hAnsi="Arial" w:cs="Arial"/>
        </w:rPr>
        <w:t xml:space="preserve"> 9(1) of the FCC Act of the QFCC </w:t>
      </w:r>
      <w:r w:rsidR="00A32D45">
        <w:rPr>
          <w:rFonts w:ascii="Arial" w:hAnsi="Arial" w:cs="Arial"/>
        </w:rPr>
        <w:t xml:space="preserve">to promote the participation </w:t>
      </w:r>
      <w:r w:rsidR="002A2702">
        <w:rPr>
          <w:rFonts w:ascii="Arial" w:hAnsi="Arial" w:cs="Arial"/>
        </w:rPr>
        <w:t xml:space="preserve">by </w:t>
      </w:r>
      <w:r w:rsidR="00A32D45">
        <w:rPr>
          <w:rFonts w:ascii="Arial" w:hAnsi="Arial" w:cs="Arial"/>
        </w:rPr>
        <w:t xml:space="preserve">children and young people in the making of decisions that affect their lives. This function is consistent with the functions of </w:t>
      </w:r>
      <w:proofErr w:type="spellStart"/>
      <w:r>
        <w:rPr>
          <w:rFonts w:ascii="Arial" w:hAnsi="Arial" w:cs="Arial"/>
        </w:rPr>
        <w:t>c</w:t>
      </w:r>
      <w:r w:rsidR="00A32D45">
        <w:rPr>
          <w:rFonts w:ascii="Arial" w:hAnsi="Arial" w:cs="Arial"/>
        </w:rPr>
        <w:t>hildrens</w:t>
      </w:r>
      <w:proofErr w:type="spellEnd"/>
      <w:r w:rsidR="00A32D45">
        <w:rPr>
          <w:rFonts w:ascii="Arial" w:hAnsi="Arial" w:cs="Arial"/>
        </w:rPr>
        <w:t xml:space="preserve"> </w:t>
      </w:r>
      <w:r>
        <w:rPr>
          <w:rFonts w:ascii="Arial" w:hAnsi="Arial" w:cs="Arial"/>
        </w:rPr>
        <w:t>c</w:t>
      </w:r>
      <w:r w:rsidR="00A32D45">
        <w:rPr>
          <w:rFonts w:ascii="Arial" w:hAnsi="Arial" w:cs="Arial"/>
        </w:rPr>
        <w:t xml:space="preserve">ommissions in New South Wales, </w:t>
      </w:r>
      <w:r w:rsidR="008607DD">
        <w:rPr>
          <w:rFonts w:ascii="Arial" w:hAnsi="Arial" w:cs="Arial"/>
        </w:rPr>
        <w:t xml:space="preserve">South Australia, Western Australia and Tasmania. </w:t>
      </w:r>
    </w:p>
    <w:p w14:paraId="36388A0B" w14:textId="77777777" w:rsidR="003F767B" w:rsidRPr="00C62A2C" w:rsidRDefault="003F767B" w:rsidP="003F767B">
      <w:pPr>
        <w:pStyle w:val="Heading2"/>
        <w:rPr>
          <w:shd w:val="clear" w:color="auto" w:fill="FFFFFF"/>
        </w:rPr>
      </w:pPr>
      <w:bookmarkStart w:id="3" w:name="_Toc131431925"/>
      <w:r w:rsidRPr="00C62A2C">
        <w:rPr>
          <w:shd w:val="clear" w:color="auto" w:fill="FFFFFF"/>
        </w:rPr>
        <w:t>Map current gaps in individual and systems advocacy for children at risk</w:t>
      </w:r>
      <w:bookmarkEnd w:id="3"/>
      <w:r w:rsidRPr="00C62A2C">
        <w:rPr>
          <w:shd w:val="clear" w:color="auto" w:fill="FFFFFF"/>
        </w:rPr>
        <w:t xml:space="preserve"> </w:t>
      </w:r>
    </w:p>
    <w:p w14:paraId="321491E0" w14:textId="756AC2D3" w:rsidR="003F767B" w:rsidRPr="00383C8C" w:rsidRDefault="003F767B" w:rsidP="003F767B">
      <w:pPr>
        <w:shd w:val="clear" w:color="auto" w:fill="FFFFFF"/>
        <w:spacing w:after="150" w:line="240" w:lineRule="auto"/>
        <w:rPr>
          <w:rFonts w:ascii="Arial" w:hAnsi="Arial" w:cs="Arial"/>
          <w:color w:val="000000"/>
          <w:shd w:val="clear" w:color="auto" w:fill="FFFFFF"/>
        </w:rPr>
      </w:pPr>
      <w:r w:rsidRPr="00383C8C">
        <w:rPr>
          <w:rFonts w:ascii="Arial" w:hAnsi="Arial" w:cs="Arial"/>
          <w:color w:val="000000"/>
          <w:shd w:val="clear" w:color="auto" w:fill="FFFFFF"/>
        </w:rPr>
        <w:t xml:space="preserve">In establishing the QFCC to replace the Commission for Children and Young People and Public Guardian, individual advocacy functions were moved to the newly established Office </w:t>
      </w:r>
      <w:r w:rsidRPr="00383C8C">
        <w:rPr>
          <w:rFonts w:ascii="Arial" w:hAnsi="Arial" w:cs="Arial"/>
          <w:color w:val="000000"/>
          <w:shd w:val="clear" w:color="auto" w:fill="FFFFFF"/>
        </w:rPr>
        <w:lastRenderedPageBreak/>
        <w:t>of the Public Guardian, while investigation and complaints were to sit with line agencies with oversight by the Queensland Ombudsman.</w:t>
      </w:r>
      <w:r w:rsidRPr="00383C8C">
        <w:rPr>
          <w:rStyle w:val="FootnoteReference"/>
          <w:rFonts w:ascii="Arial" w:hAnsi="Arial" w:cs="Arial"/>
          <w:color w:val="000000"/>
          <w:shd w:val="clear" w:color="auto" w:fill="FFFFFF"/>
        </w:rPr>
        <w:footnoteReference w:id="8"/>
      </w:r>
      <w:r w:rsidRPr="00383C8C">
        <w:rPr>
          <w:rFonts w:ascii="Arial" w:hAnsi="Arial" w:cs="Arial"/>
          <w:color w:val="000000"/>
          <w:shd w:val="clear" w:color="auto" w:fill="FFFFFF"/>
        </w:rPr>
        <w:t xml:space="preserve">  </w:t>
      </w:r>
    </w:p>
    <w:p w14:paraId="5A2D1BF6" w14:textId="6E6FC090" w:rsidR="003F767B" w:rsidRPr="00383C8C" w:rsidRDefault="003F767B" w:rsidP="003F767B">
      <w:pPr>
        <w:shd w:val="clear" w:color="auto" w:fill="FFFFFF"/>
        <w:spacing w:after="150" w:line="240" w:lineRule="auto"/>
        <w:rPr>
          <w:rFonts w:ascii="Arial" w:hAnsi="Arial" w:cs="Arial"/>
          <w:color w:val="000000"/>
          <w:shd w:val="clear" w:color="auto" w:fill="FFFFFF"/>
        </w:rPr>
      </w:pPr>
      <w:r w:rsidRPr="00383C8C">
        <w:rPr>
          <w:rFonts w:ascii="Arial" w:hAnsi="Arial" w:cs="Arial"/>
          <w:color w:val="000000"/>
          <w:shd w:val="clear" w:color="auto" w:fill="FFFFFF"/>
        </w:rPr>
        <w:t xml:space="preserve">However, while the QFCC </w:t>
      </w:r>
      <w:r w:rsidR="002A2702">
        <w:rPr>
          <w:rFonts w:ascii="Arial" w:hAnsi="Arial" w:cs="Arial"/>
          <w:color w:val="000000"/>
          <w:shd w:val="clear" w:color="auto" w:fill="FFFFFF"/>
        </w:rPr>
        <w:t>has</w:t>
      </w:r>
      <w:r w:rsidRPr="00383C8C">
        <w:rPr>
          <w:rFonts w:ascii="Arial" w:hAnsi="Arial" w:cs="Arial"/>
          <w:color w:val="000000"/>
          <w:shd w:val="clear" w:color="auto" w:fill="FFFFFF"/>
        </w:rPr>
        <w:t xml:space="preserve"> a mandate to </w:t>
      </w:r>
      <w:r w:rsidR="008607DD">
        <w:rPr>
          <w:rFonts w:ascii="Arial" w:hAnsi="Arial" w:cs="Arial"/>
          <w:color w:val="000000"/>
          <w:shd w:val="clear" w:color="auto" w:fill="FFFFFF"/>
        </w:rPr>
        <w:t>promote the safety, wellbeing and best interests of children and young people,</w:t>
      </w:r>
      <w:r w:rsidR="0011356F">
        <w:rPr>
          <w:rFonts w:ascii="Arial" w:hAnsi="Arial" w:cs="Arial"/>
          <w:color w:val="000000"/>
          <w:shd w:val="clear" w:color="auto" w:fill="FFFFFF"/>
        </w:rPr>
        <w:t xml:space="preserve"> and to </w:t>
      </w:r>
      <w:r w:rsidR="008607DD">
        <w:rPr>
          <w:rFonts w:ascii="Arial" w:hAnsi="Arial" w:cs="Arial"/>
          <w:color w:val="000000"/>
          <w:shd w:val="clear" w:color="auto" w:fill="FFFFFF"/>
        </w:rPr>
        <w:t>provide oversight of the child protection system</w:t>
      </w:r>
      <w:r w:rsidR="0011356F">
        <w:rPr>
          <w:rFonts w:ascii="Arial" w:hAnsi="Arial" w:cs="Arial"/>
          <w:color w:val="000000"/>
          <w:shd w:val="clear" w:color="auto" w:fill="FFFFFF"/>
        </w:rPr>
        <w:t>, which is given a broad meaning</w:t>
      </w:r>
      <w:r w:rsidR="008607DD">
        <w:rPr>
          <w:rStyle w:val="FootnoteReference"/>
          <w:rFonts w:ascii="Arial" w:hAnsi="Arial" w:cs="Arial"/>
          <w:color w:val="000000"/>
          <w:shd w:val="clear" w:color="auto" w:fill="FFFFFF"/>
        </w:rPr>
        <w:footnoteReference w:id="9"/>
      </w:r>
      <w:r w:rsidRPr="00383C8C">
        <w:rPr>
          <w:rFonts w:ascii="Arial" w:hAnsi="Arial" w:cs="Arial"/>
          <w:color w:val="000000"/>
          <w:shd w:val="clear" w:color="auto" w:fill="FFFFFF"/>
        </w:rPr>
        <w:t>:</w:t>
      </w:r>
    </w:p>
    <w:p w14:paraId="0F968130" w14:textId="77777777" w:rsidR="003F767B" w:rsidRPr="00383C8C" w:rsidRDefault="003F767B" w:rsidP="003F767B">
      <w:pPr>
        <w:pStyle w:val="ListParagraph"/>
        <w:numPr>
          <w:ilvl w:val="0"/>
          <w:numId w:val="6"/>
        </w:numPr>
        <w:shd w:val="clear" w:color="auto" w:fill="FFFFFF"/>
        <w:spacing w:after="150" w:line="240" w:lineRule="auto"/>
        <w:rPr>
          <w:rFonts w:ascii="Arial" w:hAnsi="Arial" w:cs="Arial"/>
          <w:shd w:val="clear" w:color="auto" w:fill="FFFFFF"/>
        </w:rPr>
      </w:pPr>
      <w:r w:rsidRPr="00383C8C">
        <w:rPr>
          <w:rFonts w:ascii="Arial" w:hAnsi="Arial" w:cs="Arial"/>
          <w:shd w:val="clear" w:color="auto" w:fill="FFFFFF"/>
        </w:rPr>
        <w:t>the Public Guardian’s child advocacy functions are limited to ‘relevant children’, which essentially refers to children currently or recently subject to child protection orders</w:t>
      </w:r>
      <w:r>
        <w:rPr>
          <w:rStyle w:val="FootnoteReference"/>
          <w:rFonts w:ascii="Arial" w:hAnsi="Arial" w:cs="Arial"/>
          <w:shd w:val="clear" w:color="auto" w:fill="FFFFFF"/>
        </w:rPr>
        <w:footnoteReference w:id="10"/>
      </w:r>
      <w:r w:rsidRPr="00383C8C">
        <w:rPr>
          <w:rFonts w:ascii="Arial" w:hAnsi="Arial" w:cs="Arial"/>
          <w:shd w:val="clear" w:color="auto" w:fill="FFFFFF"/>
        </w:rPr>
        <w:t>; and</w:t>
      </w:r>
    </w:p>
    <w:p w14:paraId="1BE6D998" w14:textId="77777777" w:rsidR="003F767B" w:rsidRDefault="003F767B" w:rsidP="003F767B">
      <w:pPr>
        <w:pStyle w:val="ListParagraph"/>
        <w:numPr>
          <w:ilvl w:val="0"/>
          <w:numId w:val="6"/>
        </w:numPr>
        <w:shd w:val="clear" w:color="auto" w:fill="FFFFFF"/>
        <w:spacing w:after="150" w:line="240" w:lineRule="auto"/>
        <w:rPr>
          <w:rFonts w:ascii="Arial" w:hAnsi="Arial" w:cs="Arial"/>
          <w:shd w:val="clear" w:color="auto" w:fill="FFFFFF"/>
        </w:rPr>
      </w:pPr>
      <w:r w:rsidRPr="00383C8C">
        <w:rPr>
          <w:rFonts w:ascii="Arial" w:hAnsi="Arial" w:cs="Arial"/>
          <w:shd w:val="clear" w:color="auto" w:fill="FFFFFF"/>
        </w:rPr>
        <w:t xml:space="preserve">the ombudsman’s investigative functions necessarily focus on children and young people willing and able to make </w:t>
      </w:r>
      <w:r>
        <w:rPr>
          <w:rFonts w:ascii="Arial" w:hAnsi="Arial" w:cs="Arial"/>
          <w:shd w:val="clear" w:color="auto" w:fill="FFFFFF"/>
        </w:rPr>
        <w:t xml:space="preserve">a </w:t>
      </w:r>
      <w:r w:rsidRPr="00383C8C">
        <w:rPr>
          <w:rFonts w:ascii="Arial" w:hAnsi="Arial" w:cs="Arial"/>
          <w:shd w:val="clear" w:color="auto" w:fill="FFFFFF"/>
        </w:rPr>
        <w:t>complaint</w:t>
      </w:r>
      <w:r>
        <w:rPr>
          <w:rFonts w:ascii="Arial" w:hAnsi="Arial" w:cs="Arial"/>
          <w:shd w:val="clear" w:color="auto" w:fill="FFFFFF"/>
        </w:rPr>
        <w:t>, or who have a legal guardian in place willing and able to make a complaint</w:t>
      </w:r>
      <w:r w:rsidRPr="00383C8C">
        <w:rPr>
          <w:rFonts w:ascii="Arial" w:hAnsi="Arial" w:cs="Arial"/>
          <w:shd w:val="clear" w:color="auto" w:fill="FFFFFF"/>
        </w:rPr>
        <w:t xml:space="preserve">. </w:t>
      </w:r>
    </w:p>
    <w:p w14:paraId="444262F9" w14:textId="7968AA11" w:rsidR="0011356F" w:rsidRDefault="00DD1F02" w:rsidP="003F767B">
      <w:pPr>
        <w:shd w:val="clear" w:color="auto" w:fill="FFFFFF"/>
        <w:spacing w:after="150" w:line="240" w:lineRule="auto"/>
        <w:rPr>
          <w:rFonts w:ascii="Arial" w:hAnsi="Arial" w:cs="Arial"/>
          <w:shd w:val="clear" w:color="auto" w:fill="FFFFFF"/>
        </w:rPr>
      </w:pPr>
      <w:r>
        <w:rPr>
          <w:rFonts w:ascii="Arial" w:hAnsi="Arial" w:cs="Arial"/>
          <w:shd w:val="clear" w:color="auto" w:fill="FFFFFF"/>
        </w:rPr>
        <w:t>There are clearly gaps in advocacy, investigation and oversight systems</w:t>
      </w:r>
      <w:r w:rsidR="009B6B5B">
        <w:rPr>
          <w:rFonts w:ascii="Arial" w:hAnsi="Arial" w:cs="Arial"/>
          <w:shd w:val="clear" w:color="auto" w:fill="FFFFFF"/>
        </w:rPr>
        <w:t xml:space="preserve"> for the protection of children’s rights</w:t>
      </w:r>
      <w:r>
        <w:rPr>
          <w:rFonts w:ascii="Arial" w:hAnsi="Arial" w:cs="Arial"/>
          <w:shd w:val="clear" w:color="auto" w:fill="FFFFFF"/>
        </w:rPr>
        <w:t xml:space="preserve">, particularly for children and young people who do not fit </w:t>
      </w:r>
      <w:r w:rsidR="00491167">
        <w:rPr>
          <w:rFonts w:ascii="Arial" w:hAnsi="Arial" w:cs="Arial"/>
          <w:shd w:val="clear" w:color="auto" w:fill="FFFFFF"/>
        </w:rPr>
        <w:t xml:space="preserve">the </w:t>
      </w:r>
      <w:r>
        <w:rPr>
          <w:rFonts w:ascii="Arial" w:hAnsi="Arial" w:cs="Arial"/>
          <w:shd w:val="clear" w:color="auto" w:fill="FFFFFF"/>
        </w:rPr>
        <w:t>definition</w:t>
      </w:r>
      <w:r w:rsidR="00491167">
        <w:rPr>
          <w:rFonts w:ascii="Arial" w:hAnsi="Arial" w:cs="Arial"/>
          <w:shd w:val="clear" w:color="auto" w:fill="FFFFFF"/>
        </w:rPr>
        <w:t xml:space="preserve"> of</w:t>
      </w:r>
      <w:r>
        <w:rPr>
          <w:rFonts w:ascii="Arial" w:hAnsi="Arial" w:cs="Arial"/>
          <w:shd w:val="clear" w:color="auto" w:fill="FFFFFF"/>
        </w:rPr>
        <w:t xml:space="preserve"> ‘a child in need of protection’, are disinterested in processes and decisions affecting them, or do not have parents or guardians with the resources or capacity to advocate on their behalf</w:t>
      </w:r>
      <w:r w:rsidR="002A2702">
        <w:rPr>
          <w:rFonts w:ascii="Arial" w:hAnsi="Arial" w:cs="Arial"/>
          <w:shd w:val="clear" w:color="auto" w:fill="FFFFFF"/>
        </w:rPr>
        <w:t xml:space="preserve">. Further, there are </w:t>
      </w:r>
      <w:r w:rsidR="00AA65C1">
        <w:rPr>
          <w:rFonts w:ascii="Arial" w:hAnsi="Arial" w:cs="Arial"/>
          <w:shd w:val="clear" w:color="auto" w:fill="FFFFFF"/>
        </w:rPr>
        <w:t>limited protections</w:t>
      </w:r>
      <w:r>
        <w:rPr>
          <w:rFonts w:ascii="Arial" w:hAnsi="Arial" w:cs="Arial"/>
          <w:shd w:val="clear" w:color="auto" w:fill="FFFFFF"/>
        </w:rPr>
        <w:t xml:space="preserve"> </w:t>
      </w:r>
      <w:r w:rsidR="002A2702">
        <w:rPr>
          <w:rFonts w:ascii="Arial" w:hAnsi="Arial" w:cs="Arial"/>
          <w:shd w:val="clear" w:color="auto" w:fill="FFFFFF"/>
        </w:rPr>
        <w:t>for</w:t>
      </w:r>
      <w:r w:rsidR="00AA65C1">
        <w:rPr>
          <w:rFonts w:ascii="Arial" w:hAnsi="Arial" w:cs="Arial"/>
          <w:shd w:val="clear" w:color="auto" w:fill="FFFFFF"/>
        </w:rPr>
        <w:t xml:space="preserve"> issues </w:t>
      </w:r>
      <w:r w:rsidR="00FA62AB">
        <w:rPr>
          <w:rFonts w:ascii="Arial" w:hAnsi="Arial" w:cs="Arial"/>
          <w:shd w:val="clear" w:color="auto" w:fill="FFFFFF"/>
        </w:rPr>
        <w:t xml:space="preserve">generally not seen by themselves as a child safety issue, </w:t>
      </w:r>
      <w:r>
        <w:rPr>
          <w:rFonts w:ascii="Arial" w:hAnsi="Arial" w:cs="Arial"/>
          <w:shd w:val="clear" w:color="auto" w:fill="FFFFFF"/>
        </w:rPr>
        <w:t xml:space="preserve">such as education, </w:t>
      </w:r>
      <w:r w:rsidR="00491167">
        <w:rPr>
          <w:rFonts w:ascii="Arial" w:hAnsi="Arial" w:cs="Arial"/>
          <w:shd w:val="clear" w:color="auto" w:fill="FFFFFF"/>
        </w:rPr>
        <w:t>discrimination,</w:t>
      </w:r>
      <w:r w:rsidR="00FA62AB">
        <w:rPr>
          <w:rFonts w:ascii="Arial" w:hAnsi="Arial" w:cs="Arial"/>
          <w:shd w:val="clear" w:color="auto" w:fill="FFFFFF"/>
        </w:rPr>
        <w:t xml:space="preserve"> or cultural connection. </w:t>
      </w:r>
    </w:p>
    <w:p w14:paraId="023656D1" w14:textId="3EDEAD79" w:rsidR="003F767B" w:rsidRDefault="003F767B" w:rsidP="003F767B">
      <w:pPr>
        <w:shd w:val="clear" w:color="auto" w:fill="FFFFFF"/>
        <w:spacing w:after="150" w:line="240" w:lineRule="auto"/>
        <w:rPr>
          <w:rFonts w:ascii="Arial" w:hAnsi="Arial" w:cs="Arial"/>
          <w:shd w:val="clear" w:color="auto" w:fill="FFFFFF"/>
        </w:rPr>
      </w:pPr>
      <w:r>
        <w:rPr>
          <w:rFonts w:ascii="Arial" w:hAnsi="Arial" w:cs="Arial"/>
          <w:shd w:val="clear" w:color="auto" w:fill="FFFFFF"/>
        </w:rPr>
        <w:t xml:space="preserve">The QHRC recommends </w:t>
      </w:r>
      <w:bookmarkStart w:id="4" w:name="_Hlk131512677"/>
      <w:r w:rsidR="009B6B5B">
        <w:rPr>
          <w:rFonts w:ascii="Arial" w:hAnsi="Arial" w:cs="Arial"/>
          <w:shd w:val="clear" w:color="auto" w:fill="FFFFFF"/>
        </w:rPr>
        <w:t xml:space="preserve">that systems </w:t>
      </w:r>
      <w:r w:rsidR="00C83D07">
        <w:rPr>
          <w:rFonts w:ascii="Arial" w:hAnsi="Arial" w:cs="Arial"/>
          <w:shd w:val="clear" w:color="auto" w:fill="FFFFFF"/>
        </w:rPr>
        <w:t>of advocacy, investigation</w:t>
      </w:r>
      <w:r w:rsidR="00491167">
        <w:rPr>
          <w:rFonts w:ascii="Arial" w:hAnsi="Arial" w:cs="Arial"/>
          <w:shd w:val="clear" w:color="auto" w:fill="FFFFFF"/>
        </w:rPr>
        <w:t>,</w:t>
      </w:r>
      <w:r w:rsidR="00C83D07">
        <w:rPr>
          <w:rFonts w:ascii="Arial" w:hAnsi="Arial" w:cs="Arial"/>
          <w:shd w:val="clear" w:color="auto" w:fill="FFFFFF"/>
        </w:rPr>
        <w:t xml:space="preserve"> and oversight for </w:t>
      </w:r>
      <w:r w:rsidR="00FB1779">
        <w:rPr>
          <w:rFonts w:ascii="Arial" w:hAnsi="Arial" w:cs="Arial"/>
          <w:shd w:val="clear" w:color="auto" w:fill="FFFFFF"/>
        </w:rPr>
        <w:t xml:space="preserve">protecting the </w:t>
      </w:r>
      <w:r w:rsidR="00C83D07">
        <w:rPr>
          <w:rFonts w:ascii="Arial" w:hAnsi="Arial" w:cs="Arial"/>
          <w:shd w:val="clear" w:color="auto" w:fill="FFFFFF"/>
        </w:rPr>
        <w:t>rights of children and young people</w:t>
      </w:r>
      <w:r w:rsidR="00FB1779">
        <w:rPr>
          <w:rFonts w:ascii="Arial" w:hAnsi="Arial" w:cs="Arial"/>
          <w:shd w:val="clear" w:color="auto" w:fill="FFFFFF"/>
        </w:rPr>
        <w:t xml:space="preserve"> at risk</w:t>
      </w:r>
      <w:r w:rsidR="00C83D07">
        <w:rPr>
          <w:rFonts w:ascii="Arial" w:hAnsi="Arial" w:cs="Arial"/>
          <w:shd w:val="clear" w:color="auto" w:fill="FFFFFF"/>
        </w:rPr>
        <w:t xml:space="preserve"> are </w:t>
      </w:r>
      <w:r>
        <w:rPr>
          <w:rFonts w:ascii="Arial" w:hAnsi="Arial" w:cs="Arial"/>
          <w:shd w:val="clear" w:color="auto" w:fill="FFFFFF"/>
        </w:rPr>
        <w:t xml:space="preserve">mapped and gaps identified as a necessary step to determine whether the QFCC’s powers are appropriate and fit for purpose. </w:t>
      </w:r>
    </w:p>
    <w:bookmarkEnd w:id="4"/>
    <w:p w14:paraId="4E073178" w14:textId="6B7C7B98" w:rsidR="00320B7F" w:rsidRPr="008607DD" w:rsidRDefault="00EF3374" w:rsidP="00834229">
      <w:pPr>
        <w:pStyle w:val="Heading2"/>
        <w:rPr>
          <w:rStyle w:val="listnumber"/>
        </w:rPr>
      </w:pPr>
      <w:r w:rsidRPr="008607DD">
        <w:rPr>
          <w:rStyle w:val="listnumber"/>
        </w:rPr>
        <w:t>Amend</w:t>
      </w:r>
      <w:r w:rsidR="00320B7F" w:rsidRPr="008607DD">
        <w:rPr>
          <w:rStyle w:val="listnumber"/>
        </w:rPr>
        <w:t xml:space="preserve"> </w:t>
      </w:r>
      <w:r w:rsidRPr="008607DD">
        <w:rPr>
          <w:rStyle w:val="listnumber"/>
        </w:rPr>
        <w:t xml:space="preserve">provision relating </w:t>
      </w:r>
      <w:r w:rsidR="00320B7F" w:rsidRPr="008607DD">
        <w:rPr>
          <w:rStyle w:val="listnumber"/>
        </w:rPr>
        <w:t>to investigating particular circumstances</w:t>
      </w:r>
      <w:bookmarkEnd w:id="2"/>
    </w:p>
    <w:p w14:paraId="0501A5BC" w14:textId="3B5D362C" w:rsidR="00320B7F" w:rsidRPr="008607DD" w:rsidRDefault="002B10D7" w:rsidP="00320B7F">
      <w:pPr>
        <w:shd w:val="clear" w:color="auto" w:fill="FFFFFF"/>
        <w:spacing w:after="150" w:line="240" w:lineRule="auto"/>
        <w:rPr>
          <w:rStyle w:val="listnumber"/>
          <w:rFonts w:ascii="Arial" w:hAnsi="Arial" w:cs="Arial"/>
          <w:color w:val="000000"/>
          <w:shd w:val="clear" w:color="auto" w:fill="FFFFFF"/>
        </w:rPr>
      </w:pPr>
      <w:r w:rsidRPr="008607DD">
        <w:rPr>
          <w:rStyle w:val="listnumber"/>
          <w:rFonts w:ascii="Arial" w:hAnsi="Arial" w:cs="Arial"/>
          <w:color w:val="000000"/>
          <w:shd w:val="clear" w:color="auto" w:fill="FFFFFF"/>
        </w:rPr>
        <w:t>Section 9(1) of the FCC Act sets out the functions of the QFCC, and goes to provide:</w:t>
      </w:r>
    </w:p>
    <w:p w14:paraId="2B3FC84F" w14:textId="476EB084" w:rsidR="00320B7F" w:rsidRPr="008607DD" w:rsidRDefault="00320B7F" w:rsidP="00320B7F">
      <w:pPr>
        <w:shd w:val="clear" w:color="auto" w:fill="FFFFFF"/>
        <w:spacing w:after="150" w:line="240" w:lineRule="auto"/>
        <w:ind w:left="720"/>
        <w:rPr>
          <w:rFonts w:ascii="Arial" w:hAnsi="Arial" w:cs="Arial"/>
          <w:color w:val="000000"/>
          <w:sz w:val="20"/>
          <w:szCs w:val="20"/>
          <w:shd w:val="clear" w:color="auto" w:fill="FFFFFF"/>
        </w:rPr>
      </w:pPr>
      <w:r w:rsidRPr="008607DD">
        <w:rPr>
          <w:rStyle w:val="listnumber"/>
          <w:rFonts w:ascii="Arial" w:hAnsi="Arial" w:cs="Arial"/>
          <w:color w:val="000000"/>
          <w:sz w:val="20"/>
          <w:szCs w:val="20"/>
          <w:shd w:val="clear" w:color="auto" w:fill="FFFFFF"/>
        </w:rPr>
        <w:t xml:space="preserve">(2) </w:t>
      </w:r>
      <w:r w:rsidRPr="008607DD">
        <w:rPr>
          <w:rFonts w:ascii="Arial" w:hAnsi="Arial" w:cs="Arial"/>
          <w:color w:val="000000"/>
          <w:sz w:val="20"/>
          <w:szCs w:val="20"/>
          <w:shd w:val="clear" w:color="auto" w:fill="FFFFFF"/>
        </w:rPr>
        <w:t>However, it is not a function of the commission to investigate the circumstances of a particular child, young person or family or to advocate on their behalf.</w:t>
      </w:r>
    </w:p>
    <w:p w14:paraId="50B848F5" w14:textId="3F818AD1" w:rsidR="00F0244B" w:rsidRPr="008607DD" w:rsidRDefault="00F0244B" w:rsidP="00543736">
      <w:pPr>
        <w:shd w:val="clear" w:color="auto" w:fill="FFFFFF"/>
        <w:spacing w:after="150" w:line="240" w:lineRule="auto"/>
        <w:rPr>
          <w:rFonts w:ascii="Arial" w:hAnsi="Arial" w:cs="Arial"/>
          <w:shd w:val="clear" w:color="auto" w:fill="FFFFFF"/>
        </w:rPr>
      </w:pPr>
      <w:r w:rsidRPr="008607DD">
        <w:rPr>
          <w:rFonts w:ascii="Arial" w:hAnsi="Arial" w:cs="Arial"/>
          <w:shd w:val="clear" w:color="auto" w:fill="FFFFFF"/>
        </w:rPr>
        <w:t>It is understood that the intention of this provision is to reduce duplication</w:t>
      </w:r>
      <w:r w:rsidR="0033036B" w:rsidRPr="008607DD">
        <w:rPr>
          <w:rFonts w:ascii="Arial" w:hAnsi="Arial" w:cs="Arial"/>
          <w:shd w:val="clear" w:color="auto" w:fill="FFFFFF"/>
        </w:rPr>
        <w:t xml:space="preserve"> and improve efficiency, with </w:t>
      </w:r>
      <w:r w:rsidRPr="008607DD">
        <w:rPr>
          <w:rFonts w:ascii="Arial" w:hAnsi="Arial" w:cs="Arial"/>
          <w:shd w:val="clear" w:color="auto" w:fill="FFFFFF"/>
        </w:rPr>
        <w:t xml:space="preserve">the roles of advocacy and investigation </w:t>
      </w:r>
      <w:r w:rsidR="0033036B" w:rsidRPr="008607DD">
        <w:rPr>
          <w:rFonts w:ascii="Arial" w:hAnsi="Arial" w:cs="Arial"/>
          <w:shd w:val="clear" w:color="auto" w:fill="FFFFFF"/>
        </w:rPr>
        <w:t xml:space="preserve">sitting </w:t>
      </w:r>
      <w:r w:rsidRPr="008607DD">
        <w:rPr>
          <w:rFonts w:ascii="Arial" w:hAnsi="Arial" w:cs="Arial"/>
          <w:shd w:val="clear" w:color="auto" w:fill="FFFFFF"/>
        </w:rPr>
        <w:t xml:space="preserve">with other entities. </w:t>
      </w:r>
    </w:p>
    <w:p w14:paraId="7B65B173" w14:textId="238A9540" w:rsidR="00543736" w:rsidRPr="008607DD" w:rsidRDefault="00F0244B" w:rsidP="00543736">
      <w:pPr>
        <w:shd w:val="clear" w:color="auto" w:fill="FFFFFF"/>
        <w:spacing w:after="150" w:line="240" w:lineRule="auto"/>
        <w:rPr>
          <w:rFonts w:ascii="Arial" w:hAnsi="Arial" w:cs="Arial"/>
          <w:color w:val="000000"/>
          <w:shd w:val="clear" w:color="auto" w:fill="FFFFFF"/>
        </w:rPr>
      </w:pPr>
      <w:r w:rsidRPr="008607DD">
        <w:rPr>
          <w:rFonts w:ascii="Arial" w:hAnsi="Arial" w:cs="Arial"/>
          <w:shd w:val="clear" w:color="auto" w:fill="FFFFFF"/>
        </w:rPr>
        <w:t>However, t</w:t>
      </w:r>
      <w:r w:rsidR="0043617D" w:rsidRPr="008607DD">
        <w:rPr>
          <w:rFonts w:ascii="Arial" w:hAnsi="Arial" w:cs="Arial"/>
          <w:shd w:val="clear" w:color="auto" w:fill="FFFFFF"/>
        </w:rPr>
        <w:t>h</w:t>
      </w:r>
      <w:r w:rsidR="0033036B" w:rsidRPr="008607DD">
        <w:rPr>
          <w:rFonts w:ascii="Arial" w:hAnsi="Arial" w:cs="Arial"/>
          <w:shd w:val="clear" w:color="auto" w:fill="FFFFFF"/>
        </w:rPr>
        <w:t>e</w:t>
      </w:r>
      <w:r w:rsidR="0043617D" w:rsidRPr="008607DD">
        <w:rPr>
          <w:rFonts w:ascii="Arial" w:hAnsi="Arial" w:cs="Arial"/>
          <w:shd w:val="clear" w:color="auto" w:fill="FFFFFF"/>
        </w:rPr>
        <w:t xml:space="preserve"> </w:t>
      </w:r>
      <w:r w:rsidR="0033036B" w:rsidRPr="008607DD">
        <w:rPr>
          <w:rFonts w:ascii="Arial" w:hAnsi="Arial" w:cs="Arial"/>
          <w:shd w:val="clear" w:color="auto" w:fill="FFFFFF"/>
        </w:rPr>
        <w:t xml:space="preserve">current wording of the </w:t>
      </w:r>
      <w:r w:rsidR="0043617D" w:rsidRPr="008607DD">
        <w:rPr>
          <w:rFonts w:ascii="Arial" w:hAnsi="Arial" w:cs="Arial"/>
          <w:shd w:val="clear" w:color="auto" w:fill="FFFFFF"/>
        </w:rPr>
        <w:t>provision</w:t>
      </w:r>
      <w:r w:rsidR="00543736" w:rsidRPr="008607DD">
        <w:rPr>
          <w:rFonts w:ascii="Arial" w:hAnsi="Arial" w:cs="Arial"/>
          <w:color w:val="000000"/>
          <w:shd w:val="clear" w:color="auto" w:fill="FFFFFF"/>
        </w:rPr>
        <w:t xml:space="preserve"> arguably limits the QFCC’s ability or willingness to identify issues or form an evidence base </w:t>
      </w:r>
      <w:r w:rsidR="00223DA7" w:rsidRPr="008607DD">
        <w:rPr>
          <w:rFonts w:ascii="Arial" w:hAnsi="Arial" w:cs="Arial"/>
          <w:color w:val="000000"/>
          <w:shd w:val="clear" w:color="auto" w:fill="FFFFFF"/>
        </w:rPr>
        <w:t xml:space="preserve">arising from individual cases to carry out other functions </w:t>
      </w:r>
      <w:r w:rsidR="00543736" w:rsidRPr="008607DD">
        <w:rPr>
          <w:rFonts w:ascii="Arial" w:hAnsi="Arial" w:cs="Arial"/>
          <w:color w:val="000000"/>
          <w:shd w:val="clear" w:color="auto" w:fill="FFFFFF"/>
        </w:rPr>
        <w:t xml:space="preserve">under section 9(1) of the FCC Act such as: </w:t>
      </w:r>
    </w:p>
    <w:p w14:paraId="07558D1B" w14:textId="77777777" w:rsidR="00543736" w:rsidRPr="008607DD" w:rsidRDefault="00543736" w:rsidP="00543736">
      <w:pPr>
        <w:pStyle w:val="ListParagraph"/>
        <w:numPr>
          <w:ilvl w:val="0"/>
          <w:numId w:val="10"/>
        </w:numPr>
        <w:shd w:val="clear" w:color="auto" w:fill="FFFFFF"/>
        <w:spacing w:after="150" w:line="240" w:lineRule="auto"/>
        <w:rPr>
          <w:rFonts w:ascii="Arial" w:hAnsi="Arial" w:cs="Arial"/>
          <w:sz w:val="20"/>
          <w:szCs w:val="20"/>
          <w:shd w:val="clear" w:color="auto" w:fill="FFFFFF"/>
        </w:rPr>
      </w:pPr>
      <w:r w:rsidRPr="008607DD">
        <w:rPr>
          <w:rFonts w:ascii="Arial" w:hAnsi="Arial" w:cs="Arial"/>
          <w:sz w:val="20"/>
          <w:szCs w:val="20"/>
          <w:shd w:val="clear" w:color="auto" w:fill="FFFFFF"/>
        </w:rPr>
        <w:t>to provide oversight of the child protection system;</w:t>
      </w:r>
    </w:p>
    <w:p w14:paraId="7812EFE4" w14:textId="77777777" w:rsidR="00543736" w:rsidRPr="008607DD" w:rsidRDefault="00543736" w:rsidP="00543736">
      <w:pPr>
        <w:shd w:val="clear" w:color="auto" w:fill="FFFFFF"/>
        <w:spacing w:after="150" w:line="240" w:lineRule="auto"/>
        <w:ind w:left="720"/>
        <w:rPr>
          <w:rFonts w:ascii="Arial" w:hAnsi="Arial" w:cs="Arial"/>
          <w:sz w:val="20"/>
          <w:szCs w:val="20"/>
          <w:shd w:val="clear" w:color="auto" w:fill="FFFFFF"/>
        </w:rPr>
      </w:pPr>
      <w:r w:rsidRPr="008607DD">
        <w:rPr>
          <w:rFonts w:ascii="Arial" w:hAnsi="Arial" w:cs="Arial"/>
          <w:sz w:val="20"/>
          <w:szCs w:val="20"/>
          <w:shd w:val="clear" w:color="auto" w:fill="FFFFFF"/>
        </w:rPr>
        <w:t>…</w:t>
      </w:r>
    </w:p>
    <w:p w14:paraId="0989E8AE" w14:textId="77777777" w:rsidR="00543736" w:rsidRPr="008607DD" w:rsidRDefault="00543736" w:rsidP="00543736">
      <w:pPr>
        <w:pStyle w:val="ListParagraph"/>
        <w:shd w:val="clear" w:color="auto" w:fill="FFFFFF"/>
        <w:spacing w:after="150" w:line="240" w:lineRule="auto"/>
        <w:rPr>
          <w:rFonts w:ascii="Arial" w:hAnsi="Arial" w:cs="Arial"/>
          <w:sz w:val="20"/>
          <w:szCs w:val="20"/>
          <w:shd w:val="clear" w:color="auto" w:fill="FFFFFF"/>
        </w:rPr>
      </w:pPr>
      <w:r w:rsidRPr="008607DD">
        <w:rPr>
          <w:rFonts w:ascii="Arial" w:hAnsi="Arial" w:cs="Arial"/>
          <w:sz w:val="20"/>
          <w:szCs w:val="20"/>
          <w:shd w:val="clear" w:color="auto" w:fill="FFFFFF"/>
        </w:rPr>
        <w:t xml:space="preserve">(b)(ii) to promote and advocate – the safety and wellbeing of children and young people… </w:t>
      </w:r>
    </w:p>
    <w:p w14:paraId="0AB00F97" w14:textId="77777777" w:rsidR="00543736" w:rsidRPr="008607DD" w:rsidRDefault="00543736" w:rsidP="00543736">
      <w:pPr>
        <w:pStyle w:val="ListParagraph"/>
        <w:shd w:val="clear" w:color="auto" w:fill="FFFFFF"/>
        <w:spacing w:after="150" w:line="240" w:lineRule="auto"/>
        <w:rPr>
          <w:rFonts w:ascii="Arial" w:hAnsi="Arial" w:cs="Arial"/>
          <w:sz w:val="20"/>
          <w:szCs w:val="20"/>
          <w:shd w:val="clear" w:color="auto" w:fill="FFFFFF"/>
        </w:rPr>
      </w:pPr>
      <w:r w:rsidRPr="008607DD">
        <w:rPr>
          <w:rFonts w:ascii="Arial" w:hAnsi="Arial" w:cs="Arial"/>
          <w:sz w:val="20"/>
          <w:szCs w:val="20"/>
          <w:shd w:val="clear" w:color="auto" w:fill="FFFFFF"/>
        </w:rPr>
        <w:t>…</w:t>
      </w:r>
    </w:p>
    <w:p w14:paraId="1F52C60F" w14:textId="77777777" w:rsidR="00543736" w:rsidRPr="008607DD" w:rsidRDefault="00543736" w:rsidP="00543736">
      <w:pPr>
        <w:pStyle w:val="ListParagraph"/>
        <w:shd w:val="clear" w:color="auto" w:fill="FFFFFF"/>
        <w:spacing w:after="150" w:line="240" w:lineRule="auto"/>
        <w:rPr>
          <w:rFonts w:ascii="Arial" w:hAnsi="Arial" w:cs="Arial"/>
          <w:sz w:val="20"/>
          <w:szCs w:val="20"/>
          <w:shd w:val="clear" w:color="auto" w:fill="FFFFFF"/>
        </w:rPr>
      </w:pPr>
      <w:r w:rsidRPr="008607DD">
        <w:rPr>
          <w:rFonts w:ascii="Arial" w:hAnsi="Arial" w:cs="Arial"/>
          <w:sz w:val="20"/>
          <w:szCs w:val="20"/>
          <w:shd w:val="clear" w:color="auto" w:fill="FFFFFF"/>
        </w:rPr>
        <w:t>(f) to assist relevant agencies evaluate the efficacy of their programs and identify the most effective service models;</w:t>
      </w:r>
    </w:p>
    <w:p w14:paraId="4584FBC0" w14:textId="77777777" w:rsidR="00543736" w:rsidRPr="008607DD" w:rsidRDefault="00543736" w:rsidP="00543736">
      <w:pPr>
        <w:pStyle w:val="ListParagraph"/>
        <w:shd w:val="clear" w:color="auto" w:fill="FFFFFF"/>
        <w:spacing w:after="150" w:line="240" w:lineRule="auto"/>
        <w:rPr>
          <w:rFonts w:ascii="Arial" w:hAnsi="Arial" w:cs="Arial"/>
          <w:sz w:val="20"/>
          <w:szCs w:val="20"/>
          <w:shd w:val="clear" w:color="auto" w:fill="FFFFFF"/>
        </w:rPr>
      </w:pPr>
      <w:r w:rsidRPr="008607DD">
        <w:rPr>
          <w:rFonts w:ascii="Arial" w:hAnsi="Arial" w:cs="Arial"/>
          <w:sz w:val="20"/>
          <w:szCs w:val="20"/>
          <w:shd w:val="clear" w:color="auto" w:fill="FFFFFF"/>
        </w:rPr>
        <w:t>…</w:t>
      </w:r>
    </w:p>
    <w:p w14:paraId="19BAC779" w14:textId="77777777" w:rsidR="00543736" w:rsidRPr="008607DD" w:rsidRDefault="00543736" w:rsidP="00543736">
      <w:pPr>
        <w:pStyle w:val="ListParagraph"/>
        <w:shd w:val="clear" w:color="auto" w:fill="FFFFFF"/>
        <w:spacing w:after="150" w:line="240" w:lineRule="auto"/>
        <w:rPr>
          <w:rFonts w:ascii="Arial" w:hAnsi="Arial" w:cs="Arial"/>
          <w:sz w:val="20"/>
          <w:szCs w:val="20"/>
          <w:shd w:val="clear" w:color="auto" w:fill="FFFFFF"/>
        </w:rPr>
      </w:pPr>
      <w:r w:rsidRPr="008607DD">
        <w:rPr>
          <w:rFonts w:ascii="Arial" w:hAnsi="Arial" w:cs="Arial"/>
          <w:sz w:val="20"/>
          <w:szCs w:val="20"/>
          <w:shd w:val="clear" w:color="auto" w:fill="FFFFFF"/>
        </w:rPr>
        <w:t>(h) to increase collaboration and build capacity across different sectors to improve the delivery of services to children, young people and families;</w:t>
      </w:r>
    </w:p>
    <w:p w14:paraId="2D8334D1" w14:textId="77777777" w:rsidR="00543736" w:rsidRPr="008607DD" w:rsidRDefault="00543736" w:rsidP="00543736">
      <w:pPr>
        <w:pStyle w:val="ListParagraph"/>
        <w:shd w:val="clear" w:color="auto" w:fill="FFFFFF"/>
        <w:spacing w:after="150" w:line="240" w:lineRule="auto"/>
        <w:rPr>
          <w:rFonts w:ascii="Arial" w:hAnsi="Arial" w:cs="Arial"/>
          <w:sz w:val="20"/>
          <w:szCs w:val="20"/>
          <w:shd w:val="clear" w:color="auto" w:fill="FFFFFF"/>
        </w:rPr>
      </w:pPr>
      <w:r w:rsidRPr="008607DD">
        <w:rPr>
          <w:rFonts w:ascii="Arial" w:hAnsi="Arial" w:cs="Arial"/>
          <w:sz w:val="20"/>
          <w:szCs w:val="20"/>
          <w:shd w:val="clear" w:color="auto" w:fill="FFFFFF"/>
        </w:rPr>
        <w:lastRenderedPageBreak/>
        <w:t>(</w:t>
      </w:r>
      <w:proofErr w:type="spellStart"/>
      <w:r w:rsidRPr="008607DD">
        <w:rPr>
          <w:rFonts w:ascii="Arial" w:hAnsi="Arial" w:cs="Arial"/>
          <w:sz w:val="20"/>
          <w:szCs w:val="20"/>
          <w:shd w:val="clear" w:color="auto" w:fill="FFFFFF"/>
        </w:rPr>
        <w:t>i</w:t>
      </w:r>
      <w:proofErr w:type="spellEnd"/>
      <w:r w:rsidRPr="008607DD">
        <w:rPr>
          <w:rFonts w:ascii="Arial" w:hAnsi="Arial" w:cs="Arial"/>
          <w:sz w:val="20"/>
          <w:szCs w:val="20"/>
          <w:shd w:val="clear" w:color="auto" w:fill="FFFFFF"/>
        </w:rPr>
        <w:t>) to analyse and evaluate, at a systemic level, policies and practices relevant to the child protection system and the performance of relevant agencies in delivering services;)</w:t>
      </w:r>
    </w:p>
    <w:p w14:paraId="6E84E42C" w14:textId="2CA67FF7" w:rsidR="00543736" w:rsidRPr="008607DD" w:rsidRDefault="00DC1A98" w:rsidP="00F76A19">
      <w:pPr>
        <w:shd w:val="clear" w:color="auto" w:fill="FFFFFF"/>
        <w:spacing w:after="150" w:line="240" w:lineRule="auto"/>
        <w:rPr>
          <w:rFonts w:ascii="Arial" w:hAnsi="Arial" w:cs="Arial"/>
          <w:shd w:val="clear" w:color="auto" w:fill="FFFFFF"/>
        </w:rPr>
      </w:pPr>
      <w:r w:rsidRPr="008607DD">
        <w:rPr>
          <w:rFonts w:ascii="Arial" w:hAnsi="Arial" w:cs="Arial"/>
          <w:shd w:val="clear" w:color="auto" w:fill="FFFFFF"/>
        </w:rPr>
        <w:t>The functions of the Public Advocate, which holds a similar</w:t>
      </w:r>
      <w:r w:rsidR="00BC0886" w:rsidRPr="008607DD">
        <w:rPr>
          <w:rFonts w:ascii="Arial" w:hAnsi="Arial" w:cs="Arial"/>
          <w:shd w:val="clear" w:color="auto" w:fill="FFFFFF"/>
        </w:rPr>
        <w:t xml:space="preserve"> systemic</w:t>
      </w:r>
      <w:r w:rsidRPr="008607DD">
        <w:rPr>
          <w:rFonts w:ascii="Arial" w:hAnsi="Arial" w:cs="Arial"/>
          <w:shd w:val="clear" w:color="auto" w:fill="FFFFFF"/>
        </w:rPr>
        <w:t xml:space="preserve"> role</w:t>
      </w:r>
      <w:r w:rsidR="00BC0886" w:rsidRPr="008607DD">
        <w:rPr>
          <w:rFonts w:ascii="Arial" w:hAnsi="Arial" w:cs="Arial"/>
          <w:shd w:val="clear" w:color="auto" w:fill="FFFFFF"/>
        </w:rPr>
        <w:t xml:space="preserve"> to the QFCC</w:t>
      </w:r>
      <w:r w:rsidRPr="008607DD">
        <w:rPr>
          <w:rFonts w:ascii="Arial" w:hAnsi="Arial" w:cs="Arial"/>
          <w:shd w:val="clear" w:color="auto" w:fill="FFFFFF"/>
        </w:rPr>
        <w:t xml:space="preserve"> in relation to adults with impaired capacity, stipulate:</w:t>
      </w:r>
    </w:p>
    <w:p w14:paraId="119C74ED" w14:textId="38E1FC4B" w:rsidR="00DC1A98" w:rsidRPr="008607DD" w:rsidRDefault="00DC1A98" w:rsidP="00DC1A98">
      <w:pPr>
        <w:shd w:val="clear" w:color="auto" w:fill="FFFFFF"/>
        <w:spacing w:after="150" w:line="240" w:lineRule="auto"/>
        <w:ind w:left="720"/>
        <w:rPr>
          <w:rFonts w:ascii="Arial" w:hAnsi="Arial" w:cs="Arial"/>
          <w:sz w:val="20"/>
          <w:szCs w:val="20"/>
          <w:shd w:val="clear" w:color="auto" w:fill="FFFFFF"/>
        </w:rPr>
      </w:pPr>
      <w:r w:rsidRPr="008607DD">
        <w:rPr>
          <w:rFonts w:ascii="Arial" w:hAnsi="Arial" w:cs="Arial"/>
          <w:sz w:val="20"/>
          <w:szCs w:val="20"/>
          <w:shd w:val="clear" w:color="auto" w:fill="FFFFFF"/>
        </w:rPr>
        <w:t>…it is not the function of the public advocate to investigate a complaint or allegation that concerns a particular adult with impaired capacity for a matter.</w:t>
      </w:r>
      <w:r w:rsidRPr="008607DD">
        <w:rPr>
          <w:rStyle w:val="FootnoteReference"/>
          <w:rFonts w:ascii="Arial" w:hAnsi="Arial" w:cs="Arial"/>
          <w:sz w:val="20"/>
          <w:szCs w:val="20"/>
          <w:shd w:val="clear" w:color="auto" w:fill="FFFFFF"/>
        </w:rPr>
        <w:footnoteReference w:id="11"/>
      </w:r>
    </w:p>
    <w:p w14:paraId="71E638E9" w14:textId="6A8CF603" w:rsidR="00DC1A98" w:rsidRDefault="00DC1A98" w:rsidP="00640E11">
      <w:pPr>
        <w:shd w:val="clear" w:color="auto" w:fill="FFFFFF"/>
        <w:spacing w:after="150" w:line="240" w:lineRule="auto"/>
        <w:rPr>
          <w:rFonts w:ascii="Arial" w:hAnsi="Arial" w:cs="Arial"/>
          <w:color w:val="000000"/>
          <w:shd w:val="clear" w:color="auto" w:fill="FFFFFF"/>
        </w:rPr>
      </w:pPr>
      <w:r w:rsidRPr="008607DD">
        <w:rPr>
          <w:rFonts w:ascii="Arial" w:hAnsi="Arial" w:cs="Arial"/>
          <w:color w:val="000000"/>
          <w:shd w:val="clear" w:color="auto" w:fill="FFFFFF"/>
        </w:rPr>
        <w:t>This appears to better encapsulate the intent of the legislation that the Public Advocate</w:t>
      </w:r>
      <w:r w:rsidR="00F0244B" w:rsidRPr="008607DD">
        <w:rPr>
          <w:rFonts w:ascii="Arial" w:hAnsi="Arial" w:cs="Arial"/>
          <w:color w:val="000000"/>
          <w:shd w:val="clear" w:color="auto" w:fill="FFFFFF"/>
        </w:rPr>
        <w:t xml:space="preserve"> does not investigate </w:t>
      </w:r>
      <w:r w:rsidR="00EF3374" w:rsidRPr="008607DD">
        <w:rPr>
          <w:rFonts w:ascii="Arial" w:hAnsi="Arial" w:cs="Arial"/>
          <w:color w:val="000000"/>
          <w:shd w:val="clear" w:color="auto" w:fill="FFFFFF"/>
        </w:rPr>
        <w:t xml:space="preserve">or </w:t>
      </w:r>
      <w:r w:rsidR="00F0244B" w:rsidRPr="008607DD">
        <w:rPr>
          <w:rFonts w:ascii="Arial" w:hAnsi="Arial" w:cs="Arial"/>
          <w:color w:val="000000"/>
          <w:shd w:val="clear" w:color="auto" w:fill="FFFFFF"/>
        </w:rPr>
        <w:t xml:space="preserve">act </w:t>
      </w:r>
      <w:r w:rsidR="00EF3374" w:rsidRPr="008607DD">
        <w:rPr>
          <w:rFonts w:ascii="Arial" w:hAnsi="Arial" w:cs="Arial"/>
          <w:color w:val="000000"/>
          <w:shd w:val="clear" w:color="auto" w:fill="FFFFFF"/>
        </w:rPr>
        <w:t xml:space="preserve">on </w:t>
      </w:r>
      <w:r w:rsidRPr="008607DD">
        <w:rPr>
          <w:rFonts w:ascii="Arial" w:hAnsi="Arial" w:cs="Arial"/>
          <w:color w:val="000000"/>
          <w:shd w:val="clear" w:color="auto" w:fill="FFFFFF"/>
        </w:rPr>
        <w:t xml:space="preserve">individual complaints and allegations made to it, without </w:t>
      </w:r>
      <w:r w:rsidR="00EF3374" w:rsidRPr="008607DD">
        <w:rPr>
          <w:rFonts w:ascii="Arial" w:hAnsi="Arial" w:cs="Arial"/>
          <w:color w:val="000000"/>
          <w:shd w:val="clear" w:color="auto" w:fill="FFFFFF"/>
        </w:rPr>
        <w:t xml:space="preserve">impeding </w:t>
      </w:r>
      <w:r w:rsidRPr="008607DD">
        <w:rPr>
          <w:rFonts w:ascii="Arial" w:hAnsi="Arial" w:cs="Arial"/>
          <w:color w:val="000000"/>
          <w:shd w:val="clear" w:color="auto" w:fill="FFFFFF"/>
        </w:rPr>
        <w:t>its systemic advocacy functions.</w:t>
      </w:r>
      <w:r w:rsidR="00F0244B" w:rsidRPr="008607DD">
        <w:rPr>
          <w:rFonts w:ascii="Arial" w:hAnsi="Arial" w:cs="Arial"/>
          <w:color w:val="000000"/>
          <w:shd w:val="clear" w:color="auto" w:fill="FFFFFF"/>
        </w:rPr>
        <w:t xml:space="preserve"> It is recommended that s</w:t>
      </w:r>
      <w:r w:rsidR="00491167">
        <w:rPr>
          <w:rFonts w:ascii="Arial" w:hAnsi="Arial" w:cs="Arial"/>
          <w:color w:val="000000"/>
          <w:shd w:val="clear" w:color="auto" w:fill="FFFFFF"/>
        </w:rPr>
        <w:t>ection</w:t>
      </w:r>
      <w:r w:rsidR="00F0244B" w:rsidRPr="008607DD">
        <w:rPr>
          <w:rFonts w:ascii="Arial" w:hAnsi="Arial" w:cs="Arial"/>
          <w:color w:val="000000"/>
          <w:shd w:val="clear" w:color="auto" w:fill="FFFFFF"/>
        </w:rPr>
        <w:t xml:space="preserve"> 9(2) of the FCC Act should be similarly drafted</w:t>
      </w:r>
      <w:r w:rsidR="00971BAE" w:rsidRPr="008607DD">
        <w:rPr>
          <w:rFonts w:ascii="Arial" w:hAnsi="Arial" w:cs="Arial"/>
          <w:color w:val="000000"/>
          <w:shd w:val="clear" w:color="auto" w:fill="FFFFFF"/>
        </w:rPr>
        <w:t xml:space="preserve"> to avoid confusion</w:t>
      </w:r>
      <w:r w:rsidR="00F0244B" w:rsidRPr="008607DD">
        <w:rPr>
          <w:rFonts w:ascii="Arial" w:hAnsi="Arial" w:cs="Arial"/>
          <w:color w:val="000000"/>
          <w:shd w:val="clear" w:color="auto" w:fill="FFFFFF"/>
        </w:rPr>
        <w:t>.</w:t>
      </w:r>
      <w:r w:rsidR="00F0244B">
        <w:rPr>
          <w:rFonts w:ascii="Arial" w:hAnsi="Arial" w:cs="Arial"/>
          <w:color w:val="000000"/>
          <w:shd w:val="clear" w:color="auto" w:fill="FFFFFF"/>
        </w:rPr>
        <w:t xml:space="preserve"> </w:t>
      </w:r>
    </w:p>
    <w:p w14:paraId="19C15D1A" w14:textId="0F39D44D" w:rsidR="00B81220" w:rsidRPr="0043617D" w:rsidRDefault="00B81220" w:rsidP="00834229">
      <w:pPr>
        <w:pStyle w:val="Heading2"/>
        <w:rPr>
          <w:rFonts w:eastAsia="Times New Roman"/>
          <w:lang w:eastAsia="en-AU"/>
        </w:rPr>
      </w:pPr>
      <w:bookmarkStart w:id="5" w:name="_Toc131431924"/>
      <w:r w:rsidRPr="0043617D">
        <w:rPr>
          <w:rFonts w:eastAsia="Times New Roman"/>
          <w:lang w:eastAsia="en-AU"/>
        </w:rPr>
        <w:t>Strengthen</w:t>
      </w:r>
      <w:r w:rsidR="00EC120E">
        <w:rPr>
          <w:rFonts w:eastAsia="Times New Roman"/>
          <w:lang w:eastAsia="en-AU"/>
        </w:rPr>
        <w:t xml:space="preserve"> QFCC</w:t>
      </w:r>
      <w:r w:rsidRPr="0043617D">
        <w:rPr>
          <w:rFonts w:eastAsia="Times New Roman"/>
          <w:lang w:eastAsia="en-AU"/>
        </w:rPr>
        <w:t xml:space="preserve"> powers</w:t>
      </w:r>
      <w:r w:rsidR="006D61F5">
        <w:rPr>
          <w:rFonts w:eastAsia="Times New Roman"/>
          <w:lang w:eastAsia="en-AU"/>
        </w:rPr>
        <w:t xml:space="preserve"> </w:t>
      </w:r>
      <w:r w:rsidRPr="0043617D">
        <w:rPr>
          <w:rFonts w:eastAsia="Times New Roman"/>
          <w:lang w:eastAsia="en-AU"/>
        </w:rPr>
        <w:t xml:space="preserve">to </w:t>
      </w:r>
      <w:r w:rsidR="006D61F5">
        <w:rPr>
          <w:rFonts w:eastAsia="Times New Roman"/>
          <w:lang w:eastAsia="en-AU"/>
        </w:rPr>
        <w:t xml:space="preserve">receive and </w:t>
      </w:r>
      <w:r w:rsidRPr="0043617D">
        <w:rPr>
          <w:rFonts w:eastAsia="Times New Roman"/>
          <w:lang w:eastAsia="en-AU"/>
        </w:rPr>
        <w:t>compel information</w:t>
      </w:r>
      <w:bookmarkEnd w:id="5"/>
    </w:p>
    <w:p w14:paraId="5DBDA7E4" w14:textId="52476949" w:rsidR="006D61F5" w:rsidRPr="00485967" w:rsidRDefault="0033036B" w:rsidP="006D61F5">
      <w:pPr>
        <w:shd w:val="clear" w:color="auto" w:fill="FFFFFF"/>
        <w:spacing w:after="150" w:line="240" w:lineRule="auto"/>
        <w:rPr>
          <w:rFonts w:ascii="Arial" w:hAnsi="Arial" w:cs="Arial"/>
          <w:shd w:val="clear" w:color="auto" w:fill="FFFFFF"/>
        </w:rPr>
      </w:pPr>
      <w:r>
        <w:rPr>
          <w:rFonts w:ascii="Arial" w:hAnsi="Arial" w:cs="Arial"/>
          <w:shd w:val="clear" w:color="auto" w:fill="FFFFFF"/>
        </w:rPr>
        <w:t xml:space="preserve">QFCC’s functions </w:t>
      </w:r>
      <w:r w:rsidR="00223DA7">
        <w:rPr>
          <w:rFonts w:ascii="Arial" w:hAnsi="Arial" w:cs="Arial"/>
          <w:shd w:val="clear" w:color="auto" w:fill="FFFFFF"/>
        </w:rPr>
        <w:t>must</w:t>
      </w:r>
      <w:r>
        <w:rPr>
          <w:rFonts w:ascii="Arial" w:hAnsi="Arial" w:cs="Arial"/>
          <w:shd w:val="clear" w:color="auto" w:fill="FFFFFF"/>
        </w:rPr>
        <w:t xml:space="preserve"> be underpinned by strong powers to access </w:t>
      </w:r>
      <w:r w:rsidR="00223DA7">
        <w:rPr>
          <w:rFonts w:ascii="Arial" w:hAnsi="Arial" w:cs="Arial"/>
          <w:shd w:val="clear" w:color="auto" w:fill="FFFFFF"/>
        </w:rPr>
        <w:t xml:space="preserve">relevant </w:t>
      </w:r>
      <w:r>
        <w:rPr>
          <w:rFonts w:ascii="Arial" w:hAnsi="Arial" w:cs="Arial"/>
          <w:shd w:val="clear" w:color="auto" w:fill="FFFFFF"/>
        </w:rPr>
        <w:t xml:space="preserve">information. </w:t>
      </w:r>
    </w:p>
    <w:p w14:paraId="4EBA9D69" w14:textId="5CF62C14" w:rsidR="00320B7F" w:rsidRPr="0043617D" w:rsidRDefault="0043617D" w:rsidP="00320B7F">
      <w:pPr>
        <w:shd w:val="clear" w:color="auto" w:fill="FFFFFF"/>
        <w:spacing w:after="15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Under </w:t>
      </w:r>
      <w:r w:rsidR="00320B7F" w:rsidRPr="0043617D">
        <w:rPr>
          <w:rFonts w:ascii="Arial" w:eastAsia="Times New Roman" w:hAnsi="Arial" w:cs="Arial"/>
          <w:color w:val="000000"/>
          <w:lang w:eastAsia="en-AU"/>
        </w:rPr>
        <w:t>s</w:t>
      </w:r>
      <w:r>
        <w:rPr>
          <w:rFonts w:ascii="Arial" w:eastAsia="Times New Roman" w:hAnsi="Arial" w:cs="Arial"/>
          <w:color w:val="000000"/>
          <w:lang w:eastAsia="en-AU"/>
        </w:rPr>
        <w:t>ection</w:t>
      </w:r>
      <w:r w:rsidR="00320B7F" w:rsidRPr="0043617D">
        <w:rPr>
          <w:rFonts w:ascii="Arial" w:eastAsia="Times New Roman" w:hAnsi="Arial" w:cs="Arial"/>
          <w:color w:val="000000"/>
          <w:lang w:eastAsia="en-AU"/>
        </w:rPr>
        <w:t xml:space="preserve"> 35</w:t>
      </w:r>
      <w:r w:rsidR="00B81220" w:rsidRPr="0043617D">
        <w:rPr>
          <w:rFonts w:ascii="Arial" w:eastAsia="Times New Roman" w:hAnsi="Arial" w:cs="Arial"/>
          <w:color w:val="000000"/>
          <w:lang w:eastAsia="en-AU"/>
        </w:rPr>
        <w:t xml:space="preserve"> of the FCC Act</w:t>
      </w:r>
      <w:r w:rsidR="00320B7F" w:rsidRPr="0043617D">
        <w:rPr>
          <w:rFonts w:ascii="Arial" w:eastAsia="Times New Roman" w:hAnsi="Arial" w:cs="Arial"/>
          <w:color w:val="000000"/>
          <w:lang w:eastAsia="en-AU"/>
        </w:rPr>
        <w:t>, the principal Commission</w:t>
      </w:r>
      <w:r w:rsidR="00D5173F">
        <w:rPr>
          <w:rFonts w:ascii="Arial" w:eastAsia="Times New Roman" w:hAnsi="Arial" w:cs="Arial"/>
          <w:color w:val="000000"/>
          <w:lang w:eastAsia="en-AU"/>
        </w:rPr>
        <w:t>er</w:t>
      </w:r>
      <w:r w:rsidR="00320B7F" w:rsidRPr="0043617D">
        <w:rPr>
          <w:rFonts w:ascii="Arial" w:eastAsia="Times New Roman" w:hAnsi="Arial" w:cs="Arial"/>
          <w:color w:val="000000"/>
          <w:lang w:eastAsia="en-AU"/>
        </w:rPr>
        <w:t xml:space="preserve"> may request a public entity for (non-confidential) information necessary for the performance of the QFCC’s functions. A public entity must comply with that request subject to a broad range of exceptions, including where disclosure of the information ‘is impracticable’. If the public entity refuses to comply with the request, the entity must give written notice to the </w:t>
      </w:r>
      <w:r w:rsidR="00B81220" w:rsidRPr="0043617D">
        <w:rPr>
          <w:rFonts w:ascii="Arial" w:eastAsia="Times New Roman" w:hAnsi="Arial" w:cs="Arial"/>
          <w:color w:val="000000"/>
          <w:lang w:eastAsia="en-AU"/>
        </w:rPr>
        <w:t>p</w:t>
      </w:r>
      <w:r w:rsidR="00320B7F" w:rsidRPr="0043617D">
        <w:rPr>
          <w:rFonts w:ascii="Arial" w:eastAsia="Times New Roman" w:hAnsi="Arial" w:cs="Arial"/>
          <w:color w:val="000000"/>
          <w:lang w:eastAsia="en-AU"/>
        </w:rPr>
        <w:t xml:space="preserve">rincipal Commissioner of its reasons for the refusal. </w:t>
      </w:r>
    </w:p>
    <w:p w14:paraId="6835AF2A" w14:textId="14CA9E7D" w:rsidR="00320B7F" w:rsidRPr="0043617D" w:rsidRDefault="00320B7F" w:rsidP="00320B7F">
      <w:pPr>
        <w:shd w:val="clear" w:color="auto" w:fill="FFFFFF"/>
        <w:spacing w:after="150" w:line="240" w:lineRule="auto"/>
        <w:rPr>
          <w:rFonts w:ascii="Arial" w:eastAsia="Times New Roman" w:hAnsi="Arial" w:cs="Arial"/>
          <w:color w:val="000000"/>
          <w:lang w:eastAsia="en-AU"/>
        </w:rPr>
      </w:pPr>
      <w:r w:rsidRPr="0043617D">
        <w:rPr>
          <w:rFonts w:ascii="Arial" w:eastAsia="Times New Roman" w:hAnsi="Arial" w:cs="Arial"/>
          <w:color w:val="000000"/>
          <w:lang w:eastAsia="en-AU"/>
        </w:rPr>
        <w:t xml:space="preserve">Section 27 </w:t>
      </w:r>
      <w:r w:rsidR="00C62A2C">
        <w:rPr>
          <w:rFonts w:ascii="Arial" w:eastAsia="Times New Roman" w:hAnsi="Arial" w:cs="Arial"/>
          <w:color w:val="000000"/>
          <w:lang w:eastAsia="en-AU"/>
        </w:rPr>
        <w:t xml:space="preserve">of the FCC Act </w:t>
      </w:r>
      <w:r w:rsidR="003A1C2C" w:rsidRPr="0043617D">
        <w:rPr>
          <w:rFonts w:ascii="Arial" w:eastAsia="Times New Roman" w:hAnsi="Arial" w:cs="Arial"/>
          <w:color w:val="000000"/>
          <w:lang w:eastAsia="en-AU"/>
        </w:rPr>
        <w:t xml:space="preserve">gives </w:t>
      </w:r>
      <w:r w:rsidRPr="0043617D">
        <w:rPr>
          <w:rFonts w:ascii="Arial" w:eastAsia="Times New Roman" w:hAnsi="Arial" w:cs="Arial"/>
          <w:color w:val="000000"/>
          <w:lang w:eastAsia="en-AU"/>
        </w:rPr>
        <w:t xml:space="preserve">powers to </w:t>
      </w:r>
      <w:r w:rsidR="003A1C2C" w:rsidRPr="0043617D">
        <w:rPr>
          <w:rFonts w:ascii="Arial" w:eastAsia="Times New Roman" w:hAnsi="Arial" w:cs="Arial"/>
          <w:color w:val="000000"/>
          <w:lang w:eastAsia="en-AU"/>
        </w:rPr>
        <w:t xml:space="preserve">the principal Commissioner to </w:t>
      </w:r>
      <w:r w:rsidRPr="0043617D">
        <w:rPr>
          <w:rFonts w:ascii="Arial" w:eastAsia="Times New Roman" w:hAnsi="Arial" w:cs="Arial"/>
          <w:color w:val="000000"/>
          <w:lang w:eastAsia="en-AU"/>
        </w:rPr>
        <w:t xml:space="preserve">request </w:t>
      </w:r>
      <w:r w:rsidR="00C62A2C">
        <w:rPr>
          <w:rFonts w:ascii="Arial" w:eastAsia="Times New Roman" w:hAnsi="Arial" w:cs="Arial"/>
          <w:color w:val="000000"/>
          <w:lang w:eastAsia="en-AU"/>
        </w:rPr>
        <w:t xml:space="preserve">a public entity for </w:t>
      </w:r>
      <w:r w:rsidRPr="0043617D">
        <w:rPr>
          <w:rFonts w:ascii="Arial" w:eastAsia="Times New Roman" w:hAnsi="Arial" w:cs="Arial"/>
          <w:color w:val="000000"/>
          <w:lang w:eastAsia="en-AU"/>
        </w:rPr>
        <w:t xml:space="preserve">information </w:t>
      </w:r>
      <w:r w:rsidR="003A1C2C" w:rsidRPr="0043617D">
        <w:rPr>
          <w:rFonts w:ascii="Arial" w:eastAsia="Times New Roman" w:hAnsi="Arial" w:cs="Arial"/>
          <w:color w:val="000000"/>
          <w:lang w:eastAsia="en-AU"/>
        </w:rPr>
        <w:t xml:space="preserve">necessary for its functions in relation to the Child </w:t>
      </w:r>
      <w:r w:rsidR="00747FA9">
        <w:rPr>
          <w:rFonts w:ascii="Arial" w:eastAsia="Times New Roman" w:hAnsi="Arial" w:cs="Arial"/>
          <w:color w:val="000000"/>
          <w:lang w:eastAsia="en-AU"/>
        </w:rPr>
        <w:t>D</w:t>
      </w:r>
      <w:r w:rsidR="003A1C2C" w:rsidRPr="0043617D">
        <w:rPr>
          <w:rFonts w:ascii="Arial" w:eastAsia="Times New Roman" w:hAnsi="Arial" w:cs="Arial"/>
          <w:color w:val="000000"/>
          <w:lang w:eastAsia="en-AU"/>
        </w:rPr>
        <w:t xml:space="preserve">eath </w:t>
      </w:r>
      <w:r w:rsidR="00747FA9">
        <w:rPr>
          <w:rFonts w:ascii="Arial" w:eastAsia="Times New Roman" w:hAnsi="Arial" w:cs="Arial"/>
          <w:color w:val="000000"/>
          <w:lang w:eastAsia="en-AU"/>
        </w:rPr>
        <w:t>R</w:t>
      </w:r>
      <w:r w:rsidR="003A1C2C" w:rsidRPr="0043617D">
        <w:rPr>
          <w:rFonts w:ascii="Arial" w:eastAsia="Times New Roman" w:hAnsi="Arial" w:cs="Arial"/>
          <w:color w:val="000000"/>
          <w:lang w:eastAsia="en-AU"/>
        </w:rPr>
        <w:t>egister</w:t>
      </w:r>
      <w:r w:rsidRPr="0043617D">
        <w:rPr>
          <w:rFonts w:ascii="Arial" w:eastAsia="Times New Roman" w:hAnsi="Arial" w:cs="Arial"/>
          <w:color w:val="000000"/>
          <w:lang w:eastAsia="en-AU"/>
        </w:rPr>
        <w:t xml:space="preserve">, with fewer exceptions, and allows </w:t>
      </w:r>
      <w:r w:rsidR="00223DA7">
        <w:rPr>
          <w:rFonts w:ascii="Arial" w:eastAsia="Times New Roman" w:hAnsi="Arial" w:cs="Arial"/>
          <w:color w:val="000000"/>
          <w:lang w:eastAsia="en-AU"/>
        </w:rPr>
        <w:t xml:space="preserve">requests for </w:t>
      </w:r>
      <w:r w:rsidRPr="0043617D">
        <w:rPr>
          <w:rFonts w:ascii="Arial" w:eastAsia="Times New Roman" w:hAnsi="Arial" w:cs="Arial"/>
          <w:color w:val="000000"/>
          <w:lang w:eastAsia="en-AU"/>
        </w:rPr>
        <w:t xml:space="preserve">confidential information. </w:t>
      </w:r>
    </w:p>
    <w:p w14:paraId="74D3133F" w14:textId="15F75BCC" w:rsidR="003A1C2C" w:rsidRPr="0043617D" w:rsidRDefault="003A1C2C" w:rsidP="003A1C2C">
      <w:pPr>
        <w:shd w:val="clear" w:color="auto" w:fill="FFFFFF"/>
        <w:spacing w:after="150" w:line="240" w:lineRule="auto"/>
        <w:rPr>
          <w:rFonts w:ascii="Arial" w:eastAsia="Times New Roman" w:hAnsi="Arial" w:cs="Arial"/>
          <w:color w:val="000000"/>
          <w:lang w:eastAsia="en-AU"/>
        </w:rPr>
      </w:pPr>
      <w:r w:rsidRPr="0043617D">
        <w:rPr>
          <w:rFonts w:ascii="Arial" w:eastAsia="Times New Roman" w:hAnsi="Arial" w:cs="Arial"/>
          <w:color w:val="000000"/>
          <w:lang w:eastAsia="en-AU"/>
        </w:rPr>
        <w:t>In contrast, the QHRC’s powers to request information</w:t>
      </w:r>
      <w:r w:rsidR="00491167">
        <w:rPr>
          <w:rFonts w:ascii="Arial" w:eastAsia="Times New Roman" w:hAnsi="Arial" w:cs="Arial"/>
          <w:color w:val="000000"/>
          <w:lang w:eastAsia="en-AU"/>
        </w:rPr>
        <w:t xml:space="preserve"> to prepare an annual report or other report</w:t>
      </w:r>
      <w:r w:rsidR="00F40198">
        <w:rPr>
          <w:rFonts w:ascii="Arial" w:eastAsia="Times New Roman" w:hAnsi="Arial" w:cs="Arial"/>
          <w:color w:val="000000"/>
          <w:lang w:eastAsia="en-AU"/>
        </w:rPr>
        <w:t xml:space="preserve"> under section 98 of the HR Act</w:t>
      </w:r>
      <w:r w:rsidRPr="0043617D">
        <w:rPr>
          <w:rFonts w:ascii="Arial" w:eastAsia="Times New Roman" w:hAnsi="Arial" w:cs="Arial"/>
          <w:color w:val="000000"/>
          <w:lang w:eastAsia="en-AU"/>
        </w:rPr>
        <w:t>:</w:t>
      </w:r>
    </w:p>
    <w:p w14:paraId="60964402" w14:textId="4D8957BB" w:rsidR="003A1C2C" w:rsidRPr="0043617D" w:rsidRDefault="003A1C2C" w:rsidP="003A1C2C">
      <w:pPr>
        <w:pStyle w:val="ListParagraph"/>
        <w:numPr>
          <w:ilvl w:val="0"/>
          <w:numId w:val="6"/>
        </w:numPr>
        <w:shd w:val="clear" w:color="auto" w:fill="FFFFFF"/>
        <w:spacing w:after="150" w:line="240" w:lineRule="auto"/>
        <w:rPr>
          <w:rFonts w:ascii="Arial" w:hAnsi="Arial" w:cs="Arial"/>
        </w:rPr>
      </w:pPr>
      <w:r w:rsidRPr="0043617D">
        <w:rPr>
          <w:rFonts w:ascii="Arial" w:hAnsi="Arial" w:cs="Arial"/>
        </w:rPr>
        <w:t>makes it an offence not to comply with a request ‘unless the entity has reasonable excuse’;</w:t>
      </w:r>
    </w:p>
    <w:p w14:paraId="7FBBDEC2" w14:textId="667FB1C3" w:rsidR="003A1C2C" w:rsidRPr="0043617D" w:rsidRDefault="00426702" w:rsidP="003A1C2C">
      <w:pPr>
        <w:pStyle w:val="ListParagraph"/>
        <w:numPr>
          <w:ilvl w:val="0"/>
          <w:numId w:val="6"/>
        </w:numPr>
        <w:shd w:val="clear" w:color="auto" w:fill="FFFFFF"/>
        <w:spacing w:after="150" w:line="240" w:lineRule="auto"/>
        <w:rPr>
          <w:rFonts w:ascii="Arial" w:hAnsi="Arial" w:cs="Arial"/>
        </w:rPr>
      </w:pPr>
      <w:r>
        <w:rPr>
          <w:rFonts w:ascii="Arial" w:hAnsi="Arial" w:cs="Arial"/>
        </w:rPr>
        <w:t xml:space="preserve">cannot </w:t>
      </w:r>
      <w:r w:rsidR="003B5DD4">
        <w:rPr>
          <w:rFonts w:ascii="Arial" w:hAnsi="Arial" w:cs="Arial"/>
        </w:rPr>
        <w:t xml:space="preserve">include a </w:t>
      </w:r>
      <w:r>
        <w:rPr>
          <w:rFonts w:ascii="Arial" w:hAnsi="Arial" w:cs="Arial"/>
        </w:rPr>
        <w:t xml:space="preserve">request </w:t>
      </w:r>
      <w:r w:rsidR="002D54FB" w:rsidRPr="0043617D">
        <w:rPr>
          <w:rFonts w:ascii="Arial" w:hAnsi="Arial" w:cs="Arial"/>
        </w:rPr>
        <w:t xml:space="preserve">personal </w:t>
      </w:r>
      <w:r w:rsidR="003A1C2C" w:rsidRPr="0043617D">
        <w:rPr>
          <w:rFonts w:ascii="Arial" w:hAnsi="Arial" w:cs="Arial"/>
        </w:rPr>
        <w:t>information</w:t>
      </w:r>
      <w:r>
        <w:rPr>
          <w:rFonts w:ascii="Arial" w:hAnsi="Arial" w:cs="Arial"/>
        </w:rPr>
        <w:t xml:space="preserve"> that is not publicly available</w:t>
      </w:r>
      <w:r w:rsidR="002D54FB" w:rsidRPr="0043617D">
        <w:rPr>
          <w:rFonts w:ascii="Arial" w:hAnsi="Arial" w:cs="Arial"/>
        </w:rPr>
        <w:t>;</w:t>
      </w:r>
      <w:r w:rsidR="00F40198">
        <w:rPr>
          <w:rStyle w:val="FootnoteReference"/>
          <w:rFonts w:ascii="Arial" w:hAnsi="Arial" w:cs="Arial"/>
        </w:rPr>
        <w:footnoteReference w:id="12"/>
      </w:r>
    </w:p>
    <w:p w14:paraId="655DB71A" w14:textId="2FA69365" w:rsidR="003A1C2C" w:rsidRPr="0043617D" w:rsidRDefault="003A1C2C" w:rsidP="003A1C2C">
      <w:pPr>
        <w:pStyle w:val="ListParagraph"/>
        <w:numPr>
          <w:ilvl w:val="0"/>
          <w:numId w:val="6"/>
        </w:numPr>
        <w:shd w:val="clear" w:color="auto" w:fill="FFFFFF"/>
        <w:spacing w:after="150" w:line="240" w:lineRule="auto"/>
        <w:rPr>
          <w:rFonts w:ascii="Arial" w:hAnsi="Arial" w:cs="Arial"/>
        </w:rPr>
      </w:pPr>
      <w:r w:rsidRPr="0043617D">
        <w:rPr>
          <w:rFonts w:ascii="Arial" w:hAnsi="Arial" w:cs="Arial"/>
        </w:rPr>
        <w:t>protects the public entity from civil or criminal liability in providing the information</w:t>
      </w:r>
      <w:r w:rsidR="00F40198">
        <w:rPr>
          <w:rFonts w:ascii="Arial" w:hAnsi="Arial" w:cs="Arial"/>
        </w:rPr>
        <w:t>.</w:t>
      </w:r>
      <w:r w:rsidR="00F40198">
        <w:rPr>
          <w:rStyle w:val="FootnoteReference"/>
          <w:rFonts w:ascii="Arial" w:hAnsi="Arial" w:cs="Arial"/>
        </w:rPr>
        <w:footnoteReference w:id="13"/>
      </w:r>
      <w:r w:rsidRPr="0043617D">
        <w:rPr>
          <w:rFonts w:ascii="Arial" w:hAnsi="Arial" w:cs="Arial"/>
        </w:rPr>
        <w:t xml:space="preserve"> </w:t>
      </w:r>
    </w:p>
    <w:p w14:paraId="37E56A6D" w14:textId="411E2A4F" w:rsidR="0021732E" w:rsidRPr="0043617D" w:rsidRDefault="0021732E" w:rsidP="0021732E">
      <w:pPr>
        <w:shd w:val="clear" w:color="auto" w:fill="FFFFFF"/>
        <w:spacing w:after="150" w:line="240" w:lineRule="auto"/>
        <w:rPr>
          <w:rFonts w:ascii="Arial" w:hAnsi="Arial" w:cs="Arial"/>
        </w:rPr>
      </w:pPr>
      <w:r w:rsidRPr="0043617D">
        <w:rPr>
          <w:rFonts w:ascii="Arial" w:hAnsi="Arial" w:cs="Arial"/>
        </w:rPr>
        <w:t>The QHRC recommends that the powers of the QF</w:t>
      </w:r>
      <w:r w:rsidR="00D5173F">
        <w:rPr>
          <w:rFonts w:ascii="Arial" w:hAnsi="Arial" w:cs="Arial"/>
        </w:rPr>
        <w:t>C</w:t>
      </w:r>
      <w:r w:rsidRPr="0043617D">
        <w:rPr>
          <w:rFonts w:ascii="Arial" w:hAnsi="Arial" w:cs="Arial"/>
        </w:rPr>
        <w:t xml:space="preserve">C to </w:t>
      </w:r>
      <w:r w:rsidR="006D61F5">
        <w:rPr>
          <w:rFonts w:ascii="Arial" w:hAnsi="Arial" w:cs="Arial"/>
        </w:rPr>
        <w:t xml:space="preserve">receive and </w:t>
      </w:r>
      <w:r w:rsidRPr="0043617D">
        <w:rPr>
          <w:rFonts w:ascii="Arial" w:hAnsi="Arial" w:cs="Arial"/>
        </w:rPr>
        <w:t xml:space="preserve">compel information from relevant agencies be </w:t>
      </w:r>
      <w:r w:rsidR="0043654D">
        <w:rPr>
          <w:rFonts w:ascii="Arial" w:hAnsi="Arial" w:cs="Arial"/>
        </w:rPr>
        <w:t>aligned with the powers of the QHRC under the HR Act</w:t>
      </w:r>
      <w:r w:rsidRPr="0043617D">
        <w:rPr>
          <w:rFonts w:ascii="Arial" w:hAnsi="Arial" w:cs="Arial"/>
        </w:rPr>
        <w:t xml:space="preserve"> to better </w:t>
      </w:r>
      <w:r w:rsidR="008F1176" w:rsidRPr="0043617D">
        <w:rPr>
          <w:rFonts w:ascii="Arial" w:hAnsi="Arial" w:cs="Arial"/>
        </w:rPr>
        <w:t xml:space="preserve">support </w:t>
      </w:r>
      <w:r w:rsidR="00C62A2C">
        <w:rPr>
          <w:rFonts w:ascii="Arial" w:hAnsi="Arial" w:cs="Arial"/>
        </w:rPr>
        <w:t>its</w:t>
      </w:r>
      <w:r w:rsidR="008F1176" w:rsidRPr="0043617D">
        <w:rPr>
          <w:rFonts w:ascii="Arial" w:hAnsi="Arial" w:cs="Arial"/>
        </w:rPr>
        <w:t xml:space="preserve"> functions. </w:t>
      </w:r>
    </w:p>
    <w:p w14:paraId="165707B6" w14:textId="221183F2" w:rsidR="00485967" w:rsidRDefault="00320B7F" w:rsidP="006A6E7E">
      <w:pPr>
        <w:pStyle w:val="Heading1"/>
      </w:pPr>
      <w:bookmarkStart w:id="6" w:name="_Hlk131430253"/>
      <w:r w:rsidRPr="00320B7F">
        <w:t xml:space="preserve">TOR 5c. whether any amendments to the Act are required to support more effective coordination between the QFCC, statutory bodies and other agencies/institutions; </w:t>
      </w:r>
    </w:p>
    <w:p w14:paraId="1D7C18E2" w14:textId="719A0685" w:rsidR="00F456F3" w:rsidRPr="00F456F3" w:rsidRDefault="00971BAE" w:rsidP="00834229">
      <w:pPr>
        <w:pStyle w:val="Heading2"/>
      </w:pPr>
      <w:bookmarkStart w:id="7" w:name="_Toc131431926"/>
      <w:bookmarkEnd w:id="6"/>
      <w:r>
        <w:t xml:space="preserve">Require </w:t>
      </w:r>
      <w:r w:rsidR="00EC120E">
        <w:t xml:space="preserve">relevant agencies to report </w:t>
      </w:r>
      <w:r>
        <w:t>a</w:t>
      </w:r>
      <w:r w:rsidR="00F456F3" w:rsidRPr="00F456F3">
        <w:t>nnual</w:t>
      </w:r>
      <w:r w:rsidR="00EC120E">
        <w:t xml:space="preserve">ly </w:t>
      </w:r>
      <w:r>
        <w:t>on achievement of FCC Act objects</w:t>
      </w:r>
      <w:bookmarkEnd w:id="7"/>
    </w:p>
    <w:p w14:paraId="01249B14" w14:textId="527B042E" w:rsidR="00320B7F" w:rsidRPr="00F456F3" w:rsidRDefault="00017BE4" w:rsidP="00017BE4">
      <w:pPr>
        <w:pStyle w:val="Default"/>
        <w:rPr>
          <w:sz w:val="22"/>
          <w:szCs w:val="22"/>
          <w:shd w:val="clear" w:color="auto" w:fill="FFFFFF"/>
        </w:rPr>
      </w:pPr>
      <w:r w:rsidRPr="00F456F3">
        <w:rPr>
          <w:sz w:val="22"/>
          <w:szCs w:val="22"/>
        </w:rPr>
        <w:t xml:space="preserve">The role of the QFCC to increase collaboration is critical to supporting children facing multiple disadvantages who require a coordinated </w:t>
      </w:r>
      <w:r w:rsidR="00320B7F" w:rsidRPr="00F456F3">
        <w:rPr>
          <w:sz w:val="22"/>
          <w:szCs w:val="22"/>
          <w:shd w:val="clear" w:color="auto" w:fill="FFFFFF"/>
        </w:rPr>
        <w:t xml:space="preserve">multi-service system response. </w:t>
      </w:r>
    </w:p>
    <w:p w14:paraId="26E10B4E" w14:textId="227B71CD" w:rsidR="00DA2EDB" w:rsidRPr="00F456F3" w:rsidRDefault="00DA2EDB" w:rsidP="00017BE4">
      <w:pPr>
        <w:pStyle w:val="Default"/>
        <w:rPr>
          <w:sz w:val="22"/>
          <w:szCs w:val="22"/>
          <w:shd w:val="clear" w:color="auto" w:fill="FFFFFF"/>
        </w:rPr>
      </w:pPr>
    </w:p>
    <w:p w14:paraId="5DB4BE9D" w14:textId="64F03B44" w:rsidR="00DA2EDB" w:rsidRPr="00F456F3" w:rsidRDefault="00DA2EDB" w:rsidP="00DA2EDB">
      <w:pPr>
        <w:shd w:val="clear" w:color="auto" w:fill="FFFFFF"/>
        <w:spacing w:after="150" w:line="240" w:lineRule="auto"/>
        <w:rPr>
          <w:rFonts w:ascii="Arial" w:hAnsi="Arial" w:cs="Arial"/>
        </w:rPr>
      </w:pPr>
      <w:r w:rsidRPr="00F456F3">
        <w:rPr>
          <w:rFonts w:ascii="Arial" w:eastAsia="Times New Roman" w:hAnsi="Arial" w:cs="Arial"/>
          <w:color w:val="000000"/>
          <w:lang w:eastAsia="en-AU"/>
        </w:rPr>
        <w:lastRenderedPageBreak/>
        <w:t xml:space="preserve">Under the HR Act, public entities required under the </w:t>
      </w:r>
      <w:r w:rsidRPr="00F456F3">
        <w:rPr>
          <w:rFonts w:ascii="Arial" w:eastAsia="Times New Roman" w:hAnsi="Arial" w:cs="Arial"/>
          <w:i/>
          <w:iCs/>
          <w:color w:val="000000"/>
          <w:lang w:eastAsia="en-AU"/>
        </w:rPr>
        <w:t>Financial Accountability Act 2009</w:t>
      </w:r>
      <w:r w:rsidRPr="00F456F3">
        <w:rPr>
          <w:rFonts w:ascii="Arial" w:eastAsia="Times New Roman" w:hAnsi="Arial" w:cs="Arial"/>
          <w:color w:val="000000"/>
          <w:lang w:eastAsia="en-AU"/>
        </w:rPr>
        <w:t xml:space="preserve"> to prepare an annual report must include in their report </w:t>
      </w:r>
      <w:r w:rsidRPr="00F456F3">
        <w:rPr>
          <w:rFonts w:ascii="Arial" w:hAnsi="Arial" w:cs="Arial"/>
        </w:rPr>
        <w:t>details of any actions taken to further the objects of the HR Act, and details of any review of policies, programs, procedures, practices or services undertaken in relation to their compatibility with human rights.</w:t>
      </w:r>
      <w:r w:rsidRPr="00F456F3">
        <w:rPr>
          <w:rStyle w:val="FootnoteReference"/>
          <w:rFonts w:ascii="Arial" w:hAnsi="Arial" w:cs="Arial"/>
        </w:rPr>
        <w:footnoteReference w:id="14"/>
      </w:r>
      <w:r w:rsidRPr="00F456F3">
        <w:rPr>
          <w:rFonts w:ascii="Arial" w:hAnsi="Arial" w:cs="Arial"/>
        </w:rPr>
        <w:t xml:space="preserve"> This can then be analysed and incorporated into the HR Act annual report, prepared by the QHRC about the operation of the HR Act during the year.</w:t>
      </w:r>
      <w:r w:rsidRPr="00F456F3">
        <w:rPr>
          <w:rStyle w:val="FootnoteReference"/>
          <w:rFonts w:ascii="Arial" w:hAnsi="Arial" w:cs="Arial"/>
        </w:rPr>
        <w:footnoteReference w:id="15"/>
      </w:r>
    </w:p>
    <w:p w14:paraId="6F1E8022" w14:textId="5C98F7C4" w:rsidR="00F456F3" w:rsidRDefault="00316556" w:rsidP="00DA2EDB">
      <w:pPr>
        <w:shd w:val="clear" w:color="auto" w:fill="FFFFFF"/>
        <w:spacing w:after="150" w:line="240" w:lineRule="auto"/>
        <w:rPr>
          <w:rFonts w:ascii="Arial" w:hAnsi="Arial" w:cs="Arial"/>
        </w:rPr>
      </w:pPr>
      <w:r>
        <w:rPr>
          <w:rFonts w:ascii="Arial" w:hAnsi="Arial" w:cs="Arial"/>
        </w:rPr>
        <w:t xml:space="preserve">The </w:t>
      </w:r>
      <w:r w:rsidR="00F456F3" w:rsidRPr="00F456F3">
        <w:rPr>
          <w:rFonts w:ascii="Arial" w:hAnsi="Arial" w:cs="Arial"/>
        </w:rPr>
        <w:t xml:space="preserve">FCC Act could impose a similar requirement on relevant agencies to report on actions taken to further </w:t>
      </w:r>
      <w:r w:rsidR="003A5AB7">
        <w:rPr>
          <w:rFonts w:ascii="Arial" w:hAnsi="Arial" w:cs="Arial"/>
        </w:rPr>
        <w:t xml:space="preserve">the objects of the FCC Act, including protection of </w:t>
      </w:r>
      <w:r w:rsidR="00F456F3" w:rsidRPr="00F456F3">
        <w:rPr>
          <w:rFonts w:ascii="Arial" w:hAnsi="Arial" w:cs="Arial"/>
        </w:rPr>
        <w:t xml:space="preserve">children’s rights </w:t>
      </w:r>
      <w:r w:rsidR="003A5AB7">
        <w:rPr>
          <w:rFonts w:ascii="Arial" w:hAnsi="Arial" w:cs="Arial"/>
        </w:rPr>
        <w:t xml:space="preserve">and </w:t>
      </w:r>
      <w:r w:rsidR="00F456F3" w:rsidRPr="00F456F3">
        <w:rPr>
          <w:rFonts w:ascii="Arial" w:hAnsi="Arial" w:cs="Arial"/>
        </w:rPr>
        <w:t xml:space="preserve">collaboration with other agencies. </w:t>
      </w:r>
    </w:p>
    <w:p w14:paraId="7365FF81" w14:textId="1C84663F" w:rsidR="00843CEE" w:rsidRDefault="00993779" w:rsidP="00843CEE">
      <w:pPr>
        <w:pStyle w:val="Heading2"/>
      </w:pPr>
      <w:r>
        <w:t>Prepare a whole of government strategic plan</w:t>
      </w:r>
    </w:p>
    <w:p w14:paraId="4913ABD5" w14:textId="3846E4D5" w:rsidR="00843CEE" w:rsidRDefault="00843CEE" w:rsidP="00DA2EDB">
      <w:pPr>
        <w:shd w:val="clear" w:color="auto" w:fill="FFFFFF"/>
        <w:spacing w:after="150" w:line="240" w:lineRule="auto"/>
        <w:rPr>
          <w:rFonts w:ascii="Arial" w:hAnsi="Arial" w:cs="Arial"/>
        </w:rPr>
      </w:pPr>
      <w:r>
        <w:rPr>
          <w:rFonts w:ascii="Arial" w:hAnsi="Arial" w:cs="Arial"/>
        </w:rPr>
        <w:t xml:space="preserve">The purpose of the establishment of the Queensland Mental Health Commission </w:t>
      </w:r>
      <w:r w:rsidR="00705E73">
        <w:rPr>
          <w:rFonts w:ascii="Arial" w:hAnsi="Arial" w:cs="Arial"/>
        </w:rPr>
        <w:t>wa</w:t>
      </w:r>
      <w:r>
        <w:rPr>
          <w:rFonts w:ascii="Arial" w:hAnsi="Arial" w:cs="Arial"/>
        </w:rPr>
        <w:t>s:</w:t>
      </w:r>
    </w:p>
    <w:p w14:paraId="4BCD2A46" w14:textId="32627982" w:rsidR="00843CEE" w:rsidRPr="00D76525" w:rsidRDefault="00843CEE" w:rsidP="00843CEE">
      <w:pPr>
        <w:shd w:val="clear" w:color="auto" w:fill="FFFFFF"/>
        <w:spacing w:after="150" w:line="240" w:lineRule="auto"/>
        <w:ind w:left="720"/>
        <w:rPr>
          <w:rFonts w:ascii="Arial" w:hAnsi="Arial" w:cs="Arial"/>
          <w:sz w:val="20"/>
          <w:szCs w:val="20"/>
        </w:rPr>
      </w:pPr>
      <w:r w:rsidRPr="00D76525">
        <w:rPr>
          <w:rFonts w:ascii="Arial" w:hAnsi="Arial" w:cs="Arial"/>
          <w:sz w:val="20"/>
          <w:szCs w:val="20"/>
        </w:rPr>
        <w:t>to drive ongoing reform towards a more integrated, evidence-based, recovery-oriented mental health and substance misuse system. It will be responsible for leading a cultural change in the way mental health, substance misuse (including misuse of alcohol and other drugs) and other human services provided to people with, vulnerable to, or at significant risk of, mental health or substance misuse issues are planned and delivered in Queensland.</w:t>
      </w:r>
      <w:r w:rsidRPr="00D76525">
        <w:rPr>
          <w:rStyle w:val="FootnoteReference"/>
          <w:rFonts w:ascii="Arial" w:hAnsi="Arial" w:cs="Arial"/>
          <w:sz w:val="20"/>
          <w:szCs w:val="20"/>
        </w:rPr>
        <w:footnoteReference w:id="16"/>
      </w:r>
    </w:p>
    <w:p w14:paraId="65321816" w14:textId="270341AF" w:rsidR="00843CEE" w:rsidRDefault="00D76525" w:rsidP="00D76525">
      <w:pPr>
        <w:shd w:val="clear" w:color="auto" w:fill="FFFFFF"/>
        <w:spacing w:after="150" w:line="240" w:lineRule="auto"/>
        <w:rPr>
          <w:rFonts w:ascii="Arial" w:hAnsi="Arial" w:cs="Arial"/>
        </w:rPr>
      </w:pPr>
      <w:r>
        <w:rPr>
          <w:rFonts w:ascii="Arial" w:hAnsi="Arial" w:cs="Arial"/>
        </w:rPr>
        <w:t xml:space="preserve">The Queensland Mental Health Commission has a legislative obligation </w:t>
      </w:r>
      <w:r w:rsidR="00843CEE">
        <w:rPr>
          <w:rFonts w:ascii="Arial" w:hAnsi="Arial" w:cs="Arial"/>
        </w:rPr>
        <w:t>to prepare a whole of government strategic plan for the improvement of mental health and substance misuse, and to monitor and report to the Minister on the implementation of the plan.</w:t>
      </w:r>
      <w:r>
        <w:rPr>
          <w:rStyle w:val="FootnoteReference"/>
          <w:rFonts w:ascii="Arial" w:hAnsi="Arial" w:cs="Arial"/>
        </w:rPr>
        <w:footnoteReference w:id="17"/>
      </w:r>
      <w:r w:rsidR="00843CEE">
        <w:rPr>
          <w:rFonts w:ascii="Arial" w:hAnsi="Arial" w:cs="Arial"/>
        </w:rPr>
        <w:t xml:space="preserve">  </w:t>
      </w:r>
    </w:p>
    <w:p w14:paraId="07C298A9" w14:textId="12C5A25D" w:rsidR="00843CEE" w:rsidRDefault="00D76525" w:rsidP="00DA2EDB">
      <w:pPr>
        <w:shd w:val="clear" w:color="auto" w:fill="FFFFFF"/>
        <w:spacing w:after="150" w:line="240" w:lineRule="auto"/>
        <w:rPr>
          <w:rFonts w:ascii="Arial" w:hAnsi="Arial" w:cs="Arial"/>
        </w:rPr>
      </w:pPr>
      <w:r>
        <w:rPr>
          <w:rFonts w:ascii="Arial" w:hAnsi="Arial" w:cs="Arial"/>
        </w:rPr>
        <w:t xml:space="preserve">The QFCC could be similarly charged with a statutory duty or authority to prepare and monitor a whole of government strategy to </w:t>
      </w:r>
      <w:r w:rsidR="00993779">
        <w:rPr>
          <w:rFonts w:ascii="Arial" w:hAnsi="Arial" w:cs="Arial"/>
        </w:rPr>
        <w:t xml:space="preserve">protect the rights and improve the lives of children at risk. </w:t>
      </w:r>
    </w:p>
    <w:p w14:paraId="45A1514C" w14:textId="5D2EBB82" w:rsidR="00F456F3" w:rsidRPr="00F456F3" w:rsidRDefault="00971BAE" w:rsidP="00834229">
      <w:pPr>
        <w:pStyle w:val="Heading2"/>
      </w:pPr>
      <w:bookmarkStart w:id="8" w:name="_Toc131431927"/>
      <w:r>
        <w:t xml:space="preserve">Ensure </w:t>
      </w:r>
      <w:r w:rsidR="009D09B5">
        <w:t>NDIS funded services</w:t>
      </w:r>
      <w:r>
        <w:t xml:space="preserve"> are included</w:t>
      </w:r>
      <w:bookmarkEnd w:id="8"/>
    </w:p>
    <w:p w14:paraId="1EA8BA43" w14:textId="4806CC85" w:rsidR="00F456F3" w:rsidRDefault="00F456F3" w:rsidP="006D61F5">
      <w:pPr>
        <w:shd w:val="clear" w:color="auto" w:fill="FFFFFF"/>
        <w:spacing w:after="150" w:line="240" w:lineRule="auto"/>
        <w:rPr>
          <w:rFonts w:ascii="Arial" w:hAnsi="Arial" w:cs="Arial"/>
        </w:rPr>
      </w:pPr>
      <w:r>
        <w:rPr>
          <w:rFonts w:ascii="Arial" w:hAnsi="Arial" w:cs="Arial"/>
        </w:rPr>
        <w:t>Many children are in receipt of NDIS funding and services</w:t>
      </w:r>
      <w:r w:rsidR="00315FE0">
        <w:rPr>
          <w:rFonts w:ascii="Arial" w:hAnsi="Arial" w:cs="Arial"/>
        </w:rPr>
        <w:t>.</w:t>
      </w:r>
      <w:r>
        <w:rPr>
          <w:rFonts w:ascii="Arial" w:hAnsi="Arial" w:cs="Arial"/>
        </w:rPr>
        <w:t xml:space="preserve"> Consideration should be given to whether the </w:t>
      </w:r>
      <w:r w:rsidR="00DB2A53">
        <w:rPr>
          <w:rFonts w:ascii="Arial" w:hAnsi="Arial" w:cs="Arial"/>
        </w:rPr>
        <w:t xml:space="preserve">FCC Act </w:t>
      </w:r>
      <w:r w:rsidR="00C26215">
        <w:rPr>
          <w:rFonts w:ascii="Arial" w:hAnsi="Arial" w:cs="Arial"/>
        </w:rPr>
        <w:t>sufficiently captures NDIS funded services</w:t>
      </w:r>
      <w:r w:rsidR="00315FE0">
        <w:rPr>
          <w:rFonts w:ascii="Arial" w:hAnsi="Arial" w:cs="Arial"/>
        </w:rPr>
        <w:t xml:space="preserve"> in looking at systems of support for children with disability</w:t>
      </w:r>
      <w:r w:rsidR="0036590C">
        <w:rPr>
          <w:rFonts w:ascii="Arial" w:hAnsi="Arial" w:cs="Arial"/>
        </w:rPr>
        <w:t>, for example,</w:t>
      </w:r>
      <w:r w:rsidR="00316556">
        <w:rPr>
          <w:rFonts w:ascii="Arial" w:hAnsi="Arial" w:cs="Arial"/>
        </w:rPr>
        <w:t xml:space="preserve"> whether they fall</w:t>
      </w:r>
      <w:r w:rsidR="0036590C">
        <w:rPr>
          <w:rFonts w:ascii="Arial" w:hAnsi="Arial" w:cs="Arial"/>
        </w:rPr>
        <w:t xml:space="preserve"> with</w:t>
      </w:r>
      <w:r w:rsidR="00315FE0">
        <w:rPr>
          <w:rFonts w:ascii="Arial" w:hAnsi="Arial" w:cs="Arial"/>
        </w:rPr>
        <w:t>i</w:t>
      </w:r>
      <w:r w:rsidR="0036590C">
        <w:rPr>
          <w:rFonts w:ascii="Arial" w:hAnsi="Arial" w:cs="Arial"/>
        </w:rPr>
        <w:t xml:space="preserve">n the definition of ‘relevant agency’. </w:t>
      </w:r>
      <w:r w:rsidR="00C26215">
        <w:rPr>
          <w:rFonts w:ascii="Arial" w:hAnsi="Arial" w:cs="Arial"/>
        </w:rPr>
        <w:t xml:space="preserve"> </w:t>
      </w:r>
    </w:p>
    <w:p w14:paraId="19A61E33" w14:textId="38924918" w:rsidR="009D09B5" w:rsidRPr="0043617D" w:rsidRDefault="009D09B5" w:rsidP="00834229">
      <w:pPr>
        <w:pStyle w:val="Heading2"/>
        <w:rPr>
          <w:rFonts w:eastAsia="Times New Roman"/>
        </w:rPr>
      </w:pPr>
      <w:bookmarkStart w:id="9" w:name="_Toc131431928"/>
      <w:r w:rsidRPr="0043617D">
        <w:rPr>
          <w:rFonts w:eastAsia="Times New Roman"/>
        </w:rPr>
        <w:t>Strengthen</w:t>
      </w:r>
      <w:r w:rsidR="00EC120E">
        <w:rPr>
          <w:rFonts w:eastAsia="Times New Roman"/>
        </w:rPr>
        <w:t xml:space="preserve"> QFCC </w:t>
      </w:r>
      <w:r w:rsidRPr="0043617D">
        <w:rPr>
          <w:rFonts w:eastAsia="Times New Roman"/>
        </w:rPr>
        <w:t>powers</w:t>
      </w:r>
      <w:r>
        <w:rPr>
          <w:rFonts w:eastAsia="Times New Roman"/>
        </w:rPr>
        <w:t xml:space="preserve"> </w:t>
      </w:r>
      <w:r w:rsidRPr="0043617D">
        <w:rPr>
          <w:rFonts w:eastAsia="Times New Roman"/>
        </w:rPr>
        <w:t xml:space="preserve">to </w:t>
      </w:r>
      <w:r>
        <w:rPr>
          <w:rFonts w:eastAsia="Times New Roman"/>
        </w:rPr>
        <w:t xml:space="preserve">receive and </w:t>
      </w:r>
      <w:r w:rsidRPr="0043617D">
        <w:rPr>
          <w:rFonts w:eastAsia="Times New Roman"/>
        </w:rPr>
        <w:t>compel information</w:t>
      </w:r>
      <w:bookmarkEnd w:id="9"/>
    </w:p>
    <w:p w14:paraId="5BC1419C" w14:textId="3227D994" w:rsidR="006D61F5" w:rsidRPr="006D61F5" w:rsidRDefault="009D09B5" w:rsidP="006D61F5">
      <w:pPr>
        <w:shd w:val="clear" w:color="auto" w:fill="FFFFFF"/>
        <w:spacing w:after="150" w:line="240" w:lineRule="auto"/>
        <w:rPr>
          <w:rFonts w:ascii="Arial" w:hAnsi="Arial" w:cs="Arial"/>
        </w:rPr>
      </w:pPr>
      <w:r>
        <w:rPr>
          <w:rFonts w:ascii="Arial" w:hAnsi="Arial" w:cs="Arial"/>
        </w:rPr>
        <w:t>As above.</w:t>
      </w:r>
    </w:p>
    <w:p w14:paraId="433F676C" w14:textId="509F9061" w:rsidR="00320B7F" w:rsidRDefault="00320B7F" w:rsidP="006A6E7E">
      <w:pPr>
        <w:pStyle w:val="Heading1"/>
      </w:pPr>
      <w:bookmarkStart w:id="10" w:name="_Hlk131430475"/>
      <w:r w:rsidRPr="00320B7F">
        <w:t xml:space="preserve">TOR 5d. whether the tabling/reporting requirements set out in the Act are appropriate to demonstrate outcomes and independence of the QFCC; </w:t>
      </w:r>
    </w:p>
    <w:p w14:paraId="2036BA8D" w14:textId="2A79B6B7" w:rsidR="00EC120E" w:rsidRDefault="00EC120E" w:rsidP="00834229">
      <w:pPr>
        <w:pStyle w:val="Heading2"/>
        <w:rPr>
          <w:rFonts w:eastAsia="Times New Roman"/>
          <w:lang w:eastAsia="en-AU"/>
        </w:rPr>
      </w:pPr>
      <w:bookmarkStart w:id="11" w:name="_Toc131431929"/>
      <w:bookmarkEnd w:id="10"/>
      <w:r>
        <w:rPr>
          <w:rFonts w:eastAsia="Times New Roman"/>
          <w:lang w:eastAsia="en-AU"/>
        </w:rPr>
        <w:t>Ensure all QFCC reports must be tabled with the Legislative Assembly</w:t>
      </w:r>
      <w:bookmarkEnd w:id="11"/>
    </w:p>
    <w:p w14:paraId="2F67FE96" w14:textId="3FBC087B" w:rsidR="00320B7F" w:rsidRPr="00482457" w:rsidRDefault="00320B7F" w:rsidP="00320B7F">
      <w:pPr>
        <w:shd w:val="clear" w:color="auto" w:fill="FFFFFF"/>
        <w:spacing w:after="150" w:line="240" w:lineRule="auto"/>
        <w:rPr>
          <w:rFonts w:ascii="Arial" w:hAnsi="Arial" w:cs="Arial"/>
          <w:color w:val="000000"/>
          <w:shd w:val="clear" w:color="auto" w:fill="FFFFFF"/>
        </w:rPr>
      </w:pPr>
      <w:r w:rsidRPr="00482457">
        <w:rPr>
          <w:rFonts w:ascii="Arial" w:eastAsia="Times New Roman" w:hAnsi="Arial" w:cs="Arial"/>
          <w:color w:val="000000"/>
          <w:lang w:eastAsia="en-AU"/>
        </w:rPr>
        <w:t>Under s</w:t>
      </w:r>
      <w:r w:rsidR="00747FA9">
        <w:rPr>
          <w:rFonts w:ascii="Arial" w:eastAsia="Times New Roman" w:hAnsi="Arial" w:cs="Arial"/>
          <w:color w:val="000000"/>
          <w:lang w:eastAsia="en-AU"/>
        </w:rPr>
        <w:t>ection</w:t>
      </w:r>
      <w:r w:rsidRPr="00482457">
        <w:rPr>
          <w:rFonts w:ascii="Arial" w:eastAsia="Times New Roman" w:hAnsi="Arial" w:cs="Arial"/>
          <w:color w:val="000000"/>
          <w:lang w:eastAsia="en-AU"/>
        </w:rPr>
        <w:t xml:space="preserve"> 9</w:t>
      </w:r>
      <w:r w:rsidR="00747FA9">
        <w:rPr>
          <w:rFonts w:ascii="Arial" w:eastAsia="Times New Roman" w:hAnsi="Arial" w:cs="Arial"/>
          <w:color w:val="000000"/>
          <w:lang w:eastAsia="en-AU"/>
        </w:rPr>
        <w:t>(1)</w:t>
      </w:r>
      <w:r w:rsidRPr="00482457">
        <w:rPr>
          <w:rFonts w:ascii="Arial" w:eastAsia="Times New Roman" w:hAnsi="Arial" w:cs="Arial"/>
          <w:color w:val="000000"/>
          <w:lang w:eastAsia="en-AU"/>
        </w:rPr>
        <w:t>(j)</w:t>
      </w:r>
      <w:r w:rsidR="00482457" w:rsidRPr="00482457">
        <w:rPr>
          <w:rFonts w:ascii="Arial" w:eastAsia="Times New Roman" w:hAnsi="Arial" w:cs="Arial"/>
          <w:color w:val="000000"/>
          <w:lang w:eastAsia="en-AU"/>
        </w:rPr>
        <w:t xml:space="preserve"> of the FCC Act</w:t>
      </w:r>
      <w:r w:rsidRPr="00482457">
        <w:rPr>
          <w:rFonts w:ascii="Arial" w:eastAsia="Times New Roman" w:hAnsi="Arial" w:cs="Arial"/>
          <w:color w:val="000000"/>
          <w:lang w:eastAsia="en-AU"/>
        </w:rPr>
        <w:t xml:space="preserve">, the </w:t>
      </w:r>
      <w:r w:rsidR="00482457" w:rsidRPr="00482457">
        <w:rPr>
          <w:rFonts w:ascii="Arial" w:eastAsia="Times New Roman" w:hAnsi="Arial" w:cs="Arial"/>
          <w:color w:val="000000"/>
          <w:lang w:eastAsia="en-AU"/>
        </w:rPr>
        <w:t xml:space="preserve">QFCC’s </w:t>
      </w:r>
      <w:r w:rsidRPr="00482457">
        <w:rPr>
          <w:rFonts w:ascii="Arial" w:eastAsia="Times New Roman" w:hAnsi="Arial" w:cs="Arial"/>
          <w:color w:val="000000"/>
          <w:lang w:eastAsia="en-AU"/>
        </w:rPr>
        <w:t>functions include ‘</w:t>
      </w:r>
      <w:r w:rsidRPr="00482457">
        <w:rPr>
          <w:rFonts w:ascii="Arial" w:hAnsi="Arial" w:cs="Arial"/>
          <w:color w:val="000000"/>
          <w:shd w:val="clear" w:color="auto" w:fill="FFFFFF"/>
        </w:rPr>
        <w:t xml:space="preserve">to report to the Minister about matters relating to a function </w:t>
      </w:r>
      <w:r w:rsidR="00747FA9">
        <w:rPr>
          <w:rFonts w:ascii="Arial" w:hAnsi="Arial" w:cs="Arial"/>
          <w:color w:val="000000"/>
          <w:shd w:val="clear" w:color="auto" w:fill="FFFFFF"/>
        </w:rPr>
        <w:t>…</w:t>
      </w:r>
      <w:r w:rsidR="00482457" w:rsidRPr="00482457">
        <w:rPr>
          <w:rFonts w:ascii="Arial" w:hAnsi="Arial" w:cs="Arial"/>
          <w:color w:val="000000"/>
          <w:shd w:val="clear" w:color="auto" w:fill="FFFFFF"/>
        </w:rPr>
        <w:t>’</w:t>
      </w:r>
      <w:r w:rsidRPr="00482457">
        <w:rPr>
          <w:rFonts w:ascii="Arial" w:hAnsi="Arial" w:cs="Arial"/>
          <w:color w:val="000000"/>
          <w:shd w:val="clear" w:color="auto" w:fill="FFFFFF"/>
        </w:rPr>
        <w:t xml:space="preserve">. The </w:t>
      </w:r>
      <w:r w:rsidR="00482457" w:rsidRPr="00482457">
        <w:rPr>
          <w:rFonts w:ascii="Arial" w:hAnsi="Arial" w:cs="Arial"/>
          <w:color w:val="000000"/>
          <w:shd w:val="clear" w:color="auto" w:fill="FFFFFF"/>
        </w:rPr>
        <w:t xml:space="preserve">FCC </w:t>
      </w:r>
      <w:r w:rsidRPr="00482457">
        <w:rPr>
          <w:rFonts w:ascii="Arial" w:hAnsi="Arial" w:cs="Arial"/>
          <w:color w:val="000000"/>
          <w:shd w:val="clear" w:color="auto" w:fill="FFFFFF"/>
        </w:rPr>
        <w:t xml:space="preserve">Act also provides for annual reports to </w:t>
      </w:r>
      <w:r w:rsidR="00747FA9">
        <w:rPr>
          <w:rFonts w:ascii="Arial" w:hAnsi="Arial" w:cs="Arial"/>
          <w:color w:val="000000"/>
          <w:shd w:val="clear" w:color="auto" w:fill="FFFFFF"/>
        </w:rPr>
        <w:t xml:space="preserve">be </w:t>
      </w:r>
      <w:r w:rsidR="00747FA9">
        <w:rPr>
          <w:rFonts w:ascii="Arial" w:hAnsi="Arial" w:cs="Arial"/>
          <w:color w:val="000000"/>
          <w:shd w:val="clear" w:color="auto" w:fill="FFFFFF"/>
        </w:rPr>
        <w:lastRenderedPageBreak/>
        <w:t xml:space="preserve">given to </w:t>
      </w:r>
      <w:r w:rsidRPr="00482457">
        <w:rPr>
          <w:rFonts w:ascii="Arial" w:hAnsi="Arial" w:cs="Arial"/>
          <w:color w:val="000000"/>
          <w:shd w:val="clear" w:color="auto" w:fill="FFFFFF"/>
        </w:rPr>
        <w:t>the Minister</w:t>
      </w:r>
      <w:r w:rsidR="00747FA9">
        <w:rPr>
          <w:rFonts w:ascii="Arial" w:hAnsi="Arial" w:cs="Arial"/>
          <w:color w:val="000000"/>
          <w:shd w:val="clear" w:color="auto" w:fill="FFFFFF"/>
        </w:rPr>
        <w:t>,</w:t>
      </w:r>
      <w:r w:rsidRPr="00482457">
        <w:rPr>
          <w:rFonts w:ascii="Arial" w:hAnsi="Arial" w:cs="Arial"/>
          <w:color w:val="000000"/>
          <w:shd w:val="clear" w:color="auto" w:fill="FFFFFF"/>
        </w:rPr>
        <w:t xml:space="preserve"> which </w:t>
      </w:r>
      <w:r w:rsidR="00CE108E">
        <w:rPr>
          <w:rFonts w:ascii="Arial" w:hAnsi="Arial" w:cs="Arial"/>
          <w:color w:val="000000"/>
          <w:shd w:val="clear" w:color="auto" w:fill="FFFFFF"/>
        </w:rPr>
        <w:t>the Minister must table in</w:t>
      </w:r>
      <w:r w:rsidRPr="00482457">
        <w:rPr>
          <w:rFonts w:ascii="Arial" w:hAnsi="Arial" w:cs="Arial"/>
          <w:color w:val="000000"/>
          <w:shd w:val="clear" w:color="auto" w:fill="FFFFFF"/>
        </w:rPr>
        <w:t xml:space="preserve"> the Legislative Assembly</w:t>
      </w:r>
      <w:r w:rsidR="00747FA9">
        <w:rPr>
          <w:rStyle w:val="FootnoteReference"/>
          <w:rFonts w:ascii="Arial" w:hAnsi="Arial" w:cs="Arial"/>
          <w:color w:val="000000"/>
          <w:shd w:val="clear" w:color="auto" w:fill="FFFFFF"/>
        </w:rPr>
        <w:footnoteReference w:id="18"/>
      </w:r>
      <w:r w:rsidRPr="00482457">
        <w:rPr>
          <w:rFonts w:ascii="Arial" w:hAnsi="Arial" w:cs="Arial"/>
          <w:color w:val="000000"/>
          <w:shd w:val="clear" w:color="auto" w:fill="FFFFFF"/>
        </w:rPr>
        <w:t xml:space="preserve">, and Child Death </w:t>
      </w:r>
      <w:r w:rsidR="00747FA9">
        <w:rPr>
          <w:rFonts w:ascii="Arial" w:hAnsi="Arial" w:cs="Arial"/>
          <w:color w:val="000000"/>
          <w:shd w:val="clear" w:color="auto" w:fill="FFFFFF"/>
        </w:rPr>
        <w:t xml:space="preserve">Review Board </w:t>
      </w:r>
      <w:r w:rsidRPr="00482457">
        <w:rPr>
          <w:rFonts w:ascii="Arial" w:hAnsi="Arial" w:cs="Arial"/>
          <w:color w:val="000000"/>
          <w:shd w:val="clear" w:color="auto" w:fill="FFFFFF"/>
        </w:rPr>
        <w:t xml:space="preserve">reports, over which the Minister has discretion of whether </w:t>
      </w:r>
      <w:r w:rsidR="003F767B">
        <w:rPr>
          <w:rFonts w:ascii="Arial" w:hAnsi="Arial" w:cs="Arial"/>
          <w:color w:val="000000"/>
          <w:shd w:val="clear" w:color="auto" w:fill="FFFFFF"/>
        </w:rPr>
        <w:t xml:space="preserve">to </w:t>
      </w:r>
      <w:r w:rsidRPr="00482457">
        <w:rPr>
          <w:rFonts w:ascii="Arial" w:hAnsi="Arial" w:cs="Arial"/>
          <w:color w:val="000000"/>
          <w:shd w:val="clear" w:color="auto" w:fill="FFFFFF"/>
        </w:rPr>
        <w:t>table.</w:t>
      </w:r>
      <w:r w:rsidR="00747FA9">
        <w:rPr>
          <w:rStyle w:val="FootnoteReference"/>
          <w:rFonts w:ascii="Arial" w:hAnsi="Arial" w:cs="Arial"/>
          <w:color w:val="000000"/>
          <w:shd w:val="clear" w:color="auto" w:fill="FFFFFF"/>
        </w:rPr>
        <w:footnoteReference w:id="19"/>
      </w:r>
      <w:r w:rsidRPr="00482457">
        <w:rPr>
          <w:rFonts w:ascii="Arial" w:hAnsi="Arial" w:cs="Arial"/>
          <w:color w:val="000000"/>
          <w:shd w:val="clear" w:color="auto" w:fill="FFFFFF"/>
        </w:rPr>
        <w:t xml:space="preserve"> </w:t>
      </w:r>
    </w:p>
    <w:p w14:paraId="439E9B75" w14:textId="0BB0A405" w:rsidR="00320B7F" w:rsidRPr="00482457" w:rsidRDefault="00482457" w:rsidP="00320B7F">
      <w:pPr>
        <w:shd w:val="clear" w:color="auto" w:fill="FFFFFF"/>
        <w:spacing w:after="150" w:line="240" w:lineRule="auto"/>
        <w:rPr>
          <w:rFonts w:ascii="Arial" w:hAnsi="Arial" w:cs="Arial"/>
          <w:color w:val="000000"/>
          <w:shd w:val="clear" w:color="auto" w:fill="FFFFFF"/>
        </w:rPr>
      </w:pPr>
      <w:r>
        <w:rPr>
          <w:rFonts w:ascii="Arial" w:hAnsi="Arial" w:cs="Arial"/>
          <w:color w:val="000000"/>
          <w:shd w:val="clear" w:color="auto" w:fill="FFFFFF"/>
        </w:rPr>
        <w:t>For reasons of transparency and independence, t</w:t>
      </w:r>
      <w:r w:rsidRPr="00482457">
        <w:rPr>
          <w:rFonts w:ascii="Arial" w:hAnsi="Arial" w:cs="Arial"/>
          <w:color w:val="000000"/>
          <w:shd w:val="clear" w:color="auto" w:fill="FFFFFF"/>
        </w:rPr>
        <w:t xml:space="preserve">he QHRC recommends that </w:t>
      </w:r>
      <w:bookmarkStart w:id="12" w:name="_Hlk131430509"/>
      <w:r w:rsidR="00747FA9">
        <w:rPr>
          <w:rFonts w:ascii="Arial" w:hAnsi="Arial" w:cs="Arial"/>
          <w:color w:val="000000"/>
          <w:shd w:val="clear" w:color="auto" w:fill="FFFFFF"/>
        </w:rPr>
        <w:t xml:space="preserve">all </w:t>
      </w:r>
      <w:r w:rsidRPr="00482457">
        <w:rPr>
          <w:rFonts w:ascii="Arial" w:hAnsi="Arial" w:cs="Arial"/>
          <w:color w:val="000000"/>
          <w:shd w:val="clear" w:color="auto" w:fill="FFFFFF"/>
        </w:rPr>
        <w:t xml:space="preserve">QFCC </w:t>
      </w:r>
      <w:r w:rsidR="00320B7F" w:rsidRPr="00482457">
        <w:rPr>
          <w:rFonts w:ascii="Arial" w:hAnsi="Arial" w:cs="Arial"/>
          <w:color w:val="000000"/>
          <w:shd w:val="clear" w:color="auto" w:fill="FFFFFF"/>
        </w:rPr>
        <w:t xml:space="preserve">reports </w:t>
      </w:r>
      <w:r w:rsidR="00747FA9">
        <w:rPr>
          <w:rFonts w:ascii="Arial" w:hAnsi="Arial" w:cs="Arial"/>
          <w:color w:val="000000"/>
          <w:shd w:val="clear" w:color="auto" w:fill="FFFFFF"/>
        </w:rPr>
        <w:t xml:space="preserve">to be given to the Minister </w:t>
      </w:r>
      <w:r w:rsidR="00320B7F" w:rsidRPr="00482457">
        <w:rPr>
          <w:rFonts w:ascii="Arial" w:hAnsi="Arial" w:cs="Arial"/>
          <w:color w:val="000000"/>
          <w:shd w:val="clear" w:color="auto" w:fill="FFFFFF"/>
        </w:rPr>
        <w:t>should be required to be tabled, subject to privacy rights of individuals identified in the report and procedural fairness</w:t>
      </w:r>
      <w:r w:rsidR="00CE108E">
        <w:rPr>
          <w:rFonts w:ascii="Arial" w:hAnsi="Arial" w:cs="Arial"/>
          <w:color w:val="000000"/>
          <w:shd w:val="clear" w:color="auto" w:fill="FFFFFF"/>
        </w:rPr>
        <w:t xml:space="preserve"> being considered prior to their publication</w:t>
      </w:r>
      <w:r w:rsidR="00320B7F" w:rsidRPr="00482457">
        <w:rPr>
          <w:rFonts w:ascii="Arial" w:hAnsi="Arial" w:cs="Arial"/>
          <w:color w:val="000000"/>
          <w:shd w:val="clear" w:color="auto" w:fill="FFFFFF"/>
        </w:rPr>
        <w:t xml:space="preserve">. </w:t>
      </w:r>
    </w:p>
    <w:p w14:paraId="61B0E195" w14:textId="40424BFC" w:rsidR="00320B7F" w:rsidRDefault="00320B7F" w:rsidP="006A6E7E">
      <w:pPr>
        <w:pStyle w:val="Heading1"/>
      </w:pPr>
      <w:bookmarkStart w:id="13" w:name="_Hlk131430531"/>
      <w:bookmarkEnd w:id="12"/>
      <w:r w:rsidRPr="00320B7F">
        <w:t xml:space="preserve">TOR 5h: whether any amendments should be made to the Act to provide for the enhanced independence of the QFCC in the performance of its current functions under the Act. </w:t>
      </w:r>
    </w:p>
    <w:p w14:paraId="4A69E6E0" w14:textId="277AAB56" w:rsidR="00B05188" w:rsidRPr="006A6E7E" w:rsidRDefault="00EC120E" w:rsidP="00834229">
      <w:pPr>
        <w:pStyle w:val="Heading2"/>
      </w:pPr>
      <w:bookmarkStart w:id="14" w:name="_Toc131431930"/>
      <w:r w:rsidRPr="006A6E7E">
        <w:t>QFCC should not be generally subject to ministerial direction</w:t>
      </w:r>
      <w:bookmarkEnd w:id="14"/>
    </w:p>
    <w:bookmarkEnd w:id="13"/>
    <w:p w14:paraId="0D4E80D2" w14:textId="00DB2507" w:rsidR="00320B7F" w:rsidRPr="00F05319" w:rsidRDefault="00320B7F" w:rsidP="00320B7F">
      <w:pPr>
        <w:shd w:val="clear" w:color="auto" w:fill="FFFFFF"/>
        <w:spacing w:after="150" w:line="240" w:lineRule="auto"/>
        <w:rPr>
          <w:rFonts w:ascii="Arial" w:eastAsia="Times New Roman" w:hAnsi="Arial" w:cs="Arial"/>
          <w:color w:val="000000"/>
          <w:lang w:eastAsia="en-AU"/>
        </w:rPr>
      </w:pPr>
      <w:r w:rsidRPr="00F05319">
        <w:rPr>
          <w:rFonts w:ascii="Arial" w:eastAsia="Times New Roman" w:hAnsi="Arial" w:cs="Arial"/>
          <w:color w:val="000000"/>
          <w:lang w:eastAsia="en-AU"/>
        </w:rPr>
        <w:t>Under s</w:t>
      </w:r>
      <w:r w:rsidR="00482457" w:rsidRPr="00F05319">
        <w:rPr>
          <w:rFonts w:ascii="Arial" w:eastAsia="Times New Roman" w:hAnsi="Arial" w:cs="Arial"/>
          <w:color w:val="000000"/>
          <w:lang w:eastAsia="en-AU"/>
        </w:rPr>
        <w:t>ection</w:t>
      </w:r>
      <w:r w:rsidRPr="00F05319">
        <w:rPr>
          <w:rFonts w:ascii="Arial" w:eastAsia="Times New Roman" w:hAnsi="Arial" w:cs="Arial"/>
          <w:color w:val="000000"/>
          <w:lang w:eastAsia="en-AU"/>
        </w:rPr>
        <w:t xml:space="preserve"> 22 of the </w:t>
      </w:r>
      <w:r w:rsidR="00482457" w:rsidRPr="00F05319">
        <w:rPr>
          <w:rFonts w:ascii="Arial" w:eastAsia="Times New Roman" w:hAnsi="Arial" w:cs="Arial"/>
          <w:color w:val="000000"/>
          <w:lang w:eastAsia="en-AU"/>
        </w:rPr>
        <w:t xml:space="preserve">FCC </w:t>
      </w:r>
      <w:r w:rsidRPr="00F05319">
        <w:rPr>
          <w:rFonts w:ascii="Arial" w:eastAsia="Times New Roman" w:hAnsi="Arial" w:cs="Arial"/>
          <w:color w:val="000000"/>
          <w:lang w:eastAsia="en-AU"/>
        </w:rPr>
        <w:t xml:space="preserve">Act, </w:t>
      </w:r>
    </w:p>
    <w:p w14:paraId="17B0AC4B" w14:textId="473061E1" w:rsidR="00320B7F" w:rsidRPr="00747FA9" w:rsidRDefault="00320B7F" w:rsidP="00747FA9">
      <w:pPr>
        <w:shd w:val="clear" w:color="auto" w:fill="FFFFFF"/>
        <w:spacing w:after="120" w:line="240" w:lineRule="auto"/>
        <w:ind w:left="1418" w:hanging="818"/>
        <w:rPr>
          <w:rFonts w:ascii="Arial" w:eastAsia="Times New Roman" w:hAnsi="Arial" w:cs="Arial"/>
          <w:color w:val="000000"/>
          <w:sz w:val="20"/>
          <w:szCs w:val="20"/>
          <w:lang w:eastAsia="en-AU"/>
        </w:rPr>
      </w:pPr>
      <w:r w:rsidRPr="00747FA9">
        <w:rPr>
          <w:rFonts w:ascii="Arial" w:eastAsia="Times New Roman" w:hAnsi="Arial" w:cs="Arial"/>
          <w:color w:val="000000"/>
          <w:sz w:val="20"/>
          <w:szCs w:val="20"/>
          <w:lang w:eastAsia="en-AU"/>
        </w:rPr>
        <w:t>(1)</w:t>
      </w:r>
      <w:r w:rsidR="00747FA9">
        <w:rPr>
          <w:rFonts w:ascii="Arial" w:eastAsia="Times New Roman" w:hAnsi="Arial" w:cs="Arial"/>
          <w:color w:val="000000"/>
          <w:sz w:val="20"/>
          <w:szCs w:val="20"/>
          <w:lang w:eastAsia="en-AU"/>
        </w:rPr>
        <w:tab/>
      </w:r>
      <w:r w:rsidRPr="00747FA9">
        <w:rPr>
          <w:rFonts w:ascii="Arial" w:eastAsia="Times New Roman" w:hAnsi="Arial" w:cs="Arial"/>
          <w:color w:val="000000"/>
          <w:sz w:val="20"/>
          <w:szCs w:val="20"/>
          <w:lang w:eastAsia="en-AU"/>
        </w:rPr>
        <w:t>A commissioner is subject to the directions of the Minister in performing the commissioner’s functions under this Act.</w:t>
      </w:r>
    </w:p>
    <w:p w14:paraId="6FCE6EF8" w14:textId="113593D5" w:rsidR="00320B7F" w:rsidRPr="00747FA9" w:rsidRDefault="00320B7F" w:rsidP="00747FA9">
      <w:pPr>
        <w:shd w:val="clear" w:color="auto" w:fill="FFFFFF"/>
        <w:spacing w:after="120" w:line="240" w:lineRule="auto"/>
        <w:ind w:left="851" w:hanging="251"/>
        <w:rPr>
          <w:rFonts w:ascii="Arial" w:eastAsia="Times New Roman" w:hAnsi="Arial" w:cs="Arial"/>
          <w:color w:val="000000"/>
          <w:sz w:val="20"/>
          <w:szCs w:val="20"/>
          <w:lang w:eastAsia="en-AU"/>
        </w:rPr>
      </w:pPr>
      <w:r w:rsidRPr="00747FA9">
        <w:rPr>
          <w:rFonts w:ascii="Arial" w:eastAsia="Times New Roman" w:hAnsi="Arial" w:cs="Arial"/>
          <w:color w:val="000000"/>
          <w:sz w:val="20"/>
          <w:szCs w:val="20"/>
          <w:lang w:eastAsia="en-AU"/>
        </w:rPr>
        <w:t>(2)</w:t>
      </w:r>
      <w:r w:rsidR="00B9310B">
        <w:rPr>
          <w:rFonts w:ascii="Arial" w:eastAsia="Times New Roman" w:hAnsi="Arial" w:cs="Arial"/>
          <w:color w:val="000000"/>
          <w:sz w:val="20"/>
          <w:szCs w:val="20"/>
          <w:lang w:eastAsia="en-AU"/>
        </w:rPr>
        <w:tab/>
      </w:r>
      <w:r w:rsidR="00747FA9">
        <w:rPr>
          <w:rFonts w:ascii="Arial" w:eastAsia="Times New Roman" w:hAnsi="Arial" w:cs="Arial"/>
          <w:color w:val="000000"/>
          <w:sz w:val="20"/>
          <w:szCs w:val="20"/>
          <w:lang w:eastAsia="en-AU"/>
        </w:rPr>
        <w:tab/>
      </w:r>
      <w:r w:rsidRPr="00747FA9">
        <w:rPr>
          <w:rFonts w:ascii="Arial" w:eastAsia="Times New Roman" w:hAnsi="Arial" w:cs="Arial"/>
          <w:color w:val="000000"/>
          <w:sz w:val="20"/>
          <w:szCs w:val="20"/>
          <w:lang w:eastAsia="en-AU"/>
        </w:rPr>
        <w:t>The commissioner must comply with a direction given by the Minister.</w:t>
      </w:r>
    </w:p>
    <w:p w14:paraId="5D8402FF" w14:textId="722825C7" w:rsidR="00320B7F" w:rsidRPr="00F05319" w:rsidRDefault="00320B7F" w:rsidP="00320B7F">
      <w:pPr>
        <w:rPr>
          <w:rFonts w:ascii="Arial" w:hAnsi="Arial" w:cs="Arial"/>
        </w:rPr>
      </w:pPr>
      <w:r w:rsidRPr="00F05319">
        <w:rPr>
          <w:rFonts w:ascii="Arial" w:hAnsi="Arial" w:cs="Arial"/>
        </w:rPr>
        <w:t>Directions of the Minister under this provision must be recorded in QFCC’s annual report.</w:t>
      </w:r>
      <w:r w:rsidR="00482457" w:rsidRPr="00F05319">
        <w:rPr>
          <w:rStyle w:val="FootnoteReference"/>
          <w:rFonts w:ascii="Arial" w:hAnsi="Arial" w:cs="Arial"/>
        </w:rPr>
        <w:footnoteReference w:id="20"/>
      </w:r>
    </w:p>
    <w:p w14:paraId="2C73E7D9" w14:textId="4D860B35" w:rsidR="00320B7F" w:rsidRPr="00F05319" w:rsidRDefault="00F05319" w:rsidP="00320B7F">
      <w:pPr>
        <w:rPr>
          <w:rFonts w:ascii="Arial" w:hAnsi="Arial" w:cs="Arial"/>
        </w:rPr>
      </w:pPr>
      <w:r w:rsidRPr="00F05319">
        <w:rPr>
          <w:rFonts w:ascii="Arial" w:hAnsi="Arial" w:cs="Arial"/>
        </w:rPr>
        <w:t xml:space="preserve">The </w:t>
      </w:r>
      <w:r w:rsidR="00320B7F" w:rsidRPr="00F05319">
        <w:rPr>
          <w:rFonts w:ascii="Arial" w:hAnsi="Arial" w:cs="Arial"/>
        </w:rPr>
        <w:t>Child Death Review Board must act independently and in the public interest, and is not subject to Minister direction about how to perform its functions under s 22</w:t>
      </w:r>
      <w:r w:rsidRPr="00F05319">
        <w:rPr>
          <w:rFonts w:ascii="Arial" w:hAnsi="Arial" w:cs="Arial"/>
        </w:rPr>
        <w:t xml:space="preserve"> of the FCC Act</w:t>
      </w:r>
      <w:r w:rsidR="00320B7F" w:rsidRPr="00F05319">
        <w:rPr>
          <w:rFonts w:ascii="Arial" w:hAnsi="Arial" w:cs="Arial"/>
        </w:rPr>
        <w:t>.</w:t>
      </w:r>
      <w:r w:rsidRPr="00F05319">
        <w:rPr>
          <w:rStyle w:val="FootnoteReference"/>
          <w:rFonts w:ascii="Arial" w:hAnsi="Arial" w:cs="Arial"/>
        </w:rPr>
        <w:footnoteReference w:id="21"/>
      </w:r>
      <w:r w:rsidR="00320B7F" w:rsidRPr="00F05319">
        <w:rPr>
          <w:rFonts w:ascii="Arial" w:hAnsi="Arial" w:cs="Arial"/>
        </w:rPr>
        <w:t xml:space="preserve"> </w:t>
      </w:r>
    </w:p>
    <w:p w14:paraId="7592494B" w14:textId="4F751EA8" w:rsidR="00320B7F" w:rsidRDefault="00320B7F" w:rsidP="00320B7F">
      <w:pPr>
        <w:rPr>
          <w:rFonts w:ascii="Arial" w:hAnsi="Arial" w:cs="Arial"/>
        </w:rPr>
      </w:pPr>
      <w:r w:rsidRPr="00F05319">
        <w:rPr>
          <w:rFonts w:ascii="Arial" w:hAnsi="Arial" w:cs="Arial"/>
        </w:rPr>
        <w:t xml:space="preserve">While it may be appropriate in some instances </w:t>
      </w:r>
      <w:r w:rsidR="00F05319" w:rsidRPr="00F05319">
        <w:rPr>
          <w:rFonts w:ascii="Arial" w:hAnsi="Arial" w:cs="Arial"/>
        </w:rPr>
        <w:t xml:space="preserve">for the Minister </w:t>
      </w:r>
      <w:r w:rsidRPr="00F05319">
        <w:rPr>
          <w:rFonts w:ascii="Arial" w:hAnsi="Arial" w:cs="Arial"/>
        </w:rPr>
        <w:t xml:space="preserve">to direct a particular review or report be undertaken, a general obligation to be subject to the direction of the Minister is inconsistent with the independence and impartiality an entity like the QFCC </w:t>
      </w:r>
      <w:r w:rsidR="00F05319" w:rsidRPr="00F05319">
        <w:rPr>
          <w:rFonts w:ascii="Arial" w:hAnsi="Arial" w:cs="Arial"/>
        </w:rPr>
        <w:t xml:space="preserve">is expected to </w:t>
      </w:r>
      <w:r w:rsidRPr="00F05319">
        <w:rPr>
          <w:rFonts w:ascii="Arial" w:hAnsi="Arial" w:cs="Arial"/>
        </w:rPr>
        <w:t xml:space="preserve">have in order to properly carry out its </w:t>
      </w:r>
      <w:r w:rsidR="00CB358F">
        <w:rPr>
          <w:rFonts w:ascii="Arial" w:hAnsi="Arial" w:cs="Arial"/>
        </w:rPr>
        <w:t xml:space="preserve">oversight </w:t>
      </w:r>
      <w:r w:rsidRPr="00F05319">
        <w:rPr>
          <w:rFonts w:ascii="Arial" w:hAnsi="Arial" w:cs="Arial"/>
        </w:rPr>
        <w:t>functions.</w:t>
      </w:r>
    </w:p>
    <w:p w14:paraId="5B25E96C" w14:textId="620653E1" w:rsidR="00B9310B" w:rsidRDefault="00B9310B" w:rsidP="00320B7F">
      <w:pPr>
        <w:rPr>
          <w:rFonts w:ascii="Arial" w:hAnsi="Arial" w:cs="Arial"/>
        </w:rPr>
      </w:pPr>
      <w:r>
        <w:rPr>
          <w:rFonts w:ascii="Arial" w:hAnsi="Arial" w:cs="Arial"/>
        </w:rPr>
        <w:t>At the least, it would be appropriate to make clear in the FCC Act that in performing its functions, the Commissioner is to act independently and impartially, as suggested in the consultation paper.</w:t>
      </w:r>
      <w:r>
        <w:rPr>
          <w:rStyle w:val="FootnoteReference"/>
          <w:rFonts w:ascii="Arial" w:hAnsi="Arial" w:cs="Arial"/>
        </w:rPr>
        <w:footnoteReference w:id="22"/>
      </w:r>
      <w:r>
        <w:rPr>
          <w:rFonts w:ascii="Arial" w:hAnsi="Arial" w:cs="Arial"/>
        </w:rPr>
        <w:t xml:space="preserve"> </w:t>
      </w:r>
    </w:p>
    <w:p w14:paraId="244361A8" w14:textId="2C4DD487" w:rsidR="00CB358F" w:rsidRDefault="00CB358F" w:rsidP="00320B7F">
      <w:pPr>
        <w:rPr>
          <w:rFonts w:ascii="Arial" w:hAnsi="Arial" w:cs="Arial"/>
        </w:rPr>
      </w:pPr>
      <w:r>
        <w:rPr>
          <w:rFonts w:ascii="Arial" w:hAnsi="Arial" w:cs="Arial"/>
        </w:rPr>
        <w:t xml:space="preserve">Questions regarding this submission can be directed to Rebekah Leong on 3021 9127 or </w:t>
      </w:r>
      <w:hyperlink r:id="rId9" w:history="1">
        <w:r w:rsidRPr="00C279CC">
          <w:rPr>
            <w:rStyle w:val="Hyperlink"/>
            <w:rFonts w:ascii="Arial" w:hAnsi="Arial" w:cs="Arial"/>
          </w:rPr>
          <w:t>rebekah.leong@qhrc.qld.gov.au</w:t>
        </w:r>
      </w:hyperlink>
      <w:r>
        <w:rPr>
          <w:rFonts w:ascii="Arial" w:hAnsi="Arial" w:cs="Arial"/>
        </w:rPr>
        <w:t xml:space="preserve">. </w:t>
      </w:r>
    </w:p>
    <w:p w14:paraId="7DFDDF04" w14:textId="77777777" w:rsidR="003647CE" w:rsidRPr="00F05319" w:rsidRDefault="003647CE" w:rsidP="003647CE">
      <w:pPr>
        <w:spacing w:before="240" w:after="0" w:line="240" w:lineRule="auto"/>
        <w:rPr>
          <w:rFonts w:ascii="Arial" w:eastAsia="Times New Roman" w:hAnsi="Arial" w:cs="Arial"/>
          <w:color w:val="000000"/>
          <w:lang w:eastAsia="en-AU"/>
        </w:rPr>
      </w:pPr>
      <w:r w:rsidRPr="00F05319">
        <w:rPr>
          <w:rFonts w:ascii="Arial" w:eastAsia="Times New Roman" w:hAnsi="Arial" w:cs="Arial"/>
          <w:color w:val="000000"/>
          <w:lang w:eastAsia="en-AU"/>
        </w:rPr>
        <w:t>Yours sincerely</w:t>
      </w:r>
    </w:p>
    <w:p w14:paraId="0F61A2CE" w14:textId="124782FE" w:rsidR="003647CE" w:rsidRDefault="003647CE" w:rsidP="003647CE">
      <w:pPr>
        <w:spacing w:before="120" w:after="0" w:line="240" w:lineRule="auto"/>
        <w:rPr>
          <w:rFonts w:ascii="Arial" w:eastAsia="Times New Roman" w:hAnsi="Arial" w:cs="Arial"/>
          <w:noProof/>
          <w:color w:val="000000"/>
          <w:lang w:eastAsia="en-AU"/>
        </w:rPr>
      </w:pPr>
    </w:p>
    <w:p w14:paraId="7DA711EE" w14:textId="34712805" w:rsidR="001A0C63" w:rsidRPr="007957FB" w:rsidRDefault="006D60B3" w:rsidP="003647CE">
      <w:pPr>
        <w:spacing w:before="120" w:after="0" w:line="240" w:lineRule="auto"/>
        <w:rPr>
          <w:rFonts w:ascii="Arial" w:eastAsia="Times New Roman" w:hAnsi="Arial" w:cs="Arial"/>
          <w:noProof/>
          <w:color w:val="000000"/>
          <w:lang w:eastAsia="en-AU"/>
        </w:rPr>
      </w:pPr>
      <w:r>
        <w:rPr>
          <w:rFonts w:ascii="Arial" w:eastAsia="Times New Roman" w:hAnsi="Arial" w:cs="Arial"/>
          <w:noProof/>
          <w:color w:val="000000"/>
          <w:lang w:eastAsia="en-AU"/>
        </w:rPr>
        <w:drawing>
          <wp:inline distT="0" distB="0" distL="0" distR="0" wp14:anchorId="5EA09A56" wp14:editId="5E561472">
            <wp:extent cx="1652159" cy="664522"/>
            <wp:effectExtent l="0" t="0" r="5715" b="2540"/>
            <wp:docPr id="2136010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10137" name="Picture 2136010137"/>
                    <pic:cNvPicPr/>
                  </pic:nvPicPr>
                  <pic:blipFill>
                    <a:blip r:embed="rId10">
                      <a:extLst>
                        <a:ext uri="{28A0092B-C50C-407E-A947-70E740481C1C}">
                          <a14:useLocalDpi xmlns:a14="http://schemas.microsoft.com/office/drawing/2010/main" val="0"/>
                        </a:ext>
                      </a:extLst>
                    </a:blip>
                    <a:stretch>
                      <a:fillRect/>
                    </a:stretch>
                  </pic:blipFill>
                  <pic:spPr>
                    <a:xfrm>
                      <a:off x="0" y="0"/>
                      <a:ext cx="1652159" cy="664522"/>
                    </a:xfrm>
                    <a:prstGeom prst="rect">
                      <a:avLst/>
                    </a:prstGeom>
                  </pic:spPr>
                </pic:pic>
              </a:graphicData>
            </a:graphic>
          </wp:inline>
        </w:drawing>
      </w:r>
    </w:p>
    <w:p w14:paraId="2FAF602D" w14:textId="77777777" w:rsidR="003647CE" w:rsidRPr="007957FB" w:rsidRDefault="003647CE" w:rsidP="003647CE">
      <w:pPr>
        <w:spacing w:before="120" w:after="0" w:line="240" w:lineRule="auto"/>
        <w:rPr>
          <w:rFonts w:ascii="Arial" w:eastAsia="Times New Roman" w:hAnsi="Arial" w:cs="Arial"/>
          <w:b/>
          <w:color w:val="000000"/>
          <w:lang w:eastAsia="en-AU"/>
        </w:rPr>
      </w:pPr>
      <w:r w:rsidRPr="007957FB">
        <w:rPr>
          <w:rFonts w:ascii="Arial" w:eastAsia="Times New Roman" w:hAnsi="Arial" w:cs="Arial"/>
          <w:b/>
          <w:color w:val="000000"/>
          <w:lang w:eastAsia="en-AU"/>
        </w:rPr>
        <w:t>SCOTT MCDOUGALL</w:t>
      </w:r>
    </w:p>
    <w:p w14:paraId="76095FAF" w14:textId="77777777" w:rsidR="003647CE" w:rsidRPr="007957FB" w:rsidRDefault="003647CE" w:rsidP="003647CE">
      <w:pPr>
        <w:spacing w:after="0" w:line="240" w:lineRule="auto"/>
        <w:rPr>
          <w:rFonts w:ascii="Arial" w:eastAsia="Times New Roman" w:hAnsi="Arial" w:cs="Arial"/>
          <w:b/>
          <w:i/>
          <w:color w:val="000000"/>
          <w:lang w:eastAsia="en-AU"/>
        </w:rPr>
      </w:pPr>
      <w:r w:rsidRPr="007957FB">
        <w:rPr>
          <w:rFonts w:ascii="Arial" w:eastAsia="Times New Roman" w:hAnsi="Arial" w:cs="Arial"/>
          <w:b/>
          <w:color w:val="000000"/>
          <w:lang w:eastAsia="en-AU"/>
        </w:rPr>
        <w:t>Queensland Human Rights Commissioner</w:t>
      </w:r>
    </w:p>
    <w:sectPr w:rsidR="003647CE" w:rsidRPr="007957FB" w:rsidSect="00644E6C">
      <w:headerReference w:type="default" r:id="rId11"/>
      <w:footerReference w:type="default" r:id="rId12"/>
      <w:headerReference w:type="first" r:id="rId13"/>
      <w:footerReference w:type="first" r:id="rId14"/>
      <w:pgSz w:w="11906" w:h="16838" w:code="9"/>
      <w:pgMar w:top="1559" w:right="1474" w:bottom="1440" w:left="1474"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B5104" w14:textId="77777777" w:rsidR="00644E6C" w:rsidRDefault="00644E6C" w:rsidP="00246E04">
      <w:pPr>
        <w:spacing w:after="0" w:line="240" w:lineRule="auto"/>
      </w:pPr>
      <w:r>
        <w:separator/>
      </w:r>
    </w:p>
  </w:endnote>
  <w:endnote w:type="continuationSeparator" w:id="0">
    <w:p w14:paraId="4EFCEB4C" w14:textId="77777777" w:rsidR="00644E6C" w:rsidRDefault="00644E6C" w:rsidP="00246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E3A66" w14:textId="77777777" w:rsidR="00644E6C" w:rsidRDefault="00644E6C" w:rsidP="00644E6C">
    <w:pPr>
      <w:pStyle w:val="Footer"/>
      <w:tabs>
        <w:tab w:val="clear" w:pos="4513"/>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1E6A" w14:textId="242B286E" w:rsidR="00644E6C" w:rsidRDefault="003647CE" w:rsidP="00644E6C">
    <w:pPr>
      <w:pStyle w:val="Footer"/>
      <w:tabs>
        <w:tab w:val="clear" w:pos="4513"/>
        <w:tab w:val="clear" w:pos="9026"/>
      </w:tabs>
    </w:pPr>
    <w:r w:rsidRPr="005434A3">
      <w:rPr>
        <w:noProof/>
      </w:rPr>
      <w:drawing>
        <wp:inline distT="0" distB="0" distL="0" distR="0" wp14:anchorId="40DE1864" wp14:editId="740FFB5E">
          <wp:extent cx="5657850" cy="1085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1085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1F3C7" w14:textId="77777777" w:rsidR="00644E6C" w:rsidRDefault="00644E6C" w:rsidP="00246E04">
      <w:pPr>
        <w:spacing w:after="0" w:line="240" w:lineRule="auto"/>
      </w:pPr>
      <w:r>
        <w:separator/>
      </w:r>
    </w:p>
  </w:footnote>
  <w:footnote w:type="continuationSeparator" w:id="0">
    <w:p w14:paraId="62760489" w14:textId="77777777" w:rsidR="00644E6C" w:rsidRDefault="00644E6C" w:rsidP="00246E04">
      <w:pPr>
        <w:spacing w:after="0" w:line="240" w:lineRule="auto"/>
      </w:pPr>
      <w:r>
        <w:continuationSeparator/>
      </w:r>
    </w:p>
  </w:footnote>
  <w:footnote w:id="1">
    <w:p w14:paraId="067EE0B8" w14:textId="2BF8EF6C" w:rsidR="00DF033D" w:rsidRPr="001A0C63" w:rsidRDefault="00DF033D">
      <w:pPr>
        <w:pStyle w:val="FootnoteText"/>
        <w:rPr>
          <w:rFonts w:ascii="Arial" w:hAnsi="Arial" w:cs="Arial"/>
          <w:lang w:val="en-US"/>
        </w:rPr>
      </w:pPr>
      <w:r w:rsidRPr="001A0C63">
        <w:rPr>
          <w:rStyle w:val="FootnoteReference"/>
          <w:rFonts w:ascii="Arial" w:hAnsi="Arial" w:cs="Arial"/>
        </w:rPr>
        <w:footnoteRef/>
      </w:r>
      <w:r w:rsidRPr="001A0C63">
        <w:rPr>
          <w:rFonts w:ascii="Arial" w:hAnsi="Arial" w:cs="Arial"/>
        </w:rPr>
        <w:t xml:space="preserve"> </w:t>
      </w:r>
      <w:r w:rsidR="001A0C63" w:rsidRPr="001A0C63">
        <w:rPr>
          <w:rFonts w:ascii="Arial" w:hAnsi="Arial" w:cs="Arial"/>
        </w:rPr>
        <w:t xml:space="preserve">Queensland Child Protection Commission of Inquiry, </w:t>
      </w:r>
      <w:r w:rsidR="001A0C63" w:rsidRPr="001A0C63">
        <w:rPr>
          <w:rFonts w:ascii="Arial" w:hAnsi="Arial" w:cs="Arial"/>
          <w:i/>
          <w:iCs/>
        </w:rPr>
        <w:t>Taking Responsibility: A Roadmap for Queensland Child Protection</w:t>
      </w:r>
      <w:r w:rsidR="001A0C63" w:rsidRPr="001A0C63">
        <w:rPr>
          <w:rFonts w:ascii="Arial" w:hAnsi="Arial" w:cs="Arial"/>
        </w:rPr>
        <w:t xml:space="preserve"> </w:t>
      </w:r>
      <w:r w:rsidR="001A0C63" w:rsidRPr="001A0C63">
        <w:rPr>
          <w:rFonts w:ascii="Arial" w:hAnsi="Arial" w:cs="Arial"/>
          <w:lang w:val="en-US"/>
        </w:rPr>
        <w:t xml:space="preserve">(Report, June 2013) </w:t>
      </w:r>
      <w:r w:rsidRPr="001A0C63">
        <w:rPr>
          <w:rFonts w:ascii="Arial" w:hAnsi="Arial" w:cs="Arial"/>
          <w:lang w:val="en-US"/>
        </w:rPr>
        <w:t>407.</w:t>
      </w:r>
    </w:p>
  </w:footnote>
  <w:footnote w:id="2">
    <w:p w14:paraId="1CA63333" w14:textId="7E2AC43A" w:rsidR="00AF6ACC" w:rsidRPr="001A0C63" w:rsidRDefault="00AF6ACC">
      <w:pPr>
        <w:pStyle w:val="FootnoteText"/>
        <w:rPr>
          <w:rFonts w:ascii="Arial" w:hAnsi="Arial" w:cs="Arial"/>
          <w:lang w:val="en-US"/>
        </w:rPr>
      </w:pPr>
      <w:r w:rsidRPr="001A0C63">
        <w:rPr>
          <w:rStyle w:val="FootnoteReference"/>
          <w:rFonts w:ascii="Arial" w:hAnsi="Arial" w:cs="Arial"/>
        </w:rPr>
        <w:footnoteRef/>
      </w:r>
      <w:r w:rsidRPr="001A0C63">
        <w:rPr>
          <w:rFonts w:ascii="Arial" w:hAnsi="Arial" w:cs="Arial"/>
        </w:rPr>
        <w:t xml:space="preserve"> </w:t>
      </w:r>
      <w:r w:rsidRPr="001A0C63">
        <w:rPr>
          <w:rFonts w:ascii="Arial" w:hAnsi="Arial" w:cs="Arial"/>
          <w:i/>
          <w:iCs/>
        </w:rPr>
        <w:t>Family and Child Commission Act 2014</w:t>
      </w:r>
      <w:r w:rsidRPr="001A0C63">
        <w:rPr>
          <w:rFonts w:ascii="Arial" w:hAnsi="Arial" w:cs="Arial"/>
        </w:rPr>
        <w:t xml:space="preserve"> (Qld) </w:t>
      </w:r>
      <w:r w:rsidRPr="001A0C63">
        <w:rPr>
          <w:rFonts w:ascii="Arial" w:eastAsia="Times New Roman" w:hAnsi="Arial" w:cs="Arial"/>
          <w:color w:val="000000"/>
          <w:lang w:eastAsia="en-AU"/>
        </w:rPr>
        <w:t>s 4.</w:t>
      </w:r>
    </w:p>
  </w:footnote>
  <w:footnote w:id="3">
    <w:p w14:paraId="26FD4479" w14:textId="5E6AF81B" w:rsidR="00AF6ACC" w:rsidRPr="00AF6ACC" w:rsidRDefault="00AF6ACC">
      <w:pPr>
        <w:pStyle w:val="FootnoteText"/>
        <w:rPr>
          <w:lang w:val="en-US"/>
        </w:rPr>
      </w:pPr>
      <w:r w:rsidRPr="001A0C63">
        <w:rPr>
          <w:rStyle w:val="FootnoteReference"/>
          <w:rFonts w:ascii="Arial" w:hAnsi="Arial" w:cs="Arial"/>
        </w:rPr>
        <w:footnoteRef/>
      </w:r>
      <w:r w:rsidRPr="001A0C63">
        <w:rPr>
          <w:rFonts w:ascii="Arial" w:hAnsi="Arial" w:cs="Arial"/>
        </w:rPr>
        <w:t xml:space="preserve"> </w:t>
      </w:r>
      <w:r w:rsidRPr="001A0C63">
        <w:rPr>
          <w:rFonts w:ascii="Arial" w:hAnsi="Arial" w:cs="Arial"/>
          <w:i/>
          <w:iCs/>
          <w:lang w:val="en-US"/>
        </w:rPr>
        <w:t>Human Rights Act 2019</w:t>
      </w:r>
      <w:r w:rsidRPr="001A0C63">
        <w:rPr>
          <w:rFonts w:ascii="Arial" w:hAnsi="Arial" w:cs="Arial"/>
          <w:lang w:val="en-US"/>
        </w:rPr>
        <w:t xml:space="preserve"> (Qld) ss 15, 21, 25, 28.</w:t>
      </w:r>
    </w:p>
  </w:footnote>
  <w:footnote w:id="4">
    <w:p w14:paraId="761BC7CF" w14:textId="5C17D3CE" w:rsidR="00876DAA" w:rsidRPr="00DD35CA" w:rsidRDefault="00876DAA">
      <w:pPr>
        <w:pStyle w:val="FootnoteText"/>
        <w:rPr>
          <w:rFonts w:ascii="Arial" w:hAnsi="Arial" w:cs="Arial"/>
          <w:lang w:val="en-US"/>
        </w:rPr>
      </w:pPr>
      <w:r w:rsidRPr="00DD35CA">
        <w:rPr>
          <w:rStyle w:val="FootnoteReference"/>
          <w:rFonts w:ascii="Arial" w:hAnsi="Arial" w:cs="Arial"/>
        </w:rPr>
        <w:footnoteRef/>
      </w:r>
      <w:r w:rsidRPr="00DD35CA">
        <w:rPr>
          <w:rFonts w:ascii="Arial" w:hAnsi="Arial" w:cs="Arial"/>
        </w:rPr>
        <w:t xml:space="preserve"> </w:t>
      </w:r>
      <w:r w:rsidRPr="00DD35CA">
        <w:rPr>
          <w:rFonts w:ascii="Arial" w:hAnsi="Arial" w:cs="Arial"/>
          <w:lang w:val="en-US"/>
        </w:rPr>
        <w:t>For definition of ‘public entit</w:t>
      </w:r>
      <w:r w:rsidR="001A0C63" w:rsidRPr="00DD35CA">
        <w:rPr>
          <w:rFonts w:ascii="Arial" w:hAnsi="Arial" w:cs="Arial"/>
          <w:lang w:val="en-US"/>
        </w:rPr>
        <w:t>y</w:t>
      </w:r>
      <w:r w:rsidRPr="00DD35CA">
        <w:rPr>
          <w:rFonts w:ascii="Arial" w:hAnsi="Arial" w:cs="Arial"/>
          <w:lang w:val="en-US"/>
        </w:rPr>
        <w:t>’</w:t>
      </w:r>
      <w:r w:rsidR="001A0C63" w:rsidRPr="00DD35CA">
        <w:rPr>
          <w:rFonts w:ascii="Arial" w:hAnsi="Arial" w:cs="Arial"/>
          <w:lang w:val="en-US"/>
        </w:rPr>
        <w:t>,</w:t>
      </w:r>
      <w:r w:rsidRPr="00DD35CA">
        <w:rPr>
          <w:rFonts w:ascii="Arial" w:hAnsi="Arial" w:cs="Arial"/>
          <w:lang w:val="en-US"/>
        </w:rPr>
        <w:t xml:space="preserve"> see </w:t>
      </w:r>
      <w:r w:rsidRPr="00DD35CA">
        <w:rPr>
          <w:rFonts w:ascii="Arial" w:hAnsi="Arial" w:cs="Arial"/>
          <w:i/>
          <w:iCs/>
          <w:lang w:val="en-US"/>
        </w:rPr>
        <w:t>Human Rights Act 2019</w:t>
      </w:r>
      <w:r w:rsidRPr="00DD35CA">
        <w:rPr>
          <w:rFonts w:ascii="Arial" w:hAnsi="Arial" w:cs="Arial"/>
          <w:lang w:val="en-US"/>
        </w:rPr>
        <w:t xml:space="preserve"> (Qld) s 9. For obligations imposed on public entities, see </w:t>
      </w:r>
      <w:r w:rsidRPr="00DD35CA">
        <w:rPr>
          <w:rFonts w:ascii="Arial" w:hAnsi="Arial" w:cs="Arial"/>
          <w:i/>
          <w:iCs/>
          <w:lang w:val="en-US"/>
        </w:rPr>
        <w:t>Human Rights Act 2019</w:t>
      </w:r>
      <w:r w:rsidRPr="00DD35CA">
        <w:rPr>
          <w:rFonts w:ascii="Arial" w:hAnsi="Arial" w:cs="Arial"/>
          <w:lang w:val="en-US"/>
        </w:rPr>
        <w:t xml:space="preserve"> (Qld) s 58.</w:t>
      </w:r>
    </w:p>
  </w:footnote>
  <w:footnote w:id="5">
    <w:p w14:paraId="08A09453" w14:textId="4D4DC27C" w:rsidR="00733CB4" w:rsidRPr="00733CB4" w:rsidRDefault="00733CB4">
      <w:pPr>
        <w:pStyle w:val="FootnoteText"/>
        <w:rPr>
          <w:lang w:val="en-US"/>
        </w:rPr>
      </w:pPr>
      <w:r>
        <w:rPr>
          <w:rStyle w:val="FootnoteReference"/>
        </w:rPr>
        <w:footnoteRef/>
      </w:r>
      <w:r>
        <w:t xml:space="preserve"> </w:t>
      </w:r>
      <w:r w:rsidRPr="001A0C63">
        <w:rPr>
          <w:rFonts w:ascii="Arial" w:hAnsi="Arial" w:cs="Arial"/>
        </w:rPr>
        <w:t xml:space="preserve">Queensland Child Protection Commission of Inquiry, </w:t>
      </w:r>
      <w:r w:rsidRPr="001A0C63">
        <w:rPr>
          <w:rFonts w:ascii="Arial" w:hAnsi="Arial" w:cs="Arial"/>
          <w:i/>
          <w:iCs/>
        </w:rPr>
        <w:t>Taking Responsibility: A Roadmap for Queensland Child Protection</w:t>
      </w:r>
      <w:r w:rsidRPr="001A0C63">
        <w:rPr>
          <w:rFonts w:ascii="Arial" w:hAnsi="Arial" w:cs="Arial"/>
        </w:rPr>
        <w:t xml:space="preserve"> </w:t>
      </w:r>
      <w:r w:rsidRPr="001A0C63">
        <w:rPr>
          <w:rFonts w:ascii="Arial" w:hAnsi="Arial" w:cs="Arial"/>
          <w:lang w:val="en-US"/>
        </w:rPr>
        <w:t>(Report, June 2013) 4</w:t>
      </w:r>
      <w:r>
        <w:rPr>
          <w:rFonts w:ascii="Arial" w:hAnsi="Arial" w:cs="Arial"/>
          <w:lang w:val="en-US"/>
        </w:rPr>
        <w:t>16</w:t>
      </w:r>
      <w:r w:rsidRPr="001A0C63">
        <w:rPr>
          <w:rFonts w:ascii="Arial" w:hAnsi="Arial" w:cs="Arial"/>
          <w:lang w:val="en-US"/>
        </w:rPr>
        <w:t>.</w:t>
      </w:r>
    </w:p>
  </w:footnote>
  <w:footnote w:id="6">
    <w:p w14:paraId="58972A4F" w14:textId="77777777" w:rsidR="00A32D45" w:rsidRPr="00A32D45" w:rsidRDefault="00A32D45" w:rsidP="00A32D45">
      <w:pPr>
        <w:pStyle w:val="FootnoteText"/>
        <w:rPr>
          <w:lang w:val="en-US"/>
        </w:rPr>
      </w:pPr>
      <w:r>
        <w:rPr>
          <w:rStyle w:val="FootnoteReference"/>
        </w:rPr>
        <w:footnoteRef/>
      </w:r>
      <w:r>
        <w:t xml:space="preserve"> </w:t>
      </w:r>
      <w:r w:rsidRPr="00DD35CA">
        <w:rPr>
          <w:rFonts w:ascii="Arial" w:hAnsi="Arial" w:cs="Arial"/>
          <w:i/>
          <w:iCs/>
        </w:rPr>
        <w:t>Family and Child Commission Act 2014</w:t>
      </w:r>
      <w:r w:rsidRPr="00DD35CA">
        <w:rPr>
          <w:rFonts w:ascii="Arial" w:hAnsi="Arial" w:cs="Arial"/>
        </w:rPr>
        <w:t xml:space="preserve"> (Qld) </w:t>
      </w:r>
      <w:r>
        <w:rPr>
          <w:rFonts w:ascii="Arial" w:hAnsi="Arial" w:cs="Arial"/>
        </w:rPr>
        <w:t xml:space="preserve">s 23(1)(a). </w:t>
      </w:r>
    </w:p>
  </w:footnote>
  <w:footnote w:id="7">
    <w:p w14:paraId="3A3F05DF" w14:textId="77777777" w:rsidR="00A32D45" w:rsidRPr="00A32D45" w:rsidRDefault="00A32D45" w:rsidP="00A32D45">
      <w:pPr>
        <w:pStyle w:val="FootnoteText"/>
        <w:rPr>
          <w:rFonts w:ascii="Arial" w:hAnsi="Arial" w:cs="Arial"/>
          <w:lang w:val="en-US"/>
        </w:rPr>
      </w:pPr>
      <w:r>
        <w:rPr>
          <w:rStyle w:val="FootnoteReference"/>
        </w:rPr>
        <w:footnoteRef/>
      </w:r>
      <w:r>
        <w:t xml:space="preserve"> </w:t>
      </w:r>
      <w:r w:rsidRPr="00DD35CA">
        <w:rPr>
          <w:rFonts w:ascii="Arial" w:hAnsi="Arial" w:cs="Arial"/>
        </w:rPr>
        <w:t xml:space="preserve">ACIL Allen, </w:t>
      </w:r>
      <w:r w:rsidRPr="00DD35CA">
        <w:rPr>
          <w:rFonts w:ascii="Arial" w:hAnsi="Arial" w:cs="Arial"/>
          <w:i/>
          <w:iCs/>
        </w:rPr>
        <w:t>Independent Review of the performance of the Queensland Family and Child Commission of its functions</w:t>
      </w:r>
      <w:r w:rsidRPr="00DD35CA">
        <w:rPr>
          <w:rFonts w:ascii="Arial" w:hAnsi="Arial" w:cs="Arial"/>
        </w:rPr>
        <w:t xml:space="preserve"> (Final Report, 2021) </w:t>
      </w:r>
      <w:r>
        <w:rPr>
          <w:rFonts w:ascii="Arial" w:hAnsi="Arial" w:cs="Arial"/>
        </w:rPr>
        <w:t>10</w:t>
      </w:r>
      <w:r w:rsidRPr="00DD35CA">
        <w:rPr>
          <w:rFonts w:ascii="Arial" w:hAnsi="Arial" w:cs="Arial"/>
        </w:rPr>
        <w:t xml:space="preserve">. </w:t>
      </w:r>
    </w:p>
  </w:footnote>
  <w:footnote w:id="8">
    <w:p w14:paraId="5E6D4707" w14:textId="49EAF7D9" w:rsidR="003F767B" w:rsidRPr="00DD35CA" w:rsidRDefault="003F767B" w:rsidP="003F767B">
      <w:pPr>
        <w:pStyle w:val="FootnoteText"/>
        <w:rPr>
          <w:rFonts w:ascii="Arial" w:hAnsi="Arial" w:cs="Arial"/>
          <w:lang w:val="en-US"/>
        </w:rPr>
      </w:pPr>
      <w:r w:rsidRPr="00DD35CA">
        <w:rPr>
          <w:rStyle w:val="FootnoteReference"/>
          <w:rFonts w:ascii="Arial" w:hAnsi="Arial" w:cs="Arial"/>
        </w:rPr>
        <w:footnoteRef/>
      </w:r>
      <w:r w:rsidRPr="00DD35CA">
        <w:rPr>
          <w:rFonts w:ascii="Arial" w:hAnsi="Arial" w:cs="Arial"/>
        </w:rPr>
        <w:t xml:space="preserve"> </w:t>
      </w:r>
      <w:r w:rsidR="008607DD">
        <w:rPr>
          <w:rFonts w:ascii="Arial" w:hAnsi="Arial" w:cs="Arial"/>
        </w:rPr>
        <w:t xml:space="preserve">Ibid </w:t>
      </w:r>
      <w:r w:rsidRPr="00DD35CA">
        <w:rPr>
          <w:rFonts w:ascii="Arial" w:hAnsi="Arial" w:cs="Arial"/>
        </w:rPr>
        <w:t xml:space="preserve">5. </w:t>
      </w:r>
    </w:p>
  </w:footnote>
  <w:footnote w:id="9">
    <w:p w14:paraId="042C9275" w14:textId="0020CEB3" w:rsidR="008607DD" w:rsidRPr="008607DD" w:rsidRDefault="008607DD">
      <w:pPr>
        <w:pStyle w:val="FootnoteText"/>
        <w:rPr>
          <w:lang w:val="en-US"/>
        </w:rPr>
      </w:pPr>
      <w:r>
        <w:rPr>
          <w:rStyle w:val="FootnoteReference"/>
        </w:rPr>
        <w:footnoteRef/>
      </w:r>
      <w:r>
        <w:t xml:space="preserve"> </w:t>
      </w:r>
      <w:r w:rsidRPr="00383C8C">
        <w:rPr>
          <w:rFonts w:ascii="Arial" w:hAnsi="Arial" w:cs="Arial"/>
          <w:color w:val="000000"/>
          <w:shd w:val="clear" w:color="auto" w:fill="FFFFFF"/>
        </w:rPr>
        <w:t xml:space="preserve"> </w:t>
      </w:r>
      <w:r w:rsidRPr="00DD35CA">
        <w:rPr>
          <w:rFonts w:ascii="Arial" w:hAnsi="Arial" w:cs="Arial"/>
          <w:i/>
          <w:iCs/>
        </w:rPr>
        <w:t>Family and Child Commission Act 2014</w:t>
      </w:r>
      <w:r w:rsidRPr="00DD35CA">
        <w:rPr>
          <w:rFonts w:ascii="Arial" w:hAnsi="Arial" w:cs="Arial"/>
        </w:rPr>
        <w:t xml:space="preserve"> (Qld) </w:t>
      </w:r>
      <w:r>
        <w:rPr>
          <w:rFonts w:ascii="Arial" w:hAnsi="Arial" w:cs="Arial"/>
        </w:rPr>
        <w:t xml:space="preserve">ss 4(a), 9(1)(a). The ‘child protection system’ is defined as </w:t>
      </w:r>
      <w:r w:rsidRPr="00383C8C">
        <w:rPr>
          <w:rFonts w:ascii="Arial" w:hAnsi="Arial" w:cs="Arial"/>
          <w:color w:val="000000"/>
          <w:shd w:val="clear" w:color="auto" w:fill="FFFFFF"/>
        </w:rPr>
        <w:t>systems of services provided to children ‘in need of protection’</w:t>
      </w:r>
      <w:r>
        <w:rPr>
          <w:rFonts w:ascii="Arial" w:hAnsi="Arial" w:cs="Arial"/>
          <w:color w:val="000000"/>
          <w:shd w:val="clear" w:color="auto" w:fill="FFFFFF"/>
        </w:rPr>
        <w:t xml:space="preserve"> or</w:t>
      </w:r>
      <w:r w:rsidRPr="00383C8C">
        <w:rPr>
          <w:rFonts w:ascii="Arial" w:hAnsi="Arial" w:cs="Arial"/>
          <w:color w:val="000000"/>
          <w:shd w:val="clear" w:color="auto" w:fill="FFFFFF"/>
        </w:rPr>
        <w:t xml:space="preserve"> ‘at risk of harm’, and includes preventative and support services to strengthen and support families and prevent harm to children and young people</w:t>
      </w:r>
      <w:r>
        <w:rPr>
          <w:rFonts w:ascii="Arial" w:hAnsi="Arial" w:cs="Arial"/>
          <w:color w:val="000000"/>
          <w:shd w:val="clear" w:color="auto" w:fill="FFFFFF"/>
        </w:rPr>
        <w:t>:</w:t>
      </w:r>
      <w:r w:rsidRPr="008607DD">
        <w:rPr>
          <w:rFonts w:ascii="Arial" w:hAnsi="Arial" w:cs="Arial"/>
          <w:i/>
          <w:iCs/>
        </w:rPr>
        <w:t xml:space="preserve"> </w:t>
      </w:r>
      <w:r w:rsidRPr="00DD35CA">
        <w:rPr>
          <w:rFonts w:ascii="Arial" w:hAnsi="Arial" w:cs="Arial"/>
          <w:i/>
          <w:iCs/>
        </w:rPr>
        <w:t>Family and Child Commission Act 2014</w:t>
      </w:r>
      <w:r w:rsidRPr="00DD35CA">
        <w:rPr>
          <w:rFonts w:ascii="Arial" w:hAnsi="Arial" w:cs="Arial"/>
        </w:rPr>
        <w:t xml:space="preserve"> (Qld) sch 1 (definition of ‘child protection system’).</w:t>
      </w:r>
    </w:p>
  </w:footnote>
  <w:footnote w:id="10">
    <w:p w14:paraId="4BEAF299" w14:textId="77777777" w:rsidR="003F767B" w:rsidRPr="00D5173F" w:rsidRDefault="003F767B" w:rsidP="003F767B">
      <w:pPr>
        <w:pStyle w:val="FootnoteText"/>
        <w:rPr>
          <w:rFonts w:ascii="Arial" w:hAnsi="Arial" w:cs="Arial"/>
          <w:lang w:val="en-US"/>
        </w:rPr>
      </w:pPr>
      <w:r w:rsidRPr="00D5173F">
        <w:rPr>
          <w:rStyle w:val="FootnoteReference"/>
          <w:rFonts w:ascii="Arial" w:hAnsi="Arial" w:cs="Arial"/>
        </w:rPr>
        <w:footnoteRef/>
      </w:r>
      <w:r w:rsidRPr="00D5173F">
        <w:rPr>
          <w:rFonts w:ascii="Arial" w:hAnsi="Arial" w:cs="Arial"/>
        </w:rPr>
        <w:t xml:space="preserve"> </w:t>
      </w:r>
      <w:r w:rsidRPr="00D5173F">
        <w:rPr>
          <w:rFonts w:ascii="Arial" w:hAnsi="Arial" w:cs="Arial"/>
          <w:i/>
          <w:iCs/>
          <w:lang w:val="en-US"/>
        </w:rPr>
        <w:t>Public Guardian Act 2014</w:t>
      </w:r>
      <w:r w:rsidRPr="00D5173F">
        <w:rPr>
          <w:rFonts w:ascii="Arial" w:hAnsi="Arial" w:cs="Arial"/>
          <w:lang w:val="en-US"/>
        </w:rPr>
        <w:t xml:space="preserve"> (Qld) s 52.</w:t>
      </w:r>
    </w:p>
  </w:footnote>
  <w:footnote w:id="11">
    <w:p w14:paraId="50989D04" w14:textId="400C34E0" w:rsidR="00DC1A98" w:rsidRPr="00DC1A98" w:rsidRDefault="00DC1A98">
      <w:pPr>
        <w:pStyle w:val="FootnoteText"/>
        <w:rPr>
          <w:lang w:val="en-US"/>
        </w:rPr>
      </w:pPr>
      <w:r w:rsidRPr="00DD35CA">
        <w:rPr>
          <w:rStyle w:val="FootnoteReference"/>
          <w:rFonts w:ascii="Arial" w:hAnsi="Arial" w:cs="Arial"/>
        </w:rPr>
        <w:footnoteRef/>
      </w:r>
      <w:r w:rsidRPr="00DD35CA">
        <w:rPr>
          <w:rFonts w:ascii="Arial" w:hAnsi="Arial" w:cs="Arial"/>
        </w:rPr>
        <w:t xml:space="preserve"> </w:t>
      </w:r>
      <w:r w:rsidRPr="00DD35CA">
        <w:rPr>
          <w:rFonts w:ascii="Arial" w:hAnsi="Arial" w:cs="Arial"/>
          <w:i/>
          <w:iCs/>
          <w:lang w:val="en-US"/>
        </w:rPr>
        <w:t>Guardianship and Administration Act 2000</w:t>
      </w:r>
      <w:r w:rsidRPr="00DD35CA">
        <w:rPr>
          <w:rFonts w:ascii="Arial" w:hAnsi="Arial" w:cs="Arial"/>
          <w:lang w:val="en-US"/>
        </w:rPr>
        <w:t xml:space="preserve"> (Qld) s 209(2).</w:t>
      </w:r>
      <w:r>
        <w:rPr>
          <w:lang w:val="en-US"/>
        </w:rPr>
        <w:t xml:space="preserve"> </w:t>
      </w:r>
    </w:p>
  </w:footnote>
  <w:footnote w:id="12">
    <w:p w14:paraId="760AF51F" w14:textId="30E4F990" w:rsidR="00F40198" w:rsidRPr="008920E4" w:rsidRDefault="00F40198">
      <w:pPr>
        <w:pStyle w:val="FootnoteText"/>
        <w:rPr>
          <w:rFonts w:ascii="Arial" w:hAnsi="Arial" w:cs="Arial"/>
          <w:lang w:val="en-US"/>
        </w:rPr>
      </w:pPr>
      <w:r>
        <w:rPr>
          <w:rStyle w:val="FootnoteReference"/>
        </w:rPr>
        <w:footnoteRef/>
      </w:r>
      <w:r>
        <w:t xml:space="preserve"> </w:t>
      </w:r>
      <w:r w:rsidRPr="008920E4">
        <w:rPr>
          <w:rFonts w:ascii="Arial" w:hAnsi="Arial" w:cs="Arial"/>
        </w:rPr>
        <w:t>However, under its function to deal with human rights complaints, the QHRC has power to compel information</w:t>
      </w:r>
      <w:r w:rsidR="008920E4" w:rsidRPr="008920E4">
        <w:rPr>
          <w:rFonts w:ascii="Arial" w:hAnsi="Arial" w:cs="Arial"/>
        </w:rPr>
        <w:t>,</w:t>
      </w:r>
      <w:r w:rsidRPr="008920E4">
        <w:rPr>
          <w:rFonts w:ascii="Arial" w:hAnsi="Arial" w:cs="Arial"/>
        </w:rPr>
        <w:t xml:space="preserve"> including personal information, and can publish information about a human rights complaint provided it does not include personal information unless consent has been given</w:t>
      </w:r>
      <w:r w:rsidR="008920E4" w:rsidRPr="008920E4">
        <w:rPr>
          <w:rFonts w:ascii="Arial" w:hAnsi="Arial" w:cs="Arial"/>
        </w:rPr>
        <w:t xml:space="preserve">: </w:t>
      </w:r>
      <w:r w:rsidR="008920E4" w:rsidRPr="008920E4">
        <w:rPr>
          <w:rFonts w:ascii="Arial" w:hAnsi="Arial" w:cs="Arial"/>
          <w:i/>
          <w:iCs/>
        </w:rPr>
        <w:t>Human Rights Act 2019</w:t>
      </w:r>
      <w:r w:rsidR="008920E4" w:rsidRPr="008920E4">
        <w:rPr>
          <w:rFonts w:ascii="Arial" w:hAnsi="Arial" w:cs="Arial"/>
        </w:rPr>
        <w:t xml:space="preserve"> (Qld) </w:t>
      </w:r>
      <w:r w:rsidRPr="008920E4">
        <w:rPr>
          <w:rFonts w:ascii="Arial" w:hAnsi="Arial" w:cs="Arial"/>
        </w:rPr>
        <w:t>s 78</w:t>
      </w:r>
      <w:r w:rsidR="008920E4" w:rsidRPr="008920E4">
        <w:rPr>
          <w:rFonts w:ascii="Arial" w:hAnsi="Arial" w:cs="Arial"/>
        </w:rPr>
        <w:t>.</w:t>
      </w:r>
    </w:p>
  </w:footnote>
  <w:footnote w:id="13">
    <w:p w14:paraId="10389400" w14:textId="4FA2B27F" w:rsidR="00F40198" w:rsidRPr="00F40198" w:rsidRDefault="00F40198">
      <w:pPr>
        <w:pStyle w:val="FootnoteText"/>
        <w:rPr>
          <w:lang w:val="en-US"/>
        </w:rPr>
      </w:pPr>
      <w:r w:rsidRPr="008920E4">
        <w:rPr>
          <w:rStyle w:val="FootnoteReference"/>
          <w:rFonts w:ascii="Arial" w:hAnsi="Arial" w:cs="Arial"/>
        </w:rPr>
        <w:footnoteRef/>
      </w:r>
      <w:r w:rsidRPr="008920E4">
        <w:rPr>
          <w:rFonts w:ascii="Arial" w:hAnsi="Arial" w:cs="Arial"/>
        </w:rPr>
        <w:t xml:space="preserve"> </w:t>
      </w:r>
      <w:r w:rsidRPr="008920E4">
        <w:rPr>
          <w:rFonts w:ascii="Arial" w:hAnsi="Arial" w:cs="Arial"/>
          <w:i/>
          <w:iCs/>
        </w:rPr>
        <w:t>Human Rights Act 2019</w:t>
      </w:r>
      <w:r w:rsidRPr="008920E4">
        <w:rPr>
          <w:rFonts w:ascii="Arial" w:hAnsi="Arial" w:cs="Arial"/>
        </w:rPr>
        <w:t xml:space="preserve"> (Qld) s 99.</w:t>
      </w:r>
      <w:r>
        <w:t xml:space="preserve"> </w:t>
      </w:r>
    </w:p>
  </w:footnote>
  <w:footnote w:id="14">
    <w:p w14:paraId="39319620" w14:textId="5D7ECFA1" w:rsidR="00DA2EDB" w:rsidRPr="00DD35CA" w:rsidRDefault="00DA2EDB">
      <w:pPr>
        <w:pStyle w:val="FootnoteText"/>
        <w:rPr>
          <w:rFonts w:ascii="Arial" w:hAnsi="Arial" w:cs="Arial"/>
          <w:lang w:val="en-US"/>
        </w:rPr>
      </w:pPr>
      <w:r w:rsidRPr="00DD35CA">
        <w:rPr>
          <w:rStyle w:val="FootnoteReference"/>
          <w:rFonts w:ascii="Arial" w:hAnsi="Arial" w:cs="Arial"/>
        </w:rPr>
        <w:footnoteRef/>
      </w:r>
      <w:r w:rsidRPr="00DD35CA">
        <w:rPr>
          <w:rFonts w:ascii="Arial" w:hAnsi="Arial" w:cs="Arial"/>
        </w:rPr>
        <w:t xml:space="preserve"> </w:t>
      </w:r>
      <w:r w:rsidRPr="00DD35CA">
        <w:rPr>
          <w:rFonts w:ascii="Arial" w:hAnsi="Arial" w:cs="Arial"/>
          <w:i/>
          <w:iCs/>
          <w:lang w:val="en-US"/>
        </w:rPr>
        <w:t>Human Rights Act 2019</w:t>
      </w:r>
      <w:r w:rsidRPr="00DD35CA">
        <w:rPr>
          <w:rFonts w:ascii="Arial" w:hAnsi="Arial" w:cs="Arial"/>
          <w:lang w:val="en-US"/>
        </w:rPr>
        <w:t xml:space="preserve"> (Qld) </w:t>
      </w:r>
      <w:r w:rsidR="00F456F3" w:rsidRPr="00DD35CA">
        <w:rPr>
          <w:rFonts w:ascii="Arial" w:hAnsi="Arial" w:cs="Arial"/>
          <w:lang w:val="en-US"/>
        </w:rPr>
        <w:t>s</w:t>
      </w:r>
      <w:r w:rsidRPr="00DD35CA">
        <w:rPr>
          <w:rFonts w:ascii="Arial" w:hAnsi="Arial" w:cs="Arial"/>
          <w:lang w:val="en-US"/>
        </w:rPr>
        <w:t xml:space="preserve"> </w:t>
      </w:r>
      <w:r w:rsidR="00F456F3" w:rsidRPr="00DD35CA">
        <w:rPr>
          <w:rFonts w:ascii="Arial" w:hAnsi="Arial" w:cs="Arial"/>
          <w:lang w:val="en-US"/>
        </w:rPr>
        <w:t>97.</w:t>
      </w:r>
    </w:p>
  </w:footnote>
  <w:footnote w:id="15">
    <w:p w14:paraId="373B486F" w14:textId="70EBA084" w:rsidR="00DA2EDB" w:rsidRPr="00DA2EDB" w:rsidRDefault="00DA2EDB">
      <w:pPr>
        <w:pStyle w:val="FootnoteText"/>
        <w:rPr>
          <w:lang w:val="en-US"/>
        </w:rPr>
      </w:pPr>
      <w:r w:rsidRPr="00DD35CA">
        <w:rPr>
          <w:rStyle w:val="FootnoteReference"/>
          <w:rFonts w:ascii="Arial" w:hAnsi="Arial" w:cs="Arial"/>
        </w:rPr>
        <w:footnoteRef/>
      </w:r>
      <w:r w:rsidRPr="00DD35CA">
        <w:rPr>
          <w:rFonts w:ascii="Arial" w:hAnsi="Arial" w:cs="Arial"/>
        </w:rPr>
        <w:t xml:space="preserve"> </w:t>
      </w:r>
      <w:r w:rsidRPr="00DD35CA">
        <w:rPr>
          <w:rFonts w:ascii="Arial" w:hAnsi="Arial" w:cs="Arial"/>
          <w:i/>
          <w:iCs/>
          <w:lang w:val="en-US"/>
        </w:rPr>
        <w:t>Human Rights Act 2019</w:t>
      </w:r>
      <w:r w:rsidRPr="00DD35CA">
        <w:rPr>
          <w:rFonts w:ascii="Arial" w:hAnsi="Arial" w:cs="Arial"/>
          <w:lang w:val="en-US"/>
        </w:rPr>
        <w:t xml:space="preserve"> (Qld) s 91.</w:t>
      </w:r>
      <w:r>
        <w:rPr>
          <w:lang w:val="en-US"/>
        </w:rPr>
        <w:t xml:space="preserve"> </w:t>
      </w:r>
    </w:p>
  </w:footnote>
  <w:footnote w:id="16">
    <w:p w14:paraId="06DC401B" w14:textId="661A2995" w:rsidR="00843CEE" w:rsidRPr="00D76525" w:rsidRDefault="00843CEE">
      <w:pPr>
        <w:pStyle w:val="FootnoteText"/>
        <w:rPr>
          <w:rFonts w:ascii="Arial" w:hAnsi="Arial" w:cs="Arial"/>
          <w:lang w:val="en-US"/>
        </w:rPr>
      </w:pPr>
      <w:r w:rsidRPr="00D76525">
        <w:rPr>
          <w:rStyle w:val="FootnoteReference"/>
          <w:rFonts w:ascii="Arial" w:hAnsi="Arial" w:cs="Arial"/>
        </w:rPr>
        <w:footnoteRef/>
      </w:r>
      <w:r w:rsidRPr="00D76525">
        <w:rPr>
          <w:rFonts w:ascii="Arial" w:hAnsi="Arial" w:cs="Arial"/>
        </w:rPr>
        <w:t xml:space="preserve"> </w:t>
      </w:r>
      <w:r w:rsidR="00D76525" w:rsidRPr="00D76525">
        <w:rPr>
          <w:rFonts w:ascii="Arial" w:hAnsi="Arial" w:cs="Arial"/>
        </w:rPr>
        <w:t xml:space="preserve">Explanatory Notes to the </w:t>
      </w:r>
      <w:r w:rsidR="00D76525" w:rsidRPr="00D76525">
        <w:rPr>
          <w:rFonts w:ascii="Arial" w:hAnsi="Arial" w:cs="Arial"/>
          <w:lang w:val="en-US"/>
        </w:rPr>
        <w:t>Queensland Mental Health Commission Bill 2012 (Qld) 1.</w:t>
      </w:r>
    </w:p>
  </w:footnote>
  <w:footnote w:id="17">
    <w:p w14:paraId="42FB8C26" w14:textId="09BF0DA9" w:rsidR="00D76525" w:rsidRPr="00993779" w:rsidRDefault="00D76525">
      <w:pPr>
        <w:pStyle w:val="FootnoteText"/>
        <w:rPr>
          <w:rFonts w:ascii="Arial" w:hAnsi="Arial" w:cs="Arial"/>
          <w:lang w:val="en-US"/>
        </w:rPr>
      </w:pPr>
      <w:r>
        <w:rPr>
          <w:rStyle w:val="FootnoteReference"/>
        </w:rPr>
        <w:footnoteRef/>
      </w:r>
      <w:r>
        <w:t xml:space="preserve"> </w:t>
      </w:r>
      <w:r w:rsidRPr="00993779">
        <w:rPr>
          <w:rFonts w:ascii="Arial" w:hAnsi="Arial" w:cs="Arial"/>
          <w:i/>
          <w:iCs/>
        </w:rPr>
        <w:t xml:space="preserve">Queensland </w:t>
      </w:r>
      <w:r w:rsidR="00993779" w:rsidRPr="00993779">
        <w:rPr>
          <w:rFonts w:ascii="Arial" w:hAnsi="Arial" w:cs="Arial"/>
          <w:i/>
          <w:iCs/>
        </w:rPr>
        <w:t xml:space="preserve">Mental </w:t>
      </w:r>
      <w:r w:rsidRPr="00993779">
        <w:rPr>
          <w:rFonts w:ascii="Arial" w:hAnsi="Arial" w:cs="Arial"/>
          <w:i/>
          <w:iCs/>
        </w:rPr>
        <w:t>Health Commission Act 2013</w:t>
      </w:r>
      <w:r w:rsidRPr="00993779">
        <w:rPr>
          <w:rFonts w:ascii="Arial" w:hAnsi="Arial" w:cs="Arial"/>
        </w:rPr>
        <w:t xml:space="preserve"> (Qld) ss 4, 7 and 11. </w:t>
      </w:r>
    </w:p>
  </w:footnote>
  <w:footnote w:id="18">
    <w:p w14:paraId="27C1A24B" w14:textId="0AC45CD0" w:rsidR="00747FA9" w:rsidRPr="00747FA9" w:rsidRDefault="00747FA9">
      <w:pPr>
        <w:pStyle w:val="FootnoteText"/>
        <w:rPr>
          <w:lang w:val="en-US"/>
        </w:rPr>
      </w:pPr>
      <w:r>
        <w:rPr>
          <w:rStyle w:val="FootnoteReference"/>
        </w:rPr>
        <w:footnoteRef/>
      </w:r>
      <w:r>
        <w:t xml:space="preserve"> </w:t>
      </w:r>
      <w:r w:rsidRPr="00DD35CA">
        <w:rPr>
          <w:rFonts w:ascii="Arial" w:hAnsi="Arial" w:cs="Arial"/>
          <w:i/>
          <w:iCs/>
        </w:rPr>
        <w:t>Family and Child Commission Act 2014</w:t>
      </w:r>
      <w:r w:rsidRPr="00DD35CA">
        <w:rPr>
          <w:rFonts w:ascii="Arial" w:hAnsi="Arial" w:cs="Arial"/>
        </w:rPr>
        <w:t xml:space="preserve"> (Qld) </w:t>
      </w:r>
      <w:r w:rsidRPr="00482457">
        <w:rPr>
          <w:rFonts w:ascii="Arial" w:hAnsi="Arial" w:cs="Arial"/>
          <w:color w:val="000000"/>
          <w:shd w:val="clear" w:color="auto" w:fill="FFFFFF"/>
        </w:rPr>
        <w:t>s</w:t>
      </w:r>
      <w:r>
        <w:rPr>
          <w:rFonts w:ascii="Arial" w:hAnsi="Arial" w:cs="Arial"/>
          <w:color w:val="000000"/>
          <w:shd w:val="clear" w:color="auto" w:fill="FFFFFF"/>
        </w:rPr>
        <w:t>s</w:t>
      </w:r>
      <w:r w:rsidRPr="00482457">
        <w:rPr>
          <w:rFonts w:ascii="Arial" w:hAnsi="Arial" w:cs="Arial"/>
          <w:color w:val="000000"/>
          <w:shd w:val="clear" w:color="auto" w:fill="FFFFFF"/>
        </w:rPr>
        <w:t xml:space="preserve"> 29, 29J</w:t>
      </w:r>
      <w:r>
        <w:rPr>
          <w:rFonts w:ascii="Arial" w:hAnsi="Arial" w:cs="Arial"/>
          <w:color w:val="000000"/>
          <w:shd w:val="clear" w:color="auto" w:fill="FFFFFF"/>
        </w:rPr>
        <w:t>.</w:t>
      </w:r>
    </w:p>
  </w:footnote>
  <w:footnote w:id="19">
    <w:p w14:paraId="7F669597" w14:textId="55CBA4A6" w:rsidR="00747FA9" w:rsidRPr="00747FA9" w:rsidRDefault="00747FA9">
      <w:pPr>
        <w:pStyle w:val="FootnoteText"/>
        <w:rPr>
          <w:lang w:val="en-US"/>
        </w:rPr>
      </w:pPr>
      <w:r>
        <w:rPr>
          <w:rStyle w:val="FootnoteReference"/>
        </w:rPr>
        <w:footnoteRef/>
      </w:r>
      <w:r>
        <w:t xml:space="preserve"> </w:t>
      </w:r>
      <w:r w:rsidRPr="00DD35CA">
        <w:rPr>
          <w:rFonts w:ascii="Arial" w:hAnsi="Arial" w:cs="Arial"/>
          <w:i/>
          <w:iCs/>
        </w:rPr>
        <w:t>Family and Child Commission Act 2014</w:t>
      </w:r>
      <w:r w:rsidRPr="00DD35CA">
        <w:rPr>
          <w:rFonts w:ascii="Arial" w:hAnsi="Arial" w:cs="Arial"/>
        </w:rPr>
        <w:t xml:space="preserve"> (Qld) </w:t>
      </w:r>
      <w:r w:rsidRPr="00482457">
        <w:rPr>
          <w:rFonts w:ascii="Arial" w:hAnsi="Arial" w:cs="Arial"/>
          <w:color w:val="000000"/>
          <w:shd w:val="clear" w:color="auto" w:fill="FFFFFF"/>
        </w:rPr>
        <w:t>s 29K</w:t>
      </w:r>
      <w:r>
        <w:rPr>
          <w:rFonts w:ascii="Arial" w:hAnsi="Arial" w:cs="Arial"/>
          <w:color w:val="000000"/>
          <w:shd w:val="clear" w:color="auto" w:fill="FFFFFF"/>
        </w:rPr>
        <w:t>.</w:t>
      </w:r>
    </w:p>
  </w:footnote>
  <w:footnote w:id="20">
    <w:p w14:paraId="093E31E4" w14:textId="61D64361" w:rsidR="00482457" w:rsidRPr="00DD35CA" w:rsidRDefault="00482457">
      <w:pPr>
        <w:pStyle w:val="FootnoteText"/>
        <w:rPr>
          <w:rFonts w:ascii="Arial" w:hAnsi="Arial" w:cs="Arial"/>
          <w:lang w:val="en-US"/>
        </w:rPr>
      </w:pPr>
      <w:r w:rsidRPr="00DD35CA">
        <w:rPr>
          <w:rStyle w:val="FootnoteReference"/>
          <w:rFonts w:ascii="Arial" w:hAnsi="Arial" w:cs="Arial"/>
        </w:rPr>
        <w:footnoteRef/>
      </w:r>
      <w:r w:rsidRPr="00DD35CA">
        <w:rPr>
          <w:rFonts w:ascii="Arial" w:hAnsi="Arial" w:cs="Arial"/>
        </w:rPr>
        <w:t xml:space="preserve"> </w:t>
      </w:r>
      <w:r w:rsidR="00DD35CA" w:rsidRPr="00DD35CA">
        <w:rPr>
          <w:rFonts w:ascii="Arial" w:hAnsi="Arial" w:cs="Arial"/>
          <w:i/>
          <w:iCs/>
        </w:rPr>
        <w:t>Family and Child Commission Act 2014</w:t>
      </w:r>
      <w:r w:rsidR="00DD35CA" w:rsidRPr="00DD35CA">
        <w:rPr>
          <w:rFonts w:ascii="Arial" w:hAnsi="Arial" w:cs="Arial"/>
        </w:rPr>
        <w:t xml:space="preserve"> (Qld) </w:t>
      </w:r>
      <w:r w:rsidRPr="00DD35CA">
        <w:rPr>
          <w:rFonts w:ascii="Arial" w:hAnsi="Arial" w:cs="Arial"/>
        </w:rPr>
        <w:t xml:space="preserve">s 40(1)(b). </w:t>
      </w:r>
    </w:p>
  </w:footnote>
  <w:footnote w:id="21">
    <w:p w14:paraId="33EE7558" w14:textId="0496E9B9" w:rsidR="00F05319" w:rsidRPr="00F05319" w:rsidRDefault="00F05319">
      <w:pPr>
        <w:pStyle w:val="FootnoteText"/>
        <w:rPr>
          <w:lang w:val="en-US"/>
        </w:rPr>
      </w:pPr>
      <w:r w:rsidRPr="00DD35CA">
        <w:rPr>
          <w:rStyle w:val="FootnoteReference"/>
          <w:rFonts w:ascii="Arial" w:hAnsi="Arial" w:cs="Arial"/>
        </w:rPr>
        <w:footnoteRef/>
      </w:r>
      <w:r w:rsidRPr="00DD35CA">
        <w:rPr>
          <w:rFonts w:ascii="Arial" w:hAnsi="Arial" w:cs="Arial"/>
        </w:rPr>
        <w:t xml:space="preserve"> </w:t>
      </w:r>
      <w:r w:rsidR="00DD35CA" w:rsidRPr="00DD35CA">
        <w:rPr>
          <w:rFonts w:ascii="Arial" w:hAnsi="Arial" w:cs="Arial"/>
          <w:i/>
          <w:iCs/>
        </w:rPr>
        <w:t>Family and Child Commission Act 2014</w:t>
      </w:r>
      <w:r w:rsidR="00DD35CA" w:rsidRPr="00DD35CA">
        <w:rPr>
          <w:rFonts w:ascii="Arial" w:hAnsi="Arial" w:cs="Arial"/>
        </w:rPr>
        <w:t xml:space="preserve"> (Qld) </w:t>
      </w:r>
      <w:r w:rsidRPr="00DD35CA">
        <w:rPr>
          <w:rFonts w:ascii="Arial" w:hAnsi="Arial" w:cs="Arial"/>
          <w:lang w:val="en-US"/>
        </w:rPr>
        <w:t>s 29F.</w:t>
      </w:r>
      <w:r>
        <w:rPr>
          <w:lang w:val="en-US"/>
        </w:rPr>
        <w:t xml:space="preserve"> </w:t>
      </w:r>
    </w:p>
  </w:footnote>
  <w:footnote w:id="22">
    <w:p w14:paraId="7337D5D5" w14:textId="2F6B012E" w:rsidR="00B9310B" w:rsidRPr="00B9310B" w:rsidRDefault="00B9310B">
      <w:pPr>
        <w:pStyle w:val="FootnoteText"/>
        <w:rPr>
          <w:lang w:val="en-US"/>
        </w:rPr>
      </w:pPr>
      <w:r>
        <w:rPr>
          <w:rStyle w:val="FootnoteReference"/>
        </w:rPr>
        <w:footnoteRef/>
      </w:r>
      <w:r>
        <w:t xml:space="preserve"> </w:t>
      </w:r>
      <w:r w:rsidR="00E200F9" w:rsidRPr="00E200F9">
        <w:rPr>
          <w:rFonts w:ascii="Arial" w:hAnsi="Arial" w:cs="Arial"/>
        </w:rPr>
        <w:t xml:space="preserve">Department of Justice and Attorney-General, </w:t>
      </w:r>
      <w:r w:rsidR="00E200F9" w:rsidRPr="00E200F9">
        <w:rPr>
          <w:rFonts w:ascii="Arial" w:hAnsi="Arial" w:cs="Arial"/>
          <w:i/>
          <w:iCs/>
        </w:rPr>
        <w:t>Review of the Family and Child Commission Act 2014</w:t>
      </w:r>
      <w:r w:rsidR="00E200F9" w:rsidRPr="00E200F9">
        <w:rPr>
          <w:rFonts w:ascii="Arial" w:hAnsi="Arial" w:cs="Arial"/>
        </w:rPr>
        <w:t xml:space="preserve"> (Consultation paper, March 2023)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A821B" w14:textId="140DF13B" w:rsidR="00644E6C" w:rsidRDefault="00364589" w:rsidP="00644E6C">
    <w:pPr>
      <w:pStyle w:val="Header"/>
      <w:tabs>
        <w:tab w:val="clear" w:pos="4513"/>
        <w:tab w:val="clear" w:pos="9026"/>
        <w:tab w:val="right" w:pos="9332"/>
      </w:tabs>
      <w:rPr>
        <w:rFonts w:ascii="Arial" w:hAnsi="Arial" w:cs="Arial"/>
        <w:sz w:val="20"/>
        <w:lang w:val="en-US"/>
      </w:rPr>
    </w:pPr>
    <w:r>
      <w:rPr>
        <w:rFonts w:ascii="Arial" w:hAnsi="Arial" w:cs="Arial"/>
        <w:sz w:val="20"/>
        <w:lang w:val="en-US"/>
      </w:rPr>
      <w:t xml:space="preserve">Review of the </w:t>
    </w:r>
    <w:r w:rsidRPr="00364589">
      <w:rPr>
        <w:rFonts w:ascii="Arial" w:hAnsi="Arial" w:cs="Arial"/>
        <w:i/>
        <w:iCs/>
        <w:sz w:val="20"/>
        <w:lang w:val="en-US"/>
      </w:rPr>
      <w:t>Family and Child Commission Act 2014</w:t>
    </w:r>
    <w:r w:rsidR="00284EE8">
      <w:rPr>
        <w:rFonts w:ascii="Arial" w:hAnsi="Arial" w:cs="Arial"/>
        <w:sz w:val="20"/>
        <w:lang w:val="en-US"/>
      </w:rPr>
      <w:tab/>
    </w:r>
    <w:r w:rsidR="00284EE8" w:rsidRPr="004809C8">
      <w:rPr>
        <w:rFonts w:ascii="Arial" w:hAnsi="Arial" w:cs="Arial"/>
        <w:sz w:val="20"/>
        <w:lang w:val="en-US"/>
      </w:rPr>
      <w:t xml:space="preserve">Page </w:t>
    </w:r>
    <w:r w:rsidR="00284EE8" w:rsidRPr="004809C8">
      <w:rPr>
        <w:rFonts w:ascii="Arial" w:hAnsi="Arial" w:cs="Arial"/>
        <w:bCs/>
        <w:sz w:val="20"/>
        <w:lang w:val="en-US"/>
      </w:rPr>
      <w:fldChar w:fldCharType="begin"/>
    </w:r>
    <w:r w:rsidR="00284EE8" w:rsidRPr="004809C8">
      <w:rPr>
        <w:rFonts w:ascii="Arial" w:hAnsi="Arial" w:cs="Arial"/>
        <w:bCs/>
        <w:sz w:val="20"/>
        <w:lang w:val="en-US"/>
      </w:rPr>
      <w:instrText xml:space="preserve"> PAGE  \* Arabic  \* MERGEFORMAT </w:instrText>
    </w:r>
    <w:r w:rsidR="00284EE8" w:rsidRPr="004809C8">
      <w:rPr>
        <w:rFonts w:ascii="Arial" w:hAnsi="Arial" w:cs="Arial"/>
        <w:bCs/>
        <w:sz w:val="20"/>
        <w:lang w:val="en-US"/>
      </w:rPr>
      <w:fldChar w:fldCharType="separate"/>
    </w:r>
    <w:r w:rsidR="00284EE8">
      <w:rPr>
        <w:rFonts w:ascii="Arial" w:hAnsi="Arial" w:cs="Arial"/>
        <w:bCs/>
        <w:noProof/>
        <w:sz w:val="20"/>
        <w:lang w:val="en-US"/>
      </w:rPr>
      <w:t>2</w:t>
    </w:r>
    <w:r w:rsidR="00284EE8" w:rsidRPr="004809C8">
      <w:rPr>
        <w:rFonts w:ascii="Arial" w:hAnsi="Arial" w:cs="Arial"/>
        <w:bCs/>
        <w:sz w:val="20"/>
        <w:lang w:val="en-US"/>
      </w:rPr>
      <w:fldChar w:fldCharType="end"/>
    </w:r>
    <w:r w:rsidR="00284EE8" w:rsidRPr="004809C8">
      <w:rPr>
        <w:rFonts w:ascii="Arial" w:hAnsi="Arial" w:cs="Arial"/>
        <w:sz w:val="20"/>
        <w:lang w:val="en-US"/>
      </w:rPr>
      <w:t xml:space="preserve"> of </w:t>
    </w:r>
    <w:r w:rsidR="00284EE8" w:rsidRPr="004809C8">
      <w:rPr>
        <w:rFonts w:ascii="Arial" w:hAnsi="Arial" w:cs="Arial"/>
        <w:bCs/>
        <w:sz w:val="20"/>
        <w:lang w:val="en-US"/>
      </w:rPr>
      <w:fldChar w:fldCharType="begin"/>
    </w:r>
    <w:r w:rsidR="00284EE8" w:rsidRPr="004809C8">
      <w:rPr>
        <w:rFonts w:ascii="Arial" w:hAnsi="Arial" w:cs="Arial"/>
        <w:bCs/>
        <w:sz w:val="20"/>
        <w:lang w:val="en-US"/>
      </w:rPr>
      <w:instrText xml:space="preserve"> NUMPAGES  \* Arabic  \* MERGEFORMAT </w:instrText>
    </w:r>
    <w:r w:rsidR="00284EE8" w:rsidRPr="004809C8">
      <w:rPr>
        <w:rFonts w:ascii="Arial" w:hAnsi="Arial" w:cs="Arial"/>
        <w:bCs/>
        <w:sz w:val="20"/>
        <w:lang w:val="en-US"/>
      </w:rPr>
      <w:fldChar w:fldCharType="separate"/>
    </w:r>
    <w:r w:rsidR="00284EE8">
      <w:rPr>
        <w:rFonts w:ascii="Arial" w:hAnsi="Arial" w:cs="Arial"/>
        <w:bCs/>
        <w:noProof/>
        <w:sz w:val="20"/>
        <w:lang w:val="en-US"/>
      </w:rPr>
      <w:t>2</w:t>
    </w:r>
    <w:r w:rsidR="00284EE8" w:rsidRPr="004809C8">
      <w:rPr>
        <w:rFonts w:ascii="Arial" w:hAnsi="Arial" w:cs="Arial"/>
        <w:bCs/>
        <w:sz w:val="20"/>
        <w:lang w:val="en-US"/>
      </w:rPr>
      <w:fldChar w:fldCharType="end"/>
    </w:r>
  </w:p>
  <w:p w14:paraId="623E0E1D" w14:textId="77777777" w:rsidR="00644E6C" w:rsidRDefault="00644E6C" w:rsidP="00644E6C">
    <w:pPr>
      <w:pStyle w:val="Header"/>
      <w:pBdr>
        <w:bottom w:val="single" w:sz="6" w:space="1" w:color="auto"/>
      </w:pBdr>
      <w:tabs>
        <w:tab w:val="clear" w:pos="4513"/>
        <w:tab w:val="clear" w:pos="9026"/>
        <w:tab w:val="right" w:pos="9332"/>
      </w:tabs>
      <w:rPr>
        <w:rFonts w:ascii="Arial" w:hAnsi="Arial" w:cs="Arial"/>
        <w:sz w:val="20"/>
        <w:lang w:val="en-US"/>
      </w:rPr>
    </w:pPr>
  </w:p>
  <w:p w14:paraId="01B0533E" w14:textId="77777777" w:rsidR="00644E6C" w:rsidRPr="00163A3A" w:rsidRDefault="00644E6C" w:rsidP="00644E6C">
    <w:pPr>
      <w:pStyle w:val="Header"/>
      <w:tabs>
        <w:tab w:val="clear" w:pos="4513"/>
        <w:tab w:val="clear" w:pos="9026"/>
        <w:tab w:val="right" w:pos="9332"/>
      </w:tabs>
      <w:rPr>
        <w:rFonts w:ascii="Arial" w:hAnsi="Arial" w:cs="Arial"/>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79DF" w14:textId="79F536CE" w:rsidR="00644E6C" w:rsidRDefault="003647CE" w:rsidP="00644E6C">
    <w:pPr>
      <w:pStyle w:val="Header"/>
      <w:tabs>
        <w:tab w:val="clear" w:pos="4513"/>
        <w:tab w:val="clear" w:pos="9026"/>
      </w:tabs>
    </w:pPr>
    <w:r w:rsidRPr="002A3956">
      <w:rPr>
        <w:noProof/>
      </w:rPr>
      <w:drawing>
        <wp:inline distT="0" distB="0" distL="0" distR="0" wp14:anchorId="60A8A566" wp14:editId="5D96B6F1">
          <wp:extent cx="2124075" cy="895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l="4526"/>
                  <a:stretch>
                    <a:fillRect/>
                  </a:stretch>
                </pic:blipFill>
                <pic:spPr bwMode="auto">
                  <a:xfrm>
                    <a:off x="0" y="0"/>
                    <a:ext cx="212407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A05A0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8A60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25E95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E4508D"/>
    <w:multiLevelType w:val="hybridMultilevel"/>
    <w:tmpl w:val="102CB9E2"/>
    <w:lvl w:ilvl="0" w:tplc="F5D47A0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DB04069"/>
    <w:multiLevelType w:val="hybridMultilevel"/>
    <w:tmpl w:val="720A4A00"/>
    <w:lvl w:ilvl="0" w:tplc="F5D47A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370BED"/>
    <w:multiLevelType w:val="hybridMultilevel"/>
    <w:tmpl w:val="FFFFFFFF"/>
    <w:lvl w:ilvl="0" w:tplc="518CD318">
      <w:start w:val="1"/>
      <w:numFmt w:val="decimal"/>
      <w:lvlText w:val="(%1)"/>
      <w:lvlJc w:val="left"/>
      <w:pPr>
        <w:ind w:left="1080" w:hanging="360"/>
      </w:pPr>
      <w:rPr>
        <w:rFonts w:cs="Times New Roman" w:hint="default"/>
      </w:rPr>
    </w:lvl>
    <w:lvl w:ilvl="1" w:tplc="86607A1E">
      <w:start w:val="1"/>
      <w:numFmt w:val="lowerLetter"/>
      <w:lvlText w:val="(%2)"/>
      <w:lvlJc w:val="left"/>
      <w:pPr>
        <w:ind w:left="1800" w:hanging="360"/>
      </w:pPr>
      <w:rPr>
        <w:rFonts w:cs="Times New Roman" w:hint="default"/>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6" w15:restartNumberingAfterBreak="0">
    <w:nsid w:val="1A753E0F"/>
    <w:multiLevelType w:val="hybridMultilevel"/>
    <w:tmpl w:val="AB28CB38"/>
    <w:lvl w:ilvl="0" w:tplc="B546ECA8">
      <w:start w:val="9"/>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ED397D"/>
    <w:multiLevelType w:val="hybridMultilevel"/>
    <w:tmpl w:val="452651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CC335C"/>
    <w:multiLevelType w:val="hybridMultilevel"/>
    <w:tmpl w:val="57B64566"/>
    <w:lvl w:ilvl="0" w:tplc="B42A675A">
      <w:start w:val="1"/>
      <w:numFmt w:val="decimal"/>
      <w:pStyle w:val="TOC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D33250"/>
    <w:multiLevelType w:val="hybridMultilevel"/>
    <w:tmpl w:val="095C6CAA"/>
    <w:lvl w:ilvl="0" w:tplc="4F1653B0">
      <w:start w:val="17"/>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5C43DB"/>
    <w:multiLevelType w:val="hybridMultilevel"/>
    <w:tmpl w:val="2FC852F4"/>
    <w:lvl w:ilvl="0" w:tplc="75E8AABA">
      <w:start w:val="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6A07EC"/>
    <w:multiLevelType w:val="hybridMultilevel"/>
    <w:tmpl w:val="C046D72C"/>
    <w:lvl w:ilvl="0" w:tplc="8AC0548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41B44E6A"/>
    <w:multiLevelType w:val="hybridMultilevel"/>
    <w:tmpl w:val="96EA295E"/>
    <w:lvl w:ilvl="0" w:tplc="F5D47A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3465E0F"/>
    <w:multiLevelType w:val="hybridMultilevel"/>
    <w:tmpl w:val="595214E2"/>
    <w:lvl w:ilvl="0" w:tplc="DCF429B4">
      <w:start w:val="5"/>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6C7C50"/>
    <w:multiLevelType w:val="hybridMultilevel"/>
    <w:tmpl w:val="CEC6318E"/>
    <w:lvl w:ilvl="0" w:tplc="F5D47A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4983995"/>
    <w:multiLevelType w:val="hybridMultilevel"/>
    <w:tmpl w:val="9C9E05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10"/>
  </w:num>
  <w:num w:numId="3">
    <w:abstractNumId w:val="13"/>
  </w:num>
  <w:num w:numId="4">
    <w:abstractNumId w:val="15"/>
  </w:num>
  <w:num w:numId="5">
    <w:abstractNumId w:val="7"/>
  </w:num>
  <w:num w:numId="6">
    <w:abstractNumId w:val="6"/>
  </w:num>
  <w:num w:numId="7">
    <w:abstractNumId w:val="2"/>
  </w:num>
  <w:num w:numId="8">
    <w:abstractNumId w:val="0"/>
  </w:num>
  <w:num w:numId="9">
    <w:abstractNumId w:val="1"/>
  </w:num>
  <w:num w:numId="10">
    <w:abstractNumId w:val="11"/>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12"/>
  </w:num>
  <w:num w:numId="13">
    <w:abstractNumId w:val="4"/>
  </w:num>
  <w:num w:numId="14">
    <w:abstractNumId w:val="3"/>
  </w:num>
  <w:num w:numId="15">
    <w:abstractNumId w:val="14"/>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7CE"/>
    <w:rsid w:val="00015AAB"/>
    <w:rsid w:val="00017BE4"/>
    <w:rsid w:val="00027198"/>
    <w:rsid w:val="00030DAD"/>
    <w:rsid w:val="0003567A"/>
    <w:rsid w:val="000557A1"/>
    <w:rsid w:val="00065929"/>
    <w:rsid w:val="00070687"/>
    <w:rsid w:val="00073ECB"/>
    <w:rsid w:val="00082F41"/>
    <w:rsid w:val="00084535"/>
    <w:rsid w:val="000924AF"/>
    <w:rsid w:val="00093542"/>
    <w:rsid w:val="000A5168"/>
    <w:rsid w:val="000B5093"/>
    <w:rsid w:val="000C62C7"/>
    <w:rsid w:val="000D03C6"/>
    <w:rsid w:val="000D07AA"/>
    <w:rsid w:val="000D171E"/>
    <w:rsid w:val="000E3FF1"/>
    <w:rsid w:val="000F6E06"/>
    <w:rsid w:val="00101B8F"/>
    <w:rsid w:val="0011356F"/>
    <w:rsid w:val="001226A8"/>
    <w:rsid w:val="00143D28"/>
    <w:rsid w:val="00147646"/>
    <w:rsid w:val="001579C8"/>
    <w:rsid w:val="001835C0"/>
    <w:rsid w:val="0019230A"/>
    <w:rsid w:val="00194895"/>
    <w:rsid w:val="00196830"/>
    <w:rsid w:val="0019694E"/>
    <w:rsid w:val="001A0C63"/>
    <w:rsid w:val="001C1DD2"/>
    <w:rsid w:val="001F310C"/>
    <w:rsid w:val="0021630B"/>
    <w:rsid w:val="0021732E"/>
    <w:rsid w:val="00221049"/>
    <w:rsid w:val="00223DA7"/>
    <w:rsid w:val="002253C5"/>
    <w:rsid w:val="00225614"/>
    <w:rsid w:val="002449AC"/>
    <w:rsid w:val="00246E04"/>
    <w:rsid w:val="0026252E"/>
    <w:rsid w:val="002644C5"/>
    <w:rsid w:val="0026528C"/>
    <w:rsid w:val="00284EE8"/>
    <w:rsid w:val="002A01BD"/>
    <w:rsid w:val="002A2702"/>
    <w:rsid w:val="002A6B6B"/>
    <w:rsid w:val="002B10D7"/>
    <w:rsid w:val="002B62E6"/>
    <w:rsid w:val="002D32D3"/>
    <w:rsid w:val="002D54FB"/>
    <w:rsid w:val="002E582A"/>
    <w:rsid w:val="002F0754"/>
    <w:rsid w:val="002F578B"/>
    <w:rsid w:val="002F5B70"/>
    <w:rsid w:val="0030790D"/>
    <w:rsid w:val="00312892"/>
    <w:rsid w:val="00315FE0"/>
    <w:rsid w:val="00316556"/>
    <w:rsid w:val="003177EF"/>
    <w:rsid w:val="00320B7F"/>
    <w:rsid w:val="003237E4"/>
    <w:rsid w:val="0033036B"/>
    <w:rsid w:val="00336AE5"/>
    <w:rsid w:val="0034366C"/>
    <w:rsid w:val="00351969"/>
    <w:rsid w:val="00364589"/>
    <w:rsid w:val="003646CC"/>
    <w:rsid w:val="003647CE"/>
    <w:rsid w:val="0036590C"/>
    <w:rsid w:val="00383C8C"/>
    <w:rsid w:val="00397757"/>
    <w:rsid w:val="003A1C2C"/>
    <w:rsid w:val="003A5AB7"/>
    <w:rsid w:val="003B5DD4"/>
    <w:rsid w:val="003D4863"/>
    <w:rsid w:val="003F0BAF"/>
    <w:rsid w:val="003F69C6"/>
    <w:rsid w:val="003F767B"/>
    <w:rsid w:val="00407C10"/>
    <w:rsid w:val="00426702"/>
    <w:rsid w:val="00432B8D"/>
    <w:rsid w:val="00433A88"/>
    <w:rsid w:val="0043617D"/>
    <w:rsid w:val="0043654D"/>
    <w:rsid w:val="00445BD8"/>
    <w:rsid w:val="004552C2"/>
    <w:rsid w:val="0046675B"/>
    <w:rsid w:val="00481695"/>
    <w:rsid w:val="00482457"/>
    <w:rsid w:val="00485967"/>
    <w:rsid w:val="00487B52"/>
    <w:rsid w:val="00491167"/>
    <w:rsid w:val="004A1CCA"/>
    <w:rsid w:val="004D0A02"/>
    <w:rsid w:val="004D5A0A"/>
    <w:rsid w:val="004E7E91"/>
    <w:rsid w:val="00543736"/>
    <w:rsid w:val="00552F82"/>
    <w:rsid w:val="00555A12"/>
    <w:rsid w:val="0059772E"/>
    <w:rsid w:val="005A387A"/>
    <w:rsid w:val="005B69AE"/>
    <w:rsid w:val="005D5BA4"/>
    <w:rsid w:val="005F02B7"/>
    <w:rsid w:val="00617FE1"/>
    <w:rsid w:val="00620533"/>
    <w:rsid w:val="006225D5"/>
    <w:rsid w:val="00625B86"/>
    <w:rsid w:val="00640E11"/>
    <w:rsid w:val="00644E6C"/>
    <w:rsid w:val="00671574"/>
    <w:rsid w:val="00671A9E"/>
    <w:rsid w:val="006A6E7E"/>
    <w:rsid w:val="006D5C00"/>
    <w:rsid w:val="006D60B3"/>
    <w:rsid w:val="006D61F5"/>
    <w:rsid w:val="006E3285"/>
    <w:rsid w:val="006F1061"/>
    <w:rsid w:val="006F3518"/>
    <w:rsid w:val="00705E73"/>
    <w:rsid w:val="00733CB4"/>
    <w:rsid w:val="00747FA9"/>
    <w:rsid w:val="00754A7C"/>
    <w:rsid w:val="00755B42"/>
    <w:rsid w:val="00773DC3"/>
    <w:rsid w:val="00785FDB"/>
    <w:rsid w:val="00795472"/>
    <w:rsid w:val="007957FB"/>
    <w:rsid w:val="007970AE"/>
    <w:rsid w:val="007A3519"/>
    <w:rsid w:val="007C4819"/>
    <w:rsid w:val="007C6191"/>
    <w:rsid w:val="007D44B4"/>
    <w:rsid w:val="007F444B"/>
    <w:rsid w:val="00805FA4"/>
    <w:rsid w:val="00813229"/>
    <w:rsid w:val="0081623B"/>
    <w:rsid w:val="00820059"/>
    <w:rsid w:val="00830B42"/>
    <w:rsid w:val="00834229"/>
    <w:rsid w:val="00837524"/>
    <w:rsid w:val="00843CEE"/>
    <w:rsid w:val="008607DD"/>
    <w:rsid w:val="0087181A"/>
    <w:rsid w:val="00874208"/>
    <w:rsid w:val="0087667A"/>
    <w:rsid w:val="00876DAA"/>
    <w:rsid w:val="00883FF3"/>
    <w:rsid w:val="008840F0"/>
    <w:rsid w:val="00885018"/>
    <w:rsid w:val="0088604D"/>
    <w:rsid w:val="0088749E"/>
    <w:rsid w:val="00891713"/>
    <w:rsid w:val="008920E4"/>
    <w:rsid w:val="008959B8"/>
    <w:rsid w:val="00897318"/>
    <w:rsid w:val="008A533F"/>
    <w:rsid w:val="008A671D"/>
    <w:rsid w:val="008B41C2"/>
    <w:rsid w:val="008D18F7"/>
    <w:rsid w:val="008F1176"/>
    <w:rsid w:val="008F1A2D"/>
    <w:rsid w:val="008F270F"/>
    <w:rsid w:val="008F695F"/>
    <w:rsid w:val="00942565"/>
    <w:rsid w:val="009505FE"/>
    <w:rsid w:val="009626FB"/>
    <w:rsid w:val="00964464"/>
    <w:rsid w:val="00967CF4"/>
    <w:rsid w:val="00971BAE"/>
    <w:rsid w:val="0098152E"/>
    <w:rsid w:val="00993779"/>
    <w:rsid w:val="009A0BAB"/>
    <w:rsid w:val="009B6B5B"/>
    <w:rsid w:val="009C190D"/>
    <w:rsid w:val="009C1C98"/>
    <w:rsid w:val="009D09B5"/>
    <w:rsid w:val="009E4AFB"/>
    <w:rsid w:val="009F6845"/>
    <w:rsid w:val="00A04D63"/>
    <w:rsid w:val="00A05C45"/>
    <w:rsid w:val="00A278BA"/>
    <w:rsid w:val="00A30999"/>
    <w:rsid w:val="00A32D45"/>
    <w:rsid w:val="00A43992"/>
    <w:rsid w:val="00A56F70"/>
    <w:rsid w:val="00A6001D"/>
    <w:rsid w:val="00A62444"/>
    <w:rsid w:val="00A869C1"/>
    <w:rsid w:val="00A87E72"/>
    <w:rsid w:val="00AA65C1"/>
    <w:rsid w:val="00AB54C4"/>
    <w:rsid w:val="00AF3A95"/>
    <w:rsid w:val="00AF3FE4"/>
    <w:rsid w:val="00AF6ACC"/>
    <w:rsid w:val="00B05188"/>
    <w:rsid w:val="00B12C0B"/>
    <w:rsid w:val="00B15A57"/>
    <w:rsid w:val="00B35AEF"/>
    <w:rsid w:val="00B421B1"/>
    <w:rsid w:val="00B61A0C"/>
    <w:rsid w:val="00B64D55"/>
    <w:rsid w:val="00B71620"/>
    <w:rsid w:val="00B76B9A"/>
    <w:rsid w:val="00B81220"/>
    <w:rsid w:val="00B831AD"/>
    <w:rsid w:val="00B9310B"/>
    <w:rsid w:val="00BA3220"/>
    <w:rsid w:val="00BC0886"/>
    <w:rsid w:val="00BD0789"/>
    <w:rsid w:val="00BF24AE"/>
    <w:rsid w:val="00C11BBF"/>
    <w:rsid w:val="00C13B49"/>
    <w:rsid w:val="00C22B22"/>
    <w:rsid w:val="00C26215"/>
    <w:rsid w:val="00C30B12"/>
    <w:rsid w:val="00C400E2"/>
    <w:rsid w:val="00C4547C"/>
    <w:rsid w:val="00C55C63"/>
    <w:rsid w:val="00C62A2C"/>
    <w:rsid w:val="00C634CA"/>
    <w:rsid w:val="00C83D07"/>
    <w:rsid w:val="00C85EAD"/>
    <w:rsid w:val="00C87275"/>
    <w:rsid w:val="00CA23A4"/>
    <w:rsid w:val="00CB318A"/>
    <w:rsid w:val="00CB358F"/>
    <w:rsid w:val="00CB7AF9"/>
    <w:rsid w:val="00CD3F9E"/>
    <w:rsid w:val="00CE108E"/>
    <w:rsid w:val="00CE512A"/>
    <w:rsid w:val="00D33BA3"/>
    <w:rsid w:val="00D5173F"/>
    <w:rsid w:val="00D74A39"/>
    <w:rsid w:val="00D76525"/>
    <w:rsid w:val="00D81BF6"/>
    <w:rsid w:val="00D83B7A"/>
    <w:rsid w:val="00D8415D"/>
    <w:rsid w:val="00DA2EDB"/>
    <w:rsid w:val="00DA3FD1"/>
    <w:rsid w:val="00DA6478"/>
    <w:rsid w:val="00DB0363"/>
    <w:rsid w:val="00DB2A53"/>
    <w:rsid w:val="00DB4005"/>
    <w:rsid w:val="00DC1A98"/>
    <w:rsid w:val="00DD1F02"/>
    <w:rsid w:val="00DD35CA"/>
    <w:rsid w:val="00DD5B37"/>
    <w:rsid w:val="00DE20F4"/>
    <w:rsid w:val="00DE574D"/>
    <w:rsid w:val="00DF033D"/>
    <w:rsid w:val="00DF5B96"/>
    <w:rsid w:val="00DF67F6"/>
    <w:rsid w:val="00E200F9"/>
    <w:rsid w:val="00E32F61"/>
    <w:rsid w:val="00E3402D"/>
    <w:rsid w:val="00E434E3"/>
    <w:rsid w:val="00E45B77"/>
    <w:rsid w:val="00E75D61"/>
    <w:rsid w:val="00E97C9A"/>
    <w:rsid w:val="00EA2004"/>
    <w:rsid w:val="00EA41C6"/>
    <w:rsid w:val="00EC120E"/>
    <w:rsid w:val="00EC3A66"/>
    <w:rsid w:val="00EF317E"/>
    <w:rsid w:val="00EF3374"/>
    <w:rsid w:val="00EF3A9E"/>
    <w:rsid w:val="00F0244B"/>
    <w:rsid w:val="00F05319"/>
    <w:rsid w:val="00F11E97"/>
    <w:rsid w:val="00F36AD1"/>
    <w:rsid w:val="00F40198"/>
    <w:rsid w:val="00F456F3"/>
    <w:rsid w:val="00F62472"/>
    <w:rsid w:val="00F6422E"/>
    <w:rsid w:val="00F73B26"/>
    <w:rsid w:val="00F746B2"/>
    <w:rsid w:val="00F76A19"/>
    <w:rsid w:val="00FA2709"/>
    <w:rsid w:val="00FA58E3"/>
    <w:rsid w:val="00FA6176"/>
    <w:rsid w:val="00FA62AB"/>
    <w:rsid w:val="00FA69A8"/>
    <w:rsid w:val="00FB1779"/>
    <w:rsid w:val="00FC6500"/>
    <w:rsid w:val="00FD49B3"/>
    <w:rsid w:val="00FE31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AEAFA"/>
  <w15:chartTrackingRefBased/>
  <w15:docId w15:val="{7E431F44-352C-4F78-947C-C33EB6D5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E7E"/>
    <w:pPr>
      <w:keepNext/>
      <w:keepLines/>
      <w:spacing w:before="240" w:after="240" w:line="240" w:lineRule="auto"/>
      <w:outlineLvl w:val="0"/>
    </w:pPr>
    <w:rPr>
      <w:rFonts w:ascii="Arial" w:eastAsia="Times New Roman" w:hAnsi="Arial" w:cstheme="majorBidi"/>
      <w:color w:val="004270"/>
      <w:sz w:val="28"/>
      <w:szCs w:val="28"/>
      <w:lang w:eastAsia="en-AU"/>
    </w:rPr>
  </w:style>
  <w:style w:type="paragraph" w:styleId="Heading2">
    <w:name w:val="heading 2"/>
    <w:basedOn w:val="Normal"/>
    <w:next w:val="Normal"/>
    <w:link w:val="Heading2Char"/>
    <w:uiPriority w:val="9"/>
    <w:unhideWhenUsed/>
    <w:qFormat/>
    <w:rsid w:val="00834229"/>
    <w:pPr>
      <w:keepNext/>
      <w:keepLines/>
      <w:spacing w:before="120" w:after="240"/>
      <w:outlineLvl w:val="1"/>
    </w:pPr>
    <w:rPr>
      <w:rFonts w:ascii="Arial" w:eastAsiaTheme="majorEastAsia" w:hAnsi="Arial" w:cs="Arial"/>
      <w:i/>
      <w:iCs/>
      <w:color w:val="004270"/>
      <w:sz w:val="24"/>
      <w:szCs w:val="24"/>
    </w:rPr>
  </w:style>
  <w:style w:type="paragraph" w:styleId="Heading3">
    <w:name w:val="heading 3"/>
    <w:basedOn w:val="Normal"/>
    <w:next w:val="Normal"/>
    <w:link w:val="Heading3Char"/>
    <w:uiPriority w:val="9"/>
    <w:semiHidden/>
    <w:unhideWhenUsed/>
    <w:qFormat/>
    <w:rsid w:val="00EC12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7CE"/>
    <w:pPr>
      <w:tabs>
        <w:tab w:val="center" w:pos="4513"/>
        <w:tab w:val="right" w:pos="9026"/>
      </w:tabs>
      <w:spacing w:after="0" w:line="240" w:lineRule="auto"/>
    </w:pPr>
    <w:rPr>
      <w:rFonts w:ascii="Calibri" w:eastAsia="Times New Roman" w:hAnsi="Calibri" w:cs="Calibri"/>
      <w:color w:val="000000"/>
      <w:lang w:eastAsia="en-AU"/>
    </w:rPr>
  </w:style>
  <w:style w:type="character" w:customStyle="1" w:styleId="HeaderChar">
    <w:name w:val="Header Char"/>
    <w:basedOn w:val="DefaultParagraphFont"/>
    <w:link w:val="Header"/>
    <w:uiPriority w:val="99"/>
    <w:rsid w:val="003647CE"/>
    <w:rPr>
      <w:rFonts w:ascii="Calibri" w:eastAsia="Times New Roman" w:hAnsi="Calibri" w:cs="Calibri"/>
      <w:color w:val="000000"/>
      <w:lang w:eastAsia="en-AU"/>
    </w:rPr>
  </w:style>
  <w:style w:type="paragraph" w:styleId="Footer">
    <w:name w:val="footer"/>
    <w:basedOn w:val="Normal"/>
    <w:link w:val="FooterChar"/>
    <w:uiPriority w:val="99"/>
    <w:unhideWhenUsed/>
    <w:rsid w:val="003647CE"/>
    <w:pPr>
      <w:tabs>
        <w:tab w:val="center" w:pos="4513"/>
        <w:tab w:val="right" w:pos="9026"/>
      </w:tabs>
      <w:spacing w:after="0" w:line="240" w:lineRule="auto"/>
    </w:pPr>
    <w:rPr>
      <w:rFonts w:ascii="Calibri" w:eastAsia="Times New Roman" w:hAnsi="Calibri" w:cs="Calibri"/>
      <w:color w:val="000000"/>
      <w:lang w:eastAsia="en-AU"/>
    </w:rPr>
  </w:style>
  <w:style w:type="character" w:customStyle="1" w:styleId="FooterChar">
    <w:name w:val="Footer Char"/>
    <w:basedOn w:val="DefaultParagraphFont"/>
    <w:link w:val="Footer"/>
    <w:uiPriority w:val="99"/>
    <w:rsid w:val="003647CE"/>
    <w:rPr>
      <w:rFonts w:ascii="Calibri" w:eastAsia="Times New Roman" w:hAnsi="Calibri" w:cs="Calibri"/>
      <w:color w:val="000000"/>
      <w:lang w:eastAsia="en-AU"/>
    </w:rPr>
  </w:style>
  <w:style w:type="character" w:styleId="Hyperlink">
    <w:name w:val="Hyperlink"/>
    <w:basedOn w:val="DefaultParagraphFont"/>
    <w:uiPriority w:val="99"/>
    <w:unhideWhenUsed/>
    <w:rsid w:val="003647CE"/>
    <w:rPr>
      <w:rFonts w:cs="Times New Roman"/>
      <w:color w:val="0000FF"/>
      <w:u w:val="single"/>
    </w:rPr>
  </w:style>
  <w:style w:type="paragraph" w:styleId="ListParagraph">
    <w:name w:val="List Paragraph"/>
    <w:basedOn w:val="Normal"/>
    <w:uiPriority w:val="7"/>
    <w:qFormat/>
    <w:rsid w:val="003647CE"/>
    <w:pPr>
      <w:spacing w:line="256" w:lineRule="auto"/>
      <w:ind w:left="720"/>
      <w:contextualSpacing/>
    </w:pPr>
    <w:rPr>
      <w:rFonts w:ascii="Calibri" w:eastAsia="Times New Roman" w:hAnsi="Calibri" w:cs="Calibri"/>
      <w:color w:val="000000"/>
      <w:lang w:eastAsia="en-AU"/>
    </w:rPr>
  </w:style>
  <w:style w:type="character" w:styleId="CommentReference">
    <w:name w:val="annotation reference"/>
    <w:basedOn w:val="DefaultParagraphFont"/>
    <w:uiPriority w:val="99"/>
    <w:semiHidden/>
    <w:unhideWhenUsed/>
    <w:rsid w:val="00246E04"/>
    <w:rPr>
      <w:sz w:val="16"/>
      <w:szCs w:val="16"/>
    </w:rPr>
  </w:style>
  <w:style w:type="paragraph" w:styleId="CommentText">
    <w:name w:val="annotation text"/>
    <w:basedOn w:val="Normal"/>
    <w:link w:val="CommentTextChar"/>
    <w:uiPriority w:val="99"/>
    <w:unhideWhenUsed/>
    <w:rsid w:val="00246E04"/>
    <w:pPr>
      <w:spacing w:line="240" w:lineRule="auto"/>
    </w:pPr>
    <w:rPr>
      <w:sz w:val="20"/>
      <w:szCs w:val="20"/>
    </w:rPr>
  </w:style>
  <w:style w:type="character" w:customStyle="1" w:styleId="CommentTextChar">
    <w:name w:val="Comment Text Char"/>
    <w:basedOn w:val="DefaultParagraphFont"/>
    <w:link w:val="CommentText"/>
    <w:uiPriority w:val="99"/>
    <w:rsid w:val="00246E04"/>
    <w:rPr>
      <w:sz w:val="20"/>
      <w:szCs w:val="20"/>
    </w:rPr>
  </w:style>
  <w:style w:type="paragraph" w:styleId="CommentSubject">
    <w:name w:val="annotation subject"/>
    <w:basedOn w:val="CommentText"/>
    <w:next w:val="CommentText"/>
    <w:link w:val="CommentSubjectChar"/>
    <w:uiPriority w:val="99"/>
    <w:semiHidden/>
    <w:unhideWhenUsed/>
    <w:rsid w:val="00246E04"/>
    <w:rPr>
      <w:b/>
      <w:bCs/>
    </w:rPr>
  </w:style>
  <w:style w:type="character" w:customStyle="1" w:styleId="CommentSubjectChar">
    <w:name w:val="Comment Subject Char"/>
    <w:basedOn w:val="CommentTextChar"/>
    <w:link w:val="CommentSubject"/>
    <w:uiPriority w:val="99"/>
    <w:semiHidden/>
    <w:rsid w:val="00246E04"/>
    <w:rPr>
      <w:b/>
      <w:bCs/>
      <w:sz w:val="20"/>
      <w:szCs w:val="20"/>
    </w:rPr>
  </w:style>
  <w:style w:type="paragraph" w:styleId="FootnoteText">
    <w:name w:val="footnote text"/>
    <w:basedOn w:val="Normal"/>
    <w:link w:val="FootnoteTextChar"/>
    <w:uiPriority w:val="99"/>
    <w:unhideWhenUsed/>
    <w:rsid w:val="000D171E"/>
    <w:pPr>
      <w:spacing w:after="0" w:line="240" w:lineRule="auto"/>
    </w:pPr>
    <w:rPr>
      <w:sz w:val="20"/>
      <w:szCs w:val="20"/>
    </w:rPr>
  </w:style>
  <w:style w:type="character" w:customStyle="1" w:styleId="FootnoteTextChar">
    <w:name w:val="Footnote Text Char"/>
    <w:basedOn w:val="DefaultParagraphFont"/>
    <w:link w:val="FootnoteText"/>
    <w:uiPriority w:val="99"/>
    <w:rsid w:val="000D171E"/>
    <w:rPr>
      <w:sz w:val="20"/>
      <w:szCs w:val="20"/>
    </w:rPr>
  </w:style>
  <w:style w:type="character" w:styleId="FootnoteReference">
    <w:name w:val="footnote reference"/>
    <w:basedOn w:val="DefaultParagraphFont"/>
    <w:uiPriority w:val="99"/>
    <w:semiHidden/>
    <w:unhideWhenUsed/>
    <w:rsid w:val="000D171E"/>
    <w:rPr>
      <w:vertAlign w:val="superscript"/>
    </w:rPr>
  </w:style>
  <w:style w:type="character" w:styleId="FollowedHyperlink">
    <w:name w:val="FollowedHyperlink"/>
    <w:basedOn w:val="DefaultParagraphFont"/>
    <w:uiPriority w:val="99"/>
    <w:semiHidden/>
    <w:unhideWhenUsed/>
    <w:rsid w:val="006F1061"/>
    <w:rPr>
      <w:color w:val="954F72" w:themeColor="followedHyperlink"/>
      <w:u w:val="single"/>
    </w:rPr>
  </w:style>
  <w:style w:type="paragraph" w:styleId="Revision">
    <w:name w:val="Revision"/>
    <w:hidden/>
    <w:uiPriority w:val="99"/>
    <w:semiHidden/>
    <w:rsid w:val="00AF3A95"/>
    <w:pPr>
      <w:spacing w:after="0" w:line="240" w:lineRule="auto"/>
    </w:pPr>
  </w:style>
  <w:style w:type="character" w:customStyle="1" w:styleId="Heading1Char">
    <w:name w:val="Heading 1 Char"/>
    <w:basedOn w:val="DefaultParagraphFont"/>
    <w:link w:val="Heading1"/>
    <w:uiPriority w:val="9"/>
    <w:rsid w:val="006A6E7E"/>
    <w:rPr>
      <w:rFonts w:ascii="Arial" w:eastAsia="Times New Roman" w:hAnsi="Arial" w:cstheme="majorBidi"/>
      <w:color w:val="004270"/>
      <w:sz w:val="28"/>
      <w:szCs w:val="28"/>
      <w:lang w:eastAsia="en-AU"/>
    </w:rPr>
  </w:style>
  <w:style w:type="character" w:customStyle="1" w:styleId="Heading2Char">
    <w:name w:val="Heading 2 Char"/>
    <w:basedOn w:val="DefaultParagraphFont"/>
    <w:link w:val="Heading2"/>
    <w:uiPriority w:val="9"/>
    <w:rsid w:val="00834229"/>
    <w:rPr>
      <w:rFonts w:ascii="Arial" w:eastAsiaTheme="majorEastAsia" w:hAnsi="Arial" w:cs="Arial"/>
      <w:i/>
      <w:iCs/>
      <w:color w:val="004270"/>
      <w:sz w:val="24"/>
      <w:szCs w:val="24"/>
    </w:rPr>
  </w:style>
  <w:style w:type="character" w:styleId="UnresolvedMention">
    <w:name w:val="Unresolved Mention"/>
    <w:basedOn w:val="DefaultParagraphFont"/>
    <w:uiPriority w:val="99"/>
    <w:semiHidden/>
    <w:unhideWhenUsed/>
    <w:rsid w:val="00C85EAD"/>
    <w:rPr>
      <w:color w:val="605E5C"/>
      <w:shd w:val="clear" w:color="auto" w:fill="E1DFDD"/>
    </w:rPr>
  </w:style>
  <w:style w:type="paragraph" w:customStyle="1" w:styleId="Default">
    <w:name w:val="Default"/>
    <w:rsid w:val="00320B7F"/>
    <w:pPr>
      <w:autoSpaceDE w:val="0"/>
      <w:autoSpaceDN w:val="0"/>
      <w:adjustRightInd w:val="0"/>
      <w:spacing w:after="0" w:line="240" w:lineRule="auto"/>
    </w:pPr>
    <w:rPr>
      <w:rFonts w:ascii="Arial" w:hAnsi="Arial" w:cs="Arial"/>
      <w:color w:val="000000"/>
      <w:sz w:val="24"/>
      <w:szCs w:val="24"/>
    </w:rPr>
  </w:style>
  <w:style w:type="character" w:customStyle="1" w:styleId="listnumber">
    <w:name w:val="listnumber"/>
    <w:basedOn w:val="DefaultParagraphFont"/>
    <w:rsid w:val="00320B7F"/>
  </w:style>
  <w:style w:type="character" w:customStyle="1" w:styleId="Heading3Char">
    <w:name w:val="Heading 3 Char"/>
    <w:basedOn w:val="DefaultParagraphFont"/>
    <w:link w:val="Heading3"/>
    <w:uiPriority w:val="9"/>
    <w:semiHidden/>
    <w:rsid w:val="00EC120E"/>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semiHidden/>
    <w:unhideWhenUsed/>
    <w:rsid w:val="00EC120E"/>
    <w:pPr>
      <w:spacing w:after="100"/>
      <w:ind w:left="220"/>
    </w:pPr>
  </w:style>
  <w:style w:type="paragraph" w:styleId="TOC1">
    <w:name w:val="toc 1"/>
    <w:basedOn w:val="Normal"/>
    <w:next w:val="Normal"/>
    <w:autoRedefine/>
    <w:uiPriority w:val="39"/>
    <w:unhideWhenUsed/>
    <w:rsid w:val="00EC120E"/>
    <w:pPr>
      <w:numPr>
        <w:numId w:val="16"/>
      </w:numPr>
      <w:tabs>
        <w:tab w:val="right" w:leader="dot" w:pos="8948"/>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020651">
      <w:bodyDiv w:val="1"/>
      <w:marLeft w:val="0"/>
      <w:marRight w:val="0"/>
      <w:marTop w:val="0"/>
      <w:marBottom w:val="0"/>
      <w:divBdr>
        <w:top w:val="none" w:sz="0" w:space="0" w:color="auto"/>
        <w:left w:val="none" w:sz="0" w:space="0" w:color="auto"/>
        <w:bottom w:val="none" w:sz="0" w:space="0" w:color="auto"/>
        <w:right w:val="none" w:sz="0" w:space="0" w:color="auto"/>
      </w:divBdr>
      <w:divsChild>
        <w:div w:id="879586903">
          <w:marLeft w:val="0"/>
          <w:marRight w:val="0"/>
          <w:marTop w:val="0"/>
          <w:marBottom w:val="0"/>
          <w:divBdr>
            <w:top w:val="none" w:sz="0" w:space="0" w:color="auto"/>
            <w:left w:val="none" w:sz="0" w:space="0" w:color="auto"/>
            <w:bottom w:val="none" w:sz="0" w:space="0" w:color="auto"/>
            <w:right w:val="none" w:sz="0" w:space="0" w:color="auto"/>
          </w:divBdr>
          <w:divsChild>
            <w:div w:id="325984296">
              <w:marLeft w:val="0"/>
              <w:marRight w:val="0"/>
              <w:marTop w:val="0"/>
              <w:marBottom w:val="0"/>
              <w:divBdr>
                <w:top w:val="none" w:sz="0" w:space="0" w:color="auto"/>
                <w:left w:val="none" w:sz="0" w:space="0" w:color="auto"/>
                <w:bottom w:val="none" w:sz="0" w:space="0" w:color="auto"/>
                <w:right w:val="none" w:sz="0" w:space="0" w:color="auto"/>
              </w:divBdr>
              <w:divsChild>
                <w:div w:id="669602419">
                  <w:marLeft w:val="0"/>
                  <w:marRight w:val="-6300"/>
                  <w:marTop w:val="0"/>
                  <w:marBottom w:val="0"/>
                  <w:divBdr>
                    <w:top w:val="none" w:sz="0" w:space="0" w:color="auto"/>
                    <w:left w:val="none" w:sz="0" w:space="0" w:color="auto"/>
                    <w:bottom w:val="none" w:sz="0" w:space="0" w:color="auto"/>
                    <w:right w:val="none" w:sz="0" w:space="0" w:color="auto"/>
                  </w:divBdr>
                  <w:divsChild>
                    <w:div w:id="751586781">
                      <w:marLeft w:val="340"/>
                      <w:marRight w:val="0"/>
                      <w:marTop w:val="300"/>
                      <w:marBottom w:val="120"/>
                      <w:divBdr>
                        <w:top w:val="none" w:sz="0" w:space="0" w:color="auto"/>
                        <w:left w:val="none" w:sz="0" w:space="0" w:color="auto"/>
                        <w:bottom w:val="none" w:sz="0" w:space="0" w:color="auto"/>
                        <w:right w:val="none" w:sz="0" w:space="0" w:color="auto"/>
                      </w:divBdr>
                      <w:divsChild>
                        <w:div w:id="686830370">
                          <w:marLeft w:val="0"/>
                          <w:marRight w:val="0"/>
                          <w:marTop w:val="0"/>
                          <w:marBottom w:val="0"/>
                          <w:divBdr>
                            <w:top w:val="none" w:sz="0" w:space="0" w:color="auto"/>
                            <w:left w:val="none" w:sz="0" w:space="0" w:color="auto"/>
                            <w:bottom w:val="none" w:sz="0" w:space="0" w:color="auto"/>
                            <w:right w:val="none" w:sz="0" w:space="0" w:color="auto"/>
                          </w:divBdr>
                          <w:divsChild>
                            <w:div w:id="49607193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589314673">
                                  <w:blockQuote w:val="1"/>
                                  <w:marLeft w:val="600"/>
                                  <w:marRight w:val="0"/>
                                  <w:marTop w:val="120"/>
                                  <w:marBottom w:val="120"/>
                                  <w:divBdr>
                                    <w:top w:val="none" w:sz="0" w:space="0" w:color="auto"/>
                                    <w:left w:val="none" w:sz="0" w:space="0" w:color="auto"/>
                                    <w:bottom w:val="none" w:sz="0" w:space="0" w:color="auto"/>
                                    <w:right w:val="none" w:sz="0" w:space="0" w:color="auto"/>
                                  </w:divBdr>
                                </w:div>
                                <w:div w:id="386994185">
                                  <w:blockQuote w:val="1"/>
                                  <w:marLeft w:val="600"/>
                                  <w:marRight w:val="0"/>
                                  <w:marTop w:val="120"/>
                                  <w:marBottom w:val="120"/>
                                  <w:divBdr>
                                    <w:top w:val="none" w:sz="0" w:space="0" w:color="auto"/>
                                    <w:left w:val="none" w:sz="0" w:space="0" w:color="auto"/>
                                    <w:bottom w:val="none" w:sz="0" w:space="0" w:color="auto"/>
                                    <w:right w:val="none" w:sz="0" w:space="0" w:color="auto"/>
                                  </w:divBdr>
                                </w:div>
                                <w:div w:id="61499186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442382">
      <w:bodyDiv w:val="1"/>
      <w:marLeft w:val="0"/>
      <w:marRight w:val="0"/>
      <w:marTop w:val="0"/>
      <w:marBottom w:val="0"/>
      <w:divBdr>
        <w:top w:val="none" w:sz="0" w:space="0" w:color="auto"/>
        <w:left w:val="none" w:sz="0" w:space="0" w:color="auto"/>
        <w:bottom w:val="none" w:sz="0" w:space="0" w:color="auto"/>
        <w:right w:val="none" w:sz="0" w:space="0" w:color="auto"/>
      </w:divBdr>
      <w:divsChild>
        <w:div w:id="141486363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42511118">
      <w:bodyDiv w:val="1"/>
      <w:marLeft w:val="0"/>
      <w:marRight w:val="0"/>
      <w:marTop w:val="0"/>
      <w:marBottom w:val="0"/>
      <w:divBdr>
        <w:top w:val="none" w:sz="0" w:space="0" w:color="auto"/>
        <w:left w:val="none" w:sz="0" w:space="0" w:color="auto"/>
        <w:bottom w:val="none" w:sz="0" w:space="0" w:color="auto"/>
        <w:right w:val="none" w:sz="0" w:space="0" w:color="auto"/>
      </w:divBdr>
      <w:divsChild>
        <w:div w:id="173357897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96413562">
      <w:bodyDiv w:val="1"/>
      <w:marLeft w:val="0"/>
      <w:marRight w:val="0"/>
      <w:marTop w:val="0"/>
      <w:marBottom w:val="0"/>
      <w:divBdr>
        <w:top w:val="none" w:sz="0" w:space="0" w:color="auto"/>
        <w:left w:val="none" w:sz="0" w:space="0" w:color="auto"/>
        <w:bottom w:val="none" w:sz="0" w:space="0" w:color="auto"/>
        <w:right w:val="none" w:sz="0" w:space="0" w:color="auto"/>
      </w:divBdr>
    </w:div>
    <w:div w:id="212010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cactreview@justice.qld.gov.a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ebekah.leong@qhrc.qld.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94283-2B07-4F75-9532-93211F130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2490</Words>
  <Characters>14194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Corkhill</dc:creator>
  <cp:keywords/>
  <dc:description/>
  <cp:lastModifiedBy>Kate Marsh</cp:lastModifiedBy>
  <cp:revision>2</cp:revision>
  <cp:lastPrinted>2023-04-06T06:33:00Z</cp:lastPrinted>
  <dcterms:created xsi:type="dcterms:W3CDTF">2024-01-29T02:41:00Z</dcterms:created>
  <dcterms:modified xsi:type="dcterms:W3CDTF">2024-01-29T02:41:00Z</dcterms:modified>
</cp:coreProperties>
</file>