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Cs/>
          <w:color w:val="000000" w:themeColor="text1"/>
          <w:sz w:val="28"/>
          <w:szCs w:val="24"/>
          <w:lang w:val="en-AU"/>
        </w:rPr>
        <w:id w:val="2067608509"/>
        <w:docPartObj>
          <w:docPartGallery w:val="Cover Pages"/>
          <w:docPartUnique/>
        </w:docPartObj>
      </w:sdtPr>
      <w:sdtEndPr>
        <w:rPr>
          <w:rFonts w:cstheme="minorBidi"/>
          <w:bCs w:val="0"/>
          <w:sz w:val="16"/>
          <w:szCs w:val="16"/>
        </w:rPr>
      </w:sdtEndPr>
      <w:sdtContent>
        <w:p w14:paraId="2CDC02B3" w14:textId="77777777" w:rsidR="0035517B" w:rsidRDefault="0035517B" w:rsidP="00260847">
          <w:pPr>
            <w:pStyle w:val="NoSpacing"/>
            <w:spacing w:before="120" w:after="120"/>
            <w:rPr>
              <w:rFonts w:ascii="Arial" w:hAnsi="Arial" w:cs="Arial"/>
              <w:bCs/>
              <w:sz w:val="28"/>
            </w:rPr>
          </w:pPr>
        </w:p>
        <w:p w14:paraId="0F605ABB" w14:textId="77777777" w:rsidR="0035517B" w:rsidRDefault="0035517B" w:rsidP="00260847">
          <w:pPr>
            <w:pStyle w:val="NoSpacing"/>
            <w:spacing w:before="120" w:after="120"/>
            <w:rPr>
              <w:rFonts w:ascii="Arial" w:hAnsi="Arial" w:cs="Arial"/>
              <w:bCs/>
              <w:sz w:val="28"/>
            </w:rPr>
          </w:pPr>
        </w:p>
        <w:p w14:paraId="7E857944"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0A116034" wp14:editId="57A4670F">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618A34E4" w14:textId="77777777" w:rsidR="0035517B" w:rsidRDefault="0035517B" w:rsidP="00260847">
          <w:pPr>
            <w:pStyle w:val="NoSpacing"/>
            <w:spacing w:before="120" w:after="120"/>
            <w:rPr>
              <w:rFonts w:ascii="Arial" w:hAnsi="Arial" w:cs="Arial"/>
              <w:bCs/>
              <w:sz w:val="28"/>
            </w:rPr>
          </w:pPr>
        </w:p>
        <w:p w14:paraId="0E1BED2B" w14:textId="77777777" w:rsidR="0035517B" w:rsidRDefault="0035517B" w:rsidP="00260847">
          <w:pPr>
            <w:pStyle w:val="NoSpacing"/>
            <w:spacing w:before="120" w:after="120"/>
            <w:rPr>
              <w:rFonts w:ascii="Arial" w:hAnsi="Arial" w:cs="Arial"/>
              <w:bCs/>
              <w:sz w:val="28"/>
            </w:rPr>
          </w:pPr>
        </w:p>
        <w:p w14:paraId="60663208" w14:textId="77777777" w:rsidR="0035517B" w:rsidRDefault="0035517B" w:rsidP="00260847">
          <w:pPr>
            <w:pStyle w:val="NoSpacing"/>
            <w:spacing w:before="120" w:after="120"/>
            <w:rPr>
              <w:rFonts w:ascii="Arial" w:hAnsi="Arial" w:cs="Arial"/>
              <w:bCs/>
              <w:sz w:val="28"/>
            </w:rPr>
          </w:pPr>
        </w:p>
        <w:p w14:paraId="4B9A4B93" w14:textId="77777777" w:rsidR="0035517B" w:rsidRDefault="0035517B" w:rsidP="00260847">
          <w:pPr>
            <w:pStyle w:val="NoSpacing"/>
            <w:spacing w:before="120" w:after="120"/>
            <w:rPr>
              <w:rFonts w:ascii="Arial" w:hAnsi="Arial" w:cs="Arial"/>
              <w:bCs/>
              <w:sz w:val="28"/>
            </w:rPr>
          </w:pPr>
        </w:p>
        <w:p w14:paraId="79522B1A" w14:textId="77777777" w:rsidR="0035517B" w:rsidRDefault="0035517B" w:rsidP="00260847">
          <w:pPr>
            <w:pStyle w:val="NoSpacing"/>
            <w:spacing w:before="120" w:after="120"/>
            <w:rPr>
              <w:rFonts w:ascii="Arial" w:hAnsi="Arial" w:cs="Arial"/>
              <w:bCs/>
              <w:sz w:val="28"/>
            </w:rPr>
          </w:pPr>
        </w:p>
        <w:p w14:paraId="604C8971" w14:textId="77777777" w:rsidR="0035517B" w:rsidRDefault="0035517B" w:rsidP="00260847">
          <w:pPr>
            <w:pStyle w:val="NoSpacing"/>
            <w:spacing w:before="120" w:after="120"/>
            <w:rPr>
              <w:rFonts w:ascii="Arial" w:hAnsi="Arial" w:cs="Arial"/>
              <w:bCs/>
              <w:sz w:val="28"/>
            </w:rPr>
          </w:pPr>
        </w:p>
        <w:p w14:paraId="73419DC6" w14:textId="668FA033" w:rsidR="0035517B" w:rsidRPr="0035517B" w:rsidRDefault="007F531A" w:rsidP="0035517B">
          <w:pPr>
            <w:pStyle w:val="Title"/>
          </w:pPr>
          <w:r>
            <w:t xml:space="preserve">Inquiry into </w:t>
          </w:r>
          <w:r w:rsidR="007D53E8">
            <w:t>s</w:t>
          </w:r>
          <w:r w:rsidR="4D9E46B8">
            <w:t>uppo</w:t>
          </w:r>
          <w:r w:rsidR="2B582BCE">
            <w:t>r</w:t>
          </w:r>
          <w:r w:rsidR="4D9E46B8">
            <w:t xml:space="preserve">t </w:t>
          </w:r>
          <w:r w:rsidR="007D53E8">
            <w:t>provided to</w:t>
          </w:r>
          <w:r>
            <w:t xml:space="preserve"> </w:t>
          </w:r>
          <w:r w:rsidR="007D53E8">
            <w:t>v</w:t>
          </w:r>
          <w:r w:rsidR="4D9E46B8">
            <w:t xml:space="preserve">ictims of </w:t>
          </w:r>
          <w:r w:rsidR="007D53E8">
            <w:t>c</w:t>
          </w:r>
          <w:r w:rsidR="4D9E46B8">
            <w:t>rime</w:t>
          </w:r>
          <w:r w:rsidR="39858E6A">
            <w:t xml:space="preserve"> </w:t>
          </w:r>
        </w:p>
        <w:p w14:paraId="374E9A15" w14:textId="0D7509D8" w:rsidR="00260847" w:rsidRPr="006C0490" w:rsidRDefault="00260847" w:rsidP="006C0490">
          <w:pPr>
            <w:rPr>
              <w:color w:val="004270"/>
              <w:sz w:val="36"/>
              <w:szCs w:val="36"/>
            </w:rPr>
          </w:pPr>
          <w:bookmarkStart w:id="0" w:name="_Toc132125993"/>
          <w:bookmarkStart w:id="1" w:name="_Toc132142446"/>
          <w:bookmarkStart w:id="2" w:name="_Toc132187083"/>
          <w:r w:rsidRPr="006C0490">
            <w:rPr>
              <w:color w:val="004270"/>
              <w:sz w:val="36"/>
              <w:szCs w:val="36"/>
            </w:rPr>
            <w:t xml:space="preserve">Submission to </w:t>
          </w:r>
          <w:r w:rsidR="002B4657" w:rsidRPr="006C0490">
            <w:rPr>
              <w:color w:val="004270"/>
              <w:sz w:val="36"/>
              <w:szCs w:val="36"/>
            </w:rPr>
            <w:t>Legal Affairs and Safety Committee</w:t>
          </w:r>
          <w:bookmarkEnd w:id="0"/>
          <w:bookmarkEnd w:id="1"/>
          <w:bookmarkEnd w:id="2"/>
          <w:r w:rsidR="006C0490">
            <w:rPr>
              <w:color w:val="004270"/>
              <w:sz w:val="36"/>
              <w:szCs w:val="36"/>
            </w:rPr>
            <w:br/>
          </w:r>
        </w:p>
        <w:p w14:paraId="5D79F9DC" w14:textId="466587B1" w:rsidR="00260847" w:rsidRPr="006C0490" w:rsidRDefault="002B4657" w:rsidP="006C0490">
          <w:pPr>
            <w:rPr>
              <w:color w:val="004270"/>
              <w:sz w:val="28"/>
              <w:szCs w:val="28"/>
            </w:rPr>
          </w:pPr>
          <w:bookmarkStart w:id="3" w:name="_Toc132125994"/>
          <w:bookmarkStart w:id="4" w:name="_Toc132142447"/>
          <w:bookmarkStart w:id="5" w:name="_Toc132187084"/>
          <w:r w:rsidRPr="006C0490">
            <w:rPr>
              <w:color w:val="004270"/>
              <w:sz w:val="28"/>
              <w:szCs w:val="28"/>
            </w:rPr>
            <w:t>12 April 2023</w:t>
          </w:r>
          <w:bookmarkEnd w:id="3"/>
          <w:bookmarkEnd w:id="4"/>
          <w:bookmarkEnd w:id="5"/>
        </w:p>
        <w:p w14:paraId="2B734BC8" w14:textId="77777777" w:rsidR="00260847" w:rsidRDefault="00260847">
          <w:pPr>
            <w:rPr>
              <w:rFonts w:cs="Arial"/>
              <w:bCs/>
              <w:sz w:val="28"/>
              <w:szCs w:val="22"/>
              <w:lang w:val="en-US"/>
            </w:rPr>
          </w:pPr>
          <w:r>
            <w:rPr>
              <w:rFonts w:cs="Arial"/>
              <w:bCs/>
              <w:sz w:val="28"/>
            </w:rPr>
            <w:br w:type="page"/>
          </w:r>
        </w:p>
        <w:p w14:paraId="012F0FDA" w14:textId="77777777" w:rsidR="004A2375" w:rsidRDefault="004A2375" w:rsidP="00260847">
          <w:pPr>
            <w:pStyle w:val="NoSpacing"/>
            <w:spacing w:before="120" w:after="120"/>
          </w:pPr>
        </w:p>
        <w:p w14:paraId="057FC9A8" w14:textId="77777777" w:rsidR="00A16356" w:rsidRPr="004A2375" w:rsidRDefault="004B4158">
          <w:pPr>
            <w:rPr>
              <w:rFonts w:eastAsiaTheme="majorEastAsia" w:cstheme="majorBidi"/>
              <w:b/>
              <w:color w:val="365F91" w:themeColor="accent1" w:themeShade="BF"/>
              <w:sz w:val="16"/>
              <w:szCs w:val="16"/>
            </w:rPr>
          </w:pPr>
        </w:p>
      </w:sdtContent>
    </w:sdt>
    <w:bookmarkStart w:id="6" w:name="_Toc132187085" w:displacedByCustomXml="next"/>
    <w:bookmarkStart w:id="7" w:name="_Toc132125995" w:displacedByCustomXml="next"/>
    <w:bookmarkStart w:id="8" w:name="_Toc132142448" w:displacedByCustomXml="next"/>
    <w:bookmarkStart w:id="9" w:name="_Toc132204342" w:displacedByCustomXml="nex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color w:val="000000" w:themeColor="text1"/>
          <w:sz w:val="22"/>
          <w:lang w:val="en-AU"/>
        </w:rPr>
      </w:sdtEndPr>
      <w:sdtContent>
        <w:p w14:paraId="127E785F" w14:textId="77777777" w:rsidR="006C0490" w:rsidRDefault="00260847" w:rsidP="00C82CAE">
          <w:pPr>
            <w:pStyle w:val="Heading1"/>
            <w:rPr>
              <w:noProof/>
            </w:rPr>
          </w:pPr>
          <w:r w:rsidRPr="006C0490">
            <w:t>Table of c</w:t>
          </w:r>
          <w:r w:rsidR="00A16356" w:rsidRPr="006C0490">
            <w:t>ontent</w:t>
          </w:r>
          <w:r w:rsidR="00A16356" w:rsidRPr="00A16356">
            <w:t>s</w:t>
          </w:r>
          <w:bookmarkEnd w:id="9"/>
          <w:bookmarkEnd w:id="8"/>
          <w:bookmarkEnd w:id="7"/>
          <w:bookmarkEnd w:id="6"/>
          <w:r w:rsidR="00A16356" w:rsidRPr="00041E58">
            <w:rPr>
              <w:rFonts w:cs="Arial"/>
              <w:b/>
              <w:bCs/>
              <w:noProof/>
            </w:rPr>
            <w:fldChar w:fldCharType="begin"/>
          </w:r>
          <w:r w:rsidR="00A16356" w:rsidRPr="00041E58">
            <w:rPr>
              <w:rFonts w:cs="Arial"/>
              <w:b/>
              <w:bCs/>
              <w:noProof/>
            </w:rPr>
            <w:instrText xml:space="preserve"> TOC \o "1-3" \h \z \u </w:instrText>
          </w:r>
          <w:r w:rsidR="00A16356" w:rsidRPr="00041E58">
            <w:rPr>
              <w:rFonts w:cs="Arial"/>
              <w:b/>
              <w:bCs/>
              <w:noProof/>
            </w:rPr>
            <w:fldChar w:fldCharType="separate"/>
          </w:r>
        </w:p>
        <w:p w14:paraId="0547C680" w14:textId="01E3BEE5" w:rsidR="006C0490" w:rsidRDefault="004B4158">
          <w:pPr>
            <w:pStyle w:val="TOC1"/>
            <w:tabs>
              <w:tab w:val="right" w:leader="dot" w:pos="8296"/>
            </w:tabs>
            <w:rPr>
              <w:rFonts w:asciiTheme="minorHAnsi" w:hAnsiTheme="minorHAnsi"/>
              <w:noProof/>
              <w:color w:val="auto"/>
              <w:szCs w:val="22"/>
              <w:lang w:eastAsia="en-AU"/>
            </w:rPr>
          </w:pPr>
          <w:hyperlink w:anchor="_Toc132204343" w:history="1">
            <w:r w:rsidR="006C0490" w:rsidRPr="00A812F1">
              <w:rPr>
                <w:rStyle w:val="Hyperlink"/>
                <w:noProof/>
              </w:rPr>
              <w:t>Summary</w:t>
            </w:r>
            <w:r w:rsidR="006C0490">
              <w:rPr>
                <w:noProof/>
                <w:webHidden/>
              </w:rPr>
              <w:tab/>
            </w:r>
            <w:r w:rsidR="006C0490">
              <w:rPr>
                <w:noProof/>
                <w:webHidden/>
              </w:rPr>
              <w:fldChar w:fldCharType="begin"/>
            </w:r>
            <w:r w:rsidR="006C0490">
              <w:rPr>
                <w:noProof/>
                <w:webHidden/>
              </w:rPr>
              <w:instrText xml:space="preserve"> PAGEREF _Toc132204343 \h </w:instrText>
            </w:r>
            <w:r w:rsidR="006C0490">
              <w:rPr>
                <w:noProof/>
                <w:webHidden/>
              </w:rPr>
            </w:r>
            <w:r w:rsidR="006C0490">
              <w:rPr>
                <w:noProof/>
                <w:webHidden/>
              </w:rPr>
              <w:fldChar w:fldCharType="separate"/>
            </w:r>
            <w:r>
              <w:rPr>
                <w:noProof/>
                <w:webHidden/>
              </w:rPr>
              <w:t>2</w:t>
            </w:r>
            <w:r w:rsidR="006C0490">
              <w:rPr>
                <w:noProof/>
                <w:webHidden/>
              </w:rPr>
              <w:fldChar w:fldCharType="end"/>
            </w:r>
          </w:hyperlink>
        </w:p>
        <w:p w14:paraId="2D96DDB0" w14:textId="682B4B69" w:rsidR="006C0490" w:rsidRDefault="004B4158">
          <w:pPr>
            <w:pStyle w:val="TOC1"/>
            <w:tabs>
              <w:tab w:val="right" w:leader="dot" w:pos="8296"/>
            </w:tabs>
            <w:rPr>
              <w:rFonts w:asciiTheme="minorHAnsi" w:hAnsiTheme="minorHAnsi"/>
              <w:noProof/>
              <w:color w:val="auto"/>
              <w:szCs w:val="22"/>
              <w:lang w:eastAsia="en-AU"/>
            </w:rPr>
          </w:pPr>
          <w:hyperlink w:anchor="_Toc132204344" w:history="1">
            <w:r w:rsidR="006C0490" w:rsidRPr="00A812F1">
              <w:rPr>
                <w:rStyle w:val="Hyperlink"/>
                <w:noProof/>
              </w:rPr>
              <w:t>Introduction</w:t>
            </w:r>
            <w:r w:rsidR="006C0490">
              <w:rPr>
                <w:noProof/>
                <w:webHidden/>
              </w:rPr>
              <w:tab/>
            </w:r>
            <w:r w:rsidR="006C0490">
              <w:rPr>
                <w:noProof/>
                <w:webHidden/>
              </w:rPr>
              <w:fldChar w:fldCharType="begin"/>
            </w:r>
            <w:r w:rsidR="006C0490">
              <w:rPr>
                <w:noProof/>
                <w:webHidden/>
              </w:rPr>
              <w:instrText xml:space="preserve"> PAGEREF _Toc132204344 \h </w:instrText>
            </w:r>
            <w:r w:rsidR="006C0490">
              <w:rPr>
                <w:noProof/>
                <w:webHidden/>
              </w:rPr>
            </w:r>
            <w:r w:rsidR="006C0490">
              <w:rPr>
                <w:noProof/>
                <w:webHidden/>
              </w:rPr>
              <w:fldChar w:fldCharType="separate"/>
            </w:r>
            <w:r>
              <w:rPr>
                <w:noProof/>
                <w:webHidden/>
              </w:rPr>
              <w:t>3</w:t>
            </w:r>
            <w:r w:rsidR="006C0490">
              <w:rPr>
                <w:noProof/>
                <w:webHidden/>
              </w:rPr>
              <w:fldChar w:fldCharType="end"/>
            </w:r>
          </w:hyperlink>
        </w:p>
        <w:p w14:paraId="0FC383D4" w14:textId="6ACA19CA" w:rsidR="006C0490" w:rsidRDefault="004B4158">
          <w:pPr>
            <w:pStyle w:val="TOC1"/>
            <w:tabs>
              <w:tab w:val="right" w:leader="dot" w:pos="8296"/>
            </w:tabs>
            <w:rPr>
              <w:rFonts w:asciiTheme="minorHAnsi" w:hAnsiTheme="minorHAnsi"/>
              <w:noProof/>
              <w:color w:val="auto"/>
              <w:szCs w:val="22"/>
              <w:lang w:eastAsia="en-AU"/>
            </w:rPr>
          </w:pPr>
          <w:hyperlink w:anchor="_Toc132204345" w:history="1">
            <w:r w:rsidR="006C0490" w:rsidRPr="00A812F1">
              <w:rPr>
                <w:rStyle w:val="Hyperlink"/>
                <w:noProof/>
              </w:rPr>
              <w:t>Why are victims’ rights important?</w:t>
            </w:r>
            <w:r w:rsidR="006C0490">
              <w:rPr>
                <w:noProof/>
                <w:webHidden/>
              </w:rPr>
              <w:tab/>
            </w:r>
            <w:r w:rsidR="006C0490">
              <w:rPr>
                <w:noProof/>
                <w:webHidden/>
              </w:rPr>
              <w:fldChar w:fldCharType="begin"/>
            </w:r>
            <w:r w:rsidR="006C0490">
              <w:rPr>
                <w:noProof/>
                <w:webHidden/>
              </w:rPr>
              <w:instrText xml:space="preserve"> PAGEREF _Toc132204345 \h </w:instrText>
            </w:r>
            <w:r w:rsidR="006C0490">
              <w:rPr>
                <w:noProof/>
                <w:webHidden/>
              </w:rPr>
            </w:r>
            <w:r w:rsidR="006C0490">
              <w:rPr>
                <w:noProof/>
                <w:webHidden/>
              </w:rPr>
              <w:fldChar w:fldCharType="separate"/>
            </w:r>
            <w:r>
              <w:rPr>
                <w:noProof/>
                <w:webHidden/>
              </w:rPr>
              <w:t>3</w:t>
            </w:r>
            <w:r w:rsidR="006C0490">
              <w:rPr>
                <w:noProof/>
                <w:webHidden/>
              </w:rPr>
              <w:fldChar w:fldCharType="end"/>
            </w:r>
          </w:hyperlink>
        </w:p>
        <w:p w14:paraId="5AA51C27" w14:textId="199265CC" w:rsidR="006C0490" w:rsidRDefault="004B4158">
          <w:pPr>
            <w:pStyle w:val="TOC1"/>
            <w:tabs>
              <w:tab w:val="right" w:leader="dot" w:pos="8296"/>
            </w:tabs>
            <w:rPr>
              <w:rFonts w:asciiTheme="minorHAnsi" w:hAnsiTheme="minorHAnsi"/>
              <w:noProof/>
              <w:color w:val="auto"/>
              <w:szCs w:val="22"/>
              <w:lang w:eastAsia="en-AU"/>
            </w:rPr>
          </w:pPr>
          <w:hyperlink w:anchor="_Toc132204346" w:history="1">
            <w:r w:rsidR="006C0490" w:rsidRPr="00A812F1">
              <w:rPr>
                <w:rStyle w:val="Hyperlink"/>
                <w:noProof/>
              </w:rPr>
              <w:t>What victims’ rights are currently protected in Queensland?</w:t>
            </w:r>
            <w:r w:rsidR="006C0490">
              <w:rPr>
                <w:noProof/>
                <w:webHidden/>
              </w:rPr>
              <w:tab/>
            </w:r>
            <w:r w:rsidR="006C0490">
              <w:rPr>
                <w:noProof/>
                <w:webHidden/>
              </w:rPr>
              <w:fldChar w:fldCharType="begin"/>
            </w:r>
            <w:r w:rsidR="006C0490">
              <w:rPr>
                <w:noProof/>
                <w:webHidden/>
              </w:rPr>
              <w:instrText xml:space="preserve"> PAGEREF _Toc132204346 \h </w:instrText>
            </w:r>
            <w:r w:rsidR="006C0490">
              <w:rPr>
                <w:noProof/>
                <w:webHidden/>
              </w:rPr>
            </w:r>
            <w:r w:rsidR="006C0490">
              <w:rPr>
                <w:noProof/>
                <w:webHidden/>
              </w:rPr>
              <w:fldChar w:fldCharType="separate"/>
            </w:r>
            <w:r>
              <w:rPr>
                <w:noProof/>
                <w:webHidden/>
              </w:rPr>
              <w:t>4</w:t>
            </w:r>
            <w:r w:rsidR="006C0490">
              <w:rPr>
                <w:noProof/>
                <w:webHidden/>
              </w:rPr>
              <w:fldChar w:fldCharType="end"/>
            </w:r>
          </w:hyperlink>
        </w:p>
        <w:p w14:paraId="0B35F098" w14:textId="6B7BB490" w:rsidR="006C0490" w:rsidRDefault="004B4158">
          <w:pPr>
            <w:pStyle w:val="TOC2"/>
            <w:rPr>
              <w:rFonts w:asciiTheme="minorHAnsi" w:hAnsiTheme="minorHAnsi"/>
              <w:noProof/>
              <w:color w:val="auto"/>
              <w:szCs w:val="22"/>
              <w:lang w:eastAsia="en-AU"/>
            </w:rPr>
          </w:pPr>
          <w:hyperlink w:anchor="_Toc132204347" w:history="1">
            <w:r w:rsidR="006C0490" w:rsidRPr="00A812F1">
              <w:rPr>
                <w:rStyle w:val="Hyperlink"/>
                <w:noProof/>
              </w:rPr>
              <w:t xml:space="preserve">Victims’ rights under the </w:t>
            </w:r>
            <w:r w:rsidR="006C0490" w:rsidRPr="00A812F1">
              <w:rPr>
                <w:rStyle w:val="Hyperlink"/>
                <w:i/>
                <w:noProof/>
              </w:rPr>
              <w:t>Human Rights Act</w:t>
            </w:r>
            <w:r w:rsidR="006C0490">
              <w:rPr>
                <w:noProof/>
                <w:webHidden/>
              </w:rPr>
              <w:tab/>
            </w:r>
            <w:r w:rsidR="006C0490">
              <w:rPr>
                <w:noProof/>
                <w:webHidden/>
              </w:rPr>
              <w:fldChar w:fldCharType="begin"/>
            </w:r>
            <w:r w:rsidR="006C0490">
              <w:rPr>
                <w:noProof/>
                <w:webHidden/>
              </w:rPr>
              <w:instrText xml:space="preserve"> PAGEREF _Toc132204347 \h </w:instrText>
            </w:r>
            <w:r w:rsidR="006C0490">
              <w:rPr>
                <w:noProof/>
                <w:webHidden/>
              </w:rPr>
            </w:r>
            <w:r w:rsidR="006C0490">
              <w:rPr>
                <w:noProof/>
                <w:webHidden/>
              </w:rPr>
              <w:fldChar w:fldCharType="separate"/>
            </w:r>
            <w:r>
              <w:rPr>
                <w:noProof/>
                <w:webHidden/>
              </w:rPr>
              <w:t>5</w:t>
            </w:r>
            <w:r w:rsidR="006C0490">
              <w:rPr>
                <w:noProof/>
                <w:webHidden/>
              </w:rPr>
              <w:fldChar w:fldCharType="end"/>
            </w:r>
          </w:hyperlink>
        </w:p>
        <w:p w14:paraId="2F5BA454" w14:textId="1CF48E65" w:rsidR="006C0490" w:rsidRDefault="004B4158">
          <w:pPr>
            <w:pStyle w:val="TOC3"/>
            <w:rPr>
              <w:rFonts w:asciiTheme="minorHAnsi" w:hAnsiTheme="minorHAnsi"/>
              <w:noProof/>
              <w:color w:val="auto"/>
              <w:szCs w:val="22"/>
              <w:lang w:eastAsia="en-AU"/>
            </w:rPr>
          </w:pPr>
          <w:hyperlink w:anchor="_Toc132204348" w:history="1">
            <w:r w:rsidR="006C0490" w:rsidRPr="00A812F1">
              <w:rPr>
                <w:rStyle w:val="Hyperlink"/>
                <w:noProof/>
              </w:rPr>
              <w:t>Complaint mechanisms under the HR Act</w:t>
            </w:r>
            <w:r w:rsidR="006C0490">
              <w:rPr>
                <w:noProof/>
                <w:webHidden/>
              </w:rPr>
              <w:tab/>
            </w:r>
            <w:r w:rsidR="006C0490">
              <w:rPr>
                <w:noProof/>
                <w:webHidden/>
              </w:rPr>
              <w:fldChar w:fldCharType="begin"/>
            </w:r>
            <w:r w:rsidR="006C0490">
              <w:rPr>
                <w:noProof/>
                <w:webHidden/>
              </w:rPr>
              <w:instrText xml:space="preserve"> PAGEREF _Toc132204348 \h </w:instrText>
            </w:r>
            <w:r w:rsidR="006C0490">
              <w:rPr>
                <w:noProof/>
                <w:webHidden/>
              </w:rPr>
            </w:r>
            <w:r w:rsidR="006C0490">
              <w:rPr>
                <w:noProof/>
                <w:webHidden/>
              </w:rPr>
              <w:fldChar w:fldCharType="separate"/>
            </w:r>
            <w:r>
              <w:rPr>
                <w:noProof/>
                <w:webHidden/>
              </w:rPr>
              <w:t>7</w:t>
            </w:r>
            <w:r w:rsidR="006C0490">
              <w:rPr>
                <w:noProof/>
                <w:webHidden/>
              </w:rPr>
              <w:fldChar w:fldCharType="end"/>
            </w:r>
          </w:hyperlink>
        </w:p>
        <w:p w14:paraId="69BBEB54" w14:textId="528B0B3F" w:rsidR="006C0490" w:rsidRDefault="004B4158">
          <w:pPr>
            <w:pStyle w:val="TOC2"/>
            <w:rPr>
              <w:rFonts w:asciiTheme="minorHAnsi" w:hAnsiTheme="minorHAnsi"/>
              <w:noProof/>
              <w:color w:val="auto"/>
              <w:szCs w:val="22"/>
              <w:lang w:eastAsia="en-AU"/>
            </w:rPr>
          </w:pPr>
          <w:hyperlink w:anchor="_Toc132204349" w:history="1">
            <w:r w:rsidR="006C0490" w:rsidRPr="00A812F1">
              <w:rPr>
                <w:rStyle w:val="Hyperlink"/>
                <w:noProof/>
              </w:rPr>
              <w:t xml:space="preserve">Victims’ rights under the </w:t>
            </w:r>
            <w:r w:rsidR="006C0490" w:rsidRPr="00A812F1">
              <w:rPr>
                <w:rStyle w:val="Hyperlink"/>
                <w:i/>
                <w:noProof/>
              </w:rPr>
              <w:t>Anti-Discrimination Act</w:t>
            </w:r>
            <w:r w:rsidR="006C0490">
              <w:rPr>
                <w:noProof/>
                <w:webHidden/>
              </w:rPr>
              <w:tab/>
            </w:r>
            <w:r w:rsidR="006C0490">
              <w:rPr>
                <w:noProof/>
                <w:webHidden/>
              </w:rPr>
              <w:fldChar w:fldCharType="begin"/>
            </w:r>
            <w:r w:rsidR="006C0490">
              <w:rPr>
                <w:noProof/>
                <w:webHidden/>
              </w:rPr>
              <w:instrText xml:space="preserve"> PAGEREF _Toc132204349 \h </w:instrText>
            </w:r>
            <w:r w:rsidR="006C0490">
              <w:rPr>
                <w:noProof/>
                <w:webHidden/>
              </w:rPr>
            </w:r>
            <w:r w:rsidR="006C0490">
              <w:rPr>
                <w:noProof/>
                <w:webHidden/>
              </w:rPr>
              <w:fldChar w:fldCharType="separate"/>
            </w:r>
            <w:r>
              <w:rPr>
                <w:noProof/>
                <w:webHidden/>
              </w:rPr>
              <w:t>7</w:t>
            </w:r>
            <w:r w:rsidR="006C0490">
              <w:rPr>
                <w:noProof/>
                <w:webHidden/>
              </w:rPr>
              <w:fldChar w:fldCharType="end"/>
            </w:r>
          </w:hyperlink>
        </w:p>
        <w:p w14:paraId="693FD3EC" w14:textId="6E7C5FBD" w:rsidR="006C0490" w:rsidRDefault="004B4158">
          <w:pPr>
            <w:pStyle w:val="TOC3"/>
            <w:rPr>
              <w:rFonts w:asciiTheme="minorHAnsi" w:hAnsiTheme="minorHAnsi"/>
              <w:noProof/>
              <w:color w:val="auto"/>
              <w:szCs w:val="22"/>
              <w:lang w:eastAsia="en-AU"/>
            </w:rPr>
          </w:pPr>
          <w:hyperlink w:anchor="_Toc132204350" w:history="1">
            <w:r w:rsidR="006C0490" w:rsidRPr="00A812F1">
              <w:rPr>
                <w:rStyle w:val="Hyperlink"/>
                <w:noProof/>
              </w:rPr>
              <w:t>Complaints mechanisms under the AD Act</w:t>
            </w:r>
            <w:r w:rsidR="006C0490">
              <w:rPr>
                <w:noProof/>
                <w:webHidden/>
              </w:rPr>
              <w:tab/>
            </w:r>
            <w:r w:rsidR="006C0490">
              <w:rPr>
                <w:noProof/>
                <w:webHidden/>
              </w:rPr>
              <w:fldChar w:fldCharType="begin"/>
            </w:r>
            <w:r w:rsidR="006C0490">
              <w:rPr>
                <w:noProof/>
                <w:webHidden/>
              </w:rPr>
              <w:instrText xml:space="preserve"> PAGEREF _Toc132204350 \h </w:instrText>
            </w:r>
            <w:r w:rsidR="006C0490">
              <w:rPr>
                <w:noProof/>
                <w:webHidden/>
              </w:rPr>
            </w:r>
            <w:r w:rsidR="006C0490">
              <w:rPr>
                <w:noProof/>
                <w:webHidden/>
              </w:rPr>
              <w:fldChar w:fldCharType="separate"/>
            </w:r>
            <w:r>
              <w:rPr>
                <w:noProof/>
                <w:webHidden/>
              </w:rPr>
              <w:t>8</w:t>
            </w:r>
            <w:r w:rsidR="006C0490">
              <w:rPr>
                <w:noProof/>
                <w:webHidden/>
              </w:rPr>
              <w:fldChar w:fldCharType="end"/>
            </w:r>
          </w:hyperlink>
        </w:p>
        <w:p w14:paraId="50B1FFD7" w14:textId="0A1B7F98" w:rsidR="006C0490" w:rsidRDefault="004B4158">
          <w:pPr>
            <w:pStyle w:val="TOC2"/>
            <w:rPr>
              <w:rFonts w:asciiTheme="minorHAnsi" w:hAnsiTheme="minorHAnsi"/>
              <w:noProof/>
              <w:color w:val="auto"/>
              <w:szCs w:val="22"/>
              <w:lang w:eastAsia="en-AU"/>
            </w:rPr>
          </w:pPr>
          <w:hyperlink w:anchor="_Toc132204351" w:history="1">
            <w:r w:rsidR="006C0490" w:rsidRPr="00A812F1">
              <w:rPr>
                <w:rStyle w:val="Hyperlink"/>
                <w:noProof/>
              </w:rPr>
              <w:t>Victims’ rights under the Victims Charter</w:t>
            </w:r>
            <w:r w:rsidR="006C0490">
              <w:rPr>
                <w:noProof/>
                <w:webHidden/>
              </w:rPr>
              <w:tab/>
            </w:r>
            <w:r w:rsidR="006C0490">
              <w:rPr>
                <w:noProof/>
                <w:webHidden/>
              </w:rPr>
              <w:fldChar w:fldCharType="begin"/>
            </w:r>
            <w:r w:rsidR="006C0490">
              <w:rPr>
                <w:noProof/>
                <w:webHidden/>
              </w:rPr>
              <w:instrText xml:space="preserve"> PAGEREF _Toc132204351 \h </w:instrText>
            </w:r>
            <w:r w:rsidR="006C0490">
              <w:rPr>
                <w:noProof/>
                <w:webHidden/>
              </w:rPr>
            </w:r>
            <w:r w:rsidR="006C0490">
              <w:rPr>
                <w:noProof/>
                <w:webHidden/>
              </w:rPr>
              <w:fldChar w:fldCharType="separate"/>
            </w:r>
            <w:r>
              <w:rPr>
                <w:noProof/>
                <w:webHidden/>
              </w:rPr>
              <w:t>8</w:t>
            </w:r>
            <w:r w:rsidR="006C0490">
              <w:rPr>
                <w:noProof/>
                <w:webHidden/>
              </w:rPr>
              <w:fldChar w:fldCharType="end"/>
            </w:r>
          </w:hyperlink>
        </w:p>
        <w:p w14:paraId="57B0C5A7" w14:textId="3797B1D0" w:rsidR="006C0490" w:rsidRDefault="004B4158">
          <w:pPr>
            <w:pStyle w:val="TOC1"/>
            <w:tabs>
              <w:tab w:val="right" w:leader="dot" w:pos="8296"/>
            </w:tabs>
            <w:rPr>
              <w:rFonts w:asciiTheme="minorHAnsi" w:hAnsiTheme="minorHAnsi"/>
              <w:noProof/>
              <w:color w:val="auto"/>
              <w:szCs w:val="22"/>
              <w:lang w:eastAsia="en-AU"/>
            </w:rPr>
          </w:pPr>
          <w:hyperlink w:anchor="_Toc132204352" w:history="1">
            <w:r w:rsidR="006C0490" w:rsidRPr="00A812F1">
              <w:rPr>
                <w:rStyle w:val="Hyperlink"/>
                <w:noProof/>
              </w:rPr>
              <w:t>Opportunities to better protect victims’ rights</w:t>
            </w:r>
            <w:r w:rsidR="006C0490">
              <w:rPr>
                <w:noProof/>
                <w:webHidden/>
              </w:rPr>
              <w:tab/>
            </w:r>
            <w:r w:rsidR="006C0490">
              <w:rPr>
                <w:noProof/>
                <w:webHidden/>
              </w:rPr>
              <w:fldChar w:fldCharType="begin"/>
            </w:r>
            <w:r w:rsidR="006C0490">
              <w:rPr>
                <w:noProof/>
                <w:webHidden/>
              </w:rPr>
              <w:instrText xml:space="preserve"> PAGEREF _Toc132204352 \h </w:instrText>
            </w:r>
            <w:r w:rsidR="006C0490">
              <w:rPr>
                <w:noProof/>
                <w:webHidden/>
              </w:rPr>
            </w:r>
            <w:r w:rsidR="006C0490">
              <w:rPr>
                <w:noProof/>
                <w:webHidden/>
              </w:rPr>
              <w:fldChar w:fldCharType="separate"/>
            </w:r>
            <w:r>
              <w:rPr>
                <w:noProof/>
                <w:webHidden/>
              </w:rPr>
              <w:t>9</w:t>
            </w:r>
            <w:r w:rsidR="006C0490">
              <w:rPr>
                <w:noProof/>
                <w:webHidden/>
              </w:rPr>
              <w:fldChar w:fldCharType="end"/>
            </w:r>
          </w:hyperlink>
        </w:p>
        <w:p w14:paraId="339B7CBF" w14:textId="33D5FFA7" w:rsidR="006C0490" w:rsidRDefault="004B4158">
          <w:pPr>
            <w:pStyle w:val="TOC2"/>
            <w:rPr>
              <w:rFonts w:asciiTheme="minorHAnsi" w:hAnsiTheme="minorHAnsi"/>
              <w:noProof/>
              <w:color w:val="auto"/>
              <w:szCs w:val="22"/>
              <w:lang w:eastAsia="en-AU"/>
            </w:rPr>
          </w:pPr>
          <w:hyperlink w:anchor="_Toc132204353" w:history="1">
            <w:r w:rsidR="006C0490" w:rsidRPr="00A812F1">
              <w:rPr>
                <w:rStyle w:val="Hyperlink"/>
                <w:noProof/>
              </w:rPr>
              <w:t>A dedicated victims’ commissioner</w:t>
            </w:r>
            <w:r w:rsidR="006C0490">
              <w:rPr>
                <w:noProof/>
                <w:webHidden/>
              </w:rPr>
              <w:tab/>
            </w:r>
            <w:r w:rsidR="006C0490">
              <w:rPr>
                <w:noProof/>
                <w:webHidden/>
              </w:rPr>
              <w:fldChar w:fldCharType="begin"/>
            </w:r>
            <w:r w:rsidR="006C0490">
              <w:rPr>
                <w:noProof/>
                <w:webHidden/>
              </w:rPr>
              <w:instrText xml:space="preserve"> PAGEREF _Toc132204353 \h </w:instrText>
            </w:r>
            <w:r w:rsidR="006C0490">
              <w:rPr>
                <w:noProof/>
                <w:webHidden/>
              </w:rPr>
            </w:r>
            <w:r w:rsidR="006C0490">
              <w:rPr>
                <w:noProof/>
                <w:webHidden/>
              </w:rPr>
              <w:fldChar w:fldCharType="separate"/>
            </w:r>
            <w:r>
              <w:rPr>
                <w:noProof/>
                <w:webHidden/>
              </w:rPr>
              <w:t>9</w:t>
            </w:r>
            <w:r w:rsidR="006C0490">
              <w:rPr>
                <w:noProof/>
                <w:webHidden/>
              </w:rPr>
              <w:fldChar w:fldCharType="end"/>
            </w:r>
          </w:hyperlink>
        </w:p>
        <w:p w14:paraId="6F0D867F" w14:textId="08CF7F60" w:rsidR="006C0490" w:rsidRDefault="004B4158">
          <w:pPr>
            <w:pStyle w:val="TOC2"/>
            <w:rPr>
              <w:rFonts w:asciiTheme="minorHAnsi" w:hAnsiTheme="minorHAnsi"/>
              <w:noProof/>
              <w:color w:val="auto"/>
              <w:szCs w:val="22"/>
              <w:lang w:eastAsia="en-AU"/>
            </w:rPr>
          </w:pPr>
          <w:hyperlink w:anchor="_Toc132204354" w:history="1">
            <w:r w:rsidR="006C0490" w:rsidRPr="00A812F1">
              <w:rPr>
                <w:rStyle w:val="Hyperlink"/>
                <w:noProof/>
              </w:rPr>
              <w:t xml:space="preserve">Review of the </w:t>
            </w:r>
            <w:r w:rsidR="006C0490" w:rsidRPr="00A812F1">
              <w:rPr>
                <w:rStyle w:val="Hyperlink"/>
                <w:i/>
                <w:noProof/>
              </w:rPr>
              <w:t>Human Rights Act</w:t>
            </w:r>
            <w:r w:rsidR="006C0490">
              <w:rPr>
                <w:noProof/>
                <w:webHidden/>
              </w:rPr>
              <w:tab/>
            </w:r>
            <w:r w:rsidR="006C0490">
              <w:rPr>
                <w:noProof/>
                <w:webHidden/>
              </w:rPr>
              <w:fldChar w:fldCharType="begin"/>
            </w:r>
            <w:r w:rsidR="006C0490">
              <w:rPr>
                <w:noProof/>
                <w:webHidden/>
              </w:rPr>
              <w:instrText xml:space="preserve"> PAGEREF _Toc132204354 \h </w:instrText>
            </w:r>
            <w:r w:rsidR="006C0490">
              <w:rPr>
                <w:noProof/>
                <w:webHidden/>
              </w:rPr>
            </w:r>
            <w:r w:rsidR="006C0490">
              <w:rPr>
                <w:noProof/>
                <w:webHidden/>
              </w:rPr>
              <w:fldChar w:fldCharType="separate"/>
            </w:r>
            <w:r>
              <w:rPr>
                <w:noProof/>
                <w:webHidden/>
              </w:rPr>
              <w:t>10</w:t>
            </w:r>
            <w:r w:rsidR="006C0490">
              <w:rPr>
                <w:noProof/>
                <w:webHidden/>
              </w:rPr>
              <w:fldChar w:fldCharType="end"/>
            </w:r>
          </w:hyperlink>
        </w:p>
        <w:p w14:paraId="74EDB18A" w14:textId="5733543C" w:rsidR="006C0490" w:rsidRDefault="004B4158">
          <w:pPr>
            <w:pStyle w:val="TOC3"/>
            <w:rPr>
              <w:rFonts w:asciiTheme="minorHAnsi" w:hAnsiTheme="minorHAnsi"/>
              <w:noProof/>
              <w:color w:val="auto"/>
              <w:szCs w:val="22"/>
              <w:lang w:eastAsia="en-AU"/>
            </w:rPr>
          </w:pPr>
          <w:hyperlink w:anchor="_Toc132204355" w:history="1">
            <w:r w:rsidR="006C0490" w:rsidRPr="00A812F1">
              <w:rPr>
                <w:rStyle w:val="Hyperlink"/>
                <w:noProof/>
              </w:rPr>
              <w:t>Right to fair hearing</w:t>
            </w:r>
            <w:r w:rsidR="006C0490">
              <w:rPr>
                <w:noProof/>
                <w:webHidden/>
              </w:rPr>
              <w:tab/>
            </w:r>
            <w:r w:rsidR="006C0490">
              <w:rPr>
                <w:noProof/>
                <w:webHidden/>
              </w:rPr>
              <w:fldChar w:fldCharType="begin"/>
            </w:r>
            <w:r w:rsidR="006C0490">
              <w:rPr>
                <w:noProof/>
                <w:webHidden/>
              </w:rPr>
              <w:instrText xml:space="preserve"> PAGEREF _Toc132204355 \h </w:instrText>
            </w:r>
            <w:r w:rsidR="006C0490">
              <w:rPr>
                <w:noProof/>
                <w:webHidden/>
              </w:rPr>
            </w:r>
            <w:r w:rsidR="006C0490">
              <w:rPr>
                <w:noProof/>
                <w:webHidden/>
              </w:rPr>
              <w:fldChar w:fldCharType="separate"/>
            </w:r>
            <w:r>
              <w:rPr>
                <w:noProof/>
                <w:webHidden/>
              </w:rPr>
              <w:t>11</w:t>
            </w:r>
            <w:r w:rsidR="006C0490">
              <w:rPr>
                <w:noProof/>
                <w:webHidden/>
              </w:rPr>
              <w:fldChar w:fldCharType="end"/>
            </w:r>
          </w:hyperlink>
        </w:p>
        <w:p w14:paraId="5DC101A1" w14:textId="3AB95215" w:rsidR="006C0490" w:rsidRDefault="004B4158">
          <w:pPr>
            <w:pStyle w:val="TOC3"/>
            <w:rPr>
              <w:rFonts w:asciiTheme="minorHAnsi" w:hAnsiTheme="minorHAnsi"/>
              <w:noProof/>
              <w:color w:val="auto"/>
              <w:szCs w:val="22"/>
              <w:lang w:eastAsia="en-AU"/>
            </w:rPr>
          </w:pPr>
          <w:hyperlink w:anchor="_Toc132204356" w:history="1">
            <w:r w:rsidR="006C0490" w:rsidRPr="00A812F1">
              <w:rPr>
                <w:rStyle w:val="Hyperlink"/>
                <w:noProof/>
              </w:rPr>
              <w:t>Additional victims’ rights</w:t>
            </w:r>
            <w:r w:rsidR="006C0490">
              <w:rPr>
                <w:noProof/>
                <w:webHidden/>
              </w:rPr>
              <w:tab/>
            </w:r>
            <w:r w:rsidR="006C0490">
              <w:rPr>
                <w:noProof/>
                <w:webHidden/>
              </w:rPr>
              <w:fldChar w:fldCharType="begin"/>
            </w:r>
            <w:r w:rsidR="006C0490">
              <w:rPr>
                <w:noProof/>
                <w:webHidden/>
              </w:rPr>
              <w:instrText xml:space="preserve"> PAGEREF _Toc132204356 \h </w:instrText>
            </w:r>
            <w:r w:rsidR="006C0490">
              <w:rPr>
                <w:noProof/>
                <w:webHidden/>
              </w:rPr>
            </w:r>
            <w:r w:rsidR="006C0490">
              <w:rPr>
                <w:noProof/>
                <w:webHidden/>
              </w:rPr>
              <w:fldChar w:fldCharType="separate"/>
            </w:r>
            <w:r>
              <w:rPr>
                <w:noProof/>
                <w:webHidden/>
              </w:rPr>
              <w:t>11</w:t>
            </w:r>
            <w:r w:rsidR="006C0490">
              <w:rPr>
                <w:noProof/>
                <w:webHidden/>
              </w:rPr>
              <w:fldChar w:fldCharType="end"/>
            </w:r>
          </w:hyperlink>
        </w:p>
        <w:p w14:paraId="50685920" w14:textId="6A35B960" w:rsidR="006C0490" w:rsidRDefault="004B4158">
          <w:pPr>
            <w:pStyle w:val="TOC2"/>
            <w:rPr>
              <w:rFonts w:asciiTheme="minorHAnsi" w:hAnsiTheme="minorHAnsi"/>
              <w:noProof/>
              <w:color w:val="auto"/>
              <w:szCs w:val="22"/>
              <w:lang w:eastAsia="en-AU"/>
            </w:rPr>
          </w:pPr>
          <w:hyperlink w:anchor="_Toc132204357" w:history="1">
            <w:r w:rsidR="006C0490" w:rsidRPr="00A812F1">
              <w:rPr>
                <w:rStyle w:val="Hyperlink"/>
                <w:noProof/>
              </w:rPr>
              <w:t>Review of the Victims Charter</w:t>
            </w:r>
            <w:r w:rsidR="006C0490">
              <w:rPr>
                <w:noProof/>
                <w:webHidden/>
              </w:rPr>
              <w:tab/>
            </w:r>
            <w:r w:rsidR="006C0490">
              <w:rPr>
                <w:noProof/>
                <w:webHidden/>
              </w:rPr>
              <w:fldChar w:fldCharType="begin"/>
            </w:r>
            <w:r w:rsidR="006C0490">
              <w:rPr>
                <w:noProof/>
                <w:webHidden/>
              </w:rPr>
              <w:instrText xml:space="preserve"> PAGEREF _Toc132204357 \h </w:instrText>
            </w:r>
            <w:r w:rsidR="006C0490">
              <w:rPr>
                <w:noProof/>
                <w:webHidden/>
              </w:rPr>
            </w:r>
            <w:r w:rsidR="006C0490">
              <w:rPr>
                <w:noProof/>
                <w:webHidden/>
              </w:rPr>
              <w:fldChar w:fldCharType="separate"/>
            </w:r>
            <w:r>
              <w:rPr>
                <w:noProof/>
                <w:webHidden/>
              </w:rPr>
              <w:t>12</w:t>
            </w:r>
            <w:r w:rsidR="006C0490">
              <w:rPr>
                <w:noProof/>
                <w:webHidden/>
              </w:rPr>
              <w:fldChar w:fldCharType="end"/>
            </w:r>
          </w:hyperlink>
        </w:p>
        <w:p w14:paraId="4E300015" w14:textId="18E28FAA" w:rsidR="006C0490" w:rsidRDefault="004B4158">
          <w:pPr>
            <w:pStyle w:val="TOC3"/>
            <w:rPr>
              <w:rFonts w:asciiTheme="minorHAnsi" w:hAnsiTheme="minorHAnsi"/>
              <w:noProof/>
              <w:color w:val="auto"/>
              <w:szCs w:val="22"/>
              <w:lang w:eastAsia="en-AU"/>
            </w:rPr>
          </w:pPr>
          <w:hyperlink w:anchor="_Toc132204358" w:history="1">
            <w:r w:rsidR="006C0490" w:rsidRPr="00A812F1">
              <w:rPr>
                <w:rStyle w:val="Hyperlink"/>
                <w:noProof/>
              </w:rPr>
              <w:t>Complaints by victims</w:t>
            </w:r>
            <w:r w:rsidR="006C0490">
              <w:rPr>
                <w:noProof/>
                <w:webHidden/>
              </w:rPr>
              <w:tab/>
            </w:r>
            <w:r w:rsidR="006C0490">
              <w:rPr>
                <w:noProof/>
                <w:webHidden/>
              </w:rPr>
              <w:fldChar w:fldCharType="begin"/>
            </w:r>
            <w:r w:rsidR="006C0490">
              <w:rPr>
                <w:noProof/>
                <w:webHidden/>
              </w:rPr>
              <w:instrText xml:space="preserve"> PAGEREF _Toc132204358 \h </w:instrText>
            </w:r>
            <w:r w:rsidR="006C0490">
              <w:rPr>
                <w:noProof/>
                <w:webHidden/>
              </w:rPr>
            </w:r>
            <w:r w:rsidR="006C0490">
              <w:rPr>
                <w:noProof/>
                <w:webHidden/>
              </w:rPr>
              <w:fldChar w:fldCharType="separate"/>
            </w:r>
            <w:r>
              <w:rPr>
                <w:noProof/>
                <w:webHidden/>
              </w:rPr>
              <w:t>12</w:t>
            </w:r>
            <w:r w:rsidR="006C0490">
              <w:rPr>
                <w:noProof/>
                <w:webHidden/>
              </w:rPr>
              <w:fldChar w:fldCharType="end"/>
            </w:r>
          </w:hyperlink>
        </w:p>
        <w:p w14:paraId="22800F34" w14:textId="24648973" w:rsidR="006C0490" w:rsidRDefault="004B4158">
          <w:pPr>
            <w:pStyle w:val="TOC3"/>
            <w:rPr>
              <w:rFonts w:asciiTheme="minorHAnsi" w:hAnsiTheme="minorHAnsi"/>
              <w:noProof/>
              <w:color w:val="auto"/>
              <w:szCs w:val="22"/>
              <w:lang w:eastAsia="en-AU"/>
            </w:rPr>
          </w:pPr>
          <w:hyperlink w:anchor="_Toc132204359" w:history="1">
            <w:r w:rsidR="006C0490" w:rsidRPr="00A812F1">
              <w:rPr>
                <w:rStyle w:val="Hyperlink"/>
                <w:noProof/>
              </w:rPr>
              <w:t>Clarification of Victims Charter rights</w:t>
            </w:r>
            <w:r w:rsidR="006C0490">
              <w:rPr>
                <w:noProof/>
                <w:webHidden/>
              </w:rPr>
              <w:tab/>
            </w:r>
            <w:r w:rsidR="006C0490">
              <w:rPr>
                <w:noProof/>
                <w:webHidden/>
              </w:rPr>
              <w:fldChar w:fldCharType="begin"/>
            </w:r>
            <w:r w:rsidR="006C0490">
              <w:rPr>
                <w:noProof/>
                <w:webHidden/>
              </w:rPr>
              <w:instrText xml:space="preserve"> PAGEREF _Toc132204359 \h </w:instrText>
            </w:r>
            <w:r w:rsidR="006C0490">
              <w:rPr>
                <w:noProof/>
                <w:webHidden/>
              </w:rPr>
            </w:r>
            <w:r w:rsidR="006C0490">
              <w:rPr>
                <w:noProof/>
                <w:webHidden/>
              </w:rPr>
              <w:fldChar w:fldCharType="separate"/>
            </w:r>
            <w:r>
              <w:rPr>
                <w:noProof/>
                <w:webHidden/>
              </w:rPr>
              <w:t>13</w:t>
            </w:r>
            <w:r w:rsidR="006C0490">
              <w:rPr>
                <w:noProof/>
                <w:webHidden/>
              </w:rPr>
              <w:fldChar w:fldCharType="end"/>
            </w:r>
          </w:hyperlink>
        </w:p>
        <w:p w14:paraId="25D4151C" w14:textId="6BDAD862" w:rsidR="006C0490" w:rsidRDefault="004B4158">
          <w:pPr>
            <w:pStyle w:val="TOC2"/>
            <w:rPr>
              <w:rFonts w:asciiTheme="minorHAnsi" w:hAnsiTheme="minorHAnsi"/>
              <w:noProof/>
              <w:color w:val="auto"/>
              <w:szCs w:val="22"/>
              <w:lang w:eastAsia="en-AU"/>
            </w:rPr>
          </w:pPr>
          <w:hyperlink w:anchor="_Toc132204360" w:history="1">
            <w:r w:rsidR="006C0490" w:rsidRPr="00A812F1">
              <w:rPr>
                <w:rStyle w:val="Hyperlink"/>
                <w:noProof/>
              </w:rPr>
              <w:t>Engagement with victims</w:t>
            </w:r>
            <w:r w:rsidR="006C0490">
              <w:rPr>
                <w:noProof/>
                <w:webHidden/>
              </w:rPr>
              <w:tab/>
            </w:r>
            <w:r w:rsidR="006C0490">
              <w:rPr>
                <w:noProof/>
                <w:webHidden/>
              </w:rPr>
              <w:fldChar w:fldCharType="begin"/>
            </w:r>
            <w:r w:rsidR="006C0490">
              <w:rPr>
                <w:noProof/>
                <w:webHidden/>
              </w:rPr>
              <w:instrText xml:space="preserve"> PAGEREF _Toc132204360 \h </w:instrText>
            </w:r>
            <w:r w:rsidR="006C0490">
              <w:rPr>
                <w:noProof/>
                <w:webHidden/>
              </w:rPr>
            </w:r>
            <w:r w:rsidR="006C0490">
              <w:rPr>
                <w:noProof/>
                <w:webHidden/>
              </w:rPr>
              <w:fldChar w:fldCharType="separate"/>
            </w:r>
            <w:r>
              <w:rPr>
                <w:noProof/>
                <w:webHidden/>
              </w:rPr>
              <w:t>13</w:t>
            </w:r>
            <w:r w:rsidR="006C0490">
              <w:rPr>
                <w:noProof/>
                <w:webHidden/>
              </w:rPr>
              <w:fldChar w:fldCharType="end"/>
            </w:r>
          </w:hyperlink>
        </w:p>
        <w:p w14:paraId="543A9722" w14:textId="7674B31E" w:rsidR="006C0490" w:rsidRDefault="004B4158">
          <w:pPr>
            <w:pStyle w:val="TOC1"/>
            <w:tabs>
              <w:tab w:val="right" w:leader="dot" w:pos="8296"/>
            </w:tabs>
            <w:rPr>
              <w:rFonts w:asciiTheme="minorHAnsi" w:hAnsiTheme="minorHAnsi"/>
              <w:noProof/>
              <w:color w:val="auto"/>
              <w:szCs w:val="22"/>
              <w:lang w:eastAsia="en-AU"/>
            </w:rPr>
          </w:pPr>
          <w:hyperlink w:anchor="_Toc132204361" w:history="1">
            <w:r w:rsidR="006C0490" w:rsidRPr="00A812F1">
              <w:rPr>
                <w:rStyle w:val="Hyperlink"/>
                <w:noProof/>
              </w:rPr>
              <w:t>Conclusion</w:t>
            </w:r>
            <w:r w:rsidR="006C0490">
              <w:rPr>
                <w:noProof/>
                <w:webHidden/>
              </w:rPr>
              <w:tab/>
            </w:r>
            <w:r w:rsidR="006C0490">
              <w:rPr>
                <w:noProof/>
                <w:webHidden/>
              </w:rPr>
              <w:fldChar w:fldCharType="begin"/>
            </w:r>
            <w:r w:rsidR="006C0490">
              <w:rPr>
                <w:noProof/>
                <w:webHidden/>
              </w:rPr>
              <w:instrText xml:space="preserve"> PAGEREF _Toc132204361 \h </w:instrText>
            </w:r>
            <w:r w:rsidR="006C0490">
              <w:rPr>
                <w:noProof/>
                <w:webHidden/>
              </w:rPr>
            </w:r>
            <w:r w:rsidR="006C0490">
              <w:rPr>
                <w:noProof/>
                <w:webHidden/>
              </w:rPr>
              <w:fldChar w:fldCharType="separate"/>
            </w:r>
            <w:r>
              <w:rPr>
                <w:noProof/>
                <w:webHidden/>
              </w:rPr>
              <w:t>14</w:t>
            </w:r>
            <w:r w:rsidR="006C0490">
              <w:rPr>
                <w:noProof/>
                <w:webHidden/>
              </w:rPr>
              <w:fldChar w:fldCharType="end"/>
            </w:r>
          </w:hyperlink>
        </w:p>
        <w:p w14:paraId="279B0937" w14:textId="5A8D38B5" w:rsidR="00A16356" w:rsidRPr="00041E58" w:rsidRDefault="00A16356" w:rsidP="00466216">
          <w:pPr>
            <w:spacing w:before="120"/>
            <w:rPr>
              <w:rFonts w:cs="Arial"/>
            </w:rPr>
          </w:pPr>
          <w:r w:rsidRPr="00041E58">
            <w:rPr>
              <w:rFonts w:cs="Arial"/>
              <w:b/>
              <w:bCs/>
              <w:noProof/>
            </w:rPr>
            <w:fldChar w:fldCharType="end"/>
          </w:r>
        </w:p>
      </w:sdtContent>
    </w:sdt>
    <w:p w14:paraId="01BD3AF5" w14:textId="77777777" w:rsidR="004A2375" w:rsidRDefault="004A2375">
      <w:pPr>
        <w:rPr>
          <w:rFonts w:eastAsiaTheme="majorEastAsia" w:cstheme="majorBidi"/>
          <w:b/>
          <w:color w:val="365F91" w:themeColor="accent1" w:themeShade="BF"/>
          <w:sz w:val="28"/>
          <w:szCs w:val="32"/>
        </w:rPr>
        <w:sectPr w:rsidR="004A2375" w:rsidSect="00A16356">
          <w:headerReference w:type="default" r:id="rId10"/>
          <w:footerReference w:type="default" r:id="rId11"/>
          <w:headerReference w:type="first" r:id="rId12"/>
          <w:pgSz w:w="11900" w:h="16840" w:code="9"/>
          <w:pgMar w:top="1440" w:right="1797" w:bottom="1440" w:left="1797" w:header="709" w:footer="709" w:gutter="0"/>
          <w:pgNumType w:start="0"/>
          <w:cols w:space="708"/>
          <w:titlePg/>
          <w:docGrid w:linePitch="360"/>
        </w:sectPr>
      </w:pPr>
    </w:p>
    <w:p w14:paraId="399B8632" w14:textId="37227C54" w:rsidR="001C324B" w:rsidRDefault="001C324B" w:rsidP="007C510E">
      <w:pPr>
        <w:pStyle w:val="Heading1"/>
      </w:pPr>
      <w:bookmarkStart w:id="10" w:name="_Toc132204343"/>
      <w:r>
        <w:lastRenderedPageBreak/>
        <w:t>Summary</w:t>
      </w:r>
      <w:bookmarkEnd w:id="10"/>
    </w:p>
    <w:p w14:paraId="41087696" w14:textId="1E610F51" w:rsidR="001C324B" w:rsidRDefault="001C324B" w:rsidP="001C324B">
      <w:pPr>
        <w:pStyle w:val="Numberedparagraph"/>
      </w:pPr>
      <w:r w:rsidRPr="001C324B">
        <w:t>Thank you for the opportunity to comment on</w:t>
      </w:r>
      <w:r>
        <w:t xml:space="preserve"> </w:t>
      </w:r>
      <w:r w:rsidR="00437A1E">
        <w:t xml:space="preserve">this inquiry into support provided to </w:t>
      </w:r>
      <w:r>
        <w:t xml:space="preserve">victims of crime in Queensland. </w:t>
      </w:r>
    </w:p>
    <w:p w14:paraId="0C95554B" w14:textId="2D866D06" w:rsidR="00437A1E" w:rsidRDefault="00E813EC" w:rsidP="001C324B">
      <w:pPr>
        <w:pStyle w:val="Numberedparagraph"/>
      </w:pPr>
      <w:r>
        <w:t>Recent public debate has centred on</w:t>
      </w:r>
      <w:r w:rsidR="00437A1E">
        <w:t xml:space="preserve"> how to effectively address youth crime and </w:t>
      </w:r>
      <w:r w:rsidR="00330886">
        <w:t>protect the safety of the community. A critical part of the response is assessing and improving how the system engages with</w:t>
      </w:r>
      <w:r w:rsidR="00341819">
        <w:t xml:space="preserve"> and supports</w:t>
      </w:r>
      <w:r w:rsidR="00330886">
        <w:t xml:space="preserve"> victims of the crime, and ensuring the</w:t>
      </w:r>
      <w:r w:rsidR="006524CF">
        <w:t xml:space="preserve"> participation of</w:t>
      </w:r>
      <w:r w:rsidR="00330886">
        <w:t xml:space="preserve"> victims in both their individual matters and in systemic solutions. </w:t>
      </w:r>
    </w:p>
    <w:p w14:paraId="5BB59377" w14:textId="37A30C39" w:rsidR="00736385" w:rsidRDefault="00736385" w:rsidP="00736385">
      <w:pPr>
        <w:pStyle w:val="Numberedparagraph"/>
      </w:pPr>
      <w:r>
        <w:t>Generally, t</w:t>
      </w:r>
      <w:r w:rsidRPr="00C57E48">
        <w:t xml:space="preserve">he </w:t>
      </w:r>
      <w:r w:rsidR="00464840">
        <w:t xml:space="preserve">Queensland Human Rights Commission (QHRC) </w:t>
      </w:r>
      <w:r w:rsidRPr="00C57E48">
        <w:t xml:space="preserve">is supportive of the implementation of </w:t>
      </w:r>
      <w:r>
        <w:t>changes</w:t>
      </w:r>
      <w:r w:rsidRPr="00C57E48">
        <w:t xml:space="preserve"> to reduce the potential trauma experienced by </w:t>
      </w:r>
      <w:r>
        <w:t>victims of crime. Recent reviews and public discussion have highlighted deficiencies in the current system, including non-compliance with human rights by public entities.</w:t>
      </w:r>
      <w:r>
        <w:rPr>
          <w:rStyle w:val="FootnoteReference"/>
        </w:rPr>
        <w:footnoteReference w:id="2"/>
      </w:r>
    </w:p>
    <w:p w14:paraId="19114DDB" w14:textId="531C70C0" w:rsidR="00736385" w:rsidRDefault="00736385" w:rsidP="001C324B">
      <w:pPr>
        <w:pStyle w:val="Numberedparagraph"/>
      </w:pPr>
      <w:r>
        <w:t xml:space="preserve">The QHRC is not involved on a day-to-day basis with the criminal justice system, however seeks to assist the Committee by providing an overview as to why victims’ rights are important from a human rights perspective and what victims’ rights are currently protected in Queensland, including complaint mechanisms available to victims when their rights have been allegedly contravened. </w:t>
      </w:r>
    </w:p>
    <w:p w14:paraId="5D27B4F7" w14:textId="42D72596" w:rsidR="00736385" w:rsidRDefault="00464840" w:rsidP="001C324B">
      <w:pPr>
        <w:pStyle w:val="Numberedparagraph"/>
      </w:pPr>
      <w:r>
        <w:t>In this submission, t</w:t>
      </w:r>
      <w:r w:rsidR="00736385">
        <w:t xml:space="preserve">he QHRC </w:t>
      </w:r>
      <w:r>
        <w:t xml:space="preserve">identifies </w:t>
      </w:r>
      <w:r w:rsidR="00736385">
        <w:t>the following opportunities to strengthen support and rights for victims:</w:t>
      </w:r>
    </w:p>
    <w:p w14:paraId="5A074C9A" w14:textId="78AA62F6" w:rsidR="00736385" w:rsidRPr="00464840" w:rsidRDefault="00464840" w:rsidP="00E125A0">
      <w:pPr>
        <w:pStyle w:val="Numberedparagraph"/>
        <w:numPr>
          <w:ilvl w:val="1"/>
          <w:numId w:val="13"/>
        </w:numPr>
      </w:pPr>
      <w:r>
        <w:t xml:space="preserve">Applying </w:t>
      </w:r>
      <w:r w:rsidR="00736385" w:rsidRPr="00736385">
        <w:t>human rights when developing new laws, practices or procedures regarding victims will promote a holistic consideration of victims’ rights that is balanced against the rights of others and the purpose of the criminal justice system.</w:t>
      </w:r>
    </w:p>
    <w:p w14:paraId="651298EB" w14:textId="6BE30410" w:rsidR="00736385" w:rsidRPr="00736385" w:rsidRDefault="00736385" w:rsidP="00E125A0">
      <w:pPr>
        <w:pStyle w:val="Numberedparagraph"/>
        <w:numPr>
          <w:ilvl w:val="1"/>
          <w:numId w:val="13"/>
        </w:numPr>
      </w:pPr>
      <w:r w:rsidRPr="00464840">
        <w:t>The QHRC supports the establishment of a dedicated victims</w:t>
      </w:r>
      <w:r w:rsidRPr="00736385">
        <w:t>’ commissioner whose functions include advancing systemic issues for victim-survivors and facilitating collaboration between relevant agencies</w:t>
      </w:r>
      <w:r w:rsidR="005D6FD2">
        <w:t xml:space="preserve">, and </w:t>
      </w:r>
      <w:r w:rsidR="006E7FB9">
        <w:t xml:space="preserve">the potential </w:t>
      </w:r>
      <w:r w:rsidR="005D6FD2">
        <w:t>to expand pilot intermediary schemes to support vulnerable witnesses and victim-survivors of sexual violence.</w:t>
      </w:r>
    </w:p>
    <w:p w14:paraId="15815B92" w14:textId="5B412877" w:rsidR="00736385" w:rsidRDefault="00736385" w:rsidP="00E1300D">
      <w:pPr>
        <w:pStyle w:val="Numberedparagraph"/>
        <w:numPr>
          <w:ilvl w:val="1"/>
          <w:numId w:val="13"/>
        </w:numPr>
      </w:pPr>
      <w:r w:rsidRPr="00736385">
        <w:t xml:space="preserve">The upcoming review of the </w:t>
      </w:r>
      <w:r w:rsidR="5F166ADD" w:rsidRPr="2D6820FD">
        <w:rPr>
          <w:i/>
        </w:rPr>
        <w:t>H</w:t>
      </w:r>
      <w:r w:rsidR="439791AA" w:rsidRPr="2D6820FD">
        <w:rPr>
          <w:i/>
        </w:rPr>
        <w:t xml:space="preserve">uman </w:t>
      </w:r>
      <w:r w:rsidR="5F166ADD" w:rsidRPr="2D6820FD">
        <w:rPr>
          <w:i/>
        </w:rPr>
        <w:t>R</w:t>
      </w:r>
      <w:r w:rsidR="026880E5" w:rsidRPr="2D6820FD">
        <w:rPr>
          <w:i/>
        </w:rPr>
        <w:t xml:space="preserve">ights </w:t>
      </w:r>
      <w:r w:rsidRPr="2D6820FD">
        <w:rPr>
          <w:i/>
        </w:rPr>
        <w:t>Act</w:t>
      </w:r>
      <w:r w:rsidR="0AEBE02F" w:rsidRPr="2D6820FD">
        <w:rPr>
          <w:i/>
        </w:rPr>
        <w:t xml:space="preserve"> </w:t>
      </w:r>
      <w:r w:rsidR="0AEBE02F" w:rsidRPr="2D6820FD">
        <w:rPr>
          <w:i/>
          <w:iCs/>
        </w:rPr>
        <w:t>2019</w:t>
      </w:r>
      <w:r w:rsidR="2E2FFE35" w:rsidRPr="4DA1801B">
        <w:rPr>
          <w:i/>
          <w:iCs/>
        </w:rPr>
        <w:t xml:space="preserve"> </w:t>
      </w:r>
      <w:r w:rsidR="2E2FFE35" w:rsidRPr="4DA1801B">
        <w:t>(HR Act)</w:t>
      </w:r>
      <w:r w:rsidR="491A8DCB">
        <w:t>,</w:t>
      </w:r>
      <w:r w:rsidRPr="00736385">
        <w:t xml:space="preserve"> and the likely review of the Victims Charter, provide </w:t>
      </w:r>
      <w:r w:rsidR="00C61452">
        <w:t>opportunities</w:t>
      </w:r>
      <w:r w:rsidRPr="00736385">
        <w:t xml:space="preserve"> to consider the appropriate scope of </w:t>
      </w:r>
      <w:r w:rsidR="1041B74C">
        <w:t>victims</w:t>
      </w:r>
      <w:r w:rsidR="55136581">
        <w:t>’</w:t>
      </w:r>
      <w:r w:rsidRPr="00736385">
        <w:t xml:space="preserve"> rights, </w:t>
      </w:r>
      <w:r w:rsidR="00464840">
        <w:t xml:space="preserve">whether </w:t>
      </w:r>
      <w:r w:rsidRPr="00464840">
        <w:t xml:space="preserve">greater clarity </w:t>
      </w:r>
      <w:r w:rsidR="00464840">
        <w:t xml:space="preserve">is needed </w:t>
      </w:r>
      <w:r w:rsidRPr="00464840">
        <w:t xml:space="preserve">about </w:t>
      </w:r>
      <w:r w:rsidRPr="00464840">
        <w:lastRenderedPageBreak/>
        <w:t>the application of the</w:t>
      </w:r>
      <w:r>
        <w:t xml:space="preserve"> HR Act to victims, and the interaction of the Victims Charter with the HR Act. This could include:</w:t>
      </w:r>
    </w:p>
    <w:p w14:paraId="1EA2AE9B" w14:textId="464C1EB6" w:rsidR="00736385" w:rsidRDefault="00736385" w:rsidP="00736385">
      <w:pPr>
        <w:pStyle w:val="Numberedparagraph"/>
        <w:numPr>
          <w:ilvl w:val="0"/>
          <w:numId w:val="24"/>
        </w:numPr>
      </w:pPr>
      <w:r>
        <w:t>amendment of the right to fair hearing under the HR Act</w:t>
      </w:r>
      <w:r w:rsidR="0DD8310E">
        <w:t>,</w:t>
      </w:r>
      <w:r>
        <w:t xml:space="preserve"> </w:t>
      </w:r>
      <w:r w:rsidR="2772E4DA">
        <w:t xml:space="preserve">which </w:t>
      </w:r>
      <w:r w:rsidR="2D67844D">
        <w:t>curren</w:t>
      </w:r>
      <w:r w:rsidR="2772E4DA">
        <w:t>tly only refers to</w:t>
      </w:r>
      <w:r w:rsidR="2C4617B9">
        <w:t xml:space="preserve"> </w:t>
      </w:r>
      <w:r>
        <w:t xml:space="preserve">the </w:t>
      </w:r>
      <w:r w:rsidR="6CE74F17">
        <w:t xml:space="preserve">rights of a </w:t>
      </w:r>
      <w:r>
        <w:t>person charged with a criminal offence;</w:t>
      </w:r>
    </w:p>
    <w:p w14:paraId="62113D7C" w14:textId="6C8F3A0F" w:rsidR="00736385" w:rsidRDefault="00736385" w:rsidP="00736385">
      <w:pPr>
        <w:pStyle w:val="Numberedparagraph"/>
        <w:numPr>
          <w:ilvl w:val="0"/>
          <w:numId w:val="24"/>
        </w:numPr>
      </w:pPr>
      <w:r>
        <w:t xml:space="preserve">rights, either under the HR Act or the </w:t>
      </w:r>
      <w:r w:rsidR="006E7FB9">
        <w:t xml:space="preserve">Victims </w:t>
      </w:r>
      <w:r>
        <w:t xml:space="preserve">Charter, that expressly address the impact of trauma on victims and </w:t>
      </w:r>
      <w:r w:rsidR="00AE7F87">
        <w:t xml:space="preserve">consider further </w:t>
      </w:r>
      <w:r>
        <w:t>ways victims can be acknowledged and empowered in the criminal justice process</w:t>
      </w:r>
      <w:r w:rsidR="4501EB02">
        <w:t>;</w:t>
      </w:r>
    </w:p>
    <w:p w14:paraId="4A709B55" w14:textId="77777777" w:rsidR="00736385" w:rsidRDefault="00736385" w:rsidP="00736385">
      <w:pPr>
        <w:pStyle w:val="Numberedparagraph"/>
        <w:numPr>
          <w:ilvl w:val="0"/>
          <w:numId w:val="24"/>
        </w:numPr>
      </w:pPr>
      <w:r>
        <w:t xml:space="preserve">clarification in the Victims Charter of the interface between victims’ rights to information and confidentiality obligations owed to the accused, and placing the responsibility for providing information on the relevant agency, rather than relying on the victim to seek it out.  </w:t>
      </w:r>
    </w:p>
    <w:p w14:paraId="5D03EB30" w14:textId="3CDA6999" w:rsidR="00736385" w:rsidRDefault="00736385" w:rsidP="00736385">
      <w:pPr>
        <w:pStyle w:val="Numberedparagraph"/>
        <w:numPr>
          <w:ilvl w:val="0"/>
          <w:numId w:val="24"/>
        </w:numPr>
      </w:pPr>
      <w:r>
        <w:t xml:space="preserve">ensuring </w:t>
      </w:r>
      <w:r w:rsidR="0502D761">
        <w:t>victims</w:t>
      </w:r>
      <w:r w:rsidR="66903804">
        <w:t>’</w:t>
      </w:r>
      <w:r>
        <w:t xml:space="preserve"> rights are supported by a robust complaints process in which agencies must record and report on numbers of complaints and outcomes, and there is an external complaint body that has adequate powers to resolve the complaint. </w:t>
      </w:r>
    </w:p>
    <w:p w14:paraId="7A626C12" w14:textId="0B78946C" w:rsidR="00736385" w:rsidRDefault="00736385" w:rsidP="00E125A0">
      <w:pPr>
        <w:pStyle w:val="Numberedparagraph"/>
      </w:pPr>
      <w:r>
        <w:t xml:space="preserve">Any review that concerns support for victims and </w:t>
      </w:r>
      <w:r w:rsidR="0502D761">
        <w:t>victims</w:t>
      </w:r>
      <w:r w:rsidR="08E254B5">
        <w:t>’</w:t>
      </w:r>
      <w:r>
        <w:t xml:space="preserve"> rights must give priority to the experience and views of victims of crime and their families. </w:t>
      </w:r>
    </w:p>
    <w:p w14:paraId="538B706A" w14:textId="38088322" w:rsidR="00B82CE9" w:rsidRDefault="002B4657" w:rsidP="007C510E">
      <w:pPr>
        <w:pStyle w:val="Heading1"/>
      </w:pPr>
      <w:bookmarkStart w:id="11" w:name="_Toc132204344"/>
      <w:r>
        <w:t>Introduction</w:t>
      </w:r>
      <w:bookmarkEnd w:id="11"/>
    </w:p>
    <w:p w14:paraId="6548113F" w14:textId="77ED6735" w:rsidR="001C324B" w:rsidRPr="007D5A0E" w:rsidRDefault="001C324B" w:rsidP="001C324B">
      <w:pPr>
        <w:pStyle w:val="Numberedparagraph"/>
      </w:pPr>
      <w:r>
        <w:t xml:space="preserve">The </w:t>
      </w:r>
      <w:r w:rsidR="005B3D6E">
        <w:t xml:space="preserve">QHRC </w:t>
      </w:r>
      <w:r>
        <w:t xml:space="preserve">is a statutory body established under the Queensland </w:t>
      </w:r>
      <w:r w:rsidRPr="30EDE313">
        <w:rPr>
          <w:i/>
          <w:iCs/>
        </w:rPr>
        <w:t>Anti-Discrimination Act 1991</w:t>
      </w:r>
      <w:r>
        <w:t xml:space="preserve"> (AD Act).</w:t>
      </w:r>
    </w:p>
    <w:p w14:paraId="18CA8105" w14:textId="796381DD" w:rsidR="001C324B" w:rsidRPr="00041B02" w:rsidRDefault="001C324B" w:rsidP="001C324B">
      <w:pPr>
        <w:pStyle w:val="Numberedparagraph"/>
      </w:pPr>
      <w:r>
        <w:t xml:space="preserve">The </w:t>
      </w:r>
      <w:r w:rsidR="005B3D6E">
        <w:t>QHRC</w:t>
      </w:r>
      <w:r>
        <w:t xml:space="preserve"> deals with complaints of discrimination, sexual harassment, vilification, and other objectionable conduct under the AD Act</w:t>
      </w:r>
      <w:r w:rsidR="45B33C4D">
        <w:t xml:space="preserve">, and with human rights complaints under the </w:t>
      </w:r>
      <w:r w:rsidR="45B33C4D" w:rsidRPr="13EBB126">
        <w:rPr>
          <w:i/>
        </w:rPr>
        <w:t xml:space="preserve">Human Rights Act 2019 </w:t>
      </w:r>
      <w:r w:rsidR="45B33C4D">
        <w:t>(HR Act).</w:t>
      </w:r>
    </w:p>
    <w:p w14:paraId="700F54D5" w14:textId="210797A6" w:rsidR="00587AEA" w:rsidRDefault="001C324B" w:rsidP="00587AEA">
      <w:pPr>
        <w:pStyle w:val="Numberedparagraph"/>
      </w:pPr>
      <w:r>
        <w:t xml:space="preserve">The </w:t>
      </w:r>
      <w:r w:rsidR="005B3D6E">
        <w:t>QHRC</w:t>
      </w:r>
      <w:r>
        <w:t xml:space="preserve"> also has functions under the AD Act and the HR Act to promote an understanding and public discussion of human rights in Queensland, and to provide information and education about human rights. </w:t>
      </w:r>
    </w:p>
    <w:p w14:paraId="62B9E593" w14:textId="41428C04" w:rsidR="003F2299" w:rsidRDefault="003F2299" w:rsidP="003F2299">
      <w:pPr>
        <w:pStyle w:val="Heading1"/>
      </w:pPr>
      <w:bookmarkStart w:id="12" w:name="_Toc132204345"/>
      <w:r>
        <w:t>Why are victims</w:t>
      </w:r>
      <w:r w:rsidR="0F1C884C">
        <w:t>’</w:t>
      </w:r>
      <w:r>
        <w:t xml:space="preserve"> rights important?</w:t>
      </w:r>
      <w:bookmarkEnd w:id="12"/>
    </w:p>
    <w:p w14:paraId="2E75B153" w14:textId="212C99A6" w:rsidR="008B4B32" w:rsidRDefault="008B4B32" w:rsidP="008B4B32">
      <w:pPr>
        <w:pStyle w:val="Numberedparagraph"/>
      </w:pPr>
      <w:r>
        <w:t>The importance of protecting victims</w:t>
      </w:r>
      <w:r w:rsidR="00E669B1">
        <w:t>’</w:t>
      </w:r>
      <w:r>
        <w:t xml:space="preserve"> rights is reflected in the </w:t>
      </w:r>
      <w:bookmarkStart w:id="13" w:name="_Hlk132199295"/>
      <w:r>
        <w:t>United Nations Declaration of Basic Principles of Justice on Victims of Crime and Abuse of Power.</w:t>
      </w:r>
      <w:r w:rsidR="00FA203F">
        <w:rPr>
          <w:rStyle w:val="FootnoteReference"/>
        </w:rPr>
        <w:footnoteReference w:id="3"/>
      </w:r>
      <w:r>
        <w:t xml:space="preserve"> </w:t>
      </w:r>
      <w:bookmarkEnd w:id="13"/>
      <w:r w:rsidR="002A4061">
        <w:t>The Declaration states that victims should be treated with compassion and respect for their dignity. They are entitled to access to the mechanisms of justice and to prompt redress, as provided for by national legislation, for the harm that they have suffered</w:t>
      </w:r>
      <w:r w:rsidR="009E2323">
        <w:t>.</w:t>
      </w:r>
    </w:p>
    <w:p w14:paraId="42BCD2E9" w14:textId="1D9C13F9" w:rsidR="008B4B32" w:rsidRDefault="008B4B32">
      <w:pPr>
        <w:pStyle w:val="Numberedparagraph"/>
      </w:pPr>
      <w:r>
        <w:lastRenderedPageBreak/>
        <w:t>It has b</w:t>
      </w:r>
      <w:r w:rsidR="002A4061">
        <w:t>e</w:t>
      </w:r>
      <w:r>
        <w:t>en noted that victims</w:t>
      </w:r>
      <w:r w:rsidR="00E669B1">
        <w:t>’</w:t>
      </w:r>
      <w:r>
        <w:t xml:space="preserve"> rights are an attempt to address the persistent difficulties experienced by institutions and professionals to adequately meet the expectations of victims of crime.</w:t>
      </w:r>
      <w:r w:rsidR="002A4061" w:rsidRPr="002A4061">
        <w:t xml:space="preserve"> </w:t>
      </w:r>
      <w:r w:rsidR="002A4061">
        <w:t>Further, the infliction of violence and experience of victimisation separates victims from their social setting. It disrupts the sense of trust and belonging human beings generally (though variably) have in others.</w:t>
      </w:r>
      <w:r w:rsidR="002A4061" w:rsidRPr="002A4061">
        <w:rPr>
          <w:rStyle w:val="FootnoteReference"/>
        </w:rPr>
        <w:t xml:space="preserve"> </w:t>
      </w:r>
      <w:r w:rsidR="002A4061">
        <w:rPr>
          <w:rStyle w:val="FootnoteReference"/>
        </w:rPr>
        <w:footnoteReference w:id="4"/>
      </w:r>
      <w:r w:rsidR="002A4061">
        <w:t xml:space="preserve"> </w:t>
      </w:r>
    </w:p>
    <w:p w14:paraId="75001258" w14:textId="2CB81703" w:rsidR="006670B9" w:rsidRDefault="006670B9" w:rsidP="006670B9">
      <w:pPr>
        <w:pStyle w:val="Numberedparagraph"/>
      </w:pPr>
      <w:r>
        <w:t xml:space="preserve">The Victorian Law Reform Commission’s 2016 </w:t>
      </w:r>
      <w:r w:rsidR="00E669B1">
        <w:t>r</w:t>
      </w:r>
      <w:r>
        <w:t xml:space="preserve">eport on </w:t>
      </w:r>
      <w:r w:rsidR="00E669B1" w:rsidRPr="00E669B1">
        <w:rPr>
          <w:i/>
        </w:rPr>
        <w:t>T</w:t>
      </w:r>
      <w:r w:rsidRPr="00E669B1">
        <w:rPr>
          <w:i/>
        </w:rPr>
        <w:t>he Role of Victims of Crime in the Criminal Trial Process</w:t>
      </w:r>
      <w:r>
        <w:t xml:space="preserve"> discussed the principles of a fair trial in some detail.</w:t>
      </w:r>
      <w:r w:rsidR="00E669B1">
        <w:rPr>
          <w:rStyle w:val="FootnoteReference"/>
        </w:rPr>
        <w:footnoteReference w:id="5"/>
      </w:r>
      <w:r>
        <w:t xml:space="preserve"> It noted that the state’s control of all elements of the criminal process has resulted in a focus on how to address the power imbalance and ‘equality of arms’ with the accused. This focus has eclipsed the recognition of the victim’s inherent interest in the response by the criminal justice</w:t>
      </w:r>
      <w:r w:rsidR="001DC40E">
        <w:t xml:space="preserve"> system</w:t>
      </w:r>
      <w:r>
        <w:t xml:space="preserve"> to the crime. The report notes that the Victorian </w:t>
      </w:r>
      <w:r w:rsidRPr="00E669B1">
        <w:rPr>
          <w:i/>
        </w:rPr>
        <w:t>Charter</w:t>
      </w:r>
      <w:r w:rsidR="00E669B1" w:rsidRPr="00E669B1">
        <w:rPr>
          <w:i/>
        </w:rPr>
        <w:t xml:space="preserve"> of Human Rights and Responsibilities</w:t>
      </w:r>
      <w:r w:rsidR="00E669B1">
        <w:rPr>
          <w:i/>
        </w:rPr>
        <w:t xml:space="preserve"> Act</w:t>
      </w:r>
      <w:r w:rsidR="00E669B1" w:rsidRPr="00E669B1">
        <w:rPr>
          <w:i/>
        </w:rPr>
        <w:t xml:space="preserve"> 200</w:t>
      </w:r>
      <w:r w:rsidR="00E669B1">
        <w:rPr>
          <w:i/>
        </w:rPr>
        <w:t>6</w:t>
      </w:r>
      <w:r>
        <w:t>, substantially similar to the HR</w:t>
      </w:r>
      <w:r w:rsidR="37B58931">
        <w:t xml:space="preserve"> </w:t>
      </w:r>
      <w:r>
        <w:t>A</w:t>
      </w:r>
      <w:r w:rsidR="37B58931">
        <w:t>ct</w:t>
      </w:r>
      <w:r>
        <w:t>, reinforces several rights of the accused relevant to receiving a fair trial. This however does not prevent the interests of the victim being considered</w:t>
      </w:r>
      <w:r w:rsidR="00AD4700">
        <w:t>:</w:t>
      </w:r>
    </w:p>
    <w:p w14:paraId="1ECCB8AD" w14:textId="77777777" w:rsidR="006670B9" w:rsidRDefault="006670B9" w:rsidP="006670B9">
      <w:pPr>
        <w:pStyle w:val="Quote"/>
      </w:pPr>
      <w:r>
        <w:t>The legitimate rights of the accused should be protected and fulfilled. So too the rights of the community. The legitimate rights of victims, properly understood, do not undermine those of the accused or of the community. The true interrelationship of the three is complementary. There is a public interest in ensuring that trials are fair. This interest can be served not only by safeguarding the rights of the accused and the objectivity of the prosecution but also by acknowledging the victim’s interest.</w:t>
      </w:r>
      <w:r>
        <w:rPr>
          <w:rStyle w:val="FootnoteReference"/>
        </w:rPr>
        <w:footnoteReference w:id="6"/>
      </w:r>
    </w:p>
    <w:p w14:paraId="10A92607" w14:textId="61921843" w:rsidR="003F2299" w:rsidRDefault="003F2299" w:rsidP="003F2299">
      <w:pPr>
        <w:pStyle w:val="Heading1"/>
      </w:pPr>
      <w:bookmarkStart w:id="14" w:name="_Toc132204346"/>
      <w:r>
        <w:t xml:space="preserve">What </w:t>
      </w:r>
      <w:r w:rsidR="38FE6392">
        <w:t xml:space="preserve">victims’ </w:t>
      </w:r>
      <w:r>
        <w:t>rights</w:t>
      </w:r>
      <w:r w:rsidR="2707037E">
        <w:t xml:space="preserve"> are currently protected in Queensland</w:t>
      </w:r>
      <w:r>
        <w:t>?</w:t>
      </w:r>
      <w:bookmarkEnd w:id="14"/>
    </w:p>
    <w:p w14:paraId="4424840E" w14:textId="4D222FD8" w:rsidR="003F2299" w:rsidRDefault="003F2299" w:rsidP="003F2299">
      <w:pPr>
        <w:pStyle w:val="Numberedparagraph"/>
      </w:pPr>
      <w:r>
        <w:t xml:space="preserve">People engage with many different government </w:t>
      </w:r>
      <w:r w:rsidR="00E669B1">
        <w:t>entities</w:t>
      </w:r>
      <w:r>
        <w:t xml:space="preserve"> when they become a victim of crime. This can include </w:t>
      </w:r>
      <w:r w:rsidR="00E669B1">
        <w:t xml:space="preserve">the </w:t>
      </w:r>
      <w:r>
        <w:t xml:space="preserve">Queensland Police Service, Queensland Corrective Services, the Department of Justice and Attorney-General particularly Victim Assist Queensland, and the Director of Public Prosecutions. These </w:t>
      </w:r>
      <w:r w:rsidR="00E669B1">
        <w:t>entities</w:t>
      </w:r>
      <w:r>
        <w:t xml:space="preserve"> may make referrals, including to non-government entities, for support that is outside the scope and expertise of the government </w:t>
      </w:r>
      <w:r w:rsidR="00E669B1">
        <w:t>entities</w:t>
      </w:r>
      <w:r>
        <w:t xml:space="preserve">. </w:t>
      </w:r>
    </w:p>
    <w:p w14:paraId="47EAD8B0" w14:textId="222FD43C" w:rsidR="003F2299" w:rsidRDefault="003F2299" w:rsidP="003F2299">
      <w:pPr>
        <w:pStyle w:val="Numberedparagraph"/>
      </w:pPr>
      <w:r>
        <w:t xml:space="preserve">Each </w:t>
      </w:r>
      <w:r w:rsidR="00E669B1">
        <w:t xml:space="preserve">of these entities </w:t>
      </w:r>
      <w:r>
        <w:t>have responsibilities under:</w:t>
      </w:r>
    </w:p>
    <w:p w14:paraId="1787BC58" w14:textId="77777777" w:rsidR="003F2299" w:rsidRPr="00C07D81" w:rsidRDefault="003F2299" w:rsidP="003F2299">
      <w:pPr>
        <w:pStyle w:val="Numberedparagraph"/>
        <w:numPr>
          <w:ilvl w:val="1"/>
          <w:numId w:val="13"/>
        </w:numPr>
        <w:rPr>
          <w:i/>
          <w:iCs/>
        </w:rPr>
      </w:pPr>
      <w:r>
        <w:t>t</w:t>
      </w:r>
      <w:r w:rsidRPr="00C07D81">
        <w:t>he</w:t>
      </w:r>
      <w:r>
        <w:rPr>
          <w:i/>
          <w:iCs/>
        </w:rPr>
        <w:t xml:space="preserve"> </w:t>
      </w:r>
      <w:r w:rsidRPr="00C07D81">
        <w:rPr>
          <w:i/>
          <w:iCs/>
        </w:rPr>
        <w:t>Human Rights Act 2019</w:t>
      </w:r>
      <w:r w:rsidRPr="00C07D81">
        <w:t xml:space="preserve"> (HR Act);</w:t>
      </w:r>
      <w:r>
        <w:rPr>
          <w:u w:val="single"/>
        </w:rPr>
        <w:t xml:space="preserve"> </w:t>
      </w:r>
    </w:p>
    <w:p w14:paraId="4D513EBB" w14:textId="77777777" w:rsidR="003F2299" w:rsidRDefault="003F2299" w:rsidP="003F2299">
      <w:pPr>
        <w:pStyle w:val="Numberedparagraph"/>
        <w:numPr>
          <w:ilvl w:val="1"/>
          <w:numId w:val="13"/>
        </w:numPr>
      </w:pPr>
      <w:r w:rsidRPr="00C07D81">
        <w:t>the</w:t>
      </w:r>
      <w:r>
        <w:rPr>
          <w:i/>
          <w:iCs/>
        </w:rPr>
        <w:t xml:space="preserve"> </w:t>
      </w:r>
      <w:r w:rsidRPr="00C07D81">
        <w:rPr>
          <w:i/>
          <w:iCs/>
        </w:rPr>
        <w:t>Anti-Discrimination Act 1991</w:t>
      </w:r>
      <w:r>
        <w:t xml:space="preserve"> (AD Act); </w:t>
      </w:r>
    </w:p>
    <w:p w14:paraId="40E05FB4" w14:textId="155978DF" w:rsidR="003F2299" w:rsidRPr="005B0056" w:rsidRDefault="003F2299" w:rsidP="30EDE313">
      <w:pPr>
        <w:pStyle w:val="Numberedparagraph"/>
        <w:numPr>
          <w:ilvl w:val="1"/>
          <w:numId w:val="13"/>
        </w:numPr>
        <w:rPr>
          <w:i/>
          <w:iCs/>
        </w:rPr>
      </w:pPr>
      <w:r>
        <w:lastRenderedPageBreak/>
        <w:t xml:space="preserve">the </w:t>
      </w:r>
      <w:r w:rsidR="00E669B1">
        <w:t>Charter of victims’ rights</w:t>
      </w:r>
      <w:r>
        <w:t xml:space="preserve"> under </w:t>
      </w:r>
      <w:r w:rsidR="00E669B1">
        <w:t xml:space="preserve">Schedule 1AA of </w:t>
      </w:r>
      <w:r>
        <w:t xml:space="preserve">the </w:t>
      </w:r>
      <w:r w:rsidRPr="30EDE313">
        <w:rPr>
          <w:i/>
          <w:iCs/>
        </w:rPr>
        <w:t>Victims of Crime Assistance Act 2009</w:t>
      </w:r>
      <w:r w:rsidR="00E669B1">
        <w:rPr>
          <w:iCs/>
        </w:rPr>
        <w:t xml:space="preserve"> (Victims Charter)</w:t>
      </w:r>
      <w:r w:rsidRPr="30EDE313">
        <w:rPr>
          <w:i/>
          <w:iCs/>
        </w:rPr>
        <w:t>.</w:t>
      </w:r>
    </w:p>
    <w:p w14:paraId="425DD078" w14:textId="52917E42" w:rsidR="24771E71" w:rsidRPr="00C61783" w:rsidRDefault="24771E71" w:rsidP="00C61783">
      <w:pPr>
        <w:pStyle w:val="Numberedparagraph"/>
      </w:pPr>
      <w:r>
        <w:t xml:space="preserve">Courts also have </w:t>
      </w:r>
      <w:r w:rsidR="6528E101">
        <w:t>obligations relevant to victims</w:t>
      </w:r>
      <w:r>
        <w:t xml:space="preserve"> under the HR Act. </w:t>
      </w:r>
    </w:p>
    <w:p w14:paraId="7AC45913" w14:textId="7B95FD8E" w:rsidR="003F2299" w:rsidRDefault="003F2299" w:rsidP="003F2299">
      <w:pPr>
        <w:pStyle w:val="Heading2"/>
      </w:pPr>
      <w:bookmarkStart w:id="15" w:name="_Toc132204347"/>
      <w:r>
        <w:t>Victims</w:t>
      </w:r>
      <w:r w:rsidR="0014286D">
        <w:t>’</w:t>
      </w:r>
      <w:r>
        <w:t xml:space="preserve"> rights under the </w:t>
      </w:r>
      <w:r w:rsidRPr="00264F3D">
        <w:rPr>
          <w:i/>
        </w:rPr>
        <w:t>Human Rights Act</w:t>
      </w:r>
      <w:bookmarkEnd w:id="15"/>
    </w:p>
    <w:p w14:paraId="599A2231" w14:textId="22D0CF55" w:rsidR="003F2299" w:rsidRDefault="003F2299" w:rsidP="003F2299">
      <w:pPr>
        <w:pStyle w:val="Numberedparagraph"/>
      </w:pPr>
      <w:r>
        <w:t xml:space="preserve">Government entities, non-government </w:t>
      </w:r>
      <w:r w:rsidR="00E669B1">
        <w:t>entities</w:t>
      </w:r>
      <w:r>
        <w:t xml:space="preserve"> performing functions of a public nature on behalf of the State, and their employees have obligations under the HR Act to act and make decisions compatible with human rights, and to give proper consideration to human rights when making decisions.</w:t>
      </w:r>
      <w:r>
        <w:rPr>
          <w:rStyle w:val="FootnoteReference"/>
        </w:rPr>
        <w:footnoteReference w:id="7"/>
      </w:r>
      <w:r>
        <w:t xml:space="preserve"> </w:t>
      </w:r>
    </w:p>
    <w:p w14:paraId="426206C1" w14:textId="03ED6195" w:rsidR="1577EE2E" w:rsidRDefault="1577EE2E" w:rsidP="30EDE313">
      <w:pPr>
        <w:pStyle w:val="Numberedparagraph"/>
        <w:rPr>
          <w:rFonts w:eastAsia="MS Mincho"/>
          <w:szCs w:val="22"/>
        </w:rPr>
      </w:pPr>
      <w:r w:rsidRPr="0B62BDD4">
        <w:rPr>
          <w:rFonts w:eastAsia="MS Mincho"/>
        </w:rPr>
        <w:t xml:space="preserve">Courts have obligations to interpret law compatibly with human rights, and to directly apply </w:t>
      </w:r>
      <w:r w:rsidR="6D8C59FF" w:rsidRPr="0B62BDD4">
        <w:rPr>
          <w:rFonts w:eastAsia="MS Mincho"/>
        </w:rPr>
        <w:t>rights related to functions the court is performing, for example, the right to fair hearing.</w:t>
      </w:r>
      <w:r w:rsidRPr="00E669B1">
        <w:rPr>
          <w:rFonts w:eastAsia="MS Mincho"/>
          <w:vertAlign w:val="superscript"/>
        </w:rPr>
        <w:footnoteReference w:id="8"/>
      </w:r>
      <w:r w:rsidR="6D8C59FF" w:rsidRPr="00E669B1">
        <w:rPr>
          <w:rFonts w:eastAsia="MS Mincho"/>
          <w:vertAlign w:val="superscript"/>
        </w:rPr>
        <w:t xml:space="preserve"> </w:t>
      </w:r>
    </w:p>
    <w:p w14:paraId="3C0D562E" w14:textId="254B728F" w:rsidR="008918E1" w:rsidRPr="00587AEA" w:rsidRDefault="008918E1" w:rsidP="008918E1">
      <w:pPr>
        <w:pStyle w:val="Numberedparagraph"/>
      </w:pPr>
      <w:r>
        <w:t>A</w:t>
      </w:r>
      <w:r w:rsidR="10128BB0">
        <w:t xml:space="preserve">n act or decision is compatible </w:t>
      </w:r>
      <w:r w:rsidR="56D308FC">
        <w:t>with</w:t>
      </w:r>
      <w:r>
        <w:t xml:space="preserve"> </w:t>
      </w:r>
      <w:r w:rsidR="56D308FC">
        <w:t xml:space="preserve">human rights if it does not limit a right, or </w:t>
      </w:r>
      <w:r w:rsidR="5D399F60">
        <w:t xml:space="preserve">only </w:t>
      </w:r>
      <w:r>
        <w:t xml:space="preserve">limits </w:t>
      </w:r>
      <w:r w:rsidR="0367BDB6">
        <w:t xml:space="preserve">rights to the extent </w:t>
      </w:r>
      <w:r>
        <w:t xml:space="preserve">that </w:t>
      </w:r>
      <w:r w:rsidR="469E60CC">
        <w:t xml:space="preserve">is reasonable and </w:t>
      </w:r>
      <w:r>
        <w:t>demonstrably justifi</w:t>
      </w:r>
      <w:r w:rsidR="5D71A2A8">
        <w:t>able</w:t>
      </w:r>
      <w:r>
        <w:t xml:space="preserve"> in a free and democratic society based on human dignity, equality an</w:t>
      </w:r>
      <w:r w:rsidRPr="00587AEA">
        <w:t>d freedom</w:t>
      </w:r>
      <w:r>
        <w:t>.</w:t>
      </w:r>
      <w:r>
        <w:rPr>
          <w:rStyle w:val="FootnoteReference"/>
        </w:rPr>
        <w:footnoteReference w:id="9"/>
      </w:r>
    </w:p>
    <w:p w14:paraId="091E880C" w14:textId="049AC4FD" w:rsidR="003F2299" w:rsidRDefault="003F2299" w:rsidP="003F2299">
      <w:pPr>
        <w:pStyle w:val="Numberedparagraph"/>
      </w:pPr>
      <w:r>
        <w:t xml:space="preserve">Depending on the circumstances, the </w:t>
      </w:r>
      <w:r w:rsidRPr="005967C5">
        <w:t xml:space="preserve">HR Act contains a number of rights relevant to protecting victims </w:t>
      </w:r>
      <w:r>
        <w:t>of crime</w:t>
      </w:r>
      <w:r w:rsidRPr="005967C5">
        <w:t>.</w:t>
      </w:r>
      <w:r>
        <w:t xml:space="preserve"> The rights protected by the HR Act have been drawn from international law and may be interpreted with reference to international law and jurisprudence, including human rights treaties to which Australia is a party.</w:t>
      </w:r>
      <w:r>
        <w:rPr>
          <w:rStyle w:val="FootnoteReference"/>
        </w:rPr>
        <w:footnoteReference w:id="10"/>
      </w:r>
      <w:r>
        <w:t xml:space="preserve"> </w:t>
      </w:r>
      <w:r w:rsidRPr="005967C5">
        <w:t xml:space="preserve">The most relevant rights </w:t>
      </w:r>
      <w:r>
        <w:t>are</w:t>
      </w:r>
      <w:r w:rsidRPr="005967C5">
        <w:t xml:space="preserve">: </w:t>
      </w:r>
    </w:p>
    <w:p w14:paraId="7355EA74" w14:textId="4DF636F1" w:rsidR="003F2299" w:rsidRDefault="003F2299" w:rsidP="003F2299">
      <w:pPr>
        <w:pStyle w:val="Bulletedlist"/>
      </w:pPr>
      <w:r w:rsidRPr="005967C5">
        <w:t>the right to equality and non-discrimination,</w:t>
      </w:r>
      <w:r>
        <w:t xml:space="preserve"> including the right to enjoy human rights without discrimination</w:t>
      </w:r>
      <w:r w:rsidR="0C7159F2">
        <w:t>;</w:t>
      </w:r>
      <w:r>
        <w:rPr>
          <w:rStyle w:val="FootnoteReference"/>
        </w:rPr>
        <w:footnoteReference w:id="11"/>
      </w:r>
      <w:r w:rsidRPr="005967C5">
        <w:t xml:space="preserve"> </w:t>
      </w:r>
    </w:p>
    <w:p w14:paraId="421069E3" w14:textId="5897E0D3" w:rsidR="003F2299" w:rsidRDefault="003F2299" w:rsidP="003F2299">
      <w:pPr>
        <w:pStyle w:val="Bulletedlist"/>
      </w:pPr>
      <w:r w:rsidRPr="005967C5">
        <w:t>the right to life,</w:t>
      </w:r>
      <w:r>
        <w:rPr>
          <w:rStyle w:val="FootnoteReference"/>
        </w:rPr>
        <w:footnoteReference w:id="12"/>
      </w:r>
      <w:r w:rsidRPr="005967C5">
        <w:t xml:space="preserve"> </w:t>
      </w:r>
      <w:r>
        <w:t>for example</w:t>
      </w:r>
      <w:r w:rsidR="002A4061">
        <w:t xml:space="preserve"> </w:t>
      </w:r>
      <w:r>
        <w:t xml:space="preserve">where </w:t>
      </w:r>
      <w:r w:rsidRPr="00464144">
        <w:t xml:space="preserve">a person is a victim of domestic abuse and it becomes clear that their life is in danger as a result of ongoing threats or violence, the police must take adequate steps to protect that life. A failure to protect that person may be an unjustifiable limitation on the right to life.  </w:t>
      </w:r>
    </w:p>
    <w:p w14:paraId="0ABB0C26" w14:textId="3030BE7C" w:rsidR="003F2299" w:rsidRDefault="003F2299" w:rsidP="003F2299">
      <w:pPr>
        <w:pStyle w:val="Bulletedlist"/>
      </w:pPr>
      <w:r w:rsidRPr="005967C5">
        <w:t xml:space="preserve">the prohibition on torture, cruel, inhuman and degrading treatment, </w:t>
      </w:r>
      <w:r w:rsidRPr="00C00547">
        <w:t>includ</w:t>
      </w:r>
      <w:r>
        <w:t>ing</w:t>
      </w:r>
      <w:r w:rsidRPr="00C00547">
        <w:t xml:space="preserve"> protection from treatment that humiliates a person</w:t>
      </w:r>
      <w:r>
        <w:t>.</w:t>
      </w:r>
      <w:r>
        <w:rPr>
          <w:rStyle w:val="FootnoteReference"/>
        </w:rPr>
        <w:footnoteReference w:id="13"/>
      </w:r>
      <w:r>
        <w:t xml:space="preserve"> If </w:t>
      </w:r>
      <w:r w:rsidRPr="00464144">
        <w:t>an individual has a domestic violence order that is being repeatedly breached by a perpetrator, but when they call to report this, no action is taken by police, this may be a breach of this right</w:t>
      </w:r>
      <w:r w:rsidR="663F5D9F" w:rsidRPr="00464144">
        <w:t xml:space="preserve">. </w:t>
      </w:r>
      <w:r>
        <w:rPr>
          <w:rStyle w:val="FootnoteReference"/>
        </w:rPr>
        <w:footnoteReference w:id="14"/>
      </w:r>
      <w:r w:rsidRPr="00464144">
        <w:t xml:space="preserve">   </w:t>
      </w:r>
    </w:p>
    <w:p w14:paraId="105C9FFB" w14:textId="765646FC" w:rsidR="3014019B" w:rsidRDefault="3014019B" w:rsidP="0B62BDD4">
      <w:pPr>
        <w:pStyle w:val="Bulletedlist"/>
      </w:pPr>
      <w:r>
        <w:t>freedom of expression, which includes the right to seek out and receive information</w:t>
      </w:r>
      <w:r w:rsidR="05E52685">
        <w:t>.</w:t>
      </w:r>
      <w:r w:rsidRPr="0B62BDD4">
        <w:rPr>
          <w:rStyle w:val="FootnoteReference"/>
        </w:rPr>
        <w:footnoteReference w:id="15"/>
      </w:r>
    </w:p>
    <w:p w14:paraId="25C18A37" w14:textId="77777777" w:rsidR="003F2299" w:rsidRDefault="003F2299" w:rsidP="003F2299">
      <w:pPr>
        <w:pStyle w:val="Bulletedlist"/>
      </w:pPr>
      <w:r w:rsidRPr="005967C5">
        <w:t>the right to privacy and reputation,</w:t>
      </w:r>
      <w:r>
        <w:t xml:space="preserve"> which protects against unlawful or arbitrary interference with a person’s </w:t>
      </w:r>
      <w:r w:rsidRPr="00C00547">
        <w:t>family, home or personal information</w:t>
      </w:r>
      <w:r>
        <w:t>.</w:t>
      </w:r>
      <w:r>
        <w:rPr>
          <w:rStyle w:val="FootnoteReference"/>
        </w:rPr>
        <w:footnoteReference w:id="16"/>
      </w:r>
    </w:p>
    <w:p w14:paraId="62B42BC1" w14:textId="45069AD6" w:rsidR="3ADDC50A" w:rsidRDefault="3ADDC50A" w:rsidP="0B62BDD4">
      <w:pPr>
        <w:pStyle w:val="Bulletedlist"/>
      </w:pPr>
      <w:r>
        <w:t>the protection of families and children,</w:t>
      </w:r>
      <w:r w:rsidRPr="0B62BDD4">
        <w:rPr>
          <w:rStyle w:val="FootnoteReference"/>
        </w:rPr>
        <w:footnoteReference w:id="17"/>
      </w:r>
    </w:p>
    <w:p w14:paraId="184F0204" w14:textId="1E11A154" w:rsidR="44BC2BC1" w:rsidRDefault="44BC2BC1" w:rsidP="07ED29DB">
      <w:pPr>
        <w:pStyle w:val="Bulletedlist"/>
      </w:pPr>
      <w:r>
        <w:t>cultural rights generally and the cultural rights of Aboriginal peoples and Torres Strait Islander peoples, including ensuring that services provided to people are culturally safe.</w:t>
      </w:r>
      <w:r w:rsidRPr="103C03BF">
        <w:rPr>
          <w:rStyle w:val="FootnoteReference"/>
        </w:rPr>
        <w:footnoteReference w:id="18"/>
      </w:r>
    </w:p>
    <w:p w14:paraId="0CE0340E" w14:textId="624EB106" w:rsidR="003F2299" w:rsidRDefault="003F2299" w:rsidP="00C61783">
      <w:pPr>
        <w:pStyle w:val="Bulletedlist"/>
        <w:numPr>
          <w:ilvl w:val="0"/>
          <w:numId w:val="23"/>
        </w:numPr>
      </w:pPr>
      <w:r w:rsidRPr="005967C5">
        <w:t xml:space="preserve">the right to liberty and security, </w:t>
      </w:r>
      <w:r>
        <w:t>including ensuring</w:t>
      </w:r>
      <w:r w:rsidRPr="00C00547">
        <w:t xml:space="preserve"> the physical safety of people who are in danger of physical harm.</w:t>
      </w:r>
      <w:r>
        <w:rPr>
          <w:rStyle w:val="FootnoteReference"/>
        </w:rPr>
        <w:footnoteReference w:id="19"/>
      </w:r>
    </w:p>
    <w:p w14:paraId="45DC4D17" w14:textId="0DBB6B19" w:rsidR="003F2299" w:rsidRPr="00C57E48" w:rsidRDefault="003F2299" w:rsidP="003F2299">
      <w:pPr>
        <w:pStyle w:val="Numberedparagraph"/>
      </w:pPr>
      <w:r w:rsidRPr="00C57E48">
        <w:t>These rights must be balanced against the rights of accused people and offenders</w:t>
      </w:r>
      <w:r w:rsidR="22C875DA" w:rsidRPr="00C57E48">
        <w:t>,</w:t>
      </w:r>
      <w:r w:rsidRPr="00C57E48">
        <w:t xml:space="preserve"> </w:t>
      </w:r>
      <w:r w:rsidR="22C875DA" w:rsidRPr="00C57E48">
        <w:t xml:space="preserve">which in particular include rights </w:t>
      </w:r>
      <w:r w:rsidRPr="00C57E48">
        <w:t>in criminal proceedings</w:t>
      </w:r>
      <w:r w:rsidR="50AED826" w:rsidRPr="00C57E48">
        <w:t>,</w:t>
      </w:r>
      <w:r w:rsidRPr="00C57E48">
        <w:t xml:space="preserve"> </w:t>
      </w:r>
      <w:r w:rsidR="50AED826" w:rsidRPr="00C57E48">
        <w:t>privacy,</w:t>
      </w:r>
      <w:r w:rsidR="61C3409E" w:rsidRPr="00C57E48">
        <w:t xml:space="preserve"> </w:t>
      </w:r>
      <w:r w:rsidRPr="00C57E48">
        <w:t xml:space="preserve">and </w:t>
      </w:r>
      <w:r w:rsidR="6E108C21" w:rsidRPr="00C57E48">
        <w:t xml:space="preserve">the right </w:t>
      </w:r>
      <w:r w:rsidRPr="00C57E48">
        <w:t>to a fair trial</w:t>
      </w:r>
      <w:r>
        <w:t>.</w:t>
      </w:r>
      <w:r>
        <w:rPr>
          <w:rStyle w:val="FootnoteReference"/>
        </w:rPr>
        <w:footnoteReference w:id="20"/>
      </w:r>
      <w:r w:rsidRPr="00C57E48">
        <w:rPr>
          <w:sz w:val="14"/>
          <w:szCs w:val="14"/>
        </w:rPr>
        <w:t xml:space="preserve"> </w:t>
      </w:r>
    </w:p>
    <w:p w14:paraId="77E1A27D" w14:textId="152304A3" w:rsidR="1B45F7E7" w:rsidRPr="005A1AC1" w:rsidRDefault="1B45F7E7" w:rsidP="005A1AC1">
      <w:pPr>
        <w:pStyle w:val="Numberedparagraph"/>
        <w:rPr>
          <w:rFonts w:eastAsia="MS Mincho"/>
        </w:rPr>
      </w:pPr>
      <w:r w:rsidRPr="140B9A75">
        <w:rPr>
          <w:rFonts w:eastAsia="MS Mincho"/>
        </w:rPr>
        <w:t>Victims, to the greatest possible extent,</w:t>
      </w:r>
      <w:r w:rsidRPr="2A98ED49">
        <w:rPr>
          <w:rFonts w:eastAsia="MS Mincho"/>
        </w:rPr>
        <w:t xml:space="preserve"> </w:t>
      </w:r>
      <w:r w:rsidRPr="140B9A75">
        <w:rPr>
          <w:rFonts w:eastAsia="MS Mincho"/>
        </w:rPr>
        <w:t xml:space="preserve">should not be </w:t>
      </w:r>
      <w:r w:rsidRPr="2A98ED49">
        <w:rPr>
          <w:rFonts w:eastAsia="MS Mincho"/>
        </w:rPr>
        <w:t xml:space="preserve">retraumatised by criminal justice processes. </w:t>
      </w:r>
      <w:r w:rsidR="00E533CC">
        <w:rPr>
          <w:rFonts w:eastAsia="MS Mincho"/>
        </w:rPr>
        <w:t xml:space="preserve">This may mean ensuring the victim has adequate support or providing reasonable adjustments. </w:t>
      </w:r>
      <w:r w:rsidR="005A1AC1">
        <w:rPr>
          <w:rFonts w:eastAsia="MS Mincho"/>
        </w:rPr>
        <w:t xml:space="preserve">Failure to do so without reasonable justification may amount to a contravention of the rights to equality, the prohibition against </w:t>
      </w:r>
      <w:r w:rsidRPr="005A1AC1">
        <w:rPr>
          <w:rFonts w:eastAsia="MS Mincho"/>
        </w:rPr>
        <w:t>torture, cruel,</w:t>
      </w:r>
      <w:r w:rsidR="1AD02681" w:rsidRPr="005A1AC1">
        <w:rPr>
          <w:rFonts w:eastAsia="MS Mincho"/>
        </w:rPr>
        <w:t xml:space="preserve"> </w:t>
      </w:r>
      <w:r w:rsidRPr="005A1AC1">
        <w:rPr>
          <w:rFonts w:eastAsia="MS Mincho"/>
        </w:rPr>
        <w:t>inhuman and degrad</w:t>
      </w:r>
      <w:r w:rsidR="45308DEF" w:rsidRPr="005A1AC1">
        <w:rPr>
          <w:rFonts w:eastAsia="MS Mincho"/>
        </w:rPr>
        <w:t xml:space="preserve">ing treatment, </w:t>
      </w:r>
      <w:r w:rsidR="690158E2" w:rsidRPr="005A1AC1">
        <w:rPr>
          <w:rFonts w:eastAsia="MS Mincho"/>
        </w:rPr>
        <w:t xml:space="preserve">and </w:t>
      </w:r>
      <w:r w:rsidR="005A1AC1">
        <w:rPr>
          <w:rFonts w:eastAsia="MS Mincho"/>
        </w:rPr>
        <w:t xml:space="preserve">to </w:t>
      </w:r>
      <w:r w:rsidR="690158E2" w:rsidRPr="005A1AC1">
        <w:rPr>
          <w:rFonts w:eastAsia="MS Mincho"/>
        </w:rPr>
        <w:t xml:space="preserve">privacy. </w:t>
      </w:r>
    </w:p>
    <w:p w14:paraId="6E7071CD" w14:textId="6612D5D1" w:rsidR="0AD91518" w:rsidRDefault="0AD91518" w:rsidP="4FA0CFF4">
      <w:pPr>
        <w:pStyle w:val="Numberedparagraph"/>
        <w:rPr>
          <w:rFonts w:eastAsia="MS Mincho"/>
        </w:rPr>
      </w:pPr>
      <w:r w:rsidRPr="498DFD66">
        <w:rPr>
          <w:rFonts w:eastAsia="MS Mincho"/>
        </w:rPr>
        <w:t xml:space="preserve">For many victims, </w:t>
      </w:r>
      <w:r w:rsidR="30248354" w:rsidRPr="498DFD66">
        <w:rPr>
          <w:rFonts w:eastAsia="MS Mincho"/>
        </w:rPr>
        <w:t xml:space="preserve">opportunities to </w:t>
      </w:r>
      <w:r w:rsidR="6E0ED179" w:rsidRPr="498DFD66">
        <w:rPr>
          <w:rFonts w:eastAsia="MS Mincho"/>
        </w:rPr>
        <w:t xml:space="preserve">be </w:t>
      </w:r>
      <w:r w:rsidR="7B78BD2C" w:rsidRPr="498DFD66">
        <w:rPr>
          <w:rFonts w:eastAsia="MS Mincho"/>
        </w:rPr>
        <w:t>acknowledged</w:t>
      </w:r>
      <w:r w:rsidR="6E0ED179" w:rsidRPr="498DFD66">
        <w:rPr>
          <w:rFonts w:eastAsia="MS Mincho"/>
        </w:rPr>
        <w:t xml:space="preserve"> </w:t>
      </w:r>
      <w:r w:rsidR="4E91EBC9" w:rsidRPr="498DFD66">
        <w:rPr>
          <w:rFonts w:eastAsia="MS Mincho"/>
        </w:rPr>
        <w:t xml:space="preserve">and empowered </w:t>
      </w:r>
      <w:r w:rsidR="476399E8" w:rsidRPr="498DFD66">
        <w:rPr>
          <w:rFonts w:eastAsia="MS Mincho"/>
        </w:rPr>
        <w:t>in</w:t>
      </w:r>
      <w:r w:rsidR="30248354" w:rsidRPr="498DFD66">
        <w:rPr>
          <w:rFonts w:eastAsia="MS Mincho"/>
        </w:rPr>
        <w:t xml:space="preserve"> criminal justice process</w:t>
      </w:r>
      <w:r w:rsidR="5D61DB18" w:rsidRPr="498DFD66">
        <w:rPr>
          <w:rFonts w:eastAsia="MS Mincho"/>
        </w:rPr>
        <w:t xml:space="preserve">es </w:t>
      </w:r>
      <w:r w:rsidR="0F15B3A4" w:rsidRPr="498DFD66">
        <w:rPr>
          <w:rFonts w:eastAsia="MS Mincho"/>
        </w:rPr>
        <w:t>plays</w:t>
      </w:r>
      <w:r w:rsidR="233E12C6" w:rsidRPr="498DFD66">
        <w:rPr>
          <w:rFonts w:eastAsia="MS Mincho"/>
        </w:rPr>
        <w:t xml:space="preserve"> an important role in </w:t>
      </w:r>
      <w:r w:rsidR="0F15B3A4" w:rsidRPr="498DFD66">
        <w:rPr>
          <w:rFonts w:eastAsia="MS Mincho"/>
        </w:rPr>
        <w:t xml:space="preserve">their recovery and establishing their trust in the system. </w:t>
      </w:r>
      <w:r w:rsidR="53B30B4C" w:rsidRPr="498DFD66">
        <w:rPr>
          <w:rFonts w:eastAsia="MS Mincho"/>
        </w:rPr>
        <w:t xml:space="preserve">As noted by the Victorian Law Reform Commission’s report, </w:t>
      </w:r>
      <w:r w:rsidR="1584F528" w:rsidRPr="498DFD66">
        <w:rPr>
          <w:rFonts w:eastAsia="MS Mincho"/>
        </w:rPr>
        <w:t xml:space="preserve">participation can take many forms and not all will be appropriate when balanced against the </w:t>
      </w:r>
      <w:r w:rsidR="46A9E8A2" w:rsidRPr="498DFD66">
        <w:rPr>
          <w:rFonts w:eastAsia="MS Mincho"/>
        </w:rPr>
        <w:t>purpose</w:t>
      </w:r>
      <w:r w:rsidR="1584F528" w:rsidRPr="498DFD66">
        <w:rPr>
          <w:rFonts w:eastAsia="MS Mincho"/>
        </w:rPr>
        <w:t xml:space="preserve"> of the </w:t>
      </w:r>
      <w:r w:rsidR="46A9E8A2" w:rsidRPr="498DFD66">
        <w:rPr>
          <w:rFonts w:eastAsia="MS Mincho"/>
        </w:rPr>
        <w:t xml:space="preserve">trial process, the </w:t>
      </w:r>
      <w:r w:rsidR="1584F528" w:rsidRPr="498DFD66">
        <w:rPr>
          <w:rFonts w:eastAsia="MS Mincho"/>
        </w:rPr>
        <w:t>rights of the accused</w:t>
      </w:r>
      <w:r w:rsidR="0C99B6A1" w:rsidRPr="498DFD66">
        <w:rPr>
          <w:rFonts w:eastAsia="MS Mincho"/>
        </w:rPr>
        <w:t xml:space="preserve"> and available resources.</w:t>
      </w:r>
      <w:r w:rsidR="00E533CC">
        <w:rPr>
          <w:rStyle w:val="FootnoteReference"/>
          <w:rFonts w:eastAsia="MS Mincho"/>
        </w:rPr>
        <w:footnoteReference w:id="21"/>
      </w:r>
      <w:r w:rsidR="0C99B6A1" w:rsidRPr="498DFD66">
        <w:rPr>
          <w:rFonts w:eastAsia="MS Mincho"/>
        </w:rPr>
        <w:t xml:space="preserve"> However,</w:t>
      </w:r>
      <w:r w:rsidR="00E533CC">
        <w:rPr>
          <w:rFonts w:eastAsia="MS Mincho"/>
        </w:rPr>
        <w:t xml:space="preserve"> based on the rights to equality, privacy, </w:t>
      </w:r>
      <w:r w:rsidR="00264F3D">
        <w:rPr>
          <w:rFonts w:eastAsia="MS Mincho"/>
        </w:rPr>
        <w:t xml:space="preserve">and </w:t>
      </w:r>
      <w:r w:rsidR="00E533CC">
        <w:rPr>
          <w:rFonts w:eastAsia="MS Mincho"/>
        </w:rPr>
        <w:t>freedom of expression,</w:t>
      </w:r>
      <w:r w:rsidR="0C99B6A1" w:rsidRPr="498DFD66">
        <w:rPr>
          <w:rFonts w:eastAsia="MS Mincho"/>
        </w:rPr>
        <w:t xml:space="preserve"> </w:t>
      </w:r>
      <w:r w:rsidR="014AE725" w:rsidRPr="498DFD66">
        <w:rPr>
          <w:rFonts w:eastAsia="MS Mincho"/>
        </w:rPr>
        <w:t>t</w:t>
      </w:r>
      <w:r w:rsidR="5AB2AA01" w:rsidRPr="498DFD66">
        <w:rPr>
          <w:rFonts w:eastAsia="MS Mincho"/>
        </w:rPr>
        <w:t xml:space="preserve">here is clearly a role </w:t>
      </w:r>
      <w:r w:rsidR="56214C4F" w:rsidRPr="498DFD66">
        <w:rPr>
          <w:rFonts w:eastAsia="MS Mincho"/>
        </w:rPr>
        <w:t>for victims</w:t>
      </w:r>
      <w:r w:rsidR="0A2A6D68" w:rsidRPr="498DFD66">
        <w:rPr>
          <w:rFonts w:eastAsia="MS Mincho"/>
        </w:rPr>
        <w:t xml:space="preserve"> to be at least</w:t>
      </w:r>
      <w:r w:rsidR="5AB2AA01" w:rsidRPr="498DFD66">
        <w:rPr>
          <w:rFonts w:eastAsia="MS Mincho"/>
        </w:rPr>
        <w:t>:</w:t>
      </w:r>
    </w:p>
    <w:p w14:paraId="5F3429EE" w14:textId="3A49CF4C" w:rsidR="4FD3E5ED" w:rsidRDefault="4FD3E5ED" w:rsidP="6976FE61">
      <w:pPr>
        <w:pStyle w:val="Numberedparagraph"/>
        <w:numPr>
          <w:ilvl w:val="1"/>
          <w:numId w:val="13"/>
        </w:numPr>
        <w:rPr>
          <w:rFonts w:eastAsia="MS Mincho"/>
        </w:rPr>
      </w:pPr>
      <w:r w:rsidRPr="498DFD66">
        <w:rPr>
          <w:rFonts w:eastAsia="MS Mincho"/>
        </w:rPr>
        <w:t>treated with respect</w:t>
      </w:r>
      <w:r w:rsidR="00E533CC">
        <w:rPr>
          <w:rFonts w:eastAsia="MS Mincho"/>
        </w:rPr>
        <w:t xml:space="preserve"> and without discrimination</w:t>
      </w:r>
      <w:r w:rsidR="05EE6A5A" w:rsidRPr="498DFD66">
        <w:rPr>
          <w:rFonts w:eastAsia="MS Mincho"/>
        </w:rPr>
        <w:t>;</w:t>
      </w:r>
    </w:p>
    <w:p w14:paraId="7933AD43" w14:textId="589DF83B" w:rsidR="5AB2AA01" w:rsidRDefault="7581698D" w:rsidP="5254C021">
      <w:pPr>
        <w:pStyle w:val="Numberedparagraph"/>
        <w:numPr>
          <w:ilvl w:val="1"/>
          <w:numId w:val="13"/>
        </w:numPr>
        <w:rPr>
          <w:rFonts w:eastAsia="MS Mincho"/>
        </w:rPr>
      </w:pPr>
      <w:r w:rsidRPr="498DFD66">
        <w:rPr>
          <w:rFonts w:eastAsia="MS Mincho"/>
        </w:rPr>
        <w:t>provide</w:t>
      </w:r>
      <w:r w:rsidR="175B39BA" w:rsidRPr="498DFD66">
        <w:rPr>
          <w:rFonts w:eastAsia="MS Mincho"/>
        </w:rPr>
        <w:t>d with</w:t>
      </w:r>
      <w:r w:rsidR="1EDD42A4" w:rsidRPr="498DFD66">
        <w:rPr>
          <w:rFonts w:eastAsia="MS Mincho"/>
        </w:rPr>
        <w:t xml:space="preserve"> </w:t>
      </w:r>
      <w:r w:rsidR="034DF3EC" w:rsidRPr="498DFD66">
        <w:rPr>
          <w:rFonts w:eastAsia="MS Mincho"/>
        </w:rPr>
        <w:t xml:space="preserve">relevant </w:t>
      </w:r>
      <w:r w:rsidR="1EDD42A4" w:rsidRPr="498DFD66">
        <w:rPr>
          <w:rFonts w:eastAsia="MS Mincho"/>
        </w:rPr>
        <w:t>information</w:t>
      </w:r>
      <w:r w:rsidR="3107B818" w:rsidRPr="498DFD66">
        <w:rPr>
          <w:rFonts w:eastAsia="MS Mincho"/>
        </w:rPr>
        <w:t xml:space="preserve"> in a timely way</w:t>
      </w:r>
      <w:r w:rsidR="00264F3D">
        <w:rPr>
          <w:rFonts w:eastAsia="MS Mincho"/>
        </w:rPr>
        <w:t>, particularly information that might be necessary to protect the victim’s dignity and safety</w:t>
      </w:r>
      <w:r w:rsidR="76897EE9" w:rsidRPr="498DFD66">
        <w:rPr>
          <w:rFonts w:eastAsia="MS Mincho"/>
        </w:rPr>
        <w:t>; and</w:t>
      </w:r>
    </w:p>
    <w:p w14:paraId="186BDFCF" w14:textId="5C2E3ECA" w:rsidR="602057F9" w:rsidRDefault="37B1FB29" w:rsidP="236875FA">
      <w:pPr>
        <w:pStyle w:val="Numberedparagraph"/>
        <w:numPr>
          <w:ilvl w:val="1"/>
          <w:numId w:val="13"/>
        </w:numPr>
        <w:rPr>
          <w:rFonts w:eastAsia="MS Mincho"/>
        </w:rPr>
      </w:pPr>
      <w:r w:rsidRPr="498DFD66">
        <w:rPr>
          <w:rFonts w:eastAsia="MS Mincho"/>
        </w:rPr>
        <w:t xml:space="preserve">able to </w:t>
      </w:r>
      <w:r w:rsidR="5AF97E95" w:rsidRPr="498DFD66">
        <w:rPr>
          <w:rFonts w:eastAsia="MS Mincho"/>
        </w:rPr>
        <w:t xml:space="preserve">meaningfully put forward their views </w:t>
      </w:r>
      <w:r w:rsidR="67DF8538" w:rsidRPr="498DFD66">
        <w:rPr>
          <w:rFonts w:eastAsia="MS Mincho"/>
        </w:rPr>
        <w:t>as part of the process</w:t>
      </w:r>
      <w:r w:rsidR="5AF97E95" w:rsidRPr="498DFD66">
        <w:rPr>
          <w:rFonts w:eastAsia="MS Mincho"/>
        </w:rPr>
        <w:t>, other than as a witness</w:t>
      </w:r>
      <w:r w:rsidR="0028A1B1" w:rsidRPr="498DFD66">
        <w:rPr>
          <w:rFonts w:eastAsia="MS Mincho"/>
        </w:rPr>
        <w:t>.</w:t>
      </w:r>
      <w:r w:rsidR="69A5DC27" w:rsidRPr="498DFD66">
        <w:rPr>
          <w:rFonts w:eastAsia="MS Mincho"/>
        </w:rPr>
        <w:t xml:space="preserve"> </w:t>
      </w:r>
    </w:p>
    <w:p w14:paraId="618E4CEC" w14:textId="32E3015D" w:rsidR="756CFE85" w:rsidRDefault="56C0C4A7" w:rsidP="6152803B">
      <w:pPr>
        <w:pStyle w:val="Numberedparagraph"/>
        <w:rPr>
          <w:rFonts w:ascii="Segoe UI" w:eastAsia="Segoe UI" w:hAnsi="Segoe UI" w:cs="Segoe UI"/>
          <w:color w:val="333333"/>
          <w:sz w:val="18"/>
          <w:szCs w:val="18"/>
        </w:rPr>
      </w:pPr>
      <w:r>
        <w:t>F</w:t>
      </w:r>
      <w:r w:rsidR="637D687E">
        <w:t>amilies</w:t>
      </w:r>
      <w:r w:rsidR="48DB5532">
        <w:t xml:space="preserve"> of victims </w:t>
      </w:r>
      <w:r w:rsidR="263A4697">
        <w:t>wh</w:t>
      </w:r>
      <w:r w:rsidR="19280DD5">
        <w:t xml:space="preserve">o have </w:t>
      </w:r>
      <w:r w:rsidR="263A4697">
        <w:t>died</w:t>
      </w:r>
      <w:r w:rsidR="26A615C4">
        <w:t xml:space="preserve"> or </w:t>
      </w:r>
      <w:r w:rsidR="7570A950">
        <w:t>who</w:t>
      </w:r>
      <w:r w:rsidR="26A615C4">
        <w:t xml:space="preserve"> </w:t>
      </w:r>
      <w:r w:rsidR="7570A950">
        <w:t xml:space="preserve">do </w:t>
      </w:r>
      <w:r w:rsidR="26A615C4">
        <w:t xml:space="preserve">not have legal capacity </w:t>
      </w:r>
      <w:r w:rsidR="62F2623E">
        <w:t xml:space="preserve">should be </w:t>
      </w:r>
      <w:r w:rsidR="2169AFDD">
        <w:t>entitled</w:t>
      </w:r>
      <w:r w:rsidR="62F2623E">
        <w:t xml:space="preserve"> to exercise rights on behalf of the victim</w:t>
      </w:r>
      <w:r w:rsidR="1A5CB761">
        <w:t>, and possibly, given right</w:t>
      </w:r>
      <w:r w:rsidR="005A1AC1">
        <w:t>s</w:t>
      </w:r>
      <w:r w:rsidR="1A5CB761">
        <w:t xml:space="preserve"> to privacy and family, in their own right</w:t>
      </w:r>
      <w:r w:rsidR="1DCF2A72">
        <w:t>.</w:t>
      </w:r>
      <w:r w:rsidR="00A21BF3">
        <w:rPr>
          <w:rStyle w:val="FootnoteReference"/>
        </w:rPr>
        <w:footnoteReference w:id="22"/>
      </w:r>
      <w:r w:rsidR="1A5CB761">
        <w:t xml:space="preserve"> </w:t>
      </w:r>
      <w:r w:rsidR="163136C5">
        <w:t xml:space="preserve"> </w:t>
      </w:r>
    </w:p>
    <w:p w14:paraId="7E39F479" w14:textId="479CD5EC" w:rsidR="24E8A228" w:rsidRDefault="24E8A228" w:rsidP="005A1AC1">
      <w:pPr>
        <w:pStyle w:val="Heading3"/>
      </w:pPr>
      <w:bookmarkStart w:id="16" w:name="_Toc132204348"/>
      <w:r>
        <w:t>Complaint mechanisms under the HR Act</w:t>
      </w:r>
      <w:bookmarkEnd w:id="16"/>
    </w:p>
    <w:p w14:paraId="00CAB19F" w14:textId="136BD225" w:rsidR="24E8A228" w:rsidRDefault="24E8A228" w:rsidP="498DFD66">
      <w:pPr>
        <w:pStyle w:val="Numberedparagraph"/>
      </w:pPr>
      <w:r>
        <w:t>A complaint regarding an alleged contravention of the HR Act must first be made to the public entity.</w:t>
      </w:r>
      <w:r w:rsidR="005A1AC1">
        <w:rPr>
          <w:rStyle w:val="FootnoteReference"/>
        </w:rPr>
        <w:footnoteReference w:id="23"/>
      </w:r>
      <w:r w:rsidR="052E0F8D">
        <w:t xml:space="preserve"> Where the contravention of the HR Act might also be in breach of the Victims Charter, discussed below, this initial complaint </w:t>
      </w:r>
      <w:r w:rsidR="002E6BF5">
        <w:t>can</w:t>
      </w:r>
      <w:r w:rsidR="052E0F8D">
        <w:t xml:space="preserve"> alternatively be made to Victim Assist Queensland. </w:t>
      </w:r>
    </w:p>
    <w:p w14:paraId="6BE2C224" w14:textId="63B86D8C" w:rsidR="24E8A228" w:rsidRDefault="24E8A228" w:rsidP="498DFD66">
      <w:pPr>
        <w:pStyle w:val="Numberedparagraph"/>
        <w:rPr>
          <w:rFonts w:eastAsia="MS Mincho"/>
          <w:szCs w:val="22"/>
        </w:rPr>
      </w:pPr>
      <w:r w:rsidRPr="498DFD66">
        <w:rPr>
          <w:rFonts w:eastAsia="MS Mincho"/>
          <w:szCs w:val="22"/>
        </w:rPr>
        <w:t>If the complaint remains unresolved after 45 business days, a person may make a complaint to the QHRC.</w:t>
      </w:r>
      <w:r w:rsidR="005A1AC1">
        <w:rPr>
          <w:rStyle w:val="FootnoteReference"/>
          <w:rFonts w:eastAsia="MS Mincho"/>
          <w:szCs w:val="22"/>
        </w:rPr>
        <w:footnoteReference w:id="24"/>
      </w:r>
      <w:r w:rsidRPr="498DFD66">
        <w:rPr>
          <w:rFonts w:eastAsia="MS Mincho"/>
          <w:szCs w:val="22"/>
        </w:rPr>
        <w:t xml:space="preserve">  </w:t>
      </w:r>
    </w:p>
    <w:p w14:paraId="0B4BF063" w14:textId="336B7C95" w:rsidR="0DCDD9CA" w:rsidRDefault="0DCDD9CA" w:rsidP="498DFD66">
      <w:pPr>
        <w:pStyle w:val="Numberedparagraph"/>
        <w:rPr>
          <w:rFonts w:eastAsia="MS Mincho"/>
          <w:szCs w:val="22"/>
        </w:rPr>
      </w:pPr>
      <w:r w:rsidRPr="498DFD66">
        <w:rPr>
          <w:rFonts w:eastAsia="MS Mincho"/>
          <w:szCs w:val="22"/>
        </w:rPr>
        <w:t>If the QHRC accepts the complaint, then the QHRC may tak</w:t>
      </w:r>
      <w:r w:rsidR="66DC0D86" w:rsidRPr="498DFD66">
        <w:rPr>
          <w:rFonts w:eastAsia="MS Mincho"/>
          <w:szCs w:val="22"/>
        </w:rPr>
        <w:t>e reasonable action to try and resolve the complaint. This could include making enquiries, asking parties for i</w:t>
      </w:r>
      <w:r w:rsidR="43F54C46" w:rsidRPr="498DFD66">
        <w:rPr>
          <w:rFonts w:eastAsia="MS Mincho"/>
          <w:szCs w:val="22"/>
        </w:rPr>
        <w:t xml:space="preserve">nformation </w:t>
      </w:r>
      <w:r w:rsidR="66DC0D86" w:rsidRPr="498DFD66">
        <w:rPr>
          <w:rFonts w:eastAsia="MS Mincho"/>
          <w:szCs w:val="22"/>
        </w:rPr>
        <w:t xml:space="preserve">or submissions, or </w:t>
      </w:r>
      <w:r w:rsidR="383083C2" w:rsidRPr="498DFD66">
        <w:rPr>
          <w:rFonts w:eastAsia="MS Mincho"/>
          <w:szCs w:val="22"/>
        </w:rPr>
        <w:t>holding a conciliation conference</w:t>
      </w:r>
      <w:r w:rsidR="13148EB5" w:rsidRPr="498DFD66">
        <w:rPr>
          <w:rFonts w:eastAsia="MS Mincho"/>
          <w:szCs w:val="22"/>
        </w:rPr>
        <w:t>.</w:t>
      </w:r>
      <w:r w:rsidR="005A1AC1">
        <w:rPr>
          <w:rStyle w:val="FootnoteReference"/>
          <w:rFonts w:eastAsia="MS Mincho"/>
          <w:szCs w:val="22"/>
        </w:rPr>
        <w:footnoteReference w:id="25"/>
      </w:r>
      <w:r w:rsidR="13148EB5" w:rsidRPr="498DFD66">
        <w:rPr>
          <w:rFonts w:eastAsia="MS Mincho"/>
          <w:szCs w:val="22"/>
        </w:rPr>
        <w:t xml:space="preserve"> </w:t>
      </w:r>
    </w:p>
    <w:p w14:paraId="3976255D" w14:textId="41FBDB0D" w:rsidR="3DE11940" w:rsidRDefault="3DE11940" w:rsidP="498DFD66">
      <w:pPr>
        <w:pStyle w:val="Numberedparagraph"/>
        <w:rPr>
          <w:rFonts w:eastAsia="MS Mincho"/>
          <w:szCs w:val="22"/>
        </w:rPr>
      </w:pPr>
      <w:r w:rsidRPr="498DFD66">
        <w:rPr>
          <w:rFonts w:eastAsia="MS Mincho"/>
          <w:szCs w:val="22"/>
        </w:rPr>
        <w:t xml:space="preserve">Where a complaint cannot be resolved, the QHRC must prepare an unresolved complaint report which may include details of action the QHRC considers the respondent for the complaint should take to ensure its acts and </w:t>
      </w:r>
      <w:r w:rsidR="4FC14528" w:rsidRPr="498DFD66">
        <w:rPr>
          <w:rFonts w:eastAsia="MS Mincho"/>
          <w:szCs w:val="22"/>
        </w:rPr>
        <w:t>decisions are compatible with human rights.</w:t>
      </w:r>
      <w:r w:rsidR="005A1AC1">
        <w:rPr>
          <w:rStyle w:val="FootnoteReference"/>
          <w:rFonts w:eastAsia="MS Mincho"/>
          <w:szCs w:val="22"/>
        </w:rPr>
        <w:footnoteReference w:id="26"/>
      </w:r>
      <w:r w:rsidR="4FC14528" w:rsidRPr="498DFD66">
        <w:rPr>
          <w:rFonts w:eastAsia="MS Mincho"/>
          <w:szCs w:val="22"/>
        </w:rPr>
        <w:t xml:space="preserve"> There is no further action a complainant can take using the HR Act</w:t>
      </w:r>
      <w:r w:rsidR="6270D632" w:rsidRPr="498DFD66">
        <w:rPr>
          <w:rFonts w:eastAsia="MS Mincho"/>
          <w:szCs w:val="22"/>
        </w:rPr>
        <w:t xml:space="preserve"> complaints process</w:t>
      </w:r>
      <w:r w:rsidR="4FC14528" w:rsidRPr="498DFD66">
        <w:rPr>
          <w:rFonts w:eastAsia="MS Mincho"/>
          <w:szCs w:val="22"/>
        </w:rPr>
        <w:t xml:space="preserve">, although they </w:t>
      </w:r>
      <w:r w:rsidR="0BAFF4BD" w:rsidRPr="498DFD66">
        <w:rPr>
          <w:rFonts w:eastAsia="MS Mincho"/>
          <w:szCs w:val="22"/>
        </w:rPr>
        <w:t>may be able to</w:t>
      </w:r>
      <w:r w:rsidR="4FC14528" w:rsidRPr="498DFD66">
        <w:rPr>
          <w:rFonts w:eastAsia="MS Mincho"/>
          <w:szCs w:val="22"/>
        </w:rPr>
        <w:t xml:space="preserve"> </w:t>
      </w:r>
      <w:r w:rsidR="357A4E25" w:rsidRPr="498DFD66">
        <w:rPr>
          <w:rFonts w:eastAsia="MS Mincho"/>
          <w:szCs w:val="22"/>
        </w:rPr>
        <w:t xml:space="preserve">piggy back </w:t>
      </w:r>
      <w:r w:rsidR="2BF83054" w:rsidRPr="498DFD66">
        <w:rPr>
          <w:rFonts w:eastAsia="MS Mincho"/>
          <w:szCs w:val="22"/>
        </w:rPr>
        <w:t>HR Act</w:t>
      </w:r>
      <w:r w:rsidR="357A4E25" w:rsidRPr="498DFD66">
        <w:rPr>
          <w:rFonts w:eastAsia="MS Mincho"/>
          <w:szCs w:val="22"/>
        </w:rPr>
        <w:t xml:space="preserve"> </w:t>
      </w:r>
      <w:r w:rsidR="40C214E5" w:rsidRPr="498DFD66">
        <w:rPr>
          <w:rFonts w:eastAsia="MS Mincho"/>
          <w:szCs w:val="22"/>
        </w:rPr>
        <w:t>ground</w:t>
      </w:r>
      <w:r w:rsidR="357A4E25" w:rsidRPr="498DFD66">
        <w:rPr>
          <w:rFonts w:eastAsia="MS Mincho"/>
          <w:szCs w:val="22"/>
        </w:rPr>
        <w:t xml:space="preserve">s on </w:t>
      </w:r>
      <w:r w:rsidR="0EE3CB52" w:rsidRPr="498DFD66">
        <w:rPr>
          <w:rFonts w:eastAsia="MS Mincho"/>
          <w:szCs w:val="22"/>
        </w:rPr>
        <w:t xml:space="preserve">other </w:t>
      </w:r>
      <w:r w:rsidR="357A4E25" w:rsidRPr="498DFD66">
        <w:rPr>
          <w:rFonts w:eastAsia="MS Mincho"/>
          <w:szCs w:val="22"/>
        </w:rPr>
        <w:t xml:space="preserve">legal proceedings </w:t>
      </w:r>
      <w:r w:rsidR="5D64D751" w:rsidRPr="498DFD66">
        <w:rPr>
          <w:rFonts w:eastAsia="MS Mincho"/>
          <w:szCs w:val="22"/>
        </w:rPr>
        <w:t xml:space="preserve">that the complainant </w:t>
      </w:r>
      <w:r w:rsidR="697F24F7" w:rsidRPr="498DFD66">
        <w:rPr>
          <w:rFonts w:eastAsia="MS Mincho"/>
          <w:szCs w:val="22"/>
        </w:rPr>
        <w:t xml:space="preserve">is </w:t>
      </w:r>
      <w:r w:rsidR="5D64D751" w:rsidRPr="498DFD66">
        <w:rPr>
          <w:rFonts w:eastAsia="MS Mincho"/>
          <w:szCs w:val="22"/>
        </w:rPr>
        <w:t>entitled to commence.</w:t>
      </w:r>
    </w:p>
    <w:p w14:paraId="4147F1F2" w14:textId="1A87BEFD" w:rsidR="003F2299" w:rsidRDefault="003F2299" w:rsidP="001B63D1">
      <w:pPr>
        <w:pStyle w:val="Heading2"/>
      </w:pPr>
      <w:bookmarkStart w:id="17" w:name="_Toc132204349"/>
      <w:r>
        <w:t>Victims</w:t>
      </w:r>
      <w:r w:rsidR="00264F3D">
        <w:t>’</w:t>
      </w:r>
      <w:r>
        <w:t xml:space="preserve"> rights under the </w:t>
      </w:r>
      <w:r w:rsidRPr="00264F3D">
        <w:rPr>
          <w:i/>
        </w:rPr>
        <w:t>Anti-Discrimination Act</w:t>
      </w:r>
      <w:bookmarkEnd w:id="17"/>
      <w:r>
        <w:t xml:space="preserve"> </w:t>
      </w:r>
    </w:p>
    <w:p w14:paraId="0019B1E0" w14:textId="77777777" w:rsidR="003F2299" w:rsidRDefault="003F2299" w:rsidP="003F2299">
      <w:pPr>
        <w:pStyle w:val="Numberedparagraph"/>
      </w:pPr>
      <w:r>
        <w:t xml:space="preserve">All people have obligations under the AD Act, which makes </w:t>
      </w:r>
      <w:r w:rsidRPr="00264F3D">
        <w:t>unfair</w:t>
      </w:r>
      <w:r>
        <w:t xml:space="preserve"> discrimination, sexual harassment, vilification, and victimisation unlawful in Queensland.</w:t>
      </w:r>
    </w:p>
    <w:p w14:paraId="742C6705" w14:textId="3F4B15C6" w:rsidR="003F2299" w:rsidRDefault="003F2299" w:rsidP="003F2299">
      <w:pPr>
        <w:pStyle w:val="Numberedparagraph"/>
      </w:pPr>
      <w:r>
        <w:t>The</w:t>
      </w:r>
      <w:r w:rsidR="3F5F1E05">
        <w:t xml:space="preserve"> AD</w:t>
      </w:r>
      <w:r>
        <w:t xml:space="preserve"> Act </w:t>
      </w:r>
      <w:r w:rsidR="601EE69D">
        <w:t xml:space="preserve">prohibits discrimination on the basis of </w:t>
      </w:r>
      <w:r w:rsidR="6CFB204F">
        <w:t xml:space="preserve">16 </w:t>
      </w:r>
      <w:r w:rsidR="601EE69D">
        <w:t xml:space="preserve">attributes in </w:t>
      </w:r>
      <w:r w:rsidR="0AA98B56">
        <w:t>certain areas of activity, including in the administration of state laws and programs</w:t>
      </w:r>
      <w:r w:rsidR="00264F3D">
        <w:t xml:space="preserve"> and in the provision of goods and services</w:t>
      </w:r>
      <w:r>
        <w:t xml:space="preserve">. </w:t>
      </w:r>
      <w:r w:rsidR="5F4EFCAF">
        <w:t xml:space="preserve">Discrimination occurs where a person </w:t>
      </w:r>
      <w:r w:rsidR="336421A7">
        <w:t xml:space="preserve">with a protected attribute is treated less favourably than a person without the attribute would be treated in circumstances that are the same or not materially different. </w:t>
      </w:r>
      <w:r w:rsidR="0CD42FFE">
        <w:t xml:space="preserve">Discrimination also occurs where </w:t>
      </w:r>
      <w:r w:rsidR="18316036">
        <w:t>uniform treatment results in a discriminatory impact for persons with a protected attribute – this is known as indirect discrimination.</w:t>
      </w:r>
    </w:p>
    <w:p w14:paraId="515D3199" w14:textId="42C98125" w:rsidR="003F2299" w:rsidRPr="003C1017" w:rsidRDefault="0CC9252B" w:rsidP="003C1017">
      <w:pPr>
        <w:pStyle w:val="Numberedparagraph"/>
        <w:rPr>
          <w:rStyle w:val="normaltextrun"/>
          <w:rFonts w:eastAsia="MS Mincho"/>
          <w:szCs w:val="22"/>
        </w:rPr>
      </w:pPr>
      <w:r w:rsidRPr="498DFD66">
        <w:rPr>
          <w:rFonts w:eastAsia="MS Mincho"/>
        </w:rPr>
        <w:t xml:space="preserve">Unlawful discrimination may arise in the course of a victim’s dealings with various criminal justice entities. </w:t>
      </w:r>
      <w:r w:rsidR="00264F3D">
        <w:rPr>
          <w:rFonts w:eastAsia="MS Mincho"/>
        </w:rPr>
        <w:t xml:space="preserve">Discrimination can occur if a victim who does not speak English is not provided with an interpreter, a person with intellectual disability is </w:t>
      </w:r>
      <w:r w:rsidR="003C1017">
        <w:rPr>
          <w:rFonts w:eastAsia="MS Mincho"/>
        </w:rPr>
        <w:t xml:space="preserve">unable to have </w:t>
      </w:r>
      <w:r w:rsidR="00264F3D">
        <w:rPr>
          <w:rFonts w:eastAsia="MS Mincho"/>
        </w:rPr>
        <w:t xml:space="preserve">a support person, or a victim </w:t>
      </w:r>
      <w:r w:rsidR="003C1017">
        <w:rPr>
          <w:rFonts w:eastAsia="MS Mincho"/>
        </w:rPr>
        <w:t xml:space="preserve">from a particular racial background </w:t>
      </w:r>
      <w:r w:rsidR="00264F3D">
        <w:rPr>
          <w:rFonts w:eastAsia="MS Mincho"/>
        </w:rPr>
        <w:t xml:space="preserve">is asked culturally inappropriate questions. </w:t>
      </w:r>
      <w:r w:rsidR="003F2299" w:rsidRPr="003C1017">
        <w:rPr>
          <w:rStyle w:val="normaltextrun"/>
          <w:lang w:val="en-GB"/>
        </w:rPr>
        <w:t xml:space="preserve">In one discrimination matter, Queensland Police Service </w:t>
      </w:r>
      <w:r w:rsidR="002B63B4">
        <w:rPr>
          <w:rStyle w:val="normaltextrun"/>
          <w:lang w:val="en-GB"/>
        </w:rPr>
        <w:t>did not</w:t>
      </w:r>
      <w:r w:rsidR="003F2299" w:rsidRPr="003C1017">
        <w:rPr>
          <w:rStyle w:val="normaltextrun"/>
          <w:lang w:val="en-GB"/>
        </w:rPr>
        <w:t xml:space="preserve"> provide an </w:t>
      </w:r>
      <w:proofErr w:type="spellStart"/>
      <w:r w:rsidR="003F2299" w:rsidRPr="003C1017">
        <w:rPr>
          <w:rStyle w:val="normaltextrun"/>
          <w:lang w:val="en-GB"/>
        </w:rPr>
        <w:t>Auslan</w:t>
      </w:r>
      <w:proofErr w:type="spellEnd"/>
      <w:r w:rsidR="003F2299" w:rsidRPr="003C1017">
        <w:rPr>
          <w:rStyle w:val="normaltextrun"/>
          <w:lang w:val="en-GB"/>
        </w:rPr>
        <w:t xml:space="preserve"> interpreter</w:t>
      </w:r>
      <w:r w:rsidR="002B63B4">
        <w:rPr>
          <w:rStyle w:val="normaltextrun"/>
          <w:lang w:val="en-GB"/>
        </w:rPr>
        <w:t xml:space="preserve"> to a woman with a hearing </w:t>
      </w:r>
      <w:r w:rsidR="00CE5F44">
        <w:rPr>
          <w:rStyle w:val="normaltextrun"/>
          <w:lang w:val="en-GB"/>
        </w:rPr>
        <w:t>impairment and did not take her internal complaint</w:t>
      </w:r>
      <w:r w:rsidR="003F2299" w:rsidRPr="003C1017">
        <w:rPr>
          <w:rStyle w:val="normaltextrun"/>
          <w:lang w:val="en-GB"/>
        </w:rPr>
        <w:t xml:space="preserve"> seriously.</w:t>
      </w:r>
      <w:r w:rsidR="003F2299" w:rsidRPr="30EDE313">
        <w:rPr>
          <w:rStyle w:val="FootnoteReference"/>
          <w:lang w:val="en-GB"/>
        </w:rPr>
        <w:footnoteReference w:id="27"/>
      </w:r>
    </w:p>
    <w:p w14:paraId="4B582BD8" w14:textId="2111FEDB" w:rsidR="69E19649" w:rsidRDefault="003C1017" w:rsidP="69E19649">
      <w:pPr>
        <w:pStyle w:val="Numberedparagraph"/>
        <w:rPr>
          <w:rStyle w:val="normaltextrun"/>
          <w:rFonts w:eastAsia="MS Mincho"/>
          <w:szCs w:val="22"/>
          <w:lang w:val="en-GB"/>
        </w:rPr>
      </w:pPr>
      <w:r>
        <w:rPr>
          <w:rStyle w:val="normaltextrun"/>
          <w:rFonts w:eastAsia="MS Mincho"/>
          <w:lang w:val="en-GB"/>
        </w:rPr>
        <w:t>Further, a</w:t>
      </w:r>
      <w:r w:rsidR="0762DAE2" w:rsidRPr="724BFF48">
        <w:rPr>
          <w:rStyle w:val="normaltextrun"/>
          <w:rFonts w:eastAsia="MS Mincho"/>
          <w:lang w:val="en-GB"/>
        </w:rPr>
        <w:t xml:space="preserve"> person who alleges contravention of the AD </w:t>
      </w:r>
      <w:r w:rsidR="11F3A58A" w:rsidRPr="724BFF48">
        <w:rPr>
          <w:rStyle w:val="normaltextrun"/>
          <w:rFonts w:eastAsia="MS Mincho"/>
          <w:lang w:val="en-GB"/>
        </w:rPr>
        <w:t>Act in good faith</w:t>
      </w:r>
      <w:r w:rsidR="0762DAE2" w:rsidRPr="724BFF48">
        <w:rPr>
          <w:rStyle w:val="normaltextrun"/>
          <w:rFonts w:eastAsia="MS Mincho"/>
          <w:lang w:val="en-GB"/>
        </w:rPr>
        <w:t>, or proposes to be involved in proceedings under the AD Act</w:t>
      </w:r>
      <w:r>
        <w:rPr>
          <w:rStyle w:val="normaltextrun"/>
          <w:rFonts w:eastAsia="MS Mincho"/>
          <w:lang w:val="en-GB"/>
        </w:rPr>
        <w:t>,</w:t>
      </w:r>
      <w:r w:rsidR="0762DAE2" w:rsidRPr="724BFF48">
        <w:rPr>
          <w:rStyle w:val="normaltextrun"/>
          <w:rFonts w:eastAsia="MS Mincho"/>
          <w:lang w:val="en-GB"/>
        </w:rPr>
        <w:t xml:space="preserve"> </w:t>
      </w:r>
      <w:r w:rsidR="77434D77" w:rsidRPr="724BFF48">
        <w:rPr>
          <w:rStyle w:val="normaltextrun"/>
          <w:rFonts w:eastAsia="MS Mincho"/>
          <w:lang w:val="en-GB"/>
        </w:rPr>
        <w:t>must not be victimised because of their actions.</w:t>
      </w:r>
      <w:r w:rsidR="0762DAE2" w:rsidRPr="003C1017">
        <w:rPr>
          <w:rStyle w:val="normaltextrun"/>
          <w:rFonts w:eastAsia="MS Mincho"/>
          <w:vertAlign w:val="superscript"/>
          <w:lang w:val="en-GB"/>
        </w:rPr>
        <w:footnoteReference w:id="28"/>
      </w:r>
      <w:r w:rsidR="77434D77" w:rsidRPr="724BFF48">
        <w:rPr>
          <w:rStyle w:val="normaltextrun"/>
          <w:rFonts w:eastAsia="MS Mincho"/>
          <w:lang w:val="en-GB"/>
        </w:rPr>
        <w:t xml:space="preserve"> </w:t>
      </w:r>
    </w:p>
    <w:p w14:paraId="06323F34" w14:textId="4873E3FA" w:rsidR="772D37D1" w:rsidRDefault="772D37D1" w:rsidP="00264F3D">
      <w:pPr>
        <w:pStyle w:val="Heading3"/>
      </w:pPr>
      <w:bookmarkStart w:id="18" w:name="_Toc132204350"/>
      <w:r w:rsidRPr="498DFD66">
        <w:t>Complaints mechanisms under the AD Act</w:t>
      </w:r>
      <w:bookmarkEnd w:id="18"/>
    </w:p>
    <w:p w14:paraId="38C8FFC9" w14:textId="2FE3E63F" w:rsidR="32D1BF83" w:rsidRDefault="03945CA2" w:rsidP="498DFD66">
      <w:pPr>
        <w:pStyle w:val="Numberedparagraph"/>
        <w:rPr>
          <w:rFonts w:eastAsia="MS Mincho"/>
        </w:rPr>
      </w:pPr>
      <w:r w:rsidRPr="498DFD66">
        <w:rPr>
          <w:rFonts w:eastAsia="MS Mincho"/>
        </w:rPr>
        <w:t>Complaints under the AD Act must first be made to the QHRC.</w:t>
      </w:r>
    </w:p>
    <w:p w14:paraId="32C18D67" w14:textId="21483C7A" w:rsidR="17E32FD4" w:rsidRDefault="17E32FD4" w:rsidP="498DFD66">
      <w:pPr>
        <w:pStyle w:val="Numberedparagraph"/>
        <w:rPr>
          <w:rFonts w:eastAsia="MS Mincho"/>
          <w:szCs w:val="22"/>
        </w:rPr>
      </w:pPr>
      <w:r w:rsidRPr="498DFD66">
        <w:rPr>
          <w:rFonts w:eastAsia="MS Mincho"/>
          <w:szCs w:val="22"/>
        </w:rPr>
        <w:t xml:space="preserve">If the complaint is accepted by the QHRC, then </w:t>
      </w:r>
      <w:r w:rsidR="32E50A8C" w:rsidRPr="498DFD66">
        <w:rPr>
          <w:rFonts w:eastAsia="MS Mincho"/>
          <w:szCs w:val="22"/>
        </w:rPr>
        <w:t>general</w:t>
      </w:r>
      <w:r w:rsidR="47CDCF6F" w:rsidRPr="498DFD66">
        <w:rPr>
          <w:rFonts w:eastAsia="MS Mincho"/>
          <w:szCs w:val="22"/>
        </w:rPr>
        <w:t xml:space="preserve">ly the parties are directed to attend a conciliation conference. </w:t>
      </w:r>
      <w:r w:rsidR="25FEF578" w:rsidRPr="498DFD66">
        <w:rPr>
          <w:rFonts w:eastAsia="MS Mincho"/>
          <w:szCs w:val="22"/>
        </w:rPr>
        <w:t xml:space="preserve">  </w:t>
      </w:r>
      <w:r w:rsidR="73C32396" w:rsidRPr="498DFD66">
        <w:rPr>
          <w:rFonts w:eastAsia="MS Mincho"/>
          <w:szCs w:val="22"/>
        </w:rPr>
        <w:t xml:space="preserve">If the </w:t>
      </w:r>
      <w:r w:rsidR="65C52739" w:rsidRPr="498DFD66">
        <w:rPr>
          <w:rFonts w:eastAsia="MS Mincho"/>
          <w:szCs w:val="22"/>
        </w:rPr>
        <w:t xml:space="preserve">complaint </w:t>
      </w:r>
      <w:r w:rsidR="73C32396" w:rsidRPr="498DFD66">
        <w:rPr>
          <w:rFonts w:eastAsia="MS Mincho"/>
          <w:szCs w:val="22"/>
        </w:rPr>
        <w:t xml:space="preserve">is not resolved by conciliation then the complainant may </w:t>
      </w:r>
      <w:r w:rsidR="710CEDF9" w:rsidRPr="498DFD66">
        <w:rPr>
          <w:rFonts w:eastAsia="MS Mincho"/>
          <w:szCs w:val="22"/>
        </w:rPr>
        <w:t xml:space="preserve">require the QHRC to refer </w:t>
      </w:r>
      <w:r w:rsidR="451799D2" w:rsidRPr="498DFD66">
        <w:rPr>
          <w:rFonts w:eastAsia="MS Mincho"/>
          <w:szCs w:val="22"/>
        </w:rPr>
        <w:t>t</w:t>
      </w:r>
      <w:r w:rsidR="73C32396" w:rsidRPr="498DFD66">
        <w:rPr>
          <w:rFonts w:eastAsia="MS Mincho"/>
          <w:szCs w:val="22"/>
        </w:rPr>
        <w:t>he complaint to a tribunal for determination.</w:t>
      </w:r>
      <w:r w:rsidR="003C1017">
        <w:rPr>
          <w:rStyle w:val="FootnoteReference"/>
          <w:rFonts w:eastAsia="MS Mincho"/>
          <w:szCs w:val="22"/>
        </w:rPr>
        <w:footnoteReference w:id="29"/>
      </w:r>
      <w:r w:rsidR="73C32396" w:rsidRPr="498DFD66">
        <w:rPr>
          <w:rFonts w:eastAsia="MS Mincho"/>
          <w:szCs w:val="22"/>
        </w:rPr>
        <w:t xml:space="preserve"> </w:t>
      </w:r>
    </w:p>
    <w:p w14:paraId="463A4AE1" w14:textId="4D78D641" w:rsidR="36C73304" w:rsidRDefault="36C73304" w:rsidP="498DFD66">
      <w:pPr>
        <w:pStyle w:val="Numberedparagraph"/>
        <w:rPr>
          <w:rFonts w:eastAsia="MS Mincho"/>
          <w:szCs w:val="22"/>
        </w:rPr>
      </w:pPr>
      <w:r w:rsidRPr="498DFD66">
        <w:rPr>
          <w:rFonts w:eastAsia="MS Mincho"/>
          <w:szCs w:val="22"/>
        </w:rPr>
        <w:t xml:space="preserve">Where a complaint is </w:t>
      </w:r>
      <w:r w:rsidR="249BD41C" w:rsidRPr="498DFD66">
        <w:rPr>
          <w:rFonts w:eastAsia="MS Mincho"/>
          <w:szCs w:val="22"/>
        </w:rPr>
        <w:t xml:space="preserve">made </w:t>
      </w:r>
      <w:r w:rsidRPr="498DFD66">
        <w:rPr>
          <w:rFonts w:eastAsia="MS Mincho"/>
          <w:szCs w:val="22"/>
        </w:rPr>
        <w:t>aga</w:t>
      </w:r>
      <w:r w:rsidR="139F00FB" w:rsidRPr="498DFD66">
        <w:rPr>
          <w:rFonts w:eastAsia="MS Mincho"/>
          <w:szCs w:val="22"/>
        </w:rPr>
        <w:t xml:space="preserve">inst a public entity and </w:t>
      </w:r>
      <w:r w:rsidRPr="498DFD66">
        <w:rPr>
          <w:rFonts w:eastAsia="MS Mincho"/>
          <w:szCs w:val="22"/>
        </w:rPr>
        <w:t xml:space="preserve">alleges </w:t>
      </w:r>
      <w:r w:rsidR="3C2C9582" w:rsidRPr="498DFD66">
        <w:rPr>
          <w:rFonts w:eastAsia="MS Mincho"/>
          <w:szCs w:val="22"/>
        </w:rPr>
        <w:t>contraventions of both</w:t>
      </w:r>
      <w:r w:rsidRPr="498DFD66">
        <w:rPr>
          <w:rFonts w:eastAsia="MS Mincho"/>
          <w:szCs w:val="22"/>
        </w:rPr>
        <w:t xml:space="preserve"> the AD Act and the HR Act, then complainants often elect to make the </w:t>
      </w:r>
      <w:r w:rsidR="27373DF2" w:rsidRPr="498DFD66">
        <w:rPr>
          <w:rFonts w:eastAsia="MS Mincho"/>
          <w:szCs w:val="22"/>
        </w:rPr>
        <w:t xml:space="preserve">complaint under the AD Act because </w:t>
      </w:r>
      <w:r w:rsidR="42932BE6" w:rsidRPr="498DFD66">
        <w:rPr>
          <w:rFonts w:eastAsia="MS Mincho"/>
          <w:szCs w:val="22"/>
        </w:rPr>
        <w:t>of the abil</w:t>
      </w:r>
      <w:r w:rsidR="7AD17AB3" w:rsidRPr="498DFD66">
        <w:rPr>
          <w:rFonts w:eastAsia="MS Mincho"/>
          <w:szCs w:val="22"/>
        </w:rPr>
        <w:t>it</w:t>
      </w:r>
      <w:r w:rsidR="42932BE6" w:rsidRPr="498DFD66">
        <w:rPr>
          <w:rFonts w:eastAsia="MS Mincho"/>
          <w:szCs w:val="22"/>
        </w:rPr>
        <w:t xml:space="preserve">y to have the complaint </w:t>
      </w:r>
      <w:r w:rsidR="27373DF2" w:rsidRPr="498DFD66">
        <w:rPr>
          <w:rFonts w:eastAsia="MS Mincho"/>
          <w:szCs w:val="22"/>
        </w:rPr>
        <w:t>referred to the tribunal for a</w:t>
      </w:r>
      <w:r w:rsidR="5B27A3E1" w:rsidRPr="498DFD66">
        <w:rPr>
          <w:rFonts w:eastAsia="MS Mincho"/>
          <w:szCs w:val="22"/>
        </w:rPr>
        <w:t>n enforceable</w:t>
      </w:r>
      <w:r w:rsidR="27373DF2" w:rsidRPr="498DFD66">
        <w:rPr>
          <w:rFonts w:eastAsia="MS Mincho"/>
          <w:szCs w:val="22"/>
        </w:rPr>
        <w:t xml:space="preserve"> decision</w:t>
      </w:r>
      <w:r w:rsidR="3AA12C3F" w:rsidRPr="498DFD66">
        <w:rPr>
          <w:rFonts w:eastAsia="MS Mincho"/>
          <w:szCs w:val="22"/>
        </w:rPr>
        <w:t xml:space="preserve">. Such a complaint will commonly </w:t>
      </w:r>
      <w:r w:rsidR="0008293D">
        <w:rPr>
          <w:rFonts w:eastAsia="MS Mincho"/>
          <w:szCs w:val="22"/>
        </w:rPr>
        <w:t>‘</w:t>
      </w:r>
      <w:r w:rsidR="3AA12C3F" w:rsidRPr="498DFD66">
        <w:rPr>
          <w:rFonts w:eastAsia="MS Mincho"/>
          <w:szCs w:val="22"/>
        </w:rPr>
        <w:t>piggy back</w:t>
      </w:r>
      <w:r w:rsidR="0008293D">
        <w:rPr>
          <w:rFonts w:eastAsia="MS Mincho"/>
          <w:szCs w:val="22"/>
        </w:rPr>
        <w:t>’</w:t>
      </w:r>
      <w:r w:rsidR="3AA12C3F" w:rsidRPr="498DFD66">
        <w:rPr>
          <w:rFonts w:eastAsia="MS Mincho"/>
          <w:szCs w:val="22"/>
        </w:rPr>
        <w:t xml:space="preserve"> </w:t>
      </w:r>
      <w:r w:rsidR="353188D4" w:rsidRPr="498DFD66">
        <w:rPr>
          <w:rFonts w:eastAsia="MS Mincho"/>
          <w:szCs w:val="22"/>
        </w:rPr>
        <w:t>grounds under the HR Act which can also be determined by the tribunal.</w:t>
      </w:r>
      <w:r w:rsidR="00A21BF3">
        <w:rPr>
          <w:rStyle w:val="FootnoteReference"/>
          <w:rFonts w:eastAsia="MS Mincho"/>
          <w:szCs w:val="22"/>
        </w:rPr>
        <w:footnoteReference w:id="30"/>
      </w:r>
      <w:r w:rsidR="353188D4" w:rsidRPr="498DFD66">
        <w:rPr>
          <w:rFonts w:eastAsia="MS Mincho"/>
          <w:szCs w:val="22"/>
        </w:rPr>
        <w:t xml:space="preserve"> </w:t>
      </w:r>
      <w:r w:rsidR="6770E6E0" w:rsidRPr="498DFD66">
        <w:rPr>
          <w:rFonts w:eastAsia="MS Mincho"/>
          <w:szCs w:val="22"/>
        </w:rPr>
        <w:t xml:space="preserve"> </w:t>
      </w:r>
    </w:p>
    <w:p w14:paraId="06DEA715" w14:textId="02079AFF" w:rsidR="003F2299" w:rsidRPr="006C21E6" w:rsidRDefault="003F2299" w:rsidP="003F2299">
      <w:pPr>
        <w:pStyle w:val="Heading2"/>
      </w:pPr>
      <w:bookmarkStart w:id="19" w:name="_Toc132204351"/>
      <w:r>
        <w:t>Victims</w:t>
      </w:r>
      <w:r w:rsidR="006A12A0">
        <w:t>’</w:t>
      </w:r>
      <w:r>
        <w:t xml:space="preserve"> rights under the Victims Charter</w:t>
      </w:r>
      <w:bookmarkEnd w:id="19"/>
    </w:p>
    <w:p w14:paraId="11A6E9D5" w14:textId="55CB5E3B" w:rsidR="003F2299" w:rsidRDefault="003F2299" w:rsidP="003F2299">
      <w:pPr>
        <w:pStyle w:val="Numberedparagraph"/>
      </w:pPr>
      <w:r>
        <w:t xml:space="preserve">As the public briefing material notes, the </w:t>
      </w:r>
      <w:r w:rsidR="007C52A9">
        <w:t>Victims Charter</w:t>
      </w:r>
      <w:r w:rsidR="3CB7BD18">
        <w:t xml:space="preserve"> </w:t>
      </w:r>
      <w:r>
        <w:t>describes the way victims can expect to be treated by Queensland Government</w:t>
      </w:r>
      <w:r w:rsidR="007C52A9">
        <w:t xml:space="preserve"> and</w:t>
      </w:r>
      <w:r>
        <w:t xml:space="preserve"> non-government </w:t>
      </w:r>
      <w:r w:rsidR="007C52A9">
        <w:t xml:space="preserve">entities </w:t>
      </w:r>
      <w:r w:rsidR="3CB7BD18">
        <w:t>that</w:t>
      </w:r>
      <w:r>
        <w:t xml:space="preserve"> provide services to victims of crime, including the right to be treated with respect, courtesy, compassion, and dignity</w:t>
      </w:r>
      <w:r w:rsidR="52653C66">
        <w:t>, taking into account the victim’s needs</w:t>
      </w:r>
      <w:r w:rsidR="3CB7BD18">
        <w:t>.</w:t>
      </w:r>
      <w:r>
        <w:rPr>
          <w:rStyle w:val="FootnoteReference"/>
        </w:rPr>
        <w:footnoteReference w:id="31"/>
      </w:r>
      <w:r w:rsidR="4E815180">
        <w:t xml:space="preserve"> </w:t>
      </w:r>
    </w:p>
    <w:p w14:paraId="110A948E" w14:textId="76FD89D3" w:rsidR="786CF9D6" w:rsidRDefault="786CF9D6" w:rsidP="2525869E">
      <w:pPr>
        <w:pStyle w:val="Numberedparagraph"/>
        <w:rPr>
          <w:rFonts w:eastAsia="MS Mincho"/>
        </w:rPr>
      </w:pPr>
      <w:r w:rsidRPr="498DFD66">
        <w:rPr>
          <w:rFonts w:eastAsia="MS Mincho"/>
        </w:rPr>
        <w:t xml:space="preserve">The </w:t>
      </w:r>
      <w:r w:rsidR="008F137A">
        <w:rPr>
          <w:rFonts w:eastAsia="MS Mincho"/>
        </w:rPr>
        <w:t xml:space="preserve">Victims </w:t>
      </w:r>
      <w:r w:rsidRPr="498DFD66">
        <w:rPr>
          <w:rFonts w:eastAsia="MS Mincho"/>
        </w:rPr>
        <w:t>Charter</w:t>
      </w:r>
      <w:r w:rsidR="70EB17CF" w:rsidRPr="498DFD66">
        <w:rPr>
          <w:rFonts w:eastAsia="MS Mincho"/>
        </w:rPr>
        <w:t xml:space="preserve"> </w:t>
      </w:r>
      <w:r w:rsidR="470BCE98" w:rsidRPr="498DFD66">
        <w:rPr>
          <w:rFonts w:eastAsia="MS Mincho"/>
        </w:rPr>
        <w:t>detail</w:t>
      </w:r>
      <w:r w:rsidR="5EA13501" w:rsidRPr="498DFD66">
        <w:rPr>
          <w:rFonts w:eastAsia="MS Mincho"/>
        </w:rPr>
        <w:t>s</w:t>
      </w:r>
      <w:r w:rsidR="70EB17CF" w:rsidRPr="498DFD66">
        <w:rPr>
          <w:rFonts w:eastAsia="MS Mincho"/>
        </w:rPr>
        <w:t xml:space="preserve"> the types of information the victim can expect to receive, including each major decision made about the prosecution of a person accused of committing the crime, and </w:t>
      </w:r>
      <w:r w:rsidR="7B734C95" w:rsidRPr="498DFD66">
        <w:rPr>
          <w:rFonts w:eastAsia="MS Mincho"/>
        </w:rPr>
        <w:t xml:space="preserve">the name, details of arrest and </w:t>
      </w:r>
      <w:r w:rsidR="7ADA6A51" w:rsidRPr="498DFD66">
        <w:rPr>
          <w:rFonts w:eastAsia="MS Mincho"/>
        </w:rPr>
        <w:t>progress of</w:t>
      </w:r>
      <w:r w:rsidR="7B734C95" w:rsidRPr="498DFD66">
        <w:rPr>
          <w:rFonts w:eastAsia="MS Mincho"/>
        </w:rPr>
        <w:t xml:space="preserve"> court proceedings for that person. </w:t>
      </w:r>
      <w:r w:rsidR="562D2E62" w:rsidRPr="6BDCF5F7">
        <w:rPr>
          <w:rFonts w:eastAsia="MS Mincho"/>
        </w:rPr>
        <w:t xml:space="preserve">It also </w:t>
      </w:r>
      <w:r w:rsidR="49F19373" w:rsidRPr="6BDCF5F7">
        <w:rPr>
          <w:rFonts w:eastAsia="MS Mincho"/>
        </w:rPr>
        <w:t xml:space="preserve">states victims will be protected </w:t>
      </w:r>
      <w:r w:rsidR="49F19373" w:rsidRPr="32ED54FB">
        <w:rPr>
          <w:rFonts w:eastAsia="MS Mincho"/>
        </w:rPr>
        <w:t xml:space="preserve">from unnecessary contact with the accused, and victims </w:t>
      </w:r>
      <w:r w:rsidR="49F19373" w:rsidRPr="707D4375">
        <w:rPr>
          <w:rFonts w:eastAsia="MS Mincho"/>
        </w:rPr>
        <w:t xml:space="preserve">can </w:t>
      </w:r>
      <w:r w:rsidR="49F19373" w:rsidRPr="00AE2CD1">
        <w:rPr>
          <w:rFonts w:eastAsia="MS Mincho"/>
        </w:rPr>
        <w:t>make a victim impact</w:t>
      </w:r>
      <w:r w:rsidR="49F19373" w:rsidRPr="5A075296">
        <w:rPr>
          <w:rFonts w:eastAsia="MS Mincho"/>
        </w:rPr>
        <w:t xml:space="preserve"> statement for consideration during sentencing</w:t>
      </w:r>
      <w:r w:rsidR="49F19373" w:rsidRPr="58C7DB19">
        <w:rPr>
          <w:rFonts w:eastAsia="MS Mincho"/>
        </w:rPr>
        <w:t xml:space="preserve"> of a person</w:t>
      </w:r>
      <w:r w:rsidR="49F19373" w:rsidRPr="6AA6FF97">
        <w:rPr>
          <w:rFonts w:eastAsia="MS Mincho"/>
        </w:rPr>
        <w:t xml:space="preserve">. </w:t>
      </w:r>
    </w:p>
    <w:p w14:paraId="67F4258C" w14:textId="2DF29CE0" w:rsidR="4471D6C7" w:rsidRDefault="2124A99E" w:rsidP="342E403D">
      <w:pPr>
        <w:pStyle w:val="Numberedparagraph"/>
        <w:rPr>
          <w:rFonts w:eastAsia="MS Mincho"/>
        </w:rPr>
      </w:pPr>
      <w:r w:rsidRPr="342E403D">
        <w:rPr>
          <w:rFonts w:eastAsia="MS Mincho"/>
        </w:rPr>
        <w:t xml:space="preserve">The rights under the </w:t>
      </w:r>
      <w:r w:rsidR="008F137A">
        <w:rPr>
          <w:rFonts w:eastAsia="MS Mincho"/>
        </w:rPr>
        <w:t xml:space="preserve">Victims </w:t>
      </w:r>
      <w:r w:rsidRPr="342E403D">
        <w:rPr>
          <w:rFonts w:eastAsia="MS Mincho"/>
        </w:rPr>
        <w:t>Charter also belong to family members and dependants of a person who has died or suffered harm because a crime was committed against them, and to a person who has suffered harm as a direct result of trying to help a victim of crime.</w:t>
      </w:r>
      <w:r w:rsidR="4471D6C7" w:rsidRPr="008F137A">
        <w:rPr>
          <w:rFonts w:eastAsia="MS Mincho"/>
          <w:vertAlign w:val="superscript"/>
        </w:rPr>
        <w:footnoteReference w:id="32"/>
      </w:r>
    </w:p>
    <w:p w14:paraId="775A14EB" w14:textId="7E748F12" w:rsidR="1506ECAE" w:rsidRPr="00290B4D" w:rsidRDefault="1506ECAE" w:rsidP="5254C021">
      <w:pPr>
        <w:pStyle w:val="Numberedparagraph"/>
        <w:rPr>
          <w:rStyle w:val="FootnoteReference"/>
          <w:rFonts w:eastAsia="MS Mincho"/>
          <w:szCs w:val="22"/>
          <w:vertAlign w:val="baseline"/>
        </w:rPr>
      </w:pPr>
      <w:r w:rsidRPr="00290B4D">
        <w:rPr>
          <w:rStyle w:val="FootnoteReference"/>
          <w:rFonts w:eastAsia="MS Mincho"/>
          <w:szCs w:val="22"/>
          <w:vertAlign w:val="baseline"/>
        </w:rPr>
        <w:t xml:space="preserve">Victims have a right to make a complaint about conduct that is inconsistent with the </w:t>
      </w:r>
      <w:r w:rsidR="009F7C2B">
        <w:rPr>
          <w:rFonts w:eastAsia="MS Mincho"/>
          <w:szCs w:val="22"/>
        </w:rPr>
        <w:t xml:space="preserve">Victims </w:t>
      </w:r>
      <w:r w:rsidR="56086CAD" w:rsidRPr="00290B4D">
        <w:rPr>
          <w:rStyle w:val="FootnoteReference"/>
          <w:rFonts w:eastAsia="MS Mincho"/>
          <w:szCs w:val="22"/>
          <w:vertAlign w:val="baseline"/>
        </w:rPr>
        <w:t>C</w:t>
      </w:r>
      <w:r w:rsidRPr="00290B4D">
        <w:rPr>
          <w:rStyle w:val="FootnoteReference"/>
          <w:rFonts w:eastAsia="MS Mincho"/>
          <w:szCs w:val="22"/>
          <w:vertAlign w:val="baseline"/>
        </w:rPr>
        <w:t>harter to the entity they consider has breached their charter rights. Once a complaint is received, the entity must inform the victim of the process and take all reasonable steps to resolve the complaint as soon as reasonably practicable.</w:t>
      </w:r>
      <w:r w:rsidRPr="009106F9">
        <w:rPr>
          <w:rStyle w:val="FootnoteReference"/>
          <w:rFonts w:eastAsia="MS Mincho"/>
          <w:szCs w:val="22"/>
        </w:rPr>
        <w:footnoteReference w:id="33"/>
      </w:r>
      <w:r w:rsidR="5B5EC241" w:rsidRPr="009106F9">
        <w:rPr>
          <w:rStyle w:val="FootnoteReference"/>
          <w:rFonts w:eastAsia="MS Mincho"/>
          <w:szCs w:val="22"/>
        </w:rPr>
        <w:t xml:space="preserve"> </w:t>
      </w:r>
      <w:r w:rsidR="5B5EC241" w:rsidRPr="00290B4D">
        <w:rPr>
          <w:rStyle w:val="FootnoteReference"/>
          <w:rFonts w:eastAsia="MS Mincho"/>
          <w:szCs w:val="22"/>
          <w:vertAlign w:val="baseline"/>
        </w:rPr>
        <w:t xml:space="preserve">A complaint </w:t>
      </w:r>
      <w:r w:rsidR="7997D671" w:rsidRPr="00290B4D">
        <w:rPr>
          <w:rStyle w:val="FootnoteReference"/>
          <w:rFonts w:eastAsia="MS Mincho"/>
          <w:szCs w:val="22"/>
          <w:vertAlign w:val="baseline"/>
        </w:rPr>
        <w:t xml:space="preserve">can also be made to Victim Assist Queensland who has the power to </w:t>
      </w:r>
      <w:r w:rsidR="4FF796A3" w:rsidRPr="00290B4D">
        <w:rPr>
          <w:rStyle w:val="FootnoteReference"/>
          <w:rFonts w:eastAsia="MS Mincho"/>
          <w:szCs w:val="22"/>
          <w:vertAlign w:val="baseline"/>
        </w:rPr>
        <w:t>liaise with the relevant entity and facilitate resolution of the complaint or refer the complaint to the relevant entity concerned.</w:t>
      </w:r>
      <w:r w:rsidRPr="009106F9">
        <w:rPr>
          <w:rStyle w:val="FootnoteReference"/>
          <w:rFonts w:eastAsia="MS Mincho"/>
          <w:szCs w:val="22"/>
        </w:rPr>
        <w:footnoteReference w:id="34"/>
      </w:r>
      <w:r w:rsidR="4FF796A3" w:rsidRPr="009106F9">
        <w:rPr>
          <w:rStyle w:val="FootnoteReference"/>
          <w:rFonts w:eastAsia="MS Mincho"/>
          <w:szCs w:val="22"/>
        </w:rPr>
        <w:t xml:space="preserve"> </w:t>
      </w:r>
    </w:p>
    <w:p w14:paraId="1C78ED45" w14:textId="43FA4719" w:rsidR="003F2299" w:rsidRDefault="00080522" w:rsidP="003F2299">
      <w:pPr>
        <w:pStyle w:val="Heading1"/>
      </w:pPr>
      <w:bookmarkStart w:id="20" w:name="_Toc132204352"/>
      <w:r>
        <w:t xml:space="preserve">Opportunities </w:t>
      </w:r>
      <w:r w:rsidR="003F2299">
        <w:t xml:space="preserve">to </w:t>
      </w:r>
      <w:r>
        <w:t xml:space="preserve">better </w:t>
      </w:r>
      <w:r w:rsidR="003F2299">
        <w:t xml:space="preserve">protect </w:t>
      </w:r>
      <w:r w:rsidR="5E545112">
        <w:t>victims</w:t>
      </w:r>
      <w:r w:rsidR="7C8F9302">
        <w:t>’</w:t>
      </w:r>
      <w:r w:rsidR="003F2299">
        <w:t xml:space="preserve"> rights</w:t>
      </w:r>
      <w:bookmarkEnd w:id="20"/>
      <w:r w:rsidR="003F2299" w:rsidRPr="003E19E6">
        <w:t xml:space="preserve"> </w:t>
      </w:r>
    </w:p>
    <w:p w14:paraId="66333CA4" w14:textId="46CA4715" w:rsidR="003F2299" w:rsidRDefault="003F2299" w:rsidP="003F2299">
      <w:pPr>
        <w:pStyle w:val="Heading2"/>
      </w:pPr>
      <w:bookmarkStart w:id="21" w:name="_Toc132204353"/>
      <w:r>
        <w:t xml:space="preserve">A dedicated victims’ </w:t>
      </w:r>
      <w:r w:rsidR="009F59E7">
        <w:t>c</w:t>
      </w:r>
      <w:r>
        <w:t>ommissioner</w:t>
      </w:r>
      <w:bookmarkEnd w:id="21"/>
    </w:p>
    <w:p w14:paraId="56AA51D8" w14:textId="28FFA29B" w:rsidR="003F2299" w:rsidRPr="00221F7D" w:rsidRDefault="5D13056B" w:rsidP="003F2299">
      <w:pPr>
        <w:pStyle w:val="Numberedparagraph"/>
      </w:pPr>
      <w:r w:rsidRPr="498DFD66">
        <w:rPr>
          <w:lang w:val="en-GB"/>
        </w:rPr>
        <w:t xml:space="preserve">In Queensland both the Women’s Safety and Justice Taskforce as well as the recent Commission of Inquiry into </w:t>
      </w:r>
      <w:r w:rsidR="00486E5E">
        <w:rPr>
          <w:lang w:val="en-GB"/>
        </w:rPr>
        <w:t xml:space="preserve">Queensland Police Service responses to domestic and family violence </w:t>
      </w:r>
      <w:r w:rsidRPr="498DFD66">
        <w:rPr>
          <w:lang w:val="en-GB"/>
        </w:rPr>
        <w:t xml:space="preserve">have recommended some updates that may shift us closer to recognition of the victim-survivor as a participant. </w:t>
      </w:r>
    </w:p>
    <w:p w14:paraId="5F12A562" w14:textId="1D5B6859" w:rsidR="003F2299" w:rsidRPr="00C61783" w:rsidRDefault="5D13056B" w:rsidP="003F2299">
      <w:pPr>
        <w:pStyle w:val="Numberedparagraph"/>
      </w:pPr>
      <w:r>
        <w:rPr>
          <w:lang w:val="en-GB"/>
        </w:rPr>
        <w:t>E</w:t>
      </w:r>
      <w:r w:rsidRPr="00221F7D">
        <w:rPr>
          <w:lang w:val="en-GB"/>
        </w:rPr>
        <w:t xml:space="preserve">stablishing a dedicated victims’ commissioner would provide an independent advocate tasked with addressing systemic issues for victim-survivors with a special focus on </w:t>
      </w:r>
      <w:r w:rsidR="00486E5E">
        <w:rPr>
          <w:lang w:val="en-GB"/>
        </w:rPr>
        <w:t xml:space="preserve">domestic and family violence </w:t>
      </w:r>
      <w:r w:rsidRPr="00221F7D">
        <w:rPr>
          <w:lang w:val="en-GB"/>
        </w:rPr>
        <w:t>victim-survivors, including where they have had negative experiences of police and other service providers’ responses.</w:t>
      </w:r>
      <w:r w:rsidR="003F2299">
        <w:rPr>
          <w:rStyle w:val="FootnoteReference"/>
          <w:lang w:val="en-GB"/>
        </w:rPr>
        <w:footnoteReference w:id="35"/>
      </w:r>
      <w:r w:rsidRPr="00221F7D">
        <w:rPr>
          <w:lang w:val="en-GB"/>
        </w:rPr>
        <w:t xml:space="preserve"> </w:t>
      </w:r>
    </w:p>
    <w:p w14:paraId="77525CDF" w14:textId="2343ADD0" w:rsidR="00FD3527" w:rsidRPr="002B4657" w:rsidRDefault="200CD765" w:rsidP="003F2299">
      <w:pPr>
        <w:pStyle w:val="Numberedparagraph"/>
      </w:pPr>
      <w:r w:rsidRPr="498DFD66">
        <w:rPr>
          <w:lang w:val="en-GB"/>
        </w:rPr>
        <w:t>Such a</w:t>
      </w:r>
      <w:r w:rsidR="76B3A65A" w:rsidRPr="498DFD66">
        <w:rPr>
          <w:lang w:val="en-GB"/>
        </w:rPr>
        <w:t xml:space="preserve"> </w:t>
      </w:r>
      <w:r w:rsidR="115080D0" w:rsidRPr="498DFD66">
        <w:rPr>
          <w:lang w:val="en-GB"/>
        </w:rPr>
        <w:t>c</w:t>
      </w:r>
      <w:r w:rsidR="76B3A65A" w:rsidRPr="498DFD66">
        <w:rPr>
          <w:lang w:val="en-GB"/>
        </w:rPr>
        <w:t>ommissioner</w:t>
      </w:r>
      <w:r w:rsidRPr="498DFD66">
        <w:rPr>
          <w:lang w:val="en-GB"/>
        </w:rPr>
        <w:t xml:space="preserve"> could</w:t>
      </w:r>
      <w:r w:rsidR="76B3A65A" w:rsidRPr="498DFD66">
        <w:rPr>
          <w:lang w:val="en-GB"/>
        </w:rPr>
        <w:t xml:space="preserve"> also play a role in facilitating collaboration between relevant agencies</w:t>
      </w:r>
      <w:r w:rsidR="6BB06209" w:rsidRPr="498DFD66">
        <w:rPr>
          <w:lang w:val="en-GB"/>
        </w:rPr>
        <w:t xml:space="preserve"> in the justice system</w:t>
      </w:r>
      <w:r w:rsidR="76B3A65A" w:rsidRPr="498DFD66">
        <w:rPr>
          <w:lang w:val="en-GB"/>
        </w:rPr>
        <w:t xml:space="preserve">. </w:t>
      </w:r>
    </w:p>
    <w:p w14:paraId="695F793D" w14:textId="6F1AAFB5" w:rsidR="003F2299" w:rsidRDefault="00402223" w:rsidP="003F2299">
      <w:pPr>
        <w:pStyle w:val="Heading2"/>
      </w:pPr>
      <w:bookmarkStart w:id="22" w:name="_Toc132204354"/>
      <w:r>
        <w:t>Review of</w:t>
      </w:r>
      <w:r w:rsidR="003F2299">
        <w:t xml:space="preserve"> the </w:t>
      </w:r>
      <w:r w:rsidR="003F2299" w:rsidRPr="00402223">
        <w:rPr>
          <w:i/>
        </w:rPr>
        <w:t>Human Rights Act</w:t>
      </w:r>
      <w:bookmarkEnd w:id="22"/>
    </w:p>
    <w:p w14:paraId="42F094B9" w14:textId="77777777" w:rsidR="00E95827" w:rsidRDefault="5D13056B" w:rsidP="003F2299">
      <w:pPr>
        <w:pStyle w:val="Numberedparagraph"/>
      </w:pPr>
      <w:r>
        <w:t xml:space="preserve">The relevance of human rights to </w:t>
      </w:r>
      <w:r w:rsidR="7AE68D14">
        <w:t>v</w:t>
      </w:r>
      <w:r>
        <w:t xml:space="preserve">ictims of </w:t>
      </w:r>
      <w:r w:rsidR="7AE68D14">
        <w:t>c</w:t>
      </w:r>
      <w:r>
        <w:t xml:space="preserve">rime and the synergies between the work of victim advocates and human rights principles has been recognised in other jurisdictions. For example, the ACT Human Rights Commission encompasses both a Human Rights Commissioner, with functions under the </w:t>
      </w:r>
      <w:r w:rsidRPr="498DFD66">
        <w:rPr>
          <w:i/>
          <w:iCs/>
        </w:rPr>
        <w:t xml:space="preserve">Human Rights Act 2004 </w:t>
      </w:r>
      <w:r>
        <w:t xml:space="preserve">(ACT) and a Victims of Crime Commissioner, who administers a financial assistance scheme for victims of crime and promotes the rights of people who experience crime. </w:t>
      </w:r>
    </w:p>
    <w:p w14:paraId="0EBB14CC" w14:textId="73618C0C" w:rsidR="003F2299" w:rsidRDefault="5D13056B" w:rsidP="00A57D10">
      <w:pPr>
        <w:pStyle w:val="Numberedparagraph"/>
      </w:pPr>
      <w:bookmarkStart w:id="23" w:name="_Hlk132197658"/>
      <w:r>
        <w:t>The ACT Human Rights Commission also administers the ACT’s witness intermediary program.</w:t>
      </w:r>
      <w:r w:rsidR="003F2299">
        <w:rPr>
          <w:rStyle w:val="FootnoteReference"/>
        </w:rPr>
        <w:footnoteReference w:id="36"/>
      </w:r>
      <w:r w:rsidR="00E95827">
        <w:t xml:space="preserve"> As discussed in </w:t>
      </w:r>
      <w:r w:rsidR="00E95827" w:rsidRPr="00ED5AD2">
        <w:rPr>
          <w:i/>
          <w:iCs/>
        </w:rPr>
        <w:t xml:space="preserve">Hear Her Voice </w:t>
      </w:r>
      <w:r w:rsidR="002C4871" w:rsidRPr="002C4871">
        <w:t>(</w:t>
      </w:r>
      <w:r w:rsidR="00660B94" w:rsidRPr="002C4871">
        <w:t xml:space="preserve">Report </w:t>
      </w:r>
      <w:r w:rsidR="002C4871" w:rsidRPr="002C4871">
        <w:t>2)</w:t>
      </w:r>
      <w:r w:rsidR="00660B94">
        <w:t xml:space="preserve"> </w:t>
      </w:r>
      <w:r w:rsidR="001A04EE">
        <w:t>an</w:t>
      </w:r>
      <w:r w:rsidR="00E95827">
        <w:t xml:space="preserve"> intermediary scheme pilot program</w:t>
      </w:r>
      <w:r w:rsidR="001A04EE">
        <w:t xml:space="preserve"> in Queensland</w:t>
      </w:r>
      <w:r w:rsidR="00E95827">
        <w:t xml:space="preserve"> commence</w:t>
      </w:r>
      <w:r w:rsidR="00ED5AD2">
        <w:t>d in July 2021.</w:t>
      </w:r>
      <w:r w:rsidR="006B7670">
        <w:rPr>
          <w:rStyle w:val="FootnoteReference"/>
        </w:rPr>
        <w:footnoteReference w:id="37"/>
      </w:r>
      <w:r w:rsidR="00ED5AD2">
        <w:t xml:space="preserve"> The pilot </w:t>
      </w:r>
      <w:r w:rsidR="001A04EE">
        <w:t>was</w:t>
      </w:r>
      <w:r w:rsidR="00ED5AD2">
        <w:t xml:space="preserve"> due to conclude on 30 June 2023</w:t>
      </w:r>
      <w:r w:rsidR="001A04EE">
        <w:t>, but in its briefing to the Committee the government indicated the pilot has been extended until 30 June 2024</w:t>
      </w:r>
      <w:r w:rsidR="00ED5AD2">
        <w:t>.</w:t>
      </w:r>
      <w:r w:rsidR="001A04EE">
        <w:rPr>
          <w:rStyle w:val="FootnoteReference"/>
        </w:rPr>
        <w:footnoteReference w:id="38"/>
      </w:r>
      <w:r w:rsidR="00ED5AD2">
        <w:t xml:space="preserve"> The pilot phase is limited to certain prosecution witnesses in child offence matters. The </w:t>
      </w:r>
      <w:r w:rsidR="00660B94">
        <w:t xml:space="preserve">Women’s Safety and Justice </w:t>
      </w:r>
      <w:r w:rsidR="00ED5AD2">
        <w:t xml:space="preserve">Taskforce recommended that the Department of Justice and Attorney-General, after receiving the evaluation of the pilot program, consider whether the scheme should be expanded to apply to proceedings involving adult victim-survivors of sexual violence. The Commission agrees with this recommendation, as such a scheme has the potential to </w:t>
      </w:r>
      <w:r w:rsidR="008A02F3">
        <w:t>positively</w:t>
      </w:r>
      <w:r w:rsidR="00ED5AD2">
        <w:t xml:space="preserve"> protect and uphold the rights of victims</w:t>
      </w:r>
      <w:r w:rsidR="008168BE">
        <w:t xml:space="preserve"> </w:t>
      </w:r>
      <w:r w:rsidR="008A02F3">
        <w:t xml:space="preserve">without relying on complaint mechanisms, </w:t>
      </w:r>
      <w:r w:rsidR="008168BE">
        <w:t xml:space="preserve">and prevent </w:t>
      </w:r>
      <w:r w:rsidR="008A02F3">
        <w:t xml:space="preserve">further </w:t>
      </w:r>
      <w:r w:rsidR="008168BE">
        <w:t>trauma</w:t>
      </w:r>
      <w:r w:rsidR="00ED5AD2">
        <w:t xml:space="preserve">. </w:t>
      </w:r>
      <w:r w:rsidR="00E95827">
        <w:t xml:space="preserve"> </w:t>
      </w:r>
    </w:p>
    <w:bookmarkEnd w:id="23"/>
    <w:p w14:paraId="53171727" w14:textId="63BDB871" w:rsidR="004269B3" w:rsidRDefault="76EBBEA3" w:rsidP="004269B3">
      <w:pPr>
        <w:pStyle w:val="Numberedparagraph"/>
      </w:pPr>
      <w:r>
        <w:t xml:space="preserve">The </w:t>
      </w:r>
      <w:r w:rsidR="00800A1B">
        <w:t>i</w:t>
      </w:r>
      <w:r w:rsidRPr="007704FB">
        <w:t xml:space="preserve">ndependent Commission of Inquiry into Queensland Police Service </w:t>
      </w:r>
      <w:r w:rsidR="00800A1B">
        <w:t>r</w:t>
      </w:r>
      <w:r w:rsidRPr="007704FB">
        <w:t xml:space="preserve">esponses to </w:t>
      </w:r>
      <w:r w:rsidR="00800A1B">
        <w:t>d</w:t>
      </w:r>
      <w:r w:rsidRPr="007704FB">
        <w:t xml:space="preserve">omestic and </w:t>
      </w:r>
      <w:r w:rsidR="00800A1B">
        <w:t>f</w:t>
      </w:r>
      <w:r w:rsidRPr="007704FB">
        <w:t xml:space="preserve">amily </w:t>
      </w:r>
      <w:r w:rsidR="00800A1B">
        <w:t>v</w:t>
      </w:r>
      <w:r w:rsidRPr="007704FB">
        <w:t>iolence</w:t>
      </w:r>
      <w:r>
        <w:t xml:space="preserve"> also identified</w:t>
      </w:r>
      <w:r w:rsidRPr="007704FB">
        <w:t xml:space="preserve"> key human rights considerations for victims of domestic and family violence</w:t>
      </w:r>
      <w:r>
        <w:t xml:space="preserve"> in its report</w:t>
      </w:r>
      <w:r w:rsidRPr="007704FB">
        <w:t>.</w:t>
      </w:r>
      <w:r w:rsidR="28A5C3FA" w:rsidRPr="004269B3">
        <w:t xml:space="preserve"> </w:t>
      </w:r>
      <w:r w:rsidR="28A5C3FA">
        <w:t>As the report notes:</w:t>
      </w:r>
    </w:p>
    <w:p w14:paraId="37E00956" w14:textId="77777777" w:rsidR="004269B3" w:rsidRDefault="28A5C3FA" w:rsidP="004269B3">
      <w:pPr>
        <w:pStyle w:val="Numberedparagraph"/>
        <w:numPr>
          <w:ilvl w:val="0"/>
          <w:numId w:val="0"/>
        </w:numPr>
        <w:ind w:left="907"/>
      </w:pPr>
      <w:r w:rsidRPr="005C5DF9">
        <w:rPr>
          <w:rStyle w:val="QuoteChar"/>
        </w:rPr>
        <w:t>Where the Commission has identified failings or shortcomings by police in the investigation of domestic and family violence, those same shortcomings often also amount to a failure to act or make decisions in accordance with the human rights of victim-survivors</w:t>
      </w:r>
      <w:r>
        <w:t>.</w:t>
      </w:r>
      <w:r w:rsidR="004269B3">
        <w:rPr>
          <w:rStyle w:val="FootnoteReference"/>
        </w:rPr>
        <w:footnoteReference w:id="39"/>
      </w:r>
    </w:p>
    <w:p w14:paraId="7F10E48F" w14:textId="575C3F24" w:rsidR="003F2299" w:rsidRDefault="5D13056B" w:rsidP="003F2299">
      <w:pPr>
        <w:pStyle w:val="Numberedparagraph"/>
      </w:pPr>
      <w:r>
        <w:t xml:space="preserve">The QHRC suggests the upcoming review of the HR Act provides an opportunity to consider greater clarity about the application of human rights to victims and how the Charter of Rights for Victims interacts with the HR Act. Recommendation 20 of the </w:t>
      </w:r>
      <w:r w:rsidRPr="00800A1B">
        <w:t>Women’s Safety and Justice Taskforce</w:t>
      </w:r>
      <w:r w:rsidRPr="498DFD66">
        <w:rPr>
          <w:i/>
          <w:iCs/>
        </w:rPr>
        <w:t xml:space="preserve"> Hear Her Voice </w:t>
      </w:r>
      <w:r w:rsidR="002C4871" w:rsidRPr="002C4871">
        <w:t>(</w:t>
      </w:r>
      <w:r w:rsidRPr="002C4871">
        <w:t xml:space="preserve">Report </w:t>
      </w:r>
      <w:r w:rsidR="002C4871" w:rsidRPr="002C4871">
        <w:t>2)</w:t>
      </w:r>
      <w:r w:rsidR="002C4871">
        <w:rPr>
          <w:i/>
          <w:iCs/>
        </w:rPr>
        <w:t xml:space="preserve"> </w:t>
      </w:r>
      <w:r>
        <w:t>was that:</w:t>
      </w:r>
    </w:p>
    <w:p w14:paraId="232E43D4" w14:textId="45515AC2" w:rsidR="00205797" w:rsidRDefault="003F2299" w:rsidP="00205797">
      <w:pPr>
        <w:pStyle w:val="Quote"/>
      </w:pPr>
      <w:r>
        <w:t xml:space="preserve">The Queensland Government, in the next statutory review of the </w:t>
      </w:r>
      <w:r w:rsidRPr="0014035C">
        <w:rPr>
          <w:i/>
          <w:iCs/>
        </w:rPr>
        <w:t>Human Rights Act 2019</w:t>
      </w:r>
      <w:r>
        <w:t xml:space="preserve">, include a specific focus on victims’ rights and consider whether recognition of victims’ rights or the Charter of victims’ rights in the </w:t>
      </w:r>
      <w:r w:rsidRPr="0014035C">
        <w:rPr>
          <w:i/>
          <w:iCs/>
        </w:rPr>
        <w:t>Victims of Crime Assistance Act 2009</w:t>
      </w:r>
      <w:r>
        <w:t xml:space="preserve"> should be expanded and incorporated into the </w:t>
      </w:r>
      <w:r w:rsidRPr="0014035C">
        <w:rPr>
          <w:i/>
          <w:iCs/>
        </w:rPr>
        <w:t>Human Rights Act 2019</w:t>
      </w:r>
      <w:r>
        <w:t>. The review should involve consultation with victims, First Nations peoples, service providers (including those working with victims of domestic, family and sexual violence victim-survivors) and legal stakeholders.</w:t>
      </w:r>
      <w:r w:rsidR="004C09EC">
        <w:rPr>
          <w:rStyle w:val="FootnoteReference"/>
        </w:rPr>
        <w:footnoteReference w:id="40"/>
      </w:r>
    </w:p>
    <w:p w14:paraId="6C151D30" w14:textId="3683506E" w:rsidR="003F2299" w:rsidRDefault="5D13056B" w:rsidP="00205797">
      <w:pPr>
        <w:pStyle w:val="Numberedparagraph"/>
      </w:pPr>
      <w:r>
        <w:t>In response, the Queensland Government has committed to considering whether victims’ rights are appropriately protected in the next statutory review of the HR Act.</w:t>
      </w:r>
      <w:r w:rsidR="0023346A">
        <w:rPr>
          <w:rStyle w:val="FootnoteReference"/>
        </w:rPr>
        <w:footnoteReference w:id="41"/>
      </w:r>
      <w:r>
        <w:t xml:space="preserve"> </w:t>
      </w:r>
    </w:p>
    <w:p w14:paraId="010DAAAF" w14:textId="08F2103B" w:rsidR="003F2299" w:rsidRDefault="5D13056B" w:rsidP="003F2299">
      <w:pPr>
        <w:pStyle w:val="Numberedparagraph"/>
      </w:pPr>
      <w:r>
        <w:t xml:space="preserve">The QHRC looks forward to participating in the review of the HR Act noting </w:t>
      </w:r>
      <w:r w:rsidR="4D1340AF">
        <w:t>the following potential areas are worthy of</w:t>
      </w:r>
      <w:r>
        <w:t xml:space="preserve"> consideration. </w:t>
      </w:r>
    </w:p>
    <w:p w14:paraId="0459B2F3" w14:textId="77777777" w:rsidR="003F2299" w:rsidRPr="00BE4D59" w:rsidRDefault="003F2299" w:rsidP="003F2299">
      <w:pPr>
        <w:pStyle w:val="Heading3"/>
      </w:pPr>
      <w:bookmarkStart w:id="24" w:name="_Toc132204355"/>
      <w:r>
        <w:t>Right to fair hearing</w:t>
      </w:r>
      <w:bookmarkEnd w:id="24"/>
    </w:p>
    <w:p w14:paraId="0032D0AD" w14:textId="02D0D4F6" w:rsidR="003F2299" w:rsidRPr="000B7454" w:rsidRDefault="5D13056B" w:rsidP="003F2299">
      <w:pPr>
        <w:pStyle w:val="Numberedparagraph"/>
      </w:pPr>
      <w:r>
        <w:t>Presently, s</w:t>
      </w:r>
      <w:r w:rsidR="00800A1B">
        <w:t>ection</w:t>
      </w:r>
      <w:r>
        <w:t xml:space="preserve"> 31(1)</w:t>
      </w:r>
      <w:r w:rsidR="6E24B72B">
        <w:t xml:space="preserve"> of the HR Act</w:t>
      </w:r>
      <w:r>
        <w:t xml:space="preserve"> provides that a person charged with a criminal offence or a party to a civil proceeding has the right to a competent, independent and impartial court or tribunal after a fair and public hearing</w:t>
      </w:r>
      <w:r w:rsidR="58462972">
        <w:t>.</w:t>
      </w:r>
    </w:p>
    <w:p w14:paraId="387C24E5" w14:textId="097969F2" w:rsidR="003F2299" w:rsidRPr="000B7454" w:rsidRDefault="5D13056B" w:rsidP="003F2299">
      <w:pPr>
        <w:pStyle w:val="Numberedparagraph"/>
      </w:pPr>
      <w:r>
        <w:t>In contrast, the equivalent right under s</w:t>
      </w:r>
      <w:r w:rsidR="00FA4EFB">
        <w:t>ection</w:t>
      </w:r>
      <w:r>
        <w:t xml:space="preserve"> 21 of the </w:t>
      </w:r>
      <w:r w:rsidRPr="498DFD66">
        <w:rPr>
          <w:i/>
          <w:iCs/>
        </w:rPr>
        <w:t xml:space="preserve">Human Rights Act 2004 </w:t>
      </w:r>
      <w:r>
        <w:t xml:space="preserve">(ACT) states that </w:t>
      </w:r>
      <w:r w:rsidRPr="498DFD66">
        <w:rPr>
          <w:i/>
          <w:iCs/>
        </w:rPr>
        <w:t xml:space="preserve">everyone </w:t>
      </w:r>
      <w:r>
        <w:t>has the right to have criminal charges, and rights and obligations recognised by law, decided by a competent, independent and impartial court or tribunal after a fair and public hearing.</w:t>
      </w:r>
    </w:p>
    <w:p w14:paraId="0DA0278F" w14:textId="467E1F63" w:rsidR="003F2299" w:rsidRDefault="003F2299" w:rsidP="003F2299">
      <w:pPr>
        <w:pStyle w:val="Heading3"/>
      </w:pPr>
      <w:bookmarkStart w:id="25" w:name="_Toc132204356"/>
      <w:r w:rsidRPr="000B7454">
        <w:t>Additional victims</w:t>
      </w:r>
      <w:r w:rsidR="00B40661">
        <w:t>’</w:t>
      </w:r>
      <w:r w:rsidRPr="000B7454">
        <w:t xml:space="preserve"> rights</w:t>
      </w:r>
      <w:bookmarkEnd w:id="25"/>
    </w:p>
    <w:p w14:paraId="541A587D" w14:textId="65684A2D" w:rsidR="003F2299" w:rsidRDefault="5D13056B" w:rsidP="003F2299">
      <w:pPr>
        <w:pStyle w:val="Numberedparagraph"/>
      </w:pPr>
      <w:r w:rsidRPr="00C57E48">
        <w:t xml:space="preserve">The Victorian Law Reform Commission’s 2016 Report on the Role of Victims of Crime in the Criminal Trial Process recommended that the Victorian </w:t>
      </w:r>
      <w:r w:rsidRPr="1F75C4B3">
        <w:rPr>
          <w:i/>
        </w:rPr>
        <w:t xml:space="preserve">Charter </w:t>
      </w:r>
      <w:r w:rsidR="74388458" w:rsidRPr="1F75C4B3">
        <w:rPr>
          <w:i/>
        </w:rPr>
        <w:t xml:space="preserve">of Human Rights and Responsibilities </w:t>
      </w:r>
      <w:r w:rsidR="7301D097" w:rsidRPr="7D91EA12">
        <w:rPr>
          <w:i/>
          <w:iCs/>
        </w:rPr>
        <w:t xml:space="preserve">Act </w:t>
      </w:r>
      <w:r w:rsidR="74388458" w:rsidRPr="7D91EA12">
        <w:rPr>
          <w:i/>
          <w:iCs/>
        </w:rPr>
        <w:t>2006</w:t>
      </w:r>
      <w:r w:rsidR="5B68794F" w:rsidRPr="00C57E48">
        <w:t xml:space="preserve"> </w:t>
      </w:r>
      <w:r w:rsidRPr="00C57E48">
        <w:t>should be amended to include a right for a victim of a criminal offence to have certain specific minimum guarantees including to be acknowledged as a participant with an interest in the proceedings, to be treated with respect at all times and to be protected from unnecessary trauma, intimidation and distress when giving evidence</w:t>
      </w:r>
      <w:r w:rsidR="0008293D">
        <w:t>.</w:t>
      </w:r>
      <w:r w:rsidR="00FA4EFB">
        <w:rPr>
          <w:rStyle w:val="FootnoteReference"/>
        </w:rPr>
        <w:footnoteReference w:id="42"/>
      </w:r>
    </w:p>
    <w:p w14:paraId="49829FDA" w14:textId="30305652" w:rsidR="003F2299" w:rsidRDefault="005D68BA" w:rsidP="003F2299">
      <w:pPr>
        <w:pStyle w:val="Numberedparagraph"/>
      </w:pPr>
      <w:r>
        <w:t xml:space="preserve">On its face, the QHRC supports this level of clarity in victims’ rights, but suggests a full assessment will be needed to determine whether such a proposal is necessary, and if so whether it should be added to the HR Act or sits better within the Victims Charter. </w:t>
      </w:r>
    </w:p>
    <w:p w14:paraId="00C4501A" w14:textId="78D623ED" w:rsidR="000C619C" w:rsidRDefault="00402223" w:rsidP="003F2299">
      <w:pPr>
        <w:pStyle w:val="Heading2"/>
      </w:pPr>
      <w:bookmarkStart w:id="26" w:name="_Toc132204357"/>
      <w:r>
        <w:t>Review of the V</w:t>
      </w:r>
      <w:r w:rsidR="000C619C">
        <w:t>i</w:t>
      </w:r>
      <w:r>
        <w:t>ctims</w:t>
      </w:r>
      <w:r w:rsidR="000C619C">
        <w:t xml:space="preserve"> </w:t>
      </w:r>
      <w:r>
        <w:t>C</w:t>
      </w:r>
      <w:r w:rsidR="000C619C">
        <w:t>harter</w:t>
      </w:r>
      <w:bookmarkEnd w:id="26"/>
    </w:p>
    <w:p w14:paraId="03440434" w14:textId="0D72900D" w:rsidR="00525CCA" w:rsidRDefault="66818657" w:rsidP="000C619C">
      <w:pPr>
        <w:pStyle w:val="Numberedparagraph"/>
      </w:pPr>
      <w:r>
        <w:t xml:space="preserve">The </w:t>
      </w:r>
      <w:r w:rsidR="78AE7D55">
        <w:t xml:space="preserve">Queensland </w:t>
      </w:r>
      <w:r w:rsidR="0F2BBF6C">
        <w:t>Government</w:t>
      </w:r>
      <w:r w:rsidR="78AE7D55">
        <w:t xml:space="preserve"> has </w:t>
      </w:r>
      <w:r w:rsidR="0F2BBF6C">
        <w:t>committed to writing</w:t>
      </w:r>
      <w:r w:rsidR="78AE7D55">
        <w:t xml:space="preserve"> to </w:t>
      </w:r>
      <w:r w:rsidR="0F2BBF6C">
        <w:t>the new victim’s commissioner, once established, suggest</w:t>
      </w:r>
      <w:r w:rsidR="00402223">
        <w:t>ing</w:t>
      </w:r>
      <w:r w:rsidR="0F2BBF6C">
        <w:t xml:space="preserve"> the commissioner review the </w:t>
      </w:r>
      <w:r w:rsidR="00402223">
        <w:t>Victims Charter</w:t>
      </w:r>
      <w:r w:rsidR="0F2BBF6C">
        <w:t>.</w:t>
      </w:r>
      <w:r w:rsidR="00557ED0">
        <w:rPr>
          <w:rStyle w:val="FootnoteReference"/>
        </w:rPr>
        <w:footnoteReference w:id="43"/>
      </w:r>
      <w:r w:rsidR="0F2BBF6C">
        <w:t xml:space="preserve"> </w:t>
      </w:r>
    </w:p>
    <w:p w14:paraId="6EE8183D" w14:textId="10FAF020" w:rsidR="000C619C" w:rsidRDefault="00402223" w:rsidP="000C619C">
      <w:pPr>
        <w:pStyle w:val="Numberedparagraph"/>
      </w:pPr>
      <w:r>
        <w:t>The Review of the Victims C</w:t>
      </w:r>
      <w:r w:rsidR="15B5D8D3">
        <w:t>harter, along with the</w:t>
      </w:r>
      <w:r w:rsidR="72A8B04F">
        <w:t xml:space="preserve"> review of the</w:t>
      </w:r>
      <w:r w:rsidR="15B5D8D3">
        <w:t xml:space="preserve"> HR Act, </w:t>
      </w:r>
      <w:r w:rsidR="0F2BBF6C">
        <w:t xml:space="preserve">would </w:t>
      </w:r>
      <w:r w:rsidR="15B5D8D3">
        <w:t>provide an opportunity to consider how the Charter interacts with human rights.</w:t>
      </w:r>
    </w:p>
    <w:p w14:paraId="510006D6" w14:textId="6105DC7E" w:rsidR="3D99A44A" w:rsidRDefault="6619268E" w:rsidP="51693218">
      <w:pPr>
        <w:pStyle w:val="Heading3"/>
      </w:pPr>
      <w:bookmarkStart w:id="27" w:name="_Toc132204358"/>
      <w:r>
        <w:t>Complaints by victims</w:t>
      </w:r>
      <w:bookmarkEnd w:id="27"/>
    </w:p>
    <w:p w14:paraId="64665164" w14:textId="5B04F7A4" w:rsidR="0000423C" w:rsidRDefault="5C2278AB" w:rsidP="00390A19">
      <w:pPr>
        <w:pStyle w:val="Numberedparagraph"/>
      </w:pPr>
      <w:r>
        <w:t xml:space="preserve">The terms of reference for this </w:t>
      </w:r>
      <w:r w:rsidR="00FA4EFB">
        <w:t>i</w:t>
      </w:r>
      <w:r>
        <w:t>nquiry explicitly cite the operation and effectiveness of complaints made by victims under the</w:t>
      </w:r>
      <w:r w:rsidR="005D68BA">
        <w:t xml:space="preserve"> Victims</w:t>
      </w:r>
      <w:r>
        <w:t xml:space="preserve"> Charter. </w:t>
      </w:r>
      <w:r w:rsidR="07836259">
        <w:t xml:space="preserve">The </w:t>
      </w:r>
      <w:r w:rsidR="0ADACDFC">
        <w:t xml:space="preserve">QHRC </w:t>
      </w:r>
      <w:r w:rsidR="07836259">
        <w:t>suggests</w:t>
      </w:r>
      <w:r w:rsidR="5DBF29A5">
        <w:t xml:space="preserve"> </w:t>
      </w:r>
      <w:r w:rsidR="0D90D78F">
        <w:t xml:space="preserve">that </w:t>
      </w:r>
      <w:r w:rsidR="5B3626ED">
        <w:t>the role of the new victims</w:t>
      </w:r>
      <w:r w:rsidR="52CBE09D">
        <w:t>’</w:t>
      </w:r>
      <w:r w:rsidR="5B3626ED">
        <w:t xml:space="preserve"> commissioner</w:t>
      </w:r>
      <w:r w:rsidR="16783BCA">
        <w:t xml:space="preserve"> in relation to complaints made under the Charter, and how that interacts with existing complaints mechanisms (such as complaint to the QHRC) is a key consideration in such a review. </w:t>
      </w:r>
    </w:p>
    <w:p w14:paraId="5203B951" w14:textId="3C035BA7" w:rsidR="00F57FB9" w:rsidRPr="008F137A" w:rsidRDefault="00F57FB9" w:rsidP="00F57FB9">
      <w:pPr>
        <w:pStyle w:val="Numberedparagraph"/>
        <w:rPr>
          <w:vertAlign w:val="superscript"/>
        </w:rPr>
      </w:pPr>
      <w:r>
        <w:t xml:space="preserve">The </w:t>
      </w:r>
      <w:r w:rsidRPr="498DFD66">
        <w:rPr>
          <w:i/>
          <w:iCs/>
        </w:rPr>
        <w:t>Victims of Crime Assistance Act 2009</w:t>
      </w:r>
      <w:r>
        <w:t xml:space="preserve"> specifically states that the rights contained in the Victims Charter</w:t>
      </w:r>
      <w:r w:rsidR="33FCD98F">
        <w:t>:</w:t>
      </w:r>
      <w:r>
        <w:t xml:space="preserve"> </w:t>
      </w:r>
    </w:p>
    <w:p w14:paraId="73E94332" w14:textId="6EA1B1BC" w:rsidR="00F57FB9" w:rsidRPr="008F137A" w:rsidRDefault="00F57FB9" w:rsidP="00F57FB9">
      <w:pPr>
        <w:pStyle w:val="Numberedparagraph"/>
        <w:numPr>
          <w:ilvl w:val="1"/>
          <w:numId w:val="13"/>
        </w:numPr>
        <w:rPr>
          <w:vertAlign w:val="superscript"/>
        </w:rPr>
      </w:pPr>
      <w:r>
        <w:t xml:space="preserve">are not enforceable by criminal or civil redress; </w:t>
      </w:r>
    </w:p>
    <w:p w14:paraId="56C3CF25" w14:textId="6EA1B1BC" w:rsidR="00F57FB9" w:rsidRPr="008F137A" w:rsidRDefault="00F57FB9" w:rsidP="00F57FB9">
      <w:pPr>
        <w:pStyle w:val="Numberedparagraph"/>
        <w:numPr>
          <w:ilvl w:val="1"/>
          <w:numId w:val="13"/>
        </w:numPr>
        <w:rPr>
          <w:vertAlign w:val="superscript"/>
        </w:rPr>
      </w:pPr>
      <w:r>
        <w:t xml:space="preserve">do not affect the validity, or give grounds for review, of anything done or not done, or a decision made or not made in contravention of those rights </w:t>
      </w:r>
    </w:p>
    <w:p w14:paraId="30EEB38E" w14:textId="6EA1B1BC" w:rsidR="00F57FB9" w:rsidRPr="008F137A" w:rsidRDefault="00F57FB9" w:rsidP="00F57FB9">
      <w:pPr>
        <w:pStyle w:val="Numberedparagraph"/>
        <w:numPr>
          <w:ilvl w:val="1"/>
          <w:numId w:val="13"/>
        </w:numPr>
        <w:rPr>
          <w:vertAlign w:val="superscript"/>
        </w:rPr>
      </w:pPr>
      <w:r>
        <w:t xml:space="preserve">do not affect the operation of any other law and </w:t>
      </w:r>
    </w:p>
    <w:p w14:paraId="506B24C1" w14:textId="77777777" w:rsidR="00F57FB9" w:rsidRDefault="00F57FB9" w:rsidP="00F57FB9">
      <w:pPr>
        <w:pStyle w:val="Numberedparagraph"/>
        <w:numPr>
          <w:ilvl w:val="1"/>
          <w:numId w:val="13"/>
        </w:numPr>
        <w:rPr>
          <w:rStyle w:val="FootnoteReference"/>
        </w:rPr>
      </w:pPr>
      <w:r>
        <w:t>do not effect confidentiality obligations applying to a government or non-government entity.</w:t>
      </w:r>
      <w:r>
        <w:rPr>
          <w:rStyle w:val="FootnoteReference"/>
        </w:rPr>
        <w:footnoteReference w:id="44"/>
      </w:r>
      <w:r>
        <w:t xml:space="preserve"> </w:t>
      </w:r>
    </w:p>
    <w:p w14:paraId="396DD59B" w14:textId="6EA1B1BC" w:rsidR="00F57FB9" w:rsidRDefault="00F57FB9" w:rsidP="00F57FB9">
      <w:pPr>
        <w:pStyle w:val="Numberedparagraph"/>
        <w:rPr>
          <w:rFonts w:eastAsia="MS Mincho"/>
        </w:rPr>
      </w:pPr>
      <w:r w:rsidRPr="2D6820FD">
        <w:rPr>
          <w:rFonts w:eastAsia="MS Mincho"/>
        </w:rPr>
        <w:t xml:space="preserve">These limitations clearly weaken the protections offered by the Victims Charter. The last limitation in particular gives rise to conflict and confusion over what information can lawfully be provided to victims in accordance with the Victims Charter. </w:t>
      </w:r>
    </w:p>
    <w:p w14:paraId="68A57A46" w14:textId="2C38223F" w:rsidR="0000423C" w:rsidRDefault="00B661A6" w:rsidP="00C61783">
      <w:pPr>
        <w:pStyle w:val="Numberedparagraph"/>
      </w:pPr>
      <w:r>
        <w:t>T</w:t>
      </w:r>
      <w:r w:rsidR="6F72A985">
        <w:t>he government acknowledges that the Act limits the actions V</w:t>
      </w:r>
      <w:r w:rsidR="00402223">
        <w:t xml:space="preserve">ictim </w:t>
      </w:r>
      <w:r w:rsidR="6F72A985">
        <w:t>A</w:t>
      </w:r>
      <w:r w:rsidR="00402223">
        <w:t xml:space="preserve">ssist </w:t>
      </w:r>
      <w:r w:rsidR="6F72A985">
        <w:t>Q</w:t>
      </w:r>
      <w:r w:rsidR="00402223">
        <w:t>ueensland</w:t>
      </w:r>
      <w:r w:rsidR="6F72A985">
        <w:t xml:space="preserve"> may take in relation to </w:t>
      </w:r>
      <w:r w:rsidR="0404978F">
        <w:t xml:space="preserve">Victims </w:t>
      </w:r>
      <w:r w:rsidR="3E20A050">
        <w:t>C</w:t>
      </w:r>
      <w:r w:rsidR="59F37671">
        <w:t>harter</w:t>
      </w:r>
      <w:r w:rsidR="6F72A985">
        <w:t xml:space="preserve"> complaints</w:t>
      </w:r>
      <w:r w:rsidR="6E5274D3">
        <w:t>:</w:t>
      </w:r>
    </w:p>
    <w:p w14:paraId="0E72DB71" w14:textId="7CAA7689" w:rsidR="003C5B85" w:rsidRDefault="6E5274D3" w:rsidP="006E7169">
      <w:pPr>
        <w:pStyle w:val="Quote"/>
      </w:pPr>
      <w:r>
        <w:t>There is no requirement for agencies to report on complaints lodged directly with them that may involve the charter of victims' rights nor is VAQ able to direct an agency in the investigation and resolution of complaints lodged. The Women's Safety and Justice Taskforce has noted these limitations and made a</w:t>
      </w:r>
      <w:r w:rsidR="0803C7A9" w:rsidRPr="006E7169">
        <w:t xml:space="preserve"> </w:t>
      </w:r>
      <w:r w:rsidR="0803C7A9">
        <w:t xml:space="preserve">number of recommendations in relation to the oversight of complaints and enforcement of the charter. </w:t>
      </w:r>
      <w:r w:rsidR="009D516D">
        <w:rPr>
          <w:rStyle w:val="FootnoteReference"/>
        </w:rPr>
        <w:footnoteReference w:id="45"/>
      </w:r>
    </w:p>
    <w:p w14:paraId="67A02A3C" w14:textId="3A24FFED" w:rsidR="000C619C" w:rsidRDefault="16783BCA" w:rsidP="00C61783">
      <w:pPr>
        <w:pStyle w:val="Numberedparagraph"/>
      </w:pPr>
      <w:r>
        <w:t xml:space="preserve">The preliminary view of the QHRC is that </w:t>
      </w:r>
      <w:r w:rsidR="413054C4">
        <w:t xml:space="preserve">it would remain the most appropriate </w:t>
      </w:r>
      <w:r w:rsidR="401CB349">
        <w:t xml:space="preserve">body to handle complaints under the HR Act (potentially amended to include specific victims right(s)) and the AD Act, but further consideration is necessary as to how best to handle complaints made under the </w:t>
      </w:r>
      <w:r w:rsidR="4E8EA788">
        <w:t>Victims</w:t>
      </w:r>
      <w:r w:rsidR="401CB349">
        <w:t xml:space="preserve"> Charter. </w:t>
      </w:r>
    </w:p>
    <w:p w14:paraId="0A304B56" w14:textId="072D3851" w:rsidR="58796408" w:rsidRDefault="1BDC851D" w:rsidP="6F0B1697">
      <w:pPr>
        <w:pStyle w:val="Heading3"/>
        <w:rPr>
          <w:rFonts w:eastAsia="MS Mincho" w:cs="Arial"/>
          <w:color w:val="000000" w:themeColor="text1"/>
          <w:sz w:val="22"/>
          <w:szCs w:val="22"/>
        </w:rPr>
      </w:pPr>
      <w:bookmarkStart w:id="28" w:name="_Toc132204359"/>
      <w:r>
        <w:t>Clarification of Victims Charter rights</w:t>
      </w:r>
      <w:bookmarkEnd w:id="28"/>
    </w:p>
    <w:p w14:paraId="36EEB37A" w14:textId="0FCF9610" w:rsidR="1BDC851D" w:rsidRDefault="7F436C6A" w:rsidP="25187F4A">
      <w:pPr>
        <w:pStyle w:val="Numberedparagraph"/>
        <w:rPr>
          <w:rFonts w:eastAsia="MS Mincho"/>
          <w:szCs w:val="22"/>
        </w:rPr>
      </w:pPr>
      <w:bookmarkStart w:id="29" w:name="_Hlk132203448"/>
      <w:r w:rsidRPr="3536F541">
        <w:rPr>
          <w:rFonts w:eastAsia="MS Mincho"/>
        </w:rPr>
        <w:t xml:space="preserve">While potentially </w:t>
      </w:r>
      <w:r w:rsidRPr="7CAE65D7">
        <w:rPr>
          <w:rFonts w:eastAsia="MS Mincho"/>
        </w:rPr>
        <w:t xml:space="preserve">implicit in the </w:t>
      </w:r>
      <w:r w:rsidRPr="59AAC7DC">
        <w:rPr>
          <w:rFonts w:eastAsia="MS Mincho"/>
        </w:rPr>
        <w:t>ri</w:t>
      </w:r>
      <w:r w:rsidRPr="09940C1D">
        <w:rPr>
          <w:rFonts w:eastAsia="Arial"/>
        </w:rPr>
        <w:t>ght to ‘be treated with courtesy, compassion, respect and dignity, taking into account the victim’s needs’</w:t>
      </w:r>
      <w:r w:rsidRPr="00AE7F87">
        <w:rPr>
          <w:rFonts w:eastAsia="Arial"/>
          <w:vertAlign w:val="superscript"/>
        </w:rPr>
        <w:footnoteReference w:id="46"/>
      </w:r>
      <w:r w:rsidRPr="09940C1D">
        <w:rPr>
          <w:rFonts w:eastAsia="Arial"/>
        </w:rPr>
        <w:t>,</w:t>
      </w:r>
      <w:r w:rsidR="1BDC851D" w:rsidRPr="09940C1D">
        <w:rPr>
          <w:rFonts w:eastAsia="Arial"/>
        </w:rPr>
        <w:t xml:space="preserve"> </w:t>
      </w:r>
      <w:r w:rsidR="3B338183" w:rsidRPr="09940C1D">
        <w:rPr>
          <w:rFonts w:eastAsia="Arial"/>
        </w:rPr>
        <w:t>the</w:t>
      </w:r>
      <w:r w:rsidR="1BDC851D" w:rsidRPr="09940C1D">
        <w:rPr>
          <w:rFonts w:eastAsia="Arial"/>
        </w:rPr>
        <w:t xml:space="preserve"> Victims Charter</w:t>
      </w:r>
      <w:r w:rsidR="1BDC851D" w:rsidRPr="25187F4A">
        <w:rPr>
          <w:rFonts w:eastAsia="MS Mincho"/>
        </w:rPr>
        <w:t xml:space="preserve"> does not expressly refer to mitigating or reducing stress or trauma on victims, trauma-informed practices, </w:t>
      </w:r>
      <w:r w:rsidR="00AE7F87">
        <w:rPr>
          <w:rFonts w:eastAsia="MS Mincho"/>
        </w:rPr>
        <w:t>or</w:t>
      </w:r>
      <w:r w:rsidR="250E28E2" w:rsidRPr="25187F4A">
        <w:rPr>
          <w:rFonts w:eastAsia="MS Mincho"/>
        </w:rPr>
        <w:t xml:space="preserve"> </w:t>
      </w:r>
      <w:r w:rsidR="1BDC851D" w:rsidRPr="25187F4A">
        <w:rPr>
          <w:rFonts w:eastAsia="MS Mincho"/>
        </w:rPr>
        <w:t>timeliness</w:t>
      </w:r>
      <w:r w:rsidR="62081A10" w:rsidRPr="25187F4A">
        <w:rPr>
          <w:rFonts w:eastAsia="MS Mincho"/>
        </w:rPr>
        <w:t xml:space="preserve"> regarding the provision of information</w:t>
      </w:r>
      <w:r w:rsidR="78D411AF" w:rsidRPr="25187F4A">
        <w:rPr>
          <w:rFonts w:eastAsia="MS Mincho"/>
        </w:rPr>
        <w:t>. Further consideration could be given to</w:t>
      </w:r>
      <w:r w:rsidR="1BDC851D" w:rsidRPr="25187F4A">
        <w:rPr>
          <w:rFonts w:eastAsia="MS Mincho"/>
        </w:rPr>
        <w:t xml:space="preserve"> mechanisms that would increase victim participation and empowerment </w:t>
      </w:r>
      <w:r w:rsidR="66692295" w:rsidRPr="444A137F">
        <w:rPr>
          <w:rFonts w:eastAsia="MS Mincho"/>
        </w:rPr>
        <w:t xml:space="preserve">of victims </w:t>
      </w:r>
      <w:r w:rsidR="66692295" w:rsidRPr="6EBB65FE">
        <w:rPr>
          <w:rFonts w:eastAsia="MS Mincho"/>
        </w:rPr>
        <w:t xml:space="preserve">in the criminal justice </w:t>
      </w:r>
      <w:r w:rsidR="66692295" w:rsidRPr="1DA33945">
        <w:rPr>
          <w:rFonts w:eastAsia="MS Mincho"/>
        </w:rPr>
        <w:t xml:space="preserve">process. </w:t>
      </w:r>
    </w:p>
    <w:p w14:paraId="1CEE14BC" w14:textId="7B751714" w:rsidR="7AA2E907" w:rsidRDefault="7AA2E907" w:rsidP="1AAC9DFB">
      <w:pPr>
        <w:pStyle w:val="Numberedparagraph"/>
      </w:pPr>
      <w:r w:rsidRPr="56C7C549">
        <w:rPr>
          <w:rFonts w:eastAsia="MS Mincho"/>
        </w:rPr>
        <w:t xml:space="preserve">As already </w:t>
      </w:r>
      <w:r w:rsidR="1D99C69F" w:rsidRPr="56C7C549">
        <w:rPr>
          <w:rFonts w:eastAsia="MS Mincho"/>
        </w:rPr>
        <w:t xml:space="preserve">noted above, </w:t>
      </w:r>
      <w:r w:rsidR="1D99C69F">
        <w:t xml:space="preserve">the Victims Charter </w:t>
      </w:r>
      <w:r w:rsidR="0F9A64BE">
        <w:t>would benefit from greater clarity regarding</w:t>
      </w:r>
      <w:r w:rsidR="1D99C69F">
        <w:t xml:space="preserve"> the interface between victims’ rights to information and confidentiality obligations owed to the accused</w:t>
      </w:r>
      <w:r w:rsidR="0E19E667">
        <w:t>.</w:t>
      </w:r>
    </w:p>
    <w:p w14:paraId="0A254709" w14:textId="14393D0A" w:rsidR="004A7D05" w:rsidRDefault="3D9C3B4D" w:rsidP="004A7D05">
      <w:pPr>
        <w:pStyle w:val="Numberedparagraph"/>
      </w:pPr>
      <w:r>
        <w:t>Additionally, research has found female victims of sexual offending have experience communication difficulties during the criminal justice process. The conclusion of this research is that victims’ rights regimes in N</w:t>
      </w:r>
      <w:r w:rsidR="00AE7F87">
        <w:t xml:space="preserve">ew </w:t>
      </w:r>
      <w:r>
        <w:t>S</w:t>
      </w:r>
      <w:r w:rsidR="00AE7F87">
        <w:t xml:space="preserve">outh </w:t>
      </w:r>
      <w:r>
        <w:t>W</w:t>
      </w:r>
      <w:r w:rsidR="00AE7F87">
        <w:t>ales</w:t>
      </w:r>
      <w:r>
        <w:t>, Queensland, South Australia, Tasmania and Western Australia be amended to remove the responsibility for obtaining information about the criminal investigation and trial process from the victim and instead place the onus to</w:t>
      </w:r>
      <w:r w:rsidR="00402223">
        <w:t xml:space="preserve"> actively</w:t>
      </w:r>
      <w:r>
        <w:t xml:space="preserve"> provide that information on the relevant agency, as is the case in the ACT, Northern Territory and Victoria. The researchers also recommend piloting automated notification systems, which could further assist agencies to fulfil their obligations to provide victims with relevant information on an ongoing basis.</w:t>
      </w:r>
      <w:r w:rsidR="004A7D05">
        <w:rPr>
          <w:rStyle w:val="FootnoteReference"/>
        </w:rPr>
        <w:footnoteReference w:id="47"/>
      </w:r>
    </w:p>
    <w:p w14:paraId="313AD5DA" w14:textId="40AB2557" w:rsidR="003F2299" w:rsidRDefault="00C14D51" w:rsidP="003F2299">
      <w:pPr>
        <w:pStyle w:val="Heading2"/>
      </w:pPr>
      <w:bookmarkStart w:id="30" w:name="_Toc132204360"/>
      <w:bookmarkEnd w:id="29"/>
      <w:r>
        <w:t>Engagement with victims</w:t>
      </w:r>
      <w:bookmarkEnd w:id="30"/>
      <w:r>
        <w:t xml:space="preserve"> </w:t>
      </w:r>
    </w:p>
    <w:p w14:paraId="39BBBBB3" w14:textId="72E75510" w:rsidR="00681CFD" w:rsidRDefault="30D805DA" w:rsidP="00681CFD">
      <w:pPr>
        <w:pStyle w:val="Numberedparagraph"/>
      </w:pPr>
      <w:r>
        <w:t>The Commission</w:t>
      </w:r>
      <w:r w:rsidR="71732114">
        <w:t xml:space="preserve"> suggests</w:t>
      </w:r>
      <w:r>
        <w:t xml:space="preserve"> </w:t>
      </w:r>
      <w:r w:rsidR="00402223">
        <w:t xml:space="preserve">that any review concerning </w:t>
      </w:r>
      <w:r w:rsidR="00080522">
        <w:t xml:space="preserve">support for </w:t>
      </w:r>
      <w:r w:rsidR="00402223">
        <w:t>victims</w:t>
      </w:r>
      <w:r w:rsidR="00080522">
        <w:t xml:space="preserve"> and </w:t>
      </w:r>
      <w:proofErr w:type="spellStart"/>
      <w:r w:rsidR="00080522">
        <w:t>victims</w:t>
      </w:r>
      <w:proofErr w:type="spellEnd"/>
      <w:r w:rsidR="00080522">
        <w:t xml:space="preserve"> rights</w:t>
      </w:r>
      <w:r w:rsidR="00402223">
        <w:t>,</w:t>
      </w:r>
      <w:r w:rsidR="00080522">
        <w:t xml:space="preserve"> including</w:t>
      </w:r>
      <w:r w:rsidR="00402223">
        <w:t xml:space="preserve"> </w:t>
      </w:r>
      <w:r>
        <w:t xml:space="preserve">both </w:t>
      </w:r>
      <w:r w:rsidR="778D56BD">
        <w:t xml:space="preserve">the review of the </w:t>
      </w:r>
      <w:r w:rsidR="00402223">
        <w:t>V</w:t>
      </w:r>
      <w:r w:rsidR="778D56BD">
        <w:t xml:space="preserve">ictims </w:t>
      </w:r>
      <w:r w:rsidR="00402223">
        <w:t>C</w:t>
      </w:r>
      <w:r w:rsidR="778D56BD">
        <w:t>harter and the HR Act</w:t>
      </w:r>
      <w:r w:rsidR="00080522">
        <w:t>,</w:t>
      </w:r>
      <w:r>
        <w:t xml:space="preserve"> should  </w:t>
      </w:r>
      <w:r w:rsidR="00080522">
        <w:t xml:space="preserve">give priority to </w:t>
      </w:r>
      <w:r>
        <w:t>engaging with victims of crime</w:t>
      </w:r>
      <w:r w:rsidR="005D68BA">
        <w:t>, including their families,</w:t>
      </w:r>
      <w:r>
        <w:t xml:space="preserve"> about their experiences with the criminal justice system</w:t>
      </w:r>
      <w:r w:rsidR="6C1C2F19">
        <w:t xml:space="preserve"> in light of the evidence heard by recent reviews and inquiries</w:t>
      </w:r>
      <w:r>
        <w:t xml:space="preserve">. </w:t>
      </w:r>
    </w:p>
    <w:p w14:paraId="718A62ED" w14:textId="4DFA48FE" w:rsidR="000C619C" w:rsidRDefault="000C619C" w:rsidP="7E1DD02E">
      <w:pPr>
        <w:pStyle w:val="Heading1"/>
      </w:pPr>
      <w:bookmarkStart w:id="31" w:name="_Toc132204361"/>
      <w:r>
        <w:t>Conclusion</w:t>
      </w:r>
      <w:bookmarkEnd w:id="31"/>
    </w:p>
    <w:p w14:paraId="06553847" w14:textId="0A82A60B" w:rsidR="000C619C" w:rsidRDefault="15B5D8D3" w:rsidP="000C619C">
      <w:pPr>
        <w:pStyle w:val="Numberedparagraph"/>
      </w:pPr>
      <w:r>
        <w:t xml:space="preserve">This Inquiry is </w:t>
      </w:r>
      <w:r w:rsidR="0053C1A6">
        <w:t xml:space="preserve">an opportunity to take stock of the various recommendations of recent reports and </w:t>
      </w:r>
      <w:r w:rsidR="371C55E6">
        <w:t xml:space="preserve">the experiences of victims of crime which led to those recommendations. </w:t>
      </w:r>
    </w:p>
    <w:p w14:paraId="16797ADF" w14:textId="18B79569" w:rsidR="004F3217" w:rsidRPr="000C619C" w:rsidRDefault="7D1B5781" w:rsidP="006C0490">
      <w:pPr>
        <w:pStyle w:val="Numberedparagraph"/>
      </w:pPr>
      <w:r>
        <w:t xml:space="preserve">It is clear that </w:t>
      </w:r>
      <w:r w:rsidR="44E109DB">
        <w:t>more reform is needed to ensure that the ri</w:t>
      </w:r>
      <w:r w:rsidR="5C9177E7">
        <w:t>ghts of victims of crime are upheld by all participants in the system, and t</w:t>
      </w:r>
      <w:r w:rsidR="3819D358">
        <w:t xml:space="preserve">hat victims receive the support, empowerment and engagement </w:t>
      </w:r>
      <w:r w:rsidR="4BBD2065">
        <w:t xml:space="preserve">they need for justice to be achieved. </w:t>
      </w:r>
    </w:p>
    <w:sectPr w:rsidR="004F3217" w:rsidRPr="000C619C" w:rsidSect="00CB0BBF">
      <w:headerReference w:type="default" r:id="rId13"/>
      <w:headerReference w:type="first" r:id="rId14"/>
      <w:footerReference w:type="first" r:id="rId15"/>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F28C" w14:textId="77777777" w:rsidR="003C1017" w:rsidRDefault="003C1017" w:rsidP="0034134D">
      <w:r>
        <w:separator/>
      </w:r>
    </w:p>
  </w:endnote>
  <w:endnote w:type="continuationSeparator" w:id="0">
    <w:p w14:paraId="09740702" w14:textId="77777777" w:rsidR="003C1017" w:rsidRDefault="003C1017" w:rsidP="0034134D">
      <w:r>
        <w:continuationSeparator/>
      </w:r>
    </w:p>
  </w:endnote>
  <w:endnote w:type="continuationNotice" w:id="1">
    <w:p w14:paraId="2D064510" w14:textId="77777777" w:rsidR="003C1017" w:rsidRDefault="003C10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DFBA" w14:textId="04F34480" w:rsidR="003C1017" w:rsidRPr="00260847" w:rsidRDefault="003C101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57BA6901" wp14:editId="255B2A00">
          <wp:extent cx="5463606" cy="4802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Pr="00260847">
      <w:rPr>
        <w:rFonts w:cs="Arial"/>
        <w:color w:val="404040" w:themeColor="text1" w:themeTint="BF"/>
        <w:sz w:val="16"/>
        <w:szCs w:val="20"/>
      </w:rPr>
      <w:fldChar w:fldCharType="begin"/>
    </w:r>
    <w:r w:rsidRPr="00260847">
      <w:rPr>
        <w:rFonts w:cs="Arial"/>
        <w:color w:val="404040" w:themeColor="text1" w:themeTint="BF"/>
        <w:sz w:val="16"/>
        <w:szCs w:val="20"/>
      </w:rPr>
      <w:instrText xml:space="preserve"> PAGE   \* MERGEFORMAT </w:instrText>
    </w:r>
    <w:r w:rsidRPr="00260847">
      <w:rPr>
        <w:rFonts w:cs="Arial"/>
        <w:color w:val="404040" w:themeColor="text1" w:themeTint="BF"/>
        <w:sz w:val="16"/>
        <w:szCs w:val="20"/>
      </w:rPr>
      <w:fldChar w:fldCharType="separate"/>
    </w:r>
    <w:r w:rsidR="00464840">
      <w:rPr>
        <w:rFonts w:cs="Arial"/>
        <w:noProof/>
        <w:color w:val="404040" w:themeColor="text1" w:themeTint="BF"/>
        <w:sz w:val="16"/>
        <w:szCs w:val="20"/>
      </w:rPr>
      <w:t>2</w:t>
    </w:r>
    <w:r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6152" w14:textId="77777777" w:rsidR="003C1017" w:rsidRDefault="003C1017" w:rsidP="000731D3">
    <w:pPr>
      <w:pStyle w:val="Footer"/>
      <w:pBdr>
        <w:top w:val="single" w:sz="4" w:space="1" w:color="auto"/>
      </w:pBdr>
      <w:jc w:val="right"/>
      <w:rPr>
        <w:rFonts w:cs="Arial"/>
        <w:sz w:val="20"/>
        <w:szCs w:val="20"/>
      </w:rPr>
    </w:pPr>
  </w:p>
  <w:p w14:paraId="58717575" w14:textId="77777777" w:rsidR="003C1017" w:rsidRPr="004A2375" w:rsidRDefault="003C1017"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04753" w14:textId="77777777" w:rsidR="003C1017" w:rsidRDefault="003C1017" w:rsidP="0034134D">
      <w:r>
        <w:separator/>
      </w:r>
    </w:p>
  </w:footnote>
  <w:footnote w:type="continuationSeparator" w:id="0">
    <w:p w14:paraId="36488224" w14:textId="77777777" w:rsidR="003C1017" w:rsidRDefault="003C1017" w:rsidP="0034134D">
      <w:r>
        <w:continuationSeparator/>
      </w:r>
    </w:p>
  </w:footnote>
  <w:footnote w:type="continuationNotice" w:id="1">
    <w:p w14:paraId="4782C85C" w14:textId="77777777" w:rsidR="003C1017" w:rsidRDefault="003C1017">
      <w:pPr>
        <w:spacing w:after="0"/>
      </w:pPr>
    </w:p>
  </w:footnote>
  <w:footnote w:id="2">
    <w:p w14:paraId="5FE710F9" w14:textId="26CAD154" w:rsidR="00736385" w:rsidRPr="00C57E48" w:rsidRDefault="00736385" w:rsidP="00736385">
      <w:pPr>
        <w:pStyle w:val="FootnoteText"/>
        <w:rPr>
          <w:lang w:val="en-US"/>
        </w:rPr>
      </w:pPr>
      <w:r>
        <w:rPr>
          <w:rStyle w:val="FootnoteReference"/>
        </w:rPr>
        <w:footnoteRef/>
      </w:r>
      <w:r>
        <w:t xml:space="preserve"> </w:t>
      </w:r>
      <w:r w:rsidR="002C4871" w:rsidRPr="002C4871">
        <w:rPr>
          <w:lang w:val="en-US"/>
        </w:rPr>
        <w:t xml:space="preserve">See for example: the Queensland Women’s Safety and Justice Taskforce reports </w:t>
      </w:r>
      <w:r w:rsidR="002C4871" w:rsidRPr="002C4871">
        <w:rPr>
          <w:i/>
          <w:iCs/>
          <w:lang w:val="en-US"/>
        </w:rPr>
        <w:t>Hear her voice</w:t>
      </w:r>
      <w:r w:rsidR="002C4871" w:rsidRPr="002C4871">
        <w:rPr>
          <w:lang w:val="en-US"/>
        </w:rPr>
        <w:t xml:space="preserve"> (</w:t>
      </w:r>
      <w:r w:rsidR="002C4871">
        <w:rPr>
          <w:lang w:val="en-US"/>
        </w:rPr>
        <w:t>R</w:t>
      </w:r>
      <w:r w:rsidR="002C4871" w:rsidRPr="002C4871">
        <w:rPr>
          <w:lang w:val="en-US"/>
        </w:rPr>
        <w:t xml:space="preserve">eports 1 to 3, 2021–2022); the Commission of Inquiry into Queensland Police Service responses to domestic and family violence report, </w:t>
      </w:r>
      <w:r w:rsidR="002C4871" w:rsidRPr="002C4871">
        <w:rPr>
          <w:i/>
          <w:iCs/>
          <w:lang w:val="en-US"/>
        </w:rPr>
        <w:t>A Call for Change</w:t>
      </w:r>
      <w:r w:rsidR="002C4871" w:rsidRPr="002C4871">
        <w:rPr>
          <w:lang w:val="en-US"/>
        </w:rPr>
        <w:t xml:space="preserve"> (2022); and evidence given to the Queensland Parliament’s Economics and Governance Committee in its Inquiry into the Strengthening Community Safety Bill 2023.</w:t>
      </w:r>
    </w:p>
  </w:footnote>
  <w:footnote w:id="3">
    <w:p w14:paraId="470F3931" w14:textId="4E0D58B2" w:rsidR="00FA203F" w:rsidRPr="00FA203F" w:rsidRDefault="00FA203F">
      <w:pPr>
        <w:pStyle w:val="FootnoteText"/>
        <w:rPr>
          <w:lang w:val="en-US"/>
        </w:rPr>
      </w:pPr>
      <w:r>
        <w:rPr>
          <w:rStyle w:val="FootnoteReference"/>
        </w:rPr>
        <w:footnoteRef/>
      </w:r>
      <w:r>
        <w:t xml:space="preserve"> </w:t>
      </w:r>
      <w:r w:rsidRPr="00FA203F">
        <w:rPr>
          <w:color w:val="auto"/>
        </w:rPr>
        <w:t>Adopted by the General Assembly on 29 November 1985.</w:t>
      </w:r>
    </w:p>
  </w:footnote>
  <w:footnote w:id="4">
    <w:p w14:paraId="66F1BA99" w14:textId="0801D92A" w:rsidR="003C1017" w:rsidRPr="00D66F4F" w:rsidRDefault="003C1017" w:rsidP="002A4061">
      <w:pPr>
        <w:pStyle w:val="FootnoteText"/>
        <w:rPr>
          <w:lang w:val="en-US"/>
        </w:rPr>
      </w:pPr>
      <w:r>
        <w:rPr>
          <w:rStyle w:val="FootnoteReference"/>
        </w:rPr>
        <w:footnoteRef/>
      </w:r>
      <w:r>
        <w:t xml:space="preserve"> </w:t>
      </w:r>
      <w:r w:rsidR="002C4871" w:rsidRPr="002C4871">
        <w:rPr>
          <w:lang w:val="en-US"/>
        </w:rPr>
        <w:t xml:space="preserve">Robyn Holder, Tyrone </w:t>
      </w:r>
      <w:r w:rsidR="002C4871" w:rsidRPr="002C4871">
        <w:rPr>
          <w:lang w:val="en-US"/>
        </w:rPr>
        <w:t xml:space="preserve">Kirchengast and Paul Cassell, ‘Transforming Crime Victims’ Rights: from Myth to Reality’ (2021) 45(1) </w:t>
      </w:r>
      <w:r w:rsidR="002C4871" w:rsidRPr="005D6656">
        <w:rPr>
          <w:i/>
          <w:iCs/>
          <w:lang w:val="en-US"/>
        </w:rPr>
        <w:t>International Journal of Comparative and Applied Criminal Justice</w:t>
      </w:r>
      <w:r w:rsidR="002C4871" w:rsidRPr="002C4871">
        <w:rPr>
          <w:lang w:val="en-US"/>
        </w:rPr>
        <w:t xml:space="preserve"> 1.</w:t>
      </w:r>
    </w:p>
  </w:footnote>
  <w:footnote w:id="5">
    <w:p w14:paraId="2A9236DD" w14:textId="2F4D9901" w:rsidR="003C1017" w:rsidRPr="00E669B1" w:rsidRDefault="003C1017">
      <w:pPr>
        <w:pStyle w:val="FootnoteText"/>
        <w:rPr>
          <w:lang w:val="en-US"/>
        </w:rPr>
      </w:pPr>
      <w:r>
        <w:rPr>
          <w:rStyle w:val="FootnoteReference"/>
        </w:rPr>
        <w:footnoteRef/>
      </w:r>
      <w:r>
        <w:t xml:space="preserve"> Victorian Law Reform Commission, </w:t>
      </w:r>
      <w:r>
        <w:rPr>
          <w:i/>
        </w:rPr>
        <w:t>The Role of Victims of Crime in the Criminal Trial Process (</w:t>
      </w:r>
      <w:r w:rsidRPr="00E669B1">
        <w:t>Report,</w:t>
      </w:r>
      <w:r>
        <w:rPr>
          <w:i/>
        </w:rPr>
        <w:t xml:space="preserve"> </w:t>
      </w:r>
      <w:r>
        <w:t>August 2016).</w:t>
      </w:r>
    </w:p>
  </w:footnote>
  <w:footnote w:id="6">
    <w:p w14:paraId="2ED57E52" w14:textId="566962C3" w:rsidR="003C1017" w:rsidRPr="0077637D" w:rsidRDefault="003C1017" w:rsidP="006670B9">
      <w:pPr>
        <w:pStyle w:val="FootnoteText"/>
      </w:pPr>
      <w:r>
        <w:rPr>
          <w:rStyle w:val="FootnoteReference"/>
        </w:rPr>
        <w:footnoteRef/>
      </w:r>
      <w:r>
        <w:t xml:space="preserve"> Ibid 29. </w:t>
      </w:r>
    </w:p>
  </w:footnote>
  <w:footnote w:id="7">
    <w:p w14:paraId="44FB1488" w14:textId="116E4257" w:rsidR="003C1017" w:rsidRPr="00961D3D" w:rsidRDefault="003C1017" w:rsidP="003F2299">
      <w:pPr>
        <w:pStyle w:val="FootnoteText"/>
        <w:rPr>
          <w:lang w:val="en-US"/>
        </w:rPr>
      </w:pPr>
      <w:r>
        <w:rPr>
          <w:rStyle w:val="FootnoteReference"/>
        </w:rPr>
        <w:footnoteRef/>
      </w:r>
      <w:r>
        <w:t xml:space="preserve"> </w:t>
      </w:r>
      <w:r w:rsidRPr="00E669B1">
        <w:rPr>
          <w:i/>
        </w:rPr>
        <w:t>Human Rights Act 2019</w:t>
      </w:r>
      <w:r>
        <w:t xml:space="preserve"> </w:t>
      </w:r>
      <w:r w:rsidRPr="00633DE3">
        <w:t xml:space="preserve">(Qld) </w:t>
      </w:r>
      <w:r>
        <w:rPr>
          <w:lang w:val="en-US"/>
        </w:rPr>
        <w:t>ss 9, 58(1).</w:t>
      </w:r>
    </w:p>
  </w:footnote>
  <w:footnote w:id="8">
    <w:p w14:paraId="3449E96A" w14:textId="28529B59" w:rsidR="003C1017" w:rsidRDefault="003C1017">
      <w:r w:rsidRPr="00E669B1">
        <w:rPr>
          <w:vertAlign w:val="superscript"/>
        </w:rPr>
        <w:footnoteRef/>
      </w:r>
      <w:r w:rsidRPr="00E669B1">
        <w:rPr>
          <w:sz w:val="20"/>
          <w:szCs w:val="20"/>
        </w:rPr>
        <w:t xml:space="preserve"> </w:t>
      </w:r>
      <w:r w:rsidRPr="00E669B1">
        <w:rPr>
          <w:i/>
          <w:sz w:val="20"/>
          <w:szCs w:val="20"/>
        </w:rPr>
        <w:t>Human Rights Act 2019</w:t>
      </w:r>
      <w:r w:rsidRPr="00E669B1">
        <w:rPr>
          <w:sz w:val="20"/>
          <w:szCs w:val="20"/>
        </w:rPr>
        <w:t xml:space="preserve"> (Qld) ss 48 and 5(2)(a).</w:t>
      </w:r>
    </w:p>
  </w:footnote>
  <w:footnote w:id="9">
    <w:p w14:paraId="66AFFB46" w14:textId="53EE1B96" w:rsidR="003C1017" w:rsidRPr="00633DE3" w:rsidRDefault="003C1017" w:rsidP="008918E1">
      <w:pPr>
        <w:pStyle w:val="FootnoteText"/>
        <w:rPr>
          <w:lang w:val="en-US"/>
        </w:rPr>
      </w:pPr>
      <w:r w:rsidRPr="00633DE3">
        <w:rPr>
          <w:rStyle w:val="FootnoteReference"/>
        </w:rPr>
        <w:footnoteRef/>
      </w:r>
      <w:r w:rsidRPr="00633DE3">
        <w:t xml:space="preserve"> </w:t>
      </w:r>
      <w:r w:rsidRPr="00633DE3">
        <w:rPr>
          <w:i/>
          <w:iCs/>
        </w:rPr>
        <w:t xml:space="preserve">Human Rights Act 2019 </w:t>
      </w:r>
      <w:r w:rsidRPr="00633DE3">
        <w:t>(Qld) s</w:t>
      </w:r>
      <w:r>
        <w:t>s 8,</w:t>
      </w:r>
      <w:r w:rsidRPr="00633DE3">
        <w:t xml:space="preserve"> 13</w:t>
      </w:r>
      <w:r>
        <w:t>.</w:t>
      </w:r>
    </w:p>
  </w:footnote>
  <w:footnote w:id="10">
    <w:p w14:paraId="6F4F8A2F" w14:textId="6A7800D1" w:rsidR="003C1017" w:rsidRPr="00416A54" w:rsidRDefault="003C1017" w:rsidP="003F2299">
      <w:pPr>
        <w:pStyle w:val="FootnoteText"/>
        <w:rPr>
          <w:lang w:val="en-US"/>
        </w:rPr>
      </w:pPr>
      <w:r>
        <w:rPr>
          <w:rStyle w:val="FootnoteReference"/>
        </w:rPr>
        <w:footnoteRef/>
      </w:r>
      <w:r>
        <w:t xml:space="preserve"> </w:t>
      </w:r>
      <w:r w:rsidRPr="00633DE3">
        <w:rPr>
          <w:i/>
          <w:iCs/>
        </w:rPr>
        <w:t xml:space="preserve">Human Rights Act 2019 </w:t>
      </w:r>
      <w:r w:rsidRPr="00633DE3">
        <w:t xml:space="preserve">(Qld) </w:t>
      </w:r>
      <w:r>
        <w:rPr>
          <w:lang w:val="en-US"/>
        </w:rPr>
        <w:t>48(3).</w:t>
      </w:r>
    </w:p>
  </w:footnote>
  <w:footnote w:id="11">
    <w:p w14:paraId="597512AD" w14:textId="3CB4D21E" w:rsidR="003C1017" w:rsidRPr="00D84EF6" w:rsidRDefault="003C1017" w:rsidP="003F2299">
      <w:pPr>
        <w:pStyle w:val="FootnoteText"/>
        <w:rPr>
          <w:lang w:val="en-US"/>
        </w:rPr>
      </w:pPr>
      <w:r>
        <w:rPr>
          <w:rStyle w:val="FootnoteReference"/>
        </w:rPr>
        <w:footnoteRef/>
      </w:r>
      <w:r>
        <w:t xml:space="preserve"> </w:t>
      </w:r>
      <w:r w:rsidRPr="00633DE3">
        <w:rPr>
          <w:i/>
          <w:iCs/>
        </w:rPr>
        <w:t xml:space="preserve">Human Rights Act 2019 </w:t>
      </w:r>
      <w:r w:rsidRPr="00633DE3">
        <w:t xml:space="preserve">(Qld) </w:t>
      </w:r>
      <w:r>
        <w:t>s</w:t>
      </w:r>
      <w:r>
        <w:rPr>
          <w:lang w:val="en-US"/>
        </w:rPr>
        <w:t xml:space="preserve"> 15.</w:t>
      </w:r>
    </w:p>
  </w:footnote>
  <w:footnote w:id="12">
    <w:p w14:paraId="7B5A5C5F" w14:textId="5B8075F0" w:rsidR="003C1017" w:rsidRPr="00564A19" w:rsidRDefault="003C1017" w:rsidP="003F2299">
      <w:pPr>
        <w:pStyle w:val="FootnoteText"/>
        <w:rPr>
          <w:lang w:val="en-US"/>
        </w:rPr>
      </w:pPr>
      <w:r>
        <w:rPr>
          <w:rStyle w:val="FootnoteReference"/>
        </w:rPr>
        <w:footnoteRef/>
      </w:r>
      <w:r>
        <w:t xml:space="preserve"> </w:t>
      </w:r>
      <w:r w:rsidRPr="00633DE3">
        <w:rPr>
          <w:i/>
          <w:iCs/>
        </w:rPr>
        <w:t xml:space="preserve">Human Rights Act 2019 </w:t>
      </w:r>
      <w:r w:rsidRPr="00633DE3">
        <w:t xml:space="preserve">(Qld) </w:t>
      </w:r>
      <w:r>
        <w:t>s 16.</w:t>
      </w:r>
    </w:p>
  </w:footnote>
  <w:footnote w:id="13">
    <w:p w14:paraId="5496AD6F" w14:textId="1EC6F5D2" w:rsidR="003C1017" w:rsidRPr="00564A19" w:rsidRDefault="003C1017" w:rsidP="003F2299">
      <w:pPr>
        <w:pStyle w:val="FootnoteText"/>
        <w:rPr>
          <w:lang w:val="en-US"/>
        </w:rPr>
      </w:pPr>
      <w:r>
        <w:rPr>
          <w:rStyle w:val="FootnoteReference"/>
        </w:rPr>
        <w:footnoteRef/>
      </w:r>
      <w:r>
        <w:t xml:space="preserve"> </w:t>
      </w:r>
      <w:r w:rsidRPr="00633DE3">
        <w:rPr>
          <w:i/>
          <w:iCs/>
        </w:rPr>
        <w:t xml:space="preserve">Human Rights Act 2019 </w:t>
      </w:r>
      <w:r w:rsidRPr="00633DE3">
        <w:t xml:space="preserve">(Qld) s </w:t>
      </w:r>
      <w:r>
        <w:t xml:space="preserve">17. </w:t>
      </w:r>
    </w:p>
  </w:footnote>
  <w:footnote w:id="14">
    <w:p w14:paraId="33885E28" w14:textId="3B06CBE4" w:rsidR="003C1017" w:rsidRPr="00C07D81" w:rsidRDefault="003C1017" w:rsidP="003F2299">
      <w:pPr>
        <w:pStyle w:val="FootnoteText"/>
        <w:rPr>
          <w:lang w:val="en-US"/>
        </w:rPr>
      </w:pPr>
      <w:r>
        <w:rPr>
          <w:rStyle w:val="FootnoteReference"/>
        </w:rPr>
        <w:footnoteRef/>
      </w:r>
      <w:r>
        <w:t xml:space="preserve"> </w:t>
      </w:r>
      <w:r w:rsidRPr="00221F7D">
        <w:rPr>
          <w:i/>
          <w:iCs/>
        </w:rPr>
        <w:t>Commissioner of Police of the Metropolis v DSD &amp; Anor</w:t>
      </w:r>
      <w:r w:rsidRPr="00BE4D59">
        <w:t xml:space="preserve"> [2018] UKSC 11</w:t>
      </w:r>
      <w:r>
        <w:t>.</w:t>
      </w:r>
    </w:p>
  </w:footnote>
  <w:footnote w:id="15">
    <w:p w14:paraId="099BEA76" w14:textId="7749EF5F" w:rsidR="003C1017" w:rsidRDefault="003C1017" w:rsidP="0B62BDD4">
      <w:pPr>
        <w:pStyle w:val="FootnoteText"/>
        <w:rPr>
          <w:lang w:val="en-US"/>
        </w:rPr>
      </w:pPr>
      <w:r w:rsidRPr="0B62BDD4">
        <w:rPr>
          <w:rStyle w:val="FootnoteReference"/>
        </w:rPr>
        <w:footnoteRef/>
      </w:r>
      <w:r>
        <w:t xml:space="preserve"> </w:t>
      </w:r>
      <w:r w:rsidRPr="0B62BDD4">
        <w:rPr>
          <w:i/>
          <w:iCs/>
        </w:rPr>
        <w:t xml:space="preserve">Human Rights Act 2019 </w:t>
      </w:r>
      <w:r>
        <w:t>(Qld) s 21.</w:t>
      </w:r>
    </w:p>
  </w:footnote>
  <w:footnote w:id="16">
    <w:p w14:paraId="00170FBC" w14:textId="7099F4C2" w:rsidR="003C1017" w:rsidRPr="00564A19" w:rsidRDefault="003C1017" w:rsidP="003F2299">
      <w:pPr>
        <w:pStyle w:val="FootnoteText"/>
        <w:rPr>
          <w:lang w:val="en-US"/>
        </w:rPr>
      </w:pPr>
      <w:r>
        <w:rPr>
          <w:rStyle w:val="FootnoteReference"/>
        </w:rPr>
        <w:footnoteRef/>
      </w:r>
      <w:r>
        <w:t xml:space="preserve"> </w:t>
      </w:r>
      <w:r w:rsidRPr="00633DE3">
        <w:rPr>
          <w:i/>
          <w:iCs/>
        </w:rPr>
        <w:t xml:space="preserve">Human Rights Act 2019 </w:t>
      </w:r>
      <w:r w:rsidRPr="00633DE3">
        <w:t xml:space="preserve">(Qld) </w:t>
      </w:r>
      <w:r>
        <w:t>s 25.</w:t>
      </w:r>
    </w:p>
  </w:footnote>
  <w:footnote w:id="17">
    <w:p w14:paraId="601A7B22" w14:textId="295AA2BD" w:rsidR="003C1017" w:rsidRDefault="003C1017" w:rsidP="0B62BDD4">
      <w:pPr>
        <w:pStyle w:val="FootnoteText"/>
        <w:rPr>
          <w:lang w:val="en-US"/>
        </w:rPr>
      </w:pPr>
      <w:r w:rsidRPr="0B62BDD4">
        <w:rPr>
          <w:rStyle w:val="FootnoteReference"/>
        </w:rPr>
        <w:footnoteRef/>
      </w:r>
      <w:r>
        <w:t xml:space="preserve"> </w:t>
      </w:r>
      <w:r w:rsidRPr="0B62BDD4">
        <w:rPr>
          <w:i/>
          <w:iCs/>
        </w:rPr>
        <w:t xml:space="preserve">Human Rights Act 2019 </w:t>
      </w:r>
      <w:r>
        <w:t>(Qld) s 26.</w:t>
      </w:r>
    </w:p>
  </w:footnote>
  <w:footnote w:id="18">
    <w:p w14:paraId="7BBE9DAD" w14:textId="61E01A40" w:rsidR="003C1017" w:rsidRDefault="003C1017" w:rsidP="07ED29DB">
      <w:pPr>
        <w:pStyle w:val="FootnoteText"/>
        <w:rPr>
          <w:highlight w:val="yellow"/>
          <w:lang w:val="en-US"/>
        </w:rPr>
      </w:pPr>
      <w:r w:rsidRPr="07ED29DB">
        <w:rPr>
          <w:rStyle w:val="FootnoteReference"/>
        </w:rPr>
        <w:footnoteRef/>
      </w:r>
      <w:r>
        <w:t xml:space="preserve"> </w:t>
      </w:r>
      <w:r w:rsidRPr="07ED29DB">
        <w:rPr>
          <w:i/>
          <w:iCs/>
        </w:rPr>
        <w:t xml:space="preserve">Human Rights Act 2019 </w:t>
      </w:r>
      <w:r>
        <w:t>(Qld) s</w:t>
      </w:r>
      <w:r w:rsidR="00A4060B">
        <w:t>s 27,</w:t>
      </w:r>
      <w:r>
        <w:t xml:space="preserve"> 28. </w:t>
      </w:r>
    </w:p>
  </w:footnote>
  <w:footnote w:id="19">
    <w:p w14:paraId="0FC34DC1" w14:textId="17D60861" w:rsidR="003C1017" w:rsidRPr="00564A19" w:rsidRDefault="003C1017" w:rsidP="003F2299">
      <w:pPr>
        <w:pStyle w:val="FootnoteText"/>
        <w:rPr>
          <w:lang w:val="en-US"/>
        </w:rPr>
      </w:pPr>
      <w:r>
        <w:rPr>
          <w:rStyle w:val="FootnoteReference"/>
        </w:rPr>
        <w:footnoteRef/>
      </w:r>
      <w:r>
        <w:t xml:space="preserve"> </w:t>
      </w:r>
      <w:r w:rsidRPr="00633DE3">
        <w:rPr>
          <w:i/>
          <w:iCs/>
        </w:rPr>
        <w:t xml:space="preserve">Human Rights Act 2019 </w:t>
      </w:r>
      <w:r w:rsidRPr="00633DE3">
        <w:t xml:space="preserve">(Qld) </w:t>
      </w:r>
      <w:r>
        <w:t>s 29.</w:t>
      </w:r>
    </w:p>
  </w:footnote>
  <w:footnote w:id="20">
    <w:p w14:paraId="63ED6C4B" w14:textId="25723EF7" w:rsidR="003C1017" w:rsidRPr="00564A19" w:rsidRDefault="003C1017" w:rsidP="003F2299">
      <w:pPr>
        <w:pStyle w:val="FootnoteText"/>
        <w:rPr>
          <w:lang w:val="en-US"/>
        </w:rPr>
      </w:pPr>
      <w:r w:rsidRPr="00564A19">
        <w:rPr>
          <w:rStyle w:val="FootnoteReference"/>
        </w:rPr>
        <w:footnoteRef/>
      </w:r>
      <w:r w:rsidRPr="00564A19">
        <w:t xml:space="preserve"> </w:t>
      </w:r>
      <w:r w:rsidRPr="00564A19">
        <w:rPr>
          <w:i/>
          <w:iCs/>
        </w:rPr>
        <w:t xml:space="preserve">Human Rights Act 2019 </w:t>
      </w:r>
      <w:r w:rsidRPr="00564A19">
        <w:t>(Qld) s</w:t>
      </w:r>
      <w:r>
        <w:t>s</w:t>
      </w:r>
      <w:r w:rsidRPr="00564A19">
        <w:t xml:space="preserve"> </w:t>
      </w:r>
      <w:r>
        <w:t xml:space="preserve">25, </w:t>
      </w:r>
      <w:r w:rsidRPr="00564A19">
        <w:t>31</w:t>
      </w:r>
      <w:r>
        <w:t>, 32, 33</w:t>
      </w:r>
      <w:r w:rsidRPr="00564A19">
        <w:t xml:space="preserve">. </w:t>
      </w:r>
    </w:p>
  </w:footnote>
  <w:footnote w:id="21">
    <w:p w14:paraId="7777423A" w14:textId="2D6D2F3E" w:rsidR="003C1017" w:rsidRPr="00E533CC" w:rsidRDefault="003C1017">
      <w:pPr>
        <w:pStyle w:val="FootnoteText"/>
        <w:rPr>
          <w:lang w:val="en-US"/>
        </w:rPr>
      </w:pPr>
      <w:r>
        <w:rPr>
          <w:rStyle w:val="FootnoteReference"/>
        </w:rPr>
        <w:footnoteRef/>
      </w:r>
      <w:r>
        <w:t xml:space="preserve"> Victorian Law Reform Commission, </w:t>
      </w:r>
      <w:r>
        <w:rPr>
          <w:i/>
        </w:rPr>
        <w:t>The Role of Victims of Crime in the Criminal Trial Process (</w:t>
      </w:r>
      <w:r w:rsidRPr="00E669B1">
        <w:t>Report,</w:t>
      </w:r>
      <w:r>
        <w:rPr>
          <w:i/>
        </w:rPr>
        <w:t xml:space="preserve"> </w:t>
      </w:r>
      <w:r>
        <w:t>August 2016) 132 - 133.</w:t>
      </w:r>
    </w:p>
  </w:footnote>
  <w:footnote w:id="22">
    <w:p w14:paraId="49B80ECC" w14:textId="7B113DEC" w:rsidR="00A21BF3" w:rsidRPr="002E6BF5" w:rsidRDefault="00A21BF3">
      <w:pPr>
        <w:pStyle w:val="FootnoteText"/>
        <w:rPr>
          <w:lang w:val="en-US"/>
        </w:rPr>
      </w:pPr>
      <w:r>
        <w:rPr>
          <w:rStyle w:val="FootnoteReference"/>
        </w:rPr>
        <w:footnoteRef/>
      </w:r>
      <w:r>
        <w:t xml:space="preserve"> </w:t>
      </w:r>
      <w:r w:rsidR="003F4276">
        <w:rPr>
          <w:lang w:val="en-US"/>
        </w:rPr>
        <w:t xml:space="preserve">The Victorian Law Reform Commission noted that reforms in that state </w:t>
      </w:r>
      <w:r w:rsidR="002E6BF5">
        <w:rPr>
          <w:lang w:val="en-US"/>
        </w:rPr>
        <w:t xml:space="preserve">have </w:t>
      </w:r>
      <w:r w:rsidR="002E6BF5">
        <w:rPr>
          <w:lang w:val="en-US"/>
        </w:rPr>
        <w:t xml:space="preserve">recognised </w:t>
      </w:r>
      <w:r w:rsidR="003F4276">
        <w:rPr>
          <w:lang w:val="en-US"/>
        </w:rPr>
        <w:t xml:space="preserve">family members as victims </w:t>
      </w:r>
      <w:r w:rsidR="002E6BF5">
        <w:rPr>
          <w:lang w:val="en-US"/>
        </w:rPr>
        <w:t xml:space="preserve">who </w:t>
      </w:r>
      <w:r w:rsidR="003F4276">
        <w:rPr>
          <w:lang w:val="en-US"/>
        </w:rPr>
        <w:t xml:space="preserve">are entitled to receive information and assistance </w:t>
      </w:r>
      <w:r w:rsidR="002E6BF5">
        <w:rPr>
          <w:lang w:val="en-US"/>
        </w:rPr>
        <w:t xml:space="preserve">in the </w:t>
      </w:r>
      <w:r w:rsidR="003F4276">
        <w:rPr>
          <w:lang w:val="en-US"/>
        </w:rPr>
        <w:t xml:space="preserve">recovery process: </w:t>
      </w:r>
      <w:r w:rsidR="003F4276">
        <w:t xml:space="preserve">Victorian Law Reform Commission, </w:t>
      </w:r>
      <w:r w:rsidR="003F4276">
        <w:rPr>
          <w:i/>
        </w:rPr>
        <w:t>The Role of Victims of Crime in the Criminal Trial Process (</w:t>
      </w:r>
      <w:r w:rsidR="003F4276" w:rsidRPr="00E669B1">
        <w:t>Report,</w:t>
      </w:r>
      <w:r w:rsidR="003F4276">
        <w:rPr>
          <w:i/>
        </w:rPr>
        <w:t xml:space="preserve"> </w:t>
      </w:r>
      <w:r w:rsidR="003F4276">
        <w:t>August 2016) 23</w:t>
      </w:r>
      <w:r>
        <w:rPr>
          <w:szCs w:val="20"/>
        </w:rPr>
        <w:t xml:space="preserve"> [3.7]. </w:t>
      </w:r>
      <w:r>
        <w:t xml:space="preserve"> </w:t>
      </w:r>
    </w:p>
  </w:footnote>
  <w:footnote w:id="23">
    <w:p w14:paraId="5E0458AC" w14:textId="19929950" w:rsidR="003C1017" w:rsidRPr="005A1AC1" w:rsidRDefault="003C1017">
      <w:pPr>
        <w:pStyle w:val="FootnoteText"/>
        <w:rPr>
          <w:lang w:val="en-US"/>
        </w:rPr>
      </w:pPr>
      <w:r>
        <w:rPr>
          <w:rStyle w:val="FootnoteReference"/>
        </w:rPr>
        <w:footnoteRef/>
      </w:r>
      <w:r>
        <w:t xml:space="preserve"> </w:t>
      </w:r>
      <w:r w:rsidRPr="005A1AC1">
        <w:rPr>
          <w:i/>
          <w:lang w:val="en-US"/>
        </w:rPr>
        <w:t>Human Rights Act 2019</w:t>
      </w:r>
      <w:r>
        <w:rPr>
          <w:lang w:val="en-US"/>
        </w:rPr>
        <w:t xml:space="preserve"> (Qld) s 65. </w:t>
      </w:r>
    </w:p>
  </w:footnote>
  <w:footnote w:id="24">
    <w:p w14:paraId="354F7963" w14:textId="4D85F585" w:rsidR="003C1017" w:rsidRPr="005A1AC1" w:rsidRDefault="003C1017">
      <w:pPr>
        <w:pStyle w:val="FootnoteText"/>
        <w:rPr>
          <w:lang w:val="en-US"/>
        </w:rPr>
      </w:pPr>
      <w:r>
        <w:rPr>
          <w:rStyle w:val="FootnoteReference"/>
        </w:rPr>
        <w:footnoteRef/>
      </w:r>
      <w:r>
        <w:t xml:space="preserve"> </w:t>
      </w:r>
      <w:r>
        <w:rPr>
          <w:lang w:val="en-US"/>
        </w:rPr>
        <w:t xml:space="preserve">The Commissioner may accept a complaint before 45 business days have elapsed because of exceptional circumstances: </w:t>
      </w:r>
      <w:r w:rsidRPr="005A1AC1">
        <w:rPr>
          <w:i/>
          <w:lang w:val="en-US"/>
        </w:rPr>
        <w:t>Human Rights Act 2019</w:t>
      </w:r>
      <w:r>
        <w:rPr>
          <w:lang w:val="en-US"/>
        </w:rPr>
        <w:t xml:space="preserve"> (Qld) s 65(2).</w:t>
      </w:r>
    </w:p>
  </w:footnote>
  <w:footnote w:id="25">
    <w:p w14:paraId="3D974103" w14:textId="21A3D1D5" w:rsidR="003C1017" w:rsidRPr="005A1AC1" w:rsidRDefault="003C1017">
      <w:pPr>
        <w:pStyle w:val="FootnoteText"/>
        <w:rPr>
          <w:lang w:val="en-US"/>
        </w:rPr>
      </w:pPr>
      <w:r>
        <w:rPr>
          <w:rStyle w:val="FootnoteReference"/>
        </w:rPr>
        <w:footnoteRef/>
      </w:r>
      <w:r>
        <w:t xml:space="preserve"> </w:t>
      </w:r>
      <w:r w:rsidRPr="005A1AC1">
        <w:rPr>
          <w:i/>
          <w:lang w:val="en-US"/>
        </w:rPr>
        <w:t>Human Rights Act 2019</w:t>
      </w:r>
      <w:r>
        <w:rPr>
          <w:lang w:val="en-US"/>
        </w:rPr>
        <w:t xml:space="preserve"> (Qld) s 77.</w:t>
      </w:r>
    </w:p>
  </w:footnote>
  <w:footnote w:id="26">
    <w:p w14:paraId="760F593C" w14:textId="085C9E21" w:rsidR="003C1017" w:rsidRPr="005A1AC1" w:rsidRDefault="003C1017">
      <w:pPr>
        <w:pStyle w:val="FootnoteText"/>
        <w:rPr>
          <w:lang w:val="en-US"/>
        </w:rPr>
      </w:pPr>
      <w:r>
        <w:rPr>
          <w:rStyle w:val="FootnoteReference"/>
        </w:rPr>
        <w:footnoteRef/>
      </w:r>
      <w:r>
        <w:t xml:space="preserve"> </w:t>
      </w:r>
      <w:r w:rsidRPr="005A1AC1">
        <w:rPr>
          <w:i/>
          <w:lang w:val="en-US"/>
        </w:rPr>
        <w:t>Human Rights Act 2019</w:t>
      </w:r>
      <w:r>
        <w:rPr>
          <w:lang w:val="en-US"/>
        </w:rPr>
        <w:t xml:space="preserve"> (Qld) s 88.</w:t>
      </w:r>
    </w:p>
  </w:footnote>
  <w:footnote w:id="27">
    <w:p w14:paraId="688BBBA8" w14:textId="6CA4FB2A" w:rsidR="003C1017" w:rsidRPr="009C0E31" w:rsidRDefault="003C1017" w:rsidP="003F2299">
      <w:pPr>
        <w:pStyle w:val="FootnoteText"/>
        <w:rPr>
          <w:sz w:val="16"/>
          <w:szCs w:val="16"/>
          <w:lang w:val="en-US"/>
        </w:rPr>
      </w:pPr>
      <w:r>
        <w:rPr>
          <w:rStyle w:val="FootnoteReference"/>
        </w:rPr>
        <w:footnoteRef/>
      </w:r>
      <w:r>
        <w:t xml:space="preserve"> </w:t>
      </w:r>
      <w:hyperlink r:id="rId1" w:history="1">
        <w:r w:rsidRPr="00221F7D">
          <w:rPr>
            <w:i/>
            <w:iCs/>
          </w:rPr>
          <w:t>Woodforth v State of Queensland</w:t>
        </w:r>
        <w:r w:rsidRPr="00221F7D">
          <w:t xml:space="preserve"> [2017] QCA 100</w:t>
        </w:r>
      </w:hyperlink>
      <w:r>
        <w:t>.</w:t>
      </w:r>
    </w:p>
  </w:footnote>
  <w:footnote w:id="28">
    <w:p w14:paraId="2F45C176" w14:textId="733304EB" w:rsidR="003C1017" w:rsidRDefault="003C1017">
      <w:r w:rsidRPr="003C1017">
        <w:rPr>
          <w:vertAlign w:val="superscript"/>
        </w:rPr>
        <w:footnoteRef/>
      </w:r>
      <w:r w:rsidRPr="003C1017">
        <w:rPr>
          <w:vertAlign w:val="superscript"/>
        </w:rPr>
        <w:t xml:space="preserve"> </w:t>
      </w:r>
      <w:r w:rsidRPr="003C1017">
        <w:rPr>
          <w:i/>
          <w:sz w:val="20"/>
          <w:szCs w:val="20"/>
        </w:rPr>
        <w:t xml:space="preserve">Anti-Discrimination Act 1991 </w:t>
      </w:r>
      <w:r>
        <w:rPr>
          <w:sz w:val="20"/>
          <w:szCs w:val="20"/>
        </w:rPr>
        <w:t xml:space="preserve">(Qld) Ch </w:t>
      </w:r>
      <w:r w:rsidRPr="003C1017">
        <w:rPr>
          <w:sz w:val="20"/>
          <w:szCs w:val="20"/>
        </w:rPr>
        <w:t xml:space="preserve">5, </w:t>
      </w:r>
      <w:r>
        <w:rPr>
          <w:sz w:val="20"/>
          <w:szCs w:val="20"/>
        </w:rPr>
        <w:t xml:space="preserve">Pt </w:t>
      </w:r>
      <w:r w:rsidRPr="003C1017">
        <w:rPr>
          <w:sz w:val="20"/>
          <w:szCs w:val="20"/>
        </w:rPr>
        <w:t>4.</w:t>
      </w:r>
    </w:p>
  </w:footnote>
  <w:footnote w:id="29">
    <w:p w14:paraId="6B44E35E" w14:textId="5F219C6B" w:rsidR="003C1017" w:rsidRPr="003C1017" w:rsidRDefault="003C1017">
      <w:pPr>
        <w:pStyle w:val="FootnoteText"/>
        <w:rPr>
          <w:lang w:val="en-US"/>
        </w:rPr>
      </w:pPr>
      <w:r>
        <w:rPr>
          <w:rStyle w:val="FootnoteReference"/>
        </w:rPr>
        <w:footnoteRef/>
      </w:r>
      <w:r>
        <w:t xml:space="preserve"> </w:t>
      </w:r>
      <w:r w:rsidRPr="003C1017">
        <w:rPr>
          <w:i/>
          <w:szCs w:val="20"/>
        </w:rPr>
        <w:t xml:space="preserve">Anti-Discrimination Act 1991 </w:t>
      </w:r>
      <w:r>
        <w:rPr>
          <w:szCs w:val="20"/>
        </w:rPr>
        <w:t>(Qld) ss 143, 158, 159, 164A.</w:t>
      </w:r>
    </w:p>
  </w:footnote>
  <w:footnote w:id="30">
    <w:p w14:paraId="2FC04E69" w14:textId="16993026" w:rsidR="00A21BF3" w:rsidRPr="006A12A0" w:rsidRDefault="00A21BF3">
      <w:pPr>
        <w:pStyle w:val="FootnoteText"/>
        <w:rPr>
          <w:lang w:val="en-US"/>
        </w:rPr>
      </w:pPr>
      <w:r>
        <w:rPr>
          <w:rStyle w:val="FootnoteReference"/>
        </w:rPr>
        <w:footnoteRef/>
      </w:r>
      <w:r>
        <w:t xml:space="preserve"> </w:t>
      </w:r>
      <w:r>
        <w:rPr>
          <w:i/>
          <w:iCs/>
          <w:lang w:val="en-US"/>
        </w:rPr>
        <w:t xml:space="preserve">Human Rights Act 2019 </w:t>
      </w:r>
      <w:r>
        <w:rPr>
          <w:lang w:val="en-US"/>
        </w:rPr>
        <w:t>(Qld) s 59.</w:t>
      </w:r>
    </w:p>
  </w:footnote>
  <w:footnote w:id="31">
    <w:p w14:paraId="4DD0920F" w14:textId="39248BE2" w:rsidR="003C1017" w:rsidRPr="00633DE3" w:rsidRDefault="003C1017" w:rsidP="003F2299">
      <w:pPr>
        <w:pStyle w:val="FootnoteText"/>
        <w:rPr>
          <w:lang w:val="en-US"/>
        </w:rPr>
      </w:pPr>
      <w:r>
        <w:rPr>
          <w:rStyle w:val="FootnoteReference"/>
        </w:rPr>
        <w:footnoteRef/>
      </w:r>
      <w:r>
        <w:t xml:space="preserve"> </w:t>
      </w:r>
      <w:r w:rsidR="007C52A9">
        <w:t xml:space="preserve">Department of Justice and Attorney-General, </w:t>
      </w:r>
      <w:r>
        <w:t xml:space="preserve">Briefing Paper to Legal Affairs and Safety Committee, </w:t>
      </w:r>
      <w:r w:rsidR="007C52A9">
        <w:t xml:space="preserve">Queensland Parliament, </w:t>
      </w:r>
      <w:r w:rsidR="007C52A9">
        <w:rPr>
          <w:i/>
          <w:iCs/>
        </w:rPr>
        <w:t xml:space="preserve">Inquiry into support provided to victims of crime </w:t>
      </w:r>
      <w:r w:rsidR="007C52A9">
        <w:t>(30 March 2023)</w:t>
      </w:r>
      <w:r>
        <w:t xml:space="preserve"> </w:t>
      </w:r>
      <w:r w:rsidRPr="00633DE3">
        <w:t>8</w:t>
      </w:r>
      <w:r w:rsidR="00E22399">
        <w:t>.</w:t>
      </w:r>
    </w:p>
  </w:footnote>
  <w:footnote w:id="32">
    <w:p w14:paraId="606393F8" w14:textId="4F6A31D4" w:rsidR="003C1017" w:rsidRDefault="003C1017">
      <w:r w:rsidRPr="008F137A">
        <w:rPr>
          <w:vertAlign w:val="superscript"/>
        </w:rPr>
        <w:footnoteRef/>
      </w:r>
      <w:r>
        <w:t xml:space="preserve"> </w:t>
      </w:r>
      <w:r w:rsidR="008F137A" w:rsidRPr="008F137A">
        <w:rPr>
          <w:i/>
          <w:sz w:val="20"/>
          <w:szCs w:val="20"/>
        </w:rPr>
        <w:t>Victims of Crime Assistance Act 2009</w:t>
      </w:r>
      <w:r w:rsidR="008F137A" w:rsidRPr="008F137A">
        <w:rPr>
          <w:sz w:val="20"/>
          <w:szCs w:val="20"/>
        </w:rPr>
        <w:t xml:space="preserve"> (Qld) </w:t>
      </w:r>
      <w:r w:rsidRPr="008F137A">
        <w:rPr>
          <w:sz w:val="20"/>
          <w:szCs w:val="20"/>
        </w:rPr>
        <w:t>s 5</w:t>
      </w:r>
      <w:r w:rsidR="008F137A" w:rsidRPr="008F137A">
        <w:rPr>
          <w:sz w:val="20"/>
          <w:szCs w:val="20"/>
        </w:rPr>
        <w:t>.</w:t>
      </w:r>
    </w:p>
  </w:footnote>
  <w:footnote w:id="33">
    <w:p w14:paraId="657840D4" w14:textId="441ACEEA" w:rsidR="003C1017" w:rsidRPr="00A16DC7" w:rsidRDefault="003C1017">
      <w:pPr>
        <w:rPr>
          <w:sz w:val="20"/>
          <w:szCs w:val="20"/>
        </w:rPr>
      </w:pPr>
      <w:r w:rsidRPr="00A16DC7">
        <w:rPr>
          <w:sz w:val="20"/>
          <w:szCs w:val="20"/>
          <w:vertAlign w:val="superscript"/>
        </w:rPr>
        <w:footnoteRef/>
      </w:r>
      <w:r w:rsidRPr="00A16DC7">
        <w:rPr>
          <w:sz w:val="20"/>
          <w:szCs w:val="20"/>
        </w:rPr>
        <w:t xml:space="preserve"> </w:t>
      </w:r>
      <w:r w:rsidRPr="00A16DC7">
        <w:rPr>
          <w:i/>
          <w:sz w:val="20"/>
          <w:szCs w:val="20"/>
        </w:rPr>
        <w:t>Victims of Crimes Assistance Act 2009</w:t>
      </w:r>
      <w:r w:rsidRPr="00A16DC7">
        <w:rPr>
          <w:sz w:val="20"/>
          <w:szCs w:val="20"/>
        </w:rPr>
        <w:t xml:space="preserve"> </w:t>
      </w:r>
      <w:r w:rsidR="008F137A" w:rsidRPr="00A16DC7">
        <w:rPr>
          <w:sz w:val="20"/>
          <w:szCs w:val="20"/>
        </w:rPr>
        <w:t xml:space="preserve">(Qld) </w:t>
      </w:r>
      <w:r w:rsidRPr="00A16DC7">
        <w:rPr>
          <w:sz w:val="20"/>
          <w:szCs w:val="20"/>
        </w:rPr>
        <w:t>ss 19, 20, Schedule 1AA Division 3.</w:t>
      </w:r>
    </w:p>
  </w:footnote>
  <w:footnote w:id="34">
    <w:p w14:paraId="466711CA" w14:textId="23382042" w:rsidR="003C1017" w:rsidRDefault="003C1017">
      <w:r w:rsidRPr="00A16DC7">
        <w:rPr>
          <w:sz w:val="20"/>
          <w:szCs w:val="20"/>
          <w:vertAlign w:val="superscript"/>
        </w:rPr>
        <w:footnoteRef/>
      </w:r>
      <w:r w:rsidRPr="00A16DC7">
        <w:rPr>
          <w:sz w:val="20"/>
          <w:szCs w:val="20"/>
        </w:rPr>
        <w:t xml:space="preserve"> </w:t>
      </w:r>
      <w:r w:rsidR="00A16DC7" w:rsidRPr="00A16DC7">
        <w:rPr>
          <w:i/>
          <w:sz w:val="20"/>
          <w:szCs w:val="20"/>
        </w:rPr>
        <w:t>Victims of Crimes Assistance Act 2009</w:t>
      </w:r>
      <w:r w:rsidR="00A16DC7" w:rsidRPr="00A16DC7">
        <w:rPr>
          <w:sz w:val="20"/>
          <w:szCs w:val="20"/>
        </w:rPr>
        <w:t xml:space="preserve"> (Qld) </w:t>
      </w:r>
      <w:r w:rsidRPr="00A16DC7">
        <w:rPr>
          <w:sz w:val="20"/>
          <w:szCs w:val="20"/>
        </w:rPr>
        <w:t>s 20A</w:t>
      </w:r>
      <w:r w:rsidR="00A16DC7" w:rsidRPr="00A16DC7">
        <w:rPr>
          <w:sz w:val="20"/>
          <w:szCs w:val="20"/>
        </w:rPr>
        <w:t>.</w:t>
      </w:r>
    </w:p>
  </w:footnote>
  <w:footnote w:id="35">
    <w:p w14:paraId="312130AF" w14:textId="639B207F" w:rsidR="003C1017" w:rsidRPr="005B3D6E" w:rsidRDefault="003C1017" w:rsidP="003F2299">
      <w:pPr>
        <w:pStyle w:val="FootnoteText"/>
        <w:rPr>
          <w:lang w:val="en-US"/>
        </w:rPr>
      </w:pPr>
      <w:r>
        <w:rPr>
          <w:rStyle w:val="FootnoteReference"/>
        </w:rPr>
        <w:footnoteRef/>
      </w:r>
      <w:r>
        <w:t xml:space="preserve"> </w:t>
      </w:r>
      <w:r w:rsidR="00CD4F87" w:rsidRPr="00CD4F87">
        <w:t xml:space="preserve">In its submission to the recent review of the </w:t>
      </w:r>
      <w:r w:rsidR="00CD4F87" w:rsidRPr="00CD4F87">
        <w:rPr>
          <w:i/>
          <w:iCs/>
        </w:rPr>
        <w:t>Public Interest Disclosure Act 2010</w:t>
      </w:r>
      <w:r w:rsidR="00C746C9">
        <w:rPr>
          <w:i/>
          <w:iCs/>
        </w:rPr>
        <w:t>,</w:t>
      </w:r>
      <w:r w:rsidR="00CD4F87">
        <w:t xml:space="preserve"> </w:t>
      </w:r>
      <w:r w:rsidR="00CD4F87" w:rsidRPr="00CD4F87">
        <w:t>the QHRC noted that there is a clear a role for an independent authority to support disclosers. In the absence of a Victims’ Commission this role might be able to be taken up by Victim Assist Queensland.</w:t>
      </w:r>
    </w:p>
  </w:footnote>
  <w:footnote w:id="36">
    <w:p w14:paraId="2685C35E" w14:textId="513A86EC" w:rsidR="003C1017" w:rsidRPr="005940B5" w:rsidRDefault="003C1017" w:rsidP="003F2299">
      <w:pPr>
        <w:pStyle w:val="FootnoteText"/>
        <w:rPr>
          <w:lang w:val="en-US"/>
        </w:rPr>
      </w:pPr>
      <w:r w:rsidRPr="00633DE3">
        <w:rPr>
          <w:rStyle w:val="FootnoteReference"/>
        </w:rPr>
        <w:footnoteRef/>
      </w:r>
      <w:r w:rsidRPr="00633DE3">
        <w:t xml:space="preserve"> See</w:t>
      </w:r>
      <w:r w:rsidR="006B7670">
        <w:t xml:space="preserve"> ACT Human Rights Commission, </w:t>
      </w:r>
      <w:r w:rsidR="006B7670" w:rsidRPr="006B7670">
        <w:rPr>
          <w:i/>
          <w:iCs/>
        </w:rPr>
        <w:t>ACT Intermediary Program</w:t>
      </w:r>
      <w:r w:rsidRPr="00633DE3">
        <w:t xml:space="preserve"> </w:t>
      </w:r>
      <w:r w:rsidR="006B7670">
        <w:t>(Web Page) &lt;</w:t>
      </w:r>
      <w:hyperlink r:id="rId2" w:history="1">
        <w:r w:rsidR="006B7670" w:rsidRPr="004E303E">
          <w:rPr>
            <w:rStyle w:val="Hyperlink"/>
          </w:rPr>
          <w:t>https://hrc.act.gov.au/act-intermediary-program/</w:t>
        </w:r>
      </w:hyperlink>
      <w:r w:rsidR="006B7670">
        <w:t>&gt;</w:t>
      </w:r>
      <w:r w:rsidR="00C746C9">
        <w:t>.</w:t>
      </w:r>
    </w:p>
  </w:footnote>
  <w:footnote w:id="37">
    <w:p w14:paraId="568F0D83" w14:textId="5A04C36B" w:rsidR="006B7670" w:rsidRPr="006B7670" w:rsidRDefault="006B7670">
      <w:pPr>
        <w:pStyle w:val="FootnoteText"/>
        <w:rPr>
          <w:lang w:val="en-US"/>
        </w:rPr>
      </w:pPr>
      <w:r>
        <w:rPr>
          <w:rStyle w:val="FootnoteReference"/>
        </w:rPr>
        <w:footnoteRef/>
      </w:r>
      <w:r>
        <w:t xml:space="preserve"> </w:t>
      </w:r>
      <w:r w:rsidR="004C09EC">
        <w:t xml:space="preserve">Women’s Safety and Justice Taskforce, </w:t>
      </w:r>
      <w:r w:rsidR="004C09EC" w:rsidRPr="00493469">
        <w:rPr>
          <w:i/>
          <w:iCs/>
        </w:rPr>
        <w:t xml:space="preserve">Hear Her Voice </w:t>
      </w:r>
      <w:r w:rsidR="004C09EC">
        <w:t xml:space="preserve">(Report </w:t>
      </w:r>
      <w:r w:rsidR="002C4871">
        <w:t>2</w:t>
      </w:r>
      <w:r w:rsidR="00493469">
        <w:t xml:space="preserve">, </w:t>
      </w:r>
      <w:r w:rsidR="004C09EC">
        <w:t>2022)</w:t>
      </w:r>
      <w:r w:rsidR="00660B94">
        <w:t xml:space="preserve"> vol 1</w:t>
      </w:r>
      <w:r w:rsidR="00493469">
        <w:t xml:space="preserve">. </w:t>
      </w:r>
    </w:p>
  </w:footnote>
  <w:footnote w:id="38">
    <w:p w14:paraId="53746E79" w14:textId="7A74F952" w:rsidR="001A04EE" w:rsidRPr="00660B94" w:rsidRDefault="001A04EE">
      <w:pPr>
        <w:pStyle w:val="FootnoteText"/>
        <w:rPr>
          <w:lang w:val="en-US"/>
        </w:rPr>
      </w:pPr>
      <w:r>
        <w:rPr>
          <w:rStyle w:val="FootnoteReference"/>
        </w:rPr>
        <w:footnoteRef/>
      </w:r>
      <w:r>
        <w:t xml:space="preserve"> </w:t>
      </w:r>
      <w:r w:rsidR="00660B94">
        <w:t xml:space="preserve">Department of Justice and Attorney-General, Briefing Paper to Legal Affairs and Safety Committee, Queensland Parliament, </w:t>
      </w:r>
      <w:r w:rsidR="00660B94">
        <w:rPr>
          <w:i/>
          <w:iCs/>
        </w:rPr>
        <w:t xml:space="preserve">Inquiry into support provided to victims of crime </w:t>
      </w:r>
      <w:r w:rsidR="00660B94">
        <w:t xml:space="preserve">(30 March 2023) </w:t>
      </w:r>
      <w:r>
        <w:t>2</w:t>
      </w:r>
      <w:r w:rsidR="00660B94">
        <w:t>.</w:t>
      </w:r>
    </w:p>
  </w:footnote>
  <w:footnote w:id="39">
    <w:p w14:paraId="6FF1823F" w14:textId="1E6063DB" w:rsidR="003C1017" w:rsidRPr="005C5DF9" w:rsidRDefault="003C1017" w:rsidP="004269B3">
      <w:pPr>
        <w:pStyle w:val="FootnoteText"/>
        <w:rPr>
          <w:lang w:val="en-US"/>
        </w:rPr>
      </w:pPr>
      <w:r>
        <w:rPr>
          <w:rStyle w:val="FootnoteReference"/>
        </w:rPr>
        <w:footnoteRef/>
      </w:r>
      <w:r>
        <w:t xml:space="preserve"> </w:t>
      </w:r>
      <w:r w:rsidR="00B91CEF">
        <w:t xml:space="preserve">Commission of Inquiry into Queensland Police Service responses to domestic and family violence, </w:t>
      </w:r>
      <w:r w:rsidR="00B91CEF">
        <w:rPr>
          <w:i/>
          <w:iCs/>
          <w:lang w:val="en-US"/>
        </w:rPr>
        <w:t xml:space="preserve">A </w:t>
      </w:r>
      <w:r w:rsidR="00975D1A">
        <w:rPr>
          <w:i/>
          <w:iCs/>
          <w:lang w:val="en-US"/>
        </w:rPr>
        <w:t>C</w:t>
      </w:r>
      <w:r w:rsidR="00B91CEF">
        <w:rPr>
          <w:i/>
          <w:iCs/>
          <w:lang w:val="en-US"/>
        </w:rPr>
        <w:t xml:space="preserve">all for Change </w:t>
      </w:r>
      <w:r w:rsidR="00B91CEF">
        <w:rPr>
          <w:lang w:val="en-US"/>
        </w:rPr>
        <w:t>(Report, 2022) 36</w:t>
      </w:r>
      <w:r w:rsidR="00B91CEF">
        <w:t xml:space="preserve">. </w:t>
      </w:r>
      <w:r w:rsidR="00B91CEF" w:rsidRPr="00DA3932">
        <w:t>The QHRC assisted the</w:t>
      </w:r>
      <w:r w:rsidR="00B91CEF">
        <w:t xml:space="preserve"> Commission in this work.</w:t>
      </w:r>
    </w:p>
  </w:footnote>
  <w:footnote w:id="40">
    <w:p w14:paraId="5D139696" w14:textId="71025D74" w:rsidR="004C09EC" w:rsidRPr="004C09EC" w:rsidRDefault="004C09EC">
      <w:pPr>
        <w:pStyle w:val="FootnoteText"/>
        <w:rPr>
          <w:lang w:val="en-US"/>
        </w:rPr>
      </w:pPr>
      <w:r>
        <w:rPr>
          <w:rStyle w:val="FootnoteReference"/>
        </w:rPr>
        <w:footnoteRef/>
      </w:r>
      <w:r>
        <w:t xml:space="preserve"> </w:t>
      </w:r>
      <w:r w:rsidR="00800A1B">
        <w:t xml:space="preserve">Women’s Safety and Justice Taskforce, </w:t>
      </w:r>
      <w:r w:rsidR="00800A1B" w:rsidRPr="00493469">
        <w:rPr>
          <w:i/>
          <w:iCs/>
        </w:rPr>
        <w:t xml:space="preserve">Hear Her Voice </w:t>
      </w:r>
      <w:r w:rsidR="00800A1B">
        <w:t xml:space="preserve">(Report </w:t>
      </w:r>
      <w:r w:rsidR="002C4871">
        <w:t>2</w:t>
      </w:r>
      <w:r w:rsidR="00800A1B">
        <w:t>, 2022) vol 1, 14.</w:t>
      </w:r>
    </w:p>
  </w:footnote>
  <w:footnote w:id="41">
    <w:p w14:paraId="2BC8977C" w14:textId="1CB5D7CB" w:rsidR="003C1017" w:rsidRPr="0016469D" w:rsidRDefault="003C1017">
      <w:pPr>
        <w:pStyle w:val="FootnoteText"/>
        <w:rPr>
          <w:lang w:val="en-US"/>
        </w:rPr>
      </w:pPr>
      <w:r>
        <w:rPr>
          <w:rStyle w:val="FootnoteReference"/>
        </w:rPr>
        <w:footnoteRef/>
      </w:r>
      <w:r>
        <w:t xml:space="preserve"> </w:t>
      </w:r>
      <w:r w:rsidR="00800A1B">
        <w:t xml:space="preserve">Department of Justice and Attorney-General, Briefing Paper to Legal Affairs and Safety Committee, Queensland Parliament, </w:t>
      </w:r>
      <w:r w:rsidR="00800A1B">
        <w:rPr>
          <w:i/>
          <w:iCs/>
        </w:rPr>
        <w:t xml:space="preserve">Inquiry into support provided to victims of crime </w:t>
      </w:r>
      <w:r w:rsidR="00800A1B">
        <w:t xml:space="preserve">(30 March 2023) </w:t>
      </w:r>
      <w:r>
        <w:t xml:space="preserve">12. </w:t>
      </w:r>
    </w:p>
  </w:footnote>
  <w:footnote w:id="42">
    <w:p w14:paraId="4BF238E8" w14:textId="435CE001" w:rsidR="00FA4EFB" w:rsidRPr="00C57E48" w:rsidRDefault="00FA4EFB" w:rsidP="00FA4EFB">
      <w:pPr>
        <w:pStyle w:val="FootnoteText"/>
        <w:rPr>
          <w:lang w:val="en-US"/>
        </w:rPr>
      </w:pPr>
      <w:r>
        <w:rPr>
          <w:rStyle w:val="FootnoteReference"/>
        </w:rPr>
        <w:footnoteRef/>
      </w:r>
      <w:r>
        <w:t xml:space="preserve"> </w:t>
      </w:r>
      <w:r>
        <w:rPr>
          <w:szCs w:val="20"/>
        </w:rPr>
        <w:t xml:space="preserve">Victorian Law Reform Commission, </w:t>
      </w:r>
      <w:r w:rsidR="00975D1A">
        <w:rPr>
          <w:i/>
          <w:iCs/>
          <w:szCs w:val="20"/>
        </w:rPr>
        <w:t xml:space="preserve">The </w:t>
      </w:r>
      <w:r>
        <w:rPr>
          <w:i/>
          <w:iCs/>
          <w:szCs w:val="20"/>
        </w:rPr>
        <w:t xml:space="preserve">Role of Victims of Crime in the Criminal Trial Process </w:t>
      </w:r>
      <w:r>
        <w:rPr>
          <w:szCs w:val="20"/>
        </w:rPr>
        <w:t>(</w:t>
      </w:r>
      <w:r w:rsidR="00975D1A">
        <w:rPr>
          <w:szCs w:val="20"/>
        </w:rPr>
        <w:t xml:space="preserve">Report, </w:t>
      </w:r>
      <w:r>
        <w:rPr>
          <w:szCs w:val="20"/>
        </w:rPr>
        <w:t xml:space="preserve">August 2016) xxi. </w:t>
      </w:r>
      <w:r>
        <w:t xml:space="preserve"> </w:t>
      </w:r>
    </w:p>
  </w:footnote>
  <w:footnote w:id="43">
    <w:p w14:paraId="4383C6C3" w14:textId="26618A98" w:rsidR="003C1017" w:rsidRPr="00557ED0" w:rsidRDefault="003C1017">
      <w:pPr>
        <w:pStyle w:val="FootnoteText"/>
        <w:rPr>
          <w:lang w:val="en-US"/>
        </w:rPr>
      </w:pPr>
      <w:r>
        <w:rPr>
          <w:rStyle w:val="FootnoteReference"/>
        </w:rPr>
        <w:footnoteRef/>
      </w:r>
      <w:r>
        <w:t xml:space="preserve"> </w:t>
      </w:r>
      <w:r w:rsidR="00FA4EFB">
        <w:t xml:space="preserve">Department of Justice and Attorney-General, Briefing Paper to Legal Affairs and Safety Committee, Queensland Parliament, </w:t>
      </w:r>
      <w:r w:rsidR="00FA4EFB">
        <w:rPr>
          <w:i/>
          <w:iCs/>
        </w:rPr>
        <w:t xml:space="preserve">Inquiry into support provided to victims of crime </w:t>
      </w:r>
      <w:r w:rsidR="00FA4EFB">
        <w:t xml:space="preserve">(30 March 2023) </w:t>
      </w:r>
      <w:r>
        <w:t>12.</w:t>
      </w:r>
    </w:p>
  </w:footnote>
  <w:footnote w:id="44">
    <w:p w14:paraId="1C6AF19C" w14:textId="77777777" w:rsidR="00F57FB9" w:rsidRPr="008F137A" w:rsidRDefault="00F57FB9" w:rsidP="00F57FB9">
      <w:pPr>
        <w:pStyle w:val="FootnoteText"/>
        <w:rPr>
          <w:lang w:val="en-US"/>
        </w:rPr>
      </w:pPr>
      <w:r>
        <w:rPr>
          <w:rStyle w:val="FootnoteReference"/>
        </w:rPr>
        <w:footnoteRef/>
      </w:r>
      <w:r>
        <w:t xml:space="preserve"> </w:t>
      </w:r>
      <w:r w:rsidRPr="008F137A">
        <w:rPr>
          <w:i/>
          <w:szCs w:val="20"/>
        </w:rPr>
        <w:t>Victims of Crime Assistance Act 2009</w:t>
      </w:r>
      <w:r w:rsidRPr="008F137A">
        <w:rPr>
          <w:szCs w:val="20"/>
        </w:rPr>
        <w:t xml:space="preserve"> (Qld) s </w:t>
      </w:r>
      <w:r>
        <w:rPr>
          <w:szCs w:val="20"/>
        </w:rPr>
        <w:t>7</w:t>
      </w:r>
      <w:r w:rsidRPr="008F137A">
        <w:rPr>
          <w:szCs w:val="20"/>
        </w:rPr>
        <w:t>.</w:t>
      </w:r>
    </w:p>
  </w:footnote>
  <w:footnote w:id="45">
    <w:p w14:paraId="32925D35" w14:textId="4554692B" w:rsidR="003C1017" w:rsidRPr="009D516D" w:rsidRDefault="003C1017">
      <w:pPr>
        <w:pStyle w:val="FootnoteText"/>
        <w:rPr>
          <w:lang w:val="en-US"/>
        </w:rPr>
      </w:pPr>
      <w:r>
        <w:rPr>
          <w:rStyle w:val="FootnoteReference"/>
        </w:rPr>
        <w:footnoteRef/>
      </w:r>
      <w:r>
        <w:t xml:space="preserve"> </w:t>
      </w:r>
      <w:r w:rsidR="00975D1A">
        <w:t xml:space="preserve">Department of Justice and Attorney-General, Briefing Paper to Legal Affairs and Safety Committee, Queensland Parliament, </w:t>
      </w:r>
      <w:r w:rsidR="00975D1A">
        <w:rPr>
          <w:i/>
          <w:iCs/>
        </w:rPr>
        <w:t xml:space="preserve">Inquiry into support provided to victims of crime </w:t>
      </w:r>
      <w:r>
        <w:t xml:space="preserve">(30 March 2023) 9. </w:t>
      </w:r>
    </w:p>
  </w:footnote>
  <w:footnote w:id="46">
    <w:p w14:paraId="5F0A24A0" w14:textId="7BCB739E" w:rsidR="09940C1D" w:rsidRDefault="09940C1D">
      <w:r w:rsidRPr="00AE7F87">
        <w:rPr>
          <w:vertAlign w:val="superscript"/>
        </w:rPr>
        <w:footnoteRef/>
      </w:r>
      <w:r w:rsidR="4EF680C6" w:rsidRPr="00AE7F87">
        <w:rPr>
          <w:vertAlign w:val="superscript"/>
        </w:rPr>
        <w:t xml:space="preserve"> </w:t>
      </w:r>
      <w:r w:rsidR="4EF680C6" w:rsidRPr="4EF680C6">
        <w:rPr>
          <w:i/>
          <w:iCs/>
          <w:sz w:val="20"/>
          <w:szCs w:val="20"/>
        </w:rPr>
        <w:t>Victims of Crime Assistance Act 2009</w:t>
      </w:r>
      <w:r w:rsidR="4EF680C6" w:rsidRPr="4EF680C6">
        <w:rPr>
          <w:sz w:val="20"/>
          <w:szCs w:val="20"/>
        </w:rPr>
        <w:t xml:space="preserve"> (Qld) </w:t>
      </w:r>
      <w:r w:rsidR="4FB17276" w:rsidRPr="4FB17276">
        <w:rPr>
          <w:sz w:val="20"/>
          <w:szCs w:val="20"/>
        </w:rPr>
        <w:t xml:space="preserve">Sch 1AA (item </w:t>
      </w:r>
      <w:r w:rsidR="70C6FFC1" w:rsidRPr="70C6FFC1">
        <w:rPr>
          <w:sz w:val="20"/>
          <w:szCs w:val="20"/>
        </w:rPr>
        <w:t>1).</w:t>
      </w:r>
    </w:p>
  </w:footnote>
  <w:footnote w:id="47">
    <w:p w14:paraId="5322CA55" w14:textId="4DAC862B" w:rsidR="003C1017" w:rsidRPr="006926F4" w:rsidRDefault="003C1017" w:rsidP="004A7D05">
      <w:pPr>
        <w:pStyle w:val="FootnoteText"/>
        <w:rPr>
          <w:lang w:val="en-US"/>
        </w:rPr>
      </w:pPr>
      <w:r>
        <w:rPr>
          <w:rStyle w:val="FootnoteReference"/>
        </w:rPr>
        <w:footnoteRef/>
      </w:r>
      <w:r>
        <w:t xml:space="preserve"> </w:t>
      </w:r>
      <w:r w:rsidR="002C4871" w:rsidRPr="002C4871">
        <w:t xml:space="preserve">Rhiannon Davies and </w:t>
      </w:r>
      <w:r w:rsidR="002C4871" w:rsidRPr="002C4871">
        <w:t xml:space="preserve">Lorana Bartels, ‘Challenges of Effective Communication in the Criminal Justice Process: Findings from Interviews with Victims of Sexual Offences in Australia’ (2020) 9(4) </w:t>
      </w:r>
      <w:r w:rsidR="002C4871" w:rsidRPr="002C4871">
        <w:rPr>
          <w:i/>
          <w:iCs/>
        </w:rPr>
        <w:t>Laws</w:t>
      </w:r>
      <w:r w:rsidR="002C4871" w:rsidRPr="002C4871">
        <w:t xml:space="preserve">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3C1017" w14:paraId="3ABA0E04" w14:textId="77777777" w:rsidTr="157CCB34">
      <w:trPr>
        <w:trHeight w:val="300"/>
      </w:trPr>
      <w:tc>
        <w:tcPr>
          <w:tcW w:w="2765" w:type="dxa"/>
        </w:tcPr>
        <w:p w14:paraId="10A9ABFE" w14:textId="7263F3B0" w:rsidR="003C1017" w:rsidRDefault="003C1017" w:rsidP="157CCB34">
          <w:pPr>
            <w:pStyle w:val="Header"/>
            <w:ind w:left="-115"/>
          </w:pPr>
        </w:p>
      </w:tc>
      <w:tc>
        <w:tcPr>
          <w:tcW w:w="2765" w:type="dxa"/>
        </w:tcPr>
        <w:p w14:paraId="74F07214" w14:textId="2124A6B3" w:rsidR="003C1017" w:rsidRDefault="003C1017" w:rsidP="157CCB34">
          <w:pPr>
            <w:pStyle w:val="Header"/>
            <w:jc w:val="center"/>
          </w:pPr>
        </w:p>
      </w:tc>
      <w:tc>
        <w:tcPr>
          <w:tcW w:w="2765" w:type="dxa"/>
        </w:tcPr>
        <w:p w14:paraId="21876844" w14:textId="02138906" w:rsidR="003C1017" w:rsidRDefault="003C1017" w:rsidP="157CCB34">
          <w:pPr>
            <w:pStyle w:val="Header"/>
            <w:ind w:right="-115"/>
            <w:jc w:val="right"/>
          </w:pPr>
        </w:p>
      </w:tc>
    </w:tr>
  </w:tbl>
  <w:p w14:paraId="5253CB89" w14:textId="32E3E2E9" w:rsidR="003C1017" w:rsidRDefault="003C1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297B" w14:textId="77777777" w:rsidR="003C1017" w:rsidRDefault="003C1017" w:rsidP="00260847">
    <w:pPr>
      <w:pStyle w:val="Header"/>
      <w:tabs>
        <w:tab w:val="clear" w:pos="4513"/>
        <w:tab w:val="clear" w:pos="9026"/>
      </w:tabs>
      <w:spacing w:before="240"/>
    </w:pPr>
  </w:p>
  <w:p w14:paraId="6F8733AA" w14:textId="77777777" w:rsidR="003C1017" w:rsidRDefault="003C10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241F" w14:textId="77777777" w:rsidR="003C1017" w:rsidRPr="000731D3" w:rsidRDefault="003C1017" w:rsidP="000731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5F5B" w14:textId="77777777" w:rsidR="003C1017" w:rsidRPr="000731D3" w:rsidRDefault="003C1017" w:rsidP="000731D3">
    <w:pPr>
      <w:pStyle w:val="Header"/>
      <w:rPr>
        <w:rFonts w:cs="Arial"/>
        <w:color w:val="365F91" w:themeColor="accent1" w:themeShade="BF"/>
      </w:rPr>
    </w:pPr>
    <w:r>
      <w:rPr>
        <w:rFonts w:cs="Arial"/>
        <w:color w:val="365F91" w:themeColor="accent1" w:themeShade="BF"/>
      </w:rPr>
      <w:t>[title]</w:t>
    </w:r>
  </w:p>
  <w:p w14:paraId="0AC4F077" w14:textId="77777777" w:rsidR="003C1017" w:rsidRPr="000731D3" w:rsidRDefault="003C1017" w:rsidP="000731D3">
    <w:pPr>
      <w:pStyle w:val="Header"/>
      <w:pBdr>
        <w:bottom w:val="single" w:sz="4" w:space="1" w:color="auto"/>
      </w:pBdr>
      <w:rPr>
        <w:rFonts w:cs="Arial"/>
        <w:sz w:val="20"/>
        <w:szCs w:val="20"/>
      </w:rPr>
    </w:pPr>
  </w:p>
  <w:p w14:paraId="4049C6DE" w14:textId="77777777" w:rsidR="003C1017" w:rsidRPr="000731D3" w:rsidRDefault="003C1017"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05AF8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A36BA"/>
    <w:multiLevelType w:val="hybridMultilevel"/>
    <w:tmpl w:val="95381F64"/>
    <w:lvl w:ilvl="0" w:tplc="5DC6C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50E7E"/>
    <w:multiLevelType w:val="hybridMultilevel"/>
    <w:tmpl w:val="6E505E64"/>
    <w:lvl w:ilvl="0" w:tplc="AC46A534">
      <w:start w:val="1"/>
      <w:numFmt w:val="decimal"/>
      <w:pStyle w:val="Numberedparagraph"/>
      <w:lvlText w:val="%1."/>
      <w:lvlJc w:val="left"/>
      <w:pPr>
        <w:ind w:left="567" w:hanging="567"/>
      </w:pPr>
      <w:rPr>
        <w:vertAlign w:val="baseline"/>
      </w:rPr>
    </w:lvl>
    <w:lvl w:ilvl="1" w:tplc="76924038">
      <w:start w:val="1"/>
      <w:numFmt w:val="lowerLetter"/>
      <w:lvlText w:val="%2."/>
      <w:lvlJc w:val="left"/>
      <w:pPr>
        <w:ind w:left="907" w:hanging="283"/>
      </w:pPr>
      <w:rPr>
        <w:b w:val="0"/>
        <w:i w:val="0"/>
        <w:sz w:val="24"/>
        <w:vertAlign w:val="baseline"/>
      </w:rPr>
    </w:lvl>
    <w:lvl w:ilvl="2" w:tplc="BC4EA7EC">
      <w:start w:val="1"/>
      <w:numFmt w:val="lowerRoman"/>
      <w:lvlText w:val="%3."/>
      <w:lvlJc w:val="right"/>
      <w:pPr>
        <w:ind w:left="1247" w:hanging="113"/>
      </w:pPr>
    </w:lvl>
    <w:lvl w:ilvl="3" w:tplc="80E41944">
      <w:start w:val="1"/>
      <w:numFmt w:val="decimal"/>
      <w:lvlText w:val="%4."/>
      <w:lvlJc w:val="left"/>
      <w:pPr>
        <w:ind w:left="1428" w:hanging="357"/>
      </w:pPr>
    </w:lvl>
    <w:lvl w:ilvl="4" w:tplc="9336F2C8">
      <w:start w:val="1"/>
      <w:numFmt w:val="lowerLetter"/>
      <w:lvlText w:val="%5."/>
      <w:lvlJc w:val="left"/>
      <w:pPr>
        <w:ind w:left="1785" w:hanging="357"/>
      </w:pPr>
    </w:lvl>
    <w:lvl w:ilvl="5" w:tplc="6FCEB290">
      <w:start w:val="1"/>
      <w:numFmt w:val="lowerRoman"/>
      <w:lvlText w:val="%6."/>
      <w:lvlJc w:val="right"/>
      <w:pPr>
        <w:ind w:left="2142" w:hanging="357"/>
      </w:pPr>
    </w:lvl>
    <w:lvl w:ilvl="6" w:tplc="F2926638">
      <w:start w:val="1"/>
      <w:numFmt w:val="decimal"/>
      <w:lvlText w:val="%7."/>
      <w:lvlJc w:val="left"/>
      <w:pPr>
        <w:ind w:left="2499" w:hanging="357"/>
      </w:pPr>
    </w:lvl>
    <w:lvl w:ilvl="7" w:tplc="E9028670">
      <w:start w:val="1"/>
      <w:numFmt w:val="lowerLetter"/>
      <w:lvlText w:val="%8."/>
      <w:lvlJc w:val="left"/>
      <w:pPr>
        <w:ind w:left="2856" w:hanging="357"/>
      </w:pPr>
    </w:lvl>
    <w:lvl w:ilvl="8" w:tplc="15106A22">
      <w:start w:val="1"/>
      <w:numFmt w:val="lowerRoman"/>
      <w:lvlText w:val="%9."/>
      <w:lvlJc w:val="right"/>
      <w:pPr>
        <w:ind w:left="3213" w:hanging="357"/>
      </w:pPr>
    </w:lvl>
  </w:abstractNum>
  <w:abstractNum w:abstractNumId="4" w15:restartNumberingAfterBreak="0">
    <w:nsid w:val="17C46C2A"/>
    <w:multiLevelType w:val="multilevel"/>
    <w:tmpl w:val="C358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6" w15:restartNumberingAfterBreak="0">
    <w:nsid w:val="37C543D6"/>
    <w:multiLevelType w:val="hybridMultilevel"/>
    <w:tmpl w:val="5F2C97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474B753"/>
    <w:multiLevelType w:val="multilevel"/>
    <w:tmpl w:val="FFFFFFFF"/>
    <w:lvl w:ilvl="0">
      <w:start w:val="1"/>
      <w:numFmt w:val="bullet"/>
      <w:lvlText w:val=""/>
      <w:lvlJc w:val="left"/>
      <w:pPr>
        <w:ind w:left="128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2"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DF0F24"/>
    <w:multiLevelType w:val="hybridMultilevel"/>
    <w:tmpl w:val="011A7CBC"/>
    <w:lvl w:ilvl="0" w:tplc="C49ABAA8">
      <w:start w:val="1"/>
      <w:numFmt w:val="bullet"/>
      <w:lvlText w:val="•"/>
      <w:lvlJc w:val="left"/>
      <w:pPr>
        <w:tabs>
          <w:tab w:val="num" w:pos="720"/>
        </w:tabs>
        <w:ind w:left="720" w:hanging="360"/>
      </w:pPr>
      <w:rPr>
        <w:rFonts w:ascii="Arial" w:hAnsi="Arial" w:hint="default"/>
      </w:rPr>
    </w:lvl>
    <w:lvl w:ilvl="1" w:tplc="6B087346">
      <w:numFmt w:val="bullet"/>
      <w:lvlText w:val="•"/>
      <w:lvlJc w:val="left"/>
      <w:pPr>
        <w:tabs>
          <w:tab w:val="num" w:pos="1440"/>
        </w:tabs>
        <w:ind w:left="1440" w:hanging="360"/>
      </w:pPr>
      <w:rPr>
        <w:rFonts w:ascii="Arial" w:hAnsi="Arial" w:hint="default"/>
      </w:rPr>
    </w:lvl>
    <w:lvl w:ilvl="2" w:tplc="ABF21102" w:tentative="1">
      <w:start w:val="1"/>
      <w:numFmt w:val="bullet"/>
      <w:lvlText w:val="•"/>
      <w:lvlJc w:val="left"/>
      <w:pPr>
        <w:tabs>
          <w:tab w:val="num" w:pos="2160"/>
        </w:tabs>
        <w:ind w:left="2160" w:hanging="360"/>
      </w:pPr>
      <w:rPr>
        <w:rFonts w:ascii="Arial" w:hAnsi="Arial" w:hint="default"/>
      </w:rPr>
    </w:lvl>
    <w:lvl w:ilvl="3" w:tplc="E8D6E78C" w:tentative="1">
      <w:start w:val="1"/>
      <w:numFmt w:val="bullet"/>
      <w:lvlText w:val="•"/>
      <w:lvlJc w:val="left"/>
      <w:pPr>
        <w:tabs>
          <w:tab w:val="num" w:pos="2880"/>
        </w:tabs>
        <w:ind w:left="2880" w:hanging="360"/>
      </w:pPr>
      <w:rPr>
        <w:rFonts w:ascii="Arial" w:hAnsi="Arial" w:hint="default"/>
      </w:rPr>
    </w:lvl>
    <w:lvl w:ilvl="4" w:tplc="9306D2CC" w:tentative="1">
      <w:start w:val="1"/>
      <w:numFmt w:val="bullet"/>
      <w:lvlText w:val="•"/>
      <w:lvlJc w:val="left"/>
      <w:pPr>
        <w:tabs>
          <w:tab w:val="num" w:pos="3600"/>
        </w:tabs>
        <w:ind w:left="3600" w:hanging="360"/>
      </w:pPr>
      <w:rPr>
        <w:rFonts w:ascii="Arial" w:hAnsi="Arial" w:hint="default"/>
      </w:rPr>
    </w:lvl>
    <w:lvl w:ilvl="5" w:tplc="913AE6A6" w:tentative="1">
      <w:start w:val="1"/>
      <w:numFmt w:val="bullet"/>
      <w:lvlText w:val="•"/>
      <w:lvlJc w:val="left"/>
      <w:pPr>
        <w:tabs>
          <w:tab w:val="num" w:pos="4320"/>
        </w:tabs>
        <w:ind w:left="4320" w:hanging="360"/>
      </w:pPr>
      <w:rPr>
        <w:rFonts w:ascii="Arial" w:hAnsi="Arial" w:hint="default"/>
      </w:rPr>
    </w:lvl>
    <w:lvl w:ilvl="6" w:tplc="23085450" w:tentative="1">
      <w:start w:val="1"/>
      <w:numFmt w:val="bullet"/>
      <w:lvlText w:val="•"/>
      <w:lvlJc w:val="left"/>
      <w:pPr>
        <w:tabs>
          <w:tab w:val="num" w:pos="5040"/>
        </w:tabs>
        <w:ind w:left="5040" w:hanging="360"/>
      </w:pPr>
      <w:rPr>
        <w:rFonts w:ascii="Arial" w:hAnsi="Arial" w:hint="default"/>
      </w:rPr>
    </w:lvl>
    <w:lvl w:ilvl="7" w:tplc="D43EF18E" w:tentative="1">
      <w:start w:val="1"/>
      <w:numFmt w:val="bullet"/>
      <w:lvlText w:val="•"/>
      <w:lvlJc w:val="left"/>
      <w:pPr>
        <w:tabs>
          <w:tab w:val="num" w:pos="5760"/>
        </w:tabs>
        <w:ind w:left="5760" w:hanging="360"/>
      </w:pPr>
      <w:rPr>
        <w:rFonts w:ascii="Arial" w:hAnsi="Arial" w:hint="default"/>
      </w:rPr>
    </w:lvl>
    <w:lvl w:ilvl="8" w:tplc="87F2D12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8"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6B6B44D6"/>
    <w:multiLevelType w:val="hybridMultilevel"/>
    <w:tmpl w:val="E90050A0"/>
    <w:lvl w:ilvl="0" w:tplc="EA1A855E">
      <w:start w:val="1"/>
      <w:numFmt w:val="bullet"/>
      <w:lvlText w:val=""/>
      <w:lvlJc w:val="left"/>
      <w:pPr>
        <w:ind w:left="1267" w:hanging="360"/>
      </w:pPr>
      <w:rPr>
        <w:rFonts w:ascii="Symbol" w:eastAsiaTheme="minorEastAsia" w:hAnsi="Symbol" w:cs="Arial" w:hint="default"/>
      </w:rPr>
    </w:lvl>
    <w:lvl w:ilvl="1" w:tplc="0C090003" w:tentative="1">
      <w:start w:val="1"/>
      <w:numFmt w:val="bullet"/>
      <w:lvlText w:val="o"/>
      <w:lvlJc w:val="left"/>
      <w:pPr>
        <w:ind w:left="1987" w:hanging="360"/>
      </w:pPr>
      <w:rPr>
        <w:rFonts w:ascii="Courier New" w:hAnsi="Courier New" w:cs="Courier New" w:hint="default"/>
      </w:rPr>
    </w:lvl>
    <w:lvl w:ilvl="2" w:tplc="0C090005" w:tentative="1">
      <w:start w:val="1"/>
      <w:numFmt w:val="bullet"/>
      <w:lvlText w:val=""/>
      <w:lvlJc w:val="left"/>
      <w:pPr>
        <w:ind w:left="2707" w:hanging="360"/>
      </w:pPr>
      <w:rPr>
        <w:rFonts w:ascii="Wingdings" w:hAnsi="Wingdings" w:hint="default"/>
      </w:rPr>
    </w:lvl>
    <w:lvl w:ilvl="3" w:tplc="0C090001" w:tentative="1">
      <w:start w:val="1"/>
      <w:numFmt w:val="bullet"/>
      <w:lvlText w:val=""/>
      <w:lvlJc w:val="left"/>
      <w:pPr>
        <w:ind w:left="3427" w:hanging="360"/>
      </w:pPr>
      <w:rPr>
        <w:rFonts w:ascii="Symbol" w:hAnsi="Symbol" w:hint="default"/>
      </w:rPr>
    </w:lvl>
    <w:lvl w:ilvl="4" w:tplc="0C090003" w:tentative="1">
      <w:start w:val="1"/>
      <w:numFmt w:val="bullet"/>
      <w:lvlText w:val="o"/>
      <w:lvlJc w:val="left"/>
      <w:pPr>
        <w:ind w:left="4147" w:hanging="360"/>
      </w:pPr>
      <w:rPr>
        <w:rFonts w:ascii="Courier New" w:hAnsi="Courier New" w:cs="Courier New" w:hint="default"/>
      </w:rPr>
    </w:lvl>
    <w:lvl w:ilvl="5" w:tplc="0C090005" w:tentative="1">
      <w:start w:val="1"/>
      <w:numFmt w:val="bullet"/>
      <w:lvlText w:val=""/>
      <w:lvlJc w:val="left"/>
      <w:pPr>
        <w:ind w:left="4867" w:hanging="360"/>
      </w:pPr>
      <w:rPr>
        <w:rFonts w:ascii="Wingdings" w:hAnsi="Wingdings" w:hint="default"/>
      </w:rPr>
    </w:lvl>
    <w:lvl w:ilvl="6" w:tplc="0C090001" w:tentative="1">
      <w:start w:val="1"/>
      <w:numFmt w:val="bullet"/>
      <w:lvlText w:val=""/>
      <w:lvlJc w:val="left"/>
      <w:pPr>
        <w:ind w:left="5587" w:hanging="360"/>
      </w:pPr>
      <w:rPr>
        <w:rFonts w:ascii="Symbol" w:hAnsi="Symbol" w:hint="default"/>
      </w:rPr>
    </w:lvl>
    <w:lvl w:ilvl="7" w:tplc="0C090003" w:tentative="1">
      <w:start w:val="1"/>
      <w:numFmt w:val="bullet"/>
      <w:lvlText w:val="o"/>
      <w:lvlJc w:val="left"/>
      <w:pPr>
        <w:ind w:left="6307" w:hanging="360"/>
      </w:pPr>
      <w:rPr>
        <w:rFonts w:ascii="Courier New" w:hAnsi="Courier New" w:cs="Courier New" w:hint="default"/>
      </w:rPr>
    </w:lvl>
    <w:lvl w:ilvl="8" w:tplc="0C090005" w:tentative="1">
      <w:start w:val="1"/>
      <w:numFmt w:val="bullet"/>
      <w:lvlText w:val=""/>
      <w:lvlJc w:val="left"/>
      <w:pPr>
        <w:ind w:left="7027" w:hanging="360"/>
      </w:pPr>
      <w:rPr>
        <w:rFonts w:ascii="Wingdings" w:hAnsi="Wingdings" w:hint="default"/>
      </w:rPr>
    </w:lvl>
  </w:abstractNum>
  <w:abstractNum w:abstractNumId="20"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1"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4"/>
  </w:num>
  <w:num w:numId="2">
    <w:abstractNumId w:val="8"/>
  </w:num>
  <w:num w:numId="3">
    <w:abstractNumId w:val="20"/>
  </w:num>
  <w:num w:numId="4">
    <w:abstractNumId w:val="9"/>
  </w:num>
  <w:num w:numId="5">
    <w:abstractNumId w:val="12"/>
  </w:num>
  <w:num w:numId="6">
    <w:abstractNumId w:val="15"/>
  </w:num>
  <w:num w:numId="7">
    <w:abstractNumId w:val="2"/>
  </w:num>
  <w:num w:numId="8">
    <w:abstractNumId w:val="10"/>
  </w:num>
  <w:num w:numId="9">
    <w:abstractNumId w:val="18"/>
  </w:num>
  <w:num w:numId="10">
    <w:abstractNumId w:val="21"/>
  </w:num>
  <w:num w:numId="11">
    <w:abstractNumId w:val="16"/>
  </w:num>
  <w:num w:numId="12">
    <w:abstractNumId w:val="11"/>
  </w:num>
  <w:num w:numId="13">
    <w:abstractNumId w:val="3"/>
  </w:num>
  <w:num w:numId="14">
    <w:abstractNumId w:val="5"/>
  </w:num>
  <w:num w:numId="15">
    <w:abstractNumId w:val="9"/>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7"/>
  </w:num>
  <w:num w:numId="17">
    <w:abstractNumId w:val="1"/>
  </w:num>
  <w:num w:numId="18">
    <w:abstractNumId w:val="0"/>
  </w:num>
  <w:num w:numId="19">
    <w:abstractNumId w:val="4"/>
  </w:num>
  <w:num w:numId="20">
    <w:abstractNumId w:val="6"/>
  </w:num>
  <w:num w:numId="21">
    <w:abstractNumId w:val="13"/>
  </w:num>
  <w:num w:numId="22">
    <w:abstractNumId w:val="9"/>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23">
    <w:abstractNumId w:val="7"/>
  </w:num>
  <w:num w:numId="24">
    <w:abstractNumId w:val="19"/>
  </w:num>
  <w:num w:numId="25">
    <w:abstractNumId w:val="9"/>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26">
    <w:abstractNumId w:val="9"/>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638"/>
    <w:rsid w:val="00000227"/>
    <w:rsid w:val="00002F05"/>
    <w:rsid w:val="0000423C"/>
    <w:rsid w:val="0000532D"/>
    <w:rsid w:val="000056DA"/>
    <w:rsid w:val="00007948"/>
    <w:rsid w:val="00010F8E"/>
    <w:rsid w:val="00014804"/>
    <w:rsid w:val="0001596B"/>
    <w:rsid w:val="00015C03"/>
    <w:rsid w:val="00015F36"/>
    <w:rsid w:val="000208A0"/>
    <w:rsid w:val="0002351E"/>
    <w:rsid w:val="000237DE"/>
    <w:rsid w:val="00030DD5"/>
    <w:rsid w:val="00035139"/>
    <w:rsid w:val="00037D31"/>
    <w:rsid w:val="00041E58"/>
    <w:rsid w:val="000432B3"/>
    <w:rsid w:val="00043C9D"/>
    <w:rsid w:val="000441C0"/>
    <w:rsid w:val="00044A7F"/>
    <w:rsid w:val="0004580B"/>
    <w:rsid w:val="00045B46"/>
    <w:rsid w:val="00046AC1"/>
    <w:rsid w:val="00047983"/>
    <w:rsid w:val="00050688"/>
    <w:rsid w:val="000520FF"/>
    <w:rsid w:val="00052533"/>
    <w:rsid w:val="00054120"/>
    <w:rsid w:val="00054FD9"/>
    <w:rsid w:val="00056960"/>
    <w:rsid w:val="00056E77"/>
    <w:rsid w:val="00057023"/>
    <w:rsid w:val="00057D21"/>
    <w:rsid w:val="00060B45"/>
    <w:rsid w:val="00061BF6"/>
    <w:rsid w:val="00062DAD"/>
    <w:rsid w:val="00063EDF"/>
    <w:rsid w:val="00064660"/>
    <w:rsid w:val="00064C35"/>
    <w:rsid w:val="00066283"/>
    <w:rsid w:val="0006659E"/>
    <w:rsid w:val="0007050B"/>
    <w:rsid w:val="00072CE6"/>
    <w:rsid w:val="00072F04"/>
    <w:rsid w:val="00073025"/>
    <w:rsid w:val="000731D3"/>
    <w:rsid w:val="00074ECA"/>
    <w:rsid w:val="00075AB0"/>
    <w:rsid w:val="0007682B"/>
    <w:rsid w:val="00077814"/>
    <w:rsid w:val="00080050"/>
    <w:rsid w:val="000803A7"/>
    <w:rsid w:val="00080522"/>
    <w:rsid w:val="0008293D"/>
    <w:rsid w:val="00084851"/>
    <w:rsid w:val="00086C4E"/>
    <w:rsid w:val="0008790A"/>
    <w:rsid w:val="00091D4B"/>
    <w:rsid w:val="00092E4C"/>
    <w:rsid w:val="00095FBB"/>
    <w:rsid w:val="00096517"/>
    <w:rsid w:val="00096ADC"/>
    <w:rsid w:val="00097295"/>
    <w:rsid w:val="0009742D"/>
    <w:rsid w:val="000A0D5F"/>
    <w:rsid w:val="000A201B"/>
    <w:rsid w:val="000A2036"/>
    <w:rsid w:val="000A2CB5"/>
    <w:rsid w:val="000A35FA"/>
    <w:rsid w:val="000A5CE7"/>
    <w:rsid w:val="000B0790"/>
    <w:rsid w:val="000B4B52"/>
    <w:rsid w:val="000B6C72"/>
    <w:rsid w:val="000B7454"/>
    <w:rsid w:val="000B794F"/>
    <w:rsid w:val="000B7D20"/>
    <w:rsid w:val="000C1B91"/>
    <w:rsid w:val="000C4088"/>
    <w:rsid w:val="000C4333"/>
    <w:rsid w:val="000C45E2"/>
    <w:rsid w:val="000C5CFE"/>
    <w:rsid w:val="000C6007"/>
    <w:rsid w:val="000C619C"/>
    <w:rsid w:val="000D1796"/>
    <w:rsid w:val="000D1F65"/>
    <w:rsid w:val="000D3ED6"/>
    <w:rsid w:val="000D49A5"/>
    <w:rsid w:val="000D519F"/>
    <w:rsid w:val="000D520A"/>
    <w:rsid w:val="000D6F91"/>
    <w:rsid w:val="000D6FBA"/>
    <w:rsid w:val="000E02AC"/>
    <w:rsid w:val="000E1039"/>
    <w:rsid w:val="000E1AEB"/>
    <w:rsid w:val="000E2B2D"/>
    <w:rsid w:val="000E2E58"/>
    <w:rsid w:val="000E357B"/>
    <w:rsid w:val="000E37A0"/>
    <w:rsid w:val="000E4460"/>
    <w:rsid w:val="000E606B"/>
    <w:rsid w:val="000F0BC1"/>
    <w:rsid w:val="000F4098"/>
    <w:rsid w:val="001043A8"/>
    <w:rsid w:val="00105217"/>
    <w:rsid w:val="001066BD"/>
    <w:rsid w:val="00107DF3"/>
    <w:rsid w:val="00110696"/>
    <w:rsid w:val="00110D00"/>
    <w:rsid w:val="001137A9"/>
    <w:rsid w:val="001143CC"/>
    <w:rsid w:val="00114F37"/>
    <w:rsid w:val="001157E5"/>
    <w:rsid w:val="00116CC0"/>
    <w:rsid w:val="00121E6F"/>
    <w:rsid w:val="00123556"/>
    <w:rsid w:val="00124365"/>
    <w:rsid w:val="00124A35"/>
    <w:rsid w:val="001304EE"/>
    <w:rsid w:val="00130C6F"/>
    <w:rsid w:val="00131CF3"/>
    <w:rsid w:val="00132908"/>
    <w:rsid w:val="00133908"/>
    <w:rsid w:val="00133F54"/>
    <w:rsid w:val="0014035C"/>
    <w:rsid w:val="00141E96"/>
    <w:rsid w:val="0014286D"/>
    <w:rsid w:val="001444C7"/>
    <w:rsid w:val="0014476E"/>
    <w:rsid w:val="00147D97"/>
    <w:rsid w:val="0015171E"/>
    <w:rsid w:val="00153BC4"/>
    <w:rsid w:val="00153D7F"/>
    <w:rsid w:val="001559F7"/>
    <w:rsid w:val="00160614"/>
    <w:rsid w:val="0016469D"/>
    <w:rsid w:val="00166238"/>
    <w:rsid w:val="001703B7"/>
    <w:rsid w:val="0017044A"/>
    <w:rsid w:val="00170CB7"/>
    <w:rsid w:val="00172931"/>
    <w:rsid w:val="00174DBB"/>
    <w:rsid w:val="0017592B"/>
    <w:rsid w:val="00175CEE"/>
    <w:rsid w:val="00176022"/>
    <w:rsid w:val="001825CB"/>
    <w:rsid w:val="00182865"/>
    <w:rsid w:val="00182D21"/>
    <w:rsid w:val="00182E06"/>
    <w:rsid w:val="0018441D"/>
    <w:rsid w:val="00185E17"/>
    <w:rsid w:val="00186791"/>
    <w:rsid w:val="001906C1"/>
    <w:rsid w:val="001916E4"/>
    <w:rsid w:val="0019203A"/>
    <w:rsid w:val="0019220B"/>
    <w:rsid w:val="00192D57"/>
    <w:rsid w:val="00192E04"/>
    <w:rsid w:val="00192F4F"/>
    <w:rsid w:val="00193498"/>
    <w:rsid w:val="00195E9F"/>
    <w:rsid w:val="00196671"/>
    <w:rsid w:val="001A03CE"/>
    <w:rsid w:val="001A04EE"/>
    <w:rsid w:val="001A0EFC"/>
    <w:rsid w:val="001A12BD"/>
    <w:rsid w:val="001A1DB0"/>
    <w:rsid w:val="001A227A"/>
    <w:rsid w:val="001A52A4"/>
    <w:rsid w:val="001A5AAB"/>
    <w:rsid w:val="001B1A27"/>
    <w:rsid w:val="001B3260"/>
    <w:rsid w:val="001B3972"/>
    <w:rsid w:val="001B5470"/>
    <w:rsid w:val="001B57C6"/>
    <w:rsid w:val="001B63D1"/>
    <w:rsid w:val="001B6740"/>
    <w:rsid w:val="001B69A6"/>
    <w:rsid w:val="001B6A45"/>
    <w:rsid w:val="001B7008"/>
    <w:rsid w:val="001C01FD"/>
    <w:rsid w:val="001C127F"/>
    <w:rsid w:val="001C324B"/>
    <w:rsid w:val="001C332F"/>
    <w:rsid w:val="001D2122"/>
    <w:rsid w:val="001D50C0"/>
    <w:rsid w:val="001D7758"/>
    <w:rsid w:val="001DC40E"/>
    <w:rsid w:val="001E00A4"/>
    <w:rsid w:val="001E3A26"/>
    <w:rsid w:val="001F33A6"/>
    <w:rsid w:val="001F389A"/>
    <w:rsid w:val="001F3F19"/>
    <w:rsid w:val="001F40E2"/>
    <w:rsid w:val="001F5F4B"/>
    <w:rsid w:val="00200CE1"/>
    <w:rsid w:val="00203630"/>
    <w:rsid w:val="00203F05"/>
    <w:rsid w:val="002041BA"/>
    <w:rsid w:val="0020460C"/>
    <w:rsid w:val="002056B8"/>
    <w:rsid w:val="00205797"/>
    <w:rsid w:val="00206577"/>
    <w:rsid w:val="002078B9"/>
    <w:rsid w:val="002112FF"/>
    <w:rsid w:val="00211F74"/>
    <w:rsid w:val="002137EF"/>
    <w:rsid w:val="00213E7D"/>
    <w:rsid w:val="00215DF5"/>
    <w:rsid w:val="00215EDE"/>
    <w:rsid w:val="0021616F"/>
    <w:rsid w:val="00216F15"/>
    <w:rsid w:val="00217F21"/>
    <w:rsid w:val="00221F7D"/>
    <w:rsid w:val="0022377E"/>
    <w:rsid w:val="0022592D"/>
    <w:rsid w:val="0022603E"/>
    <w:rsid w:val="00227178"/>
    <w:rsid w:val="0023346A"/>
    <w:rsid w:val="00233F52"/>
    <w:rsid w:val="00233F6B"/>
    <w:rsid w:val="00235527"/>
    <w:rsid w:val="0023691D"/>
    <w:rsid w:val="0024052B"/>
    <w:rsid w:val="00240EF9"/>
    <w:rsid w:val="00240F83"/>
    <w:rsid w:val="0024194E"/>
    <w:rsid w:val="00247033"/>
    <w:rsid w:val="00247570"/>
    <w:rsid w:val="002477F6"/>
    <w:rsid w:val="00250364"/>
    <w:rsid w:val="00250648"/>
    <w:rsid w:val="00250709"/>
    <w:rsid w:val="00253B42"/>
    <w:rsid w:val="00253D15"/>
    <w:rsid w:val="0025417E"/>
    <w:rsid w:val="0025607C"/>
    <w:rsid w:val="00256EEA"/>
    <w:rsid w:val="00260847"/>
    <w:rsid w:val="00260B90"/>
    <w:rsid w:val="002621D4"/>
    <w:rsid w:val="00263426"/>
    <w:rsid w:val="00263FF2"/>
    <w:rsid w:val="00264F3D"/>
    <w:rsid w:val="002725FC"/>
    <w:rsid w:val="00272A9E"/>
    <w:rsid w:val="00273D46"/>
    <w:rsid w:val="002762A3"/>
    <w:rsid w:val="00277C1F"/>
    <w:rsid w:val="00280980"/>
    <w:rsid w:val="00283D88"/>
    <w:rsid w:val="00284FF0"/>
    <w:rsid w:val="0028591B"/>
    <w:rsid w:val="00285BD8"/>
    <w:rsid w:val="00286728"/>
    <w:rsid w:val="0028A1B1"/>
    <w:rsid w:val="00290B4D"/>
    <w:rsid w:val="00292C50"/>
    <w:rsid w:val="0029553A"/>
    <w:rsid w:val="002966E4"/>
    <w:rsid w:val="002977AE"/>
    <w:rsid w:val="002A03F1"/>
    <w:rsid w:val="002A2E16"/>
    <w:rsid w:val="002A2EAF"/>
    <w:rsid w:val="002A4061"/>
    <w:rsid w:val="002A640F"/>
    <w:rsid w:val="002B2AA1"/>
    <w:rsid w:val="002B3686"/>
    <w:rsid w:val="002B4657"/>
    <w:rsid w:val="002B63B4"/>
    <w:rsid w:val="002B65D4"/>
    <w:rsid w:val="002C076A"/>
    <w:rsid w:val="002C1BEC"/>
    <w:rsid w:val="002C31D3"/>
    <w:rsid w:val="002C388F"/>
    <w:rsid w:val="002C4871"/>
    <w:rsid w:val="002C4B78"/>
    <w:rsid w:val="002C54D2"/>
    <w:rsid w:val="002C5D81"/>
    <w:rsid w:val="002C5DEE"/>
    <w:rsid w:val="002C6F28"/>
    <w:rsid w:val="002D2770"/>
    <w:rsid w:val="002D46A2"/>
    <w:rsid w:val="002D6755"/>
    <w:rsid w:val="002E433B"/>
    <w:rsid w:val="002E60EF"/>
    <w:rsid w:val="002E6BF5"/>
    <w:rsid w:val="002E7F5D"/>
    <w:rsid w:val="002E7FCC"/>
    <w:rsid w:val="002F03E3"/>
    <w:rsid w:val="002F50FF"/>
    <w:rsid w:val="002F5819"/>
    <w:rsid w:val="002F5CB8"/>
    <w:rsid w:val="00303598"/>
    <w:rsid w:val="0030362E"/>
    <w:rsid w:val="00305D47"/>
    <w:rsid w:val="003064EE"/>
    <w:rsid w:val="00307555"/>
    <w:rsid w:val="00310982"/>
    <w:rsid w:val="00310CB2"/>
    <w:rsid w:val="00312C2A"/>
    <w:rsid w:val="003140DC"/>
    <w:rsid w:val="00317643"/>
    <w:rsid w:val="003204FA"/>
    <w:rsid w:val="00320591"/>
    <w:rsid w:val="003209E0"/>
    <w:rsid w:val="00321445"/>
    <w:rsid w:val="00321587"/>
    <w:rsid w:val="003226BB"/>
    <w:rsid w:val="00322768"/>
    <w:rsid w:val="003236AC"/>
    <w:rsid w:val="0032516B"/>
    <w:rsid w:val="00325B4C"/>
    <w:rsid w:val="00326869"/>
    <w:rsid w:val="00330202"/>
    <w:rsid w:val="00330504"/>
    <w:rsid w:val="00330886"/>
    <w:rsid w:val="00330935"/>
    <w:rsid w:val="0033216F"/>
    <w:rsid w:val="00333638"/>
    <w:rsid w:val="00333EA8"/>
    <w:rsid w:val="00336923"/>
    <w:rsid w:val="003410D6"/>
    <w:rsid w:val="0034134D"/>
    <w:rsid w:val="00341819"/>
    <w:rsid w:val="00341A30"/>
    <w:rsid w:val="00341AD2"/>
    <w:rsid w:val="00343F7D"/>
    <w:rsid w:val="00344BFF"/>
    <w:rsid w:val="00344F59"/>
    <w:rsid w:val="00347EB9"/>
    <w:rsid w:val="003506C6"/>
    <w:rsid w:val="0035098A"/>
    <w:rsid w:val="00350D39"/>
    <w:rsid w:val="00350D76"/>
    <w:rsid w:val="00353EC6"/>
    <w:rsid w:val="0035517B"/>
    <w:rsid w:val="0035654D"/>
    <w:rsid w:val="00361AB8"/>
    <w:rsid w:val="00361C5B"/>
    <w:rsid w:val="00363580"/>
    <w:rsid w:val="00364BE1"/>
    <w:rsid w:val="00366C5B"/>
    <w:rsid w:val="00367E92"/>
    <w:rsid w:val="00370336"/>
    <w:rsid w:val="00370337"/>
    <w:rsid w:val="00370EC3"/>
    <w:rsid w:val="00373364"/>
    <w:rsid w:val="003735D1"/>
    <w:rsid w:val="00373C83"/>
    <w:rsid w:val="00376874"/>
    <w:rsid w:val="00380142"/>
    <w:rsid w:val="003810B8"/>
    <w:rsid w:val="00381429"/>
    <w:rsid w:val="003822F1"/>
    <w:rsid w:val="003829C2"/>
    <w:rsid w:val="0038466F"/>
    <w:rsid w:val="003847F0"/>
    <w:rsid w:val="00384C79"/>
    <w:rsid w:val="00385D8A"/>
    <w:rsid w:val="00390A19"/>
    <w:rsid w:val="003913F6"/>
    <w:rsid w:val="00392522"/>
    <w:rsid w:val="00392FB2"/>
    <w:rsid w:val="003933DA"/>
    <w:rsid w:val="003943ED"/>
    <w:rsid w:val="003952D3"/>
    <w:rsid w:val="00395332"/>
    <w:rsid w:val="0039696F"/>
    <w:rsid w:val="00396F27"/>
    <w:rsid w:val="0039703D"/>
    <w:rsid w:val="003A0332"/>
    <w:rsid w:val="003A3309"/>
    <w:rsid w:val="003A4193"/>
    <w:rsid w:val="003A4882"/>
    <w:rsid w:val="003A666E"/>
    <w:rsid w:val="003A7158"/>
    <w:rsid w:val="003A733D"/>
    <w:rsid w:val="003A7357"/>
    <w:rsid w:val="003A73C6"/>
    <w:rsid w:val="003A79F6"/>
    <w:rsid w:val="003B197E"/>
    <w:rsid w:val="003B3853"/>
    <w:rsid w:val="003B514F"/>
    <w:rsid w:val="003C071F"/>
    <w:rsid w:val="003C1017"/>
    <w:rsid w:val="003C2709"/>
    <w:rsid w:val="003C2782"/>
    <w:rsid w:val="003C2DB9"/>
    <w:rsid w:val="003C3E7A"/>
    <w:rsid w:val="003C443B"/>
    <w:rsid w:val="003C4692"/>
    <w:rsid w:val="003C4812"/>
    <w:rsid w:val="003C5B85"/>
    <w:rsid w:val="003C6A61"/>
    <w:rsid w:val="003C6DF3"/>
    <w:rsid w:val="003D0F48"/>
    <w:rsid w:val="003D3049"/>
    <w:rsid w:val="003D369C"/>
    <w:rsid w:val="003D3AAC"/>
    <w:rsid w:val="003D4D91"/>
    <w:rsid w:val="003D5132"/>
    <w:rsid w:val="003D538C"/>
    <w:rsid w:val="003D605A"/>
    <w:rsid w:val="003D625C"/>
    <w:rsid w:val="003E0048"/>
    <w:rsid w:val="003E0979"/>
    <w:rsid w:val="003E19E8"/>
    <w:rsid w:val="003E1CC3"/>
    <w:rsid w:val="003E4A32"/>
    <w:rsid w:val="003E4F54"/>
    <w:rsid w:val="003F2299"/>
    <w:rsid w:val="003F2F64"/>
    <w:rsid w:val="003F4276"/>
    <w:rsid w:val="003F5694"/>
    <w:rsid w:val="003F6F7E"/>
    <w:rsid w:val="00400449"/>
    <w:rsid w:val="0040116B"/>
    <w:rsid w:val="00402223"/>
    <w:rsid w:val="004043BE"/>
    <w:rsid w:val="00405CFF"/>
    <w:rsid w:val="0040746E"/>
    <w:rsid w:val="00407D7F"/>
    <w:rsid w:val="004116D0"/>
    <w:rsid w:val="00411FC6"/>
    <w:rsid w:val="004159B5"/>
    <w:rsid w:val="004167A2"/>
    <w:rsid w:val="0041791C"/>
    <w:rsid w:val="00421429"/>
    <w:rsid w:val="00425009"/>
    <w:rsid w:val="004269B3"/>
    <w:rsid w:val="00426E2B"/>
    <w:rsid w:val="00426ED9"/>
    <w:rsid w:val="00427938"/>
    <w:rsid w:val="00427F11"/>
    <w:rsid w:val="0043019E"/>
    <w:rsid w:val="00430BA9"/>
    <w:rsid w:val="0043167D"/>
    <w:rsid w:val="00431D51"/>
    <w:rsid w:val="00432DF8"/>
    <w:rsid w:val="0043334D"/>
    <w:rsid w:val="004348E3"/>
    <w:rsid w:val="00437A1E"/>
    <w:rsid w:val="00440235"/>
    <w:rsid w:val="00440CC5"/>
    <w:rsid w:val="004418EC"/>
    <w:rsid w:val="00441F20"/>
    <w:rsid w:val="004424F3"/>
    <w:rsid w:val="00445038"/>
    <w:rsid w:val="00445E00"/>
    <w:rsid w:val="00446AE7"/>
    <w:rsid w:val="004471DE"/>
    <w:rsid w:val="00447740"/>
    <w:rsid w:val="00451416"/>
    <w:rsid w:val="00452BE4"/>
    <w:rsid w:val="004538FC"/>
    <w:rsid w:val="00454F0E"/>
    <w:rsid w:val="0045535F"/>
    <w:rsid w:val="004564C7"/>
    <w:rsid w:val="0045765D"/>
    <w:rsid w:val="004609C1"/>
    <w:rsid w:val="00461BFE"/>
    <w:rsid w:val="00463BEF"/>
    <w:rsid w:val="00464144"/>
    <w:rsid w:val="00464840"/>
    <w:rsid w:val="004651F9"/>
    <w:rsid w:val="00465D83"/>
    <w:rsid w:val="00466216"/>
    <w:rsid w:val="0046668E"/>
    <w:rsid w:val="00467166"/>
    <w:rsid w:val="004676A5"/>
    <w:rsid w:val="00472A7B"/>
    <w:rsid w:val="00473347"/>
    <w:rsid w:val="00474529"/>
    <w:rsid w:val="00476429"/>
    <w:rsid w:val="00476A15"/>
    <w:rsid w:val="00476C1A"/>
    <w:rsid w:val="00477016"/>
    <w:rsid w:val="00481147"/>
    <w:rsid w:val="004811B5"/>
    <w:rsid w:val="00482C7D"/>
    <w:rsid w:val="00486645"/>
    <w:rsid w:val="00486E5E"/>
    <w:rsid w:val="0048713B"/>
    <w:rsid w:val="00490273"/>
    <w:rsid w:val="00493469"/>
    <w:rsid w:val="00493621"/>
    <w:rsid w:val="00496036"/>
    <w:rsid w:val="004A1B59"/>
    <w:rsid w:val="004A2375"/>
    <w:rsid w:val="004A3A65"/>
    <w:rsid w:val="004A3ED2"/>
    <w:rsid w:val="004A4BB4"/>
    <w:rsid w:val="004A6F71"/>
    <w:rsid w:val="004A70D8"/>
    <w:rsid w:val="004A7AD2"/>
    <w:rsid w:val="004A7D05"/>
    <w:rsid w:val="004B0599"/>
    <w:rsid w:val="004B3248"/>
    <w:rsid w:val="004B4158"/>
    <w:rsid w:val="004B48E4"/>
    <w:rsid w:val="004B5C57"/>
    <w:rsid w:val="004B6125"/>
    <w:rsid w:val="004B682F"/>
    <w:rsid w:val="004B71ED"/>
    <w:rsid w:val="004B7AA8"/>
    <w:rsid w:val="004C09EC"/>
    <w:rsid w:val="004C17FC"/>
    <w:rsid w:val="004C2481"/>
    <w:rsid w:val="004C2886"/>
    <w:rsid w:val="004C3D01"/>
    <w:rsid w:val="004C44CD"/>
    <w:rsid w:val="004D389A"/>
    <w:rsid w:val="004D4D97"/>
    <w:rsid w:val="004D7111"/>
    <w:rsid w:val="004E2F1E"/>
    <w:rsid w:val="004E3C4B"/>
    <w:rsid w:val="004E3D6B"/>
    <w:rsid w:val="004E3DE6"/>
    <w:rsid w:val="004E58C1"/>
    <w:rsid w:val="004E6CE3"/>
    <w:rsid w:val="004F2064"/>
    <w:rsid w:val="004F2CB8"/>
    <w:rsid w:val="004F3217"/>
    <w:rsid w:val="004F3718"/>
    <w:rsid w:val="004F4CB1"/>
    <w:rsid w:val="004F75F4"/>
    <w:rsid w:val="004F7F02"/>
    <w:rsid w:val="005009D5"/>
    <w:rsid w:val="00501049"/>
    <w:rsid w:val="005012A1"/>
    <w:rsid w:val="00502924"/>
    <w:rsid w:val="005033A9"/>
    <w:rsid w:val="00503AE7"/>
    <w:rsid w:val="00505A57"/>
    <w:rsid w:val="00506B35"/>
    <w:rsid w:val="00510B9C"/>
    <w:rsid w:val="00511612"/>
    <w:rsid w:val="00511D97"/>
    <w:rsid w:val="0051296F"/>
    <w:rsid w:val="0051299B"/>
    <w:rsid w:val="00515065"/>
    <w:rsid w:val="00515DA1"/>
    <w:rsid w:val="00516283"/>
    <w:rsid w:val="005169A6"/>
    <w:rsid w:val="00516FEE"/>
    <w:rsid w:val="00517D74"/>
    <w:rsid w:val="0052278B"/>
    <w:rsid w:val="00523348"/>
    <w:rsid w:val="00523384"/>
    <w:rsid w:val="00525CCA"/>
    <w:rsid w:val="005262CE"/>
    <w:rsid w:val="0052711B"/>
    <w:rsid w:val="00530CFA"/>
    <w:rsid w:val="0053385B"/>
    <w:rsid w:val="0053463E"/>
    <w:rsid w:val="005359F2"/>
    <w:rsid w:val="00535D67"/>
    <w:rsid w:val="0053C1A6"/>
    <w:rsid w:val="00540A95"/>
    <w:rsid w:val="005413E3"/>
    <w:rsid w:val="00552C1A"/>
    <w:rsid w:val="00552E57"/>
    <w:rsid w:val="00552F9A"/>
    <w:rsid w:val="0055696A"/>
    <w:rsid w:val="00556B7D"/>
    <w:rsid w:val="00557ED0"/>
    <w:rsid w:val="00560FB6"/>
    <w:rsid w:val="00564A19"/>
    <w:rsid w:val="00564ED5"/>
    <w:rsid w:val="005670D5"/>
    <w:rsid w:val="00570014"/>
    <w:rsid w:val="005715B9"/>
    <w:rsid w:val="005723A4"/>
    <w:rsid w:val="00580083"/>
    <w:rsid w:val="00581CBC"/>
    <w:rsid w:val="005834A0"/>
    <w:rsid w:val="005858F4"/>
    <w:rsid w:val="00586C43"/>
    <w:rsid w:val="005871A9"/>
    <w:rsid w:val="00587AEA"/>
    <w:rsid w:val="0058BC35"/>
    <w:rsid w:val="005916EB"/>
    <w:rsid w:val="00592312"/>
    <w:rsid w:val="005930BE"/>
    <w:rsid w:val="0059336E"/>
    <w:rsid w:val="005938F3"/>
    <w:rsid w:val="00593F27"/>
    <w:rsid w:val="005940B5"/>
    <w:rsid w:val="005967C5"/>
    <w:rsid w:val="00596AF1"/>
    <w:rsid w:val="005975BE"/>
    <w:rsid w:val="00597879"/>
    <w:rsid w:val="005A1AC1"/>
    <w:rsid w:val="005A49E2"/>
    <w:rsid w:val="005B0097"/>
    <w:rsid w:val="005B0841"/>
    <w:rsid w:val="005B273A"/>
    <w:rsid w:val="005B3855"/>
    <w:rsid w:val="005B3D6E"/>
    <w:rsid w:val="005B404C"/>
    <w:rsid w:val="005B4749"/>
    <w:rsid w:val="005B4DB6"/>
    <w:rsid w:val="005B6DCC"/>
    <w:rsid w:val="005B78EB"/>
    <w:rsid w:val="005B7E50"/>
    <w:rsid w:val="005C12B6"/>
    <w:rsid w:val="005C1730"/>
    <w:rsid w:val="005C2CDD"/>
    <w:rsid w:val="005C3764"/>
    <w:rsid w:val="005C3FB8"/>
    <w:rsid w:val="005C42B9"/>
    <w:rsid w:val="005C4638"/>
    <w:rsid w:val="005C4AFB"/>
    <w:rsid w:val="005C5DF9"/>
    <w:rsid w:val="005C6541"/>
    <w:rsid w:val="005C73C5"/>
    <w:rsid w:val="005C74C6"/>
    <w:rsid w:val="005D261A"/>
    <w:rsid w:val="005D3977"/>
    <w:rsid w:val="005D5A16"/>
    <w:rsid w:val="005D6656"/>
    <w:rsid w:val="005D68BA"/>
    <w:rsid w:val="005D6FD2"/>
    <w:rsid w:val="005D7E35"/>
    <w:rsid w:val="005E001B"/>
    <w:rsid w:val="005E1BF7"/>
    <w:rsid w:val="005E1E53"/>
    <w:rsid w:val="005E20FF"/>
    <w:rsid w:val="005E452A"/>
    <w:rsid w:val="005E5159"/>
    <w:rsid w:val="005E6BB5"/>
    <w:rsid w:val="005E7622"/>
    <w:rsid w:val="005E7BBB"/>
    <w:rsid w:val="005F0F47"/>
    <w:rsid w:val="005F136C"/>
    <w:rsid w:val="005F18BF"/>
    <w:rsid w:val="005F1FE7"/>
    <w:rsid w:val="005F28C3"/>
    <w:rsid w:val="005F2C19"/>
    <w:rsid w:val="005F626B"/>
    <w:rsid w:val="005F6C00"/>
    <w:rsid w:val="005F723D"/>
    <w:rsid w:val="005F72FE"/>
    <w:rsid w:val="00600A72"/>
    <w:rsid w:val="00601D8D"/>
    <w:rsid w:val="0060460A"/>
    <w:rsid w:val="00606B58"/>
    <w:rsid w:val="00612632"/>
    <w:rsid w:val="00612C84"/>
    <w:rsid w:val="00614647"/>
    <w:rsid w:val="0061612F"/>
    <w:rsid w:val="006163BC"/>
    <w:rsid w:val="00616950"/>
    <w:rsid w:val="00617E4F"/>
    <w:rsid w:val="00623A50"/>
    <w:rsid w:val="00624BD7"/>
    <w:rsid w:val="00625948"/>
    <w:rsid w:val="00627334"/>
    <w:rsid w:val="00630131"/>
    <w:rsid w:val="00630688"/>
    <w:rsid w:val="006313A6"/>
    <w:rsid w:val="00632F9D"/>
    <w:rsid w:val="006335BE"/>
    <w:rsid w:val="00633CA2"/>
    <w:rsid w:val="00633DE3"/>
    <w:rsid w:val="00634198"/>
    <w:rsid w:val="006346E2"/>
    <w:rsid w:val="00635018"/>
    <w:rsid w:val="00637F19"/>
    <w:rsid w:val="00640A23"/>
    <w:rsid w:val="00642155"/>
    <w:rsid w:val="00642947"/>
    <w:rsid w:val="006438CD"/>
    <w:rsid w:val="00644E93"/>
    <w:rsid w:val="0064506A"/>
    <w:rsid w:val="00645A36"/>
    <w:rsid w:val="00645C7C"/>
    <w:rsid w:val="00645E6D"/>
    <w:rsid w:val="006466AD"/>
    <w:rsid w:val="00646952"/>
    <w:rsid w:val="00646A36"/>
    <w:rsid w:val="006474E4"/>
    <w:rsid w:val="006478B8"/>
    <w:rsid w:val="006504AB"/>
    <w:rsid w:val="0065057C"/>
    <w:rsid w:val="006512D1"/>
    <w:rsid w:val="006524CF"/>
    <w:rsid w:val="00660B94"/>
    <w:rsid w:val="006623DE"/>
    <w:rsid w:val="006670B9"/>
    <w:rsid w:val="006718B0"/>
    <w:rsid w:val="00674B77"/>
    <w:rsid w:val="006756E0"/>
    <w:rsid w:val="006769BF"/>
    <w:rsid w:val="0067744B"/>
    <w:rsid w:val="00681CFD"/>
    <w:rsid w:val="00684668"/>
    <w:rsid w:val="00691D8E"/>
    <w:rsid w:val="006926F4"/>
    <w:rsid w:val="00693048"/>
    <w:rsid w:val="00694221"/>
    <w:rsid w:val="00694E81"/>
    <w:rsid w:val="00696D32"/>
    <w:rsid w:val="006A0603"/>
    <w:rsid w:val="006A0B2F"/>
    <w:rsid w:val="006A12A0"/>
    <w:rsid w:val="006A3931"/>
    <w:rsid w:val="006A394A"/>
    <w:rsid w:val="006A39A0"/>
    <w:rsid w:val="006A4A09"/>
    <w:rsid w:val="006A7B3A"/>
    <w:rsid w:val="006B1D79"/>
    <w:rsid w:val="006B6B47"/>
    <w:rsid w:val="006B7670"/>
    <w:rsid w:val="006C0490"/>
    <w:rsid w:val="006C1307"/>
    <w:rsid w:val="006C1EFC"/>
    <w:rsid w:val="006C21BD"/>
    <w:rsid w:val="006C2F91"/>
    <w:rsid w:val="006C4DCD"/>
    <w:rsid w:val="006C55B8"/>
    <w:rsid w:val="006C57AE"/>
    <w:rsid w:val="006C5F9F"/>
    <w:rsid w:val="006C7E45"/>
    <w:rsid w:val="006D0CD6"/>
    <w:rsid w:val="006D3D71"/>
    <w:rsid w:val="006D5A0A"/>
    <w:rsid w:val="006D653F"/>
    <w:rsid w:val="006D76D8"/>
    <w:rsid w:val="006D7D77"/>
    <w:rsid w:val="006E192E"/>
    <w:rsid w:val="006E1A9A"/>
    <w:rsid w:val="006E1F2B"/>
    <w:rsid w:val="006E22E4"/>
    <w:rsid w:val="006E3CA0"/>
    <w:rsid w:val="006E5E13"/>
    <w:rsid w:val="006E6632"/>
    <w:rsid w:val="006E7169"/>
    <w:rsid w:val="006E7ACA"/>
    <w:rsid w:val="006E7FB9"/>
    <w:rsid w:val="006F0979"/>
    <w:rsid w:val="006F0D29"/>
    <w:rsid w:val="006F14B7"/>
    <w:rsid w:val="006F1EFD"/>
    <w:rsid w:val="006F1F8D"/>
    <w:rsid w:val="006F4387"/>
    <w:rsid w:val="006F7D5F"/>
    <w:rsid w:val="0070012D"/>
    <w:rsid w:val="00700790"/>
    <w:rsid w:val="00701996"/>
    <w:rsid w:val="00701BE5"/>
    <w:rsid w:val="0070342C"/>
    <w:rsid w:val="0070575B"/>
    <w:rsid w:val="00705B8E"/>
    <w:rsid w:val="007069A1"/>
    <w:rsid w:val="00706A05"/>
    <w:rsid w:val="007123DB"/>
    <w:rsid w:val="007173FC"/>
    <w:rsid w:val="00717AD5"/>
    <w:rsid w:val="007227D5"/>
    <w:rsid w:val="00725874"/>
    <w:rsid w:val="0072618C"/>
    <w:rsid w:val="00730224"/>
    <w:rsid w:val="0073384E"/>
    <w:rsid w:val="00735392"/>
    <w:rsid w:val="00735BA1"/>
    <w:rsid w:val="00736385"/>
    <w:rsid w:val="00740A28"/>
    <w:rsid w:val="00740D03"/>
    <w:rsid w:val="0074143B"/>
    <w:rsid w:val="00744585"/>
    <w:rsid w:val="00747579"/>
    <w:rsid w:val="0075067E"/>
    <w:rsid w:val="007519EC"/>
    <w:rsid w:val="00751AE0"/>
    <w:rsid w:val="00753C92"/>
    <w:rsid w:val="00754510"/>
    <w:rsid w:val="007558A7"/>
    <w:rsid w:val="0076072C"/>
    <w:rsid w:val="00761557"/>
    <w:rsid w:val="007619FB"/>
    <w:rsid w:val="00763604"/>
    <w:rsid w:val="00764BC9"/>
    <w:rsid w:val="00766B61"/>
    <w:rsid w:val="007704FB"/>
    <w:rsid w:val="0077172A"/>
    <w:rsid w:val="00774822"/>
    <w:rsid w:val="007764C5"/>
    <w:rsid w:val="00776A48"/>
    <w:rsid w:val="00776FEA"/>
    <w:rsid w:val="00785394"/>
    <w:rsid w:val="00786F3E"/>
    <w:rsid w:val="00787811"/>
    <w:rsid w:val="00793861"/>
    <w:rsid w:val="0079415C"/>
    <w:rsid w:val="0079557C"/>
    <w:rsid w:val="00796194"/>
    <w:rsid w:val="007A1C78"/>
    <w:rsid w:val="007A3ABD"/>
    <w:rsid w:val="007A3E2B"/>
    <w:rsid w:val="007A426E"/>
    <w:rsid w:val="007A45D7"/>
    <w:rsid w:val="007A528C"/>
    <w:rsid w:val="007A593C"/>
    <w:rsid w:val="007A7EC9"/>
    <w:rsid w:val="007B0131"/>
    <w:rsid w:val="007B27C9"/>
    <w:rsid w:val="007B4E89"/>
    <w:rsid w:val="007B538A"/>
    <w:rsid w:val="007B6781"/>
    <w:rsid w:val="007B6B7D"/>
    <w:rsid w:val="007C320B"/>
    <w:rsid w:val="007C362C"/>
    <w:rsid w:val="007C47D8"/>
    <w:rsid w:val="007C510E"/>
    <w:rsid w:val="007C52A9"/>
    <w:rsid w:val="007C6173"/>
    <w:rsid w:val="007C62E7"/>
    <w:rsid w:val="007C7B91"/>
    <w:rsid w:val="007CD5DE"/>
    <w:rsid w:val="007D0694"/>
    <w:rsid w:val="007D0AF8"/>
    <w:rsid w:val="007D0B99"/>
    <w:rsid w:val="007D23A1"/>
    <w:rsid w:val="007D457F"/>
    <w:rsid w:val="007D53E8"/>
    <w:rsid w:val="007D5592"/>
    <w:rsid w:val="007E02DA"/>
    <w:rsid w:val="007E0300"/>
    <w:rsid w:val="007E0F63"/>
    <w:rsid w:val="007E30CB"/>
    <w:rsid w:val="007E34CC"/>
    <w:rsid w:val="007E41CA"/>
    <w:rsid w:val="007F2468"/>
    <w:rsid w:val="007F3E17"/>
    <w:rsid w:val="007F4F44"/>
    <w:rsid w:val="007F531A"/>
    <w:rsid w:val="00800A1B"/>
    <w:rsid w:val="00801654"/>
    <w:rsid w:val="0080222F"/>
    <w:rsid w:val="0080290B"/>
    <w:rsid w:val="0080314F"/>
    <w:rsid w:val="008037F9"/>
    <w:rsid w:val="00803CBE"/>
    <w:rsid w:val="00804376"/>
    <w:rsid w:val="00805768"/>
    <w:rsid w:val="0080764D"/>
    <w:rsid w:val="008101EC"/>
    <w:rsid w:val="00810BAF"/>
    <w:rsid w:val="00811AC5"/>
    <w:rsid w:val="008126C2"/>
    <w:rsid w:val="00812E5F"/>
    <w:rsid w:val="008168BE"/>
    <w:rsid w:val="008175E1"/>
    <w:rsid w:val="00820CEB"/>
    <w:rsid w:val="00821053"/>
    <w:rsid w:val="00824972"/>
    <w:rsid w:val="00825CF0"/>
    <w:rsid w:val="00827160"/>
    <w:rsid w:val="00827429"/>
    <w:rsid w:val="00830DF1"/>
    <w:rsid w:val="00830FD9"/>
    <w:rsid w:val="00833626"/>
    <w:rsid w:val="00834453"/>
    <w:rsid w:val="008373F7"/>
    <w:rsid w:val="00837713"/>
    <w:rsid w:val="00837D5A"/>
    <w:rsid w:val="00842442"/>
    <w:rsid w:val="0084317A"/>
    <w:rsid w:val="008470F3"/>
    <w:rsid w:val="00847C91"/>
    <w:rsid w:val="00850155"/>
    <w:rsid w:val="00852ADB"/>
    <w:rsid w:val="0085442B"/>
    <w:rsid w:val="00860387"/>
    <w:rsid w:val="00862D19"/>
    <w:rsid w:val="00863D5A"/>
    <w:rsid w:val="00864345"/>
    <w:rsid w:val="0086439D"/>
    <w:rsid w:val="00865D9C"/>
    <w:rsid w:val="00867ACE"/>
    <w:rsid w:val="00867AFD"/>
    <w:rsid w:val="00870EF0"/>
    <w:rsid w:val="00871324"/>
    <w:rsid w:val="008742CC"/>
    <w:rsid w:val="00874634"/>
    <w:rsid w:val="0087565B"/>
    <w:rsid w:val="00876B8B"/>
    <w:rsid w:val="00876C29"/>
    <w:rsid w:val="008808A7"/>
    <w:rsid w:val="00883518"/>
    <w:rsid w:val="00884289"/>
    <w:rsid w:val="00884313"/>
    <w:rsid w:val="0088EFF9"/>
    <w:rsid w:val="008918E1"/>
    <w:rsid w:val="0089208D"/>
    <w:rsid w:val="0089262F"/>
    <w:rsid w:val="008930A1"/>
    <w:rsid w:val="00895171"/>
    <w:rsid w:val="008970A8"/>
    <w:rsid w:val="008A02F3"/>
    <w:rsid w:val="008A0C2E"/>
    <w:rsid w:val="008A1499"/>
    <w:rsid w:val="008A1FD1"/>
    <w:rsid w:val="008A2D9A"/>
    <w:rsid w:val="008A4D01"/>
    <w:rsid w:val="008A5548"/>
    <w:rsid w:val="008A5E55"/>
    <w:rsid w:val="008A642C"/>
    <w:rsid w:val="008A6A64"/>
    <w:rsid w:val="008A6B1D"/>
    <w:rsid w:val="008A7406"/>
    <w:rsid w:val="008A74FF"/>
    <w:rsid w:val="008A7702"/>
    <w:rsid w:val="008A7B18"/>
    <w:rsid w:val="008B0352"/>
    <w:rsid w:val="008B3191"/>
    <w:rsid w:val="008B35E5"/>
    <w:rsid w:val="008B4B32"/>
    <w:rsid w:val="008B4D95"/>
    <w:rsid w:val="008C3D59"/>
    <w:rsid w:val="008C6189"/>
    <w:rsid w:val="008C6C4C"/>
    <w:rsid w:val="008C6C73"/>
    <w:rsid w:val="008C778C"/>
    <w:rsid w:val="008D0249"/>
    <w:rsid w:val="008D0270"/>
    <w:rsid w:val="008D03E1"/>
    <w:rsid w:val="008D29B3"/>
    <w:rsid w:val="008D4D8D"/>
    <w:rsid w:val="008E2FB8"/>
    <w:rsid w:val="008E304C"/>
    <w:rsid w:val="008E3C90"/>
    <w:rsid w:val="008E5A0B"/>
    <w:rsid w:val="008E5B98"/>
    <w:rsid w:val="008E792D"/>
    <w:rsid w:val="008F137A"/>
    <w:rsid w:val="008F217C"/>
    <w:rsid w:val="008F3485"/>
    <w:rsid w:val="008F5853"/>
    <w:rsid w:val="008F68FA"/>
    <w:rsid w:val="008F71B6"/>
    <w:rsid w:val="008F77CF"/>
    <w:rsid w:val="0090102E"/>
    <w:rsid w:val="00903638"/>
    <w:rsid w:val="009045E4"/>
    <w:rsid w:val="00904AF6"/>
    <w:rsid w:val="00905482"/>
    <w:rsid w:val="00905587"/>
    <w:rsid w:val="00905A21"/>
    <w:rsid w:val="00907B14"/>
    <w:rsid w:val="009106F9"/>
    <w:rsid w:val="00910AF7"/>
    <w:rsid w:val="00910D92"/>
    <w:rsid w:val="009116DC"/>
    <w:rsid w:val="009126B5"/>
    <w:rsid w:val="00912E7D"/>
    <w:rsid w:val="00913C31"/>
    <w:rsid w:val="00913CA2"/>
    <w:rsid w:val="00914828"/>
    <w:rsid w:val="009214FB"/>
    <w:rsid w:val="00930558"/>
    <w:rsid w:val="00932048"/>
    <w:rsid w:val="00932AC2"/>
    <w:rsid w:val="00941ABE"/>
    <w:rsid w:val="00944CD7"/>
    <w:rsid w:val="00944ED1"/>
    <w:rsid w:val="00947196"/>
    <w:rsid w:val="00952922"/>
    <w:rsid w:val="00964DE2"/>
    <w:rsid w:val="0097096C"/>
    <w:rsid w:val="00970ED7"/>
    <w:rsid w:val="009746DD"/>
    <w:rsid w:val="00975281"/>
    <w:rsid w:val="00975D1A"/>
    <w:rsid w:val="0097656B"/>
    <w:rsid w:val="009773C8"/>
    <w:rsid w:val="009811A8"/>
    <w:rsid w:val="0098282B"/>
    <w:rsid w:val="00983097"/>
    <w:rsid w:val="0098385C"/>
    <w:rsid w:val="009851EA"/>
    <w:rsid w:val="00985258"/>
    <w:rsid w:val="009862DC"/>
    <w:rsid w:val="00986BF1"/>
    <w:rsid w:val="00987057"/>
    <w:rsid w:val="00987B83"/>
    <w:rsid w:val="00990C2E"/>
    <w:rsid w:val="00994211"/>
    <w:rsid w:val="00994B5C"/>
    <w:rsid w:val="00995569"/>
    <w:rsid w:val="009969B5"/>
    <w:rsid w:val="0099769B"/>
    <w:rsid w:val="009A0335"/>
    <w:rsid w:val="009A0935"/>
    <w:rsid w:val="009A172C"/>
    <w:rsid w:val="009A1BEC"/>
    <w:rsid w:val="009A295A"/>
    <w:rsid w:val="009A3BF7"/>
    <w:rsid w:val="009A46C0"/>
    <w:rsid w:val="009A556B"/>
    <w:rsid w:val="009A664D"/>
    <w:rsid w:val="009A735E"/>
    <w:rsid w:val="009B056B"/>
    <w:rsid w:val="009B23C4"/>
    <w:rsid w:val="009B48FB"/>
    <w:rsid w:val="009C1FF8"/>
    <w:rsid w:val="009C3280"/>
    <w:rsid w:val="009C74E1"/>
    <w:rsid w:val="009D21F0"/>
    <w:rsid w:val="009D3109"/>
    <w:rsid w:val="009D3B40"/>
    <w:rsid w:val="009D3E50"/>
    <w:rsid w:val="009D4AC3"/>
    <w:rsid w:val="009D516D"/>
    <w:rsid w:val="009D6C15"/>
    <w:rsid w:val="009E1244"/>
    <w:rsid w:val="009E2323"/>
    <w:rsid w:val="009E6E96"/>
    <w:rsid w:val="009F296D"/>
    <w:rsid w:val="009F3E8A"/>
    <w:rsid w:val="009F4F0F"/>
    <w:rsid w:val="009F59E7"/>
    <w:rsid w:val="009F7454"/>
    <w:rsid w:val="009F7C2B"/>
    <w:rsid w:val="00A0082F"/>
    <w:rsid w:val="00A0140D"/>
    <w:rsid w:val="00A023C1"/>
    <w:rsid w:val="00A07E0E"/>
    <w:rsid w:val="00A10D8F"/>
    <w:rsid w:val="00A124A5"/>
    <w:rsid w:val="00A16356"/>
    <w:rsid w:val="00A1661E"/>
    <w:rsid w:val="00A16DC7"/>
    <w:rsid w:val="00A16F85"/>
    <w:rsid w:val="00A20997"/>
    <w:rsid w:val="00A21BF3"/>
    <w:rsid w:val="00A23348"/>
    <w:rsid w:val="00A27603"/>
    <w:rsid w:val="00A30198"/>
    <w:rsid w:val="00A3479F"/>
    <w:rsid w:val="00A35A18"/>
    <w:rsid w:val="00A35BBA"/>
    <w:rsid w:val="00A4060B"/>
    <w:rsid w:val="00A42E32"/>
    <w:rsid w:val="00A437C5"/>
    <w:rsid w:val="00A44865"/>
    <w:rsid w:val="00A450DC"/>
    <w:rsid w:val="00A45369"/>
    <w:rsid w:val="00A45CF9"/>
    <w:rsid w:val="00A50634"/>
    <w:rsid w:val="00A51FCA"/>
    <w:rsid w:val="00A53D1F"/>
    <w:rsid w:val="00A5651D"/>
    <w:rsid w:val="00A62607"/>
    <w:rsid w:val="00A63BBD"/>
    <w:rsid w:val="00A64098"/>
    <w:rsid w:val="00A645DE"/>
    <w:rsid w:val="00A667E1"/>
    <w:rsid w:val="00A67FDD"/>
    <w:rsid w:val="00A70E36"/>
    <w:rsid w:val="00A72FA9"/>
    <w:rsid w:val="00A824B5"/>
    <w:rsid w:val="00A8309E"/>
    <w:rsid w:val="00A835DF"/>
    <w:rsid w:val="00A90373"/>
    <w:rsid w:val="00A9089B"/>
    <w:rsid w:val="00A90BDB"/>
    <w:rsid w:val="00A92385"/>
    <w:rsid w:val="00A926EB"/>
    <w:rsid w:val="00A93672"/>
    <w:rsid w:val="00A953CE"/>
    <w:rsid w:val="00A97361"/>
    <w:rsid w:val="00A9C288"/>
    <w:rsid w:val="00AA1AA7"/>
    <w:rsid w:val="00AA4A7B"/>
    <w:rsid w:val="00AA5B7E"/>
    <w:rsid w:val="00AA6EB9"/>
    <w:rsid w:val="00AB0B6E"/>
    <w:rsid w:val="00AB4F82"/>
    <w:rsid w:val="00AB5DA2"/>
    <w:rsid w:val="00AC07EF"/>
    <w:rsid w:val="00AC311B"/>
    <w:rsid w:val="00AC32DB"/>
    <w:rsid w:val="00AC36E6"/>
    <w:rsid w:val="00AC70E5"/>
    <w:rsid w:val="00AD19DC"/>
    <w:rsid w:val="00AD2FD1"/>
    <w:rsid w:val="00AD3640"/>
    <w:rsid w:val="00AD3A7B"/>
    <w:rsid w:val="00AD4700"/>
    <w:rsid w:val="00AD751D"/>
    <w:rsid w:val="00AE176D"/>
    <w:rsid w:val="00AE215D"/>
    <w:rsid w:val="00AE2CD1"/>
    <w:rsid w:val="00AE3A61"/>
    <w:rsid w:val="00AE5578"/>
    <w:rsid w:val="00AE5C8B"/>
    <w:rsid w:val="00AE7568"/>
    <w:rsid w:val="00AE7F87"/>
    <w:rsid w:val="00AF0BDD"/>
    <w:rsid w:val="00AF2BBF"/>
    <w:rsid w:val="00AF40B1"/>
    <w:rsid w:val="00AF4107"/>
    <w:rsid w:val="00AF5167"/>
    <w:rsid w:val="00AF7BE6"/>
    <w:rsid w:val="00AF7D6C"/>
    <w:rsid w:val="00B000E4"/>
    <w:rsid w:val="00B03079"/>
    <w:rsid w:val="00B06336"/>
    <w:rsid w:val="00B07FBE"/>
    <w:rsid w:val="00B112B8"/>
    <w:rsid w:val="00B11ED2"/>
    <w:rsid w:val="00B12775"/>
    <w:rsid w:val="00B15458"/>
    <w:rsid w:val="00B15876"/>
    <w:rsid w:val="00B15AEF"/>
    <w:rsid w:val="00B161E0"/>
    <w:rsid w:val="00B162E9"/>
    <w:rsid w:val="00B2120D"/>
    <w:rsid w:val="00B25DC2"/>
    <w:rsid w:val="00B27913"/>
    <w:rsid w:val="00B27F0E"/>
    <w:rsid w:val="00B30982"/>
    <w:rsid w:val="00B31B37"/>
    <w:rsid w:val="00B31F14"/>
    <w:rsid w:val="00B33162"/>
    <w:rsid w:val="00B33674"/>
    <w:rsid w:val="00B360EA"/>
    <w:rsid w:val="00B37545"/>
    <w:rsid w:val="00B37B28"/>
    <w:rsid w:val="00B37CCF"/>
    <w:rsid w:val="00B40661"/>
    <w:rsid w:val="00B41356"/>
    <w:rsid w:val="00B417BE"/>
    <w:rsid w:val="00B41855"/>
    <w:rsid w:val="00B46BAB"/>
    <w:rsid w:val="00B504B0"/>
    <w:rsid w:val="00B50F67"/>
    <w:rsid w:val="00B52A72"/>
    <w:rsid w:val="00B5357D"/>
    <w:rsid w:val="00B625A9"/>
    <w:rsid w:val="00B64369"/>
    <w:rsid w:val="00B64638"/>
    <w:rsid w:val="00B6574D"/>
    <w:rsid w:val="00B661A6"/>
    <w:rsid w:val="00B66F79"/>
    <w:rsid w:val="00B67E6E"/>
    <w:rsid w:val="00B70053"/>
    <w:rsid w:val="00B71026"/>
    <w:rsid w:val="00B72531"/>
    <w:rsid w:val="00B74B51"/>
    <w:rsid w:val="00B74FA2"/>
    <w:rsid w:val="00B7744C"/>
    <w:rsid w:val="00B82C34"/>
    <w:rsid w:val="00B82CE9"/>
    <w:rsid w:val="00B83AE9"/>
    <w:rsid w:val="00B8500A"/>
    <w:rsid w:val="00B8743D"/>
    <w:rsid w:val="00B87FB4"/>
    <w:rsid w:val="00B9024E"/>
    <w:rsid w:val="00B91CEF"/>
    <w:rsid w:val="00B91EA6"/>
    <w:rsid w:val="00B933A9"/>
    <w:rsid w:val="00B93F7F"/>
    <w:rsid w:val="00B952D0"/>
    <w:rsid w:val="00B957D1"/>
    <w:rsid w:val="00B95B14"/>
    <w:rsid w:val="00B96D1B"/>
    <w:rsid w:val="00BA1758"/>
    <w:rsid w:val="00BA2481"/>
    <w:rsid w:val="00BA3184"/>
    <w:rsid w:val="00BA3673"/>
    <w:rsid w:val="00BB0B80"/>
    <w:rsid w:val="00BB1196"/>
    <w:rsid w:val="00BB2650"/>
    <w:rsid w:val="00BB2F50"/>
    <w:rsid w:val="00BC02EE"/>
    <w:rsid w:val="00BC1792"/>
    <w:rsid w:val="00BC1867"/>
    <w:rsid w:val="00BC2FA8"/>
    <w:rsid w:val="00BC3A66"/>
    <w:rsid w:val="00BC6022"/>
    <w:rsid w:val="00BD3DD4"/>
    <w:rsid w:val="00BD4253"/>
    <w:rsid w:val="00BD511F"/>
    <w:rsid w:val="00BD7A13"/>
    <w:rsid w:val="00BE00F7"/>
    <w:rsid w:val="00BE0177"/>
    <w:rsid w:val="00BE2DE5"/>
    <w:rsid w:val="00BE3679"/>
    <w:rsid w:val="00BE44F7"/>
    <w:rsid w:val="00BE4D59"/>
    <w:rsid w:val="00BF54EF"/>
    <w:rsid w:val="00BF7DEB"/>
    <w:rsid w:val="00C00547"/>
    <w:rsid w:val="00C00744"/>
    <w:rsid w:val="00C027CA"/>
    <w:rsid w:val="00C0642F"/>
    <w:rsid w:val="00C10DC4"/>
    <w:rsid w:val="00C12DBA"/>
    <w:rsid w:val="00C148E2"/>
    <w:rsid w:val="00C149D8"/>
    <w:rsid w:val="00C14D51"/>
    <w:rsid w:val="00C158CC"/>
    <w:rsid w:val="00C20E06"/>
    <w:rsid w:val="00C23107"/>
    <w:rsid w:val="00C255F9"/>
    <w:rsid w:val="00C303D7"/>
    <w:rsid w:val="00C30D63"/>
    <w:rsid w:val="00C30F8B"/>
    <w:rsid w:val="00C33416"/>
    <w:rsid w:val="00C34AD1"/>
    <w:rsid w:val="00C35743"/>
    <w:rsid w:val="00C37543"/>
    <w:rsid w:val="00C4116E"/>
    <w:rsid w:val="00C451E5"/>
    <w:rsid w:val="00C47110"/>
    <w:rsid w:val="00C47F9E"/>
    <w:rsid w:val="00C52440"/>
    <w:rsid w:val="00C526DC"/>
    <w:rsid w:val="00C55E90"/>
    <w:rsid w:val="00C566CF"/>
    <w:rsid w:val="00C57E48"/>
    <w:rsid w:val="00C61452"/>
    <w:rsid w:val="00C61783"/>
    <w:rsid w:val="00C622B8"/>
    <w:rsid w:val="00C627FD"/>
    <w:rsid w:val="00C641D7"/>
    <w:rsid w:val="00C64DCA"/>
    <w:rsid w:val="00C66E1D"/>
    <w:rsid w:val="00C71EB5"/>
    <w:rsid w:val="00C730B4"/>
    <w:rsid w:val="00C746C9"/>
    <w:rsid w:val="00C754DF"/>
    <w:rsid w:val="00C814F4"/>
    <w:rsid w:val="00C82274"/>
    <w:rsid w:val="00C82ADC"/>
    <w:rsid w:val="00C82CAE"/>
    <w:rsid w:val="00C84E18"/>
    <w:rsid w:val="00C85272"/>
    <w:rsid w:val="00C8564F"/>
    <w:rsid w:val="00C878E9"/>
    <w:rsid w:val="00C913AE"/>
    <w:rsid w:val="00C9178C"/>
    <w:rsid w:val="00C92DD8"/>
    <w:rsid w:val="00C9333D"/>
    <w:rsid w:val="00C93537"/>
    <w:rsid w:val="00C94399"/>
    <w:rsid w:val="00C949AE"/>
    <w:rsid w:val="00C95554"/>
    <w:rsid w:val="00C95958"/>
    <w:rsid w:val="00C95C55"/>
    <w:rsid w:val="00C9716F"/>
    <w:rsid w:val="00CA087E"/>
    <w:rsid w:val="00CA162B"/>
    <w:rsid w:val="00CA23CF"/>
    <w:rsid w:val="00CA3168"/>
    <w:rsid w:val="00CA475E"/>
    <w:rsid w:val="00CA4825"/>
    <w:rsid w:val="00CA4879"/>
    <w:rsid w:val="00CA617C"/>
    <w:rsid w:val="00CA6709"/>
    <w:rsid w:val="00CA687C"/>
    <w:rsid w:val="00CB0BBF"/>
    <w:rsid w:val="00CB24FE"/>
    <w:rsid w:val="00CB327D"/>
    <w:rsid w:val="00CB6380"/>
    <w:rsid w:val="00CB70D9"/>
    <w:rsid w:val="00CB7535"/>
    <w:rsid w:val="00CC2D3D"/>
    <w:rsid w:val="00CC2E5C"/>
    <w:rsid w:val="00CC48D9"/>
    <w:rsid w:val="00CC4D6A"/>
    <w:rsid w:val="00CC5235"/>
    <w:rsid w:val="00CC68B4"/>
    <w:rsid w:val="00CC70B8"/>
    <w:rsid w:val="00CD0D0B"/>
    <w:rsid w:val="00CD25CB"/>
    <w:rsid w:val="00CD2820"/>
    <w:rsid w:val="00CD343F"/>
    <w:rsid w:val="00CD4F87"/>
    <w:rsid w:val="00CD7704"/>
    <w:rsid w:val="00CE14AA"/>
    <w:rsid w:val="00CE35D2"/>
    <w:rsid w:val="00CE4544"/>
    <w:rsid w:val="00CE5F44"/>
    <w:rsid w:val="00CF153F"/>
    <w:rsid w:val="00CF2E93"/>
    <w:rsid w:val="00CF7427"/>
    <w:rsid w:val="00D03530"/>
    <w:rsid w:val="00D03D91"/>
    <w:rsid w:val="00D03FDA"/>
    <w:rsid w:val="00D040AF"/>
    <w:rsid w:val="00D046BF"/>
    <w:rsid w:val="00D0782E"/>
    <w:rsid w:val="00D07B48"/>
    <w:rsid w:val="00D102EC"/>
    <w:rsid w:val="00D10E89"/>
    <w:rsid w:val="00D10EB0"/>
    <w:rsid w:val="00D156A2"/>
    <w:rsid w:val="00D1624F"/>
    <w:rsid w:val="00D1776C"/>
    <w:rsid w:val="00D21103"/>
    <w:rsid w:val="00D217EA"/>
    <w:rsid w:val="00D2212C"/>
    <w:rsid w:val="00D22A5B"/>
    <w:rsid w:val="00D26746"/>
    <w:rsid w:val="00D322AD"/>
    <w:rsid w:val="00D32BF6"/>
    <w:rsid w:val="00D33110"/>
    <w:rsid w:val="00D33FEE"/>
    <w:rsid w:val="00D34D45"/>
    <w:rsid w:val="00D35B0E"/>
    <w:rsid w:val="00D412CB"/>
    <w:rsid w:val="00D44F6D"/>
    <w:rsid w:val="00D47427"/>
    <w:rsid w:val="00D47619"/>
    <w:rsid w:val="00D507F1"/>
    <w:rsid w:val="00D51F41"/>
    <w:rsid w:val="00D522DF"/>
    <w:rsid w:val="00D54A67"/>
    <w:rsid w:val="00D568DC"/>
    <w:rsid w:val="00D56AF0"/>
    <w:rsid w:val="00D56C2C"/>
    <w:rsid w:val="00D60C2D"/>
    <w:rsid w:val="00D61B81"/>
    <w:rsid w:val="00D6241A"/>
    <w:rsid w:val="00D64111"/>
    <w:rsid w:val="00D66674"/>
    <w:rsid w:val="00D66F4F"/>
    <w:rsid w:val="00D719FB"/>
    <w:rsid w:val="00D71B76"/>
    <w:rsid w:val="00D74335"/>
    <w:rsid w:val="00D74D14"/>
    <w:rsid w:val="00D76265"/>
    <w:rsid w:val="00D76F2A"/>
    <w:rsid w:val="00D81C95"/>
    <w:rsid w:val="00D82241"/>
    <w:rsid w:val="00D85A8A"/>
    <w:rsid w:val="00D86386"/>
    <w:rsid w:val="00D8722C"/>
    <w:rsid w:val="00D8759D"/>
    <w:rsid w:val="00D87728"/>
    <w:rsid w:val="00D9355E"/>
    <w:rsid w:val="00D93DE1"/>
    <w:rsid w:val="00D95EBA"/>
    <w:rsid w:val="00DA0313"/>
    <w:rsid w:val="00DA18C3"/>
    <w:rsid w:val="00DA3932"/>
    <w:rsid w:val="00DA3FC2"/>
    <w:rsid w:val="00DB12AE"/>
    <w:rsid w:val="00DB1CEF"/>
    <w:rsid w:val="00DB5349"/>
    <w:rsid w:val="00DB5AE5"/>
    <w:rsid w:val="00DB6B82"/>
    <w:rsid w:val="00DB7D13"/>
    <w:rsid w:val="00DC0A10"/>
    <w:rsid w:val="00DC0EDF"/>
    <w:rsid w:val="00DC48E9"/>
    <w:rsid w:val="00DC553C"/>
    <w:rsid w:val="00DC59B4"/>
    <w:rsid w:val="00DC7280"/>
    <w:rsid w:val="00DD0E19"/>
    <w:rsid w:val="00DD2998"/>
    <w:rsid w:val="00DD3453"/>
    <w:rsid w:val="00DD3D71"/>
    <w:rsid w:val="00DD4168"/>
    <w:rsid w:val="00DD439C"/>
    <w:rsid w:val="00DD5B86"/>
    <w:rsid w:val="00DD5C6B"/>
    <w:rsid w:val="00DD6E1A"/>
    <w:rsid w:val="00DD6FA4"/>
    <w:rsid w:val="00DD7883"/>
    <w:rsid w:val="00DE62F6"/>
    <w:rsid w:val="00DE7E3E"/>
    <w:rsid w:val="00DF12E7"/>
    <w:rsid w:val="00DF28BF"/>
    <w:rsid w:val="00DF2973"/>
    <w:rsid w:val="00DF39F1"/>
    <w:rsid w:val="00DF5AE3"/>
    <w:rsid w:val="00DF5D4B"/>
    <w:rsid w:val="00E02BF6"/>
    <w:rsid w:val="00E03A42"/>
    <w:rsid w:val="00E061D2"/>
    <w:rsid w:val="00E06E43"/>
    <w:rsid w:val="00E07213"/>
    <w:rsid w:val="00E125A0"/>
    <w:rsid w:val="00E1300D"/>
    <w:rsid w:val="00E1403A"/>
    <w:rsid w:val="00E15E88"/>
    <w:rsid w:val="00E1631A"/>
    <w:rsid w:val="00E16E42"/>
    <w:rsid w:val="00E200AD"/>
    <w:rsid w:val="00E205EA"/>
    <w:rsid w:val="00E21275"/>
    <w:rsid w:val="00E22399"/>
    <w:rsid w:val="00E22A31"/>
    <w:rsid w:val="00E24818"/>
    <w:rsid w:val="00E314D4"/>
    <w:rsid w:val="00E33045"/>
    <w:rsid w:val="00E33269"/>
    <w:rsid w:val="00E344C1"/>
    <w:rsid w:val="00E34F48"/>
    <w:rsid w:val="00E3573A"/>
    <w:rsid w:val="00E41771"/>
    <w:rsid w:val="00E423B5"/>
    <w:rsid w:val="00E425EB"/>
    <w:rsid w:val="00E43876"/>
    <w:rsid w:val="00E45971"/>
    <w:rsid w:val="00E46D7A"/>
    <w:rsid w:val="00E5183B"/>
    <w:rsid w:val="00E5212D"/>
    <w:rsid w:val="00E52168"/>
    <w:rsid w:val="00E533CC"/>
    <w:rsid w:val="00E5423D"/>
    <w:rsid w:val="00E54B68"/>
    <w:rsid w:val="00E55855"/>
    <w:rsid w:val="00E56FC4"/>
    <w:rsid w:val="00E61A96"/>
    <w:rsid w:val="00E61BEE"/>
    <w:rsid w:val="00E63B2C"/>
    <w:rsid w:val="00E64589"/>
    <w:rsid w:val="00E650A1"/>
    <w:rsid w:val="00E66442"/>
    <w:rsid w:val="00E669B1"/>
    <w:rsid w:val="00E674C4"/>
    <w:rsid w:val="00E6776E"/>
    <w:rsid w:val="00E70099"/>
    <w:rsid w:val="00E709FC"/>
    <w:rsid w:val="00E740E6"/>
    <w:rsid w:val="00E74320"/>
    <w:rsid w:val="00E7746A"/>
    <w:rsid w:val="00E77F4E"/>
    <w:rsid w:val="00E80292"/>
    <w:rsid w:val="00E804B7"/>
    <w:rsid w:val="00E81232"/>
    <w:rsid w:val="00E813EC"/>
    <w:rsid w:val="00E81D04"/>
    <w:rsid w:val="00E82CD1"/>
    <w:rsid w:val="00E84F59"/>
    <w:rsid w:val="00E87DE3"/>
    <w:rsid w:val="00E9009C"/>
    <w:rsid w:val="00E91039"/>
    <w:rsid w:val="00E91A9E"/>
    <w:rsid w:val="00E92263"/>
    <w:rsid w:val="00E940D7"/>
    <w:rsid w:val="00E956F2"/>
    <w:rsid w:val="00E95827"/>
    <w:rsid w:val="00E95E98"/>
    <w:rsid w:val="00E96BD2"/>
    <w:rsid w:val="00E96E0F"/>
    <w:rsid w:val="00E97566"/>
    <w:rsid w:val="00EA0F33"/>
    <w:rsid w:val="00EA0FB4"/>
    <w:rsid w:val="00EA3CCE"/>
    <w:rsid w:val="00EA4066"/>
    <w:rsid w:val="00EA512A"/>
    <w:rsid w:val="00EA77AE"/>
    <w:rsid w:val="00EB0472"/>
    <w:rsid w:val="00EB20AA"/>
    <w:rsid w:val="00EB26CD"/>
    <w:rsid w:val="00EB3433"/>
    <w:rsid w:val="00EB4121"/>
    <w:rsid w:val="00EB5211"/>
    <w:rsid w:val="00EB5F5D"/>
    <w:rsid w:val="00EB6445"/>
    <w:rsid w:val="00EB6DAB"/>
    <w:rsid w:val="00EB7E3E"/>
    <w:rsid w:val="00EC1043"/>
    <w:rsid w:val="00EC18FD"/>
    <w:rsid w:val="00EC3DB7"/>
    <w:rsid w:val="00EC4641"/>
    <w:rsid w:val="00EC5F74"/>
    <w:rsid w:val="00ED0709"/>
    <w:rsid w:val="00ED10E4"/>
    <w:rsid w:val="00ED426F"/>
    <w:rsid w:val="00ED5AD2"/>
    <w:rsid w:val="00ED6006"/>
    <w:rsid w:val="00EE20D8"/>
    <w:rsid w:val="00EE71AD"/>
    <w:rsid w:val="00EE75F8"/>
    <w:rsid w:val="00EF1534"/>
    <w:rsid w:val="00EF1691"/>
    <w:rsid w:val="00EF2CD3"/>
    <w:rsid w:val="00EF46E1"/>
    <w:rsid w:val="00EF4E18"/>
    <w:rsid w:val="00EF641D"/>
    <w:rsid w:val="00F05929"/>
    <w:rsid w:val="00F06692"/>
    <w:rsid w:val="00F07CF7"/>
    <w:rsid w:val="00F1108C"/>
    <w:rsid w:val="00F113E3"/>
    <w:rsid w:val="00F123A1"/>
    <w:rsid w:val="00F12660"/>
    <w:rsid w:val="00F1331E"/>
    <w:rsid w:val="00F2107A"/>
    <w:rsid w:val="00F24258"/>
    <w:rsid w:val="00F24451"/>
    <w:rsid w:val="00F2778E"/>
    <w:rsid w:val="00F30E86"/>
    <w:rsid w:val="00F31D05"/>
    <w:rsid w:val="00F32955"/>
    <w:rsid w:val="00F3782A"/>
    <w:rsid w:val="00F37940"/>
    <w:rsid w:val="00F37D4C"/>
    <w:rsid w:val="00F403CC"/>
    <w:rsid w:val="00F41ED0"/>
    <w:rsid w:val="00F43079"/>
    <w:rsid w:val="00F4418B"/>
    <w:rsid w:val="00F4420D"/>
    <w:rsid w:val="00F44340"/>
    <w:rsid w:val="00F4677A"/>
    <w:rsid w:val="00F46C50"/>
    <w:rsid w:val="00F552D1"/>
    <w:rsid w:val="00F558ED"/>
    <w:rsid w:val="00F55DEB"/>
    <w:rsid w:val="00F573B6"/>
    <w:rsid w:val="00F57FB9"/>
    <w:rsid w:val="00F60D23"/>
    <w:rsid w:val="00F60EA7"/>
    <w:rsid w:val="00F613C9"/>
    <w:rsid w:val="00F61425"/>
    <w:rsid w:val="00F61B37"/>
    <w:rsid w:val="00F64CF7"/>
    <w:rsid w:val="00F65706"/>
    <w:rsid w:val="00F65803"/>
    <w:rsid w:val="00F65822"/>
    <w:rsid w:val="00F72A1B"/>
    <w:rsid w:val="00F73546"/>
    <w:rsid w:val="00F74667"/>
    <w:rsid w:val="00F80552"/>
    <w:rsid w:val="00F808AC"/>
    <w:rsid w:val="00F81605"/>
    <w:rsid w:val="00F83783"/>
    <w:rsid w:val="00F8388B"/>
    <w:rsid w:val="00F90848"/>
    <w:rsid w:val="00F9341F"/>
    <w:rsid w:val="00F94633"/>
    <w:rsid w:val="00F94960"/>
    <w:rsid w:val="00F95BCF"/>
    <w:rsid w:val="00F960E6"/>
    <w:rsid w:val="00F96AE0"/>
    <w:rsid w:val="00F96BA4"/>
    <w:rsid w:val="00FA0204"/>
    <w:rsid w:val="00FA024C"/>
    <w:rsid w:val="00FA0506"/>
    <w:rsid w:val="00FA203F"/>
    <w:rsid w:val="00FA28ED"/>
    <w:rsid w:val="00FA2964"/>
    <w:rsid w:val="00FA40E7"/>
    <w:rsid w:val="00FA4EFB"/>
    <w:rsid w:val="00FB093E"/>
    <w:rsid w:val="00FB2278"/>
    <w:rsid w:val="00FB2DDC"/>
    <w:rsid w:val="00FB2F08"/>
    <w:rsid w:val="00FB4D15"/>
    <w:rsid w:val="00FB6480"/>
    <w:rsid w:val="00FB65B7"/>
    <w:rsid w:val="00FD1483"/>
    <w:rsid w:val="00FD2E8C"/>
    <w:rsid w:val="00FD3527"/>
    <w:rsid w:val="00FD4014"/>
    <w:rsid w:val="00FD4E21"/>
    <w:rsid w:val="00FD59FC"/>
    <w:rsid w:val="00FD5D2B"/>
    <w:rsid w:val="00FD663B"/>
    <w:rsid w:val="00FE1500"/>
    <w:rsid w:val="00FE1CEB"/>
    <w:rsid w:val="00FE2469"/>
    <w:rsid w:val="00FE29AE"/>
    <w:rsid w:val="00FE3B91"/>
    <w:rsid w:val="00FE71D4"/>
    <w:rsid w:val="00FE7A24"/>
    <w:rsid w:val="00FE7FE2"/>
    <w:rsid w:val="00FF1D69"/>
    <w:rsid w:val="00FF2731"/>
    <w:rsid w:val="00FF38B0"/>
    <w:rsid w:val="00FF4886"/>
    <w:rsid w:val="00FF4B7E"/>
    <w:rsid w:val="00FF5A27"/>
    <w:rsid w:val="0120F180"/>
    <w:rsid w:val="012B6493"/>
    <w:rsid w:val="014AE725"/>
    <w:rsid w:val="0151E167"/>
    <w:rsid w:val="0164BFFA"/>
    <w:rsid w:val="01981038"/>
    <w:rsid w:val="01D8D263"/>
    <w:rsid w:val="01F1EB31"/>
    <w:rsid w:val="021C42E0"/>
    <w:rsid w:val="023B66C1"/>
    <w:rsid w:val="023BF4AE"/>
    <w:rsid w:val="026880E5"/>
    <w:rsid w:val="026CD5F8"/>
    <w:rsid w:val="02BF0D3F"/>
    <w:rsid w:val="02C47C26"/>
    <w:rsid w:val="02D2BAA1"/>
    <w:rsid w:val="02DC9F3E"/>
    <w:rsid w:val="02EC7752"/>
    <w:rsid w:val="02F2F784"/>
    <w:rsid w:val="0330832E"/>
    <w:rsid w:val="03456227"/>
    <w:rsid w:val="034DF3EC"/>
    <w:rsid w:val="035EBC08"/>
    <w:rsid w:val="0363D330"/>
    <w:rsid w:val="03677C8D"/>
    <w:rsid w:val="0367BDB6"/>
    <w:rsid w:val="037E9D13"/>
    <w:rsid w:val="03945CA2"/>
    <w:rsid w:val="03A800F9"/>
    <w:rsid w:val="03B566D7"/>
    <w:rsid w:val="0404978F"/>
    <w:rsid w:val="0414CDE8"/>
    <w:rsid w:val="0432A1D2"/>
    <w:rsid w:val="0444F5E3"/>
    <w:rsid w:val="0445C597"/>
    <w:rsid w:val="046FF437"/>
    <w:rsid w:val="047715CA"/>
    <w:rsid w:val="049E1E03"/>
    <w:rsid w:val="04A49643"/>
    <w:rsid w:val="04B58919"/>
    <w:rsid w:val="04F2226C"/>
    <w:rsid w:val="04F7CF71"/>
    <w:rsid w:val="0502D761"/>
    <w:rsid w:val="052E0F8D"/>
    <w:rsid w:val="052F966B"/>
    <w:rsid w:val="05513FDC"/>
    <w:rsid w:val="05589C81"/>
    <w:rsid w:val="0576BEE4"/>
    <w:rsid w:val="05866CB9"/>
    <w:rsid w:val="05AC4A57"/>
    <w:rsid w:val="05AE2794"/>
    <w:rsid w:val="05BE00AA"/>
    <w:rsid w:val="05E52685"/>
    <w:rsid w:val="05EE6A5A"/>
    <w:rsid w:val="05FC7C0A"/>
    <w:rsid w:val="06020D41"/>
    <w:rsid w:val="061B98B4"/>
    <w:rsid w:val="0628667C"/>
    <w:rsid w:val="064BB7C6"/>
    <w:rsid w:val="068E1467"/>
    <w:rsid w:val="06903B59"/>
    <w:rsid w:val="06933E6B"/>
    <w:rsid w:val="0699F2DD"/>
    <w:rsid w:val="06A6F117"/>
    <w:rsid w:val="06C6D9C0"/>
    <w:rsid w:val="06D3CBA9"/>
    <w:rsid w:val="06D48F8F"/>
    <w:rsid w:val="06DB8BBA"/>
    <w:rsid w:val="06E23322"/>
    <w:rsid w:val="06E2C8C1"/>
    <w:rsid w:val="06F43E18"/>
    <w:rsid w:val="06F75C9C"/>
    <w:rsid w:val="0704658C"/>
    <w:rsid w:val="07471CBF"/>
    <w:rsid w:val="07614CE2"/>
    <w:rsid w:val="0762DAE2"/>
    <w:rsid w:val="076AA81D"/>
    <w:rsid w:val="07836259"/>
    <w:rsid w:val="078AF2BC"/>
    <w:rsid w:val="07A3FF03"/>
    <w:rsid w:val="07C9CD3E"/>
    <w:rsid w:val="07DA40EF"/>
    <w:rsid w:val="07ED29DB"/>
    <w:rsid w:val="08026979"/>
    <w:rsid w:val="0803C7A9"/>
    <w:rsid w:val="080F5B8C"/>
    <w:rsid w:val="080F9F89"/>
    <w:rsid w:val="081AD03F"/>
    <w:rsid w:val="08BCBAF9"/>
    <w:rsid w:val="08CEE8EB"/>
    <w:rsid w:val="08E254B5"/>
    <w:rsid w:val="08E8BCB3"/>
    <w:rsid w:val="08FBE42A"/>
    <w:rsid w:val="0906787E"/>
    <w:rsid w:val="0988BA85"/>
    <w:rsid w:val="09940C1D"/>
    <w:rsid w:val="09944740"/>
    <w:rsid w:val="099C1C3E"/>
    <w:rsid w:val="09D322E1"/>
    <w:rsid w:val="09D957E7"/>
    <w:rsid w:val="09DC7848"/>
    <w:rsid w:val="09EC1B22"/>
    <w:rsid w:val="09F44642"/>
    <w:rsid w:val="09FFDEFC"/>
    <w:rsid w:val="0A028CBC"/>
    <w:rsid w:val="0A10B0B0"/>
    <w:rsid w:val="0A1C6713"/>
    <w:rsid w:val="0A2A6D68"/>
    <w:rsid w:val="0A5447AE"/>
    <w:rsid w:val="0A58E5FC"/>
    <w:rsid w:val="0A6C0C20"/>
    <w:rsid w:val="0A7E3420"/>
    <w:rsid w:val="0A8252B2"/>
    <w:rsid w:val="0A889959"/>
    <w:rsid w:val="0AA36392"/>
    <w:rsid w:val="0AA4AA65"/>
    <w:rsid w:val="0AA98B56"/>
    <w:rsid w:val="0AB192B4"/>
    <w:rsid w:val="0AD91518"/>
    <w:rsid w:val="0ADACDFC"/>
    <w:rsid w:val="0AEBE02F"/>
    <w:rsid w:val="0B2099E5"/>
    <w:rsid w:val="0B46A4F9"/>
    <w:rsid w:val="0B50554B"/>
    <w:rsid w:val="0B62BDD4"/>
    <w:rsid w:val="0B661EF5"/>
    <w:rsid w:val="0B773742"/>
    <w:rsid w:val="0BAFF4BD"/>
    <w:rsid w:val="0BFB7F4F"/>
    <w:rsid w:val="0C2B181A"/>
    <w:rsid w:val="0C374E2B"/>
    <w:rsid w:val="0C3AD5B1"/>
    <w:rsid w:val="0C46A087"/>
    <w:rsid w:val="0C4CDB84"/>
    <w:rsid w:val="0C5F6AAF"/>
    <w:rsid w:val="0C5FD1C2"/>
    <w:rsid w:val="0C643FF6"/>
    <w:rsid w:val="0C662945"/>
    <w:rsid w:val="0C7159F2"/>
    <w:rsid w:val="0C916BF2"/>
    <w:rsid w:val="0C93A722"/>
    <w:rsid w:val="0C99B6A1"/>
    <w:rsid w:val="0CA110A7"/>
    <w:rsid w:val="0CBFCDB6"/>
    <w:rsid w:val="0CC9252B"/>
    <w:rsid w:val="0CD42FFE"/>
    <w:rsid w:val="0CD702FB"/>
    <w:rsid w:val="0CE11696"/>
    <w:rsid w:val="0CE2CCAF"/>
    <w:rsid w:val="0CF59B36"/>
    <w:rsid w:val="0CF76B40"/>
    <w:rsid w:val="0D080FB6"/>
    <w:rsid w:val="0D45F1A7"/>
    <w:rsid w:val="0D90D78F"/>
    <w:rsid w:val="0D986833"/>
    <w:rsid w:val="0DAF7315"/>
    <w:rsid w:val="0DB5DF7A"/>
    <w:rsid w:val="0DBBFE9C"/>
    <w:rsid w:val="0DCDD9CA"/>
    <w:rsid w:val="0DCEADC8"/>
    <w:rsid w:val="0DD8310E"/>
    <w:rsid w:val="0DEE28C8"/>
    <w:rsid w:val="0DF27D44"/>
    <w:rsid w:val="0E0B27F3"/>
    <w:rsid w:val="0E1326E6"/>
    <w:rsid w:val="0E13A16B"/>
    <w:rsid w:val="0E19E667"/>
    <w:rsid w:val="0E2A0992"/>
    <w:rsid w:val="0E2D2628"/>
    <w:rsid w:val="0E377C32"/>
    <w:rsid w:val="0E3C1355"/>
    <w:rsid w:val="0E41DF3F"/>
    <w:rsid w:val="0E6C0021"/>
    <w:rsid w:val="0EE3CB52"/>
    <w:rsid w:val="0EF720ED"/>
    <w:rsid w:val="0F15B3A4"/>
    <w:rsid w:val="0F1C884C"/>
    <w:rsid w:val="0F294904"/>
    <w:rsid w:val="0F2BBF6C"/>
    <w:rsid w:val="0F53ECF7"/>
    <w:rsid w:val="0F57E89A"/>
    <w:rsid w:val="0F5D7BFC"/>
    <w:rsid w:val="0F9A64BE"/>
    <w:rsid w:val="0FADD424"/>
    <w:rsid w:val="0FC25332"/>
    <w:rsid w:val="0FDCA29A"/>
    <w:rsid w:val="0FE8F593"/>
    <w:rsid w:val="0FFA76F3"/>
    <w:rsid w:val="1005B26A"/>
    <w:rsid w:val="10128BB0"/>
    <w:rsid w:val="10372C54"/>
    <w:rsid w:val="103C03BF"/>
    <w:rsid w:val="1041B74C"/>
    <w:rsid w:val="10476435"/>
    <w:rsid w:val="10548296"/>
    <w:rsid w:val="1073BB88"/>
    <w:rsid w:val="10822868"/>
    <w:rsid w:val="108FC671"/>
    <w:rsid w:val="10974E76"/>
    <w:rsid w:val="10B9CEAA"/>
    <w:rsid w:val="10BEB9A3"/>
    <w:rsid w:val="10C2F235"/>
    <w:rsid w:val="10F94198"/>
    <w:rsid w:val="110A89F8"/>
    <w:rsid w:val="1128120A"/>
    <w:rsid w:val="112F00BC"/>
    <w:rsid w:val="115080D0"/>
    <w:rsid w:val="11731C9F"/>
    <w:rsid w:val="11845B29"/>
    <w:rsid w:val="11890D98"/>
    <w:rsid w:val="11A9F23E"/>
    <w:rsid w:val="11BF2D41"/>
    <w:rsid w:val="11D1F190"/>
    <w:rsid w:val="11F1788C"/>
    <w:rsid w:val="11F3A58A"/>
    <w:rsid w:val="11FD207D"/>
    <w:rsid w:val="12139D86"/>
    <w:rsid w:val="122771FA"/>
    <w:rsid w:val="126638C6"/>
    <w:rsid w:val="1266A636"/>
    <w:rsid w:val="1275EAB7"/>
    <w:rsid w:val="127B7F00"/>
    <w:rsid w:val="12AD5AC4"/>
    <w:rsid w:val="12B93749"/>
    <w:rsid w:val="12BA7CFF"/>
    <w:rsid w:val="12F6BD1A"/>
    <w:rsid w:val="13148EB5"/>
    <w:rsid w:val="131814F5"/>
    <w:rsid w:val="1324DA57"/>
    <w:rsid w:val="132F5B35"/>
    <w:rsid w:val="132F66AD"/>
    <w:rsid w:val="1330B0FC"/>
    <w:rsid w:val="134DA30F"/>
    <w:rsid w:val="134E616F"/>
    <w:rsid w:val="137AB5B0"/>
    <w:rsid w:val="139F00FB"/>
    <w:rsid w:val="13C95CAC"/>
    <w:rsid w:val="13D24992"/>
    <w:rsid w:val="13E6332C"/>
    <w:rsid w:val="13EBB126"/>
    <w:rsid w:val="13FC46C9"/>
    <w:rsid w:val="140297F5"/>
    <w:rsid w:val="14036A0D"/>
    <w:rsid w:val="14043EE7"/>
    <w:rsid w:val="140B9A75"/>
    <w:rsid w:val="14497752"/>
    <w:rsid w:val="145E3075"/>
    <w:rsid w:val="146C5A5B"/>
    <w:rsid w:val="1493B6E4"/>
    <w:rsid w:val="14A1DCAD"/>
    <w:rsid w:val="14C74A55"/>
    <w:rsid w:val="14DF6183"/>
    <w:rsid w:val="14E1BCF6"/>
    <w:rsid w:val="14EB6EE2"/>
    <w:rsid w:val="14F7CF09"/>
    <w:rsid w:val="1506ECAE"/>
    <w:rsid w:val="151FA502"/>
    <w:rsid w:val="15203904"/>
    <w:rsid w:val="154A3ABE"/>
    <w:rsid w:val="1550F52C"/>
    <w:rsid w:val="155E1092"/>
    <w:rsid w:val="155E7CF0"/>
    <w:rsid w:val="156CE09D"/>
    <w:rsid w:val="1577EE2E"/>
    <w:rsid w:val="157CCB34"/>
    <w:rsid w:val="1584F528"/>
    <w:rsid w:val="15899600"/>
    <w:rsid w:val="158CF2D5"/>
    <w:rsid w:val="15A73728"/>
    <w:rsid w:val="15ADBE4E"/>
    <w:rsid w:val="15B5D8D3"/>
    <w:rsid w:val="16005E82"/>
    <w:rsid w:val="160A3740"/>
    <w:rsid w:val="163136C5"/>
    <w:rsid w:val="1643EBD6"/>
    <w:rsid w:val="165E2288"/>
    <w:rsid w:val="166F724A"/>
    <w:rsid w:val="16783BCA"/>
    <w:rsid w:val="16A1B7B6"/>
    <w:rsid w:val="16A4B383"/>
    <w:rsid w:val="16B7FA3B"/>
    <w:rsid w:val="16C13464"/>
    <w:rsid w:val="16CB2963"/>
    <w:rsid w:val="16E965A1"/>
    <w:rsid w:val="16F7F31D"/>
    <w:rsid w:val="1724BB1D"/>
    <w:rsid w:val="173C9F9B"/>
    <w:rsid w:val="17467890"/>
    <w:rsid w:val="174D1A80"/>
    <w:rsid w:val="1754BF46"/>
    <w:rsid w:val="175B39BA"/>
    <w:rsid w:val="17635AF1"/>
    <w:rsid w:val="176C7B0E"/>
    <w:rsid w:val="1771EE0E"/>
    <w:rsid w:val="178EB664"/>
    <w:rsid w:val="17E32FD4"/>
    <w:rsid w:val="17EE6A53"/>
    <w:rsid w:val="17F31A88"/>
    <w:rsid w:val="17FF8F93"/>
    <w:rsid w:val="180E84A0"/>
    <w:rsid w:val="18316036"/>
    <w:rsid w:val="184715A4"/>
    <w:rsid w:val="18486FEF"/>
    <w:rsid w:val="18591B04"/>
    <w:rsid w:val="1863B795"/>
    <w:rsid w:val="18B29F13"/>
    <w:rsid w:val="18D557C8"/>
    <w:rsid w:val="18F71098"/>
    <w:rsid w:val="19280DD5"/>
    <w:rsid w:val="195EABB4"/>
    <w:rsid w:val="19995514"/>
    <w:rsid w:val="19B6703A"/>
    <w:rsid w:val="19B694C9"/>
    <w:rsid w:val="19C7C56A"/>
    <w:rsid w:val="19CF461B"/>
    <w:rsid w:val="19DAD906"/>
    <w:rsid w:val="19DB774D"/>
    <w:rsid w:val="1A075AAA"/>
    <w:rsid w:val="1A5CB761"/>
    <w:rsid w:val="1A9767ED"/>
    <w:rsid w:val="1AAC9DFB"/>
    <w:rsid w:val="1AD02681"/>
    <w:rsid w:val="1ADB3509"/>
    <w:rsid w:val="1AE5DAEA"/>
    <w:rsid w:val="1AF72668"/>
    <w:rsid w:val="1B3F15D1"/>
    <w:rsid w:val="1B45F7E7"/>
    <w:rsid w:val="1B5D6415"/>
    <w:rsid w:val="1B6D5EE9"/>
    <w:rsid w:val="1B7CA182"/>
    <w:rsid w:val="1BC132CF"/>
    <w:rsid w:val="1BC1D5DA"/>
    <w:rsid w:val="1BDC851D"/>
    <w:rsid w:val="1C089DC9"/>
    <w:rsid w:val="1C0A3580"/>
    <w:rsid w:val="1C30FD2C"/>
    <w:rsid w:val="1C39F91F"/>
    <w:rsid w:val="1C46F1FE"/>
    <w:rsid w:val="1C4B20AD"/>
    <w:rsid w:val="1C508DB8"/>
    <w:rsid w:val="1CDC31C8"/>
    <w:rsid w:val="1CE9FEB8"/>
    <w:rsid w:val="1D1557DB"/>
    <w:rsid w:val="1D1F0CE3"/>
    <w:rsid w:val="1D2EA4E8"/>
    <w:rsid w:val="1D4546E1"/>
    <w:rsid w:val="1D51D8E1"/>
    <w:rsid w:val="1D8C1F6A"/>
    <w:rsid w:val="1D99C69F"/>
    <w:rsid w:val="1DA33945"/>
    <w:rsid w:val="1DCF2A72"/>
    <w:rsid w:val="1DD4977D"/>
    <w:rsid w:val="1DDDAE55"/>
    <w:rsid w:val="1E0A6E6E"/>
    <w:rsid w:val="1E273963"/>
    <w:rsid w:val="1E3744B2"/>
    <w:rsid w:val="1E43EB68"/>
    <w:rsid w:val="1E4E8963"/>
    <w:rsid w:val="1E948E22"/>
    <w:rsid w:val="1EDAF479"/>
    <w:rsid w:val="1EDD42A4"/>
    <w:rsid w:val="1EE84068"/>
    <w:rsid w:val="1EF7D329"/>
    <w:rsid w:val="1F0BAD92"/>
    <w:rsid w:val="1F2493B2"/>
    <w:rsid w:val="1F29C14E"/>
    <w:rsid w:val="1F2BC4A0"/>
    <w:rsid w:val="1F3A5C6A"/>
    <w:rsid w:val="1F6AC802"/>
    <w:rsid w:val="1F72FD89"/>
    <w:rsid w:val="1F75C4B3"/>
    <w:rsid w:val="1F85280B"/>
    <w:rsid w:val="1F8ABC1E"/>
    <w:rsid w:val="1F96C03A"/>
    <w:rsid w:val="1F998BEC"/>
    <w:rsid w:val="1FACA356"/>
    <w:rsid w:val="1FDF418A"/>
    <w:rsid w:val="200CD765"/>
    <w:rsid w:val="201BA2C7"/>
    <w:rsid w:val="201C95A6"/>
    <w:rsid w:val="2020F4AC"/>
    <w:rsid w:val="2020F94F"/>
    <w:rsid w:val="202A42F8"/>
    <w:rsid w:val="204BB1D6"/>
    <w:rsid w:val="206E888D"/>
    <w:rsid w:val="208E410A"/>
    <w:rsid w:val="209734A3"/>
    <w:rsid w:val="20E9A013"/>
    <w:rsid w:val="20EB1321"/>
    <w:rsid w:val="2124A99E"/>
    <w:rsid w:val="21442CC4"/>
    <w:rsid w:val="2164201E"/>
    <w:rsid w:val="2169AFDD"/>
    <w:rsid w:val="219E45DC"/>
    <w:rsid w:val="21BEB6D4"/>
    <w:rsid w:val="21CCA599"/>
    <w:rsid w:val="21D2D74F"/>
    <w:rsid w:val="21D624DE"/>
    <w:rsid w:val="21F53152"/>
    <w:rsid w:val="22383A6D"/>
    <w:rsid w:val="224084CD"/>
    <w:rsid w:val="224E9F76"/>
    <w:rsid w:val="22BA830E"/>
    <w:rsid w:val="22C875DA"/>
    <w:rsid w:val="230169BF"/>
    <w:rsid w:val="230E747B"/>
    <w:rsid w:val="233E12C6"/>
    <w:rsid w:val="234DDBC4"/>
    <w:rsid w:val="236875FA"/>
    <w:rsid w:val="237FA453"/>
    <w:rsid w:val="23881F4D"/>
    <w:rsid w:val="23AFD8CF"/>
    <w:rsid w:val="23C2B819"/>
    <w:rsid w:val="23C87DC0"/>
    <w:rsid w:val="23EE21D2"/>
    <w:rsid w:val="23EF1605"/>
    <w:rsid w:val="23EFFF7D"/>
    <w:rsid w:val="2427D004"/>
    <w:rsid w:val="243DDA10"/>
    <w:rsid w:val="243E981C"/>
    <w:rsid w:val="2443A949"/>
    <w:rsid w:val="2443D901"/>
    <w:rsid w:val="246E5EB7"/>
    <w:rsid w:val="24771E71"/>
    <w:rsid w:val="249BD41C"/>
    <w:rsid w:val="24E8A228"/>
    <w:rsid w:val="24FDEA10"/>
    <w:rsid w:val="250E28E2"/>
    <w:rsid w:val="25187F4A"/>
    <w:rsid w:val="251F22F9"/>
    <w:rsid w:val="2523F8A5"/>
    <w:rsid w:val="25241C37"/>
    <w:rsid w:val="2525869E"/>
    <w:rsid w:val="252AE792"/>
    <w:rsid w:val="252D6AA1"/>
    <w:rsid w:val="2536073D"/>
    <w:rsid w:val="255D0EBD"/>
    <w:rsid w:val="256D4CC2"/>
    <w:rsid w:val="256F75BB"/>
    <w:rsid w:val="257D24BD"/>
    <w:rsid w:val="25811634"/>
    <w:rsid w:val="258EF4E1"/>
    <w:rsid w:val="25964870"/>
    <w:rsid w:val="25F8094E"/>
    <w:rsid w:val="25F9966A"/>
    <w:rsid w:val="25FEF578"/>
    <w:rsid w:val="26089B9A"/>
    <w:rsid w:val="26106B7F"/>
    <w:rsid w:val="263A4697"/>
    <w:rsid w:val="265A81DD"/>
    <w:rsid w:val="26694E5D"/>
    <w:rsid w:val="267BC993"/>
    <w:rsid w:val="26A615C4"/>
    <w:rsid w:val="26A8BB82"/>
    <w:rsid w:val="26D5B9E6"/>
    <w:rsid w:val="26E283EC"/>
    <w:rsid w:val="2702905C"/>
    <w:rsid w:val="27062B53"/>
    <w:rsid w:val="2707037E"/>
    <w:rsid w:val="273458F6"/>
    <w:rsid w:val="27373DF2"/>
    <w:rsid w:val="273ED6D9"/>
    <w:rsid w:val="27556CAD"/>
    <w:rsid w:val="2769767B"/>
    <w:rsid w:val="2772E4DA"/>
    <w:rsid w:val="278B842B"/>
    <w:rsid w:val="278EC96F"/>
    <w:rsid w:val="27937436"/>
    <w:rsid w:val="27951830"/>
    <w:rsid w:val="27BFC489"/>
    <w:rsid w:val="27D86A1F"/>
    <w:rsid w:val="27E898A1"/>
    <w:rsid w:val="27F74278"/>
    <w:rsid w:val="284E53E6"/>
    <w:rsid w:val="28650F9E"/>
    <w:rsid w:val="286A98F9"/>
    <w:rsid w:val="28715DFB"/>
    <w:rsid w:val="2891BA1A"/>
    <w:rsid w:val="28A5AB1F"/>
    <w:rsid w:val="28A5C3FA"/>
    <w:rsid w:val="28BA97AA"/>
    <w:rsid w:val="28E028EC"/>
    <w:rsid w:val="2905108C"/>
    <w:rsid w:val="291016B1"/>
    <w:rsid w:val="294E0B08"/>
    <w:rsid w:val="295F2681"/>
    <w:rsid w:val="29781D9A"/>
    <w:rsid w:val="2978C3A9"/>
    <w:rsid w:val="297A0E1E"/>
    <w:rsid w:val="29924152"/>
    <w:rsid w:val="29B93C99"/>
    <w:rsid w:val="29CC602B"/>
    <w:rsid w:val="29D0F288"/>
    <w:rsid w:val="29D2304C"/>
    <w:rsid w:val="2A4C70F2"/>
    <w:rsid w:val="2A7EA18F"/>
    <w:rsid w:val="2A939F26"/>
    <w:rsid w:val="2A98ED49"/>
    <w:rsid w:val="2AD452F2"/>
    <w:rsid w:val="2AF18BE0"/>
    <w:rsid w:val="2B3726FA"/>
    <w:rsid w:val="2B442602"/>
    <w:rsid w:val="2B51CA6C"/>
    <w:rsid w:val="2B582BCE"/>
    <w:rsid w:val="2B60FF2C"/>
    <w:rsid w:val="2B864FD2"/>
    <w:rsid w:val="2BA74095"/>
    <w:rsid w:val="2BC1C2BD"/>
    <w:rsid w:val="2BF83054"/>
    <w:rsid w:val="2C103DB0"/>
    <w:rsid w:val="2C16FCB1"/>
    <w:rsid w:val="2C3F019A"/>
    <w:rsid w:val="2C4617B9"/>
    <w:rsid w:val="2C5555CA"/>
    <w:rsid w:val="2C6CFA0B"/>
    <w:rsid w:val="2C76AE2E"/>
    <w:rsid w:val="2CDA2954"/>
    <w:rsid w:val="2CE3AA71"/>
    <w:rsid w:val="2D0AFD27"/>
    <w:rsid w:val="2D351156"/>
    <w:rsid w:val="2D5FAA51"/>
    <w:rsid w:val="2D67844D"/>
    <w:rsid w:val="2D6820FD"/>
    <w:rsid w:val="2D8053E6"/>
    <w:rsid w:val="2DA33DF1"/>
    <w:rsid w:val="2DABD0A5"/>
    <w:rsid w:val="2DC1A99E"/>
    <w:rsid w:val="2E112E02"/>
    <w:rsid w:val="2E2FA83C"/>
    <w:rsid w:val="2E2FFE35"/>
    <w:rsid w:val="2E8A0D3E"/>
    <w:rsid w:val="2E8C370D"/>
    <w:rsid w:val="2E9CE125"/>
    <w:rsid w:val="2EC1E20B"/>
    <w:rsid w:val="2ECDA80A"/>
    <w:rsid w:val="2ED6A1A9"/>
    <w:rsid w:val="2EDEB010"/>
    <w:rsid w:val="2EEEFCEC"/>
    <w:rsid w:val="2EFD592D"/>
    <w:rsid w:val="2F095623"/>
    <w:rsid w:val="2F0BAA82"/>
    <w:rsid w:val="2F6402C2"/>
    <w:rsid w:val="2F8916BB"/>
    <w:rsid w:val="2FD52964"/>
    <w:rsid w:val="3014019B"/>
    <w:rsid w:val="301D26CB"/>
    <w:rsid w:val="30248354"/>
    <w:rsid w:val="306CC234"/>
    <w:rsid w:val="308E6E94"/>
    <w:rsid w:val="3093DC4D"/>
    <w:rsid w:val="30AA7E2D"/>
    <w:rsid w:val="30B4219B"/>
    <w:rsid w:val="30B55EDC"/>
    <w:rsid w:val="30D805DA"/>
    <w:rsid w:val="30E953DD"/>
    <w:rsid w:val="30EDE313"/>
    <w:rsid w:val="3107B818"/>
    <w:rsid w:val="317F3C2F"/>
    <w:rsid w:val="31938EB4"/>
    <w:rsid w:val="3198B130"/>
    <w:rsid w:val="31F4FB0F"/>
    <w:rsid w:val="3298094A"/>
    <w:rsid w:val="32AB086E"/>
    <w:rsid w:val="32B7A581"/>
    <w:rsid w:val="32BADFA0"/>
    <w:rsid w:val="32D1BF83"/>
    <w:rsid w:val="32D48FC6"/>
    <w:rsid w:val="32D6B94D"/>
    <w:rsid w:val="32DAA928"/>
    <w:rsid w:val="32DAEB34"/>
    <w:rsid w:val="32E50A8C"/>
    <w:rsid w:val="32ED54FB"/>
    <w:rsid w:val="3317F457"/>
    <w:rsid w:val="333D8DD1"/>
    <w:rsid w:val="3359C65F"/>
    <w:rsid w:val="336421A7"/>
    <w:rsid w:val="33745376"/>
    <w:rsid w:val="337CCC17"/>
    <w:rsid w:val="338659FA"/>
    <w:rsid w:val="339B7951"/>
    <w:rsid w:val="33A467AD"/>
    <w:rsid w:val="33A50D08"/>
    <w:rsid w:val="33CBE5D5"/>
    <w:rsid w:val="33F5B402"/>
    <w:rsid w:val="33FCD98F"/>
    <w:rsid w:val="342E403D"/>
    <w:rsid w:val="3445EF37"/>
    <w:rsid w:val="34AE66AA"/>
    <w:rsid w:val="34DA4656"/>
    <w:rsid w:val="35161CE0"/>
    <w:rsid w:val="3518DAAB"/>
    <w:rsid w:val="353188D4"/>
    <w:rsid w:val="3536F541"/>
    <w:rsid w:val="353EB736"/>
    <w:rsid w:val="353F9694"/>
    <w:rsid w:val="3554658B"/>
    <w:rsid w:val="35697963"/>
    <w:rsid w:val="3571153D"/>
    <w:rsid w:val="357A4E25"/>
    <w:rsid w:val="3587CED4"/>
    <w:rsid w:val="359D9520"/>
    <w:rsid w:val="35BF8039"/>
    <w:rsid w:val="35F29CC2"/>
    <w:rsid w:val="35F984A0"/>
    <w:rsid w:val="3611FEEE"/>
    <w:rsid w:val="3620390E"/>
    <w:rsid w:val="363366E6"/>
    <w:rsid w:val="364332FC"/>
    <w:rsid w:val="36641009"/>
    <w:rsid w:val="369187BB"/>
    <w:rsid w:val="3693E59B"/>
    <w:rsid w:val="36986E71"/>
    <w:rsid w:val="36C73304"/>
    <w:rsid w:val="36D85A56"/>
    <w:rsid w:val="36F01C42"/>
    <w:rsid w:val="371BFED4"/>
    <w:rsid w:val="371C55E6"/>
    <w:rsid w:val="372EB8E4"/>
    <w:rsid w:val="374D0DC2"/>
    <w:rsid w:val="375A783B"/>
    <w:rsid w:val="37B0D212"/>
    <w:rsid w:val="37B1FB29"/>
    <w:rsid w:val="37B58931"/>
    <w:rsid w:val="37C495E4"/>
    <w:rsid w:val="3819D358"/>
    <w:rsid w:val="383083C2"/>
    <w:rsid w:val="383A9600"/>
    <w:rsid w:val="38FB597C"/>
    <w:rsid w:val="38FE6392"/>
    <w:rsid w:val="3909B91A"/>
    <w:rsid w:val="3920C300"/>
    <w:rsid w:val="392B3AF1"/>
    <w:rsid w:val="39858E6A"/>
    <w:rsid w:val="39AA7175"/>
    <w:rsid w:val="39BCDB5D"/>
    <w:rsid w:val="39CCBF5F"/>
    <w:rsid w:val="3A00B371"/>
    <w:rsid w:val="3A0B081A"/>
    <w:rsid w:val="3A2402E1"/>
    <w:rsid w:val="3A2CA49E"/>
    <w:rsid w:val="3A520FA4"/>
    <w:rsid w:val="3A5F05E5"/>
    <w:rsid w:val="3AA12C3F"/>
    <w:rsid w:val="3ABB3040"/>
    <w:rsid w:val="3AC40415"/>
    <w:rsid w:val="3AD09C29"/>
    <w:rsid w:val="3ADDC50A"/>
    <w:rsid w:val="3AF6320B"/>
    <w:rsid w:val="3B0953F5"/>
    <w:rsid w:val="3B0DFD33"/>
    <w:rsid w:val="3B227005"/>
    <w:rsid w:val="3B338183"/>
    <w:rsid w:val="3B4B9413"/>
    <w:rsid w:val="3B8FACBE"/>
    <w:rsid w:val="3B90FFDF"/>
    <w:rsid w:val="3BA138F9"/>
    <w:rsid w:val="3BA2F4C9"/>
    <w:rsid w:val="3BB5468D"/>
    <w:rsid w:val="3BB60B38"/>
    <w:rsid w:val="3BE4C48A"/>
    <w:rsid w:val="3BF0EA8D"/>
    <w:rsid w:val="3BF57E14"/>
    <w:rsid w:val="3BF5B48D"/>
    <w:rsid w:val="3C21420E"/>
    <w:rsid w:val="3C2A737A"/>
    <w:rsid w:val="3C2C9582"/>
    <w:rsid w:val="3C41D091"/>
    <w:rsid w:val="3C4E4F5A"/>
    <w:rsid w:val="3C71E72A"/>
    <w:rsid w:val="3C74616A"/>
    <w:rsid w:val="3C96A738"/>
    <w:rsid w:val="3CB472A5"/>
    <w:rsid w:val="3CB7BD18"/>
    <w:rsid w:val="3CFE07B3"/>
    <w:rsid w:val="3D0ADC77"/>
    <w:rsid w:val="3D1FE337"/>
    <w:rsid w:val="3D2D0DF9"/>
    <w:rsid w:val="3D486E4A"/>
    <w:rsid w:val="3D4B6EB4"/>
    <w:rsid w:val="3D89C179"/>
    <w:rsid w:val="3D99A44A"/>
    <w:rsid w:val="3D9C3B4D"/>
    <w:rsid w:val="3DD32FBF"/>
    <w:rsid w:val="3DD4DF8F"/>
    <w:rsid w:val="3DE11940"/>
    <w:rsid w:val="3E0016A0"/>
    <w:rsid w:val="3E064856"/>
    <w:rsid w:val="3E06F238"/>
    <w:rsid w:val="3E20A050"/>
    <w:rsid w:val="3E382AAC"/>
    <w:rsid w:val="3E63080D"/>
    <w:rsid w:val="3E829D5D"/>
    <w:rsid w:val="3E8BC46C"/>
    <w:rsid w:val="3EB1C5EE"/>
    <w:rsid w:val="3ECEB789"/>
    <w:rsid w:val="3EE20265"/>
    <w:rsid w:val="3F3D84CC"/>
    <w:rsid w:val="3F5023E4"/>
    <w:rsid w:val="3F5F1E05"/>
    <w:rsid w:val="3F7BFA8E"/>
    <w:rsid w:val="3F865AA3"/>
    <w:rsid w:val="3F9D36B4"/>
    <w:rsid w:val="3FEE74DC"/>
    <w:rsid w:val="3FF04CDF"/>
    <w:rsid w:val="401CB349"/>
    <w:rsid w:val="4021DD5A"/>
    <w:rsid w:val="4026CA83"/>
    <w:rsid w:val="402C49F3"/>
    <w:rsid w:val="405D1CCC"/>
    <w:rsid w:val="406BF23B"/>
    <w:rsid w:val="40B72568"/>
    <w:rsid w:val="40C214E5"/>
    <w:rsid w:val="40D89692"/>
    <w:rsid w:val="40E68EEC"/>
    <w:rsid w:val="4100C0EB"/>
    <w:rsid w:val="413054C4"/>
    <w:rsid w:val="413ED541"/>
    <w:rsid w:val="416983BC"/>
    <w:rsid w:val="41AF39A1"/>
    <w:rsid w:val="41BE3A2E"/>
    <w:rsid w:val="41F828FD"/>
    <w:rsid w:val="41FE7AFB"/>
    <w:rsid w:val="42006E96"/>
    <w:rsid w:val="4209245E"/>
    <w:rsid w:val="42106474"/>
    <w:rsid w:val="423E926F"/>
    <w:rsid w:val="42777164"/>
    <w:rsid w:val="4277B045"/>
    <w:rsid w:val="42837A9C"/>
    <w:rsid w:val="428BFF46"/>
    <w:rsid w:val="428F5945"/>
    <w:rsid w:val="42932BE6"/>
    <w:rsid w:val="42976737"/>
    <w:rsid w:val="42A21319"/>
    <w:rsid w:val="42E9F04E"/>
    <w:rsid w:val="42F1AF65"/>
    <w:rsid w:val="43029308"/>
    <w:rsid w:val="430751AC"/>
    <w:rsid w:val="431A191D"/>
    <w:rsid w:val="431E39BE"/>
    <w:rsid w:val="432A5BB7"/>
    <w:rsid w:val="4334AD57"/>
    <w:rsid w:val="436C2012"/>
    <w:rsid w:val="439791AA"/>
    <w:rsid w:val="439CE782"/>
    <w:rsid w:val="43A61F17"/>
    <w:rsid w:val="43C739A3"/>
    <w:rsid w:val="43CC610B"/>
    <w:rsid w:val="43F54C46"/>
    <w:rsid w:val="44097F9A"/>
    <w:rsid w:val="441F7066"/>
    <w:rsid w:val="444A137F"/>
    <w:rsid w:val="4453EC81"/>
    <w:rsid w:val="445B4D6B"/>
    <w:rsid w:val="4471D6C7"/>
    <w:rsid w:val="447B3002"/>
    <w:rsid w:val="449AB0FC"/>
    <w:rsid w:val="44BC2BC1"/>
    <w:rsid w:val="44E109DB"/>
    <w:rsid w:val="44F0934B"/>
    <w:rsid w:val="4501EB02"/>
    <w:rsid w:val="451799D2"/>
    <w:rsid w:val="45308DEF"/>
    <w:rsid w:val="454580F1"/>
    <w:rsid w:val="4547FCFB"/>
    <w:rsid w:val="45B33C4D"/>
    <w:rsid w:val="45CFBD08"/>
    <w:rsid w:val="461BEDA2"/>
    <w:rsid w:val="4640CBAF"/>
    <w:rsid w:val="466620A3"/>
    <w:rsid w:val="469E60CC"/>
    <w:rsid w:val="46A9A4A5"/>
    <w:rsid w:val="46A9E8A2"/>
    <w:rsid w:val="46C668EF"/>
    <w:rsid w:val="46CD8393"/>
    <w:rsid w:val="46EBD926"/>
    <w:rsid w:val="470BCE98"/>
    <w:rsid w:val="472A2A4B"/>
    <w:rsid w:val="47318EB2"/>
    <w:rsid w:val="474C67EC"/>
    <w:rsid w:val="47598ED4"/>
    <w:rsid w:val="476399E8"/>
    <w:rsid w:val="476EA3C7"/>
    <w:rsid w:val="478AA3DB"/>
    <w:rsid w:val="47AEB1C3"/>
    <w:rsid w:val="47C30D21"/>
    <w:rsid w:val="47CDCF6F"/>
    <w:rsid w:val="47CED667"/>
    <w:rsid w:val="47E2FE1D"/>
    <w:rsid w:val="47F3E6F8"/>
    <w:rsid w:val="481172FA"/>
    <w:rsid w:val="48120108"/>
    <w:rsid w:val="48500017"/>
    <w:rsid w:val="485E3212"/>
    <w:rsid w:val="485F4A24"/>
    <w:rsid w:val="48629873"/>
    <w:rsid w:val="4873C0D9"/>
    <w:rsid w:val="48845BB2"/>
    <w:rsid w:val="48939CB9"/>
    <w:rsid w:val="48BDD4E1"/>
    <w:rsid w:val="48D5FAEA"/>
    <w:rsid w:val="48D61111"/>
    <w:rsid w:val="48DB5532"/>
    <w:rsid w:val="48FE5F3D"/>
    <w:rsid w:val="491A8DCB"/>
    <w:rsid w:val="492E9437"/>
    <w:rsid w:val="496A7F83"/>
    <w:rsid w:val="4976B68D"/>
    <w:rsid w:val="49811D1A"/>
    <w:rsid w:val="498DFD66"/>
    <w:rsid w:val="49B3B4BA"/>
    <w:rsid w:val="49C90A1D"/>
    <w:rsid w:val="49D11BD8"/>
    <w:rsid w:val="49E74BF8"/>
    <w:rsid w:val="49F19373"/>
    <w:rsid w:val="4A04032F"/>
    <w:rsid w:val="4A15370B"/>
    <w:rsid w:val="4A4BA106"/>
    <w:rsid w:val="4A56E54F"/>
    <w:rsid w:val="4A91724A"/>
    <w:rsid w:val="4ABEB7CD"/>
    <w:rsid w:val="4ABF177A"/>
    <w:rsid w:val="4AF1421A"/>
    <w:rsid w:val="4AFBBC3C"/>
    <w:rsid w:val="4B0BEABE"/>
    <w:rsid w:val="4B3AAEA8"/>
    <w:rsid w:val="4B864BCD"/>
    <w:rsid w:val="4B90EB06"/>
    <w:rsid w:val="4B979748"/>
    <w:rsid w:val="4BBD2065"/>
    <w:rsid w:val="4BCCEC52"/>
    <w:rsid w:val="4C03ACDF"/>
    <w:rsid w:val="4C35C319"/>
    <w:rsid w:val="4C48B8EF"/>
    <w:rsid w:val="4C55F206"/>
    <w:rsid w:val="4C677B8C"/>
    <w:rsid w:val="4C6C1211"/>
    <w:rsid w:val="4C7EEC7D"/>
    <w:rsid w:val="4C89CF3B"/>
    <w:rsid w:val="4C8BDD9B"/>
    <w:rsid w:val="4CA268E2"/>
    <w:rsid w:val="4CAEC004"/>
    <w:rsid w:val="4CFF66B1"/>
    <w:rsid w:val="4D0CC167"/>
    <w:rsid w:val="4D1340AF"/>
    <w:rsid w:val="4D346CA1"/>
    <w:rsid w:val="4D40F62E"/>
    <w:rsid w:val="4D4D9DB4"/>
    <w:rsid w:val="4D4E452C"/>
    <w:rsid w:val="4D630735"/>
    <w:rsid w:val="4D8127C0"/>
    <w:rsid w:val="4D9C31FB"/>
    <w:rsid w:val="4D9E46B8"/>
    <w:rsid w:val="4DA1801B"/>
    <w:rsid w:val="4DB1E7F4"/>
    <w:rsid w:val="4DEFF827"/>
    <w:rsid w:val="4DF119CE"/>
    <w:rsid w:val="4E0488DE"/>
    <w:rsid w:val="4E077E36"/>
    <w:rsid w:val="4E2459A6"/>
    <w:rsid w:val="4E26353E"/>
    <w:rsid w:val="4E2B6322"/>
    <w:rsid w:val="4E2D6EA6"/>
    <w:rsid w:val="4E6965C5"/>
    <w:rsid w:val="4E815180"/>
    <w:rsid w:val="4E82C0F3"/>
    <w:rsid w:val="4E885E55"/>
    <w:rsid w:val="4E8EA788"/>
    <w:rsid w:val="4E903D24"/>
    <w:rsid w:val="4E91EBC9"/>
    <w:rsid w:val="4E963C09"/>
    <w:rsid w:val="4E9702D7"/>
    <w:rsid w:val="4EB23CE8"/>
    <w:rsid w:val="4EC660B9"/>
    <w:rsid w:val="4ECCC392"/>
    <w:rsid w:val="4EDC1FCB"/>
    <w:rsid w:val="4EE364DA"/>
    <w:rsid w:val="4EF680C6"/>
    <w:rsid w:val="4F110606"/>
    <w:rsid w:val="4F4609CA"/>
    <w:rsid w:val="4F48B275"/>
    <w:rsid w:val="4F6253B7"/>
    <w:rsid w:val="4F78B98D"/>
    <w:rsid w:val="4F85FD50"/>
    <w:rsid w:val="4F95A626"/>
    <w:rsid w:val="4FA0CFF4"/>
    <w:rsid w:val="4FB17276"/>
    <w:rsid w:val="4FB29130"/>
    <w:rsid w:val="4FC14528"/>
    <w:rsid w:val="4FD3E5ED"/>
    <w:rsid w:val="4FE0A0FC"/>
    <w:rsid w:val="4FF5C1B7"/>
    <w:rsid w:val="4FF796A3"/>
    <w:rsid w:val="50225A92"/>
    <w:rsid w:val="5025BF29"/>
    <w:rsid w:val="5047CAEF"/>
    <w:rsid w:val="5048F46F"/>
    <w:rsid w:val="5060501B"/>
    <w:rsid w:val="50703D9B"/>
    <w:rsid w:val="507B6A8A"/>
    <w:rsid w:val="508E6872"/>
    <w:rsid w:val="50919714"/>
    <w:rsid w:val="50AED826"/>
    <w:rsid w:val="50BB6D24"/>
    <w:rsid w:val="50BBD8C7"/>
    <w:rsid w:val="50D9EF32"/>
    <w:rsid w:val="50E14039"/>
    <w:rsid w:val="50E2616D"/>
    <w:rsid w:val="50FF7006"/>
    <w:rsid w:val="5105BC32"/>
    <w:rsid w:val="51300F17"/>
    <w:rsid w:val="514511CD"/>
    <w:rsid w:val="514B29D8"/>
    <w:rsid w:val="515BFA68"/>
    <w:rsid w:val="51693218"/>
    <w:rsid w:val="516B7287"/>
    <w:rsid w:val="5170A550"/>
    <w:rsid w:val="51D87A2A"/>
    <w:rsid w:val="52101133"/>
    <w:rsid w:val="521047D2"/>
    <w:rsid w:val="5237DA19"/>
    <w:rsid w:val="52428912"/>
    <w:rsid w:val="52533C6F"/>
    <w:rsid w:val="5254C021"/>
    <w:rsid w:val="5255DC3A"/>
    <w:rsid w:val="5256B97B"/>
    <w:rsid w:val="52653C66"/>
    <w:rsid w:val="526D8B22"/>
    <w:rsid w:val="528FA57F"/>
    <w:rsid w:val="52A6CE9A"/>
    <w:rsid w:val="52CBE09D"/>
    <w:rsid w:val="52D46C68"/>
    <w:rsid w:val="52E08E3A"/>
    <w:rsid w:val="52E37952"/>
    <w:rsid w:val="52FCD922"/>
    <w:rsid w:val="53307E27"/>
    <w:rsid w:val="534156D6"/>
    <w:rsid w:val="5345D6B8"/>
    <w:rsid w:val="537BC0A9"/>
    <w:rsid w:val="538477AC"/>
    <w:rsid w:val="53B30B4C"/>
    <w:rsid w:val="53C69D88"/>
    <w:rsid w:val="53D612E4"/>
    <w:rsid w:val="53DD8F43"/>
    <w:rsid w:val="53E0849B"/>
    <w:rsid w:val="53E6B651"/>
    <w:rsid w:val="53F926F7"/>
    <w:rsid w:val="53FF3935"/>
    <w:rsid w:val="54185E0E"/>
    <w:rsid w:val="543B1717"/>
    <w:rsid w:val="544BC18B"/>
    <w:rsid w:val="545C0BC4"/>
    <w:rsid w:val="54986E24"/>
    <w:rsid w:val="549E382E"/>
    <w:rsid w:val="549EAD0B"/>
    <w:rsid w:val="54A84612"/>
    <w:rsid w:val="54B41708"/>
    <w:rsid w:val="54E89190"/>
    <w:rsid w:val="54E8B2D8"/>
    <w:rsid w:val="54F086F4"/>
    <w:rsid w:val="55136581"/>
    <w:rsid w:val="5519730E"/>
    <w:rsid w:val="55228CE9"/>
    <w:rsid w:val="55247782"/>
    <w:rsid w:val="552D7E7D"/>
    <w:rsid w:val="554670B4"/>
    <w:rsid w:val="554EA2DE"/>
    <w:rsid w:val="556C114D"/>
    <w:rsid w:val="55704EC1"/>
    <w:rsid w:val="55AC93AD"/>
    <w:rsid w:val="55AEE20B"/>
    <w:rsid w:val="56086CAD"/>
    <w:rsid w:val="560E2266"/>
    <w:rsid w:val="56214C4F"/>
    <w:rsid w:val="562D2E62"/>
    <w:rsid w:val="562D65E2"/>
    <w:rsid w:val="5645B4A2"/>
    <w:rsid w:val="567456E7"/>
    <w:rsid w:val="5679800E"/>
    <w:rsid w:val="56A3E3D2"/>
    <w:rsid w:val="56C0C4A7"/>
    <w:rsid w:val="56C7C549"/>
    <w:rsid w:val="56D308FC"/>
    <w:rsid w:val="56E5D59E"/>
    <w:rsid w:val="5715FA35"/>
    <w:rsid w:val="571B5723"/>
    <w:rsid w:val="57253CE7"/>
    <w:rsid w:val="573F2268"/>
    <w:rsid w:val="5754067F"/>
    <w:rsid w:val="577D72DA"/>
    <w:rsid w:val="5789CBF6"/>
    <w:rsid w:val="57933FE1"/>
    <w:rsid w:val="579F82BE"/>
    <w:rsid w:val="57A3575B"/>
    <w:rsid w:val="57D7DCC1"/>
    <w:rsid w:val="57E18503"/>
    <w:rsid w:val="57EF5A25"/>
    <w:rsid w:val="5820FA00"/>
    <w:rsid w:val="5835A192"/>
    <w:rsid w:val="58462972"/>
    <w:rsid w:val="58796408"/>
    <w:rsid w:val="5884B087"/>
    <w:rsid w:val="58B1CA96"/>
    <w:rsid w:val="58C7DB19"/>
    <w:rsid w:val="58F8DF0E"/>
    <w:rsid w:val="59507BDF"/>
    <w:rsid w:val="59A44FD8"/>
    <w:rsid w:val="59AAC7DC"/>
    <w:rsid w:val="59BB33C7"/>
    <w:rsid w:val="59BC030C"/>
    <w:rsid w:val="59BC0F23"/>
    <w:rsid w:val="59C1E6CA"/>
    <w:rsid w:val="59E39DC2"/>
    <w:rsid w:val="59EC5810"/>
    <w:rsid w:val="59F37671"/>
    <w:rsid w:val="5A075296"/>
    <w:rsid w:val="5A1111F9"/>
    <w:rsid w:val="5A1314BF"/>
    <w:rsid w:val="5A24CB73"/>
    <w:rsid w:val="5A37D74A"/>
    <w:rsid w:val="5A666AC6"/>
    <w:rsid w:val="5A797C81"/>
    <w:rsid w:val="5A7E364D"/>
    <w:rsid w:val="5A92051F"/>
    <w:rsid w:val="5AA318B8"/>
    <w:rsid w:val="5AB2AA01"/>
    <w:rsid w:val="5ABD14FB"/>
    <w:rsid w:val="5AE2C352"/>
    <w:rsid w:val="5AF97E95"/>
    <w:rsid w:val="5B0D150B"/>
    <w:rsid w:val="5B0DE9EC"/>
    <w:rsid w:val="5B27A3E1"/>
    <w:rsid w:val="5B2F3DC6"/>
    <w:rsid w:val="5B3626ED"/>
    <w:rsid w:val="5B38A72F"/>
    <w:rsid w:val="5B5EC241"/>
    <w:rsid w:val="5B68794F"/>
    <w:rsid w:val="5B825E7E"/>
    <w:rsid w:val="5B8A9776"/>
    <w:rsid w:val="5B9C205D"/>
    <w:rsid w:val="5BA39509"/>
    <w:rsid w:val="5BAA2F8F"/>
    <w:rsid w:val="5BAF0B91"/>
    <w:rsid w:val="5BCE323B"/>
    <w:rsid w:val="5BE0B49D"/>
    <w:rsid w:val="5BE96B58"/>
    <w:rsid w:val="5BE9E8BD"/>
    <w:rsid w:val="5BF45EBC"/>
    <w:rsid w:val="5BFE1C7A"/>
    <w:rsid w:val="5C17EAD9"/>
    <w:rsid w:val="5C2278AB"/>
    <w:rsid w:val="5C27196E"/>
    <w:rsid w:val="5C2E5560"/>
    <w:rsid w:val="5C4E09EA"/>
    <w:rsid w:val="5C90F64C"/>
    <w:rsid w:val="5C9177E7"/>
    <w:rsid w:val="5C964B04"/>
    <w:rsid w:val="5CB7D31F"/>
    <w:rsid w:val="5CF86EC7"/>
    <w:rsid w:val="5D13056B"/>
    <w:rsid w:val="5D399F60"/>
    <w:rsid w:val="5D3F2629"/>
    <w:rsid w:val="5D5D13E3"/>
    <w:rsid w:val="5D61DB18"/>
    <w:rsid w:val="5D64D751"/>
    <w:rsid w:val="5D71A2A8"/>
    <w:rsid w:val="5D7D123B"/>
    <w:rsid w:val="5D8DFD3E"/>
    <w:rsid w:val="5D9454DF"/>
    <w:rsid w:val="5D9AA326"/>
    <w:rsid w:val="5DA51C5D"/>
    <w:rsid w:val="5DB35FDC"/>
    <w:rsid w:val="5DBF29A5"/>
    <w:rsid w:val="5DEC58F8"/>
    <w:rsid w:val="5DF2135D"/>
    <w:rsid w:val="5E0F6FF2"/>
    <w:rsid w:val="5E350FBD"/>
    <w:rsid w:val="5E46D670"/>
    <w:rsid w:val="5E4D1735"/>
    <w:rsid w:val="5E50C687"/>
    <w:rsid w:val="5E545112"/>
    <w:rsid w:val="5E78FEAC"/>
    <w:rsid w:val="5E8C694B"/>
    <w:rsid w:val="5EA13501"/>
    <w:rsid w:val="5ECB1E51"/>
    <w:rsid w:val="5ED833A9"/>
    <w:rsid w:val="5EF0653B"/>
    <w:rsid w:val="5EFC0DB2"/>
    <w:rsid w:val="5F0596AB"/>
    <w:rsid w:val="5F166ADD"/>
    <w:rsid w:val="5F1AEBE5"/>
    <w:rsid w:val="5F25DC28"/>
    <w:rsid w:val="5F32E91A"/>
    <w:rsid w:val="5F3A4864"/>
    <w:rsid w:val="5F40B6E6"/>
    <w:rsid w:val="5F4EFCAF"/>
    <w:rsid w:val="5F5349E4"/>
    <w:rsid w:val="5F535C21"/>
    <w:rsid w:val="5F5C7B42"/>
    <w:rsid w:val="5F68118B"/>
    <w:rsid w:val="5F75EE2C"/>
    <w:rsid w:val="5F7D0A1E"/>
    <w:rsid w:val="5F83BE0B"/>
    <w:rsid w:val="5F8B5087"/>
    <w:rsid w:val="5FC1ACD4"/>
    <w:rsid w:val="5FCBD34D"/>
    <w:rsid w:val="5FCE9B06"/>
    <w:rsid w:val="60174236"/>
    <w:rsid w:val="601EE69D"/>
    <w:rsid w:val="602057F9"/>
    <w:rsid w:val="602CEA4B"/>
    <w:rsid w:val="604ABF59"/>
    <w:rsid w:val="60693DFB"/>
    <w:rsid w:val="606F3907"/>
    <w:rsid w:val="607C85B9"/>
    <w:rsid w:val="608D8BCA"/>
    <w:rsid w:val="60AE3173"/>
    <w:rsid w:val="60B6F2DF"/>
    <w:rsid w:val="60E993BD"/>
    <w:rsid w:val="60EBBA51"/>
    <w:rsid w:val="611352C5"/>
    <w:rsid w:val="614F02B1"/>
    <w:rsid w:val="6152803B"/>
    <w:rsid w:val="6187CCCB"/>
    <w:rsid w:val="61C3409E"/>
    <w:rsid w:val="61C7572E"/>
    <w:rsid w:val="61C75FA1"/>
    <w:rsid w:val="61CAB77A"/>
    <w:rsid w:val="61D4B364"/>
    <w:rsid w:val="61E1D8AA"/>
    <w:rsid w:val="62081A10"/>
    <w:rsid w:val="62162DB9"/>
    <w:rsid w:val="62264BF2"/>
    <w:rsid w:val="625CD57B"/>
    <w:rsid w:val="6270D632"/>
    <w:rsid w:val="627C2A3C"/>
    <w:rsid w:val="627FAB53"/>
    <w:rsid w:val="628376F7"/>
    <w:rsid w:val="6294CA75"/>
    <w:rsid w:val="62ACB2EB"/>
    <w:rsid w:val="62AE63F3"/>
    <w:rsid w:val="62C9A537"/>
    <w:rsid w:val="62DD15AC"/>
    <w:rsid w:val="62DD59A9"/>
    <w:rsid w:val="62F24165"/>
    <w:rsid w:val="62F2623E"/>
    <w:rsid w:val="62FD64E7"/>
    <w:rsid w:val="630466FB"/>
    <w:rsid w:val="63137CFF"/>
    <w:rsid w:val="63224CA4"/>
    <w:rsid w:val="637D687E"/>
    <w:rsid w:val="63974D77"/>
    <w:rsid w:val="63BB14F2"/>
    <w:rsid w:val="63CC2296"/>
    <w:rsid w:val="63E25773"/>
    <w:rsid w:val="63E88929"/>
    <w:rsid w:val="64140953"/>
    <w:rsid w:val="64260E5F"/>
    <w:rsid w:val="642BDA73"/>
    <w:rsid w:val="64438BC6"/>
    <w:rsid w:val="6448B3A2"/>
    <w:rsid w:val="64575A42"/>
    <w:rsid w:val="645BF48B"/>
    <w:rsid w:val="646888AD"/>
    <w:rsid w:val="6489EE2C"/>
    <w:rsid w:val="649DF2C2"/>
    <w:rsid w:val="651AB4D6"/>
    <w:rsid w:val="6528E101"/>
    <w:rsid w:val="65376402"/>
    <w:rsid w:val="654289C9"/>
    <w:rsid w:val="658B0612"/>
    <w:rsid w:val="65B7C62B"/>
    <w:rsid w:val="65C52739"/>
    <w:rsid w:val="65D8439B"/>
    <w:rsid w:val="65DF5812"/>
    <w:rsid w:val="6603BF94"/>
    <w:rsid w:val="660CB3D1"/>
    <w:rsid w:val="6619268E"/>
    <w:rsid w:val="663C8264"/>
    <w:rsid w:val="663F5D9F"/>
    <w:rsid w:val="6641DE14"/>
    <w:rsid w:val="66424B81"/>
    <w:rsid w:val="66692295"/>
    <w:rsid w:val="667DD6F1"/>
    <w:rsid w:val="66818657"/>
    <w:rsid w:val="6688CEE1"/>
    <w:rsid w:val="66903804"/>
    <w:rsid w:val="669E6354"/>
    <w:rsid w:val="66AB2B8D"/>
    <w:rsid w:val="66DC0D86"/>
    <w:rsid w:val="66E9947B"/>
    <w:rsid w:val="66F0C219"/>
    <w:rsid w:val="66F5E875"/>
    <w:rsid w:val="6718511C"/>
    <w:rsid w:val="6732E746"/>
    <w:rsid w:val="676491DA"/>
    <w:rsid w:val="6764C975"/>
    <w:rsid w:val="6770E6E0"/>
    <w:rsid w:val="67752CC1"/>
    <w:rsid w:val="67956165"/>
    <w:rsid w:val="67AC098C"/>
    <w:rsid w:val="67B086CF"/>
    <w:rsid w:val="67C07629"/>
    <w:rsid w:val="67C5CF6A"/>
    <w:rsid w:val="67DF8538"/>
    <w:rsid w:val="67F1637F"/>
    <w:rsid w:val="67F91231"/>
    <w:rsid w:val="67FF9653"/>
    <w:rsid w:val="68195E3F"/>
    <w:rsid w:val="681DB5FC"/>
    <w:rsid w:val="6833F6BD"/>
    <w:rsid w:val="68371F1B"/>
    <w:rsid w:val="684A7A40"/>
    <w:rsid w:val="6864E292"/>
    <w:rsid w:val="687C1794"/>
    <w:rsid w:val="6897D461"/>
    <w:rsid w:val="689A98F6"/>
    <w:rsid w:val="68CFDBE6"/>
    <w:rsid w:val="68D0A534"/>
    <w:rsid w:val="68ED3BDE"/>
    <w:rsid w:val="68EFF854"/>
    <w:rsid w:val="68F6CB38"/>
    <w:rsid w:val="690158E2"/>
    <w:rsid w:val="69214A4D"/>
    <w:rsid w:val="6932D71B"/>
    <w:rsid w:val="695F12C0"/>
    <w:rsid w:val="6967D2C6"/>
    <w:rsid w:val="69750A40"/>
    <w:rsid w:val="6976FE61"/>
    <w:rsid w:val="697A40D4"/>
    <w:rsid w:val="697F24F7"/>
    <w:rsid w:val="69A34A44"/>
    <w:rsid w:val="69A5DC27"/>
    <w:rsid w:val="69B5F98D"/>
    <w:rsid w:val="69C8797F"/>
    <w:rsid w:val="69E19649"/>
    <w:rsid w:val="69E9137C"/>
    <w:rsid w:val="69FB234D"/>
    <w:rsid w:val="6A037C1D"/>
    <w:rsid w:val="6A05E372"/>
    <w:rsid w:val="6A49FF05"/>
    <w:rsid w:val="6A52CF05"/>
    <w:rsid w:val="6A754A4F"/>
    <w:rsid w:val="6A9DF2C4"/>
    <w:rsid w:val="6A9E05BC"/>
    <w:rsid w:val="6A9FD6BC"/>
    <w:rsid w:val="6AA6FF97"/>
    <w:rsid w:val="6AE09515"/>
    <w:rsid w:val="6AE343D2"/>
    <w:rsid w:val="6B00C60C"/>
    <w:rsid w:val="6B241978"/>
    <w:rsid w:val="6B260918"/>
    <w:rsid w:val="6B28C87B"/>
    <w:rsid w:val="6B2C227A"/>
    <w:rsid w:val="6B45BEB9"/>
    <w:rsid w:val="6B8DE9C0"/>
    <w:rsid w:val="6BB06209"/>
    <w:rsid w:val="6BB58347"/>
    <w:rsid w:val="6BC0BF6A"/>
    <w:rsid w:val="6BDCF5F7"/>
    <w:rsid w:val="6C082A65"/>
    <w:rsid w:val="6C1C2F19"/>
    <w:rsid w:val="6C47AC66"/>
    <w:rsid w:val="6C5E5FD2"/>
    <w:rsid w:val="6C5FBBF5"/>
    <w:rsid w:val="6C81B112"/>
    <w:rsid w:val="6C9403F2"/>
    <w:rsid w:val="6C9BFF34"/>
    <w:rsid w:val="6CAA79FE"/>
    <w:rsid w:val="6CB16A6A"/>
    <w:rsid w:val="6CE74F17"/>
    <w:rsid w:val="6CECFDD1"/>
    <w:rsid w:val="6CF35215"/>
    <w:rsid w:val="6CFB204F"/>
    <w:rsid w:val="6D0DF3A5"/>
    <w:rsid w:val="6D1E997E"/>
    <w:rsid w:val="6D62C181"/>
    <w:rsid w:val="6D6EBF30"/>
    <w:rsid w:val="6D8808F1"/>
    <w:rsid w:val="6D8C59FF"/>
    <w:rsid w:val="6D96896C"/>
    <w:rsid w:val="6DB5A106"/>
    <w:rsid w:val="6DCBFF1E"/>
    <w:rsid w:val="6DE6977C"/>
    <w:rsid w:val="6DEAB626"/>
    <w:rsid w:val="6E0D835A"/>
    <w:rsid w:val="6E0DC86A"/>
    <w:rsid w:val="6E0ED179"/>
    <w:rsid w:val="6E108C21"/>
    <w:rsid w:val="6E24B72B"/>
    <w:rsid w:val="6E308A82"/>
    <w:rsid w:val="6E36F790"/>
    <w:rsid w:val="6E3934AD"/>
    <w:rsid w:val="6E3C91CE"/>
    <w:rsid w:val="6E5274D3"/>
    <w:rsid w:val="6E922184"/>
    <w:rsid w:val="6EBB65FE"/>
    <w:rsid w:val="6EF57575"/>
    <w:rsid w:val="6F0B1697"/>
    <w:rsid w:val="6F28D180"/>
    <w:rsid w:val="6F3330E8"/>
    <w:rsid w:val="6F34FFD8"/>
    <w:rsid w:val="6F3F1D6A"/>
    <w:rsid w:val="6F4B37F3"/>
    <w:rsid w:val="6F4FB33F"/>
    <w:rsid w:val="6F72A985"/>
    <w:rsid w:val="6F952710"/>
    <w:rsid w:val="6F9A6DBA"/>
    <w:rsid w:val="6FD0E51C"/>
    <w:rsid w:val="6FEE44E4"/>
    <w:rsid w:val="6FEFA09F"/>
    <w:rsid w:val="6FF6BBE4"/>
    <w:rsid w:val="706CC500"/>
    <w:rsid w:val="70715FD5"/>
    <w:rsid w:val="707D4375"/>
    <w:rsid w:val="7099CACB"/>
    <w:rsid w:val="70C2C6F8"/>
    <w:rsid w:val="70C3FB2E"/>
    <w:rsid w:val="70C6FFC1"/>
    <w:rsid w:val="70DDFC14"/>
    <w:rsid w:val="70EB17CF"/>
    <w:rsid w:val="70F75D37"/>
    <w:rsid w:val="71016A39"/>
    <w:rsid w:val="710CEDF9"/>
    <w:rsid w:val="71113C6C"/>
    <w:rsid w:val="7158DE23"/>
    <w:rsid w:val="71732114"/>
    <w:rsid w:val="717C94BE"/>
    <w:rsid w:val="71B2DB70"/>
    <w:rsid w:val="71C2114C"/>
    <w:rsid w:val="71DE3A76"/>
    <w:rsid w:val="71EFD13B"/>
    <w:rsid w:val="7202DC60"/>
    <w:rsid w:val="724BFF48"/>
    <w:rsid w:val="727F31FB"/>
    <w:rsid w:val="72A8B04F"/>
    <w:rsid w:val="72B3CEA4"/>
    <w:rsid w:val="72B5F7EF"/>
    <w:rsid w:val="72BEE5FF"/>
    <w:rsid w:val="72CB71A4"/>
    <w:rsid w:val="72D4258F"/>
    <w:rsid w:val="72E95725"/>
    <w:rsid w:val="7301D097"/>
    <w:rsid w:val="730394ED"/>
    <w:rsid w:val="730C1942"/>
    <w:rsid w:val="738CB207"/>
    <w:rsid w:val="738CCF81"/>
    <w:rsid w:val="739243DE"/>
    <w:rsid w:val="73BA464B"/>
    <w:rsid w:val="73C32396"/>
    <w:rsid w:val="73C3B069"/>
    <w:rsid w:val="73D32662"/>
    <w:rsid w:val="73E301CF"/>
    <w:rsid w:val="73FEC61D"/>
    <w:rsid w:val="7400EE2D"/>
    <w:rsid w:val="741EDBE7"/>
    <w:rsid w:val="74348D06"/>
    <w:rsid w:val="74388458"/>
    <w:rsid w:val="743D38E0"/>
    <w:rsid w:val="7489530C"/>
    <w:rsid w:val="74A5BB85"/>
    <w:rsid w:val="74B7B6F2"/>
    <w:rsid w:val="74BBE60E"/>
    <w:rsid w:val="74D8D74E"/>
    <w:rsid w:val="750AE15D"/>
    <w:rsid w:val="751E55E6"/>
    <w:rsid w:val="75502E44"/>
    <w:rsid w:val="7568E51A"/>
    <w:rsid w:val="756CFE85"/>
    <w:rsid w:val="7570A950"/>
    <w:rsid w:val="75742469"/>
    <w:rsid w:val="7581698D"/>
    <w:rsid w:val="75A0BA9D"/>
    <w:rsid w:val="75B0C66B"/>
    <w:rsid w:val="75B478E2"/>
    <w:rsid w:val="75C3D25B"/>
    <w:rsid w:val="75FC03F7"/>
    <w:rsid w:val="760CF822"/>
    <w:rsid w:val="76115D83"/>
    <w:rsid w:val="76165C70"/>
    <w:rsid w:val="7623B537"/>
    <w:rsid w:val="765F97BA"/>
    <w:rsid w:val="7679E9BC"/>
    <w:rsid w:val="76897EE9"/>
    <w:rsid w:val="76922A48"/>
    <w:rsid w:val="769E0C86"/>
    <w:rsid w:val="76A18548"/>
    <w:rsid w:val="76B3666E"/>
    <w:rsid w:val="76B3A65A"/>
    <w:rsid w:val="76C1E021"/>
    <w:rsid w:val="76C5117F"/>
    <w:rsid w:val="76DC49BA"/>
    <w:rsid w:val="76EBBEA3"/>
    <w:rsid w:val="76EEF3C1"/>
    <w:rsid w:val="76F4FB47"/>
    <w:rsid w:val="76FC6B7A"/>
    <w:rsid w:val="7702BDF3"/>
    <w:rsid w:val="772D37D1"/>
    <w:rsid w:val="77434D77"/>
    <w:rsid w:val="778D56BD"/>
    <w:rsid w:val="778DDF31"/>
    <w:rsid w:val="7812A243"/>
    <w:rsid w:val="7815BA1D"/>
    <w:rsid w:val="78613F58"/>
    <w:rsid w:val="78667F29"/>
    <w:rsid w:val="786CF9D6"/>
    <w:rsid w:val="789623D1"/>
    <w:rsid w:val="78A9608A"/>
    <w:rsid w:val="78AE7D55"/>
    <w:rsid w:val="78D411AF"/>
    <w:rsid w:val="78E93780"/>
    <w:rsid w:val="796F8772"/>
    <w:rsid w:val="79976520"/>
    <w:rsid w:val="7997D671"/>
    <w:rsid w:val="79AE747C"/>
    <w:rsid w:val="79B0C684"/>
    <w:rsid w:val="79B52104"/>
    <w:rsid w:val="79F3A15E"/>
    <w:rsid w:val="7A019798"/>
    <w:rsid w:val="7A470DAC"/>
    <w:rsid w:val="7A6622AF"/>
    <w:rsid w:val="7A70DC59"/>
    <w:rsid w:val="7A7C4B1C"/>
    <w:rsid w:val="7A904DC3"/>
    <w:rsid w:val="7AA1D5EA"/>
    <w:rsid w:val="7AA2E907"/>
    <w:rsid w:val="7ACDC09D"/>
    <w:rsid w:val="7AD17AB3"/>
    <w:rsid w:val="7ADA6A51"/>
    <w:rsid w:val="7AE1F151"/>
    <w:rsid w:val="7AE68D14"/>
    <w:rsid w:val="7AF9F556"/>
    <w:rsid w:val="7B151735"/>
    <w:rsid w:val="7B2E0B7D"/>
    <w:rsid w:val="7B41EAD6"/>
    <w:rsid w:val="7B48890D"/>
    <w:rsid w:val="7B4B641E"/>
    <w:rsid w:val="7B51279B"/>
    <w:rsid w:val="7B698558"/>
    <w:rsid w:val="7B734C95"/>
    <w:rsid w:val="7B78BD2C"/>
    <w:rsid w:val="7BAAF052"/>
    <w:rsid w:val="7BD6C68E"/>
    <w:rsid w:val="7BEA9BB7"/>
    <w:rsid w:val="7C03C410"/>
    <w:rsid w:val="7C0B6EB0"/>
    <w:rsid w:val="7C0D80E0"/>
    <w:rsid w:val="7C23AEAB"/>
    <w:rsid w:val="7C26FC47"/>
    <w:rsid w:val="7C415442"/>
    <w:rsid w:val="7C45EAF5"/>
    <w:rsid w:val="7C4655AB"/>
    <w:rsid w:val="7C5EC1AE"/>
    <w:rsid w:val="7C8F9302"/>
    <w:rsid w:val="7C9D8E40"/>
    <w:rsid w:val="7CA3D43C"/>
    <w:rsid w:val="7CAE65D7"/>
    <w:rsid w:val="7CC097F9"/>
    <w:rsid w:val="7CC81576"/>
    <w:rsid w:val="7CEA1433"/>
    <w:rsid w:val="7D1B5781"/>
    <w:rsid w:val="7D6C0FCD"/>
    <w:rsid w:val="7D752CC6"/>
    <w:rsid w:val="7D7F5C07"/>
    <w:rsid w:val="7D8286A5"/>
    <w:rsid w:val="7D8BF5C5"/>
    <w:rsid w:val="7D91EA12"/>
    <w:rsid w:val="7D9E52DF"/>
    <w:rsid w:val="7DAAEC78"/>
    <w:rsid w:val="7DC741A8"/>
    <w:rsid w:val="7DD7B340"/>
    <w:rsid w:val="7DE27CF7"/>
    <w:rsid w:val="7DEADE5F"/>
    <w:rsid w:val="7DEB65C4"/>
    <w:rsid w:val="7DF09EE8"/>
    <w:rsid w:val="7DF5BAA4"/>
    <w:rsid w:val="7E159522"/>
    <w:rsid w:val="7E1DD02E"/>
    <w:rsid w:val="7E339800"/>
    <w:rsid w:val="7E36FC58"/>
    <w:rsid w:val="7E3BFD29"/>
    <w:rsid w:val="7E4B6528"/>
    <w:rsid w:val="7E8029CF"/>
    <w:rsid w:val="7E839433"/>
    <w:rsid w:val="7E94D4B7"/>
    <w:rsid w:val="7EA70F7D"/>
    <w:rsid w:val="7EB830F9"/>
    <w:rsid w:val="7EC7DD65"/>
    <w:rsid w:val="7F036F42"/>
    <w:rsid w:val="7F1631B1"/>
    <w:rsid w:val="7F2DB79A"/>
    <w:rsid w:val="7F416AC9"/>
    <w:rsid w:val="7F436C6A"/>
    <w:rsid w:val="7F501666"/>
    <w:rsid w:val="7F5A9208"/>
    <w:rsid w:val="7F64F18C"/>
    <w:rsid w:val="7F7AC088"/>
    <w:rsid w:val="7F805BC1"/>
    <w:rsid w:val="7FAA3A65"/>
    <w:rsid w:val="7FAD0BFC"/>
    <w:rsid w:val="7FB355CA"/>
    <w:rsid w:val="7FC107AB"/>
    <w:rsid w:val="7FC344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6B71C5"/>
  <w14:defaultImageDpi w14:val="300"/>
  <w15:docId w15:val="{F52451D1-722E-4783-984B-F27904F2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eastAsiaTheme="majorEastAsia" w:cstheme="majorBidi"/>
      <w:color w:val="004270"/>
      <w:sz w:val="48"/>
      <w:szCs w:val="32"/>
    </w:rPr>
  </w:style>
  <w:style w:type="paragraph" w:styleId="Heading2">
    <w:name w:val="heading 2"/>
    <w:basedOn w:val="Normal"/>
    <w:next w:val="Normal"/>
    <w:link w:val="Heading2Char"/>
    <w:uiPriority w:val="9"/>
    <w:unhideWhenUsed/>
    <w:qFormat/>
    <w:rsid w:val="0035517B"/>
    <w:pPr>
      <w:keepNext/>
      <w:keepLines/>
      <w:spacing w:before="240"/>
      <w:outlineLvl w:val="1"/>
    </w:pPr>
    <w:rPr>
      <w:rFonts w:eastAsiaTheme="majorEastAsia" w:cstheme="majorBidi"/>
      <w:color w:val="004270"/>
      <w:sz w:val="36"/>
    </w:rPr>
  </w:style>
  <w:style w:type="paragraph" w:styleId="Heading3">
    <w:name w:val="heading 3"/>
    <w:basedOn w:val="Normal"/>
    <w:next w:val="Normal"/>
    <w:link w:val="Heading3Char"/>
    <w:uiPriority w:val="9"/>
    <w:unhideWhenUsed/>
    <w:qFormat/>
    <w:rsid w:val="0035517B"/>
    <w:pPr>
      <w:keepNext/>
      <w:keepLines/>
      <w:spacing w:before="240"/>
      <w:outlineLvl w:val="2"/>
    </w:pPr>
    <w:rPr>
      <w:rFonts w:eastAsiaTheme="majorEastAsia" w:cstheme="majorBidi"/>
      <w:color w:val="0042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Footnote text,5_G,Footnote Text Char Char Char Char Char Char,Footnote Text Char Char Char Char Char Char Char Char Char Char Char Char Char Char Char Char Char,C"/>
    <w:basedOn w:val="Normal"/>
    <w:link w:val="FootnoteTextChar"/>
    <w:unhideWhenUsed/>
    <w:qFormat/>
    <w:rsid w:val="00C33416"/>
    <w:rPr>
      <w:sz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
    <w:basedOn w:val="DefaultParagraphFont"/>
    <w:link w:val="FootnoteText"/>
    <w:rsid w:val="00C33416"/>
    <w:rPr>
      <w:rFonts w:ascii="Arial" w:hAnsi="Arial"/>
      <w:sz w:val="20"/>
    </w:rPr>
  </w:style>
  <w:style w:type="character" w:styleId="FootnoteReference">
    <w:name w:val="footnote reference"/>
    <w:aliases w:val="4_G,Footnote number,Footnotes refss,Footnote,Stinking Styles"/>
    <w:basedOn w:val="DefaultParagraphFont"/>
    <w:unhideWhenUsed/>
    <w:qFormat/>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35517B"/>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C82CAE"/>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35517B"/>
    <w:rPr>
      <w:rFonts w:ascii="Arial" w:eastAsiaTheme="majorEastAsia" w:hAnsi="Arial" w:cstheme="majorBidi"/>
      <w:color w:val="004270"/>
      <w:sz w:val="28"/>
      <w:lang w:val="en-AU"/>
    </w:rPr>
  </w:style>
  <w:style w:type="paragraph" w:styleId="TOC3">
    <w:name w:val="toc 3"/>
    <w:basedOn w:val="Normal"/>
    <w:next w:val="Normal"/>
    <w:autoRedefine/>
    <w:uiPriority w:val="39"/>
    <w:unhideWhenUsed/>
    <w:rsid w:val="00C82CAE"/>
    <w:pPr>
      <w:tabs>
        <w:tab w:val="right" w:leader="dot" w:pos="8296"/>
      </w:tabs>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13"/>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16"/>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character" w:customStyle="1" w:styleId="UnresolvedMention1">
    <w:name w:val="Unresolved Mention1"/>
    <w:basedOn w:val="DefaultParagraphFont"/>
    <w:uiPriority w:val="99"/>
    <w:semiHidden/>
    <w:unhideWhenUsed/>
    <w:rsid w:val="0014035C"/>
    <w:rPr>
      <w:color w:val="605E5C"/>
      <w:shd w:val="clear" w:color="auto" w:fill="E1DFDD"/>
    </w:rPr>
  </w:style>
  <w:style w:type="paragraph" w:customStyle="1" w:styleId="Default">
    <w:name w:val="Default"/>
    <w:rsid w:val="00587AEA"/>
    <w:pPr>
      <w:autoSpaceDE w:val="0"/>
      <w:autoSpaceDN w:val="0"/>
      <w:adjustRightInd w:val="0"/>
    </w:pPr>
    <w:rPr>
      <w:rFonts w:ascii="Arial" w:hAnsi="Arial" w:cs="Arial"/>
      <w:color w:val="000000"/>
      <w:lang w:val="en-AU"/>
    </w:rPr>
  </w:style>
  <w:style w:type="character" w:styleId="FollowedHyperlink">
    <w:name w:val="FollowedHyperlink"/>
    <w:basedOn w:val="DefaultParagraphFont"/>
    <w:uiPriority w:val="99"/>
    <w:semiHidden/>
    <w:unhideWhenUsed/>
    <w:rsid w:val="00633DE3"/>
    <w:rPr>
      <w:color w:val="800080" w:themeColor="followedHyperlink"/>
      <w:u w:val="single"/>
    </w:rPr>
  </w:style>
  <w:style w:type="paragraph" w:styleId="NormalWeb">
    <w:name w:val="Normal (Web)"/>
    <w:basedOn w:val="Normal"/>
    <w:uiPriority w:val="99"/>
    <w:semiHidden/>
    <w:unhideWhenUsed/>
    <w:rsid w:val="00464144"/>
    <w:pPr>
      <w:spacing w:before="100" w:beforeAutospacing="1" w:after="100" w:afterAutospacing="1"/>
    </w:pPr>
    <w:rPr>
      <w:rFonts w:ascii="Times New Roman" w:eastAsia="Times New Roman" w:hAnsi="Times New Roman" w:cs="Times New Roman"/>
      <w:color w:val="auto"/>
      <w:sz w:val="24"/>
      <w:lang w:eastAsia="en-AU"/>
    </w:rPr>
  </w:style>
  <w:style w:type="character" w:styleId="Emphasis">
    <w:name w:val="Emphasis"/>
    <w:basedOn w:val="DefaultParagraphFont"/>
    <w:uiPriority w:val="20"/>
    <w:qFormat/>
    <w:rsid w:val="00464144"/>
    <w:rPr>
      <w:i/>
      <w:iCs/>
    </w:rPr>
  </w:style>
  <w:style w:type="paragraph" w:customStyle="1" w:styleId="paragraph">
    <w:name w:val="paragraph"/>
    <w:basedOn w:val="Normal"/>
    <w:rsid w:val="00464144"/>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464144"/>
  </w:style>
  <w:style w:type="paragraph" w:styleId="Revision">
    <w:name w:val="Revision"/>
    <w:hidden/>
    <w:uiPriority w:val="99"/>
    <w:semiHidden/>
    <w:rsid w:val="00597879"/>
    <w:rPr>
      <w:rFonts w:ascii="Arial" w:hAnsi="Arial"/>
      <w:color w:val="000000" w:themeColor="text1"/>
      <w:sz w:val="22"/>
      <w:lang w:val="en-AU"/>
    </w:rPr>
  </w:style>
  <w:style w:type="character" w:styleId="UnresolvedMention">
    <w:name w:val="Unresolved Mention"/>
    <w:basedOn w:val="DefaultParagraphFont"/>
    <w:uiPriority w:val="99"/>
    <w:semiHidden/>
    <w:unhideWhenUsed/>
    <w:rsid w:val="006B7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51033">
      <w:bodyDiv w:val="1"/>
      <w:marLeft w:val="0"/>
      <w:marRight w:val="0"/>
      <w:marTop w:val="0"/>
      <w:marBottom w:val="0"/>
      <w:divBdr>
        <w:top w:val="none" w:sz="0" w:space="0" w:color="auto"/>
        <w:left w:val="none" w:sz="0" w:space="0" w:color="auto"/>
        <w:bottom w:val="none" w:sz="0" w:space="0" w:color="auto"/>
        <w:right w:val="none" w:sz="0" w:space="0" w:color="auto"/>
      </w:divBdr>
    </w:div>
    <w:div w:id="491070718">
      <w:bodyDiv w:val="1"/>
      <w:marLeft w:val="0"/>
      <w:marRight w:val="0"/>
      <w:marTop w:val="0"/>
      <w:marBottom w:val="0"/>
      <w:divBdr>
        <w:top w:val="none" w:sz="0" w:space="0" w:color="auto"/>
        <w:left w:val="none" w:sz="0" w:space="0" w:color="auto"/>
        <w:bottom w:val="none" w:sz="0" w:space="0" w:color="auto"/>
        <w:right w:val="none" w:sz="0" w:space="0" w:color="auto"/>
      </w:divBdr>
    </w:div>
    <w:div w:id="637340501">
      <w:bodyDiv w:val="1"/>
      <w:marLeft w:val="0"/>
      <w:marRight w:val="0"/>
      <w:marTop w:val="0"/>
      <w:marBottom w:val="0"/>
      <w:divBdr>
        <w:top w:val="none" w:sz="0" w:space="0" w:color="auto"/>
        <w:left w:val="none" w:sz="0" w:space="0" w:color="auto"/>
        <w:bottom w:val="none" w:sz="0" w:space="0" w:color="auto"/>
        <w:right w:val="none" w:sz="0" w:space="0" w:color="auto"/>
      </w:divBdr>
    </w:div>
    <w:div w:id="663122021">
      <w:bodyDiv w:val="1"/>
      <w:marLeft w:val="0"/>
      <w:marRight w:val="0"/>
      <w:marTop w:val="0"/>
      <w:marBottom w:val="0"/>
      <w:divBdr>
        <w:top w:val="none" w:sz="0" w:space="0" w:color="auto"/>
        <w:left w:val="none" w:sz="0" w:space="0" w:color="auto"/>
        <w:bottom w:val="none" w:sz="0" w:space="0" w:color="auto"/>
        <w:right w:val="none" w:sz="0" w:space="0" w:color="auto"/>
      </w:divBdr>
      <w:divsChild>
        <w:div w:id="42944482">
          <w:marLeft w:val="360"/>
          <w:marRight w:val="0"/>
          <w:marTop w:val="200"/>
          <w:marBottom w:val="0"/>
          <w:divBdr>
            <w:top w:val="none" w:sz="0" w:space="0" w:color="auto"/>
            <w:left w:val="none" w:sz="0" w:space="0" w:color="auto"/>
            <w:bottom w:val="none" w:sz="0" w:space="0" w:color="auto"/>
            <w:right w:val="none" w:sz="0" w:space="0" w:color="auto"/>
          </w:divBdr>
        </w:div>
        <w:div w:id="600450542">
          <w:marLeft w:val="1080"/>
          <w:marRight w:val="0"/>
          <w:marTop w:val="100"/>
          <w:marBottom w:val="0"/>
          <w:divBdr>
            <w:top w:val="none" w:sz="0" w:space="0" w:color="auto"/>
            <w:left w:val="none" w:sz="0" w:space="0" w:color="auto"/>
            <w:bottom w:val="none" w:sz="0" w:space="0" w:color="auto"/>
            <w:right w:val="none" w:sz="0" w:space="0" w:color="auto"/>
          </w:divBdr>
        </w:div>
        <w:div w:id="1629428953">
          <w:marLeft w:val="360"/>
          <w:marRight w:val="0"/>
          <w:marTop w:val="200"/>
          <w:marBottom w:val="0"/>
          <w:divBdr>
            <w:top w:val="none" w:sz="0" w:space="0" w:color="auto"/>
            <w:left w:val="none" w:sz="0" w:space="0" w:color="auto"/>
            <w:bottom w:val="none" w:sz="0" w:space="0" w:color="auto"/>
            <w:right w:val="none" w:sz="0" w:space="0" w:color="auto"/>
          </w:divBdr>
        </w:div>
        <w:div w:id="1646205528">
          <w:marLeft w:val="360"/>
          <w:marRight w:val="0"/>
          <w:marTop w:val="200"/>
          <w:marBottom w:val="0"/>
          <w:divBdr>
            <w:top w:val="none" w:sz="0" w:space="0" w:color="auto"/>
            <w:left w:val="none" w:sz="0" w:space="0" w:color="auto"/>
            <w:bottom w:val="none" w:sz="0" w:space="0" w:color="auto"/>
            <w:right w:val="none" w:sz="0" w:space="0" w:color="auto"/>
          </w:divBdr>
        </w:div>
      </w:divsChild>
    </w:div>
    <w:div w:id="925843066">
      <w:bodyDiv w:val="1"/>
      <w:marLeft w:val="0"/>
      <w:marRight w:val="0"/>
      <w:marTop w:val="0"/>
      <w:marBottom w:val="0"/>
      <w:divBdr>
        <w:top w:val="none" w:sz="0" w:space="0" w:color="auto"/>
        <w:left w:val="none" w:sz="0" w:space="0" w:color="auto"/>
        <w:bottom w:val="none" w:sz="0" w:space="0" w:color="auto"/>
        <w:right w:val="none" w:sz="0" w:space="0" w:color="auto"/>
      </w:divBdr>
    </w:div>
    <w:div w:id="984895283">
      <w:bodyDiv w:val="1"/>
      <w:marLeft w:val="0"/>
      <w:marRight w:val="0"/>
      <w:marTop w:val="0"/>
      <w:marBottom w:val="0"/>
      <w:divBdr>
        <w:top w:val="none" w:sz="0" w:space="0" w:color="auto"/>
        <w:left w:val="none" w:sz="0" w:space="0" w:color="auto"/>
        <w:bottom w:val="none" w:sz="0" w:space="0" w:color="auto"/>
        <w:right w:val="none" w:sz="0" w:space="0" w:color="auto"/>
      </w:divBdr>
    </w:div>
    <w:div w:id="1117604771">
      <w:bodyDiv w:val="1"/>
      <w:marLeft w:val="0"/>
      <w:marRight w:val="0"/>
      <w:marTop w:val="0"/>
      <w:marBottom w:val="0"/>
      <w:divBdr>
        <w:top w:val="none" w:sz="0" w:space="0" w:color="auto"/>
        <w:left w:val="none" w:sz="0" w:space="0" w:color="auto"/>
        <w:bottom w:val="none" w:sz="0" w:space="0" w:color="auto"/>
        <w:right w:val="none" w:sz="0" w:space="0" w:color="auto"/>
      </w:divBdr>
    </w:div>
    <w:div w:id="1580822882">
      <w:bodyDiv w:val="1"/>
      <w:marLeft w:val="0"/>
      <w:marRight w:val="0"/>
      <w:marTop w:val="0"/>
      <w:marBottom w:val="0"/>
      <w:divBdr>
        <w:top w:val="none" w:sz="0" w:space="0" w:color="auto"/>
        <w:left w:val="none" w:sz="0" w:space="0" w:color="auto"/>
        <w:bottom w:val="none" w:sz="0" w:space="0" w:color="auto"/>
        <w:right w:val="none" w:sz="0" w:space="0" w:color="auto"/>
      </w:divBdr>
    </w:div>
    <w:div w:id="1792238372">
      <w:bodyDiv w:val="1"/>
      <w:marLeft w:val="0"/>
      <w:marRight w:val="0"/>
      <w:marTop w:val="0"/>
      <w:marBottom w:val="0"/>
      <w:divBdr>
        <w:top w:val="none" w:sz="0" w:space="0" w:color="auto"/>
        <w:left w:val="none" w:sz="0" w:space="0" w:color="auto"/>
        <w:bottom w:val="none" w:sz="0" w:space="0" w:color="auto"/>
        <w:right w:val="none" w:sz="0" w:space="0" w:color="auto"/>
      </w:divBdr>
    </w:div>
    <w:div w:id="18533743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hrc.act.gov.au/act-intermediary-program/" TargetMode="External"/><Relationship Id="rId1" Type="http://schemas.openxmlformats.org/officeDocument/2006/relationships/hyperlink" Target="https://www.sclqld.org.au/caselaw/QCA/2017/1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A8318C-076C-4C44-A212-C6A4B7BE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submission template</Template>
  <TotalTime>326</TotalTime>
  <Pages>15</Pages>
  <Words>4157</Words>
  <Characters>23696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27798</CharactersWithSpaces>
  <SharedDoc>false</SharedDoc>
  <HLinks>
    <vt:vector size="138" baseType="variant">
      <vt:variant>
        <vt:i4>1179706</vt:i4>
      </vt:variant>
      <vt:variant>
        <vt:i4>110</vt:i4>
      </vt:variant>
      <vt:variant>
        <vt:i4>0</vt:i4>
      </vt:variant>
      <vt:variant>
        <vt:i4>5</vt:i4>
      </vt:variant>
      <vt:variant>
        <vt:lpwstr/>
      </vt:variant>
      <vt:variant>
        <vt:lpwstr>_Toc132187104</vt:lpwstr>
      </vt:variant>
      <vt:variant>
        <vt:i4>1179706</vt:i4>
      </vt:variant>
      <vt:variant>
        <vt:i4>104</vt:i4>
      </vt:variant>
      <vt:variant>
        <vt:i4>0</vt:i4>
      </vt:variant>
      <vt:variant>
        <vt:i4>5</vt:i4>
      </vt:variant>
      <vt:variant>
        <vt:lpwstr/>
      </vt:variant>
      <vt:variant>
        <vt:lpwstr>_Toc132187103</vt:lpwstr>
      </vt:variant>
      <vt:variant>
        <vt:i4>1179706</vt:i4>
      </vt:variant>
      <vt:variant>
        <vt:i4>98</vt:i4>
      </vt:variant>
      <vt:variant>
        <vt:i4>0</vt:i4>
      </vt:variant>
      <vt:variant>
        <vt:i4>5</vt:i4>
      </vt:variant>
      <vt:variant>
        <vt:lpwstr/>
      </vt:variant>
      <vt:variant>
        <vt:lpwstr>_Toc132187102</vt:lpwstr>
      </vt:variant>
      <vt:variant>
        <vt:i4>1179706</vt:i4>
      </vt:variant>
      <vt:variant>
        <vt:i4>92</vt:i4>
      </vt:variant>
      <vt:variant>
        <vt:i4>0</vt:i4>
      </vt:variant>
      <vt:variant>
        <vt:i4>5</vt:i4>
      </vt:variant>
      <vt:variant>
        <vt:lpwstr/>
      </vt:variant>
      <vt:variant>
        <vt:lpwstr>_Toc132187101</vt:lpwstr>
      </vt:variant>
      <vt:variant>
        <vt:i4>1179706</vt:i4>
      </vt:variant>
      <vt:variant>
        <vt:i4>86</vt:i4>
      </vt:variant>
      <vt:variant>
        <vt:i4>0</vt:i4>
      </vt:variant>
      <vt:variant>
        <vt:i4>5</vt:i4>
      </vt:variant>
      <vt:variant>
        <vt:lpwstr/>
      </vt:variant>
      <vt:variant>
        <vt:lpwstr>_Toc132187100</vt:lpwstr>
      </vt:variant>
      <vt:variant>
        <vt:i4>1769531</vt:i4>
      </vt:variant>
      <vt:variant>
        <vt:i4>80</vt:i4>
      </vt:variant>
      <vt:variant>
        <vt:i4>0</vt:i4>
      </vt:variant>
      <vt:variant>
        <vt:i4>5</vt:i4>
      </vt:variant>
      <vt:variant>
        <vt:lpwstr/>
      </vt:variant>
      <vt:variant>
        <vt:lpwstr>_Toc132187099</vt:lpwstr>
      </vt:variant>
      <vt:variant>
        <vt:i4>1769531</vt:i4>
      </vt:variant>
      <vt:variant>
        <vt:i4>74</vt:i4>
      </vt:variant>
      <vt:variant>
        <vt:i4>0</vt:i4>
      </vt:variant>
      <vt:variant>
        <vt:i4>5</vt:i4>
      </vt:variant>
      <vt:variant>
        <vt:lpwstr/>
      </vt:variant>
      <vt:variant>
        <vt:lpwstr>_Toc132187098</vt:lpwstr>
      </vt:variant>
      <vt:variant>
        <vt:i4>1769531</vt:i4>
      </vt:variant>
      <vt:variant>
        <vt:i4>68</vt:i4>
      </vt:variant>
      <vt:variant>
        <vt:i4>0</vt:i4>
      </vt:variant>
      <vt:variant>
        <vt:i4>5</vt:i4>
      </vt:variant>
      <vt:variant>
        <vt:lpwstr/>
      </vt:variant>
      <vt:variant>
        <vt:lpwstr>_Toc132187097</vt:lpwstr>
      </vt:variant>
      <vt:variant>
        <vt:i4>1769531</vt:i4>
      </vt:variant>
      <vt:variant>
        <vt:i4>62</vt:i4>
      </vt:variant>
      <vt:variant>
        <vt:i4>0</vt:i4>
      </vt:variant>
      <vt:variant>
        <vt:i4>5</vt:i4>
      </vt:variant>
      <vt:variant>
        <vt:lpwstr/>
      </vt:variant>
      <vt:variant>
        <vt:lpwstr>_Toc132187096</vt:lpwstr>
      </vt:variant>
      <vt:variant>
        <vt:i4>1769531</vt:i4>
      </vt:variant>
      <vt:variant>
        <vt:i4>56</vt:i4>
      </vt:variant>
      <vt:variant>
        <vt:i4>0</vt:i4>
      </vt:variant>
      <vt:variant>
        <vt:i4>5</vt:i4>
      </vt:variant>
      <vt:variant>
        <vt:lpwstr/>
      </vt:variant>
      <vt:variant>
        <vt:lpwstr>_Toc132187095</vt:lpwstr>
      </vt:variant>
      <vt:variant>
        <vt:i4>1769531</vt:i4>
      </vt:variant>
      <vt:variant>
        <vt:i4>50</vt:i4>
      </vt:variant>
      <vt:variant>
        <vt:i4>0</vt:i4>
      </vt:variant>
      <vt:variant>
        <vt:i4>5</vt:i4>
      </vt:variant>
      <vt:variant>
        <vt:lpwstr/>
      </vt:variant>
      <vt:variant>
        <vt:lpwstr>_Toc132187094</vt:lpwstr>
      </vt:variant>
      <vt:variant>
        <vt:i4>1769531</vt:i4>
      </vt:variant>
      <vt:variant>
        <vt:i4>44</vt:i4>
      </vt:variant>
      <vt:variant>
        <vt:i4>0</vt:i4>
      </vt:variant>
      <vt:variant>
        <vt:i4>5</vt:i4>
      </vt:variant>
      <vt:variant>
        <vt:lpwstr/>
      </vt:variant>
      <vt:variant>
        <vt:lpwstr>_Toc132187093</vt:lpwstr>
      </vt:variant>
      <vt:variant>
        <vt:i4>1769531</vt:i4>
      </vt:variant>
      <vt:variant>
        <vt:i4>38</vt:i4>
      </vt:variant>
      <vt:variant>
        <vt:i4>0</vt:i4>
      </vt:variant>
      <vt:variant>
        <vt:i4>5</vt:i4>
      </vt:variant>
      <vt:variant>
        <vt:lpwstr/>
      </vt:variant>
      <vt:variant>
        <vt:lpwstr>_Toc132187092</vt:lpwstr>
      </vt:variant>
      <vt:variant>
        <vt:i4>1769531</vt:i4>
      </vt:variant>
      <vt:variant>
        <vt:i4>32</vt:i4>
      </vt:variant>
      <vt:variant>
        <vt:i4>0</vt:i4>
      </vt:variant>
      <vt:variant>
        <vt:i4>5</vt:i4>
      </vt:variant>
      <vt:variant>
        <vt:lpwstr/>
      </vt:variant>
      <vt:variant>
        <vt:lpwstr>_Toc132187091</vt:lpwstr>
      </vt:variant>
      <vt:variant>
        <vt:i4>1769531</vt:i4>
      </vt:variant>
      <vt:variant>
        <vt:i4>26</vt:i4>
      </vt:variant>
      <vt:variant>
        <vt:i4>0</vt:i4>
      </vt:variant>
      <vt:variant>
        <vt:i4>5</vt:i4>
      </vt:variant>
      <vt:variant>
        <vt:lpwstr/>
      </vt:variant>
      <vt:variant>
        <vt:lpwstr>_Toc132187090</vt:lpwstr>
      </vt:variant>
      <vt:variant>
        <vt:i4>1703995</vt:i4>
      </vt:variant>
      <vt:variant>
        <vt:i4>20</vt:i4>
      </vt:variant>
      <vt:variant>
        <vt:i4>0</vt:i4>
      </vt:variant>
      <vt:variant>
        <vt:i4>5</vt:i4>
      </vt:variant>
      <vt:variant>
        <vt:lpwstr/>
      </vt:variant>
      <vt:variant>
        <vt:lpwstr>_Toc132187089</vt:lpwstr>
      </vt:variant>
      <vt:variant>
        <vt:i4>1703995</vt:i4>
      </vt:variant>
      <vt:variant>
        <vt:i4>14</vt:i4>
      </vt:variant>
      <vt:variant>
        <vt:i4>0</vt:i4>
      </vt:variant>
      <vt:variant>
        <vt:i4>5</vt:i4>
      </vt:variant>
      <vt:variant>
        <vt:lpwstr/>
      </vt:variant>
      <vt:variant>
        <vt:lpwstr>_Toc132187088</vt:lpwstr>
      </vt:variant>
      <vt:variant>
        <vt:i4>1703995</vt:i4>
      </vt:variant>
      <vt:variant>
        <vt:i4>8</vt:i4>
      </vt:variant>
      <vt:variant>
        <vt:i4>0</vt:i4>
      </vt:variant>
      <vt:variant>
        <vt:i4>5</vt:i4>
      </vt:variant>
      <vt:variant>
        <vt:lpwstr/>
      </vt:variant>
      <vt:variant>
        <vt:lpwstr>_Toc132187087</vt:lpwstr>
      </vt:variant>
      <vt:variant>
        <vt:i4>1703995</vt:i4>
      </vt:variant>
      <vt:variant>
        <vt:i4>2</vt:i4>
      </vt:variant>
      <vt:variant>
        <vt:i4>0</vt:i4>
      </vt:variant>
      <vt:variant>
        <vt:i4>5</vt:i4>
      </vt:variant>
      <vt:variant>
        <vt:lpwstr/>
      </vt:variant>
      <vt:variant>
        <vt:lpwstr>_Toc132187086</vt:lpwstr>
      </vt:variant>
      <vt:variant>
        <vt:i4>4587605</vt:i4>
      </vt:variant>
      <vt:variant>
        <vt:i4>3</vt:i4>
      </vt:variant>
      <vt:variant>
        <vt:i4>0</vt:i4>
      </vt:variant>
      <vt:variant>
        <vt:i4>5</vt:i4>
      </vt:variant>
      <vt:variant>
        <vt:lpwstr>https://hrc.act.gov.au/act-intermediary-program/</vt:lpwstr>
      </vt:variant>
      <vt:variant>
        <vt:lpwstr/>
      </vt:variant>
      <vt:variant>
        <vt:i4>7864371</vt:i4>
      </vt:variant>
      <vt:variant>
        <vt:i4>0</vt:i4>
      </vt:variant>
      <vt:variant>
        <vt:i4>0</vt:i4>
      </vt:variant>
      <vt:variant>
        <vt:i4>5</vt:i4>
      </vt:variant>
      <vt:variant>
        <vt:lpwstr>https://www.sclqld.org.au/caselaw/QCA/2017/100</vt:lpwstr>
      </vt:variant>
      <vt:variant>
        <vt:lpwstr/>
      </vt:variant>
      <vt:variant>
        <vt:i4>5308424</vt:i4>
      </vt:variant>
      <vt:variant>
        <vt:i4>3</vt:i4>
      </vt:variant>
      <vt:variant>
        <vt:i4>0</vt:i4>
      </vt:variant>
      <vt:variant>
        <vt:i4>5</vt:i4>
      </vt:variant>
      <vt:variant>
        <vt:lpwstr>https://www.lawreform.vic.gov.au/publication/the-role-of-victims-of-crime-in-the-criminal-trial-process-report-2/3-the-victim-as-a-participant-in-the-criminal-trial-process/</vt:lpwstr>
      </vt:variant>
      <vt:variant>
        <vt:lpwstr>:~:text=Family%20members%E2%80%94particularly%20the%20families%20of%20victims%20who%20have,receive%20information%20and%20assistance%20in%20the%20recovery%20process.</vt:lpwstr>
      </vt:variant>
      <vt:variant>
        <vt:i4>7143545</vt:i4>
      </vt:variant>
      <vt:variant>
        <vt:i4>0</vt:i4>
      </vt:variant>
      <vt:variant>
        <vt:i4>0</vt:i4>
      </vt:variant>
      <vt:variant>
        <vt:i4>5</vt:i4>
      </vt:variant>
      <vt:variant>
        <vt:lpwstr>https://www.lawreform.vic.gov.au/publication/the-role-of-victims-of-crime-in-the-criminal-trial-process-report-2/3-the-victim-as-a-participant-in-the-criminal-trial-process/</vt:lpwstr>
      </vt:variant>
      <vt:variant>
        <vt:lpwstr>footnote-79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Sean Costello</dc:creator>
  <cp:keywords/>
  <dc:description/>
  <cp:lastModifiedBy>Rebekah Leong</cp:lastModifiedBy>
  <cp:revision>601</cp:revision>
  <cp:lastPrinted>2023-04-12T05:45:00Z</cp:lastPrinted>
  <dcterms:created xsi:type="dcterms:W3CDTF">2023-04-12T12:17:00Z</dcterms:created>
  <dcterms:modified xsi:type="dcterms:W3CDTF">2023-04-12T05:45:00Z</dcterms:modified>
</cp:coreProperties>
</file>