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lang w:val="en-AU"/>
        </w:rPr>
        <w:id w:val="2067608509"/>
        <w:docPartObj>
          <w:docPartGallery w:val="Cover Pages"/>
          <w:docPartUnique/>
        </w:docPartObj>
      </w:sdtPr>
      <w:sdtEndPr>
        <w:rPr>
          <w:rFonts w:asciiTheme="minorHAnsi" w:hAnsiTheme="minorHAnsi" w:cstheme="minorBidi"/>
          <w:bCs/>
          <w:sz w:val="28"/>
          <w:szCs w:val="28"/>
          <w:lang w:val="en-US"/>
        </w:rPr>
      </w:sdtEndPr>
      <w:sdtContent>
        <w:tbl>
          <w:tblPr>
            <w:tblW w:w="5000" w:type="pct"/>
            <w:jc w:val="center"/>
            <w:tblBorders>
              <w:bottom w:val="single" w:sz="4" w:space="0" w:color="auto"/>
            </w:tblBorders>
            <w:tblLook w:val="04A0" w:firstRow="1" w:lastRow="0" w:firstColumn="1" w:lastColumn="0" w:noHBand="0" w:noVBand="1"/>
          </w:tblPr>
          <w:tblGrid>
            <w:gridCol w:w="8498"/>
          </w:tblGrid>
          <w:tr w:rsidR="004A2375" w:rsidRPr="004C7C44" w14:paraId="5658453C" w14:textId="77777777" w:rsidTr="00260847">
            <w:trPr>
              <w:trHeight w:val="2506"/>
              <w:jc w:val="center"/>
            </w:trPr>
            <w:tc>
              <w:tcPr>
                <w:tcW w:w="5000" w:type="pct"/>
                <w:vAlign w:val="center"/>
              </w:tcPr>
              <w:p w14:paraId="2C1A33CD" w14:textId="77777777" w:rsidR="00260847" w:rsidRPr="004C7C44" w:rsidRDefault="00260847" w:rsidP="005A1988">
                <w:pPr>
                  <w:pStyle w:val="NoSpacing"/>
                  <w:widowControl w:val="0"/>
                  <w:spacing w:after="240"/>
                </w:pPr>
              </w:p>
              <w:p w14:paraId="0441FB1F" w14:textId="77777777" w:rsidR="00260847" w:rsidRPr="004C7C44" w:rsidRDefault="00260847" w:rsidP="005A1988">
                <w:pPr>
                  <w:pStyle w:val="NoSpacing"/>
                  <w:widowControl w:val="0"/>
                  <w:spacing w:after="240"/>
                </w:pPr>
              </w:p>
              <w:p w14:paraId="724B77DA" w14:textId="77777777" w:rsidR="00260847" w:rsidRPr="004C7C44" w:rsidRDefault="00260847" w:rsidP="005A1988">
                <w:pPr>
                  <w:pStyle w:val="NoSpacing"/>
                  <w:widowControl w:val="0"/>
                  <w:spacing w:after="240"/>
                </w:pPr>
              </w:p>
              <w:p w14:paraId="5441CAC0" w14:textId="77777777" w:rsidR="00260847" w:rsidRPr="004C7C44" w:rsidRDefault="00260847" w:rsidP="005A1988">
                <w:pPr>
                  <w:pStyle w:val="NoSpacing"/>
                  <w:widowControl w:val="0"/>
                  <w:spacing w:after="240"/>
                </w:pPr>
              </w:p>
              <w:p w14:paraId="7B0BF898" w14:textId="77777777" w:rsidR="00260847" w:rsidRPr="004C7C44" w:rsidRDefault="00260847" w:rsidP="005A1988">
                <w:pPr>
                  <w:pStyle w:val="NoSpacing"/>
                  <w:widowControl w:val="0"/>
                  <w:spacing w:after="240"/>
                </w:pPr>
              </w:p>
              <w:p w14:paraId="154CDF0D" w14:textId="77777777" w:rsidR="00260847" w:rsidRPr="004C7C44" w:rsidRDefault="00260847" w:rsidP="005A1988">
                <w:pPr>
                  <w:pStyle w:val="NoSpacing"/>
                  <w:widowControl w:val="0"/>
                  <w:spacing w:after="240"/>
                </w:pPr>
              </w:p>
              <w:p w14:paraId="4115A4B4" w14:textId="77777777" w:rsidR="00260847" w:rsidRPr="004C7C44" w:rsidRDefault="00260847" w:rsidP="005A1988">
                <w:pPr>
                  <w:pStyle w:val="NoSpacing"/>
                  <w:widowControl w:val="0"/>
                  <w:spacing w:after="240"/>
                </w:pPr>
                <w:r w:rsidRPr="004C7C44">
                  <w:rPr>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65C62F5" w14:textId="77777777" w:rsidR="00260847" w:rsidRPr="004C7C44" w:rsidRDefault="00260847" w:rsidP="005A1988">
                <w:pPr>
                  <w:pStyle w:val="NoSpacing"/>
                  <w:widowControl w:val="0"/>
                  <w:spacing w:after="240"/>
                </w:pPr>
              </w:p>
              <w:p w14:paraId="514D3B7A" w14:textId="77777777" w:rsidR="00260847" w:rsidRPr="004C7C44" w:rsidRDefault="00260847" w:rsidP="005A1988">
                <w:pPr>
                  <w:pStyle w:val="NoSpacing"/>
                  <w:widowControl w:val="0"/>
                  <w:spacing w:after="240"/>
                </w:pPr>
              </w:p>
              <w:p w14:paraId="1AEF9582" w14:textId="77777777" w:rsidR="00260847" w:rsidRPr="004C7C44" w:rsidRDefault="00260847" w:rsidP="005A1988">
                <w:pPr>
                  <w:pStyle w:val="NoSpacing"/>
                  <w:widowControl w:val="0"/>
                  <w:spacing w:after="240"/>
                </w:pPr>
              </w:p>
              <w:p w14:paraId="74475C10" w14:textId="77777777" w:rsidR="00260847" w:rsidRPr="004C7C44" w:rsidRDefault="00260847" w:rsidP="005A1988">
                <w:pPr>
                  <w:pStyle w:val="NoSpacing"/>
                  <w:widowControl w:val="0"/>
                  <w:spacing w:after="240"/>
                </w:pPr>
              </w:p>
              <w:bookmarkStart w:id="0" w:name="_Toc124495101" w:displacedByCustomXml="next"/>
              <w:bookmarkStart w:id="1" w:name="_Toc123717177" w:displacedByCustomXml="next"/>
              <w:bookmarkStart w:id="2" w:name="_Toc123717109" w:displacedByCustomXml="next"/>
              <w:sdt>
                <w:sdtPr>
                  <w:rPr>
                    <w:lang w:eastAsia="en-AU"/>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70A3C8B9" w14:textId="3FC7C34F" w:rsidR="004A2375" w:rsidRPr="004C7C44" w:rsidRDefault="008109D2" w:rsidP="005A1988">
                    <w:pPr>
                      <w:pStyle w:val="Heading1"/>
                      <w:rPr>
                        <w:rFonts w:asciiTheme="majorHAnsi" w:hAnsiTheme="majorHAnsi"/>
                      </w:rPr>
                    </w:pPr>
                    <w:r w:rsidRPr="004C7C44">
                      <w:rPr>
                        <w:lang w:eastAsia="en-AU"/>
                      </w:rPr>
                      <w:t>Police Powers and Responsibilities (Jack’s Law) Amendment Bill 2022</w:t>
                    </w:r>
                  </w:p>
                </w:sdtContent>
              </w:sdt>
              <w:bookmarkEnd w:id="0" w:displacedByCustomXml="prev"/>
              <w:bookmarkEnd w:id="1" w:displacedByCustomXml="prev"/>
              <w:bookmarkEnd w:id="2" w:displacedByCustomXml="prev"/>
            </w:tc>
          </w:tr>
        </w:tbl>
        <w:tbl>
          <w:tblPr>
            <w:tblpPr w:leftFromText="187" w:rightFromText="187" w:horzAnchor="margin" w:tblpXSpec="center" w:tblpYSpec="bottom"/>
            <w:tblW w:w="3857" w:type="pct"/>
            <w:tblLook w:val="04A0" w:firstRow="1" w:lastRow="0" w:firstColumn="1" w:lastColumn="0" w:noHBand="0" w:noVBand="1"/>
          </w:tblPr>
          <w:tblGrid>
            <w:gridCol w:w="6555"/>
          </w:tblGrid>
          <w:tr w:rsidR="00A16356" w:rsidRPr="004C7C44" w14:paraId="2411E64C" w14:textId="77777777" w:rsidTr="00260847">
            <w:tc>
              <w:tcPr>
                <w:tcW w:w="6407" w:type="dxa"/>
                <w:tcMar>
                  <w:top w:w="216" w:type="dxa"/>
                  <w:left w:w="115" w:type="dxa"/>
                  <w:bottom w:w="216" w:type="dxa"/>
                  <w:right w:w="115" w:type="dxa"/>
                </w:tcMar>
              </w:tcPr>
              <w:p w14:paraId="1364FB85" w14:textId="649E2C93" w:rsidR="00A16356" w:rsidRPr="004C7C44" w:rsidRDefault="00D8766A" w:rsidP="005A1988">
                <w:pPr>
                  <w:pStyle w:val="NoSpacing"/>
                  <w:widowControl w:val="0"/>
                  <w:spacing w:before="120" w:after="120"/>
                  <w:jc w:val="center"/>
                  <w:rPr>
                    <w:color w:val="4F81BD" w:themeColor="accent1"/>
                  </w:rPr>
                </w:pPr>
                <w:r>
                  <w:rPr>
                    <w:rFonts w:ascii="Arial" w:hAnsi="Arial" w:cs="Arial"/>
                    <w:bCs/>
                  </w:rPr>
                  <w:t>13</w:t>
                </w:r>
                <w:r w:rsidRPr="004C7C44">
                  <w:rPr>
                    <w:rFonts w:ascii="Arial" w:hAnsi="Arial" w:cs="Arial"/>
                    <w:bCs/>
                  </w:rPr>
                  <w:t xml:space="preserve"> </w:t>
                </w:r>
                <w:r w:rsidR="007101A7" w:rsidRPr="004C7C44">
                  <w:rPr>
                    <w:rFonts w:ascii="Arial" w:hAnsi="Arial" w:cs="Arial"/>
                    <w:bCs/>
                  </w:rPr>
                  <w:t>January 202</w:t>
                </w:r>
                <w:r w:rsidR="00CE532D">
                  <w:rPr>
                    <w:rFonts w:ascii="Arial" w:hAnsi="Arial" w:cs="Arial"/>
                    <w:bCs/>
                  </w:rPr>
                  <w:t>3</w:t>
                </w:r>
              </w:p>
            </w:tc>
          </w:tr>
        </w:tbl>
        <w:p w14:paraId="5DBCC84D" w14:textId="6D521ED2" w:rsidR="00260847" w:rsidRPr="00FA37FC" w:rsidRDefault="00260847" w:rsidP="005A1988">
          <w:pPr>
            <w:pStyle w:val="NoSpacing"/>
            <w:widowControl w:val="0"/>
            <w:spacing w:before="120" w:after="120"/>
            <w:rPr>
              <w:rFonts w:ascii="Arial" w:hAnsi="Arial" w:cs="Arial"/>
              <w:bCs/>
              <w:sz w:val="28"/>
              <w:szCs w:val="28"/>
            </w:rPr>
          </w:pPr>
          <w:r w:rsidRPr="00FA37FC">
            <w:rPr>
              <w:rFonts w:ascii="Arial" w:hAnsi="Arial" w:cs="Arial"/>
              <w:bCs/>
              <w:sz w:val="28"/>
              <w:szCs w:val="28"/>
            </w:rPr>
            <w:t xml:space="preserve">Submission to </w:t>
          </w:r>
          <w:r w:rsidR="008109D2" w:rsidRPr="00FA37FC">
            <w:rPr>
              <w:rFonts w:ascii="Arial" w:hAnsi="Arial" w:cs="Arial"/>
              <w:bCs/>
              <w:sz w:val="28"/>
              <w:szCs w:val="28"/>
            </w:rPr>
            <w:t>Community Support and Services Committee</w:t>
          </w:r>
        </w:p>
      </w:sdtContent>
    </w:sdt>
    <w:p w14:paraId="3B348709" w14:textId="77777777" w:rsidR="00293C9F" w:rsidRPr="004C7C44" w:rsidRDefault="00293C9F" w:rsidP="005A1988">
      <w:pPr>
        <w:widowControl w:val="0"/>
        <w:rPr>
          <w:rFonts w:ascii="Arial" w:eastAsiaTheme="majorEastAsia" w:hAnsi="Arial" w:cstheme="majorBidi"/>
          <w:color w:val="004270"/>
          <w:sz w:val="22"/>
          <w:szCs w:val="22"/>
        </w:rPr>
      </w:pPr>
      <w:r w:rsidRPr="004C7C44">
        <w:rPr>
          <w:sz w:val="22"/>
          <w:szCs w:val="22"/>
        </w:rPr>
        <w:br w:type="page"/>
      </w:r>
    </w:p>
    <w:p w14:paraId="585EECC2" w14:textId="3826C23D" w:rsidR="000A5313" w:rsidRPr="00C203C3" w:rsidRDefault="000A5313" w:rsidP="00C203C3">
      <w:pPr>
        <w:pStyle w:val="TOCHeading"/>
      </w:pPr>
      <w:bookmarkStart w:id="3" w:name="_Toc123717178"/>
      <w:r w:rsidRPr="00C203C3">
        <w:lastRenderedPageBreak/>
        <w:t>Table of Contents</w:t>
      </w:r>
      <w:bookmarkEnd w:id="3"/>
    </w:p>
    <w:p w14:paraId="611F98ED" w14:textId="002920AC" w:rsidR="00EF65B5" w:rsidRDefault="006F4194">
      <w:pPr>
        <w:pStyle w:val="TOC1"/>
        <w:tabs>
          <w:tab w:val="right" w:leader="dot" w:pos="8488"/>
        </w:tabs>
        <w:rPr>
          <w:rFonts w:asciiTheme="minorHAnsi" w:hAnsiTheme="minorHAnsi"/>
          <w:noProof/>
          <w:sz w:val="22"/>
          <w:szCs w:val="22"/>
          <w:lang w:eastAsia="en-AU"/>
        </w:rPr>
      </w:pPr>
      <w:r>
        <w:fldChar w:fldCharType="begin"/>
      </w:r>
      <w:r>
        <w:instrText xml:space="preserve"> TOC \o "1-2" \h \z \u </w:instrText>
      </w:r>
      <w:r>
        <w:fldChar w:fldCharType="separate"/>
      </w:r>
      <w:hyperlink w:anchor="_Toc124495102" w:history="1">
        <w:r w:rsidR="00EF65B5" w:rsidRPr="0088006A">
          <w:rPr>
            <w:rStyle w:val="Hyperlink"/>
            <w:noProof/>
          </w:rPr>
          <w:t>Introduction</w:t>
        </w:r>
        <w:r w:rsidR="00EF65B5">
          <w:rPr>
            <w:noProof/>
            <w:webHidden/>
          </w:rPr>
          <w:tab/>
        </w:r>
        <w:r w:rsidR="00EF65B5">
          <w:rPr>
            <w:noProof/>
            <w:webHidden/>
          </w:rPr>
          <w:fldChar w:fldCharType="begin"/>
        </w:r>
        <w:r w:rsidR="00EF65B5">
          <w:rPr>
            <w:noProof/>
            <w:webHidden/>
          </w:rPr>
          <w:instrText xml:space="preserve"> PAGEREF _Toc124495102 \h </w:instrText>
        </w:r>
        <w:r w:rsidR="00EF65B5">
          <w:rPr>
            <w:noProof/>
            <w:webHidden/>
          </w:rPr>
        </w:r>
        <w:r w:rsidR="00EF65B5">
          <w:rPr>
            <w:noProof/>
            <w:webHidden/>
          </w:rPr>
          <w:fldChar w:fldCharType="separate"/>
        </w:r>
        <w:r w:rsidR="00076239">
          <w:rPr>
            <w:noProof/>
            <w:webHidden/>
          </w:rPr>
          <w:t>3</w:t>
        </w:r>
        <w:r w:rsidR="00EF65B5">
          <w:rPr>
            <w:noProof/>
            <w:webHidden/>
          </w:rPr>
          <w:fldChar w:fldCharType="end"/>
        </w:r>
      </w:hyperlink>
    </w:p>
    <w:p w14:paraId="143AA560" w14:textId="274812E7" w:rsidR="00EF65B5" w:rsidRDefault="00EB3738">
      <w:pPr>
        <w:pStyle w:val="TOC1"/>
        <w:tabs>
          <w:tab w:val="right" w:leader="dot" w:pos="8488"/>
        </w:tabs>
        <w:rPr>
          <w:rFonts w:asciiTheme="minorHAnsi" w:hAnsiTheme="minorHAnsi"/>
          <w:noProof/>
          <w:sz w:val="22"/>
          <w:szCs w:val="22"/>
          <w:lang w:eastAsia="en-AU"/>
        </w:rPr>
      </w:pPr>
      <w:hyperlink w:anchor="_Toc124495103" w:history="1">
        <w:r w:rsidR="00EF65B5" w:rsidRPr="0088006A">
          <w:rPr>
            <w:rStyle w:val="Hyperlink"/>
            <w:noProof/>
            <w:lang w:eastAsia="en-AU"/>
          </w:rPr>
          <w:t>Application of Human Rights Act</w:t>
        </w:r>
        <w:r w:rsidR="00EF65B5">
          <w:rPr>
            <w:noProof/>
            <w:webHidden/>
          </w:rPr>
          <w:tab/>
        </w:r>
        <w:r w:rsidR="00EF65B5">
          <w:rPr>
            <w:noProof/>
            <w:webHidden/>
          </w:rPr>
          <w:fldChar w:fldCharType="begin"/>
        </w:r>
        <w:r w:rsidR="00EF65B5">
          <w:rPr>
            <w:noProof/>
            <w:webHidden/>
          </w:rPr>
          <w:instrText xml:space="preserve"> PAGEREF _Toc124495103 \h </w:instrText>
        </w:r>
        <w:r w:rsidR="00EF65B5">
          <w:rPr>
            <w:noProof/>
            <w:webHidden/>
          </w:rPr>
        </w:r>
        <w:r w:rsidR="00EF65B5">
          <w:rPr>
            <w:noProof/>
            <w:webHidden/>
          </w:rPr>
          <w:fldChar w:fldCharType="separate"/>
        </w:r>
        <w:r w:rsidR="00076239">
          <w:rPr>
            <w:noProof/>
            <w:webHidden/>
          </w:rPr>
          <w:t>3</w:t>
        </w:r>
        <w:r w:rsidR="00EF65B5">
          <w:rPr>
            <w:noProof/>
            <w:webHidden/>
          </w:rPr>
          <w:fldChar w:fldCharType="end"/>
        </w:r>
      </w:hyperlink>
    </w:p>
    <w:p w14:paraId="28E70F38" w14:textId="7D017A0C" w:rsidR="00EF65B5" w:rsidRDefault="00EB3738">
      <w:pPr>
        <w:pStyle w:val="TOC1"/>
        <w:tabs>
          <w:tab w:val="right" w:leader="dot" w:pos="8488"/>
        </w:tabs>
        <w:rPr>
          <w:rFonts w:asciiTheme="minorHAnsi" w:hAnsiTheme="minorHAnsi"/>
          <w:noProof/>
          <w:sz w:val="22"/>
          <w:szCs w:val="22"/>
          <w:lang w:eastAsia="en-AU"/>
        </w:rPr>
      </w:pPr>
      <w:hyperlink w:anchor="_Toc124495104" w:history="1">
        <w:r w:rsidR="00EF65B5" w:rsidRPr="0088006A">
          <w:rPr>
            <w:rStyle w:val="Hyperlink"/>
            <w:noProof/>
          </w:rPr>
          <w:t>Power to search</w:t>
        </w:r>
        <w:r w:rsidR="00EF65B5">
          <w:rPr>
            <w:noProof/>
            <w:webHidden/>
          </w:rPr>
          <w:tab/>
        </w:r>
        <w:r w:rsidR="00EF65B5">
          <w:rPr>
            <w:noProof/>
            <w:webHidden/>
          </w:rPr>
          <w:fldChar w:fldCharType="begin"/>
        </w:r>
        <w:r w:rsidR="00EF65B5">
          <w:rPr>
            <w:noProof/>
            <w:webHidden/>
          </w:rPr>
          <w:instrText xml:space="preserve"> PAGEREF _Toc124495104 \h </w:instrText>
        </w:r>
        <w:r w:rsidR="00EF65B5">
          <w:rPr>
            <w:noProof/>
            <w:webHidden/>
          </w:rPr>
        </w:r>
        <w:r w:rsidR="00EF65B5">
          <w:rPr>
            <w:noProof/>
            <w:webHidden/>
          </w:rPr>
          <w:fldChar w:fldCharType="separate"/>
        </w:r>
        <w:r w:rsidR="00076239">
          <w:rPr>
            <w:noProof/>
            <w:webHidden/>
          </w:rPr>
          <w:t>4</w:t>
        </w:r>
        <w:r w:rsidR="00EF65B5">
          <w:rPr>
            <w:noProof/>
            <w:webHidden/>
          </w:rPr>
          <w:fldChar w:fldCharType="end"/>
        </w:r>
      </w:hyperlink>
    </w:p>
    <w:p w14:paraId="433FABCA" w14:textId="667AFB3F" w:rsidR="00EF65B5" w:rsidRDefault="00EB3738">
      <w:pPr>
        <w:pStyle w:val="TOC1"/>
        <w:tabs>
          <w:tab w:val="right" w:leader="dot" w:pos="8488"/>
        </w:tabs>
        <w:rPr>
          <w:rFonts w:asciiTheme="minorHAnsi" w:hAnsiTheme="minorHAnsi"/>
          <w:noProof/>
          <w:sz w:val="22"/>
          <w:szCs w:val="22"/>
          <w:lang w:eastAsia="en-AU"/>
        </w:rPr>
      </w:pPr>
      <w:hyperlink w:anchor="_Toc124495105" w:history="1">
        <w:r w:rsidR="00EF65B5" w:rsidRPr="0088006A">
          <w:rPr>
            <w:rStyle w:val="Hyperlink"/>
            <w:noProof/>
          </w:rPr>
          <w:t>Griffith review</w:t>
        </w:r>
        <w:r w:rsidR="00EF65B5">
          <w:rPr>
            <w:noProof/>
            <w:webHidden/>
          </w:rPr>
          <w:tab/>
        </w:r>
        <w:r w:rsidR="00EF65B5">
          <w:rPr>
            <w:noProof/>
            <w:webHidden/>
          </w:rPr>
          <w:fldChar w:fldCharType="begin"/>
        </w:r>
        <w:r w:rsidR="00EF65B5">
          <w:rPr>
            <w:noProof/>
            <w:webHidden/>
          </w:rPr>
          <w:instrText xml:space="preserve"> PAGEREF _Toc124495105 \h </w:instrText>
        </w:r>
        <w:r w:rsidR="00EF65B5">
          <w:rPr>
            <w:noProof/>
            <w:webHidden/>
          </w:rPr>
        </w:r>
        <w:r w:rsidR="00EF65B5">
          <w:rPr>
            <w:noProof/>
            <w:webHidden/>
          </w:rPr>
          <w:fldChar w:fldCharType="separate"/>
        </w:r>
        <w:r w:rsidR="00076239">
          <w:rPr>
            <w:noProof/>
            <w:webHidden/>
          </w:rPr>
          <w:t>5</w:t>
        </w:r>
        <w:r w:rsidR="00EF65B5">
          <w:rPr>
            <w:noProof/>
            <w:webHidden/>
          </w:rPr>
          <w:fldChar w:fldCharType="end"/>
        </w:r>
      </w:hyperlink>
    </w:p>
    <w:p w14:paraId="7CAE330E" w14:textId="494978AA" w:rsidR="00EF65B5" w:rsidRDefault="00EB3738">
      <w:pPr>
        <w:pStyle w:val="TOC1"/>
        <w:tabs>
          <w:tab w:val="right" w:leader="dot" w:pos="8488"/>
        </w:tabs>
        <w:rPr>
          <w:rFonts w:asciiTheme="minorHAnsi" w:hAnsiTheme="minorHAnsi"/>
          <w:noProof/>
          <w:sz w:val="22"/>
          <w:szCs w:val="22"/>
          <w:lang w:eastAsia="en-AU"/>
        </w:rPr>
      </w:pPr>
      <w:hyperlink w:anchor="_Toc124495106" w:history="1">
        <w:r w:rsidR="00EF65B5" w:rsidRPr="0088006A">
          <w:rPr>
            <w:rStyle w:val="Hyperlink"/>
            <w:noProof/>
          </w:rPr>
          <w:t>Further evaluation necessary</w:t>
        </w:r>
        <w:r w:rsidR="00EF65B5">
          <w:rPr>
            <w:noProof/>
            <w:webHidden/>
          </w:rPr>
          <w:tab/>
        </w:r>
        <w:r w:rsidR="00EF65B5">
          <w:rPr>
            <w:noProof/>
            <w:webHidden/>
          </w:rPr>
          <w:fldChar w:fldCharType="begin"/>
        </w:r>
        <w:r w:rsidR="00EF65B5">
          <w:rPr>
            <w:noProof/>
            <w:webHidden/>
          </w:rPr>
          <w:instrText xml:space="preserve"> PAGEREF _Toc124495106 \h </w:instrText>
        </w:r>
        <w:r w:rsidR="00EF65B5">
          <w:rPr>
            <w:noProof/>
            <w:webHidden/>
          </w:rPr>
        </w:r>
        <w:r w:rsidR="00EF65B5">
          <w:rPr>
            <w:noProof/>
            <w:webHidden/>
          </w:rPr>
          <w:fldChar w:fldCharType="separate"/>
        </w:r>
        <w:r w:rsidR="00076239">
          <w:rPr>
            <w:noProof/>
            <w:webHidden/>
          </w:rPr>
          <w:t>7</w:t>
        </w:r>
        <w:r w:rsidR="00EF65B5">
          <w:rPr>
            <w:noProof/>
            <w:webHidden/>
          </w:rPr>
          <w:fldChar w:fldCharType="end"/>
        </w:r>
      </w:hyperlink>
    </w:p>
    <w:p w14:paraId="0BA1BAFD" w14:textId="41E995A6" w:rsidR="000A5313" w:rsidRDefault="006F4194" w:rsidP="005A1988">
      <w:pPr>
        <w:pStyle w:val="Heading1"/>
      </w:pPr>
      <w:r>
        <w:fldChar w:fldCharType="end"/>
      </w:r>
    </w:p>
    <w:p w14:paraId="4E19BAA3" w14:textId="77777777" w:rsidR="000A5313" w:rsidRDefault="000A5313">
      <w:pPr>
        <w:rPr>
          <w:rFonts w:ascii="Arial" w:eastAsiaTheme="majorEastAsia" w:hAnsi="Arial" w:cstheme="majorBidi"/>
          <w:color w:val="004270"/>
          <w:sz w:val="48"/>
          <w:szCs w:val="32"/>
        </w:rPr>
      </w:pPr>
      <w:r>
        <w:br w:type="page"/>
      </w:r>
    </w:p>
    <w:p w14:paraId="437594CF" w14:textId="568F2F63" w:rsidR="008109D2" w:rsidRPr="004C7C44" w:rsidRDefault="008109D2" w:rsidP="005A1988">
      <w:pPr>
        <w:pStyle w:val="Heading1"/>
      </w:pPr>
      <w:bookmarkStart w:id="4" w:name="_Toc124495102"/>
      <w:r w:rsidRPr="005A1988">
        <w:lastRenderedPageBreak/>
        <w:t>Introduction</w:t>
      </w:r>
      <w:bookmarkEnd w:id="4"/>
    </w:p>
    <w:p w14:paraId="671D93EE" w14:textId="5BE7EDC5" w:rsidR="008109D2" w:rsidRPr="00D252DD" w:rsidRDefault="008109D2" w:rsidP="005A1988">
      <w:pPr>
        <w:pStyle w:val="Numberedparagraph"/>
        <w:widowControl w:val="0"/>
        <w:rPr>
          <w:szCs w:val="22"/>
        </w:rPr>
      </w:pPr>
      <w:r w:rsidRPr="00D252DD">
        <w:rPr>
          <w:szCs w:val="22"/>
        </w:rPr>
        <w:t>Thank you for the opportunity to comment on the Police Powers and Responsibilities (Jack’s Law) Amendment Bill 2022 (</w:t>
      </w:r>
      <w:r w:rsidRPr="00D252DD">
        <w:rPr>
          <w:b/>
          <w:bCs/>
          <w:szCs w:val="22"/>
        </w:rPr>
        <w:t>the Bill</w:t>
      </w:r>
      <w:r w:rsidRPr="00D252DD">
        <w:rPr>
          <w:szCs w:val="22"/>
        </w:rPr>
        <w:t xml:space="preserve">). </w:t>
      </w:r>
    </w:p>
    <w:p w14:paraId="50D7A53E" w14:textId="14D95E2D" w:rsidR="00093A57" w:rsidRPr="00D252DD" w:rsidRDefault="00093A57" w:rsidP="005A1988">
      <w:pPr>
        <w:pStyle w:val="Numberedparagraph"/>
        <w:widowControl w:val="0"/>
        <w:rPr>
          <w:szCs w:val="22"/>
        </w:rPr>
      </w:pPr>
      <w:r w:rsidRPr="00D252DD">
        <w:rPr>
          <w:szCs w:val="22"/>
        </w:rPr>
        <w:t>The</w:t>
      </w:r>
      <w:r w:rsidR="000F679F" w:rsidRPr="00D252DD">
        <w:rPr>
          <w:szCs w:val="22"/>
        </w:rPr>
        <w:t xml:space="preserve"> Queensland Human Rights</w:t>
      </w:r>
      <w:r w:rsidRPr="00D252DD">
        <w:rPr>
          <w:szCs w:val="22"/>
        </w:rPr>
        <w:t xml:space="preserve"> Commission</w:t>
      </w:r>
      <w:r w:rsidR="00233E96">
        <w:rPr>
          <w:szCs w:val="22"/>
        </w:rPr>
        <w:t xml:space="preserve"> (the </w:t>
      </w:r>
      <w:r w:rsidR="00233E96">
        <w:rPr>
          <w:b/>
          <w:bCs/>
          <w:szCs w:val="22"/>
        </w:rPr>
        <w:t>Commission</w:t>
      </w:r>
      <w:r w:rsidR="00233E96">
        <w:rPr>
          <w:szCs w:val="22"/>
        </w:rPr>
        <w:t>)</w:t>
      </w:r>
      <w:r w:rsidRPr="00D252DD">
        <w:rPr>
          <w:szCs w:val="22"/>
        </w:rPr>
        <w:t xml:space="preserve"> is a statutory </w:t>
      </w:r>
      <w:r w:rsidR="00415E13">
        <w:rPr>
          <w:szCs w:val="22"/>
        </w:rPr>
        <w:t>body</w:t>
      </w:r>
      <w:r w:rsidR="00415E13" w:rsidRPr="00D252DD">
        <w:rPr>
          <w:szCs w:val="22"/>
        </w:rPr>
        <w:t xml:space="preserve"> </w:t>
      </w:r>
      <w:r w:rsidRPr="00D252DD">
        <w:rPr>
          <w:szCs w:val="22"/>
        </w:rPr>
        <w:t xml:space="preserve">established under the Queensland </w:t>
      </w:r>
      <w:r w:rsidRPr="00D252DD">
        <w:rPr>
          <w:i/>
          <w:szCs w:val="22"/>
        </w:rPr>
        <w:t>Anti-Discrimination Act 1991</w:t>
      </w:r>
      <w:r w:rsidR="00B45844" w:rsidRPr="00D252DD">
        <w:rPr>
          <w:i/>
          <w:szCs w:val="22"/>
        </w:rPr>
        <w:t xml:space="preserve"> </w:t>
      </w:r>
      <w:r w:rsidR="00B45844" w:rsidRPr="00D252DD">
        <w:rPr>
          <w:szCs w:val="22"/>
        </w:rPr>
        <w:t>(</w:t>
      </w:r>
      <w:r w:rsidR="00B45844" w:rsidRPr="00D252DD">
        <w:rPr>
          <w:b/>
          <w:szCs w:val="22"/>
        </w:rPr>
        <w:t>AD Act</w:t>
      </w:r>
      <w:r w:rsidR="00B45844" w:rsidRPr="00D252DD">
        <w:rPr>
          <w:szCs w:val="22"/>
        </w:rPr>
        <w:t>)</w:t>
      </w:r>
      <w:r w:rsidRPr="00D252DD">
        <w:rPr>
          <w:i/>
          <w:szCs w:val="22"/>
        </w:rPr>
        <w:t>.</w:t>
      </w:r>
    </w:p>
    <w:p w14:paraId="7BEB0FE4" w14:textId="43B02CA1" w:rsidR="00093A57" w:rsidRPr="00D252DD" w:rsidRDefault="00093A57" w:rsidP="005A1988">
      <w:pPr>
        <w:pStyle w:val="Numberedparagraph"/>
        <w:widowControl w:val="0"/>
        <w:rPr>
          <w:szCs w:val="22"/>
        </w:rPr>
      </w:pPr>
      <w:r w:rsidRPr="00D252DD">
        <w:rPr>
          <w:szCs w:val="22"/>
        </w:rPr>
        <w:t xml:space="preserve">The Commission has functions under the </w:t>
      </w:r>
      <w:r w:rsidR="00B45844" w:rsidRPr="00D252DD">
        <w:rPr>
          <w:szCs w:val="22"/>
        </w:rPr>
        <w:t xml:space="preserve">AD Act </w:t>
      </w:r>
      <w:r w:rsidRPr="00D252DD">
        <w:rPr>
          <w:szCs w:val="22"/>
        </w:rPr>
        <w:t>and the</w:t>
      </w:r>
      <w:r w:rsidR="00761527">
        <w:rPr>
          <w:szCs w:val="22"/>
        </w:rPr>
        <w:t xml:space="preserve"> Queensland </w:t>
      </w:r>
      <w:r w:rsidRPr="00D252DD">
        <w:rPr>
          <w:i/>
          <w:szCs w:val="22"/>
        </w:rPr>
        <w:t>Human Rights Act 2019</w:t>
      </w:r>
      <w:r w:rsidR="00B45844" w:rsidRPr="00D252DD">
        <w:rPr>
          <w:i/>
          <w:szCs w:val="22"/>
        </w:rPr>
        <w:t xml:space="preserve"> </w:t>
      </w:r>
      <w:r w:rsidR="00B45844" w:rsidRPr="00D252DD">
        <w:rPr>
          <w:szCs w:val="22"/>
        </w:rPr>
        <w:t>(</w:t>
      </w:r>
      <w:r w:rsidR="00B45844" w:rsidRPr="00D252DD">
        <w:rPr>
          <w:b/>
          <w:szCs w:val="22"/>
        </w:rPr>
        <w:t>HR Act</w:t>
      </w:r>
      <w:r w:rsidR="00B45844" w:rsidRPr="00D252DD">
        <w:rPr>
          <w:szCs w:val="22"/>
        </w:rPr>
        <w:t>)</w:t>
      </w:r>
      <w:r w:rsidRPr="00D252DD">
        <w:rPr>
          <w:i/>
          <w:szCs w:val="22"/>
        </w:rPr>
        <w:t xml:space="preserve"> </w:t>
      </w:r>
      <w:r w:rsidRPr="00D252DD">
        <w:rPr>
          <w:szCs w:val="22"/>
        </w:rPr>
        <w:t xml:space="preserve">to promote an understanding and public discussion of human rights in Queensland, and to provide information and education about human rights.  </w:t>
      </w:r>
    </w:p>
    <w:p w14:paraId="42CB0707" w14:textId="6A0D98A6" w:rsidR="00093A57" w:rsidRPr="00D252DD" w:rsidRDefault="00093A57" w:rsidP="005A1988">
      <w:pPr>
        <w:pStyle w:val="Numberedparagraph"/>
        <w:widowControl w:val="0"/>
        <w:rPr>
          <w:szCs w:val="22"/>
          <w:lang w:eastAsia="en-AU"/>
        </w:rPr>
      </w:pPr>
      <w:r w:rsidRPr="00D252DD">
        <w:rPr>
          <w:color w:val="000000"/>
          <w:szCs w:val="22"/>
        </w:rPr>
        <w:t xml:space="preserve">The Commission also deals with complaints of discrimination, </w:t>
      </w:r>
      <w:r w:rsidR="00D8766A">
        <w:rPr>
          <w:color w:val="000000"/>
          <w:szCs w:val="22"/>
        </w:rPr>
        <w:t xml:space="preserve">sexual harassment, </w:t>
      </w:r>
      <w:r w:rsidRPr="00D252DD">
        <w:rPr>
          <w:color w:val="000000"/>
          <w:szCs w:val="22"/>
        </w:rPr>
        <w:t>vilification</w:t>
      </w:r>
      <w:r w:rsidR="00761527">
        <w:rPr>
          <w:color w:val="000000"/>
          <w:szCs w:val="22"/>
        </w:rPr>
        <w:t>,</w:t>
      </w:r>
      <w:r w:rsidRPr="00D252DD">
        <w:rPr>
          <w:color w:val="000000"/>
          <w:szCs w:val="22"/>
        </w:rPr>
        <w:t xml:space="preserve"> and other objectionable conduct under the </w:t>
      </w:r>
      <w:r w:rsidR="00B45844" w:rsidRPr="00D252DD">
        <w:rPr>
          <w:szCs w:val="22"/>
        </w:rPr>
        <w:t>AD Act</w:t>
      </w:r>
      <w:r w:rsidR="005A1988" w:rsidRPr="00D252DD">
        <w:rPr>
          <w:i/>
          <w:szCs w:val="22"/>
        </w:rPr>
        <w:t>.</w:t>
      </w:r>
    </w:p>
    <w:p w14:paraId="12986C87" w14:textId="4B4431C4" w:rsidR="005A1988" w:rsidRPr="003176DB" w:rsidRDefault="005A1988" w:rsidP="003176DB">
      <w:pPr>
        <w:pStyle w:val="Numberedparagraph"/>
        <w:widowControl w:val="0"/>
        <w:rPr>
          <w:szCs w:val="22"/>
          <w:lang w:eastAsia="en-AU"/>
        </w:rPr>
      </w:pPr>
      <w:r w:rsidRPr="00D252DD">
        <w:rPr>
          <w:iCs/>
          <w:szCs w:val="22"/>
        </w:rPr>
        <w:t>T</w:t>
      </w:r>
      <w:r w:rsidR="00AD3245" w:rsidRPr="00D252DD">
        <w:rPr>
          <w:iCs/>
          <w:szCs w:val="22"/>
        </w:rPr>
        <w:t xml:space="preserve">he Commission </w:t>
      </w:r>
      <w:r w:rsidRPr="00D252DD">
        <w:rPr>
          <w:iCs/>
          <w:szCs w:val="22"/>
        </w:rPr>
        <w:t>support</w:t>
      </w:r>
      <w:r w:rsidR="002E3C99">
        <w:rPr>
          <w:iCs/>
          <w:szCs w:val="22"/>
        </w:rPr>
        <w:t>s</w:t>
      </w:r>
      <w:r w:rsidRPr="00D252DD">
        <w:rPr>
          <w:iCs/>
          <w:szCs w:val="22"/>
        </w:rPr>
        <w:t xml:space="preserve"> the Bill’s purpose</w:t>
      </w:r>
      <w:r w:rsidR="00AD3245" w:rsidRPr="00D252DD">
        <w:rPr>
          <w:iCs/>
          <w:szCs w:val="22"/>
        </w:rPr>
        <w:t xml:space="preserve"> </w:t>
      </w:r>
      <w:r w:rsidRPr="00D252DD">
        <w:rPr>
          <w:iCs/>
          <w:szCs w:val="22"/>
        </w:rPr>
        <w:t>of</w:t>
      </w:r>
      <w:r w:rsidR="00AD3245" w:rsidRPr="00D252DD">
        <w:rPr>
          <w:iCs/>
          <w:szCs w:val="22"/>
        </w:rPr>
        <w:t xml:space="preserve"> improv</w:t>
      </w:r>
      <w:r w:rsidRPr="00D252DD">
        <w:rPr>
          <w:iCs/>
          <w:szCs w:val="22"/>
        </w:rPr>
        <w:t>ing</w:t>
      </w:r>
      <w:r w:rsidR="00AD3245" w:rsidRPr="00D252DD">
        <w:rPr>
          <w:iCs/>
          <w:szCs w:val="22"/>
        </w:rPr>
        <w:t xml:space="preserve"> community safety and </w:t>
      </w:r>
      <w:r w:rsidR="00D8766A">
        <w:rPr>
          <w:iCs/>
          <w:szCs w:val="22"/>
        </w:rPr>
        <w:t>crime prevention</w:t>
      </w:r>
      <w:r w:rsidR="009149BD">
        <w:rPr>
          <w:iCs/>
          <w:szCs w:val="22"/>
        </w:rPr>
        <w:t xml:space="preserve">, but </w:t>
      </w:r>
      <w:r w:rsidR="003176DB">
        <w:rPr>
          <w:iCs/>
          <w:szCs w:val="22"/>
        </w:rPr>
        <w:t>suggests</w:t>
      </w:r>
      <w:r w:rsidR="006F4194">
        <w:rPr>
          <w:b/>
          <w:bCs/>
          <w:iCs/>
          <w:szCs w:val="22"/>
        </w:rPr>
        <w:t xml:space="preserve"> </w:t>
      </w:r>
      <w:r w:rsidR="006F4194">
        <w:rPr>
          <w:iCs/>
          <w:szCs w:val="22"/>
        </w:rPr>
        <w:t>that the Committee</w:t>
      </w:r>
      <w:r w:rsidR="003176DB">
        <w:rPr>
          <w:iCs/>
          <w:szCs w:val="22"/>
        </w:rPr>
        <w:t xml:space="preserve"> recommend</w:t>
      </w:r>
      <w:r w:rsidR="00343C5F" w:rsidRPr="003176DB">
        <w:rPr>
          <w:iCs/>
          <w:szCs w:val="22"/>
        </w:rPr>
        <w:t xml:space="preserve"> </w:t>
      </w:r>
      <w:r w:rsidR="006F4194" w:rsidRPr="003176DB">
        <w:rPr>
          <w:iCs/>
          <w:szCs w:val="22"/>
        </w:rPr>
        <w:t>the government commit to an independent review to evaluate if the Bill’s purpose has been achieved</w:t>
      </w:r>
      <w:r w:rsidRPr="003176DB">
        <w:rPr>
          <w:iCs/>
          <w:szCs w:val="22"/>
        </w:rPr>
        <w:t xml:space="preserve">. </w:t>
      </w:r>
    </w:p>
    <w:p w14:paraId="0108204F" w14:textId="3BAC885C" w:rsidR="008109D2" w:rsidRPr="005A1988" w:rsidRDefault="002638E3" w:rsidP="005A1988">
      <w:pPr>
        <w:pStyle w:val="Heading1"/>
        <w:rPr>
          <w:lang w:eastAsia="en-AU"/>
        </w:rPr>
      </w:pPr>
      <w:bookmarkStart w:id="5" w:name="_Toc124495103"/>
      <w:r>
        <w:rPr>
          <w:lang w:eastAsia="en-AU"/>
        </w:rPr>
        <w:t>Application of Human Rights</w:t>
      </w:r>
      <w:r w:rsidR="00583314">
        <w:rPr>
          <w:lang w:eastAsia="en-AU"/>
        </w:rPr>
        <w:t xml:space="preserve"> Act</w:t>
      </w:r>
      <w:bookmarkEnd w:id="5"/>
    </w:p>
    <w:p w14:paraId="5BEDC08D" w14:textId="34607F7A" w:rsidR="009625DA" w:rsidRPr="000A5313" w:rsidRDefault="000F679F" w:rsidP="000A5313">
      <w:pPr>
        <w:pStyle w:val="Numberedparagraph"/>
      </w:pPr>
      <w:r w:rsidRPr="000A5313">
        <w:t xml:space="preserve">The </w:t>
      </w:r>
      <w:r w:rsidR="009B1373" w:rsidRPr="000A5313">
        <w:t>primary purpose of the Bill is to</w:t>
      </w:r>
      <w:r w:rsidR="003D0B75">
        <w:t xml:space="preserve"> amend the relevant provisions </w:t>
      </w:r>
      <w:r w:rsidR="00715DEB">
        <w:t xml:space="preserve">of the Act </w:t>
      </w:r>
      <w:r w:rsidR="003D0B75">
        <w:t>in order to</w:t>
      </w:r>
      <w:r w:rsidR="009B1373" w:rsidRPr="000A5313">
        <w:t xml:space="preserve"> extend and expand the trial of </w:t>
      </w:r>
      <w:proofErr w:type="gramStart"/>
      <w:r w:rsidR="009B1373" w:rsidRPr="000A5313">
        <w:t>hand held</w:t>
      </w:r>
      <w:proofErr w:type="gramEnd"/>
      <w:r w:rsidR="009B1373" w:rsidRPr="000A5313">
        <w:t xml:space="preserve"> scanner</w:t>
      </w:r>
      <w:r w:rsidR="003D0B75">
        <w:t>s</w:t>
      </w:r>
      <w:r w:rsidR="009B1373" w:rsidRPr="000A5313">
        <w:t xml:space="preserve"> </w:t>
      </w:r>
      <w:r w:rsidR="00544C2D">
        <w:t xml:space="preserve">currently </w:t>
      </w:r>
      <w:r w:rsidR="003D0B75">
        <w:t xml:space="preserve">used </w:t>
      </w:r>
      <w:r w:rsidR="009B1373" w:rsidRPr="000A5313">
        <w:t xml:space="preserve">to detect unlawfully possessed knives to locations beyond the current </w:t>
      </w:r>
      <w:r w:rsidR="00715DEB">
        <w:t xml:space="preserve">prescribed areas of </w:t>
      </w:r>
      <w:r w:rsidR="009B1373" w:rsidRPr="000A5313">
        <w:t>Surfers Paradise and Broadbeach safe night precincts.</w:t>
      </w:r>
      <w:r w:rsidR="009625DA" w:rsidRPr="000A5313">
        <w:t xml:space="preserve"> The changes include extending the trial to </w:t>
      </w:r>
      <w:r w:rsidR="00715DEB">
        <w:t>include</w:t>
      </w:r>
      <w:r w:rsidR="00715DEB" w:rsidRPr="000A5313">
        <w:t xml:space="preserve"> </w:t>
      </w:r>
      <w:r w:rsidR="009625DA" w:rsidRPr="000A5313">
        <w:t>public transport stations and vehicles.</w:t>
      </w:r>
      <w:r w:rsidR="009B1373" w:rsidRPr="000A5313">
        <w:t xml:space="preserve"> The Bill would extend the expiry date of the scanning provisions to 30 April 2025. </w:t>
      </w:r>
    </w:p>
    <w:p w14:paraId="568AA316" w14:textId="741F9A4E" w:rsidR="009B1373" w:rsidRPr="000A5313" w:rsidRDefault="009B1373" w:rsidP="000A5313">
      <w:pPr>
        <w:pStyle w:val="Numberedparagraph"/>
      </w:pPr>
      <w:r w:rsidRPr="000A5313">
        <w:t xml:space="preserve">The Bill </w:t>
      </w:r>
      <w:r w:rsidR="00D63EAF" w:rsidRPr="000A5313">
        <w:t xml:space="preserve">is </w:t>
      </w:r>
      <w:r w:rsidR="000F679F" w:rsidRPr="000A5313">
        <w:t>named</w:t>
      </w:r>
      <w:r w:rsidR="00D63EAF" w:rsidRPr="000A5313">
        <w:t xml:space="preserve"> in honour of</w:t>
      </w:r>
      <w:r w:rsidR="00B353EA" w:rsidRPr="000A5313">
        <w:t xml:space="preserve"> Jack Beasley and Raymond Harris, </w:t>
      </w:r>
      <w:r w:rsidR="00052A5E">
        <w:t xml:space="preserve">both of </w:t>
      </w:r>
      <w:r w:rsidR="009625DA" w:rsidRPr="000A5313">
        <w:t>who</w:t>
      </w:r>
      <w:r w:rsidR="00052A5E">
        <w:t>m</w:t>
      </w:r>
      <w:r w:rsidR="009625DA" w:rsidRPr="000A5313">
        <w:t xml:space="preserve"> tragically lost their lives to stabbing</w:t>
      </w:r>
      <w:r w:rsidR="00052A5E">
        <w:t>s</w:t>
      </w:r>
      <w:r w:rsidR="00D63EAF" w:rsidRPr="000A5313">
        <w:t xml:space="preserve">, and we acknowledge the </w:t>
      </w:r>
      <w:r w:rsidR="00052A5E">
        <w:t>commitment</w:t>
      </w:r>
      <w:r w:rsidR="00D63EAF" w:rsidRPr="000A5313">
        <w:t xml:space="preserve"> of </w:t>
      </w:r>
      <w:r w:rsidR="00EF65B5">
        <w:t>their families</w:t>
      </w:r>
      <w:r w:rsidR="00D63EAF" w:rsidRPr="000A5313">
        <w:t xml:space="preserve"> </w:t>
      </w:r>
      <w:r w:rsidR="00052A5E">
        <w:t>to</w:t>
      </w:r>
      <w:r w:rsidR="00052A5E" w:rsidRPr="000A5313">
        <w:t xml:space="preserve"> </w:t>
      </w:r>
      <w:r w:rsidR="00D63EAF" w:rsidRPr="000A5313">
        <w:t xml:space="preserve">prevent further loss of life due to knife crime. </w:t>
      </w:r>
    </w:p>
    <w:p w14:paraId="396E4263" w14:textId="688264D7" w:rsidR="008109D2" w:rsidRPr="000A5313" w:rsidRDefault="00D058D7" w:rsidP="000A5313">
      <w:pPr>
        <w:pStyle w:val="Numberedparagraph"/>
      </w:pPr>
      <w:r>
        <w:t>Governments have a duty to protect their citizens.</w:t>
      </w:r>
      <w:r w:rsidR="0057313E">
        <w:t xml:space="preserve"> </w:t>
      </w:r>
      <w:r w:rsidR="009B1373" w:rsidRPr="000A5313">
        <w:t>The rights of victims of crime, particularly the right to life</w:t>
      </w:r>
      <w:r w:rsidR="0057313E">
        <w:t>,</w:t>
      </w:r>
      <w:r w:rsidR="00CD3759" w:rsidRPr="00EF65B5">
        <w:rPr>
          <w:rStyle w:val="FootnoteReference"/>
        </w:rPr>
        <w:footnoteReference w:id="1"/>
      </w:r>
      <w:r w:rsidR="009B1373" w:rsidRPr="000A5313">
        <w:t xml:space="preserve"> is a critically important consideration for government.    </w:t>
      </w:r>
      <w:r w:rsidR="008109D2" w:rsidRPr="000A5313">
        <w:t xml:space="preserve"> </w:t>
      </w:r>
    </w:p>
    <w:p w14:paraId="4442F367" w14:textId="6D636F02" w:rsidR="000F679F" w:rsidRPr="000A5313" w:rsidRDefault="000F679F" w:rsidP="000A5313">
      <w:pPr>
        <w:pStyle w:val="Numberedparagraph"/>
      </w:pPr>
      <w:r w:rsidRPr="000A5313">
        <w:t xml:space="preserve">This </w:t>
      </w:r>
      <w:r w:rsidR="0057313E">
        <w:t xml:space="preserve">duty </w:t>
      </w:r>
      <w:r w:rsidRPr="000A5313">
        <w:t xml:space="preserve">must be balanced with </w:t>
      </w:r>
      <w:r w:rsidR="008250D8">
        <w:t xml:space="preserve">any </w:t>
      </w:r>
      <w:r w:rsidRPr="000A5313">
        <w:t>limitation of the rights of people in safe night precincts</w:t>
      </w:r>
      <w:r w:rsidR="005A1988" w:rsidRPr="000A5313">
        <w:t>, particularly those</w:t>
      </w:r>
      <w:r w:rsidRPr="000A5313">
        <w:t xml:space="preserve"> who are searched </w:t>
      </w:r>
      <w:r w:rsidR="008250D8">
        <w:t>despite not</w:t>
      </w:r>
      <w:r w:rsidR="008250D8" w:rsidRPr="000A5313">
        <w:t xml:space="preserve"> </w:t>
      </w:r>
      <w:r w:rsidRPr="000A5313">
        <w:t xml:space="preserve">engaging in any conduct that is suspicious or unlawful. </w:t>
      </w:r>
    </w:p>
    <w:p w14:paraId="38A66D5B" w14:textId="0E4E11BC" w:rsidR="008109D2" w:rsidRPr="000A5313" w:rsidRDefault="0090283C" w:rsidP="000A5313">
      <w:pPr>
        <w:pStyle w:val="Numberedparagraph"/>
      </w:pPr>
      <w:r w:rsidRPr="0090283C">
        <w:t>The phrase ‘compatible with human rights’ is defined in section 8 of the HR</w:t>
      </w:r>
      <w:r w:rsidR="008250D8">
        <w:t xml:space="preserve"> </w:t>
      </w:r>
      <w:r w:rsidRPr="0090283C">
        <w:t>A</w:t>
      </w:r>
      <w:r w:rsidR="008250D8">
        <w:t>ct</w:t>
      </w:r>
      <w:r w:rsidRPr="0090283C">
        <w:t>.</w:t>
      </w:r>
      <w:r>
        <w:t xml:space="preserve"> </w:t>
      </w:r>
      <w:r w:rsidRPr="0090283C">
        <w:t>A limitation on a human right will be permissible if it satisfies section 13 of the HR</w:t>
      </w:r>
      <w:r>
        <w:t xml:space="preserve"> </w:t>
      </w:r>
      <w:r w:rsidRPr="0090283C">
        <w:t>A</w:t>
      </w:r>
      <w:r>
        <w:t xml:space="preserve">ct, which </w:t>
      </w:r>
      <w:r w:rsidR="000F679F" w:rsidRPr="000A5313">
        <w:t xml:space="preserve">sets out </w:t>
      </w:r>
      <w:r>
        <w:t xml:space="preserve">relevant </w:t>
      </w:r>
      <w:r w:rsidR="000F679F" w:rsidRPr="000A5313">
        <w:t xml:space="preserve">factors to be considered when assessing if a </w:t>
      </w:r>
      <w:r w:rsidR="000F679F" w:rsidRPr="000A5313">
        <w:lastRenderedPageBreak/>
        <w:t xml:space="preserve">limitation on rights is reasonable and proportionate. </w:t>
      </w:r>
      <w:r w:rsidR="008250D8">
        <w:t>I</w:t>
      </w:r>
      <w:r w:rsidR="008250D8" w:rsidRPr="000A5313">
        <w:t>n relation to this Bill</w:t>
      </w:r>
      <w:r w:rsidR="008250D8">
        <w:t>, t</w:t>
      </w:r>
      <w:r w:rsidR="000F679F" w:rsidRPr="000A5313">
        <w:t xml:space="preserve">he Commission </w:t>
      </w:r>
      <w:r w:rsidR="008250D8">
        <w:t>considers the</w:t>
      </w:r>
      <w:r w:rsidR="008250D8" w:rsidRPr="000A5313">
        <w:t xml:space="preserve"> </w:t>
      </w:r>
      <w:r w:rsidR="000F679F" w:rsidRPr="000A5313">
        <w:t>particularly important factors to be considered are:</w:t>
      </w:r>
    </w:p>
    <w:p w14:paraId="5FE5A357" w14:textId="640B1CCE" w:rsidR="000F679F" w:rsidRPr="000A5313" w:rsidRDefault="000F679F" w:rsidP="000A5313">
      <w:pPr>
        <w:pStyle w:val="Numberedparagraph"/>
        <w:numPr>
          <w:ilvl w:val="1"/>
          <w:numId w:val="13"/>
        </w:numPr>
      </w:pPr>
      <w:r w:rsidRPr="000A5313">
        <w:t>the nature of the human right</w:t>
      </w:r>
      <w:r w:rsidR="003B4D24" w:rsidRPr="000A5313">
        <w:t xml:space="preserve"> (s 13(2)(a)</w:t>
      </w:r>
      <w:r w:rsidR="008250D8">
        <w:t>)</w:t>
      </w:r>
      <w:r w:rsidRPr="000A5313">
        <w:t xml:space="preserve"> </w:t>
      </w:r>
    </w:p>
    <w:p w14:paraId="51840C5C" w14:textId="19E6384B" w:rsidR="00E06B33" w:rsidRPr="000A5313" w:rsidRDefault="00E06B33" w:rsidP="000A5313">
      <w:pPr>
        <w:pStyle w:val="Numberedparagraph"/>
        <w:numPr>
          <w:ilvl w:val="1"/>
          <w:numId w:val="13"/>
        </w:numPr>
      </w:pPr>
      <w:r w:rsidRPr="000A5313">
        <w:t>the nature of the purpose of the limitation, including whether it is consistent with a free and democratic society based on human dignity, equality and freedom</w:t>
      </w:r>
      <w:r w:rsidR="003B4D24" w:rsidRPr="000A5313">
        <w:t xml:space="preserve"> (s 13(2)(b)</w:t>
      </w:r>
      <w:r w:rsidR="008250D8">
        <w:t>)</w:t>
      </w:r>
      <w:r w:rsidRPr="000A5313">
        <w:t xml:space="preserve">; </w:t>
      </w:r>
      <w:r w:rsidR="003B4D24" w:rsidRPr="000A5313">
        <w:t>and</w:t>
      </w:r>
    </w:p>
    <w:p w14:paraId="0C50627A" w14:textId="195CFDEE" w:rsidR="00E06B33" w:rsidRPr="000A5313" w:rsidRDefault="00E06B33" w:rsidP="000A5313">
      <w:pPr>
        <w:pStyle w:val="Numberedparagraph"/>
        <w:numPr>
          <w:ilvl w:val="1"/>
          <w:numId w:val="13"/>
        </w:numPr>
      </w:pPr>
      <w:r w:rsidRPr="000A5313">
        <w:t>the relationship between the limitation and its purpose, including whether the limitation helps to achieve the purpose</w:t>
      </w:r>
      <w:r w:rsidR="003B4D24" w:rsidRPr="000A5313">
        <w:t xml:space="preserve"> (s 13(2)(</w:t>
      </w:r>
      <w:r w:rsidR="008250D8">
        <w:t>c</w:t>
      </w:r>
      <w:r w:rsidR="003B4D24" w:rsidRPr="000A5313">
        <w:t>)</w:t>
      </w:r>
      <w:r w:rsidR="008250D8">
        <w:t>)</w:t>
      </w:r>
      <w:r w:rsidRPr="000A5313">
        <w:t xml:space="preserve">. </w:t>
      </w:r>
    </w:p>
    <w:p w14:paraId="2E81FD7B" w14:textId="29534532" w:rsidR="002638E3" w:rsidRPr="00D252DD" w:rsidRDefault="002576FD" w:rsidP="006B68BC">
      <w:pPr>
        <w:pStyle w:val="Numberedparagraph"/>
        <w:widowControl w:val="0"/>
        <w:rPr>
          <w:szCs w:val="22"/>
        </w:rPr>
      </w:pPr>
      <w:r w:rsidRPr="00D252DD">
        <w:rPr>
          <w:szCs w:val="22"/>
        </w:rPr>
        <w:t xml:space="preserve">The </w:t>
      </w:r>
      <w:r w:rsidR="0005418F" w:rsidRPr="00D252DD">
        <w:rPr>
          <w:szCs w:val="22"/>
        </w:rPr>
        <w:t xml:space="preserve">Statement of Compatibility notes that </w:t>
      </w:r>
      <w:r w:rsidR="002638E3" w:rsidRPr="00D252DD">
        <w:rPr>
          <w:szCs w:val="22"/>
        </w:rPr>
        <w:t xml:space="preserve">several </w:t>
      </w:r>
      <w:r w:rsidR="0005418F" w:rsidRPr="00D252DD">
        <w:rPr>
          <w:szCs w:val="22"/>
        </w:rPr>
        <w:t>provisions limit human rights.</w:t>
      </w:r>
      <w:r w:rsidR="0090283C">
        <w:rPr>
          <w:rStyle w:val="FootnoteReference"/>
          <w:szCs w:val="22"/>
        </w:rPr>
        <w:footnoteReference w:id="2"/>
      </w:r>
      <w:r w:rsidR="0005418F" w:rsidRPr="00D252DD">
        <w:rPr>
          <w:szCs w:val="22"/>
        </w:rPr>
        <w:t xml:space="preserve"> </w:t>
      </w:r>
    </w:p>
    <w:p w14:paraId="156D3324" w14:textId="53C17B36" w:rsidR="002638E3" w:rsidRDefault="002638E3" w:rsidP="00D252DD">
      <w:pPr>
        <w:pStyle w:val="Heading1"/>
      </w:pPr>
      <w:bookmarkStart w:id="6" w:name="_Toc124495104"/>
      <w:r>
        <w:t>Power to search</w:t>
      </w:r>
      <w:bookmarkEnd w:id="6"/>
      <w:r>
        <w:t xml:space="preserve"> </w:t>
      </w:r>
    </w:p>
    <w:p w14:paraId="67E8C419" w14:textId="7843B887" w:rsidR="006B68BC" w:rsidRPr="00D252DD" w:rsidRDefault="004C7C44" w:rsidP="006B68BC">
      <w:pPr>
        <w:pStyle w:val="Numberedparagraph"/>
        <w:widowControl w:val="0"/>
        <w:rPr>
          <w:szCs w:val="22"/>
        </w:rPr>
      </w:pPr>
      <w:r w:rsidRPr="00D252DD">
        <w:rPr>
          <w:szCs w:val="22"/>
        </w:rPr>
        <w:t xml:space="preserve">The power for a police officer to stop a person, without warrant or reasonable  suspicion, </w:t>
      </w:r>
      <w:r w:rsidR="002576FD" w:rsidRPr="00D252DD">
        <w:rPr>
          <w:szCs w:val="22"/>
        </w:rPr>
        <w:t>and require the person to</w:t>
      </w:r>
      <w:r w:rsidRPr="00D252DD">
        <w:rPr>
          <w:szCs w:val="22"/>
        </w:rPr>
        <w:t xml:space="preserve"> submit to the use of a hand held scanner is a significant </w:t>
      </w:r>
      <w:r w:rsidR="005D3D5A" w:rsidRPr="00D252DD">
        <w:rPr>
          <w:szCs w:val="22"/>
        </w:rPr>
        <w:t>limitation</w:t>
      </w:r>
      <w:r w:rsidR="006B68BC" w:rsidRPr="00D252DD">
        <w:rPr>
          <w:szCs w:val="22"/>
        </w:rPr>
        <w:t xml:space="preserve"> on</w:t>
      </w:r>
      <w:r w:rsidR="005D3D5A" w:rsidRPr="00D252DD">
        <w:rPr>
          <w:szCs w:val="22"/>
        </w:rPr>
        <w:t xml:space="preserve"> </w:t>
      </w:r>
      <w:r w:rsidR="008E6B40" w:rsidRPr="00D252DD">
        <w:rPr>
          <w:szCs w:val="22"/>
        </w:rPr>
        <w:t>several rights,</w:t>
      </w:r>
      <w:r w:rsidR="002576FD" w:rsidRPr="00D252DD">
        <w:rPr>
          <w:szCs w:val="22"/>
        </w:rPr>
        <w:t xml:space="preserve"> </w:t>
      </w:r>
      <w:r w:rsidR="00801433">
        <w:rPr>
          <w:szCs w:val="22"/>
        </w:rPr>
        <w:t>as well as</w:t>
      </w:r>
      <w:r w:rsidR="00801433" w:rsidRPr="00D252DD">
        <w:rPr>
          <w:szCs w:val="22"/>
        </w:rPr>
        <w:t xml:space="preserve"> </w:t>
      </w:r>
      <w:r w:rsidR="001247FB">
        <w:rPr>
          <w:szCs w:val="22"/>
        </w:rPr>
        <w:t>being contrary to</w:t>
      </w:r>
      <w:r w:rsidR="00C92949">
        <w:rPr>
          <w:szCs w:val="22"/>
        </w:rPr>
        <w:t xml:space="preserve"> </w:t>
      </w:r>
      <w:r w:rsidR="002576FD" w:rsidRPr="00D252DD">
        <w:rPr>
          <w:szCs w:val="22"/>
        </w:rPr>
        <w:t xml:space="preserve">the common law protection that a person </w:t>
      </w:r>
      <w:r w:rsidR="00801433">
        <w:rPr>
          <w:szCs w:val="22"/>
        </w:rPr>
        <w:t xml:space="preserve">may </w:t>
      </w:r>
      <w:r w:rsidR="002576FD" w:rsidRPr="00D252DD">
        <w:rPr>
          <w:szCs w:val="22"/>
        </w:rPr>
        <w:t xml:space="preserve">only be searched </w:t>
      </w:r>
      <w:r w:rsidR="00C92949">
        <w:rPr>
          <w:szCs w:val="22"/>
        </w:rPr>
        <w:t>where there is</w:t>
      </w:r>
      <w:r w:rsidR="002576FD" w:rsidRPr="00D252DD">
        <w:rPr>
          <w:szCs w:val="22"/>
        </w:rPr>
        <w:t xml:space="preserve"> a reasonable suspicion.</w:t>
      </w:r>
      <w:r w:rsidR="008E6B40" w:rsidRPr="00D252DD">
        <w:rPr>
          <w:rStyle w:val="FootnoteReference"/>
          <w:szCs w:val="22"/>
        </w:rPr>
        <w:footnoteReference w:id="3"/>
      </w:r>
      <w:r w:rsidR="006B68BC" w:rsidRPr="00D252DD">
        <w:rPr>
          <w:szCs w:val="22"/>
        </w:rPr>
        <w:t xml:space="preserve"> As the Statement acknowledges,</w:t>
      </w:r>
      <w:r w:rsidR="000E45FC">
        <w:rPr>
          <w:szCs w:val="22"/>
        </w:rPr>
        <w:t xml:space="preserve"> people</w:t>
      </w:r>
      <w:r w:rsidR="000E45FC" w:rsidRPr="00D252DD">
        <w:rPr>
          <w:szCs w:val="22"/>
        </w:rPr>
        <w:t xml:space="preserve"> who are required to carry a knife as part of their faith</w:t>
      </w:r>
      <w:r w:rsidR="006B68BC" w:rsidRPr="00D252DD">
        <w:rPr>
          <w:szCs w:val="22"/>
        </w:rPr>
        <w:t xml:space="preserve"> </w:t>
      </w:r>
      <w:r w:rsidR="000C5727">
        <w:rPr>
          <w:szCs w:val="22"/>
        </w:rPr>
        <w:t>suffer</w:t>
      </w:r>
      <w:r w:rsidR="000E45FC">
        <w:rPr>
          <w:szCs w:val="22"/>
        </w:rPr>
        <w:t xml:space="preserve"> an additional </w:t>
      </w:r>
      <w:r w:rsidR="006B68BC" w:rsidRPr="00D252DD">
        <w:rPr>
          <w:szCs w:val="22"/>
        </w:rPr>
        <w:t xml:space="preserve">limitation </w:t>
      </w:r>
      <w:r w:rsidR="000E45FC">
        <w:rPr>
          <w:szCs w:val="22"/>
        </w:rPr>
        <w:t xml:space="preserve">– a </w:t>
      </w:r>
      <w:r w:rsidR="00C92949">
        <w:rPr>
          <w:szCs w:val="22"/>
        </w:rPr>
        <w:t xml:space="preserve">limitation </w:t>
      </w:r>
      <w:r w:rsidR="006B68BC" w:rsidRPr="00D252DD">
        <w:rPr>
          <w:szCs w:val="22"/>
        </w:rPr>
        <w:t>on the</w:t>
      </w:r>
      <w:r w:rsidR="00C92949">
        <w:rPr>
          <w:szCs w:val="22"/>
        </w:rPr>
        <w:t>ir</w:t>
      </w:r>
      <w:r w:rsidR="006B68BC" w:rsidRPr="00D252DD">
        <w:rPr>
          <w:szCs w:val="22"/>
        </w:rPr>
        <w:t xml:space="preserve"> right to freedom of religion.</w:t>
      </w:r>
      <w:r w:rsidR="003176DB" w:rsidRPr="00D252DD">
        <w:rPr>
          <w:rStyle w:val="FootnoteReference"/>
          <w:szCs w:val="22"/>
        </w:rPr>
        <w:footnoteReference w:id="4"/>
      </w:r>
      <w:r w:rsidR="006B68BC" w:rsidRPr="00D252DD">
        <w:rPr>
          <w:szCs w:val="22"/>
        </w:rPr>
        <w:t xml:space="preserve"> </w:t>
      </w:r>
    </w:p>
    <w:p w14:paraId="45B931D5" w14:textId="6F93A87E" w:rsidR="002576FD" w:rsidRPr="00D252DD" w:rsidRDefault="006B68BC" w:rsidP="00292CAC">
      <w:pPr>
        <w:pStyle w:val="Numberedparagraph"/>
        <w:widowControl w:val="0"/>
        <w:rPr>
          <w:szCs w:val="22"/>
        </w:rPr>
      </w:pPr>
      <w:r w:rsidRPr="00D252DD">
        <w:rPr>
          <w:szCs w:val="22"/>
        </w:rPr>
        <w:t xml:space="preserve">These limitations are </w:t>
      </w:r>
      <w:r w:rsidR="009149BD">
        <w:rPr>
          <w:szCs w:val="22"/>
        </w:rPr>
        <w:t xml:space="preserve">to be </w:t>
      </w:r>
      <w:r w:rsidRPr="00D252DD">
        <w:rPr>
          <w:szCs w:val="22"/>
        </w:rPr>
        <w:t xml:space="preserve">balanced </w:t>
      </w:r>
      <w:r w:rsidR="00BA61BD">
        <w:rPr>
          <w:szCs w:val="22"/>
        </w:rPr>
        <w:t>against</w:t>
      </w:r>
      <w:r w:rsidR="00BA61BD" w:rsidRPr="00D252DD">
        <w:rPr>
          <w:szCs w:val="22"/>
        </w:rPr>
        <w:t xml:space="preserve"> </w:t>
      </w:r>
      <w:r w:rsidRPr="00D252DD">
        <w:rPr>
          <w:szCs w:val="22"/>
        </w:rPr>
        <w:t>the relative</w:t>
      </w:r>
      <w:r w:rsidR="009149BD">
        <w:rPr>
          <w:szCs w:val="22"/>
        </w:rPr>
        <w:t>ly</w:t>
      </w:r>
      <w:r w:rsidRPr="00D252DD">
        <w:rPr>
          <w:szCs w:val="22"/>
        </w:rPr>
        <w:t xml:space="preserve"> short period a person </w:t>
      </w:r>
      <w:r w:rsidR="00BA61BD">
        <w:rPr>
          <w:szCs w:val="22"/>
        </w:rPr>
        <w:t>is</w:t>
      </w:r>
      <w:r w:rsidRPr="00D252DD">
        <w:rPr>
          <w:szCs w:val="22"/>
        </w:rPr>
        <w:t xml:space="preserve"> detained for non-invasive scanning. </w:t>
      </w:r>
      <w:r w:rsidR="00EC2C0C">
        <w:rPr>
          <w:szCs w:val="22"/>
        </w:rPr>
        <w:t>Despite this</w:t>
      </w:r>
      <w:r w:rsidR="00B05D9F" w:rsidRPr="00D252DD">
        <w:rPr>
          <w:szCs w:val="22"/>
        </w:rPr>
        <w:t>, t</w:t>
      </w:r>
      <w:r w:rsidRPr="00D252DD">
        <w:rPr>
          <w:szCs w:val="22"/>
        </w:rPr>
        <w:t xml:space="preserve">he Statement </w:t>
      </w:r>
      <w:r w:rsidR="00611F65" w:rsidRPr="00D252DD">
        <w:rPr>
          <w:szCs w:val="22"/>
        </w:rPr>
        <w:t xml:space="preserve">of Compatibility </w:t>
      </w:r>
      <w:r w:rsidR="00B05D9F" w:rsidRPr="00D252DD">
        <w:rPr>
          <w:szCs w:val="22"/>
        </w:rPr>
        <w:t xml:space="preserve">acknowledges </w:t>
      </w:r>
      <w:r w:rsidR="003B4D24">
        <w:rPr>
          <w:szCs w:val="22"/>
        </w:rPr>
        <w:t>the need for safeguards to address the resulting limitation on rights</w:t>
      </w:r>
      <w:r w:rsidRPr="00D252DD">
        <w:rPr>
          <w:szCs w:val="22"/>
        </w:rPr>
        <w:t xml:space="preserve">: </w:t>
      </w:r>
    </w:p>
    <w:p w14:paraId="08576001" w14:textId="04EA5365" w:rsidR="008E6B40" w:rsidRDefault="008E6B40" w:rsidP="008E6B40">
      <w:pPr>
        <w:pStyle w:val="Quote"/>
      </w:pPr>
      <w:r w:rsidRPr="008E6B40">
        <w:t>The highest impost on human rights is that police can arbitrarily stop and scan a person, in the absence of any reason other than that authorisation has been provided by a senior police officer. Without further safeguards, the impact of these provisions may not be compatible with human rights</w:t>
      </w:r>
      <w:r>
        <w:t>.</w:t>
      </w:r>
      <w:r>
        <w:rPr>
          <w:rStyle w:val="FootnoteReference"/>
        </w:rPr>
        <w:footnoteReference w:id="5"/>
      </w:r>
    </w:p>
    <w:p w14:paraId="2692FC97" w14:textId="25DC3C50" w:rsidR="008E6B40" w:rsidRPr="00D252DD" w:rsidRDefault="008E6B40" w:rsidP="005A1988">
      <w:pPr>
        <w:pStyle w:val="Numberedparagraph"/>
        <w:widowControl w:val="0"/>
        <w:rPr>
          <w:szCs w:val="22"/>
        </w:rPr>
      </w:pPr>
      <w:r w:rsidRPr="00D252DD">
        <w:rPr>
          <w:szCs w:val="22"/>
        </w:rPr>
        <w:t>The Statement</w:t>
      </w:r>
      <w:r w:rsidR="005D3D5A" w:rsidRPr="00D252DD">
        <w:rPr>
          <w:szCs w:val="22"/>
        </w:rPr>
        <w:t xml:space="preserve"> of Compatibility</w:t>
      </w:r>
      <w:r w:rsidRPr="00D252DD">
        <w:rPr>
          <w:szCs w:val="22"/>
        </w:rPr>
        <w:t xml:space="preserve"> </w:t>
      </w:r>
      <w:r w:rsidR="003B4D24">
        <w:rPr>
          <w:szCs w:val="22"/>
        </w:rPr>
        <w:t>states</w:t>
      </w:r>
      <w:r w:rsidR="00262F57">
        <w:rPr>
          <w:szCs w:val="22"/>
        </w:rPr>
        <w:t xml:space="preserve"> </w:t>
      </w:r>
      <w:r w:rsidRPr="00D252DD">
        <w:rPr>
          <w:szCs w:val="22"/>
        </w:rPr>
        <w:t>that the</w:t>
      </w:r>
      <w:r w:rsidR="00C9153A" w:rsidRPr="00D252DD">
        <w:rPr>
          <w:szCs w:val="22"/>
        </w:rPr>
        <w:t xml:space="preserve"> government considered the less restrictive</w:t>
      </w:r>
      <w:r w:rsidRPr="00D252DD">
        <w:rPr>
          <w:szCs w:val="22"/>
        </w:rPr>
        <w:t xml:space="preserve"> alternative </w:t>
      </w:r>
      <w:r w:rsidR="003B4D24">
        <w:rPr>
          <w:szCs w:val="22"/>
        </w:rPr>
        <w:t>that a</w:t>
      </w:r>
      <w:r w:rsidRPr="00D252DD">
        <w:rPr>
          <w:szCs w:val="22"/>
        </w:rPr>
        <w:t xml:space="preserve"> police officer </w:t>
      </w:r>
      <w:r w:rsidR="003B4D24">
        <w:rPr>
          <w:szCs w:val="22"/>
        </w:rPr>
        <w:t>be required to hold a</w:t>
      </w:r>
      <w:r w:rsidRPr="00D252DD">
        <w:rPr>
          <w:szCs w:val="22"/>
        </w:rPr>
        <w:t xml:space="preserve"> </w:t>
      </w:r>
      <w:r w:rsidR="003B4D24">
        <w:rPr>
          <w:szCs w:val="22"/>
        </w:rPr>
        <w:t>level of</w:t>
      </w:r>
      <w:r w:rsidRPr="00D252DD">
        <w:rPr>
          <w:szCs w:val="22"/>
        </w:rPr>
        <w:t xml:space="preserve"> suspicion</w:t>
      </w:r>
      <w:r w:rsidR="00B05D9F" w:rsidRPr="00D252DD">
        <w:rPr>
          <w:szCs w:val="22"/>
        </w:rPr>
        <w:t xml:space="preserve"> to justify the </w:t>
      </w:r>
      <w:r w:rsidR="00D8766A" w:rsidRPr="00D252DD">
        <w:rPr>
          <w:szCs w:val="22"/>
        </w:rPr>
        <w:t>s</w:t>
      </w:r>
      <w:r w:rsidR="00D8766A">
        <w:rPr>
          <w:szCs w:val="22"/>
        </w:rPr>
        <w:t>can</w:t>
      </w:r>
      <w:r w:rsidR="00262F57">
        <w:rPr>
          <w:szCs w:val="22"/>
        </w:rPr>
        <w:t>. The Statement explains that such</w:t>
      </w:r>
      <w:r w:rsidRPr="00D252DD">
        <w:rPr>
          <w:szCs w:val="22"/>
        </w:rPr>
        <w:t xml:space="preserve"> an approach</w:t>
      </w:r>
      <w:r w:rsidR="00262F57">
        <w:rPr>
          <w:szCs w:val="22"/>
        </w:rPr>
        <w:t xml:space="preserve"> was not chosen as it</w:t>
      </w:r>
      <w:r w:rsidRPr="00D252DD">
        <w:rPr>
          <w:szCs w:val="22"/>
        </w:rPr>
        <w:t xml:space="preserve"> ‘would have increased the risk that knives would not be detected until they placed the community at risk</w:t>
      </w:r>
      <w:r w:rsidR="00262F57">
        <w:rPr>
          <w:szCs w:val="22"/>
        </w:rPr>
        <w:t>’, and therefore</w:t>
      </w:r>
      <w:r w:rsidR="00611F65" w:rsidRPr="00D252DD">
        <w:rPr>
          <w:szCs w:val="22"/>
        </w:rPr>
        <w:t xml:space="preserve"> this approach</w:t>
      </w:r>
      <w:r w:rsidR="002638E3" w:rsidRPr="00D252DD">
        <w:rPr>
          <w:szCs w:val="22"/>
        </w:rPr>
        <w:t xml:space="preserve"> </w:t>
      </w:r>
      <w:r w:rsidRPr="00D252DD">
        <w:rPr>
          <w:szCs w:val="22"/>
        </w:rPr>
        <w:t>would not have been as effective in achieving the purpose.</w:t>
      </w:r>
      <w:r w:rsidRPr="00D252DD">
        <w:rPr>
          <w:rStyle w:val="FootnoteReference"/>
          <w:szCs w:val="22"/>
        </w:rPr>
        <w:footnoteReference w:id="6"/>
      </w:r>
    </w:p>
    <w:p w14:paraId="05B8A2F8" w14:textId="5743C7A6" w:rsidR="00FA1473" w:rsidRPr="00D252DD" w:rsidRDefault="00530A77" w:rsidP="005A1988">
      <w:pPr>
        <w:pStyle w:val="Numberedparagraph"/>
        <w:widowControl w:val="0"/>
        <w:rPr>
          <w:szCs w:val="22"/>
        </w:rPr>
      </w:pPr>
      <w:r w:rsidRPr="00D252DD">
        <w:rPr>
          <w:szCs w:val="22"/>
        </w:rPr>
        <w:lastRenderedPageBreak/>
        <w:t xml:space="preserve">The Commission is concerned about this rationale, as </w:t>
      </w:r>
      <w:r w:rsidR="00611F65" w:rsidRPr="00D252DD">
        <w:rPr>
          <w:szCs w:val="22"/>
        </w:rPr>
        <w:t xml:space="preserve">a </w:t>
      </w:r>
      <w:r w:rsidRPr="00D252DD">
        <w:rPr>
          <w:szCs w:val="22"/>
        </w:rPr>
        <w:t xml:space="preserve">similar justification could be used in </w:t>
      </w:r>
      <w:r w:rsidR="00926672">
        <w:rPr>
          <w:szCs w:val="22"/>
        </w:rPr>
        <w:t>many other</w:t>
      </w:r>
      <w:r w:rsidRPr="00D252DD">
        <w:rPr>
          <w:szCs w:val="22"/>
        </w:rPr>
        <w:t xml:space="preserve"> situation</w:t>
      </w:r>
      <w:r w:rsidR="00926672">
        <w:rPr>
          <w:szCs w:val="22"/>
        </w:rPr>
        <w:t>s involving a risk to public safety</w:t>
      </w:r>
      <w:r w:rsidRPr="00D252DD">
        <w:rPr>
          <w:szCs w:val="22"/>
        </w:rPr>
        <w:t xml:space="preserve"> to </w:t>
      </w:r>
      <w:r w:rsidR="00926672">
        <w:rPr>
          <w:szCs w:val="22"/>
        </w:rPr>
        <w:t>permit a</w:t>
      </w:r>
      <w:r w:rsidRPr="00D252DD">
        <w:rPr>
          <w:szCs w:val="22"/>
        </w:rPr>
        <w:t xml:space="preserve"> search without warrant or reasonable suspicion</w:t>
      </w:r>
      <w:r w:rsidR="00FA1473" w:rsidRPr="00D252DD">
        <w:rPr>
          <w:szCs w:val="22"/>
        </w:rPr>
        <w:t xml:space="preserve">. </w:t>
      </w:r>
    </w:p>
    <w:p w14:paraId="681BEFFF" w14:textId="0D028C80" w:rsidR="0005418F" w:rsidRPr="00D252DD" w:rsidRDefault="00195B07" w:rsidP="005A1988">
      <w:pPr>
        <w:pStyle w:val="Numberedparagraph"/>
        <w:widowControl w:val="0"/>
        <w:rPr>
          <w:szCs w:val="22"/>
        </w:rPr>
      </w:pPr>
      <w:r>
        <w:rPr>
          <w:szCs w:val="22"/>
        </w:rPr>
        <w:t>I</w:t>
      </w:r>
      <w:r w:rsidR="00530A77" w:rsidRPr="00D252DD">
        <w:rPr>
          <w:szCs w:val="22"/>
        </w:rPr>
        <w:t>n this case, t</w:t>
      </w:r>
      <w:r w:rsidR="00E06B33" w:rsidRPr="00D252DD">
        <w:rPr>
          <w:szCs w:val="22"/>
        </w:rPr>
        <w:t xml:space="preserve">he purpose of the limitation is clearly an important </w:t>
      </w:r>
      <w:r w:rsidR="00926672">
        <w:rPr>
          <w:szCs w:val="22"/>
        </w:rPr>
        <w:t>factor to consider</w:t>
      </w:r>
      <w:r w:rsidR="0005418F" w:rsidRPr="00D252DD">
        <w:rPr>
          <w:szCs w:val="22"/>
        </w:rPr>
        <w:t>:</w:t>
      </w:r>
    </w:p>
    <w:p w14:paraId="079B4340" w14:textId="3F5D9CD8" w:rsidR="0005418F" w:rsidRDefault="0005418F" w:rsidP="0005418F">
      <w:pPr>
        <w:pStyle w:val="Quote"/>
      </w:pPr>
      <w:r w:rsidRPr="0005418F">
        <w:t>The concentration of people in these areas mean the risk of harm being caused through the carriage of weapons is elevated and warrants particular attention. The reason for expanding the trial to also capture areas of public transport infrastructure is to provide the public safety benefits of reduced unlawful knife possession and the consequent reduced potential for offences involving a weapon in those public transport areas, including the areas that a person carrying a knife may be travelling to</w:t>
      </w:r>
      <w:r>
        <w:t>.</w:t>
      </w:r>
      <w:r>
        <w:rPr>
          <w:rStyle w:val="FootnoteReference"/>
        </w:rPr>
        <w:footnoteReference w:id="7"/>
      </w:r>
      <w:r w:rsidR="00E06B33" w:rsidRPr="004C7C44">
        <w:t xml:space="preserve"> </w:t>
      </w:r>
    </w:p>
    <w:p w14:paraId="12460610" w14:textId="03D2846F" w:rsidR="00E06B33" w:rsidRPr="00D252DD" w:rsidRDefault="00926672" w:rsidP="005A1988">
      <w:pPr>
        <w:pStyle w:val="Numberedparagraph"/>
        <w:widowControl w:val="0"/>
        <w:rPr>
          <w:szCs w:val="22"/>
        </w:rPr>
      </w:pPr>
      <w:r>
        <w:rPr>
          <w:szCs w:val="22"/>
        </w:rPr>
        <w:t xml:space="preserve">Section 13 of the HR Act requires that </w:t>
      </w:r>
      <w:r w:rsidR="00530A77" w:rsidRPr="00D252DD">
        <w:rPr>
          <w:szCs w:val="22"/>
        </w:rPr>
        <w:t>for the limitation</w:t>
      </w:r>
      <w:r w:rsidR="00C9153A" w:rsidRPr="00D252DD">
        <w:rPr>
          <w:szCs w:val="22"/>
        </w:rPr>
        <w:t xml:space="preserve"> on rights</w:t>
      </w:r>
      <w:r w:rsidR="00530A77" w:rsidRPr="00D252DD">
        <w:rPr>
          <w:szCs w:val="22"/>
        </w:rPr>
        <w:t xml:space="preserve"> to be compatible with human rights,</w:t>
      </w:r>
      <w:r w:rsidR="00E06B33" w:rsidRPr="00D252DD">
        <w:rPr>
          <w:szCs w:val="22"/>
        </w:rPr>
        <w:t xml:space="preserve"> the limitation </w:t>
      </w:r>
      <w:r w:rsidR="00530A77" w:rsidRPr="00D252DD">
        <w:rPr>
          <w:szCs w:val="22"/>
        </w:rPr>
        <w:t xml:space="preserve">must </w:t>
      </w:r>
      <w:r w:rsidR="00E06B33" w:rsidRPr="00D252DD">
        <w:rPr>
          <w:szCs w:val="22"/>
        </w:rPr>
        <w:t>achieve th</w:t>
      </w:r>
      <w:r w:rsidR="0002486A">
        <w:rPr>
          <w:szCs w:val="22"/>
        </w:rPr>
        <w:t>e</w:t>
      </w:r>
      <w:r w:rsidR="00E06B33" w:rsidRPr="00D252DD">
        <w:rPr>
          <w:szCs w:val="22"/>
        </w:rPr>
        <w:t xml:space="preserve"> </w:t>
      </w:r>
      <w:r w:rsidR="0002486A">
        <w:rPr>
          <w:szCs w:val="22"/>
        </w:rPr>
        <w:t xml:space="preserve">intended </w:t>
      </w:r>
      <w:r w:rsidR="00E06B33" w:rsidRPr="00D252DD">
        <w:rPr>
          <w:szCs w:val="22"/>
        </w:rPr>
        <w:t xml:space="preserve">purpose. </w:t>
      </w:r>
      <w:r w:rsidR="00C9153A" w:rsidRPr="00D252DD">
        <w:rPr>
          <w:szCs w:val="22"/>
        </w:rPr>
        <w:t>Proposed s</w:t>
      </w:r>
      <w:r w:rsidR="00EF65B5">
        <w:rPr>
          <w:szCs w:val="22"/>
        </w:rPr>
        <w:t> </w:t>
      </w:r>
      <w:r w:rsidR="00630A27" w:rsidRPr="00D252DD">
        <w:rPr>
          <w:szCs w:val="22"/>
        </w:rPr>
        <w:t xml:space="preserve">39C </w:t>
      </w:r>
      <w:r>
        <w:rPr>
          <w:szCs w:val="22"/>
        </w:rPr>
        <w:t xml:space="preserve">may go some way to addressing this, and </w:t>
      </w:r>
      <w:r w:rsidR="00630A27" w:rsidRPr="00D252DD">
        <w:rPr>
          <w:szCs w:val="22"/>
        </w:rPr>
        <w:t>provides that a senior police office</w:t>
      </w:r>
      <w:r w:rsidR="00611F65" w:rsidRPr="00D252DD">
        <w:rPr>
          <w:szCs w:val="22"/>
        </w:rPr>
        <w:t>r</w:t>
      </w:r>
      <w:r w:rsidR="00630A27" w:rsidRPr="00D252DD">
        <w:rPr>
          <w:szCs w:val="22"/>
        </w:rPr>
        <w:t xml:space="preserve"> may authorise the use of a </w:t>
      </w:r>
      <w:proofErr w:type="gramStart"/>
      <w:r w:rsidR="00630A27" w:rsidRPr="00D252DD">
        <w:rPr>
          <w:szCs w:val="22"/>
        </w:rPr>
        <w:t>hand held</w:t>
      </w:r>
      <w:proofErr w:type="gramEnd"/>
      <w:r w:rsidR="00630A27" w:rsidRPr="00D252DD">
        <w:rPr>
          <w:szCs w:val="22"/>
        </w:rPr>
        <w:t xml:space="preserve"> scanner in a place, if the office</w:t>
      </w:r>
      <w:r w:rsidR="0002486A">
        <w:rPr>
          <w:szCs w:val="22"/>
        </w:rPr>
        <w:t>r</w:t>
      </w:r>
      <w:r w:rsidR="00630A27" w:rsidRPr="00D252DD">
        <w:rPr>
          <w:szCs w:val="22"/>
        </w:rPr>
        <w:t xml:space="preserve"> considers the use of the scanner is likely to be effect</w:t>
      </w:r>
      <w:r w:rsidR="002265F5" w:rsidRPr="00D252DD">
        <w:rPr>
          <w:szCs w:val="22"/>
        </w:rPr>
        <w:t>ive</w:t>
      </w:r>
      <w:r w:rsidR="00630A27" w:rsidRPr="00D252DD">
        <w:rPr>
          <w:szCs w:val="22"/>
        </w:rPr>
        <w:t xml:space="preserve"> to deter or detect the commission of an offence involving the </w:t>
      </w:r>
      <w:r w:rsidR="004C7C44" w:rsidRPr="00D252DD">
        <w:rPr>
          <w:szCs w:val="22"/>
        </w:rPr>
        <w:t>possession</w:t>
      </w:r>
      <w:r w:rsidR="00630A27" w:rsidRPr="00D252DD">
        <w:rPr>
          <w:szCs w:val="22"/>
        </w:rPr>
        <w:t xml:space="preserve"> or use of a knife or other weapon and one of the following has happened in the p</w:t>
      </w:r>
      <w:r w:rsidR="004C7C44" w:rsidRPr="00D252DD">
        <w:rPr>
          <w:szCs w:val="22"/>
        </w:rPr>
        <w:t>revious six months</w:t>
      </w:r>
      <w:r w:rsidR="00630A27" w:rsidRPr="00D252DD">
        <w:rPr>
          <w:szCs w:val="22"/>
        </w:rPr>
        <w:t xml:space="preserve">: </w:t>
      </w:r>
    </w:p>
    <w:p w14:paraId="23BEEC3A" w14:textId="43FFA7A4" w:rsidR="004C7C44" w:rsidRPr="00D252DD" w:rsidRDefault="004C7C44" w:rsidP="00EF65B5">
      <w:pPr>
        <w:pStyle w:val="Bulletedlist"/>
      </w:pPr>
      <w:r w:rsidRPr="00D252DD">
        <w:t>at least 1 offence was committed by a person armed with a knife or other weapon;</w:t>
      </w:r>
    </w:p>
    <w:p w14:paraId="6E794303" w14:textId="6E57990D" w:rsidR="004C7C44" w:rsidRPr="00D252DD" w:rsidRDefault="004C7C44" w:rsidP="00EF65B5">
      <w:pPr>
        <w:pStyle w:val="Bulletedlist"/>
      </w:pPr>
      <w:r w:rsidRPr="00D252DD">
        <w:t xml:space="preserve">at least 1 </w:t>
      </w:r>
      <w:proofErr w:type="gramStart"/>
      <w:r w:rsidRPr="00D252DD">
        <w:t>seven year</w:t>
      </w:r>
      <w:proofErr w:type="gramEnd"/>
      <w:r w:rsidRPr="00D252DD">
        <w:t xml:space="preserve"> imprisonment offence against the Criminal Code involving violence against a person was committed;</w:t>
      </w:r>
    </w:p>
    <w:p w14:paraId="3D0CB10B" w14:textId="650A65C7" w:rsidR="004C7C44" w:rsidRPr="00D252DD" w:rsidRDefault="004C7C44" w:rsidP="00EF65B5">
      <w:pPr>
        <w:pStyle w:val="Bulletedlist"/>
      </w:pPr>
      <w:r w:rsidRPr="00D252DD">
        <w:t>more than 1 offence against the </w:t>
      </w:r>
      <w:r w:rsidRPr="00D252DD">
        <w:rPr>
          <w:i/>
          <w:iCs/>
        </w:rPr>
        <w:t>Weapons Act 1990</w:t>
      </w:r>
      <w:r w:rsidRPr="00D252DD">
        <w:t>, section 50(1) or 51(1) was committed</w:t>
      </w:r>
    </w:p>
    <w:p w14:paraId="2787105E" w14:textId="290043D6" w:rsidR="002576FD" w:rsidRPr="00D252DD" w:rsidRDefault="002E7B79" w:rsidP="00B84351">
      <w:pPr>
        <w:pStyle w:val="Numberedparagraph"/>
        <w:widowControl w:val="0"/>
        <w:rPr>
          <w:szCs w:val="22"/>
        </w:rPr>
      </w:pPr>
      <w:r w:rsidRPr="00D252DD">
        <w:rPr>
          <w:szCs w:val="22"/>
        </w:rPr>
        <w:t xml:space="preserve">The Commission supports the </w:t>
      </w:r>
      <w:r w:rsidR="004C7C44" w:rsidRPr="00D252DD">
        <w:rPr>
          <w:szCs w:val="22"/>
        </w:rPr>
        <w:t xml:space="preserve">inclusion in s 39C that the police officer must have considered if the previous use of scanners has identified persons carrying knives or </w:t>
      </w:r>
      <w:r w:rsidR="00B33381">
        <w:rPr>
          <w:szCs w:val="22"/>
        </w:rPr>
        <w:t>a</w:t>
      </w:r>
      <w:r w:rsidR="004C7C44" w:rsidRPr="00D252DD">
        <w:rPr>
          <w:szCs w:val="22"/>
        </w:rPr>
        <w:t>ffected lawful activity at the place.</w:t>
      </w:r>
      <w:r w:rsidRPr="00D252DD">
        <w:rPr>
          <w:szCs w:val="22"/>
        </w:rPr>
        <w:t xml:space="preserve"> </w:t>
      </w:r>
      <w:r w:rsidR="002576FD" w:rsidRPr="00D252DD">
        <w:rPr>
          <w:szCs w:val="22"/>
        </w:rPr>
        <w:t xml:space="preserve">Important safeguards are also included in </w:t>
      </w:r>
      <w:r w:rsidR="00195B07">
        <w:rPr>
          <w:szCs w:val="22"/>
        </w:rPr>
        <w:t xml:space="preserve">the </w:t>
      </w:r>
      <w:r w:rsidR="002576FD" w:rsidRPr="00D252DD">
        <w:rPr>
          <w:szCs w:val="22"/>
        </w:rPr>
        <w:t xml:space="preserve">proposed s 39H. </w:t>
      </w:r>
    </w:p>
    <w:p w14:paraId="6D77B754" w14:textId="0A3732A0" w:rsidR="002638E3" w:rsidRPr="00C9153A" w:rsidRDefault="002638E3" w:rsidP="000A5313">
      <w:pPr>
        <w:pStyle w:val="Heading1"/>
      </w:pPr>
      <w:bookmarkStart w:id="7" w:name="_Toc124495105"/>
      <w:r>
        <w:t xml:space="preserve">Griffith </w:t>
      </w:r>
      <w:r w:rsidR="00896003">
        <w:t>r</w:t>
      </w:r>
      <w:r>
        <w:t>eview</w:t>
      </w:r>
      <w:bookmarkEnd w:id="7"/>
    </w:p>
    <w:p w14:paraId="76F17526" w14:textId="12ABFEDB" w:rsidR="006D140C" w:rsidRPr="00D252DD" w:rsidRDefault="00195B07" w:rsidP="006D140C">
      <w:pPr>
        <w:pStyle w:val="Numberedparagraph"/>
        <w:widowControl w:val="0"/>
        <w:rPr>
          <w:szCs w:val="22"/>
        </w:rPr>
      </w:pPr>
      <w:r>
        <w:rPr>
          <w:szCs w:val="22"/>
        </w:rPr>
        <w:t>T</w:t>
      </w:r>
      <w:r w:rsidR="00C9153A" w:rsidRPr="00D252DD">
        <w:rPr>
          <w:szCs w:val="22"/>
        </w:rPr>
        <w:t>he Griffith Criminology Institution recently undertook a 12-month trial of the existing law</w:t>
      </w:r>
      <w:r w:rsidR="00D317F3" w:rsidRPr="00D252DD">
        <w:rPr>
          <w:szCs w:val="22"/>
        </w:rPr>
        <w:t xml:space="preserve"> (</w:t>
      </w:r>
      <w:r w:rsidR="00D317F3" w:rsidRPr="00233E96">
        <w:rPr>
          <w:b/>
          <w:bCs/>
          <w:szCs w:val="22"/>
        </w:rPr>
        <w:t>Griffith review</w:t>
      </w:r>
      <w:r w:rsidR="00D317F3" w:rsidRPr="00D252DD">
        <w:rPr>
          <w:szCs w:val="22"/>
        </w:rPr>
        <w:t>)</w:t>
      </w:r>
      <w:r w:rsidR="00C9153A" w:rsidRPr="00D252DD">
        <w:rPr>
          <w:szCs w:val="22"/>
        </w:rPr>
        <w:t xml:space="preserve"> and suggested </w:t>
      </w:r>
      <w:r w:rsidR="006D140C" w:rsidRPr="00D252DD">
        <w:rPr>
          <w:szCs w:val="22"/>
        </w:rPr>
        <w:t xml:space="preserve">that </w:t>
      </w:r>
      <w:r w:rsidR="00C9153A" w:rsidRPr="00D252DD">
        <w:rPr>
          <w:szCs w:val="22"/>
        </w:rPr>
        <w:t>the government consider an</w:t>
      </w:r>
      <w:r w:rsidR="006D140C" w:rsidRPr="00D252DD">
        <w:rPr>
          <w:szCs w:val="22"/>
        </w:rPr>
        <w:t xml:space="preserve"> evidence</w:t>
      </w:r>
      <w:r w:rsidR="00896003">
        <w:rPr>
          <w:szCs w:val="22"/>
        </w:rPr>
        <w:t>-</w:t>
      </w:r>
      <w:r w:rsidR="006D140C" w:rsidRPr="00D252DD">
        <w:rPr>
          <w:szCs w:val="22"/>
        </w:rPr>
        <w:t>based authorisation requirement</w:t>
      </w:r>
      <w:r w:rsidR="00C9153A" w:rsidRPr="00D252DD">
        <w:rPr>
          <w:szCs w:val="22"/>
        </w:rPr>
        <w:t xml:space="preserve"> if the</w:t>
      </w:r>
      <w:r w:rsidR="006D140C" w:rsidRPr="00D252DD">
        <w:rPr>
          <w:szCs w:val="22"/>
        </w:rPr>
        <w:t xml:space="preserve"> scanning </w:t>
      </w:r>
      <w:r w:rsidR="00C9153A" w:rsidRPr="00D252DD">
        <w:rPr>
          <w:szCs w:val="22"/>
        </w:rPr>
        <w:t>trial is</w:t>
      </w:r>
      <w:r w:rsidR="006D140C" w:rsidRPr="00D252DD">
        <w:rPr>
          <w:szCs w:val="22"/>
        </w:rPr>
        <w:t xml:space="preserve"> extended past its sunset clause.</w:t>
      </w:r>
      <w:r w:rsidR="00D317F3" w:rsidRPr="00D252DD">
        <w:rPr>
          <w:rStyle w:val="FootnoteReference"/>
          <w:szCs w:val="22"/>
        </w:rPr>
        <w:footnoteReference w:id="8"/>
      </w:r>
      <w:r w:rsidR="006D140C" w:rsidRPr="00D252DD">
        <w:rPr>
          <w:szCs w:val="22"/>
        </w:rPr>
        <w:t xml:space="preserve"> The Statement</w:t>
      </w:r>
      <w:r w:rsidR="00D317F3" w:rsidRPr="00D252DD">
        <w:rPr>
          <w:szCs w:val="22"/>
        </w:rPr>
        <w:t xml:space="preserve"> of Compatibility</w:t>
      </w:r>
      <w:r w:rsidR="006D140C" w:rsidRPr="00D252DD">
        <w:rPr>
          <w:szCs w:val="22"/>
        </w:rPr>
        <w:t xml:space="preserve"> suggests clause 4 responds to this recommendation by strengthening senior police officer authorisations.</w:t>
      </w:r>
      <w:r w:rsidR="00CD3FF9">
        <w:rPr>
          <w:szCs w:val="22"/>
        </w:rPr>
        <w:t xml:space="preserve"> </w:t>
      </w:r>
    </w:p>
    <w:p w14:paraId="6AAD47E2" w14:textId="27E49A33" w:rsidR="006D140C" w:rsidRPr="00D252DD" w:rsidRDefault="00C9153A" w:rsidP="006D140C">
      <w:pPr>
        <w:pStyle w:val="Numberedparagraph"/>
        <w:widowControl w:val="0"/>
        <w:rPr>
          <w:szCs w:val="22"/>
        </w:rPr>
      </w:pPr>
      <w:r w:rsidRPr="00D252DD">
        <w:rPr>
          <w:szCs w:val="22"/>
        </w:rPr>
        <w:t xml:space="preserve">However, </w:t>
      </w:r>
      <w:r w:rsidR="00D317F3" w:rsidRPr="00D252DD">
        <w:rPr>
          <w:szCs w:val="22"/>
        </w:rPr>
        <w:t xml:space="preserve">the Griffith </w:t>
      </w:r>
      <w:r w:rsidR="006D140C" w:rsidRPr="00D252DD">
        <w:rPr>
          <w:szCs w:val="22"/>
        </w:rPr>
        <w:t>review</w:t>
      </w:r>
      <w:r w:rsidR="00F30BCE" w:rsidRPr="00D252DD">
        <w:rPr>
          <w:szCs w:val="22"/>
        </w:rPr>
        <w:t xml:space="preserve"> </w:t>
      </w:r>
      <w:r w:rsidR="002203D7">
        <w:rPr>
          <w:szCs w:val="22"/>
        </w:rPr>
        <w:t xml:space="preserve">made </w:t>
      </w:r>
      <w:r w:rsidR="00D8766A">
        <w:rPr>
          <w:szCs w:val="22"/>
        </w:rPr>
        <w:t>other</w:t>
      </w:r>
      <w:r w:rsidR="002203D7">
        <w:rPr>
          <w:szCs w:val="22"/>
        </w:rPr>
        <w:t xml:space="preserve"> findings </w:t>
      </w:r>
      <w:r w:rsidR="00896003">
        <w:rPr>
          <w:szCs w:val="22"/>
        </w:rPr>
        <w:t>that</w:t>
      </w:r>
      <w:r w:rsidR="00896003" w:rsidRPr="00D252DD">
        <w:rPr>
          <w:szCs w:val="22"/>
        </w:rPr>
        <w:t xml:space="preserve"> </w:t>
      </w:r>
      <w:r w:rsidR="00F30BCE" w:rsidRPr="00D252DD">
        <w:rPr>
          <w:szCs w:val="22"/>
        </w:rPr>
        <w:t xml:space="preserve">do not appear to </w:t>
      </w:r>
      <w:r w:rsidR="00D317F3" w:rsidRPr="00D252DD">
        <w:rPr>
          <w:szCs w:val="22"/>
        </w:rPr>
        <w:t xml:space="preserve">have been </w:t>
      </w:r>
      <w:r w:rsidR="00F30BCE" w:rsidRPr="00D252DD">
        <w:rPr>
          <w:szCs w:val="22"/>
        </w:rPr>
        <w:t>addressed in the Bill</w:t>
      </w:r>
      <w:r w:rsidR="00B05D9F" w:rsidRPr="00D252DD">
        <w:rPr>
          <w:szCs w:val="22"/>
        </w:rPr>
        <w:t xml:space="preserve">. Firstly, </w:t>
      </w:r>
      <w:r w:rsidR="00233E96">
        <w:rPr>
          <w:szCs w:val="22"/>
        </w:rPr>
        <w:t xml:space="preserve">the criteria in </w:t>
      </w:r>
      <w:r w:rsidR="00B05D9F" w:rsidRPr="00D252DD">
        <w:rPr>
          <w:szCs w:val="22"/>
        </w:rPr>
        <w:t xml:space="preserve">s 39C only </w:t>
      </w:r>
      <w:r w:rsidR="003A73A3" w:rsidRPr="00D252DD">
        <w:rPr>
          <w:szCs w:val="22"/>
        </w:rPr>
        <w:t>refer</w:t>
      </w:r>
      <w:r w:rsidR="00B05D9F" w:rsidRPr="00D252DD">
        <w:rPr>
          <w:szCs w:val="22"/>
        </w:rPr>
        <w:t xml:space="preserve"> to one offence in the </w:t>
      </w:r>
      <w:r w:rsidR="00B05D9F" w:rsidRPr="00D252DD">
        <w:rPr>
          <w:szCs w:val="22"/>
        </w:rPr>
        <w:lastRenderedPageBreak/>
        <w:t xml:space="preserve">previous six months, </w:t>
      </w:r>
      <w:r w:rsidR="00233E96">
        <w:rPr>
          <w:szCs w:val="22"/>
        </w:rPr>
        <w:t xml:space="preserve">while </w:t>
      </w:r>
      <w:r w:rsidR="00B05D9F" w:rsidRPr="00D252DD">
        <w:rPr>
          <w:szCs w:val="22"/>
        </w:rPr>
        <w:t xml:space="preserve">the </w:t>
      </w:r>
      <w:r w:rsidR="00D317F3" w:rsidRPr="00D252DD">
        <w:rPr>
          <w:szCs w:val="22"/>
        </w:rPr>
        <w:t xml:space="preserve">Griffith review </w:t>
      </w:r>
      <w:r w:rsidR="00B05D9F" w:rsidRPr="00D252DD">
        <w:rPr>
          <w:szCs w:val="22"/>
        </w:rPr>
        <w:t xml:space="preserve">found: </w:t>
      </w:r>
    </w:p>
    <w:p w14:paraId="39C89757" w14:textId="5689D406" w:rsidR="00F30BCE" w:rsidRDefault="00F30BCE" w:rsidP="00B05D9F">
      <w:pPr>
        <w:pStyle w:val="Quote"/>
      </w:pPr>
      <w:r>
        <w:t>A</w:t>
      </w:r>
      <w:r w:rsidRPr="00F30BCE">
        <w:t>ny continuation of w</w:t>
      </w:r>
      <w:r>
        <w:t>a</w:t>
      </w:r>
      <w:r w:rsidRPr="00F30BCE">
        <w:t>nding should be targeted at only those areas where data shows a proportionately higher prevalence of knife offences occurring over a sustained perio</w:t>
      </w:r>
      <w:r>
        <w:t>d</w:t>
      </w:r>
      <w:r w:rsidR="00B05D9F">
        <w:t>.</w:t>
      </w:r>
      <w:r w:rsidR="00233E96">
        <w:rPr>
          <w:rStyle w:val="FootnoteReference"/>
        </w:rPr>
        <w:footnoteReference w:id="9"/>
      </w:r>
      <w:r w:rsidR="00B05D9F">
        <w:t xml:space="preserve"> </w:t>
      </w:r>
    </w:p>
    <w:p w14:paraId="3049411F" w14:textId="0BA10DEA" w:rsidR="00B05D9F" w:rsidRPr="00D252DD" w:rsidRDefault="00B05D9F" w:rsidP="00B05D9F">
      <w:pPr>
        <w:pStyle w:val="Numberedparagraph"/>
        <w:rPr>
          <w:szCs w:val="22"/>
        </w:rPr>
      </w:pPr>
      <w:r w:rsidRPr="00D252DD">
        <w:rPr>
          <w:szCs w:val="22"/>
        </w:rPr>
        <w:t xml:space="preserve">The </w:t>
      </w:r>
      <w:r w:rsidR="00D317F3" w:rsidRPr="00D252DD">
        <w:rPr>
          <w:szCs w:val="22"/>
        </w:rPr>
        <w:t xml:space="preserve">Griffith review </w:t>
      </w:r>
      <w:r w:rsidRPr="00D252DD">
        <w:rPr>
          <w:szCs w:val="22"/>
        </w:rPr>
        <w:t>recommended that:</w:t>
      </w:r>
    </w:p>
    <w:p w14:paraId="4F48B5D2" w14:textId="3EB512A1" w:rsidR="00B05D9F" w:rsidRDefault="00B05D9F" w:rsidP="00B05D9F">
      <w:pPr>
        <w:pStyle w:val="Quote"/>
      </w:pPr>
      <w:r w:rsidRPr="00FB0A3D">
        <w:t>There is limited justification for the intrusiveness of wanding in areas without evidence of higher than usual counts of weapons crime. In the future, wanding should only be used in places where the evidence suggests weapons are more likely to be carried.</w:t>
      </w:r>
      <w:r w:rsidR="00233E96">
        <w:rPr>
          <w:rStyle w:val="FootnoteReference"/>
        </w:rPr>
        <w:footnoteReference w:id="10"/>
      </w:r>
    </w:p>
    <w:p w14:paraId="45BBDC56" w14:textId="104D5DE2" w:rsidR="00B05D9F" w:rsidRPr="00D252DD" w:rsidRDefault="00B05D9F" w:rsidP="00B05D9F">
      <w:pPr>
        <w:pStyle w:val="Numberedparagraph"/>
        <w:rPr>
          <w:szCs w:val="22"/>
        </w:rPr>
      </w:pPr>
      <w:r w:rsidRPr="00D252DD">
        <w:rPr>
          <w:szCs w:val="22"/>
        </w:rPr>
        <w:t xml:space="preserve">Other relevant findings included: </w:t>
      </w:r>
    </w:p>
    <w:p w14:paraId="6C1F7437" w14:textId="3BA86009" w:rsidR="00F30BCE" w:rsidRPr="007A2040" w:rsidRDefault="00F30BCE" w:rsidP="00F30BCE">
      <w:pPr>
        <w:pStyle w:val="Bulletedlist"/>
        <w:rPr>
          <w:sz w:val="20"/>
          <w:szCs w:val="20"/>
        </w:rPr>
      </w:pPr>
      <w:r w:rsidRPr="007A2040">
        <w:rPr>
          <w:sz w:val="20"/>
          <w:szCs w:val="20"/>
        </w:rPr>
        <w:t>While wanding has been useful to better detect weapons (in one site only), there is no evidence as yet of any deterrent effect, given that there has been an increase in detections at one site, and no change at the other. A longer term follow up may be needed to better assess these effects.</w:t>
      </w:r>
    </w:p>
    <w:p w14:paraId="457910B6" w14:textId="425F1DFA" w:rsidR="00F30BCE" w:rsidRPr="007A2040" w:rsidRDefault="00F30BCE" w:rsidP="00F30BCE">
      <w:pPr>
        <w:pStyle w:val="Bulletedlist"/>
        <w:rPr>
          <w:sz w:val="20"/>
          <w:szCs w:val="20"/>
        </w:rPr>
      </w:pPr>
      <w:r w:rsidRPr="007A2040">
        <w:rPr>
          <w:sz w:val="20"/>
          <w:szCs w:val="20"/>
        </w:rPr>
        <w:t>In terms of equity, wanding has been inconsistently used across different groups in the community. While the targeting of young people was clearly intended under the legislation, and there is an evidence base for selecting more males than females, there is some evidence of inappropriate use of stereotypes and cultural assumptions by a small number of officers.</w:t>
      </w:r>
    </w:p>
    <w:p w14:paraId="2F2380E9" w14:textId="3C9F77F0" w:rsidR="00F30BCE" w:rsidRPr="007A2040" w:rsidRDefault="00F30BCE" w:rsidP="00F30BCE">
      <w:pPr>
        <w:pStyle w:val="Bulletedlist"/>
        <w:rPr>
          <w:sz w:val="20"/>
          <w:szCs w:val="20"/>
        </w:rPr>
      </w:pPr>
      <w:r w:rsidRPr="007A2040">
        <w:rPr>
          <w:sz w:val="20"/>
          <w:szCs w:val="20"/>
        </w:rPr>
        <w:t xml:space="preserve">The recording of First Nations status in QPRIME requires attention to ensure that the data better reflects police interactions with Aboriginal and Torres Strait Islander </w:t>
      </w:r>
      <w:r w:rsidR="00D317F3" w:rsidRPr="007A2040">
        <w:rPr>
          <w:sz w:val="20"/>
          <w:szCs w:val="20"/>
        </w:rPr>
        <w:t>peoples</w:t>
      </w:r>
      <w:r w:rsidRPr="007A2040">
        <w:rPr>
          <w:sz w:val="20"/>
          <w:szCs w:val="20"/>
        </w:rPr>
        <w:t>. Consideration might also be given to careful recording of Māori and Pasifika status due to the demographic composition of Queensland.</w:t>
      </w:r>
    </w:p>
    <w:p w14:paraId="46B7A305" w14:textId="39FA60F0" w:rsidR="00F30BCE" w:rsidRPr="00D252DD" w:rsidRDefault="00F30BCE" w:rsidP="00F30BCE">
      <w:pPr>
        <w:pStyle w:val="Bulletedlist"/>
        <w:rPr>
          <w:szCs w:val="22"/>
        </w:rPr>
      </w:pPr>
      <w:r w:rsidRPr="007A2040">
        <w:rPr>
          <w:sz w:val="20"/>
          <w:szCs w:val="20"/>
        </w:rPr>
        <w:t>Given the increased number of drug detections linked to wanding in Surfers Paradise, care needs to be taken to ensure that wanding does not lead to a by-passing of reasonable suspicion safeguards, and net-widening among minor offenders who are not carrying weapons, but nevertheless come to police attention purely because of wanding practices. The entry of larger numbers of these individuals into formal criminal justice processes could have many adverse flow-on effects</w:t>
      </w:r>
      <w:r w:rsidR="00C91623" w:rsidRPr="00D252DD">
        <w:rPr>
          <w:szCs w:val="22"/>
        </w:rPr>
        <w:t>.</w:t>
      </w:r>
      <w:r w:rsidR="00C91623" w:rsidRPr="00D252DD">
        <w:rPr>
          <w:rStyle w:val="FootnoteReference"/>
          <w:szCs w:val="22"/>
        </w:rPr>
        <w:footnoteReference w:id="11"/>
      </w:r>
    </w:p>
    <w:p w14:paraId="44E90D19" w14:textId="20CE2A33" w:rsidR="006B474A" w:rsidRDefault="00AC0E09">
      <w:pPr>
        <w:pStyle w:val="Numberedparagraph"/>
      </w:pPr>
      <w:r>
        <w:t>The Commission welcomes confirmation from</w:t>
      </w:r>
      <w:r w:rsidR="00E74311">
        <w:t xml:space="preserve"> the Queensland Police Service (</w:t>
      </w:r>
      <w:r>
        <w:t>QPS</w:t>
      </w:r>
      <w:r w:rsidR="00E74311">
        <w:t>)</w:t>
      </w:r>
      <w:r>
        <w:t xml:space="preserve"> that it will implement the review’s suggestion that </w:t>
      </w:r>
      <w:r w:rsidR="007A2040">
        <w:t xml:space="preserve">its </w:t>
      </w:r>
      <w:r>
        <w:t>t</w:t>
      </w:r>
      <w:r w:rsidRPr="00D252DD">
        <w:t xml:space="preserve">raining </w:t>
      </w:r>
      <w:r w:rsidR="006B474A">
        <w:t xml:space="preserve">include </w:t>
      </w:r>
      <w:r w:rsidR="00FB0A3D" w:rsidRPr="00D252DD">
        <w:t>how wand</w:t>
      </w:r>
      <w:r w:rsidR="003176DB">
        <w:t xml:space="preserve"> scann</w:t>
      </w:r>
      <w:r w:rsidR="00FB0A3D" w:rsidRPr="00D252DD">
        <w:t>ing can impinge</w:t>
      </w:r>
      <w:r w:rsidR="00D8766A">
        <w:t xml:space="preserve"> on</w:t>
      </w:r>
      <w:r w:rsidR="00FB0A3D" w:rsidRPr="00D252DD">
        <w:t xml:space="preserve"> human rights protected under the HR</w:t>
      </w:r>
      <w:r w:rsidR="001531E3" w:rsidRPr="00D252DD">
        <w:t xml:space="preserve"> </w:t>
      </w:r>
      <w:r w:rsidR="00FB0A3D" w:rsidRPr="00D252DD">
        <w:t>A</w:t>
      </w:r>
      <w:r w:rsidR="001531E3" w:rsidRPr="00D252DD">
        <w:t>ct</w:t>
      </w:r>
      <w:r w:rsidR="00FB0A3D" w:rsidRPr="00D252DD">
        <w:t>.</w:t>
      </w:r>
      <w:r w:rsidR="007A2040">
        <w:rPr>
          <w:rStyle w:val="FootnoteReference"/>
        </w:rPr>
        <w:footnoteReference w:id="12"/>
      </w:r>
      <w:r w:rsidR="00FB0A3D" w:rsidRPr="00D252DD">
        <w:t xml:space="preserve"> </w:t>
      </w:r>
      <w:r w:rsidR="007223F0">
        <w:t xml:space="preserve">This </w:t>
      </w:r>
      <w:r w:rsidR="006B474A">
        <w:t>should include acknowledgement</w:t>
      </w:r>
      <w:r w:rsidR="007223F0">
        <w:t xml:space="preserve"> </w:t>
      </w:r>
      <w:r w:rsidR="00EB6E9E">
        <w:t>of</w:t>
      </w:r>
      <w:r w:rsidR="006B474A">
        <w:t xml:space="preserve"> the potential that bias and stereotyping can consciously or unconsciously guide decision making about who is subject to </w:t>
      </w:r>
      <w:r w:rsidR="003176DB">
        <w:t>scanning</w:t>
      </w:r>
      <w:r w:rsidR="006B474A">
        <w:t>.</w:t>
      </w:r>
    </w:p>
    <w:p w14:paraId="53B68087" w14:textId="33F3E945" w:rsidR="00FB0A3D" w:rsidRPr="00D252DD" w:rsidRDefault="006B474A" w:rsidP="007A2040">
      <w:pPr>
        <w:pStyle w:val="Numberedparagraph"/>
      </w:pPr>
      <w:r>
        <w:t>The Commission</w:t>
      </w:r>
      <w:r w:rsidR="007223F0">
        <w:t xml:space="preserve"> understand</w:t>
      </w:r>
      <w:r>
        <w:t xml:space="preserve">s </w:t>
      </w:r>
      <w:r w:rsidR="003176DB">
        <w:t xml:space="preserve">from material provided to the Committee </w:t>
      </w:r>
      <w:r>
        <w:t>that QPS will</w:t>
      </w:r>
      <w:r w:rsidR="001F28C4">
        <w:t xml:space="preserve"> also</w:t>
      </w:r>
      <w:r w:rsidR="007223F0">
        <w:t xml:space="preserve"> </w:t>
      </w:r>
      <w:r>
        <w:t>develop</w:t>
      </w:r>
      <w:r w:rsidR="007223F0">
        <w:t xml:space="preserve"> e</w:t>
      </w:r>
      <w:r w:rsidR="00C91623" w:rsidRPr="00D252DD">
        <w:t xml:space="preserve">vidence-based </w:t>
      </w:r>
      <w:r w:rsidR="00EB6E9E">
        <w:t xml:space="preserve">and publicly available </w:t>
      </w:r>
      <w:r w:rsidR="00C91623" w:rsidRPr="00D252DD">
        <w:t xml:space="preserve">guidelines on risk factors </w:t>
      </w:r>
      <w:r w:rsidR="00C91623" w:rsidRPr="00D252DD">
        <w:lastRenderedPageBreak/>
        <w:t xml:space="preserve">for knife carrying </w:t>
      </w:r>
      <w:r>
        <w:t>to guide the exercise of officers’ discretion</w:t>
      </w:r>
      <w:r w:rsidR="00C91623" w:rsidRPr="00D252DD">
        <w:t>.</w:t>
      </w:r>
      <w:r w:rsidR="007223F0">
        <w:t xml:space="preserve"> This would ensure </w:t>
      </w:r>
      <w:r w:rsidR="003176DB">
        <w:t>scanning</w:t>
      </w:r>
      <w:r w:rsidR="007223F0">
        <w:t xml:space="preserve"> </w:t>
      </w:r>
      <w:r>
        <w:t>does not occur based</w:t>
      </w:r>
      <w:r w:rsidR="007223F0">
        <w:t xml:space="preserve"> on race or cultural identification</w:t>
      </w:r>
      <w:r>
        <w:t xml:space="preserve"> alone</w:t>
      </w:r>
      <w:r w:rsidR="007223F0">
        <w:t>.</w:t>
      </w:r>
      <w:r w:rsidR="007223F0">
        <w:rPr>
          <w:rStyle w:val="FootnoteReference"/>
        </w:rPr>
        <w:footnoteReference w:id="13"/>
      </w:r>
    </w:p>
    <w:p w14:paraId="1B6FF4AA" w14:textId="5BC270FC" w:rsidR="00F30BCE" w:rsidRPr="00AC0E09" w:rsidRDefault="00D317F3" w:rsidP="00AE0427">
      <w:pPr>
        <w:pStyle w:val="Numberedparagraph"/>
        <w:widowControl w:val="0"/>
        <w:rPr>
          <w:szCs w:val="22"/>
        </w:rPr>
      </w:pPr>
      <w:r w:rsidRPr="00AC0E09">
        <w:rPr>
          <w:szCs w:val="22"/>
        </w:rPr>
        <w:t>The Commission</w:t>
      </w:r>
      <w:r w:rsidR="00AC0E09" w:rsidRPr="00AC0E09">
        <w:rPr>
          <w:szCs w:val="22"/>
        </w:rPr>
        <w:t xml:space="preserve"> </w:t>
      </w:r>
      <w:r w:rsidR="00F30BCE" w:rsidRPr="00AC0E09">
        <w:rPr>
          <w:szCs w:val="22"/>
        </w:rPr>
        <w:t>suggest</w:t>
      </w:r>
      <w:r w:rsidRPr="00AC0E09">
        <w:rPr>
          <w:szCs w:val="22"/>
        </w:rPr>
        <w:t>s</w:t>
      </w:r>
      <w:r w:rsidR="00F30BCE" w:rsidRPr="00AC0E09">
        <w:rPr>
          <w:szCs w:val="22"/>
        </w:rPr>
        <w:t xml:space="preserve"> the Committee seek</w:t>
      </w:r>
      <w:r w:rsidR="002203D7" w:rsidRPr="00AC0E09">
        <w:rPr>
          <w:szCs w:val="22"/>
        </w:rPr>
        <w:t>s</w:t>
      </w:r>
      <w:r w:rsidR="00F30BCE" w:rsidRPr="00AC0E09">
        <w:rPr>
          <w:szCs w:val="22"/>
        </w:rPr>
        <w:t xml:space="preserve"> </w:t>
      </w:r>
      <w:r w:rsidR="006B474A">
        <w:rPr>
          <w:szCs w:val="22"/>
        </w:rPr>
        <w:t>further information</w:t>
      </w:r>
      <w:r w:rsidR="00F30BCE" w:rsidRPr="00AC0E09">
        <w:rPr>
          <w:szCs w:val="22"/>
        </w:rPr>
        <w:t xml:space="preserve"> from the </w:t>
      </w:r>
      <w:r w:rsidRPr="00AC0E09">
        <w:rPr>
          <w:szCs w:val="22"/>
        </w:rPr>
        <w:t xml:space="preserve">government </w:t>
      </w:r>
      <w:r w:rsidR="00F30BCE" w:rsidRPr="00AC0E09">
        <w:rPr>
          <w:szCs w:val="22"/>
        </w:rPr>
        <w:t>as to how it will respond to the</w:t>
      </w:r>
      <w:r w:rsidR="007223F0">
        <w:rPr>
          <w:szCs w:val="22"/>
        </w:rPr>
        <w:t xml:space="preserve"> review’s other</w:t>
      </w:r>
      <w:r w:rsidR="00F30BCE" w:rsidRPr="00AC0E09">
        <w:rPr>
          <w:szCs w:val="22"/>
        </w:rPr>
        <w:t xml:space="preserve"> findings</w:t>
      </w:r>
      <w:r w:rsidR="00C9153A" w:rsidRPr="00AC0E09">
        <w:rPr>
          <w:szCs w:val="22"/>
        </w:rPr>
        <w:t xml:space="preserve"> and suggestions</w:t>
      </w:r>
      <w:r w:rsidR="007223F0">
        <w:rPr>
          <w:szCs w:val="22"/>
        </w:rPr>
        <w:t xml:space="preserve"> including the </w:t>
      </w:r>
      <w:r w:rsidR="007223F0" w:rsidRPr="00D252DD">
        <w:rPr>
          <w:szCs w:val="22"/>
        </w:rPr>
        <w:t>unreliability of data recorded in QPRIME</w:t>
      </w:r>
      <w:r w:rsidR="00DB1857">
        <w:rPr>
          <w:szCs w:val="22"/>
        </w:rPr>
        <w:t>.</w:t>
      </w:r>
      <w:r w:rsidR="007223F0" w:rsidRPr="00D252DD">
        <w:rPr>
          <w:szCs w:val="22"/>
        </w:rPr>
        <w:t xml:space="preserve"> </w:t>
      </w:r>
    </w:p>
    <w:p w14:paraId="3524B34D" w14:textId="77777777" w:rsidR="00D252DD" w:rsidRDefault="002638E3" w:rsidP="002638E3">
      <w:pPr>
        <w:pStyle w:val="Heading1"/>
      </w:pPr>
      <w:bookmarkStart w:id="8" w:name="_Toc124495106"/>
      <w:r>
        <w:t>Further evaluation necessary</w:t>
      </w:r>
      <w:bookmarkEnd w:id="8"/>
    </w:p>
    <w:p w14:paraId="2E964E8F" w14:textId="1009CBA2" w:rsidR="00115384" w:rsidRPr="00D252DD" w:rsidRDefault="00F30BCE" w:rsidP="00D252DD">
      <w:pPr>
        <w:pStyle w:val="Numberedparagraph"/>
        <w:rPr>
          <w:szCs w:val="22"/>
        </w:rPr>
      </w:pPr>
      <w:r w:rsidRPr="00D252DD">
        <w:rPr>
          <w:szCs w:val="22"/>
        </w:rPr>
        <w:t>In</w:t>
      </w:r>
      <w:r w:rsidR="006D140C" w:rsidRPr="00D252DD">
        <w:rPr>
          <w:szCs w:val="22"/>
        </w:rPr>
        <w:t xml:space="preserve"> light of the Griffith </w:t>
      </w:r>
      <w:r w:rsidR="00D317F3" w:rsidRPr="00D252DD">
        <w:rPr>
          <w:szCs w:val="22"/>
        </w:rPr>
        <w:t>review</w:t>
      </w:r>
      <w:r w:rsidR="006D140C" w:rsidRPr="00D252DD">
        <w:rPr>
          <w:szCs w:val="22"/>
        </w:rPr>
        <w:t>, and that the trial is being expanded, w</w:t>
      </w:r>
      <w:r w:rsidR="00115384" w:rsidRPr="00D252DD">
        <w:rPr>
          <w:szCs w:val="22"/>
        </w:rPr>
        <w:t xml:space="preserve">e suggest that the Committee confirm with the </w:t>
      </w:r>
      <w:r w:rsidR="00D317F3" w:rsidRPr="00D252DD">
        <w:rPr>
          <w:szCs w:val="22"/>
        </w:rPr>
        <w:t xml:space="preserve">government </w:t>
      </w:r>
      <w:r w:rsidR="00115384" w:rsidRPr="00D252DD">
        <w:rPr>
          <w:szCs w:val="22"/>
        </w:rPr>
        <w:t xml:space="preserve">how, prior to the end of the trial, it will assess if </w:t>
      </w:r>
      <w:r w:rsidR="005E5033">
        <w:rPr>
          <w:szCs w:val="22"/>
        </w:rPr>
        <w:t>t</w:t>
      </w:r>
      <w:r w:rsidR="005E5033" w:rsidRPr="00115384">
        <w:t xml:space="preserve">he screening of individuals for knives in areas which have been identified as high-risk </w:t>
      </w:r>
      <w:r w:rsidR="00115384" w:rsidRPr="00D252DD">
        <w:rPr>
          <w:szCs w:val="22"/>
        </w:rPr>
        <w:t>have b</w:t>
      </w:r>
      <w:r w:rsidR="008A7DAD" w:rsidRPr="00D252DD">
        <w:rPr>
          <w:szCs w:val="22"/>
        </w:rPr>
        <w:t>e</w:t>
      </w:r>
      <w:r w:rsidR="00115384" w:rsidRPr="00D252DD">
        <w:rPr>
          <w:szCs w:val="22"/>
        </w:rPr>
        <w:t>en successful in:</w:t>
      </w:r>
    </w:p>
    <w:p w14:paraId="622C9E36" w14:textId="446C302F" w:rsidR="00115384" w:rsidRDefault="00115384" w:rsidP="008A7DAD">
      <w:pPr>
        <w:pStyle w:val="Quote"/>
        <w:numPr>
          <w:ilvl w:val="1"/>
          <w:numId w:val="13"/>
        </w:numPr>
      </w:pPr>
      <w:r w:rsidRPr="00115384">
        <w:t>remov</w:t>
      </w:r>
      <w:r w:rsidR="005E5033">
        <w:t>ing</w:t>
      </w:r>
      <w:r w:rsidRPr="00115384">
        <w:t xml:space="preserve"> knives from the environment and dissuad</w:t>
      </w:r>
      <w:r w:rsidR="005E5033">
        <w:t>ing</w:t>
      </w:r>
      <w:r w:rsidRPr="00115384">
        <w:t xml:space="preserve"> individuals from entering these areas while carrying a knife</w:t>
      </w:r>
      <w:r w:rsidR="005E5033">
        <w:t>;</w:t>
      </w:r>
      <w:r w:rsidR="008A7DAD">
        <w:rPr>
          <w:rStyle w:val="FootnoteReference"/>
        </w:rPr>
        <w:footnoteReference w:id="14"/>
      </w:r>
    </w:p>
    <w:p w14:paraId="47EC0041" w14:textId="058145C8" w:rsidR="008A7DAD" w:rsidRDefault="005E5033" w:rsidP="008A7DAD">
      <w:pPr>
        <w:pStyle w:val="Quote"/>
        <w:numPr>
          <w:ilvl w:val="1"/>
          <w:numId w:val="13"/>
        </w:numPr>
        <w:rPr>
          <w:rStyle w:val="QuoteChar"/>
        </w:rPr>
      </w:pPr>
      <w:r>
        <w:rPr>
          <w:rStyle w:val="QuoteChar"/>
        </w:rPr>
        <w:t>m</w:t>
      </w:r>
      <w:r w:rsidR="008A7DAD" w:rsidRPr="008A7DAD">
        <w:rPr>
          <w:rStyle w:val="QuoteChar"/>
        </w:rPr>
        <w:t xml:space="preserve">inimising the risk of physical harm caused by knife crime in SNPs and public transport stations and public transport vehicles by removing knives from individuals in these areas; and </w:t>
      </w:r>
    </w:p>
    <w:p w14:paraId="50D348C3" w14:textId="4B5EC0CE" w:rsidR="008A7DAD" w:rsidRPr="008A7DAD" w:rsidRDefault="005E5033" w:rsidP="008A7DAD">
      <w:pPr>
        <w:pStyle w:val="Quote"/>
        <w:numPr>
          <w:ilvl w:val="1"/>
          <w:numId w:val="13"/>
        </w:numPr>
      </w:pPr>
      <w:r>
        <w:rPr>
          <w:rStyle w:val="QuoteChar"/>
        </w:rPr>
        <w:t>e</w:t>
      </w:r>
      <w:r w:rsidR="008A7DAD" w:rsidRPr="008A7DAD">
        <w:rPr>
          <w:rStyle w:val="QuoteChar"/>
        </w:rPr>
        <w:t>nsuring the safety of others in the community by reducing knife crime</w:t>
      </w:r>
      <w:r w:rsidR="008A7DAD">
        <w:rPr>
          <w:rStyle w:val="QuoteChar"/>
        </w:rPr>
        <w:t>.</w:t>
      </w:r>
      <w:r w:rsidR="008A7DAD">
        <w:rPr>
          <w:rStyle w:val="FootnoteReference"/>
        </w:rPr>
        <w:footnoteReference w:id="15"/>
      </w:r>
    </w:p>
    <w:p w14:paraId="45EACB59" w14:textId="2616284D" w:rsidR="002265F5" w:rsidRPr="000A5313" w:rsidRDefault="00C2542D" w:rsidP="000A5313">
      <w:pPr>
        <w:pStyle w:val="Numberedparagraph"/>
      </w:pPr>
      <w:r>
        <w:t>Adding</w:t>
      </w:r>
      <w:r w:rsidR="002265F5" w:rsidRPr="000A5313">
        <w:t xml:space="preserve"> public transport</w:t>
      </w:r>
      <w:r w:rsidR="00D252DD" w:rsidRPr="000A5313">
        <w:t xml:space="preserve"> to the places where searching may be conducted</w:t>
      </w:r>
      <w:r w:rsidR="002265F5" w:rsidRPr="000A5313">
        <w:t xml:space="preserve"> risks marginalis</w:t>
      </w:r>
      <w:r>
        <w:t>ing</w:t>
      </w:r>
      <w:r w:rsidR="002265F5" w:rsidRPr="000A5313">
        <w:t xml:space="preserve"> at</w:t>
      </w:r>
      <w:r w:rsidR="00233E96" w:rsidRPr="000A5313">
        <w:t>-</w:t>
      </w:r>
      <w:r w:rsidR="002265F5" w:rsidRPr="000A5313">
        <w:t xml:space="preserve">risk groups who rely on public transport </w:t>
      </w:r>
      <w:r w:rsidR="00D252DD" w:rsidRPr="000A5313">
        <w:t>to obtain essential services, attend work</w:t>
      </w:r>
      <w:r w:rsidR="005E5033">
        <w:t>,</w:t>
      </w:r>
      <w:r w:rsidR="00D252DD" w:rsidRPr="000A5313">
        <w:t xml:space="preserve"> and access health care. </w:t>
      </w:r>
      <w:r w:rsidR="00233E96" w:rsidRPr="000A5313">
        <w:t>The</w:t>
      </w:r>
      <w:r w:rsidR="007A6DAC" w:rsidRPr="000A5313">
        <w:t xml:space="preserve"> extension of the power to search </w:t>
      </w:r>
      <w:r w:rsidR="00471B60">
        <w:t xml:space="preserve">and scan </w:t>
      </w:r>
      <w:r w:rsidR="007A6DAC" w:rsidRPr="000A5313">
        <w:t xml:space="preserve">to such situations is likely to limit </w:t>
      </w:r>
      <w:r w:rsidR="00471B60">
        <w:t>additional</w:t>
      </w:r>
      <w:r w:rsidR="00471B60" w:rsidRPr="000A5313">
        <w:t xml:space="preserve"> </w:t>
      </w:r>
      <w:r w:rsidR="00471B60">
        <w:t xml:space="preserve">human </w:t>
      </w:r>
      <w:r w:rsidR="007A6DAC" w:rsidRPr="000A5313">
        <w:t xml:space="preserve">rights. </w:t>
      </w:r>
    </w:p>
    <w:p w14:paraId="33C626E3" w14:textId="60D6E2F7" w:rsidR="008109D2" w:rsidRPr="000A5313" w:rsidRDefault="00D317F3" w:rsidP="000A5313">
      <w:pPr>
        <w:pStyle w:val="Numberedparagraph"/>
      </w:pPr>
      <w:r w:rsidRPr="000A5313">
        <w:t>The government should commission a</w:t>
      </w:r>
      <w:r w:rsidR="00471B60">
        <w:t>n</w:t>
      </w:r>
      <w:r w:rsidR="00F30BCE" w:rsidRPr="000A5313">
        <w:t xml:space="preserve"> independent review </w:t>
      </w:r>
      <w:r w:rsidRPr="000A5313">
        <w:t>12 months after the impl</w:t>
      </w:r>
      <w:r w:rsidR="007A6DAC" w:rsidRPr="000A5313">
        <w:t>eme</w:t>
      </w:r>
      <w:r w:rsidRPr="000A5313">
        <w:t xml:space="preserve">ntation of </w:t>
      </w:r>
      <w:r w:rsidR="00471B60">
        <w:t>this Bill</w:t>
      </w:r>
      <w:r w:rsidR="00F30BCE" w:rsidRPr="000A5313">
        <w:t xml:space="preserve">. </w:t>
      </w:r>
      <w:r w:rsidR="00115384" w:rsidRPr="000A5313">
        <w:t xml:space="preserve">The Commission suggests </w:t>
      </w:r>
      <w:r w:rsidR="00471B60">
        <w:t xml:space="preserve">that </w:t>
      </w:r>
      <w:r w:rsidR="00F30BCE" w:rsidRPr="000A5313">
        <w:t>relevant considerations</w:t>
      </w:r>
      <w:r w:rsidR="00C9153A" w:rsidRPr="000A5313">
        <w:t xml:space="preserve"> for such a review </w:t>
      </w:r>
      <w:r w:rsidR="00115384" w:rsidRPr="000A5313">
        <w:t xml:space="preserve">would be </w:t>
      </w:r>
      <w:r w:rsidR="00C9153A" w:rsidRPr="000A5313">
        <w:t xml:space="preserve">the extent to which </w:t>
      </w:r>
      <w:r w:rsidR="000D63CA" w:rsidRPr="000A5313">
        <w:t xml:space="preserve">the trial </w:t>
      </w:r>
      <w:r w:rsidR="00C9153A" w:rsidRPr="000A5313">
        <w:t xml:space="preserve">has achieved </w:t>
      </w:r>
      <w:r w:rsidR="00115384" w:rsidRPr="000A5313">
        <w:t>a significant</w:t>
      </w:r>
      <w:r w:rsidR="00FA1473" w:rsidRPr="000A5313">
        <w:t xml:space="preserve"> </w:t>
      </w:r>
      <w:r w:rsidR="00115384" w:rsidRPr="000A5313">
        <w:t>r</w:t>
      </w:r>
      <w:r w:rsidR="00FA1473" w:rsidRPr="000A5313">
        <w:t>eduction in crimes</w:t>
      </w:r>
      <w:r w:rsidR="00115384" w:rsidRPr="000A5313">
        <w:t xml:space="preserve"> involving weapons</w:t>
      </w:r>
      <w:r w:rsidR="005E5033">
        <w:t>,</w:t>
      </w:r>
      <w:r w:rsidR="00D252DD" w:rsidRPr="000A5313">
        <w:t xml:space="preserve"> and if the addition of public transport has had a disproportionate impact on certain groups</w:t>
      </w:r>
      <w:r w:rsidR="00115384" w:rsidRPr="000A5313">
        <w:t xml:space="preserve">. </w:t>
      </w:r>
      <w:r w:rsidR="00F30BCE" w:rsidRPr="000A5313">
        <w:t xml:space="preserve">Ideally, the </w:t>
      </w:r>
      <w:r w:rsidRPr="000A5313">
        <w:t xml:space="preserve">government should </w:t>
      </w:r>
      <w:r w:rsidR="00F30BCE" w:rsidRPr="000A5313">
        <w:t xml:space="preserve">commit </w:t>
      </w:r>
      <w:r w:rsidR="000D63CA" w:rsidRPr="000A5313">
        <w:t xml:space="preserve">in advance </w:t>
      </w:r>
      <w:r w:rsidR="00F30BCE" w:rsidRPr="000A5313">
        <w:t xml:space="preserve">to implementing any </w:t>
      </w:r>
      <w:r w:rsidRPr="000A5313">
        <w:t xml:space="preserve">advice and </w:t>
      </w:r>
      <w:r w:rsidR="00F30BCE" w:rsidRPr="000A5313">
        <w:t xml:space="preserve">recommendations </w:t>
      </w:r>
      <w:r w:rsidR="000D63CA" w:rsidRPr="000A5313">
        <w:t>of such a review.</w:t>
      </w:r>
      <w:r w:rsidR="00F30BCE" w:rsidRPr="000A5313">
        <w:t xml:space="preserve"> </w:t>
      </w:r>
    </w:p>
    <w:p w14:paraId="4B994ACB" w14:textId="25E6D89B" w:rsidR="00052290" w:rsidRPr="000A5313" w:rsidRDefault="00052290" w:rsidP="00313589">
      <w:pPr>
        <w:pStyle w:val="Numberedparagraph"/>
      </w:pPr>
      <w:r w:rsidRPr="000A5313">
        <w:t>Thank you for the opportunity to comment on the Bill</w:t>
      </w:r>
      <w:r w:rsidR="00F30BCE" w:rsidRPr="000A5313">
        <w:t>.</w:t>
      </w:r>
    </w:p>
    <w:sectPr w:rsidR="00052290" w:rsidRPr="000A5313" w:rsidSect="003A3833">
      <w:headerReference w:type="default" r:id="rId10"/>
      <w:footerReference w:type="default" r:id="rId11"/>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0E25" w14:textId="77777777" w:rsidR="00052290" w:rsidRDefault="00052290" w:rsidP="0034134D">
      <w:r>
        <w:separator/>
      </w:r>
    </w:p>
  </w:endnote>
  <w:endnote w:type="continuationSeparator" w:id="0">
    <w:p w14:paraId="159D67BE" w14:textId="77777777" w:rsidR="00052290" w:rsidRDefault="00052290"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8B98" w14:textId="5A364833" w:rsidR="00293C9F" w:rsidRPr="00293C9F" w:rsidRDefault="00293C9F"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9A6238">
      <w:rPr>
        <w:rFonts w:ascii="Arial" w:hAnsi="Arial" w:cs="Arial"/>
        <w:noProof/>
        <w:color w:val="404040" w:themeColor="text1" w:themeTint="BF"/>
        <w:sz w:val="16"/>
        <w:szCs w:val="20"/>
      </w:rPr>
      <w:t>13</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DC78" w14:textId="77777777" w:rsidR="00052290" w:rsidRDefault="00052290" w:rsidP="0034134D">
      <w:r>
        <w:separator/>
      </w:r>
    </w:p>
  </w:footnote>
  <w:footnote w:type="continuationSeparator" w:id="0">
    <w:p w14:paraId="0BFD17AB" w14:textId="77777777" w:rsidR="00052290" w:rsidRDefault="00052290" w:rsidP="0034134D">
      <w:r>
        <w:continuationSeparator/>
      </w:r>
    </w:p>
  </w:footnote>
  <w:footnote w:id="1">
    <w:p w14:paraId="667E62B7" w14:textId="25DC9AF2" w:rsidR="00CD3759" w:rsidRPr="00CD3759" w:rsidRDefault="00CD3759">
      <w:pPr>
        <w:pStyle w:val="FootnoteText"/>
      </w:pPr>
      <w:r>
        <w:rPr>
          <w:rStyle w:val="FootnoteReference"/>
        </w:rPr>
        <w:footnoteRef/>
      </w:r>
      <w:r>
        <w:t xml:space="preserve"> </w:t>
      </w:r>
      <w:r>
        <w:rPr>
          <w:i/>
          <w:iCs/>
        </w:rPr>
        <w:t xml:space="preserve">Human Rights Act 2019 </w:t>
      </w:r>
      <w:r>
        <w:t>(Qld) s 16.</w:t>
      </w:r>
    </w:p>
  </w:footnote>
  <w:footnote w:id="2">
    <w:p w14:paraId="7A924BDA" w14:textId="7FB3571C" w:rsidR="0090283C" w:rsidRPr="0090283C" w:rsidRDefault="0090283C">
      <w:pPr>
        <w:pStyle w:val="FootnoteText"/>
        <w:rPr>
          <w:lang w:val="en-US"/>
        </w:rPr>
      </w:pPr>
      <w:r>
        <w:rPr>
          <w:rStyle w:val="FootnoteReference"/>
        </w:rPr>
        <w:footnoteRef/>
      </w:r>
      <w:r>
        <w:t xml:space="preserve"> </w:t>
      </w:r>
      <w:r w:rsidRPr="0090283C">
        <w:t>The more important the right, the more important the purpose will need to be to justify a limitation on it: Explanatory Notes</w:t>
      </w:r>
      <w:r>
        <w:t>, Human Rights Bill 2018</w:t>
      </w:r>
      <w:r w:rsidRPr="0090283C">
        <w:t xml:space="preserve"> 16-18</w:t>
      </w:r>
      <w:r>
        <w:t xml:space="preserve">. </w:t>
      </w:r>
    </w:p>
  </w:footnote>
  <w:footnote w:id="3">
    <w:p w14:paraId="238C6C90" w14:textId="527939B6" w:rsidR="008E6B40" w:rsidRPr="00530A77" w:rsidRDefault="008E6B40">
      <w:pPr>
        <w:pStyle w:val="FootnoteText"/>
        <w:rPr>
          <w:i/>
          <w:iCs/>
          <w:lang w:val="en-US"/>
        </w:rPr>
      </w:pPr>
      <w:r>
        <w:rPr>
          <w:rStyle w:val="FootnoteReference"/>
        </w:rPr>
        <w:footnoteRef/>
      </w:r>
      <w:r>
        <w:t xml:space="preserve"> </w:t>
      </w:r>
      <w:r w:rsidR="00530A77">
        <w:t xml:space="preserve">See for example </w:t>
      </w:r>
      <w:r w:rsidR="006B68BC" w:rsidRPr="006B68BC">
        <w:rPr>
          <w:i/>
          <w:iCs/>
        </w:rPr>
        <w:t xml:space="preserve">Ghani v Jones </w:t>
      </w:r>
      <w:r w:rsidR="006B68BC" w:rsidRPr="006B68BC">
        <w:t>[1970] 1 QB 69</w:t>
      </w:r>
      <w:r w:rsidR="00530A77">
        <w:t xml:space="preserve">. Also </w:t>
      </w:r>
      <w:r w:rsidR="005D3D5A">
        <w:t xml:space="preserve">reflected in </w:t>
      </w:r>
      <w:r w:rsidR="005D3D5A">
        <w:rPr>
          <w:i/>
          <w:iCs/>
        </w:rPr>
        <w:t xml:space="preserve">Police Powers and Responsibilities Act </w:t>
      </w:r>
      <w:r w:rsidR="00530A77">
        <w:rPr>
          <w:i/>
          <w:iCs/>
        </w:rPr>
        <w:t>2000</w:t>
      </w:r>
      <w:r w:rsidR="00262F57">
        <w:rPr>
          <w:i/>
          <w:iCs/>
        </w:rPr>
        <w:t xml:space="preserve"> </w:t>
      </w:r>
      <w:r w:rsidR="00262F57">
        <w:t>s 29 and s 30</w:t>
      </w:r>
      <w:r w:rsidR="00530A77">
        <w:rPr>
          <w:i/>
          <w:iCs/>
        </w:rPr>
        <w:t xml:space="preserve">. </w:t>
      </w:r>
    </w:p>
  </w:footnote>
  <w:footnote w:id="4">
    <w:p w14:paraId="1A3DA261" w14:textId="77777777" w:rsidR="003176DB" w:rsidRPr="00766BB2" w:rsidRDefault="003176DB" w:rsidP="003176DB">
      <w:pPr>
        <w:pStyle w:val="FootnoteText"/>
      </w:pPr>
      <w:r>
        <w:rPr>
          <w:rStyle w:val="FootnoteReference"/>
        </w:rPr>
        <w:footnoteRef/>
      </w:r>
      <w:r>
        <w:t xml:space="preserve"> </w:t>
      </w:r>
      <w:r>
        <w:rPr>
          <w:i/>
          <w:iCs/>
        </w:rPr>
        <w:t xml:space="preserve">Human Rights Act 2019 </w:t>
      </w:r>
      <w:r>
        <w:t>(Qld) s 20.</w:t>
      </w:r>
    </w:p>
  </w:footnote>
  <w:footnote w:id="5">
    <w:p w14:paraId="2C8DEB43" w14:textId="0611089A" w:rsidR="008E6B40" w:rsidRPr="008E6B40" w:rsidRDefault="008E6B40">
      <w:pPr>
        <w:pStyle w:val="FootnoteText"/>
        <w:rPr>
          <w:lang w:val="en-US"/>
        </w:rPr>
      </w:pPr>
      <w:r>
        <w:rPr>
          <w:rStyle w:val="FootnoteReference"/>
        </w:rPr>
        <w:footnoteRef/>
      </w:r>
      <w:r>
        <w:t xml:space="preserve"> </w:t>
      </w:r>
      <w:r>
        <w:rPr>
          <w:lang w:val="en-US"/>
        </w:rPr>
        <w:t xml:space="preserve">Statement of </w:t>
      </w:r>
      <w:r w:rsidR="00E71553">
        <w:rPr>
          <w:lang w:val="en-US"/>
        </w:rPr>
        <w:t>Compatibility</w:t>
      </w:r>
      <w:r>
        <w:rPr>
          <w:lang w:val="en-US"/>
        </w:rPr>
        <w:t xml:space="preserve">, </w:t>
      </w:r>
      <w:r w:rsidRPr="0005418F">
        <w:rPr>
          <w:lang w:val="en-US"/>
        </w:rPr>
        <w:t>Police Powers and Responsibilities (Jack’s Law) Amendment Bill 2022</w:t>
      </w:r>
      <w:r>
        <w:rPr>
          <w:lang w:val="en-US"/>
        </w:rPr>
        <w:t xml:space="preserve"> 8.</w:t>
      </w:r>
    </w:p>
  </w:footnote>
  <w:footnote w:id="6">
    <w:p w14:paraId="55F13842" w14:textId="6AC9064B" w:rsidR="008E6B40" w:rsidRPr="008E6B40" w:rsidRDefault="008E6B40">
      <w:pPr>
        <w:pStyle w:val="FootnoteText"/>
        <w:rPr>
          <w:lang w:val="en-US"/>
        </w:rPr>
      </w:pPr>
      <w:r>
        <w:rPr>
          <w:rStyle w:val="FootnoteReference"/>
        </w:rPr>
        <w:footnoteRef/>
      </w:r>
      <w:r>
        <w:t xml:space="preserve"> </w:t>
      </w:r>
      <w:r>
        <w:rPr>
          <w:lang w:val="en-US"/>
        </w:rPr>
        <w:t xml:space="preserve">Statement of </w:t>
      </w:r>
      <w:r w:rsidR="00E71553">
        <w:rPr>
          <w:lang w:val="en-US"/>
        </w:rPr>
        <w:t>Compatibility</w:t>
      </w:r>
      <w:r>
        <w:rPr>
          <w:lang w:val="en-US"/>
        </w:rPr>
        <w:t xml:space="preserve">, </w:t>
      </w:r>
      <w:r w:rsidRPr="0005418F">
        <w:rPr>
          <w:lang w:val="en-US"/>
        </w:rPr>
        <w:t>Police Powers and Responsibilities (Jack’s Law) Amendment Bill 2022</w:t>
      </w:r>
      <w:r>
        <w:rPr>
          <w:lang w:val="en-US"/>
        </w:rPr>
        <w:t xml:space="preserve"> 6.</w:t>
      </w:r>
    </w:p>
  </w:footnote>
  <w:footnote w:id="7">
    <w:p w14:paraId="0556E07E" w14:textId="18AC127A" w:rsidR="0005418F" w:rsidRPr="0005418F" w:rsidRDefault="0005418F">
      <w:pPr>
        <w:pStyle w:val="FootnoteText"/>
        <w:rPr>
          <w:lang w:val="en-US"/>
        </w:rPr>
      </w:pPr>
      <w:r>
        <w:rPr>
          <w:rStyle w:val="FootnoteReference"/>
        </w:rPr>
        <w:footnoteRef/>
      </w:r>
      <w:r>
        <w:t xml:space="preserve"> </w:t>
      </w:r>
      <w:r>
        <w:rPr>
          <w:lang w:val="en-US"/>
        </w:rPr>
        <w:t xml:space="preserve">Statement of </w:t>
      </w:r>
      <w:r w:rsidR="00E71553">
        <w:rPr>
          <w:lang w:val="en-US"/>
        </w:rPr>
        <w:t>Compatibility</w:t>
      </w:r>
      <w:r>
        <w:rPr>
          <w:lang w:val="en-US"/>
        </w:rPr>
        <w:t xml:space="preserve">, </w:t>
      </w:r>
      <w:r w:rsidRPr="0005418F">
        <w:rPr>
          <w:lang w:val="en-US"/>
        </w:rPr>
        <w:t>Police Powers and Responsibilities (Jack’s Law) Amendment Bill 2022</w:t>
      </w:r>
      <w:r>
        <w:rPr>
          <w:lang w:val="en-US"/>
        </w:rPr>
        <w:t xml:space="preserve"> 4. </w:t>
      </w:r>
    </w:p>
  </w:footnote>
  <w:footnote w:id="8">
    <w:p w14:paraId="6382D10D" w14:textId="25D4568A" w:rsidR="00D317F3" w:rsidRDefault="00D317F3">
      <w:pPr>
        <w:pStyle w:val="FootnoteText"/>
      </w:pPr>
      <w:r>
        <w:rPr>
          <w:rStyle w:val="FootnoteReference"/>
        </w:rPr>
        <w:footnoteRef/>
      </w:r>
      <w:r>
        <w:t xml:space="preserve"> </w:t>
      </w:r>
      <w:r w:rsidR="00262F57">
        <w:rPr>
          <w:lang w:val="en-US"/>
        </w:rPr>
        <w:t xml:space="preserve">Statement of </w:t>
      </w:r>
      <w:r w:rsidR="00E71553">
        <w:rPr>
          <w:lang w:val="en-US"/>
        </w:rPr>
        <w:t>Compatibility</w:t>
      </w:r>
      <w:r w:rsidR="00262F57">
        <w:rPr>
          <w:lang w:val="en-US"/>
        </w:rPr>
        <w:t xml:space="preserve">, </w:t>
      </w:r>
      <w:r w:rsidR="00262F57" w:rsidRPr="0005418F">
        <w:rPr>
          <w:lang w:val="en-US"/>
        </w:rPr>
        <w:t>Police Powers and Responsibilities (Jack’s Law) Amendment Bill 2022</w:t>
      </w:r>
      <w:r w:rsidR="00262F57">
        <w:rPr>
          <w:lang w:val="en-US"/>
        </w:rPr>
        <w:t xml:space="preserve"> 9.</w:t>
      </w:r>
    </w:p>
  </w:footnote>
  <w:footnote w:id="9">
    <w:p w14:paraId="0097DB7A" w14:textId="1CF659CF" w:rsidR="00233E96" w:rsidRPr="00ED575F" w:rsidRDefault="00233E96">
      <w:pPr>
        <w:pStyle w:val="FootnoteText"/>
        <w:rPr>
          <w:lang w:val="en-US"/>
        </w:rPr>
      </w:pPr>
      <w:r>
        <w:rPr>
          <w:rStyle w:val="FootnoteReference"/>
        </w:rPr>
        <w:footnoteRef/>
      </w:r>
      <w:r>
        <w:t xml:space="preserve"> </w:t>
      </w:r>
      <w:r w:rsidR="00ED575F">
        <w:t xml:space="preserve">Janet </w:t>
      </w:r>
      <w:r w:rsidR="00ED575F">
        <w:t>Ransley</w:t>
      </w:r>
      <w:r w:rsidR="00E71553">
        <w:t xml:space="preserve"> et al</w:t>
      </w:r>
      <w:r w:rsidR="00ED575F">
        <w:t xml:space="preserve">, </w:t>
      </w:r>
      <w:r w:rsidR="00E71553">
        <w:t>‘</w:t>
      </w:r>
      <w:r w:rsidR="00ED575F" w:rsidRPr="00E71553">
        <w:t>Review of the Queensland Police Service Wanding Trial</w:t>
      </w:r>
      <w:r w:rsidR="00E71553">
        <w:t>’</w:t>
      </w:r>
      <w:r w:rsidR="00ED575F">
        <w:rPr>
          <w:i/>
          <w:iCs/>
        </w:rPr>
        <w:t xml:space="preserve"> </w:t>
      </w:r>
      <w:r w:rsidR="00E71553">
        <w:t xml:space="preserve">(Review, Griffith Criminology Institute, </w:t>
      </w:r>
      <w:r w:rsidR="00ED575F">
        <w:t>Griffith University</w:t>
      </w:r>
      <w:r w:rsidR="00E71553">
        <w:t xml:space="preserve">, </w:t>
      </w:r>
      <w:r w:rsidR="00ED575F">
        <w:t>August 2022</w:t>
      </w:r>
      <w:r w:rsidR="00E71553">
        <w:t>)</w:t>
      </w:r>
      <w:r w:rsidR="00ED575F">
        <w:t xml:space="preserve">, iv. </w:t>
      </w:r>
    </w:p>
  </w:footnote>
  <w:footnote w:id="10">
    <w:p w14:paraId="4398787D" w14:textId="6970BCC8" w:rsidR="00233E96" w:rsidRPr="00233E96" w:rsidRDefault="00233E96">
      <w:pPr>
        <w:pStyle w:val="FootnoteText"/>
        <w:rPr>
          <w:lang w:val="en-US"/>
        </w:rPr>
      </w:pPr>
      <w:r>
        <w:rPr>
          <w:rStyle w:val="FootnoteReference"/>
        </w:rPr>
        <w:footnoteRef/>
      </w:r>
      <w:r>
        <w:t xml:space="preserve"> </w:t>
      </w:r>
      <w:r w:rsidR="00E71553">
        <w:t xml:space="preserve">Janet </w:t>
      </w:r>
      <w:r w:rsidR="00E71553">
        <w:t>Ransley et al, ‘</w:t>
      </w:r>
      <w:r w:rsidR="00E71553" w:rsidRPr="00E71553">
        <w:t>Review of the Queensland Police Service Wanding Trial</w:t>
      </w:r>
      <w:r w:rsidR="00E71553">
        <w:t>’</w:t>
      </w:r>
      <w:r w:rsidR="00E71553">
        <w:rPr>
          <w:i/>
          <w:iCs/>
        </w:rPr>
        <w:t xml:space="preserve"> </w:t>
      </w:r>
      <w:r w:rsidR="00E71553">
        <w:t xml:space="preserve">(Review, Griffith Criminology Institute, Griffith University, August 2022), </w:t>
      </w:r>
      <w:r w:rsidR="00ED575F">
        <w:t>v.</w:t>
      </w:r>
    </w:p>
  </w:footnote>
  <w:footnote w:id="11">
    <w:p w14:paraId="55659E12" w14:textId="6C99AE95" w:rsidR="00C91623" w:rsidRPr="00C91623" w:rsidRDefault="00C91623">
      <w:pPr>
        <w:pStyle w:val="FootnoteText"/>
        <w:rPr>
          <w:lang w:val="en-US"/>
        </w:rPr>
      </w:pPr>
      <w:r>
        <w:rPr>
          <w:rStyle w:val="FootnoteReference"/>
        </w:rPr>
        <w:footnoteRef/>
      </w:r>
      <w:r>
        <w:t xml:space="preserve"> </w:t>
      </w:r>
      <w:r w:rsidR="00E71553">
        <w:t xml:space="preserve">Janet </w:t>
      </w:r>
      <w:r w:rsidR="00E71553">
        <w:t>Ransley et al, ‘</w:t>
      </w:r>
      <w:r w:rsidR="00E71553" w:rsidRPr="00E71553">
        <w:t>Review of the Queensland Police Service Wanding Trial</w:t>
      </w:r>
      <w:r w:rsidR="00E71553">
        <w:t>’</w:t>
      </w:r>
      <w:r w:rsidR="00E71553">
        <w:rPr>
          <w:i/>
          <w:iCs/>
        </w:rPr>
        <w:t xml:space="preserve"> </w:t>
      </w:r>
      <w:r w:rsidR="00E71553">
        <w:t>(Review, Griffith Criminology Institute, Griffith University, August 2022),</w:t>
      </w:r>
      <w:r w:rsidR="00ED575F">
        <w:t xml:space="preserve"> </w:t>
      </w:r>
      <w:r>
        <w:rPr>
          <w:lang w:val="en-US"/>
        </w:rPr>
        <w:t>iii - iv</w:t>
      </w:r>
    </w:p>
  </w:footnote>
  <w:footnote w:id="12">
    <w:p w14:paraId="62968925" w14:textId="1B4C3A9B" w:rsidR="007A2040" w:rsidRPr="007A2040" w:rsidRDefault="007A2040">
      <w:pPr>
        <w:pStyle w:val="FootnoteText"/>
        <w:rPr>
          <w:lang w:val="en-US"/>
        </w:rPr>
      </w:pPr>
      <w:r>
        <w:rPr>
          <w:rStyle w:val="FootnoteReference"/>
        </w:rPr>
        <w:footnoteRef/>
      </w:r>
      <w:r>
        <w:t xml:space="preserve"> </w:t>
      </w:r>
      <w:r w:rsidRPr="00516637">
        <w:t xml:space="preserve">Queensland Police Service, Brief to the Community Support and Services Committee, Parliament of Queensland, </w:t>
      </w:r>
      <w:r w:rsidRPr="00516637">
        <w:rPr>
          <w:i/>
          <w:iCs/>
        </w:rPr>
        <w:t xml:space="preserve">Police Powers </w:t>
      </w:r>
      <w:r w:rsidR="00060556">
        <w:rPr>
          <w:i/>
          <w:iCs/>
        </w:rPr>
        <w:t>a</w:t>
      </w:r>
      <w:r w:rsidRPr="00516637">
        <w:rPr>
          <w:i/>
          <w:iCs/>
        </w:rPr>
        <w:t xml:space="preserve">nd Responsibilities </w:t>
      </w:r>
      <w:r w:rsidR="00060556">
        <w:rPr>
          <w:i/>
          <w:iCs/>
        </w:rPr>
        <w:t>a</w:t>
      </w:r>
      <w:r w:rsidRPr="00516637">
        <w:rPr>
          <w:i/>
          <w:iCs/>
        </w:rPr>
        <w:t xml:space="preserve">nd Other Legislation Amendment Bill 2022 </w:t>
      </w:r>
      <w:r w:rsidRPr="00516637">
        <w:t>(16 December 2022)</w:t>
      </w:r>
    </w:p>
  </w:footnote>
  <w:footnote w:id="13">
    <w:p w14:paraId="58CD4FAC" w14:textId="1C692A4F" w:rsidR="007223F0" w:rsidRPr="007A2040" w:rsidRDefault="007223F0">
      <w:pPr>
        <w:pStyle w:val="FootnoteText"/>
        <w:rPr>
          <w:lang w:val="en-US"/>
        </w:rPr>
      </w:pPr>
      <w:r>
        <w:rPr>
          <w:rStyle w:val="FootnoteReference"/>
        </w:rPr>
        <w:footnoteRef/>
      </w:r>
      <w:r>
        <w:t xml:space="preserve"> </w:t>
      </w:r>
      <w:r w:rsidR="00E74311" w:rsidRPr="00516637">
        <w:t xml:space="preserve">Queensland Police Service, Brief to the Community Support and Services Committee, Parliament of Queensland, </w:t>
      </w:r>
      <w:r w:rsidR="00E74311" w:rsidRPr="00516637">
        <w:rPr>
          <w:i/>
          <w:iCs/>
        </w:rPr>
        <w:t xml:space="preserve">Police Powers </w:t>
      </w:r>
      <w:r w:rsidR="00060556">
        <w:rPr>
          <w:i/>
          <w:iCs/>
        </w:rPr>
        <w:t>a</w:t>
      </w:r>
      <w:r w:rsidR="00E74311" w:rsidRPr="00516637">
        <w:rPr>
          <w:i/>
          <w:iCs/>
        </w:rPr>
        <w:t xml:space="preserve">nd Responsibilities </w:t>
      </w:r>
      <w:r w:rsidR="00060556">
        <w:rPr>
          <w:i/>
          <w:iCs/>
        </w:rPr>
        <w:t>a</w:t>
      </w:r>
      <w:r w:rsidR="00E74311" w:rsidRPr="00516637">
        <w:rPr>
          <w:i/>
          <w:iCs/>
        </w:rPr>
        <w:t xml:space="preserve">nd Other Legislation Amendment Bill 2022 </w:t>
      </w:r>
      <w:r w:rsidR="00E74311" w:rsidRPr="00516637">
        <w:t>(16 December 2022)</w:t>
      </w:r>
      <w:r w:rsidR="00E74311">
        <w:t xml:space="preserve"> </w:t>
      </w:r>
      <w:r w:rsidR="00EB6E9E">
        <w:t>7</w:t>
      </w:r>
      <w:r w:rsidR="00E74311">
        <w:t xml:space="preserve">. </w:t>
      </w:r>
    </w:p>
  </w:footnote>
  <w:footnote w:id="14">
    <w:p w14:paraId="5CFC487E" w14:textId="50CFFA86" w:rsidR="008A7DAD" w:rsidRPr="008A7DAD" w:rsidRDefault="008A7DAD">
      <w:pPr>
        <w:pStyle w:val="FootnoteText"/>
        <w:rPr>
          <w:lang w:val="en-US"/>
        </w:rPr>
      </w:pPr>
      <w:r>
        <w:rPr>
          <w:rStyle w:val="FootnoteReference"/>
        </w:rPr>
        <w:footnoteRef/>
      </w:r>
      <w:r>
        <w:t xml:space="preserve"> </w:t>
      </w:r>
      <w:r w:rsidR="00E71553">
        <w:rPr>
          <w:lang w:val="en-US"/>
        </w:rPr>
        <w:t xml:space="preserve">Statement of Compatibility, </w:t>
      </w:r>
      <w:r w:rsidR="00E71553" w:rsidRPr="0005418F">
        <w:rPr>
          <w:lang w:val="en-US"/>
        </w:rPr>
        <w:t>Police Powers and Responsibilities (Jack’s Law) Amendment Bill 2022</w:t>
      </w:r>
      <w:r w:rsidR="00E71553">
        <w:rPr>
          <w:lang w:val="en-US"/>
        </w:rPr>
        <w:t xml:space="preserve"> 4.</w:t>
      </w:r>
    </w:p>
  </w:footnote>
  <w:footnote w:id="15">
    <w:p w14:paraId="274F8BFE" w14:textId="1006494F" w:rsidR="008A7DAD" w:rsidRPr="008A7DAD" w:rsidRDefault="008A7DAD">
      <w:pPr>
        <w:pStyle w:val="FootnoteText"/>
        <w:rPr>
          <w:lang w:val="en-US"/>
        </w:rPr>
      </w:pPr>
      <w:r>
        <w:rPr>
          <w:rStyle w:val="FootnoteReference"/>
        </w:rPr>
        <w:footnoteRef/>
      </w:r>
      <w:r>
        <w:t xml:space="preserve"> </w:t>
      </w:r>
      <w:r w:rsidR="00255A43">
        <w:rPr>
          <w:lang w:val="en-US"/>
        </w:rPr>
        <w:t xml:space="preserve">Statement of Compatibility, </w:t>
      </w:r>
      <w:r w:rsidR="00255A43" w:rsidRPr="0005418F">
        <w:rPr>
          <w:lang w:val="en-US"/>
        </w:rPr>
        <w:t>Police Powers and Responsibilities (Jack’s Law) Amendment Bill 2022</w:t>
      </w:r>
      <w:r w:rsidR="00255A43">
        <w:rPr>
          <w:lang w:val="en-US"/>
        </w:rPr>
        <w:t xml:space="preserve">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799" w14:textId="77777777" w:rsidR="007C510E" w:rsidRPr="000731D3" w:rsidRDefault="007C510E" w:rsidP="000731D3">
    <w:pPr>
      <w:pStyle w:val="Header"/>
    </w:pPr>
  </w:p>
  <w:p w14:paraId="29F2502B" w14:textId="77777777" w:rsidR="004A0AE2" w:rsidRDefault="004A0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0250E7E"/>
    <w:multiLevelType w:val="multilevel"/>
    <w:tmpl w:val="C66EF686"/>
    <w:lvl w:ilvl="0">
      <w:start w:val="1"/>
      <w:numFmt w:val="decimal"/>
      <w:pStyle w:val="Numberedparagraph"/>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A6A44"/>
    <w:multiLevelType w:val="hybridMultilevel"/>
    <w:tmpl w:val="72B4E5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4"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80E217B"/>
    <w:multiLevelType w:val="multilevel"/>
    <w:tmpl w:val="CF9E7BC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0"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3"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2"/>
  </w:num>
  <w:num w:numId="4">
    <w:abstractNumId w:val="11"/>
  </w:num>
  <w:num w:numId="5">
    <w:abstractNumId w:val="14"/>
  </w:num>
  <w:num w:numId="6">
    <w:abstractNumId w:val="17"/>
  </w:num>
  <w:num w:numId="7">
    <w:abstractNumId w:val="2"/>
  </w:num>
  <w:num w:numId="8">
    <w:abstractNumId w:val="12"/>
  </w:num>
  <w:num w:numId="9">
    <w:abstractNumId w:val="21"/>
  </w:num>
  <w:num w:numId="10">
    <w:abstractNumId w:val="23"/>
  </w:num>
  <w:num w:numId="11">
    <w:abstractNumId w:val="18"/>
  </w:num>
  <w:num w:numId="12">
    <w:abstractNumId w:val="13"/>
  </w:num>
  <w:num w:numId="13">
    <w:abstractNumId w:val="5"/>
  </w:num>
  <w:num w:numId="14">
    <w:abstractNumId w:val="7"/>
  </w:num>
  <w:num w:numId="15">
    <w:abstractNumId w:val="11"/>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9"/>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6"/>
  </w:num>
  <w:num w:numId="22">
    <w:abstractNumId w:val="15"/>
  </w:num>
  <w:num w:numId="23">
    <w:abstractNumId w:val="0"/>
  </w:num>
  <w:num w:numId="24">
    <w:abstractNumId w:val="24"/>
  </w:num>
  <w:num w:numId="25">
    <w:abstractNumId w:val="4"/>
  </w:num>
  <w:num w:numId="26">
    <w:abstractNumId w:val="20"/>
  </w:num>
  <w:num w:numId="27">
    <w:abstractNumId w:val="9"/>
  </w:num>
  <w:num w:numId="28">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90"/>
    <w:rsid w:val="00002F05"/>
    <w:rsid w:val="00003DA4"/>
    <w:rsid w:val="00007233"/>
    <w:rsid w:val="0001042C"/>
    <w:rsid w:val="000138A2"/>
    <w:rsid w:val="00014D55"/>
    <w:rsid w:val="00017168"/>
    <w:rsid w:val="00021659"/>
    <w:rsid w:val="0002351E"/>
    <w:rsid w:val="0002486A"/>
    <w:rsid w:val="00024EA4"/>
    <w:rsid w:val="00041E58"/>
    <w:rsid w:val="00044A7F"/>
    <w:rsid w:val="00045B46"/>
    <w:rsid w:val="00046477"/>
    <w:rsid w:val="00047983"/>
    <w:rsid w:val="00052290"/>
    <w:rsid w:val="00052A5E"/>
    <w:rsid w:val="00054120"/>
    <w:rsid w:val="0005418F"/>
    <w:rsid w:val="00056960"/>
    <w:rsid w:val="00057023"/>
    <w:rsid w:val="00057D21"/>
    <w:rsid w:val="00060556"/>
    <w:rsid w:val="00063EDF"/>
    <w:rsid w:val="0006782D"/>
    <w:rsid w:val="00072CE6"/>
    <w:rsid w:val="000731D3"/>
    <w:rsid w:val="00074746"/>
    <w:rsid w:val="00075AB0"/>
    <w:rsid w:val="00076239"/>
    <w:rsid w:val="0007682B"/>
    <w:rsid w:val="00091EEF"/>
    <w:rsid w:val="00093A57"/>
    <w:rsid w:val="00095800"/>
    <w:rsid w:val="00095FBB"/>
    <w:rsid w:val="00096517"/>
    <w:rsid w:val="000A201B"/>
    <w:rsid w:val="000A5313"/>
    <w:rsid w:val="000B6C72"/>
    <w:rsid w:val="000B794F"/>
    <w:rsid w:val="000C5727"/>
    <w:rsid w:val="000C6E1A"/>
    <w:rsid w:val="000D0CD0"/>
    <w:rsid w:val="000D49A5"/>
    <w:rsid w:val="000D63CA"/>
    <w:rsid w:val="000E052F"/>
    <w:rsid w:val="000E1039"/>
    <w:rsid w:val="000E2872"/>
    <w:rsid w:val="000E39A5"/>
    <w:rsid w:val="000E45FC"/>
    <w:rsid w:val="000F0BC1"/>
    <w:rsid w:val="000F4098"/>
    <w:rsid w:val="000F679F"/>
    <w:rsid w:val="00105217"/>
    <w:rsid w:val="0010663F"/>
    <w:rsid w:val="001066BD"/>
    <w:rsid w:val="00115384"/>
    <w:rsid w:val="00121E6F"/>
    <w:rsid w:val="001247FB"/>
    <w:rsid w:val="00124A35"/>
    <w:rsid w:val="001304EE"/>
    <w:rsid w:val="00131862"/>
    <w:rsid w:val="001351EB"/>
    <w:rsid w:val="001362ED"/>
    <w:rsid w:val="001531E3"/>
    <w:rsid w:val="00157C36"/>
    <w:rsid w:val="00160CF6"/>
    <w:rsid w:val="00163706"/>
    <w:rsid w:val="001825CB"/>
    <w:rsid w:val="00182865"/>
    <w:rsid w:val="00182E06"/>
    <w:rsid w:val="00187D43"/>
    <w:rsid w:val="001916E4"/>
    <w:rsid w:val="0019203A"/>
    <w:rsid w:val="00195B07"/>
    <w:rsid w:val="00195E9F"/>
    <w:rsid w:val="001A12BD"/>
    <w:rsid w:val="001B18CD"/>
    <w:rsid w:val="001B1A27"/>
    <w:rsid w:val="001B5470"/>
    <w:rsid w:val="001B57C6"/>
    <w:rsid w:val="001C01FD"/>
    <w:rsid w:val="001C127F"/>
    <w:rsid w:val="001C158B"/>
    <w:rsid w:val="001D402C"/>
    <w:rsid w:val="001D50C0"/>
    <w:rsid w:val="001D63E4"/>
    <w:rsid w:val="001D7758"/>
    <w:rsid w:val="001E0909"/>
    <w:rsid w:val="001E3A26"/>
    <w:rsid w:val="001F28C4"/>
    <w:rsid w:val="001F3F19"/>
    <w:rsid w:val="001F5F4B"/>
    <w:rsid w:val="00215BD7"/>
    <w:rsid w:val="00216E21"/>
    <w:rsid w:val="002203D7"/>
    <w:rsid w:val="002265F5"/>
    <w:rsid w:val="00227178"/>
    <w:rsid w:val="00233E96"/>
    <w:rsid w:val="00233F52"/>
    <w:rsid w:val="00235527"/>
    <w:rsid w:val="00237D8E"/>
    <w:rsid w:val="00240EF9"/>
    <w:rsid w:val="0024194E"/>
    <w:rsid w:val="0024209F"/>
    <w:rsid w:val="00252711"/>
    <w:rsid w:val="00252B28"/>
    <w:rsid w:val="00253B42"/>
    <w:rsid w:val="00254FAE"/>
    <w:rsid w:val="00255A43"/>
    <w:rsid w:val="002576FD"/>
    <w:rsid w:val="00257FA1"/>
    <w:rsid w:val="002603C3"/>
    <w:rsid w:val="00260847"/>
    <w:rsid w:val="00262F57"/>
    <w:rsid w:val="002638E3"/>
    <w:rsid w:val="00283D88"/>
    <w:rsid w:val="00284FF0"/>
    <w:rsid w:val="0028609D"/>
    <w:rsid w:val="00292C50"/>
    <w:rsid w:val="00293C9F"/>
    <w:rsid w:val="002A03F1"/>
    <w:rsid w:val="002B4864"/>
    <w:rsid w:val="002B65D4"/>
    <w:rsid w:val="002C2F6A"/>
    <w:rsid w:val="002C54B2"/>
    <w:rsid w:val="002D386B"/>
    <w:rsid w:val="002D45FE"/>
    <w:rsid w:val="002D46A2"/>
    <w:rsid w:val="002E32E2"/>
    <w:rsid w:val="002E3C99"/>
    <w:rsid w:val="002E433B"/>
    <w:rsid w:val="002E744F"/>
    <w:rsid w:val="002E7B79"/>
    <w:rsid w:val="002F751F"/>
    <w:rsid w:val="0030094B"/>
    <w:rsid w:val="00305299"/>
    <w:rsid w:val="00310105"/>
    <w:rsid w:val="00310CB2"/>
    <w:rsid w:val="00312C2A"/>
    <w:rsid w:val="003176DB"/>
    <w:rsid w:val="003204FA"/>
    <w:rsid w:val="00321445"/>
    <w:rsid w:val="0032516B"/>
    <w:rsid w:val="0033216F"/>
    <w:rsid w:val="00340A61"/>
    <w:rsid w:val="0034134D"/>
    <w:rsid w:val="00343C5F"/>
    <w:rsid w:val="00344F59"/>
    <w:rsid w:val="00346096"/>
    <w:rsid w:val="00350D39"/>
    <w:rsid w:val="0035278F"/>
    <w:rsid w:val="00352864"/>
    <w:rsid w:val="00352AAF"/>
    <w:rsid w:val="0035654D"/>
    <w:rsid w:val="00370336"/>
    <w:rsid w:val="0037129A"/>
    <w:rsid w:val="00372B6B"/>
    <w:rsid w:val="00372BCD"/>
    <w:rsid w:val="00375C27"/>
    <w:rsid w:val="003847F0"/>
    <w:rsid w:val="00392522"/>
    <w:rsid w:val="00395332"/>
    <w:rsid w:val="003A3833"/>
    <w:rsid w:val="003A5A74"/>
    <w:rsid w:val="003A666E"/>
    <w:rsid w:val="003A73A3"/>
    <w:rsid w:val="003B0A61"/>
    <w:rsid w:val="003B197E"/>
    <w:rsid w:val="003B1B74"/>
    <w:rsid w:val="003B2FB9"/>
    <w:rsid w:val="003B4D24"/>
    <w:rsid w:val="003B7269"/>
    <w:rsid w:val="003C1B81"/>
    <w:rsid w:val="003C2709"/>
    <w:rsid w:val="003C443B"/>
    <w:rsid w:val="003C6A61"/>
    <w:rsid w:val="003D0B75"/>
    <w:rsid w:val="003D3AAC"/>
    <w:rsid w:val="003D5DC0"/>
    <w:rsid w:val="003D625C"/>
    <w:rsid w:val="003F6F7E"/>
    <w:rsid w:val="00415E13"/>
    <w:rsid w:val="004209D4"/>
    <w:rsid w:val="00421429"/>
    <w:rsid w:val="00431D51"/>
    <w:rsid w:val="00434368"/>
    <w:rsid w:val="004418EC"/>
    <w:rsid w:val="004424F3"/>
    <w:rsid w:val="00451416"/>
    <w:rsid w:val="004538FC"/>
    <w:rsid w:val="00454EBD"/>
    <w:rsid w:val="0045765D"/>
    <w:rsid w:val="00463BEF"/>
    <w:rsid w:val="00466216"/>
    <w:rsid w:val="00471B60"/>
    <w:rsid w:val="00472DA3"/>
    <w:rsid w:val="00474B1E"/>
    <w:rsid w:val="00476A5D"/>
    <w:rsid w:val="00490B13"/>
    <w:rsid w:val="00494D53"/>
    <w:rsid w:val="004A0AE2"/>
    <w:rsid w:val="004A2375"/>
    <w:rsid w:val="004A28E2"/>
    <w:rsid w:val="004A3F3A"/>
    <w:rsid w:val="004A6F71"/>
    <w:rsid w:val="004B0599"/>
    <w:rsid w:val="004B71ED"/>
    <w:rsid w:val="004C17FC"/>
    <w:rsid w:val="004C2886"/>
    <w:rsid w:val="004C73CA"/>
    <w:rsid w:val="004C7C44"/>
    <w:rsid w:val="004E0E44"/>
    <w:rsid w:val="004E3D6B"/>
    <w:rsid w:val="004E48D2"/>
    <w:rsid w:val="004E58C1"/>
    <w:rsid w:val="004F2CB8"/>
    <w:rsid w:val="004F4CB1"/>
    <w:rsid w:val="00500727"/>
    <w:rsid w:val="005009D5"/>
    <w:rsid w:val="00502924"/>
    <w:rsid w:val="00510695"/>
    <w:rsid w:val="005146D7"/>
    <w:rsid w:val="00516283"/>
    <w:rsid w:val="00517696"/>
    <w:rsid w:val="00517D74"/>
    <w:rsid w:val="005202A4"/>
    <w:rsid w:val="0052162D"/>
    <w:rsid w:val="00521E99"/>
    <w:rsid w:val="00530A77"/>
    <w:rsid w:val="00533075"/>
    <w:rsid w:val="00544C2D"/>
    <w:rsid w:val="00563BF7"/>
    <w:rsid w:val="005653E2"/>
    <w:rsid w:val="0057313E"/>
    <w:rsid w:val="00580083"/>
    <w:rsid w:val="005828D3"/>
    <w:rsid w:val="00583314"/>
    <w:rsid w:val="005868C4"/>
    <w:rsid w:val="005916EB"/>
    <w:rsid w:val="005A1988"/>
    <w:rsid w:val="005A7C66"/>
    <w:rsid w:val="005B404C"/>
    <w:rsid w:val="005B7E50"/>
    <w:rsid w:val="005C0564"/>
    <w:rsid w:val="005C1591"/>
    <w:rsid w:val="005C3FB8"/>
    <w:rsid w:val="005D3D5A"/>
    <w:rsid w:val="005D5A16"/>
    <w:rsid w:val="005E0936"/>
    <w:rsid w:val="005E130F"/>
    <w:rsid w:val="005E452A"/>
    <w:rsid w:val="005E5033"/>
    <w:rsid w:val="005E5159"/>
    <w:rsid w:val="005E53E9"/>
    <w:rsid w:val="005F0F47"/>
    <w:rsid w:val="00610BCE"/>
    <w:rsid w:val="00611F65"/>
    <w:rsid w:val="00612DC7"/>
    <w:rsid w:val="00614691"/>
    <w:rsid w:val="00617E4F"/>
    <w:rsid w:val="0062063E"/>
    <w:rsid w:val="006252B6"/>
    <w:rsid w:val="00627334"/>
    <w:rsid w:val="00630A27"/>
    <w:rsid w:val="006335BE"/>
    <w:rsid w:val="00642F71"/>
    <w:rsid w:val="00644E93"/>
    <w:rsid w:val="006466AD"/>
    <w:rsid w:val="006501BF"/>
    <w:rsid w:val="00651790"/>
    <w:rsid w:val="006521CE"/>
    <w:rsid w:val="006523A8"/>
    <w:rsid w:val="0065259C"/>
    <w:rsid w:val="006600B5"/>
    <w:rsid w:val="006769BF"/>
    <w:rsid w:val="0068096E"/>
    <w:rsid w:val="006822BE"/>
    <w:rsid w:val="00682E98"/>
    <w:rsid w:val="006833E4"/>
    <w:rsid w:val="00685FFA"/>
    <w:rsid w:val="00694221"/>
    <w:rsid w:val="00696E91"/>
    <w:rsid w:val="006A39A0"/>
    <w:rsid w:val="006A7B3A"/>
    <w:rsid w:val="006B19F1"/>
    <w:rsid w:val="006B2EDE"/>
    <w:rsid w:val="006B474A"/>
    <w:rsid w:val="006B68BC"/>
    <w:rsid w:val="006C0383"/>
    <w:rsid w:val="006C4AE9"/>
    <w:rsid w:val="006D0618"/>
    <w:rsid w:val="006D0CD6"/>
    <w:rsid w:val="006D140C"/>
    <w:rsid w:val="006D167D"/>
    <w:rsid w:val="006E288D"/>
    <w:rsid w:val="006E590A"/>
    <w:rsid w:val="006E6279"/>
    <w:rsid w:val="006E7ACA"/>
    <w:rsid w:val="006F0979"/>
    <w:rsid w:val="006F1EFD"/>
    <w:rsid w:val="006F1F8D"/>
    <w:rsid w:val="006F4194"/>
    <w:rsid w:val="00701BE5"/>
    <w:rsid w:val="00705D63"/>
    <w:rsid w:val="007069A1"/>
    <w:rsid w:val="00706A05"/>
    <w:rsid w:val="007101A7"/>
    <w:rsid w:val="00715DEB"/>
    <w:rsid w:val="007223F0"/>
    <w:rsid w:val="00730224"/>
    <w:rsid w:val="00735BA1"/>
    <w:rsid w:val="00742BC7"/>
    <w:rsid w:val="007430AE"/>
    <w:rsid w:val="0074457C"/>
    <w:rsid w:val="00751AE0"/>
    <w:rsid w:val="00757C09"/>
    <w:rsid w:val="00761291"/>
    <w:rsid w:val="00761527"/>
    <w:rsid w:val="007619FB"/>
    <w:rsid w:val="00763604"/>
    <w:rsid w:val="00766BB2"/>
    <w:rsid w:val="00770055"/>
    <w:rsid w:val="007857FB"/>
    <w:rsid w:val="00786989"/>
    <w:rsid w:val="00791CA0"/>
    <w:rsid w:val="007A2040"/>
    <w:rsid w:val="007A45D7"/>
    <w:rsid w:val="007A6DAC"/>
    <w:rsid w:val="007A77CD"/>
    <w:rsid w:val="007B25BD"/>
    <w:rsid w:val="007B538A"/>
    <w:rsid w:val="007C47D8"/>
    <w:rsid w:val="007C510E"/>
    <w:rsid w:val="007C62E7"/>
    <w:rsid w:val="007D0694"/>
    <w:rsid w:val="007D0AF8"/>
    <w:rsid w:val="007D1864"/>
    <w:rsid w:val="007D3153"/>
    <w:rsid w:val="007F4F44"/>
    <w:rsid w:val="00801433"/>
    <w:rsid w:val="0080290B"/>
    <w:rsid w:val="008037F9"/>
    <w:rsid w:val="00805768"/>
    <w:rsid w:val="008101EC"/>
    <w:rsid w:val="008109D2"/>
    <w:rsid w:val="008157C3"/>
    <w:rsid w:val="008250D8"/>
    <w:rsid w:val="00827429"/>
    <w:rsid w:val="00827A99"/>
    <w:rsid w:val="008353E9"/>
    <w:rsid w:val="00837498"/>
    <w:rsid w:val="00843EC2"/>
    <w:rsid w:val="008470F3"/>
    <w:rsid w:val="00850155"/>
    <w:rsid w:val="00861FBD"/>
    <w:rsid w:val="0086439D"/>
    <w:rsid w:val="0086440A"/>
    <w:rsid w:val="00867AFD"/>
    <w:rsid w:val="00871324"/>
    <w:rsid w:val="00874EE4"/>
    <w:rsid w:val="0087716F"/>
    <w:rsid w:val="0089208D"/>
    <w:rsid w:val="008930A1"/>
    <w:rsid w:val="00896003"/>
    <w:rsid w:val="008970A8"/>
    <w:rsid w:val="00897DE9"/>
    <w:rsid w:val="008A130C"/>
    <w:rsid w:val="008A7DAD"/>
    <w:rsid w:val="008B0352"/>
    <w:rsid w:val="008B3191"/>
    <w:rsid w:val="008B319E"/>
    <w:rsid w:val="008C09EB"/>
    <w:rsid w:val="008C3D59"/>
    <w:rsid w:val="008C6189"/>
    <w:rsid w:val="008D29B3"/>
    <w:rsid w:val="008D4D8D"/>
    <w:rsid w:val="008D6614"/>
    <w:rsid w:val="008D7E35"/>
    <w:rsid w:val="008E2FB8"/>
    <w:rsid w:val="008E304C"/>
    <w:rsid w:val="008E4176"/>
    <w:rsid w:val="008E593B"/>
    <w:rsid w:val="008E6B40"/>
    <w:rsid w:val="008E792D"/>
    <w:rsid w:val="008F11E9"/>
    <w:rsid w:val="008F2D44"/>
    <w:rsid w:val="0090102E"/>
    <w:rsid w:val="0090283C"/>
    <w:rsid w:val="00905A21"/>
    <w:rsid w:val="009116DC"/>
    <w:rsid w:val="00912E7D"/>
    <w:rsid w:val="00914828"/>
    <w:rsid w:val="009149BD"/>
    <w:rsid w:val="00917626"/>
    <w:rsid w:val="00920A7A"/>
    <w:rsid w:val="00926672"/>
    <w:rsid w:val="009313A6"/>
    <w:rsid w:val="009429E7"/>
    <w:rsid w:val="00942D56"/>
    <w:rsid w:val="00950113"/>
    <w:rsid w:val="0095564D"/>
    <w:rsid w:val="009625DA"/>
    <w:rsid w:val="009716A0"/>
    <w:rsid w:val="009746DD"/>
    <w:rsid w:val="00987057"/>
    <w:rsid w:val="009916F8"/>
    <w:rsid w:val="009A556B"/>
    <w:rsid w:val="009A6238"/>
    <w:rsid w:val="009B1373"/>
    <w:rsid w:val="009B194B"/>
    <w:rsid w:val="009B6675"/>
    <w:rsid w:val="009B787E"/>
    <w:rsid w:val="009D23B5"/>
    <w:rsid w:val="009D3109"/>
    <w:rsid w:val="009D3B40"/>
    <w:rsid w:val="009E42AE"/>
    <w:rsid w:val="009E705C"/>
    <w:rsid w:val="009F05C6"/>
    <w:rsid w:val="009F3E8A"/>
    <w:rsid w:val="00A0082F"/>
    <w:rsid w:val="00A023C1"/>
    <w:rsid w:val="00A02C61"/>
    <w:rsid w:val="00A16356"/>
    <w:rsid w:val="00A20B22"/>
    <w:rsid w:val="00A30198"/>
    <w:rsid w:val="00A35BBA"/>
    <w:rsid w:val="00A45369"/>
    <w:rsid w:val="00A53D1F"/>
    <w:rsid w:val="00A70E36"/>
    <w:rsid w:val="00A90373"/>
    <w:rsid w:val="00A95DAA"/>
    <w:rsid w:val="00AA1020"/>
    <w:rsid w:val="00AA4AD5"/>
    <w:rsid w:val="00AC0E09"/>
    <w:rsid w:val="00AC1679"/>
    <w:rsid w:val="00AC2D6B"/>
    <w:rsid w:val="00AC468A"/>
    <w:rsid w:val="00AD1AE8"/>
    <w:rsid w:val="00AD3245"/>
    <w:rsid w:val="00AE176D"/>
    <w:rsid w:val="00AE3A61"/>
    <w:rsid w:val="00AE7DC1"/>
    <w:rsid w:val="00AF0BDD"/>
    <w:rsid w:val="00AF33E4"/>
    <w:rsid w:val="00AF635C"/>
    <w:rsid w:val="00B03079"/>
    <w:rsid w:val="00B031A4"/>
    <w:rsid w:val="00B05D9F"/>
    <w:rsid w:val="00B0659F"/>
    <w:rsid w:val="00B13A39"/>
    <w:rsid w:val="00B22564"/>
    <w:rsid w:val="00B24D84"/>
    <w:rsid w:val="00B30795"/>
    <w:rsid w:val="00B33381"/>
    <w:rsid w:val="00B353EA"/>
    <w:rsid w:val="00B360EA"/>
    <w:rsid w:val="00B41356"/>
    <w:rsid w:val="00B45844"/>
    <w:rsid w:val="00B46BAB"/>
    <w:rsid w:val="00B50F67"/>
    <w:rsid w:val="00B60E0A"/>
    <w:rsid w:val="00B66347"/>
    <w:rsid w:val="00B67E6E"/>
    <w:rsid w:val="00B82CE9"/>
    <w:rsid w:val="00B83AE9"/>
    <w:rsid w:val="00B8743D"/>
    <w:rsid w:val="00B87FB4"/>
    <w:rsid w:val="00B91C4E"/>
    <w:rsid w:val="00B91EA6"/>
    <w:rsid w:val="00B933A9"/>
    <w:rsid w:val="00B94CB4"/>
    <w:rsid w:val="00BA0772"/>
    <w:rsid w:val="00BA130A"/>
    <w:rsid w:val="00BA1B55"/>
    <w:rsid w:val="00BA4C2F"/>
    <w:rsid w:val="00BA611D"/>
    <w:rsid w:val="00BA61BD"/>
    <w:rsid w:val="00BA7A88"/>
    <w:rsid w:val="00BB0B80"/>
    <w:rsid w:val="00BB2F50"/>
    <w:rsid w:val="00BB6341"/>
    <w:rsid w:val="00BC22EC"/>
    <w:rsid w:val="00BD6C52"/>
    <w:rsid w:val="00BE6B8A"/>
    <w:rsid w:val="00BF63CB"/>
    <w:rsid w:val="00C05BBE"/>
    <w:rsid w:val="00C100A2"/>
    <w:rsid w:val="00C13E33"/>
    <w:rsid w:val="00C203C3"/>
    <w:rsid w:val="00C2542D"/>
    <w:rsid w:val="00C255F9"/>
    <w:rsid w:val="00C30C9F"/>
    <w:rsid w:val="00C33416"/>
    <w:rsid w:val="00C35743"/>
    <w:rsid w:val="00C4116E"/>
    <w:rsid w:val="00C52466"/>
    <w:rsid w:val="00C526DC"/>
    <w:rsid w:val="00C627FD"/>
    <w:rsid w:val="00C641D7"/>
    <w:rsid w:val="00C66E1D"/>
    <w:rsid w:val="00C8564F"/>
    <w:rsid w:val="00C9153A"/>
    <w:rsid w:val="00C91623"/>
    <w:rsid w:val="00C92949"/>
    <w:rsid w:val="00C95D8F"/>
    <w:rsid w:val="00C9716F"/>
    <w:rsid w:val="00CA162B"/>
    <w:rsid w:val="00CA23CF"/>
    <w:rsid w:val="00CA2A40"/>
    <w:rsid w:val="00CA4879"/>
    <w:rsid w:val="00CA7430"/>
    <w:rsid w:val="00CB0BBF"/>
    <w:rsid w:val="00CB27BC"/>
    <w:rsid w:val="00CB4118"/>
    <w:rsid w:val="00CC0024"/>
    <w:rsid w:val="00CC03BC"/>
    <w:rsid w:val="00CC0DFF"/>
    <w:rsid w:val="00CC2E5C"/>
    <w:rsid w:val="00CD1E33"/>
    <w:rsid w:val="00CD3759"/>
    <w:rsid w:val="00CD3FF9"/>
    <w:rsid w:val="00CD7704"/>
    <w:rsid w:val="00CD7CE9"/>
    <w:rsid w:val="00CE14AA"/>
    <w:rsid w:val="00CE2C5E"/>
    <w:rsid w:val="00CE4544"/>
    <w:rsid w:val="00CE5220"/>
    <w:rsid w:val="00CE532D"/>
    <w:rsid w:val="00CF0531"/>
    <w:rsid w:val="00D00D4D"/>
    <w:rsid w:val="00D058D7"/>
    <w:rsid w:val="00D102EC"/>
    <w:rsid w:val="00D10C50"/>
    <w:rsid w:val="00D1281C"/>
    <w:rsid w:val="00D21103"/>
    <w:rsid w:val="00D252DD"/>
    <w:rsid w:val="00D257DC"/>
    <w:rsid w:val="00D317F3"/>
    <w:rsid w:val="00D325F2"/>
    <w:rsid w:val="00D33110"/>
    <w:rsid w:val="00D33FEE"/>
    <w:rsid w:val="00D35B0E"/>
    <w:rsid w:val="00D36E33"/>
    <w:rsid w:val="00D44FCC"/>
    <w:rsid w:val="00D5373F"/>
    <w:rsid w:val="00D54A89"/>
    <w:rsid w:val="00D54EFB"/>
    <w:rsid w:val="00D5650B"/>
    <w:rsid w:val="00D56EB3"/>
    <w:rsid w:val="00D57043"/>
    <w:rsid w:val="00D61B81"/>
    <w:rsid w:val="00D6241A"/>
    <w:rsid w:val="00D63EAF"/>
    <w:rsid w:val="00D71AC5"/>
    <w:rsid w:val="00D7331C"/>
    <w:rsid w:val="00D74335"/>
    <w:rsid w:val="00D76F2A"/>
    <w:rsid w:val="00D86386"/>
    <w:rsid w:val="00D87070"/>
    <w:rsid w:val="00D8766A"/>
    <w:rsid w:val="00D97D3F"/>
    <w:rsid w:val="00DA76B2"/>
    <w:rsid w:val="00DB1857"/>
    <w:rsid w:val="00DC0A10"/>
    <w:rsid w:val="00DC0EDF"/>
    <w:rsid w:val="00DC2EB9"/>
    <w:rsid w:val="00DC553C"/>
    <w:rsid w:val="00DC7280"/>
    <w:rsid w:val="00DD2998"/>
    <w:rsid w:val="00DD4168"/>
    <w:rsid w:val="00DD5B86"/>
    <w:rsid w:val="00DD7883"/>
    <w:rsid w:val="00DD7A12"/>
    <w:rsid w:val="00DE62F6"/>
    <w:rsid w:val="00DF5AE3"/>
    <w:rsid w:val="00DF5E8B"/>
    <w:rsid w:val="00DF6B5F"/>
    <w:rsid w:val="00E02BF6"/>
    <w:rsid w:val="00E06B33"/>
    <w:rsid w:val="00E06D26"/>
    <w:rsid w:val="00E15E88"/>
    <w:rsid w:val="00E1631A"/>
    <w:rsid w:val="00E24720"/>
    <w:rsid w:val="00E374F8"/>
    <w:rsid w:val="00E43C8D"/>
    <w:rsid w:val="00E548A5"/>
    <w:rsid w:val="00E54B68"/>
    <w:rsid w:val="00E56627"/>
    <w:rsid w:val="00E63245"/>
    <w:rsid w:val="00E6776E"/>
    <w:rsid w:val="00E71553"/>
    <w:rsid w:val="00E74311"/>
    <w:rsid w:val="00E7746A"/>
    <w:rsid w:val="00E91A9E"/>
    <w:rsid w:val="00E940D7"/>
    <w:rsid w:val="00EA033A"/>
    <w:rsid w:val="00EA0F64"/>
    <w:rsid w:val="00EA0FB4"/>
    <w:rsid w:val="00EA34B7"/>
    <w:rsid w:val="00EA4066"/>
    <w:rsid w:val="00EA7C6A"/>
    <w:rsid w:val="00EB3433"/>
    <w:rsid w:val="00EB3738"/>
    <w:rsid w:val="00EB5211"/>
    <w:rsid w:val="00EB6445"/>
    <w:rsid w:val="00EB6E9E"/>
    <w:rsid w:val="00EB7E3E"/>
    <w:rsid w:val="00EC2C0C"/>
    <w:rsid w:val="00EC4641"/>
    <w:rsid w:val="00EC6E2E"/>
    <w:rsid w:val="00ED0709"/>
    <w:rsid w:val="00ED426F"/>
    <w:rsid w:val="00ED575F"/>
    <w:rsid w:val="00ED6006"/>
    <w:rsid w:val="00ED7CFE"/>
    <w:rsid w:val="00EE20D8"/>
    <w:rsid w:val="00EF2CD3"/>
    <w:rsid w:val="00EF65B5"/>
    <w:rsid w:val="00F07C9B"/>
    <w:rsid w:val="00F12660"/>
    <w:rsid w:val="00F12867"/>
    <w:rsid w:val="00F145C0"/>
    <w:rsid w:val="00F24B31"/>
    <w:rsid w:val="00F30BCE"/>
    <w:rsid w:val="00F36913"/>
    <w:rsid w:val="00F4293F"/>
    <w:rsid w:val="00F4420D"/>
    <w:rsid w:val="00F53B4C"/>
    <w:rsid w:val="00F552D1"/>
    <w:rsid w:val="00F558ED"/>
    <w:rsid w:val="00F55DEB"/>
    <w:rsid w:val="00F63EEA"/>
    <w:rsid w:val="00F72FE4"/>
    <w:rsid w:val="00F73546"/>
    <w:rsid w:val="00FA1473"/>
    <w:rsid w:val="00FA37FC"/>
    <w:rsid w:val="00FA44D4"/>
    <w:rsid w:val="00FB0A3D"/>
    <w:rsid w:val="00FB4D15"/>
    <w:rsid w:val="00FC3185"/>
    <w:rsid w:val="00FD19E0"/>
    <w:rsid w:val="00FD4014"/>
    <w:rsid w:val="00FE7FE2"/>
    <w:rsid w:val="00FF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2BB594BE"/>
  <w14:defaultImageDpi w14:val="330"/>
  <w15:docId w15:val="{D986496F-E0F5-47E3-A6C2-CE1FD3A5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aliases w:val="Footnote text"/>
    <w:basedOn w:val="Normal"/>
    <w:link w:val="FootnoteTextChar"/>
    <w:uiPriority w:val="99"/>
    <w:unhideWhenUsed/>
    <w:qFormat/>
    <w:rsid w:val="00C33416"/>
    <w:rPr>
      <w:rFonts w:ascii="Arial" w:hAnsi="Arial"/>
      <w:sz w:val="20"/>
    </w:rPr>
  </w:style>
  <w:style w:type="character" w:customStyle="1" w:styleId="FootnoteTextChar">
    <w:name w:val="Footnote Text Char"/>
    <w:aliases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C203C3"/>
    <w:pPr>
      <w:spacing w:line="259" w:lineRule="auto"/>
      <w:outlineLvl w:val="9"/>
    </w:pPr>
    <w:rPr>
      <w:rFonts w:cs="Arial"/>
      <w:b/>
      <w:sz w:val="36"/>
      <w:szCs w:val="36"/>
    </w:rPr>
  </w:style>
  <w:style w:type="paragraph" w:styleId="TOC1">
    <w:name w:val="toc 1"/>
    <w:basedOn w:val="Normal"/>
    <w:next w:val="Normal"/>
    <w:autoRedefine/>
    <w:uiPriority w:val="39"/>
    <w:unhideWhenUsed/>
    <w:rsid w:val="006F4194"/>
    <w:pPr>
      <w:spacing w:after="100"/>
    </w:pPr>
    <w:rPr>
      <w:rFonts w:ascii="Arial" w:hAnsi="Arial"/>
    </w:r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D252DD"/>
    <w:pPr>
      <w:numPr>
        <w:numId w:val="13"/>
      </w:numPr>
      <w:spacing w:before="120" w:after="240" w:line="276" w:lineRule="auto"/>
      <w:contextualSpacing w:val="0"/>
    </w:pPr>
    <w:rPr>
      <w:rFonts w:ascii="Arial" w:hAnsi="Arial" w:cs="Arial"/>
      <w:sz w:val="22"/>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D252DD"/>
    <w:rPr>
      <w:rFonts w:ascii="Arial" w:hAnsi="Arial" w:cs="Arial"/>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FB0A3D"/>
    <w:pPr>
      <w:numPr>
        <w:numId w:val="16"/>
      </w:numPr>
      <w:spacing w:after="120"/>
      <w:contextualSpacing w:val="0"/>
    </w:pPr>
    <w:rPr>
      <w:rFonts w:ascii="Arial" w:hAnsi="Arial" w:cs="Arial"/>
      <w:sz w:val="22"/>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qFormat/>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 w:type="character" w:customStyle="1" w:styleId="listnumber">
    <w:name w:val="listnumber"/>
    <w:basedOn w:val="DefaultParagraphFont"/>
    <w:rsid w:val="004C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45437">
      <w:bodyDiv w:val="1"/>
      <w:marLeft w:val="0"/>
      <w:marRight w:val="0"/>
      <w:marTop w:val="0"/>
      <w:marBottom w:val="0"/>
      <w:divBdr>
        <w:top w:val="none" w:sz="0" w:space="0" w:color="auto"/>
        <w:left w:val="none" w:sz="0" w:space="0" w:color="auto"/>
        <w:bottom w:val="none" w:sz="0" w:space="0" w:color="auto"/>
        <w:right w:val="none" w:sz="0" w:space="0" w:color="auto"/>
      </w:divBdr>
      <w:divsChild>
        <w:div w:id="856500002">
          <w:blockQuote w:val="1"/>
          <w:marLeft w:val="600"/>
          <w:marRight w:val="0"/>
          <w:marTop w:val="120"/>
          <w:marBottom w:val="120"/>
          <w:divBdr>
            <w:top w:val="none" w:sz="0" w:space="0" w:color="auto"/>
            <w:left w:val="none" w:sz="0" w:space="0" w:color="auto"/>
            <w:bottom w:val="none" w:sz="0" w:space="0" w:color="auto"/>
            <w:right w:val="none" w:sz="0" w:space="0" w:color="auto"/>
          </w:divBdr>
        </w:div>
        <w:div w:id="1152017496">
          <w:blockQuote w:val="1"/>
          <w:marLeft w:val="600"/>
          <w:marRight w:val="0"/>
          <w:marTop w:val="120"/>
          <w:marBottom w:val="120"/>
          <w:divBdr>
            <w:top w:val="none" w:sz="0" w:space="0" w:color="auto"/>
            <w:left w:val="none" w:sz="0" w:space="0" w:color="auto"/>
            <w:bottom w:val="none" w:sz="0" w:space="0" w:color="auto"/>
            <w:right w:val="none" w:sz="0" w:space="0" w:color="auto"/>
          </w:divBdr>
        </w:div>
        <w:div w:id="6537224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FCD3E2-70F6-4656-B383-8FB8BEEC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7</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Police Powers and Responsibilities (Jack’s Law) Amendment Bill 2022</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Powers and Responsibilities (Jack’s Law) Amendment Bill 2022</dc:title>
  <dc:subject/>
  <dc:creator>Sean Costello</dc:creator>
  <cp:keywords/>
  <dc:description/>
  <cp:lastModifiedBy>Sean Costello</cp:lastModifiedBy>
  <cp:revision>42</cp:revision>
  <cp:lastPrinted>2023-01-13T04:39:00Z</cp:lastPrinted>
  <dcterms:created xsi:type="dcterms:W3CDTF">2022-12-14T05:36:00Z</dcterms:created>
  <dcterms:modified xsi:type="dcterms:W3CDTF">2023-01-13T04:53:00Z</dcterms:modified>
</cp:coreProperties>
</file>