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Cs/>
          <w:color w:val="000000" w:themeColor="text1"/>
          <w:sz w:val="28"/>
          <w:szCs w:val="24"/>
          <w:lang w:val="en-AU"/>
        </w:rPr>
        <w:id w:val="2067608509"/>
        <w:docPartObj>
          <w:docPartGallery w:val="Cover Pages"/>
          <w:docPartUnique/>
        </w:docPartObj>
      </w:sdtPr>
      <w:sdtEndPr>
        <w:rPr>
          <w:rFonts w:cstheme="minorBidi"/>
          <w:bCs w:val="0"/>
          <w:sz w:val="16"/>
          <w:szCs w:val="16"/>
        </w:rPr>
      </w:sdtEndPr>
      <w:sdtContent>
        <w:p w14:paraId="307DF7E2" w14:textId="77777777" w:rsidR="00C8623B" w:rsidRDefault="00C8623B" w:rsidP="00C8623B">
          <w:pPr>
            <w:pStyle w:val="NoSpacing"/>
            <w:spacing w:before="120" w:after="120" w:line="276" w:lineRule="auto"/>
            <w:rPr>
              <w:rFonts w:ascii="Arial" w:hAnsi="Arial" w:cs="Arial"/>
              <w:bCs/>
              <w:color w:val="000000" w:themeColor="text1"/>
              <w:sz w:val="28"/>
              <w:szCs w:val="24"/>
              <w:lang w:val="en-AU"/>
            </w:rPr>
          </w:pPr>
        </w:p>
        <w:p w14:paraId="24DEFF60" w14:textId="77777777" w:rsidR="00A6569F" w:rsidRDefault="00A6569F" w:rsidP="00C8623B">
          <w:pPr>
            <w:pStyle w:val="NoSpacing"/>
            <w:spacing w:before="120" w:after="120" w:line="276" w:lineRule="auto"/>
            <w:rPr>
              <w:rFonts w:ascii="Arial" w:hAnsi="Arial" w:cs="Arial"/>
              <w:bCs/>
              <w:color w:val="000000" w:themeColor="text1"/>
              <w:sz w:val="28"/>
              <w:szCs w:val="24"/>
              <w:lang w:val="en-AU"/>
            </w:rPr>
          </w:pPr>
        </w:p>
        <w:p w14:paraId="031D1210" w14:textId="77777777" w:rsidR="005239F0" w:rsidRDefault="005239F0" w:rsidP="00C8623B">
          <w:pPr>
            <w:pStyle w:val="NoSpacing"/>
            <w:spacing w:before="120" w:after="120" w:line="276" w:lineRule="auto"/>
            <w:rPr>
              <w:rFonts w:ascii="Arial" w:hAnsi="Arial" w:cs="Arial"/>
              <w:bCs/>
              <w:color w:val="000000" w:themeColor="text1"/>
              <w:sz w:val="28"/>
              <w:szCs w:val="24"/>
              <w:lang w:val="en-AU"/>
            </w:rPr>
          </w:pPr>
        </w:p>
        <w:p w14:paraId="009ED7CC" w14:textId="77777777" w:rsidR="00176FB6" w:rsidRDefault="00176FB6" w:rsidP="00C8623B">
          <w:pPr>
            <w:pStyle w:val="NoSpacing"/>
            <w:spacing w:before="120" w:after="120" w:line="276" w:lineRule="auto"/>
            <w:rPr>
              <w:rFonts w:ascii="Arial" w:hAnsi="Arial" w:cs="Arial"/>
              <w:bCs/>
              <w:color w:val="000000" w:themeColor="text1"/>
              <w:sz w:val="28"/>
              <w:szCs w:val="24"/>
              <w:lang w:val="en-AU"/>
            </w:rPr>
          </w:pPr>
        </w:p>
        <w:p w14:paraId="1741DB85" w14:textId="77777777" w:rsidR="00176FB6" w:rsidRDefault="00176FB6" w:rsidP="00C8623B">
          <w:pPr>
            <w:pStyle w:val="NoSpacing"/>
            <w:spacing w:before="120" w:after="120" w:line="276" w:lineRule="auto"/>
            <w:rPr>
              <w:rFonts w:ascii="Arial" w:hAnsi="Arial" w:cs="Arial"/>
              <w:bCs/>
              <w:sz w:val="28"/>
            </w:rPr>
          </w:pPr>
        </w:p>
        <w:p w14:paraId="6B9B65F0" w14:textId="77777777" w:rsidR="00C8623B" w:rsidRDefault="00C8623B" w:rsidP="00C8623B">
          <w:pPr>
            <w:pStyle w:val="NoSpacing"/>
            <w:spacing w:before="120" w:after="120" w:line="276" w:lineRule="auto"/>
            <w:rPr>
              <w:rFonts w:ascii="Arial" w:hAnsi="Arial" w:cs="Arial"/>
              <w:bCs/>
              <w:sz w:val="28"/>
            </w:rPr>
          </w:pPr>
        </w:p>
        <w:p w14:paraId="43A29FA9" w14:textId="77777777" w:rsidR="00C8623B" w:rsidRDefault="00C8623B" w:rsidP="00C8623B">
          <w:pPr>
            <w:pStyle w:val="NoSpacing"/>
            <w:spacing w:before="120" w:after="120" w:line="276" w:lineRule="auto"/>
            <w:rPr>
              <w:rFonts w:ascii="Arial" w:hAnsi="Arial" w:cs="Arial"/>
              <w:bCs/>
              <w:sz w:val="28"/>
            </w:rPr>
          </w:pPr>
          <w:r w:rsidRPr="00F63848">
            <w:rPr>
              <w:noProof/>
              <w:lang w:val="en-AU" w:eastAsia="en-AU"/>
            </w:rPr>
            <w:drawing>
              <wp:inline distT="0" distB="0" distL="0" distR="0" wp14:anchorId="34043FEA" wp14:editId="2214C409">
                <wp:extent cx="3259015" cy="1066800"/>
                <wp:effectExtent l="0" t="0" r="0" b="0"/>
                <wp:docPr id="3" name="Picture 3"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903" t="13919" r="4207" b="11569"/>
                        <a:stretch/>
                      </pic:blipFill>
                      <pic:spPr bwMode="auto">
                        <a:xfrm>
                          <a:off x="0" y="0"/>
                          <a:ext cx="3303563" cy="1081382"/>
                        </a:xfrm>
                        <a:prstGeom prst="rect">
                          <a:avLst/>
                        </a:prstGeom>
                        <a:noFill/>
                        <a:ln>
                          <a:noFill/>
                        </a:ln>
                        <a:extLst>
                          <a:ext uri="{53640926-AAD7-44D8-BBD7-CCE9431645EC}">
                            <a14:shadowObscured xmlns:a14="http://schemas.microsoft.com/office/drawing/2010/main"/>
                          </a:ext>
                        </a:extLst>
                      </pic:spPr>
                    </pic:pic>
                  </a:graphicData>
                </a:graphic>
              </wp:inline>
            </w:drawing>
          </w:r>
        </w:p>
        <w:p w14:paraId="50D3F52E" w14:textId="77777777" w:rsidR="00C8623B" w:rsidRDefault="00C8623B" w:rsidP="00C8623B">
          <w:pPr>
            <w:pStyle w:val="NoSpacing"/>
            <w:spacing w:before="120" w:after="120" w:line="276" w:lineRule="auto"/>
            <w:rPr>
              <w:rFonts w:ascii="Arial" w:hAnsi="Arial" w:cs="Arial"/>
              <w:bCs/>
              <w:sz w:val="28"/>
            </w:rPr>
          </w:pPr>
        </w:p>
        <w:p w14:paraId="6E71B6EE" w14:textId="77777777" w:rsidR="00C8623B" w:rsidRDefault="00C8623B" w:rsidP="00C8623B">
          <w:pPr>
            <w:pStyle w:val="NoSpacing"/>
            <w:spacing w:before="120" w:after="120" w:line="276" w:lineRule="auto"/>
            <w:rPr>
              <w:rFonts w:ascii="Arial" w:hAnsi="Arial" w:cs="Arial"/>
              <w:bCs/>
              <w:sz w:val="28"/>
            </w:rPr>
          </w:pPr>
        </w:p>
        <w:p w14:paraId="1B83C4C5" w14:textId="77777777" w:rsidR="00C8623B" w:rsidRDefault="00C8623B" w:rsidP="00C8623B">
          <w:pPr>
            <w:pStyle w:val="NoSpacing"/>
            <w:spacing w:before="120" w:after="120" w:line="276" w:lineRule="auto"/>
            <w:rPr>
              <w:rFonts w:ascii="Arial" w:hAnsi="Arial" w:cs="Arial"/>
              <w:bCs/>
              <w:sz w:val="28"/>
            </w:rPr>
          </w:pPr>
        </w:p>
        <w:p w14:paraId="29207A3B" w14:textId="77777777" w:rsidR="00C8623B" w:rsidRDefault="00C8623B" w:rsidP="00C8623B">
          <w:pPr>
            <w:pStyle w:val="NoSpacing"/>
            <w:spacing w:before="120" w:after="120" w:line="276" w:lineRule="auto"/>
            <w:rPr>
              <w:rFonts w:ascii="Arial" w:hAnsi="Arial" w:cs="Arial"/>
              <w:bCs/>
              <w:sz w:val="28"/>
            </w:rPr>
          </w:pPr>
        </w:p>
        <w:p w14:paraId="5DFDF9E8" w14:textId="77777777" w:rsidR="00C8623B" w:rsidRDefault="00C8623B" w:rsidP="00C8623B">
          <w:pPr>
            <w:pStyle w:val="NoSpacing"/>
            <w:spacing w:before="120" w:after="120" w:line="276" w:lineRule="auto"/>
            <w:rPr>
              <w:rFonts w:ascii="Arial" w:hAnsi="Arial" w:cs="Arial"/>
              <w:bCs/>
              <w:sz w:val="28"/>
            </w:rPr>
          </w:pPr>
        </w:p>
        <w:p w14:paraId="73691644" w14:textId="77777777" w:rsidR="00C8623B" w:rsidRDefault="00C8623B" w:rsidP="00C8623B">
          <w:pPr>
            <w:pStyle w:val="NoSpacing"/>
            <w:spacing w:before="120" w:after="120" w:line="276" w:lineRule="auto"/>
            <w:rPr>
              <w:rFonts w:ascii="Arial" w:hAnsi="Arial" w:cs="Arial"/>
              <w:bCs/>
              <w:sz w:val="28"/>
            </w:rPr>
          </w:pPr>
        </w:p>
        <w:p w14:paraId="21881881" w14:textId="5B2F5474" w:rsidR="00C8623B" w:rsidRPr="00C8623B" w:rsidRDefault="00C8623B" w:rsidP="00C8623B">
          <w:pPr>
            <w:pStyle w:val="Title"/>
            <w:spacing w:line="276" w:lineRule="auto"/>
            <w:rPr>
              <w:sz w:val="44"/>
              <w:szCs w:val="40"/>
            </w:rPr>
          </w:pPr>
          <w:r w:rsidRPr="00C8623B">
            <w:rPr>
              <w:sz w:val="44"/>
              <w:szCs w:val="40"/>
            </w:rPr>
            <w:t xml:space="preserve">Criminal Law (Coercive Control and Affirmative Consent) and </w:t>
          </w:r>
          <w:r w:rsidR="00770CB1">
            <w:rPr>
              <w:sz w:val="44"/>
              <w:szCs w:val="40"/>
            </w:rPr>
            <w:t>O</w:t>
          </w:r>
          <w:r w:rsidRPr="00C8623B">
            <w:rPr>
              <w:sz w:val="44"/>
              <w:szCs w:val="40"/>
            </w:rPr>
            <w:t>ther Legislation Amendment Bill 2023</w:t>
          </w:r>
        </w:p>
        <w:p w14:paraId="4BAC08D1" w14:textId="322AAC9E" w:rsidR="00E92291" w:rsidRDefault="00334560" w:rsidP="00C8623B">
          <w:pPr>
            <w:pStyle w:val="Heading2"/>
            <w:spacing w:line="276" w:lineRule="auto"/>
          </w:pPr>
          <w:bookmarkStart w:id="0" w:name="_Toc148537188"/>
          <w:bookmarkStart w:id="1" w:name="_Toc149049555"/>
          <w:bookmarkStart w:id="2" w:name="_Toc149202266"/>
          <w:bookmarkStart w:id="3" w:name="_Toc125540735"/>
          <w:bookmarkStart w:id="4" w:name="_Toc141442159"/>
          <w:r>
            <w:t>Submission to Legal Affairs and Safety Committee</w:t>
          </w:r>
          <w:bookmarkEnd w:id="0"/>
          <w:bookmarkEnd w:id="1"/>
          <w:bookmarkEnd w:id="2"/>
        </w:p>
        <w:p w14:paraId="6F3CFBB8" w14:textId="28A6A024" w:rsidR="00C8623B" w:rsidRDefault="00334560" w:rsidP="00C8623B">
          <w:pPr>
            <w:pStyle w:val="Heading2"/>
            <w:spacing w:line="276" w:lineRule="auto"/>
          </w:pPr>
          <w:bookmarkStart w:id="5" w:name="_Toc148537189"/>
          <w:bookmarkStart w:id="6" w:name="_Toc149049556"/>
          <w:bookmarkStart w:id="7" w:name="_Toc149202267"/>
          <w:r w:rsidRPr="00D824F8">
            <w:t>2</w:t>
          </w:r>
          <w:r w:rsidR="00773E5C" w:rsidRPr="00D824F8">
            <w:t>6</w:t>
          </w:r>
          <w:r w:rsidRPr="00D824F8">
            <w:t xml:space="preserve"> October</w:t>
          </w:r>
          <w:r w:rsidR="00C8623B" w:rsidRPr="00D824F8">
            <w:t xml:space="preserve"> 2023</w:t>
          </w:r>
          <w:bookmarkEnd w:id="3"/>
          <w:bookmarkEnd w:id="4"/>
          <w:bookmarkEnd w:id="5"/>
          <w:bookmarkEnd w:id="6"/>
          <w:bookmarkEnd w:id="7"/>
        </w:p>
        <w:p w14:paraId="1191B9A8" w14:textId="77777777" w:rsidR="00C8623B" w:rsidRDefault="00C8623B" w:rsidP="00C8623B">
          <w:pPr>
            <w:spacing w:line="276" w:lineRule="auto"/>
            <w:rPr>
              <w:rFonts w:cs="Arial"/>
              <w:bCs/>
              <w:sz w:val="28"/>
              <w:szCs w:val="22"/>
              <w:lang w:val="en-US"/>
            </w:rPr>
          </w:pPr>
          <w:r>
            <w:rPr>
              <w:rFonts w:cs="Arial"/>
              <w:bCs/>
              <w:sz w:val="28"/>
            </w:rPr>
            <w:br w:type="page"/>
          </w:r>
        </w:p>
        <w:p w14:paraId="1E8C2698" w14:textId="77777777" w:rsidR="00C8623B" w:rsidRDefault="00C8623B" w:rsidP="00C8623B">
          <w:pPr>
            <w:pStyle w:val="NoSpacing"/>
            <w:spacing w:before="120" w:after="120" w:line="276" w:lineRule="auto"/>
          </w:pPr>
        </w:p>
        <w:sdt>
          <w:sdtPr>
            <w:rPr>
              <w:rFonts w:eastAsiaTheme="minorEastAsia" w:cstheme="minorBidi"/>
              <w:color w:val="000000" w:themeColor="text1"/>
              <w:sz w:val="22"/>
              <w:szCs w:val="24"/>
              <w:lang w:val="en-GB"/>
            </w:rPr>
            <w:id w:val="-1191601576"/>
            <w:docPartObj>
              <w:docPartGallery w:val="Table of Contents"/>
              <w:docPartUnique/>
            </w:docPartObj>
          </w:sdtPr>
          <w:sdtEndPr>
            <w:rPr>
              <w:b/>
              <w:bCs/>
            </w:rPr>
          </w:sdtEndPr>
          <w:sdtContent>
            <w:p w14:paraId="2F571E33" w14:textId="77777777" w:rsidR="00A95F2E" w:rsidRDefault="00A95F2E" w:rsidP="00A95F2E">
              <w:pPr>
                <w:pStyle w:val="TOCHeading"/>
              </w:pPr>
              <w:r>
                <w:rPr>
                  <w:lang w:val="en-GB"/>
                </w:rPr>
                <w:t>Contents</w:t>
              </w:r>
            </w:p>
            <w:p w14:paraId="036F6261" w14:textId="6E032F52" w:rsidR="002820A1" w:rsidRDefault="00A95F2E" w:rsidP="002820A1">
              <w:pPr>
                <w:pStyle w:val="TOC2"/>
                <w:rPr>
                  <w:rFonts w:asciiTheme="minorHAnsi" w:hAnsiTheme="minorHAnsi"/>
                  <w:noProof/>
                  <w:color w:val="auto"/>
                  <w:szCs w:val="28"/>
                  <w:lang w:eastAsia="zh-CN" w:bidi="th-TH"/>
                </w:rPr>
              </w:pPr>
              <w:r>
                <w:fldChar w:fldCharType="begin"/>
              </w:r>
              <w:r>
                <w:instrText xml:space="preserve"> TOC \o "1-3" \h \z \u </w:instrText>
              </w:r>
              <w:r>
                <w:fldChar w:fldCharType="separate"/>
              </w:r>
            </w:p>
            <w:p w14:paraId="631DE326" w14:textId="5B17D571" w:rsidR="002820A1" w:rsidRDefault="002820A1">
              <w:pPr>
                <w:pStyle w:val="TOC2"/>
                <w:rPr>
                  <w:rFonts w:asciiTheme="minorHAnsi" w:hAnsiTheme="minorHAnsi"/>
                  <w:noProof/>
                  <w:color w:val="auto"/>
                  <w:szCs w:val="28"/>
                  <w:lang w:eastAsia="zh-CN" w:bidi="th-TH"/>
                </w:rPr>
              </w:pPr>
            </w:p>
            <w:p w14:paraId="0CA026B0" w14:textId="1EC5B370" w:rsidR="002820A1" w:rsidRDefault="00E4005C">
              <w:pPr>
                <w:pStyle w:val="TOC1"/>
                <w:tabs>
                  <w:tab w:val="right" w:leader="dot" w:pos="8296"/>
                </w:tabs>
                <w:rPr>
                  <w:rFonts w:asciiTheme="minorHAnsi" w:hAnsiTheme="minorHAnsi"/>
                  <w:noProof/>
                  <w:color w:val="auto"/>
                  <w:szCs w:val="28"/>
                  <w:lang w:eastAsia="zh-CN" w:bidi="th-TH"/>
                </w:rPr>
              </w:pPr>
              <w:hyperlink w:anchor="_Toc149202268" w:history="1">
                <w:r w:rsidR="002820A1" w:rsidRPr="005779D9">
                  <w:rPr>
                    <w:rStyle w:val="Hyperlink"/>
                    <w:noProof/>
                  </w:rPr>
                  <w:t>Introduction</w:t>
                </w:r>
                <w:r w:rsidR="002820A1">
                  <w:rPr>
                    <w:noProof/>
                    <w:webHidden/>
                  </w:rPr>
                  <w:tab/>
                </w:r>
                <w:r w:rsidR="002820A1">
                  <w:rPr>
                    <w:noProof/>
                    <w:webHidden/>
                  </w:rPr>
                  <w:fldChar w:fldCharType="begin"/>
                </w:r>
                <w:r w:rsidR="002820A1">
                  <w:rPr>
                    <w:noProof/>
                    <w:webHidden/>
                  </w:rPr>
                  <w:instrText xml:space="preserve"> PAGEREF _Toc149202268 \h </w:instrText>
                </w:r>
                <w:r w:rsidR="002820A1">
                  <w:rPr>
                    <w:noProof/>
                    <w:webHidden/>
                  </w:rPr>
                </w:r>
                <w:r w:rsidR="002820A1">
                  <w:rPr>
                    <w:noProof/>
                    <w:webHidden/>
                  </w:rPr>
                  <w:fldChar w:fldCharType="separate"/>
                </w:r>
                <w:r w:rsidR="008C4219">
                  <w:rPr>
                    <w:noProof/>
                    <w:webHidden/>
                  </w:rPr>
                  <w:t>2</w:t>
                </w:r>
                <w:r w:rsidR="002820A1">
                  <w:rPr>
                    <w:noProof/>
                    <w:webHidden/>
                  </w:rPr>
                  <w:fldChar w:fldCharType="end"/>
                </w:r>
              </w:hyperlink>
            </w:p>
            <w:p w14:paraId="76F8E768" w14:textId="63C58B92" w:rsidR="002820A1" w:rsidRDefault="00E4005C">
              <w:pPr>
                <w:pStyle w:val="TOC2"/>
                <w:rPr>
                  <w:rFonts w:asciiTheme="minorHAnsi" w:hAnsiTheme="minorHAnsi"/>
                  <w:noProof/>
                  <w:color w:val="auto"/>
                  <w:szCs w:val="28"/>
                  <w:lang w:eastAsia="zh-CN" w:bidi="th-TH"/>
                </w:rPr>
              </w:pPr>
              <w:hyperlink w:anchor="_Toc149202269" w:history="1">
                <w:r w:rsidR="002820A1" w:rsidRPr="005779D9">
                  <w:rPr>
                    <w:rStyle w:val="Hyperlink"/>
                    <w:noProof/>
                  </w:rPr>
                  <w:t>About the QHRC</w:t>
                </w:r>
                <w:r w:rsidR="002820A1">
                  <w:rPr>
                    <w:noProof/>
                    <w:webHidden/>
                  </w:rPr>
                  <w:tab/>
                </w:r>
                <w:r w:rsidR="002820A1">
                  <w:rPr>
                    <w:noProof/>
                    <w:webHidden/>
                  </w:rPr>
                  <w:fldChar w:fldCharType="begin"/>
                </w:r>
                <w:r w:rsidR="002820A1">
                  <w:rPr>
                    <w:noProof/>
                    <w:webHidden/>
                  </w:rPr>
                  <w:instrText xml:space="preserve"> PAGEREF _Toc149202269 \h </w:instrText>
                </w:r>
                <w:r w:rsidR="002820A1">
                  <w:rPr>
                    <w:noProof/>
                    <w:webHidden/>
                  </w:rPr>
                </w:r>
                <w:r w:rsidR="002820A1">
                  <w:rPr>
                    <w:noProof/>
                    <w:webHidden/>
                  </w:rPr>
                  <w:fldChar w:fldCharType="separate"/>
                </w:r>
                <w:r w:rsidR="008C4219">
                  <w:rPr>
                    <w:noProof/>
                    <w:webHidden/>
                  </w:rPr>
                  <w:t>2</w:t>
                </w:r>
                <w:r w:rsidR="002820A1">
                  <w:rPr>
                    <w:noProof/>
                    <w:webHidden/>
                  </w:rPr>
                  <w:fldChar w:fldCharType="end"/>
                </w:r>
              </w:hyperlink>
            </w:p>
            <w:p w14:paraId="45D266D5" w14:textId="015D9BB3" w:rsidR="002820A1" w:rsidRDefault="00E4005C">
              <w:pPr>
                <w:pStyle w:val="TOC2"/>
                <w:rPr>
                  <w:rFonts w:asciiTheme="minorHAnsi" w:hAnsiTheme="minorHAnsi"/>
                  <w:noProof/>
                  <w:color w:val="auto"/>
                  <w:szCs w:val="28"/>
                  <w:lang w:eastAsia="zh-CN" w:bidi="th-TH"/>
                </w:rPr>
              </w:pPr>
              <w:hyperlink w:anchor="_Toc149202270" w:history="1">
                <w:r w:rsidR="002820A1" w:rsidRPr="005779D9">
                  <w:rPr>
                    <w:rStyle w:val="Hyperlink"/>
                    <w:noProof/>
                  </w:rPr>
                  <w:t>Summary of submission</w:t>
                </w:r>
                <w:r w:rsidR="002820A1">
                  <w:rPr>
                    <w:noProof/>
                    <w:webHidden/>
                  </w:rPr>
                  <w:tab/>
                </w:r>
                <w:r w:rsidR="002820A1">
                  <w:rPr>
                    <w:noProof/>
                    <w:webHidden/>
                  </w:rPr>
                  <w:fldChar w:fldCharType="begin"/>
                </w:r>
                <w:r w:rsidR="002820A1">
                  <w:rPr>
                    <w:noProof/>
                    <w:webHidden/>
                  </w:rPr>
                  <w:instrText xml:space="preserve"> PAGEREF _Toc149202270 \h </w:instrText>
                </w:r>
                <w:r w:rsidR="002820A1">
                  <w:rPr>
                    <w:noProof/>
                    <w:webHidden/>
                  </w:rPr>
                </w:r>
                <w:r w:rsidR="002820A1">
                  <w:rPr>
                    <w:noProof/>
                    <w:webHidden/>
                  </w:rPr>
                  <w:fldChar w:fldCharType="separate"/>
                </w:r>
                <w:r w:rsidR="008C4219">
                  <w:rPr>
                    <w:noProof/>
                    <w:webHidden/>
                  </w:rPr>
                  <w:t>2</w:t>
                </w:r>
                <w:r w:rsidR="002820A1">
                  <w:rPr>
                    <w:noProof/>
                    <w:webHidden/>
                  </w:rPr>
                  <w:fldChar w:fldCharType="end"/>
                </w:r>
              </w:hyperlink>
            </w:p>
            <w:p w14:paraId="33BFE281" w14:textId="27C3B941" w:rsidR="002820A1" w:rsidRDefault="00E4005C">
              <w:pPr>
                <w:pStyle w:val="TOC2"/>
                <w:rPr>
                  <w:rFonts w:asciiTheme="minorHAnsi" w:hAnsiTheme="minorHAnsi"/>
                  <w:noProof/>
                  <w:color w:val="auto"/>
                  <w:szCs w:val="28"/>
                  <w:lang w:eastAsia="zh-CN" w:bidi="th-TH"/>
                </w:rPr>
              </w:pPr>
              <w:hyperlink w:anchor="_Toc149202271" w:history="1">
                <w:r w:rsidR="002820A1" w:rsidRPr="005779D9">
                  <w:rPr>
                    <w:rStyle w:val="Hyperlink"/>
                    <w:rFonts w:eastAsia="MS Mincho"/>
                    <w:noProof/>
                  </w:rPr>
                  <w:t>Recommendations</w:t>
                </w:r>
                <w:r w:rsidR="002820A1">
                  <w:rPr>
                    <w:noProof/>
                    <w:webHidden/>
                  </w:rPr>
                  <w:tab/>
                </w:r>
                <w:r w:rsidR="002820A1">
                  <w:rPr>
                    <w:noProof/>
                    <w:webHidden/>
                  </w:rPr>
                  <w:fldChar w:fldCharType="begin"/>
                </w:r>
                <w:r w:rsidR="002820A1">
                  <w:rPr>
                    <w:noProof/>
                    <w:webHidden/>
                  </w:rPr>
                  <w:instrText xml:space="preserve"> PAGEREF _Toc149202271 \h </w:instrText>
                </w:r>
                <w:r w:rsidR="002820A1">
                  <w:rPr>
                    <w:noProof/>
                    <w:webHidden/>
                  </w:rPr>
                </w:r>
                <w:r w:rsidR="002820A1">
                  <w:rPr>
                    <w:noProof/>
                    <w:webHidden/>
                  </w:rPr>
                  <w:fldChar w:fldCharType="separate"/>
                </w:r>
                <w:r w:rsidR="008C4219">
                  <w:rPr>
                    <w:noProof/>
                    <w:webHidden/>
                  </w:rPr>
                  <w:t>3</w:t>
                </w:r>
                <w:r w:rsidR="002820A1">
                  <w:rPr>
                    <w:noProof/>
                    <w:webHidden/>
                  </w:rPr>
                  <w:fldChar w:fldCharType="end"/>
                </w:r>
              </w:hyperlink>
            </w:p>
            <w:p w14:paraId="636142A2" w14:textId="0C09CF4C" w:rsidR="002820A1" w:rsidRDefault="00E4005C">
              <w:pPr>
                <w:pStyle w:val="TOC1"/>
                <w:tabs>
                  <w:tab w:val="right" w:leader="dot" w:pos="8296"/>
                </w:tabs>
                <w:rPr>
                  <w:rFonts w:asciiTheme="minorHAnsi" w:hAnsiTheme="minorHAnsi"/>
                  <w:noProof/>
                  <w:color w:val="auto"/>
                  <w:szCs w:val="28"/>
                  <w:lang w:eastAsia="zh-CN" w:bidi="th-TH"/>
                </w:rPr>
              </w:pPr>
              <w:hyperlink w:anchor="_Toc149202272" w:history="1">
                <w:r w:rsidR="002820A1" w:rsidRPr="005779D9">
                  <w:rPr>
                    <w:rStyle w:val="Hyperlink"/>
                    <w:noProof/>
                  </w:rPr>
                  <w:t>Application of the HR Act to the Bill</w:t>
                </w:r>
                <w:r w:rsidR="002820A1">
                  <w:rPr>
                    <w:noProof/>
                    <w:webHidden/>
                  </w:rPr>
                  <w:tab/>
                </w:r>
                <w:r w:rsidR="002820A1">
                  <w:rPr>
                    <w:noProof/>
                    <w:webHidden/>
                  </w:rPr>
                  <w:fldChar w:fldCharType="begin"/>
                </w:r>
                <w:r w:rsidR="002820A1">
                  <w:rPr>
                    <w:noProof/>
                    <w:webHidden/>
                  </w:rPr>
                  <w:instrText xml:space="preserve"> PAGEREF _Toc149202272 \h </w:instrText>
                </w:r>
                <w:r w:rsidR="002820A1">
                  <w:rPr>
                    <w:noProof/>
                    <w:webHidden/>
                  </w:rPr>
                </w:r>
                <w:r w:rsidR="002820A1">
                  <w:rPr>
                    <w:noProof/>
                    <w:webHidden/>
                  </w:rPr>
                  <w:fldChar w:fldCharType="separate"/>
                </w:r>
                <w:r w:rsidR="008C4219">
                  <w:rPr>
                    <w:noProof/>
                    <w:webHidden/>
                  </w:rPr>
                  <w:t>3</w:t>
                </w:r>
                <w:r w:rsidR="002820A1">
                  <w:rPr>
                    <w:noProof/>
                    <w:webHidden/>
                  </w:rPr>
                  <w:fldChar w:fldCharType="end"/>
                </w:r>
              </w:hyperlink>
            </w:p>
            <w:p w14:paraId="25461D8A" w14:textId="2BF71AAE" w:rsidR="002820A1" w:rsidRDefault="00E4005C">
              <w:pPr>
                <w:pStyle w:val="TOC2"/>
                <w:rPr>
                  <w:rFonts w:asciiTheme="minorHAnsi" w:hAnsiTheme="minorHAnsi"/>
                  <w:noProof/>
                  <w:color w:val="auto"/>
                  <w:szCs w:val="28"/>
                  <w:lang w:eastAsia="zh-CN" w:bidi="th-TH"/>
                </w:rPr>
              </w:pPr>
              <w:hyperlink w:anchor="_Toc149202273" w:history="1">
                <w:r w:rsidR="002820A1" w:rsidRPr="005779D9">
                  <w:rPr>
                    <w:rStyle w:val="Hyperlink"/>
                    <w:noProof/>
                  </w:rPr>
                  <w:t>Key human rights</w:t>
                </w:r>
                <w:r w:rsidR="002820A1">
                  <w:rPr>
                    <w:noProof/>
                    <w:webHidden/>
                  </w:rPr>
                  <w:tab/>
                </w:r>
                <w:r w:rsidR="002820A1">
                  <w:rPr>
                    <w:noProof/>
                    <w:webHidden/>
                  </w:rPr>
                  <w:fldChar w:fldCharType="begin"/>
                </w:r>
                <w:r w:rsidR="002820A1">
                  <w:rPr>
                    <w:noProof/>
                    <w:webHidden/>
                  </w:rPr>
                  <w:instrText xml:space="preserve"> PAGEREF _Toc149202273 \h </w:instrText>
                </w:r>
                <w:r w:rsidR="002820A1">
                  <w:rPr>
                    <w:noProof/>
                    <w:webHidden/>
                  </w:rPr>
                </w:r>
                <w:r w:rsidR="002820A1">
                  <w:rPr>
                    <w:noProof/>
                    <w:webHidden/>
                  </w:rPr>
                  <w:fldChar w:fldCharType="separate"/>
                </w:r>
                <w:r w:rsidR="008C4219">
                  <w:rPr>
                    <w:noProof/>
                    <w:webHidden/>
                  </w:rPr>
                  <w:t>3</w:t>
                </w:r>
                <w:r w:rsidR="002820A1">
                  <w:rPr>
                    <w:noProof/>
                    <w:webHidden/>
                  </w:rPr>
                  <w:fldChar w:fldCharType="end"/>
                </w:r>
              </w:hyperlink>
            </w:p>
            <w:p w14:paraId="0DE80510" w14:textId="145D7806" w:rsidR="002820A1" w:rsidRDefault="00E4005C">
              <w:pPr>
                <w:pStyle w:val="TOC2"/>
                <w:rPr>
                  <w:rFonts w:asciiTheme="minorHAnsi" w:hAnsiTheme="minorHAnsi"/>
                  <w:noProof/>
                  <w:color w:val="auto"/>
                  <w:szCs w:val="28"/>
                  <w:lang w:eastAsia="zh-CN" w:bidi="th-TH"/>
                </w:rPr>
              </w:pPr>
              <w:hyperlink w:anchor="_Toc149202274" w:history="1">
                <w:r w:rsidR="002820A1" w:rsidRPr="005779D9">
                  <w:rPr>
                    <w:rStyle w:val="Hyperlink"/>
                    <w:noProof/>
                  </w:rPr>
                  <w:t>Fair hearings for accused persons, victims, and the community</w:t>
                </w:r>
                <w:r w:rsidR="002820A1">
                  <w:rPr>
                    <w:noProof/>
                    <w:webHidden/>
                  </w:rPr>
                  <w:tab/>
                </w:r>
                <w:r w:rsidR="002820A1">
                  <w:rPr>
                    <w:noProof/>
                    <w:webHidden/>
                  </w:rPr>
                  <w:fldChar w:fldCharType="begin"/>
                </w:r>
                <w:r w:rsidR="002820A1">
                  <w:rPr>
                    <w:noProof/>
                    <w:webHidden/>
                  </w:rPr>
                  <w:instrText xml:space="preserve"> PAGEREF _Toc149202274 \h </w:instrText>
                </w:r>
                <w:r w:rsidR="002820A1">
                  <w:rPr>
                    <w:noProof/>
                    <w:webHidden/>
                  </w:rPr>
                </w:r>
                <w:r w:rsidR="002820A1">
                  <w:rPr>
                    <w:noProof/>
                    <w:webHidden/>
                  </w:rPr>
                  <w:fldChar w:fldCharType="separate"/>
                </w:r>
                <w:r w:rsidR="008C4219">
                  <w:rPr>
                    <w:noProof/>
                    <w:webHidden/>
                  </w:rPr>
                  <w:t>4</w:t>
                </w:r>
                <w:r w:rsidR="002820A1">
                  <w:rPr>
                    <w:noProof/>
                    <w:webHidden/>
                  </w:rPr>
                  <w:fldChar w:fldCharType="end"/>
                </w:r>
              </w:hyperlink>
            </w:p>
            <w:p w14:paraId="1916E6B2" w14:textId="7CF5729C" w:rsidR="002820A1" w:rsidRDefault="00E4005C">
              <w:pPr>
                <w:pStyle w:val="TOC1"/>
                <w:tabs>
                  <w:tab w:val="right" w:leader="dot" w:pos="8296"/>
                </w:tabs>
                <w:rPr>
                  <w:rFonts w:asciiTheme="minorHAnsi" w:hAnsiTheme="minorHAnsi"/>
                  <w:noProof/>
                  <w:color w:val="auto"/>
                  <w:szCs w:val="28"/>
                  <w:lang w:eastAsia="zh-CN" w:bidi="th-TH"/>
                </w:rPr>
              </w:pPr>
              <w:hyperlink w:anchor="_Toc149202275" w:history="1">
                <w:r w:rsidR="002820A1" w:rsidRPr="005779D9">
                  <w:rPr>
                    <w:rStyle w:val="Hyperlink"/>
                    <w:noProof/>
                    <w:lang w:eastAsia="en-AU"/>
                  </w:rPr>
                  <w:t>Comments on the Bill</w:t>
                </w:r>
                <w:r w:rsidR="002820A1">
                  <w:rPr>
                    <w:noProof/>
                    <w:webHidden/>
                  </w:rPr>
                  <w:tab/>
                </w:r>
                <w:r w:rsidR="002820A1">
                  <w:rPr>
                    <w:noProof/>
                    <w:webHidden/>
                  </w:rPr>
                  <w:fldChar w:fldCharType="begin"/>
                </w:r>
                <w:r w:rsidR="002820A1">
                  <w:rPr>
                    <w:noProof/>
                    <w:webHidden/>
                  </w:rPr>
                  <w:instrText xml:space="preserve"> PAGEREF _Toc149202275 \h </w:instrText>
                </w:r>
                <w:r w:rsidR="002820A1">
                  <w:rPr>
                    <w:noProof/>
                    <w:webHidden/>
                  </w:rPr>
                </w:r>
                <w:r w:rsidR="002820A1">
                  <w:rPr>
                    <w:noProof/>
                    <w:webHidden/>
                  </w:rPr>
                  <w:fldChar w:fldCharType="separate"/>
                </w:r>
                <w:r w:rsidR="008C4219">
                  <w:rPr>
                    <w:noProof/>
                    <w:webHidden/>
                  </w:rPr>
                  <w:t>5</w:t>
                </w:r>
                <w:r w:rsidR="002820A1">
                  <w:rPr>
                    <w:noProof/>
                    <w:webHidden/>
                  </w:rPr>
                  <w:fldChar w:fldCharType="end"/>
                </w:r>
              </w:hyperlink>
            </w:p>
            <w:p w14:paraId="1E9CF0C4" w14:textId="3E603B4B" w:rsidR="002820A1" w:rsidRDefault="00E4005C">
              <w:pPr>
                <w:pStyle w:val="TOC2"/>
                <w:rPr>
                  <w:rFonts w:asciiTheme="minorHAnsi" w:hAnsiTheme="minorHAnsi"/>
                  <w:noProof/>
                  <w:color w:val="auto"/>
                  <w:szCs w:val="28"/>
                  <w:lang w:eastAsia="zh-CN" w:bidi="th-TH"/>
                </w:rPr>
              </w:pPr>
              <w:hyperlink w:anchor="_Toc149202276" w:history="1">
                <w:r w:rsidR="002820A1" w:rsidRPr="005779D9">
                  <w:rPr>
                    <w:rStyle w:val="Hyperlink"/>
                    <w:noProof/>
                    <w:lang w:eastAsia="en-AU"/>
                  </w:rPr>
                  <w:t>Coercive control</w:t>
                </w:r>
                <w:r w:rsidR="002820A1">
                  <w:rPr>
                    <w:noProof/>
                    <w:webHidden/>
                  </w:rPr>
                  <w:tab/>
                </w:r>
                <w:r w:rsidR="002820A1">
                  <w:rPr>
                    <w:noProof/>
                    <w:webHidden/>
                  </w:rPr>
                  <w:fldChar w:fldCharType="begin"/>
                </w:r>
                <w:r w:rsidR="002820A1">
                  <w:rPr>
                    <w:noProof/>
                    <w:webHidden/>
                  </w:rPr>
                  <w:instrText xml:space="preserve"> PAGEREF _Toc149202276 \h </w:instrText>
                </w:r>
                <w:r w:rsidR="002820A1">
                  <w:rPr>
                    <w:noProof/>
                    <w:webHidden/>
                  </w:rPr>
                </w:r>
                <w:r w:rsidR="002820A1">
                  <w:rPr>
                    <w:noProof/>
                    <w:webHidden/>
                  </w:rPr>
                  <w:fldChar w:fldCharType="separate"/>
                </w:r>
                <w:r w:rsidR="008C4219">
                  <w:rPr>
                    <w:noProof/>
                    <w:webHidden/>
                  </w:rPr>
                  <w:t>5</w:t>
                </w:r>
                <w:r w:rsidR="002820A1">
                  <w:rPr>
                    <w:noProof/>
                    <w:webHidden/>
                  </w:rPr>
                  <w:fldChar w:fldCharType="end"/>
                </w:r>
              </w:hyperlink>
            </w:p>
            <w:p w14:paraId="05CD483A" w14:textId="10634B26" w:rsidR="002820A1" w:rsidRDefault="00E4005C">
              <w:pPr>
                <w:pStyle w:val="TOC2"/>
                <w:rPr>
                  <w:rFonts w:asciiTheme="minorHAnsi" w:hAnsiTheme="minorHAnsi"/>
                  <w:noProof/>
                  <w:color w:val="auto"/>
                  <w:szCs w:val="28"/>
                  <w:lang w:eastAsia="zh-CN" w:bidi="th-TH"/>
                </w:rPr>
              </w:pPr>
              <w:hyperlink w:anchor="_Toc149202277" w:history="1">
                <w:r w:rsidR="002820A1" w:rsidRPr="005779D9">
                  <w:rPr>
                    <w:rStyle w:val="Hyperlink"/>
                    <w:noProof/>
                    <w:lang w:eastAsia="en-AU"/>
                  </w:rPr>
                  <w:t>Refusal of bail and bail conditions</w:t>
                </w:r>
                <w:r w:rsidR="002820A1">
                  <w:rPr>
                    <w:noProof/>
                    <w:webHidden/>
                  </w:rPr>
                  <w:tab/>
                </w:r>
                <w:r w:rsidR="002820A1">
                  <w:rPr>
                    <w:noProof/>
                    <w:webHidden/>
                  </w:rPr>
                  <w:fldChar w:fldCharType="begin"/>
                </w:r>
                <w:r w:rsidR="002820A1">
                  <w:rPr>
                    <w:noProof/>
                    <w:webHidden/>
                  </w:rPr>
                  <w:instrText xml:space="preserve"> PAGEREF _Toc149202277 \h </w:instrText>
                </w:r>
                <w:r w:rsidR="002820A1">
                  <w:rPr>
                    <w:noProof/>
                    <w:webHidden/>
                  </w:rPr>
                </w:r>
                <w:r w:rsidR="002820A1">
                  <w:rPr>
                    <w:noProof/>
                    <w:webHidden/>
                  </w:rPr>
                  <w:fldChar w:fldCharType="separate"/>
                </w:r>
                <w:r w:rsidR="008C4219">
                  <w:rPr>
                    <w:noProof/>
                    <w:webHidden/>
                  </w:rPr>
                  <w:t>6</w:t>
                </w:r>
                <w:r w:rsidR="002820A1">
                  <w:rPr>
                    <w:noProof/>
                    <w:webHidden/>
                  </w:rPr>
                  <w:fldChar w:fldCharType="end"/>
                </w:r>
              </w:hyperlink>
            </w:p>
            <w:p w14:paraId="2F589550" w14:textId="504F4AD7" w:rsidR="002820A1" w:rsidRDefault="00E4005C">
              <w:pPr>
                <w:pStyle w:val="TOC2"/>
                <w:rPr>
                  <w:rFonts w:asciiTheme="minorHAnsi" w:hAnsiTheme="minorHAnsi"/>
                  <w:noProof/>
                  <w:color w:val="auto"/>
                  <w:szCs w:val="28"/>
                  <w:lang w:eastAsia="zh-CN" w:bidi="th-TH"/>
                </w:rPr>
              </w:pPr>
              <w:hyperlink w:anchor="_Toc149202278" w:history="1">
                <w:r w:rsidR="002820A1" w:rsidRPr="005779D9">
                  <w:rPr>
                    <w:rStyle w:val="Hyperlink"/>
                    <w:noProof/>
                    <w:lang w:eastAsia="en-AU"/>
                  </w:rPr>
                  <w:t>Sentencing considerations</w:t>
                </w:r>
                <w:r w:rsidR="002820A1">
                  <w:rPr>
                    <w:noProof/>
                    <w:webHidden/>
                  </w:rPr>
                  <w:tab/>
                </w:r>
                <w:r w:rsidR="002820A1">
                  <w:rPr>
                    <w:noProof/>
                    <w:webHidden/>
                  </w:rPr>
                  <w:fldChar w:fldCharType="begin"/>
                </w:r>
                <w:r w:rsidR="002820A1">
                  <w:rPr>
                    <w:noProof/>
                    <w:webHidden/>
                  </w:rPr>
                  <w:instrText xml:space="preserve"> PAGEREF _Toc149202278 \h </w:instrText>
                </w:r>
                <w:r w:rsidR="002820A1">
                  <w:rPr>
                    <w:noProof/>
                    <w:webHidden/>
                  </w:rPr>
                </w:r>
                <w:r w:rsidR="002820A1">
                  <w:rPr>
                    <w:noProof/>
                    <w:webHidden/>
                  </w:rPr>
                  <w:fldChar w:fldCharType="separate"/>
                </w:r>
                <w:r w:rsidR="008C4219">
                  <w:rPr>
                    <w:noProof/>
                    <w:webHidden/>
                  </w:rPr>
                  <w:t>7</w:t>
                </w:r>
                <w:r w:rsidR="002820A1">
                  <w:rPr>
                    <w:noProof/>
                    <w:webHidden/>
                  </w:rPr>
                  <w:fldChar w:fldCharType="end"/>
                </w:r>
              </w:hyperlink>
            </w:p>
            <w:p w14:paraId="7464F966" w14:textId="7A804AFF" w:rsidR="002820A1" w:rsidRDefault="00E4005C">
              <w:pPr>
                <w:pStyle w:val="TOC2"/>
                <w:rPr>
                  <w:rFonts w:asciiTheme="minorHAnsi" w:hAnsiTheme="minorHAnsi"/>
                  <w:noProof/>
                  <w:color w:val="auto"/>
                  <w:szCs w:val="28"/>
                  <w:lang w:eastAsia="zh-CN" w:bidi="th-TH"/>
                </w:rPr>
              </w:pPr>
              <w:hyperlink w:anchor="_Toc149202279" w:history="1">
                <w:r w:rsidR="002820A1" w:rsidRPr="005779D9">
                  <w:rPr>
                    <w:rStyle w:val="Hyperlink"/>
                    <w:noProof/>
                  </w:rPr>
                  <w:t>Affirmative consent, mistake of fact and stealthing</w:t>
                </w:r>
                <w:r w:rsidR="002820A1">
                  <w:rPr>
                    <w:noProof/>
                    <w:webHidden/>
                  </w:rPr>
                  <w:tab/>
                </w:r>
                <w:r w:rsidR="002820A1">
                  <w:rPr>
                    <w:noProof/>
                    <w:webHidden/>
                  </w:rPr>
                  <w:fldChar w:fldCharType="begin"/>
                </w:r>
                <w:r w:rsidR="002820A1">
                  <w:rPr>
                    <w:noProof/>
                    <w:webHidden/>
                  </w:rPr>
                  <w:instrText xml:space="preserve"> PAGEREF _Toc149202279 \h </w:instrText>
                </w:r>
                <w:r w:rsidR="002820A1">
                  <w:rPr>
                    <w:noProof/>
                    <w:webHidden/>
                  </w:rPr>
                </w:r>
                <w:r w:rsidR="002820A1">
                  <w:rPr>
                    <w:noProof/>
                    <w:webHidden/>
                  </w:rPr>
                  <w:fldChar w:fldCharType="separate"/>
                </w:r>
                <w:r w:rsidR="008C4219">
                  <w:rPr>
                    <w:noProof/>
                    <w:webHidden/>
                  </w:rPr>
                  <w:t>8</w:t>
                </w:r>
                <w:r w:rsidR="002820A1">
                  <w:rPr>
                    <w:noProof/>
                    <w:webHidden/>
                  </w:rPr>
                  <w:fldChar w:fldCharType="end"/>
                </w:r>
              </w:hyperlink>
            </w:p>
            <w:p w14:paraId="60C0A800" w14:textId="2E95AAFB" w:rsidR="002820A1" w:rsidRDefault="00E4005C">
              <w:pPr>
                <w:pStyle w:val="TOC3"/>
                <w:rPr>
                  <w:rFonts w:asciiTheme="minorHAnsi" w:hAnsiTheme="minorHAnsi"/>
                  <w:noProof/>
                  <w:color w:val="auto"/>
                  <w:szCs w:val="28"/>
                  <w:lang w:eastAsia="zh-CN" w:bidi="th-TH"/>
                </w:rPr>
              </w:pPr>
              <w:hyperlink w:anchor="_Toc149202280" w:history="1">
                <w:r w:rsidR="002820A1" w:rsidRPr="005779D9">
                  <w:rPr>
                    <w:rStyle w:val="Hyperlink"/>
                    <w:noProof/>
                  </w:rPr>
                  <w:t>Should non-payment of sex work be considered fraudulent inducement?</w:t>
                </w:r>
                <w:r w:rsidR="002820A1">
                  <w:rPr>
                    <w:noProof/>
                    <w:webHidden/>
                  </w:rPr>
                  <w:tab/>
                </w:r>
                <w:r w:rsidR="002820A1">
                  <w:rPr>
                    <w:noProof/>
                    <w:webHidden/>
                  </w:rPr>
                  <w:fldChar w:fldCharType="begin"/>
                </w:r>
                <w:r w:rsidR="002820A1">
                  <w:rPr>
                    <w:noProof/>
                    <w:webHidden/>
                  </w:rPr>
                  <w:instrText xml:space="preserve"> PAGEREF _Toc149202280 \h </w:instrText>
                </w:r>
                <w:r w:rsidR="002820A1">
                  <w:rPr>
                    <w:noProof/>
                    <w:webHidden/>
                  </w:rPr>
                </w:r>
                <w:r w:rsidR="002820A1">
                  <w:rPr>
                    <w:noProof/>
                    <w:webHidden/>
                  </w:rPr>
                  <w:fldChar w:fldCharType="separate"/>
                </w:r>
                <w:r w:rsidR="008C4219">
                  <w:rPr>
                    <w:noProof/>
                    <w:webHidden/>
                  </w:rPr>
                  <w:t>8</w:t>
                </w:r>
                <w:r w:rsidR="002820A1">
                  <w:rPr>
                    <w:noProof/>
                    <w:webHidden/>
                  </w:rPr>
                  <w:fldChar w:fldCharType="end"/>
                </w:r>
              </w:hyperlink>
            </w:p>
            <w:p w14:paraId="59FA0235" w14:textId="5E377935" w:rsidR="002820A1" w:rsidRDefault="00E4005C">
              <w:pPr>
                <w:pStyle w:val="TOC3"/>
                <w:rPr>
                  <w:rFonts w:asciiTheme="minorHAnsi" w:hAnsiTheme="minorHAnsi"/>
                  <w:noProof/>
                  <w:color w:val="auto"/>
                  <w:szCs w:val="28"/>
                  <w:lang w:eastAsia="zh-CN" w:bidi="th-TH"/>
                </w:rPr>
              </w:pPr>
              <w:hyperlink w:anchor="_Toc149202281" w:history="1">
                <w:r w:rsidR="002820A1" w:rsidRPr="005779D9">
                  <w:rPr>
                    <w:rStyle w:val="Hyperlink"/>
                    <w:noProof/>
                  </w:rPr>
                  <w:t>Should fraudulent inducement extend to representations made about serious disease?</w:t>
                </w:r>
                <w:r w:rsidR="002820A1">
                  <w:rPr>
                    <w:noProof/>
                    <w:webHidden/>
                  </w:rPr>
                  <w:tab/>
                </w:r>
                <w:r w:rsidR="002820A1">
                  <w:rPr>
                    <w:noProof/>
                    <w:webHidden/>
                  </w:rPr>
                  <w:fldChar w:fldCharType="begin"/>
                </w:r>
                <w:r w:rsidR="002820A1">
                  <w:rPr>
                    <w:noProof/>
                    <w:webHidden/>
                  </w:rPr>
                  <w:instrText xml:space="preserve"> PAGEREF _Toc149202281 \h </w:instrText>
                </w:r>
                <w:r w:rsidR="002820A1">
                  <w:rPr>
                    <w:noProof/>
                    <w:webHidden/>
                  </w:rPr>
                </w:r>
                <w:r w:rsidR="002820A1">
                  <w:rPr>
                    <w:noProof/>
                    <w:webHidden/>
                  </w:rPr>
                  <w:fldChar w:fldCharType="separate"/>
                </w:r>
                <w:r w:rsidR="008C4219">
                  <w:rPr>
                    <w:noProof/>
                    <w:webHidden/>
                  </w:rPr>
                  <w:t>9</w:t>
                </w:r>
                <w:r w:rsidR="002820A1">
                  <w:rPr>
                    <w:noProof/>
                    <w:webHidden/>
                  </w:rPr>
                  <w:fldChar w:fldCharType="end"/>
                </w:r>
              </w:hyperlink>
            </w:p>
            <w:p w14:paraId="67338EE8" w14:textId="416E932B" w:rsidR="002820A1" w:rsidRDefault="00E4005C">
              <w:pPr>
                <w:pStyle w:val="TOC2"/>
                <w:rPr>
                  <w:rFonts w:asciiTheme="minorHAnsi" w:hAnsiTheme="minorHAnsi"/>
                  <w:noProof/>
                  <w:color w:val="auto"/>
                  <w:szCs w:val="28"/>
                  <w:lang w:eastAsia="zh-CN" w:bidi="th-TH"/>
                </w:rPr>
              </w:pPr>
              <w:hyperlink w:anchor="_Toc149202282" w:history="1">
                <w:r w:rsidR="002820A1" w:rsidRPr="005779D9">
                  <w:rPr>
                    <w:rStyle w:val="Hyperlink"/>
                    <w:noProof/>
                  </w:rPr>
                  <w:t>Giving evidence in sexual offence trials</w:t>
                </w:r>
                <w:r w:rsidR="002820A1">
                  <w:rPr>
                    <w:noProof/>
                    <w:webHidden/>
                  </w:rPr>
                  <w:tab/>
                </w:r>
                <w:r w:rsidR="002820A1">
                  <w:rPr>
                    <w:noProof/>
                    <w:webHidden/>
                  </w:rPr>
                  <w:fldChar w:fldCharType="begin"/>
                </w:r>
                <w:r w:rsidR="002820A1">
                  <w:rPr>
                    <w:noProof/>
                    <w:webHidden/>
                  </w:rPr>
                  <w:instrText xml:space="preserve"> PAGEREF _Toc149202282 \h </w:instrText>
                </w:r>
                <w:r w:rsidR="002820A1">
                  <w:rPr>
                    <w:noProof/>
                    <w:webHidden/>
                  </w:rPr>
                </w:r>
                <w:r w:rsidR="002820A1">
                  <w:rPr>
                    <w:noProof/>
                    <w:webHidden/>
                  </w:rPr>
                  <w:fldChar w:fldCharType="separate"/>
                </w:r>
                <w:r w:rsidR="008C4219">
                  <w:rPr>
                    <w:noProof/>
                    <w:webHidden/>
                  </w:rPr>
                  <w:t>10</w:t>
                </w:r>
                <w:r w:rsidR="002820A1">
                  <w:rPr>
                    <w:noProof/>
                    <w:webHidden/>
                  </w:rPr>
                  <w:fldChar w:fldCharType="end"/>
                </w:r>
              </w:hyperlink>
            </w:p>
            <w:p w14:paraId="3FFE4A73" w14:textId="7E4A82A6" w:rsidR="002820A1" w:rsidRDefault="00E4005C">
              <w:pPr>
                <w:pStyle w:val="TOC1"/>
                <w:tabs>
                  <w:tab w:val="right" w:leader="dot" w:pos="8296"/>
                </w:tabs>
                <w:rPr>
                  <w:rFonts w:asciiTheme="minorHAnsi" w:hAnsiTheme="minorHAnsi"/>
                  <w:noProof/>
                  <w:color w:val="auto"/>
                  <w:szCs w:val="28"/>
                  <w:lang w:eastAsia="zh-CN" w:bidi="th-TH"/>
                </w:rPr>
              </w:pPr>
              <w:hyperlink w:anchor="_Toc149202283" w:history="1">
                <w:r w:rsidR="002820A1" w:rsidRPr="005779D9">
                  <w:rPr>
                    <w:rStyle w:val="Hyperlink"/>
                    <w:noProof/>
                  </w:rPr>
                  <w:t>Conclusion</w:t>
                </w:r>
                <w:r w:rsidR="002820A1">
                  <w:rPr>
                    <w:noProof/>
                    <w:webHidden/>
                  </w:rPr>
                  <w:tab/>
                </w:r>
                <w:r w:rsidR="002820A1">
                  <w:rPr>
                    <w:noProof/>
                    <w:webHidden/>
                  </w:rPr>
                  <w:fldChar w:fldCharType="begin"/>
                </w:r>
                <w:r w:rsidR="002820A1">
                  <w:rPr>
                    <w:noProof/>
                    <w:webHidden/>
                  </w:rPr>
                  <w:instrText xml:space="preserve"> PAGEREF _Toc149202283 \h </w:instrText>
                </w:r>
                <w:r w:rsidR="002820A1">
                  <w:rPr>
                    <w:noProof/>
                    <w:webHidden/>
                  </w:rPr>
                </w:r>
                <w:r w:rsidR="002820A1">
                  <w:rPr>
                    <w:noProof/>
                    <w:webHidden/>
                  </w:rPr>
                  <w:fldChar w:fldCharType="separate"/>
                </w:r>
                <w:r w:rsidR="008C4219">
                  <w:rPr>
                    <w:noProof/>
                    <w:webHidden/>
                  </w:rPr>
                  <w:t>12</w:t>
                </w:r>
                <w:r w:rsidR="002820A1">
                  <w:rPr>
                    <w:noProof/>
                    <w:webHidden/>
                  </w:rPr>
                  <w:fldChar w:fldCharType="end"/>
                </w:r>
              </w:hyperlink>
            </w:p>
            <w:p w14:paraId="16D56812" w14:textId="197AF466" w:rsidR="00A95F2E" w:rsidRDefault="00A95F2E" w:rsidP="00A95F2E">
              <w:r>
                <w:rPr>
                  <w:b/>
                  <w:bCs/>
                  <w:lang w:val="en-GB"/>
                </w:rPr>
                <w:fldChar w:fldCharType="end"/>
              </w:r>
            </w:p>
          </w:sdtContent>
        </w:sdt>
        <w:p w14:paraId="01B1506B" w14:textId="77777777" w:rsidR="00C8623B" w:rsidRPr="004A2375" w:rsidRDefault="00E4005C" w:rsidP="00C8623B">
          <w:pPr>
            <w:spacing w:line="276" w:lineRule="auto"/>
            <w:rPr>
              <w:rFonts w:eastAsiaTheme="majorEastAsia" w:cstheme="majorBidi"/>
              <w:b/>
              <w:color w:val="2F5496" w:themeColor="accent1" w:themeShade="BF"/>
              <w:sz w:val="16"/>
              <w:szCs w:val="16"/>
            </w:rPr>
          </w:pPr>
        </w:p>
      </w:sdtContent>
    </w:sdt>
    <w:p w14:paraId="0DD2DCBD" w14:textId="77777777" w:rsidR="00C8623B" w:rsidRDefault="00C8623B" w:rsidP="00C8623B">
      <w:pPr>
        <w:spacing w:line="276" w:lineRule="auto"/>
        <w:rPr>
          <w:rFonts w:eastAsiaTheme="majorEastAsia" w:cstheme="majorBidi"/>
          <w:b/>
          <w:color w:val="2F5496" w:themeColor="accent1" w:themeShade="BF"/>
          <w:sz w:val="28"/>
          <w:szCs w:val="32"/>
        </w:rPr>
        <w:sectPr w:rsidR="00C8623B" w:rsidSect="00A82986">
          <w:footerReference w:type="default" r:id="rId12"/>
          <w:headerReference w:type="first" r:id="rId13"/>
          <w:pgSz w:w="11900" w:h="16840" w:code="9"/>
          <w:pgMar w:top="1440" w:right="1797" w:bottom="1440" w:left="1797" w:header="709" w:footer="709" w:gutter="0"/>
          <w:pgNumType w:start="0"/>
          <w:cols w:space="708"/>
          <w:titlePg/>
          <w:docGrid w:linePitch="360"/>
        </w:sectPr>
      </w:pPr>
    </w:p>
    <w:p w14:paraId="6D6B08C3" w14:textId="22BA92B6" w:rsidR="00C8623B" w:rsidRDefault="00C8623B" w:rsidP="00C8623B">
      <w:pPr>
        <w:pStyle w:val="Heading1"/>
        <w:spacing w:line="276" w:lineRule="auto"/>
      </w:pPr>
      <w:bookmarkStart w:id="8" w:name="_Toc149202268"/>
      <w:r>
        <w:lastRenderedPageBreak/>
        <w:t>Introduction</w:t>
      </w:r>
      <w:bookmarkEnd w:id="8"/>
      <w:r>
        <w:t xml:space="preserve"> </w:t>
      </w:r>
    </w:p>
    <w:p w14:paraId="3E3C1355" w14:textId="4E48D994" w:rsidR="00C8623B" w:rsidRDefault="00C8623B" w:rsidP="00B10F66">
      <w:pPr>
        <w:pStyle w:val="Numberedparagraph"/>
      </w:pPr>
      <w:r>
        <w:t xml:space="preserve">Thank you for the opportunity to make </w:t>
      </w:r>
      <w:r w:rsidR="00E46AA7">
        <w:t xml:space="preserve">a </w:t>
      </w:r>
      <w:r>
        <w:t>submission on the</w:t>
      </w:r>
      <w:r w:rsidR="0005465D">
        <w:t xml:space="preserve"> Criminal Law (Coercive Control and Affirmative Consent) and Other Legislation </w:t>
      </w:r>
      <w:r w:rsidR="001A6018">
        <w:t xml:space="preserve">Amendment </w:t>
      </w:r>
      <w:r w:rsidR="0005465D">
        <w:t>Bill 2023</w:t>
      </w:r>
      <w:r w:rsidR="007D67EE">
        <w:t xml:space="preserve"> (the Bill)</w:t>
      </w:r>
      <w:r w:rsidR="0005465D">
        <w:t xml:space="preserve">. </w:t>
      </w:r>
    </w:p>
    <w:p w14:paraId="5D80230C" w14:textId="2EDCB93A" w:rsidR="0010724F" w:rsidRDefault="0010724F" w:rsidP="0010724F">
      <w:pPr>
        <w:pStyle w:val="Heading2"/>
      </w:pPr>
      <w:bookmarkStart w:id="9" w:name="_Toc149202269"/>
      <w:r>
        <w:t xml:space="preserve">About the </w:t>
      </w:r>
      <w:r w:rsidR="00F60CD3">
        <w:t>QHRC</w:t>
      </w:r>
      <w:bookmarkEnd w:id="9"/>
    </w:p>
    <w:p w14:paraId="7EC81951" w14:textId="159A053E" w:rsidR="0010724F" w:rsidRDefault="0010724F" w:rsidP="00B10F66">
      <w:pPr>
        <w:pStyle w:val="Numberedparagraph"/>
      </w:pPr>
      <w:r w:rsidRPr="0010724F">
        <w:t>The Queensland Human Rights Commission (</w:t>
      </w:r>
      <w:r w:rsidR="0085446F">
        <w:t>QHRC</w:t>
      </w:r>
      <w:r w:rsidRPr="0010724F">
        <w:t xml:space="preserve">) is a statutory body established under the </w:t>
      </w:r>
      <w:r w:rsidRPr="00075EAB">
        <w:rPr>
          <w:i/>
          <w:iCs/>
        </w:rPr>
        <w:t>Anti-Discrimination Act 1991</w:t>
      </w:r>
      <w:r w:rsidRPr="0010724F">
        <w:t xml:space="preserve"> (Qld) and deals with complaints made under that Act and the </w:t>
      </w:r>
      <w:r w:rsidRPr="00075EAB">
        <w:rPr>
          <w:i/>
          <w:iCs/>
        </w:rPr>
        <w:t>Human Rights Act 2019</w:t>
      </w:r>
      <w:r w:rsidRPr="0010724F">
        <w:t xml:space="preserve"> (Qld) (HR Act). The Commission also has functions to promote an understanding and public discussion of human rights in Queensland, and to provide information and education about human rights.</w:t>
      </w:r>
    </w:p>
    <w:p w14:paraId="5C82325A" w14:textId="1F5391FB" w:rsidR="0085446F" w:rsidRPr="00334560" w:rsidRDefault="0085446F" w:rsidP="0085446F">
      <w:pPr>
        <w:pStyle w:val="Heading2"/>
      </w:pPr>
      <w:bookmarkStart w:id="10" w:name="_Toc149202270"/>
      <w:r>
        <w:t>Summary of submission</w:t>
      </w:r>
      <w:bookmarkEnd w:id="10"/>
    </w:p>
    <w:p w14:paraId="07F6C6E2" w14:textId="7B9C5516" w:rsidR="00AC0B5A" w:rsidRDefault="00C85BC7" w:rsidP="00B10F66">
      <w:pPr>
        <w:pStyle w:val="Numberedparagraph"/>
      </w:pPr>
      <w:r>
        <w:t>The Bill</w:t>
      </w:r>
      <w:r w:rsidR="0005465D">
        <w:t xml:space="preserve"> </w:t>
      </w:r>
      <w:r>
        <w:t>implements</w:t>
      </w:r>
      <w:r w:rsidR="00AC0B5A">
        <w:t xml:space="preserve"> </w:t>
      </w:r>
      <w:r w:rsidR="00DD12E4">
        <w:t xml:space="preserve">major </w:t>
      </w:r>
      <w:r w:rsidR="00AC0B5A">
        <w:t xml:space="preserve">reforms arising from recommendations </w:t>
      </w:r>
      <w:r w:rsidR="00E46AA7">
        <w:t xml:space="preserve">of </w:t>
      </w:r>
      <w:r w:rsidR="00AC0B5A">
        <w:t>the</w:t>
      </w:r>
      <w:r w:rsidR="006A7420">
        <w:t xml:space="preserve"> </w:t>
      </w:r>
      <w:r w:rsidR="007A05EB">
        <w:t>Women’s Safety and Justice Taskforce</w:t>
      </w:r>
      <w:r w:rsidR="00234045">
        <w:t xml:space="preserve"> (</w:t>
      </w:r>
      <w:r w:rsidR="008C4870">
        <w:t>the Taskforce</w:t>
      </w:r>
      <w:r w:rsidR="00234045">
        <w:t>)</w:t>
      </w:r>
      <w:r w:rsidR="00334820">
        <w:t xml:space="preserve"> in the</w:t>
      </w:r>
      <w:r w:rsidR="00840E88">
        <w:t>ir</w:t>
      </w:r>
      <w:r w:rsidR="007A05EB">
        <w:t xml:space="preserve"> </w:t>
      </w:r>
      <w:r w:rsidR="007A05EB" w:rsidRPr="35F64AE2">
        <w:rPr>
          <w:i/>
          <w:iCs/>
        </w:rPr>
        <w:t xml:space="preserve">Hear her voice </w:t>
      </w:r>
      <w:r w:rsidR="007A05EB">
        <w:t>reports</w:t>
      </w:r>
      <w:r w:rsidR="00AC0B5A">
        <w:t xml:space="preserve"> </w:t>
      </w:r>
      <w:r w:rsidR="00165010">
        <w:t>one</w:t>
      </w:r>
      <w:r w:rsidR="00124274">
        <w:t xml:space="preserve"> and </w:t>
      </w:r>
      <w:r w:rsidR="1B5ED057">
        <w:t>two</w:t>
      </w:r>
      <w:r w:rsidR="00124274">
        <w:t xml:space="preserve">, </w:t>
      </w:r>
      <w:r w:rsidR="00AC0B5A">
        <w:t>and the Commission of Inquiry into Queensland Police Service Responses to Domestic and Family Violence</w:t>
      </w:r>
      <w:r w:rsidR="0059481F">
        <w:t xml:space="preserve"> (the Commission of Inquiry)</w:t>
      </w:r>
      <w:r w:rsidR="00F53CDC">
        <w:t xml:space="preserve"> in t</w:t>
      </w:r>
      <w:r w:rsidR="00C4040A">
        <w:t>he</w:t>
      </w:r>
      <w:r w:rsidR="007824E8">
        <w:t>ir report,</w:t>
      </w:r>
      <w:r w:rsidR="00AC0B5A">
        <w:t xml:space="preserve"> </w:t>
      </w:r>
      <w:r w:rsidR="00AC0B5A" w:rsidRPr="35F64AE2">
        <w:rPr>
          <w:i/>
          <w:iCs/>
        </w:rPr>
        <w:t>A Call for Change</w:t>
      </w:r>
      <w:r w:rsidR="00AC0B5A">
        <w:t>.</w:t>
      </w:r>
    </w:p>
    <w:p w14:paraId="21BE6C56" w14:textId="3361DBED" w:rsidR="00C8623B" w:rsidRPr="00D50B43" w:rsidRDefault="00C8623B" w:rsidP="00B10F66">
      <w:pPr>
        <w:pStyle w:val="Numberedparagraph"/>
      </w:pPr>
      <w:r>
        <w:t>A guiding principle</w:t>
      </w:r>
      <w:r w:rsidRPr="00D50B43">
        <w:t xml:space="preserve"> contained in the terms of reference for the </w:t>
      </w:r>
      <w:r w:rsidR="008C4870">
        <w:t>Taskforce</w:t>
      </w:r>
      <w:r w:rsidR="00234045">
        <w:t xml:space="preserve"> </w:t>
      </w:r>
      <w:r w:rsidRPr="00D50B43">
        <w:t>on coercive control and women’s experience in the criminal justice system was the need to protect and promote human rights, including the rights protected under th</w:t>
      </w:r>
      <w:r>
        <w:t xml:space="preserve">e </w:t>
      </w:r>
      <w:r w:rsidR="00334560">
        <w:t>HR Act</w:t>
      </w:r>
      <w:r>
        <w:t>.</w:t>
      </w:r>
      <w:r w:rsidRPr="008F5FAE">
        <w:rPr>
          <w:rStyle w:val="FootnoteReference"/>
        </w:rPr>
        <w:footnoteReference w:id="2"/>
      </w:r>
      <w:r w:rsidR="00C85BC7">
        <w:t xml:space="preserve"> The Commission of Inquiry was also required to conduct </w:t>
      </w:r>
      <w:r w:rsidR="00E22585">
        <w:t>its</w:t>
      </w:r>
      <w:r w:rsidR="00C85BC7">
        <w:t xml:space="preserve"> inquiry in a way that protects and promotes the rights in the HR Act.</w:t>
      </w:r>
      <w:r w:rsidR="006A15D8">
        <w:rPr>
          <w:rStyle w:val="FootnoteReference"/>
        </w:rPr>
        <w:footnoteReference w:id="3"/>
      </w:r>
      <w:r w:rsidR="00C85BC7">
        <w:t xml:space="preserve"> </w:t>
      </w:r>
    </w:p>
    <w:p w14:paraId="214EEB85" w14:textId="705DE096" w:rsidR="00C8623B" w:rsidRPr="000E6120" w:rsidRDefault="00334560" w:rsidP="00B10F66">
      <w:pPr>
        <w:pStyle w:val="Numberedparagraph"/>
      </w:pPr>
      <w:r>
        <w:t>Under the</w:t>
      </w:r>
      <w:r w:rsidR="00C8623B">
        <w:t xml:space="preserve"> </w:t>
      </w:r>
      <w:r w:rsidR="008F5FAE">
        <w:t>HR Act</w:t>
      </w:r>
      <w:r w:rsidR="00C8623B">
        <w:t>, a</w:t>
      </w:r>
      <w:r w:rsidR="00C8623B" w:rsidRPr="000E6120">
        <w:t xml:space="preserve"> decision or action is compatible with human rights if the action or decision either:</w:t>
      </w:r>
    </w:p>
    <w:p w14:paraId="6BAE23B5" w14:textId="77777777" w:rsidR="00C8623B" w:rsidRPr="000E6120" w:rsidRDefault="00C8623B" w:rsidP="00C8623B">
      <w:pPr>
        <w:pStyle w:val="NumberedPara"/>
        <w:numPr>
          <w:ilvl w:val="1"/>
          <w:numId w:val="17"/>
        </w:numPr>
      </w:pPr>
      <w:r w:rsidRPr="000E6120">
        <w:t xml:space="preserve">does not </w:t>
      </w:r>
      <w:r w:rsidRPr="00BD338A">
        <w:t>limit</w:t>
      </w:r>
      <w:r w:rsidRPr="000E6120">
        <w:t xml:space="preserve"> a human right, or </w:t>
      </w:r>
    </w:p>
    <w:p w14:paraId="129CC128" w14:textId="5C486D75" w:rsidR="00C8623B" w:rsidRPr="000E6120" w:rsidRDefault="00C8623B" w:rsidP="00C8623B">
      <w:pPr>
        <w:pStyle w:val="NumberedPara"/>
        <w:numPr>
          <w:ilvl w:val="1"/>
          <w:numId w:val="17"/>
        </w:numPr>
      </w:pPr>
      <w:r w:rsidRPr="000E6120">
        <w:t>limits a human right only to the extent that is reasonably and demonstrably justifiable in accordance with section 13</w:t>
      </w:r>
      <w:r w:rsidR="009D6BD5">
        <w:t xml:space="preserve"> of the HR Act</w:t>
      </w:r>
      <w:r w:rsidRPr="000E6120">
        <w:t>.</w:t>
      </w:r>
      <w:r w:rsidRPr="000E6120">
        <w:rPr>
          <w:rStyle w:val="FootnoteReference"/>
        </w:rPr>
        <w:footnoteReference w:id="4"/>
      </w:r>
      <w:r w:rsidRPr="000E6120">
        <w:t xml:space="preserve"> </w:t>
      </w:r>
    </w:p>
    <w:p w14:paraId="22AACC50" w14:textId="734E0BFA" w:rsidR="00C8623B" w:rsidRPr="000E6120" w:rsidRDefault="00C8623B" w:rsidP="00B10F66">
      <w:pPr>
        <w:pStyle w:val="Numberedparagraph"/>
      </w:pPr>
      <w:r>
        <w:t>A</w:t>
      </w:r>
      <w:r w:rsidRPr="000E6120">
        <w:t xml:space="preserve"> human right may be subject under law </w:t>
      </w:r>
      <w:r w:rsidR="00614DEE">
        <w:t xml:space="preserve">only </w:t>
      </w:r>
      <w:r w:rsidRPr="000E6120">
        <w:t>to reasonable limits that can be demonstrably justified in a free and democratic society based on human dignity, equality and freedom.</w:t>
      </w:r>
      <w:r>
        <w:rPr>
          <w:rStyle w:val="FootnoteReference"/>
        </w:rPr>
        <w:footnoteReference w:id="5"/>
      </w:r>
      <w:r w:rsidRPr="000E6120">
        <w:t xml:space="preserve"> </w:t>
      </w:r>
    </w:p>
    <w:p w14:paraId="0D6CD60F" w14:textId="3E5E6396" w:rsidR="00C8623B" w:rsidRDefault="00C8623B" w:rsidP="00B10F66">
      <w:pPr>
        <w:pStyle w:val="Numberedparagraph"/>
      </w:pPr>
      <w:r w:rsidRPr="000E6120">
        <w:lastRenderedPageBreak/>
        <w:t>A ‘pressing and substantial’ public or social concern is more likely to be capable of justifying a limit placed on human rights. The more important the right, and the greater the incursion, the more important the purpose will need to be.</w:t>
      </w:r>
      <w:r w:rsidRPr="000E6120">
        <w:rPr>
          <w:rStyle w:val="FootnoteReference"/>
        </w:rPr>
        <w:footnoteReference w:id="6"/>
      </w:r>
    </w:p>
    <w:p w14:paraId="6E4C57FB" w14:textId="461F3BE5" w:rsidR="00A669D5" w:rsidRDefault="00751895" w:rsidP="00B10F66">
      <w:pPr>
        <w:pStyle w:val="Numberedparagraph"/>
      </w:pPr>
      <w:r>
        <w:rPr>
          <w:lang w:eastAsia="en-AU"/>
        </w:rPr>
        <w:t xml:space="preserve">The </w:t>
      </w:r>
      <w:r w:rsidR="009868BD">
        <w:rPr>
          <w:lang w:eastAsia="en-AU"/>
        </w:rPr>
        <w:t>QHRC supports the Bill</w:t>
      </w:r>
      <w:r w:rsidR="0059481F">
        <w:rPr>
          <w:lang w:eastAsia="en-AU"/>
        </w:rPr>
        <w:t xml:space="preserve"> in </w:t>
      </w:r>
      <w:r w:rsidR="00E91EA2">
        <w:rPr>
          <w:lang w:eastAsia="en-AU"/>
        </w:rPr>
        <w:t>seek</w:t>
      </w:r>
      <w:r w:rsidR="0059481F">
        <w:rPr>
          <w:lang w:eastAsia="en-AU"/>
        </w:rPr>
        <w:t>ing</w:t>
      </w:r>
      <w:r w:rsidR="00E91EA2">
        <w:rPr>
          <w:lang w:eastAsia="en-AU"/>
        </w:rPr>
        <w:t xml:space="preserve"> to </w:t>
      </w:r>
      <w:r>
        <w:rPr>
          <w:lang w:eastAsia="en-AU"/>
        </w:rPr>
        <w:t>promote human rights and improve</w:t>
      </w:r>
      <w:r w:rsidR="00E91EA2">
        <w:rPr>
          <w:lang w:eastAsia="en-AU"/>
        </w:rPr>
        <w:t xml:space="preserve"> the</w:t>
      </w:r>
      <w:r>
        <w:rPr>
          <w:lang w:eastAsia="en-AU"/>
        </w:rPr>
        <w:t xml:space="preserve"> lives</w:t>
      </w:r>
      <w:r w:rsidR="00E91EA2">
        <w:rPr>
          <w:lang w:eastAsia="en-AU"/>
        </w:rPr>
        <w:t xml:space="preserve"> of </w:t>
      </w:r>
      <w:r w:rsidR="0059481F">
        <w:rPr>
          <w:lang w:eastAsia="en-AU"/>
        </w:rPr>
        <w:t xml:space="preserve">Queensland </w:t>
      </w:r>
      <w:r w:rsidR="00E91EA2">
        <w:rPr>
          <w:lang w:eastAsia="en-AU"/>
        </w:rPr>
        <w:t>women and girls</w:t>
      </w:r>
      <w:r w:rsidR="00A669D5">
        <w:rPr>
          <w:lang w:eastAsia="en-AU"/>
        </w:rPr>
        <w:t xml:space="preserve">, and their families, in alignment with the </w:t>
      </w:r>
      <w:r w:rsidR="0059481F">
        <w:rPr>
          <w:lang w:eastAsia="en-AU"/>
        </w:rPr>
        <w:t xml:space="preserve">goals and </w:t>
      </w:r>
      <w:r w:rsidR="00A669D5">
        <w:rPr>
          <w:lang w:eastAsia="en-AU"/>
        </w:rPr>
        <w:t>recommendations of the Taskforce</w:t>
      </w:r>
      <w:r w:rsidR="0059481F">
        <w:rPr>
          <w:lang w:eastAsia="en-AU"/>
        </w:rPr>
        <w:t xml:space="preserve"> and the Commission of Inquiry</w:t>
      </w:r>
      <w:r w:rsidR="00A669D5">
        <w:rPr>
          <w:lang w:eastAsia="en-AU"/>
        </w:rPr>
        <w:t>.</w:t>
      </w:r>
      <w:r w:rsidR="00A669D5">
        <w:t xml:space="preserve"> </w:t>
      </w:r>
    </w:p>
    <w:p w14:paraId="66E1B3A7" w14:textId="77777777" w:rsidR="00C30F18" w:rsidRPr="00177EE0" w:rsidRDefault="00C30F18" w:rsidP="00B10F66">
      <w:pPr>
        <w:pStyle w:val="Numberedparagraph"/>
      </w:pPr>
      <w:r>
        <w:t>As well as emphasising provisions of the Bill that the QHRC considers enhances human rights protections in Queensland, this submission focuses on aspects of the Bill identified as raising human rights compatibility issues.</w:t>
      </w:r>
    </w:p>
    <w:p w14:paraId="106D0524" w14:textId="77777777" w:rsidR="00A31FE7" w:rsidRDefault="00A31FE7" w:rsidP="00A31FE7">
      <w:pPr>
        <w:pStyle w:val="Heading2"/>
        <w:rPr>
          <w:rFonts w:eastAsia="MS Mincho"/>
        </w:rPr>
      </w:pPr>
      <w:bookmarkStart w:id="11" w:name="_Toc149202271"/>
      <w:r>
        <w:rPr>
          <w:rFonts w:eastAsia="MS Mincho"/>
        </w:rPr>
        <w:t>Recommendations</w:t>
      </w:r>
      <w:bookmarkEnd w:id="11"/>
    </w:p>
    <w:p w14:paraId="3FEB1934" w14:textId="3C23DAFB" w:rsidR="002F4C6F" w:rsidRPr="002F4C6F" w:rsidRDefault="002F4C6F" w:rsidP="00B10F66">
      <w:pPr>
        <w:pStyle w:val="Numberedparagraph"/>
      </w:pPr>
      <w:r>
        <w:t>The Commission recommends that the Committee:</w:t>
      </w:r>
    </w:p>
    <w:p w14:paraId="50EC80AF" w14:textId="2CCC4A96" w:rsidR="00907126" w:rsidRPr="00B7700A" w:rsidRDefault="00111B1B" w:rsidP="00B7700A">
      <w:pPr>
        <w:pStyle w:val="NumberedPara"/>
        <w:numPr>
          <w:ilvl w:val="0"/>
          <w:numId w:val="40"/>
        </w:numPr>
      </w:pPr>
      <w:r>
        <w:t>s</w:t>
      </w:r>
      <w:r w:rsidR="008525E6">
        <w:t>uggest</w:t>
      </w:r>
      <w:r w:rsidR="00F32A1A">
        <w:t>s</w:t>
      </w:r>
      <w:r w:rsidR="008525E6">
        <w:t xml:space="preserve"> an </w:t>
      </w:r>
      <w:r w:rsidR="002F4C6F" w:rsidRPr="00B7700A">
        <w:t xml:space="preserve">amendment to the Bill to incorporate a </w:t>
      </w:r>
      <w:r w:rsidR="008525E6" w:rsidRPr="00B7700A">
        <w:t>5-year</w:t>
      </w:r>
      <w:r w:rsidR="00607656" w:rsidRPr="00B7700A">
        <w:t xml:space="preserve"> statutory review of </w:t>
      </w:r>
      <w:r w:rsidR="00F32A1A">
        <w:t xml:space="preserve">the </w:t>
      </w:r>
      <w:r w:rsidR="00607656" w:rsidRPr="00B7700A">
        <w:t>coercive control offence</w:t>
      </w:r>
      <w:r w:rsidR="00B7700A" w:rsidRPr="00B7700A">
        <w:t xml:space="preserve">, and </w:t>
      </w:r>
      <w:r w:rsidR="00B7700A">
        <w:t xml:space="preserve">that law enforcement agencies have mandatory data collection and reporting </w:t>
      </w:r>
      <w:r w:rsidR="008525E6">
        <w:t>requirements</w:t>
      </w:r>
    </w:p>
    <w:p w14:paraId="23DC7FCB" w14:textId="6E699BE9" w:rsidR="00607656" w:rsidRPr="00B7700A" w:rsidRDefault="004E7F17" w:rsidP="002F4C6F">
      <w:pPr>
        <w:pStyle w:val="NumberedPara"/>
        <w:numPr>
          <w:ilvl w:val="0"/>
          <w:numId w:val="40"/>
        </w:numPr>
      </w:pPr>
      <w:r>
        <w:t>s</w:t>
      </w:r>
      <w:r w:rsidR="00741AA1" w:rsidRPr="00B7700A">
        <w:t>eek</w:t>
      </w:r>
      <w:r w:rsidR="00F32A1A">
        <w:t>s</w:t>
      </w:r>
      <w:r w:rsidR="00741AA1" w:rsidRPr="00B7700A">
        <w:t xml:space="preserve"> </w:t>
      </w:r>
      <w:r w:rsidR="008525E6">
        <w:t xml:space="preserve">an </w:t>
      </w:r>
      <w:r w:rsidR="00741AA1" w:rsidRPr="00B7700A">
        <w:t>explanation from government as to why non-pay</w:t>
      </w:r>
      <w:r w:rsidR="00C204F7">
        <w:t>ment</w:t>
      </w:r>
      <w:r w:rsidR="00741AA1" w:rsidRPr="00B7700A">
        <w:t xml:space="preserve"> of sex work </w:t>
      </w:r>
      <w:r w:rsidR="00F275E3">
        <w:t>is being addressed through the</w:t>
      </w:r>
      <w:r w:rsidR="00741AA1" w:rsidRPr="00B7700A">
        <w:t xml:space="preserve"> </w:t>
      </w:r>
      <w:r w:rsidR="00E4754C" w:rsidRPr="00B7700A">
        <w:t>expansion of circumstances of non-consent in s 348A</w:t>
      </w:r>
      <w:r w:rsidR="00C83E6A">
        <w:t xml:space="preserve">A </w:t>
      </w:r>
      <w:r w:rsidR="00E4754C" w:rsidRPr="00B7700A">
        <w:t xml:space="preserve">of the Criminal Code, rather than in a standalone </w:t>
      </w:r>
      <w:r w:rsidR="004D1B44">
        <w:t>‘</w:t>
      </w:r>
      <w:r w:rsidR="00E4754C" w:rsidRPr="00B7700A">
        <w:t>coercion</w:t>
      </w:r>
      <w:r w:rsidR="004D1B44">
        <w:t>’</w:t>
      </w:r>
      <w:r w:rsidR="00E4754C" w:rsidRPr="00B7700A">
        <w:t xml:space="preserve"> offence as recommended by the Queensland Law Reform Commission</w:t>
      </w:r>
    </w:p>
    <w:p w14:paraId="6E027DCD" w14:textId="61C57577" w:rsidR="00E4754C" w:rsidRPr="00B7700A" w:rsidRDefault="00C738BB" w:rsidP="002F4C6F">
      <w:pPr>
        <w:pStyle w:val="NumberedPara"/>
        <w:numPr>
          <w:ilvl w:val="0"/>
          <w:numId w:val="40"/>
        </w:numPr>
      </w:pPr>
      <w:r>
        <w:t>n</w:t>
      </w:r>
      <w:r w:rsidR="00907126" w:rsidRPr="00B7700A">
        <w:t>arrow</w:t>
      </w:r>
      <w:r w:rsidR="006574C9">
        <w:t>s</w:t>
      </w:r>
      <w:r w:rsidR="00907126" w:rsidRPr="00B7700A">
        <w:t xml:space="preserve"> the scope of fraudulent inducement </w:t>
      </w:r>
      <w:r w:rsidR="006574C9">
        <w:t xml:space="preserve">in relation to the circumstances of non-consent </w:t>
      </w:r>
      <w:r w:rsidR="00907126" w:rsidRPr="00B7700A">
        <w:t xml:space="preserve">to representations made about </w:t>
      </w:r>
      <w:r>
        <w:t>‘</w:t>
      </w:r>
      <w:r w:rsidR="00907126" w:rsidRPr="00B7700A">
        <w:t>serious disease</w:t>
      </w:r>
      <w:r>
        <w:t>’</w:t>
      </w:r>
      <w:r w:rsidR="008525E6">
        <w:t xml:space="preserve"> </w:t>
      </w:r>
      <w:r>
        <w:t xml:space="preserve">to only </w:t>
      </w:r>
      <w:r w:rsidR="00907126" w:rsidRPr="00B7700A">
        <w:t xml:space="preserve">include </w:t>
      </w:r>
      <w:r>
        <w:t>sexually transmitted diseases.</w:t>
      </w:r>
    </w:p>
    <w:p w14:paraId="3CEB5311" w14:textId="15F2DF88" w:rsidR="00B35A43" w:rsidRDefault="00B35A43" w:rsidP="00B35A43">
      <w:pPr>
        <w:pStyle w:val="Heading1"/>
      </w:pPr>
      <w:bookmarkStart w:id="12" w:name="_Toc141442162"/>
      <w:bookmarkStart w:id="13" w:name="_Toc149202272"/>
      <w:r>
        <w:t>Application of the HR Act to the Bill</w:t>
      </w:r>
      <w:bookmarkEnd w:id="12"/>
      <w:bookmarkEnd w:id="13"/>
    </w:p>
    <w:p w14:paraId="21763482" w14:textId="061178F3" w:rsidR="00A95F2E" w:rsidRPr="00A95F2E" w:rsidRDefault="00A95F2E" w:rsidP="00A95F2E">
      <w:pPr>
        <w:pStyle w:val="Heading2"/>
      </w:pPr>
      <w:bookmarkStart w:id="14" w:name="_Toc149202273"/>
      <w:r>
        <w:t>Key human rights</w:t>
      </w:r>
      <w:bookmarkEnd w:id="14"/>
    </w:p>
    <w:p w14:paraId="2ADE85AC" w14:textId="23DDFA64" w:rsidR="00B35A43" w:rsidRPr="00B35A43" w:rsidRDefault="00177EE0" w:rsidP="00B10F66">
      <w:pPr>
        <w:pStyle w:val="Numberedparagraph"/>
        <w:rPr>
          <w:color w:val="auto"/>
        </w:rPr>
      </w:pPr>
      <w:r>
        <w:t>Several human rights protected under the HR Act</w:t>
      </w:r>
      <w:r w:rsidR="00B35A43">
        <w:t xml:space="preserve"> are relevant to provisions of the Bill concerning accused persons</w:t>
      </w:r>
      <w:r w:rsidR="00D707DA">
        <w:t>,</w:t>
      </w:r>
      <w:r w:rsidR="00B35A43">
        <w:t xml:space="preserve"> including rights in criminal proceedings,</w:t>
      </w:r>
      <w:r w:rsidR="00B35A43">
        <w:rPr>
          <w:rStyle w:val="FootnoteReference"/>
        </w:rPr>
        <w:footnoteReference w:id="7"/>
      </w:r>
      <w:r w:rsidR="00B35A43">
        <w:t xml:space="preserve"> right to equality</w:t>
      </w:r>
      <w:r w:rsidR="00D707DA">
        <w:t>,</w:t>
      </w:r>
      <w:r w:rsidR="00B35A43">
        <w:rPr>
          <w:rStyle w:val="FootnoteReference"/>
        </w:rPr>
        <w:footnoteReference w:id="8"/>
      </w:r>
      <w:r w:rsidR="00B35A43">
        <w:t xml:space="preserve"> and right to liberty.</w:t>
      </w:r>
      <w:r w:rsidR="00B35A43">
        <w:rPr>
          <w:rStyle w:val="FootnoteReference"/>
        </w:rPr>
        <w:footnoteReference w:id="9"/>
      </w:r>
    </w:p>
    <w:p w14:paraId="35BAF0CD" w14:textId="23965069" w:rsidR="00B35A43" w:rsidRDefault="00B35A43" w:rsidP="00B10F66">
      <w:pPr>
        <w:pStyle w:val="Numberedparagraph"/>
      </w:pPr>
      <w:r>
        <w:t xml:space="preserve">The rights of victims of crime </w:t>
      </w:r>
      <w:r w:rsidR="00640458">
        <w:t xml:space="preserve">should </w:t>
      </w:r>
      <w:r>
        <w:t xml:space="preserve">also be considered alongside those of accused persons when introducing new offences or amending existing legislation. Article </w:t>
      </w:r>
      <w:r w:rsidR="00640458">
        <w:t>2</w:t>
      </w:r>
      <w:r>
        <w:t xml:space="preserve"> of the </w:t>
      </w:r>
      <w:r w:rsidR="00177EE0" w:rsidRPr="00375ECD">
        <w:rPr>
          <w:i/>
          <w:iCs/>
        </w:rPr>
        <w:t>International Covenant on Civil and Political Rights</w:t>
      </w:r>
      <w:r w:rsidR="00177EE0">
        <w:t xml:space="preserve"> (ICCPR)</w:t>
      </w:r>
      <w:r>
        <w:t xml:space="preserve"> obliges State parties to respect the rights of all individuals, and where </w:t>
      </w:r>
      <w:r>
        <w:lastRenderedPageBreak/>
        <w:t xml:space="preserve">not already provided for by existing legislation, take steps to amend laws to recognise rights. </w:t>
      </w:r>
    </w:p>
    <w:p w14:paraId="5FB4AFBA" w14:textId="4BBC323F" w:rsidR="00B35A43" w:rsidRDefault="00B35A43" w:rsidP="00B10F66">
      <w:pPr>
        <w:pStyle w:val="Numberedparagraph"/>
      </w:pPr>
      <w:r>
        <w:t xml:space="preserve">The United Nations Human Rights Committee has commented that this obligation includes ensuring individuals are protected not only </w:t>
      </w:r>
      <w:r w:rsidR="00665F9E">
        <w:t xml:space="preserve">against violations </w:t>
      </w:r>
      <w:r>
        <w:t>by the State, but against violations of their rights by private persons. This includes taking appropriate measures or exercis</w:t>
      </w:r>
      <w:r w:rsidR="00D73D90">
        <w:t>ing</w:t>
      </w:r>
      <w:r>
        <w:t xml:space="preserve"> due diligence to prevent, punish, investigate</w:t>
      </w:r>
      <w:r w:rsidR="00774CED">
        <w:t>,</w:t>
      </w:r>
      <w:r>
        <w:t xml:space="preserve"> or redress the harm caused by such acts by private persons or entities.</w:t>
      </w:r>
      <w:r>
        <w:rPr>
          <w:rStyle w:val="FootnoteReference"/>
        </w:rPr>
        <w:footnoteReference w:id="10"/>
      </w:r>
      <w:r>
        <w:t xml:space="preserve"> </w:t>
      </w:r>
    </w:p>
    <w:p w14:paraId="64CC960C" w14:textId="7397BA8D" w:rsidR="00A95F2E" w:rsidRDefault="00B35A43" w:rsidP="00B10F66">
      <w:pPr>
        <w:pStyle w:val="Numberedparagraph"/>
      </w:pPr>
      <w:r>
        <w:t xml:space="preserve">Relevant rights that must be </w:t>
      </w:r>
      <w:r w:rsidR="00E504F6">
        <w:t xml:space="preserve">considered </w:t>
      </w:r>
      <w:r>
        <w:t xml:space="preserve">by the state </w:t>
      </w:r>
      <w:r w:rsidR="00E504F6">
        <w:t xml:space="preserve">in relation to </w:t>
      </w:r>
      <w:r>
        <w:t xml:space="preserve">complainants </w:t>
      </w:r>
      <w:r w:rsidR="006F3242">
        <w:t>under the Bill</w:t>
      </w:r>
      <w:r>
        <w:t xml:space="preserve"> include the right to</w:t>
      </w:r>
      <w:r w:rsidR="0065612D">
        <w:t xml:space="preserve"> privacy,</w:t>
      </w:r>
      <w:r w:rsidR="0065612D">
        <w:rPr>
          <w:rStyle w:val="FootnoteReference"/>
        </w:rPr>
        <w:footnoteReference w:id="11"/>
      </w:r>
      <w:r>
        <w:t xml:space="preserve"> liberty and security of person,</w:t>
      </w:r>
      <w:r>
        <w:rPr>
          <w:rStyle w:val="FootnoteReference"/>
        </w:rPr>
        <w:footnoteReference w:id="12"/>
      </w:r>
      <w:r>
        <w:t xml:space="preserve"> </w:t>
      </w:r>
      <w:r w:rsidR="006A3CED">
        <w:t xml:space="preserve">the </w:t>
      </w:r>
      <w:r>
        <w:t>right to life,</w:t>
      </w:r>
      <w:r>
        <w:rPr>
          <w:rStyle w:val="FootnoteReference"/>
        </w:rPr>
        <w:footnoteReference w:id="13"/>
      </w:r>
      <w:r>
        <w:t xml:space="preserve"> and the right to equality</w:t>
      </w:r>
      <w:r w:rsidR="0065612D">
        <w:t>, as most victims of sexual offences and domestic violence are women</w:t>
      </w:r>
      <w:r w:rsidR="00834788">
        <w:t>.</w:t>
      </w:r>
      <w:r>
        <w:rPr>
          <w:rStyle w:val="FootnoteReference"/>
        </w:rPr>
        <w:footnoteReference w:id="14"/>
      </w:r>
      <w:r>
        <w:t xml:space="preserve"> </w:t>
      </w:r>
    </w:p>
    <w:p w14:paraId="4FF9D824" w14:textId="0D03250B" w:rsidR="00A95F2E" w:rsidRDefault="00A95F2E" w:rsidP="00A95F2E">
      <w:pPr>
        <w:pStyle w:val="Heading2"/>
      </w:pPr>
      <w:bookmarkStart w:id="15" w:name="_Toc149202274"/>
      <w:r>
        <w:t>Fair hearings for accused</w:t>
      </w:r>
      <w:r w:rsidR="00292511">
        <w:t xml:space="preserve"> persons</w:t>
      </w:r>
      <w:r>
        <w:t>, victims</w:t>
      </w:r>
      <w:r w:rsidR="00016B35">
        <w:t>,</w:t>
      </w:r>
      <w:r>
        <w:t xml:space="preserve"> and the community</w:t>
      </w:r>
      <w:bookmarkEnd w:id="15"/>
    </w:p>
    <w:p w14:paraId="636DD477" w14:textId="25F72C7F" w:rsidR="00940FAC" w:rsidRDefault="00DE5850" w:rsidP="00B10F66">
      <w:pPr>
        <w:pStyle w:val="Numberedparagraph"/>
      </w:pPr>
      <w:r>
        <w:t>T</w:t>
      </w:r>
      <w:r w:rsidR="00940FAC">
        <w:t>he Statement of Compatibility</w:t>
      </w:r>
      <w:r>
        <w:t xml:space="preserve"> in relation to this Bill</w:t>
      </w:r>
      <w:r w:rsidR="00940FAC">
        <w:t xml:space="preserve"> states that:</w:t>
      </w:r>
    </w:p>
    <w:p w14:paraId="33F1EE61" w14:textId="51674DCE" w:rsidR="00940FAC" w:rsidRDefault="00940FAC" w:rsidP="00DE5850">
      <w:pPr>
        <w:pStyle w:val="Quote"/>
        <w:ind w:left="1069"/>
        <w:rPr>
          <w:color w:val="auto"/>
          <w:szCs w:val="22"/>
          <w:lang w:eastAsia="zh-CN"/>
        </w:rPr>
      </w:pPr>
      <w:r>
        <w:rPr>
          <w:lang w:eastAsia="zh-CN"/>
        </w:rPr>
        <w:t xml:space="preserve">The right to a fair hearing of the HR Act affirms the right of </w:t>
      </w:r>
      <w:r>
        <w:rPr>
          <w:b/>
          <w:bCs/>
          <w:lang w:eastAsia="zh-CN"/>
        </w:rPr>
        <w:t>all individuals</w:t>
      </w:r>
      <w:r>
        <w:rPr>
          <w:lang w:eastAsia="zh-CN"/>
        </w:rPr>
        <w:t xml:space="preserve"> to procedural fairness when coming before a court or tribunal… in the context of a criminal proceeding, will involve a triangulation of the interests of the victim, the accused and the community.</w:t>
      </w:r>
      <w:r>
        <w:rPr>
          <w:rStyle w:val="FootnoteReference"/>
          <w:lang w:eastAsia="zh-CN"/>
        </w:rPr>
        <w:footnoteReference w:id="15"/>
      </w:r>
    </w:p>
    <w:p w14:paraId="4E816A2D" w14:textId="64FF9DD7" w:rsidR="00910090" w:rsidRDefault="00E14553" w:rsidP="00B10F66">
      <w:pPr>
        <w:pStyle w:val="Numberedparagraph"/>
        <w:rPr>
          <w:lang w:eastAsia="en-AU"/>
        </w:rPr>
      </w:pPr>
      <w:r>
        <w:t>T</w:t>
      </w:r>
      <w:r w:rsidR="000D6144" w:rsidRPr="000D6144">
        <w:t xml:space="preserve">he QHRC embraces the 'triangulation of interests' approach to the trial process </w:t>
      </w:r>
      <w:r w:rsidR="00910090">
        <w:t>and notes</w:t>
      </w:r>
      <w:r w:rsidR="00DE5850">
        <w:t xml:space="preserve"> that</w:t>
      </w:r>
      <w:r w:rsidR="00910090">
        <w:t xml:space="preserve"> Australian courts have acknowledged the right to a fair trial extends beyond the rights of the accused to include the interests of the community and the protection of witnesses</w:t>
      </w:r>
      <w:r w:rsidR="000D6144" w:rsidRPr="000D6144">
        <w:t>.</w:t>
      </w:r>
      <w:r w:rsidR="00910090">
        <w:rPr>
          <w:rStyle w:val="FootnoteReference"/>
        </w:rPr>
        <w:footnoteReference w:id="16"/>
      </w:r>
      <w:r w:rsidR="000D6144" w:rsidRPr="000D6144">
        <w:t xml:space="preserve"> </w:t>
      </w:r>
    </w:p>
    <w:p w14:paraId="3DDACCB3" w14:textId="007E620E" w:rsidR="000D6144" w:rsidRDefault="000D6144" w:rsidP="00B10F66">
      <w:pPr>
        <w:pStyle w:val="Numberedparagraph"/>
        <w:rPr>
          <w:lang w:eastAsia="en-AU"/>
        </w:rPr>
      </w:pPr>
      <w:r w:rsidRPr="000D6144">
        <w:t xml:space="preserve">However, we </w:t>
      </w:r>
      <w:r w:rsidR="00910090">
        <w:t>consider</w:t>
      </w:r>
      <w:r w:rsidRPr="000D6144">
        <w:t xml:space="preserve"> that the existing right to a fair hearing in s 31(1) </w:t>
      </w:r>
      <w:r w:rsidR="00E14553">
        <w:t>of the HR</w:t>
      </w:r>
      <w:r w:rsidR="00FD0DC0">
        <w:t xml:space="preserve"> </w:t>
      </w:r>
      <w:r w:rsidR="00E14553">
        <w:t>A</w:t>
      </w:r>
      <w:r w:rsidR="00FD0DC0">
        <w:t>ct</w:t>
      </w:r>
      <w:r w:rsidR="00E14553">
        <w:t xml:space="preserve"> </w:t>
      </w:r>
      <w:r w:rsidRPr="000D6144">
        <w:t>is currently too narrow for this approach to be applicable</w:t>
      </w:r>
      <w:r w:rsidR="008D3A1D">
        <w:t xml:space="preserve"> to the Bill</w:t>
      </w:r>
      <w:r w:rsidRPr="000D6144">
        <w:t xml:space="preserve">. As </w:t>
      </w:r>
      <w:r w:rsidR="008D3A1D">
        <w:t xml:space="preserve">a </w:t>
      </w:r>
      <w:r w:rsidR="00910090">
        <w:t>priority</w:t>
      </w:r>
      <w:r w:rsidR="003D7A0D">
        <w:t xml:space="preserve"> for</w:t>
      </w:r>
      <w:r w:rsidRPr="000D6144">
        <w:t xml:space="preserve"> future legal reform, </w:t>
      </w:r>
      <w:r w:rsidR="008D3A1D">
        <w:t xml:space="preserve">the Commission </w:t>
      </w:r>
      <w:r w:rsidR="004244A6">
        <w:t>suggests</w:t>
      </w:r>
      <w:r w:rsidRPr="000D6144">
        <w:t xml:space="preserve"> replacing the phrase 'a person charged with a criminal offence' in s 31(1) with 'all persons,' and we urge the government to prioriti</w:t>
      </w:r>
      <w:r w:rsidR="00910090">
        <w:t>s</w:t>
      </w:r>
      <w:r w:rsidRPr="000D6144">
        <w:t>e this issue in the forthcoming review of the HR Act.</w:t>
      </w:r>
      <w:r w:rsidR="00FD5D98">
        <w:rPr>
          <w:rStyle w:val="FootnoteReference"/>
        </w:rPr>
        <w:footnoteReference w:id="17"/>
      </w:r>
    </w:p>
    <w:p w14:paraId="303D99B8" w14:textId="322D7BCB" w:rsidR="00BE171B" w:rsidRDefault="00BE171B" w:rsidP="00B10F66">
      <w:pPr>
        <w:pStyle w:val="Numberedparagraph"/>
        <w:rPr>
          <w:lang w:eastAsia="en-AU"/>
        </w:rPr>
      </w:pPr>
      <w:r>
        <w:rPr>
          <w:lang w:eastAsia="en-AU"/>
        </w:rPr>
        <w:lastRenderedPageBreak/>
        <w:t>Consistent with the QHRC’s position, i</w:t>
      </w:r>
      <w:r w:rsidRPr="00BE171B">
        <w:rPr>
          <w:lang w:eastAsia="en-AU"/>
        </w:rPr>
        <w:t xml:space="preserve">n </w:t>
      </w:r>
      <w:r>
        <w:rPr>
          <w:i/>
          <w:iCs/>
          <w:lang w:eastAsia="en-AU"/>
        </w:rPr>
        <w:t xml:space="preserve">Hear her voice </w:t>
      </w:r>
      <w:r w:rsidRPr="00BE171B">
        <w:rPr>
          <w:lang w:eastAsia="en-AU"/>
        </w:rPr>
        <w:t xml:space="preserve">report 2, </w:t>
      </w:r>
      <w:r>
        <w:rPr>
          <w:lang w:eastAsia="en-AU"/>
        </w:rPr>
        <w:t>the Taskforce</w:t>
      </w:r>
      <w:r w:rsidRPr="00BE171B">
        <w:rPr>
          <w:lang w:eastAsia="en-AU"/>
        </w:rPr>
        <w:t xml:space="preserve"> acknowledged that without diminishing the rights of an accused person to a fair trial, there is merit in reviewing the rights in the HR Act</w:t>
      </w:r>
      <w:r>
        <w:rPr>
          <w:lang w:eastAsia="en-AU"/>
        </w:rPr>
        <w:t>, and recommended that that the review of the HR Act should incorporate a specific focus on victims’ rights.</w:t>
      </w:r>
      <w:r>
        <w:rPr>
          <w:rStyle w:val="FootnoteReference"/>
          <w:lang w:eastAsia="en-AU"/>
        </w:rPr>
        <w:footnoteReference w:id="18"/>
      </w:r>
    </w:p>
    <w:p w14:paraId="4D5BBB8E" w14:textId="10696C22" w:rsidR="00177EE0" w:rsidRDefault="00177EE0" w:rsidP="000D6144">
      <w:pPr>
        <w:pStyle w:val="Heading1"/>
        <w:rPr>
          <w:lang w:eastAsia="en-AU"/>
        </w:rPr>
      </w:pPr>
      <w:bookmarkStart w:id="16" w:name="_Toc149202275"/>
      <w:r>
        <w:rPr>
          <w:lang w:eastAsia="en-AU"/>
        </w:rPr>
        <w:t>Comment</w:t>
      </w:r>
      <w:r w:rsidR="00545DBB">
        <w:rPr>
          <w:lang w:eastAsia="en-AU"/>
        </w:rPr>
        <w:t>s</w:t>
      </w:r>
      <w:r>
        <w:rPr>
          <w:lang w:eastAsia="en-AU"/>
        </w:rPr>
        <w:t xml:space="preserve"> on the Bill</w:t>
      </w:r>
      <w:bookmarkEnd w:id="16"/>
    </w:p>
    <w:p w14:paraId="0A5FF03B" w14:textId="451434CF" w:rsidR="009F5563" w:rsidRDefault="002E2873" w:rsidP="00177EE0">
      <w:pPr>
        <w:pStyle w:val="Heading2"/>
        <w:rPr>
          <w:lang w:eastAsia="en-AU"/>
        </w:rPr>
      </w:pPr>
      <w:bookmarkStart w:id="17" w:name="_Toc149202276"/>
      <w:r>
        <w:rPr>
          <w:lang w:eastAsia="en-AU"/>
        </w:rPr>
        <w:t>Coercive</w:t>
      </w:r>
      <w:r w:rsidR="009E0244">
        <w:rPr>
          <w:lang w:eastAsia="en-AU"/>
        </w:rPr>
        <w:t xml:space="preserve"> control</w:t>
      </w:r>
      <w:bookmarkEnd w:id="17"/>
    </w:p>
    <w:p w14:paraId="04E2D82D" w14:textId="2288CD4B" w:rsidR="008E12E3" w:rsidRDefault="00AC4EDC" w:rsidP="00B10F66">
      <w:pPr>
        <w:pStyle w:val="Numberedparagraph"/>
        <w:rPr>
          <w:lang w:eastAsia="en-AU"/>
        </w:rPr>
      </w:pPr>
      <w:r>
        <w:rPr>
          <w:lang w:eastAsia="en-AU"/>
        </w:rPr>
        <w:t xml:space="preserve">The </w:t>
      </w:r>
      <w:r w:rsidR="007F0FFC">
        <w:rPr>
          <w:lang w:eastAsia="en-AU"/>
        </w:rPr>
        <w:t>first</w:t>
      </w:r>
      <w:r>
        <w:rPr>
          <w:lang w:eastAsia="en-AU"/>
        </w:rPr>
        <w:t xml:space="preserve"> Taskforce report</w:t>
      </w:r>
      <w:r w:rsidR="008E12E3">
        <w:rPr>
          <w:lang w:eastAsia="en-AU"/>
        </w:rPr>
        <w:t xml:space="preserve"> </w:t>
      </w:r>
      <w:r>
        <w:rPr>
          <w:lang w:eastAsia="en-AU"/>
        </w:rPr>
        <w:t xml:space="preserve">identified that coercive control is a </w:t>
      </w:r>
      <w:r w:rsidR="00D97553">
        <w:rPr>
          <w:lang w:eastAsia="en-AU"/>
        </w:rPr>
        <w:t xml:space="preserve">serious </w:t>
      </w:r>
      <w:r>
        <w:rPr>
          <w:lang w:eastAsia="en-AU"/>
        </w:rPr>
        <w:t xml:space="preserve">violation of the right to </w:t>
      </w:r>
      <w:r w:rsidR="008E12E3">
        <w:rPr>
          <w:lang w:eastAsia="en-AU"/>
        </w:rPr>
        <w:t>life, the</w:t>
      </w:r>
      <w:r w:rsidR="005112DA">
        <w:rPr>
          <w:lang w:eastAsia="en-AU"/>
        </w:rPr>
        <w:t xml:space="preserve"> right to be protected from torture and cruel, inhuman and degrading treatment</w:t>
      </w:r>
      <w:r w:rsidR="008E12E3">
        <w:rPr>
          <w:lang w:eastAsia="en-AU"/>
        </w:rPr>
        <w:t>,</w:t>
      </w:r>
      <w:r w:rsidR="008E12E3">
        <w:rPr>
          <w:rStyle w:val="FootnoteReference"/>
          <w:lang w:eastAsia="en-AU"/>
        </w:rPr>
        <w:t xml:space="preserve"> </w:t>
      </w:r>
      <w:r w:rsidR="008E12E3">
        <w:rPr>
          <w:lang w:eastAsia="en-AU"/>
        </w:rPr>
        <w:t>the right to equality</w:t>
      </w:r>
      <w:r w:rsidR="00C8401C">
        <w:rPr>
          <w:lang w:eastAsia="en-AU"/>
        </w:rPr>
        <w:t>,</w:t>
      </w:r>
      <w:r w:rsidR="008E12E3">
        <w:rPr>
          <w:lang w:eastAsia="en-AU"/>
        </w:rPr>
        <w:t xml:space="preserve"> and the right to privacy.</w:t>
      </w:r>
      <w:r w:rsidR="00C84421" w:rsidRPr="00C84421">
        <w:rPr>
          <w:rStyle w:val="FootnoteReference"/>
          <w:lang w:eastAsia="en-AU"/>
        </w:rPr>
        <w:t xml:space="preserve"> </w:t>
      </w:r>
      <w:r w:rsidR="00C84421">
        <w:rPr>
          <w:rStyle w:val="FootnoteReference"/>
          <w:lang w:eastAsia="en-AU"/>
        </w:rPr>
        <w:footnoteReference w:id="19"/>
      </w:r>
      <w:r w:rsidR="005112DA">
        <w:rPr>
          <w:lang w:eastAsia="en-AU"/>
        </w:rPr>
        <w:t xml:space="preserve"> </w:t>
      </w:r>
    </w:p>
    <w:p w14:paraId="5B322A65" w14:textId="0B847387" w:rsidR="00457747" w:rsidRDefault="00457747" w:rsidP="00B10F66">
      <w:pPr>
        <w:pStyle w:val="Numberedparagraph"/>
        <w:rPr>
          <w:lang w:eastAsia="en-AU"/>
        </w:rPr>
      </w:pPr>
      <w:r>
        <w:rPr>
          <w:lang w:eastAsia="en-AU"/>
        </w:rPr>
        <w:t xml:space="preserve">The right to life is particularly </w:t>
      </w:r>
      <w:r w:rsidR="00C84421">
        <w:rPr>
          <w:lang w:eastAsia="en-AU"/>
        </w:rPr>
        <w:t>pertinent</w:t>
      </w:r>
      <w:r>
        <w:rPr>
          <w:lang w:eastAsia="en-AU"/>
        </w:rPr>
        <w:t xml:space="preserve"> when considering the </w:t>
      </w:r>
      <w:r w:rsidR="00867B56">
        <w:rPr>
          <w:lang w:eastAsia="en-AU"/>
        </w:rPr>
        <w:t xml:space="preserve">close link between coercive control and a heightened risk of fatality for </w:t>
      </w:r>
      <w:r w:rsidR="000C27F9">
        <w:rPr>
          <w:lang w:eastAsia="en-AU"/>
        </w:rPr>
        <w:t xml:space="preserve">people </w:t>
      </w:r>
      <w:r w:rsidR="00867B56">
        <w:rPr>
          <w:lang w:eastAsia="en-AU"/>
        </w:rPr>
        <w:t>subjected to this</w:t>
      </w:r>
      <w:r>
        <w:rPr>
          <w:lang w:eastAsia="en-AU"/>
        </w:rPr>
        <w:t xml:space="preserve"> form of violence.</w:t>
      </w:r>
      <w:r>
        <w:rPr>
          <w:rStyle w:val="FootnoteReference"/>
          <w:lang w:eastAsia="en-AU"/>
        </w:rPr>
        <w:footnoteReference w:id="20"/>
      </w:r>
    </w:p>
    <w:p w14:paraId="2C2DC110" w14:textId="1400BE89" w:rsidR="001B3BFA" w:rsidRDefault="000716A2" w:rsidP="00B10F66">
      <w:pPr>
        <w:pStyle w:val="Numberedparagraph"/>
        <w:rPr>
          <w:lang w:eastAsia="en-AU"/>
        </w:rPr>
      </w:pPr>
      <w:r>
        <w:rPr>
          <w:lang w:eastAsia="en-AU"/>
        </w:rPr>
        <w:t>As acknowledged in the Statement of Compatibility accompanying this Bill,</w:t>
      </w:r>
      <w:r>
        <w:rPr>
          <w:rStyle w:val="FootnoteReference"/>
          <w:lang w:eastAsia="en-AU"/>
        </w:rPr>
        <w:footnoteReference w:id="21"/>
      </w:r>
      <w:r>
        <w:rPr>
          <w:lang w:eastAsia="en-AU"/>
        </w:rPr>
        <w:t xml:space="preserve"> </w:t>
      </w:r>
      <w:r w:rsidR="005112DA">
        <w:rPr>
          <w:lang w:eastAsia="en-AU"/>
        </w:rPr>
        <w:t xml:space="preserve">Queensland has a </w:t>
      </w:r>
      <w:r w:rsidR="00AC4EDC">
        <w:rPr>
          <w:lang w:eastAsia="en-AU"/>
        </w:rPr>
        <w:t xml:space="preserve">positive obligation </w:t>
      </w:r>
      <w:r w:rsidR="00FE2C7C">
        <w:rPr>
          <w:lang w:eastAsia="en-AU"/>
        </w:rPr>
        <w:t xml:space="preserve">to </w:t>
      </w:r>
      <w:r w:rsidR="00AC4EDC">
        <w:rPr>
          <w:lang w:eastAsia="en-AU"/>
        </w:rPr>
        <w:t xml:space="preserve">take </w:t>
      </w:r>
      <w:r w:rsidR="00072CD8">
        <w:rPr>
          <w:lang w:eastAsia="en-AU"/>
        </w:rPr>
        <w:t xml:space="preserve">reasonable </w:t>
      </w:r>
      <w:r w:rsidR="00AC4EDC">
        <w:rPr>
          <w:lang w:eastAsia="en-AU"/>
        </w:rPr>
        <w:t>steps to protect the lives of individuals</w:t>
      </w:r>
      <w:r w:rsidR="00072CD8">
        <w:rPr>
          <w:lang w:eastAsia="en-AU"/>
        </w:rPr>
        <w:t>. Taking steps to address coercive control is a key part of discharging that obligation</w:t>
      </w:r>
      <w:r w:rsidR="00AC4EDC">
        <w:rPr>
          <w:lang w:eastAsia="en-AU"/>
        </w:rPr>
        <w:t>.</w:t>
      </w:r>
      <w:r w:rsidR="008E12E3">
        <w:rPr>
          <w:lang w:eastAsia="en-AU"/>
        </w:rPr>
        <w:t xml:space="preserve"> </w:t>
      </w:r>
    </w:p>
    <w:p w14:paraId="564E0B9C" w14:textId="41A97B47" w:rsidR="009E0244" w:rsidRDefault="00BB5E5F" w:rsidP="00B10F66">
      <w:pPr>
        <w:pStyle w:val="Numberedparagraph"/>
        <w:rPr>
          <w:lang w:eastAsia="en-AU"/>
        </w:rPr>
      </w:pPr>
      <w:r>
        <w:rPr>
          <w:lang w:eastAsia="en-AU"/>
        </w:rPr>
        <w:t xml:space="preserve">As noted by the Taskforce, </w:t>
      </w:r>
      <w:r w:rsidR="002B4BEF">
        <w:rPr>
          <w:lang w:eastAsia="en-AU"/>
        </w:rPr>
        <w:t xml:space="preserve">while most </w:t>
      </w:r>
      <w:r w:rsidR="00124F09">
        <w:rPr>
          <w:lang w:eastAsia="en-AU"/>
        </w:rPr>
        <w:t xml:space="preserve">legal stakeholders and victims supported the criminalisation of coercive control, some opposed it on the basis that it may have unintended consequences, </w:t>
      </w:r>
      <w:r w:rsidR="00967652">
        <w:rPr>
          <w:lang w:eastAsia="en-AU"/>
        </w:rPr>
        <w:t xml:space="preserve">including </w:t>
      </w:r>
      <w:r w:rsidR="00124F09">
        <w:rPr>
          <w:lang w:eastAsia="en-AU"/>
        </w:rPr>
        <w:t>the potential for a detrimental impact on First Nations peoples in the criminal justice system.</w:t>
      </w:r>
      <w:r w:rsidR="00124F09">
        <w:rPr>
          <w:rStyle w:val="FootnoteReference"/>
          <w:lang w:eastAsia="en-AU"/>
        </w:rPr>
        <w:footnoteReference w:id="22"/>
      </w:r>
      <w:r w:rsidR="00770A4E">
        <w:rPr>
          <w:lang w:eastAsia="en-AU"/>
        </w:rPr>
        <w:t xml:space="preserve"> This concern is also reflected in the</w:t>
      </w:r>
      <w:r w:rsidR="00BD06C2">
        <w:rPr>
          <w:lang w:eastAsia="en-AU"/>
        </w:rPr>
        <w:t xml:space="preserve"> government’s consideration </w:t>
      </w:r>
      <w:r w:rsidR="005D6C52">
        <w:rPr>
          <w:lang w:eastAsia="en-AU"/>
        </w:rPr>
        <w:t xml:space="preserve">of </w:t>
      </w:r>
      <w:r w:rsidR="00D648B9">
        <w:rPr>
          <w:lang w:eastAsia="en-AU"/>
        </w:rPr>
        <w:t xml:space="preserve">the human rights compatibility </w:t>
      </w:r>
      <w:r w:rsidR="00F2741A">
        <w:rPr>
          <w:lang w:eastAsia="en-AU"/>
        </w:rPr>
        <w:t xml:space="preserve">of </w:t>
      </w:r>
      <w:r w:rsidR="00D648B9">
        <w:rPr>
          <w:lang w:eastAsia="en-AU"/>
        </w:rPr>
        <w:t>the new offence</w:t>
      </w:r>
      <w:r w:rsidR="00BD06C2">
        <w:rPr>
          <w:lang w:eastAsia="en-AU"/>
        </w:rPr>
        <w:t xml:space="preserve"> in the</w:t>
      </w:r>
      <w:r w:rsidR="00770A4E">
        <w:rPr>
          <w:lang w:eastAsia="en-AU"/>
        </w:rPr>
        <w:t xml:space="preserve"> Statement of Compatibility.</w:t>
      </w:r>
      <w:r w:rsidR="00770A4E">
        <w:rPr>
          <w:rStyle w:val="FootnoteReference"/>
          <w:lang w:eastAsia="en-AU"/>
        </w:rPr>
        <w:footnoteReference w:id="23"/>
      </w:r>
    </w:p>
    <w:p w14:paraId="5DF2FB33" w14:textId="3151A79D" w:rsidR="00C962E4" w:rsidRDefault="00C962E4" w:rsidP="00B10F66">
      <w:pPr>
        <w:pStyle w:val="Numberedparagraph"/>
        <w:rPr>
          <w:lang w:eastAsia="en-AU"/>
        </w:rPr>
      </w:pPr>
      <w:r>
        <w:rPr>
          <w:lang w:eastAsia="en-AU"/>
        </w:rPr>
        <w:t xml:space="preserve">Any law that </w:t>
      </w:r>
      <w:r w:rsidR="00457747">
        <w:rPr>
          <w:lang w:eastAsia="en-AU"/>
        </w:rPr>
        <w:t>creates</w:t>
      </w:r>
      <w:r>
        <w:rPr>
          <w:lang w:eastAsia="en-AU"/>
        </w:rPr>
        <w:t xml:space="preserve"> a new criminal offence should be carefully </w:t>
      </w:r>
      <w:r w:rsidR="00D70780">
        <w:rPr>
          <w:lang w:eastAsia="en-AU"/>
        </w:rPr>
        <w:t>scrutinised</w:t>
      </w:r>
      <w:r>
        <w:rPr>
          <w:lang w:eastAsia="en-AU"/>
        </w:rPr>
        <w:t xml:space="preserve"> in light </w:t>
      </w:r>
      <w:r w:rsidR="009C1C82">
        <w:rPr>
          <w:lang w:eastAsia="en-AU"/>
        </w:rPr>
        <w:t>of</w:t>
      </w:r>
      <w:r>
        <w:rPr>
          <w:lang w:eastAsia="en-AU"/>
        </w:rPr>
        <w:t xml:space="preserve"> Queensland’s commitment to ‘Closing the Gap’</w:t>
      </w:r>
      <w:r w:rsidR="000D1397">
        <w:rPr>
          <w:lang w:eastAsia="en-AU"/>
        </w:rPr>
        <w:t xml:space="preserve"> as </w:t>
      </w:r>
      <w:r w:rsidR="00D23F74">
        <w:rPr>
          <w:lang w:eastAsia="en-AU"/>
        </w:rPr>
        <w:t>the consequences</w:t>
      </w:r>
      <w:r w:rsidR="000D1397">
        <w:rPr>
          <w:lang w:eastAsia="en-AU"/>
        </w:rPr>
        <w:t xml:space="preserve"> </w:t>
      </w:r>
      <w:r>
        <w:rPr>
          <w:lang w:eastAsia="en-AU"/>
        </w:rPr>
        <w:t xml:space="preserve">may </w:t>
      </w:r>
      <w:r w:rsidR="00D23F74">
        <w:rPr>
          <w:lang w:eastAsia="en-AU"/>
        </w:rPr>
        <w:t>include</w:t>
      </w:r>
      <w:r>
        <w:rPr>
          <w:lang w:eastAsia="en-AU"/>
        </w:rPr>
        <w:t xml:space="preserve"> </w:t>
      </w:r>
      <w:r w:rsidR="00124A1A">
        <w:rPr>
          <w:lang w:eastAsia="en-AU"/>
        </w:rPr>
        <w:t>an</w:t>
      </w:r>
      <w:r>
        <w:rPr>
          <w:lang w:eastAsia="en-AU"/>
        </w:rPr>
        <w:t xml:space="preserve"> </w:t>
      </w:r>
      <w:r w:rsidR="005C5D7A">
        <w:rPr>
          <w:lang w:eastAsia="en-AU"/>
        </w:rPr>
        <w:t xml:space="preserve">increased </w:t>
      </w:r>
      <w:r>
        <w:rPr>
          <w:lang w:eastAsia="en-AU"/>
        </w:rPr>
        <w:t xml:space="preserve">overrepresentation of First Nations people in </w:t>
      </w:r>
      <w:r w:rsidR="00681ED8">
        <w:rPr>
          <w:lang w:eastAsia="en-AU"/>
        </w:rPr>
        <w:t xml:space="preserve">the criminal </w:t>
      </w:r>
      <w:r w:rsidR="00681ED8">
        <w:rPr>
          <w:lang w:eastAsia="en-AU"/>
        </w:rPr>
        <w:lastRenderedPageBreak/>
        <w:t>justice system.</w:t>
      </w:r>
      <w:r w:rsidR="008C23C8">
        <w:rPr>
          <w:rStyle w:val="FootnoteReference"/>
          <w:lang w:eastAsia="en-AU"/>
        </w:rPr>
        <w:footnoteReference w:id="24"/>
      </w:r>
      <w:r w:rsidR="00681ED8">
        <w:rPr>
          <w:lang w:eastAsia="en-AU"/>
        </w:rPr>
        <w:t xml:space="preserve"> </w:t>
      </w:r>
      <w:r w:rsidR="005C5D7A">
        <w:rPr>
          <w:lang w:eastAsia="en-AU"/>
        </w:rPr>
        <w:t>Of</w:t>
      </w:r>
      <w:r w:rsidR="009F29C2">
        <w:rPr>
          <w:lang w:eastAsia="en-AU"/>
        </w:rPr>
        <w:t xml:space="preserve"> particular concern </w:t>
      </w:r>
      <w:r w:rsidR="005C5D7A">
        <w:rPr>
          <w:lang w:eastAsia="en-AU"/>
        </w:rPr>
        <w:t>is the potential criminalisation of</w:t>
      </w:r>
      <w:r w:rsidR="009F29C2">
        <w:rPr>
          <w:lang w:eastAsia="en-AU"/>
        </w:rPr>
        <w:t xml:space="preserve"> </w:t>
      </w:r>
      <w:r w:rsidR="00681ED8">
        <w:rPr>
          <w:lang w:eastAsia="en-AU"/>
        </w:rPr>
        <w:t>w</w:t>
      </w:r>
      <w:r>
        <w:rPr>
          <w:lang w:eastAsia="en-AU"/>
        </w:rPr>
        <w:t>omen who are themselves victims of domestic violence</w:t>
      </w:r>
      <w:r w:rsidR="00470A04">
        <w:rPr>
          <w:lang w:eastAsia="en-AU"/>
        </w:rPr>
        <w:t>.</w:t>
      </w:r>
    </w:p>
    <w:p w14:paraId="33DF3A3B" w14:textId="645F6625" w:rsidR="00945236" w:rsidRDefault="00945236" w:rsidP="00B10F66">
      <w:pPr>
        <w:pStyle w:val="Numberedparagraph"/>
        <w:rPr>
          <w:lang w:eastAsia="en-AU"/>
        </w:rPr>
      </w:pPr>
      <w:r>
        <w:rPr>
          <w:lang w:eastAsia="en-AU"/>
        </w:rPr>
        <w:t xml:space="preserve">In weighing up the human rights issues involved with legislating to prohibit </w:t>
      </w:r>
      <w:r w:rsidR="0094795F">
        <w:rPr>
          <w:lang w:eastAsia="en-AU"/>
        </w:rPr>
        <w:t>coercive</w:t>
      </w:r>
      <w:r>
        <w:rPr>
          <w:lang w:eastAsia="en-AU"/>
        </w:rPr>
        <w:t xml:space="preserve"> control as a stand-alone offence, the Taskforce </w:t>
      </w:r>
      <w:r w:rsidR="0094795F">
        <w:rPr>
          <w:lang w:eastAsia="en-AU"/>
        </w:rPr>
        <w:t>indicated it was mindful of the special consideration needed to be given to ensuring that Aboriginal and Torres Strait Islander peoples are not further disadvantaged.</w:t>
      </w:r>
      <w:r w:rsidR="0094795F">
        <w:rPr>
          <w:rStyle w:val="FootnoteReference"/>
          <w:lang w:eastAsia="en-AU"/>
        </w:rPr>
        <w:footnoteReference w:id="25"/>
      </w:r>
    </w:p>
    <w:p w14:paraId="35574E8B" w14:textId="5FADB034" w:rsidR="004A20CF" w:rsidRDefault="004A20CF" w:rsidP="00B10F66">
      <w:pPr>
        <w:pStyle w:val="Numberedparagraph"/>
        <w:rPr>
          <w:lang w:eastAsia="en-AU"/>
        </w:rPr>
      </w:pPr>
      <w:r>
        <w:rPr>
          <w:lang w:eastAsia="en-AU"/>
        </w:rPr>
        <w:t xml:space="preserve">A safeguard </w:t>
      </w:r>
      <w:r w:rsidR="00715492">
        <w:rPr>
          <w:lang w:eastAsia="en-AU"/>
        </w:rPr>
        <w:t xml:space="preserve">recommended by the Taskforce </w:t>
      </w:r>
      <w:r>
        <w:rPr>
          <w:lang w:eastAsia="en-AU"/>
        </w:rPr>
        <w:t xml:space="preserve">to </w:t>
      </w:r>
      <w:r w:rsidR="00E80A99">
        <w:rPr>
          <w:lang w:eastAsia="en-AU"/>
        </w:rPr>
        <w:t>mitigate</w:t>
      </w:r>
      <w:r>
        <w:rPr>
          <w:lang w:eastAsia="en-AU"/>
        </w:rPr>
        <w:t xml:space="preserve"> the impact of unintended consequences involved a legislative review to occur 5 years after the laws come into effect.</w:t>
      </w:r>
      <w:r>
        <w:rPr>
          <w:rStyle w:val="FootnoteReference"/>
          <w:lang w:eastAsia="en-AU"/>
        </w:rPr>
        <w:footnoteReference w:id="26"/>
      </w:r>
      <w:r>
        <w:rPr>
          <w:lang w:eastAsia="en-AU"/>
        </w:rPr>
        <w:t xml:space="preserve"> This recommendation was supported by the Queensland Government</w:t>
      </w:r>
      <w:r w:rsidR="004B7C30">
        <w:rPr>
          <w:lang w:eastAsia="en-AU"/>
        </w:rPr>
        <w:t>,</w:t>
      </w:r>
      <w:r>
        <w:rPr>
          <w:lang w:eastAsia="en-AU"/>
        </w:rPr>
        <w:t xml:space="preserve"> which committed to a statutory review as soon as practicable </w:t>
      </w:r>
      <w:r w:rsidR="007A14EF">
        <w:rPr>
          <w:lang w:eastAsia="en-AU"/>
        </w:rPr>
        <w:t>5</w:t>
      </w:r>
      <w:r>
        <w:rPr>
          <w:lang w:eastAsia="en-AU"/>
        </w:rPr>
        <w:t xml:space="preserve"> years after </w:t>
      </w:r>
      <w:r w:rsidR="008B6859">
        <w:rPr>
          <w:lang w:eastAsia="en-AU"/>
        </w:rPr>
        <w:t xml:space="preserve">commencement of </w:t>
      </w:r>
      <w:r>
        <w:rPr>
          <w:lang w:eastAsia="en-AU"/>
        </w:rPr>
        <w:t>the last amendments.</w:t>
      </w:r>
      <w:r>
        <w:rPr>
          <w:rStyle w:val="FootnoteReference"/>
          <w:lang w:eastAsia="en-AU"/>
        </w:rPr>
        <w:footnoteReference w:id="27"/>
      </w:r>
      <w:r w:rsidR="00834678">
        <w:rPr>
          <w:lang w:eastAsia="en-AU"/>
        </w:rPr>
        <w:t xml:space="preserve"> However, the Commission </w:t>
      </w:r>
      <w:r w:rsidR="00B815E5">
        <w:rPr>
          <w:lang w:eastAsia="en-AU"/>
        </w:rPr>
        <w:t>has identified</w:t>
      </w:r>
      <w:r w:rsidR="00834678">
        <w:rPr>
          <w:lang w:eastAsia="en-AU"/>
        </w:rPr>
        <w:t xml:space="preserve"> that the </w:t>
      </w:r>
      <w:r w:rsidR="006620E1">
        <w:rPr>
          <w:lang w:eastAsia="en-AU"/>
        </w:rPr>
        <w:t>5-year</w:t>
      </w:r>
      <w:r w:rsidR="00EB61CB">
        <w:rPr>
          <w:lang w:eastAsia="en-AU"/>
        </w:rPr>
        <w:t xml:space="preserve"> </w:t>
      </w:r>
      <w:r w:rsidR="00834678">
        <w:rPr>
          <w:lang w:eastAsia="en-AU"/>
        </w:rPr>
        <w:t xml:space="preserve">statutory review </w:t>
      </w:r>
      <w:r w:rsidR="00E5249A">
        <w:rPr>
          <w:lang w:eastAsia="en-AU"/>
        </w:rPr>
        <w:t xml:space="preserve">requirement </w:t>
      </w:r>
      <w:r w:rsidR="00834678">
        <w:rPr>
          <w:lang w:eastAsia="en-AU"/>
        </w:rPr>
        <w:t xml:space="preserve">is not included in the </w:t>
      </w:r>
      <w:r w:rsidR="00F40D0B">
        <w:rPr>
          <w:lang w:eastAsia="en-AU"/>
        </w:rPr>
        <w:t xml:space="preserve">current </w:t>
      </w:r>
      <w:r w:rsidR="00834678">
        <w:rPr>
          <w:lang w:eastAsia="en-AU"/>
        </w:rPr>
        <w:t>Bill.</w:t>
      </w:r>
    </w:p>
    <w:p w14:paraId="4D83524B" w14:textId="67429FFB" w:rsidR="001606DA" w:rsidRDefault="001606DA" w:rsidP="00B10F66">
      <w:pPr>
        <w:pStyle w:val="Numberedparagraph"/>
        <w:rPr>
          <w:lang w:eastAsia="en-AU"/>
        </w:rPr>
      </w:pPr>
      <w:r w:rsidRPr="001606DA">
        <w:rPr>
          <w:lang w:eastAsia="en-AU"/>
        </w:rPr>
        <w:t>Effective monitoring and evaluation are critical to guarantee the success of newly enacted laws, and the most reliable approach to achieve this is through a comprehensive, impartial</w:t>
      </w:r>
      <w:r w:rsidR="00E5249A">
        <w:rPr>
          <w:lang w:eastAsia="en-AU"/>
        </w:rPr>
        <w:t>,</w:t>
      </w:r>
      <w:r w:rsidRPr="001606DA">
        <w:rPr>
          <w:lang w:eastAsia="en-AU"/>
        </w:rPr>
        <w:t xml:space="preserve"> statutory review. This is especially </w:t>
      </w:r>
      <w:r w:rsidR="00635E68">
        <w:rPr>
          <w:lang w:eastAsia="en-AU"/>
        </w:rPr>
        <w:t>so</w:t>
      </w:r>
      <w:r w:rsidR="000E5FE7">
        <w:rPr>
          <w:lang w:eastAsia="en-AU"/>
        </w:rPr>
        <w:t xml:space="preserve"> </w:t>
      </w:r>
      <w:r w:rsidR="00263EFA">
        <w:rPr>
          <w:lang w:eastAsia="en-AU"/>
        </w:rPr>
        <w:t>because</w:t>
      </w:r>
      <w:r w:rsidR="0077378B" w:rsidRPr="001606DA">
        <w:rPr>
          <w:lang w:eastAsia="en-AU"/>
        </w:rPr>
        <w:t xml:space="preserve"> </w:t>
      </w:r>
      <w:r w:rsidRPr="001606DA">
        <w:rPr>
          <w:lang w:eastAsia="en-AU"/>
        </w:rPr>
        <w:t>coercive control as a criminal offense is a recent development</w:t>
      </w:r>
      <w:r w:rsidR="009F4D53">
        <w:rPr>
          <w:lang w:eastAsia="en-AU"/>
        </w:rPr>
        <w:t xml:space="preserve"> </w:t>
      </w:r>
      <w:r w:rsidR="009F4D53" w:rsidRPr="001606DA">
        <w:rPr>
          <w:lang w:eastAsia="en-AU"/>
        </w:rPr>
        <w:t>in Australia</w:t>
      </w:r>
      <w:r w:rsidRPr="001606DA">
        <w:rPr>
          <w:lang w:eastAsia="en-AU"/>
        </w:rPr>
        <w:t>, with limited international precedents to serve as a foundation for assessing its effectiveness in addressing violence.</w:t>
      </w:r>
    </w:p>
    <w:p w14:paraId="6D26828A" w14:textId="2090C06F" w:rsidR="0066177A" w:rsidRDefault="008418E2" w:rsidP="00B10F66">
      <w:pPr>
        <w:pStyle w:val="Numberedparagraph"/>
        <w:rPr>
          <w:lang w:eastAsia="en-AU"/>
        </w:rPr>
      </w:pPr>
      <w:r>
        <w:rPr>
          <w:lang w:eastAsia="en-AU"/>
        </w:rPr>
        <w:t>Reliable</w:t>
      </w:r>
      <w:r w:rsidR="0066177A">
        <w:rPr>
          <w:lang w:eastAsia="en-AU"/>
        </w:rPr>
        <w:t xml:space="preserve"> data collection will be </w:t>
      </w:r>
      <w:r w:rsidR="0074201E">
        <w:rPr>
          <w:lang w:eastAsia="en-AU"/>
        </w:rPr>
        <w:t>needed</w:t>
      </w:r>
      <w:r w:rsidR="001175D4">
        <w:rPr>
          <w:lang w:eastAsia="en-AU"/>
        </w:rPr>
        <w:t xml:space="preserve"> to conduct</w:t>
      </w:r>
      <w:r w:rsidR="0066177A">
        <w:rPr>
          <w:lang w:eastAsia="en-AU"/>
        </w:rPr>
        <w:t xml:space="preserve"> an effective evaluation of the </w:t>
      </w:r>
      <w:r w:rsidR="00B53EB8">
        <w:rPr>
          <w:lang w:eastAsia="en-AU"/>
        </w:rPr>
        <w:t xml:space="preserve">impact of the offence after 5 years. The information </w:t>
      </w:r>
      <w:r w:rsidR="008F6336">
        <w:rPr>
          <w:lang w:eastAsia="en-AU"/>
        </w:rPr>
        <w:t xml:space="preserve">collected will need to include the demographics of </w:t>
      </w:r>
      <w:r w:rsidR="0074201E">
        <w:rPr>
          <w:lang w:eastAsia="en-AU"/>
        </w:rPr>
        <w:t xml:space="preserve">people </w:t>
      </w:r>
      <w:r w:rsidR="008F6336">
        <w:rPr>
          <w:lang w:eastAsia="en-AU"/>
        </w:rPr>
        <w:t>charged with</w:t>
      </w:r>
      <w:r w:rsidR="005046FB">
        <w:rPr>
          <w:lang w:eastAsia="en-AU"/>
        </w:rPr>
        <w:t xml:space="preserve"> and convicted of the offence of</w:t>
      </w:r>
      <w:r w:rsidR="008F6336">
        <w:rPr>
          <w:lang w:eastAsia="en-AU"/>
        </w:rPr>
        <w:t xml:space="preserve"> coercive control</w:t>
      </w:r>
      <w:r w:rsidR="00B70E20">
        <w:rPr>
          <w:lang w:eastAsia="en-AU"/>
        </w:rPr>
        <w:t xml:space="preserve">, </w:t>
      </w:r>
      <w:r w:rsidR="005046FB">
        <w:rPr>
          <w:lang w:eastAsia="en-AU"/>
        </w:rPr>
        <w:t>with a particular focus on identifying</w:t>
      </w:r>
      <w:r w:rsidR="00B70E20">
        <w:rPr>
          <w:lang w:eastAsia="en-AU"/>
        </w:rPr>
        <w:t xml:space="preserve"> how many </w:t>
      </w:r>
      <w:r w:rsidR="0039111D">
        <w:rPr>
          <w:lang w:eastAsia="en-AU"/>
        </w:rPr>
        <w:t>are</w:t>
      </w:r>
      <w:r w:rsidR="005D6476">
        <w:rPr>
          <w:lang w:eastAsia="en-AU"/>
        </w:rPr>
        <w:t xml:space="preserve"> </w:t>
      </w:r>
      <w:r w:rsidR="00B70E20">
        <w:rPr>
          <w:lang w:eastAsia="en-AU"/>
        </w:rPr>
        <w:t>First Nations people, and</w:t>
      </w:r>
      <w:r w:rsidR="00B83187">
        <w:rPr>
          <w:lang w:eastAsia="en-AU"/>
        </w:rPr>
        <w:t xml:space="preserve"> in particular</w:t>
      </w:r>
      <w:r w:rsidR="00B70E20">
        <w:rPr>
          <w:lang w:eastAsia="en-AU"/>
        </w:rPr>
        <w:t xml:space="preserve"> how many</w:t>
      </w:r>
      <w:r w:rsidR="005D6476">
        <w:rPr>
          <w:lang w:eastAsia="en-AU"/>
        </w:rPr>
        <w:t xml:space="preserve"> are</w:t>
      </w:r>
      <w:r w:rsidR="00B70E20">
        <w:rPr>
          <w:lang w:eastAsia="en-AU"/>
        </w:rPr>
        <w:t xml:space="preserve"> First Nations women</w:t>
      </w:r>
      <w:r w:rsidR="005046FB">
        <w:rPr>
          <w:lang w:eastAsia="en-AU"/>
        </w:rPr>
        <w:t>.</w:t>
      </w:r>
    </w:p>
    <w:p w14:paraId="49AE8DEA" w14:textId="0D51EC68" w:rsidR="00715492" w:rsidRPr="009E0244" w:rsidRDefault="008033BC" w:rsidP="00B10F66">
      <w:pPr>
        <w:pStyle w:val="Numberedparagraph"/>
        <w:rPr>
          <w:lang w:eastAsia="en-AU"/>
        </w:rPr>
      </w:pPr>
      <w:r>
        <w:rPr>
          <w:lang w:eastAsia="en-AU"/>
        </w:rPr>
        <w:t>T</w:t>
      </w:r>
      <w:r w:rsidRPr="008033BC">
        <w:rPr>
          <w:lang w:eastAsia="en-AU"/>
        </w:rPr>
        <w:t xml:space="preserve">he Bill should </w:t>
      </w:r>
      <w:r w:rsidR="00585BF5">
        <w:rPr>
          <w:lang w:eastAsia="en-AU"/>
        </w:rPr>
        <w:t>require</w:t>
      </w:r>
      <w:r w:rsidRPr="008033BC">
        <w:rPr>
          <w:lang w:eastAsia="en-AU"/>
        </w:rPr>
        <w:t xml:space="preserve"> the Queensland Police Service and courts to engage in compulsory data collection and reporting</w:t>
      </w:r>
      <w:r w:rsidR="003C5665">
        <w:rPr>
          <w:lang w:eastAsia="en-AU"/>
        </w:rPr>
        <w:t xml:space="preserve"> in relation</w:t>
      </w:r>
      <w:r w:rsidRPr="008033BC">
        <w:rPr>
          <w:lang w:eastAsia="en-AU"/>
        </w:rPr>
        <w:t xml:space="preserve"> to the </w:t>
      </w:r>
      <w:r w:rsidR="00C14180">
        <w:rPr>
          <w:lang w:eastAsia="en-AU"/>
        </w:rPr>
        <w:t xml:space="preserve">new </w:t>
      </w:r>
      <w:r w:rsidRPr="008033BC">
        <w:rPr>
          <w:lang w:eastAsia="en-AU"/>
        </w:rPr>
        <w:t xml:space="preserve">coercive control </w:t>
      </w:r>
      <w:r>
        <w:rPr>
          <w:lang w:eastAsia="en-AU"/>
        </w:rPr>
        <w:t>offence.</w:t>
      </w:r>
    </w:p>
    <w:p w14:paraId="49CBC93E" w14:textId="7BF27DB0" w:rsidR="00366F40" w:rsidRDefault="00366F40" w:rsidP="00177EE0">
      <w:pPr>
        <w:pStyle w:val="Heading2"/>
      </w:pPr>
      <w:bookmarkStart w:id="18" w:name="_Toc149202277"/>
      <w:r>
        <w:rPr>
          <w:lang w:eastAsia="en-AU"/>
        </w:rPr>
        <w:t xml:space="preserve">Refusal </w:t>
      </w:r>
      <w:r w:rsidR="00231424">
        <w:rPr>
          <w:lang w:eastAsia="en-AU"/>
        </w:rPr>
        <w:t xml:space="preserve">of bail </w:t>
      </w:r>
      <w:r>
        <w:rPr>
          <w:lang w:eastAsia="en-AU"/>
        </w:rPr>
        <w:t xml:space="preserve">and </w:t>
      </w:r>
      <w:r w:rsidR="00231424">
        <w:rPr>
          <w:lang w:eastAsia="en-AU"/>
        </w:rPr>
        <w:t>bail conditions</w:t>
      </w:r>
      <w:bookmarkEnd w:id="18"/>
    </w:p>
    <w:p w14:paraId="150D613B" w14:textId="1AC26A77" w:rsidR="00366F40" w:rsidRPr="00EE613B" w:rsidRDefault="00366F40" w:rsidP="00B10F66">
      <w:pPr>
        <w:pStyle w:val="Numberedparagraph"/>
      </w:pPr>
      <w:r w:rsidRPr="008B6F93">
        <w:t>The QHRC supports amendment</w:t>
      </w:r>
      <w:r w:rsidR="00676F7B">
        <w:t>s</w:t>
      </w:r>
      <w:r w:rsidRPr="008B6F93">
        <w:t xml:space="preserve"> </w:t>
      </w:r>
      <w:r w:rsidR="00676F7B">
        <w:t>to</w:t>
      </w:r>
      <w:r w:rsidRPr="008B6F93">
        <w:t xml:space="preserve"> </w:t>
      </w:r>
      <w:r w:rsidR="00DD12E4" w:rsidRPr="008B6F93">
        <w:t>bail laws to require police officers or the court to consider the likely effect that refusal</w:t>
      </w:r>
      <w:r w:rsidR="002D73FE">
        <w:t xml:space="preserve"> of bail</w:t>
      </w:r>
      <w:r w:rsidR="00235DCF" w:rsidRPr="008B6F93">
        <w:t xml:space="preserve"> and </w:t>
      </w:r>
      <w:r w:rsidR="002D73FE">
        <w:t xml:space="preserve">the </w:t>
      </w:r>
      <w:r w:rsidR="00235DCF" w:rsidRPr="008B6F93">
        <w:t>conditions</w:t>
      </w:r>
      <w:r w:rsidR="00DD12E4" w:rsidRPr="008B6F93">
        <w:t xml:space="preserve"> of bail </w:t>
      </w:r>
      <w:r w:rsidR="00DD12E4" w:rsidRPr="008B6F93">
        <w:lastRenderedPageBreak/>
        <w:t xml:space="preserve">would have on the accused person’s dependent family members, </w:t>
      </w:r>
      <w:r w:rsidR="00B35A43">
        <w:t xml:space="preserve">the </w:t>
      </w:r>
      <w:r w:rsidR="00001B45" w:rsidRPr="008B6F93">
        <w:t>pregnancy of an</w:t>
      </w:r>
      <w:r w:rsidR="00DD12E4" w:rsidRPr="008B6F93">
        <w:t xml:space="preserve"> accused</w:t>
      </w:r>
      <w:r w:rsidR="00001B45" w:rsidRPr="008B6F93">
        <w:t xml:space="preserve"> person, and </w:t>
      </w:r>
      <w:r w:rsidR="006A2FD5" w:rsidRPr="008B6F93">
        <w:t xml:space="preserve">ongoing </w:t>
      </w:r>
      <w:r w:rsidR="00001B45" w:rsidRPr="008B6F93">
        <w:t>cultural obligations to family members</w:t>
      </w:r>
      <w:r w:rsidR="00DD12E4" w:rsidRPr="008B6F93">
        <w:t>.</w:t>
      </w:r>
      <w:r w:rsidR="00751895" w:rsidRPr="008B6F93">
        <w:rPr>
          <w:rStyle w:val="FootnoteReference"/>
        </w:rPr>
        <w:footnoteReference w:id="28"/>
      </w:r>
      <w:r w:rsidR="00001B45" w:rsidRPr="008B6F93">
        <w:rPr>
          <w:vertAlign w:val="superscript"/>
        </w:rPr>
        <w:t xml:space="preserve"> </w:t>
      </w:r>
      <w:r w:rsidR="00407FBE">
        <w:rPr>
          <w:vertAlign w:val="superscript"/>
        </w:rPr>
        <w:t xml:space="preserve"> </w:t>
      </w:r>
    </w:p>
    <w:p w14:paraId="474F1ADE" w14:textId="77777777" w:rsidR="00407FBE" w:rsidRPr="008B6F93" w:rsidRDefault="00407FBE" w:rsidP="00B10F66">
      <w:pPr>
        <w:pStyle w:val="Numberedparagraph"/>
      </w:pPr>
      <w:r w:rsidRPr="008B6F93">
        <w:t>This amendment promotes the rights of families,</w:t>
      </w:r>
      <w:r w:rsidRPr="008B6F93">
        <w:rPr>
          <w:rStyle w:val="FootnoteReference"/>
        </w:rPr>
        <w:footnoteReference w:id="29"/>
      </w:r>
      <w:r w:rsidRPr="008B6F93">
        <w:t xml:space="preserve"> children</w:t>
      </w:r>
      <w:r w:rsidRPr="008B6F93">
        <w:rPr>
          <w:rStyle w:val="FootnoteReference"/>
        </w:rPr>
        <w:footnoteReference w:id="30"/>
      </w:r>
      <w:r w:rsidRPr="008B6F93">
        <w:t xml:space="preserve"> and Aboriginal and Torres Strait Islander cultural rights to maintain family and kinship ties.</w:t>
      </w:r>
      <w:r w:rsidRPr="008B6F93">
        <w:rPr>
          <w:rStyle w:val="FootnoteReference"/>
        </w:rPr>
        <w:footnoteReference w:id="31"/>
      </w:r>
    </w:p>
    <w:p w14:paraId="1FCF227D" w14:textId="5D0148DB" w:rsidR="00407FBE" w:rsidRDefault="00407FBE" w:rsidP="00B10F66">
      <w:pPr>
        <w:pStyle w:val="Numberedparagraph"/>
      </w:pPr>
      <w:r>
        <w:t xml:space="preserve">These rights must be weighed against any potential reduction of the right to liberty and security of individuals </w:t>
      </w:r>
      <w:r w:rsidR="00A96CB4">
        <w:t xml:space="preserve">as well as </w:t>
      </w:r>
      <w:r>
        <w:t xml:space="preserve">the community as a whole. However, </w:t>
      </w:r>
      <w:r w:rsidR="005860F2">
        <w:t xml:space="preserve">the Commission </w:t>
      </w:r>
      <w:r w:rsidR="009E4011">
        <w:t>considers</w:t>
      </w:r>
      <w:r>
        <w:t xml:space="preserve"> the </w:t>
      </w:r>
      <w:r w:rsidR="00364279">
        <w:t xml:space="preserve">amendments </w:t>
      </w:r>
      <w:r>
        <w:t>to bail laws are justified on the basis that women are proportionally more likely than men to be refused bail and held in custody on remand, but are more likely to hold primary care duties.</w:t>
      </w:r>
      <w:r w:rsidRPr="00B35A43">
        <w:rPr>
          <w:rStyle w:val="FootnoteReference"/>
        </w:rPr>
        <w:t xml:space="preserve"> </w:t>
      </w:r>
      <w:r>
        <w:rPr>
          <w:rStyle w:val="FootnoteReference"/>
        </w:rPr>
        <w:footnoteReference w:id="32"/>
      </w:r>
    </w:p>
    <w:p w14:paraId="1088C62E" w14:textId="4C116921" w:rsidR="00407FBE" w:rsidRDefault="00407FBE" w:rsidP="00B10F66">
      <w:pPr>
        <w:pStyle w:val="Numberedparagraph"/>
      </w:pPr>
      <w:r w:rsidRPr="00407FBE">
        <w:t>While acknowledging that bail require</w:t>
      </w:r>
      <w:r w:rsidR="00561CA5">
        <w:t>s</w:t>
      </w:r>
      <w:r w:rsidRPr="00407FBE">
        <w:t xml:space="preserve"> thorough consideration on a </w:t>
      </w:r>
      <w:r w:rsidR="003C5988" w:rsidRPr="00407FBE">
        <w:t>case-by-case</w:t>
      </w:r>
      <w:r w:rsidRPr="00407FBE">
        <w:t xml:space="preserve"> basis, the Taskforce in recommending these laws considered that bail should be preferred for women who are at risk of giving birth on remand or had dependent children, particularly because women and girls do not generally pose the same risks to community safety. </w:t>
      </w:r>
    </w:p>
    <w:p w14:paraId="42278024" w14:textId="0026A47E" w:rsidR="00EE613B" w:rsidRPr="008B6F93" w:rsidRDefault="00EE613B" w:rsidP="00B10F66">
      <w:pPr>
        <w:pStyle w:val="Numberedparagraph"/>
      </w:pPr>
      <w:r>
        <w:t>The</w:t>
      </w:r>
      <w:r w:rsidR="006C077E">
        <w:t xml:space="preserve"> adverse</w:t>
      </w:r>
      <w:r>
        <w:t xml:space="preserve"> effects of a woman being incarcerated reach </w:t>
      </w:r>
      <w:r w:rsidR="00D343C8">
        <w:t xml:space="preserve">well </w:t>
      </w:r>
      <w:r>
        <w:t>beyond the defendant, causing instability and harm to children,</w:t>
      </w:r>
      <w:r w:rsidR="00D343C8">
        <w:t xml:space="preserve"> </w:t>
      </w:r>
      <w:r>
        <w:t>and in some cases result</w:t>
      </w:r>
      <w:r w:rsidR="00B35A43">
        <w:t>ing</w:t>
      </w:r>
      <w:r>
        <w:t xml:space="preserve"> in children being placed in out</w:t>
      </w:r>
      <w:r w:rsidR="006C077E">
        <w:t>-</w:t>
      </w:r>
      <w:r>
        <w:t>of</w:t>
      </w:r>
      <w:r w:rsidR="00DD1677">
        <w:t>-</w:t>
      </w:r>
      <w:r>
        <w:t xml:space="preserve">home care. </w:t>
      </w:r>
    </w:p>
    <w:p w14:paraId="442ECE7B" w14:textId="5DB79FEA" w:rsidR="00366F40" w:rsidRDefault="00366F40" w:rsidP="00177EE0">
      <w:pPr>
        <w:pStyle w:val="Heading2"/>
      </w:pPr>
      <w:bookmarkStart w:id="19" w:name="_Toc149202278"/>
      <w:r>
        <w:rPr>
          <w:lang w:eastAsia="en-AU"/>
        </w:rPr>
        <w:t>Sentencing considerations</w:t>
      </w:r>
      <w:bookmarkEnd w:id="19"/>
    </w:p>
    <w:p w14:paraId="5B50ACF2" w14:textId="77CD808C" w:rsidR="006A2FD5" w:rsidRDefault="00366F40" w:rsidP="00B10F66">
      <w:pPr>
        <w:pStyle w:val="Numberedparagraph"/>
      </w:pPr>
      <w:r w:rsidRPr="008B6F93">
        <w:t>The QHRC supports changing</w:t>
      </w:r>
      <w:r w:rsidR="007C3FBE" w:rsidRPr="008B6F93">
        <w:t xml:space="preserve"> sentencing </w:t>
      </w:r>
      <w:r w:rsidRPr="008B6F93">
        <w:t>legislation to require that</w:t>
      </w:r>
      <w:r w:rsidR="007C3FBE" w:rsidRPr="008B6F93">
        <w:t xml:space="preserve"> the court must have regard to the hardship any sentence imposed would have on the </w:t>
      </w:r>
      <w:r w:rsidR="003B0C36">
        <w:t xml:space="preserve">offender based on their </w:t>
      </w:r>
      <w:r w:rsidR="007C3FBE" w:rsidRPr="008B6F93">
        <w:t xml:space="preserve">individual </w:t>
      </w:r>
      <w:r w:rsidR="0098152C" w:rsidRPr="008B6F93">
        <w:t>characteristics</w:t>
      </w:r>
      <w:r w:rsidR="007C3FBE" w:rsidRPr="008B6F93">
        <w:t xml:space="preserve"> </w:t>
      </w:r>
      <w:r w:rsidR="0098152C" w:rsidRPr="008B6F93">
        <w:t xml:space="preserve">including </w:t>
      </w:r>
      <w:r w:rsidR="003C5988">
        <w:t xml:space="preserve">their </w:t>
      </w:r>
      <w:r w:rsidR="00A31FE7">
        <w:t xml:space="preserve">age, </w:t>
      </w:r>
      <w:r w:rsidR="0098152C" w:rsidRPr="008B6F93">
        <w:t>disability, gender identity, parental status, race, religion, sex, sex characteristics and sexuality</w:t>
      </w:r>
      <w:r w:rsidR="00235DCF" w:rsidRPr="008B6F93">
        <w:t xml:space="preserve"> and</w:t>
      </w:r>
      <w:r w:rsidR="0098152C" w:rsidRPr="008B6F93">
        <w:t xml:space="preserve"> </w:t>
      </w:r>
      <w:r w:rsidR="00235DCF" w:rsidRPr="008B6F93">
        <w:t>the person’s dependents</w:t>
      </w:r>
      <w:r w:rsidRPr="008B6F93">
        <w:t xml:space="preserve">. </w:t>
      </w:r>
      <w:r w:rsidR="00DE1825">
        <w:t>Consideration of</w:t>
      </w:r>
      <w:r w:rsidR="00235DCF" w:rsidRPr="008B6F93">
        <w:t xml:space="preserve"> the person’s history of abuse or victimisation, </w:t>
      </w:r>
      <w:r w:rsidR="0098152C" w:rsidRPr="008B6F93">
        <w:t>as well as the effect of systemic disadvantage and intergenerational trauma</w:t>
      </w:r>
      <w:r w:rsidR="00E003B5">
        <w:t>,</w:t>
      </w:r>
      <w:r w:rsidR="0098152C" w:rsidRPr="008B6F93">
        <w:t xml:space="preserve"> if the person is Aboriginal </w:t>
      </w:r>
      <w:r w:rsidR="0059481F" w:rsidRPr="008B6F93">
        <w:t>and/</w:t>
      </w:r>
      <w:r w:rsidR="0098152C" w:rsidRPr="008B6F93">
        <w:t>or Torres Strait Islander</w:t>
      </w:r>
      <w:r w:rsidR="00235DCF" w:rsidRPr="008B6F93">
        <w:rPr>
          <w:rStyle w:val="FootnoteReference"/>
        </w:rPr>
        <w:footnoteReference w:id="33"/>
      </w:r>
      <w:r w:rsidR="002930C2">
        <w:t xml:space="preserve"> Is supported by the QHRC.</w:t>
      </w:r>
    </w:p>
    <w:p w14:paraId="4252E98F" w14:textId="56D5AADA" w:rsidR="00676F7B" w:rsidRPr="00676F7B" w:rsidRDefault="00676F7B" w:rsidP="00B10F66">
      <w:pPr>
        <w:pStyle w:val="Numberedparagraph"/>
      </w:pPr>
      <w:r w:rsidRPr="00676F7B">
        <w:t xml:space="preserve">The hardship experienced </w:t>
      </w:r>
      <w:r w:rsidR="0044440A" w:rsidRPr="00676F7B">
        <w:t xml:space="preserve">during incarceration </w:t>
      </w:r>
      <w:r w:rsidRPr="00676F7B">
        <w:t xml:space="preserve">by individuals from marginalised communities can be significantly heightened, particularly when they face intersectional disadvantage, such as a First Nations </w:t>
      </w:r>
      <w:r w:rsidR="0046265A">
        <w:t>woman</w:t>
      </w:r>
      <w:r w:rsidRPr="00676F7B">
        <w:t xml:space="preserve"> with a disability.</w:t>
      </w:r>
      <w:r w:rsidR="0044440A">
        <w:t xml:space="preserve"> </w:t>
      </w:r>
    </w:p>
    <w:p w14:paraId="6CE1D8B3" w14:textId="1C88FBC0" w:rsidR="00366F40" w:rsidRPr="008B6F93" w:rsidRDefault="008B6F93" w:rsidP="00B10F66">
      <w:pPr>
        <w:pStyle w:val="Numberedparagraph"/>
      </w:pPr>
      <w:r>
        <w:t xml:space="preserve">These </w:t>
      </w:r>
      <w:r w:rsidR="00E86D68">
        <w:t>reforms</w:t>
      </w:r>
      <w:r w:rsidR="00366F40" w:rsidRPr="008B6F93">
        <w:t xml:space="preserve"> promote the right to equality,</w:t>
      </w:r>
      <w:r w:rsidR="00B64424" w:rsidRPr="008B6F93">
        <w:t xml:space="preserve"> </w:t>
      </w:r>
      <w:r w:rsidR="00366F40" w:rsidRPr="008B6F93">
        <w:t xml:space="preserve">and the rights of families, children, and </w:t>
      </w:r>
      <w:r w:rsidR="00F96379" w:rsidRPr="008B6F93">
        <w:t xml:space="preserve">cultural rights </w:t>
      </w:r>
      <w:r w:rsidR="00E61ED8">
        <w:t xml:space="preserve">of </w:t>
      </w:r>
      <w:r w:rsidR="00366F40" w:rsidRPr="008B6F93">
        <w:t xml:space="preserve">Aboriginal </w:t>
      </w:r>
      <w:r w:rsidR="00E61ED8">
        <w:t xml:space="preserve">peoples </w:t>
      </w:r>
      <w:r w:rsidR="00366F40" w:rsidRPr="008B6F93">
        <w:t>and Torres Strait Islander</w:t>
      </w:r>
      <w:r w:rsidR="00E61ED8">
        <w:t xml:space="preserve"> peoples</w:t>
      </w:r>
      <w:r w:rsidR="00366F40" w:rsidRPr="008B6F93">
        <w:t xml:space="preserve">. </w:t>
      </w:r>
      <w:r>
        <w:t xml:space="preserve">The </w:t>
      </w:r>
      <w:r>
        <w:lastRenderedPageBreak/>
        <w:t xml:space="preserve">amendments also align with </w:t>
      </w:r>
      <w:r w:rsidR="00E61ED8">
        <w:t xml:space="preserve">the </w:t>
      </w:r>
      <w:r w:rsidR="004326B0">
        <w:t xml:space="preserve">objects and provisions </w:t>
      </w:r>
      <w:r>
        <w:t xml:space="preserve">of the </w:t>
      </w:r>
      <w:r w:rsidR="001C24EB">
        <w:rPr>
          <w:i/>
          <w:iCs/>
        </w:rPr>
        <w:t>Anti-Discrimination Act 1991</w:t>
      </w:r>
      <w:r>
        <w:t xml:space="preserve"> in seeking to </w:t>
      </w:r>
      <w:r w:rsidR="00EB278C">
        <w:t>alleviate</w:t>
      </w:r>
      <w:r>
        <w:t xml:space="preserve"> discrimination </w:t>
      </w:r>
      <w:r w:rsidR="008E4921">
        <w:t xml:space="preserve">based on protected attributes </w:t>
      </w:r>
      <w:r w:rsidR="007B05C4">
        <w:t xml:space="preserve">that </w:t>
      </w:r>
      <w:r>
        <w:t>a</w:t>
      </w:r>
      <w:r w:rsidR="00EB278C">
        <w:t xml:space="preserve"> </w:t>
      </w:r>
      <w:r>
        <w:t xml:space="preserve">person may experience through incarceration. </w:t>
      </w:r>
    </w:p>
    <w:p w14:paraId="33B14431" w14:textId="1F4C56F9" w:rsidR="00C753BF" w:rsidRDefault="00C753BF" w:rsidP="00177EE0">
      <w:pPr>
        <w:pStyle w:val="Heading2"/>
      </w:pPr>
      <w:bookmarkStart w:id="20" w:name="_Toc141442166"/>
      <w:bookmarkStart w:id="21" w:name="_Toc149202279"/>
      <w:r>
        <w:t xml:space="preserve">Affirmative consent, </w:t>
      </w:r>
      <w:r w:rsidRPr="00D57794">
        <w:t>mistake</w:t>
      </w:r>
      <w:r>
        <w:t xml:space="preserve"> of fact and stealthing</w:t>
      </w:r>
      <w:bookmarkEnd w:id="20"/>
      <w:bookmarkEnd w:id="21"/>
      <w:r>
        <w:t xml:space="preserve"> </w:t>
      </w:r>
    </w:p>
    <w:p w14:paraId="7E2E6A80" w14:textId="2FF47C7C" w:rsidR="00D76770" w:rsidRDefault="00B35A43" w:rsidP="00B10F66">
      <w:pPr>
        <w:pStyle w:val="Numberedparagraph"/>
      </w:pPr>
      <w:r>
        <w:t>T</w:t>
      </w:r>
      <w:r w:rsidR="00C753BF" w:rsidRPr="00C753BF">
        <w:t>he QHRC is supportive</w:t>
      </w:r>
      <w:r w:rsidR="007B05C4">
        <w:t>,</w:t>
      </w:r>
      <w:r w:rsidR="00C753BF" w:rsidRPr="00C753BF">
        <w:t xml:space="preserve"> in principle</w:t>
      </w:r>
      <w:r w:rsidR="007B05C4">
        <w:t>,</w:t>
      </w:r>
      <w:r w:rsidR="00C753BF" w:rsidRPr="00C753BF">
        <w:t xml:space="preserve"> of reforms </w:t>
      </w:r>
      <w:r w:rsidR="00027632">
        <w:t>to</w:t>
      </w:r>
      <w:r w:rsidR="00C753BF" w:rsidRPr="00C753BF">
        <w:t xml:space="preserve"> ensur</w:t>
      </w:r>
      <w:r w:rsidR="00027632">
        <w:t>e</w:t>
      </w:r>
      <w:r w:rsidR="00C753BF" w:rsidRPr="00C753BF">
        <w:t xml:space="preserve"> that consent is freely and voluntarily </w:t>
      </w:r>
      <w:r w:rsidR="00D76770">
        <w:t>‘agreed’ by all parties to a sexual act, and</w:t>
      </w:r>
      <w:r w:rsidR="00A462E3">
        <w:t xml:space="preserve"> to</w:t>
      </w:r>
      <w:r w:rsidR="00D76770">
        <w:t xml:space="preserve"> expan</w:t>
      </w:r>
      <w:r w:rsidR="001C5296">
        <w:t>d</w:t>
      </w:r>
      <w:r w:rsidR="00D76770">
        <w:t xml:space="preserve"> </w:t>
      </w:r>
      <w:r w:rsidR="001C5296">
        <w:t>the</w:t>
      </w:r>
      <w:r w:rsidR="00D76770">
        <w:t xml:space="preserve"> situations in which a person cannot be seen to have consented</w:t>
      </w:r>
      <w:r w:rsidR="00A462E3">
        <w:t xml:space="preserve"> because of incapacity or the particular circumstances</w:t>
      </w:r>
      <w:r w:rsidR="00CB7C53">
        <w:t xml:space="preserve">. </w:t>
      </w:r>
    </w:p>
    <w:p w14:paraId="0FBD10B7" w14:textId="515870FF" w:rsidR="00CB7C53" w:rsidRPr="00CB7C53" w:rsidRDefault="00CB7C53" w:rsidP="00B10F66">
      <w:pPr>
        <w:pStyle w:val="Numberedparagraph"/>
      </w:pPr>
      <w:r>
        <w:t xml:space="preserve">The relevant </w:t>
      </w:r>
      <w:r w:rsidR="003A2055">
        <w:t xml:space="preserve">protected human </w:t>
      </w:r>
      <w:r w:rsidR="00825966">
        <w:t>r</w:t>
      </w:r>
      <w:r>
        <w:t xml:space="preserve">ights for victims of rape and sexual assault include </w:t>
      </w:r>
      <w:r w:rsidRPr="00CB7C53">
        <w:t>the right to life,</w:t>
      </w:r>
      <w:r w:rsidRPr="00CB7C53">
        <w:rPr>
          <w:vertAlign w:val="superscript"/>
        </w:rPr>
        <w:footnoteReference w:id="34"/>
      </w:r>
      <w:r w:rsidRPr="00CB7C53">
        <w:t xml:space="preserve"> freedom </w:t>
      </w:r>
      <w:r w:rsidRPr="00CB7C53">
        <w:rPr>
          <w:lang w:val="en-GB"/>
        </w:rPr>
        <w:t>from torture and cruel, inhuman or degrading treatment,</w:t>
      </w:r>
      <w:r w:rsidRPr="00CB7C53">
        <w:rPr>
          <w:vertAlign w:val="superscript"/>
          <w:lang w:val="en-GB"/>
        </w:rPr>
        <w:footnoteReference w:id="35"/>
      </w:r>
      <w:r w:rsidRPr="00CB7C53">
        <w:rPr>
          <w:lang w:val="en-GB"/>
        </w:rPr>
        <w:t xml:space="preserve"> </w:t>
      </w:r>
      <w:r w:rsidRPr="00CB7C53">
        <w:t>and the right to equality,</w:t>
      </w:r>
      <w:r w:rsidRPr="00CB7C53">
        <w:rPr>
          <w:vertAlign w:val="superscript"/>
        </w:rPr>
        <w:footnoteReference w:id="36"/>
      </w:r>
      <w:r w:rsidRPr="00CB7C53">
        <w:t xml:space="preserve"> noting that victims of sexual assault are predominantly women.</w:t>
      </w:r>
      <w:r w:rsidRPr="00CB7C53">
        <w:rPr>
          <w:vertAlign w:val="superscript"/>
        </w:rPr>
        <w:footnoteReference w:id="37"/>
      </w:r>
      <w:r w:rsidRPr="00CB7C53">
        <w:t xml:space="preserve"> </w:t>
      </w:r>
    </w:p>
    <w:p w14:paraId="518084CA" w14:textId="709D421B" w:rsidR="00C753BF" w:rsidRDefault="00CB7C53" w:rsidP="00B10F66">
      <w:pPr>
        <w:pStyle w:val="Numberedparagraph"/>
      </w:pPr>
      <w:r>
        <w:t>Though an affirmative consent model could potentially limit an accused</w:t>
      </w:r>
      <w:r w:rsidR="00AF324A">
        <w:t>’s</w:t>
      </w:r>
      <w:r>
        <w:t xml:space="preserve"> right to a fair trial, this limitation is </w:t>
      </w:r>
      <w:r w:rsidR="008100B2">
        <w:t xml:space="preserve">likely to be </w:t>
      </w:r>
      <w:r>
        <w:t>reasonable</w:t>
      </w:r>
      <w:r w:rsidR="00302881">
        <w:t xml:space="preserve"> and justifiable</w:t>
      </w:r>
      <w:r w:rsidR="008100B2">
        <w:t>,</w:t>
      </w:r>
      <w:r>
        <w:t xml:space="preserve"> given that the</w:t>
      </w:r>
      <w:r w:rsidR="00AF324A">
        <w:t xml:space="preserve"> reforms</w:t>
      </w:r>
      <w:r>
        <w:t xml:space="preserve"> seek to give effect to contemporary standards about sexual behaviour. </w:t>
      </w:r>
    </w:p>
    <w:p w14:paraId="70917405" w14:textId="18E18DCC" w:rsidR="004F00DA" w:rsidRDefault="004F00DA" w:rsidP="00B10F66">
      <w:pPr>
        <w:pStyle w:val="Numberedparagraph"/>
      </w:pPr>
      <w:r>
        <w:t xml:space="preserve">The QHRC has </w:t>
      </w:r>
      <w:r w:rsidR="00CD4AA5">
        <w:t>reservations</w:t>
      </w:r>
      <w:r>
        <w:t xml:space="preserve"> about </w:t>
      </w:r>
      <w:r w:rsidR="004054C4">
        <w:t>2</w:t>
      </w:r>
      <w:r>
        <w:t xml:space="preserve"> proposed inclusions in</w:t>
      </w:r>
      <w:r w:rsidR="00762890">
        <w:t xml:space="preserve"> the circumstances of non-consent set out in </w:t>
      </w:r>
      <w:r w:rsidR="00C83E6A">
        <w:t>proposed s</w:t>
      </w:r>
      <w:r w:rsidR="004054C4">
        <w:t xml:space="preserve"> </w:t>
      </w:r>
      <w:r w:rsidR="00C83E6A">
        <w:t xml:space="preserve">348AA(1) relating to </w:t>
      </w:r>
      <w:r w:rsidR="00855567">
        <w:t xml:space="preserve">non-payment </w:t>
      </w:r>
      <w:r w:rsidR="00CD4AA5">
        <w:t xml:space="preserve">of </w:t>
      </w:r>
      <w:r w:rsidR="00855567">
        <w:t>sex workers and the transmission of ‘serious disease’</w:t>
      </w:r>
      <w:r w:rsidR="00C83E6A">
        <w:t>.</w:t>
      </w:r>
    </w:p>
    <w:p w14:paraId="50E0E060" w14:textId="70748BB8" w:rsidR="002B597F" w:rsidRPr="00177EE0" w:rsidRDefault="002B597F" w:rsidP="00320F41">
      <w:pPr>
        <w:pStyle w:val="Heading3"/>
      </w:pPr>
      <w:bookmarkStart w:id="23" w:name="_Toc149202280"/>
      <w:r w:rsidRPr="00177EE0">
        <w:t>Should non-payment of sex work be considered fraudulent inducement</w:t>
      </w:r>
      <w:r w:rsidR="008C47AA" w:rsidRPr="00177EE0">
        <w:t>?</w:t>
      </w:r>
      <w:bookmarkEnd w:id="23"/>
      <w:r w:rsidRPr="00177EE0">
        <w:t xml:space="preserve"> </w:t>
      </w:r>
    </w:p>
    <w:p w14:paraId="483B2C3A" w14:textId="4050A736" w:rsidR="00E4005C" w:rsidRDefault="00977E24" w:rsidP="00B10F66">
      <w:pPr>
        <w:pStyle w:val="Numberedparagraph"/>
      </w:pPr>
      <w:r>
        <w:t xml:space="preserve">The current criminalisation of sex work in Queensland </w:t>
      </w:r>
      <w:r w:rsidR="004A402B">
        <w:t xml:space="preserve">in most circumstances </w:t>
      </w:r>
      <w:r>
        <w:t xml:space="preserve">leaves sex workers particularly vulnerable to sexual violence and exploitation. As highlighted by the </w:t>
      </w:r>
      <w:r w:rsidR="00D76770">
        <w:t>Queensland Law Reform Commission (QLRC)</w:t>
      </w:r>
      <w:r>
        <w:t xml:space="preserve"> report</w:t>
      </w:r>
      <w:r w:rsidR="006D4D2E">
        <w:t>,</w:t>
      </w:r>
      <w:r>
        <w:t xml:space="preserve"> </w:t>
      </w:r>
      <w:r>
        <w:rPr>
          <w:i/>
          <w:iCs/>
        </w:rPr>
        <w:t xml:space="preserve">A </w:t>
      </w:r>
      <w:r w:rsidR="004A6ACA">
        <w:rPr>
          <w:i/>
          <w:iCs/>
        </w:rPr>
        <w:t>decriminalised</w:t>
      </w:r>
      <w:r>
        <w:rPr>
          <w:i/>
          <w:iCs/>
        </w:rPr>
        <w:t xml:space="preserve"> sex</w:t>
      </w:r>
      <w:r w:rsidR="004A6ACA">
        <w:rPr>
          <w:i/>
          <w:iCs/>
        </w:rPr>
        <w:t xml:space="preserve"> work industry for Queensland</w:t>
      </w:r>
      <w:r w:rsidR="006D4D2E">
        <w:t>,</w:t>
      </w:r>
      <w:r w:rsidR="004A6ACA">
        <w:rPr>
          <w:i/>
          <w:iCs/>
        </w:rPr>
        <w:t xml:space="preserve"> </w:t>
      </w:r>
      <w:r w:rsidR="004A6ACA">
        <w:t>the intention</w:t>
      </w:r>
      <w:r w:rsidR="00AF324A">
        <w:t>al</w:t>
      </w:r>
      <w:r w:rsidR="004A6ACA">
        <w:t xml:space="preserve"> non-payment for sex work exemplifies a lack of respect for the role, </w:t>
      </w:r>
      <w:r w:rsidR="00F76BBC">
        <w:t>labour</w:t>
      </w:r>
      <w:r w:rsidR="004A6ACA">
        <w:t xml:space="preserve"> and bodily integrity of sex workers.</w:t>
      </w:r>
      <w:r w:rsidR="004A6ACA" w:rsidRPr="004A6ACA">
        <w:rPr>
          <w:rStyle w:val="FootnoteReference"/>
        </w:rPr>
        <w:t xml:space="preserve"> </w:t>
      </w:r>
      <w:r w:rsidR="004A6ACA">
        <w:rPr>
          <w:rStyle w:val="FootnoteReference"/>
        </w:rPr>
        <w:footnoteReference w:id="38"/>
      </w:r>
    </w:p>
    <w:p w14:paraId="712BA479" w14:textId="77777777" w:rsidR="00E4005C" w:rsidRDefault="00E4005C">
      <w:pPr>
        <w:spacing w:after="160" w:line="259" w:lineRule="auto"/>
        <w:rPr>
          <w:rFonts w:cs="Arial"/>
        </w:rPr>
      </w:pPr>
      <w:r>
        <w:br w:type="page"/>
      </w:r>
    </w:p>
    <w:p w14:paraId="382424D5" w14:textId="045A55C8" w:rsidR="00A462E3" w:rsidRDefault="00A462E3" w:rsidP="00B10F66">
      <w:pPr>
        <w:pStyle w:val="Numberedparagraph"/>
      </w:pPr>
      <w:r>
        <w:lastRenderedPageBreak/>
        <w:t>The Bill includes a circumstance of non-consent in proposed s 348AA(1) as follows:</w:t>
      </w:r>
    </w:p>
    <w:p w14:paraId="23A988E5" w14:textId="73BA466F" w:rsidR="00A462E3" w:rsidRDefault="00A462E3" w:rsidP="002F4C6F">
      <w:pPr>
        <w:pStyle w:val="Quote"/>
        <w:ind w:left="1069"/>
      </w:pPr>
      <w:r>
        <w:t>(l) the person is a sex worker and participates in the act because of a false or fraudulent representation that the person will be paid or receive some reward for the act.</w:t>
      </w:r>
    </w:p>
    <w:p w14:paraId="15FBFA45" w14:textId="557F2D6B" w:rsidR="004A6ACA" w:rsidRDefault="004A6ACA" w:rsidP="00B10F66">
      <w:pPr>
        <w:pStyle w:val="Numberedparagraph"/>
      </w:pPr>
      <w:r>
        <w:t xml:space="preserve">If non-payment of sex workers were to be categorised as fraudulent inducement for the purposes of consent, it would mark a significant change in Queensland’s consent laws. Such a change would implicate an individual’s rights in criminal proceedings, necessitating careful consideration of </w:t>
      </w:r>
      <w:r w:rsidR="00D76770">
        <w:t>its</w:t>
      </w:r>
      <w:r>
        <w:t xml:space="preserve"> potential impact on the presumption of innocence.</w:t>
      </w:r>
      <w:r>
        <w:rPr>
          <w:rStyle w:val="FootnoteReference"/>
        </w:rPr>
        <w:footnoteReference w:id="39"/>
      </w:r>
    </w:p>
    <w:p w14:paraId="58716C1F" w14:textId="2EBFE6BB" w:rsidR="00EC7E9E" w:rsidRDefault="00EC7E9E" w:rsidP="00B10F66">
      <w:pPr>
        <w:pStyle w:val="Numberedparagraph"/>
      </w:pPr>
      <w:r>
        <w:t xml:space="preserve">In </w:t>
      </w:r>
      <w:r>
        <w:rPr>
          <w:i/>
          <w:iCs/>
        </w:rPr>
        <w:t xml:space="preserve">A decriminalised sex work industry for Queensland </w:t>
      </w:r>
      <w:r>
        <w:t xml:space="preserve">the QLRC examined fraudulent promises to pay in the context of sex work. The QLRC considered competing </w:t>
      </w:r>
      <w:r w:rsidR="00F76BBC">
        <w:t>considerations as</w:t>
      </w:r>
      <w:r>
        <w:t xml:space="preserve"> to whether Queensland’s consent law</w:t>
      </w:r>
      <w:r w:rsidR="00AF324A">
        <w:t>s</w:t>
      </w:r>
      <w:r>
        <w:t xml:space="preserve"> should be amended to include fraudulent promises to pay</w:t>
      </w:r>
      <w:r w:rsidR="0027418E">
        <w:t>, and</w:t>
      </w:r>
      <w:r>
        <w:t xml:space="preserve"> </w:t>
      </w:r>
      <w:r w:rsidR="00805013">
        <w:t>u</w:t>
      </w:r>
      <w:r>
        <w:t>ltimately concluded that s 348 should not be amended to specifically include fraudulent promises to pay sex workers. The existing laws, in conjunction with the proposed framework for decriminalising sex work</w:t>
      </w:r>
      <w:r w:rsidR="00805013">
        <w:t>,</w:t>
      </w:r>
      <w:r>
        <w:t xml:space="preserve"> were considered to provide appropriate protections to sex workers.</w:t>
      </w:r>
      <w:r>
        <w:rPr>
          <w:rStyle w:val="FootnoteReference"/>
        </w:rPr>
        <w:footnoteReference w:id="40"/>
      </w:r>
    </w:p>
    <w:p w14:paraId="2112B12D" w14:textId="4A094171" w:rsidR="00A462E3" w:rsidRDefault="00EC7E9E" w:rsidP="00B10F66">
      <w:pPr>
        <w:pStyle w:val="Numberedparagraph"/>
      </w:pPr>
      <w:r>
        <w:t>The QLRC did recommend the introduction of a ‘coercion’ offence, which would (amongst other actions) criminalise inducing a person through false representation, pretence, or other forms of fraud, to provide or continue to provide commercial sexual services.</w:t>
      </w:r>
      <w:r w:rsidRPr="00EC7E9E">
        <w:rPr>
          <w:rStyle w:val="FootnoteReference"/>
        </w:rPr>
        <w:t xml:space="preserve"> </w:t>
      </w:r>
      <w:r>
        <w:rPr>
          <w:rStyle w:val="FootnoteReference"/>
        </w:rPr>
        <w:footnoteReference w:id="41"/>
      </w:r>
      <w:r>
        <w:t xml:space="preserve"> </w:t>
      </w:r>
    </w:p>
    <w:p w14:paraId="58567047" w14:textId="20C6A4FD" w:rsidR="00EC7E9E" w:rsidRDefault="00A462E3" w:rsidP="00B10F66">
      <w:pPr>
        <w:pStyle w:val="Numberedparagraph"/>
      </w:pPr>
      <w:r>
        <w:t xml:space="preserve">The </w:t>
      </w:r>
      <w:r w:rsidR="00182DFF">
        <w:t>QHRC</w:t>
      </w:r>
      <w:r w:rsidR="00EC7E9E">
        <w:t xml:space="preserve"> recommends t</w:t>
      </w:r>
      <w:r>
        <w:t>hat the Committee seek further information from the government to explain the departure from the recommendations of the QLRC, and why they have failed to move forward with a</w:t>
      </w:r>
      <w:r w:rsidR="00EC7E9E">
        <w:t xml:space="preserve"> coercion offence, as opposed to extending the scope of fraudulent inducement</w:t>
      </w:r>
      <w:r w:rsidR="00D76770">
        <w:t xml:space="preserve"> as </w:t>
      </w:r>
      <w:r w:rsidR="00EF0368">
        <w:t>reflected</w:t>
      </w:r>
      <w:r w:rsidR="00D76770">
        <w:t xml:space="preserve"> in the Bill</w:t>
      </w:r>
      <w:r w:rsidR="00EC7E9E">
        <w:t xml:space="preserve">. </w:t>
      </w:r>
    </w:p>
    <w:p w14:paraId="2A2DB40A" w14:textId="79FD74C8" w:rsidR="002B597F" w:rsidRPr="002B597F" w:rsidRDefault="002B597F" w:rsidP="00320F41">
      <w:pPr>
        <w:pStyle w:val="Heading3"/>
      </w:pPr>
      <w:bookmarkStart w:id="24" w:name="_Toc149202281"/>
      <w:r>
        <w:t xml:space="preserve">Should fraudulent inducement extend to representations made </w:t>
      </w:r>
      <w:r w:rsidR="003B6CF8">
        <w:t xml:space="preserve">about </w:t>
      </w:r>
      <w:r>
        <w:t xml:space="preserve">serious </w:t>
      </w:r>
      <w:r w:rsidR="00A462E3">
        <w:t>disease</w:t>
      </w:r>
      <w:r w:rsidR="008C47AA">
        <w:t>?</w:t>
      </w:r>
      <w:bookmarkEnd w:id="24"/>
    </w:p>
    <w:p w14:paraId="37DA6670" w14:textId="0DBF2F09" w:rsidR="00DE60CF" w:rsidRDefault="000F1C64" w:rsidP="00B10F66">
      <w:pPr>
        <w:pStyle w:val="Numberedparagraph"/>
      </w:pPr>
      <w:r>
        <w:t>The Bill extends the</w:t>
      </w:r>
      <w:r w:rsidR="00E33507">
        <w:t xml:space="preserve"> </w:t>
      </w:r>
      <w:r w:rsidR="002D348F">
        <w:t>circumstances</w:t>
      </w:r>
      <w:r w:rsidR="000E7005">
        <w:t xml:space="preserve"> in which </w:t>
      </w:r>
      <w:r w:rsidR="009C1AF7">
        <w:t>there is no</w:t>
      </w:r>
      <w:r w:rsidR="000E7005">
        <w:t xml:space="preserve"> consent to a sexual act to</w:t>
      </w:r>
      <w:r w:rsidR="003434FF">
        <w:t xml:space="preserve"> include situations </w:t>
      </w:r>
      <w:r w:rsidR="00DE60CF" w:rsidRPr="003434FF">
        <w:t>where a person has expressly and fraudulently told their sexual partner they did not have a</w:t>
      </w:r>
      <w:r w:rsidR="00130D84">
        <w:t xml:space="preserve"> serious</w:t>
      </w:r>
      <w:r w:rsidR="00DE60CF" w:rsidRPr="003434FF">
        <w:t xml:space="preserve"> sexually transmitted disease</w:t>
      </w:r>
      <w:r w:rsidR="003434FF">
        <w:t xml:space="preserve"> (STD)</w:t>
      </w:r>
      <w:r w:rsidR="00DE60CF" w:rsidRPr="003434FF">
        <w:t xml:space="preserve"> or </w:t>
      </w:r>
      <w:r w:rsidR="003434FF">
        <w:t xml:space="preserve">sexually transmitted </w:t>
      </w:r>
      <w:r w:rsidR="00DE60CF" w:rsidRPr="003434FF">
        <w:t>infection</w:t>
      </w:r>
      <w:r w:rsidR="003434FF">
        <w:t xml:space="preserve"> (STI)</w:t>
      </w:r>
      <w:r w:rsidR="00DE60CF" w:rsidRPr="003434FF">
        <w:t>, knowing this to be untrue</w:t>
      </w:r>
      <w:r w:rsidR="00A462E3">
        <w:t xml:space="preserve">, and where a transmission of the </w:t>
      </w:r>
      <w:r w:rsidR="0098297B">
        <w:t>disease has occurred</w:t>
      </w:r>
      <w:r w:rsidR="00DE60CF" w:rsidRPr="003434FF">
        <w:t>.</w:t>
      </w:r>
      <w:r w:rsidR="002D348F">
        <w:rPr>
          <w:rStyle w:val="FootnoteReference"/>
        </w:rPr>
        <w:footnoteReference w:id="42"/>
      </w:r>
      <w:r w:rsidR="00DE60CF" w:rsidRPr="003434FF">
        <w:t xml:space="preserve"> </w:t>
      </w:r>
    </w:p>
    <w:p w14:paraId="75966665" w14:textId="7FB43488" w:rsidR="00DD6881" w:rsidRDefault="00DD6881" w:rsidP="00B10F66">
      <w:pPr>
        <w:pStyle w:val="Numberedparagraph"/>
      </w:pPr>
      <w:r>
        <w:lastRenderedPageBreak/>
        <w:t>The Explanatory Notes to the Bill indicate that the provision intends to address a situation where a person participates in an act because they were misled about their partner having a serious disease. While HIV and STI</w:t>
      </w:r>
      <w:r w:rsidR="00304CEC">
        <w:t>s</w:t>
      </w:r>
      <w:r>
        <w:t xml:space="preserve"> are primarily public health issues, the Explanatory Notes indicate that lack of information about the risk of obtaining a serious sexually transmitted disease ‘strikes at the heart’ of a person’s right to make a free an informed decision about whether to participate in the sexual act. The Explanatory Notes make no mention of diseases other than sexually transmitted disease</w:t>
      </w:r>
      <w:r w:rsidR="000E7005">
        <w:t>s including HIV.</w:t>
      </w:r>
      <w:r w:rsidR="009C1AF7">
        <w:rPr>
          <w:rStyle w:val="FootnoteReference"/>
        </w:rPr>
        <w:footnoteReference w:id="43"/>
      </w:r>
    </w:p>
    <w:p w14:paraId="774FE91E" w14:textId="7AD1F34C" w:rsidR="003434FF" w:rsidRDefault="003434FF" w:rsidP="00B10F66">
      <w:pPr>
        <w:pStyle w:val="Numberedparagraph"/>
      </w:pPr>
      <w:r>
        <w:t xml:space="preserve">In the context of sexual relationships, when one person </w:t>
      </w:r>
      <w:r w:rsidR="0098297B">
        <w:t xml:space="preserve">enquires </w:t>
      </w:r>
      <w:r>
        <w:t xml:space="preserve">about their potential partner’s STD or STI status before engaging in sexual activity, they have a right to receive truthful information. The consent they subsequently provide is likely </w:t>
      </w:r>
      <w:r w:rsidR="00E664FC">
        <w:t xml:space="preserve">to be </w:t>
      </w:r>
      <w:r>
        <w:t>based on the</w:t>
      </w:r>
      <w:r w:rsidR="00F114E6">
        <w:t xml:space="preserve"> accepted</w:t>
      </w:r>
      <w:r>
        <w:t xml:space="preserve"> veracity of that response. If the person deliberately gives false information, this undermines the</w:t>
      </w:r>
      <w:r w:rsidR="00F76BBC">
        <w:t xml:space="preserve"> other</w:t>
      </w:r>
      <w:r>
        <w:t xml:space="preserve"> p</w:t>
      </w:r>
      <w:r w:rsidR="00F76BBC">
        <w:t>erson</w:t>
      </w:r>
      <w:r w:rsidR="00182DFF">
        <w:t>’</w:t>
      </w:r>
      <w:r w:rsidR="00F76BBC">
        <w:t>s</w:t>
      </w:r>
      <w:r>
        <w:t xml:space="preserve"> right to make an informed decision</w:t>
      </w:r>
      <w:r w:rsidR="00130D84">
        <w:t xml:space="preserve"> and consent could not be seen as being given freely and voluntarily. Consequently, this undermines their right to life, privacy</w:t>
      </w:r>
      <w:r w:rsidR="00F54886">
        <w:t>,</w:t>
      </w:r>
      <w:r w:rsidR="00130D84">
        <w:t xml:space="preserve"> and protection from torture, cruel, inhuman or degrading treatment.</w:t>
      </w:r>
    </w:p>
    <w:p w14:paraId="14E89F1A" w14:textId="0EDF5321" w:rsidR="00130D84" w:rsidRDefault="00192131" w:rsidP="00B10F66">
      <w:pPr>
        <w:pStyle w:val="Numberedparagraph"/>
      </w:pPr>
      <w:r>
        <w:t>At the same time</w:t>
      </w:r>
      <w:r w:rsidR="004A4DD9">
        <w:t>,</w:t>
      </w:r>
      <w:r w:rsidR="00130D84">
        <w:t xml:space="preserve"> </w:t>
      </w:r>
      <w:r w:rsidR="000F57C9">
        <w:t xml:space="preserve">consideration should also be given to </w:t>
      </w:r>
      <w:r w:rsidR="00947106">
        <w:t xml:space="preserve">the </w:t>
      </w:r>
      <w:r w:rsidR="000F57C9">
        <w:t xml:space="preserve">effect </w:t>
      </w:r>
      <w:r w:rsidR="00130D84">
        <w:t xml:space="preserve">of such measures on the right to privacy and right to equality </w:t>
      </w:r>
      <w:r w:rsidR="00552B7A">
        <w:t xml:space="preserve">of </w:t>
      </w:r>
      <w:r w:rsidR="00130D84">
        <w:t xml:space="preserve">people living with </w:t>
      </w:r>
      <w:r w:rsidR="0098297B">
        <w:t>HIV and other diseases</w:t>
      </w:r>
      <w:r w:rsidR="006E3538">
        <w:t>,</w:t>
      </w:r>
      <w:r w:rsidR="00130D84">
        <w:t xml:space="preserve"> </w:t>
      </w:r>
      <w:r w:rsidR="006E3538">
        <w:t>and</w:t>
      </w:r>
      <w:r w:rsidR="00130D84">
        <w:t xml:space="preserve"> may contribute to further marginalisation of people living with these conditions. </w:t>
      </w:r>
      <w:r w:rsidR="005A6803">
        <w:t>T</w:t>
      </w:r>
      <w:r w:rsidR="00130D84">
        <w:t>h</w:t>
      </w:r>
      <w:r w:rsidR="003C57B8">
        <w:t>e</w:t>
      </w:r>
      <w:r w:rsidR="00130D84">
        <w:t xml:space="preserve"> </w:t>
      </w:r>
      <w:r w:rsidR="005A6803">
        <w:t>prop</w:t>
      </w:r>
      <w:r w:rsidR="00A14786">
        <w:t xml:space="preserve">osed </w:t>
      </w:r>
      <w:r w:rsidR="00130D84">
        <w:t>amendment</w:t>
      </w:r>
      <w:r w:rsidR="00A14786">
        <w:t>, however,</w:t>
      </w:r>
      <w:r w:rsidR="00130D84">
        <w:t xml:space="preserve"> does not impos</w:t>
      </w:r>
      <w:r w:rsidR="00A14786">
        <w:t>e</w:t>
      </w:r>
      <w:r w:rsidR="00130D84">
        <w:t xml:space="preserve"> a positive obligation on individuals to disclose this information.  If a person is asked the question specifically by a potential sexual partner, and they do not want to disclose this information, they </w:t>
      </w:r>
      <w:r w:rsidR="00182DFF">
        <w:t>could elect to discontinue the</w:t>
      </w:r>
      <w:r w:rsidR="00130D84">
        <w:t xml:space="preserve"> sexual encounter. </w:t>
      </w:r>
    </w:p>
    <w:p w14:paraId="0A4D8A5C" w14:textId="05339516" w:rsidR="00151FAF" w:rsidRDefault="00130D84" w:rsidP="00B10F66">
      <w:pPr>
        <w:pStyle w:val="Numberedparagraph"/>
      </w:pPr>
      <w:r>
        <w:t xml:space="preserve">When the rights of both people are balanced, extending fraudulent misrepresentation could be seen as a reasonable limitation on the rights of people with </w:t>
      </w:r>
      <w:r w:rsidR="00151FAF">
        <w:t>particular diseases</w:t>
      </w:r>
      <w:r>
        <w:t>. Nevertheless, the reasonableness of this limitation largely hinges on the definition of what constitutes a ‘serious’ disease</w:t>
      </w:r>
      <w:r w:rsidR="00D35566">
        <w:t xml:space="preserve">. </w:t>
      </w:r>
    </w:p>
    <w:p w14:paraId="11B587D9" w14:textId="767624A0" w:rsidR="00754B78" w:rsidRPr="00E86D68" w:rsidRDefault="00151FAF" w:rsidP="00B10F66">
      <w:pPr>
        <w:pStyle w:val="Numberedparagraph"/>
      </w:pPr>
      <w:r w:rsidRPr="00E86D68">
        <w:t xml:space="preserve">The QHRC does not consider that the ‘serious disease’ definition in the </w:t>
      </w:r>
      <w:r w:rsidRPr="00D20CF2">
        <w:rPr>
          <w:i/>
          <w:iCs/>
        </w:rPr>
        <w:t>Criminal Code</w:t>
      </w:r>
      <w:r w:rsidRPr="00E86D68">
        <w:t xml:space="preserve"> provides sufficient clarity</w:t>
      </w:r>
      <w:r w:rsidR="00A32812">
        <w:t xml:space="preserve"> and precision</w:t>
      </w:r>
      <w:r w:rsidRPr="00E86D68">
        <w:t>, and notes that it is not confined to sexually transmitted diseases.</w:t>
      </w:r>
      <w:r w:rsidR="005B0CD3" w:rsidRPr="00E86D68">
        <w:t xml:space="preserve"> </w:t>
      </w:r>
      <w:r w:rsidR="00B117D2" w:rsidRPr="00E86D68">
        <w:t xml:space="preserve">This may mean, for instance, that </w:t>
      </w:r>
      <w:r w:rsidR="00E230A6" w:rsidRPr="00E86D68">
        <w:t xml:space="preserve">misleading a sexual partner </w:t>
      </w:r>
      <w:r w:rsidR="009C603F" w:rsidRPr="00E86D68">
        <w:t xml:space="preserve">about </w:t>
      </w:r>
      <w:r w:rsidR="00E86008">
        <w:t xml:space="preserve">a </w:t>
      </w:r>
      <w:r w:rsidR="009C603F" w:rsidRPr="00E86D68">
        <w:t xml:space="preserve">COVID-19 positive status </w:t>
      </w:r>
      <w:r w:rsidR="00E230A6" w:rsidRPr="00E86D68">
        <w:t xml:space="preserve">and then </w:t>
      </w:r>
      <w:r w:rsidR="00B117D2" w:rsidRPr="00E86D68">
        <w:t xml:space="preserve">passing on COVID-19 </w:t>
      </w:r>
      <w:r w:rsidR="00E230A6" w:rsidRPr="00E86D68">
        <w:t>during sex</w:t>
      </w:r>
      <w:r w:rsidR="00B117D2" w:rsidRPr="00E86D68">
        <w:t xml:space="preserve"> may amount to a serious crime of rape or sexual assault, which does not appear to be a proportionate </w:t>
      </w:r>
      <w:r w:rsidR="00E86008">
        <w:t>outcome</w:t>
      </w:r>
      <w:r w:rsidR="00B117D2" w:rsidRPr="00E86D68">
        <w:t xml:space="preserve">. </w:t>
      </w:r>
    </w:p>
    <w:p w14:paraId="2730044B" w14:textId="3CB75C63" w:rsidR="00B117D2" w:rsidRPr="00E86D68" w:rsidRDefault="00754B78" w:rsidP="00B10F66">
      <w:pPr>
        <w:pStyle w:val="Numberedparagraph"/>
      </w:pPr>
      <w:r w:rsidRPr="00E86D68">
        <w:t xml:space="preserve">The QHRC considers </w:t>
      </w:r>
      <w:r w:rsidR="007C14C7">
        <w:t xml:space="preserve">that, </w:t>
      </w:r>
      <w:r w:rsidRPr="00E86D68">
        <w:t xml:space="preserve">in balancing the potential limitation on the right to liberty of an accused person with the right to freely consent to a sexual act </w:t>
      </w:r>
      <w:r w:rsidR="0004304F" w:rsidRPr="00E86D68">
        <w:t>for</w:t>
      </w:r>
      <w:r w:rsidRPr="00E86D68">
        <w:t xml:space="preserve"> a potential </w:t>
      </w:r>
      <w:r w:rsidR="00AB173A" w:rsidRPr="00E86D68">
        <w:t>victim, this</w:t>
      </w:r>
      <w:r w:rsidRPr="00E86D68">
        <w:t xml:space="preserve"> definition should be appropriately confined to address the issue at hand – the transmission of serious, sexually transmitted diseases only.</w:t>
      </w:r>
    </w:p>
    <w:p w14:paraId="5B4B2F80" w14:textId="674017A7" w:rsidR="00131247" w:rsidRDefault="002435B4" w:rsidP="00177EE0">
      <w:pPr>
        <w:pStyle w:val="Heading2"/>
      </w:pPr>
      <w:bookmarkStart w:id="25" w:name="_Toc149202282"/>
      <w:r>
        <w:lastRenderedPageBreak/>
        <w:t>Giving</w:t>
      </w:r>
      <w:r w:rsidR="0078531C">
        <w:t xml:space="preserve"> evidence</w:t>
      </w:r>
      <w:r w:rsidR="003C68C8">
        <w:t xml:space="preserve"> in sexual offence trials</w:t>
      </w:r>
      <w:bookmarkEnd w:id="25"/>
    </w:p>
    <w:p w14:paraId="6A01812C" w14:textId="4FA57907" w:rsidR="00131247" w:rsidRDefault="00131247" w:rsidP="00B10F66">
      <w:pPr>
        <w:pStyle w:val="Numberedparagraph"/>
      </w:pPr>
      <w:r>
        <w:t>The QHRC supports</w:t>
      </w:r>
      <w:r w:rsidR="00472DEC">
        <w:t xml:space="preserve"> </w:t>
      </w:r>
      <w:r w:rsidR="00DE4804">
        <w:t xml:space="preserve">proposed </w:t>
      </w:r>
      <w:r>
        <w:t xml:space="preserve">changes to the hearing process to </w:t>
      </w:r>
      <w:r w:rsidR="0078531C">
        <w:t>alleviate</w:t>
      </w:r>
      <w:r>
        <w:t xml:space="preserve"> the trauma</w:t>
      </w:r>
      <w:r w:rsidR="003C68C8">
        <w:t xml:space="preserve"> and humiliation that</w:t>
      </w:r>
      <w:r>
        <w:t xml:space="preserve"> victims of sexual crimes </w:t>
      </w:r>
      <w:r w:rsidR="00986FBE">
        <w:t xml:space="preserve">may </w:t>
      </w:r>
      <w:r w:rsidR="003C68C8">
        <w:t xml:space="preserve">experience </w:t>
      </w:r>
      <w:r>
        <w:t>during the trial process</w:t>
      </w:r>
      <w:r w:rsidR="003C68C8">
        <w:t>.</w:t>
      </w:r>
      <w:r w:rsidR="0078531C">
        <w:t xml:space="preserve"> </w:t>
      </w:r>
      <w:r w:rsidR="00177EE0">
        <w:t>The</w:t>
      </w:r>
      <w:r>
        <w:t xml:space="preserve"> Bill </w:t>
      </w:r>
      <w:r w:rsidR="00177EE0">
        <w:t>expands</w:t>
      </w:r>
      <w:r>
        <w:t xml:space="preserve"> </w:t>
      </w:r>
      <w:r w:rsidR="003C68C8">
        <w:t xml:space="preserve">the </w:t>
      </w:r>
      <w:r>
        <w:t xml:space="preserve">duties </w:t>
      </w:r>
      <w:r w:rsidR="003C68C8">
        <w:t>of</w:t>
      </w:r>
      <w:r>
        <w:t xml:space="preserve"> the court to disallow improper questions</w:t>
      </w:r>
      <w:r w:rsidR="00177EE0">
        <w:t xml:space="preserve"> and</w:t>
      </w:r>
      <w:r w:rsidR="003C68C8">
        <w:t xml:space="preserve"> </w:t>
      </w:r>
      <w:r w:rsidR="004923DC">
        <w:t xml:space="preserve">irrelevant </w:t>
      </w:r>
      <w:r w:rsidR="003C68C8">
        <w:t>questions and cross-examination on the complainant’s sexual reputation and history.</w:t>
      </w:r>
      <w:r w:rsidR="00EE45BA">
        <w:rPr>
          <w:rStyle w:val="FootnoteReference"/>
        </w:rPr>
        <w:footnoteReference w:id="44"/>
      </w:r>
      <w:r w:rsidR="003C68C8">
        <w:t xml:space="preserve"> The Bill further seeks to safeguard the privacy and</w:t>
      </w:r>
      <w:r w:rsidR="00A56534">
        <w:t xml:space="preserve"> reputation of victims by the</w:t>
      </w:r>
      <w:r>
        <w:t xml:space="preserve"> exclusion of the public from hearings </w:t>
      </w:r>
      <w:r w:rsidR="003C68C8">
        <w:t>when a complainant is giving evidence.</w:t>
      </w:r>
      <w:r w:rsidR="00472DEC">
        <w:rPr>
          <w:rStyle w:val="FootnoteReference"/>
        </w:rPr>
        <w:footnoteReference w:id="45"/>
      </w:r>
    </w:p>
    <w:p w14:paraId="67DE4A11" w14:textId="6E3A3E04" w:rsidR="00EE45BA" w:rsidRDefault="00EE45BA" w:rsidP="00B10F66">
      <w:pPr>
        <w:pStyle w:val="Numberedparagraph"/>
      </w:pPr>
      <w:r>
        <w:t xml:space="preserve">These reforms follow concerns by stakeholders that a victim’s sexual history can be ‘fair game’ during cross-examination, and reports </w:t>
      </w:r>
      <w:r w:rsidR="00472DEC">
        <w:t>that some</w:t>
      </w:r>
      <w:r>
        <w:t xml:space="preserve"> victims experienc</w:t>
      </w:r>
      <w:r w:rsidR="00045AC7">
        <w:t>e</w:t>
      </w:r>
      <w:r>
        <w:t xml:space="preserve"> ‘badgering’ and ‘intimidation.’ </w:t>
      </w:r>
      <w:r w:rsidR="00091A0F">
        <w:t>I</w:t>
      </w:r>
      <w:r>
        <w:t>n recommending these reforms</w:t>
      </w:r>
      <w:r w:rsidR="00091A0F">
        <w:t>, the Taskforce</w:t>
      </w:r>
      <w:r>
        <w:t xml:space="preserve"> aimed to improve the experience of victims in court</w:t>
      </w:r>
      <w:r w:rsidR="00472DEC">
        <w:t xml:space="preserve"> and </w:t>
      </w:r>
      <w:r>
        <w:t xml:space="preserve">ensure that juries </w:t>
      </w:r>
      <w:r w:rsidR="00472DEC">
        <w:t>only</w:t>
      </w:r>
      <w:r>
        <w:t xml:space="preserve"> hear </w:t>
      </w:r>
      <w:r w:rsidR="00472DEC">
        <w:t>relevant evidence.</w:t>
      </w:r>
      <w:r w:rsidR="00472DEC">
        <w:rPr>
          <w:rStyle w:val="FootnoteReference"/>
        </w:rPr>
        <w:footnoteReference w:id="46"/>
      </w:r>
      <w:r w:rsidR="00472DEC">
        <w:t xml:space="preserve"> </w:t>
      </w:r>
    </w:p>
    <w:p w14:paraId="5F553A12" w14:textId="05A13707" w:rsidR="00606C6A" w:rsidRDefault="00F93728" w:rsidP="00B10F66">
      <w:pPr>
        <w:pStyle w:val="Numberedparagraph"/>
      </w:pPr>
      <w:r>
        <w:t>Amending</w:t>
      </w:r>
      <w:r w:rsidR="00606C6A">
        <w:t xml:space="preserve"> the </w:t>
      </w:r>
      <w:r>
        <w:t>law</w:t>
      </w:r>
      <w:r w:rsidR="00606C6A">
        <w:t xml:space="preserve"> </w:t>
      </w:r>
      <w:r>
        <w:t>will</w:t>
      </w:r>
      <w:r w:rsidR="00606C6A">
        <w:t xml:space="preserve"> limit the rights of defendants to a fair hearing, and more specifically the right to examine, or have examined, witnesses against the person. However, the right in s 32(2</w:t>
      </w:r>
      <w:r w:rsidR="00DA2423">
        <w:t>)</w:t>
      </w:r>
      <w:r w:rsidR="00606C6A">
        <w:t xml:space="preserve">(g) of the </w:t>
      </w:r>
      <w:r w:rsidR="007B6E29">
        <w:t xml:space="preserve">HR </w:t>
      </w:r>
      <w:r w:rsidR="00606C6A">
        <w:t xml:space="preserve">Act is expressed in general </w:t>
      </w:r>
      <w:r w:rsidR="007B6E29">
        <w:t>terms</w:t>
      </w:r>
      <w:r w:rsidR="00606C6A">
        <w:t xml:space="preserve"> and does not indicate an intention </w:t>
      </w:r>
      <w:r w:rsidR="007B6E29">
        <w:t>that</w:t>
      </w:r>
      <w:r w:rsidR="00606C6A">
        <w:t xml:space="preserve"> cross-examination be unlimited in its nature and scope. </w:t>
      </w:r>
    </w:p>
    <w:p w14:paraId="7C46CCBC" w14:textId="1074D627" w:rsidR="008A506A" w:rsidRDefault="00A56534" w:rsidP="00B10F66">
      <w:pPr>
        <w:pStyle w:val="Numberedparagraph"/>
      </w:pPr>
      <w:r>
        <w:t xml:space="preserve">Sexual crimes are </w:t>
      </w:r>
      <w:r w:rsidR="00DF1947">
        <w:t xml:space="preserve">seriously </w:t>
      </w:r>
      <w:r>
        <w:t>underreported</w:t>
      </w:r>
      <w:r w:rsidR="00A32761">
        <w:t>;</w:t>
      </w:r>
      <w:r w:rsidR="00981CA9">
        <w:rPr>
          <w:rStyle w:val="FootnoteReference"/>
        </w:rPr>
        <w:footnoteReference w:id="47"/>
      </w:r>
      <w:r>
        <w:t xml:space="preserve"> </w:t>
      </w:r>
      <w:r w:rsidR="002C1545">
        <w:t xml:space="preserve">few </w:t>
      </w:r>
      <w:r w:rsidR="00606C6A">
        <w:t>alleged offenders</w:t>
      </w:r>
      <w:r w:rsidR="002C1545">
        <w:t xml:space="preserve"> are charged</w:t>
      </w:r>
      <w:r>
        <w:t>,</w:t>
      </w:r>
      <w:r w:rsidR="00981CA9">
        <w:rPr>
          <w:rStyle w:val="FootnoteReference"/>
        </w:rPr>
        <w:footnoteReference w:id="48"/>
      </w:r>
      <w:r>
        <w:t xml:space="preserve"> and </w:t>
      </w:r>
      <w:r w:rsidR="002C1545">
        <w:t xml:space="preserve">even </w:t>
      </w:r>
      <w:r>
        <w:t>few</w:t>
      </w:r>
      <w:r w:rsidR="002C1545">
        <w:t>er</w:t>
      </w:r>
      <w:r>
        <w:t xml:space="preserve"> matters result in a conviction.</w:t>
      </w:r>
      <w:r w:rsidR="00981CA9">
        <w:rPr>
          <w:rStyle w:val="FootnoteReference"/>
        </w:rPr>
        <w:footnoteReference w:id="49"/>
      </w:r>
      <w:r>
        <w:t xml:space="preserve"> </w:t>
      </w:r>
      <w:r w:rsidR="00606C6A">
        <w:t>The manner in which cross-examination can be used by defendant</w:t>
      </w:r>
      <w:r w:rsidR="00186A51">
        <w:t>s</w:t>
      </w:r>
      <w:r w:rsidR="00606C6A">
        <w:t xml:space="preserve"> to dissect the private lives of victims of sexual offences has received increasing </w:t>
      </w:r>
      <w:r w:rsidR="001A7CE5">
        <w:t xml:space="preserve">media </w:t>
      </w:r>
      <w:r w:rsidR="00606C6A">
        <w:t>attention in recent years</w:t>
      </w:r>
      <w:r w:rsidR="00F83928">
        <w:t>,</w:t>
      </w:r>
      <w:r w:rsidR="00606C6A">
        <w:t xml:space="preserve"> and may deter victims of crime </w:t>
      </w:r>
      <w:r w:rsidR="00005264">
        <w:t xml:space="preserve">from </w:t>
      </w:r>
      <w:r w:rsidR="00606C6A">
        <w:t xml:space="preserve">pursuing justice, reducing community safety as a result. </w:t>
      </w:r>
    </w:p>
    <w:p w14:paraId="20687762" w14:textId="6D6810FF" w:rsidR="00606C6A" w:rsidRDefault="00606C6A" w:rsidP="00B10F66">
      <w:pPr>
        <w:pStyle w:val="Numberedparagraph"/>
      </w:pPr>
      <w:r>
        <w:t xml:space="preserve">Reforms to ensure that questions and cross-examination </w:t>
      </w:r>
      <w:r w:rsidR="00910090">
        <w:t xml:space="preserve">involving highly sensitive information regarding the </w:t>
      </w:r>
      <w:r w:rsidR="00764440">
        <w:t xml:space="preserve">victim’s </w:t>
      </w:r>
      <w:r w:rsidR="00910090">
        <w:t xml:space="preserve">sexual history </w:t>
      </w:r>
      <w:r>
        <w:t>are limited to</w:t>
      </w:r>
      <w:r w:rsidR="00910090">
        <w:t xml:space="preserve"> </w:t>
      </w:r>
      <w:r>
        <w:t xml:space="preserve">where </w:t>
      </w:r>
      <w:r>
        <w:lastRenderedPageBreak/>
        <w:t xml:space="preserve">they are of probative value </w:t>
      </w:r>
      <w:r w:rsidR="009503C8">
        <w:t xml:space="preserve">will help to </w:t>
      </w:r>
      <w:r>
        <w:t>protect and preserve the rights of victims to privacy and reputation.</w:t>
      </w:r>
      <w:r>
        <w:rPr>
          <w:rStyle w:val="FootnoteReference"/>
        </w:rPr>
        <w:footnoteReference w:id="50"/>
      </w:r>
    </w:p>
    <w:p w14:paraId="54ECAA28" w14:textId="058299F9" w:rsidR="00131247" w:rsidRDefault="003C68C8" w:rsidP="00B10F66">
      <w:pPr>
        <w:pStyle w:val="Numberedparagraph"/>
      </w:pPr>
      <w:r>
        <w:t xml:space="preserve">Beyond reducing the distress and embarrassment of individual victims of crime, the QHRC considers that the amendments </w:t>
      </w:r>
      <w:r w:rsidR="00A56534">
        <w:t xml:space="preserve">may have a broader </w:t>
      </w:r>
      <w:r w:rsidR="00107512">
        <w:t xml:space="preserve">positive </w:t>
      </w:r>
      <w:r w:rsidR="00A56534">
        <w:t xml:space="preserve">societal effect </w:t>
      </w:r>
      <w:r w:rsidR="00107512">
        <w:t>in</w:t>
      </w:r>
      <w:r w:rsidR="00A56534">
        <w:t xml:space="preserve"> encouraging victims of crime to come forward and </w:t>
      </w:r>
      <w:r w:rsidR="00183027">
        <w:t xml:space="preserve">may </w:t>
      </w:r>
      <w:r w:rsidR="00A56534">
        <w:t xml:space="preserve">increase the successful prosecution rate of these crimes. </w:t>
      </w:r>
      <w:r w:rsidR="00472DEC" w:rsidRPr="00472DEC">
        <w:t xml:space="preserve">The QHRC considers that the </w:t>
      </w:r>
      <w:r w:rsidR="00DF792F">
        <w:t xml:space="preserve">proposed </w:t>
      </w:r>
      <w:r w:rsidR="00472DEC" w:rsidRPr="00472DEC">
        <w:t>changes to complainant evidence in sexual offence trials are reasonable and balanced.</w:t>
      </w:r>
    </w:p>
    <w:p w14:paraId="5DBFEC17" w14:textId="49DBE52D" w:rsidR="00C8623B" w:rsidRDefault="00C8623B" w:rsidP="00C8623B">
      <w:pPr>
        <w:pStyle w:val="Heading1"/>
        <w:spacing w:line="276" w:lineRule="auto"/>
      </w:pPr>
      <w:bookmarkStart w:id="26" w:name="_Toc149202283"/>
      <w:r>
        <w:t>Conclusion</w:t>
      </w:r>
      <w:bookmarkEnd w:id="26"/>
      <w:r>
        <w:t xml:space="preserve"> </w:t>
      </w:r>
    </w:p>
    <w:p w14:paraId="6B0B478B" w14:textId="261B5999" w:rsidR="00B07A5E" w:rsidRDefault="00B07A5E" w:rsidP="00B10F66">
      <w:pPr>
        <w:pStyle w:val="Numberedparagraph"/>
      </w:pPr>
      <w:r w:rsidRPr="00B07A5E">
        <w:t>The Bill introduces substantial reforms to the criminal justice system and</w:t>
      </w:r>
      <w:r w:rsidR="00DF792F">
        <w:t>,</w:t>
      </w:r>
      <w:r w:rsidRPr="00B07A5E">
        <w:t xml:space="preserve"> on the whole, strike</w:t>
      </w:r>
      <w:r>
        <w:t>s</w:t>
      </w:r>
      <w:r w:rsidRPr="00B07A5E">
        <w:t xml:space="preserve"> a careful balance </w:t>
      </w:r>
      <w:r>
        <w:t>in addressing</w:t>
      </w:r>
      <w:r w:rsidRPr="00B07A5E">
        <w:t xml:space="preserve"> complex societal </w:t>
      </w:r>
      <w:r w:rsidR="000E21AA">
        <w:t>issue</w:t>
      </w:r>
      <w:r w:rsidR="00B672CA">
        <w:t>s</w:t>
      </w:r>
      <w:r w:rsidRPr="00B07A5E">
        <w:t>.</w:t>
      </w:r>
    </w:p>
    <w:p w14:paraId="54886A26" w14:textId="77E78755" w:rsidR="00CE357B" w:rsidRPr="00CE357B" w:rsidRDefault="00CE357B" w:rsidP="00B10F66">
      <w:pPr>
        <w:pStyle w:val="Numberedparagraph"/>
      </w:pPr>
      <w:r w:rsidRPr="00CE357B">
        <w:t xml:space="preserve">The QHRC </w:t>
      </w:r>
      <w:r w:rsidR="00B672CA">
        <w:t>observes</w:t>
      </w:r>
      <w:r w:rsidRPr="00CE357B">
        <w:t xml:space="preserve"> that there are limits to what the criminal law is practically and properly able to achieve in terms of changing social practices, and legislative amendment is only one means of addressing these issues. Consistent with its human rights obligations, the </w:t>
      </w:r>
      <w:r>
        <w:t>g</w:t>
      </w:r>
      <w:r w:rsidRPr="00CE357B">
        <w:t>overnment must continue to work with key stakeholders, including victims</w:t>
      </w:r>
      <w:r w:rsidR="00BE0DD1">
        <w:t>,</w:t>
      </w:r>
      <w:r w:rsidR="00584ED0">
        <w:t xml:space="preserve"> on non-legislative </w:t>
      </w:r>
      <w:r w:rsidR="00BE0DD1">
        <w:t xml:space="preserve">measures to address </w:t>
      </w:r>
      <w:r w:rsidR="007B050C">
        <w:t>these complex social issues</w:t>
      </w:r>
      <w:r w:rsidR="00BE0DD1">
        <w:t xml:space="preserve"> in the long term.</w:t>
      </w:r>
    </w:p>
    <w:p w14:paraId="3C815508" w14:textId="1EA51461" w:rsidR="00AC2FFF" w:rsidRPr="00CE357B" w:rsidRDefault="00C8623B" w:rsidP="00B10F66">
      <w:pPr>
        <w:pStyle w:val="Numberedparagraph"/>
      </w:pPr>
      <w:r w:rsidRPr="000E6120">
        <w:t xml:space="preserve">Thank you for the opportunity to </w:t>
      </w:r>
      <w:r w:rsidR="00B31C62">
        <w:t xml:space="preserve">comment on </w:t>
      </w:r>
      <w:r w:rsidR="00BE0DD1">
        <w:t>this Bill</w:t>
      </w:r>
      <w:r w:rsidR="00B31C62">
        <w:t>.</w:t>
      </w:r>
    </w:p>
    <w:sectPr w:rsidR="00AC2FFF" w:rsidRPr="00CE357B" w:rsidSect="00A82986">
      <w:headerReference w:type="default" r:id="rId14"/>
      <w:headerReference w:type="first" r:id="rId15"/>
      <w:footerReference w:type="first" r:id="rId16"/>
      <w:pgSz w:w="11900" w:h="16840" w:code="9"/>
      <w:pgMar w:top="1440" w:right="1701" w:bottom="1361"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AB85E" w14:textId="77777777" w:rsidR="001A5207" w:rsidRDefault="001A5207" w:rsidP="00C8623B">
      <w:pPr>
        <w:spacing w:after="0"/>
      </w:pPr>
      <w:r>
        <w:separator/>
      </w:r>
    </w:p>
  </w:endnote>
  <w:endnote w:type="continuationSeparator" w:id="0">
    <w:p w14:paraId="23B91C33" w14:textId="77777777" w:rsidR="001A5207" w:rsidRDefault="001A5207" w:rsidP="00C8623B">
      <w:pPr>
        <w:spacing w:after="0"/>
      </w:pPr>
      <w:r>
        <w:continuationSeparator/>
      </w:r>
    </w:p>
  </w:endnote>
  <w:endnote w:type="continuationNotice" w:id="1">
    <w:p w14:paraId="11196550" w14:textId="77777777" w:rsidR="001A5207" w:rsidRDefault="001A52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0A4E2" w14:textId="77777777" w:rsidR="00C8623B" w:rsidRPr="00260847" w:rsidRDefault="00C8623B" w:rsidP="00A82986">
    <w:pPr>
      <w:pStyle w:val="Footer"/>
      <w:jc w:val="right"/>
      <w:rPr>
        <w:rFonts w:cs="Arial"/>
        <w:color w:val="404040" w:themeColor="text1" w:themeTint="BF"/>
        <w:sz w:val="16"/>
        <w:szCs w:val="20"/>
      </w:rPr>
    </w:pPr>
    <w:r w:rsidRPr="00260847">
      <w:rPr>
        <w:rFonts w:cs="Arial"/>
        <w:noProof/>
        <w:sz w:val="20"/>
        <w:szCs w:val="20"/>
        <w:vertAlign w:val="subscript"/>
        <w:lang w:eastAsia="en-AU"/>
      </w:rPr>
      <w:drawing>
        <wp:inline distT="0" distB="0" distL="0" distR="0" wp14:anchorId="4CED826E" wp14:editId="4EB18E60">
          <wp:extent cx="5463606" cy="4802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bar - thin cmyk.png"/>
                  <pic:cNvPicPr/>
                </pic:nvPicPr>
                <pic:blipFill>
                  <a:blip r:embed="rId1">
                    <a:extLst>
                      <a:ext uri="{28A0092B-C50C-407E-A947-70E740481C1C}">
                        <a14:useLocalDpi xmlns:a14="http://schemas.microsoft.com/office/drawing/2010/main" val="0"/>
                      </a:ext>
                    </a:extLst>
                  </a:blip>
                  <a:stretch>
                    <a:fillRect/>
                  </a:stretch>
                </pic:blipFill>
                <pic:spPr>
                  <a:xfrm>
                    <a:off x="0" y="0"/>
                    <a:ext cx="17558567" cy="154346"/>
                  </a:xfrm>
                  <a:prstGeom prst="rect">
                    <a:avLst/>
                  </a:prstGeom>
                </pic:spPr>
              </pic:pic>
            </a:graphicData>
          </a:graphic>
        </wp:inline>
      </w:drawing>
    </w:r>
    <w:r w:rsidRPr="00260847">
      <w:rPr>
        <w:rFonts w:cs="Arial"/>
        <w:color w:val="404040" w:themeColor="text1" w:themeTint="BF"/>
        <w:sz w:val="16"/>
        <w:szCs w:val="20"/>
      </w:rPr>
      <w:t>Queensland Human Rights Commission | www.qhrc.qld.gov.au</w:t>
    </w:r>
    <w:r>
      <w:rPr>
        <w:rFonts w:cs="Arial"/>
        <w:color w:val="404040" w:themeColor="text1" w:themeTint="BF"/>
        <w:sz w:val="16"/>
        <w:szCs w:val="20"/>
      </w:rPr>
      <w:tab/>
    </w:r>
    <w:r w:rsidRPr="00260847">
      <w:rPr>
        <w:rFonts w:cs="Arial"/>
        <w:color w:val="404040" w:themeColor="text1" w:themeTint="BF"/>
        <w:sz w:val="16"/>
        <w:szCs w:val="20"/>
      </w:rPr>
      <w:tab/>
    </w:r>
    <w:r w:rsidRPr="00260847">
      <w:rPr>
        <w:rFonts w:cs="Arial"/>
        <w:color w:val="404040" w:themeColor="text1" w:themeTint="BF"/>
        <w:sz w:val="16"/>
        <w:szCs w:val="20"/>
      </w:rPr>
      <w:fldChar w:fldCharType="begin"/>
    </w:r>
    <w:r w:rsidRPr="00260847">
      <w:rPr>
        <w:rFonts w:cs="Arial"/>
        <w:color w:val="404040" w:themeColor="text1" w:themeTint="BF"/>
        <w:sz w:val="16"/>
        <w:szCs w:val="20"/>
      </w:rPr>
      <w:instrText xml:space="preserve"> PAGE   \* MERGEFORMAT </w:instrText>
    </w:r>
    <w:r w:rsidRPr="00260847">
      <w:rPr>
        <w:rFonts w:cs="Arial"/>
        <w:color w:val="404040" w:themeColor="text1" w:themeTint="BF"/>
        <w:sz w:val="16"/>
        <w:szCs w:val="20"/>
      </w:rPr>
      <w:fldChar w:fldCharType="separate"/>
    </w:r>
    <w:r>
      <w:rPr>
        <w:rFonts w:cs="Arial"/>
        <w:noProof/>
        <w:color w:val="404040" w:themeColor="text1" w:themeTint="BF"/>
        <w:sz w:val="16"/>
        <w:szCs w:val="20"/>
      </w:rPr>
      <w:t>3</w:t>
    </w:r>
    <w:r w:rsidRPr="00260847">
      <w:rPr>
        <w:rFonts w:cs="Arial"/>
        <w:noProof/>
        <w:color w:val="404040" w:themeColor="text1" w:themeTint="BF"/>
        <w:sz w:val="16"/>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766AF" w14:textId="77777777" w:rsidR="00D64259" w:rsidRDefault="00D64259" w:rsidP="00A82986">
    <w:pPr>
      <w:pStyle w:val="Footer"/>
      <w:pBdr>
        <w:top w:val="single" w:sz="4" w:space="1" w:color="auto"/>
      </w:pBdr>
      <w:jc w:val="right"/>
      <w:rPr>
        <w:rFonts w:cs="Arial"/>
        <w:sz w:val="20"/>
        <w:szCs w:val="20"/>
      </w:rPr>
    </w:pPr>
  </w:p>
  <w:p w14:paraId="3F6B1E31" w14:textId="77777777" w:rsidR="00D64259" w:rsidRPr="004A2375" w:rsidRDefault="00150D29" w:rsidP="00A82986">
    <w:pPr>
      <w:pStyle w:val="Footer"/>
      <w:tabs>
        <w:tab w:val="left" w:pos="1905"/>
        <w:tab w:val="right" w:pos="8498"/>
      </w:tabs>
      <w:rPr>
        <w:rFonts w:cs="Arial"/>
        <w:sz w:val="20"/>
        <w:szCs w:val="20"/>
      </w:rPr>
    </w:pPr>
    <w:r>
      <w:rPr>
        <w:rFonts w:cs="Arial"/>
        <w:sz w:val="20"/>
        <w:szCs w:val="20"/>
      </w:rPr>
      <w:tab/>
    </w:r>
    <w:r>
      <w:rPr>
        <w:rFonts w:cs="Arial"/>
        <w:sz w:val="20"/>
        <w:szCs w:val="20"/>
      </w:rPr>
      <w:tab/>
    </w:r>
    <w:r>
      <w:rPr>
        <w:rFonts w:cs="Arial"/>
        <w:sz w:val="20"/>
        <w:szCs w:val="20"/>
      </w:rPr>
      <w:tab/>
    </w:r>
    <w:r w:rsidRPr="004A2375">
      <w:rPr>
        <w:rFonts w:cs="Arial"/>
        <w:sz w:val="20"/>
        <w:szCs w:val="20"/>
      </w:rPr>
      <w:t xml:space="preserve">Page | </w:t>
    </w:r>
    <w:r w:rsidRPr="004A2375">
      <w:rPr>
        <w:rFonts w:cs="Arial"/>
        <w:sz w:val="20"/>
        <w:szCs w:val="20"/>
      </w:rPr>
      <w:fldChar w:fldCharType="begin"/>
    </w:r>
    <w:r w:rsidRPr="004A2375">
      <w:rPr>
        <w:rFonts w:cs="Arial"/>
        <w:sz w:val="20"/>
        <w:szCs w:val="20"/>
      </w:rPr>
      <w:instrText xml:space="preserve"> PAGE   \* MERGEFORMAT </w:instrText>
    </w:r>
    <w:r w:rsidRPr="004A2375">
      <w:rPr>
        <w:rFonts w:cs="Arial"/>
        <w:sz w:val="20"/>
        <w:szCs w:val="20"/>
      </w:rPr>
      <w:fldChar w:fldCharType="separate"/>
    </w:r>
    <w:r>
      <w:rPr>
        <w:rFonts w:cs="Arial"/>
        <w:noProof/>
        <w:sz w:val="20"/>
        <w:szCs w:val="20"/>
      </w:rPr>
      <w:t>3</w:t>
    </w:r>
    <w:r w:rsidRPr="004A2375">
      <w:rPr>
        <w:rFonts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80BB8" w14:textId="77777777" w:rsidR="001A5207" w:rsidRDefault="001A5207" w:rsidP="00C8623B">
      <w:pPr>
        <w:spacing w:after="0"/>
      </w:pPr>
      <w:r>
        <w:separator/>
      </w:r>
    </w:p>
  </w:footnote>
  <w:footnote w:type="continuationSeparator" w:id="0">
    <w:p w14:paraId="1CD8BD97" w14:textId="77777777" w:rsidR="001A5207" w:rsidRDefault="001A5207" w:rsidP="00C8623B">
      <w:pPr>
        <w:spacing w:after="0"/>
      </w:pPr>
      <w:r>
        <w:continuationSeparator/>
      </w:r>
    </w:p>
  </w:footnote>
  <w:footnote w:type="continuationNotice" w:id="1">
    <w:p w14:paraId="65C58D63" w14:textId="77777777" w:rsidR="001A5207" w:rsidRDefault="001A5207">
      <w:pPr>
        <w:spacing w:after="0"/>
      </w:pPr>
    </w:p>
  </w:footnote>
  <w:footnote w:id="2">
    <w:p w14:paraId="11B14073" w14:textId="5D4ADEC0" w:rsidR="00C8623B" w:rsidRPr="00A27E81" w:rsidRDefault="00C8623B" w:rsidP="00C8623B">
      <w:pPr>
        <w:pStyle w:val="FootnoteText"/>
        <w:rPr>
          <w:rFonts w:cs="Arial"/>
          <w:szCs w:val="20"/>
        </w:rPr>
      </w:pPr>
      <w:r w:rsidRPr="00A27E81">
        <w:rPr>
          <w:rStyle w:val="FootnoteReference"/>
          <w:rFonts w:cs="Arial"/>
          <w:szCs w:val="20"/>
        </w:rPr>
        <w:footnoteRef/>
      </w:r>
      <w:r w:rsidDel="00E40652">
        <w:rPr>
          <w:rFonts w:cs="Arial"/>
          <w:szCs w:val="20"/>
        </w:rPr>
        <w:t xml:space="preserve"> </w:t>
      </w:r>
      <w:r w:rsidRPr="007F0FFC">
        <w:rPr>
          <w:rFonts w:cs="Arial"/>
          <w:szCs w:val="20"/>
        </w:rPr>
        <w:t>Taskforce on Coercive Control and Women’s Experience in the Criminal Justice System</w:t>
      </w:r>
      <w:r w:rsidR="00E40652">
        <w:rPr>
          <w:rFonts w:cs="Arial"/>
          <w:szCs w:val="20"/>
        </w:rPr>
        <w:t>,</w:t>
      </w:r>
      <w:r w:rsidRPr="007F0FFC">
        <w:rPr>
          <w:rFonts w:cs="Arial"/>
          <w:szCs w:val="20"/>
        </w:rPr>
        <w:t xml:space="preserve"> </w:t>
      </w:r>
      <w:r w:rsidR="00E40652">
        <w:rPr>
          <w:rFonts w:cs="Arial"/>
          <w:szCs w:val="20"/>
        </w:rPr>
        <w:t>‘</w:t>
      </w:r>
      <w:r>
        <w:rPr>
          <w:rFonts w:cs="Arial"/>
          <w:szCs w:val="20"/>
        </w:rPr>
        <w:t>Terms of Reference</w:t>
      </w:r>
      <w:r w:rsidR="00FC628B">
        <w:rPr>
          <w:rFonts w:cs="Arial"/>
          <w:szCs w:val="20"/>
        </w:rPr>
        <w:t>’</w:t>
      </w:r>
      <w:r w:rsidR="00396F3E">
        <w:rPr>
          <w:rFonts w:cs="Arial"/>
          <w:szCs w:val="20"/>
        </w:rPr>
        <w:t xml:space="preserve"> (</w:t>
      </w:r>
      <w:r>
        <w:rPr>
          <w:rFonts w:cs="Arial"/>
          <w:szCs w:val="20"/>
        </w:rPr>
        <w:t>1 April 2021)</w:t>
      </w:r>
      <w:r w:rsidR="00621A6E">
        <w:rPr>
          <w:rFonts w:cs="Arial"/>
          <w:szCs w:val="20"/>
        </w:rPr>
        <w:t xml:space="preserve"> 2</w:t>
      </w:r>
      <w:r>
        <w:rPr>
          <w:rFonts w:cs="Arial"/>
          <w:szCs w:val="20"/>
        </w:rPr>
        <w:t>.</w:t>
      </w:r>
    </w:p>
  </w:footnote>
  <w:footnote w:id="3">
    <w:p w14:paraId="78B9249C" w14:textId="53C2F6C8" w:rsidR="006A15D8" w:rsidRPr="006A15D8" w:rsidRDefault="006A15D8">
      <w:pPr>
        <w:pStyle w:val="FootnoteText"/>
      </w:pPr>
      <w:r>
        <w:rPr>
          <w:rStyle w:val="FootnoteReference"/>
        </w:rPr>
        <w:footnoteRef/>
      </w:r>
      <w:r>
        <w:t xml:space="preserve"> </w:t>
      </w:r>
      <w:r w:rsidR="001851D2" w:rsidRPr="007F0FFC">
        <w:rPr>
          <w:i/>
          <w:iCs/>
        </w:rPr>
        <w:t>Commission</w:t>
      </w:r>
      <w:r w:rsidR="005C26F1" w:rsidRPr="007F0FFC">
        <w:rPr>
          <w:i/>
          <w:iCs/>
        </w:rPr>
        <w:t>s of Inquiry Order (No</w:t>
      </w:r>
      <w:r w:rsidR="00E11A16" w:rsidRPr="007F0FFC">
        <w:rPr>
          <w:i/>
          <w:iCs/>
        </w:rPr>
        <w:t>. 2) 2022</w:t>
      </w:r>
      <w:r w:rsidR="004B009A">
        <w:t xml:space="preserve"> (Qld) ord </w:t>
      </w:r>
      <w:r w:rsidR="000E373D">
        <w:t>10.</w:t>
      </w:r>
    </w:p>
  </w:footnote>
  <w:footnote w:id="4">
    <w:p w14:paraId="58023193" w14:textId="5F7B059C" w:rsidR="00C8623B" w:rsidRPr="00A27E81" w:rsidRDefault="00C8623B" w:rsidP="00C8623B">
      <w:pPr>
        <w:pStyle w:val="FootnoteText"/>
        <w:rPr>
          <w:rFonts w:cs="Arial"/>
          <w:szCs w:val="20"/>
          <w:lang w:val="en-US"/>
        </w:rPr>
      </w:pPr>
      <w:r w:rsidRPr="00A27E81">
        <w:rPr>
          <w:rStyle w:val="FootnoteReference"/>
          <w:rFonts w:cs="Arial"/>
          <w:szCs w:val="20"/>
        </w:rPr>
        <w:footnoteRef/>
      </w:r>
      <w:r w:rsidRPr="00A27E81">
        <w:rPr>
          <w:rFonts w:cs="Arial"/>
          <w:szCs w:val="20"/>
        </w:rPr>
        <w:t xml:space="preserve"> </w:t>
      </w:r>
      <w:r w:rsidRPr="00A27E81">
        <w:rPr>
          <w:rFonts w:cs="Arial"/>
          <w:i/>
          <w:iCs/>
          <w:szCs w:val="20"/>
          <w:lang w:val="en-US"/>
        </w:rPr>
        <w:t>Human Rights Act 2019</w:t>
      </w:r>
      <w:r w:rsidR="00674A2F">
        <w:rPr>
          <w:rFonts w:cs="Arial"/>
          <w:szCs w:val="20"/>
          <w:lang w:val="en-US"/>
        </w:rPr>
        <w:t xml:space="preserve"> (Qld)</w:t>
      </w:r>
      <w:r w:rsidRPr="00A27E81">
        <w:rPr>
          <w:rFonts w:cs="Arial"/>
          <w:szCs w:val="20"/>
          <w:lang w:val="en-US"/>
        </w:rPr>
        <w:t xml:space="preserve"> s 8.  </w:t>
      </w:r>
    </w:p>
  </w:footnote>
  <w:footnote w:id="5">
    <w:p w14:paraId="6734BE46" w14:textId="5BED6C3E" w:rsidR="00C8623B" w:rsidRPr="00A27E81" w:rsidRDefault="00C8623B" w:rsidP="00C8623B">
      <w:pPr>
        <w:pStyle w:val="FootnoteText"/>
        <w:rPr>
          <w:rFonts w:cs="Arial"/>
          <w:szCs w:val="20"/>
        </w:rPr>
      </w:pPr>
      <w:r w:rsidRPr="00A27E81">
        <w:rPr>
          <w:rStyle w:val="FootnoteReference"/>
          <w:rFonts w:cs="Arial"/>
          <w:szCs w:val="20"/>
        </w:rPr>
        <w:footnoteRef/>
      </w:r>
      <w:r w:rsidRPr="00A27E81">
        <w:rPr>
          <w:rFonts w:cs="Arial"/>
          <w:szCs w:val="20"/>
        </w:rPr>
        <w:t xml:space="preserve"> </w:t>
      </w:r>
      <w:r w:rsidR="00396F3E" w:rsidRPr="00A27E81">
        <w:rPr>
          <w:rFonts w:cs="Arial"/>
          <w:i/>
          <w:iCs/>
          <w:szCs w:val="20"/>
          <w:lang w:val="en-US"/>
        </w:rPr>
        <w:t>Human Rights Act 2019</w:t>
      </w:r>
      <w:r w:rsidR="00396F3E">
        <w:rPr>
          <w:rFonts w:cs="Arial"/>
          <w:szCs w:val="20"/>
          <w:lang w:val="en-US"/>
        </w:rPr>
        <w:t xml:space="preserve"> (Qld)</w:t>
      </w:r>
      <w:r w:rsidRPr="00A27E81">
        <w:rPr>
          <w:rFonts w:cs="Arial"/>
          <w:szCs w:val="20"/>
          <w:lang w:val="en-US"/>
        </w:rPr>
        <w:t xml:space="preserve"> s 13(1)</w:t>
      </w:r>
      <w:r>
        <w:rPr>
          <w:rFonts w:cs="Arial"/>
          <w:szCs w:val="20"/>
          <w:lang w:val="en-US"/>
        </w:rPr>
        <w:t>.</w:t>
      </w:r>
    </w:p>
  </w:footnote>
  <w:footnote w:id="6">
    <w:p w14:paraId="6D747684" w14:textId="42B40A67" w:rsidR="00C8623B" w:rsidRPr="00A27E81" w:rsidRDefault="00C8623B" w:rsidP="00C8623B">
      <w:pPr>
        <w:pStyle w:val="FootnoteText"/>
        <w:rPr>
          <w:rFonts w:cs="Arial"/>
          <w:szCs w:val="20"/>
          <w:lang w:val="en-US"/>
        </w:rPr>
      </w:pPr>
      <w:r w:rsidRPr="00A27E81">
        <w:rPr>
          <w:rStyle w:val="FootnoteReference"/>
          <w:rFonts w:cs="Arial"/>
          <w:szCs w:val="20"/>
        </w:rPr>
        <w:footnoteRef/>
      </w:r>
      <w:r w:rsidDel="003B3618">
        <w:rPr>
          <w:rFonts w:cs="Arial"/>
          <w:szCs w:val="20"/>
        </w:rPr>
        <w:t xml:space="preserve"> </w:t>
      </w:r>
      <w:r>
        <w:rPr>
          <w:rFonts w:cs="Arial"/>
          <w:szCs w:val="20"/>
        </w:rPr>
        <w:t xml:space="preserve">Explanatory Notes, </w:t>
      </w:r>
      <w:r w:rsidRPr="00674A2F">
        <w:rPr>
          <w:rFonts w:cs="Arial"/>
          <w:szCs w:val="20"/>
        </w:rPr>
        <w:t>Human Rights Bill 2018</w:t>
      </w:r>
      <w:r>
        <w:rPr>
          <w:rFonts w:cs="Arial"/>
          <w:i/>
          <w:iCs/>
          <w:szCs w:val="20"/>
        </w:rPr>
        <w:t>,</w:t>
      </w:r>
      <w:r>
        <w:rPr>
          <w:rFonts w:cs="Arial"/>
          <w:szCs w:val="20"/>
        </w:rPr>
        <w:t xml:space="preserve"> 16–18. </w:t>
      </w:r>
    </w:p>
  </w:footnote>
  <w:footnote w:id="7">
    <w:p w14:paraId="23AF98CE" w14:textId="68782E91" w:rsidR="00B35A43" w:rsidRPr="004A30E2" w:rsidRDefault="00B35A43" w:rsidP="00B35A43">
      <w:pPr>
        <w:pStyle w:val="FootnoteText"/>
        <w:rPr>
          <w:lang w:val="en-GB"/>
        </w:rPr>
      </w:pPr>
      <w:r>
        <w:rPr>
          <w:rStyle w:val="FootnoteReference"/>
        </w:rPr>
        <w:footnoteRef/>
      </w:r>
      <w:r w:rsidDel="002A75C6">
        <w:t xml:space="preserve"> </w:t>
      </w:r>
      <w:r w:rsidR="002A75C6" w:rsidRPr="002D348F">
        <w:rPr>
          <w:i/>
          <w:lang w:val="en-GB"/>
        </w:rPr>
        <w:t>Human Rights Act 2019</w:t>
      </w:r>
      <w:r w:rsidR="002A75C6">
        <w:rPr>
          <w:lang w:val="en-GB"/>
        </w:rPr>
        <w:t xml:space="preserve"> (Qld)</w:t>
      </w:r>
      <w:r w:rsidR="002A75C6">
        <w:rPr>
          <w:i/>
          <w:iCs/>
          <w:lang w:val="en-GB"/>
        </w:rPr>
        <w:t xml:space="preserve"> </w:t>
      </w:r>
      <w:r>
        <w:rPr>
          <w:lang w:val="en-GB"/>
        </w:rPr>
        <w:t xml:space="preserve">s 32. </w:t>
      </w:r>
    </w:p>
  </w:footnote>
  <w:footnote w:id="8">
    <w:p w14:paraId="2285D4E1" w14:textId="11AF81B6" w:rsidR="00B35A43" w:rsidRPr="004A30E2" w:rsidRDefault="00B35A43" w:rsidP="00B35A43">
      <w:pPr>
        <w:pStyle w:val="FootnoteText"/>
        <w:rPr>
          <w:lang w:val="en-GB"/>
        </w:rPr>
      </w:pPr>
      <w:r>
        <w:rPr>
          <w:rStyle w:val="FootnoteReference"/>
        </w:rPr>
        <w:footnoteRef/>
      </w:r>
      <w:r>
        <w:t xml:space="preserve"> </w:t>
      </w:r>
      <w:r w:rsidR="002A75C6" w:rsidRPr="002D348F">
        <w:rPr>
          <w:i/>
        </w:rPr>
        <w:t>Human Rights Act 2019</w:t>
      </w:r>
      <w:r w:rsidR="002A75C6">
        <w:t xml:space="preserve"> (Qld) </w:t>
      </w:r>
      <w:r>
        <w:rPr>
          <w:lang w:val="en-GB"/>
        </w:rPr>
        <w:t>s 15.</w:t>
      </w:r>
    </w:p>
  </w:footnote>
  <w:footnote w:id="9">
    <w:p w14:paraId="03447E81" w14:textId="18B277ED" w:rsidR="00B35A43" w:rsidRPr="004A30E2" w:rsidRDefault="00B35A43" w:rsidP="00B35A43">
      <w:pPr>
        <w:pStyle w:val="FootnoteText"/>
        <w:rPr>
          <w:lang w:val="en-GB"/>
        </w:rPr>
      </w:pPr>
      <w:r>
        <w:rPr>
          <w:rStyle w:val="FootnoteReference"/>
        </w:rPr>
        <w:footnoteRef/>
      </w:r>
      <w:r w:rsidDel="002A75C6">
        <w:t xml:space="preserve"> </w:t>
      </w:r>
      <w:r w:rsidR="002A75C6" w:rsidRPr="002D348F">
        <w:rPr>
          <w:i/>
          <w:lang w:val="en-GB"/>
        </w:rPr>
        <w:t>Human Rights Act 2019</w:t>
      </w:r>
      <w:r w:rsidR="002A75C6">
        <w:rPr>
          <w:lang w:val="en-GB"/>
        </w:rPr>
        <w:t xml:space="preserve"> (Qld)</w:t>
      </w:r>
      <w:r w:rsidR="002A75C6">
        <w:rPr>
          <w:i/>
          <w:iCs/>
          <w:lang w:val="en-GB"/>
        </w:rPr>
        <w:t xml:space="preserve"> </w:t>
      </w:r>
      <w:r>
        <w:rPr>
          <w:lang w:val="en-GB"/>
        </w:rPr>
        <w:t xml:space="preserve">s 29. </w:t>
      </w:r>
    </w:p>
  </w:footnote>
  <w:footnote w:id="10">
    <w:p w14:paraId="75B5C844" w14:textId="35899759" w:rsidR="00B35A43" w:rsidRDefault="00B35A43" w:rsidP="00B35A43">
      <w:pPr>
        <w:pStyle w:val="FootnoteText"/>
      </w:pPr>
      <w:r>
        <w:rPr>
          <w:rStyle w:val="FootnoteReference"/>
        </w:rPr>
        <w:footnoteRef/>
      </w:r>
      <w:r>
        <w:t xml:space="preserve"> United Nations Human Rights Committee, </w:t>
      </w:r>
      <w:r>
        <w:rPr>
          <w:i/>
        </w:rPr>
        <w:t xml:space="preserve">General Comment No 31: The Nature of the General Legal Obligation Imposed on States Parties to the Covenant, </w:t>
      </w:r>
      <w:r>
        <w:t xml:space="preserve">CCPR/C/21/Rev.1/Add. 1326 </w:t>
      </w:r>
      <w:r w:rsidR="000C29C4">
        <w:t>(</w:t>
      </w:r>
      <w:r>
        <w:t>May 2004</w:t>
      </w:r>
      <w:r w:rsidDel="000C29C4">
        <w:t>)</w:t>
      </w:r>
      <w:r w:rsidR="00A2231B">
        <w:t xml:space="preserve"> 8</w:t>
      </w:r>
      <w:r>
        <w:t xml:space="preserve">. </w:t>
      </w:r>
    </w:p>
  </w:footnote>
  <w:footnote w:id="11">
    <w:p w14:paraId="1EDC996D" w14:textId="7790139F" w:rsidR="0065612D" w:rsidRPr="0065612D" w:rsidRDefault="0065612D">
      <w:pPr>
        <w:pStyle w:val="FootnoteText"/>
        <w:rPr>
          <w:lang w:val="en-GB"/>
        </w:rPr>
      </w:pPr>
      <w:r>
        <w:rPr>
          <w:rStyle w:val="FootnoteReference"/>
        </w:rPr>
        <w:footnoteRef/>
      </w:r>
      <w:r>
        <w:t xml:space="preserve"> </w:t>
      </w:r>
      <w:r w:rsidRPr="00A27E81">
        <w:rPr>
          <w:rFonts w:cs="Arial"/>
          <w:i/>
          <w:iCs/>
          <w:szCs w:val="20"/>
          <w:lang w:val="en-US"/>
        </w:rPr>
        <w:t>Human Rights Act 2019</w:t>
      </w:r>
      <w:r>
        <w:rPr>
          <w:rFonts w:cs="Arial"/>
          <w:i/>
          <w:iCs/>
          <w:szCs w:val="20"/>
          <w:lang w:val="en-US"/>
        </w:rPr>
        <w:t xml:space="preserve"> </w:t>
      </w:r>
      <w:r>
        <w:rPr>
          <w:rFonts w:cs="Arial"/>
          <w:szCs w:val="20"/>
          <w:lang w:val="en-US"/>
        </w:rPr>
        <w:t xml:space="preserve">s </w:t>
      </w:r>
      <w:r w:rsidR="00D03E2F">
        <w:rPr>
          <w:rFonts w:cs="Arial"/>
          <w:szCs w:val="20"/>
          <w:lang w:val="en-US"/>
        </w:rPr>
        <w:t>25.</w:t>
      </w:r>
    </w:p>
  </w:footnote>
  <w:footnote w:id="12">
    <w:p w14:paraId="59D0DBC1" w14:textId="77777777" w:rsidR="00B35A43" w:rsidRDefault="00B35A43" w:rsidP="00B35A43">
      <w:pPr>
        <w:pStyle w:val="FootnoteText"/>
      </w:pPr>
      <w:r>
        <w:rPr>
          <w:rStyle w:val="FootnoteReference"/>
        </w:rPr>
        <w:footnoteRef/>
      </w:r>
      <w:r>
        <w:t xml:space="preserve"> </w:t>
      </w:r>
      <w:r w:rsidRPr="00A27E81">
        <w:rPr>
          <w:rFonts w:cs="Arial"/>
          <w:i/>
          <w:iCs/>
          <w:szCs w:val="20"/>
          <w:lang w:val="en-US"/>
        </w:rPr>
        <w:t>Human Rights Act 2019</w:t>
      </w:r>
      <w:r w:rsidRPr="00A27E81">
        <w:rPr>
          <w:rFonts w:cs="Arial"/>
          <w:szCs w:val="20"/>
          <w:lang w:val="en-US"/>
        </w:rPr>
        <w:t xml:space="preserve"> </w:t>
      </w:r>
      <w:r>
        <w:t>s 29.</w:t>
      </w:r>
    </w:p>
  </w:footnote>
  <w:footnote w:id="13">
    <w:p w14:paraId="3C8B600B" w14:textId="77777777" w:rsidR="00B35A43" w:rsidRDefault="00B35A43" w:rsidP="00B35A43">
      <w:pPr>
        <w:pStyle w:val="FootnoteText"/>
      </w:pPr>
      <w:r>
        <w:rPr>
          <w:rStyle w:val="FootnoteReference"/>
        </w:rPr>
        <w:footnoteRef/>
      </w:r>
      <w:r>
        <w:t xml:space="preserve"> </w:t>
      </w:r>
      <w:r w:rsidRPr="00A27E81">
        <w:rPr>
          <w:rFonts w:cs="Arial"/>
          <w:i/>
          <w:iCs/>
          <w:szCs w:val="20"/>
          <w:lang w:val="en-US"/>
        </w:rPr>
        <w:t>Human Rights Act 2019</w:t>
      </w:r>
      <w:r>
        <w:t xml:space="preserve"> s 16.</w:t>
      </w:r>
    </w:p>
  </w:footnote>
  <w:footnote w:id="14">
    <w:p w14:paraId="49F0532C" w14:textId="77777777" w:rsidR="00B35A43" w:rsidRDefault="00B35A43" w:rsidP="00B35A43">
      <w:pPr>
        <w:pStyle w:val="FootnoteText"/>
      </w:pPr>
      <w:r>
        <w:rPr>
          <w:rStyle w:val="FootnoteReference"/>
        </w:rPr>
        <w:footnoteRef/>
      </w:r>
      <w:r>
        <w:t xml:space="preserve"> </w:t>
      </w:r>
      <w:r w:rsidRPr="00A27E81">
        <w:rPr>
          <w:rFonts w:cs="Arial"/>
          <w:i/>
          <w:iCs/>
          <w:szCs w:val="20"/>
          <w:lang w:val="en-US"/>
        </w:rPr>
        <w:t>Human Rights Act 2019</w:t>
      </w:r>
      <w:r>
        <w:t xml:space="preserve"> s 15.</w:t>
      </w:r>
    </w:p>
  </w:footnote>
  <w:footnote w:id="15">
    <w:p w14:paraId="5E6E6DDE" w14:textId="008E62EF" w:rsidR="00940FAC" w:rsidRPr="00940FAC" w:rsidRDefault="00940FAC">
      <w:pPr>
        <w:pStyle w:val="FootnoteText"/>
        <w:rPr>
          <w:lang w:val="en-GB"/>
        </w:rPr>
      </w:pPr>
      <w:r>
        <w:rPr>
          <w:rStyle w:val="FootnoteReference"/>
        </w:rPr>
        <w:footnoteRef/>
      </w:r>
      <w:r>
        <w:t xml:space="preserve"> </w:t>
      </w:r>
      <w:r>
        <w:rPr>
          <w:lang w:val="en-GB"/>
        </w:rPr>
        <w:t>Statement of Compatibility, Criminal Law (Coercive Control and Affirmative Consent) and Other Legislation Amendment Bill 2023, 38</w:t>
      </w:r>
      <w:r w:rsidR="00E36B40">
        <w:rPr>
          <w:lang w:val="en-GB"/>
        </w:rPr>
        <w:t xml:space="preserve"> </w:t>
      </w:r>
      <w:r w:rsidR="00E36B40">
        <w:rPr>
          <w:lang w:eastAsia="zh-CN"/>
        </w:rPr>
        <w:t>(emphasis added)</w:t>
      </w:r>
      <w:r>
        <w:rPr>
          <w:lang w:val="en-GB"/>
        </w:rPr>
        <w:t>.</w:t>
      </w:r>
    </w:p>
  </w:footnote>
  <w:footnote w:id="16">
    <w:p w14:paraId="0918758E" w14:textId="71762E08" w:rsidR="00910090" w:rsidRPr="00910090" w:rsidRDefault="00910090">
      <w:pPr>
        <w:pStyle w:val="FootnoteText"/>
        <w:rPr>
          <w:lang w:val="en-GB"/>
        </w:rPr>
      </w:pPr>
      <w:r>
        <w:rPr>
          <w:rStyle w:val="FootnoteReference"/>
        </w:rPr>
        <w:footnoteRef/>
      </w:r>
      <w:r w:rsidR="006C3E31">
        <w:t xml:space="preserve"> Women</w:t>
      </w:r>
      <w:r w:rsidR="00763365">
        <w:t>’</w:t>
      </w:r>
      <w:r w:rsidR="006C3E31">
        <w:t>s Safety and Justice Taskforce</w:t>
      </w:r>
      <w:r w:rsidR="00763365">
        <w:t xml:space="preserve">, </w:t>
      </w:r>
      <w:r w:rsidR="00763365" w:rsidRPr="002D348F">
        <w:rPr>
          <w:i/>
        </w:rPr>
        <w:t xml:space="preserve">Hear Her Voice Report </w:t>
      </w:r>
      <w:r w:rsidR="005032E3" w:rsidRPr="002D348F">
        <w:rPr>
          <w:i/>
        </w:rPr>
        <w:t>One:</w:t>
      </w:r>
      <w:r w:rsidR="005032E3">
        <w:t xml:space="preserve"> </w:t>
      </w:r>
      <w:r w:rsidR="005032E3" w:rsidRPr="002D348F">
        <w:rPr>
          <w:i/>
        </w:rPr>
        <w:t xml:space="preserve">Addressing </w:t>
      </w:r>
      <w:r w:rsidR="00206BC1" w:rsidRPr="00CD55A7">
        <w:rPr>
          <w:i/>
          <w:iCs/>
          <w:lang w:val="en-GB"/>
        </w:rPr>
        <w:t>C</w:t>
      </w:r>
      <w:r w:rsidR="00206BC1" w:rsidRPr="00CE6D6B">
        <w:rPr>
          <w:i/>
          <w:iCs/>
          <w:lang w:val="en-GB"/>
        </w:rPr>
        <w:t>oercive Control and Domestic and Family Violence in Queensland</w:t>
      </w:r>
      <w:r w:rsidR="00206BC1">
        <w:rPr>
          <w:lang w:val="en-GB"/>
        </w:rPr>
        <w:t xml:space="preserve"> (Volume 3, 2021)</w:t>
      </w:r>
      <w:r>
        <w:t xml:space="preserve"> </w:t>
      </w:r>
      <w:r w:rsidR="00C26CB6">
        <w:t xml:space="preserve">677. </w:t>
      </w:r>
    </w:p>
  </w:footnote>
  <w:footnote w:id="17">
    <w:p w14:paraId="47EEE7E0" w14:textId="667C73C8" w:rsidR="00FD5D98" w:rsidRPr="001C524E" w:rsidRDefault="00FD5D98" w:rsidP="00B736FF">
      <w:pPr>
        <w:pStyle w:val="FootnoteText"/>
      </w:pPr>
      <w:r>
        <w:rPr>
          <w:rStyle w:val="FootnoteReference"/>
        </w:rPr>
        <w:footnoteRef/>
      </w:r>
      <w:r>
        <w:t xml:space="preserve"> </w:t>
      </w:r>
      <w:r w:rsidRPr="001B5F46">
        <w:t xml:space="preserve">We note that the </w:t>
      </w:r>
      <w:r w:rsidRPr="001B5F46">
        <w:rPr>
          <w:i/>
        </w:rPr>
        <w:t>Human Rights Act 2004</w:t>
      </w:r>
      <w:r w:rsidRPr="001B5F46">
        <w:t xml:space="preserve"> (ACT) s 21 </w:t>
      </w:r>
      <w:r w:rsidR="000475AF">
        <w:t>includes a</w:t>
      </w:r>
      <w:r w:rsidRPr="001B5F46">
        <w:t xml:space="preserve"> broader fair trial right that </w:t>
      </w:r>
      <w:r w:rsidR="009B0D34" w:rsidRPr="001B5F46">
        <w:t>contains the words</w:t>
      </w:r>
      <w:r w:rsidRPr="001B5F46">
        <w:t xml:space="preserve"> ‘</w:t>
      </w:r>
      <w:r w:rsidR="009B0D34" w:rsidRPr="001B5F46">
        <w:t>Everyone has the right to have criminal charges, and rights and obligations recognised by law, decided by a competent, independent and impartial court or tribunal after a fair and public hearing</w:t>
      </w:r>
      <w:r w:rsidR="00176E84" w:rsidRPr="001B5F46">
        <w:t>.’</w:t>
      </w:r>
    </w:p>
  </w:footnote>
  <w:footnote w:id="18">
    <w:p w14:paraId="0AC411C2" w14:textId="5DD0E67C" w:rsidR="00BE171B" w:rsidRPr="00BE171B" w:rsidRDefault="00BE171B">
      <w:pPr>
        <w:pStyle w:val="FootnoteText"/>
      </w:pPr>
      <w:r>
        <w:rPr>
          <w:rStyle w:val="FootnoteReference"/>
        </w:rPr>
        <w:footnoteRef/>
      </w:r>
      <w:r>
        <w:t xml:space="preserve"> </w:t>
      </w:r>
      <w:r w:rsidR="009B185F">
        <w:t xml:space="preserve">Women’s Safety and Justice Taskforce, </w:t>
      </w:r>
      <w:r w:rsidR="004260AA" w:rsidRPr="002D348F">
        <w:rPr>
          <w:i/>
        </w:rPr>
        <w:t>Hear Her Voice</w:t>
      </w:r>
      <w:r w:rsidR="00131AFB" w:rsidRPr="002D348F">
        <w:rPr>
          <w:i/>
        </w:rPr>
        <w:t xml:space="preserve"> </w:t>
      </w:r>
      <w:r w:rsidRPr="002D348F">
        <w:rPr>
          <w:i/>
        </w:rPr>
        <w:t>Report 2</w:t>
      </w:r>
      <w:r w:rsidR="00021E1D" w:rsidRPr="002D348F">
        <w:rPr>
          <w:i/>
        </w:rPr>
        <w:t>: Women and Gir</w:t>
      </w:r>
      <w:r w:rsidR="00980279" w:rsidRPr="002D348F">
        <w:rPr>
          <w:i/>
        </w:rPr>
        <w:t>ls’ Experiences of the Criminal Justice System</w:t>
      </w:r>
      <w:r w:rsidR="00081561">
        <w:t xml:space="preserve"> (V</w:t>
      </w:r>
      <w:r>
        <w:t>ol</w:t>
      </w:r>
      <w:r w:rsidR="00081561">
        <w:t>ume</w:t>
      </w:r>
      <w:r>
        <w:t xml:space="preserve"> 1, </w:t>
      </w:r>
      <w:r w:rsidR="00081561">
        <w:t xml:space="preserve">2022) </w:t>
      </w:r>
      <w:r>
        <w:t>139-140.</w:t>
      </w:r>
    </w:p>
  </w:footnote>
  <w:footnote w:id="19">
    <w:p w14:paraId="3015FC47" w14:textId="36606537" w:rsidR="00C84421" w:rsidRPr="005112DA" w:rsidRDefault="00C84421" w:rsidP="00C84421">
      <w:pPr>
        <w:pStyle w:val="FootnoteText"/>
        <w:rPr>
          <w:lang w:val="en-GB"/>
        </w:rPr>
      </w:pPr>
      <w:r>
        <w:rPr>
          <w:rStyle w:val="FootnoteReference"/>
        </w:rPr>
        <w:footnoteRef/>
      </w:r>
      <w:r>
        <w:t xml:space="preserve"> </w:t>
      </w:r>
      <w:r w:rsidR="005A466B">
        <w:t xml:space="preserve">Women’s Safety and Justice Taskforce, </w:t>
      </w:r>
      <w:r w:rsidR="005A466B" w:rsidRPr="00CE6D6B">
        <w:rPr>
          <w:i/>
          <w:iCs/>
        </w:rPr>
        <w:t xml:space="preserve">Hear Her Voice Report </w:t>
      </w:r>
      <w:r w:rsidR="009608C4" w:rsidRPr="002D348F">
        <w:rPr>
          <w:i/>
          <w:iCs/>
          <w:lang w:val="en-GB"/>
        </w:rPr>
        <w:t>One</w:t>
      </w:r>
      <w:r w:rsidR="00801B33">
        <w:rPr>
          <w:lang w:val="en-GB"/>
        </w:rPr>
        <w:t xml:space="preserve">: </w:t>
      </w:r>
      <w:r w:rsidR="00801B33" w:rsidRPr="002D348F">
        <w:rPr>
          <w:i/>
          <w:lang w:val="en-GB"/>
        </w:rPr>
        <w:t>Addressing Coercive Control and Domestic and Family Violence in Queensland</w:t>
      </w:r>
      <w:r w:rsidR="007C6182">
        <w:rPr>
          <w:lang w:val="en-GB"/>
        </w:rPr>
        <w:t xml:space="preserve"> (Volume</w:t>
      </w:r>
      <w:r w:rsidDel="007C6182">
        <w:rPr>
          <w:lang w:val="en-GB"/>
        </w:rPr>
        <w:t xml:space="preserve"> </w:t>
      </w:r>
      <w:r>
        <w:rPr>
          <w:lang w:val="en-GB"/>
        </w:rPr>
        <w:t>2,</w:t>
      </w:r>
      <w:r w:rsidR="007C6182">
        <w:rPr>
          <w:lang w:val="en-GB"/>
        </w:rPr>
        <w:t xml:space="preserve"> 2021)</w:t>
      </w:r>
      <w:r>
        <w:rPr>
          <w:lang w:val="en-GB"/>
        </w:rPr>
        <w:t xml:space="preserve"> 368-373.</w:t>
      </w:r>
    </w:p>
  </w:footnote>
  <w:footnote w:id="20">
    <w:p w14:paraId="199C4517" w14:textId="2B17AFDF" w:rsidR="00457747" w:rsidRPr="008E12E3" w:rsidRDefault="00457747" w:rsidP="00457747">
      <w:pPr>
        <w:pStyle w:val="FootnoteText"/>
        <w:rPr>
          <w:lang w:val="en-GB"/>
        </w:rPr>
      </w:pPr>
      <w:r>
        <w:rPr>
          <w:rStyle w:val="FootnoteReference"/>
        </w:rPr>
        <w:footnoteRef/>
      </w:r>
      <w:r>
        <w:t xml:space="preserve"> </w:t>
      </w:r>
      <w:r w:rsidR="00361B46">
        <w:t xml:space="preserve">Women’s Safety and Justice Taskforce, </w:t>
      </w:r>
      <w:r w:rsidR="00361B46" w:rsidRPr="00CE6D6B">
        <w:rPr>
          <w:i/>
          <w:iCs/>
        </w:rPr>
        <w:t xml:space="preserve">Hear Her Voice Report </w:t>
      </w:r>
      <w:r w:rsidR="00361B46" w:rsidRPr="00CE6D6B">
        <w:rPr>
          <w:i/>
          <w:iCs/>
          <w:lang w:val="en-GB"/>
        </w:rPr>
        <w:t>One</w:t>
      </w:r>
      <w:r w:rsidR="00361B46">
        <w:rPr>
          <w:lang w:val="en-GB"/>
        </w:rPr>
        <w:t xml:space="preserve">: </w:t>
      </w:r>
      <w:r w:rsidR="00361B46" w:rsidRPr="00CE6D6B">
        <w:rPr>
          <w:i/>
          <w:iCs/>
          <w:lang w:val="en-GB"/>
        </w:rPr>
        <w:t>Addressing Coercive Control and Domestic and Family Violence in Queensland</w:t>
      </w:r>
      <w:r w:rsidR="00361B46">
        <w:rPr>
          <w:lang w:val="en-GB"/>
        </w:rPr>
        <w:t xml:space="preserve"> (Volume 2, 2021)</w:t>
      </w:r>
      <w:r>
        <w:rPr>
          <w:lang w:val="en-GB"/>
        </w:rPr>
        <w:t xml:space="preserve"> 368.</w:t>
      </w:r>
    </w:p>
  </w:footnote>
  <w:footnote w:id="21">
    <w:p w14:paraId="77FBB58F" w14:textId="46C2BD07" w:rsidR="000716A2" w:rsidRPr="000716A2" w:rsidRDefault="000716A2">
      <w:pPr>
        <w:pStyle w:val="FootnoteText"/>
        <w:rPr>
          <w:lang w:val="en-GB"/>
        </w:rPr>
      </w:pPr>
      <w:r>
        <w:rPr>
          <w:rStyle w:val="FootnoteReference"/>
        </w:rPr>
        <w:footnoteRef/>
      </w:r>
      <w:r>
        <w:t xml:space="preserve"> </w:t>
      </w:r>
      <w:r w:rsidR="00D16208">
        <w:rPr>
          <w:lang w:val="en-GB"/>
        </w:rPr>
        <w:t xml:space="preserve">Statement of Compatibility, Criminal Law (Coercive Control and Affirmative Consent) and Other Legislation Amendment Bill 2023, </w:t>
      </w:r>
      <w:r>
        <w:rPr>
          <w:lang w:val="en-GB"/>
        </w:rPr>
        <w:t>16.</w:t>
      </w:r>
    </w:p>
  </w:footnote>
  <w:footnote w:id="22">
    <w:p w14:paraId="17B0F432" w14:textId="74939A44" w:rsidR="00124F09" w:rsidRPr="00124F09" w:rsidRDefault="00124F09">
      <w:pPr>
        <w:pStyle w:val="FootnoteText"/>
        <w:rPr>
          <w:lang w:val="en-GB"/>
        </w:rPr>
      </w:pPr>
      <w:r>
        <w:rPr>
          <w:rStyle w:val="FootnoteReference"/>
        </w:rPr>
        <w:footnoteRef/>
      </w:r>
      <w:r>
        <w:t xml:space="preserve"> </w:t>
      </w:r>
      <w:r w:rsidR="00B55E3E">
        <w:t xml:space="preserve">Women’s Safety and Justice Taskforce, </w:t>
      </w:r>
      <w:r w:rsidR="00B55E3E" w:rsidRPr="00CE6D6B">
        <w:rPr>
          <w:i/>
          <w:iCs/>
        </w:rPr>
        <w:t xml:space="preserve">Hear Her Voice Report </w:t>
      </w:r>
      <w:r w:rsidR="00B55E3E" w:rsidRPr="00CE6D6B">
        <w:rPr>
          <w:i/>
          <w:iCs/>
          <w:lang w:val="en-GB"/>
        </w:rPr>
        <w:t>One</w:t>
      </w:r>
      <w:r w:rsidR="00B55E3E">
        <w:rPr>
          <w:lang w:val="en-GB"/>
        </w:rPr>
        <w:t xml:space="preserve">: </w:t>
      </w:r>
      <w:r w:rsidR="00B55E3E" w:rsidRPr="00CE6D6B">
        <w:rPr>
          <w:i/>
          <w:iCs/>
          <w:lang w:val="en-GB"/>
        </w:rPr>
        <w:t>Addressing Coercive Control and Domestic and Family Violence in Queensland</w:t>
      </w:r>
      <w:r w:rsidR="00B55E3E">
        <w:rPr>
          <w:lang w:val="en-GB"/>
        </w:rPr>
        <w:t xml:space="preserve"> (</w:t>
      </w:r>
      <w:r w:rsidR="004237F7">
        <w:rPr>
          <w:lang w:val="en-GB"/>
        </w:rPr>
        <w:t>Vol</w:t>
      </w:r>
      <w:r w:rsidR="00B55E3E">
        <w:rPr>
          <w:lang w:val="en-GB"/>
        </w:rPr>
        <w:t>ume</w:t>
      </w:r>
      <w:r w:rsidR="004237F7">
        <w:rPr>
          <w:lang w:val="en-GB"/>
        </w:rPr>
        <w:t xml:space="preserve"> 1, </w:t>
      </w:r>
      <w:r w:rsidR="0024590C">
        <w:rPr>
          <w:lang w:val="en-GB"/>
        </w:rPr>
        <w:t>2021</w:t>
      </w:r>
      <w:r w:rsidR="00965CA5">
        <w:rPr>
          <w:lang w:val="en-GB"/>
        </w:rPr>
        <w:t xml:space="preserve">) </w:t>
      </w:r>
      <w:r w:rsidR="004237F7">
        <w:rPr>
          <w:lang w:val="en-GB"/>
        </w:rPr>
        <w:t>ix</w:t>
      </w:r>
      <w:r w:rsidR="00190F2D">
        <w:rPr>
          <w:lang w:val="en-GB"/>
        </w:rPr>
        <w:t xml:space="preserve">; </w:t>
      </w:r>
      <w:r w:rsidR="00C169A4">
        <w:rPr>
          <w:lang w:val="en-GB"/>
        </w:rPr>
        <w:t>(</w:t>
      </w:r>
      <w:r w:rsidR="00190F2D">
        <w:rPr>
          <w:lang w:val="en-GB"/>
        </w:rPr>
        <w:t>Vol</w:t>
      </w:r>
      <w:r w:rsidR="00C169A4">
        <w:rPr>
          <w:lang w:val="en-GB"/>
        </w:rPr>
        <w:t>ume</w:t>
      </w:r>
      <w:r w:rsidR="00190F2D">
        <w:rPr>
          <w:lang w:val="en-GB"/>
        </w:rPr>
        <w:t xml:space="preserve"> 2, </w:t>
      </w:r>
      <w:r w:rsidR="00C169A4">
        <w:rPr>
          <w:lang w:val="en-GB"/>
        </w:rPr>
        <w:t xml:space="preserve">2021) </w:t>
      </w:r>
      <w:r w:rsidR="00190F2D">
        <w:rPr>
          <w:lang w:val="en-GB"/>
        </w:rPr>
        <w:t>400</w:t>
      </w:r>
      <w:r w:rsidR="004237F7">
        <w:rPr>
          <w:lang w:val="en-GB"/>
        </w:rPr>
        <w:t>.</w:t>
      </w:r>
    </w:p>
  </w:footnote>
  <w:footnote w:id="23">
    <w:p w14:paraId="3DEC6F49" w14:textId="07737813" w:rsidR="00770A4E" w:rsidRPr="00770A4E" w:rsidRDefault="00770A4E">
      <w:pPr>
        <w:pStyle w:val="FootnoteText"/>
        <w:rPr>
          <w:lang w:val="en-GB"/>
        </w:rPr>
      </w:pPr>
      <w:r>
        <w:rPr>
          <w:rStyle w:val="FootnoteReference"/>
        </w:rPr>
        <w:footnoteRef/>
      </w:r>
      <w:r>
        <w:t xml:space="preserve"> </w:t>
      </w:r>
      <w:r w:rsidR="004A09B1">
        <w:rPr>
          <w:lang w:val="en-GB"/>
        </w:rPr>
        <w:t>Statement of Compatibility, Criminal Law (Coercive Control and Affirmative Consent) and Other Legislation Amendment Bill 2023,</w:t>
      </w:r>
      <w:r>
        <w:rPr>
          <w:lang w:val="en-GB"/>
        </w:rPr>
        <w:t xml:space="preserve"> 23.</w:t>
      </w:r>
    </w:p>
  </w:footnote>
  <w:footnote w:id="24">
    <w:p w14:paraId="46DC966D" w14:textId="53CE6681" w:rsidR="008C23C8" w:rsidRPr="00BC41EC" w:rsidRDefault="008C23C8">
      <w:pPr>
        <w:pStyle w:val="FootnoteText"/>
      </w:pPr>
      <w:r>
        <w:rPr>
          <w:rStyle w:val="FootnoteReference"/>
        </w:rPr>
        <w:footnoteRef/>
      </w:r>
      <w:r>
        <w:t xml:space="preserve"> </w:t>
      </w:r>
      <w:r w:rsidR="00466FB4">
        <w:t xml:space="preserve">Rates of adult imprisonment (target 10) has increased based on the latest data. </w:t>
      </w:r>
      <w:r w:rsidR="001508DF">
        <w:t xml:space="preserve">See </w:t>
      </w:r>
      <w:r w:rsidR="001313CA">
        <w:t xml:space="preserve">Australian Government Productivity Commission, </w:t>
      </w:r>
      <w:r w:rsidR="001313CA">
        <w:rPr>
          <w:i/>
          <w:iCs/>
        </w:rPr>
        <w:t>Closing the Gap: Annual data compilation report July 2023</w:t>
      </w:r>
      <w:r w:rsidR="00BC41EC">
        <w:rPr>
          <w:i/>
          <w:iCs/>
        </w:rPr>
        <w:t xml:space="preserve">, </w:t>
      </w:r>
      <w:r w:rsidR="00BC41EC">
        <w:t>‘Summary’.</w:t>
      </w:r>
    </w:p>
  </w:footnote>
  <w:footnote w:id="25">
    <w:p w14:paraId="3ADE753B" w14:textId="217B651D" w:rsidR="0094795F" w:rsidRPr="0094795F" w:rsidRDefault="0094795F">
      <w:pPr>
        <w:pStyle w:val="FootnoteText"/>
        <w:rPr>
          <w:lang w:val="en-GB"/>
        </w:rPr>
      </w:pPr>
      <w:r>
        <w:rPr>
          <w:rStyle w:val="FootnoteReference"/>
        </w:rPr>
        <w:footnoteRef/>
      </w:r>
      <w:r>
        <w:t xml:space="preserve"> </w:t>
      </w:r>
      <w:r w:rsidR="0001373D">
        <w:t xml:space="preserve">Women’s Safety and Justice Taskforce, </w:t>
      </w:r>
      <w:r w:rsidR="0001373D" w:rsidRPr="00CE6D6B">
        <w:rPr>
          <w:i/>
          <w:iCs/>
        </w:rPr>
        <w:t xml:space="preserve">Hear Her Voice Report </w:t>
      </w:r>
      <w:r w:rsidR="0001373D" w:rsidRPr="00CE6D6B">
        <w:rPr>
          <w:i/>
          <w:iCs/>
          <w:lang w:val="en-GB"/>
        </w:rPr>
        <w:t>One</w:t>
      </w:r>
      <w:r w:rsidR="0001373D">
        <w:rPr>
          <w:lang w:val="en-GB"/>
        </w:rPr>
        <w:t xml:space="preserve">: </w:t>
      </w:r>
      <w:r w:rsidR="0001373D" w:rsidRPr="00CE6D6B">
        <w:rPr>
          <w:i/>
          <w:iCs/>
          <w:lang w:val="en-GB"/>
        </w:rPr>
        <w:t>Addressing Coercive Control and Domestic and Family Violence in Queensland</w:t>
      </w:r>
      <w:r w:rsidR="00906084">
        <w:rPr>
          <w:lang w:val="en-GB"/>
        </w:rPr>
        <w:t xml:space="preserve"> </w:t>
      </w:r>
      <w:r w:rsidR="0001373D">
        <w:rPr>
          <w:lang w:val="en-GB"/>
        </w:rPr>
        <w:t>(V</w:t>
      </w:r>
      <w:r w:rsidR="00906084">
        <w:rPr>
          <w:lang w:val="en-GB"/>
        </w:rPr>
        <w:t>ol</w:t>
      </w:r>
      <w:r w:rsidR="00B04521">
        <w:rPr>
          <w:lang w:val="en-GB"/>
        </w:rPr>
        <w:t>ume</w:t>
      </w:r>
      <w:r w:rsidR="00906084">
        <w:rPr>
          <w:lang w:val="en-GB"/>
        </w:rPr>
        <w:t xml:space="preserve"> 2, </w:t>
      </w:r>
      <w:r w:rsidR="0001373D">
        <w:rPr>
          <w:lang w:val="en-GB"/>
        </w:rPr>
        <w:t xml:space="preserve">2021) </w:t>
      </w:r>
      <w:r w:rsidR="00232E0F">
        <w:rPr>
          <w:lang w:val="en-GB"/>
        </w:rPr>
        <w:t>373.</w:t>
      </w:r>
    </w:p>
  </w:footnote>
  <w:footnote w:id="26">
    <w:p w14:paraId="716CEF34" w14:textId="4B798BF5" w:rsidR="004A20CF" w:rsidRPr="00D97553" w:rsidRDefault="004A20CF" w:rsidP="004A20CF">
      <w:pPr>
        <w:pStyle w:val="FootnoteText"/>
        <w:rPr>
          <w:lang w:val="en-GB"/>
        </w:rPr>
      </w:pPr>
      <w:r>
        <w:rPr>
          <w:rStyle w:val="FootnoteReference"/>
        </w:rPr>
        <w:footnoteRef/>
      </w:r>
      <w:r>
        <w:rPr>
          <w:lang w:val="en-GB"/>
        </w:rPr>
        <w:t xml:space="preserve"> </w:t>
      </w:r>
      <w:r w:rsidR="00B92198">
        <w:t xml:space="preserve">Women’s Safety and Justice Taskforce, </w:t>
      </w:r>
      <w:r w:rsidR="00B92198" w:rsidRPr="00CE6D6B">
        <w:rPr>
          <w:i/>
          <w:iCs/>
        </w:rPr>
        <w:t xml:space="preserve">Hear Her Voice Report </w:t>
      </w:r>
      <w:r w:rsidR="00B92198" w:rsidRPr="00CE6D6B">
        <w:rPr>
          <w:i/>
          <w:iCs/>
          <w:lang w:val="en-GB"/>
        </w:rPr>
        <w:t>One</w:t>
      </w:r>
      <w:r w:rsidR="00B92198">
        <w:rPr>
          <w:lang w:val="en-GB"/>
        </w:rPr>
        <w:t xml:space="preserve">: </w:t>
      </w:r>
      <w:r w:rsidR="00B92198" w:rsidRPr="00CE6D6B">
        <w:rPr>
          <w:i/>
          <w:iCs/>
          <w:lang w:val="en-GB"/>
        </w:rPr>
        <w:t>Addressing Coercive Control and Domestic and Family Violence in Queensland</w:t>
      </w:r>
      <w:r w:rsidR="00B92198">
        <w:rPr>
          <w:lang w:val="en-GB"/>
        </w:rPr>
        <w:t xml:space="preserve"> (Vol</w:t>
      </w:r>
      <w:r w:rsidR="00B04521">
        <w:rPr>
          <w:lang w:val="en-GB"/>
        </w:rPr>
        <w:t>ume</w:t>
      </w:r>
      <w:r w:rsidR="00B92198">
        <w:rPr>
          <w:lang w:val="en-GB"/>
        </w:rPr>
        <w:t xml:space="preserve"> 2, 2021)</w:t>
      </w:r>
      <w:r w:rsidR="00551F64">
        <w:rPr>
          <w:lang w:val="en-GB"/>
        </w:rPr>
        <w:t xml:space="preserve"> </w:t>
      </w:r>
      <w:r>
        <w:rPr>
          <w:lang w:val="en-GB"/>
        </w:rPr>
        <w:t>400</w:t>
      </w:r>
      <w:r w:rsidR="00551F64">
        <w:rPr>
          <w:lang w:val="en-GB"/>
        </w:rPr>
        <w:t>;</w:t>
      </w:r>
      <w:r w:rsidR="007A14EF" w:rsidDel="00B04521">
        <w:rPr>
          <w:lang w:val="en-GB"/>
        </w:rPr>
        <w:t xml:space="preserve"> </w:t>
      </w:r>
      <w:r w:rsidR="007A14EF">
        <w:rPr>
          <w:lang w:val="en-GB"/>
        </w:rPr>
        <w:t>Vol</w:t>
      </w:r>
      <w:r w:rsidR="00B04521">
        <w:rPr>
          <w:lang w:val="en-GB"/>
        </w:rPr>
        <w:t>ume</w:t>
      </w:r>
      <w:r w:rsidR="007A14EF">
        <w:rPr>
          <w:lang w:val="en-GB"/>
        </w:rPr>
        <w:t xml:space="preserve"> 3, </w:t>
      </w:r>
      <w:r w:rsidR="00E12138">
        <w:rPr>
          <w:lang w:val="en-GB"/>
        </w:rPr>
        <w:t>781 (</w:t>
      </w:r>
      <w:r>
        <w:rPr>
          <w:lang w:val="en-GB"/>
        </w:rPr>
        <w:t>Recommendation 84</w:t>
      </w:r>
      <w:r w:rsidR="00E12138">
        <w:rPr>
          <w:lang w:val="en-GB"/>
        </w:rPr>
        <w:t>)</w:t>
      </w:r>
      <w:r w:rsidR="00B92198">
        <w:rPr>
          <w:lang w:val="en-GB"/>
        </w:rPr>
        <w:t>.</w:t>
      </w:r>
    </w:p>
  </w:footnote>
  <w:footnote w:id="27">
    <w:p w14:paraId="7B218D61" w14:textId="022D09FF" w:rsidR="004A20CF" w:rsidRPr="00326C47" w:rsidRDefault="004A20CF" w:rsidP="004A20CF">
      <w:pPr>
        <w:pStyle w:val="FootnoteText"/>
        <w:rPr>
          <w:lang w:val="en-GB"/>
        </w:rPr>
      </w:pPr>
      <w:r>
        <w:rPr>
          <w:rStyle w:val="FootnoteReference"/>
        </w:rPr>
        <w:footnoteRef/>
      </w:r>
      <w:r>
        <w:t xml:space="preserve"> </w:t>
      </w:r>
      <w:hyperlink r:id="rId1" w:history="1">
        <w:r w:rsidRPr="0030726C">
          <w:t>Queensland Government</w:t>
        </w:r>
        <w:r w:rsidR="002A5AB3">
          <w:t xml:space="preserve">, </w:t>
        </w:r>
        <w:r w:rsidR="002A5AB3" w:rsidRPr="002A5AB3">
          <w:rPr>
            <w:i/>
            <w:iCs/>
          </w:rPr>
          <w:t>R</w:t>
        </w:r>
        <w:r w:rsidRPr="002A5AB3">
          <w:rPr>
            <w:i/>
            <w:iCs/>
          </w:rPr>
          <w:t>esponse</w:t>
        </w:r>
        <w:r w:rsidRPr="002A5AB3">
          <w:rPr>
            <w:i/>
          </w:rPr>
          <w:t xml:space="preserve"> to the report of the Queensland Women’s Safety and Justice Taskforce</w:t>
        </w:r>
        <w:r w:rsidR="00FD0507" w:rsidRPr="002A5AB3">
          <w:rPr>
            <w:i/>
          </w:rPr>
          <w:t>, Hear Her Voice</w:t>
        </w:r>
        <w:r w:rsidR="00580596" w:rsidRPr="002A5AB3">
          <w:rPr>
            <w:i/>
          </w:rPr>
          <w:t xml:space="preserve"> –</w:t>
        </w:r>
        <w:r w:rsidR="00FD0507" w:rsidRPr="002A5AB3">
          <w:rPr>
            <w:i/>
          </w:rPr>
          <w:t xml:space="preserve"> </w:t>
        </w:r>
        <w:r w:rsidRPr="002A5AB3">
          <w:rPr>
            <w:i/>
          </w:rPr>
          <w:t xml:space="preserve">Report </w:t>
        </w:r>
        <w:r w:rsidR="00FD0507" w:rsidRPr="002A5AB3">
          <w:rPr>
            <w:i/>
            <w:iCs/>
          </w:rPr>
          <w:t>One</w:t>
        </w:r>
        <w:r w:rsidR="00050E7D" w:rsidRPr="0030726C">
          <w:t xml:space="preserve"> </w:t>
        </w:r>
        <w:r w:rsidR="004919F3" w:rsidRPr="0030726C">
          <w:t>(</w:t>
        </w:r>
        <w:r w:rsidR="00F13DAC" w:rsidRPr="0030726C">
          <w:t>2022</w:t>
        </w:r>
        <w:r w:rsidRPr="0030726C" w:rsidDel="00050E7D">
          <w:t>)</w:t>
        </w:r>
      </w:hyperlink>
      <w:r w:rsidR="00050E7D" w:rsidRPr="0030726C">
        <w:t>.</w:t>
      </w:r>
    </w:p>
  </w:footnote>
  <w:footnote w:id="28">
    <w:p w14:paraId="7C2FA03E" w14:textId="37AB0399" w:rsidR="00751895" w:rsidRPr="00751895" w:rsidRDefault="00751895">
      <w:pPr>
        <w:pStyle w:val="FootnoteText"/>
        <w:rPr>
          <w:lang w:val="en-US"/>
        </w:rPr>
      </w:pPr>
      <w:r>
        <w:rPr>
          <w:rStyle w:val="FootnoteReference"/>
        </w:rPr>
        <w:footnoteRef/>
      </w:r>
      <w:r>
        <w:t xml:space="preserve"> </w:t>
      </w:r>
      <w:r w:rsidR="00A72C27">
        <w:rPr>
          <w:lang w:val="en-GB"/>
        </w:rPr>
        <w:t>Criminal Law (Coercive Control and Affirmative Consent) and Other Legislation Amendment Bill 2023</w:t>
      </w:r>
      <w:r w:rsidR="00014D51">
        <w:rPr>
          <w:lang w:val="en-GB"/>
        </w:rPr>
        <w:t xml:space="preserve"> </w:t>
      </w:r>
      <w:r w:rsidR="00FA439E">
        <w:rPr>
          <w:lang w:val="en-GB"/>
        </w:rPr>
        <w:t xml:space="preserve">(Qld) </w:t>
      </w:r>
      <w:r>
        <w:rPr>
          <w:lang w:val="en-US"/>
        </w:rPr>
        <w:t>cl</w:t>
      </w:r>
      <w:r w:rsidR="000D34D9">
        <w:rPr>
          <w:lang w:val="en-US"/>
        </w:rPr>
        <w:t>s</w:t>
      </w:r>
      <w:r>
        <w:rPr>
          <w:lang w:val="en-US"/>
        </w:rPr>
        <w:t xml:space="preserve"> </w:t>
      </w:r>
      <w:r w:rsidR="000A0D4B">
        <w:rPr>
          <w:lang w:val="en-US"/>
        </w:rPr>
        <w:t>5</w:t>
      </w:r>
      <w:r w:rsidR="00702F89">
        <w:rPr>
          <w:lang w:val="en-US"/>
        </w:rPr>
        <w:t>,</w:t>
      </w:r>
      <w:r w:rsidR="00235DCF">
        <w:rPr>
          <w:lang w:val="en-US"/>
        </w:rPr>
        <w:t xml:space="preserve"> 96</w:t>
      </w:r>
      <w:r w:rsidR="00702F89">
        <w:rPr>
          <w:lang w:val="en-US"/>
        </w:rPr>
        <w:t>–</w:t>
      </w:r>
      <w:r w:rsidR="00235DCF">
        <w:rPr>
          <w:lang w:val="en-US"/>
        </w:rPr>
        <w:t>97</w:t>
      </w:r>
      <w:r w:rsidR="000A0D4B">
        <w:rPr>
          <w:lang w:val="en-US"/>
        </w:rPr>
        <w:t>.</w:t>
      </w:r>
    </w:p>
  </w:footnote>
  <w:footnote w:id="29">
    <w:p w14:paraId="40C6A219" w14:textId="67C7A247" w:rsidR="00407FBE" w:rsidRPr="00001B45" w:rsidRDefault="00407FBE" w:rsidP="00407FBE">
      <w:pPr>
        <w:pStyle w:val="FootnoteText"/>
        <w:rPr>
          <w:lang w:val="en-US"/>
        </w:rPr>
      </w:pPr>
      <w:r>
        <w:rPr>
          <w:rStyle w:val="FootnoteReference"/>
        </w:rPr>
        <w:footnoteRef/>
      </w:r>
      <w:r>
        <w:t xml:space="preserve"> </w:t>
      </w:r>
      <w:r>
        <w:rPr>
          <w:i/>
          <w:iCs/>
          <w:lang w:val="en-GB"/>
        </w:rPr>
        <w:t xml:space="preserve">Human Rights Act 2019 </w:t>
      </w:r>
      <w:r w:rsidR="00FA439E">
        <w:rPr>
          <w:lang w:val="en-GB"/>
        </w:rPr>
        <w:t xml:space="preserve">(Qld) </w:t>
      </w:r>
      <w:r>
        <w:rPr>
          <w:lang w:val="en-GB"/>
        </w:rPr>
        <w:t>s 26(1).</w:t>
      </w:r>
    </w:p>
  </w:footnote>
  <w:footnote w:id="30">
    <w:p w14:paraId="1F455EB1" w14:textId="128F1AFE" w:rsidR="00407FBE" w:rsidRPr="00001B45" w:rsidRDefault="00407FBE" w:rsidP="00407FBE">
      <w:pPr>
        <w:pStyle w:val="FootnoteText"/>
        <w:rPr>
          <w:lang w:val="en-US"/>
        </w:rPr>
      </w:pPr>
      <w:r>
        <w:rPr>
          <w:rStyle w:val="FootnoteReference"/>
        </w:rPr>
        <w:footnoteRef/>
      </w:r>
      <w:r>
        <w:t xml:space="preserve"> </w:t>
      </w:r>
      <w:r w:rsidR="00702F89">
        <w:rPr>
          <w:i/>
          <w:iCs/>
          <w:lang w:val="en-GB"/>
        </w:rPr>
        <w:t xml:space="preserve">Human Rights Act 2019 </w:t>
      </w:r>
      <w:r w:rsidR="00FA439E">
        <w:rPr>
          <w:lang w:val="en-GB"/>
        </w:rPr>
        <w:t>(Qld)</w:t>
      </w:r>
      <w:r>
        <w:rPr>
          <w:lang w:val="en-US"/>
        </w:rPr>
        <w:t xml:space="preserve"> s 26(2).</w:t>
      </w:r>
    </w:p>
  </w:footnote>
  <w:footnote w:id="31">
    <w:p w14:paraId="434E7C53" w14:textId="170B305B" w:rsidR="00407FBE" w:rsidRPr="00001B45" w:rsidRDefault="00407FBE" w:rsidP="00407FBE">
      <w:pPr>
        <w:pStyle w:val="FootnoteText"/>
        <w:rPr>
          <w:lang w:val="en-US"/>
        </w:rPr>
      </w:pPr>
      <w:r>
        <w:rPr>
          <w:rStyle w:val="FootnoteReference"/>
        </w:rPr>
        <w:footnoteRef/>
      </w:r>
      <w:r>
        <w:t xml:space="preserve"> </w:t>
      </w:r>
      <w:r w:rsidR="00702F89">
        <w:rPr>
          <w:i/>
          <w:iCs/>
          <w:lang w:val="en-GB"/>
        </w:rPr>
        <w:t xml:space="preserve">Human Rights Act 2019 </w:t>
      </w:r>
      <w:r w:rsidR="00FA439E">
        <w:rPr>
          <w:lang w:val="en-GB"/>
        </w:rPr>
        <w:t>(Qld)</w:t>
      </w:r>
      <w:r>
        <w:t xml:space="preserve"> s 28(2)(a) and (c).</w:t>
      </w:r>
    </w:p>
  </w:footnote>
  <w:footnote w:id="32">
    <w:p w14:paraId="07B07B03" w14:textId="0A6702E4" w:rsidR="00407FBE" w:rsidRPr="00EE613B" w:rsidRDefault="00407FBE" w:rsidP="00407FBE">
      <w:pPr>
        <w:pStyle w:val="FootnoteText"/>
        <w:rPr>
          <w:lang w:val="en-US"/>
        </w:rPr>
      </w:pPr>
      <w:r>
        <w:rPr>
          <w:rStyle w:val="FootnoteReference"/>
        </w:rPr>
        <w:footnoteRef/>
      </w:r>
      <w:r>
        <w:t xml:space="preserve"> </w:t>
      </w:r>
      <w:r w:rsidRPr="002D348F">
        <w:rPr>
          <w:lang w:val="en-US"/>
        </w:rPr>
        <w:t xml:space="preserve">Explanatory Notes, </w:t>
      </w:r>
      <w:r w:rsidR="00D00E36">
        <w:rPr>
          <w:lang w:val="en-GB"/>
        </w:rPr>
        <w:t xml:space="preserve">Criminal Law (Coercive Control and Affirmative Consent) and Other Legislation Amendment Bill 2023 </w:t>
      </w:r>
      <w:r w:rsidR="00FA439E">
        <w:rPr>
          <w:lang w:val="en-GB"/>
        </w:rPr>
        <w:t xml:space="preserve">(Qld) </w:t>
      </w:r>
      <w:r w:rsidRPr="002D348F">
        <w:rPr>
          <w:lang w:val="en-US"/>
        </w:rPr>
        <w:t>3.</w:t>
      </w:r>
    </w:p>
  </w:footnote>
  <w:footnote w:id="33">
    <w:p w14:paraId="50FADD61" w14:textId="49EFDEDD" w:rsidR="00235DCF" w:rsidRPr="00235DCF" w:rsidRDefault="00235DCF">
      <w:pPr>
        <w:pStyle w:val="FootnoteText"/>
        <w:rPr>
          <w:lang w:val="en-US"/>
        </w:rPr>
      </w:pPr>
      <w:r>
        <w:rPr>
          <w:rStyle w:val="FootnoteReference"/>
        </w:rPr>
        <w:footnoteRef/>
      </w:r>
      <w:r>
        <w:t xml:space="preserve"> </w:t>
      </w:r>
      <w:r w:rsidR="000762AA">
        <w:rPr>
          <w:lang w:val="en-GB"/>
        </w:rPr>
        <w:t xml:space="preserve">Criminal Law (Coercive Control and Affirmative Consent) and Other Legislation Amendment Bill 2023 (Qld) </w:t>
      </w:r>
      <w:r>
        <w:rPr>
          <w:lang w:val="en-US"/>
        </w:rPr>
        <w:t>cl</w:t>
      </w:r>
      <w:r w:rsidR="000762AA">
        <w:rPr>
          <w:lang w:val="en-US"/>
        </w:rPr>
        <w:t>s</w:t>
      </w:r>
      <w:r>
        <w:rPr>
          <w:lang w:val="en-US"/>
        </w:rPr>
        <w:t xml:space="preserve"> 83</w:t>
      </w:r>
      <w:r w:rsidR="00A725FF">
        <w:rPr>
          <w:lang w:val="en-US"/>
        </w:rPr>
        <w:t>,</w:t>
      </w:r>
      <w:r w:rsidDel="00A725FF">
        <w:rPr>
          <w:lang w:val="en-US"/>
        </w:rPr>
        <w:t xml:space="preserve"> </w:t>
      </w:r>
      <w:r>
        <w:rPr>
          <w:lang w:val="en-US"/>
        </w:rPr>
        <w:t>100</w:t>
      </w:r>
      <w:r w:rsidR="00A725FF">
        <w:rPr>
          <w:lang w:val="en-US"/>
        </w:rPr>
        <w:t>.</w:t>
      </w:r>
      <w:r>
        <w:rPr>
          <w:lang w:val="en-US"/>
        </w:rPr>
        <w:t xml:space="preserve"> </w:t>
      </w:r>
    </w:p>
  </w:footnote>
  <w:footnote w:id="34">
    <w:p w14:paraId="4D611E85" w14:textId="19AFD73D" w:rsidR="00CB7C53" w:rsidRDefault="00CB7C53" w:rsidP="00CB7C53">
      <w:pPr>
        <w:pStyle w:val="FootnoteText"/>
        <w:rPr>
          <w:color w:val="auto"/>
        </w:rPr>
      </w:pPr>
      <w:r>
        <w:rPr>
          <w:rStyle w:val="FootnoteReference"/>
        </w:rPr>
        <w:footnoteRef/>
      </w:r>
      <w:r>
        <w:t xml:space="preserve"> </w:t>
      </w:r>
      <w:bookmarkStart w:id="22" w:name="_Hlk149072770"/>
      <w:r w:rsidR="0067260D">
        <w:rPr>
          <w:i/>
          <w:iCs/>
        </w:rPr>
        <w:t xml:space="preserve">Human Rights Act 2019 </w:t>
      </w:r>
      <w:r w:rsidR="0067260D">
        <w:t xml:space="preserve">(Qld) </w:t>
      </w:r>
      <w:bookmarkEnd w:id="22"/>
      <w:r>
        <w:t>s 16</w:t>
      </w:r>
      <w:r w:rsidR="0067260D">
        <w:t>.</w:t>
      </w:r>
    </w:p>
  </w:footnote>
  <w:footnote w:id="35">
    <w:p w14:paraId="21DCBBA5" w14:textId="1245967C" w:rsidR="00CB7C53" w:rsidRDefault="00CB7C53" w:rsidP="00CB7C53">
      <w:pPr>
        <w:pStyle w:val="FootnoteText"/>
      </w:pPr>
      <w:r>
        <w:rPr>
          <w:rStyle w:val="FootnoteReference"/>
        </w:rPr>
        <w:footnoteRef/>
      </w:r>
      <w:r>
        <w:t xml:space="preserve"> </w:t>
      </w:r>
      <w:r w:rsidR="00DF19D8">
        <w:rPr>
          <w:i/>
          <w:iCs/>
        </w:rPr>
        <w:t xml:space="preserve">Human Rights Act 2019 </w:t>
      </w:r>
      <w:r w:rsidR="00DF19D8">
        <w:t xml:space="preserve">(Qld) </w:t>
      </w:r>
      <w:r w:rsidR="0067260D">
        <w:t xml:space="preserve"> </w:t>
      </w:r>
      <w:r>
        <w:t>s 17</w:t>
      </w:r>
      <w:r w:rsidR="0067260D">
        <w:t>.</w:t>
      </w:r>
    </w:p>
  </w:footnote>
  <w:footnote w:id="36">
    <w:p w14:paraId="2C176EED" w14:textId="12AAD07E" w:rsidR="00CB7C53" w:rsidRDefault="00CB7C53" w:rsidP="00CB7C53">
      <w:pPr>
        <w:pStyle w:val="FootnoteText"/>
      </w:pPr>
      <w:r>
        <w:rPr>
          <w:rStyle w:val="FootnoteReference"/>
        </w:rPr>
        <w:footnoteRef/>
      </w:r>
      <w:r>
        <w:t xml:space="preserve"> </w:t>
      </w:r>
      <w:r w:rsidR="00DF19D8">
        <w:rPr>
          <w:i/>
          <w:iCs/>
        </w:rPr>
        <w:t xml:space="preserve">Human Rights Act 2019 </w:t>
      </w:r>
      <w:r w:rsidR="00DF19D8">
        <w:t xml:space="preserve">(Qld) </w:t>
      </w:r>
      <w:r>
        <w:t xml:space="preserve"> s 15</w:t>
      </w:r>
      <w:r w:rsidR="0067260D">
        <w:t xml:space="preserve">. </w:t>
      </w:r>
    </w:p>
  </w:footnote>
  <w:footnote w:id="37">
    <w:p w14:paraId="1A07469A" w14:textId="28F0302D" w:rsidR="00CB7C53" w:rsidRDefault="00CB7C53" w:rsidP="00CB7C53">
      <w:pPr>
        <w:pStyle w:val="FootnoteText"/>
      </w:pPr>
      <w:r>
        <w:rPr>
          <w:rStyle w:val="FootnoteReference"/>
        </w:rPr>
        <w:footnoteRef/>
      </w:r>
      <w:r>
        <w:t xml:space="preserve"> The Queensland Government’s</w:t>
      </w:r>
      <w:r w:rsidR="000A0164">
        <w:t xml:space="preserve"> </w:t>
      </w:r>
      <w:r w:rsidR="00072992">
        <w:t xml:space="preserve">2019 </w:t>
      </w:r>
      <w:r w:rsidR="000A0164">
        <w:t>publication,</w:t>
      </w:r>
      <w:r>
        <w:t xml:space="preserve"> </w:t>
      </w:r>
      <w:r>
        <w:rPr>
          <w:i/>
        </w:rPr>
        <w:t>Prevent. Support. Believe. Queensland’s Framework to address Sexual Violence</w:t>
      </w:r>
      <w:r w:rsidR="00072992">
        <w:t>,</w:t>
      </w:r>
      <w:r w:rsidDel="00072992">
        <w:t xml:space="preserve"> </w:t>
      </w:r>
      <w:r>
        <w:t xml:space="preserve">notes that around </w:t>
      </w:r>
      <w:r w:rsidR="00E5181E">
        <w:t xml:space="preserve">one </w:t>
      </w:r>
      <w:r>
        <w:t xml:space="preserve">in 5 women and </w:t>
      </w:r>
      <w:r w:rsidR="00E5181E">
        <w:t>one</w:t>
      </w:r>
      <w:r>
        <w:t xml:space="preserve"> in 20 men have experienced sexual violence since the age of 15. In 2018, there were almost </w:t>
      </w:r>
      <w:r w:rsidR="00EC793D">
        <w:t>6</w:t>
      </w:r>
      <w:r>
        <w:t xml:space="preserve"> times more female victims of reported sexual assault than male victims in Queensland. In 2017-18, 95.8% of reported perpetrators of sexual offences in Queensland were identified as male. </w:t>
      </w:r>
    </w:p>
  </w:footnote>
  <w:footnote w:id="38">
    <w:p w14:paraId="2D8E23F5" w14:textId="5F135C04" w:rsidR="004A6ACA" w:rsidRPr="00977E24" w:rsidRDefault="004A6ACA" w:rsidP="004A6ACA">
      <w:pPr>
        <w:pStyle w:val="FootnoteText"/>
        <w:rPr>
          <w:lang w:val="en-GB"/>
        </w:rPr>
      </w:pPr>
      <w:r>
        <w:rPr>
          <w:rStyle w:val="FootnoteReference"/>
        </w:rPr>
        <w:footnoteRef/>
      </w:r>
      <w:r>
        <w:t xml:space="preserve"> Z Stardust </w:t>
      </w:r>
      <w:r w:rsidR="0098436F">
        <w:t>and</w:t>
      </w:r>
      <w:r>
        <w:t xml:space="preserve"> H Caldwell, ‘Archetypal </w:t>
      </w:r>
      <w:r w:rsidR="000A54D6">
        <w:t>S</w:t>
      </w:r>
      <w:r>
        <w:t xml:space="preserve">luts: </w:t>
      </w:r>
      <w:r w:rsidR="000A54D6">
        <w:t>P</w:t>
      </w:r>
      <w:r>
        <w:t xml:space="preserve">ayment of </w:t>
      </w:r>
      <w:r w:rsidR="000A54D6">
        <w:t>S</w:t>
      </w:r>
      <w:r>
        <w:t xml:space="preserve">ex </w:t>
      </w:r>
      <w:r w:rsidR="000A54D6">
        <w:t>W</w:t>
      </w:r>
      <w:r>
        <w:t xml:space="preserve">orkers as a </w:t>
      </w:r>
      <w:r w:rsidR="000A54D6">
        <w:t>C</w:t>
      </w:r>
      <w:r>
        <w:t xml:space="preserve">ondition of </w:t>
      </w:r>
      <w:r w:rsidR="000A54D6">
        <w:t>C</w:t>
      </w:r>
      <w:r>
        <w:t xml:space="preserve">onsent’ in K Gleeson </w:t>
      </w:r>
      <w:r w:rsidR="000E6499">
        <w:t>and</w:t>
      </w:r>
      <w:r w:rsidDel="000E6499">
        <w:t xml:space="preserve"> </w:t>
      </w:r>
      <w:r>
        <w:t xml:space="preserve">Y Russell (eds), </w:t>
      </w:r>
      <w:r w:rsidRPr="002D348F">
        <w:rPr>
          <w:i/>
        </w:rPr>
        <w:t>New Directions in Sexual Violence Scholarship</w:t>
      </w:r>
      <w:r>
        <w:t xml:space="preserve"> (Routledge, 2023 forthcoming) as cited in </w:t>
      </w:r>
      <w:r>
        <w:rPr>
          <w:lang w:val="en-GB"/>
        </w:rPr>
        <w:t xml:space="preserve">Queensland Law Reform Commission, </w:t>
      </w:r>
      <w:r>
        <w:rPr>
          <w:i/>
          <w:iCs/>
          <w:lang w:val="en-GB"/>
        </w:rPr>
        <w:t xml:space="preserve">A decriminalised sex work industry for Queensland </w:t>
      </w:r>
      <w:r>
        <w:rPr>
          <w:lang w:val="en-GB"/>
        </w:rPr>
        <w:t>(Report 1, 2023) 188 [8.10].</w:t>
      </w:r>
    </w:p>
  </w:footnote>
  <w:footnote w:id="39">
    <w:p w14:paraId="4830AD18" w14:textId="1AAD9391" w:rsidR="004A6ACA" w:rsidRPr="004A6ACA" w:rsidRDefault="004A6ACA">
      <w:pPr>
        <w:pStyle w:val="FootnoteText"/>
        <w:rPr>
          <w:lang w:val="en-GB"/>
        </w:rPr>
      </w:pPr>
      <w:r>
        <w:rPr>
          <w:rStyle w:val="FootnoteReference"/>
        </w:rPr>
        <w:footnoteRef/>
      </w:r>
      <w:r>
        <w:t xml:space="preserve"> </w:t>
      </w:r>
      <w:r>
        <w:rPr>
          <w:i/>
          <w:iCs/>
          <w:lang w:val="en-GB"/>
        </w:rPr>
        <w:t xml:space="preserve">Human Rights Act 2019 </w:t>
      </w:r>
      <w:r>
        <w:rPr>
          <w:lang w:val="en-GB"/>
        </w:rPr>
        <w:t xml:space="preserve">(Qld) s 32(1). </w:t>
      </w:r>
    </w:p>
  </w:footnote>
  <w:footnote w:id="40">
    <w:p w14:paraId="28C8B037" w14:textId="77777777" w:rsidR="00EC7E9E" w:rsidRPr="00D35566" w:rsidRDefault="00EC7E9E" w:rsidP="00EC7E9E">
      <w:pPr>
        <w:pStyle w:val="FootnoteText"/>
        <w:rPr>
          <w:lang w:val="en-GB"/>
        </w:rPr>
      </w:pPr>
      <w:r>
        <w:rPr>
          <w:rStyle w:val="FootnoteReference"/>
        </w:rPr>
        <w:footnoteRef/>
      </w:r>
      <w:r>
        <w:t xml:space="preserve"> </w:t>
      </w:r>
      <w:r>
        <w:rPr>
          <w:lang w:val="en-GB"/>
        </w:rPr>
        <w:t xml:space="preserve">Queensland Law Reform Commission, </w:t>
      </w:r>
      <w:r>
        <w:rPr>
          <w:i/>
          <w:iCs/>
          <w:lang w:val="en-GB"/>
        </w:rPr>
        <w:t xml:space="preserve">A decriminalised sex work industry for Queensland </w:t>
      </w:r>
      <w:r>
        <w:rPr>
          <w:lang w:val="en-GB"/>
        </w:rPr>
        <w:t xml:space="preserve">(Report 1, 2023) 189 [8.18]. </w:t>
      </w:r>
    </w:p>
  </w:footnote>
  <w:footnote w:id="41">
    <w:p w14:paraId="022FACF0" w14:textId="77777777" w:rsidR="00EC7E9E" w:rsidRPr="00D35566" w:rsidRDefault="00EC7E9E" w:rsidP="00EC7E9E">
      <w:pPr>
        <w:pStyle w:val="FootnoteText"/>
        <w:rPr>
          <w:lang w:val="en-GB"/>
        </w:rPr>
      </w:pPr>
      <w:r>
        <w:rPr>
          <w:rStyle w:val="FootnoteReference"/>
        </w:rPr>
        <w:footnoteRef/>
      </w:r>
      <w:r>
        <w:t xml:space="preserve"> </w:t>
      </w:r>
      <w:r>
        <w:rPr>
          <w:lang w:val="en-GB"/>
        </w:rPr>
        <w:t xml:space="preserve">Queensland Law Reform Commission, </w:t>
      </w:r>
      <w:r>
        <w:rPr>
          <w:i/>
          <w:iCs/>
          <w:lang w:val="en-GB"/>
        </w:rPr>
        <w:t xml:space="preserve">A decriminalised sex work industry for Queensland </w:t>
      </w:r>
      <w:r>
        <w:rPr>
          <w:lang w:val="en-GB"/>
        </w:rPr>
        <w:t>(Report 1, 2023) 189 [8.20].</w:t>
      </w:r>
    </w:p>
  </w:footnote>
  <w:footnote w:id="42">
    <w:p w14:paraId="4C9DDC2B" w14:textId="01E62CA1" w:rsidR="002D348F" w:rsidRPr="002D348F" w:rsidRDefault="002D348F">
      <w:pPr>
        <w:pStyle w:val="FootnoteText"/>
      </w:pPr>
      <w:r>
        <w:rPr>
          <w:rStyle w:val="FootnoteReference"/>
        </w:rPr>
        <w:footnoteRef/>
      </w:r>
      <w:r>
        <w:t xml:space="preserve"> </w:t>
      </w:r>
      <w:r>
        <w:rPr>
          <w:lang w:val="en-GB"/>
        </w:rPr>
        <w:t xml:space="preserve">Criminal Law (Coercive Control and Affirmative Consent) and Other Legislation Amendment Bill 2023 (Qld) </w:t>
      </w:r>
      <w:r w:rsidR="00A00EEE">
        <w:rPr>
          <w:lang w:val="en-US"/>
        </w:rPr>
        <w:t>cl 13.</w:t>
      </w:r>
    </w:p>
  </w:footnote>
  <w:footnote w:id="43">
    <w:p w14:paraId="600C6135" w14:textId="1A00974B" w:rsidR="009C1AF7" w:rsidRPr="009C1AF7" w:rsidRDefault="009C1AF7">
      <w:pPr>
        <w:pStyle w:val="FootnoteText"/>
      </w:pPr>
      <w:r>
        <w:rPr>
          <w:rStyle w:val="FootnoteReference"/>
        </w:rPr>
        <w:footnoteRef/>
      </w:r>
      <w:r>
        <w:t xml:space="preserve"> </w:t>
      </w:r>
      <w:r w:rsidR="006B086F" w:rsidRPr="002D348F">
        <w:rPr>
          <w:lang w:val="en-US"/>
        </w:rPr>
        <w:t xml:space="preserve">Explanatory Notes, </w:t>
      </w:r>
      <w:r w:rsidR="006B086F" w:rsidRPr="002D348F">
        <w:rPr>
          <w:lang w:val="en-GB"/>
        </w:rPr>
        <w:t xml:space="preserve">Criminal Law (Coercive Control and Affirmative Consent) and Other Legislation Amendment Bill 2023 (Qld) </w:t>
      </w:r>
      <w:r w:rsidR="00AE0C4A">
        <w:rPr>
          <w:lang w:val="en-US"/>
        </w:rPr>
        <w:t>8</w:t>
      </w:r>
      <w:r w:rsidR="006B086F">
        <w:rPr>
          <w:lang w:val="en-US"/>
        </w:rPr>
        <w:t>.</w:t>
      </w:r>
    </w:p>
  </w:footnote>
  <w:footnote w:id="44">
    <w:p w14:paraId="51C03639" w14:textId="7FCF71A0" w:rsidR="00EE45BA" w:rsidRPr="00EE45BA" w:rsidRDefault="00EE45BA">
      <w:pPr>
        <w:pStyle w:val="FootnoteText"/>
      </w:pPr>
      <w:r>
        <w:rPr>
          <w:rStyle w:val="FootnoteReference"/>
        </w:rPr>
        <w:footnoteRef/>
      </w:r>
      <w:r>
        <w:t xml:space="preserve"> </w:t>
      </w:r>
      <w:r w:rsidR="00243FC3">
        <w:rPr>
          <w:lang w:val="en-GB"/>
        </w:rPr>
        <w:t>Criminal Law (Coercive Control and Affirmative Consent) and Other Legislation Amendment Bill 2023 (Qld)</w:t>
      </w:r>
      <w:r w:rsidR="00320F2A">
        <w:rPr>
          <w:lang w:val="en-GB"/>
        </w:rPr>
        <w:t xml:space="preserve"> </w:t>
      </w:r>
      <w:r w:rsidRPr="003C68C6">
        <w:t>cl</w:t>
      </w:r>
      <w:r w:rsidR="00245473" w:rsidRPr="003C68C6">
        <w:t xml:space="preserve"> 56, </w:t>
      </w:r>
      <w:r w:rsidR="002B23D1" w:rsidRPr="003C68C6">
        <w:t>59</w:t>
      </w:r>
      <w:r w:rsidR="003C68C6" w:rsidRPr="003C68C6">
        <w:t>.</w:t>
      </w:r>
    </w:p>
  </w:footnote>
  <w:footnote w:id="45">
    <w:p w14:paraId="60FBEE29" w14:textId="6DD42D01" w:rsidR="00472DEC" w:rsidRPr="00472DEC" w:rsidRDefault="00472DEC">
      <w:pPr>
        <w:pStyle w:val="FootnoteText"/>
      </w:pPr>
      <w:r>
        <w:rPr>
          <w:rStyle w:val="FootnoteReference"/>
        </w:rPr>
        <w:footnoteRef/>
      </w:r>
      <w:r>
        <w:t xml:space="preserve"> </w:t>
      </w:r>
      <w:r w:rsidR="00320F2A">
        <w:rPr>
          <w:lang w:val="en-GB"/>
        </w:rPr>
        <w:t xml:space="preserve">Criminal Law (Coercive Control and Affirmative Consent) and Other Legislation Amendment Bill 2023 (Qld) </w:t>
      </w:r>
      <w:r w:rsidRPr="003C68C6">
        <w:t>cl</w:t>
      </w:r>
      <w:r>
        <w:t xml:space="preserve"> </w:t>
      </w:r>
      <w:r w:rsidR="003C68C6" w:rsidRPr="003C68C6">
        <w:t>59.</w:t>
      </w:r>
    </w:p>
  </w:footnote>
  <w:footnote w:id="46">
    <w:p w14:paraId="1CA4F702" w14:textId="4D92ADEA" w:rsidR="00472DEC" w:rsidRPr="00472DEC" w:rsidRDefault="00472DEC">
      <w:pPr>
        <w:pStyle w:val="FootnoteText"/>
      </w:pPr>
      <w:r>
        <w:rPr>
          <w:rStyle w:val="FootnoteReference"/>
        </w:rPr>
        <w:footnoteRef/>
      </w:r>
      <w:r>
        <w:t xml:space="preserve"> </w:t>
      </w:r>
      <w:r w:rsidR="00BF0985">
        <w:t xml:space="preserve">Women’s Safety and Justice Taskforce, </w:t>
      </w:r>
      <w:r w:rsidR="00BF0985" w:rsidRPr="00CE6D6B">
        <w:rPr>
          <w:i/>
          <w:iCs/>
        </w:rPr>
        <w:t xml:space="preserve">Hear Her Voice Report </w:t>
      </w:r>
      <w:r w:rsidR="00BF0985">
        <w:rPr>
          <w:i/>
          <w:iCs/>
        </w:rPr>
        <w:t>T</w:t>
      </w:r>
      <w:r w:rsidR="00DC0D23">
        <w:rPr>
          <w:i/>
          <w:iCs/>
        </w:rPr>
        <w:t>wo</w:t>
      </w:r>
      <w:r w:rsidR="00BF0985">
        <w:rPr>
          <w:lang w:val="en-GB"/>
        </w:rPr>
        <w:t xml:space="preserve">: </w:t>
      </w:r>
      <w:r w:rsidR="00B5789D">
        <w:rPr>
          <w:lang w:val="en-GB"/>
        </w:rPr>
        <w:t xml:space="preserve">Women and girls’ experiences </w:t>
      </w:r>
      <w:r w:rsidR="00D7542D">
        <w:rPr>
          <w:lang w:val="en-GB"/>
        </w:rPr>
        <w:t>across the criminal justice system</w:t>
      </w:r>
      <w:r w:rsidR="00BF0985">
        <w:rPr>
          <w:lang w:val="en-GB"/>
        </w:rPr>
        <w:t xml:space="preserve"> (Volume </w:t>
      </w:r>
      <w:r w:rsidR="00DC0D23">
        <w:rPr>
          <w:lang w:val="en-GB"/>
        </w:rPr>
        <w:t>1</w:t>
      </w:r>
      <w:r w:rsidR="00BF0985">
        <w:rPr>
          <w:lang w:val="en-GB"/>
        </w:rPr>
        <w:t>, 202</w:t>
      </w:r>
      <w:r w:rsidR="00D7542D">
        <w:rPr>
          <w:lang w:val="en-GB"/>
        </w:rPr>
        <w:t>2</w:t>
      </w:r>
      <w:r w:rsidR="00BF0985">
        <w:rPr>
          <w:lang w:val="en-GB"/>
        </w:rPr>
        <w:t>)</w:t>
      </w:r>
      <w:r>
        <w:t xml:space="preserve"> 263, 271.</w:t>
      </w:r>
    </w:p>
  </w:footnote>
  <w:footnote w:id="47">
    <w:p w14:paraId="1CCF56C1" w14:textId="3811AE4B" w:rsidR="00981CA9" w:rsidRPr="00981CA9" w:rsidRDefault="00981CA9">
      <w:pPr>
        <w:pStyle w:val="FootnoteText"/>
        <w:rPr>
          <w:lang w:val="en-GB"/>
        </w:rPr>
      </w:pPr>
      <w:r>
        <w:rPr>
          <w:rStyle w:val="FootnoteReference"/>
        </w:rPr>
        <w:footnoteRef/>
      </w:r>
      <w:r>
        <w:t xml:space="preserve"> </w:t>
      </w:r>
      <w:r>
        <w:rPr>
          <w:lang w:val="en-GB"/>
        </w:rPr>
        <w:t xml:space="preserve">Between 2006 and 2016, as few as 13% of female victims of sexual assault in Australia contacted police about the most recent incident. See </w:t>
      </w:r>
      <w:r>
        <w:t xml:space="preserve">Australian Bureau of Statistics, </w:t>
      </w:r>
      <w:r w:rsidRPr="00981CA9">
        <w:rPr>
          <w:i/>
          <w:iCs/>
        </w:rPr>
        <w:t>Personal Safety, Australia: Statistics for family, domestic, sexual violence, physical assault, partner emotional abuse, child abuse, sexual harassment, stalking and safety 2016</w:t>
      </w:r>
      <w:r>
        <w:t xml:space="preserve"> (Catalogue No 4906.0, 18 November 2017).</w:t>
      </w:r>
    </w:p>
  </w:footnote>
  <w:footnote w:id="48">
    <w:p w14:paraId="6A10E7FE" w14:textId="4DB6151C" w:rsidR="00981CA9" w:rsidRPr="00981CA9" w:rsidRDefault="00981CA9" w:rsidP="00981CA9">
      <w:pPr>
        <w:pStyle w:val="FootnoteText"/>
        <w:rPr>
          <w:lang w:val="en-GB"/>
        </w:rPr>
      </w:pPr>
      <w:r>
        <w:rPr>
          <w:rStyle w:val="FootnoteReference"/>
        </w:rPr>
        <w:footnoteRef/>
      </w:r>
      <w:r>
        <w:t xml:space="preserve"> Around </w:t>
      </w:r>
      <w:r>
        <w:rPr>
          <w:lang w:val="en-GB"/>
        </w:rPr>
        <w:t xml:space="preserve">20% of sexual assault cases reported to police result in charges. See </w:t>
      </w:r>
      <w:r w:rsidRPr="00981CA9">
        <w:rPr>
          <w:lang w:val="en-GB"/>
        </w:rPr>
        <w:t xml:space="preserve">Australian Institute of Criminology, </w:t>
      </w:r>
      <w:r w:rsidRPr="002D348F">
        <w:rPr>
          <w:i/>
          <w:lang w:val="en-GB"/>
        </w:rPr>
        <w:t>Guilty outcomes in reported sexual assault and related offence incidents</w:t>
      </w:r>
      <w:r w:rsidR="00B611C8">
        <w:rPr>
          <w:lang w:val="en-GB"/>
        </w:rPr>
        <w:t xml:space="preserve"> </w:t>
      </w:r>
      <w:r w:rsidRPr="00981CA9">
        <w:rPr>
          <w:lang w:val="en-GB"/>
        </w:rPr>
        <w:t>(Factsheet No 162, December 2007).</w:t>
      </w:r>
    </w:p>
  </w:footnote>
  <w:footnote w:id="49">
    <w:p w14:paraId="5055A6DE" w14:textId="771E714E" w:rsidR="00981CA9" w:rsidRPr="002D348F" w:rsidRDefault="00981CA9" w:rsidP="00981CA9">
      <w:pPr>
        <w:pStyle w:val="FootnoteText"/>
        <w:rPr>
          <w:lang w:val="en-GB"/>
        </w:rPr>
      </w:pPr>
      <w:r>
        <w:rPr>
          <w:rStyle w:val="FootnoteReference"/>
        </w:rPr>
        <w:footnoteRef/>
      </w:r>
      <w:r>
        <w:t xml:space="preserve"> </w:t>
      </w:r>
      <w:r w:rsidR="00DF1947">
        <w:t>Around 40% of defendants who plead not guilty are found guilty.</w:t>
      </w:r>
      <w:r w:rsidR="00156971">
        <w:t xml:space="preserve"> </w:t>
      </w:r>
      <w:r w:rsidR="00156971">
        <w:rPr>
          <w:lang w:val="en-GB"/>
        </w:rPr>
        <w:t xml:space="preserve">See </w:t>
      </w:r>
      <w:r w:rsidR="00156971" w:rsidRPr="00981CA9">
        <w:rPr>
          <w:lang w:val="en-GB"/>
        </w:rPr>
        <w:t xml:space="preserve">Australian Institute of Criminology, </w:t>
      </w:r>
      <w:r w:rsidR="00156971" w:rsidRPr="002D348F">
        <w:rPr>
          <w:i/>
          <w:lang w:val="en-GB"/>
        </w:rPr>
        <w:t>Guilty outcomes in reported sexual assault and related offence incidents</w:t>
      </w:r>
      <w:r w:rsidR="00156971">
        <w:rPr>
          <w:lang w:val="en-GB"/>
        </w:rPr>
        <w:t xml:space="preserve"> </w:t>
      </w:r>
      <w:r w:rsidR="00156971" w:rsidRPr="00981CA9">
        <w:rPr>
          <w:lang w:val="en-GB"/>
        </w:rPr>
        <w:t>(Factsheet No 162, December 2007).</w:t>
      </w:r>
    </w:p>
  </w:footnote>
  <w:footnote w:id="50">
    <w:p w14:paraId="3F409BC9" w14:textId="5487DE35" w:rsidR="00606C6A" w:rsidRPr="00606C6A" w:rsidRDefault="00606C6A">
      <w:pPr>
        <w:pStyle w:val="FootnoteText"/>
      </w:pPr>
      <w:r>
        <w:rPr>
          <w:rStyle w:val="FootnoteReference"/>
        </w:rPr>
        <w:footnoteRef/>
      </w:r>
      <w:r>
        <w:t xml:space="preserve"> </w:t>
      </w:r>
      <w:r>
        <w:rPr>
          <w:i/>
          <w:iCs/>
        </w:rPr>
        <w:t xml:space="preserve">Human Rights Act 2019 </w:t>
      </w:r>
      <w:r w:rsidR="00094418" w:rsidRPr="002D348F">
        <w:t xml:space="preserve">(Qld) </w:t>
      </w:r>
      <w:r>
        <w:t>s 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ABD3A" w14:textId="77777777" w:rsidR="00C8623B" w:rsidRDefault="00C8623B" w:rsidP="00A82986">
    <w:pPr>
      <w:pStyle w:val="Header"/>
      <w:tabs>
        <w:tab w:val="clear" w:pos="4513"/>
        <w:tab w:val="clear" w:pos="9026"/>
      </w:tabs>
      <w:spacing w:before="240"/>
    </w:pPr>
  </w:p>
  <w:p w14:paraId="147A1EEF" w14:textId="77777777" w:rsidR="00C8623B" w:rsidRDefault="00C862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FDF9B" w14:textId="77777777" w:rsidR="00D64259" w:rsidRPr="000731D3" w:rsidRDefault="00D64259" w:rsidP="00A829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A3EC0" w14:textId="77777777" w:rsidR="00D64259" w:rsidRPr="000731D3" w:rsidRDefault="00150D29" w:rsidP="00A82986">
    <w:pPr>
      <w:pStyle w:val="Header"/>
      <w:rPr>
        <w:rFonts w:cs="Arial"/>
        <w:color w:val="2F5496" w:themeColor="accent1" w:themeShade="BF"/>
      </w:rPr>
    </w:pPr>
    <w:r>
      <w:rPr>
        <w:rFonts w:cs="Arial"/>
        <w:color w:val="2F5496" w:themeColor="accent1" w:themeShade="BF"/>
      </w:rPr>
      <w:t>[title]</w:t>
    </w:r>
  </w:p>
  <w:p w14:paraId="6A56340C" w14:textId="77777777" w:rsidR="00D64259" w:rsidRPr="000731D3" w:rsidRDefault="00D64259" w:rsidP="00A82986">
    <w:pPr>
      <w:pStyle w:val="Header"/>
      <w:pBdr>
        <w:bottom w:val="single" w:sz="4" w:space="1" w:color="auto"/>
      </w:pBdr>
      <w:rPr>
        <w:rFonts w:cs="Arial"/>
        <w:sz w:val="20"/>
        <w:szCs w:val="20"/>
      </w:rPr>
    </w:pPr>
  </w:p>
  <w:p w14:paraId="0817AA92" w14:textId="77777777" w:rsidR="00D64259" w:rsidRPr="000731D3" w:rsidRDefault="00D64259" w:rsidP="00A82986">
    <w:pPr>
      <w:pStyle w:val="Header"/>
      <w:rPr>
        <w:rFonts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34E5A"/>
    <w:multiLevelType w:val="hybridMultilevel"/>
    <w:tmpl w:val="7E48F0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D6E33"/>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654016"/>
    <w:multiLevelType w:val="hybridMultilevel"/>
    <w:tmpl w:val="114A801A"/>
    <w:lvl w:ilvl="0" w:tplc="A5B8ED1C">
      <w:start w:val="1"/>
      <w:numFmt w:val="bullet"/>
      <w:lvlText w:val="-"/>
      <w:lvlJc w:val="left"/>
      <w:pPr>
        <w:ind w:left="720" w:hanging="360"/>
      </w:pPr>
      <w:rPr>
        <w:rFonts w:ascii="Arial" w:eastAsiaTheme="minorEastAsia"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6065B0"/>
    <w:multiLevelType w:val="hybridMultilevel"/>
    <w:tmpl w:val="59F80E32"/>
    <w:lvl w:ilvl="0" w:tplc="F426F5EC">
      <w:start w:val="1"/>
      <w:numFmt w:val="lowerLetter"/>
      <w:lvlText w:val="%1)"/>
      <w:lvlJc w:val="left"/>
      <w:pPr>
        <w:ind w:left="720" w:hanging="360"/>
      </w:pPr>
      <w:rPr>
        <w:rFonts w:hint="default"/>
        <w:color w:val="44546A" w:themeColor="text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250E7E"/>
    <w:multiLevelType w:val="multilevel"/>
    <w:tmpl w:val="AE1CFC8E"/>
    <w:lvl w:ilvl="0">
      <w:start w:val="1"/>
      <w:numFmt w:val="decimal"/>
      <w:pStyle w:val="Numberedparagraph"/>
      <w:lvlText w:val="%1."/>
      <w:lvlJc w:val="left"/>
      <w:pPr>
        <w:ind w:left="567" w:hanging="567"/>
      </w:p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5" w15:restartNumberingAfterBreak="0">
    <w:nsid w:val="1A380936"/>
    <w:multiLevelType w:val="hybridMultilevel"/>
    <w:tmpl w:val="E1AAFA1C"/>
    <w:lvl w:ilvl="0" w:tplc="0C090001">
      <w:start w:val="1"/>
      <w:numFmt w:val="bullet"/>
      <w:lvlText w:val=""/>
      <w:lvlJc w:val="left"/>
      <w:pPr>
        <w:ind w:left="720" w:hanging="360"/>
      </w:pPr>
      <w:rPr>
        <w:rFonts w:ascii="Symbol" w:hAnsi="Symbol" w:hint="default"/>
        <w:b w:val="0"/>
        <w:bCs/>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2B68F1"/>
    <w:multiLevelType w:val="hybridMultilevel"/>
    <w:tmpl w:val="65B68E1E"/>
    <w:lvl w:ilvl="0" w:tplc="19484FF8">
      <w:numFmt w:val="bullet"/>
      <w:lvlText w:val=""/>
      <w:lvlJc w:val="left"/>
      <w:pPr>
        <w:ind w:left="1080" w:hanging="360"/>
      </w:pPr>
      <w:rPr>
        <w:rFonts w:ascii="Symbol" w:eastAsia="Calibri"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0D96BAB"/>
    <w:multiLevelType w:val="hybridMultilevel"/>
    <w:tmpl w:val="7DC2ED66"/>
    <w:lvl w:ilvl="0" w:tplc="0C090001">
      <w:start w:val="1"/>
      <w:numFmt w:val="bullet"/>
      <w:lvlText w:val=""/>
      <w:lvlJc w:val="left"/>
      <w:pPr>
        <w:ind w:left="720" w:hanging="360"/>
      </w:pPr>
      <w:rPr>
        <w:rFonts w:ascii="Symbol" w:hAnsi="Symbol" w:hint="default"/>
        <w:b w:val="0"/>
        <w:bCs/>
        <w:i w:val="0"/>
        <w:i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F2624F"/>
    <w:multiLevelType w:val="multilevel"/>
    <w:tmpl w:val="4918A2D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ascii="Arial" w:hAnsi="Arial" w:hint="default"/>
        <w:b w:val="0"/>
        <w:i w:val="0"/>
        <w:sz w:val="24"/>
      </w:rPr>
    </w:lvl>
    <w:lvl w:ilvl="2">
      <w:start w:val="1"/>
      <w:numFmt w:val="lowerRoman"/>
      <w:lvlText w:val="(%3)"/>
      <w:lvlJc w:val="left"/>
      <w:pPr>
        <w:ind w:left="1134" w:hanging="420"/>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9" w15:restartNumberingAfterBreak="0">
    <w:nsid w:val="2EA64D6B"/>
    <w:multiLevelType w:val="hybridMultilevel"/>
    <w:tmpl w:val="7C1493A4"/>
    <w:lvl w:ilvl="0" w:tplc="A5B8ED1C">
      <w:start w:val="1"/>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862D7C"/>
    <w:multiLevelType w:val="hybridMultilevel"/>
    <w:tmpl w:val="360CB19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4A44030"/>
    <w:multiLevelType w:val="hybridMultilevel"/>
    <w:tmpl w:val="75BC2F9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38525FF8"/>
    <w:multiLevelType w:val="hybridMultilevel"/>
    <w:tmpl w:val="F26261D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487F77D8"/>
    <w:multiLevelType w:val="multilevel"/>
    <w:tmpl w:val="88BE498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A073E54"/>
    <w:multiLevelType w:val="hybridMultilevel"/>
    <w:tmpl w:val="643E3796"/>
    <w:lvl w:ilvl="0" w:tplc="3646808E">
      <w:start w:val="9"/>
      <w:numFmt w:val="bullet"/>
      <w:lvlText w:val=""/>
      <w:lvlJc w:val="left"/>
      <w:pPr>
        <w:ind w:left="1069" w:hanging="360"/>
      </w:pPr>
      <w:rPr>
        <w:rFonts w:ascii="Symbol" w:eastAsia="Calibri" w:hAnsi="Symbo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5" w15:restartNumberingAfterBreak="0">
    <w:nsid w:val="4DB14587"/>
    <w:multiLevelType w:val="hybridMultilevel"/>
    <w:tmpl w:val="949A464C"/>
    <w:lvl w:ilvl="0" w:tplc="40928A58">
      <w:start w:val="1"/>
      <w:numFmt w:val="decimal"/>
      <w:lvlText w:val="%1."/>
      <w:lvlJc w:val="left"/>
      <w:pPr>
        <w:ind w:left="1077" w:hanging="360"/>
      </w:pPr>
    </w:lvl>
    <w:lvl w:ilvl="1" w:tplc="7098FF66">
      <w:start w:val="1"/>
      <w:numFmt w:val="lowerLetter"/>
      <w:lvlText w:val="(%2)"/>
      <w:lvlJc w:val="left"/>
      <w:pPr>
        <w:ind w:left="1797" w:hanging="360"/>
      </w:pPr>
      <w:rPr>
        <w:rFonts w:ascii="Arial" w:hAnsi="Arial" w:hint="default"/>
        <w:b w:val="0"/>
        <w:i w:val="0"/>
        <w:sz w:val="24"/>
      </w:rPr>
    </w:lvl>
    <w:lvl w:ilvl="2" w:tplc="B908F1CC">
      <w:start w:val="1"/>
      <w:numFmt w:val="lowerRoman"/>
      <w:lvlText w:val="(%3)"/>
      <w:lvlJc w:val="right"/>
      <w:pPr>
        <w:ind w:left="2517" w:hanging="180"/>
      </w:pPr>
      <w:rPr>
        <w:rFonts w:hint="default"/>
      </w:r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6" w15:restartNumberingAfterBreak="0">
    <w:nsid w:val="4E5F5D97"/>
    <w:multiLevelType w:val="hybridMultilevel"/>
    <w:tmpl w:val="8030149C"/>
    <w:lvl w:ilvl="0" w:tplc="5F944412">
      <w:start w:val="1"/>
      <w:numFmt w:val="bullet"/>
      <w:lvlText w:val=""/>
      <w:lvlJc w:val="left"/>
      <w:pPr>
        <w:ind w:left="1440" w:hanging="360"/>
      </w:pPr>
      <w:rPr>
        <w:rFonts w:ascii="Wingdings" w:hAnsi="Wingdings"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4FB80E0A"/>
    <w:multiLevelType w:val="hybridMultilevel"/>
    <w:tmpl w:val="6518AFD2"/>
    <w:lvl w:ilvl="0" w:tplc="59FC7D9C">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18" w15:restartNumberingAfterBreak="0">
    <w:nsid w:val="50657E41"/>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9346E67"/>
    <w:multiLevelType w:val="hybridMultilevel"/>
    <w:tmpl w:val="CEC86A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E633906"/>
    <w:multiLevelType w:val="hybridMultilevel"/>
    <w:tmpl w:val="360CB19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2AE01D7"/>
    <w:multiLevelType w:val="hybridMultilevel"/>
    <w:tmpl w:val="88BE498E"/>
    <w:lvl w:ilvl="0" w:tplc="7CC885D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8E4DE9"/>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65D5C79"/>
    <w:multiLevelType w:val="hybridMultilevel"/>
    <w:tmpl w:val="14A6805C"/>
    <w:lvl w:ilvl="0" w:tplc="7DCC61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680E217B"/>
    <w:multiLevelType w:val="multilevel"/>
    <w:tmpl w:val="2F949630"/>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25" w15:restartNumberingAfterBreak="0">
    <w:nsid w:val="69F52E4F"/>
    <w:multiLevelType w:val="hybridMultilevel"/>
    <w:tmpl w:val="80408CEC"/>
    <w:lvl w:ilvl="0" w:tplc="4156D262">
      <w:numFmt w:val="bullet"/>
      <w:lvlText w:val=""/>
      <w:lvlJc w:val="left"/>
      <w:pPr>
        <w:ind w:left="1080" w:hanging="360"/>
      </w:pPr>
      <w:rPr>
        <w:rFonts w:ascii="Symbol" w:eastAsia="Calibri"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6AA76568"/>
    <w:multiLevelType w:val="hybridMultilevel"/>
    <w:tmpl w:val="AB2C332A"/>
    <w:lvl w:ilvl="0" w:tplc="27900748">
      <w:start w:val="1"/>
      <w:numFmt w:val="decimal"/>
      <w:pStyle w:val="NumberedPara"/>
      <w:lvlText w:val="%1."/>
      <w:lvlJc w:val="left"/>
      <w:pPr>
        <w:ind w:left="1069"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ABC7826"/>
    <w:multiLevelType w:val="hybridMultilevel"/>
    <w:tmpl w:val="A86E13A4"/>
    <w:lvl w:ilvl="0" w:tplc="E94248A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8" w15:restartNumberingAfterBreak="0">
    <w:nsid w:val="721C5E17"/>
    <w:multiLevelType w:val="hybridMultilevel"/>
    <w:tmpl w:val="9F448C52"/>
    <w:lvl w:ilvl="0" w:tplc="13620EE4">
      <w:start w:val="1"/>
      <w:numFmt w:val="bullet"/>
      <w:lvlText w:val=""/>
      <w:lvlJc w:val="left"/>
      <w:pPr>
        <w:ind w:left="2030" w:hanging="360"/>
      </w:pPr>
      <w:rPr>
        <w:rFonts w:ascii="Wingdings" w:hAnsi="Wingdings" w:hint="default"/>
      </w:rPr>
    </w:lvl>
    <w:lvl w:ilvl="1" w:tplc="04090003" w:tentative="1">
      <w:start w:val="1"/>
      <w:numFmt w:val="bullet"/>
      <w:lvlText w:val="o"/>
      <w:lvlJc w:val="left"/>
      <w:pPr>
        <w:ind w:left="2750" w:hanging="360"/>
      </w:pPr>
      <w:rPr>
        <w:rFonts w:ascii="Courier New" w:hAnsi="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29" w15:restartNumberingAfterBreak="0">
    <w:nsid w:val="74233592"/>
    <w:multiLevelType w:val="hybridMultilevel"/>
    <w:tmpl w:val="E722BF8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45E0806"/>
    <w:multiLevelType w:val="hybridMultilevel"/>
    <w:tmpl w:val="BCEA0F00"/>
    <w:lvl w:ilvl="0" w:tplc="02885366">
      <w:start w:val="1"/>
      <w:numFmt w:val="decimal"/>
      <w:lvlText w:val="(%1)"/>
      <w:lvlJc w:val="left"/>
      <w:pPr>
        <w:ind w:left="1800" w:hanging="360"/>
      </w:pPr>
      <w:rPr>
        <w:rFonts w:hint="default"/>
      </w:rPr>
    </w:lvl>
    <w:lvl w:ilvl="1" w:tplc="9DE4B894">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1" w15:restartNumberingAfterBreak="0">
    <w:nsid w:val="7EBA6DF0"/>
    <w:multiLevelType w:val="hybridMultilevel"/>
    <w:tmpl w:val="939EBB1E"/>
    <w:lvl w:ilvl="0" w:tplc="16B8051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2144888408">
    <w:abstractNumId w:val="21"/>
  </w:num>
  <w:num w:numId="2" w16cid:durableId="543179360">
    <w:abstractNumId w:val="13"/>
  </w:num>
  <w:num w:numId="3" w16cid:durableId="2124379646">
    <w:abstractNumId w:val="28"/>
  </w:num>
  <w:num w:numId="4" w16cid:durableId="827674729">
    <w:abstractNumId w:val="15"/>
  </w:num>
  <w:num w:numId="5" w16cid:durableId="2057582666">
    <w:abstractNumId w:val="18"/>
  </w:num>
  <w:num w:numId="6" w16cid:durableId="2019232393">
    <w:abstractNumId w:val="22"/>
  </w:num>
  <w:num w:numId="7" w16cid:durableId="1379621794">
    <w:abstractNumId w:val="1"/>
  </w:num>
  <w:num w:numId="8" w16cid:durableId="62993889">
    <w:abstractNumId w:val="16"/>
  </w:num>
  <w:num w:numId="9" w16cid:durableId="1112945263">
    <w:abstractNumId w:val="27"/>
  </w:num>
  <w:num w:numId="10" w16cid:durableId="2143844715">
    <w:abstractNumId w:val="30"/>
  </w:num>
  <w:num w:numId="11" w16cid:durableId="1104694507">
    <w:abstractNumId w:val="23"/>
  </w:num>
  <w:num w:numId="12" w16cid:durableId="830564829">
    <w:abstractNumId w:val="17"/>
  </w:num>
  <w:num w:numId="13" w16cid:durableId="309598212">
    <w:abstractNumId w:val="4"/>
  </w:num>
  <w:num w:numId="14" w16cid:durableId="1919090799">
    <w:abstractNumId w:val="8"/>
  </w:num>
  <w:num w:numId="15" w16cid:durableId="1503544070">
    <w:abstractNumId w:val="15"/>
    <w:lvlOverride w:ilvl="0">
      <w:lvl w:ilvl="0" w:tplc="40928A58">
        <w:start w:val="1"/>
        <w:numFmt w:val="decimal"/>
        <w:lvlText w:val="%1."/>
        <w:lvlJc w:val="left"/>
        <w:pPr>
          <w:ind w:left="720" w:hanging="360"/>
        </w:pPr>
        <w:rPr>
          <w:rFonts w:hint="default"/>
        </w:rPr>
      </w:lvl>
    </w:lvlOverride>
    <w:lvlOverride w:ilvl="1">
      <w:lvl w:ilvl="1" w:tplc="7098FF66">
        <w:start w:val="1"/>
        <w:numFmt w:val="lowerLetter"/>
        <w:lvlText w:val="(%2)"/>
        <w:lvlJc w:val="left"/>
        <w:pPr>
          <w:ind w:left="1440" w:hanging="1083"/>
        </w:pPr>
        <w:rPr>
          <w:rFonts w:ascii="Arial" w:hAnsi="Arial" w:hint="default"/>
          <w:b w:val="0"/>
          <w:i w:val="0"/>
          <w:sz w:val="24"/>
        </w:rPr>
      </w:lvl>
    </w:lvlOverride>
    <w:lvlOverride w:ilvl="2">
      <w:lvl w:ilvl="2" w:tplc="B908F1CC">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6" w16cid:durableId="1257250531">
    <w:abstractNumId w:val="24"/>
  </w:num>
  <w:num w:numId="17" w16cid:durableId="661274352">
    <w:abstractNumId w:val="26"/>
  </w:num>
  <w:num w:numId="18" w16cid:durableId="1720548751">
    <w:abstractNumId w:val="6"/>
  </w:num>
  <w:num w:numId="19" w16cid:durableId="1559704296">
    <w:abstractNumId w:val="31"/>
  </w:num>
  <w:num w:numId="20" w16cid:durableId="609167024">
    <w:abstractNumId w:val="0"/>
  </w:num>
  <w:num w:numId="21" w16cid:durableId="2045594924">
    <w:abstractNumId w:val="29"/>
  </w:num>
  <w:num w:numId="22" w16cid:durableId="987710847">
    <w:abstractNumId w:val="20"/>
  </w:num>
  <w:num w:numId="23" w16cid:durableId="1674335192">
    <w:abstractNumId w:val="2"/>
  </w:num>
  <w:num w:numId="24" w16cid:durableId="1461193794">
    <w:abstractNumId w:val="10"/>
  </w:num>
  <w:num w:numId="25" w16cid:durableId="1632587654">
    <w:abstractNumId w:val="5"/>
  </w:num>
  <w:num w:numId="26" w16cid:durableId="466970999">
    <w:abstractNumId w:val="3"/>
  </w:num>
  <w:num w:numId="27" w16cid:durableId="1751122346">
    <w:abstractNumId w:val="11"/>
  </w:num>
  <w:num w:numId="28" w16cid:durableId="96491415">
    <w:abstractNumId w:val="9"/>
  </w:num>
  <w:num w:numId="29" w16cid:durableId="1113090051">
    <w:abstractNumId w:val="7"/>
  </w:num>
  <w:num w:numId="30" w16cid:durableId="2938019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27160171">
    <w:abstractNumId w:val="26"/>
  </w:num>
  <w:num w:numId="32" w16cid:durableId="1992513597">
    <w:abstractNumId w:val="26"/>
    <w:lvlOverride w:ilvl="0">
      <w:startOverride w:val="1"/>
    </w:lvlOverride>
  </w:num>
  <w:num w:numId="33" w16cid:durableId="1836068673">
    <w:abstractNumId w:val="19"/>
  </w:num>
  <w:num w:numId="34" w16cid:durableId="1505246188">
    <w:abstractNumId w:val="26"/>
    <w:lvlOverride w:ilvl="0">
      <w:startOverride w:val="1"/>
    </w:lvlOverride>
  </w:num>
  <w:num w:numId="35" w16cid:durableId="1478760622">
    <w:abstractNumId w:val="26"/>
    <w:lvlOverride w:ilvl="0">
      <w:startOverride w:val="1"/>
    </w:lvlOverride>
  </w:num>
  <w:num w:numId="36" w16cid:durableId="22899139">
    <w:abstractNumId w:val="25"/>
  </w:num>
  <w:num w:numId="37" w16cid:durableId="206263064">
    <w:abstractNumId w:val="12"/>
  </w:num>
  <w:num w:numId="38" w16cid:durableId="306665501">
    <w:abstractNumId w:val="26"/>
    <w:lvlOverride w:ilvl="0">
      <w:startOverride w:val="1"/>
    </w:lvlOverride>
  </w:num>
  <w:num w:numId="39" w16cid:durableId="1879970533">
    <w:abstractNumId w:val="26"/>
    <w:lvlOverride w:ilvl="0">
      <w:startOverride w:val="1"/>
    </w:lvlOverride>
  </w:num>
  <w:num w:numId="40" w16cid:durableId="1552217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23B"/>
    <w:rsid w:val="00001B45"/>
    <w:rsid w:val="00005264"/>
    <w:rsid w:val="000060E2"/>
    <w:rsid w:val="00010492"/>
    <w:rsid w:val="00010AAE"/>
    <w:rsid w:val="00012F3C"/>
    <w:rsid w:val="0001373D"/>
    <w:rsid w:val="00014D51"/>
    <w:rsid w:val="00016B35"/>
    <w:rsid w:val="00021E1D"/>
    <w:rsid w:val="00027632"/>
    <w:rsid w:val="0004304F"/>
    <w:rsid w:val="00044173"/>
    <w:rsid w:val="00044919"/>
    <w:rsid w:val="00045AC7"/>
    <w:rsid w:val="000466D0"/>
    <w:rsid w:val="0004716E"/>
    <w:rsid w:val="000475AF"/>
    <w:rsid w:val="00050E7D"/>
    <w:rsid w:val="000529E8"/>
    <w:rsid w:val="0005465D"/>
    <w:rsid w:val="000716A2"/>
    <w:rsid w:val="00072992"/>
    <w:rsid w:val="00072CD8"/>
    <w:rsid w:val="00075EAB"/>
    <w:rsid w:val="000762AA"/>
    <w:rsid w:val="00076E7D"/>
    <w:rsid w:val="00081561"/>
    <w:rsid w:val="000854A0"/>
    <w:rsid w:val="00091A0F"/>
    <w:rsid w:val="00092A94"/>
    <w:rsid w:val="00094418"/>
    <w:rsid w:val="000957C6"/>
    <w:rsid w:val="000A0164"/>
    <w:rsid w:val="000A0D4B"/>
    <w:rsid w:val="000A54D6"/>
    <w:rsid w:val="000B592A"/>
    <w:rsid w:val="000C27F9"/>
    <w:rsid w:val="000C29C4"/>
    <w:rsid w:val="000C6CB3"/>
    <w:rsid w:val="000D1397"/>
    <w:rsid w:val="000D212B"/>
    <w:rsid w:val="000D24F6"/>
    <w:rsid w:val="000D34D9"/>
    <w:rsid w:val="000D34FD"/>
    <w:rsid w:val="000D6144"/>
    <w:rsid w:val="000D7723"/>
    <w:rsid w:val="000E0385"/>
    <w:rsid w:val="000E21AA"/>
    <w:rsid w:val="000E373D"/>
    <w:rsid w:val="000E381F"/>
    <w:rsid w:val="000E5FE7"/>
    <w:rsid w:val="000E6499"/>
    <w:rsid w:val="000E7005"/>
    <w:rsid w:val="000F1C64"/>
    <w:rsid w:val="000F57C9"/>
    <w:rsid w:val="00102485"/>
    <w:rsid w:val="0010724F"/>
    <w:rsid w:val="00107512"/>
    <w:rsid w:val="00107689"/>
    <w:rsid w:val="00111B1B"/>
    <w:rsid w:val="001124A2"/>
    <w:rsid w:val="001163EB"/>
    <w:rsid w:val="001175D4"/>
    <w:rsid w:val="00124274"/>
    <w:rsid w:val="00124A1A"/>
    <w:rsid w:val="00124F09"/>
    <w:rsid w:val="00127446"/>
    <w:rsid w:val="00130D84"/>
    <w:rsid w:val="00131247"/>
    <w:rsid w:val="001313CA"/>
    <w:rsid w:val="00131AFB"/>
    <w:rsid w:val="00131EFB"/>
    <w:rsid w:val="001508DF"/>
    <w:rsid w:val="00150D29"/>
    <w:rsid w:val="00151FAF"/>
    <w:rsid w:val="00156971"/>
    <w:rsid w:val="001575D6"/>
    <w:rsid w:val="001606DA"/>
    <w:rsid w:val="00162969"/>
    <w:rsid w:val="001629E6"/>
    <w:rsid w:val="00165010"/>
    <w:rsid w:val="00165517"/>
    <w:rsid w:val="00170DD2"/>
    <w:rsid w:val="001715C3"/>
    <w:rsid w:val="00176E84"/>
    <w:rsid w:val="00176FB6"/>
    <w:rsid w:val="00177EE0"/>
    <w:rsid w:val="00182DFF"/>
    <w:rsid w:val="00183027"/>
    <w:rsid w:val="00183AD4"/>
    <w:rsid w:val="00183F0D"/>
    <w:rsid w:val="001851D2"/>
    <w:rsid w:val="00186A51"/>
    <w:rsid w:val="00187D8A"/>
    <w:rsid w:val="00190F2D"/>
    <w:rsid w:val="00192131"/>
    <w:rsid w:val="0019390A"/>
    <w:rsid w:val="001A5207"/>
    <w:rsid w:val="001A6018"/>
    <w:rsid w:val="001A797E"/>
    <w:rsid w:val="001A7CE5"/>
    <w:rsid w:val="001B191A"/>
    <w:rsid w:val="001B3BFA"/>
    <w:rsid w:val="001B5F46"/>
    <w:rsid w:val="001C24EB"/>
    <w:rsid w:val="001C524E"/>
    <w:rsid w:val="001C5296"/>
    <w:rsid w:val="001C7A0E"/>
    <w:rsid w:val="001D0806"/>
    <w:rsid w:val="001D387E"/>
    <w:rsid w:val="001E1679"/>
    <w:rsid w:val="001E4BF2"/>
    <w:rsid w:val="001F6138"/>
    <w:rsid w:val="00206BC1"/>
    <w:rsid w:val="002140FC"/>
    <w:rsid w:val="002167AA"/>
    <w:rsid w:val="00223CBD"/>
    <w:rsid w:val="00227A7F"/>
    <w:rsid w:val="00231424"/>
    <w:rsid w:val="00231BB3"/>
    <w:rsid w:val="00232E0F"/>
    <w:rsid w:val="00233921"/>
    <w:rsid w:val="00234045"/>
    <w:rsid w:val="00235DCF"/>
    <w:rsid w:val="002435B4"/>
    <w:rsid w:val="00243FC3"/>
    <w:rsid w:val="002440A8"/>
    <w:rsid w:val="00245473"/>
    <w:rsid w:val="0024590C"/>
    <w:rsid w:val="0024652F"/>
    <w:rsid w:val="0026070B"/>
    <w:rsid w:val="00263EFA"/>
    <w:rsid w:val="002670E9"/>
    <w:rsid w:val="00271596"/>
    <w:rsid w:val="0027418E"/>
    <w:rsid w:val="002742C4"/>
    <w:rsid w:val="002820A1"/>
    <w:rsid w:val="002850C6"/>
    <w:rsid w:val="00292511"/>
    <w:rsid w:val="002930C2"/>
    <w:rsid w:val="002A5AB3"/>
    <w:rsid w:val="002A75C6"/>
    <w:rsid w:val="002B23D1"/>
    <w:rsid w:val="002B4BEF"/>
    <w:rsid w:val="002B597F"/>
    <w:rsid w:val="002B6F5B"/>
    <w:rsid w:val="002C1545"/>
    <w:rsid w:val="002C4B0E"/>
    <w:rsid w:val="002D13C4"/>
    <w:rsid w:val="002D314D"/>
    <w:rsid w:val="002D348F"/>
    <w:rsid w:val="002D7380"/>
    <w:rsid w:val="002D73FE"/>
    <w:rsid w:val="002E2873"/>
    <w:rsid w:val="002E3DB6"/>
    <w:rsid w:val="002E7799"/>
    <w:rsid w:val="002F177A"/>
    <w:rsid w:val="002F18D8"/>
    <w:rsid w:val="002F19B5"/>
    <w:rsid w:val="002F4C6F"/>
    <w:rsid w:val="00302881"/>
    <w:rsid w:val="00303E48"/>
    <w:rsid w:val="00304CEC"/>
    <w:rsid w:val="0030726C"/>
    <w:rsid w:val="00313427"/>
    <w:rsid w:val="003177B4"/>
    <w:rsid w:val="00320F2A"/>
    <w:rsid w:val="00320F41"/>
    <w:rsid w:val="003210BC"/>
    <w:rsid w:val="00326C47"/>
    <w:rsid w:val="003319FB"/>
    <w:rsid w:val="00334560"/>
    <w:rsid w:val="00334820"/>
    <w:rsid w:val="00334F49"/>
    <w:rsid w:val="00335E9C"/>
    <w:rsid w:val="00336160"/>
    <w:rsid w:val="003434FF"/>
    <w:rsid w:val="00347215"/>
    <w:rsid w:val="00347375"/>
    <w:rsid w:val="00350AAA"/>
    <w:rsid w:val="00351A76"/>
    <w:rsid w:val="0035348E"/>
    <w:rsid w:val="00361B46"/>
    <w:rsid w:val="00362D55"/>
    <w:rsid w:val="00364279"/>
    <w:rsid w:val="00366F40"/>
    <w:rsid w:val="00375ECD"/>
    <w:rsid w:val="003851F2"/>
    <w:rsid w:val="0039111D"/>
    <w:rsid w:val="00396F3E"/>
    <w:rsid w:val="003974FA"/>
    <w:rsid w:val="003A2055"/>
    <w:rsid w:val="003B0C36"/>
    <w:rsid w:val="003B3618"/>
    <w:rsid w:val="003B6CF8"/>
    <w:rsid w:val="003C4C72"/>
    <w:rsid w:val="003C5665"/>
    <w:rsid w:val="003C57B8"/>
    <w:rsid w:val="003C5988"/>
    <w:rsid w:val="003C68C6"/>
    <w:rsid w:val="003C68C8"/>
    <w:rsid w:val="003D7A0D"/>
    <w:rsid w:val="003E1F76"/>
    <w:rsid w:val="003E5422"/>
    <w:rsid w:val="003F59F8"/>
    <w:rsid w:val="003F650C"/>
    <w:rsid w:val="004054C4"/>
    <w:rsid w:val="004058CD"/>
    <w:rsid w:val="00407A89"/>
    <w:rsid w:val="00407FBE"/>
    <w:rsid w:val="004237F7"/>
    <w:rsid w:val="004244A6"/>
    <w:rsid w:val="004260AA"/>
    <w:rsid w:val="0042737A"/>
    <w:rsid w:val="004326B0"/>
    <w:rsid w:val="00433107"/>
    <w:rsid w:val="0044440A"/>
    <w:rsid w:val="0044673E"/>
    <w:rsid w:val="004554D5"/>
    <w:rsid w:val="004571E1"/>
    <w:rsid w:val="00457747"/>
    <w:rsid w:val="0046265A"/>
    <w:rsid w:val="00466EE7"/>
    <w:rsid w:val="00466FB4"/>
    <w:rsid w:val="00470A04"/>
    <w:rsid w:val="00472652"/>
    <w:rsid w:val="00472DEC"/>
    <w:rsid w:val="00486B53"/>
    <w:rsid w:val="004919F3"/>
    <w:rsid w:val="004923DC"/>
    <w:rsid w:val="004A09B1"/>
    <w:rsid w:val="004A20CF"/>
    <w:rsid w:val="004A30E2"/>
    <w:rsid w:val="004A402B"/>
    <w:rsid w:val="004A4DD9"/>
    <w:rsid w:val="004A6ACA"/>
    <w:rsid w:val="004B009A"/>
    <w:rsid w:val="004B7C30"/>
    <w:rsid w:val="004C1239"/>
    <w:rsid w:val="004C481C"/>
    <w:rsid w:val="004C7953"/>
    <w:rsid w:val="004D1B44"/>
    <w:rsid w:val="004D3B1A"/>
    <w:rsid w:val="004E566F"/>
    <w:rsid w:val="004E6EE0"/>
    <w:rsid w:val="004E7F17"/>
    <w:rsid w:val="004F00DA"/>
    <w:rsid w:val="004F408C"/>
    <w:rsid w:val="005032E3"/>
    <w:rsid w:val="005046FB"/>
    <w:rsid w:val="0050656A"/>
    <w:rsid w:val="005112DA"/>
    <w:rsid w:val="00512997"/>
    <w:rsid w:val="00513081"/>
    <w:rsid w:val="005161E9"/>
    <w:rsid w:val="00516F80"/>
    <w:rsid w:val="00521ECB"/>
    <w:rsid w:val="005239F0"/>
    <w:rsid w:val="0052525B"/>
    <w:rsid w:val="00525D0A"/>
    <w:rsid w:val="00535DA9"/>
    <w:rsid w:val="0054263D"/>
    <w:rsid w:val="00545DBB"/>
    <w:rsid w:val="005462A3"/>
    <w:rsid w:val="00550598"/>
    <w:rsid w:val="00551F64"/>
    <w:rsid w:val="00552B7A"/>
    <w:rsid w:val="005613A9"/>
    <w:rsid w:val="00561CA5"/>
    <w:rsid w:val="00580596"/>
    <w:rsid w:val="00580DC0"/>
    <w:rsid w:val="00584ED0"/>
    <w:rsid w:val="00585BF5"/>
    <w:rsid w:val="005860F2"/>
    <w:rsid w:val="00587A07"/>
    <w:rsid w:val="00593EAE"/>
    <w:rsid w:val="0059481F"/>
    <w:rsid w:val="005A1365"/>
    <w:rsid w:val="005A32D7"/>
    <w:rsid w:val="005A42D3"/>
    <w:rsid w:val="005A466B"/>
    <w:rsid w:val="005A4A35"/>
    <w:rsid w:val="005A6115"/>
    <w:rsid w:val="005A6803"/>
    <w:rsid w:val="005B0CD3"/>
    <w:rsid w:val="005B3B5A"/>
    <w:rsid w:val="005C26F1"/>
    <w:rsid w:val="005C3A85"/>
    <w:rsid w:val="005C5D7A"/>
    <w:rsid w:val="005D6476"/>
    <w:rsid w:val="005D6C52"/>
    <w:rsid w:val="005E2EF5"/>
    <w:rsid w:val="005E66B0"/>
    <w:rsid w:val="005F34DE"/>
    <w:rsid w:val="005F375C"/>
    <w:rsid w:val="005F3F07"/>
    <w:rsid w:val="005F5E1B"/>
    <w:rsid w:val="005F7EC2"/>
    <w:rsid w:val="00606C6A"/>
    <w:rsid w:val="00607656"/>
    <w:rsid w:val="00610649"/>
    <w:rsid w:val="00614DB7"/>
    <w:rsid w:val="00614DEE"/>
    <w:rsid w:val="00621A6E"/>
    <w:rsid w:val="00622690"/>
    <w:rsid w:val="00624BF4"/>
    <w:rsid w:val="0063178A"/>
    <w:rsid w:val="00635E68"/>
    <w:rsid w:val="00640458"/>
    <w:rsid w:val="006461EF"/>
    <w:rsid w:val="0065612D"/>
    <w:rsid w:val="006574C9"/>
    <w:rsid w:val="0066177A"/>
    <w:rsid w:val="006620E1"/>
    <w:rsid w:val="0066479F"/>
    <w:rsid w:val="00665F9E"/>
    <w:rsid w:val="006671FB"/>
    <w:rsid w:val="0067260D"/>
    <w:rsid w:val="00674A2F"/>
    <w:rsid w:val="00676F7B"/>
    <w:rsid w:val="00681ED8"/>
    <w:rsid w:val="00687B1B"/>
    <w:rsid w:val="00693F95"/>
    <w:rsid w:val="006A15D8"/>
    <w:rsid w:val="006A2FD5"/>
    <w:rsid w:val="006A31DE"/>
    <w:rsid w:val="006A3CED"/>
    <w:rsid w:val="006A7420"/>
    <w:rsid w:val="006B086F"/>
    <w:rsid w:val="006B1026"/>
    <w:rsid w:val="006B122E"/>
    <w:rsid w:val="006C077E"/>
    <w:rsid w:val="006C3E31"/>
    <w:rsid w:val="006D2421"/>
    <w:rsid w:val="006D4683"/>
    <w:rsid w:val="006D4D2E"/>
    <w:rsid w:val="006E3538"/>
    <w:rsid w:val="006F3242"/>
    <w:rsid w:val="00702F89"/>
    <w:rsid w:val="00711F57"/>
    <w:rsid w:val="00715492"/>
    <w:rsid w:val="00723D84"/>
    <w:rsid w:val="007272EF"/>
    <w:rsid w:val="007359D1"/>
    <w:rsid w:val="00741AA1"/>
    <w:rsid w:val="0074201E"/>
    <w:rsid w:val="007465E3"/>
    <w:rsid w:val="00751895"/>
    <w:rsid w:val="007545B8"/>
    <w:rsid w:val="00754B78"/>
    <w:rsid w:val="00762890"/>
    <w:rsid w:val="00763365"/>
    <w:rsid w:val="00764440"/>
    <w:rsid w:val="00764871"/>
    <w:rsid w:val="00764DD7"/>
    <w:rsid w:val="00770A4E"/>
    <w:rsid w:val="00770CB1"/>
    <w:rsid w:val="0077378B"/>
    <w:rsid w:val="00773E5C"/>
    <w:rsid w:val="00774CED"/>
    <w:rsid w:val="0078050D"/>
    <w:rsid w:val="007824E8"/>
    <w:rsid w:val="0078531C"/>
    <w:rsid w:val="00791CBB"/>
    <w:rsid w:val="007A05EB"/>
    <w:rsid w:val="007A14EF"/>
    <w:rsid w:val="007A7238"/>
    <w:rsid w:val="007B050C"/>
    <w:rsid w:val="007B05C4"/>
    <w:rsid w:val="007B3B32"/>
    <w:rsid w:val="007B6E29"/>
    <w:rsid w:val="007C14C7"/>
    <w:rsid w:val="007C2522"/>
    <w:rsid w:val="007C3FBE"/>
    <w:rsid w:val="007C6182"/>
    <w:rsid w:val="007D67EE"/>
    <w:rsid w:val="007F0FFC"/>
    <w:rsid w:val="00801B33"/>
    <w:rsid w:val="008033BC"/>
    <w:rsid w:val="00803473"/>
    <w:rsid w:val="00803688"/>
    <w:rsid w:val="00805013"/>
    <w:rsid w:val="0080506D"/>
    <w:rsid w:val="00805B9D"/>
    <w:rsid w:val="00807EB9"/>
    <w:rsid w:val="008100B2"/>
    <w:rsid w:val="00822A91"/>
    <w:rsid w:val="00825966"/>
    <w:rsid w:val="00827464"/>
    <w:rsid w:val="00827C8F"/>
    <w:rsid w:val="00833BA7"/>
    <w:rsid w:val="00834678"/>
    <w:rsid w:val="00834788"/>
    <w:rsid w:val="00834E85"/>
    <w:rsid w:val="00836E1D"/>
    <w:rsid w:val="00840E88"/>
    <w:rsid w:val="008418E2"/>
    <w:rsid w:val="00845C20"/>
    <w:rsid w:val="008525E6"/>
    <w:rsid w:val="0085296C"/>
    <w:rsid w:val="0085446F"/>
    <w:rsid w:val="0085487B"/>
    <w:rsid w:val="00855567"/>
    <w:rsid w:val="0086014F"/>
    <w:rsid w:val="00862991"/>
    <w:rsid w:val="008633E7"/>
    <w:rsid w:val="00867B56"/>
    <w:rsid w:val="008753F9"/>
    <w:rsid w:val="00877E9E"/>
    <w:rsid w:val="00880020"/>
    <w:rsid w:val="00885C23"/>
    <w:rsid w:val="0089369D"/>
    <w:rsid w:val="00895C8C"/>
    <w:rsid w:val="008A46C4"/>
    <w:rsid w:val="008A506A"/>
    <w:rsid w:val="008B5662"/>
    <w:rsid w:val="008B6859"/>
    <w:rsid w:val="008B6F93"/>
    <w:rsid w:val="008C23C8"/>
    <w:rsid w:val="008C4219"/>
    <w:rsid w:val="008C47AA"/>
    <w:rsid w:val="008C4870"/>
    <w:rsid w:val="008D3A1D"/>
    <w:rsid w:val="008D5607"/>
    <w:rsid w:val="008E12E3"/>
    <w:rsid w:val="008E4921"/>
    <w:rsid w:val="008E7EA4"/>
    <w:rsid w:val="008F2B0D"/>
    <w:rsid w:val="008F375D"/>
    <w:rsid w:val="008F382E"/>
    <w:rsid w:val="008F5FAE"/>
    <w:rsid w:val="008F6336"/>
    <w:rsid w:val="0090059F"/>
    <w:rsid w:val="00902583"/>
    <w:rsid w:val="00906084"/>
    <w:rsid w:val="00907126"/>
    <w:rsid w:val="00910090"/>
    <w:rsid w:val="009137BC"/>
    <w:rsid w:val="00933620"/>
    <w:rsid w:val="00940FAC"/>
    <w:rsid w:val="00945236"/>
    <w:rsid w:val="00946457"/>
    <w:rsid w:val="00947099"/>
    <w:rsid w:val="00947106"/>
    <w:rsid w:val="00947388"/>
    <w:rsid w:val="0094795F"/>
    <w:rsid w:val="009503C8"/>
    <w:rsid w:val="009608C4"/>
    <w:rsid w:val="00965CA5"/>
    <w:rsid w:val="00967652"/>
    <w:rsid w:val="00970DCE"/>
    <w:rsid w:val="009738F2"/>
    <w:rsid w:val="00977E24"/>
    <w:rsid w:val="00980279"/>
    <w:rsid w:val="0098152C"/>
    <w:rsid w:val="00981CA9"/>
    <w:rsid w:val="0098297B"/>
    <w:rsid w:val="0098436F"/>
    <w:rsid w:val="00985454"/>
    <w:rsid w:val="009868BD"/>
    <w:rsid w:val="00986FBE"/>
    <w:rsid w:val="00991951"/>
    <w:rsid w:val="009A6C29"/>
    <w:rsid w:val="009B0D34"/>
    <w:rsid w:val="009B185F"/>
    <w:rsid w:val="009C1AF7"/>
    <w:rsid w:val="009C1C82"/>
    <w:rsid w:val="009C5337"/>
    <w:rsid w:val="009C5C22"/>
    <w:rsid w:val="009C603F"/>
    <w:rsid w:val="009D6BD5"/>
    <w:rsid w:val="009E0244"/>
    <w:rsid w:val="009E4011"/>
    <w:rsid w:val="009E5BB1"/>
    <w:rsid w:val="009F29C2"/>
    <w:rsid w:val="009F4D53"/>
    <w:rsid w:val="009F5563"/>
    <w:rsid w:val="00A00EEE"/>
    <w:rsid w:val="00A1378B"/>
    <w:rsid w:val="00A14786"/>
    <w:rsid w:val="00A2231B"/>
    <w:rsid w:val="00A2400A"/>
    <w:rsid w:val="00A31FE7"/>
    <w:rsid w:val="00A32761"/>
    <w:rsid w:val="00A32812"/>
    <w:rsid w:val="00A462E3"/>
    <w:rsid w:val="00A51CCB"/>
    <w:rsid w:val="00A5546E"/>
    <w:rsid w:val="00A56534"/>
    <w:rsid w:val="00A60E08"/>
    <w:rsid w:val="00A6569F"/>
    <w:rsid w:val="00A669D5"/>
    <w:rsid w:val="00A67F9C"/>
    <w:rsid w:val="00A725FF"/>
    <w:rsid w:val="00A72C27"/>
    <w:rsid w:val="00A72C9A"/>
    <w:rsid w:val="00A74304"/>
    <w:rsid w:val="00A75598"/>
    <w:rsid w:val="00A82986"/>
    <w:rsid w:val="00A85AF2"/>
    <w:rsid w:val="00A87815"/>
    <w:rsid w:val="00A90928"/>
    <w:rsid w:val="00A95F2E"/>
    <w:rsid w:val="00A96CB4"/>
    <w:rsid w:val="00AA4747"/>
    <w:rsid w:val="00AA5CB2"/>
    <w:rsid w:val="00AB173A"/>
    <w:rsid w:val="00AB2BD5"/>
    <w:rsid w:val="00AB4CB6"/>
    <w:rsid w:val="00AC07EC"/>
    <w:rsid w:val="00AC0B5A"/>
    <w:rsid w:val="00AC2FFF"/>
    <w:rsid w:val="00AC4EDC"/>
    <w:rsid w:val="00AD2D98"/>
    <w:rsid w:val="00AD6D2A"/>
    <w:rsid w:val="00AD78CD"/>
    <w:rsid w:val="00AE0C4A"/>
    <w:rsid w:val="00AE6BCE"/>
    <w:rsid w:val="00AF324A"/>
    <w:rsid w:val="00AF6E9D"/>
    <w:rsid w:val="00AF7ADE"/>
    <w:rsid w:val="00B04521"/>
    <w:rsid w:val="00B07A5E"/>
    <w:rsid w:val="00B10F66"/>
    <w:rsid w:val="00B117D2"/>
    <w:rsid w:val="00B153BB"/>
    <w:rsid w:val="00B213CD"/>
    <w:rsid w:val="00B31C62"/>
    <w:rsid w:val="00B35A43"/>
    <w:rsid w:val="00B3701B"/>
    <w:rsid w:val="00B513F1"/>
    <w:rsid w:val="00B53643"/>
    <w:rsid w:val="00B53EB8"/>
    <w:rsid w:val="00B54769"/>
    <w:rsid w:val="00B55E3E"/>
    <w:rsid w:val="00B5789D"/>
    <w:rsid w:val="00B611C8"/>
    <w:rsid w:val="00B64424"/>
    <w:rsid w:val="00B672CA"/>
    <w:rsid w:val="00B70E20"/>
    <w:rsid w:val="00B736FF"/>
    <w:rsid w:val="00B7700A"/>
    <w:rsid w:val="00B815E5"/>
    <w:rsid w:val="00B83187"/>
    <w:rsid w:val="00B83207"/>
    <w:rsid w:val="00B83EA4"/>
    <w:rsid w:val="00B92198"/>
    <w:rsid w:val="00BA2987"/>
    <w:rsid w:val="00BA29A0"/>
    <w:rsid w:val="00BA772F"/>
    <w:rsid w:val="00BB5C6D"/>
    <w:rsid w:val="00BB5E5F"/>
    <w:rsid w:val="00BC41EC"/>
    <w:rsid w:val="00BD0463"/>
    <w:rsid w:val="00BD06C2"/>
    <w:rsid w:val="00BD0C0D"/>
    <w:rsid w:val="00BE0DD1"/>
    <w:rsid w:val="00BE171B"/>
    <w:rsid w:val="00BF0985"/>
    <w:rsid w:val="00C03752"/>
    <w:rsid w:val="00C11117"/>
    <w:rsid w:val="00C13520"/>
    <w:rsid w:val="00C14180"/>
    <w:rsid w:val="00C1595E"/>
    <w:rsid w:val="00C169A4"/>
    <w:rsid w:val="00C204F7"/>
    <w:rsid w:val="00C23A28"/>
    <w:rsid w:val="00C23E89"/>
    <w:rsid w:val="00C26CB6"/>
    <w:rsid w:val="00C30F18"/>
    <w:rsid w:val="00C3251A"/>
    <w:rsid w:val="00C33420"/>
    <w:rsid w:val="00C4040A"/>
    <w:rsid w:val="00C65A6B"/>
    <w:rsid w:val="00C6781F"/>
    <w:rsid w:val="00C67C7E"/>
    <w:rsid w:val="00C738BB"/>
    <w:rsid w:val="00C753BF"/>
    <w:rsid w:val="00C83E6A"/>
    <w:rsid w:val="00C8401C"/>
    <w:rsid w:val="00C84421"/>
    <w:rsid w:val="00C85BC7"/>
    <w:rsid w:val="00C85FE5"/>
    <w:rsid w:val="00C8623B"/>
    <w:rsid w:val="00C962E4"/>
    <w:rsid w:val="00CB7C53"/>
    <w:rsid w:val="00CC6F03"/>
    <w:rsid w:val="00CD0B6D"/>
    <w:rsid w:val="00CD2416"/>
    <w:rsid w:val="00CD3552"/>
    <w:rsid w:val="00CD4AA5"/>
    <w:rsid w:val="00CD55A7"/>
    <w:rsid w:val="00CE357B"/>
    <w:rsid w:val="00CE3C1F"/>
    <w:rsid w:val="00CE4FFC"/>
    <w:rsid w:val="00CE6D7E"/>
    <w:rsid w:val="00CE73A1"/>
    <w:rsid w:val="00CF2BB7"/>
    <w:rsid w:val="00D00E36"/>
    <w:rsid w:val="00D03E2F"/>
    <w:rsid w:val="00D14CCC"/>
    <w:rsid w:val="00D16208"/>
    <w:rsid w:val="00D20CF2"/>
    <w:rsid w:val="00D236D2"/>
    <w:rsid w:val="00D23F74"/>
    <w:rsid w:val="00D343C8"/>
    <w:rsid w:val="00D35566"/>
    <w:rsid w:val="00D4582A"/>
    <w:rsid w:val="00D57794"/>
    <w:rsid w:val="00D61596"/>
    <w:rsid w:val="00D63FE5"/>
    <w:rsid w:val="00D64259"/>
    <w:rsid w:val="00D648B9"/>
    <w:rsid w:val="00D70780"/>
    <w:rsid w:val="00D707DA"/>
    <w:rsid w:val="00D73D90"/>
    <w:rsid w:val="00D7542D"/>
    <w:rsid w:val="00D76770"/>
    <w:rsid w:val="00D824F8"/>
    <w:rsid w:val="00D8690F"/>
    <w:rsid w:val="00D90CA5"/>
    <w:rsid w:val="00D935E4"/>
    <w:rsid w:val="00D97553"/>
    <w:rsid w:val="00DA2423"/>
    <w:rsid w:val="00DA35E7"/>
    <w:rsid w:val="00DB21D2"/>
    <w:rsid w:val="00DB294B"/>
    <w:rsid w:val="00DC0BCD"/>
    <w:rsid w:val="00DC0D23"/>
    <w:rsid w:val="00DC36C9"/>
    <w:rsid w:val="00DC4BA4"/>
    <w:rsid w:val="00DD12E4"/>
    <w:rsid w:val="00DD1677"/>
    <w:rsid w:val="00DD3BA6"/>
    <w:rsid w:val="00DD6881"/>
    <w:rsid w:val="00DE1825"/>
    <w:rsid w:val="00DE4804"/>
    <w:rsid w:val="00DE5850"/>
    <w:rsid w:val="00DE60CF"/>
    <w:rsid w:val="00DF1947"/>
    <w:rsid w:val="00DF19D8"/>
    <w:rsid w:val="00DF536C"/>
    <w:rsid w:val="00DF792F"/>
    <w:rsid w:val="00E003B5"/>
    <w:rsid w:val="00E11139"/>
    <w:rsid w:val="00E11A16"/>
    <w:rsid w:val="00E12138"/>
    <w:rsid w:val="00E122BE"/>
    <w:rsid w:val="00E132A2"/>
    <w:rsid w:val="00E14553"/>
    <w:rsid w:val="00E15274"/>
    <w:rsid w:val="00E21800"/>
    <w:rsid w:val="00E22585"/>
    <w:rsid w:val="00E230A6"/>
    <w:rsid w:val="00E33507"/>
    <w:rsid w:val="00E36B40"/>
    <w:rsid w:val="00E4005C"/>
    <w:rsid w:val="00E40652"/>
    <w:rsid w:val="00E42FC8"/>
    <w:rsid w:val="00E46AA7"/>
    <w:rsid w:val="00E4754C"/>
    <w:rsid w:val="00E504F6"/>
    <w:rsid w:val="00E5181E"/>
    <w:rsid w:val="00E5249A"/>
    <w:rsid w:val="00E554EC"/>
    <w:rsid w:val="00E563A9"/>
    <w:rsid w:val="00E61ED8"/>
    <w:rsid w:val="00E664FC"/>
    <w:rsid w:val="00E70B75"/>
    <w:rsid w:val="00E80688"/>
    <w:rsid w:val="00E80A99"/>
    <w:rsid w:val="00E86008"/>
    <w:rsid w:val="00E86D68"/>
    <w:rsid w:val="00E91955"/>
    <w:rsid w:val="00E91EA2"/>
    <w:rsid w:val="00E92291"/>
    <w:rsid w:val="00E9646B"/>
    <w:rsid w:val="00EB278C"/>
    <w:rsid w:val="00EB61CB"/>
    <w:rsid w:val="00EC1EE2"/>
    <w:rsid w:val="00EC30B9"/>
    <w:rsid w:val="00EC4630"/>
    <w:rsid w:val="00EC793D"/>
    <w:rsid w:val="00EC7E9E"/>
    <w:rsid w:val="00ED1379"/>
    <w:rsid w:val="00EE3C58"/>
    <w:rsid w:val="00EE45BA"/>
    <w:rsid w:val="00EE613B"/>
    <w:rsid w:val="00EF0368"/>
    <w:rsid w:val="00EF131D"/>
    <w:rsid w:val="00F072F1"/>
    <w:rsid w:val="00F114E6"/>
    <w:rsid w:val="00F13DAC"/>
    <w:rsid w:val="00F14B75"/>
    <w:rsid w:val="00F17EC2"/>
    <w:rsid w:val="00F21028"/>
    <w:rsid w:val="00F24975"/>
    <w:rsid w:val="00F2741A"/>
    <w:rsid w:val="00F275E3"/>
    <w:rsid w:val="00F276FE"/>
    <w:rsid w:val="00F318B3"/>
    <w:rsid w:val="00F32A1A"/>
    <w:rsid w:val="00F40D0B"/>
    <w:rsid w:val="00F53CDC"/>
    <w:rsid w:val="00F54886"/>
    <w:rsid w:val="00F60CD3"/>
    <w:rsid w:val="00F611C7"/>
    <w:rsid w:val="00F63282"/>
    <w:rsid w:val="00F64948"/>
    <w:rsid w:val="00F669B6"/>
    <w:rsid w:val="00F76BBC"/>
    <w:rsid w:val="00F834C0"/>
    <w:rsid w:val="00F83928"/>
    <w:rsid w:val="00F93728"/>
    <w:rsid w:val="00F96379"/>
    <w:rsid w:val="00FA0F72"/>
    <w:rsid w:val="00FA439E"/>
    <w:rsid w:val="00FA5235"/>
    <w:rsid w:val="00FB46A4"/>
    <w:rsid w:val="00FC1F3E"/>
    <w:rsid w:val="00FC628B"/>
    <w:rsid w:val="00FD0220"/>
    <w:rsid w:val="00FD0507"/>
    <w:rsid w:val="00FD0DC0"/>
    <w:rsid w:val="00FD5D98"/>
    <w:rsid w:val="00FE0079"/>
    <w:rsid w:val="00FE2C7C"/>
    <w:rsid w:val="00FE4AFA"/>
    <w:rsid w:val="00FF3A3D"/>
    <w:rsid w:val="1B5ED057"/>
    <w:rsid w:val="35F64AE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FFB65"/>
  <w15:docId w15:val="{6E0FCD6B-9442-41B9-9979-8E90D74DE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23B"/>
    <w:pPr>
      <w:spacing w:after="120" w:line="240" w:lineRule="auto"/>
    </w:pPr>
    <w:rPr>
      <w:rFonts w:ascii="Arial" w:eastAsiaTheme="minorEastAsia" w:hAnsi="Arial"/>
      <w:color w:val="000000" w:themeColor="text1"/>
      <w:szCs w:val="24"/>
    </w:rPr>
  </w:style>
  <w:style w:type="paragraph" w:styleId="Heading1">
    <w:name w:val="heading 1"/>
    <w:basedOn w:val="Normal"/>
    <w:next w:val="Normal"/>
    <w:link w:val="Heading1Char"/>
    <w:uiPriority w:val="9"/>
    <w:qFormat/>
    <w:rsid w:val="00C8623B"/>
    <w:pPr>
      <w:keepNext/>
      <w:keepLines/>
      <w:spacing w:before="240" w:after="240"/>
      <w:outlineLvl w:val="0"/>
    </w:pPr>
    <w:rPr>
      <w:rFonts w:eastAsiaTheme="majorEastAsia" w:cstheme="majorBidi"/>
      <w:color w:val="004270"/>
      <w:sz w:val="48"/>
      <w:szCs w:val="32"/>
    </w:rPr>
  </w:style>
  <w:style w:type="paragraph" w:styleId="Heading2">
    <w:name w:val="heading 2"/>
    <w:basedOn w:val="Normal"/>
    <w:next w:val="Normal"/>
    <w:link w:val="Heading2Char"/>
    <w:uiPriority w:val="9"/>
    <w:unhideWhenUsed/>
    <w:qFormat/>
    <w:rsid w:val="00C8623B"/>
    <w:pPr>
      <w:keepNext/>
      <w:keepLines/>
      <w:spacing w:before="240"/>
      <w:outlineLvl w:val="1"/>
    </w:pPr>
    <w:rPr>
      <w:rFonts w:eastAsiaTheme="majorEastAsia" w:cstheme="majorBidi"/>
      <w:color w:val="004270"/>
      <w:sz w:val="36"/>
    </w:rPr>
  </w:style>
  <w:style w:type="paragraph" w:styleId="Heading3">
    <w:name w:val="heading 3"/>
    <w:basedOn w:val="Normal"/>
    <w:next w:val="Normal"/>
    <w:link w:val="Heading3Char"/>
    <w:uiPriority w:val="9"/>
    <w:unhideWhenUsed/>
    <w:qFormat/>
    <w:rsid w:val="00C8623B"/>
    <w:pPr>
      <w:keepNext/>
      <w:keepLines/>
      <w:spacing w:before="240"/>
      <w:outlineLvl w:val="2"/>
    </w:pPr>
    <w:rPr>
      <w:rFonts w:eastAsiaTheme="majorEastAsia" w:cstheme="majorBidi"/>
      <w:color w:val="004270"/>
      <w:sz w:val="28"/>
    </w:rPr>
  </w:style>
  <w:style w:type="paragraph" w:styleId="Heading5">
    <w:name w:val="heading 5"/>
    <w:basedOn w:val="Normal"/>
    <w:next w:val="Normal"/>
    <w:link w:val="Heading5Char"/>
    <w:uiPriority w:val="9"/>
    <w:semiHidden/>
    <w:unhideWhenUsed/>
    <w:qFormat/>
    <w:rsid w:val="00C8623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23B"/>
    <w:rPr>
      <w:rFonts w:ascii="Arial" w:eastAsiaTheme="majorEastAsia" w:hAnsi="Arial" w:cstheme="majorBidi"/>
      <w:color w:val="004270"/>
      <w:sz w:val="48"/>
      <w:szCs w:val="32"/>
    </w:rPr>
  </w:style>
  <w:style w:type="character" w:customStyle="1" w:styleId="Heading2Char">
    <w:name w:val="Heading 2 Char"/>
    <w:basedOn w:val="DefaultParagraphFont"/>
    <w:link w:val="Heading2"/>
    <w:uiPriority w:val="9"/>
    <w:rsid w:val="00C8623B"/>
    <w:rPr>
      <w:rFonts w:ascii="Arial" w:eastAsiaTheme="majorEastAsia" w:hAnsi="Arial" w:cstheme="majorBidi"/>
      <w:color w:val="004270"/>
      <w:sz w:val="36"/>
      <w:szCs w:val="24"/>
    </w:rPr>
  </w:style>
  <w:style w:type="character" w:customStyle="1" w:styleId="Heading3Char">
    <w:name w:val="Heading 3 Char"/>
    <w:basedOn w:val="DefaultParagraphFont"/>
    <w:link w:val="Heading3"/>
    <w:uiPriority w:val="9"/>
    <w:rsid w:val="00C8623B"/>
    <w:rPr>
      <w:rFonts w:ascii="Arial" w:eastAsiaTheme="majorEastAsia" w:hAnsi="Arial" w:cstheme="majorBidi"/>
      <w:color w:val="004270"/>
      <w:sz w:val="28"/>
      <w:szCs w:val="24"/>
    </w:rPr>
  </w:style>
  <w:style w:type="character" w:customStyle="1" w:styleId="Heading5Char">
    <w:name w:val="Heading 5 Char"/>
    <w:basedOn w:val="DefaultParagraphFont"/>
    <w:link w:val="Heading5"/>
    <w:uiPriority w:val="9"/>
    <w:semiHidden/>
    <w:rsid w:val="00C8623B"/>
    <w:rPr>
      <w:rFonts w:asciiTheme="majorHAnsi" w:eastAsiaTheme="majorEastAsia" w:hAnsiTheme="majorHAnsi" w:cstheme="majorBidi"/>
      <w:color w:val="2F5496" w:themeColor="accent1" w:themeShade="BF"/>
      <w:szCs w:val="24"/>
    </w:rPr>
  </w:style>
  <w:style w:type="paragraph" w:styleId="ListParagraph">
    <w:name w:val="List Paragraph"/>
    <w:basedOn w:val="Normal"/>
    <w:link w:val="ListParagraphChar"/>
    <w:uiPriority w:val="34"/>
    <w:qFormat/>
    <w:rsid w:val="00C8623B"/>
    <w:pPr>
      <w:ind w:left="720"/>
      <w:contextualSpacing/>
    </w:pPr>
  </w:style>
  <w:style w:type="paragraph" w:styleId="FootnoteText">
    <w:name w:val="footnote text"/>
    <w:aliases w:val="5_G"/>
    <w:basedOn w:val="Normal"/>
    <w:link w:val="FootnoteTextChar"/>
    <w:unhideWhenUsed/>
    <w:rsid w:val="00B736FF"/>
    <w:rPr>
      <w:sz w:val="18"/>
    </w:rPr>
  </w:style>
  <w:style w:type="character" w:customStyle="1" w:styleId="FootnoteTextChar">
    <w:name w:val="Footnote Text Char"/>
    <w:aliases w:val="5_G Char"/>
    <w:basedOn w:val="DefaultParagraphFont"/>
    <w:link w:val="FootnoteText"/>
    <w:rsid w:val="00C8623B"/>
    <w:rPr>
      <w:rFonts w:ascii="Arial" w:eastAsiaTheme="minorEastAsia" w:hAnsi="Arial"/>
      <w:color w:val="000000" w:themeColor="text1"/>
      <w:sz w:val="18"/>
      <w:szCs w:val="24"/>
    </w:rPr>
  </w:style>
  <w:style w:type="character" w:styleId="FootnoteReference">
    <w:name w:val="footnote reference"/>
    <w:aliases w:val="4_G,Footnote number,Footnotes refss"/>
    <w:basedOn w:val="DefaultParagraphFont"/>
    <w:unhideWhenUsed/>
    <w:rsid w:val="00C8623B"/>
    <w:rPr>
      <w:vertAlign w:val="superscript"/>
    </w:rPr>
  </w:style>
  <w:style w:type="paragraph" w:styleId="NoSpacing">
    <w:name w:val="No Spacing"/>
    <w:link w:val="NoSpacingChar"/>
    <w:uiPriority w:val="1"/>
    <w:qFormat/>
    <w:rsid w:val="00C8623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8623B"/>
    <w:rPr>
      <w:rFonts w:eastAsiaTheme="minorEastAsia"/>
      <w:lang w:val="en-US"/>
    </w:rPr>
  </w:style>
  <w:style w:type="paragraph" w:styleId="TOCHeading">
    <w:name w:val="TOC Heading"/>
    <w:basedOn w:val="Heading1"/>
    <w:next w:val="Normal"/>
    <w:uiPriority w:val="39"/>
    <w:unhideWhenUsed/>
    <w:qFormat/>
    <w:rsid w:val="00C8623B"/>
    <w:pPr>
      <w:spacing w:line="259" w:lineRule="auto"/>
      <w:outlineLvl w:val="9"/>
    </w:pPr>
  </w:style>
  <w:style w:type="paragraph" w:styleId="TOC1">
    <w:name w:val="toc 1"/>
    <w:basedOn w:val="Normal"/>
    <w:next w:val="Normal"/>
    <w:autoRedefine/>
    <w:uiPriority w:val="39"/>
    <w:unhideWhenUsed/>
    <w:rsid w:val="00C8623B"/>
    <w:pPr>
      <w:spacing w:after="100"/>
    </w:pPr>
  </w:style>
  <w:style w:type="character" w:styleId="Hyperlink">
    <w:name w:val="Hyperlink"/>
    <w:basedOn w:val="DefaultParagraphFont"/>
    <w:uiPriority w:val="99"/>
    <w:unhideWhenUsed/>
    <w:rsid w:val="00C8623B"/>
    <w:rPr>
      <w:color w:val="0563C1" w:themeColor="hyperlink"/>
      <w:u w:val="single"/>
    </w:rPr>
  </w:style>
  <w:style w:type="paragraph" w:styleId="Header">
    <w:name w:val="header"/>
    <w:basedOn w:val="Normal"/>
    <w:link w:val="HeaderChar"/>
    <w:uiPriority w:val="99"/>
    <w:unhideWhenUsed/>
    <w:rsid w:val="00C8623B"/>
    <w:pPr>
      <w:tabs>
        <w:tab w:val="center" w:pos="4513"/>
        <w:tab w:val="right" w:pos="9026"/>
      </w:tabs>
    </w:pPr>
  </w:style>
  <w:style w:type="character" w:customStyle="1" w:styleId="HeaderChar">
    <w:name w:val="Header Char"/>
    <w:basedOn w:val="DefaultParagraphFont"/>
    <w:link w:val="Header"/>
    <w:uiPriority w:val="99"/>
    <w:rsid w:val="00C8623B"/>
    <w:rPr>
      <w:rFonts w:ascii="Arial" w:eastAsiaTheme="minorEastAsia" w:hAnsi="Arial"/>
      <w:color w:val="000000" w:themeColor="text1"/>
      <w:szCs w:val="24"/>
    </w:rPr>
  </w:style>
  <w:style w:type="paragraph" w:styleId="Footer">
    <w:name w:val="footer"/>
    <w:basedOn w:val="Normal"/>
    <w:link w:val="FooterChar"/>
    <w:uiPriority w:val="99"/>
    <w:unhideWhenUsed/>
    <w:rsid w:val="00C8623B"/>
    <w:pPr>
      <w:tabs>
        <w:tab w:val="center" w:pos="4513"/>
        <w:tab w:val="right" w:pos="9026"/>
      </w:tabs>
    </w:pPr>
  </w:style>
  <w:style w:type="character" w:customStyle="1" w:styleId="FooterChar">
    <w:name w:val="Footer Char"/>
    <w:basedOn w:val="DefaultParagraphFont"/>
    <w:link w:val="Footer"/>
    <w:uiPriority w:val="99"/>
    <w:rsid w:val="00C8623B"/>
    <w:rPr>
      <w:rFonts w:ascii="Arial" w:eastAsiaTheme="minorEastAsia" w:hAnsi="Arial"/>
      <w:color w:val="000000" w:themeColor="text1"/>
      <w:szCs w:val="24"/>
    </w:rPr>
  </w:style>
  <w:style w:type="paragraph" w:styleId="TOC2">
    <w:name w:val="toc 2"/>
    <w:basedOn w:val="Normal"/>
    <w:next w:val="Normal"/>
    <w:autoRedefine/>
    <w:uiPriority w:val="39"/>
    <w:unhideWhenUsed/>
    <w:rsid w:val="00A90928"/>
    <w:pPr>
      <w:tabs>
        <w:tab w:val="right" w:leader="dot" w:pos="8296"/>
      </w:tabs>
      <w:spacing w:before="120"/>
    </w:pPr>
  </w:style>
  <w:style w:type="character" w:styleId="HTMLCite">
    <w:name w:val="HTML Cite"/>
    <w:uiPriority w:val="99"/>
    <w:unhideWhenUsed/>
    <w:rsid w:val="00C8623B"/>
    <w:rPr>
      <w:i/>
      <w:iCs/>
    </w:rPr>
  </w:style>
  <w:style w:type="table" w:styleId="TableGrid">
    <w:name w:val="Table Grid"/>
    <w:basedOn w:val="TableNormal"/>
    <w:rsid w:val="00C8623B"/>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62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23B"/>
    <w:rPr>
      <w:rFonts w:ascii="Segoe UI" w:eastAsiaTheme="minorEastAsia" w:hAnsi="Segoe UI" w:cs="Segoe UI"/>
      <w:color w:val="000000" w:themeColor="text1"/>
      <w:sz w:val="18"/>
      <w:szCs w:val="18"/>
    </w:rPr>
  </w:style>
  <w:style w:type="paragraph" w:styleId="TOC3">
    <w:name w:val="toc 3"/>
    <w:basedOn w:val="Normal"/>
    <w:next w:val="Normal"/>
    <w:autoRedefine/>
    <w:uiPriority w:val="39"/>
    <w:unhideWhenUsed/>
    <w:rsid w:val="00A90928"/>
    <w:pPr>
      <w:tabs>
        <w:tab w:val="right" w:leader="dot" w:pos="8296"/>
      </w:tabs>
      <w:spacing w:after="100"/>
    </w:pPr>
  </w:style>
  <w:style w:type="character" w:styleId="CommentReference">
    <w:name w:val="annotation reference"/>
    <w:basedOn w:val="DefaultParagraphFont"/>
    <w:uiPriority w:val="99"/>
    <w:semiHidden/>
    <w:unhideWhenUsed/>
    <w:rsid w:val="00C8623B"/>
    <w:rPr>
      <w:sz w:val="16"/>
      <w:szCs w:val="16"/>
    </w:rPr>
  </w:style>
  <w:style w:type="paragraph" w:styleId="CommentText">
    <w:name w:val="annotation text"/>
    <w:basedOn w:val="Normal"/>
    <w:link w:val="CommentTextChar"/>
    <w:uiPriority w:val="99"/>
    <w:unhideWhenUsed/>
    <w:rsid w:val="00C8623B"/>
    <w:rPr>
      <w:sz w:val="20"/>
      <w:szCs w:val="20"/>
    </w:rPr>
  </w:style>
  <w:style w:type="character" w:customStyle="1" w:styleId="CommentTextChar">
    <w:name w:val="Comment Text Char"/>
    <w:basedOn w:val="DefaultParagraphFont"/>
    <w:link w:val="CommentText"/>
    <w:uiPriority w:val="99"/>
    <w:rsid w:val="00C8623B"/>
    <w:rPr>
      <w:rFonts w:ascii="Arial" w:eastAsiaTheme="minorEastAsia" w:hAnsi="Arial"/>
      <w:color w:val="000000" w:themeColor="text1"/>
      <w:sz w:val="20"/>
      <w:szCs w:val="20"/>
    </w:rPr>
  </w:style>
  <w:style w:type="paragraph" w:styleId="CommentSubject">
    <w:name w:val="annotation subject"/>
    <w:basedOn w:val="CommentText"/>
    <w:next w:val="CommentText"/>
    <w:link w:val="CommentSubjectChar"/>
    <w:uiPriority w:val="99"/>
    <w:unhideWhenUsed/>
    <w:rsid w:val="00C8623B"/>
    <w:rPr>
      <w:b/>
      <w:bCs/>
    </w:rPr>
  </w:style>
  <w:style w:type="character" w:customStyle="1" w:styleId="CommentSubjectChar">
    <w:name w:val="Comment Subject Char"/>
    <w:basedOn w:val="CommentTextChar"/>
    <w:link w:val="CommentSubject"/>
    <w:uiPriority w:val="99"/>
    <w:rsid w:val="00C8623B"/>
    <w:rPr>
      <w:rFonts w:ascii="Arial" w:eastAsiaTheme="minorEastAsia" w:hAnsi="Arial"/>
      <w:b/>
      <w:bCs/>
      <w:color w:val="000000" w:themeColor="text1"/>
      <w:sz w:val="20"/>
      <w:szCs w:val="20"/>
    </w:rPr>
  </w:style>
  <w:style w:type="paragraph" w:customStyle="1" w:styleId="Numberedparagraph">
    <w:name w:val="Numbered paragraph"/>
    <w:basedOn w:val="ListParagraph"/>
    <w:link w:val="NumberedparagraphChar"/>
    <w:qFormat/>
    <w:rsid w:val="00C8623B"/>
    <w:pPr>
      <w:numPr>
        <w:numId w:val="30"/>
      </w:numPr>
      <w:spacing w:before="120" w:after="240" w:line="276" w:lineRule="auto"/>
      <w:contextualSpacing w:val="0"/>
    </w:pPr>
    <w:rPr>
      <w:rFonts w:cs="Arial"/>
    </w:rPr>
  </w:style>
  <w:style w:type="paragraph" w:styleId="Quote">
    <w:name w:val="Quote"/>
    <w:basedOn w:val="Normal"/>
    <w:next w:val="Normal"/>
    <w:link w:val="QuoteChar"/>
    <w:uiPriority w:val="29"/>
    <w:qFormat/>
    <w:rsid w:val="00C8623B"/>
    <w:pPr>
      <w:spacing w:before="240" w:after="240" w:line="276" w:lineRule="auto"/>
      <w:ind w:left="907" w:right="843"/>
    </w:pPr>
    <w:rPr>
      <w:rFonts w:cs="Arial"/>
      <w:sz w:val="20"/>
      <w:szCs w:val="20"/>
    </w:rPr>
  </w:style>
  <w:style w:type="character" w:customStyle="1" w:styleId="QuoteChar">
    <w:name w:val="Quote Char"/>
    <w:basedOn w:val="DefaultParagraphFont"/>
    <w:link w:val="Quote"/>
    <w:uiPriority w:val="29"/>
    <w:rsid w:val="00C8623B"/>
    <w:rPr>
      <w:rFonts w:ascii="Arial" w:eastAsiaTheme="minorEastAsia" w:hAnsi="Arial" w:cs="Arial"/>
      <w:color w:val="000000" w:themeColor="text1"/>
      <w:sz w:val="20"/>
      <w:szCs w:val="20"/>
    </w:rPr>
  </w:style>
  <w:style w:type="character" w:customStyle="1" w:styleId="ListParagraphChar">
    <w:name w:val="List Paragraph Char"/>
    <w:basedOn w:val="DefaultParagraphFont"/>
    <w:link w:val="ListParagraph"/>
    <w:uiPriority w:val="34"/>
    <w:rsid w:val="00C8623B"/>
    <w:rPr>
      <w:rFonts w:ascii="Arial" w:eastAsiaTheme="minorEastAsia" w:hAnsi="Arial"/>
      <w:color w:val="000000" w:themeColor="text1"/>
      <w:szCs w:val="24"/>
    </w:rPr>
  </w:style>
  <w:style w:type="character" w:customStyle="1" w:styleId="NumberedparagraphChar">
    <w:name w:val="Numbered paragraph Char"/>
    <w:basedOn w:val="ListParagraphChar"/>
    <w:link w:val="Numberedparagraph"/>
    <w:rsid w:val="00C8623B"/>
    <w:rPr>
      <w:rFonts w:ascii="Arial" w:eastAsiaTheme="minorEastAsia" w:hAnsi="Arial" w:cs="Arial"/>
      <w:color w:val="000000" w:themeColor="text1"/>
      <w:szCs w:val="24"/>
    </w:rPr>
  </w:style>
  <w:style w:type="paragraph" w:customStyle="1" w:styleId="Bulletedlist">
    <w:name w:val="Bulleted list"/>
    <w:basedOn w:val="ListParagraph"/>
    <w:qFormat/>
    <w:rsid w:val="00C8623B"/>
    <w:pPr>
      <w:numPr>
        <w:numId w:val="16"/>
      </w:numPr>
      <w:spacing w:after="240"/>
    </w:pPr>
    <w:rPr>
      <w:rFonts w:cs="Arial"/>
    </w:rPr>
  </w:style>
  <w:style w:type="paragraph" w:styleId="Title">
    <w:name w:val="Title"/>
    <w:basedOn w:val="Normal"/>
    <w:next w:val="Normal"/>
    <w:link w:val="TitleChar"/>
    <w:uiPriority w:val="10"/>
    <w:qFormat/>
    <w:rsid w:val="00C8623B"/>
    <w:pPr>
      <w:pBdr>
        <w:bottom w:val="single" w:sz="8" w:space="12" w:color="004270"/>
      </w:pBdr>
      <w:spacing w:after="240"/>
      <w:contextualSpacing/>
    </w:pPr>
    <w:rPr>
      <w:rFonts w:eastAsiaTheme="majorEastAsia" w:cstheme="majorBidi"/>
      <w:color w:val="004270"/>
      <w:spacing w:val="-10"/>
      <w:kern w:val="28"/>
      <w:sz w:val="60"/>
      <w:szCs w:val="56"/>
    </w:rPr>
  </w:style>
  <w:style w:type="character" w:customStyle="1" w:styleId="TitleChar">
    <w:name w:val="Title Char"/>
    <w:basedOn w:val="DefaultParagraphFont"/>
    <w:link w:val="Title"/>
    <w:uiPriority w:val="10"/>
    <w:rsid w:val="00C8623B"/>
    <w:rPr>
      <w:rFonts w:ascii="Arial" w:eastAsiaTheme="majorEastAsia" w:hAnsi="Arial" w:cstheme="majorBidi"/>
      <w:color w:val="004270"/>
      <w:spacing w:val="-10"/>
      <w:kern w:val="28"/>
      <w:sz w:val="60"/>
      <w:szCs w:val="56"/>
    </w:rPr>
  </w:style>
  <w:style w:type="paragraph" w:customStyle="1" w:styleId="NumberedPara">
    <w:name w:val="Numbered Para"/>
    <w:basedOn w:val="ListParagraph"/>
    <w:qFormat/>
    <w:rsid w:val="00C8623B"/>
    <w:pPr>
      <w:numPr>
        <w:numId w:val="39"/>
      </w:numPr>
      <w:spacing w:before="120" w:after="240" w:line="276" w:lineRule="auto"/>
      <w:contextualSpacing w:val="0"/>
    </w:pPr>
    <w:rPr>
      <w:rFonts w:eastAsia="Calibri" w:cs="Arial"/>
      <w:color w:val="000000"/>
    </w:rPr>
  </w:style>
  <w:style w:type="character" w:styleId="Strong">
    <w:name w:val="Strong"/>
    <w:basedOn w:val="DefaultParagraphFont"/>
    <w:uiPriority w:val="22"/>
    <w:qFormat/>
    <w:rsid w:val="00C8623B"/>
    <w:rPr>
      <w:b/>
      <w:bCs/>
    </w:rPr>
  </w:style>
  <w:style w:type="paragraph" w:styleId="NormalWeb">
    <w:name w:val="Normal (Web)"/>
    <w:basedOn w:val="Normal"/>
    <w:uiPriority w:val="99"/>
    <w:semiHidden/>
    <w:unhideWhenUsed/>
    <w:rsid w:val="00C8623B"/>
    <w:pPr>
      <w:spacing w:before="100" w:beforeAutospacing="1" w:after="100" w:afterAutospacing="1"/>
    </w:pPr>
    <w:rPr>
      <w:rFonts w:ascii="Times New Roman" w:eastAsia="Times New Roman" w:hAnsi="Times New Roman" w:cs="Times New Roman"/>
      <w:color w:val="auto"/>
      <w:sz w:val="24"/>
      <w:lang w:eastAsia="en-AU"/>
    </w:rPr>
  </w:style>
  <w:style w:type="character" w:styleId="Emphasis">
    <w:name w:val="Emphasis"/>
    <w:basedOn w:val="DefaultParagraphFont"/>
    <w:uiPriority w:val="20"/>
    <w:qFormat/>
    <w:rsid w:val="00C8623B"/>
    <w:rPr>
      <w:i/>
      <w:iCs/>
    </w:rPr>
  </w:style>
  <w:style w:type="character" w:styleId="UnresolvedMention">
    <w:name w:val="Unresolved Mention"/>
    <w:basedOn w:val="DefaultParagraphFont"/>
    <w:uiPriority w:val="99"/>
    <w:semiHidden/>
    <w:unhideWhenUsed/>
    <w:rsid w:val="00C8623B"/>
    <w:rPr>
      <w:color w:val="605E5C"/>
      <w:shd w:val="clear" w:color="auto" w:fill="E1DFDD"/>
    </w:rPr>
  </w:style>
  <w:style w:type="paragraph" w:styleId="Revision">
    <w:name w:val="Revision"/>
    <w:hidden/>
    <w:uiPriority w:val="99"/>
    <w:semiHidden/>
    <w:rsid w:val="00C8623B"/>
    <w:pPr>
      <w:spacing w:after="0" w:line="240" w:lineRule="auto"/>
    </w:pPr>
    <w:rPr>
      <w:rFonts w:ascii="Arial" w:eastAsiaTheme="minorEastAsia" w:hAnsi="Arial"/>
      <w:color w:val="000000" w:themeColor="text1"/>
      <w:szCs w:val="24"/>
    </w:rPr>
  </w:style>
  <w:style w:type="character" w:customStyle="1" w:styleId="normalitalicschar-h">
    <w:name w:val="normalitalicschar-h"/>
    <w:basedOn w:val="DefaultParagraphFont"/>
    <w:rsid w:val="00F64948"/>
  </w:style>
  <w:style w:type="character" w:styleId="FollowedHyperlink">
    <w:name w:val="FollowedHyperlink"/>
    <w:basedOn w:val="DefaultParagraphFont"/>
    <w:uiPriority w:val="99"/>
    <w:semiHidden/>
    <w:unhideWhenUsed/>
    <w:rsid w:val="000D77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08215">
      <w:bodyDiv w:val="1"/>
      <w:marLeft w:val="0"/>
      <w:marRight w:val="0"/>
      <w:marTop w:val="0"/>
      <w:marBottom w:val="0"/>
      <w:divBdr>
        <w:top w:val="none" w:sz="0" w:space="0" w:color="auto"/>
        <w:left w:val="none" w:sz="0" w:space="0" w:color="auto"/>
        <w:bottom w:val="none" w:sz="0" w:space="0" w:color="auto"/>
        <w:right w:val="none" w:sz="0" w:space="0" w:color="auto"/>
      </w:divBdr>
    </w:div>
    <w:div w:id="135804841">
      <w:bodyDiv w:val="1"/>
      <w:marLeft w:val="0"/>
      <w:marRight w:val="0"/>
      <w:marTop w:val="0"/>
      <w:marBottom w:val="0"/>
      <w:divBdr>
        <w:top w:val="none" w:sz="0" w:space="0" w:color="auto"/>
        <w:left w:val="none" w:sz="0" w:space="0" w:color="auto"/>
        <w:bottom w:val="none" w:sz="0" w:space="0" w:color="auto"/>
        <w:right w:val="none" w:sz="0" w:space="0" w:color="auto"/>
      </w:divBdr>
    </w:div>
    <w:div w:id="315574459">
      <w:bodyDiv w:val="1"/>
      <w:marLeft w:val="0"/>
      <w:marRight w:val="0"/>
      <w:marTop w:val="0"/>
      <w:marBottom w:val="0"/>
      <w:divBdr>
        <w:top w:val="none" w:sz="0" w:space="0" w:color="auto"/>
        <w:left w:val="none" w:sz="0" w:space="0" w:color="auto"/>
        <w:bottom w:val="none" w:sz="0" w:space="0" w:color="auto"/>
        <w:right w:val="none" w:sz="0" w:space="0" w:color="auto"/>
      </w:divBdr>
    </w:div>
    <w:div w:id="365835594">
      <w:bodyDiv w:val="1"/>
      <w:marLeft w:val="0"/>
      <w:marRight w:val="0"/>
      <w:marTop w:val="0"/>
      <w:marBottom w:val="0"/>
      <w:divBdr>
        <w:top w:val="none" w:sz="0" w:space="0" w:color="auto"/>
        <w:left w:val="none" w:sz="0" w:space="0" w:color="auto"/>
        <w:bottom w:val="none" w:sz="0" w:space="0" w:color="auto"/>
        <w:right w:val="none" w:sz="0" w:space="0" w:color="auto"/>
      </w:divBdr>
    </w:div>
    <w:div w:id="589966976">
      <w:bodyDiv w:val="1"/>
      <w:marLeft w:val="0"/>
      <w:marRight w:val="0"/>
      <w:marTop w:val="0"/>
      <w:marBottom w:val="0"/>
      <w:divBdr>
        <w:top w:val="none" w:sz="0" w:space="0" w:color="auto"/>
        <w:left w:val="none" w:sz="0" w:space="0" w:color="auto"/>
        <w:bottom w:val="none" w:sz="0" w:space="0" w:color="auto"/>
        <w:right w:val="none" w:sz="0" w:space="0" w:color="auto"/>
      </w:divBdr>
    </w:div>
    <w:div w:id="854029704">
      <w:bodyDiv w:val="1"/>
      <w:marLeft w:val="0"/>
      <w:marRight w:val="0"/>
      <w:marTop w:val="0"/>
      <w:marBottom w:val="0"/>
      <w:divBdr>
        <w:top w:val="none" w:sz="0" w:space="0" w:color="auto"/>
        <w:left w:val="none" w:sz="0" w:space="0" w:color="auto"/>
        <w:bottom w:val="none" w:sz="0" w:space="0" w:color="auto"/>
        <w:right w:val="none" w:sz="0" w:space="0" w:color="auto"/>
      </w:divBdr>
    </w:div>
    <w:div w:id="1214734008">
      <w:bodyDiv w:val="1"/>
      <w:marLeft w:val="0"/>
      <w:marRight w:val="0"/>
      <w:marTop w:val="0"/>
      <w:marBottom w:val="0"/>
      <w:divBdr>
        <w:top w:val="none" w:sz="0" w:space="0" w:color="auto"/>
        <w:left w:val="none" w:sz="0" w:space="0" w:color="auto"/>
        <w:bottom w:val="none" w:sz="0" w:space="0" w:color="auto"/>
        <w:right w:val="none" w:sz="0" w:space="0" w:color="auto"/>
      </w:divBdr>
    </w:div>
    <w:div w:id="1909220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publications.qld.gov.au/ckan-publications-attachments-prod/resources/84bb739b-4922-4098-8d70-a5a483d2f019/qg-response-wsjtaskforce-report1.pdf?ETag=adb9f2f7ba3ce907ae98eb5b81539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0E670C0B708384A9FE68EDDD2FCA27F" ma:contentTypeVersion="11" ma:contentTypeDescription="Create a new document." ma:contentTypeScope="" ma:versionID="11351e6ca541bfb95503b10b1f22152e">
  <xsd:schema xmlns:xsd="http://www.w3.org/2001/XMLSchema" xmlns:xs="http://www.w3.org/2001/XMLSchema" xmlns:p="http://schemas.microsoft.com/office/2006/metadata/properties" xmlns:ns2="4895baa6-ac4c-4d1e-b231-8483c88111dc" xmlns:ns3="a9ec758c-7b29-4bbd-836f-c599af6fef2b" targetNamespace="http://schemas.microsoft.com/office/2006/metadata/properties" ma:root="true" ma:fieldsID="a13380e46dd13f118c08896d30f2b820" ns2:_="" ns3:_="">
    <xsd:import namespace="4895baa6-ac4c-4d1e-b231-8483c88111dc"/>
    <xsd:import namespace="a9ec758c-7b29-4bbd-836f-c599af6fef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5baa6-ac4c-4d1e-b231-8483c88111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ec758c-7b29-4bbd-836f-c599af6fef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248DDB-54DF-47AB-8EDA-46BA26C2C470}">
  <ds:schemaRefs>
    <ds:schemaRef ds:uri="http://schemas.microsoft.com/sharepoint/v3/contenttype/forms"/>
  </ds:schemaRefs>
</ds:datastoreItem>
</file>

<file path=customXml/itemProps2.xml><?xml version="1.0" encoding="utf-8"?>
<ds:datastoreItem xmlns:ds="http://schemas.openxmlformats.org/officeDocument/2006/customXml" ds:itemID="{414793ED-CD44-4BB4-9A51-8C31071FBDE5}">
  <ds:schemaRefs>
    <ds:schemaRef ds:uri="http://schemas.openxmlformats.org/officeDocument/2006/bibliography"/>
  </ds:schemaRefs>
</ds:datastoreItem>
</file>

<file path=customXml/itemProps3.xml><?xml version="1.0" encoding="utf-8"?>
<ds:datastoreItem xmlns:ds="http://schemas.openxmlformats.org/officeDocument/2006/customXml" ds:itemID="{30DDA2F5-CFC9-47AE-9345-66B85A4EC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5baa6-ac4c-4d1e-b231-8483c88111dc"/>
    <ds:schemaRef ds:uri="a9ec758c-7b29-4bbd-836f-c599af6fe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AB0806-7E2B-4E55-8B11-79351C643748}">
  <ds:schemaRefs>
    <ds:schemaRef ds:uri="http://schemas.microsoft.com/office/2006/documentManagement/types"/>
    <ds:schemaRef ds:uri="http://purl.org/dc/elements/1.1/"/>
    <ds:schemaRef ds:uri="a9ec758c-7b29-4bbd-836f-c599af6fef2b"/>
    <ds:schemaRef ds:uri="4895baa6-ac4c-4d1e-b231-8483c88111dc"/>
    <ds:schemaRef ds:uri="http://www.w3.org/XML/1998/namespace"/>
    <ds:schemaRef ds:uri="http://purl.org/dc/dcmitype/"/>
    <ds:schemaRef ds:uri="http://schemas.openxmlformats.org/package/2006/metadata/core-properties"/>
    <ds:schemaRef ds:uri="http://purl.org/dc/term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3461</Words>
  <Characters>19733</Characters>
  <Application>Microsoft Office Word</Application>
  <DocSecurity>0</DocSecurity>
  <Lines>164</Lines>
  <Paragraphs>46</Paragraphs>
  <ScaleCrop>false</ScaleCrop>
  <Company>Queensland Human Rights Commission</Company>
  <LinksUpToDate>false</LinksUpToDate>
  <CharactersWithSpaces>23148</CharactersWithSpaces>
  <SharedDoc>false</SharedDoc>
  <HLinks>
    <vt:vector size="102" baseType="variant">
      <vt:variant>
        <vt:i4>1769530</vt:i4>
      </vt:variant>
      <vt:variant>
        <vt:i4>92</vt:i4>
      </vt:variant>
      <vt:variant>
        <vt:i4>0</vt:i4>
      </vt:variant>
      <vt:variant>
        <vt:i4>5</vt:i4>
      </vt:variant>
      <vt:variant>
        <vt:lpwstr/>
      </vt:variant>
      <vt:variant>
        <vt:lpwstr>_Toc149202283</vt:lpwstr>
      </vt:variant>
      <vt:variant>
        <vt:i4>1769530</vt:i4>
      </vt:variant>
      <vt:variant>
        <vt:i4>86</vt:i4>
      </vt:variant>
      <vt:variant>
        <vt:i4>0</vt:i4>
      </vt:variant>
      <vt:variant>
        <vt:i4>5</vt:i4>
      </vt:variant>
      <vt:variant>
        <vt:lpwstr/>
      </vt:variant>
      <vt:variant>
        <vt:lpwstr>_Toc149202282</vt:lpwstr>
      </vt:variant>
      <vt:variant>
        <vt:i4>1769530</vt:i4>
      </vt:variant>
      <vt:variant>
        <vt:i4>80</vt:i4>
      </vt:variant>
      <vt:variant>
        <vt:i4>0</vt:i4>
      </vt:variant>
      <vt:variant>
        <vt:i4>5</vt:i4>
      </vt:variant>
      <vt:variant>
        <vt:lpwstr/>
      </vt:variant>
      <vt:variant>
        <vt:lpwstr>_Toc149202281</vt:lpwstr>
      </vt:variant>
      <vt:variant>
        <vt:i4>1769530</vt:i4>
      </vt:variant>
      <vt:variant>
        <vt:i4>74</vt:i4>
      </vt:variant>
      <vt:variant>
        <vt:i4>0</vt:i4>
      </vt:variant>
      <vt:variant>
        <vt:i4>5</vt:i4>
      </vt:variant>
      <vt:variant>
        <vt:lpwstr/>
      </vt:variant>
      <vt:variant>
        <vt:lpwstr>_Toc149202280</vt:lpwstr>
      </vt:variant>
      <vt:variant>
        <vt:i4>1310778</vt:i4>
      </vt:variant>
      <vt:variant>
        <vt:i4>68</vt:i4>
      </vt:variant>
      <vt:variant>
        <vt:i4>0</vt:i4>
      </vt:variant>
      <vt:variant>
        <vt:i4>5</vt:i4>
      </vt:variant>
      <vt:variant>
        <vt:lpwstr/>
      </vt:variant>
      <vt:variant>
        <vt:lpwstr>_Toc149202279</vt:lpwstr>
      </vt:variant>
      <vt:variant>
        <vt:i4>1310778</vt:i4>
      </vt:variant>
      <vt:variant>
        <vt:i4>62</vt:i4>
      </vt:variant>
      <vt:variant>
        <vt:i4>0</vt:i4>
      </vt:variant>
      <vt:variant>
        <vt:i4>5</vt:i4>
      </vt:variant>
      <vt:variant>
        <vt:lpwstr/>
      </vt:variant>
      <vt:variant>
        <vt:lpwstr>_Toc149202278</vt:lpwstr>
      </vt:variant>
      <vt:variant>
        <vt:i4>1310778</vt:i4>
      </vt:variant>
      <vt:variant>
        <vt:i4>56</vt:i4>
      </vt:variant>
      <vt:variant>
        <vt:i4>0</vt:i4>
      </vt:variant>
      <vt:variant>
        <vt:i4>5</vt:i4>
      </vt:variant>
      <vt:variant>
        <vt:lpwstr/>
      </vt:variant>
      <vt:variant>
        <vt:lpwstr>_Toc149202277</vt:lpwstr>
      </vt:variant>
      <vt:variant>
        <vt:i4>1310778</vt:i4>
      </vt:variant>
      <vt:variant>
        <vt:i4>50</vt:i4>
      </vt:variant>
      <vt:variant>
        <vt:i4>0</vt:i4>
      </vt:variant>
      <vt:variant>
        <vt:i4>5</vt:i4>
      </vt:variant>
      <vt:variant>
        <vt:lpwstr/>
      </vt:variant>
      <vt:variant>
        <vt:lpwstr>_Toc149202276</vt:lpwstr>
      </vt:variant>
      <vt:variant>
        <vt:i4>1310778</vt:i4>
      </vt:variant>
      <vt:variant>
        <vt:i4>44</vt:i4>
      </vt:variant>
      <vt:variant>
        <vt:i4>0</vt:i4>
      </vt:variant>
      <vt:variant>
        <vt:i4>5</vt:i4>
      </vt:variant>
      <vt:variant>
        <vt:lpwstr/>
      </vt:variant>
      <vt:variant>
        <vt:lpwstr>_Toc149202275</vt:lpwstr>
      </vt:variant>
      <vt:variant>
        <vt:i4>1310778</vt:i4>
      </vt:variant>
      <vt:variant>
        <vt:i4>38</vt:i4>
      </vt:variant>
      <vt:variant>
        <vt:i4>0</vt:i4>
      </vt:variant>
      <vt:variant>
        <vt:i4>5</vt:i4>
      </vt:variant>
      <vt:variant>
        <vt:lpwstr/>
      </vt:variant>
      <vt:variant>
        <vt:lpwstr>_Toc149202274</vt:lpwstr>
      </vt:variant>
      <vt:variant>
        <vt:i4>1310778</vt:i4>
      </vt:variant>
      <vt:variant>
        <vt:i4>32</vt:i4>
      </vt:variant>
      <vt:variant>
        <vt:i4>0</vt:i4>
      </vt:variant>
      <vt:variant>
        <vt:i4>5</vt:i4>
      </vt:variant>
      <vt:variant>
        <vt:lpwstr/>
      </vt:variant>
      <vt:variant>
        <vt:lpwstr>_Toc149202273</vt:lpwstr>
      </vt:variant>
      <vt:variant>
        <vt:i4>1310778</vt:i4>
      </vt:variant>
      <vt:variant>
        <vt:i4>26</vt:i4>
      </vt:variant>
      <vt:variant>
        <vt:i4>0</vt:i4>
      </vt:variant>
      <vt:variant>
        <vt:i4>5</vt:i4>
      </vt:variant>
      <vt:variant>
        <vt:lpwstr/>
      </vt:variant>
      <vt:variant>
        <vt:lpwstr>_Toc149202272</vt:lpwstr>
      </vt:variant>
      <vt:variant>
        <vt:i4>1310778</vt:i4>
      </vt:variant>
      <vt:variant>
        <vt:i4>20</vt:i4>
      </vt:variant>
      <vt:variant>
        <vt:i4>0</vt:i4>
      </vt:variant>
      <vt:variant>
        <vt:i4>5</vt:i4>
      </vt:variant>
      <vt:variant>
        <vt:lpwstr/>
      </vt:variant>
      <vt:variant>
        <vt:lpwstr>_Toc149202271</vt:lpwstr>
      </vt:variant>
      <vt:variant>
        <vt:i4>1310778</vt:i4>
      </vt:variant>
      <vt:variant>
        <vt:i4>14</vt:i4>
      </vt:variant>
      <vt:variant>
        <vt:i4>0</vt:i4>
      </vt:variant>
      <vt:variant>
        <vt:i4>5</vt:i4>
      </vt:variant>
      <vt:variant>
        <vt:lpwstr/>
      </vt:variant>
      <vt:variant>
        <vt:lpwstr>_Toc149202270</vt:lpwstr>
      </vt:variant>
      <vt:variant>
        <vt:i4>1376314</vt:i4>
      </vt:variant>
      <vt:variant>
        <vt:i4>8</vt:i4>
      </vt:variant>
      <vt:variant>
        <vt:i4>0</vt:i4>
      </vt:variant>
      <vt:variant>
        <vt:i4>5</vt:i4>
      </vt:variant>
      <vt:variant>
        <vt:lpwstr/>
      </vt:variant>
      <vt:variant>
        <vt:lpwstr>_Toc149202269</vt:lpwstr>
      </vt:variant>
      <vt:variant>
        <vt:i4>1376314</vt:i4>
      </vt:variant>
      <vt:variant>
        <vt:i4>2</vt:i4>
      </vt:variant>
      <vt:variant>
        <vt:i4>0</vt:i4>
      </vt:variant>
      <vt:variant>
        <vt:i4>5</vt:i4>
      </vt:variant>
      <vt:variant>
        <vt:lpwstr/>
      </vt:variant>
      <vt:variant>
        <vt:lpwstr>_Toc149202268</vt:lpwstr>
      </vt:variant>
      <vt:variant>
        <vt:i4>131156</vt:i4>
      </vt:variant>
      <vt:variant>
        <vt:i4>0</vt:i4>
      </vt:variant>
      <vt:variant>
        <vt:i4>0</vt:i4>
      </vt:variant>
      <vt:variant>
        <vt:i4>5</vt:i4>
      </vt:variant>
      <vt:variant>
        <vt:lpwstr>https://www.publications.qld.gov.au/ckan-publications-attachments-prod/resources/84bb739b-4922-4098-8d70-a5a483d2f019/qg-response-wsjtaskforce-report1.pdf?ETag=adb9f2f7ba3ce907ae98eb5b81539100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 Callanan</dc:creator>
  <cp:keywords/>
  <dc:description/>
  <cp:lastModifiedBy>Heather Corkhill</cp:lastModifiedBy>
  <cp:revision>3</cp:revision>
  <cp:lastPrinted>2023-10-26T06:06:00Z</cp:lastPrinted>
  <dcterms:created xsi:type="dcterms:W3CDTF">2023-10-26T06:12:00Z</dcterms:created>
  <dcterms:modified xsi:type="dcterms:W3CDTF">2023-10-30T01:02:00Z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0x01010050E670C0B708384A9FE68EDDD2FCA27F</vt:lpwstr>
  </property>
</Properties>
</file>