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86D5" w14:textId="0EF3F8BB" w:rsidR="00BC7248" w:rsidRPr="00A9293F" w:rsidRDefault="00235621" w:rsidP="00305988">
      <w:pPr>
        <w:spacing w:before="240" w:after="360" w:line="240" w:lineRule="auto"/>
        <w:rPr>
          <w:rFonts w:cs="Arial"/>
          <w:sz w:val="20"/>
          <w:szCs w:val="20"/>
        </w:rPr>
      </w:pPr>
      <w:r w:rsidRPr="00A9293F">
        <w:rPr>
          <w:rFonts w:cs="Arial"/>
          <w:sz w:val="20"/>
          <w:szCs w:val="20"/>
        </w:rPr>
        <w:t>Our ref: BNE</w:t>
      </w:r>
      <w:proofErr w:type="gramStart"/>
      <w:r w:rsidRPr="00A9293F">
        <w:rPr>
          <w:rFonts w:cs="Arial"/>
          <w:sz w:val="20"/>
          <w:szCs w:val="20"/>
        </w:rPr>
        <w:t>5409131</w:t>
      </w:r>
      <w:r w:rsidR="009118B3" w:rsidRPr="00A9293F">
        <w:rPr>
          <w:rFonts w:cs="Arial"/>
          <w:sz w:val="20"/>
          <w:szCs w:val="20"/>
        </w:rPr>
        <w:t>:RL</w:t>
      </w:r>
      <w:proofErr w:type="gramEnd"/>
    </w:p>
    <w:p w14:paraId="4B4D0222" w14:textId="45336F16" w:rsidR="00235621" w:rsidRPr="00A9293F" w:rsidRDefault="00FD6773" w:rsidP="007350E5">
      <w:pPr>
        <w:spacing w:after="360" w:line="240" w:lineRule="auto"/>
        <w:rPr>
          <w:rFonts w:cs="Arial"/>
          <w:sz w:val="22"/>
        </w:rPr>
      </w:pPr>
      <w:r w:rsidRPr="00A9293F">
        <w:rPr>
          <w:rFonts w:cs="Arial"/>
          <w:sz w:val="22"/>
        </w:rPr>
        <w:t>3 November 2023</w:t>
      </w:r>
    </w:p>
    <w:p w14:paraId="07A0E848" w14:textId="60639D55" w:rsidR="00FD6773" w:rsidRPr="00A9293F" w:rsidRDefault="00FD6773" w:rsidP="007350E5">
      <w:pPr>
        <w:spacing w:after="240" w:line="240" w:lineRule="auto"/>
        <w:rPr>
          <w:rFonts w:cs="Arial"/>
          <w:sz w:val="22"/>
        </w:rPr>
      </w:pPr>
      <w:r w:rsidRPr="00A9293F">
        <w:rPr>
          <w:rFonts w:cs="Arial"/>
          <w:sz w:val="22"/>
        </w:rPr>
        <w:t>Committee Secretary</w:t>
      </w:r>
      <w:r w:rsidRPr="00A9293F">
        <w:rPr>
          <w:rFonts w:cs="Arial"/>
          <w:sz w:val="22"/>
        </w:rPr>
        <w:br/>
        <w:t>Education, Employment and Training Committee</w:t>
      </w:r>
      <w:r w:rsidRPr="00A9293F">
        <w:rPr>
          <w:rFonts w:cs="Arial"/>
          <w:sz w:val="22"/>
        </w:rPr>
        <w:br/>
        <w:t>Parliament House</w:t>
      </w:r>
      <w:r w:rsidRPr="00A9293F">
        <w:rPr>
          <w:rFonts w:cs="Arial"/>
          <w:sz w:val="22"/>
        </w:rPr>
        <w:br/>
        <w:t>George Street</w:t>
      </w:r>
      <w:r w:rsidRPr="00A9293F">
        <w:rPr>
          <w:rFonts w:cs="Arial"/>
          <w:sz w:val="22"/>
        </w:rPr>
        <w:br/>
        <w:t>Brisbane Qld 4000</w:t>
      </w:r>
    </w:p>
    <w:p w14:paraId="664BCAAA" w14:textId="045C04A7" w:rsidR="00235621" w:rsidRPr="00A9293F" w:rsidRDefault="00235621" w:rsidP="007350E5">
      <w:pPr>
        <w:spacing w:after="240" w:line="240" w:lineRule="auto"/>
        <w:rPr>
          <w:rFonts w:cs="Arial"/>
          <w:color w:val="212529"/>
          <w:shd w:val="clear" w:color="auto" w:fill="FFFFFF"/>
        </w:rPr>
      </w:pPr>
      <w:r w:rsidRPr="00A9293F">
        <w:rPr>
          <w:rFonts w:cs="Arial"/>
          <w:sz w:val="22"/>
        </w:rPr>
        <w:t xml:space="preserve">By Email: </w:t>
      </w:r>
      <w:hyperlink r:id="rId7" w:history="1">
        <w:r w:rsidR="00FD6773" w:rsidRPr="00A9293F">
          <w:rPr>
            <w:rStyle w:val="Hyperlink"/>
            <w:rFonts w:cs="Arial"/>
            <w:color w:val="052512"/>
            <w:shd w:val="clear" w:color="auto" w:fill="FFFFFF"/>
          </w:rPr>
          <w:t>eetc@parliament.qld.gov.au</w:t>
        </w:r>
      </w:hyperlink>
      <w:r w:rsidR="00FD6773" w:rsidRPr="00A9293F">
        <w:rPr>
          <w:rFonts w:cs="Arial"/>
          <w:color w:val="212529"/>
          <w:shd w:val="clear" w:color="auto" w:fill="FFFFFF"/>
        </w:rPr>
        <w:t> </w:t>
      </w:r>
    </w:p>
    <w:p w14:paraId="592B3842" w14:textId="77777777" w:rsidR="00A9293F" w:rsidRPr="00A9293F" w:rsidRDefault="00A9293F" w:rsidP="007350E5">
      <w:pPr>
        <w:spacing w:after="240" w:line="240" w:lineRule="auto"/>
        <w:rPr>
          <w:rFonts w:cs="Arial"/>
          <w:sz w:val="22"/>
        </w:rPr>
      </w:pPr>
    </w:p>
    <w:p w14:paraId="1E3C9829" w14:textId="3EBA432B" w:rsidR="00235621" w:rsidRPr="00A9293F" w:rsidRDefault="00235621" w:rsidP="007350E5">
      <w:pPr>
        <w:spacing w:after="240" w:line="240" w:lineRule="auto"/>
        <w:rPr>
          <w:rFonts w:cs="Arial"/>
          <w:sz w:val="22"/>
        </w:rPr>
      </w:pPr>
      <w:r w:rsidRPr="00A9293F">
        <w:rPr>
          <w:rFonts w:cs="Arial"/>
          <w:sz w:val="22"/>
        </w:rPr>
        <w:t xml:space="preserve">Dear </w:t>
      </w:r>
      <w:r w:rsidR="00FD6773" w:rsidRPr="00A9293F">
        <w:rPr>
          <w:rFonts w:cs="Arial"/>
          <w:sz w:val="22"/>
        </w:rPr>
        <w:t>Committee Secretary</w:t>
      </w:r>
    </w:p>
    <w:p w14:paraId="78EDFB36" w14:textId="1CDADF83" w:rsidR="00312EBD" w:rsidRPr="00A9293F" w:rsidRDefault="00235621" w:rsidP="007350E5">
      <w:pPr>
        <w:spacing w:after="240" w:line="240" w:lineRule="auto"/>
        <w:rPr>
          <w:rFonts w:cs="Arial"/>
          <w:b/>
          <w:bCs/>
          <w:sz w:val="22"/>
        </w:rPr>
      </w:pPr>
      <w:r w:rsidRPr="00A9293F">
        <w:rPr>
          <w:rFonts w:cs="Arial"/>
          <w:b/>
          <w:bCs/>
          <w:sz w:val="22"/>
        </w:rPr>
        <w:t xml:space="preserve">Information Privacy and Other Legislation Amendment Bill 2023 </w:t>
      </w:r>
    </w:p>
    <w:p w14:paraId="7AB6D712" w14:textId="0A672E20" w:rsidR="00312EBD" w:rsidRPr="00A9293F" w:rsidRDefault="00235621" w:rsidP="007350E5">
      <w:pPr>
        <w:spacing w:after="240" w:line="240" w:lineRule="auto"/>
        <w:rPr>
          <w:rFonts w:cs="Arial"/>
          <w:sz w:val="22"/>
        </w:rPr>
      </w:pPr>
      <w:r w:rsidRPr="00A9293F">
        <w:rPr>
          <w:rFonts w:cs="Arial"/>
          <w:sz w:val="22"/>
        </w:rPr>
        <w:t xml:space="preserve">Thank you for the opportunity to </w:t>
      </w:r>
      <w:r w:rsidR="00BF4D03" w:rsidRPr="00A9293F">
        <w:rPr>
          <w:rFonts w:cs="Arial"/>
          <w:sz w:val="22"/>
        </w:rPr>
        <w:t xml:space="preserve">make submissions on the </w:t>
      </w:r>
      <w:r w:rsidRPr="00A9293F">
        <w:rPr>
          <w:rFonts w:cs="Arial"/>
          <w:sz w:val="22"/>
        </w:rPr>
        <w:t>Information Privacy and Other Legislation Amendment Bill 2023</w:t>
      </w:r>
      <w:r w:rsidR="00741654" w:rsidRPr="00A9293F">
        <w:rPr>
          <w:rFonts w:cs="Arial"/>
          <w:sz w:val="22"/>
        </w:rPr>
        <w:t xml:space="preserve"> (</w:t>
      </w:r>
      <w:r w:rsidR="00741654" w:rsidRPr="00A9293F">
        <w:rPr>
          <w:rFonts w:cs="Arial"/>
          <w:b/>
          <w:bCs/>
          <w:sz w:val="22"/>
        </w:rPr>
        <w:t>Bill</w:t>
      </w:r>
      <w:r w:rsidR="00741654" w:rsidRPr="00A9293F">
        <w:rPr>
          <w:rFonts w:cs="Arial"/>
          <w:sz w:val="22"/>
        </w:rPr>
        <w:t>)</w:t>
      </w:r>
      <w:r w:rsidRPr="00A9293F">
        <w:rPr>
          <w:rFonts w:cs="Arial"/>
          <w:sz w:val="22"/>
        </w:rPr>
        <w:t>.</w:t>
      </w:r>
    </w:p>
    <w:p w14:paraId="02D9F184" w14:textId="3FCE4339" w:rsidR="00235621" w:rsidRPr="00A9293F" w:rsidRDefault="00235621" w:rsidP="007350E5">
      <w:pPr>
        <w:spacing w:after="240" w:line="240" w:lineRule="auto"/>
        <w:rPr>
          <w:rFonts w:cs="Arial"/>
          <w:sz w:val="22"/>
          <w:lang w:eastAsia="en-AU"/>
        </w:rPr>
      </w:pPr>
      <w:r w:rsidRPr="00A9293F">
        <w:rPr>
          <w:rFonts w:cs="Arial"/>
          <w:sz w:val="22"/>
          <w:lang w:eastAsia="en-AU"/>
        </w:rPr>
        <w:t>The Queensland Human Rights Commission (</w:t>
      </w:r>
      <w:r w:rsidRPr="00A9293F">
        <w:rPr>
          <w:rFonts w:cs="Arial"/>
          <w:b/>
          <w:bCs/>
          <w:sz w:val="22"/>
          <w:lang w:eastAsia="en-AU"/>
        </w:rPr>
        <w:t>Commission</w:t>
      </w:r>
      <w:r w:rsidRPr="00A9293F">
        <w:rPr>
          <w:rFonts w:cs="Arial"/>
          <w:sz w:val="22"/>
          <w:lang w:eastAsia="en-AU"/>
        </w:rPr>
        <w:t xml:space="preserve">) is a statutory body established under the </w:t>
      </w:r>
      <w:r w:rsidRPr="00A9293F">
        <w:rPr>
          <w:rFonts w:cs="Arial"/>
          <w:i/>
          <w:iCs/>
          <w:sz w:val="22"/>
          <w:lang w:eastAsia="en-AU"/>
        </w:rPr>
        <w:t>Anti-Discrimination Act 1991</w:t>
      </w:r>
      <w:r w:rsidRPr="00A9293F">
        <w:rPr>
          <w:rFonts w:cs="Arial"/>
          <w:sz w:val="22"/>
          <w:lang w:eastAsia="en-AU"/>
        </w:rPr>
        <w:t xml:space="preserve"> and deals with complaints made under that Act and the</w:t>
      </w:r>
      <w:r w:rsidRPr="00A9293F">
        <w:rPr>
          <w:rFonts w:cs="Arial"/>
          <w:i/>
          <w:iCs/>
          <w:sz w:val="22"/>
          <w:lang w:eastAsia="en-AU"/>
        </w:rPr>
        <w:t xml:space="preserve"> Human Rights Act 2019 </w:t>
      </w:r>
      <w:r w:rsidRPr="00A9293F">
        <w:rPr>
          <w:rFonts w:cs="Arial"/>
          <w:sz w:val="22"/>
          <w:lang w:eastAsia="en-AU"/>
        </w:rPr>
        <w:t>(</w:t>
      </w:r>
      <w:r w:rsidRPr="00A9293F">
        <w:rPr>
          <w:rFonts w:cs="Arial"/>
          <w:b/>
          <w:bCs/>
          <w:sz w:val="22"/>
          <w:lang w:eastAsia="en-AU"/>
        </w:rPr>
        <w:t>HR Act</w:t>
      </w:r>
      <w:r w:rsidRPr="00A9293F">
        <w:rPr>
          <w:rFonts w:cs="Arial"/>
          <w:sz w:val="22"/>
          <w:lang w:eastAsia="en-AU"/>
        </w:rPr>
        <w:t>)</w:t>
      </w:r>
      <w:r w:rsidRPr="00A9293F">
        <w:rPr>
          <w:rFonts w:cs="Arial"/>
          <w:i/>
          <w:iCs/>
          <w:sz w:val="22"/>
          <w:lang w:eastAsia="en-AU"/>
        </w:rPr>
        <w:t xml:space="preserve">. </w:t>
      </w:r>
      <w:r w:rsidRPr="00A9293F">
        <w:rPr>
          <w:rFonts w:cs="Arial"/>
          <w:sz w:val="22"/>
          <w:lang w:eastAsia="en-AU"/>
        </w:rPr>
        <w:t>The Commission also has functions to promote an understanding and public discussion of human rights in Queensland, and to provide information and education about human rights.</w:t>
      </w:r>
    </w:p>
    <w:p w14:paraId="66F5A6F0" w14:textId="30EB7EEC" w:rsidR="00240C27" w:rsidRPr="00A9293F" w:rsidRDefault="00240C27" w:rsidP="007350E5">
      <w:pPr>
        <w:spacing w:after="240" w:line="240" w:lineRule="auto"/>
        <w:rPr>
          <w:rFonts w:cs="Arial"/>
          <w:b/>
          <w:bCs/>
          <w:sz w:val="22"/>
          <w:lang w:eastAsia="en-AU"/>
        </w:rPr>
      </w:pPr>
      <w:r w:rsidRPr="00A9293F">
        <w:rPr>
          <w:rFonts w:cs="Arial"/>
          <w:b/>
          <w:bCs/>
          <w:sz w:val="22"/>
          <w:lang w:eastAsia="en-AU"/>
        </w:rPr>
        <w:t>Amendment of definition of ‘public authority’</w:t>
      </w:r>
    </w:p>
    <w:p w14:paraId="25903733" w14:textId="3F510B45" w:rsidR="00EF4F47" w:rsidRPr="006941AF" w:rsidRDefault="00BF4D03" w:rsidP="007350E5">
      <w:pPr>
        <w:spacing w:after="240" w:line="240" w:lineRule="auto"/>
        <w:rPr>
          <w:rFonts w:cs="Arial"/>
          <w:sz w:val="22"/>
          <w:lang w:eastAsia="en-AU"/>
        </w:rPr>
      </w:pPr>
      <w:r w:rsidRPr="006941AF">
        <w:rPr>
          <w:rFonts w:cs="Arial"/>
          <w:sz w:val="22"/>
          <w:lang w:eastAsia="en-AU"/>
        </w:rPr>
        <w:t xml:space="preserve">This submission </w:t>
      </w:r>
      <w:r w:rsidR="00EF4F47" w:rsidRPr="006941AF">
        <w:rPr>
          <w:rFonts w:cs="Arial"/>
          <w:sz w:val="22"/>
          <w:lang w:eastAsia="en-AU"/>
        </w:rPr>
        <w:t xml:space="preserve">relates only to the proposal </w:t>
      </w:r>
      <w:r w:rsidR="009B7868" w:rsidRPr="006941AF">
        <w:rPr>
          <w:rFonts w:cs="Arial"/>
          <w:sz w:val="22"/>
          <w:lang w:eastAsia="en-AU"/>
        </w:rPr>
        <w:t xml:space="preserve">to amend the </w:t>
      </w:r>
      <w:r w:rsidR="00EF4F47" w:rsidRPr="006941AF">
        <w:rPr>
          <w:rFonts w:cs="Arial"/>
          <w:sz w:val="22"/>
          <w:lang w:eastAsia="en-AU"/>
        </w:rPr>
        <w:t xml:space="preserve">definition of ‘public authority’, under the </w:t>
      </w:r>
      <w:r w:rsidR="00EF4F47" w:rsidRPr="006941AF">
        <w:rPr>
          <w:rFonts w:cs="Arial"/>
          <w:i/>
          <w:iCs/>
          <w:sz w:val="22"/>
          <w:lang w:eastAsia="en-AU"/>
        </w:rPr>
        <w:t>Information Privacy Act 2009</w:t>
      </w:r>
      <w:r w:rsidR="009B7868" w:rsidRPr="006941AF">
        <w:rPr>
          <w:rFonts w:cs="Arial"/>
          <w:i/>
          <w:iCs/>
          <w:sz w:val="22"/>
          <w:lang w:eastAsia="en-AU"/>
        </w:rPr>
        <w:t xml:space="preserve"> </w:t>
      </w:r>
      <w:r w:rsidR="009B7868" w:rsidRPr="00826230">
        <w:rPr>
          <w:rFonts w:cs="Arial"/>
          <w:sz w:val="22"/>
        </w:rPr>
        <w:t>(</w:t>
      </w:r>
      <w:r w:rsidR="009B7868" w:rsidRPr="00826230">
        <w:rPr>
          <w:rFonts w:cs="Arial"/>
          <w:b/>
          <w:bCs/>
          <w:sz w:val="22"/>
        </w:rPr>
        <w:t>IP Act</w:t>
      </w:r>
      <w:r w:rsidR="009B7868" w:rsidRPr="00826230">
        <w:rPr>
          <w:rFonts w:cs="Arial"/>
          <w:sz w:val="22"/>
        </w:rPr>
        <w:t>)</w:t>
      </w:r>
      <w:r w:rsidR="00EF4F47" w:rsidRPr="006941AF">
        <w:rPr>
          <w:rStyle w:val="FootnoteReference"/>
          <w:rFonts w:cs="Arial"/>
          <w:i/>
          <w:iCs/>
          <w:sz w:val="22"/>
          <w:lang w:eastAsia="en-AU"/>
        </w:rPr>
        <w:footnoteReference w:id="1"/>
      </w:r>
      <w:r w:rsidR="00EF4F47" w:rsidRPr="006941AF">
        <w:rPr>
          <w:rFonts w:cs="Arial"/>
          <w:sz w:val="22"/>
          <w:lang w:eastAsia="en-AU"/>
        </w:rPr>
        <w:t xml:space="preserve"> and the </w:t>
      </w:r>
      <w:r w:rsidR="00EF4F47" w:rsidRPr="006941AF">
        <w:rPr>
          <w:rFonts w:cs="Arial"/>
          <w:i/>
          <w:iCs/>
          <w:sz w:val="22"/>
          <w:lang w:eastAsia="en-AU"/>
        </w:rPr>
        <w:t>Right to Information Act 2009</w:t>
      </w:r>
      <w:r w:rsidR="009B7868" w:rsidRPr="006941AF">
        <w:rPr>
          <w:rFonts w:cs="Arial"/>
          <w:i/>
          <w:iCs/>
          <w:sz w:val="22"/>
          <w:lang w:eastAsia="en-AU"/>
        </w:rPr>
        <w:t xml:space="preserve"> </w:t>
      </w:r>
      <w:r w:rsidR="009B7868" w:rsidRPr="006941AF">
        <w:rPr>
          <w:rFonts w:cs="Arial"/>
          <w:sz w:val="22"/>
          <w:lang w:eastAsia="en-AU"/>
        </w:rPr>
        <w:t>(</w:t>
      </w:r>
      <w:r w:rsidR="009B7868" w:rsidRPr="00826230">
        <w:rPr>
          <w:rFonts w:cs="Arial"/>
          <w:b/>
          <w:bCs/>
          <w:sz w:val="22"/>
        </w:rPr>
        <w:t>RTI Act</w:t>
      </w:r>
      <w:r w:rsidR="009B7868" w:rsidRPr="006941AF">
        <w:rPr>
          <w:rFonts w:cs="Arial"/>
          <w:sz w:val="22"/>
          <w:lang w:eastAsia="en-AU"/>
        </w:rPr>
        <w:t>)</w:t>
      </w:r>
      <w:r w:rsidR="00EF4F47" w:rsidRPr="006941AF">
        <w:rPr>
          <w:rStyle w:val="FootnoteReference"/>
          <w:rFonts w:cs="Arial"/>
          <w:i/>
          <w:iCs/>
          <w:sz w:val="22"/>
          <w:lang w:eastAsia="en-AU"/>
        </w:rPr>
        <w:footnoteReference w:id="2"/>
      </w:r>
      <w:r w:rsidR="00EF4F47" w:rsidRPr="006941AF">
        <w:rPr>
          <w:rFonts w:cs="Arial"/>
          <w:sz w:val="22"/>
          <w:lang w:eastAsia="en-AU"/>
        </w:rPr>
        <w:t xml:space="preserve">, </w:t>
      </w:r>
      <w:r w:rsidR="009B7868" w:rsidRPr="006941AF">
        <w:rPr>
          <w:rFonts w:cs="Arial"/>
          <w:sz w:val="22"/>
          <w:lang w:eastAsia="en-AU"/>
        </w:rPr>
        <w:t xml:space="preserve">to </w:t>
      </w:r>
      <w:r w:rsidR="00EF4F47" w:rsidRPr="006941AF">
        <w:rPr>
          <w:rFonts w:cs="Arial"/>
          <w:sz w:val="22"/>
          <w:lang w:eastAsia="en-AU"/>
        </w:rPr>
        <w:t xml:space="preserve">not include an entity established by letters patent. </w:t>
      </w:r>
      <w:r w:rsidR="00C25384" w:rsidRPr="006941AF">
        <w:rPr>
          <w:rFonts w:cs="Arial"/>
          <w:sz w:val="22"/>
          <w:lang w:eastAsia="en-AU"/>
        </w:rPr>
        <w:t>If passed,</w:t>
      </w:r>
      <w:r w:rsidR="00EF4F47" w:rsidRPr="006941AF">
        <w:rPr>
          <w:rFonts w:cs="Arial"/>
          <w:sz w:val="22"/>
          <w:lang w:eastAsia="en-AU"/>
        </w:rPr>
        <w:t xml:space="preserve"> entities established by letters patent</w:t>
      </w:r>
      <w:r w:rsidR="00832AAD" w:rsidRPr="006941AF">
        <w:rPr>
          <w:rFonts w:cs="Arial"/>
          <w:sz w:val="22"/>
          <w:lang w:eastAsia="en-AU"/>
        </w:rPr>
        <w:t xml:space="preserve"> will not be subject to obligations under </w:t>
      </w:r>
      <w:r w:rsidR="009B7868" w:rsidRPr="006941AF">
        <w:rPr>
          <w:rFonts w:cs="Arial"/>
          <w:sz w:val="22"/>
          <w:lang w:eastAsia="en-AU"/>
        </w:rPr>
        <w:t>Queensland’s information privacy and right to information laws.</w:t>
      </w:r>
      <w:r w:rsidR="00832AAD" w:rsidRPr="006941AF">
        <w:rPr>
          <w:rFonts w:cs="Arial"/>
          <w:sz w:val="22"/>
          <w:lang w:eastAsia="en-AU"/>
        </w:rPr>
        <w:t xml:space="preserve"> </w:t>
      </w:r>
    </w:p>
    <w:p w14:paraId="72733C4D" w14:textId="5B9A492F" w:rsidR="00EF4F47" w:rsidRPr="00A9293F" w:rsidRDefault="009B7868" w:rsidP="007350E5">
      <w:pPr>
        <w:spacing w:after="240" w:line="240" w:lineRule="auto"/>
        <w:rPr>
          <w:rFonts w:cs="Arial"/>
          <w:sz w:val="22"/>
          <w:lang w:eastAsia="en-AU"/>
        </w:rPr>
      </w:pPr>
      <w:r w:rsidRPr="006941AF">
        <w:rPr>
          <w:rFonts w:cs="Arial"/>
          <w:sz w:val="22"/>
          <w:lang w:eastAsia="en-AU"/>
        </w:rPr>
        <w:t xml:space="preserve">According to the Parliamentary Committee Briefing Note and </w:t>
      </w:r>
      <w:r w:rsidR="00741654" w:rsidRPr="006941AF">
        <w:rPr>
          <w:rFonts w:cs="Arial"/>
          <w:sz w:val="22"/>
          <w:lang w:eastAsia="en-AU"/>
        </w:rPr>
        <w:t xml:space="preserve">the Bill’s </w:t>
      </w:r>
      <w:r w:rsidRPr="006941AF">
        <w:rPr>
          <w:rFonts w:cs="Arial"/>
          <w:sz w:val="22"/>
          <w:lang w:eastAsia="en-AU"/>
        </w:rPr>
        <w:t xml:space="preserve">Statement of Compatibility, </w:t>
      </w:r>
      <w:r w:rsidRPr="00826230">
        <w:rPr>
          <w:rFonts w:cs="Arial"/>
          <w:color w:val="000000"/>
          <w:sz w:val="22"/>
        </w:rPr>
        <w:t xml:space="preserve">entities established by letters patent are generally charitable and religious organisations and include Bible Societies, Churches, Church Trusts, Kindergarten Associations, Welfare Associations and Historical Associations. </w:t>
      </w:r>
      <w:r w:rsidRPr="006941AF">
        <w:rPr>
          <w:rFonts w:cs="Arial"/>
          <w:sz w:val="22"/>
          <w:lang w:eastAsia="en-AU"/>
        </w:rPr>
        <w:t xml:space="preserve"> Applying the IP Act and RTI Act to entities </w:t>
      </w:r>
      <w:r w:rsidR="00474EB3" w:rsidRPr="006941AF">
        <w:rPr>
          <w:rFonts w:cs="Arial"/>
          <w:sz w:val="22"/>
          <w:lang w:eastAsia="en-AU"/>
        </w:rPr>
        <w:t xml:space="preserve">established by letters patent </w:t>
      </w:r>
      <w:r w:rsidRPr="006941AF">
        <w:rPr>
          <w:rFonts w:cs="Arial"/>
          <w:sz w:val="22"/>
          <w:lang w:eastAsia="en-AU"/>
        </w:rPr>
        <w:t xml:space="preserve">is inconsistent with their </w:t>
      </w:r>
      <w:r w:rsidR="00474EB3" w:rsidRPr="006941AF">
        <w:rPr>
          <w:rFonts w:cs="Arial"/>
          <w:sz w:val="22"/>
          <w:lang w:eastAsia="en-AU"/>
        </w:rPr>
        <w:t xml:space="preserve">purpose </w:t>
      </w:r>
      <w:r w:rsidRPr="006941AF">
        <w:rPr>
          <w:rFonts w:cs="Arial"/>
          <w:sz w:val="22"/>
          <w:lang w:eastAsia="en-AU"/>
        </w:rPr>
        <w:t xml:space="preserve">to ensure </w:t>
      </w:r>
      <w:r w:rsidRPr="006941AF">
        <w:rPr>
          <w:rFonts w:cs="Arial"/>
          <w:i/>
          <w:iCs/>
          <w:sz w:val="22"/>
          <w:lang w:eastAsia="en-AU"/>
        </w:rPr>
        <w:t>government entities</w:t>
      </w:r>
      <w:r w:rsidRPr="006941AF">
        <w:rPr>
          <w:rFonts w:cs="Arial"/>
          <w:sz w:val="22"/>
          <w:lang w:eastAsia="en-AU"/>
        </w:rPr>
        <w:t xml:space="preserve"> </w:t>
      </w:r>
      <w:r w:rsidR="00474EB3" w:rsidRPr="006941AF">
        <w:rPr>
          <w:rFonts w:cs="Arial"/>
          <w:sz w:val="22"/>
          <w:lang w:eastAsia="en-AU"/>
        </w:rPr>
        <w:t xml:space="preserve">handle information appropriately and give access to information in the </w:t>
      </w:r>
      <w:r w:rsidR="00474EB3" w:rsidRPr="006941AF">
        <w:rPr>
          <w:rFonts w:cs="Arial"/>
          <w:i/>
          <w:iCs/>
          <w:sz w:val="22"/>
          <w:lang w:eastAsia="en-AU"/>
        </w:rPr>
        <w:t>government’s</w:t>
      </w:r>
      <w:r w:rsidR="00474EB3" w:rsidRPr="006941AF">
        <w:rPr>
          <w:rFonts w:cs="Arial"/>
          <w:sz w:val="22"/>
          <w:lang w:eastAsia="en-AU"/>
        </w:rPr>
        <w:t xml:space="preserve"> possession or control.</w:t>
      </w:r>
      <w:r w:rsidRPr="006941AF">
        <w:rPr>
          <w:rFonts w:cs="Arial"/>
          <w:sz w:val="22"/>
          <w:lang w:eastAsia="en-AU"/>
        </w:rPr>
        <w:t xml:space="preserve"> </w:t>
      </w:r>
      <w:r w:rsidR="00474EB3" w:rsidRPr="006941AF">
        <w:rPr>
          <w:rFonts w:cs="Arial"/>
          <w:sz w:val="22"/>
          <w:lang w:eastAsia="en-AU"/>
        </w:rPr>
        <w:t xml:space="preserve">The clarification by amendment to legislation is necessary as a Queensland Civil and Administrative Tribunal (Appeals) decision has </w:t>
      </w:r>
      <w:r w:rsidR="00B91585">
        <w:rPr>
          <w:rFonts w:cs="Arial"/>
          <w:sz w:val="22"/>
          <w:lang w:eastAsia="en-AU"/>
        </w:rPr>
        <w:t>held</w:t>
      </w:r>
      <w:r w:rsidR="00474EB3" w:rsidRPr="006941AF">
        <w:rPr>
          <w:rFonts w:cs="Arial"/>
          <w:sz w:val="22"/>
          <w:lang w:eastAsia="en-AU"/>
        </w:rPr>
        <w:t xml:space="preserve"> that an</w:t>
      </w:r>
      <w:r w:rsidR="00474EB3" w:rsidRPr="00A9293F">
        <w:rPr>
          <w:rFonts w:cs="Arial"/>
          <w:sz w:val="22"/>
          <w:lang w:eastAsia="en-AU"/>
        </w:rPr>
        <w:t xml:space="preserve"> orphanage established by letters </w:t>
      </w:r>
      <w:r w:rsidR="00474EB3" w:rsidRPr="00A9293F">
        <w:rPr>
          <w:rFonts w:cs="Arial"/>
          <w:sz w:val="22"/>
          <w:lang w:eastAsia="en-AU"/>
        </w:rPr>
        <w:lastRenderedPageBreak/>
        <w:t xml:space="preserve">patent in 1929 issued by the Governor was a ‘public authority’ under the existing definition </w:t>
      </w:r>
      <w:r w:rsidR="00B91585">
        <w:rPr>
          <w:rFonts w:cs="Arial"/>
          <w:sz w:val="22"/>
          <w:lang w:eastAsia="en-AU"/>
        </w:rPr>
        <w:t xml:space="preserve">of </w:t>
      </w:r>
      <w:r w:rsidR="00474EB3" w:rsidRPr="00A9293F">
        <w:rPr>
          <w:rFonts w:cs="Arial"/>
          <w:sz w:val="22"/>
          <w:lang w:eastAsia="en-AU"/>
        </w:rPr>
        <w:t>the RTI Act.</w:t>
      </w:r>
      <w:r w:rsidR="00474EB3" w:rsidRPr="00A9293F">
        <w:rPr>
          <w:rStyle w:val="FootnoteReference"/>
          <w:rFonts w:cs="Arial"/>
          <w:sz w:val="22"/>
          <w:lang w:eastAsia="en-AU"/>
        </w:rPr>
        <w:footnoteReference w:id="3"/>
      </w:r>
      <w:r w:rsidR="00474EB3" w:rsidRPr="00A9293F">
        <w:rPr>
          <w:rFonts w:cs="Arial"/>
          <w:sz w:val="22"/>
          <w:lang w:eastAsia="en-AU"/>
        </w:rPr>
        <w:t xml:space="preserve"> </w:t>
      </w:r>
    </w:p>
    <w:p w14:paraId="5E5C74EA" w14:textId="43E824BA" w:rsidR="00741654" w:rsidRPr="00A9293F" w:rsidRDefault="00741654" w:rsidP="007350E5">
      <w:pPr>
        <w:spacing w:after="240" w:line="240" w:lineRule="auto"/>
        <w:rPr>
          <w:rFonts w:cs="Arial"/>
          <w:sz w:val="22"/>
          <w:lang w:eastAsia="en-AU"/>
        </w:rPr>
      </w:pPr>
      <w:r w:rsidRPr="00A9293F">
        <w:rPr>
          <w:rFonts w:cs="Arial"/>
          <w:sz w:val="22"/>
          <w:lang w:eastAsia="en-AU"/>
        </w:rPr>
        <w:t xml:space="preserve">The Commission accepts that the proposed amendments are consistent with the purposes of the RTI Act and IP </w:t>
      </w:r>
      <w:proofErr w:type="gramStart"/>
      <w:r w:rsidRPr="00A9293F">
        <w:rPr>
          <w:rFonts w:cs="Arial"/>
          <w:sz w:val="22"/>
          <w:lang w:eastAsia="en-AU"/>
        </w:rPr>
        <w:t>Act, and</w:t>
      </w:r>
      <w:proofErr w:type="gramEnd"/>
      <w:r w:rsidRPr="00A9293F">
        <w:rPr>
          <w:rFonts w:cs="Arial"/>
          <w:sz w:val="22"/>
          <w:lang w:eastAsia="en-AU"/>
        </w:rPr>
        <w:t xml:space="preserve"> would alleviate administrative burdens on entities established by letters patent. </w:t>
      </w:r>
    </w:p>
    <w:p w14:paraId="2FB5FBA0" w14:textId="127C9210" w:rsidR="002612CE" w:rsidRPr="00A9293F" w:rsidRDefault="00741654" w:rsidP="007350E5">
      <w:pPr>
        <w:spacing w:after="240" w:line="240" w:lineRule="auto"/>
        <w:rPr>
          <w:rFonts w:cs="Arial"/>
          <w:sz w:val="22"/>
          <w:lang w:eastAsia="en-AU"/>
        </w:rPr>
      </w:pPr>
      <w:r w:rsidRPr="00A9293F">
        <w:rPr>
          <w:rFonts w:cs="Arial"/>
          <w:sz w:val="22"/>
          <w:lang w:eastAsia="en-AU"/>
        </w:rPr>
        <w:t>However,</w:t>
      </w:r>
      <w:r w:rsidR="00221E70" w:rsidRPr="00A9293F">
        <w:rPr>
          <w:rFonts w:cs="Arial"/>
          <w:sz w:val="22"/>
          <w:lang w:eastAsia="en-AU"/>
        </w:rPr>
        <w:t xml:space="preserve"> in the Commission’s view,</w:t>
      </w:r>
      <w:r w:rsidRPr="00A9293F">
        <w:rPr>
          <w:rFonts w:cs="Arial"/>
          <w:sz w:val="22"/>
          <w:lang w:eastAsia="en-AU"/>
        </w:rPr>
        <w:t xml:space="preserve"> </w:t>
      </w:r>
      <w:r w:rsidR="00221E70" w:rsidRPr="00A9293F">
        <w:rPr>
          <w:rFonts w:cs="Arial"/>
          <w:sz w:val="22"/>
          <w:lang w:eastAsia="en-AU"/>
        </w:rPr>
        <w:t xml:space="preserve">consideration must be given to any impact </w:t>
      </w:r>
      <w:r w:rsidR="00A9293F">
        <w:rPr>
          <w:rFonts w:cs="Arial"/>
          <w:sz w:val="22"/>
          <w:lang w:eastAsia="en-AU"/>
        </w:rPr>
        <w:t xml:space="preserve">this </w:t>
      </w:r>
      <w:r w:rsidR="002612CE" w:rsidRPr="00A9293F">
        <w:rPr>
          <w:rFonts w:cs="Arial"/>
          <w:sz w:val="22"/>
          <w:lang w:eastAsia="en-AU"/>
        </w:rPr>
        <w:t xml:space="preserve">amendment </w:t>
      </w:r>
      <w:r w:rsidR="00221E70" w:rsidRPr="00A9293F">
        <w:rPr>
          <w:rFonts w:cs="Arial"/>
          <w:sz w:val="22"/>
          <w:lang w:eastAsia="en-AU"/>
        </w:rPr>
        <w:t xml:space="preserve">might have on </w:t>
      </w:r>
      <w:r w:rsidR="002612CE" w:rsidRPr="00A9293F">
        <w:rPr>
          <w:rFonts w:cs="Arial"/>
          <w:sz w:val="22"/>
          <w:lang w:eastAsia="en-AU"/>
        </w:rPr>
        <w:t xml:space="preserve">the rights and entitlements of First Nations people in respect of their data, and on </w:t>
      </w:r>
      <w:r w:rsidR="00221E70" w:rsidRPr="00A9293F">
        <w:rPr>
          <w:rFonts w:cs="Arial"/>
          <w:sz w:val="22"/>
          <w:lang w:eastAsia="en-AU"/>
        </w:rPr>
        <w:t>truth-telling and treaty processes</w:t>
      </w:r>
      <w:r w:rsidR="002612CE" w:rsidRPr="00A9293F">
        <w:rPr>
          <w:rFonts w:cs="Arial"/>
          <w:sz w:val="22"/>
          <w:lang w:eastAsia="en-AU"/>
        </w:rPr>
        <w:t>.</w:t>
      </w:r>
    </w:p>
    <w:p w14:paraId="10CFEAFA" w14:textId="1DC9708D" w:rsidR="00240C27" w:rsidRPr="00A9293F" w:rsidRDefault="00C55F36" w:rsidP="007350E5">
      <w:pPr>
        <w:spacing w:after="240" w:line="240" w:lineRule="auto"/>
        <w:rPr>
          <w:rFonts w:cs="Arial"/>
          <w:b/>
          <w:bCs/>
          <w:sz w:val="22"/>
          <w:lang w:eastAsia="en-AU"/>
        </w:rPr>
      </w:pPr>
      <w:r w:rsidRPr="00A9293F">
        <w:rPr>
          <w:rFonts w:cs="Arial"/>
          <w:b/>
          <w:bCs/>
          <w:sz w:val="22"/>
          <w:lang w:eastAsia="en-AU"/>
        </w:rPr>
        <w:t xml:space="preserve">Significance of data held by entities established by letters patent </w:t>
      </w:r>
    </w:p>
    <w:p w14:paraId="2634A80E" w14:textId="4FFC3066" w:rsidR="00A477B4" w:rsidRPr="00A9293F" w:rsidRDefault="003C6276" w:rsidP="007350E5">
      <w:pPr>
        <w:spacing w:after="240" w:line="240" w:lineRule="auto"/>
        <w:rPr>
          <w:rFonts w:cs="Arial"/>
          <w:sz w:val="22"/>
          <w:lang w:eastAsia="en-AU"/>
        </w:rPr>
      </w:pPr>
      <w:r w:rsidRPr="00A9293F">
        <w:rPr>
          <w:rFonts w:cs="Arial"/>
          <w:sz w:val="22"/>
          <w:lang w:eastAsia="en-AU"/>
        </w:rPr>
        <w:t xml:space="preserve">Entities established by letters patent have the potential to hold significant personal and cultural information about First Nations people. </w:t>
      </w:r>
      <w:r w:rsidR="00A477B4" w:rsidRPr="00A9293F">
        <w:rPr>
          <w:rFonts w:cs="Arial"/>
          <w:sz w:val="22"/>
          <w:lang w:eastAsia="en-AU"/>
        </w:rPr>
        <w:t>For example, missions</w:t>
      </w:r>
      <w:r w:rsidR="00A734F4" w:rsidRPr="00A9293F">
        <w:rPr>
          <w:rFonts w:cs="Arial"/>
          <w:sz w:val="22"/>
          <w:lang w:eastAsia="en-AU"/>
        </w:rPr>
        <w:t xml:space="preserve"> and </w:t>
      </w:r>
      <w:r w:rsidR="000F0DA6" w:rsidRPr="00A9293F">
        <w:rPr>
          <w:rFonts w:cs="Arial"/>
          <w:sz w:val="22"/>
          <w:lang w:eastAsia="en-AU"/>
        </w:rPr>
        <w:t>dormitories</w:t>
      </w:r>
      <w:r w:rsidR="00A477B4" w:rsidRPr="00A9293F">
        <w:rPr>
          <w:rFonts w:cs="Arial"/>
          <w:sz w:val="22"/>
          <w:lang w:eastAsia="en-AU"/>
        </w:rPr>
        <w:t xml:space="preserve"> </w:t>
      </w:r>
      <w:r w:rsidR="00A734F4" w:rsidRPr="00A9293F">
        <w:rPr>
          <w:rFonts w:cs="Arial"/>
          <w:sz w:val="22"/>
          <w:lang w:eastAsia="en-AU"/>
        </w:rPr>
        <w:t xml:space="preserve">were often </w:t>
      </w:r>
      <w:r w:rsidR="000F0DA6" w:rsidRPr="00A9293F">
        <w:rPr>
          <w:rFonts w:cs="Arial"/>
          <w:sz w:val="22"/>
          <w:lang w:eastAsia="en-AU"/>
        </w:rPr>
        <w:t>established by religious organisations, who may be Queensland entities established by letters patent.</w:t>
      </w:r>
    </w:p>
    <w:p w14:paraId="066B8D08" w14:textId="64639F07" w:rsidR="000F0DA6" w:rsidRPr="00A9293F" w:rsidRDefault="002A25B0" w:rsidP="007350E5">
      <w:pPr>
        <w:spacing w:after="240" w:line="240" w:lineRule="auto"/>
        <w:rPr>
          <w:rFonts w:cs="Arial"/>
          <w:sz w:val="22"/>
          <w:lang w:eastAsia="en-AU"/>
        </w:rPr>
      </w:pPr>
      <w:r w:rsidRPr="00A9293F">
        <w:rPr>
          <w:rFonts w:cs="Arial"/>
          <w:sz w:val="22"/>
          <w:lang w:eastAsia="en-AU"/>
        </w:rPr>
        <w:t xml:space="preserve">The significance of this information was described in the 2022 Review of the </w:t>
      </w:r>
      <w:r w:rsidRPr="00A9293F">
        <w:rPr>
          <w:rFonts w:cs="Arial"/>
          <w:i/>
          <w:iCs/>
          <w:sz w:val="22"/>
          <w:lang w:eastAsia="en-AU"/>
        </w:rPr>
        <w:t>Public Records Act 2002</w:t>
      </w:r>
      <w:r w:rsidRPr="00A9293F">
        <w:rPr>
          <w:rFonts w:cs="Arial"/>
          <w:sz w:val="22"/>
          <w:lang w:eastAsia="en-AU"/>
        </w:rPr>
        <w:t xml:space="preserve"> as follows:</w:t>
      </w:r>
    </w:p>
    <w:p w14:paraId="7E910512" w14:textId="77777777" w:rsidR="002A25B0" w:rsidRPr="00A9293F" w:rsidRDefault="002A25B0" w:rsidP="002A25B0">
      <w:pPr>
        <w:autoSpaceDE w:val="0"/>
        <w:autoSpaceDN w:val="0"/>
        <w:adjustRightInd w:val="0"/>
        <w:spacing w:after="0" w:line="240" w:lineRule="auto"/>
        <w:ind w:left="720"/>
        <w:rPr>
          <w:rFonts w:cs="Arial"/>
          <w:color w:val="000000"/>
          <w:sz w:val="20"/>
          <w:szCs w:val="20"/>
        </w:rPr>
      </w:pPr>
      <w:r w:rsidRPr="00A9293F">
        <w:rPr>
          <w:rFonts w:cs="Arial"/>
          <w:color w:val="000000"/>
          <w:sz w:val="20"/>
          <w:szCs w:val="20"/>
        </w:rPr>
        <w:t xml:space="preserve">[The Queensland State Archives] </w:t>
      </w:r>
      <w:r w:rsidRPr="00DA5B35">
        <w:rPr>
          <w:rFonts w:cs="Arial"/>
          <w:color w:val="000000"/>
          <w:sz w:val="20"/>
          <w:szCs w:val="20"/>
        </w:rPr>
        <w:t xml:space="preserve">has tens of thousands of records about Aboriginal and Torres Strait Islander peoples. The records were created by government agencies over the past 200 years, many without the knowledge, let alone consent, of those people mentioned in them. The records refer to: cultural knowledge, including traditions, sacred </w:t>
      </w:r>
      <w:proofErr w:type="gramStart"/>
      <w:r w:rsidRPr="00DA5B35">
        <w:rPr>
          <w:rFonts w:cs="Arial"/>
          <w:color w:val="000000"/>
          <w:sz w:val="20"/>
          <w:szCs w:val="20"/>
        </w:rPr>
        <w:t>sites</w:t>
      </w:r>
      <w:proofErr w:type="gramEnd"/>
      <w:r w:rsidRPr="00DA5B35">
        <w:rPr>
          <w:rFonts w:cs="Arial"/>
          <w:color w:val="000000"/>
          <w:sz w:val="20"/>
          <w:szCs w:val="20"/>
        </w:rPr>
        <w:t xml:space="preserve"> and activities; personal information about individuals, groups and relationships; and policies, programs and activities relating to children, marriages, employment and land use. Information in these records is often a source of pain or sadness. </w:t>
      </w:r>
    </w:p>
    <w:p w14:paraId="1C7C7EF3" w14:textId="77777777" w:rsidR="002A25B0" w:rsidRPr="00DA5B35" w:rsidRDefault="002A25B0" w:rsidP="002A25B0">
      <w:pPr>
        <w:autoSpaceDE w:val="0"/>
        <w:autoSpaceDN w:val="0"/>
        <w:adjustRightInd w:val="0"/>
        <w:spacing w:after="0" w:line="240" w:lineRule="auto"/>
        <w:ind w:left="720"/>
        <w:rPr>
          <w:rFonts w:cs="Arial"/>
          <w:color w:val="000000"/>
          <w:sz w:val="20"/>
          <w:szCs w:val="20"/>
        </w:rPr>
      </w:pPr>
    </w:p>
    <w:p w14:paraId="6F1EEA0B" w14:textId="77777777" w:rsidR="002A25B0" w:rsidRPr="00A9293F" w:rsidRDefault="002A25B0" w:rsidP="002A25B0">
      <w:pPr>
        <w:autoSpaceDE w:val="0"/>
        <w:autoSpaceDN w:val="0"/>
        <w:adjustRightInd w:val="0"/>
        <w:spacing w:after="0" w:line="240" w:lineRule="auto"/>
        <w:ind w:left="720"/>
        <w:rPr>
          <w:rFonts w:cs="Arial"/>
          <w:color w:val="000000"/>
          <w:sz w:val="20"/>
          <w:szCs w:val="20"/>
        </w:rPr>
      </w:pPr>
      <w:r w:rsidRPr="00DA5B35">
        <w:rPr>
          <w:rFonts w:cs="Arial"/>
          <w:color w:val="000000"/>
          <w:sz w:val="20"/>
          <w:szCs w:val="20"/>
        </w:rPr>
        <w:t xml:space="preserve">Queensland’s public records matter to First Nations peoples. Information about family, childhood, marriages, community, movements, </w:t>
      </w:r>
      <w:proofErr w:type="gramStart"/>
      <w:r w:rsidRPr="00DA5B35">
        <w:rPr>
          <w:rFonts w:cs="Arial"/>
          <w:color w:val="000000"/>
          <w:sz w:val="20"/>
          <w:szCs w:val="20"/>
        </w:rPr>
        <w:t>employment</w:t>
      </w:r>
      <w:proofErr w:type="gramEnd"/>
      <w:r w:rsidRPr="00DA5B35">
        <w:rPr>
          <w:rFonts w:cs="Arial"/>
          <w:color w:val="000000"/>
          <w:sz w:val="20"/>
          <w:szCs w:val="20"/>
        </w:rPr>
        <w:t xml:space="preserve"> and other historical facts is especially important. So too is control over, and timely access to, that information. </w:t>
      </w:r>
    </w:p>
    <w:p w14:paraId="1005A9ED" w14:textId="77777777" w:rsidR="002A25B0" w:rsidRPr="00DA5B35" w:rsidRDefault="002A25B0" w:rsidP="002A25B0">
      <w:pPr>
        <w:autoSpaceDE w:val="0"/>
        <w:autoSpaceDN w:val="0"/>
        <w:adjustRightInd w:val="0"/>
        <w:spacing w:after="0" w:line="240" w:lineRule="auto"/>
        <w:ind w:left="720"/>
        <w:rPr>
          <w:rFonts w:cs="Arial"/>
          <w:color w:val="000000"/>
          <w:sz w:val="20"/>
          <w:szCs w:val="20"/>
        </w:rPr>
      </w:pPr>
    </w:p>
    <w:p w14:paraId="44549B60" w14:textId="77777777" w:rsidR="002A25B0" w:rsidRPr="00A9293F" w:rsidRDefault="002A25B0" w:rsidP="002A25B0">
      <w:pPr>
        <w:autoSpaceDE w:val="0"/>
        <w:autoSpaceDN w:val="0"/>
        <w:adjustRightInd w:val="0"/>
        <w:spacing w:after="0" w:line="240" w:lineRule="auto"/>
        <w:ind w:left="720"/>
        <w:rPr>
          <w:rFonts w:cs="Arial"/>
          <w:color w:val="000000"/>
          <w:sz w:val="20"/>
          <w:szCs w:val="20"/>
        </w:rPr>
      </w:pPr>
      <w:r w:rsidRPr="00DA5B35">
        <w:rPr>
          <w:rFonts w:cs="Arial"/>
          <w:color w:val="000000"/>
          <w:sz w:val="20"/>
          <w:szCs w:val="20"/>
        </w:rPr>
        <w:t xml:space="preserve">Socio-economic and other disadvantages have contributed to Aboriginal and Torres Strait Islander peoples encountering organisations that deal with child safety, justice, </w:t>
      </w:r>
      <w:proofErr w:type="gramStart"/>
      <w:r w:rsidRPr="00DA5B35">
        <w:rPr>
          <w:rFonts w:cs="Arial"/>
          <w:color w:val="000000"/>
          <w:sz w:val="20"/>
          <w:szCs w:val="20"/>
        </w:rPr>
        <w:t>health</w:t>
      </w:r>
      <w:proofErr w:type="gramEnd"/>
      <w:r w:rsidRPr="00DA5B35">
        <w:rPr>
          <w:rFonts w:cs="Arial"/>
          <w:color w:val="000000"/>
          <w:sz w:val="20"/>
          <w:szCs w:val="20"/>
        </w:rPr>
        <w:t xml:space="preserve"> and others when many records were made about them.</w:t>
      </w:r>
      <w:r w:rsidRPr="00DA5B35">
        <w:rPr>
          <w:rFonts w:cs="Arial"/>
          <w:color w:val="000000"/>
          <w:sz w:val="13"/>
          <w:szCs w:val="13"/>
        </w:rPr>
        <w:t xml:space="preserve"> </w:t>
      </w:r>
      <w:r w:rsidRPr="00DA5B35">
        <w:rPr>
          <w:rFonts w:cs="Arial"/>
          <w:color w:val="000000"/>
          <w:sz w:val="20"/>
          <w:szCs w:val="20"/>
        </w:rPr>
        <w:t xml:space="preserve">The state’s records attest that surveillance of First Nations persons was common and contributed to considerable intervention into their lives by government. </w:t>
      </w:r>
    </w:p>
    <w:p w14:paraId="7CD98724" w14:textId="77777777" w:rsidR="002A25B0" w:rsidRPr="00DA5B35" w:rsidRDefault="002A25B0" w:rsidP="002A25B0">
      <w:pPr>
        <w:autoSpaceDE w:val="0"/>
        <w:autoSpaceDN w:val="0"/>
        <w:adjustRightInd w:val="0"/>
        <w:spacing w:after="0" w:line="240" w:lineRule="auto"/>
        <w:ind w:left="720"/>
        <w:rPr>
          <w:rFonts w:cs="Arial"/>
          <w:color w:val="000000"/>
          <w:sz w:val="20"/>
          <w:szCs w:val="20"/>
        </w:rPr>
      </w:pPr>
    </w:p>
    <w:p w14:paraId="4022650B" w14:textId="77777777" w:rsidR="002A25B0" w:rsidRPr="00A9293F" w:rsidRDefault="002A25B0" w:rsidP="002A25B0">
      <w:pPr>
        <w:spacing w:after="240" w:line="240" w:lineRule="auto"/>
        <w:ind w:left="720"/>
        <w:rPr>
          <w:rFonts w:cs="Arial"/>
          <w:sz w:val="22"/>
          <w:lang w:eastAsia="en-AU"/>
        </w:rPr>
      </w:pPr>
      <w:r w:rsidRPr="00A9293F">
        <w:rPr>
          <w:rFonts w:cs="Arial"/>
          <w:color w:val="000000"/>
          <w:sz w:val="20"/>
          <w:szCs w:val="20"/>
        </w:rPr>
        <w:t>The Act, however, is silent on First Nations peoples and issues. This omission is consistent with traditional archival practice. However, developing societal expectations, as well as movements such as Path to Treaty, have highlighted this silence, drawing attention to the historical exclusion of First Nations perspectives and interests in the management of the state’s records</w:t>
      </w:r>
      <w:r w:rsidRPr="00A9293F">
        <w:rPr>
          <w:rStyle w:val="FootnoteReference"/>
          <w:rFonts w:cs="Arial"/>
          <w:color w:val="000000"/>
          <w:sz w:val="20"/>
          <w:szCs w:val="20"/>
        </w:rPr>
        <w:footnoteReference w:id="4"/>
      </w:r>
    </w:p>
    <w:p w14:paraId="2277403C" w14:textId="4C534C53" w:rsidR="00C25384" w:rsidRPr="00A9293F" w:rsidRDefault="00CD7E8A" w:rsidP="00CF6D3B">
      <w:pPr>
        <w:spacing w:after="240" w:line="240" w:lineRule="auto"/>
        <w:rPr>
          <w:rFonts w:cs="Arial"/>
          <w:sz w:val="22"/>
          <w:lang w:eastAsia="en-AU"/>
        </w:rPr>
      </w:pPr>
      <w:r w:rsidRPr="00A9293F">
        <w:rPr>
          <w:rFonts w:cs="Arial"/>
          <w:sz w:val="22"/>
          <w:lang w:eastAsia="en-AU"/>
        </w:rPr>
        <w:t xml:space="preserve">Pursuant to the review’s recommendations, the Public Records Bill 2023 </w:t>
      </w:r>
      <w:r w:rsidR="00AF3B05">
        <w:rPr>
          <w:rFonts w:cs="Arial"/>
          <w:sz w:val="22"/>
          <w:lang w:eastAsia="en-AU"/>
        </w:rPr>
        <w:t>(</w:t>
      </w:r>
      <w:r w:rsidRPr="00A9293F">
        <w:rPr>
          <w:rFonts w:cs="Arial"/>
          <w:sz w:val="22"/>
          <w:lang w:eastAsia="en-AU"/>
        </w:rPr>
        <w:t>currently before ethe Community Support and Services Committee</w:t>
      </w:r>
      <w:r w:rsidR="00AF3B05">
        <w:rPr>
          <w:rFonts w:cs="Arial"/>
          <w:sz w:val="22"/>
          <w:lang w:eastAsia="en-AU"/>
        </w:rPr>
        <w:t>)</w:t>
      </w:r>
      <w:r w:rsidRPr="00A9293F">
        <w:rPr>
          <w:rFonts w:cs="Arial"/>
          <w:sz w:val="22"/>
          <w:lang w:eastAsia="en-AU"/>
        </w:rPr>
        <w:t xml:space="preserve"> sets out Public Record Principles that give due recognition to the special interests and needs of First Nations people</w:t>
      </w:r>
      <w:r w:rsidR="00AF3B05">
        <w:rPr>
          <w:rFonts w:cs="Arial"/>
          <w:sz w:val="22"/>
          <w:lang w:eastAsia="en-AU"/>
        </w:rPr>
        <w:t xml:space="preserve"> in public records</w:t>
      </w:r>
      <w:r w:rsidRPr="00A9293F">
        <w:rPr>
          <w:rFonts w:cs="Arial"/>
          <w:sz w:val="22"/>
          <w:lang w:eastAsia="en-AU"/>
        </w:rPr>
        <w:t xml:space="preserve">, and </w:t>
      </w:r>
      <w:proofErr w:type="gramStart"/>
      <w:r w:rsidRPr="00A9293F">
        <w:rPr>
          <w:rFonts w:cs="Arial"/>
          <w:sz w:val="22"/>
          <w:lang w:eastAsia="en-AU"/>
        </w:rPr>
        <w:t>that public records</w:t>
      </w:r>
      <w:proofErr w:type="gramEnd"/>
      <w:r w:rsidRPr="00A9293F">
        <w:rPr>
          <w:rFonts w:cs="Arial"/>
          <w:sz w:val="22"/>
          <w:lang w:eastAsia="en-AU"/>
        </w:rPr>
        <w:t xml:space="preserve"> be managed and accessed with care to:  </w:t>
      </w:r>
    </w:p>
    <w:p w14:paraId="3A751EE0" w14:textId="5428798A" w:rsidR="00CD7E8A" w:rsidRPr="00AF3B05" w:rsidRDefault="00CD7E8A" w:rsidP="00AF3B05">
      <w:pPr>
        <w:pStyle w:val="ListParagraph"/>
        <w:numPr>
          <w:ilvl w:val="0"/>
          <w:numId w:val="15"/>
        </w:numPr>
        <w:rPr>
          <w:rFonts w:cs="Arial"/>
          <w:sz w:val="20"/>
          <w:szCs w:val="20"/>
        </w:rPr>
      </w:pPr>
      <w:r w:rsidRPr="00AF3B05">
        <w:rPr>
          <w:rFonts w:cs="Arial"/>
          <w:sz w:val="20"/>
          <w:szCs w:val="20"/>
        </w:rPr>
        <w:t>support Aboriginal peoples and Torres Strait Islander peoples to participate in truth-telling and treaty negotiations; and</w:t>
      </w:r>
    </w:p>
    <w:p w14:paraId="3A2E5077" w14:textId="345609A6" w:rsidR="00CD7E8A" w:rsidRPr="00AF3B05" w:rsidRDefault="00CD7E8A" w:rsidP="00AF3B05">
      <w:pPr>
        <w:pStyle w:val="ListParagraph"/>
        <w:numPr>
          <w:ilvl w:val="0"/>
          <w:numId w:val="15"/>
        </w:numPr>
        <w:rPr>
          <w:rFonts w:cs="Arial"/>
          <w:sz w:val="20"/>
          <w:szCs w:val="20"/>
        </w:rPr>
      </w:pPr>
      <w:r w:rsidRPr="00AF3B05">
        <w:rPr>
          <w:rFonts w:cs="Arial"/>
          <w:sz w:val="20"/>
          <w:szCs w:val="20"/>
        </w:rPr>
        <w:lastRenderedPageBreak/>
        <w:t>contribute to reframing the State government’s relationship with Aboriginal peoples and Torres Strait Islander peoples; and</w:t>
      </w:r>
    </w:p>
    <w:p w14:paraId="1DD1BDF3" w14:textId="4237ACC6" w:rsidR="00CD7E8A" w:rsidRPr="00AF3B05" w:rsidRDefault="00CD7E8A" w:rsidP="00AF3B05">
      <w:pPr>
        <w:pStyle w:val="ListParagraph"/>
        <w:numPr>
          <w:ilvl w:val="0"/>
          <w:numId w:val="15"/>
        </w:numPr>
        <w:rPr>
          <w:rFonts w:cs="Arial"/>
          <w:sz w:val="20"/>
          <w:szCs w:val="20"/>
        </w:rPr>
      </w:pPr>
      <w:r w:rsidRPr="00AF3B05">
        <w:rPr>
          <w:rFonts w:cs="Arial"/>
          <w:sz w:val="20"/>
          <w:szCs w:val="20"/>
        </w:rPr>
        <w:t>otherwise support revitalisation of culture and reconnecting communities and families.</w:t>
      </w:r>
    </w:p>
    <w:p w14:paraId="7E1CA8D1" w14:textId="0FDCA797" w:rsidR="00CF6D3B" w:rsidRPr="00A9293F" w:rsidRDefault="00AF3B05" w:rsidP="00CF6D3B">
      <w:pPr>
        <w:spacing w:after="240" w:line="240" w:lineRule="auto"/>
        <w:rPr>
          <w:rFonts w:cs="Arial"/>
          <w:sz w:val="22"/>
          <w:lang w:eastAsia="en-AU"/>
        </w:rPr>
      </w:pPr>
      <w:r>
        <w:rPr>
          <w:rFonts w:cs="Arial"/>
          <w:sz w:val="22"/>
          <w:lang w:eastAsia="en-AU"/>
        </w:rPr>
        <w:t xml:space="preserve">The amendments proposed by </w:t>
      </w:r>
      <w:r w:rsidR="00F05264">
        <w:rPr>
          <w:rFonts w:cs="Arial"/>
          <w:sz w:val="22"/>
          <w:lang w:eastAsia="en-AU"/>
        </w:rPr>
        <w:t>Information Privacy and Other Legislation Amendment</w:t>
      </w:r>
      <w:r>
        <w:rPr>
          <w:rFonts w:cs="Arial"/>
          <w:sz w:val="22"/>
          <w:lang w:eastAsia="en-AU"/>
        </w:rPr>
        <w:t xml:space="preserve"> Bill have the potential to impact </w:t>
      </w:r>
      <w:r w:rsidR="00E6730A" w:rsidRPr="00A9293F">
        <w:rPr>
          <w:rFonts w:cs="Arial"/>
          <w:sz w:val="22"/>
          <w:lang w:eastAsia="en-AU"/>
        </w:rPr>
        <w:t xml:space="preserve">how information </w:t>
      </w:r>
      <w:r w:rsidR="00CD7E8A" w:rsidRPr="00A9293F">
        <w:rPr>
          <w:rFonts w:cs="Arial"/>
          <w:sz w:val="22"/>
          <w:lang w:eastAsia="en-AU"/>
        </w:rPr>
        <w:t xml:space="preserve">relating to Aboriginal people and Torres Strait Islander people </w:t>
      </w:r>
      <w:r w:rsidR="00E6730A" w:rsidRPr="00A9293F">
        <w:rPr>
          <w:rFonts w:cs="Arial"/>
          <w:sz w:val="22"/>
          <w:lang w:eastAsia="en-AU"/>
        </w:rPr>
        <w:t xml:space="preserve">is protected, </w:t>
      </w:r>
      <w:proofErr w:type="gramStart"/>
      <w:r w:rsidR="00E6730A" w:rsidRPr="00A9293F">
        <w:rPr>
          <w:rFonts w:cs="Arial"/>
          <w:sz w:val="22"/>
          <w:lang w:eastAsia="en-AU"/>
        </w:rPr>
        <w:t>managed</w:t>
      </w:r>
      <w:proofErr w:type="gramEnd"/>
      <w:r w:rsidR="00E6730A" w:rsidRPr="00A9293F">
        <w:rPr>
          <w:rFonts w:cs="Arial"/>
          <w:sz w:val="22"/>
          <w:lang w:eastAsia="en-AU"/>
        </w:rPr>
        <w:t xml:space="preserve"> and disclosed</w:t>
      </w:r>
      <w:r>
        <w:rPr>
          <w:rFonts w:cs="Arial"/>
          <w:sz w:val="22"/>
          <w:lang w:eastAsia="en-AU"/>
        </w:rPr>
        <w:t xml:space="preserve">. It therefore engages </w:t>
      </w:r>
      <w:r w:rsidR="00E6730A" w:rsidRPr="00A9293F">
        <w:rPr>
          <w:rFonts w:cs="Arial"/>
          <w:sz w:val="22"/>
          <w:lang w:eastAsia="en-AU"/>
        </w:rPr>
        <w:t>rights to freedom of expression (s 21), rights to privacy and reputation (s 25), and the cultural rights of Aboriginal peoples and Torres Strait Islander peoples (s 28)</w:t>
      </w:r>
      <w:r w:rsidR="00F05264">
        <w:rPr>
          <w:rFonts w:cs="Arial"/>
          <w:sz w:val="22"/>
          <w:lang w:eastAsia="en-AU"/>
        </w:rPr>
        <w:t xml:space="preserve"> protected by the HR Act</w:t>
      </w:r>
      <w:r w:rsidR="00E6730A" w:rsidRPr="00A9293F">
        <w:rPr>
          <w:rFonts w:cs="Arial"/>
          <w:sz w:val="22"/>
          <w:lang w:eastAsia="en-AU"/>
        </w:rPr>
        <w:t>. The Statement of Compatibility has not given any consideration to the cultural rights of Aboriginal peoples and Torres Strait Islander peoples</w:t>
      </w:r>
      <w:r w:rsidR="009C498E" w:rsidRPr="00A9293F">
        <w:rPr>
          <w:rFonts w:cs="Arial"/>
          <w:sz w:val="22"/>
          <w:lang w:eastAsia="en-AU"/>
        </w:rPr>
        <w:t xml:space="preserve"> in the amendment of the definition of ‘public </w:t>
      </w:r>
      <w:proofErr w:type="gramStart"/>
      <w:r>
        <w:rPr>
          <w:rFonts w:cs="Arial"/>
          <w:sz w:val="22"/>
          <w:lang w:eastAsia="en-AU"/>
        </w:rPr>
        <w:t>authorities</w:t>
      </w:r>
      <w:r w:rsidR="009C498E" w:rsidRPr="00A9293F">
        <w:rPr>
          <w:rFonts w:cs="Arial"/>
          <w:sz w:val="22"/>
          <w:lang w:eastAsia="en-AU"/>
        </w:rPr>
        <w:t>’</w:t>
      </w:r>
      <w:proofErr w:type="gramEnd"/>
      <w:r w:rsidR="00E6730A" w:rsidRPr="00A9293F">
        <w:rPr>
          <w:rFonts w:cs="Arial"/>
          <w:sz w:val="22"/>
          <w:lang w:eastAsia="en-AU"/>
        </w:rPr>
        <w:t xml:space="preserve">.  </w:t>
      </w:r>
    </w:p>
    <w:p w14:paraId="48C8C77E" w14:textId="2A38B1DE" w:rsidR="00C25384" w:rsidRPr="00A9293F" w:rsidRDefault="00C25384" w:rsidP="00CF6D3B">
      <w:pPr>
        <w:spacing w:after="240" w:line="240" w:lineRule="auto"/>
        <w:rPr>
          <w:rFonts w:cs="Arial"/>
          <w:b/>
          <w:bCs/>
          <w:sz w:val="22"/>
          <w:lang w:eastAsia="en-AU"/>
        </w:rPr>
      </w:pPr>
      <w:r w:rsidRPr="00A9293F">
        <w:rPr>
          <w:rFonts w:cs="Arial"/>
          <w:b/>
          <w:bCs/>
          <w:sz w:val="22"/>
          <w:lang w:eastAsia="en-AU"/>
        </w:rPr>
        <w:t>Other rights to protection and access</w:t>
      </w:r>
    </w:p>
    <w:p w14:paraId="314AE81C" w14:textId="23761041" w:rsidR="00C25384" w:rsidRPr="00AF3B05" w:rsidRDefault="00C25384" w:rsidP="00C25384">
      <w:pPr>
        <w:spacing w:after="240" w:line="240" w:lineRule="auto"/>
        <w:rPr>
          <w:rFonts w:cs="Arial"/>
          <w:sz w:val="22"/>
          <w:lang w:eastAsia="en-AU"/>
        </w:rPr>
      </w:pPr>
      <w:r w:rsidRPr="00AF3B05">
        <w:rPr>
          <w:rFonts w:cs="Arial"/>
          <w:sz w:val="22"/>
          <w:lang w:eastAsia="en-AU"/>
        </w:rPr>
        <w:t xml:space="preserve">While the regime for the management of public records established by the </w:t>
      </w:r>
      <w:r w:rsidRPr="00AF3B05">
        <w:rPr>
          <w:rFonts w:cs="Arial"/>
          <w:i/>
          <w:iCs/>
          <w:sz w:val="22"/>
          <w:lang w:eastAsia="en-AU"/>
        </w:rPr>
        <w:t>Public Records Act 2002</w:t>
      </w:r>
      <w:r w:rsidRPr="00AF3B05">
        <w:rPr>
          <w:rFonts w:cs="Arial"/>
          <w:sz w:val="22"/>
          <w:lang w:eastAsia="en-AU"/>
        </w:rPr>
        <w:t xml:space="preserve"> appears to include records created and received by entities established by letters patent</w:t>
      </w:r>
      <w:r w:rsidRPr="00AF3B05">
        <w:rPr>
          <w:rStyle w:val="FootnoteReference"/>
          <w:rFonts w:cs="Arial"/>
          <w:sz w:val="22"/>
          <w:lang w:eastAsia="en-AU"/>
        </w:rPr>
        <w:footnoteReference w:id="5"/>
      </w:r>
      <w:r w:rsidRPr="00AF3B05">
        <w:rPr>
          <w:rFonts w:cs="Arial"/>
          <w:sz w:val="22"/>
          <w:lang w:eastAsia="en-AU"/>
        </w:rPr>
        <w:t xml:space="preserve">, </w:t>
      </w:r>
      <w:r w:rsidR="008E2B0F">
        <w:rPr>
          <w:rFonts w:cs="Arial"/>
          <w:sz w:val="22"/>
          <w:lang w:eastAsia="en-AU"/>
        </w:rPr>
        <w:t xml:space="preserve">and requires custody and preservation of certain records, </w:t>
      </w:r>
      <w:r w:rsidRPr="00AF3B05">
        <w:rPr>
          <w:rFonts w:cs="Arial"/>
          <w:sz w:val="22"/>
          <w:lang w:eastAsia="en-AU"/>
        </w:rPr>
        <w:t xml:space="preserve">it does not </w:t>
      </w:r>
      <w:r w:rsidR="008E2B0F">
        <w:rPr>
          <w:rFonts w:cs="Arial"/>
          <w:sz w:val="22"/>
          <w:lang w:eastAsia="en-AU"/>
        </w:rPr>
        <w:t xml:space="preserve">give </w:t>
      </w:r>
      <w:r w:rsidRPr="00AF3B05">
        <w:rPr>
          <w:rFonts w:cs="Arial"/>
          <w:sz w:val="22"/>
          <w:lang w:eastAsia="en-AU"/>
        </w:rPr>
        <w:t>right</w:t>
      </w:r>
      <w:r w:rsidR="00081427">
        <w:rPr>
          <w:rFonts w:cs="Arial"/>
          <w:sz w:val="22"/>
          <w:lang w:eastAsia="en-AU"/>
        </w:rPr>
        <w:t>s</w:t>
      </w:r>
      <w:r w:rsidRPr="00AF3B05">
        <w:rPr>
          <w:rFonts w:cs="Arial"/>
          <w:sz w:val="22"/>
          <w:lang w:eastAsia="en-AU"/>
        </w:rPr>
        <w:t xml:space="preserve"> of access to documents unless and until those documents come into the possession of the Queensland State Archives. </w:t>
      </w:r>
    </w:p>
    <w:p w14:paraId="21B736A4" w14:textId="093FEC5D" w:rsidR="00C25384" w:rsidRPr="00AF3B05" w:rsidRDefault="00C25384" w:rsidP="00C25384">
      <w:pPr>
        <w:spacing w:after="240" w:line="240" w:lineRule="auto"/>
        <w:rPr>
          <w:rFonts w:cs="Arial"/>
          <w:sz w:val="22"/>
          <w:lang w:eastAsia="en-AU"/>
        </w:rPr>
      </w:pPr>
      <w:r w:rsidRPr="00AF3B05">
        <w:rPr>
          <w:rFonts w:cs="Arial"/>
          <w:sz w:val="22"/>
          <w:lang w:eastAsia="en-AU"/>
        </w:rPr>
        <w:t xml:space="preserve">The Inquiry body established by the </w:t>
      </w:r>
      <w:r w:rsidRPr="00AF3B05">
        <w:rPr>
          <w:rFonts w:cs="Arial"/>
          <w:i/>
          <w:iCs/>
          <w:sz w:val="22"/>
          <w:lang w:eastAsia="en-AU"/>
        </w:rPr>
        <w:t>Path to Treaty Act 2023</w:t>
      </w:r>
      <w:r w:rsidRPr="00AF3B05">
        <w:rPr>
          <w:rFonts w:cs="Arial"/>
          <w:sz w:val="22"/>
          <w:lang w:eastAsia="en-AU"/>
        </w:rPr>
        <w:t xml:space="preserve"> only has powers to compel information from government entities and the Queensland Police Service. Other organisations are encouraged to voluntarily participate in truth telling processes. In the inquiry into that bill, the Commission expressed concern that these limited powers of production and compulsion, when there are many other organisations involved with the histories and experiences of Queensland’s First Nations people, would risk the effectiveness and cultural safety of the truth telling and healing process. </w:t>
      </w:r>
      <w:r w:rsidR="007C14F2">
        <w:rPr>
          <w:rFonts w:cs="Arial"/>
          <w:sz w:val="22"/>
          <w:lang w:eastAsia="en-AU"/>
        </w:rPr>
        <w:t xml:space="preserve">The lack of compulsion powers in relation to dormitories under the control of faith-based organisations was given as a specific example. </w:t>
      </w:r>
    </w:p>
    <w:p w14:paraId="0C7BF32B" w14:textId="68523ACC" w:rsidR="009C498E" w:rsidRPr="00AF3B05" w:rsidRDefault="00CF6D3B" w:rsidP="00CF6D3B">
      <w:pPr>
        <w:spacing w:after="240" w:line="240" w:lineRule="auto"/>
        <w:rPr>
          <w:rFonts w:cs="Arial"/>
          <w:color w:val="000000"/>
          <w:sz w:val="22"/>
          <w:shd w:val="clear" w:color="auto" w:fill="FFFFFF"/>
          <w:lang w:eastAsia="en-AU"/>
        </w:rPr>
      </w:pPr>
      <w:r w:rsidRPr="00AF3B05">
        <w:rPr>
          <w:rFonts w:cs="Arial"/>
          <w:sz w:val="22"/>
          <w:lang w:eastAsia="en-AU"/>
        </w:rPr>
        <w:t xml:space="preserve">Entities established under letters patent have the potential to be functional public entities under s 9(1)(h) of the HR Act, </w:t>
      </w:r>
      <w:proofErr w:type="spellStart"/>
      <w:r w:rsidRPr="00AF3B05">
        <w:rPr>
          <w:rFonts w:cs="Arial"/>
          <w:sz w:val="22"/>
          <w:lang w:eastAsia="en-AU"/>
        </w:rPr>
        <w:t>ie</w:t>
      </w:r>
      <w:proofErr w:type="spellEnd"/>
      <w:r w:rsidRPr="00AF3B05">
        <w:rPr>
          <w:rFonts w:cs="Arial"/>
          <w:sz w:val="22"/>
          <w:lang w:eastAsia="en-AU"/>
        </w:rPr>
        <w:t xml:space="preserve">, </w:t>
      </w:r>
      <w:r w:rsidRPr="00AF3B05">
        <w:rPr>
          <w:rFonts w:cs="Arial"/>
          <w:color w:val="000000"/>
          <w:sz w:val="22"/>
          <w:shd w:val="clear" w:color="auto" w:fill="FFFFFF"/>
          <w:lang w:eastAsia="en-AU"/>
        </w:rPr>
        <w:t xml:space="preserve">an entity whose functions are, or </w:t>
      </w:r>
      <w:proofErr w:type="gramStart"/>
      <w:r w:rsidRPr="00AF3B05">
        <w:rPr>
          <w:rFonts w:cs="Arial"/>
          <w:color w:val="000000"/>
          <w:sz w:val="22"/>
          <w:shd w:val="clear" w:color="auto" w:fill="FFFFFF"/>
          <w:lang w:eastAsia="en-AU"/>
        </w:rPr>
        <w:t>include,</w:t>
      </w:r>
      <w:proofErr w:type="gramEnd"/>
      <w:r w:rsidRPr="00AF3B05">
        <w:rPr>
          <w:rFonts w:cs="Arial"/>
          <w:color w:val="000000"/>
          <w:sz w:val="22"/>
          <w:shd w:val="clear" w:color="auto" w:fill="FFFFFF"/>
          <w:lang w:eastAsia="en-AU"/>
        </w:rPr>
        <w:t xml:space="preserve"> functions of a public nature when it is performing the functions for the State or a public entity (whether under contract or otherwise). A public entity has obligations to act and decide compatibly with human rights, and </w:t>
      </w:r>
      <w:r w:rsidR="007C14F2">
        <w:rPr>
          <w:rFonts w:cs="Arial"/>
          <w:color w:val="000000"/>
          <w:sz w:val="22"/>
          <w:shd w:val="clear" w:color="auto" w:fill="FFFFFF"/>
          <w:lang w:eastAsia="en-AU"/>
        </w:rPr>
        <w:t xml:space="preserve">to give proper consideration to human rights when making </w:t>
      </w:r>
      <w:r w:rsidRPr="00AF3B05">
        <w:rPr>
          <w:rFonts w:cs="Arial"/>
          <w:color w:val="000000"/>
          <w:sz w:val="22"/>
          <w:shd w:val="clear" w:color="auto" w:fill="FFFFFF"/>
          <w:lang w:eastAsia="en-AU"/>
        </w:rPr>
        <w:t>decisions.</w:t>
      </w:r>
      <w:r w:rsidRPr="00AF3B05">
        <w:rPr>
          <w:rStyle w:val="FootnoteReference"/>
          <w:rFonts w:cs="Arial"/>
          <w:color w:val="000000"/>
          <w:sz w:val="22"/>
          <w:shd w:val="clear" w:color="auto" w:fill="FFFFFF"/>
          <w:lang w:eastAsia="en-AU"/>
        </w:rPr>
        <w:footnoteReference w:id="6"/>
      </w:r>
      <w:r w:rsidRPr="00AF3B05">
        <w:rPr>
          <w:rFonts w:cs="Arial"/>
          <w:color w:val="000000"/>
          <w:sz w:val="22"/>
          <w:shd w:val="clear" w:color="auto" w:fill="FFFFFF"/>
          <w:lang w:eastAsia="en-AU"/>
        </w:rPr>
        <w:t xml:space="preserve"> The HR Act</w:t>
      </w:r>
      <w:r w:rsidR="009C498E" w:rsidRPr="00AF3B05">
        <w:rPr>
          <w:rFonts w:cs="Arial"/>
          <w:color w:val="000000"/>
          <w:sz w:val="22"/>
          <w:shd w:val="clear" w:color="auto" w:fill="FFFFFF"/>
          <w:lang w:eastAsia="en-AU"/>
        </w:rPr>
        <w:t xml:space="preserve"> does not apply to acts or decisions of a public entity prior to </w:t>
      </w:r>
      <w:proofErr w:type="gramStart"/>
      <w:r w:rsidR="009C498E" w:rsidRPr="00AF3B05">
        <w:rPr>
          <w:rFonts w:cs="Arial"/>
          <w:color w:val="000000"/>
          <w:sz w:val="22"/>
          <w:shd w:val="clear" w:color="auto" w:fill="FFFFFF"/>
          <w:lang w:eastAsia="en-AU"/>
        </w:rPr>
        <w:t>1 January 2020, but</w:t>
      </w:r>
      <w:proofErr w:type="gramEnd"/>
      <w:r w:rsidR="009C498E" w:rsidRPr="00AF3B05">
        <w:rPr>
          <w:rFonts w:cs="Arial"/>
          <w:color w:val="000000"/>
          <w:sz w:val="22"/>
          <w:shd w:val="clear" w:color="auto" w:fill="FFFFFF"/>
          <w:lang w:eastAsia="en-AU"/>
        </w:rPr>
        <w:t xml:space="preserve"> may apply to decisions </w:t>
      </w:r>
      <w:r w:rsidR="007C14F2">
        <w:rPr>
          <w:rFonts w:cs="Arial"/>
          <w:color w:val="000000"/>
          <w:sz w:val="22"/>
          <w:shd w:val="clear" w:color="auto" w:fill="FFFFFF"/>
          <w:lang w:eastAsia="en-AU"/>
        </w:rPr>
        <w:t xml:space="preserve">and actions </w:t>
      </w:r>
      <w:r w:rsidR="009C498E" w:rsidRPr="00AF3B05">
        <w:rPr>
          <w:rFonts w:cs="Arial"/>
          <w:color w:val="000000"/>
          <w:sz w:val="22"/>
          <w:shd w:val="clear" w:color="auto" w:fill="FFFFFF"/>
          <w:lang w:eastAsia="en-AU"/>
        </w:rPr>
        <w:t xml:space="preserve">regarding data made after that date. </w:t>
      </w:r>
      <w:r w:rsidR="007C14F2">
        <w:rPr>
          <w:rFonts w:cs="Arial"/>
          <w:color w:val="000000"/>
          <w:sz w:val="22"/>
          <w:shd w:val="clear" w:color="auto" w:fill="FFFFFF"/>
          <w:lang w:eastAsia="en-AU"/>
        </w:rPr>
        <w:t>However, w</w:t>
      </w:r>
      <w:r w:rsidR="009C498E" w:rsidRPr="00AF3B05">
        <w:rPr>
          <w:rFonts w:cs="Arial"/>
          <w:color w:val="000000"/>
          <w:sz w:val="22"/>
          <w:shd w:val="clear" w:color="auto" w:fill="FFFFFF"/>
          <w:lang w:eastAsia="en-AU"/>
        </w:rPr>
        <w:t xml:space="preserve">hile there are dispute resolution processes </w:t>
      </w:r>
      <w:r w:rsidR="007C14F2">
        <w:rPr>
          <w:rFonts w:cs="Arial"/>
          <w:color w:val="000000"/>
          <w:sz w:val="22"/>
          <w:shd w:val="clear" w:color="auto" w:fill="FFFFFF"/>
          <w:lang w:eastAsia="en-AU"/>
        </w:rPr>
        <w:t xml:space="preserve">available </w:t>
      </w:r>
      <w:r w:rsidR="009C498E" w:rsidRPr="00AF3B05">
        <w:rPr>
          <w:rFonts w:cs="Arial"/>
          <w:color w:val="000000"/>
          <w:sz w:val="22"/>
          <w:shd w:val="clear" w:color="auto" w:fill="FFFFFF"/>
          <w:lang w:eastAsia="en-AU"/>
        </w:rPr>
        <w:t xml:space="preserve">under the HR Act, there are no enforcement powers. </w:t>
      </w:r>
    </w:p>
    <w:p w14:paraId="1808BF5D" w14:textId="77777777" w:rsidR="00081427" w:rsidRDefault="00081427">
      <w:pPr>
        <w:rPr>
          <w:rFonts w:cs="Arial"/>
          <w:b/>
          <w:bCs/>
          <w:color w:val="000000"/>
          <w:sz w:val="22"/>
          <w:shd w:val="clear" w:color="auto" w:fill="FFFFFF"/>
          <w:lang w:eastAsia="en-AU"/>
        </w:rPr>
      </w:pPr>
      <w:r>
        <w:rPr>
          <w:rFonts w:cs="Arial"/>
          <w:b/>
          <w:bCs/>
          <w:color w:val="000000"/>
          <w:sz w:val="22"/>
          <w:shd w:val="clear" w:color="auto" w:fill="FFFFFF"/>
          <w:lang w:eastAsia="en-AU"/>
        </w:rPr>
        <w:br w:type="page"/>
      </w:r>
    </w:p>
    <w:p w14:paraId="40A36D82" w14:textId="0283DED8" w:rsidR="00CF6D3B" w:rsidRPr="00AF3B05" w:rsidRDefault="009C498E" w:rsidP="00CF6D3B">
      <w:pPr>
        <w:spacing w:after="240" w:line="240" w:lineRule="auto"/>
        <w:rPr>
          <w:rFonts w:cs="Arial"/>
          <w:b/>
          <w:bCs/>
          <w:sz w:val="22"/>
          <w:lang w:eastAsia="en-AU"/>
        </w:rPr>
      </w:pPr>
      <w:r w:rsidRPr="00AF3B05">
        <w:rPr>
          <w:rFonts w:cs="Arial"/>
          <w:b/>
          <w:bCs/>
          <w:color w:val="000000"/>
          <w:sz w:val="22"/>
          <w:shd w:val="clear" w:color="auto" w:fill="FFFFFF"/>
          <w:lang w:eastAsia="en-AU"/>
        </w:rPr>
        <w:lastRenderedPageBreak/>
        <w:t>Conclusion</w:t>
      </w:r>
      <w:r w:rsidR="00CF6D3B" w:rsidRPr="00AF3B05">
        <w:rPr>
          <w:rFonts w:cs="Arial"/>
          <w:b/>
          <w:bCs/>
          <w:color w:val="000000"/>
          <w:sz w:val="22"/>
          <w:shd w:val="clear" w:color="auto" w:fill="FFFFFF"/>
          <w:lang w:eastAsia="en-AU"/>
        </w:rPr>
        <w:t xml:space="preserve"> </w:t>
      </w:r>
    </w:p>
    <w:p w14:paraId="04B7FE06" w14:textId="68EF8D43" w:rsidR="00CF6D3B" w:rsidRDefault="006941AF" w:rsidP="007350E5">
      <w:pPr>
        <w:spacing w:after="240" w:line="240" w:lineRule="auto"/>
        <w:rPr>
          <w:rFonts w:cs="Arial"/>
          <w:sz w:val="22"/>
          <w:lang w:eastAsia="en-AU"/>
        </w:rPr>
      </w:pPr>
      <w:r>
        <w:rPr>
          <w:rFonts w:cs="Arial"/>
          <w:sz w:val="22"/>
          <w:lang w:eastAsia="en-AU"/>
        </w:rPr>
        <w:t>While t</w:t>
      </w:r>
      <w:r w:rsidR="009C498E" w:rsidRPr="00AF3B05">
        <w:rPr>
          <w:rFonts w:cs="Arial"/>
          <w:sz w:val="22"/>
          <w:lang w:eastAsia="en-AU"/>
        </w:rPr>
        <w:t>he Commission is not an expert in this area</w:t>
      </w:r>
      <w:r>
        <w:rPr>
          <w:rFonts w:cs="Arial"/>
          <w:sz w:val="22"/>
          <w:lang w:eastAsia="en-AU"/>
        </w:rPr>
        <w:t xml:space="preserve">, it is very likely </w:t>
      </w:r>
      <w:r w:rsidR="009C498E" w:rsidRPr="00AF3B05">
        <w:rPr>
          <w:rFonts w:cs="Arial"/>
          <w:sz w:val="22"/>
          <w:lang w:eastAsia="en-AU"/>
        </w:rPr>
        <w:t xml:space="preserve">there are documents </w:t>
      </w:r>
      <w:r w:rsidR="00A9293F" w:rsidRPr="00AF3B05">
        <w:rPr>
          <w:rFonts w:cs="Arial"/>
          <w:sz w:val="22"/>
          <w:lang w:eastAsia="en-AU"/>
        </w:rPr>
        <w:t xml:space="preserve">in existence held by entities established by letters patent in Queensland that relate to First Nations people. </w:t>
      </w:r>
    </w:p>
    <w:p w14:paraId="520384E0" w14:textId="5B22473F" w:rsidR="007C14F2" w:rsidRPr="00AF3B05" w:rsidRDefault="006941AF" w:rsidP="007350E5">
      <w:pPr>
        <w:spacing w:after="240" w:line="240" w:lineRule="auto"/>
        <w:rPr>
          <w:rFonts w:cs="Arial"/>
          <w:sz w:val="22"/>
          <w:lang w:eastAsia="en-AU"/>
        </w:rPr>
      </w:pPr>
      <w:r>
        <w:rPr>
          <w:rFonts w:cs="Arial"/>
          <w:sz w:val="22"/>
          <w:lang w:eastAsia="en-AU"/>
        </w:rPr>
        <w:t>T</w:t>
      </w:r>
      <w:r w:rsidR="007C14F2">
        <w:rPr>
          <w:rFonts w:cs="Arial"/>
          <w:sz w:val="22"/>
          <w:lang w:eastAsia="en-AU"/>
        </w:rPr>
        <w:t>he Commission submits that the issue should be investigated</w:t>
      </w:r>
      <w:r w:rsidR="00EB2B00">
        <w:rPr>
          <w:rFonts w:cs="Arial"/>
          <w:sz w:val="22"/>
          <w:lang w:eastAsia="en-AU"/>
        </w:rPr>
        <w:t xml:space="preserve"> to ensure respect and protection of the cultural rights of Aboriginal peoples and Torres Strait Islander peoples. </w:t>
      </w:r>
    </w:p>
    <w:p w14:paraId="2C137730" w14:textId="49D3C2B3" w:rsidR="000B09D1" w:rsidRPr="00AF3B05" w:rsidRDefault="000B09D1" w:rsidP="007350E5">
      <w:pPr>
        <w:spacing w:after="240" w:line="240" w:lineRule="auto"/>
        <w:rPr>
          <w:rFonts w:cs="Arial"/>
          <w:sz w:val="22"/>
        </w:rPr>
      </w:pPr>
      <w:r w:rsidRPr="00AF3B05">
        <w:rPr>
          <w:rFonts w:cs="Arial"/>
          <w:sz w:val="22"/>
        </w:rPr>
        <w:t>Yours Sincerely</w:t>
      </w:r>
    </w:p>
    <w:p w14:paraId="5BE13686" w14:textId="66CBECA2" w:rsidR="00BF4D03" w:rsidRPr="00A9293F" w:rsidRDefault="00B91585" w:rsidP="007350E5">
      <w:pPr>
        <w:spacing w:after="240" w:line="240" w:lineRule="auto"/>
        <w:rPr>
          <w:rFonts w:cs="Arial"/>
          <w:sz w:val="22"/>
        </w:rPr>
      </w:pPr>
      <w:r>
        <w:rPr>
          <w:rFonts w:cs="Arial"/>
          <w:noProof/>
          <w:sz w:val="22"/>
        </w:rPr>
        <w:drawing>
          <wp:inline distT="0" distB="0" distL="0" distR="0" wp14:anchorId="3841E1C9" wp14:editId="760920D8">
            <wp:extent cx="1652159" cy="664522"/>
            <wp:effectExtent l="0" t="0" r="5715" b="254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14:paraId="3DA4C9C5" w14:textId="36E01C4E" w:rsidR="00BF4D03" w:rsidRPr="00A9293F" w:rsidRDefault="00B91585" w:rsidP="007350E5">
      <w:pPr>
        <w:spacing w:after="240" w:line="240" w:lineRule="auto"/>
        <w:rPr>
          <w:rFonts w:cs="Arial"/>
          <w:b/>
          <w:bCs/>
          <w:sz w:val="22"/>
        </w:rPr>
      </w:pPr>
      <w:r>
        <w:rPr>
          <w:rFonts w:cs="Arial"/>
          <w:b/>
          <w:bCs/>
          <w:sz w:val="22"/>
        </w:rPr>
        <w:t>Scott McDougall</w:t>
      </w:r>
      <w:r w:rsidR="00BF4D03" w:rsidRPr="00A9293F">
        <w:rPr>
          <w:rFonts w:cs="Arial"/>
          <w:b/>
          <w:bCs/>
          <w:sz w:val="22"/>
        </w:rPr>
        <w:br/>
      </w:r>
      <w:r>
        <w:rPr>
          <w:rFonts w:cs="Arial"/>
          <w:b/>
          <w:bCs/>
          <w:sz w:val="22"/>
        </w:rPr>
        <w:t>Queensland Human Rights Commissioner</w:t>
      </w:r>
    </w:p>
    <w:sectPr w:rsidR="00BF4D03" w:rsidRPr="00A9293F" w:rsidSect="001E4166">
      <w:headerReference w:type="default" r:id="rId9"/>
      <w:footerReference w:type="default" r:id="rId10"/>
      <w:headerReference w:type="first" r:id="rId11"/>
      <w:footerReference w:type="first" r:id="rId12"/>
      <w:pgSz w:w="11906" w:h="16838"/>
      <w:pgMar w:top="1418" w:right="1274" w:bottom="1843" w:left="1276"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606AA" w14:textId="77777777" w:rsidR="00BC7248" w:rsidRDefault="00BC7248" w:rsidP="00304408">
      <w:pPr>
        <w:spacing w:after="0" w:line="240" w:lineRule="auto"/>
      </w:pPr>
      <w:r>
        <w:separator/>
      </w:r>
    </w:p>
  </w:endnote>
  <w:endnote w:type="continuationSeparator" w:id="0">
    <w:p w14:paraId="66453DEF" w14:textId="77777777" w:rsidR="00BC7248" w:rsidRDefault="00BC7248"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3612" w14:textId="1E36076A" w:rsidR="00BC7248" w:rsidRDefault="00BC7248"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5F88" w14:textId="342A63A2" w:rsidR="00BC7248" w:rsidRDefault="00312EBD" w:rsidP="000C13C7">
    <w:pPr>
      <w:pStyle w:val="Footer"/>
      <w:tabs>
        <w:tab w:val="clear" w:pos="4513"/>
        <w:tab w:val="clear" w:pos="9026"/>
      </w:tabs>
    </w:pPr>
    <w:r>
      <w:rPr>
        <w:noProof/>
      </w:rPr>
      <w:drawing>
        <wp:anchor distT="0" distB="0" distL="114300" distR="114300" simplePos="0" relativeHeight="251658240" behindDoc="1" locked="0" layoutInCell="1" allowOverlap="1" wp14:anchorId="593D0735" wp14:editId="0485C2EE">
          <wp:simplePos x="0" y="0"/>
          <wp:positionH relativeFrom="page">
            <wp:posOffset>258017</wp:posOffset>
          </wp:positionH>
          <wp:positionV relativeFrom="paragraph">
            <wp:posOffset>-474744</wp:posOffset>
          </wp:positionV>
          <wp:extent cx="7305159" cy="1391831"/>
          <wp:effectExtent l="0" t="0" r="0" b="0"/>
          <wp:wrapNone/>
          <wp:docPr id="85" name="Picture 8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05159" cy="139183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759AA" w14:textId="77777777" w:rsidR="00BC7248" w:rsidRDefault="00BC7248" w:rsidP="00304408">
      <w:pPr>
        <w:spacing w:after="0" w:line="240" w:lineRule="auto"/>
      </w:pPr>
      <w:r>
        <w:separator/>
      </w:r>
    </w:p>
  </w:footnote>
  <w:footnote w:type="continuationSeparator" w:id="0">
    <w:p w14:paraId="6D1B4F20" w14:textId="77777777" w:rsidR="00BC7248" w:rsidRDefault="00BC7248" w:rsidP="00304408">
      <w:pPr>
        <w:spacing w:after="0" w:line="240" w:lineRule="auto"/>
      </w:pPr>
      <w:r>
        <w:continuationSeparator/>
      </w:r>
    </w:p>
  </w:footnote>
  <w:footnote w:id="1">
    <w:p w14:paraId="4B63F574" w14:textId="38CEDD27" w:rsidR="00EF4F47" w:rsidRPr="00EF4F47" w:rsidRDefault="00EF4F47">
      <w:pPr>
        <w:pStyle w:val="FootnoteText"/>
        <w:rPr>
          <w:lang w:val="en-US"/>
        </w:rPr>
      </w:pPr>
      <w:r>
        <w:rPr>
          <w:rStyle w:val="FootnoteReference"/>
        </w:rPr>
        <w:footnoteRef/>
      </w:r>
      <w:r>
        <w:t xml:space="preserve"> </w:t>
      </w:r>
      <w:r w:rsidR="00741654" w:rsidRPr="00741654">
        <w:t xml:space="preserve">Information Privacy and Other Legislation Amendment Bill 2023 </w:t>
      </w:r>
      <w:r>
        <w:t>Clause 19.</w:t>
      </w:r>
    </w:p>
  </w:footnote>
  <w:footnote w:id="2">
    <w:p w14:paraId="385D6B78" w14:textId="52A5A065" w:rsidR="00EF4F47" w:rsidRPr="00EF4F47" w:rsidRDefault="00EF4F47">
      <w:pPr>
        <w:pStyle w:val="FootnoteText"/>
        <w:rPr>
          <w:lang w:val="en-US"/>
        </w:rPr>
      </w:pPr>
      <w:r>
        <w:rPr>
          <w:rStyle w:val="FootnoteReference"/>
        </w:rPr>
        <w:footnoteRef/>
      </w:r>
      <w:r>
        <w:t xml:space="preserve"> </w:t>
      </w:r>
      <w:r w:rsidR="00741654" w:rsidRPr="00741654">
        <w:t>Information Privacy and Other Legislation Amendment Bill 2023</w:t>
      </w:r>
      <w:r w:rsidR="00741654">
        <w:t xml:space="preserve"> </w:t>
      </w:r>
      <w:r>
        <w:t>Clause 84.</w:t>
      </w:r>
    </w:p>
  </w:footnote>
  <w:footnote w:id="3">
    <w:p w14:paraId="2C2F2082" w14:textId="390D601D" w:rsidR="00474EB3" w:rsidRPr="00474EB3" w:rsidRDefault="00474EB3">
      <w:pPr>
        <w:pStyle w:val="FootnoteText"/>
        <w:rPr>
          <w:lang w:val="en-US"/>
        </w:rPr>
      </w:pPr>
      <w:r>
        <w:rPr>
          <w:rStyle w:val="FootnoteReference"/>
        </w:rPr>
        <w:footnoteRef/>
      </w:r>
      <w:r>
        <w:t xml:space="preserve"> </w:t>
      </w:r>
      <w:r w:rsidR="00741654" w:rsidRPr="00826230">
        <w:rPr>
          <w:i/>
          <w:iCs/>
          <w:color w:val="000000"/>
        </w:rPr>
        <w:t xml:space="preserve">Stanway v Information Commissioner &amp; Anor </w:t>
      </w:r>
      <w:r w:rsidR="00741654" w:rsidRPr="00826230">
        <w:rPr>
          <w:color w:val="000000"/>
        </w:rPr>
        <w:t>[2017] QCATA 30.</w:t>
      </w:r>
    </w:p>
  </w:footnote>
  <w:footnote w:id="4">
    <w:p w14:paraId="028B1F4E" w14:textId="634F36B0" w:rsidR="002A25B0" w:rsidRPr="005C0B6F" w:rsidRDefault="002A25B0" w:rsidP="002A25B0">
      <w:pPr>
        <w:pStyle w:val="FootnoteText"/>
        <w:rPr>
          <w:lang w:val="en-US"/>
        </w:rPr>
      </w:pPr>
      <w:r>
        <w:rPr>
          <w:rStyle w:val="FootnoteReference"/>
        </w:rPr>
        <w:footnoteRef/>
      </w:r>
      <w:r>
        <w:t xml:space="preserve"> </w:t>
      </w:r>
      <w:r w:rsidR="006847DB" w:rsidRPr="00826230">
        <w:rPr>
          <w:i/>
          <w:iCs/>
        </w:rPr>
        <w:t>Report of review of the Public Records Act 2002</w:t>
      </w:r>
      <w:r w:rsidR="006847DB">
        <w:t xml:space="preserve"> (31 August 2022) </w:t>
      </w:r>
      <w:r>
        <w:t>24</w:t>
      </w:r>
      <w:r w:rsidR="00826230">
        <w:t>.</w:t>
      </w:r>
    </w:p>
  </w:footnote>
  <w:footnote w:id="5">
    <w:p w14:paraId="09369518" w14:textId="1F15F884" w:rsidR="00C25384" w:rsidRPr="00081427" w:rsidRDefault="00C25384" w:rsidP="00826230">
      <w:pPr>
        <w:spacing w:after="0" w:line="240" w:lineRule="auto"/>
        <w:rPr>
          <w:rFonts w:cs="Arial"/>
          <w:sz w:val="20"/>
          <w:szCs w:val="20"/>
          <w:lang w:eastAsia="en-AU"/>
        </w:rPr>
      </w:pPr>
      <w:r w:rsidRPr="00826230">
        <w:rPr>
          <w:rStyle w:val="FootnoteReference"/>
          <w:sz w:val="20"/>
          <w:szCs w:val="20"/>
        </w:rPr>
        <w:footnoteRef/>
      </w:r>
      <w:r w:rsidRPr="00826230">
        <w:rPr>
          <w:sz w:val="20"/>
          <w:szCs w:val="20"/>
        </w:rPr>
        <w:t xml:space="preserve"> </w:t>
      </w:r>
      <w:r w:rsidR="00081427">
        <w:rPr>
          <w:rFonts w:cs="Arial"/>
          <w:sz w:val="20"/>
          <w:szCs w:val="20"/>
          <w:lang w:eastAsia="en-AU"/>
        </w:rPr>
        <w:t xml:space="preserve">Under the </w:t>
      </w:r>
      <w:r w:rsidRPr="00826230">
        <w:rPr>
          <w:rFonts w:cs="Arial"/>
          <w:i/>
          <w:iCs/>
          <w:sz w:val="20"/>
          <w:szCs w:val="20"/>
          <w:lang w:eastAsia="en-AU"/>
        </w:rPr>
        <w:t>Public Records Act 200</w:t>
      </w:r>
      <w:r w:rsidR="00081427">
        <w:rPr>
          <w:rFonts w:cs="Arial"/>
          <w:i/>
          <w:iCs/>
          <w:sz w:val="20"/>
          <w:szCs w:val="20"/>
          <w:lang w:eastAsia="en-AU"/>
        </w:rPr>
        <w:t xml:space="preserve">2 </w:t>
      </w:r>
      <w:r w:rsidR="00081427" w:rsidRPr="00081427">
        <w:rPr>
          <w:sz w:val="20"/>
          <w:szCs w:val="20"/>
        </w:rPr>
        <w:t>(PR Act)</w:t>
      </w:r>
      <w:r w:rsidR="00081427" w:rsidRPr="00081427">
        <w:rPr>
          <w:rFonts w:cs="Arial"/>
          <w:i/>
          <w:iCs/>
          <w:sz w:val="20"/>
          <w:szCs w:val="20"/>
          <w:lang w:eastAsia="en-AU"/>
        </w:rPr>
        <w:t xml:space="preserve">, </w:t>
      </w:r>
      <w:r w:rsidR="00081427" w:rsidRPr="00081427">
        <w:rPr>
          <w:rFonts w:cs="Arial"/>
          <w:sz w:val="20"/>
          <w:szCs w:val="20"/>
          <w:lang w:eastAsia="en-AU"/>
        </w:rPr>
        <w:t>p</w:t>
      </w:r>
      <w:r w:rsidRPr="00081427">
        <w:rPr>
          <w:rFonts w:cs="Arial"/>
          <w:sz w:val="20"/>
          <w:szCs w:val="20"/>
          <w:lang w:eastAsia="en-AU"/>
        </w:rPr>
        <w:t xml:space="preserve">ublic records are those created and received by public </w:t>
      </w:r>
      <w:proofErr w:type="spellStart"/>
      <w:proofErr w:type="gramStart"/>
      <w:r w:rsidRPr="00081427">
        <w:rPr>
          <w:rFonts w:cs="Arial"/>
          <w:sz w:val="20"/>
          <w:szCs w:val="20"/>
          <w:lang w:eastAsia="en-AU"/>
        </w:rPr>
        <w:t>authorities.The</w:t>
      </w:r>
      <w:proofErr w:type="spellEnd"/>
      <w:proofErr w:type="gramEnd"/>
      <w:r w:rsidRPr="00081427">
        <w:rPr>
          <w:rFonts w:cs="Arial"/>
          <w:sz w:val="20"/>
          <w:szCs w:val="20"/>
          <w:lang w:eastAsia="en-AU"/>
        </w:rPr>
        <w:t xml:space="preserve"> definition of a ‘public authority’ does not expressly refer to entities established by letters patent, but does include entities ‘created by the Governor in Council or a Minister’, and entit</w:t>
      </w:r>
      <w:r w:rsidR="00081427" w:rsidRPr="00081427">
        <w:rPr>
          <w:rFonts w:cs="Arial"/>
          <w:sz w:val="20"/>
          <w:szCs w:val="20"/>
          <w:lang w:eastAsia="en-AU"/>
        </w:rPr>
        <w:t>ies</w:t>
      </w:r>
      <w:r w:rsidRPr="00081427">
        <w:rPr>
          <w:rFonts w:cs="Arial"/>
          <w:sz w:val="20"/>
          <w:szCs w:val="20"/>
          <w:lang w:eastAsia="en-AU"/>
        </w:rPr>
        <w:t xml:space="preserve"> </w:t>
      </w:r>
      <w:r w:rsidR="00081427" w:rsidRPr="00081427">
        <w:rPr>
          <w:rFonts w:cs="Arial"/>
          <w:sz w:val="20"/>
          <w:szCs w:val="20"/>
          <w:lang w:eastAsia="en-AU"/>
        </w:rPr>
        <w:t>‘</w:t>
      </w:r>
      <w:r w:rsidRPr="00081427">
        <w:rPr>
          <w:rFonts w:cs="Arial"/>
          <w:sz w:val="20"/>
          <w:szCs w:val="20"/>
          <w:lang w:eastAsia="en-AU"/>
        </w:rPr>
        <w:t>established by the State and a local government’:</w:t>
      </w:r>
      <w:r w:rsidRPr="00081427">
        <w:rPr>
          <w:i/>
          <w:iCs/>
          <w:sz w:val="20"/>
          <w:szCs w:val="20"/>
          <w:lang w:val="en-US"/>
        </w:rPr>
        <w:t xml:space="preserve"> </w:t>
      </w:r>
      <w:r w:rsidR="00081427" w:rsidRPr="00081427">
        <w:rPr>
          <w:sz w:val="20"/>
          <w:szCs w:val="20"/>
          <w:lang w:val="en-US"/>
        </w:rPr>
        <w:t>PR Act</w:t>
      </w:r>
      <w:r w:rsidR="00081427">
        <w:rPr>
          <w:i/>
          <w:iCs/>
          <w:sz w:val="20"/>
          <w:szCs w:val="20"/>
          <w:lang w:val="en-US"/>
        </w:rPr>
        <w:t xml:space="preserve"> </w:t>
      </w:r>
      <w:r w:rsidRPr="00081427">
        <w:rPr>
          <w:sz w:val="20"/>
          <w:szCs w:val="20"/>
          <w:lang w:val="en-US"/>
        </w:rPr>
        <w:t>s 6.</w:t>
      </w:r>
      <w:r w:rsidRPr="00081427">
        <w:rPr>
          <w:rFonts w:cs="Arial"/>
          <w:sz w:val="20"/>
          <w:szCs w:val="20"/>
          <w:lang w:eastAsia="en-AU"/>
        </w:rPr>
        <w:t xml:space="preserve"> Following the reasoning in </w:t>
      </w:r>
      <w:r w:rsidRPr="00081427">
        <w:rPr>
          <w:i/>
          <w:iCs/>
          <w:color w:val="000000"/>
          <w:sz w:val="20"/>
          <w:szCs w:val="20"/>
        </w:rPr>
        <w:t xml:space="preserve">Stanway v Information Commissioner &amp; Anor </w:t>
      </w:r>
      <w:r w:rsidRPr="00081427">
        <w:rPr>
          <w:color w:val="000000"/>
          <w:sz w:val="20"/>
          <w:szCs w:val="20"/>
        </w:rPr>
        <w:t xml:space="preserve">[2017] QCATA 30, entities established by letters patent </w:t>
      </w:r>
      <w:r w:rsidR="00081427" w:rsidRPr="00081427">
        <w:rPr>
          <w:color w:val="000000"/>
          <w:sz w:val="20"/>
          <w:szCs w:val="20"/>
        </w:rPr>
        <w:t xml:space="preserve">could </w:t>
      </w:r>
      <w:r w:rsidRPr="00081427">
        <w:rPr>
          <w:color w:val="000000"/>
          <w:sz w:val="20"/>
          <w:szCs w:val="20"/>
        </w:rPr>
        <w:t xml:space="preserve">be public </w:t>
      </w:r>
      <w:r w:rsidR="00081427" w:rsidRPr="00081427">
        <w:rPr>
          <w:color w:val="000000"/>
          <w:sz w:val="20"/>
          <w:szCs w:val="20"/>
        </w:rPr>
        <w:t xml:space="preserve">authorities </w:t>
      </w:r>
      <w:r w:rsidRPr="00081427">
        <w:rPr>
          <w:color w:val="000000"/>
          <w:sz w:val="20"/>
          <w:szCs w:val="20"/>
        </w:rPr>
        <w:t>under the PR Act.</w:t>
      </w:r>
    </w:p>
  </w:footnote>
  <w:footnote w:id="6">
    <w:p w14:paraId="62D15C2A" w14:textId="5949D7FB" w:rsidR="00CF6D3B" w:rsidRPr="00CF6D3B" w:rsidRDefault="00CF6D3B">
      <w:pPr>
        <w:pStyle w:val="FootnoteText"/>
        <w:rPr>
          <w:lang w:val="en-US"/>
        </w:rPr>
      </w:pPr>
      <w:r>
        <w:rPr>
          <w:rStyle w:val="FootnoteReference"/>
        </w:rPr>
        <w:footnoteRef/>
      </w:r>
      <w:r>
        <w:t xml:space="preserve"> </w:t>
      </w:r>
      <w:r w:rsidRPr="00826230">
        <w:rPr>
          <w:i/>
          <w:iCs/>
          <w:lang w:val="en-US"/>
        </w:rPr>
        <w:t>H</w:t>
      </w:r>
      <w:r w:rsidR="00826230" w:rsidRPr="00826230">
        <w:rPr>
          <w:i/>
          <w:iCs/>
          <w:lang w:val="en-US"/>
        </w:rPr>
        <w:t>uman Rights</w:t>
      </w:r>
      <w:r w:rsidRPr="00826230">
        <w:rPr>
          <w:i/>
          <w:iCs/>
          <w:lang w:val="en-US"/>
        </w:rPr>
        <w:t xml:space="preserve"> Act </w:t>
      </w:r>
      <w:r w:rsidR="00826230" w:rsidRPr="00826230">
        <w:rPr>
          <w:i/>
          <w:iCs/>
          <w:lang w:val="en-US"/>
        </w:rPr>
        <w:t>2019</w:t>
      </w:r>
      <w:r w:rsidR="00826230">
        <w:rPr>
          <w:lang w:val="en-US"/>
        </w:rPr>
        <w:t xml:space="preserve"> </w:t>
      </w:r>
      <w:r>
        <w:rPr>
          <w:lang w:val="en-US"/>
        </w:rPr>
        <w:t xml:space="preserve">s 58(1).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18D3" w14:textId="4C043099" w:rsidR="00BC7248" w:rsidRDefault="00256192" w:rsidP="007350E5">
    <w:pPr>
      <w:pStyle w:val="Header"/>
      <w:tabs>
        <w:tab w:val="clear" w:pos="4513"/>
        <w:tab w:val="clear" w:pos="9026"/>
        <w:tab w:val="left" w:pos="0"/>
        <w:tab w:val="right" w:pos="9332"/>
      </w:tabs>
      <w:rPr>
        <w:noProof/>
        <w:sz w:val="20"/>
        <w:szCs w:val="20"/>
      </w:rPr>
    </w:pPr>
    <w:r w:rsidRPr="00256192">
      <w:rPr>
        <w:sz w:val="20"/>
        <w:szCs w:val="20"/>
      </w:rPr>
      <w:t>IPOLA Bill 2023</w:t>
    </w:r>
    <w:r w:rsidRPr="00256192">
      <w:rPr>
        <w:sz w:val="20"/>
        <w:szCs w:val="20"/>
      </w:rPr>
      <w:tab/>
    </w:r>
    <w:sdt>
      <w:sdtPr>
        <w:rPr>
          <w:sz w:val="20"/>
          <w:szCs w:val="20"/>
        </w:rPr>
        <w:id w:val="-2032642183"/>
        <w:docPartObj>
          <w:docPartGallery w:val="Page Numbers (Top of Page)"/>
          <w:docPartUnique/>
        </w:docPartObj>
      </w:sdtPr>
      <w:sdtEndPr>
        <w:rPr>
          <w:noProof/>
        </w:rPr>
      </w:sdtEndPr>
      <w:sdtContent>
        <w:r w:rsidRPr="00256192">
          <w:rPr>
            <w:sz w:val="20"/>
            <w:szCs w:val="20"/>
          </w:rPr>
          <w:fldChar w:fldCharType="begin"/>
        </w:r>
        <w:r w:rsidRPr="00256192">
          <w:rPr>
            <w:sz w:val="20"/>
            <w:szCs w:val="20"/>
          </w:rPr>
          <w:instrText xml:space="preserve"> PAGE   \* MERGEFORMAT </w:instrText>
        </w:r>
        <w:r w:rsidRPr="00256192">
          <w:rPr>
            <w:sz w:val="20"/>
            <w:szCs w:val="20"/>
          </w:rPr>
          <w:fldChar w:fldCharType="separate"/>
        </w:r>
        <w:r w:rsidRPr="00256192">
          <w:rPr>
            <w:noProof/>
            <w:sz w:val="20"/>
            <w:szCs w:val="20"/>
          </w:rPr>
          <w:t>2</w:t>
        </w:r>
        <w:r w:rsidRPr="00256192">
          <w:rPr>
            <w:noProof/>
            <w:sz w:val="20"/>
            <w:szCs w:val="20"/>
          </w:rPr>
          <w:fldChar w:fldCharType="end"/>
        </w:r>
      </w:sdtContent>
    </w:sdt>
  </w:p>
  <w:p w14:paraId="79970F8A" w14:textId="738DD4D8" w:rsidR="007350E5" w:rsidRDefault="007350E5" w:rsidP="007350E5">
    <w:pPr>
      <w:pStyle w:val="Header"/>
      <w:pBdr>
        <w:bottom w:val="single" w:sz="6" w:space="1" w:color="auto"/>
      </w:pBdr>
      <w:tabs>
        <w:tab w:val="clear" w:pos="4513"/>
        <w:tab w:val="clear" w:pos="9026"/>
        <w:tab w:val="left" w:pos="0"/>
        <w:tab w:val="right" w:pos="9332"/>
      </w:tabs>
      <w:spacing w:after="24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409A" w14:textId="77777777" w:rsidR="00BC7248" w:rsidRDefault="00BC7248" w:rsidP="000C13C7">
    <w:pPr>
      <w:pStyle w:val="Header"/>
      <w:tabs>
        <w:tab w:val="clear" w:pos="4513"/>
        <w:tab w:val="clear" w:pos="9026"/>
      </w:tabs>
    </w:pPr>
    <w:r>
      <w:rPr>
        <w:noProof/>
        <w:lang w:eastAsia="en-AU"/>
      </w:rPr>
      <w:drawing>
        <wp:inline distT="0" distB="0" distL="0" distR="0" wp14:anchorId="037E833B" wp14:editId="277D2AD4">
          <wp:extent cx="2147504" cy="895985"/>
          <wp:effectExtent l="0" t="0" r="571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9B8"/>
    <w:multiLevelType w:val="multilevel"/>
    <w:tmpl w:val="EC0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E5E8C"/>
    <w:multiLevelType w:val="multilevel"/>
    <w:tmpl w:val="C3C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75442"/>
    <w:multiLevelType w:val="multilevel"/>
    <w:tmpl w:val="579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B2F34"/>
    <w:multiLevelType w:val="hybridMultilevel"/>
    <w:tmpl w:val="DBF008F8"/>
    <w:lvl w:ilvl="0" w:tplc="510C9C7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6D67FA6"/>
    <w:multiLevelType w:val="multilevel"/>
    <w:tmpl w:val="D10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C024D"/>
    <w:multiLevelType w:val="multilevel"/>
    <w:tmpl w:val="FB020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645D5"/>
    <w:multiLevelType w:val="hybridMultilevel"/>
    <w:tmpl w:val="A4CEE7BE"/>
    <w:lvl w:ilvl="0" w:tplc="B75E05B0">
      <w:start w:val="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147D4C"/>
    <w:multiLevelType w:val="multilevel"/>
    <w:tmpl w:val="23C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2E4C2B"/>
    <w:multiLevelType w:val="hybridMultilevel"/>
    <w:tmpl w:val="4788AB1C"/>
    <w:lvl w:ilvl="0" w:tplc="19565360">
      <w:start w:val="220"/>
      <w:numFmt w:val="bullet"/>
      <w:lvlText w:val=""/>
      <w:lvlJc w:val="left"/>
      <w:pPr>
        <w:ind w:left="363" w:hanging="360"/>
      </w:pPr>
      <w:rPr>
        <w:rFonts w:ascii="Symbol" w:eastAsiaTheme="minorHAnsi" w:hAnsi="Symbol" w:cstheme="minorBidi"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9" w15:restartNumberingAfterBreak="0">
    <w:nsid w:val="529974DF"/>
    <w:multiLevelType w:val="hybridMultilevel"/>
    <w:tmpl w:val="0D4A4B7A"/>
    <w:lvl w:ilvl="0" w:tplc="19565360">
      <w:start w:val="220"/>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3D84B5A"/>
    <w:multiLevelType w:val="multilevel"/>
    <w:tmpl w:val="1640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F3C8B"/>
    <w:multiLevelType w:val="multilevel"/>
    <w:tmpl w:val="B05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456F68"/>
    <w:multiLevelType w:val="hybridMultilevel"/>
    <w:tmpl w:val="9048C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63A5C6E"/>
    <w:multiLevelType w:val="multilevel"/>
    <w:tmpl w:val="539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70483F"/>
    <w:multiLevelType w:val="multilevel"/>
    <w:tmpl w:val="AA4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3"/>
  </w:num>
  <w:num w:numId="4">
    <w:abstractNumId w:val="0"/>
  </w:num>
  <w:num w:numId="5">
    <w:abstractNumId w:val="5"/>
  </w:num>
  <w:num w:numId="6">
    <w:abstractNumId w:val="11"/>
  </w:num>
  <w:num w:numId="7">
    <w:abstractNumId w:val="4"/>
  </w:num>
  <w:num w:numId="8">
    <w:abstractNumId w:val="7"/>
  </w:num>
  <w:num w:numId="9">
    <w:abstractNumId w:val="14"/>
  </w:num>
  <w:num w:numId="10">
    <w:abstractNumId w:val="2"/>
  </w:num>
  <w:num w:numId="11">
    <w:abstractNumId w:val="12"/>
  </w:num>
  <w:num w:numId="12">
    <w:abstractNumId w:val="9"/>
  </w:num>
  <w:num w:numId="13">
    <w:abstractNumId w:val="8"/>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03FA6"/>
    <w:rsid w:val="00020C2B"/>
    <w:rsid w:val="00040164"/>
    <w:rsid w:val="0007336E"/>
    <w:rsid w:val="00081427"/>
    <w:rsid w:val="000A2298"/>
    <w:rsid w:val="000B09D1"/>
    <w:rsid w:val="000B51CB"/>
    <w:rsid w:val="000C13C7"/>
    <w:rsid w:val="000D4725"/>
    <w:rsid w:val="000F0DA6"/>
    <w:rsid w:val="000F31ED"/>
    <w:rsid w:val="00126FA4"/>
    <w:rsid w:val="00140DD6"/>
    <w:rsid w:val="001B3720"/>
    <w:rsid w:val="001D0799"/>
    <w:rsid w:val="001E4166"/>
    <w:rsid w:val="002008E5"/>
    <w:rsid w:val="00207EC8"/>
    <w:rsid w:val="00221E70"/>
    <w:rsid w:val="00235621"/>
    <w:rsid w:val="00240C27"/>
    <w:rsid w:val="002420D5"/>
    <w:rsid w:val="00256192"/>
    <w:rsid w:val="002612CE"/>
    <w:rsid w:val="002A25B0"/>
    <w:rsid w:val="002B4EAC"/>
    <w:rsid w:val="002F4274"/>
    <w:rsid w:val="00304408"/>
    <w:rsid w:val="0030502D"/>
    <w:rsid w:val="00305988"/>
    <w:rsid w:val="00312EBD"/>
    <w:rsid w:val="00327EC0"/>
    <w:rsid w:val="00367E0D"/>
    <w:rsid w:val="0037069E"/>
    <w:rsid w:val="003C6276"/>
    <w:rsid w:val="00457A45"/>
    <w:rsid w:val="00474EB3"/>
    <w:rsid w:val="00490C3B"/>
    <w:rsid w:val="00511043"/>
    <w:rsid w:val="00586A24"/>
    <w:rsid w:val="005A46CF"/>
    <w:rsid w:val="005C0B6F"/>
    <w:rsid w:val="005C6EC9"/>
    <w:rsid w:val="005D03CE"/>
    <w:rsid w:val="006129E9"/>
    <w:rsid w:val="00641A2B"/>
    <w:rsid w:val="00654583"/>
    <w:rsid w:val="00660D36"/>
    <w:rsid w:val="006707B6"/>
    <w:rsid w:val="00677165"/>
    <w:rsid w:val="006847DB"/>
    <w:rsid w:val="006941AF"/>
    <w:rsid w:val="006A7CA9"/>
    <w:rsid w:val="007350E5"/>
    <w:rsid w:val="00741654"/>
    <w:rsid w:val="007C14F2"/>
    <w:rsid w:val="007D0A1E"/>
    <w:rsid w:val="007E7C64"/>
    <w:rsid w:val="00826230"/>
    <w:rsid w:val="00832AAD"/>
    <w:rsid w:val="008B3D9B"/>
    <w:rsid w:val="008E2B0F"/>
    <w:rsid w:val="008F5DDC"/>
    <w:rsid w:val="008F7EB4"/>
    <w:rsid w:val="009118B3"/>
    <w:rsid w:val="00911F7B"/>
    <w:rsid w:val="0093427D"/>
    <w:rsid w:val="00963EE9"/>
    <w:rsid w:val="009B7868"/>
    <w:rsid w:val="009C498E"/>
    <w:rsid w:val="009E1DDD"/>
    <w:rsid w:val="009F4356"/>
    <w:rsid w:val="00A418E7"/>
    <w:rsid w:val="00A477B4"/>
    <w:rsid w:val="00A519CD"/>
    <w:rsid w:val="00A5620E"/>
    <w:rsid w:val="00A734F4"/>
    <w:rsid w:val="00A9293F"/>
    <w:rsid w:val="00AF3B05"/>
    <w:rsid w:val="00B2097C"/>
    <w:rsid w:val="00B55DB5"/>
    <w:rsid w:val="00B71C9F"/>
    <w:rsid w:val="00B91585"/>
    <w:rsid w:val="00BB0DA6"/>
    <w:rsid w:val="00BC7248"/>
    <w:rsid w:val="00BF4D03"/>
    <w:rsid w:val="00C25384"/>
    <w:rsid w:val="00C316F5"/>
    <w:rsid w:val="00C55F36"/>
    <w:rsid w:val="00C950AC"/>
    <w:rsid w:val="00CA4E92"/>
    <w:rsid w:val="00CA5C97"/>
    <w:rsid w:val="00CD7E8A"/>
    <w:rsid w:val="00CF6D3B"/>
    <w:rsid w:val="00D025F7"/>
    <w:rsid w:val="00D8181E"/>
    <w:rsid w:val="00DA39F9"/>
    <w:rsid w:val="00DA5B35"/>
    <w:rsid w:val="00DE53D1"/>
    <w:rsid w:val="00DF208C"/>
    <w:rsid w:val="00E2500D"/>
    <w:rsid w:val="00E66405"/>
    <w:rsid w:val="00E6730A"/>
    <w:rsid w:val="00E8361B"/>
    <w:rsid w:val="00EB2B00"/>
    <w:rsid w:val="00EF4F47"/>
    <w:rsid w:val="00F05264"/>
    <w:rsid w:val="00FD677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485D9D4"/>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64"/>
    <w:rPr>
      <w:rFonts w:ascii="Arial" w:hAnsi="Arial"/>
      <w:sz w:val="24"/>
    </w:rPr>
  </w:style>
  <w:style w:type="paragraph" w:styleId="Heading1">
    <w:name w:val="heading 1"/>
    <w:basedOn w:val="Normal"/>
    <w:link w:val="Heading1Char"/>
    <w:uiPriority w:val="9"/>
    <w:qFormat/>
    <w:rsid w:val="007E7C64"/>
    <w:pPr>
      <w:spacing w:before="100" w:beforeAutospacing="1" w:after="100" w:afterAutospacing="1" w:line="240" w:lineRule="auto"/>
      <w:outlineLvl w:val="0"/>
    </w:pPr>
    <w:rPr>
      <w:rFonts w:eastAsia="Times New Roman" w:cs="Times New Roman"/>
      <w:bCs/>
      <w:color w:val="000000" w:themeColor="text1"/>
      <w:kern w:val="36"/>
      <w:sz w:val="48"/>
      <w:szCs w:val="48"/>
      <w:lang w:eastAsia="en-AU"/>
    </w:rPr>
  </w:style>
  <w:style w:type="paragraph" w:styleId="Heading2">
    <w:name w:val="heading 2"/>
    <w:basedOn w:val="Normal"/>
    <w:link w:val="Heading2Char"/>
    <w:uiPriority w:val="9"/>
    <w:qFormat/>
    <w:rsid w:val="007E7C64"/>
    <w:pPr>
      <w:spacing w:before="100" w:beforeAutospacing="1" w:after="100" w:afterAutospacing="1" w:line="240" w:lineRule="auto"/>
      <w:outlineLvl w:val="1"/>
    </w:pPr>
    <w:rPr>
      <w:rFonts w:eastAsia="Times New Roman" w:cs="Times New Roman"/>
      <w:bCs/>
      <w:color w:val="347B9F"/>
      <w:sz w:val="36"/>
      <w:szCs w:val="36"/>
      <w:lang w:eastAsia="en-AU"/>
    </w:rPr>
  </w:style>
  <w:style w:type="paragraph" w:styleId="Heading3">
    <w:name w:val="heading 3"/>
    <w:basedOn w:val="Normal"/>
    <w:next w:val="Normal"/>
    <w:link w:val="Heading3Char"/>
    <w:uiPriority w:val="9"/>
    <w:semiHidden/>
    <w:unhideWhenUsed/>
    <w:qFormat/>
    <w:rsid w:val="007E7C64"/>
    <w:pPr>
      <w:keepNext/>
      <w:keepLines/>
      <w:spacing w:before="40" w:after="0"/>
      <w:outlineLvl w:val="2"/>
    </w:pPr>
    <w:rPr>
      <w:rFonts w:eastAsiaTheme="majorEastAsia" w:cstheme="majorBidi"/>
      <w:color w:val="347B9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customStyle="1" w:styleId="Heading1Char">
    <w:name w:val="Heading 1 Char"/>
    <w:basedOn w:val="DefaultParagraphFont"/>
    <w:link w:val="Heading1"/>
    <w:uiPriority w:val="9"/>
    <w:rsid w:val="007E7C64"/>
    <w:rPr>
      <w:rFonts w:ascii="Arial" w:eastAsia="Times New Roman" w:hAnsi="Arial" w:cs="Times New Roman"/>
      <w:bCs/>
      <w:color w:val="000000" w:themeColor="text1"/>
      <w:kern w:val="36"/>
      <w:sz w:val="48"/>
      <w:szCs w:val="48"/>
      <w:lang w:eastAsia="en-AU"/>
    </w:rPr>
  </w:style>
  <w:style w:type="character" w:customStyle="1" w:styleId="Heading2Char">
    <w:name w:val="Heading 2 Char"/>
    <w:basedOn w:val="DefaultParagraphFont"/>
    <w:link w:val="Heading2"/>
    <w:uiPriority w:val="9"/>
    <w:rsid w:val="007E7C64"/>
    <w:rPr>
      <w:rFonts w:ascii="Arial" w:eastAsia="Times New Roman" w:hAnsi="Arial" w:cs="Times New Roman"/>
      <w:bCs/>
      <w:color w:val="347B9F"/>
      <w:sz w:val="36"/>
      <w:szCs w:val="36"/>
      <w:lang w:eastAsia="en-AU"/>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lang w:eastAsia="en-AU"/>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semiHidden/>
    <w:rsid w:val="007E7C64"/>
    <w:rPr>
      <w:rFonts w:ascii="Arial" w:eastAsiaTheme="majorEastAsia" w:hAnsi="Arial" w:cstheme="majorBidi"/>
      <w:color w:val="347B9F"/>
      <w:sz w:val="28"/>
      <w:szCs w:val="24"/>
    </w:rPr>
  </w:style>
  <w:style w:type="paragraph" w:styleId="Quote">
    <w:name w:val="Quote"/>
    <w:basedOn w:val="Normal"/>
    <w:next w:val="Normal"/>
    <w:link w:val="QuoteChar"/>
    <w:uiPriority w:val="29"/>
    <w:qFormat/>
    <w:rsid w:val="007E7C64"/>
    <w:pPr>
      <w:spacing w:before="200" w:after="160"/>
      <w:ind w:left="864" w:right="864"/>
    </w:pPr>
    <w:rPr>
      <w:i/>
      <w:iCs/>
      <w:color w:val="000000" w:themeColor="text1"/>
    </w:rPr>
  </w:style>
  <w:style w:type="character" w:customStyle="1" w:styleId="QuoteChar">
    <w:name w:val="Quote Char"/>
    <w:basedOn w:val="DefaultParagraphFont"/>
    <w:link w:val="Quote"/>
    <w:uiPriority w:val="29"/>
    <w:rsid w:val="007E7C64"/>
    <w:rPr>
      <w:rFonts w:ascii="Arial" w:hAnsi="Arial"/>
      <w:i/>
      <w:iCs/>
      <w:color w:val="000000" w:themeColor="text1"/>
      <w:sz w:val="24"/>
    </w:rPr>
  </w:style>
  <w:style w:type="paragraph" w:customStyle="1" w:styleId="Default">
    <w:name w:val="Default"/>
    <w:rsid w:val="0023562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35621"/>
    <w:rPr>
      <w:color w:val="605E5C"/>
      <w:shd w:val="clear" w:color="auto" w:fill="E1DFDD"/>
    </w:rPr>
  </w:style>
  <w:style w:type="paragraph" w:styleId="ListParagraph">
    <w:name w:val="List Paragraph"/>
    <w:basedOn w:val="Normal"/>
    <w:uiPriority w:val="7"/>
    <w:qFormat/>
    <w:rsid w:val="00235621"/>
    <w:pPr>
      <w:ind w:left="720"/>
      <w:contextualSpacing/>
    </w:pPr>
  </w:style>
  <w:style w:type="paragraph" w:styleId="FootnoteText">
    <w:name w:val="footnote text"/>
    <w:basedOn w:val="Normal"/>
    <w:link w:val="FootnoteTextChar"/>
    <w:uiPriority w:val="99"/>
    <w:semiHidden/>
    <w:unhideWhenUsed/>
    <w:rsid w:val="000B09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9D1"/>
    <w:rPr>
      <w:rFonts w:ascii="Arial" w:hAnsi="Arial"/>
      <w:sz w:val="20"/>
      <w:szCs w:val="20"/>
    </w:rPr>
  </w:style>
  <w:style w:type="character" w:styleId="FootnoteReference">
    <w:name w:val="footnote reference"/>
    <w:basedOn w:val="DefaultParagraphFont"/>
    <w:uiPriority w:val="99"/>
    <w:semiHidden/>
    <w:unhideWhenUsed/>
    <w:rsid w:val="000B09D1"/>
    <w:rPr>
      <w:vertAlign w:val="superscript"/>
    </w:rPr>
  </w:style>
  <w:style w:type="character" w:styleId="CommentReference">
    <w:name w:val="annotation reference"/>
    <w:basedOn w:val="DefaultParagraphFont"/>
    <w:uiPriority w:val="99"/>
    <w:semiHidden/>
    <w:unhideWhenUsed/>
    <w:rsid w:val="0093427D"/>
    <w:rPr>
      <w:sz w:val="16"/>
      <w:szCs w:val="16"/>
    </w:rPr>
  </w:style>
  <w:style w:type="paragraph" w:styleId="CommentText">
    <w:name w:val="annotation text"/>
    <w:basedOn w:val="Normal"/>
    <w:link w:val="CommentTextChar"/>
    <w:uiPriority w:val="99"/>
    <w:unhideWhenUsed/>
    <w:rsid w:val="0093427D"/>
    <w:pPr>
      <w:spacing w:line="240" w:lineRule="auto"/>
    </w:pPr>
    <w:rPr>
      <w:sz w:val="20"/>
      <w:szCs w:val="20"/>
    </w:rPr>
  </w:style>
  <w:style w:type="character" w:customStyle="1" w:styleId="CommentTextChar">
    <w:name w:val="Comment Text Char"/>
    <w:basedOn w:val="DefaultParagraphFont"/>
    <w:link w:val="CommentText"/>
    <w:uiPriority w:val="99"/>
    <w:rsid w:val="0093427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3427D"/>
    <w:rPr>
      <w:b/>
      <w:bCs/>
    </w:rPr>
  </w:style>
  <w:style w:type="character" w:customStyle="1" w:styleId="CommentSubjectChar">
    <w:name w:val="Comment Subject Char"/>
    <w:basedOn w:val="CommentTextChar"/>
    <w:link w:val="CommentSubject"/>
    <w:uiPriority w:val="99"/>
    <w:semiHidden/>
    <w:rsid w:val="0093427D"/>
    <w:rPr>
      <w:rFonts w:ascii="Arial" w:hAnsi="Arial"/>
      <w:b/>
      <w:bCs/>
      <w:sz w:val="20"/>
      <w:szCs w:val="20"/>
    </w:rPr>
  </w:style>
  <w:style w:type="paragraph" w:styleId="Revision">
    <w:name w:val="Revision"/>
    <w:hidden/>
    <w:uiPriority w:val="99"/>
    <w:semiHidden/>
    <w:rsid w:val="005A46CF"/>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641A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8838">
      <w:bodyDiv w:val="1"/>
      <w:marLeft w:val="0"/>
      <w:marRight w:val="0"/>
      <w:marTop w:val="0"/>
      <w:marBottom w:val="0"/>
      <w:divBdr>
        <w:top w:val="none" w:sz="0" w:space="0" w:color="auto"/>
        <w:left w:val="none" w:sz="0" w:space="0" w:color="auto"/>
        <w:bottom w:val="none" w:sz="0" w:space="0" w:color="auto"/>
        <w:right w:val="none" w:sz="0" w:space="0" w:color="auto"/>
      </w:divBdr>
    </w:div>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 w:id="519393170">
                  <w:marLeft w:val="375"/>
                  <w:marRight w:val="0"/>
                  <w:marTop w:val="375"/>
                  <w:marBottom w:val="0"/>
                  <w:divBdr>
                    <w:top w:val="none" w:sz="0" w:space="0" w:color="auto"/>
                    <w:left w:val="none" w:sz="0" w:space="0" w:color="auto"/>
                    <w:bottom w:val="none" w:sz="0" w:space="0" w:color="auto"/>
                    <w:right w:val="none" w:sz="0" w:space="0" w:color="auto"/>
                  </w:divBdr>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etc@parliament.qld.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Rebekah Leong</cp:lastModifiedBy>
  <cp:revision>11</cp:revision>
  <dcterms:created xsi:type="dcterms:W3CDTF">2023-08-24T02:34:00Z</dcterms:created>
  <dcterms:modified xsi:type="dcterms:W3CDTF">2023-11-02T21:22:00Z</dcterms:modified>
</cp:coreProperties>
</file>