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BF0C" w14:textId="2623035D" w:rsidR="00EC6BC3" w:rsidRPr="000177E3" w:rsidRDefault="00EC6BC3" w:rsidP="00EC6BC3">
      <w:pPr>
        <w:spacing w:before="240" w:after="360" w:line="240" w:lineRule="auto"/>
        <w:rPr>
          <w:rFonts w:ascii="Arial" w:hAnsi="Arial" w:cs="Arial"/>
          <w:sz w:val="20"/>
          <w:szCs w:val="20"/>
          <w:lang w:val="en-US"/>
        </w:rPr>
      </w:pPr>
      <w:r w:rsidRPr="000177E3">
        <w:rPr>
          <w:rFonts w:ascii="Arial" w:hAnsi="Arial" w:cs="Arial"/>
          <w:sz w:val="20"/>
          <w:szCs w:val="20"/>
          <w:lang w:val="en-US"/>
        </w:rPr>
        <w:t>Our ref:  BNE</w:t>
      </w:r>
      <w:r w:rsidR="00075C0A" w:rsidRPr="000177E3">
        <w:rPr>
          <w:rFonts w:ascii="Arial" w:hAnsi="Arial" w:cs="Arial"/>
          <w:sz w:val="20"/>
          <w:szCs w:val="20"/>
          <w:lang w:val="en-US"/>
        </w:rPr>
        <w:t>5409161</w:t>
      </w:r>
    </w:p>
    <w:p w14:paraId="42B67AD0" w14:textId="406805AF" w:rsidR="00C97B4D" w:rsidRPr="00075C0A" w:rsidRDefault="00781247" w:rsidP="00EC6BC3">
      <w:pPr>
        <w:spacing w:before="240" w:after="360" w:line="240" w:lineRule="auto"/>
        <w:rPr>
          <w:rFonts w:ascii="Arial" w:hAnsi="Arial" w:cs="Arial"/>
          <w:lang w:val="en-US"/>
        </w:rPr>
      </w:pPr>
      <w:r w:rsidRPr="00075C0A">
        <w:rPr>
          <w:rFonts w:ascii="Arial" w:hAnsi="Arial" w:cs="Arial"/>
          <w:lang w:val="en-US"/>
        </w:rPr>
        <w:t>1</w:t>
      </w:r>
      <w:r w:rsidR="0029680D">
        <w:rPr>
          <w:rFonts w:ascii="Arial" w:hAnsi="Arial" w:cs="Arial"/>
          <w:lang w:val="en-US"/>
        </w:rPr>
        <w:t xml:space="preserve">4 </w:t>
      </w:r>
      <w:r w:rsidR="00075C0A" w:rsidRPr="00075C0A">
        <w:rPr>
          <w:rFonts w:ascii="Arial" w:hAnsi="Arial" w:cs="Arial"/>
          <w:lang w:val="en-US"/>
        </w:rPr>
        <w:t xml:space="preserve">December </w:t>
      </w:r>
      <w:r w:rsidR="00485D32" w:rsidRPr="00075C0A">
        <w:rPr>
          <w:rFonts w:ascii="Arial" w:hAnsi="Arial" w:cs="Arial"/>
          <w:lang w:val="en-US"/>
        </w:rPr>
        <w:t>2023</w:t>
      </w:r>
    </w:p>
    <w:p w14:paraId="7873A2D8" w14:textId="77777777" w:rsidR="00075C0A" w:rsidRPr="00075C0A" w:rsidRDefault="00075C0A" w:rsidP="00075C0A">
      <w:pPr>
        <w:rPr>
          <w:rFonts w:ascii="Arial" w:hAnsi="Arial" w:cs="Arial"/>
        </w:rPr>
      </w:pPr>
      <w:r w:rsidRPr="00075C0A">
        <w:rPr>
          <w:rFonts w:ascii="Arial" w:hAnsi="Arial" w:cs="Arial"/>
        </w:rPr>
        <w:t>Independent Panel</w:t>
      </w:r>
      <w:r w:rsidRPr="00075C0A">
        <w:rPr>
          <w:rFonts w:ascii="Arial" w:hAnsi="Arial" w:cs="Arial"/>
        </w:rPr>
        <w:br/>
        <w:t>COVID-19 Response Inquiry</w:t>
      </w:r>
      <w:r w:rsidRPr="00075C0A">
        <w:rPr>
          <w:rFonts w:ascii="Arial" w:hAnsi="Arial" w:cs="Arial"/>
        </w:rPr>
        <w:br/>
        <w:t>Department of Prime Minister and Cabinet</w:t>
      </w:r>
      <w:r w:rsidRPr="00075C0A">
        <w:rPr>
          <w:rFonts w:ascii="Arial" w:hAnsi="Arial" w:cs="Arial"/>
        </w:rPr>
        <w:br/>
        <w:t>Australian Government</w:t>
      </w:r>
    </w:p>
    <w:p w14:paraId="073B251E" w14:textId="6FC7B1AD" w:rsidR="00075C0A" w:rsidRDefault="000177E3" w:rsidP="00075C0A">
      <w:pPr>
        <w:rPr>
          <w:rFonts w:ascii="Arial" w:hAnsi="Arial" w:cs="Arial"/>
          <w:b/>
          <w:bCs/>
        </w:rPr>
      </w:pPr>
      <w:r w:rsidRPr="000177E3">
        <w:rPr>
          <w:rFonts w:ascii="Arial" w:hAnsi="Arial" w:cs="Arial"/>
          <w:b/>
          <w:bCs/>
        </w:rPr>
        <w:t>Sent by webform</w:t>
      </w:r>
      <w:r>
        <w:rPr>
          <w:rFonts w:ascii="Arial" w:hAnsi="Arial" w:cs="Arial"/>
          <w:b/>
          <w:bCs/>
        </w:rPr>
        <w:t xml:space="preserve">: </w:t>
      </w:r>
      <w:hyperlink r:id="rId8" w:history="1">
        <w:r w:rsidRPr="004A34B3">
          <w:rPr>
            <w:rStyle w:val="Hyperlink"/>
            <w:rFonts w:ascii="Arial" w:hAnsi="Arial" w:cs="Arial"/>
          </w:rPr>
          <w:t>https://www.pmc.gov.au/covid-19-response-inquiry/consultation</w:t>
        </w:r>
      </w:hyperlink>
      <w:r>
        <w:rPr>
          <w:rFonts w:ascii="Arial" w:hAnsi="Arial" w:cs="Arial"/>
          <w:b/>
          <w:bCs/>
        </w:rPr>
        <w:t xml:space="preserve"> </w:t>
      </w:r>
    </w:p>
    <w:p w14:paraId="7A3FDDDB" w14:textId="77777777" w:rsidR="00914134" w:rsidRDefault="00914134" w:rsidP="00075C0A">
      <w:pPr>
        <w:rPr>
          <w:rFonts w:ascii="Arial" w:hAnsi="Arial" w:cs="Arial"/>
        </w:rPr>
      </w:pPr>
    </w:p>
    <w:p w14:paraId="030BB210" w14:textId="7108D0D1" w:rsidR="00075C0A" w:rsidRPr="00075C0A" w:rsidRDefault="00075C0A" w:rsidP="00075C0A">
      <w:pPr>
        <w:rPr>
          <w:rFonts w:ascii="Arial" w:hAnsi="Arial" w:cs="Arial"/>
        </w:rPr>
      </w:pPr>
      <w:r w:rsidRPr="00075C0A">
        <w:rPr>
          <w:rFonts w:ascii="Arial" w:hAnsi="Arial" w:cs="Arial"/>
        </w:rPr>
        <w:t>Dear Independent Panel</w:t>
      </w:r>
    </w:p>
    <w:p w14:paraId="72BAD232" w14:textId="77777777" w:rsidR="00075C0A" w:rsidRPr="00075C0A" w:rsidRDefault="00075C0A" w:rsidP="00075C0A">
      <w:pPr>
        <w:rPr>
          <w:rFonts w:ascii="Arial" w:hAnsi="Arial" w:cs="Arial"/>
          <w:b/>
          <w:bCs/>
        </w:rPr>
      </w:pPr>
      <w:r w:rsidRPr="00075C0A">
        <w:rPr>
          <w:rFonts w:ascii="Arial" w:hAnsi="Arial" w:cs="Arial"/>
          <w:b/>
          <w:bCs/>
        </w:rPr>
        <w:t>COVID-19 Response Inquiry</w:t>
      </w:r>
    </w:p>
    <w:p w14:paraId="041EC5D3" w14:textId="77777777" w:rsidR="00075C0A" w:rsidRPr="00075C0A" w:rsidRDefault="00075C0A" w:rsidP="00075C0A">
      <w:pPr>
        <w:rPr>
          <w:rFonts w:ascii="Arial" w:hAnsi="Arial" w:cs="Arial"/>
        </w:rPr>
      </w:pPr>
      <w:r w:rsidRPr="00075C0A">
        <w:rPr>
          <w:rFonts w:ascii="Arial" w:hAnsi="Arial" w:cs="Arial"/>
        </w:rPr>
        <w:t>Thank you for this opportunity to make submissions on this inquiry.</w:t>
      </w:r>
    </w:p>
    <w:p w14:paraId="2B97EB39" w14:textId="77777777" w:rsidR="00075C0A" w:rsidRPr="00075C0A" w:rsidRDefault="00075C0A" w:rsidP="00075C0A">
      <w:pPr>
        <w:rPr>
          <w:rFonts w:ascii="Arial" w:hAnsi="Arial" w:cs="Arial"/>
        </w:rPr>
      </w:pPr>
      <w:r w:rsidRPr="00075C0A">
        <w:rPr>
          <w:rFonts w:ascii="Arial" w:hAnsi="Arial" w:cs="Arial"/>
        </w:rPr>
        <w:t>This submission:</w:t>
      </w:r>
    </w:p>
    <w:p w14:paraId="7E27ACB1" w14:textId="77777777" w:rsidR="00075C0A" w:rsidRPr="00075C0A" w:rsidRDefault="00075C0A" w:rsidP="00075C0A">
      <w:pPr>
        <w:pStyle w:val="ListParagraph"/>
        <w:numPr>
          <w:ilvl w:val="0"/>
          <w:numId w:val="36"/>
        </w:numPr>
        <w:spacing w:line="256" w:lineRule="auto"/>
        <w:rPr>
          <w:rFonts w:ascii="Arial" w:hAnsi="Arial" w:cs="Arial"/>
        </w:rPr>
      </w:pPr>
      <w:r w:rsidRPr="00075C0A">
        <w:rPr>
          <w:rFonts w:ascii="Arial" w:hAnsi="Arial" w:cs="Arial"/>
        </w:rPr>
        <w:t>outlines the work done by the Commission during the pandemic;</w:t>
      </w:r>
    </w:p>
    <w:p w14:paraId="5318EAFA" w14:textId="77777777" w:rsidR="00075C0A" w:rsidRPr="00075C0A" w:rsidRDefault="00075C0A" w:rsidP="00075C0A">
      <w:pPr>
        <w:pStyle w:val="ListParagraph"/>
        <w:numPr>
          <w:ilvl w:val="0"/>
          <w:numId w:val="36"/>
        </w:numPr>
        <w:spacing w:line="256" w:lineRule="auto"/>
        <w:rPr>
          <w:rFonts w:ascii="Arial" w:hAnsi="Arial" w:cs="Arial"/>
        </w:rPr>
      </w:pPr>
      <w:r w:rsidRPr="00075C0A">
        <w:rPr>
          <w:rFonts w:ascii="Arial" w:hAnsi="Arial" w:cs="Arial"/>
        </w:rPr>
        <w:t>considers the Commonwealth could have had a greater role in governance and leadership during the pandemic;</w:t>
      </w:r>
    </w:p>
    <w:p w14:paraId="7DFB4937" w14:textId="77777777" w:rsidR="00075C0A" w:rsidRPr="00075C0A" w:rsidRDefault="00075C0A" w:rsidP="00075C0A">
      <w:pPr>
        <w:pStyle w:val="ListParagraph"/>
        <w:numPr>
          <w:ilvl w:val="0"/>
          <w:numId w:val="36"/>
        </w:numPr>
        <w:spacing w:line="256" w:lineRule="auto"/>
        <w:rPr>
          <w:rFonts w:ascii="Arial" w:hAnsi="Arial" w:cs="Arial"/>
        </w:rPr>
      </w:pPr>
      <w:r w:rsidRPr="00075C0A">
        <w:rPr>
          <w:rFonts w:ascii="Arial" w:hAnsi="Arial" w:cs="Arial"/>
        </w:rPr>
        <w:t>advocates for the implementation of a national human rights framework to safeguard human rights at times of emergency;</w:t>
      </w:r>
    </w:p>
    <w:p w14:paraId="2C34BF5D" w14:textId="1B72899A" w:rsidR="00075C0A" w:rsidRPr="00075C0A" w:rsidRDefault="000177E3" w:rsidP="00075C0A">
      <w:pPr>
        <w:pStyle w:val="ListParagraph"/>
        <w:numPr>
          <w:ilvl w:val="0"/>
          <w:numId w:val="36"/>
        </w:numPr>
        <w:spacing w:line="256" w:lineRule="auto"/>
        <w:rPr>
          <w:rFonts w:ascii="Arial" w:hAnsi="Arial" w:cs="Arial"/>
        </w:rPr>
      </w:pPr>
      <w:r>
        <w:rPr>
          <w:rFonts w:ascii="Arial" w:hAnsi="Arial" w:cs="Arial"/>
        </w:rPr>
        <w:t>recommends</w:t>
      </w:r>
      <w:r w:rsidR="00075C0A" w:rsidRPr="00075C0A">
        <w:rPr>
          <w:rFonts w:ascii="Arial" w:hAnsi="Arial" w:cs="Arial"/>
        </w:rPr>
        <w:t xml:space="preserve"> response measures buil</w:t>
      </w:r>
      <w:r>
        <w:rPr>
          <w:rFonts w:ascii="Arial" w:hAnsi="Arial" w:cs="Arial"/>
        </w:rPr>
        <w:t>d</w:t>
      </w:r>
      <w:r w:rsidR="00075C0A" w:rsidRPr="00075C0A">
        <w:rPr>
          <w:rFonts w:ascii="Arial" w:hAnsi="Arial" w:cs="Arial"/>
        </w:rPr>
        <w:t xml:space="preserve"> in oversight and review mechanisms when applied at an individual level;</w:t>
      </w:r>
    </w:p>
    <w:p w14:paraId="7E9E1A57" w14:textId="77777777" w:rsidR="00075C0A" w:rsidRPr="00075C0A" w:rsidRDefault="00075C0A" w:rsidP="00075C0A">
      <w:pPr>
        <w:pStyle w:val="ListParagraph"/>
        <w:numPr>
          <w:ilvl w:val="0"/>
          <w:numId w:val="36"/>
        </w:numPr>
        <w:spacing w:line="256" w:lineRule="auto"/>
        <w:rPr>
          <w:rFonts w:ascii="Arial" w:hAnsi="Arial" w:cs="Arial"/>
        </w:rPr>
      </w:pPr>
      <w:r w:rsidRPr="00075C0A">
        <w:rPr>
          <w:rFonts w:ascii="Arial" w:hAnsi="Arial" w:cs="Arial"/>
        </w:rPr>
        <w:t>highlights the importance of nationally addressing racism and vilification.</w:t>
      </w:r>
    </w:p>
    <w:p w14:paraId="1265675B" w14:textId="77777777" w:rsidR="00075C0A" w:rsidRPr="00075C0A" w:rsidRDefault="00075C0A" w:rsidP="00075C0A">
      <w:pPr>
        <w:rPr>
          <w:rFonts w:ascii="Arial" w:hAnsi="Arial" w:cs="Arial"/>
          <w:b/>
          <w:bCs/>
        </w:rPr>
      </w:pPr>
      <w:r w:rsidRPr="00075C0A">
        <w:rPr>
          <w:rFonts w:ascii="Arial" w:hAnsi="Arial" w:cs="Arial"/>
          <w:b/>
          <w:bCs/>
        </w:rPr>
        <w:t>The Commission’s role during the pandemic</w:t>
      </w:r>
    </w:p>
    <w:p w14:paraId="573AC953" w14:textId="77777777" w:rsidR="00075C0A" w:rsidRPr="00075C0A" w:rsidRDefault="00075C0A" w:rsidP="00075C0A">
      <w:pPr>
        <w:rPr>
          <w:rFonts w:ascii="Arial" w:hAnsi="Arial" w:cs="Arial"/>
        </w:rPr>
      </w:pPr>
      <w:r w:rsidRPr="00075C0A">
        <w:rPr>
          <w:rFonts w:ascii="Arial" w:hAnsi="Arial" w:cs="Arial"/>
        </w:rPr>
        <w:t xml:space="preserve">The Queensland Human Rights Commission (the Commission) is a statutory body established under the Queensland </w:t>
      </w:r>
      <w:r w:rsidRPr="00075C0A">
        <w:rPr>
          <w:rFonts w:ascii="Arial" w:hAnsi="Arial" w:cs="Arial"/>
          <w:i/>
          <w:iCs/>
        </w:rPr>
        <w:t xml:space="preserve">Anti-Discrimination Act 1991 </w:t>
      </w:r>
      <w:r w:rsidRPr="00075C0A">
        <w:rPr>
          <w:rFonts w:ascii="Arial" w:hAnsi="Arial" w:cs="Arial"/>
        </w:rPr>
        <w:t>(AD Act)</w:t>
      </w:r>
      <w:r w:rsidRPr="00075C0A">
        <w:rPr>
          <w:rFonts w:ascii="Arial" w:hAnsi="Arial" w:cs="Arial"/>
          <w:i/>
          <w:iCs/>
        </w:rPr>
        <w:t xml:space="preserve">. </w:t>
      </w:r>
      <w:r w:rsidRPr="00075C0A">
        <w:rPr>
          <w:rFonts w:ascii="Arial" w:hAnsi="Arial" w:cs="Arial"/>
        </w:rPr>
        <w:t xml:space="preserve">The Commission’s functions include receiving complaints for dispute resolution under the AD Act and the </w:t>
      </w:r>
      <w:r w:rsidRPr="00075C0A">
        <w:rPr>
          <w:rFonts w:ascii="Arial" w:hAnsi="Arial" w:cs="Arial"/>
          <w:i/>
          <w:iCs/>
        </w:rPr>
        <w:t>Human Rights Act 2019</w:t>
      </w:r>
      <w:r w:rsidRPr="00075C0A">
        <w:rPr>
          <w:rFonts w:ascii="Arial" w:hAnsi="Arial" w:cs="Arial"/>
        </w:rPr>
        <w:t xml:space="preserve"> (HR Act), promoting an understanding and public discussion of human rights in Queensland, and to provide information and education about human rights.</w:t>
      </w:r>
    </w:p>
    <w:p w14:paraId="054A68FF" w14:textId="77777777" w:rsidR="00075C0A" w:rsidRPr="00075C0A" w:rsidRDefault="00075C0A" w:rsidP="00075C0A">
      <w:pPr>
        <w:rPr>
          <w:rFonts w:ascii="Arial" w:hAnsi="Arial" w:cs="Arial"/>
        </w:rPr>
      </w:pPr>
      <w:r w:rsidRPr="00075C0A">
        <w:rPr>
          <w:rFonts w:ascii="Arial" w:hAnsi="Arial" w:cs="Arial"/>
        </w:rPr>
        <w:t xml:space="preserve">The substantive provisions of the HR Act commenced on 1 January 2020. The Queensland Government declared a public health emergency on 29 January 2020 which continued until 1 November 2022. </w:t>
      </w:r>
    </w:p>
    <w:p w14:paraId="12AAAB13" w14:textId="4458258C" w:rsidR="00075C0A" w:rsidRPr="00075C0A" w:rsidRDefault="00075C0A" w:rsidP="00075C0A">
      <w:pPr>
        <w:rPr>
          <w:rFonts w:ascii="Arial" w:hAnsi="Arial" w:cs="Arial"/>
        </w:rPr>
      </w:pPr>
      <w:r w:rsidRPr="00075C0A">
        <w:rPr>
          <w:rFonts w:ascii="Arial" w:hAnsi="Arial" w:cs="Arial"/>
        </w:rPr>
        <w:t xml:space="preserve">The Commission has received more than 1500 complaints recorded as being related to COVID-19, and continue to receive such complaints. During 2021-22, 29% of the 6409 enquiries made to the Commission were COVID-19 related, and 36% of the 1870 complaints received were COVID-19 related. The majority of complaints related to border closures, hotel quarantine, and mandatory mask and vaccination requirements.  </w:t>
      </w:r>
      <w:r w:rsidR="00681890">
        <w:rPr>
          <w:rFonts w:ascii="Arial" w:hAnsi="Arial" w:cs="Arial"/>
        </w:rPr>
        <w:t xml:space="preserve">Rights </w:t>
      </w:r>
      <w:r w:rsidRPr="00075C0A">
        <w:rPr>
          <w:rFonts w:ascii="Arial" w:hAnsi="Arial" w:cs="Arial"/>
        </w:rPr>
        <w:t xml:space="preserve">raised in relation to these complaints </w:t>
      </w:r>
      <w:r w:rsidR="00681890">
        <w:rPr>
          <w:rFonts w:ascii="Arial" w:hAnsi="Arial" w:cs="Arial"/>
        </w:rPr>
        <w:t>included</w:t>
      </w:r>
      <w:r w:rsidRPr="00075C0A">
        <w:rPr>
          <w:rFonts w:ascii="Arial" w:hAnsi="Arial" w:cs="Arial"/>
        </w:rPr>
        <w:t xml:space="preserve"> recognition and equality before the law,</w:t>
      </w:r>
      <w:r w:rsidR="00681890">
        <w:rPr>
          <w:rFonts w:ascii="Arial" w:hAnsi="Arial" w:cs="Arial"/>
        </w:rPr>
        <w:t xml:space="preserve"> the right not to be subject to medical treatment without consent, privacy and reputation,</w:t>
      </w:r>
      <w:r w:rsidRPr="00075C0A">
        <w:rPr>
          <w:rFonts w:ascii="Arial" w:hAnsi="Arial" w:cs="Arial"/>
        </w:rPr>
        <w:t xml:space="preserve"> humane treatment when deprived of liberty</w:t>
      </w:r>
      <w:r w:rsidR="000177E3">
        <w:rPr>
          <w:rFonts w:ascii="Arial" w:hAnsi="Arial" w:cs="Arial"/>
        </w:rPr>
        <w:t>,</w:t>
      </w:r>
      <w:r w:rsidRPr="00075C0A">
        <w:rPr>
          <w:rFonts w:ascii="Arial" w:hAnsi="Arial" w:cs="Arial"/>
        </w:rPr>
        <w:t xml:space="preserve"> and freedom of movement.</w:t>
      </w:r>
    </w:p>
    <w:p w14:paraId="641A280A" w14:textId="77777777" w:rsidR="00914134" w:rsidRDefault="00914134">
      <w:pPr>
        <w:rPr>
          <w:rFonts w:ascii="Arial" w:hAnsi="Arial" w:cs="Arial"/>
        </w:rPr>
      </w:pPr>
      <w:r>
        <w:rPr>
          <w:rFonts w:ascii="Arial" w:hAnsi="Arial" w:cs="Arial"/>
        </w:rPr>
        <w:br w:type="page"/>
      </w:r>
    </w:p>
    <w:p w14:paraId="3871A05D" w14:textId="19120A19" w:rsidR="00075C0A" w:rsidRPr="00075C0A" w:rsidRDefault="00075C0A" w:rsidP="00075C0A">
      <w:pPr>
        <w:rPr>
          <w:rFonts w:ascii="Arial" w:hAnsi="Arial" w:cs="Arial"/>
        </w:rPr>
      </w:pPr>
      <w:r w:rsidRPr="00075C0A">
        <w:rPr>
          <w:rFonts w:ascii="Arial" w:hAnsi="Arial" w:cs="Arial"/>
        </w:rPr>
        <w:lastRenderedPageBreak/>
        <w:t>The Commission also:</w:t>
      </w:r>
    </w:p>
    <w:p w14:paraId="7A21ECEB" w14:textId="77777777" w:rsidR="00075C0A" w:rsidRPr="00075C0A" w:rsidRDefault="00075C0A" w:rsidP="00075C0A">
      <w:pPr>
        <w:pStyle w:val="ListParagraph"/>
        <w:numPr>
          <w:ilvl w:val="0"/>
          <w:numId w:val="37"/>
        </w:numPr>
        <w:spacing w:line="256" w:lineRule="auto"/>
        <w:rPr>
          <w:rFonts w:ascii="Arial" w:hAnsi="Arial" w:cs="Arial"/>
        </w:rPr>
      </w:pPr>
      <w:r w:rsidRPr="00075C0A">
        <w:rPr>
          <w:rFonts w:ascii="Arial" w:hAnsi="Arial" w:cs="Arial"/>
        </w:rPr>
        <w:t>provided a human rights perspective to parliamentary committees considering bills and inquiries related to COVID-19;</w:t>
      </w:r>
    </w:p>
    <w:p w14:paraId="028AEB1C" w14:textId="77777777" w:rsidR="00075C0A" w:rsidRPr="00075C0A" w:rsidRDefault="00075C0A" w:rsidP="00075C0A">
      <w:pPr>
        <w:pStyle w:val="ListParagraph"/>
        <w:numPr>
          <w:ilvl w:val="0"/>
          <w:numId w:val="37"/>
        </w:numPr>
        <w:spacing w:line="256" w:lineRule="auto"/>
        <w:rPr>
          <w:rFonts w:ascii="Arial" w:hAnsi="Arial" w:cs="Arial"/>
        </w:rPr>
      </w:pPr>
      <w:r w:rsidRPr="00075C0A">
        <w:rPr>
          <w:rFonts w:ascii="Arial" w:hAnsi="Arial" w:cs="Arial"/>
        </w:rPr>
        <w:t>met with the Chief Health Officer to discuss human rights issues arising from public health directions, and advocated for justification material to be published with public health directions;</w:t>
      </w:r>
    </w:p>
    <w:p w14:paraId="266A4ED7" w14:textId="77777777" w:rsidR="00075C0A" w:rsidRPr="00075C0A" w:rsidRDefault="00075C0A" w:rsidP="00075C0A">
      <w:pPr>
        <w:pStyle w:val="ListParagraph"/>
        <w:numPr>
          <w:ilvl w:val="0"/>
          <w:numId w:val="37"/>
        </w:numPr>
        <w:spacing w:line="256" w:lineRule="auto"/>
        <w:rPr>
          <w:rFonts w:ascii="Arial" w:hAnsi="Arial" w:cs="Arial"/>
        </w:rPr>
      </w:pPr>
      <w:r w:rsidRPr="00075C0A">
        <w:rPr>
          <w:rFonts w:ascii="Arial" w:hAnsi="Arial" w:cs="Arial"/>
        </w:rPr>
        <w:t>engaged with communities to understand people’s experiences of restrictions, and provided feedback to Departments and agencies about their approaches and policies;</w:t>
      </w:r>
    </w:p>
    <w:p w14:paraId="575F5464" w14:textId="77777777" w:rsidR="00075C0A" w:rsidRPr="00075C0A" w:rsidRDefault="00075C0A" w:rsidP="00075C0A">
      <w:pPr>
        <w:pStyle w:val="ListParagraph"/>
        <w:numPr>
          <w:ilvl w:val="0"/>
          <w:numId w:val="37"/>
        </w:numPr>
        <w:spacing w:line="256" w:lineRule="auto"/>
        <w:rPr>
          <w:rFonts w:ascii="Arial" w:hAnsi="Arial" w:cs="Arial"/>
        </w:rPr>
      </w:pPr>
      <w:r w:rsidRPr="00075C0A">
        <w:rPr>
          <w:rFonts w:ascii="Arial" w:hAnsi="Arial" w:cs="Arial"/>
        </w:rPr>
        <w:t>intervened in legal proceedings challenging vaccination mandates to provide the court with independent expertise on human rights (these legal proceedings are still on foot); and</w:t>
      </w:r>
    </w:p>
    <w:p w14:paraId="7F355957" w14:textId="77777777" w:rsidR="00075C0A" w:rsidRPr="00075C0A" w:rsidRDefault="00075C0A" w:rsidP="00075C0A">
      <w:pPr>
        <w:pStyle w:val="ListParagraph"/>
        <w:numPr>
          <w:ilvl w:val="0"/>
          <w:numId w:val="37"/>
        </w:numPr>
        <w:spacing w:line="256" w:lineRule="auto"/>
        <w:rPr>
          <w:rFonts w:ascii="Arial" w:hAnsi="Arial" w:cs="Arial"/>
        </w:rPr>
      </w:pPr>
      <w:r w:rsidRPr="00075C0A">
        <w:rPr>
          <w:rFonts w:ascii="Arial" w:hAnsi="Arial" w:cs="Arial"/>
        </w:rPr>
        <w:t>developed material for the public about COVID-19 and human rights, including a guide for businesses and services navigating mask requirements.</w:t>
      </w:r>
    </w:p>
    <w:p w14:paraId="3CB156B7" w14:textId="0ECC86F2" w:rsidR="00075C0A" w:rsidRPr="00075C0A" w:rsidRDefault="00075C0A" w:rsidP="00075C0A">
      <w:pPr>
        <w:rPr>
          <w:rFonts w:ascii="Arial" w:hAnsi="Arial" w:cs="Arial"/>
        </w:rPr>
      </w:pPr>
      <w:r w:rsidRPr="00075C0A">
        <w:rPr>
          <w:rFonts w:ascii="Arial" w:hAnsi="Arial" w:cs="Arial"/>
        </w:rPr>
        <w:t xml:space="preserve">One of the Commission’s priorities throughout the pandemic was the replacement of temporary amendments with bespoke legislation that would allow governments to respond effectively to COVID-19 risks while ensuring transparency, accountability, and compatibility with human rights. That was achieved through the passing of the </w:t>
      </w:r>
      <w:r w:rsidRPr="00075C0A">
        <w:rPr>
          <w:rFonts w:ascii="Arial" w:hAnsi="Arial" w:cs="Arial"/>
          <w:i/>
          <w:iCs/>
        </w:rPr>
        <w:t xml:space="preserve">Public Health and Other Legislation (COVID-19 Management) Amendment Act 2022, </w:t>
      </w:r>
      <w:r w:rsidRPr="00075C0A">
        <w:rPr>
          <w:rFonts w:ascii="Arial" w:hAnsi="Arial" w:cs="Arial"/>
        </w:rPr>
        <w:t>which</w:t>
      </w:r>
      <w:r w:rsidRPr="00075C0A">
        <w:rPr>
          <w:rFonts w:ascii="Arial" w:hAnsi="Arial" w:cs="Arial"/>
          <w:i/>
          <w:iCs/>
        </w:rPr>
        <w:t xml:space="preserve"> </w:t>
      </w:r>
      <w:r w:rsidRPr="00075C0A">
        <w:rPr>
          <w:rFonts w:ascii="Arial" w:hAnsi="Arial" w:cs="Arial"/>
        </w:rPr>
        <w:t>commenced on 1 November 2022.</w:t>
      </w:r>
    </w:p>
    <w:p w14:paraId="7A588AE9" w14:textId="77777777" w:rsidR="00075C0A" w:rsidRPr="00075C0A" w:rsidRDefault="00075C0A" w:rsidP="00075C0A">
      <w:pPr>
        <w:rPr>
          <w:rFonts w:ascii="Arial" w:hAnsi="Arial" w:cs="Arial"/>
          <w:b/>
          <w:bCs/>
        </w:rPr>
      </w:pPr>
      <w:r w:rsidRPr="00075C0A">
        <w:rPr>
          <w:rFonts w:ascii="Arial" w:hAnsi="Arial" w:cs="Arial"/>
          <w:b/>
          <w:bCs/>
        </w:rPr>
        <w:t>Governance during the pandemic</w:t>
      </w:r>
    </w:p>
    <w:p w14:paraId="31D60415" w14:textId="04A55224" w:rsidR="00075C0A" w:rsidRPr="00075C0A" w:rsidRDefault="00075C0A" w:rsidP="00075C0A">
      <w:pPr>
        <w:rPr>
          <w:rFonts w:ascii="Arial" w:hAnsi="Arial" w:cs="Arial"/>
        </w:rPr>
      </w:pPr>
      <w:r w:rsidRPr="00075C0A">
        <w:rPr>
          <w:rFonts w:ascii="Arial" w:hAnsi="Arial" w:cs="Arial"/>
        </w:rPr>
        <w:t>Much of the COVID-19 response was driven by State and Territory governments.</w:t>
      </w:r>
    </w:p>
    <w:p w14:paraId="7A6761C8" w14:textId="77777777" w:rsidR="00075C0A" w:rsidRPr="00075C0A" w:rsidRDefault="00075C0A" w:rsidP="00075C0A">
      <w:pPr>
        <w:rPr>
          <w:rFonts w:ascii="Arial" w:hAnsi="Arial" w:cs="Arial"/>
        </w:rPr>
      </w:pPr>
      <w:r w:rsidRPr="00075C0A">
        <w:rPr>
          <w:rFonts w:ascii="Arial" w:hAnsi="Arial" w:cs="Arial"/>
        </w:rPr>
        <w:t>It appears that the response may have benefited from increased intervention and leadership from the Commonwealth government where it has power to do so. Notably, section 51(ix) of the Constitution empowers the Commonwealth Parliament to make laws with respect to ‘quarantine’. A national approach to quarantine may have alleviated some of the issues faced by people seeking to travel to and through Australia and having to contend with different, and at times fast changing, quarantine requirements in each jurisdiction.</w:t>
      </w:r>
    </w:p>
    <w:p w14:paraId="6B1F32C9" w14:textId="13C4EE88" w:rsidR="00075C0A" w:rsidRPr="00075C0A" w:rsidRDefault="00075C0A" w:rsidP="00075C0A">
      <w:pPr>
        <w:rPr>
          <w:rFonts w:ascii="Arial" w:hAnsi="Arial" w:cs="Arial"/>
        </w:rPr>
      </w:pPr>
      <w:r w:rsidRPr="00075C0A">
        <w:rPr>
          <w:rFonts w:ascii="Arial" w:hAnsi="Arial" w:cs="Arial"/>
        </w:rPr>
        <w:t xml:space="preserve">In the Commission’s view, Queensland’s HR Act proved to be an important safeguard of the rights of people in Queensland during the pandemic. The HR Act requires introduced legislation </w:t>
      </w:r>
      <w:r w:rsidR="00681890">
        <w:rPr>
          <w:rFonts w:ascii="Arial" w:hAnsi="Arial" w:cs="Arial"/>
        </w:rPr>
        <w:t>to be</w:t>
      </w:r>
      <w:r w:rsidRPr="00075C0A">
        <w:rPr>
          <w:rFonts w:ascii="Arial" w:hAnsi="Arial" w:cs="Arial"/>
        </w:rPr>
        <w:t xml:space="preserve"> accompanied by a statement of compatibility and for regulations to be accompanied by a human rights certificate.</w:t>
      </w:r>
      <w:r w:rsidRPr="00075C0A">
        <w:rPr>
          <w:rStyle w:val="FootnoteReference"/>
          <w:rFonts w:ascii="Arial" w:hAnsi="Arial" w:cs="Arial"/>
        </w:rPr>
        <w:footnoteReference w:id="2"/>
      </w:r>
      <w:r w:rsidRPr="00075C0A">
        <w:rPr>
          <w:rFonts w:ascii="Arial" w:hAnsi="Arial" w:cs="Arial"/>
        </w:rPr>
        <w:t xml:space="preserve"> Government must therefore consider the impacts of new laws and regulations on human rights and must set out justification for any limitations on human rights. </w:t>
      </w:r>
    </w:p>
    <w:p w14:paraId="26EC300C" w14:textId="54409F3F" w:rsidR="00075C0A" w:rsidRPr="00075C0A" w:rsidRDefault="00075C0A" w:rsidP="00075C0A">
      <w:pPr>
        <w:rPr>
          <w:rFonts w:ascii="Arial" w:hAnsi="Arial" w:cs="Arial"/>
        </w:rPr>
      </w:pPr>
      <w:r w:rsidRPr="00075C0A">
        <w:rPr>
          <w:rFonts w:ascii="Arial" w:hAnsi="Arial" w:cs="Arial"/>
        </w:rPr>
        <w:t>Government and public entities also have obligations under the HR Act to act and make decisions compatibly with human rights, and to give proper consideration to human rights when making decisions.</w:t>
      </w:r>
      <w:r w:rsidRPr="00075C0A">
        <w:rPr>
          <w:rStyle w:val="FootnoteReference"/>
          <w:rFonts w:ascii="Arial" w:hAnsi="Arial" w:cs="Arial"/>
        </w:rPr>
        <w:footnoteReference w:id="3"/>
      </w:r>
      <w:r w:rsidRPr="00075C0A">
        <w:rPr>
          <w:rFonts w:ascii="Arial" w:hAnsi="Arial" w:cs="Arial"/>
        </w:rPr>
        <w:t xml:space="preserve"> This obligation extends from </w:t>
      </w:r>
      <w:r w:rsidR="00613A60">
        <w:rPr>
          <w:rFonts w:ascii="Arial" w:hAnsi="Arial" w:cs="Arial"/>
        </w:rPr>
        <w:t xml:space="preserve">high level </w:t>
      </w:r>
      <w:r w:rsidRPr="00075C0A">
        <w:rPr>
          <w:rFonts w:ascii="Arial" w:hAnsi="Arial" w:cs="Arial"/>
        </w:rPr>
        <w:t>Ministerial decisions to day to day actions taken by front line services.</w:t>
      </w:r>
    </w:p>
    <w:p w14:paraId="4DFC0CE8" w14:textId="32D24FC7" w:rsidR="00075C0A" w:rsidRPr="00075C0A" w:rsidRDefault="00075C0A" w:rsidP="00075C0A">
      <w:pPr>
        <w:rPr>
          <w:rFonts w:ascii="Arial" w:hAnsi="Arial" w:cs="Arial"/>
        </w:rPr>
      </w:pPr>
      <w:r w:rsidRPr="00075C0A">
        <w:rPr>
          <w:rFonts w:ascii="Arial" w:hAnsi="Arial" w:cs="Arial"/>
        </w:rPr>
        <w:t xml:space="preserve">Where a person believes this obligation has been breached, they may make a complaint to the Commission for dispute resolution. This process is intended to provide a way of resolving complaints that is informal, quick and efficient. For complaints relating to COVID-19, this produced positive outcomes particularly during </w:t>
      </w:r>
      <w:r w:rsidR="00613A60">
        <w:rPr>
          <w:rFonts w:ascii="Arial" w:hAnsi="Arial" w:cs="Arial"/>
        </w:rPr>
        <w:t xml:space="preserve">the </w:t>
      </w:r>
      <w:r w:rsidRPr="00075C0A">
        <w:rPr>
          <w:rFonts w:ascii="Arial" w:hAnsi="Arial" w:cs="Arial"/>
        </w:rPr>
        <w:t xml:space="preserve">early stages of implementation of a policy, such as unsuitable quarantine conditions. The Commission’s complaints process provided </w:t>
      </w:r>
      <w:r w:rsidRPr="00075C0A">
        <w:rPr>
          <w:rFonts w:ascii="Arial" w:hAnsi="Arial" w:cs="Arial"/>
        </w:rPr>
        <w:lastRenderedPageBreak/>
        <w:t xml:space="preserve">external oversight for the application of policy to individual circumstances, leading to fairer outcomes and systemic improvements, </w:t>
      </w:r>
      <w:r w:rsidR="00613A60">
        <w:rPr>
          <w:rFonts w:ascii="Arial" w:hAnsi="Arial" w:cs="Arial"/>
        </w:rPr>
        <w:t>which</w:t>
      </w:r>
      <w:r w:rsidRPr="00075C0A">
        <w:rPr>
          <w:rFonts w:ascii="Arial" w:hAnsi="Arial" w:cs="Arial"/>
        </w:rPr>
        <w:t xml:space="preserve"> might not have otherwise been available. </w:t>
      </w:r>
    </w:p>
    <w:p w14:paraId="5988043C" w14:textId="5CA6AE4F" w:rsidR="00075C0A" w:rsidRPr="00075C0A" w:rsidRDefault="00075C0A" w:rsidP="00075C0A">
      <w:pPr>
        <w:rPr>
          <w:rFonts w:ascii="Arial" w:hAnsi="Arial" w:cs="Arial"/>
        </w:rPr>
      </w:pPr>
      <w:r w:rsidRPr="00075C0A">
        <w:rPr>
          <w:rFonts w:ascii="Arial" w:hAnsi="Arial" w:cs="Arial"/>
        </w:rPr>
        <w:t>The Commission’s submission to the Senate Select Committee on COVID-19 was and continues to be that governance during the pandemic would have been enhanced by a national human rights framework.</w:t>
      </w:r>
      <w:r w:rsidRPr="00075C0A">
        <w:rPr>
          <w:rStyle w:val="FootnoteReference"/>
          <w:rFonts w:ascii="Arial" w:hAnsi="Arial" w:cs="Arial"/>
        </w:rPr>
        <w:footnoteReference w:id="4"/>
      </w:r>
      <w:r w:rsidRPr="00075C0A">
        <w:rPr>
          <w:rFonts w:ascii="Arial" w:hAnsi="Arial" w:cs="Arial"/>
        </w:rPr>
        <w:t xml:space="preserve">  For example, the restrictions placed on remote Indigenous communities under the </w:t>
      </w:r>
      <w:r w:rsidRPr="00075C0A">
        <w:rPr>
          <w:rFonts w:ascii="Arial" w:hAnsi="Arial" w:cs="Arial"/>
          <w:i/>
          <w:iCs/>
        </w:rPr>
        <w:t>Biosecurity Act 2015</w:t>
      </w:r>
      <w:r w:rsidRPr="00075C0A">
        <w:rPr>
          <w:rFonts w:ascii="Arial" w:hAnsi="Arial" w:cs="Arial"/>
        </w:rPr>
        <w:t xml:space="preserve"> (</w:t>
      </w:r>
      <w:proofErr w:type="spellStart"/>
      <w:r w:rsidRPr="00075C0A">
        <w:rPr>
          <w:rFonts w:ascii="Arial" w:hAnsi="Arial" w:cs="Arial"/>
        </w:rPr>
        <w:t>Cth</w:t>
      </w:r>
      <w:proofErr w:type="spellEnd"/>
      <w:r w:rsidRPr="00075C0A">
        <w:rPr>
          <w:rFonts w:ascii="Arial" w:hAnsi="Arial" w:cs="Arial"/>
        </w:rPr>
        <w:t xml:space="preserve">) </w:t>
      </w:r>
      <w:r w:rsidR="00613A60">
        <w:rPr>
          <w:rFonts w:ascii="Arial" w:hAnsi="Arial" w:cs="Arial"/>
        </w:rPr>
        <w:t xml:space="preserve">may </w:t>
      </w:r>
      <w:r w:rsidRPr="00075C0A">
        <w:rPr>
          <w:rFonts w:ascii="Arial" w:hAnsi="Arial" w:cs="Arial"/>
        </w:rPr>
        <w:t xml:space="preserve">have benefited from a human rights assessment and a pathway for people to raise concerns where blanket application of the policy resulted in </w:t>
      </w:r>
      <w:r w:rsidR="00613A60">
        <w:rPr>
          <w:rFonts w:ascii="Arial" w:hAnsi="Arial" w:cs="Arial"/>
        </w:rPr>
        <w:t xml:space="preserve">a </w:t>
      </w:r>
      <w:r w:rsidRPr="00075C0A">
        <w:rPr>
          <w:rFonts w:ascii="Arial" w:hAnsi="Arial" w:cs="Arial"/>
        </w:rPr>
        <w:t xml:space="preserve">disproportionate limitation of </w:t>
      </w:r>
      <w:r w:rsidR="00613A60">
        <w:rPr>
          <w:rFonts w:ascii="Arial" w:hAnsi="Arial" w:cs="Arial"/>
        </w:rPr>
        <w:t xml:space="preserve">their </w:t>
      </w:r>
      <w:r w:rsidRPr="00075C0A">
        <w:rPr>
          <w:rFonts w:ascii="Arial" w:hAnsi="Arial" w:cs="Arial"/>
        </w:rPr>
        <w:t>human rights.</w:t>
      </w:r>
    </w:p>
    <w:p w14:paraId="52175779" w14:textId="77777777" w:rsidR="00075C0A" w:rsidRPr="00075C0A" w:rsidRDefault="00075C0A" w:rsidP="00075C0A">
      <w:pPr>
        <w:rPr>
          <w:rFonts w:ascii="Arial" w:hAnsi="Arial" w:cs="Arial"/>
          <w:b/>
          <w:bCs/>
        </w:rPr>
      </w:pPr>
      <w:r w:rsidRPr="00075C0A">
        <w:rPr>
          <w:rFonts w:ascii="Arial" w:hAnsi="Arial" w:cs="Arial"/>
          <w:b/>
          <w:bCs/>
        </w:rPr>
        <w:t>Key health response measures</w:t>
      </w:r>
    </w:p>
    <w:p w14:paraId="6483A974" w14:textId="2074CD19" w:rsidR="00075C0A" w:rsidRDefault="00075C0A" w:rsidP="00075C0A">
      <w:pPr>
        <w:rPr>
          <w:rFonts w:ascii="Arial" w:hAnsi="Arial" w:cs="Arial"/>
        </w:rPr>
      </w:pPr>
      <w:r w:rsidRPr="00075C0A">
        <w:rPr>
          <w:rFonts w:ascii="Arial" w:hAnsi="Arial" w:cs="Arial"/>
        </w:rPr>
        <w:t>Queensland public health directions imposed restrictions</w:t>
      </w:r>
      <w:r w:rsidR="00356BA5">
        <w:rPr>
          <w:rFonts w:ascii="Arial" w:hAnsi="Arial" w:cs="Arial"/>
        </w:rPr>
        <w:t xml:space="preserve"> on people</w:t>
      </w:r>
      <w:r w:rsidR="009E4664">
        <w:rPr>
          <w:rFonts w:ascii="Arial" w:hAnsi="Arial" w:cs="Arial"/>
        </w:rPr>
        <w:t xml:space="preserve"> for the purpose of protecting the community</w:t>
      </w:r>
      <w:r w:rsidRPr="00075C0A">
        <w:rPr>
          <w:rFonts w:ascii="Arial" w:hAnsi="Arial" w:cs="Arial"/>
        </w:rPr>
        <w:t xml:space="preserve">. </w:t>
      </w:r>
      <w:r w:rsidR="009E4664">
        <w:rPr>
          <w:rFonts w:ascii="Arial" w:hAnsi="Arial" w:cs="Arial"/>
        </w:rPr>
        <w:t xml:space="preserve">In some </w:t>
      </w:r>
      <w:r w:rsidR="00356BA5">
        <w:rPr>
          <w:rFonts w:ascii="Arial" w:hAnsi="Arial" w:cs="Arial"/>
        </w:rPr>
        <w:t>cases</w:t>
      </w:r>
      <w:r w:rsidR="009E4664">
        <w:rPr>
          <w:rFonts w:ascii="Arial" w:hAnsi="Arial" w:cs="Arial"/>
        </w:rPr>
        <w:t xml:space="preserve">, the benefits of those restrictions were outweighed by the impacts on the individual. </w:t>
      </w:r>
      <w:r w:rsidR="00356BA5">
        <w:rPr>
          <w:rFonts w:ascii="Arial" w:hAnsi="Arial" w:cs="Arial"/>
        </w:rPr>
        <w:t xml:space="preserve">The individual </w:t>
      </w:r>
      <w:r w:rsidR="009E4664">
        <w:rPr>
          <w:rFonts w:ascii="Arial" w:hAnsi="Arial" w:cs="Arial"/>
        </w:rPr>
        <w:t xml:space="preserve">could request an exemption from the direction, </w:t>
      </w:r>
      <w:r w:rsidRPr="00075C0A">
        <w:rPr>
          <w:rFonts w:ascii="Arial" w:hAnsi="Arial" w:cs="Arial"/>
        </w:rPr>
        <w:t>or for an adjustment to the application of the direction</w:t>
      </w:r>
      <w:r w:rsidR="00356BA5">
        <w:rPr>
          <w:rFonts w:ascii="Arial" w:hAnsi="Arial" w:cs="Arial"/>
        </w:rPr>
        <w:t>, but the request was not always granted</w:t>
      </w:r>
      <w:r w:rsidR="009E4664">
        <w:rPr>
          <w:rFonts w:ascii="Arial" w:hAnsi="Arial" w:cs="Arial"/>
        </w:rPr>
        <w:t>.</w:t>
      </w:r>
      <w:r w:rsidRPr="00075C0A">
        <w:rPr>
          <w:rFonts w:ascii="Arial" w:hAnsi="Arial" w:cs="Arial"/>
        </w:rPr>
        <w:t xml:space="preserve"> The HR Act provided a process by which these decisions could be externally examined for human rights compatibility by an independent body. Without the HR Act, the individual may have had no other options for challenging the decision.</w:t>
      </w:r>
    </w:p>
    <w:p w14:paraId="74D34585" w14:textId="16F37219" w:rsidR="0052196B" w:rsidRDefault="00356BA5" w:rsidP="00075C0A">
      <w:pPr>
        <w:rPr>
          <w:rFonts w:ascii="Arial" w:hAnsi="Arial" w:cs="Arial"/>
        </w:rPr>
      </w:pPr>
      <w:r>
        <w:rPr>
          <w:rFonts w:ascii="Arial" w:hAnsi="Arial" w:cs="Arial"/>
        </w:rPr>
        <w:t xml:space="preserve">Key health response measures will often be rapidly implemented and have broad </w:t>
      </w:r>
      <w:r w:rsidR="00AE7038">
        <w:rPr>
          <w:rFonts w:ascii="Arial" w:hAnsi="Arial" w:cs="Arial"/>
        </w:rPr>
        <w:t>application</w:t>
      </w:r>
      <w:r>
        <w:rPr>
          <w:rFonts w:ascii="Arial" w:hAnsi="Arial" w:cs="Arial"/>
        </w:rPr>
        <w:t xml:space="preserve">. They will not be able to cater for every individual circumstance or eventuality. </w:t>
      </w:r>
      <w:r w:rsidR="00AE7038">
        <w:rPr>
          <w:rFonts w:ascii="Arial" w:hAnsi="Arial" w:cs="Arial"/>
        </w:rPr>
        <w:t xml:space="preserve">The Commission submits that any key health response measure must allow for flexibility for individual circumstances, and that decisions that significantly limit human rights are subject to external review or oversight </w:t>
      </w:r>
      <w:r w:rsidR="0052196B">
        <w:rPr>
          <w:rFonts w:ascii="Arial" w:hAnsi="Arial" w:cs="Arial"/>
        </w:rPr>
        <w:t>to avoid unintended, disproportionate outcomes.</w:t>
      </w:r>
    </w:p>
    <w:p w14:paraId="282B8DD3" w14:textId="77777777" w:rsidR="00075C0A" w:rsidRPr="00075C0A" w:rsidRDefault="00075C0A" w:rsidP="00075C0A">
      <w:pPr>
        <w:rPr>
          <w:rFonts w:ascii="Arial" w:hAnsi="Arial" w:cs="Arial"/>
          <w:b/>
          <w:bCs/>
        </w:rPr>
      </w:pPr>
      <w:r w:rsidRPr="00075C0A">
        <w:rPr>
          <w:rFonts w:ascii="Arial" w:hAnsi="Arial" w:cs="Arial"/>
          <w:b/>
          <w:bCs/>
        </w:rPr>
        <w:t>Community supports</w:t>
      </w:r>
    </w:p>
    <w:p w14:paraId="70B6B2A6" w14:textId="2B692374" w:rsidR="00D25F23" w:rsidRDefault="00075C0A" w:rsidP="00075C0A">
      <w:pPr>
        <w:pStyle w:val="Numberedparagraph"/>
        <w:numPr>
          <w:ilvl w:val="0"/>
          <w:numId w:val="0"/>
        </w:numPr>
        <w:rPr>
          <w:lang w:val="en-US" w:eastAsia="en-AU"/>
        </w:rPr>
      </w:pPr>
      <w:r w:rsidRPr="00075C0A">
        <w:rPr>
          <w:lang w:val="en-US" w:eastAsia="en-AU"/>
        </w:rPr>
        <w:t xml:space="preserve">The Commission, which also deals with complaints under the AD Act, received enquiries and complaints from people of Chinese and Asian descent who experienced racial vilification and discriminatory treatment when trying to obtain goods and services during the pandemic. We also heard </w:t>
      </w:r>
      <w:r w:rsidR="00D25F23">
        <w:rPr>
          <w:lang w:val="en-US" w:eastAsia="en-AU"/>
        </w:rPr>
        <w:t>about increased vilification of Asian students from a vocational education provider.</w:t>
      </w:r>
    </w:p>
    <w:p w14:paraId="735FFA1F" w14:textId="0588AC2D" w:rsidR="00075C0A" w:rsidRPr="00075C0A" w:rsidRDefault="00075C0A" w:rsidP="00075C0A">
      <w:pPr>
        <w:pStyle w:val="Numberedparagraph"/>
        <w:numPr>
          <w:ilvl w:val="0"/>
          <w:numId w:val="0"/>
        </w:numPr>
        <w:rPr>
          <w:lang w:val="en-US" w:eastAsia="en-AU"/>
        </w:rPr>
      </w:pPr>
      <w:r w:rsidRPr="00075C0A">
        <w:rPr>
          <w:lang w:val="en-US" w:eastAsia="en-AU"/>
        </w:rPr>
        <w:t xml:space="preserve">A national strategy and </w:t>
      </w:r>
      <w:r w:rsidR="00B16D6F">
        <w:rPr>
          <w:lang w:val="en-US" w:eastAsia="en-AU"/>
        </w:rPr>
        <w:t>campaign t</w:t>
      </w:r>
      <w:r w:rsidR="0020377C">
        <w:rPr>
          <w:lang w:val="en-US" w:eastAsia="en-AU"/>
        </w:rPr>
        <w:t xml:space="preserve">o foster inclusion of all the diverse groups who constitute the </w:t>
      </w:r>
      <w:r w:rsidR="00B16D6F">
        <w:rPr>
          <w:lang w:val="en-US" w:eastAsia="en-AU"/>
        </w:rPr>
        <w:t>Australian</w:t>
      </w:r>
      <w:r w:rsidR="0020377C">
        <w:rPr>
          <w:lang w:val="en-US" w:eastAsia="en-AU"/>
        </w:rPr>
        <w:t xml:space="preserve"> community (a component of which </w:t>
      </w:r>
      <w:r w:rsidR="00B16D6F">
        <w:rPr>
          <w:lang w:val="en-US" w:eastAsia="en-AU"/>
        </w:rPr>
        <w:t xml:space="preserve">would </w:t>
      </w:r>
      <w:r w:rsidR="00B16D6F">
        <w:rPr>
          <w:lang w:val="en-US" w:eastAsia="en-AU"/>
        </w:rPr>
        <w:t xml:space="preserve">cover </w:t>
      </w:r>
      <w:r w:rsidRPr="00075C0A">
        <w:rPr>
          <w:lang w:val="en-US" w:eastAsia="en-AU"/>
        </w:rPr>
        <w:t>racism and vilification</w:t>
      </w:r>
      <w:r w:rsidR="00B16D6F">
        <w:rPr>
          <w:lang w:val="en-US" w:eastAsia="en-AU"/>
        </w:rPr>
        <w:t>)</w:t>
      </w:r>
      <w:r w:rsidRPr="00075C0A">
        <w:rPr>
          <w:lang w:val="en-US" w:eastAsia="en-AU"/>
        </w:rPr>
        <w:t xml:space="preserve"> would assist to avoid spikes in such </w:t>
      </w:r>
      <w:proofErr w:type="spellStart"/>
      <w:r w:rsidRPr="00075C0A">
        <w:rPr>
          <w:lang w:val="en-US" w:eastAsia="en-AU"/>
        </w:rPr>
        <w:t>behaviour</w:t>
      </w:r>
      <w:proofErr w:type="spellEnd"/>
      <w:r w:rsidRPr="00075C0A">
        <w:rPr>
          <w:lang w:val="en-US" w:eastAsia="en-AU"/>
        </w:rPr>
        <w:t xml:space="preserve"> during times of crisis.  </w:t>
      </w:r>
    </w:p>
    <w:p w14:paraId="440B7391" w14:textId="503E1812" w:rsidR="00075C0A" w:rsidRPr="00075C0A" w:rsidRDefault="00075C0A" w:rsidP="00075C0A">
      <w:pPr>
        <w:rPr>
          <w:rFonts w:ascii="Arial" w:hAnsi="Arial" w:cs="Arial"/>
          <w:b/>
          <w:bCs/>
        </w:rPr>
      </w:pPr>
      <w:r w:rsidRPr="00075C0A">
        <w:rPr>
          <w:rFonts w:ascii="Arial" w:hAnsi="Arial" w:cs="Arial"/>
          <w:b/>
          <w:bCs/>
        </w:rPr>
        <w:t>Mechanisms to better target future responses to the needs of particular populations</w:t>
      </w:r>
    </w:p>
    <w:p w14:paraId="065D68B5" w14:textId="00D19F61" w:rsidR="00075C0A" w:rsidRDefault="00075C0A" w:rsidP="00075C0A">
      <w:pPr>
        <w:rPr>
          <w:rFonts w:ascii="Arial" w:hAnsi="Arial" w:cs="Arial"/>
        </w:rPr>
      </w:pPr>
      <w:r w:rsidRPr="00075C0A">
        <w:rPr>
          <w:rFonts w:ascii="Arial" w:hAnsi="Arial" w:cs="Arial"/>
        </w:rPr>
        <w:t xml:space="preserve">A human rights approach to a pandemic response </w:t>
      </w:r>
      <w:r w:rsidR="00D25F23">
        <w:rPr>
          <w:rFonts w:ascii="Arial" w:hAnsi="Arial" w:cs="Arial"/>
        </w:rPr>
        <w:t>would necessarily involve the identification</w:t>
      </w:r>
      <w:r w:rsidRPr="00075C0A">
        <w:rPr>
          <w:rFonts w:ascii="Arial" w:hAnsi="Arial" w:cs="Arial"/>
        </w:rPr>
        <w:t>, consult</w:t>
      </w:r>
      <w:r w:rsidR="00D25F23">
        <w:rPr>
          <w:rFonts w:ascii="Arial" w:hAnsi="Arial" w:cs="Arial"/>
        </w:rPr>
        <w:t>ation,</w:t>
      </w:r>
      <w:r w:rsidRPr="00075C0A">
        <w:rPr>
          <w:rFonts w:ascii="Arial" w:hAnsi="Arial" w:cs="Arial"/>
        </w:rPr>
        <w:t xml:space="preserve"> and consider</w:t>
      </w:r>
      <w:r w:rsidR="00D25F23">
        <w:rPr>
          <w:rFonts w:ascii="Arial" w:hAnsi="Arial" w:cs="Arial"/>
        </w:rPr>
        <w:t xml:space="preserve">ation of </w:t>
      </w:r>
      <w:r w:rsidRPr="00075C0A">
        <w:rPr>
          <w:rFonts w:ascii="Arial" w:hAnsi="Arial" w:cs="Arial"/>
        </w:rPr>
        <w:t xml:space="preserve">communities </w:t>
      </w:r>
      <w:r w:rsidR="00D25F23">
        <w:rPr>
          <w:rFonts w:ascii="Arial" w:hAnsi="Arial" w:cs="Arial"/>
        </w:rPr>
        <w:t xml:space="preserve">more vulnerable to </w:t>
      </w:r>
      <w:r w:rsidRPr="00075C0A">
        <w:rPr>
          <w:rFonts w:ascii="Arial" w:hAnsi="Arial" w:cs="Arial"/>
        </w:rPr>
        <w:t>a public health emergency and the measures taken to respond to it. This again demonstrates the need for a human rights framework at a national level.</w:t>
      </w:r>
    </w:p>
    <w:p w14:paraId="488691DD" w14:textId="7B81E4E4" w:rsidR="00075C0A" w:rsidRDefault="00075C0A" w:rsidP="00075C0A">
      <w:pPr>
        <w:rPr>
          <w:rFonts w:ascii="Arial" w:hAnsi="Arial" w:cs="Arial"/>
        </w:rPr>
      </w:pPr>
      <w:r w:rsidRPr="00075C0A">
        <w:rPr>
          <w:rFonts w:ascii="Arial" w:hAnsi="Arial" w:cs="Arial"/>
        </w:rPr>
        <w:t>Yours sincerely</w:t>
      </w:r>
    </w:p>
    <w:p w14:paraId="4136F12B" w14:textId="6CB781A7" w:rsidR="00D25F23" w:rsidRPr="00075C0A" w:rsidRDefault="004A34B3" w:rsidP="00075C0A">
      <w:pPr>
        <w:rPr>
          <w:rFonts w:ascii="Arial" w:hAnsi="Arial" w:cs="Arial"/>
        </w:rPr>
      </w:pPr>
      <w:r w:rsidRPr="00A31523">
        <w:rPr>
          <w:rFonts w:ascii="Arial" w:hAnsi="Arial" w:cs="Arial"/>
          <w:noProof/>
          <w:sz w:val="24"/>
          <w:szCs w:val="24"/>
        </w:rPr>
        <w:drawing>
          <wp:inline distT="0" distB="0" distL="0" distR="0" wp14:anchorId="56F5D6D5" wp14:editId="303F8A43">
            <wp:extent cx="1652159" cy="664522"/>
            <wp:effectExtent l="0" t="0" r="5715" b="2540"/>
            <wp:docPr id="3" name="Picture 3"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 insect&#10;&#10;Description automatically generated"/>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60100CA1" w14:textId="02B0E47F" w:rsidR="00075C0A" w:rsidRPr="00075C0A" w:rsidRDefault="00075C0A" w:rsidP="00075C0A">
      <w:pPr>
        <w:rPr>
          <w:rFonts w:ascii="Arial" w:hAnsi="Arial" w:cs="Arial"/>
          <w:b/>
          <w:bCs/>
        </w:rPr>
      </w:pPr>
      <w:r w:rsidRPr="00075C0A">
        <w:rPr>
          <w:rFonts w:ascii="Arial" w:hAnsi="Arial" w:cs="Arial"/>
          <w:b/>
          <w:bCs/>
        </w:rPr>
        <w:t>Scott McDougall</w:t>
      </w:r>
      <w:r w:rsidRPr="00075C0A">
        <w:rPr>
          <w:rFonts w:ascii="Arial" w:hAnsi="Arial" w:cs="Arial"/>
          <w:b/>
          <w:bCs/>
        </w:rPr>
        <w:br/>
        <w:t>Queensland Human Rights Commissioner</w:t>
      </w:r>
    </w:p>
    <w:sectPr w:rsidR="00075C0A" w:rsidRPr="00075C0A" w:rsidSect="00914134">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135" w:left="1418" w:header="708"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740F" w14:textId="77777777" w:rsidR="00B537D4" w:rsidRDefault="00B537D4" w:rsidP="0001336A">
      <w:pPr>
        <w:spacing w:after="0" w:line="240" w:lineRule="auto"/>
      </w:pPr>
      <w:r>
        <w:separator/>
      </w:r>
    </w:p>
  </w:endnote>
  <w:endnote w:type="continuationSeparator" w:id="0">
    <w:p w14:paraId="0D56DECE" w14:textId="77777777" w:rsidR="00B537D4" w:rsidRDefault="00B537D4" w:rsidP="0001336A">
      <w:pPr>
        <w:spacing w:after="0" w:line="240" w:lineRule="auto"/>
      </w:pPr>
      <w:r>
        <w:continuationSeparator/>
      </w:r>
    </w:p>
  </w:endnote>
  <w:endnote w:type="continuationNotice" w:id="1">
    <w:p w14:paraId="3111AB73" w14:textId="77777777" w:rsidR="00B537D4" w:rsidRDefault="00B53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 Helvetica"/>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8886" w14:textId="77777777" w:rsidR="004875AE" w:rsidRDefault="0048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58FE" w14:textId="5CF0C5AE" w:rsidR="0001336A" w:rsidRDefault="0001336A" w:rsidP="00EC6BC3">
    <w:pPr>
      <w:pStyle w:val="Footer"/>
      <w:tabs>
        <w:tab w:val="clear" w:pos="4513"/>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C1" w14:textId="591CE46B" w:rsidR="00EC6BC3" w:rsidRDefault="00EC6BC3">
    <w:pPr>
      <w:pStyle w:val="Footer"/>
    </w:pPr>
    <w:r>
      <w:rPr>
        <w:noProof/>
      </w:rPr>
      <w:drawing>
        <wp:inline distT="0" distB="0" distL="0" distR="0" wp14:anchorId="4473B789" wp14:editId="107D2298">
          <wp:extent cx="5941060" cy="947420"/>
          <wp:effectExtent l="0" t="0" r="2540" b="5080"/>
          <wp:docPr id="683860672" name="Picture 68386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19569" name="Picture 1107019569"/>
                  <pic:cNvPicPr/>
                </pic:nvPicPr>
                <pic:blipFill>
                  <a:blip r:embed="rId1">
                    <a:extLst>
                      <a:ext uri="{28A0092B-C50C-407E-A947-70E740481C1C}">
                        <a14:useLocalDpi xmlns:a14="http://schemas.microsoft.com/office/drawing/2010/main" val="0"/>
                      </a:ext>
                    </a:extLst>
                  </a:blip>
                  <a:stretch>
                    <a:fillRect/>
                  </a:stretch>
                </pic:blipFill>
                <pic:spPr>
                  <a:xfrm>
                    <a:off x="0" y="0"/>
                    <a:ext cx="5941060" cy="947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7E81" w14:textId="77777777" w:rsidR="00B537D4" w:rsidRDefault="00B537D4" w:rsidP="0001336A">
      <w:pPr>
        <w:spacing w:after="0" w:line="240" w:lineRule="auto"/>
      </w:pPr>
      <w:r>
        <w:separator/>
      </w:r>
    </w:p>
  </w:footnote>
  <w:footnote w:type="continuationSeparator" w:id="0">
    <w:p w14:paraId="7AF565F0" w14:textId="77777777" w:rsidR="00B537D4" w:rsidRDefault="00B537D4" w:rsidP="0001336A">
      <w:pPr>
        <w:spacing w:after="0" w:line="240" w:lineRule="auto"/>
      </w:pPr>
      <w:r>
        <w:continuationSeparator/>
      </w:r>
    </w:p>
  </w:footnote>
  <w:footnote w:type="continuationNotice" w:id="1">
    <w:p w14:paraId="4E2C5FC6" w14:textId="77777777" w:rsidR="00B537D4" w:rsidRDefault="00B537D4">
      <w:pPr>
        <w:spacing w:after="0" w:line="240" w:lineRule="auto"/>
      </w:pPr>
    </w:p>
  </w:footnote>
  <w:footnote w:id="2">
    <w:p w14:paraId="03723269" w14:textId="77777777" w:rsidR="00075C0A" w:rsidRDefault="00075C0A" w:rsidP="00075C0A">
      <w:pPr>
        <w:pStyle w:val="FootnoteText"/>
        <w:rPr>
          <w:lang w:val="en-US"/>
        </w:rPr>
      </w:pPr>
      <w:r>
        <w:rPr>
          <w:rStyle w:val="FootnoteReference"/>
        </w:rPr>
        <w:footnoteRef/>
      </w:r>
      <w:r>
        <w:t xml:space="preserve"> </w:t>
      </w:r>
      <w:r>
        <w:rPr>
          <w:i/>
          <w:iCs/>
          <w:lang w:val="en-US"/>
        </w:rPr>
        <w:t>Human Rights Act 2019</w:t>
      </w:r>
      <w:r>
        <w:rPr>
          <w:lang w:val="en-US"/>
        </w:rPr>
        <w:t xml:space="preserve"> (Qld) Part 3 Division 1.</w:t>
      </w:r>
    </w:p>
  </w:footnote>
  <w:footnote w:id="3">
    <w:p w14:paraId="4F049DBE" w14:textId="77777777" w:rsidR="00075C0A" w:rsidRDefault="00075C0A" w:rsidP="00075C0A">
      <w:pPr>
        <w:pStyle w:val="FootnoteText"/>
        <w:rPr>
          <w:lang w:val="en-US"/>
        </w:rPr>
      </w:pPr>
      <w:r>
        <w:rPr>
          <w:rStyle w:val="FootnoteReference"/>
        </w:rPr>
        <w:footnoteRef/>
      </w:r>
      <w:r>
        <w:t xml:space="preserve"> </w:t>
      </w:r>
      <w:r>
        <w:rPr>
          <w:i/>
          <w:iCs/>
          <w:lang w:val="en-US"/>
        </w:rPr>
        <w:t>Human Rights Act 2019</w:t>
      </w:r>
      <w:r>
        <w:rPr>
          <w:lang w:val="en-US"/>
        </w:rPr>
        <w:t xml:space="preserve"> (Qld) s 58.</w:t>
      </w:r>
    </w:p>
  </w:footnote>
  <w:footnote w:id="4">
    <w:p w14:paraId="7F245351" w14:textId="77777777" w:rsidR="00075C0A" w:rsidRDefault="00075C0A" w:rsidP="00075C0A">
      <w:pPr>
        <w:pStyle w:val="FootnoteText"/>
        <w:rPr>
          <w:lang w:val="en-US"/>
        </w:rPr>
      </w:pPr>
      <w:r>
        <w:rPr>
          <w:rStyle w:val="FootnoteReference"/>
        </w:rPr>
        <w:footnoteRef/>
      </w:r>
      <w:r>
        <w:t xml:space="preserve"> Queensland Human Rights Commission, Submission to Senate Select Committee on COVID-19 (28 May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8D7C" w14:textId="77777777" w:rsidR="004875AE" w:rsidRDefault="0048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FF4" w14:textId="5FD3EC1F" w:rsidR="0001336A" w:rsidRDefault="00075C0A" w:rsidP="00EC6BC3">
    <w:pPr>
      <w:pStyle w:val="Header"/>
      <w:tabs>
        <w:tab w:val="clear" w:pos="4513"/>
        <w:tab w:val="clear" w:pos="9026"/>
        <w:tab w:val="right" w:pos="9356"/>
      </w:tabs>
      <w:rPr>
        <w:lang w:val="en-GB"/>
      </w:rPr>
    </w:pPr>
    <w:r w:rsidRPr="00075C0A">
      <w:rPr>
        <w:lang w:val="en-GB"/>
      </w:rPr>
      <w:t>COVID-19 Response Inquiry</w:t>
    </w:r>
    <w:r w:rsidR="00EC6BC3">
      <w:rPr>
        <w:lang w:val="en-GB"/>
      </w:rPr>
      <w:tab/>
      <w:t xml:space="preserve">Page </w:t>
    </w:r>
    <w:r w:rsidR="004875AE" w:rsidRPr="004875AE">
      <w:rPr>
        <w:lang w:val="en-GB"/>
      </w:rPr>
      <w:fldChar w:fldCharType="begin"/>
    </w:r>
    <w:r w:rsidR="004875AE" w:rsidRPr="004875AE">
      <w:rPr>
        <w:lang w:val="en-GB"/>
      </w:rPr>
      <w:instrText xml:space="preserve"> PAGE   \* MERGEFORMAT </w:instrText>
    </w:r>
    <w:r w:rsidR="004875AE" w:rsidRPr="004875AE">
      <w:rPr>
        <w:lang w:val="en-GB"/>
      </w:rPr>
      <w:fldChar w:fldCharType="separate"/>
    </w:r>
    <w:r w:rsidR="004875AE" w:rsidRPr="004875AE">
      <w:rPr>
        <w:noProof/>
        <w:lang w:val="en-GB"/>
      </w:rPr>
      <w:t>1</w:t>
    </w:r>
    <w:r w:rsidR="004875AE" w:rsidRPr="004875AE">
      <w:rPr>
        <w:noProof/>
        <w:lang w:val="en-GB"/>
      </w:rPr>
      <w:fldChar w:fldCharType="end"/>
    </w:r>
  </w:p>
  <w:p w14:paraId="27840757" w14:textId="77777777" w:rsidR="00EC6BC3" w:rsidRDefault="00EC6BC3" w:rsidP="00EC6BC3">
    <w:pPr>
      <w:pStyle w:val="Header"/>
      <w:pBdr>
        <w:bottom w:val="single" w:sz="6" w:space="1" w:color="auto"/>
      </w:pBdr>
      <w:tabs>
        <w:tab w:val="clear" w:pos="4513"/>
        <w:tab w:val="clear" w:pos="9026"/>
        <w:tab w:val="right" w:pos="9356"/>
      </w:tabs>
      <w:rPr>
        <w:lang w:val="en-GB"/>
      </w:rPr>
    </w:pPr>
  </w:p>
  <w:p w14:paraId="70758CEE" w14:textId="77777777" w:rsidR="00EC6BC3" w:rsidRPr="00EC6BC3" w:rsidRDefault="00EC6BC3" w:rsidP="00EC6BC3">
    <w:pPr>
      <w:pStyle w:val="Header"/>
      <w:tabs>
        <w:tab w:val="clear" w:pos="4513"/>
        <w:tab w:val="clear" w:pos="9026"/>
        <w:tab w:val="right" w:pos="935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6BEB" w14:textId="00AA1528" w:rsidR="00EC6BC3" w:rsidRDefault="00EC6BC3">
    <w:pPr>
      <w:pStyle w:val="Header"/>
    </w:pPr>
    <w:r>
      <w:rPr>
        <w:noProof/>
      </w:rPr>
      <w:drawing>
        <wp:inline distT="0" distB="0" distL="0" distR="0" wp14:anchorId="17FA3E2E" wp14:editId="4E6A8E88">
          <wp:extent cx="2145978" cy="652329"/>
          <wp:effectExtent l="0" t="0" r="6985" b="0"/>
          <wp:docPr id="787315829" name="Picture 78731582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76631"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5978" cy="65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5C6"/>
    <w:multiLevelType w:val="hybridMultilevel"/>
    <w:tmpl w:val="0D0A76BA"/>
    <w:lvl w:ilvl="0" w:tplc="B66AB27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D7C8B"/>
    <w:multiLevelType w:val="hybridMultilevel"/>
    <w:tmpl w:val="E7345F68"/>
    <w:lvl w:ilvl="0" w:tplc="1D9401F8">
      <w:start w:val="202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AE517C"/>
    <w:multiLevelType w:val="multilevel"/>
    <w:tmpl w:val="92206AB0"/>
    <w:lvl w:ilvl="0">
      <w:start w:val="1"/>
      <w:numFmt w:val="bullet"/>
      <w:lvlText w:val=""/>
      <w:lvlJc w:val="left"/>
      <w:pPr>
        <w:ind w:left="1287" w:hanging="567"/>
      </w:pPr>
      <w:rPr>
        <w:rFonts w:ascii="Wingdings" w:hAnsi="Wingding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 w15:restartNumberingAfterBreak="0">
    <w:nsid w:val="08497651"/>
    <w:multiLevelType w:val="multilevel"/>
    <w:tmpl w:val="1366A6FA"/>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4" w15:restartNumberingAfterBreak="0">
    <w:nsid w:val="09CE6524"/>
    <w:multiLevelType w:val="hybridMultilevel"/>
    <w:tmpl w:val="DAEC10BC"/>
    <w:lvl w:ilvl="0" w:tplc="0C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ED2C4B"/>
    <w:multiLevelType w:val="multilevel"/>
    <w:tmpl w:val="2D7E9718"/>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Roman"/>
      <w:lvlText w:val="%5."/>
      <w:lvlJc w:val="right"/>
      <w:pPr>
        <w:ind w:left="1788" w:hanging="360"/>
      </w:p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0D510EE5"/>
    <w:multiLevelType w:val="hybridMultilevel"/>
    <w:tmpl w:val="574A2DA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347EBC"/>
    <w:multiLevelType w:val="hybridMultilevel"/>
    <w:tmpl w:val="EA1CCCB6"/>
    <w:lvl w:ilvl="0" w:tplc="B164BFEA">
      <w:start w:val="1"/>
      <w:numFmt w:val="bullet"/>
      <w:lvlText w:val=""/>
      <w:lvlJc w:val="left"/>
      <w:pPr>
        <w:ind w:left="360" w:hanging="360"/>
      </w:pPr>
      <w:rPr>
        <w:rFonts w:ascii="Wingdings" w:hAnsi="Wingdings"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250E7E"/>
    <w:multiLevelType w:val="multilevel"/>
    <w:tmpl w:val="C66EF686"/>
    <w:lvl w:ilvl="0">
      <w:start w:val="1"/>
      <w:numFmt w:val="decimal"/>
      <w:pStyle w:val="Numberedparagraph"/>
      <w:lvlText w:val="%1."/>
      <w:lvlJc w:val="left"/>
      <w:pPr>
        <w:ind w:left="567" w:hanging="567"/>
      </w:p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9" w15:restartNumberingAfterBreak="0">
    <w:nsid w:val="1AB01233"/>
    <w:multiLevelType w:val="hybridMultilevel"/>
    <w:tmpl w:val="AA96D2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20BD0"/>
    <w:multiLevelType w:val="hybridMultilevel"/>
    <w:tmpl w:val="C48E2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B63772"/>
    <w:multiLevelType w:val="multilevel"/>
    <w:tmpl w:val="C0783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01179"/>
    <w:multiLevelType w:val="hybridMultilevel"/>
    <w:tmpl w:val="FC7EF1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4913DA"/>
    <w:multiLevelType w:val="hybridMultilevel"/>
    <w:tmpl w:val="7DE65958"/>
    <w:lvl w:ilvl="0" w:tplc="0C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2E7781D"/>
    <w:multiLevelType w:val="hybridMultilevel"/>
    <w:tmpl w:val="2EE696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9E6E80"/>
    <w:multiLevelType w:val="hybridMultilevel"/>
    <w:tmpl w:val="92DCAFE6"/>
    <w:lvl w:ilvl="0" w:tplc="B66AB27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2047E"/>
    <w:multiLevelType w:val="hybridMultilevel"/>
    <w:tmpl w:val="1C3A4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43412"/>
    <w:multiLevelType w:val="multilevel"/>
    <w:tmpl w:val="D1B812EE"/>
    <w:lvl w:ilvl="0">
      <w:start w:val="1"/>
      <w:numFmt w:val="bullet"/>
      <w:lvlText w:val=""/>
      <w:lvlJc w:val="left"/>
      <w:pPr>
        <w:ind w:left="1854" w:hanging="567"/>
      </w:pPr>
      <w:rPr>
        <w:rFonts w:ascii="Symbol" w:hAnsi="Symbol" w:hint="default"/>
      </w:rPr>
    </w:lvl>
    <w:lvl w:ilvl="1">
      <w:start w:val="1"/>
      <w:numFmt w:val="bullet"/>
      <w:lvlText w:val=""/>
      <w:lvlJc w:val="left"/>
      <w:pPr>
        <w:ind w:left="2194" w:hanging="283"/>
      </w:pPr>
      <w:rPr>
        <w:rFonts w:ascii="Symbol" w:hAnsi="Symbol" w:hint="default"/>
        <w:b w:val="0"/>
        <w:i w:val="0"/>
        <w:sz w:val="24"/>
      </w:rPr>
    </w:lvl>
    <w:lvl w:ilvl="2">
      <w:start w:val="1"/>
      <w:numFmt w:val="lowerRoman"/>
      <w:lvlText w:val="%3."/>
      <w:lvlJc w:val="right"/>
      <w:pPr>
        <w:ind w:left="2534" w:hanging="113"/>
      </w:pPr>
      <w:rPr>
        <w:rFonts w:hint="default"/>
      </w:rPr>
    </w:lvl>
    <w:lvl w:ilvl="3">
      <w:start w:val="1"/>
      <w:numFmt w:val="decimal"/>
      <w:lvlText w:val="%4."/>
      <w:lvlJc w:val="left"/>
      <w:pPr>
        <w:ind w:left="2715" w:hanging="357"/>
      </w:pPr>
      <w:rPr>
        <w:rFonts w:hint="default"/>
      </w:rPr>
    </w:lvl>
    <w:lvl w:ilvl="4">
      <w:start w:val="1"/>
      <w:numFmt w:val="lowerLetter"/>
      <w:lvlText w:val="%5."/>
      <w:lvlJc w:val="left"/>
      <w:pPr>
        <w:ind w:left="3072" w:hanging="357"/>
      </w:pPr>
      <w:rPr>
        <w:rFonts w:hint="default"/>
      </w:rPr>
    </w:lvl>
    <w:lvl w:ilvl="5">
      <w:start w:val="1"/>
      <w:numFmt w:val="lowerRoman"/>
      <w:lvlText w:val="%6."/>
      <w:lvlJc w:val="right"/>
      <w:pPr>
        <w:ind w:left="3429" w:hanging="357"/>
      </w:pPr>
      <w:rPr>
        <w:rFonts w:hint="default"/>
      </w:rPr>
    </w:lvl>
    <w:lvl w:ilvl="6">
      <w:start w:val="1"/>
      <w:numFmt w:val="decimal"/>
      <w:lvlText w:val="%7."/>
      <w:lvlJc w:val="left"/>
      <w:pPr>
        <w:ind w:left="3786" w:hanging="357"/>
      </w:pPr>
      <w:rPr>
        <w:rFonts w:hint="default"/>
      </w:rPr>
    </w:lvl>
    <w:lvl w:ilvl="7">
      <w:start w:val="1"/>
      <w:numFmt w:val="lowerLetter"/>
      <w:lvlText w:val="%8."/>
      <w:lvlJc w:val="left"/>
      <w:pPr>
        <w:ind w:left="4143" w:hanging="357"/>
      </w:pPr>
      <w:rPr>
        <w:rFonts w:hint="default"/>
      </w:rPr>
    </w:lvl>
    <w:lvl w:ilvl="8">
      <w:start w:val="1"/>
      <w:numFmt w:val="lowerRoman"/>
      <w:lvlText w:val="%9."/>
      <w:lvlJc w:val="right"/>
      <w:pPr>
        <w:ind w:left="4500" w:hanging="357"/>
      </w:pPr>
      <w:rPr>
        <w:rFonts w:hint="default"/>
      </w:rPr>
    </w:lvl>
  </w:abstractNum>
  <w:abstractNum w:abstractNumId="18" w15:restartNumberingAfterBreak="0">
    <w:nsid w:val="41AD4667"/>
    <w:multiLevelType w:val="multilevel"/>
    <w:tmpl w:val="59A80FFE"/>
    <w:lvl w:ilvl="0">
      <w:start w:val="1"/>
      <w:numFmt w:val="bullet"/>
      <w:lvlText w:val=""/>
      <w:lvlJc w:val="left"/>
      <w:pPr>
        <w:ind w:left="1287" w:hanging="567"/>
      </w:pPr>
      <w:rPr>
        <w:rFonts w:ascii="Wingdings" w:hAnsi="Wingdings"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9" w15:restartNumberingAfterBreak="0">
    <w:nsid w:val="4AA13500"/>
    <w:multiLevelType w:val="hybridMultilevel"/>
    <w:tmpl w:val="1DB65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B22718"/>
    <w:multiLevelType w:val="hybridMultilevel"/>
    <w:tmpl w:val="1F02E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B0107E"/>
    <w:multiLevelType w:val="hybridMultilevel"/>
    <w:tmpl w:val="15CC71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9D4ECA"/>
    <w:multiLevelType w:val="multilevel"/>
    <w:tmpl w:val="A558B80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upperRoman"/>
      <w:lvlText w:val="%5."/>
      <w:lvlJc w:val="right"/>
      <w:pPr>
        <w:ind w:left="1788" w:hanging="360"/>
      </w:p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 w15:restartNumberingAfterBreak="0">
    <w:nsid w:val="56DA20E2"/>
    <w:multiLevelType w:val="hybridMultilevel"/>
    <w:tmpl w:val="DC18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0D4965"/>
    <w:multiLevelType w:val="hybridMultilevel"/>
    <w:tmpl w:val="3AD08CA0"/>
    <w:lvl w:ilvl="0" w:tplc="A73296EA">
      <w:start w:val="1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6" w15:restartNumberingAfterBreak="0">
    <w:nsid w:val="60240F4B"/>
    <w:multiLevelType w:val="hybridMultilevel"/>
    <w:tmpl w:val="096AA0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0E217B"/>
    <w:multiLevelType w:val="multilevel"/>
    <w:tmpl w:val="97A06F3E"/>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8" w15:restartNumberingAfterBreak="0">
    <w:nsid w:val="699D7049"/>
    <w:multiLevelType w:val="hybridMultilevel"/>
    <w:tmpl w:val="F7C27854"/>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E02243"/>
    <w:multiLevelType w:val="hybridMultilevel"/>
    <w:tmpl w:val="03367A08"/>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4C16CD6"/>
    <w:multiLevelType w:val="multilevel"/>
    <w:tmpl w:val="63C63F90"/>
    <w:lvl w:ilvl="0">
      <w:start w:val="1"/>
      <w:numFmt w:val="bulle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1" w15:restartNumberingAfterBreak="0">
    <w:nsid w:val="74D67D62"/>
    <w:multiLevelType w:val="hybridMultilevel"/>
    <w:tmpl w:val="B5C61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E540C6"/>
    <w:multiLevelType w:val="hybridMultilevel"/>
    <w:tmpl w:val="C6460A1E"/>
    <w:lvl w:ilvl="0" w:tplc="6B56585A">
      <w:start w:val="202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E5B41F2"/>
    <w:multiLevelType w:val="hybridMultilevel"/>
    <w:tmpl w:val="5262F8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57575">
    <w:abstractNumId w:val="10"/>
  </w:num>
  <w:num w:numId="2" w16cid:durableId="1134717810">
    <w:abstractNumId w:val="7"/>
  </w:num>
  <w:num w:numId="3" w16cid:durableId="110826127">
    <w:abstractNumId w:val="24"/>
  </w:num>
  <w:num w:numId="4" w16cid:durableId="1525091441">
    <w:abstractNumId w:val="11"/>
  </w:num>
  <w:num w:numId="5" w16cid:durableId="676619188">
    <w:abstractNumId w:val="23"/>
  </w:num>
  <w:num w:numId="6" w16cid:durableId="57791028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269549">
    <w:abstractNumId w:val="16"/>
  </w:num>
  <w:num w:numId="8" w16cid:durableId="894435884">
    <w:abstractNumId w:val="19"/>
  </w:num>
  <w:num w:numId="9" w16cid:durableId="777942671">
    <w:abstractNumId w:val="15"/>
  </w:num>
  <w:num w:numId="10" w16cid:durableId="2141144044">
    <w:abstractNumId w:val="0"/>
  </w:num>
  <w:num w:numId="11" w16cid:durableId="1827814984">
    <w:abstractNumId w:val="6"/>
  </w:num>
  <w:num w:numId="12" w16cid:durableId="810098417">
    <w:abstractNumId w:val="8"/>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507093545">
    <w:abstractNumId w:val="25"/>
  </w:num>
  <w:num w:numId="14" w16cid:durableId="1182863400">
    <w:abstractNumId w:val="27"/>
  </w:num>
  <w:num w:numId="15" w16cid:durableId="1699545648">
    <w:abstractNumId w:val="18"/>
  </w:num>
  <w:num w:numId="16" w16cid:durableId="613555963">
    <w:abstractNumId w:val="2"/>
  </w:num>
  <w:num w:numId="17" w16cid:durableId="308292562">
    <w:abstractNumId w:val="4"/>
  </w:num>
  <w:num w:numId="18" w16cid:durableId="1743797311">
    <w:abstractNumId w:val="13"/>
  </w:num>
  <w:num w:numId="19" w16cid:durableId="1760756423">
    <w:abstractNumId w:val="28"/>
  </w:num>
  <w:num w:numId="20" w16cid:durableId="1398551158">
    <w:abstractNumId w:val="12"/>
  </w:num>
  <w:num w:numId="21" w16cid:durableId="1489860056">
    <w:abstractNumId w:val="21"/>
  </w:num>
  <w:num w:numId="22" w16cid:durableId="1034579392">
    <w:abstractNumId w:val="14"/>
  </w:num>
  <w:num w:numId="23" w16cid:durableId="783842576">
    <w:abstractNumId w:val="9"/>
  </w:num>
  <w:num w:numId="24" w16cid:durableId="1018893987">
    <w:abstractNumId w:val="26"/>
  </w:num>
  <w:num w:numId="25" w16cid:durableId="680548852">
    <w:abstractNumId w:val="20"/>
  </w:num>
  <w:num w:numId="26" w16cid:durableId="1177883113">
    <w:abstractNumId w:val="29"/>
  </w:num>
  <w:num w:numId="27" w16cid:durableId="1059206635">
    <w:abstractNumId w:val="31"/>
  </w:num>
  <w:num w:numId="28" w16cid:durableId="2085101284">
    <w:abstractNumId w:val="3"/>
  </w:num>
  <w:num w:numId="29" w16cid:durableId="964459234">
    <w:abstractNumId w:val="30"/>
  </w:num>
  <w:num w:numId="30" w16cid:durableId="574322655">
    <w:abstractNumId w:val="22"/>
  </w:num>
  <w:num w:numId="31" w16cid:durableId="254554062">
    <w:abstractNumId w:val="5"/>
  </w:num>
  <w:num w:numId="32" w16cid:durableId="1717777788">
    <w:abstractNumId w:val="33"/>
  </w:num>
  <w:num w:numId="33" w16cid:durableId="291177145">
    <w:abstractNumId w:val="17"/>
  </w:num>
  <w:num w:numId="34" w16cid:durableId="746613908">
    <w:abstractNumId w:val="27"/>
  </w:num>
  <w:num w:numId="35" w16cid:durableId="1065642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866300">
    <w:abstractNumId w:val="32"/>
  </w:num>
  <w:num w:numId="37" w16cid:durableId="180507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32"/>
    <w:rsid w:val="000107E8"/>
    <w:rsid w:val="0001336A"/>
    <w:rsid w:val="0001367F"/>
    <w:rsid w:val="000142D4"/>
    <w:rsid w:val="000177E3"/>
    <w:rsid w:val="0002012A"/>
    <w:rsid w:val="00021742"/>
    <w:rsid w:val="0002618B"/>
    <w:rsid w:val="0003618D"/>
    <w:rsid w:val="000429F7"/>
    <w:rsid w:val="00053380"/>
    <w:rsid w:val="00055EF5"/>
    <w:rsid w:val="00062BD7"/>
    <w:rsid w:val="00064008"/>
    <w:rsid w:val="00065FE7"/>
    <w:rsid w:val="00070D09"/>
    <w:rsid w:val="00073CC4"/>
    <w:rsid w:val="00075C0A"/>
    <w:rsid w:val="00081002"/>
    <w:rsid w:val="00081408"/>
    <w:rsid w:val="000842BC"/>
    <w:rsid w:val="000869B0"/>
    <w:rsid w:val="000B65CE"/>
    <w:rsid w:val="000C67CB"/>
    <w:rsid w:val="000C6FDF"/>
    <w:rsid w:val="000C77BA"/>
    <w:rsid w:val="000C7D7C"/>
    <w:rsid w:val="000D51B8"/>
    <w:rsid w:val="000D5DB9"/>
    <w:rsid w:val="000D629A"/>
    <w:rsid w:val="000E0CB8"/>
    <w:rsid w:val="00117EAC"/>
    <w:rsid w:val="0012386E"/>
    <w:rsid w:val="00147B55"/>
    <w:rsid w:val="00151738"/>
    <w:rsid w:val="001530D8"/>
    <w:rsid w:val="001608F7"/>
    <w:rsid w:val="00161E16"/>
    <w:rsid w:val="00170117"/>
    <w:rsid w:val="00173E30"/>
    <w:rsid w:val="00174699"/>
    <w:rsid w:val="00177C31"/>
    <w:rsid w:val="00177DA9"/>
    <w:rsid w:val="001825AB"/>
    <w:rsid w:val="0019337A"/>
    <w:rsid w:val="00197B94"/>
    <w:rsid w:val="001A005C"/>
    <w:rsid w:val="001B2ADC"/>
    <w:rsid w:val="001C251F"/>
    <w:rsid w:val="001E0F33"/>
    <w:rsid w:val="001E234C"/>
    <w:rsid w:val="001E7F2C"/>
    <w:rsid w:val="001F507E"/>
    <w:rsid w:val="001F6C5B"/>
    <w:rsid w:val="00201CBF"/>
    <w:rsid w:val="002028AD"/>
    <w:rsid w:val="0020377C"/>
    <w:rsid w:val="002144FC"/>
    <w:rsid w:val="00217E45"/>
    <w:rsid w:val="00231A81"/>
    <w:rsid w:val="00242B09"/>
    <w:rsid w:val="002438CC"/>
    <w:rsid w:val="002530D0"/>
    <w:rsid w:val="00276895"/>
    <w:rsid w:val="0029680D"/>
    <w:rsid w:val="002A4B97"/>
    <w:rsid w:val="002B3467"/>
    <w:rsid w:val="002C05E6"/>
    <w:rsid w:val="002C1776"/>
    <w:rsid w:val="002C7266"/>
    <w:rsid w:val="002F12AB"/>
    <w:rsid w:val="003076E9"/>
    <w:rsid w:val="00307C5D"/>
    <w:rsid w:val="00313955"/>
    <w:rsid w:val="003213B4"/>
    <w:rsid w:val="00327B45"/>
    <w:rsid w:val="00335C12"/>
    <w:rsid w:val="003520FC"/>
    <w:rsid w:val="00356BA5"/>
    <w:rsid w:val="0036182E"/>
    <w:rsid w:val="00370256"/>
    <w:rsid w:val="0037112B"/>
    <w:rsid w:val="00394E86"/>
    <w:rsid w:val="003A26D9"/>
    <w:rsid w:val="003A34EF"/>
    <w:rsid w:val="003B11A1"/>
    <w:rsid w:val="003B5F41"/>
    <w:rsid w:val="003B6896"/>
    <w:rsid w:val="003C4CED"/>
    <w:rsid w:val="003C54A1"/>
    <w:rsid w:val="003C7172"/>
    <w:rsid w:val="003D253A"/>
    <w:rsid w:val="003D57D3"/>
    <w:rsid w:val="003E6CE6"/>
    <w:rsid w:val="003F60E1"/>
    <w:rsid w:val="003F702F"/>
    <w:rsid w:val="004141CB"/>
    <w:rsid w:val="004204BF"/>
    <w:rsid w:val="00426A83"/>
    <w:rsid w:val="0043264A"/>
    <w:rsid w:val="00437713"/>
    <w:rsid w:val="00440E91"/>
    <w:rsid w:val="00452A06"/>
    <w:rsid w:val="004605F7"/>
    <w:rsid w:val="00475732"/>
    <w:rsid w:val="00480C03"/>
    <w:rsid w:val="00480D38"/>
    <w:rsid w:val="0048358A"/>
    <w:rsid w:val="00484D8D"/>
    <w:rsid w:val="00485D32"/>
    <w:rsid w:val="004875AE"/>
    <w:rsid w:val="00493413"/>
    <w:rsid w:val="00493871"/>
    <w:rsid w:val="004942E9"/>
    <w:rsid w:val="004A00ED"/>
    <w:rsid w:val="004A0E9A"/>
    <w:rsid w:val="004A1124"/>
    <w:rsid w:val="004A34B3"/>
    <w:rsid w:val="004A39DB"/>
    <w:rsid w:val="004C0A1C"/>
    <w:rsid w:val="004C45BD"/>
    <w:rsid w:val="004D2655"/>
    <w:rsid w:val="004D2FD7"/>
    <w:rsid w:val="004D7B51"/>
    <w:rsid w:val="004F769E"/>
    <w:rsid w:val="005163A2"/>
    <w:rsid w:val="00520B51"/>
    <w:rsid w:val="00520FC4"/>
    <w:rsid w:val="0052196B"/>
    <w:rsid w:val="0052265B"/>
    <w:rsid w:val="00536957"/>
    <w:rsid w:val="00543DFD"/>
    <w:rsid w:val="00552C16"/>
    <w:rsid w:val="00560DBF"/>
    <w:rsid w:val="00561C93"/>
    <w:rsid w:val="00570C86"/>
    <w:rsid w:val="005725C2"/>
    <w:rsid w:val="00583037"/>
    <w:rsid w:val="00597EBF"/>
    <w:rsid w:val="005A1088"/>
    <w:rsid w:val="005B3560"/>
    <w:rsid w:val="005B6698"/>
    <w:rsid w:val="005C04E8"/>
    <w:rsid w:val="005C6147"/>
    <w:rsid w:val="005C6CD8"/>
    <w:rsid w:val="005D0FBB"/>
    <w:rsid w:val="005D2514"/>
    <w:rsid w:val="005E3A1B"/>
    <w:rsid w:val="005E45A6"/>
    <w:rsid w:val="005E57D1"/>
    <w:rsid w:val="005F153A"/>
    <w:rsid w:val="00603465"/>
    <w:rsid w:val="00603F04"/>
    <w:rsid w:val="00605657"/>
    <w:rsid w:val="00612840"/>
    <w:rsid w:val="00613A60"/>
    <w:rsid w:val="00614610"/>
    <w:rsid w:val="00617F73"/>
    <w:rsid w:val="00625BC4"/>
    <w:rsid w:val="00640EDA"/>
    <w:rsid w:val="00655382"/>
    <w:rsid w:val="00664DF3"/>
    <w:rsid w:val="0066718A"/>
    <w:rsid w:val="00681890"/>
    <w:rsid w:val="00684AE5"/>
    <w:rsid w:val="006902B3"/>
    <w:rsid w:val="00691F1D"/>
    <w:rsid w:val="0069455A"/>
    <w:rsid w:val="006A5405"/>
    <w:rsid w:val="006A6EAB"/>
    <w:rsid w:val="006B2802"/>
    <w:rsid w:val="006B7008"/>
    <w:rsid w:val="006C489C"/>
    <w:rsid w:val="006C599C"/>
    <w:rsid w:val="006D22E1"/>
    <w:rsid w:val="006D3EBF"/>
    <w:rsid w:val="006E128A"/>
    <w:rsid w:val="006E691C"/>
    <w:rsid w:val="006F15EE"/>
    <w:rsid w:val="006F30AF"/>
    <w:rsid w:val="00702E61"/>
    <w:rsid w:val="00703E5F"/>
    <w:rsid w:val="007102A0"/>
    <w:rsid w:val="007108A5"/>
    <w:rsid w:val="00713B64"/>
    <w:rsid w:val="00713B97"/>
    <w:rsid w:val="0071602D"/>
    <w:rsid w:val="00724A90"/>
    <w:rsid w:val="00740A40"/>
    <w:rsid w:val="007769B7"/>
    <w:rsid w:val="00781247"/>
    <w:rsid w:val="007A1B1B"/>
    <w:rsid w:val="007A1DE8"/>
    <w:rsid w:val="007A2ADD"/>
    <w:rsid w:val="007C1E26"/>
    <w:rsid w:val="007D49B1"/>
    <w:rsid w:val="007E190B"/>
    <w:rsid w:val="007E2C8E"/>
    <w:rsid w:val="007E2FF9"/>
    <w:rsid w:val="007E67DD"/>
    <w:rsid w:val="007E6C6D"/>
    <w:rsid w:val="00825289"/>
    <w:rsid w:val="0083217D"/>
    <w:rsid w:val="00844FD6"/>
    <w:rsid w:val="00845DDF"/>
    <w:rsid w:val="0085188B"/>
    <w:rsid w:val="00853416"/>
    <w:rsid w:val="008624E9"/>
    <w:rsid w:val="008741EA"/>
    <w:rsid w:val="00877C2B"/>
    <w:rsid w:val="0089464C"/>
    <w:rsid w:val="008A492C"/>
    <w:rsid w:val="008A4C03"/>
    <w:rsid w:val="008B258B"/>
    <w:rsid w:val="008C0D68"/>
    <w:rsid w:val="008C22C7"/>
    <w:rsid w:val="008C5F08"/>
    <w:rsid w:val="008C5FBD"/>
    <w:rsid w:val="008D318E"/>
    <w:rsid w:val="008D52DA"/>
    <w:rsid w:val="008D5DFF"/>
    <w:rsid w:val="008E0357"/>
    <w:rsid w:val="008E56B0"/>
    <w:rsid w:val="008E734F"/>
    <w:rsid w:val="008F1EBB"/>
    <w:rsid w:val="008F72FB"/>
    <w:rsid w:val="00906366"/>
    <w:rsid w:val="009074E1"/>
    <w:rsid w:val="00911B85"/>
    <w:rsid w:val="00912BE2"/>
    <w:rsid w:val="00914134"/>
    <w:rsid w:val="00915937"/>
    <w:rsid w:val="009177A0"/>
    <w:rsid w:val="00926810"/>
    <w:rsid w:val="009322EE"/>
    <w:rsid w:val="00933343"/>
    <w:rsid w:val="009355DC"/>
    <w:rsid w:val="009429D1"/>
    <w:rsid w:val="009673FF"/>
    <w:rsid w:val="0097175C"/>
    <w:rsid w:val="009778E8"/>
    <w:rsid w:val="00986440"/>
    <w:rsid w:val="00990B0E"/>
    <w:rsid w:val="009942AD"/>
    <w:rsid w:val="009A035A"/>
    <w:rsid w:val="009A3A0D"/>
    <w:rsid w:val="009C1DAF"/>
    <w:rsid w:val="009C3F29"/>
    <w:rsid w:val="009D0E44"/>
    <w:rsid w:val="009E3A61"/>
    <w:rsid w:val="009E4664"/>
    <w:rsid w:val="009F51EA"/>
    <w:rsid w:val="009F6DF6"/>
    <w:rsid w:val="00A07261"/>
    <w:rsid w:val="00A10E30"/>
    <w:rsid w:val="00A13A22"/>
    <w:rsid w:val="00A161F0"/>
    <w:rsid w:val="00A23A5D"/>
    <w:rsid w:val="00A33920"/>
    <w:rsid w:val="00A345DD"/>
    <w:rsid w:val="00A3734D"/>
    <w:rsid w:val="00A376F6"/>
    <w:rsid w:val="00A44C07"/>
    <w:rsid w:val="00A45431"/>
    <w:rsid w:val="00A60FC3"/>
    <w:rsid w:val="00A73182"/>
    <w:rsid w:val="00A74279"/>
    <w:rsid w:val="00A7672D"/>
    <w:rsid w:val="00A77159"/>
    <w:rsid w:val="00AB6209"/>
    <w:rsid w:val="00AD26F6"/>
    <w:rsid w:val="00AD4CBC"/>
    <w:rsid w:val="00AD4D0E"/>
    <w:rsid w:val="00AE17C2"/>
    <w:rsid w:val="00AE565A"/>
    <w:rsid w:val="00AE7038"/>
    <w:rsid w:val="00AF07F8"/>
    <w:rsid w:val="00AF166E"/>
    <w:rsid w:val="00B11A54"/>
    <w:rsid w:val="00B16D6F"/>
    <w:rsid w:val="00B26E26"/>
    <w:rsid w:val="00B34EB6"/>
    <w:rsid w:val="00B37BC2"/>
    <w:rsid w:val="00B42470"/>
    <w:rsid w:val="00B537D4"/>
    <w:rsid w:val="00B54146"/>
    <w:rsid w:val="00B61FA9"/>
    <w:rsid w:val="00B639EE"/>
    <w:rsid w:val="00B81EF7"/>
    <w:rsid w:val="00B831FB"/>
    <w:rsid w:val="00B86072"/>
    <w:rsid w:val="00B86616"/>
    <w:rsid w:val="00B95DDA"/>
    <w:rsid w:val="00BA44EA"/>
    <w:rsid w:val="00BA4871"/>
    <w:rsid w:val="00BA735D"/>
    <w:rsid w:val="00BC4D4A"/>
    <w:rsid w:val="00BD182D"/>
    <w:rsid w:val="00C06DFD"/>
    <w:rsid w:val="00C1223D"/>
    <w:rsid w:val="00C13F03"/>
    <w:rsid w:val="00C317F0"/>
    <w:rsid w:val="00C32F46"/>
    <w:rsid w:val="00C43D40"/>
    <w:rsid w:val="00C45097"/>
    <w:rsid w:val="00C55CC8"/>
    <w:rsid w:val="00C55D08"/>
    <w:rsid w:val="00C61686"/>
    <w:rsid w:val="00C72359"/>
    <w:rsid w:val="00C7394F"/>
    <w:rsid w:val="00C935F9"/>
    <w:rsid w:val="00C95526"/>
    <w:rsid w:val="00C97B4D"/>
    <w:rsid w:val="00CA332D"/>
    <w:rsid w:val="00CA46D9"/>
    <w:rsid w:val="00CA6E35"/>
    <w:rsid w:val="00CB2EB6"/>
    <w:rsid w:val="00CD0105"/>
    <w:rsid w:val="00CD04F0"/>
    <w:rsid w:val="00CD52E0"/>
    <w:rsid w:val="00CD5358"/>
    <w:rsid w:val="00CE1DC6"/>
    <w:rsid w:val="00CE324B"/>
    <w:rsid w:val="00CF4530"/>
    <w:rsid w:val="00CF6C7C"/>
    <w:rsid w:val="00D0039F"/>
    <w:rsid w:val="00D052AE"/>
    <w:rsid w:val="00D2559F"/>
    <w:rsid w:val="00D25F23"/>
    <w:rsid w:val="00D55E1D"/>
    <w:rsid w:val="00D615FB"/>
    <w:rsid w:val="00D76B5C"/>
    <w:rsid w:val="00D80324"/>
    <w:rsid w:val="00D86A63"/>
    <w:rsid w:val="00D96C13"/>
    <w:rsid w:val="00D9702E"/>
    <w:rsid w:val="00D97FE4"/>
    <w:rsid w:val="00DC48F6"/>
    <w:rsid w:val="00DD2DA5"/>
    <w:rsid w:val="00DD50AA"/>
    <w:rsid w:val="00DF01F2"/>
    <w:rsid w:val="00DF7255"/>
    <w:rsid w:val="00E0149E"/>
    <w:rsid w:val="00E11952"/>
    <w:rsid w:val="00E151EF"/>
    <w:rsid w:val="00E16B5D"/>
    <w:rsid w:val="00E175C4"/>
    <w:rsid w:val="00E3095F"/>
    <w:rsid w:val="00E3222D"/>
    <w:rsid w:val="00E34203"/>
    <w:rsid w:val="00E35FEA"/>
    <w:rsid w:val="00E5081A"/>
    <w:rsid w:val="00E61A65"/>
    <w:rsid w:val="00E625E0"/>
    <w:rsid w:val="00E820F4"/>
    <w:rsid w:val="00E851C2"/>
    <w:rsid w:val="00E853BB"/>
    <w:rsid w:val="00E8686F"/>
    <w:rsid w:val="00E938A7"/>
    <w:rsid w:val="00E9681F"/>
    <w:rsid w:val="00EB6772"/>
    <w:rsid w:val="00EC6BC3"/>
    <w:rsid w:val="00ED4AB9"/>
    <w:rsid w:val="00ED790E"/>
    <w:rsid w:val="00EF3A3A"/>
    <w:rsid w:val="00F01A37"/>
    <w:rsid w:val="00F06D36"/>
    <w:rsid w:val="00F17541"/>
    <w:rsid w:val="00F22F05"/>
    <w:rsid w:val="00F27B80"/>
    <w:rsid w:val="00F34359"/>
    <w:rsid w:val="00F3567E"/>
    <w:rsid w:val="00F45303"/>
    <w:rsid w:val="00F47B7E"/>
    <w:rsid w:val="00F51A07"/>
    <w:rsid w:val="00F547F2"/>
    <w:rsid w:val="00F57A0B"/>
    <w:rsid w:val="00F91FB8"/>
    <w:rsid w:val="00F97661"/>
    <w:rsid w:val="00F97D76"/>
    <w:rsid w:val="00FA0233"/>
    <w:rsid w:val="00FA0E97"/>
    <w:rsid w:val="00FD1080"/>
    <w:rsid w:val="00FD6565"/>
    <w:rsid w:val="00FD7C1E"/>
    <w:rsid w:val="00FF4E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63952"/>
  <w15:chartTrackingRefBased/>
  <w15:docId w15:val="{FC86B5F3-7D4E-419C-9238-C5CEBC48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
    <w:qFormat/>
    <w:rsid w:val="004141CB"/>
    <w:pPr>
      <w:ind w:left="720"/>
      <w:contextualSpacing/>
    </w:pPr>
  </w:style>
  <w:style w:type="paragraph" w:styleId="Header">
    <w:name w:val="header"/>
    <w:basedOn w:val="Normal"/>
    <w:link w:val="HeaderChar"/>
    <w:uiPriority w:val="99"/>
    <w:unhideWhenUsed/>
    <w:rsid w:val="00013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6A"/>
  </w:style>
  <w:style w:type="paragraph" w:styleId="Footer">
    <w:name w:val="footer"/>
    <w:basedOn w:val="Normal"/>
    <w:link w:val="FooterChar"/>
    <w:uiPriority w:val="99"/>
    <w:unhideWhenUsed/>
    <w:rsid w:val="00013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6A"/>
  </w:style>
  <w:style w:type="character" w:styleId="Hyperlink">
    <w:name w:val="Hyperlink"/>
    <w:basedOn w:val="DefaultParagraphFont"/>
    <w:uiPriority w:val="99"/>
    <w:unhideWhenUsed/>
    <w:rsid w:val="0001336A"/>
    <w:rPr>
      <w:color w:val="0563C1" w:themeColor="hyperlink"/>
      <w:u w:val="single"/>
    </w:rPr>
  </w:style>
  <w:style w:type="character" w:styleId="UnresolvedMention">
    <w:name w:val="Unresolved Mention"/>
    <w:basedOn w:val="DefaultParagraphFont"/>
    <w:uiPriority w:val="99"/>
    <w:semiHidden/>
    <w:unhideWhenUsed/>
    <w:rsid w:val="0001336A"/>
    <w:rPr>
      <w:color w:val="605E5C"/>
      <w:shd w:val="clear" w:color="auto" w:fill="E1DFDD"/>
    </w:r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9E3A61"/>
    <w:pPr>
      <w:spacing w:after="0" w:line="240" w:lineRule="auto"/>
    </w:pPr>
    <w:rPr>
      <w:sz w:val="20"/>
      <w:szCs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9E3A61"/>
    <w:rPr>
      <w:sz w:val="20"/>
      <w:szCs w:val="20"/>
    </w:rPr>
  </w:style>
  <w:style w:type="character" w:styleId="FootnoteReference">
    <w:name w:val="footnote reference"/>
    <w:aliases w:val="4_G,Footnote number,Footnotes refss,Footnote,Stinking Styles"/>
    <w:basedOn w:val="DefaultParagraphFont"/>
    <w:uiPriority w:val="99"/>
    <w:unhideWhenUsed/>
    <w:qFormat/>
    <w:rsid w:val="009E3A61"/>
    <w:rPr>
      <w:vertAlign w:val="superscript"/>
    </w:rPr>
  </w:style>
  <w:style w:type="character" w:customStyle="1" w:styleId="NumberedparagraphChar">
    <w:name w:val="Numbered paragraph Char"/>
    <w:basedOn w:val="DefaultParagraphFont"/>
    <w:link w:val="Numberedparagraph"/>
    <w:locked/>
    <w:rsid w:val="00990B0E"/>
    <w:rPr>
      <w:rFonts w:ascii="Arial" w:hAnsi="Arial" w:cs="Arial"/>
    </w:rPr>
  </w:style>
  <w:style w:type="paragraph" w:customStyle="1" w:styleId="Numberedparagraph">
    <w:name w:val="Numbered paragraph"/>
    <w:basedOn w:val="ListParagraph"/>
    <w:link w:val="NumberedparagraphChar"/>
    <w:qFormat/>
    <w:rsid w:val="00990B0E"/>
    <w:pPr>
      <w:numPr>
        <w:numId w:val="6"/>
      </w:numPr>
      <w:spacing w:before="120" w:after="240" w:line="276" w:lineRule="auto"/>
      <w:contextualSpacing w:val="0"/>
    </w:pPr>
    <w:rPr>
      <w:rFonts w:ascii="Arial" w:hAnsi="Arial" w:cs="Arial"/>
    </w:rPr>
  </w:style>
  <w:style w:type="character" w:styleId="CommentReference">
    <w:name w:val="annotation reference"/>
    <w:basedOn w:val="DefaultParagraphFont"/>
    <w:uiPriority w:val="99"/>
    <w:semiHidden/>
    <w:unhideWhenUsed/>
    <w:rsid w:val="00E938A7"/>
    <w:rPr>
      <w:sz w:val="16"/>
      <w:szCs w:val="16"/>
    </w:rPr>
  </w:style>
  <w:style w:type="paragraph" w:styleId="CommentText">
    <w:name w:val="annotation text"/>
    <w:basedOn w:val="Normal"/>
    <w:link w:val="CommentTextChar"/>
    <w:uiPriority w:val="99"/>
    <w:unhideWhenUsed/>
    <w:rsid w:val="00E938A7"/>
    <w:pPr>
      <w:spacing w:line="240" w:lineRule="auto"/>
    </w:pPr>
    <w:rPr>
      <w:sz w:val="20"/>
      <w:szCs w:val="20"/>
    </w:rPr>
  </w:style>
  <w:style w:type="character" w:customStyle="1" w:styleId="CommentTextChar">
    <w:name w:val="Comment Text Char"/>
    <w:basedOn w:val="DefaultParagraphFont"/>
    <w:link w:val="CommentText"/>
    <w:uiPriority w:val="99"/>
    <w:rsid w:val="00E938A7"/>
    <w:rPr>
      <w:sz w:val="20"/>
      <w:szCs w:val="20"/>
    </w:rPr>
  </w:style>
  <w:style w:type="paragraph" w:styleId="CommentSubject">
    <w:name w:val="annotation subject"/>
    <w:basedOn w:val="CommentText"/>
    <w:next w:val="CommentText"/>
    <w:link w:val="CommentSubjectChar"/>
    <w:uiPriority w:val="99"/>
    <w:semiHidden/>
    <w:unhideWhenUsed/>
    <w:rsid w:val="00E938A7"/>
    <w:rPr>
      <w:b/>
      <w:bCs/>
    </w:rPr>
  </w:style>
  <w:style w:type="character" w:customStyle="1" w:styleId="CommentSubjectChar">
    <w:name w:val="Comment Subject Char"/>
    <w:basedOn w:val="CommentTextChar"/>
    <w:link w:val="CommentSubject"/>
    <w:uiPriority w:val="99"/>
    <w:semiHidden/>
    <w:rsid w:val="00E938A7"/>
    <w:rPr>
      <w:b/>
      <w:bCs/>
      <w:sz w:val="20"/>
      <w:szCs w:val="20"/>
    </w:rPr>
  </w:style>
  <w:style w:type="character" w:styleId="Mention">
    <w:name w:val="Mention"/>
    <w:basedOn w:val="DefaultParagraphFont"/>
    <w:uiPriority w:val="99"/>
    <w:unhideWhenUsed/>
    <w:rsid w:val="00E938A7"/>
    <w:rPr>
      <w:color w:val="2B579A"/>
      <w:shd w:val="clear" w:color="auto" w:fill="E1DFDD"/>
    </w:rPr>
  </w:style>
  <w:style w:type="paragraph" w:styleId="Revision">
    <w:name w:val="Revision"/>
    <w:hidden/>
    <w:uiPriority w:val="99"/>
    <w:semiHidden/>
    <w:rsid w:val="008E734F"/>
    <w:pPr>
      <w:spacing w:after="0" w:line="240" w:lineRule="auto"/>
    </w:pPr>
  </w:style>
  <w:style w:type="paragraph" w:customStyle="1" w:styleId="Heading1darkblue">
    <w:name w:val="Heading 1 (dark blue)"/>
    <w:basedOn w:val="Heading1"/>
    <w:qFormat/>
    <w:rsid w:val="00E3095F"/>
    <w:pPr>
      <w:widowControl w:val="0"/>
      <w:spacing w:before="100" w:beforeAutospacing="1" w:after="100" w:afterAutospacing="1" w:line="240" w:lineRule="auto"/>
    </w:pPr>
    <w:rPr>
      <w:rFonts w:ascii="Arial" w:eastAsia="Times New Roman" w:hAnsi="Arial" w:cs="Times New Roman"/>
      <w:bCs/>
      <w:color w:val="347B9F"/>
      <w:kern w:val="36"/>
      <w14:ligatures w14:val="none"/>
    </w:rPr>
  </w:style>
  <w:style w:type="paragraph" w:customStyle="1" w:styleId="Bulletedlist">
    <w:name w:val="Bulleted list"/>
    <w:basedOn w:val="ListParagraph"/>
    <w:qFormat/>
    <w:rsid w:val="00E3095F"/>
    <w:pPr>
      <w:spacing w:after="240" w:line="240" w:lineRule="auto"/>
      <w:ind w:left="0"/>
    </w:pPr>
    <w:rPr>
      <w:rFonts w:ascii="Arial" w:eastAsiaTheme="minorEastAsia" w:hAnsi="Arial" w:cs="Arial"/>
      <w:kern w:val="0"/>
      <w:sz w:val="24"/>
      <w:szCs w:val="24"/>
      <w14:ligatures w14:val="none"/>
    </w:rPr>
  </w:style>
  <w:style w:type="character" w:customStyle="1" w:styleId="Heading1Char">
    <w:name w:val="Heading 1 Char"/>
    <w:basedOn w:val="DefaultParagraphFont"/>
    <w:link w:val="Heading1"/>
    <w:uiPriority w:val="9"/>
    <w:rsid w:val="00E309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1347">
      <w:bodyDiv w:val="1"/>
      <w:marLeft w:val="0"/>
      <w:marRight w:val="0"/>
      <w:marTop w:val="0"/>
      <w:marBottom w:val="0"/>
      <w:divBdr>
        <w:top w:val="none" w:sz="0" w:space="0" w:color="auto"/>
        <w:left w:val="none" w:sz="0" w:space="0" w:color="auto"/>
        <w:bottom w:val="none" w:sz="0" w:space="0" w:color="auto"/>
        <w:right w:val="none" w:sz="0" w:space="0" w:color="auto"/>
      </w:divBdr>
    </w:div>
    <w:div w:id="395056147">
      <w:bodyDiv w:val="1"/>
      <w:marLeft w:val="0"/>
      <w:marRight w:val="0"/>
      <w:marTop w:val="0"/>
      <w:marBottom w:val="0"/>
      <w:divBdr>
        <w:top w:val="none" w:sz="0" w:space="0" w:color="auto"/>
        <w:left w:val="none" w:sz="0" w:space="0" w:color="auto"/>
        <w:bottom w:val="none" w:sz="0" w:space="0" w:color="auto"/>
        <w:right w:val="none" w:sz="0" w:space="0" w:color="auto"/>
      </w:divBdr>
    </w:div>
    <w:div w:id="423384940">
      <w:bodyDiv w:val="1"/>
      <w:marLeft w:val="0"/>
      <w:marRight w:val="0"/>
      <w:marTop w:val="0"/>
      <w:marBottom w:val="0"/>
      <w:divBdr>
        <w:top w:val="none" w:sz="0" w:space="0" w:color="auto"/>
        <w:left w:val="none" w:sz="0" w:space="0" w:color="auto"/>
        <w:bottom w:val="none" w:sz="0" w:space="0" w:color="auto"/>
        <w:right w:val="none" w:sz="0" w:space="0" w:color="auto"/>
      </w:divBdr>
    </w:div>
    <w:div w:id="441917430">
      <w:bodyDiv w:val="1"/>
      <w:marLeft w:val="0"/>
      <w:marRight w:val="0"/>
      <w:marTop w:val="0"/>
      <w:marBottom w:val="0"/>
      <w:divBdr>
        <w:top w:val="none" w:sz="0" w:space="0" w:color="auto"/>
        <w:left w:val="none" w:sz="0" w:space="0" w:color="auto"/>
        <w:bottom w:val="none" w:sz="0" w:space="0" w:color="auto"/>
        <w:right w:val="none" w:sz="0" w:space="0" w:color="auto"/>
      </w:divBdr>
    </w:div>
    <w:div w:id="498078351">
      <w:bodyDiv w:val="1"/>
      <w:marLeft w:val="0"/>
      <w:marRight w:val="0"/>
      <w:marTop w:val="0"/>
      <w:marBottom w:val="0"/>
      <w:divBdr>
        <w:top w:val="none" w:sz="0" w:space="0" w:color="auto"/>
        <w:left w:val="none" w:sz="0" w:space="0" w:color="auto"/>
        <w:bottom w:val="none" w:sz="0" w:space="0" w:color="auto"/>
        <w:right w:val="none" w:sz="0" w:space="0" w:color="auto"/>
      </w:divBdr>
    </w:div>
    <w:div w:id="526872149">
      <w:bodyDiv w:val="1"/>
      <w:marLeft w:val="0"/>
      <w:marRight w:val="0"/>
      <w:marTop w:val="0"/>
      <w:marBottom w:val="0"/>
      <w:divBdr>
        <w:top w:val="none" w:sz="0" w:space="0" w:color="auto"/>
        <w:left w:val="none" w:sz="0" w:space="0" w:color="auto"/>
        <w:bottom w:val="none" w:sz="0" w:space="0" w:color="auto"/>
        <w:right w:val="none" w:sz="0" w:space="0" w:color="auto"/>
      </w:divBdr>
    </w:div>
    <w:div w:id="534849987">
      <w:bodyDiv w:val="1"/>
      <w:marLeft w:val="0"/>
      <w:marRight w:val="0"/>
      <w:marTop w:val="0"/>
      <w:marBottom w:val="0"/>
      <w:divBdr>
        <w:top w:val="none" w:sz="0" w:space="0" w:color="auto"/>
        <w:left w:val="none" w:sz="0" w:space="0" w:color="auto"/>
        <w:bottom w:val="none" w:sz="0" w:space="0" w:color="auto"/>
        <w:right w:val="none" w:sz="0" w:space="0" w:color="auto"/>
      </w:divBdr>
    </w:div>
    <w:div w:id="841239378">
      <w:bodyDiv w:val="1"/>
      <w:marLeft w:val="0"/>
      <w:marRight w:val="0"/>
      <w:marTop w:val="0"/>
      <w:marBottom w:val="0"/>
      <w:divBdr>
        <w:top w:val="none" w:sz="0" w:space="0" w:color="auto"/>
        <w:left w:val="none" w:sz="0" w:space="0" w:color="auto"/>
        <w:bottom w:val="none" w:sz="0" w:space="0" w:color="auto"/>
        <w:right w:val="none" w:sz="0" w:space="0" w:color="auto"/>
      </w:divBdr>
    </w:div>
    <w:div w:id="851528981">
      <w:bodyDiv w:val="1"/>
      <w:marLeft w:val="0"/>
      <w:marRight w:val="0"/>
      <w:marTop w:val="0"/>
      <w:marBottom w:val="0"/>
      <w:divBdr>
        <w:top w:val="none" w:sz="0" w:space="0" w:color="auto"/>
        <w:left w:val="none" w:sz="0" w:space="0" w:color="auto"/>
        <w:bottom w:val="none" w:sz="0" w:space="0" w:color="auto"/>
        <w:right w:val="none" w:sz="0" w:space="0" w:color="auto"/>
      </w:divBdr>
    </w:div>
    <w:div w:id="1127164551">
      <w:bodyDiv w:val="1"/>
      <w:marLeft w:val="0"/>
      <w:marRight w:val="0"/>
      <w:marTop w:val="0"/>
      <w:marBottom w:val="0"/>
      <w:divBdr>
        <w:top w:val="none" w:sz="0" w:space="0" w:color="auto"/>
        <w:left w:val="none" w:sz="0" w:space="0" w:color="auto"/>
        <w:bottom w:val="none" w:sz="0" w:space="0" w:color="auto"/>
        <w:right w:val="none" w:sz="0" w:space="0" w:color="auto"/>
      </w:divBdr>
    </w:div>
    <w:div w:id="1313634444">
      <w:bodyDiv w:val="1"/>
      <w:marLeft w:val="0"/>
      <w:marRight w:val="0"/>
      <w:marTop w:val="0"/>
      <w:marBottom w:val="0"/>
      <w:divBdr>
        <w:top w:val="none" w:sz="0" w:space="0" w:color="auto"/>
        <w:left w:val="none" w:sz="0" w:space="0" w:color="auto"/>
        <w:bottom w:val="none" w:sz="0" w:space="0" w:color="auto"/>
        <w:right w:val="none" w:sz="0" w:space="0" w:color="auto"/>
      </w:divBdr>
    </w:div>
    <w:div w:id="1462652594">
      <w:bodyDiv w:val="1"/>
      <w:marLeft w:val="0"/>
      <w:marRight w:val="0"/>
      <w:marTop w:val="0"/>
      <w:marBottom w:val="0"/>
      <w:divBdr>
        <w:top w:val="none" w:sz="0" w:space="0" w:color="auto"/>
        <w:left w:val="none" w:sz="0" w:space="0" w:color="auto"/>
        <w:bottom w:val="none" w:sz="0" w:space="0" w:color="auto"/>
        <w:right w:val="none" w:sz="0" w:space="0" w:color="auto"/>
      </w:divBdr>
    </w:div>
    <w:div w:id="1576551598">
      <w:bodyDiv w:val="1"/>
      <w:marLeft w:val="0"/>
      <w:marRight w:val="0"/>
      <w:marTop w:val="0"/>
      <w:marBottom w:val="0"/>
      <w:divBdr>
        <w:top w:val="none" w:sz="0" w:space="0" w:color="auto"/>
        <w:left w:val="none" w:sz="0" w:space="0" w:color="auto"/>
        <w:bottom w:val="none" w:sz="0" w:space="0" w:color="auto"/>
        <w:right w:val="none" w:sz="0" w:space="0" w:color="auto"/>
      </w:divBdr>
    </w:div>
    <w:div w:id="1594901120">
      <w:bodyDiv w:val="1"/>
      <w:marLeft w:val="0"/>
      <w:marRight w:val="0"/>
      <w:marTop w:val="0"/>
      <w:marBottom w:val="0"/>
      <w:divBdr>
        <w:top w:val="none" w:sz="0" w:space="0" w:color="auto"/>
        <w:left w:val="none" w:sz="0" w:space="0" w:color="auto"/>
        <w:bottom w:val="none" w:sz="0" w:space="0" w:color="auto"/>
        <w:right w:val="none" w:sz="0" w:space="0" w:color="auto"/>
      </w:divBdr>
    </w:div>
    <w:div w:id="1846093067">
      <w:bodyDiv w:val="1"/>
      <w:marLeft w:val="0"/>
      <w:marRight w:val="0"/>
      <w:marTop w:val="0"/>
      <w:marBottom w:val="0"/>
      <w:divBdr>
        <w:top w:val="none" w:sz="0" w:space="0" w:color="auto"/>
        <w:left w:val="none" w:sz="0" w:space="0" w:color="auto"/>
        <w:bottom w:val="none" w:sz="0" w:space="0" w:color="auto"/>
        <w:right w:val="none" w:sz="0" w:space="0" w:color="auto"/>
      </w:divBdr>
    </w:div>
    <w:div w:id="1850751614">
      <w:bodyDiv w:val="1"/>
      <w:marLeft w:val="0"/>
      <w:marRight w:val="0"/>
      <w:marTop w:val="0"/>
      <w:marBottom w:val="0"/>
      <w:divBdr>
        <w:top w:val="none" w:sz="0" w:space="0" w:color="auto"/>
        <w:left w:val="none" w:sz="0" w:space="0" w:color="auto"/>
        <w:bottom w:val="none" w:sz="0" w:space="0" w:color="auto"/>
        <w:right w:val="none" w:sz="0" w:space="0" w:color="auto"/>
      </w:divBdr>
    </w:div>
    <w:div w:id="21283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c.gov.au/covid-19-response-inquiry/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E141-22DF-41B3-9088-13017166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Links>
    <vt:vector size="18" baseType="variant">
      <vt:variant>
        <vt:i4>3932161</vt:i4>
      </vt:variant>
      <vt:variant>
        <vt:i4>0</vt:i4>
      </vt:variant>
      <vt:variant>
        <vt:i4>0</vt:i4>
      </vt:variant>
      <vt:variant>
        <vt:i4>5</vt:i4>
      </vt:variant>
      <vt:variant>
        <vt:lpwstr>mailto:youthjustice@parliament.qld.gov.au</vt:lpwstr>
      </vt:variant>
      <vt:variant>
        <vt:lpwstr/>
      </vt:variant>
      <vt:variant>
        <vt:i4>3211302</vt:i4>
      </vt:variant>
      <vt:variant>
        <vt:i4>3</vt:i4>
      </vt:variant>
      <vt:variant>
        <vt:i4>0</vt:i4>
      </vt:variant>
      <vt:variant>
        <vt:i4>5</vt:i4>
      </vt:variant>
      <vt:variant>
        <vt:lpwstr>https://www.ag.gov.au/legal-system/justice-reinvestment</vt:lpwstr>
      </vt:variant>
      <vt:variant>
        <vt:lpwstr/>
      </vt:variant>
      <vt:variant>
        <vt:i4>5701659</vt:i4>
      </vt:variant>
      <vt:variant>
        <vt:i4>0</vt:i4>
      </vt:variant>
      <vt:variant>
        <vt:i4>0</vt:i4>
      </vt:variant>
      <vt:variant>
        <vt:i4>5</vt:i4>
      </vt:variant>
      <vt:variant>
        <vt:lpwstr>https://www.qhrc.qld.gov.au/resources/submissions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McDougall</dc:creator>
  <cp:keywords/>
  <dc:description/>
  <cp:lastModifiedBy>Sarah Fulton</cp:lastModifiedBy>
  <cp:revision>6</cp:revision>
  <cp:lastPrinted>2023-12-14T06:54:00Z</cp:lastPrinted>
  <dcterms:created xsi:type="dcterms:W3CDTF">2023-12-14T06:48:00Z</dcterms:created>
  <dcterms:modified xsi:type="dcterms:W3CDTF">2023-12-14T06:54:00Z</dcterms:modified>
</cp:coreProperties>
</file>