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EC41" w14:textId="18DA13E1" w:rsidR="007F2535" w:rsidRDefault="007F2535">
      <w:pPr>
        <w:rPr>
          <w:rFonts w:ascii="Arial" w:eastAsia="MS Gothic" w:hAnsi="Arial" w:cs="Arial"/>
          <w:color w:val="004270"/>
          <w:sz w:val="36"/>
          <w:szCs w:val="32"/>
        </w:rPr>
      </w:pPr>
      <w:bookmarkStart w:id="0" w:name="_Toc134713111"/>
    </w:p>
    <w:p w14:paraId="4A4C668C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7006EA57" w14:textId="1A0DC31F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1D033489" w14:textId="1F032F0F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58310A45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5458F182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  <w:r w:rsidRPr="00F63848">
        <w:rPr>
          <w:noProof/>
          <w:lang w:val="en-AU" w:eastAsia="en-AU"/>
        </w:rPr>
        <w:drawing>
          <wp:inline distT="0" distB="0" distL="0" distR="0" wp14:anchorId="0E81CF74" wp14:editId="25005D73">
            <wp:extent cx="3259015" cy="1066800"/>
            <wp:effectExtent l="0" t="0" r="0" b="0"/>
            <wp:docPr id="1" name="Picture 1" descr="H:\QHRC-logo-rgb-for-digital-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QHRC-logo-rgb-for-digital-us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3" t="13919" r="4207" b="11569"/>
                    <a:stretch/>
                  </pic:blipFill>
                  <pic:spPr bwMode="auto">
                    <a:xfrm>
                      <a:off x="0" y="0"/>
                      <a:ext cx="3303563" cy="108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5E343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755C75C7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771F379E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03A5B0FF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0683DF36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0C16D36B" w14:textId="77777777" w:rsidR="007F2535" w:rsidRDefault="007F2535" w:rsidP="007F2535">
      <w:pPr>
        <w:pStyle w:val="NoSpacing"/>
        <w:spacing w:before="120" w:after="120"/>
        <w:rPr>
          <w:rFonts w:ascii="Arial" w:hAnsi="Arial" w:cs="Arial"/>
          <w:bCs/>
          <w:sz w:val="28"/>
        </w:rPr>
      </w:pPr>
    </w:p>
    <w:p w14:paraId="62B95735" w14:textId="2F816F46" w:rsidR="007F2535" w:rsidRPr="0035517B" w:rsidRDefault="007F2535" w:rsidP="007F2535">
      <w:pPr>
        <w:pStyle w:val="Title"/>
      </w:pPr>
      <w:r>
        <w:t>Review of the National Agreement on Closing the Gap</w:t>
      </w:r>
      <w:r w:rsidR="00700B28">
        <w:t xml:space="preserve"> </w:t>
      </w:r>
    </w:p>
    <w:p w14:paraId="7B5373F4" w14:textId="7D632040" w:rsidR="007F2535" w:rsidRDefault="007F2535" w:rsidP="007F2535">
      <w:pPr>
        <w:pStyle w:val="Heading2"/>
      </w:pPr>
      <w:r w:rsidRPr="00260847">
        <w:t>Submission</w:t>
      </w:r>
      <w:r>
        <w:t xml:space="preserve"> </w:t>
      </w:r>
      <w:r w:rsidRPr="00260847">
        <w:t>to</w:t>
      </w:r>
      <w:r>
        <w:t xml:space="preserve"> the Productivity Commission</w:t>
      </w:r>
    </w:p>
    <w:p w14:paraId="4B944077" w14:textId="7B2432C0" w:rsidR="007F2535" w:rsidRDefault="007F2535" w:rsidP="007F2535">
      <w:pPr>
        <w:pStyle w:val="Heading2"/>
      </w:pPr>
      <w:r>
        <w:t xml:space="preserve">6 October 2023 </w:t>
      </w:r>
    </w:p>
    <w:p w14:paraId="1179F391" w14:textId="77777777" w:rsidR="007F2535" w:rsidRDefault="007F2535" w:rsidP="007F2535">
      <w:pPr>
        <w:rPr>
          <w:rFonts w:cs="Arial"/>
          <w:bCs/>
          <w:sz w:val="28"/>
          <w:lang w:val="en-US"/>
        </w:rPr>
      </w:pPr>
      <w:r>
        <w:rPr>
          <w:rFonts w:cs="Arial"/>
          <w:bCs/>
          <w:sz w:val="28"/>
        </w:rPr>
        <w:br w:type="page"/>
      </w:r>
    </w:p>
    <w:p w14:paraId="2D716227" w14:textId="7C74DEFB" w:rsidR="004822B6" w:rsidRPr="006E22AE" w:rsidRDefault="004822B6" w:rsidP="007F2535">
      <w:pPr>
        <w:pStyle w:val="Heading1"/>
        <w:rPr>
          <w:rFonts w:eastAsia="MS Gothic"/>
        </w:rPr>
      </w:pPr>
      <w:r w:rsidRPr="006E22AE">
        <w:rPr>
          <w:rFonts w:eastAsia="MS Gothic"/>
        </w:rPr>
        <w:lastRenderedPageBreak/>
        <w:t>Introduction</w:t>
      </w:r>
      <w:bookmarkEnd w:id="0"/>
      <w:r w:rsidR="0059012E" w:rsidRPr="006E22AE">
        <w:rPr>
          <w:rFonts w:eastAsia="MS Gothic"/>
        </w:rPr>
        <w:t xml:space="preserve"> and </w:t>
      </w:r>
      <w:r w:rsidR="007F2535">
        <w:rPr>
          <w:rFonts w:eastAsia="MS Gothic"/>
        </w:rPr>
        <w:t>b</w:t>
      </w:r>
      <w:r w:rsidR="0059012E" w:rsidRPr="006E22AE">
        <w:rPr>
          <w:rFonts w:eastAsia="MS Gothic"/>
        </w:rPr>
        <w:t>ackground</w:t>
      </w:r>
    </w:p>
    <w:p w14:paraId="317703DF" w14:textId="70709501" w:rsidR="0041164D" w:rsidRPr="00F4454B" w:rsidRDefault="004822B6" w:rsidP="007F2535">
      <w:pPr>
        <w:pStyle w:val="Numberedparagraph"/>
      </w:pPr>
      <w:r w:rsidRPr="00495466">
        <w:t>The Queensland Human Rights Commission (</w:t>
      </w:r>
      <w:r w:rsidRPr="00495466">
        <w:rPr>
          <w:b/>
          <w:bCs/>
        </w:rPr>
        <w:t>QHRC</w:t>
      </w:r>
      <w:r w:rsidRPr="00CC2C55">
        <w:t xml:space="preserve">) </w:t>
      </w:r>
      <w:r w:rsidR="00C74080" w:rsidRPr="00CC2C55">
        <w:t xml:space="preserve">appreciates the opportunity to provide feedback </w:t>
      </w:r>
      <w:r w:rsidR="0041164D" w:rsidRPr="006E22AE">
        <w:t xml:space="preserve">on the </w:t>
      </w:r>
      <w:r w:rsidR="008E34A4" w:rsidRPr="006E22AE">
        <w:t>Draft Report</w:t>
      </w:r>
      <w:r w:rsidR="008E34A4" w:rsidRPr="006E22AE">
        <w:rPr>
          <w:rStyle w:val="FootnoteReference"/>
          <w:sz w:val="24"/>
        </w:rPr>
        <w:footnoteReference w:id="1"/>
      </w:r>
      <w:r w:rsidR="00021629" w:rsidRPr="006E22AE">
        <w:t xml:space="preserve"> (</w:t>
      </w:r>
      <w:r w:rsidR="00021629" w:rsidRPr="006E22AE">
        <w:rPr>
          <w:b/>
          <w:bCs/>
        </w:rPr>
        <w:t>draft report</w:t>
      </w:r>
      <w:r w:rsidR="00021629" w:rsidRPr="006E22AE">
        <w:t>)</w:t>
      </w:r>
      <w:r w:rsidR="00021629" w:rsidRPr="006E22AE">
        <w:rPr>
          <w:b/>
          <w:bCs/>
        </w:rPr>
        <w:t xml:space="preserve"> </w:t>
      </w:r>
      <w:r w:rsidR="00021629" w:rsidRPr="00F4454B">
        <w:t>by the</w:t>
      </w:r>
      <w:r w:rsidR="00021629" w:rsidRPr="00F4454B">
        <w:rPr>
          <w:b/>
          <w:bCs/>
        </w:rPr>
        <w:t xml:space="preserve"> </w:t>
      </w:r>
      <w:r w:rsidR="00021629" w:rsidRPr="00F4454B">
        <w:t>Productivity Commission (</w:t>
      </w:r>
      <w:r w:rsidR="00021629" w:rsidRPr="00495466">
        <w:rPr>
          <w:b/>
          <w:bCs/>
        </w:rPr>
        <w:t>Commission</w:t>
      </w:r>
      <w:r w:rsidR="00021629" w:rsidRPr="00495466">
        <w:t xml:space="preserve">) </w:t>
      </w:r>
      <w:r w:rsidR="0041164D" w:rsidRPr="00CC2C55">
        <w:t xml:space="preserve">on its Review of the </w:t>
      </w:r>
      <w:r w:rsidR="00FE6F79" w:rsidRPr="006E22AE">
        <w:t>National Agreement on Closing the Gap</w:t>
      </w:r>
      <w:r w:rsidR="00FE6F79" w:rsidRPr="006E22AE">
        <w:rPr>
          <w:rStyle w:val="FootnoteReference"/>
          <w:sz w:val="24"/>
        </w:rPr>
        <w:footnoteReference w:id="2"/>
      </w:r>
      <w:r w:rsidR="008B7C74" w:rsidRPr="006E22AE">
        <w:t xml:space="preserve"> </w:t>
      </w:r>
      <w:r w:rsidR="00021629" w:rsidRPr="006E22AE">
        <w:t>(</w:t>
      </w:r>
      <w:r w:rsidR="00C71420" w:rsidRPr="006E22AE">
        <w:rPr>
          <w:b/>
          <w:bCs/>
        </w:rPr>
        <w:t>A</w:t>
      </w:r>
      <w:r w:rsidR="008B7C74" w:rsidRPr="006E22AE">
        <w:rPr>
          <w:b/>
          <w:bCs/>
        </w:rPr>
        <w:t>greement</w:t>
      </w:r>
      <w:r w:rsidR="008B7C74" w:rsidRPr="006E22AE">
        <w:t>)</w:t>
      </w:r>
      <w:r w:rsidR="0041164D" w:rsidRPr="006E22AE">
        <w:t>.</w:t>
      </w:r>
    </w:p>
    <w:p w14:paraId="742F6BD1" w14:textId="77777777" w:rsidR="00021629" w:rsidRPr="00F4454B" w:rsidRDefault="003A6880" w:rsidP="007F2535">
      <w:pPr>
        <w:pStyle w:val="Numberedparagraph"/>
      </w:pPr>
      <w:r w:rsidRPr="00F4454B">
        <w:t>Parties to the Agreement include</w:t>
      </w:r>
      <w:r w:rsidR="00021629" w:rsidRPr="00F4454B">
        <w:t>:</w:t>
      </w:r>
      <w:r w:rsidR="00192AC6" w:rsidRPr="00F4454B">
        <w:t xml:space="preserve"> </w:t>
      </w:r>
    </w:p>
    <w:p w14:paraId="1B0DD94B" w14:textId="141321AE" w:rsidR="00021629" w:rsidRPr="006E22AE" w:rsidRDefault="003A6880" w:rsidP="007F2535">
      <w:pPr>
        <w:pStyle w:val="ListParagraph"/>
        <w:numPr>
          <w:ilvl w:val="0"/>
          <w:numId w:val="28"/>
        </w:numPr>
        <w:spacing w:before="120" w:after="240" w:line="276" w:lineRule="auto"/>
        <w:ind w:left="851" w:hanging="284"/>
        <w:contextualSpacing w:val="0"/>
        <w:rPr>
          <w:rFonts w:ascii="Arial" w:eastAsia="MS Mincho" w:hAnsi="Arial" w:cs="Arial"/>
          <w:sz w:val="23"/>
          <w:szCs w:val="23"/>
        </w:rPr>
      </w:pPr>
      <w:r w:rsidRPr="00495466">
        <w:rPr>
          <w:rFonts w:ascii="Arial" w:eastAsia="MS Mincho" w:hAnsi="Arial" w:cs="Arial"/>
          <w:sz w:val="23"/>
          <w:szCs w:val="23"/>
        </w:rPr>
        <w:t xml:space="preserve">the Commonwealth </w:t>
      </w:r>
      <w:r w:rsidR="00527158" w:rsidRPr="00495466">
        <w:rPr>
          <w:rFonts w:ascii="Arial" w:eastAsia="MS Mincho" w:hAnsi="Arial" w:cs="Arial"/>
          <w:sz w:val="23"/>
          <w:szCs w:val="23"/>
        </w:rPr>
        <w:t xml:space="preserve">Government </w:t>
      </w:r>
      <w:r w:rsidRPr="00CC2C55">
        <w:rPr>
          <w:rFonts w:ascii="Arial" w:eastAsia="MS Mincho" w:hAnsi="Arial" w:cs="Arial"/>
          <w:sz w:val="23"/>
          <w:szCs w:val="23"/>
        </w:rPr>
        <w:t xml:space="preserve">and all Australian </w:t>
      </w:r>
      <w:r w:rsidR="008B39B3" w:rsidRPr="00F4454B">
        <w:rPr>
          <w:rFonts w:ascii="Arial" w:eastAsia="MS Mincho" w:hAnsi="Arial" w:cs="Arial"/>
          <w:sz w:val="23"/>
          <w:szCs w:val="23"/>
        </w:rPr>
        <w:t>s</w:t>
      </w:r>
      <w:r w:rsidRPr="00F4454B">
        <w:rPr>
          <w:rFonts w:ascii="Arial" w:eastAsia="MS Mincho" w:hAnsi="Arial" w:cs="Arial"/>
          <w:sz w:val="23"/>
          <w:szCs w:val="23"/>
        </w:rPr>
        <w:t xml:space="preserve">tate and </w:t>
      </w:r>
      <w:r w:rsidR="008B39B3" w:rsidRPr="00F4454B">
        <w:rPr>
          <w:rFonts w:ascii="Arial" w:eastAsia="MS Mincho" w:hAnsi="Arial" w:cs="Arial"/>
          <w:sz w:val="23"/>
          <w:szCs w:val="23"/>
        </w:rPr>
        <w:t>t</w:t>
      </w:r>
      <w:r w:rsidRPr="00F4454B">
        <w:rPr>
          <w:rFonts w:ascii="Arial" w:eastAsia="MS Mincho" w:hAnsi="Arial" w:cs="Arial"/>
          <w:sz w:val="23"/>
          <w:szCs w:val="23"/>
        </w:rPr>
        <w:t>erritory governments</w:t>
      </w:r>
      <w:r w:rsidRPr="006E22AE">
        <w:rPr>
          <w:rFonts w:ascii="Arial" w:eastAsia="MS Mincho" w:hAnsi="Arial" w:cs="Arial"/>
          <w:sz w:val="23"/>
          <w:szCs w:val="23"/>
        </w:rPr>
        <w:t>, the Australian Local Government Association</w:t>
      </w:r>
      <w:r w:rsidR="00192AC6" w:rsidRPr="006E22AE">
        <w:rPr>
          <w:rFonts w:ascii="Arial" w:eastAsia="MS Mincho" w:hAnsi="Arial" w:cs="Arial"/>
          <w:sz w:val="23"/>
          <w:szCs w:val="23"/>
        </w:rPr>
        <w:t xml:space="preserve"> (</w:t>
      </w:r>
      <w:r w:rsidR="00192AC6" w:rsidRPr="00F4454B">
        <w:rPr>
          <w:rFonts w:ascii="Arial" w:eastAsia="MS Mincho" w:hAnsi="Arial" w:cs="Arial"/>
          <w:b/>
          <w:bCs/>
          <w:sz w:val="23"/>
          <w:szCs w:val="23"/>
        </w:rPr>
        <w:t>ALGA</w:t>
      </w:r>
      <w:r w:rsidR="00192AC6" w:rsidRPr="00F4454B">
        <w:rPr>
          <w:rFonts w:ascii="Arial" w:eastAsia="MS Mincho" w:hAnsi="Arial" w:cs="Arial"/>
          <w:sz w:val="23"/>
          <w:szCs w:val="23"/>
        </w:rPr>
        <w:t xml:space="preserve">), represented by the Prime </w:t>
      </w:r>
      <w:r w:rsidR="00044AE6" w:rsidRPr="00F4454B">
        <w:rPr>
          <w:rFonts w:ascii="Arial" w:eastAsia="MS Mincho" w:hAnsi="Arial" w:cs="Arial"/>
          <w:sz w:val="23"/>
          <w:szCs w:val="23"/>
        </w:rPr>
        <w:t>Minister, First</w:t>
      </w:r>
      <w:r w:rsidR="00192AC6" w:rsidRPr="00F4454B">
        <w:rPr>
          <w:rFonts w:ascii="Arial" w:eastAsia="MS Mincho" w:hAnsi="Arial" w:cs="Arial"/>
          <w:sz w:val="23"/>
          <w:szCs w:val="23"/>
        </w:rPr>
        <w:t xml:space="preserve"> Ministers of each state and territory and the ALGA President</w:t>
      </w:r>
      <w:r w:rsidR="00021629" w:rsidRPr="00495466">
        <w:rPr>
          <w:rFonts w:ascii="Arial" w:eastAsia="MS Mincho" w:hAnsi="Arial" w:cs="Arial"/>
          <w:sz w:val="23"/>
          <w:szCs w:val="23"/>
        </w:rPr>
        <w:t xml:space="preserve"> (</w:t>
      </w:r>
      <w:r w:rsidR="00021629" w:rsidRPr="00495466">
        <w:rPr>
          <w:rFonts w:ascii="Arial" w:eastAsia="MS Mincho" w:hAnsi="Arial" w:cs="Arial"/>
          <w:b/>
          <w:bCs/>
          <w:sz w:val="23"/>
          <w:szCs w:val="23"/>
        </w:rPr>
        <w:t>Government parties</w:t>
      </w:r>
      <w:r w:rsidR="00021629" w:rsidRPr="00CC2C55">
        <w:rPr>
          <w:rFonts w:ascii="Arial" w:eastAsia="MS Mincho" w:hAnsi="Arial" w:cs="Arial"/>
          <w:sz w:val="23"/>
          <w:szCs w:val="23"/>
        </w:rPr>
        <w:t>)</w:t>
      </w:r>
      <w:r w:rsidR="00192AC6" w:rsidRPr="00CC2C55">
        <w:rPr>
          <w:rFonts w:ascii="Arial" w:eastAsia="MS Mincho" w:hAnsi="Arial" w:cs="Arial"/>
          <w:sz w:val="23"/>
          <w:szCs w:val="23"/>
        </w:rPr>
        <w:t xml:space="preserve">; </w:t>
      </w:r>
      <w:r w:rsidRPr="00CC2C55">
        <w:rPr>
          <w:rFonts w:ascii="Arial" w:eastAsia="MS Mincho" w:hAnsi="Arial" w:cs="Arial"/>
          <w:sz w:val="23"/>
          <w:szCs w:val="23"/>
        </w:rPr>
        <w:t xml:space="preserve">and </w:t>
      </w:r>
    </w:p>
    <w:p w14:paraId="5E69BD8F" w14:textId="1573B1BA" w:rsidR="00021629" w:rsidRPr="006E22AE" w:rsidRDefault="003A6880" w:rsidP="007F2535">
      <w:pPr>
        <w:pStyle w:val="ListParagraph"/>
        <w:numPr>
          <w:ilvl w:val="0"/>
          <w:numId w:val="28"/>
        </w:numPr>
        <w:spacing w:before="120" w:after="240" w:line="276" w:lineRule="auto"/>
        <w:ind w:left="851" w:hanging="284"/>
        <w:contextualSpacing w:val="0"/>
        <w:rPr>
          <w:rFonts w:ascii="Arial" w:eastAsia="MS Mincho" w:hAnsi="Arial" w:cs="Arial"/>
          <w:sz w:val="23"/>
          <w:szCs w:val="23"/>
        </w:rPr>
      </w:pPr>
      <w:r w:rsidRPr="006E22AE">
        <w:rPr>
          <w:rFonts w:ascii="Arial" w:eastAsia="MS Mincho" w:hAnsi="Arial" w:cs="Arial"/>
          <w:sz w:val="23"/>
          <w:szCs w:val="23"/>
        </w:rPr>
        <w:t>the Coalition of Peaks</w:t>
      </w:r>
      <w:r w:rsidR="00FF76C4" w:rsidRPr="006E22AE">
        <w:rPr>
          <w:rFonts w:ascii="Arial" w:eastAsia="MS Mincho" w:hAnsi="Arial" w:cs="Arial"/>
          <w:sz w:val="23"/>
          <w:szCs w:val="23"/>
        </w:rPr>
        <w:t>.</w:t>
      </w:r>
      <w:r w:rsidRPr="006E22AE">
        <w:rPr>
          <w:rStyle w:val="FootnoteReference"/>
          <w:rFonts w:ascii="Arial" w:eastAsia="MS Mincho" w:hAnsi="Arial" w:cs="Arial"/>
          <w:sz w:val="23"/>
          <w:szCs w:val="23"/>
        </w:rPr>
        <w:footnoteReference w:id="3"/>
      </w:r>
      <w:r w:rsidR="00700B28">
        <w:rPr>
          <w:rFonts w:ascii="Arial" w:eastAsia="MS Mincho" w:hAnsi="Arial" w:cs="Arial"/>
          <w:sz w:val="23"/>
          <w:szCs w:val="23"/>
        </w:rPr>
        <w:t xml:space="preserve"> </w:t>
      </w:r>
    </w:p>
    <w:p w14:paraId="373330B1" w14:textId="4DEA8BFF" w:rsidR="003A6880" w:rsidRPr="006E22AE" w:rsidRDefault="003A6880" w:rsidP="007F2535">
      <w:pPr>
        <w:pStyle w:val="Numberedparagraph"/>
      </w:pPr>
      <w:r w:rsidRPr="00F4454B">
        <w:t>The latter are national and state and territory non-government Aboriginal and Torres Strait Islander Peak bodies and certain independent statutory authorities which have responsibility for policies, programs and services related to Closing the Gap</w:t>
      </w:r>
      <w:r w:rsidR="00527158" w:rsidRPr="00495466">
        <w:t>.</w:t>
      </w:r>
      <w:r w:rsidR="00700B28">
        <w:t xml:space="preserve"> </w:t>
      </w:r>
      <w:r w:rsidR="00527158" w:rsidRPr="00495466">
        <w:t xml:space="preserve">Their </w:t>
      </w:r>
      <w:r w:rsidRPr="00495466">
        <w:t xml:space="preserve">governing boards </w:t>
      </w:r>
      <w:r w:rsidR="00527158" w:rsidRPr="00CC2C55">
        <w:t xml:space="preserve">are </w:t>
      </w:r>
      <w:r w:rsidRPr="00CC2C55">
        <w:t xml:space="preserve">elected by Aboriginal and Torres Strait Islander communities and/or organisations which are accountable </w:t>
      </w:r>
      <w:r w:rsidRPr="006E22AE">
        <w:t>to that membership</w:t>
      </w:r>
      <w:r w:rsidR="00FF76C4" w:rsidRPr="006E22AE">
        <w:t>.</w:t>
      </w:r>
      <w:r w:rsidR="00527158" w:rsidRPr="006E22AE">
        <w:rPr>
          <w:rStyle w:val="FootnoteReference"/>
          <w:sz w:val="24"/>
        </w:rPr>
        <w:footnoteReference w:id="4"/>
      </w:r>
    </w:p>
    <w:p w14:paraId="35B57C27" w14:textId="1F3625F0" w:rsidR="004822B6" w:rsidRPr="006E22AE" w:rsidRDefault="0041164D" w:rsidP="007F2535">
      <w:pPr>
        <w:pStyle w:val="Numberedparagraph"/>
      </w:pPr>
      <w:r w:rsidRPr="00F4454B">
        <w:t xml:space="preserve">The QHRC </w:t>
      </w:r>
      <w:r w:rsidR="004822B6" w:rsidRPr="00F4454B">
        <w:t xml:space="preserve">is a statutory authority established under the Queensland </w:t>
      </w:r>
      <w:r w:rsidR="004822B6" w:rsidRPr="00F4454B">
        <w:rPr>
          <w:i/>
        </w:rPr>
        <w:t xml:space="preserve">Anti-Discrimination Act 1991 </w:t>
      </w:r>
      <w:r w:rsidR="004822B6" w:rsidRPr="00495466">
        <w:t>(</w:t>
      </w:r>
      <w:r w:rsidR="004822B6" w:rsidRPr="00495466">
        <w:rPr>
          <w:b/>
        </w:rPr>
        <w:t>AD Act</w:t>
      </w:r>
      <w:r w:rsidR="004822B6" w:rsidRPr="00CC2C55">
        <w:t>)</w:t>
      </w:r>
      <w:r w:rsidR="004822B6" w:rsidRPr="00CC2C55">
        <w:rPr>
          <w:i/>
        </w:rPr>
        <w:t>.</w:t>
      </w:r>
      <w:r w:rsidRPr="00CC2C55">
        <w:rPr>
          <w:i/>
        </w:rPr>
        <w:t xml:space="preserve"> </w:t>
      </w:r>
      <w:r w:rsidRPr="006E22AE">
        <w:rPr>
          <w:iCs/>
        </w:rPr>
        <w:t>It ha</w:t>
      </w:r>
      <w:r w:rsidR="004822B6" w:rsidRPr="006E22AE">
        <w:t xml:space="preserve">s functions under the Queensland AD Act and </w:t>
      </w:r>
      <w:r w:rsidR="004822B6" w:rsidRPr="006E22AE">
        <w:rPr>
          <w:i/>
        </w:rPr>
        <w:t xml:space="preserve">Human Rights Act 2019 </w:t>
      </w:r>
      <w:r w:rsidR="004822B6" w:rsidRPr="006E22AE">
        <w:t>(</w:t>
      </w:r>
      <w:r w:rsidR="004822B6" w:rsidRPr="006E22AE">
        <w:rPr>
          <w:b/>
        </w:rPr>
        <w:t>HR Act</w:t>
      </w:r>
      <w:r w:rsidR="004822B6" w:rsidRPr="006E22AE">
        <w:t>)</w:t>
      </w:r>
      <w:r w:rsidR="004822B6" w:rsidRPr="006E22AE">
        <w:rPr>
          <w:i/>
        </w:rPr>
        <w:t xml:space="preserve"> </w:t>
      </w:r>
      <w:r w:rsidR="004822B6" w:rsidRPr="006E22AE">
        <w:t>to promote an understanding and public discussion of human rights in Queensland, and to provide information and education about human rights.</w:t>
      </w:r>
      <w:r w:rsidR="00700B28">
        <w:t xml:space="preserve"> </w:t>
      </w:r>
    </w:p>
    <w:p w14:paraId="0E68BF0F" w14:textId="609F40BD" w:rsidR="004822B6" w:rsidRPr="006E22AE" w:rsidRDefault="004822B6" w:rsidP="007F2535">
      <w:pPr>
        <w:pStyle w:val="Numberedparagraph"/>
        <w:rPr>
          <w:lang w:eastAsia="en-AU"/>
        </w:rPr>
      </w:pPr>
      <w:r w:rsidRPr="006E22AE">
        <w:t>The QHRC deals with complaints of discrimination, sexual harassment</w:t>
      </w:r>
      <w:r w:rsidR="00E44024" w:rsidRPr="006E22AE">
        <w:t>,</w:t>
      </w:r>
      <w:r w:rsidRPr="006E22AE">
        <w:t xml:space="preserve"> vilification, and other objectionable conduct under the AD Act</w:t>
      </w:r>
      <w:r w:rsidRPr="006E22AE">
        <w:rPr>
          <w:i/>
        </w:rPr>
        <w:t xml:space="preserve">, </w:t>
      </w:r>
      <w:r w:rsidRPr="006E22AE">
        <w:t xml:space="preserve">reprisal under the </w:t>
      </w:r>
      <w:r w:rsidRPr="006E22AE">
        <w:rPr>
          <w:i/>
        </w:rPr>
        <w:t>Public Interest Disclosure Act 2009</w:t>
      </w:r>
      <w:r w:rsidRPr="006E22AE">
        <w:t>, and human rights complaints under the HR Act</w:t>
      </w:r>
      <w:r w:rsidRPr="006E22AE">
        <w:rPr>
          <w:i/>
        </w:rPr>
        <w:t>.</w:t>
      </w:r>
    </w:p>
    <w:p w14:paraId="63766296" w14:textId="4E08F638" w:rsidR="004822B6" w:rsidRPr="006E22AE" w:rsidRDefault="004822B6" w:rsidP="007F2535">
      <w:pPr>
        <w:pStyle w:val="Numberedparagraph"/>
        <w:rPr>
          <w:lang w:eastAsia="en-AU"/>
        </w:rPr>
      </w:pPr>
      <w:r w:rsidRPr="006E22AE">
        <w:rPr>
          <w:lang w:eastAsia="en-AU"/>
        </w:rPr>
        <w:t xml:space="preserve">In responding to the </w:t>
      </w:r>
      <w:r w:rsidR="00C74080" w:rsidRPr="006E22AE">
        <w:rPr>
          <w:lang w:eastAsia="en-AU"/>
        </w:rPr>
        <w:t>draft report</w:t>
      </w:r>
      <w:r w:rsidRPr="006E22AE">
        <w:rPr>
          <w:lang w:eastAsia="en-AU"/>
        </w:rPr>
        <w:t>, the QHRC has limited its comments to those relevant to the issues and questions related to its work or which raise particular concern.</w:t>
      </w:r>
      <w:r w:rsidR="00700B28">
        <w:rPr>
          <w:lang w:eastAsia="en-AU"/>
        </w:rPr>
        <w:t xml:space="preserve"> </w:t>
      </w:r>
    </w:p>
    <w:p w14:paraId="72A2CAC1" w14:textId="1F3EF4BE" w:rsidR="00C44608" w:rsidRPr="006E22AE" w:rsidRDefault="00C44608" w:rsidP="007F2535">
      <w:pPr>
        <w:pStyle w:val="Numberedparagraph"/>
        <w:rPr>
          <w:lang w:eastAsia="en-AU"/>
        </w:rPr>
      </w:pPr>
      <w:r w:rsidRPr="006E22AE">
        <w:rPr>
          <w:lang w:eastAsia="en-AU"/>
        </w:rPr>
        <w:t>The terms of reference for th</w:t>
      </w:r>
      <w:r w:rsidR="007E6DEE" w:rsidRPr="00F4454B">
        <w:rPr>
          <w:lang w:eastAsia="en-AU"/>
        </w:rPr>
        <w:t>e</w:t>
      </w:r>
      <w:r w:rsidRPr="00F4454B">
        <w:rPr>
          <w:lang w:eastAsia="en-AU"/>
        </w:rPr>
        <w:t xml:space="preserve"> review </w:t>
      </w:r>
      <w:r w:rsidR="007E6DEE" w:rsidRPr="00F4454B">
        <w:rPr>
          <w:lang w:eastAsia="en-AU"/>
        </w:rPr>
        <w:t>are</w:t>
      </w:r>
      <w:r w:rsidR="00937826" w:rsidRPr="00F4454B">
        <w:rPr>
          <w:lang w:eastAsia="en-AU"/>
        </w:rPr>
        <w:t xml:space="preserve"> to</w:t>
      </w:r>
      <w:r w:rsidRPr="00F4454B">
        <w:rPr>
          <w:lang w:eastAsia="en-AU"/>
        </w:rPr>
        <w:t>:</w:t>
      </w:r>
      <w:r w:rsidR="007E6DEE" w:rsidRPr="006E22AE">
        <w:rPr>
          <w:rStyle w:val="FootnoteReference"/>
          <w:sz w:val="24"/>
          <w:lang w:eastAsia="en-AU"/>
        </w:rPr>
        <w:footnoteReference w:id="5"/>
      </w:r>
    </w:p>
    <w:p w14:paraId="79AF301A" w14:textId="48494669" w:rsidR="00C44608" w:rsidRPr="007F2E9F" w:rsidRDefault="00C44608" w:rsidP="007F2535">
      <w:pPr>
        <w:pStyle w:val="ListParagraph"/>
        <w:numPr>
          <w:ilvl w:val="0"/>
          <w:numId w:val="26"/>
        </w:numPr>
        <w:spacing w:after="120"/>
        <w:ind w:left="851" w:hanging="284"/>
        <w:contextualSpacing w:val="0"/>
        <w:rPr>
          <w:rFonts w:ascii="Arial" w:hAnsi="Arial" w:cs="Arial"/>
          <w:sz w:val="23"/>
          <w:szCs w:val="23"/>
        </w:rPr>
      </w:pPr>
      <w:r w:rsidRPr="00F4454B">
        <w:rPr>
          <w:rFonts w:ascii="Arial" w:hAnsi="Arial" w:cs="Arial"/>
          <w:sz w:val="23"/>
          <w:szCs w:val="23"/>
        </w:rPr>
        <w:t>analyse progress on Closing the Gap against the four Priority Reform outcome areas in the Agreement</w:t>
      </w:r>
      <w:r w:rsidR="0085462D" w:rsidRPr="00F4454B">
        <w:rPr>
          <w:rFonts w:ascii="Arial" w:hAnsi="Arial" w:cs="Arial"/>
          <w:sz w:val="23"/>
          <w:szCs w:val="23"/>
        </w:rPr>
        <w:t xml:space="preserve"> namely:</w:t>
      </w:r>
    </w:p>
    <w:p w14:paraId="529A0634" w14:textId="77777777" w:rsidR="0085462D" w:rsidRPr="00495466" w:rsidRDefault="0085462D" w:rsidP="007F2535">
      <w:pPr>
        <w:pStyle w:val="ListParagraph"/>
        <w:numPr>
          <w:ilvl w:val="1"/>
          <w:numId w:val="26"/>
        </w:numPr>
        <w:spacing w:after="120"/>
        <w:ind w:left="1134" w:hanging="283"/>
        <w:contextualSpacing w:val="0"/>
        <w:rPr>
          <w:rFonts w:ascii="Arial" w:hAnsi="Arial" w:cs="Arial"/>
          <w:sz w:val="23"/>
          <w:szCs w:val="23"/>
        </w:rPr>
      </w:pPr>
      <w:r w:rsidRPr="00495466">
        <w:rPr>
          <w:rFonts w:ascii="Arial" w:hAnsi="Arial" w:cs="Arial"/>
          <w:sz w:val="23"/>
          <w:szCs w:val="23"/>
        </w:rPr>
        <w:lastRenderedPageBreak/>
        <w:t>Formal partnerships and shared decision-making</w:t>
      </w:r>
    </w:p>
    <w:p w14:paraId="79ECD93F" w14:textId="77777777" w:rsidR="0085462D" w:rsidRPr="00CC2C55" w:rsidRDefault="0085462D" w:rsidP="007F2535">
      <w:pPr>
        <w:pStyle w:val="ListParagraph"/>
        <w:numPr>
          <w:ilvl w:val="1"/>
          <w:numId w:val="26"/>
        </w:numPr>
        <w:spacing w:after="120"/>
        <w:ind w:left="1134" w:hanging="283"/>
        <w:contextualSpacing w:val="0"/>
        <w:rPr>
          <w:rFonts w:ascii="Arial" w:hAnsi="Arial" w:cs="Arial"/>
          <w:sz w:val="23"/>
          <w:szCs w:val="23"/>
        </w:rPr>
      </w:pPr>
      <w:r w:rsidRPr="00CC2C55">
        <w:rPr>
          <w:rFonts w:ascii="Arial" w:hAnsi="Arial" w:cs="Arial"/>
          <w:sz w:val="23"/>
          <w:szCs w:val="23"/>
        </w:rPr>
        <w:t>Building the community-controlled sector</w:t>
      </w:r>
    </w:p>
    <w:p w14:paraId="0E57365C" w14:textId="77777777" w:rsidR="0085462D" w:rsidRPr="006E22AE" w:rsidRDefault="0085462D" w:rsidP="007F2535">
      <w:pPr>
        <w:pStyle w:val="ListParagraph"/>
        <w:numPr>
          <w:ilvl w:val="1"/>
          <w:numId w:val="26"/>
        </w:numPr>
        <w:spacing w:after="120"/>
        <w:ind w:left="1134" w:hanging="283"/>
        <w:contextualSpacing w:val="0"/>
        <w:rPr>
          <w:rFonts w:ascii="Arial" w:hAnsi="Arial" w:cs="Arial"/>
          <w:sz w:val="23"/>
          <w:szCs w:val="23"/>
        </w:rPr>
      </w:pPr>
      <w:r w:rsidRPr="006E22AE">
        <w:rPr>
          <w:rFonts w:ascii="Arial" w:hAnsi="Arial" w:cs="Arial"/>
          <w:sz w:val="23"/>
          <w:szCs w:val="23"/>
        </w:rPr>
        <w:t>Transforming government organisations</w:t>
      </w:r>
    </w:p>
    <w:p w14:paraId="00C7C11B" w14:textId="6EE84F94" w:rsidR="0085462D" w:rsidRPr="006E22AE" w:rsidRDefault="0085462D" w:rsidP="007F2535">
      <w:pPr>
        <w:pStyle w:val="ListParagraph"/>
        <w:numPr>
          <w:ilvl w:val="1"/>
          <w:numId w:val="26"/>
        </w:numPr>
        <w:spacing w:after="240"/>
        <w:ind w:left="1134" w:hanging="283"/>
        <w:contextualSpacing w:val="0"/>
        <w:rPr>
          <w:rFonts w:ascii="Arial" w:hAnsi="Arial" w:cs="Arial"/>
          <w:sz w:val="23"/>
          <w:szCs w:val="23"/>
        </w:rPr>
      </w:pPr>
      <w:r w:rsidRPr="006E22AE">
        <w:rPr>
          <w:rFonts w:ascii="Arial" w:hAnsi="Arial" w:cs="Arial"/>
          <w:sz w:val="23"/>
          <w:szCs w:val="23"/>
        </w:rPr>
        <w:t>Shared access to data and information at a regional level</w:t>
      </w:r>
    </w:p>
    <w:p w14:paraId="50D55353" w14:textId="073540E4" w:rsidR="00C44608" w:rsidRPr="00F4454B" w:rsidRDefault="00C44608" w:rsidP="007F2535">
      <w:pPr>
        <w:pStyle w:val="ListParagraph"/>
        <w:numPr>
          <w:ilvl w:val="0"/>
          <w:numId w:val="26"/>
        </w:numPr>
        <w:spacing w:after="120"/>
        <w:ind w:left="851" w:hanging="284"/>
        <w:contextualSpacing w:val="0"/>
        <w:rPr>
          <w:rFonts w:ascii="Arial" w:hAnsi="Arial" w:cs="Arial"/>
          <w:sz w:val="23"/>
          <w:szCs w:val="23"/>
        </w:rPr>
      </w:pPr>
      <w:r w:rsidRPr="00F4454B">
        <w:rPr>
          <w:rFonts w:ascii="Arial" w:hAnsi="Arial" w:cs="Arial"/>
          <w:sz w:val="23"/>
          <w:szCs w:val="23"/>
        </w:rPr>
        <w:t>analyse progress against all of the socioeconomic outcome areas in the Agreement; and</w:t>
      </w:r>
    </w:p>
    <w:p w14:paraId="22EA76FD" w14:textId="44DC07EC" w:rsidR="00C44608" w:rsidRPr="006E22AE" w:rsidRDefault="00C44608" w:rsidP="007F2535">
      <w:pPr>
        <w:pStyle w:val="ListParagraph"/>
        <w:numPr>
          <w:ilvl w:val="0"/>
          <w:numId w:val="26"/>
        </w:numPr>
        <w:spacing w:after="240"/>
        <w:ind w:left="851" w:hanging="284"/>
        <w:contextualSpacing w:val="0"/>
        <w:rPr>
          <w:rFonts w:ascii="Arial" w:hAnsi="Arial" w:cs="Arial"/>
          <w:sz w:val="23"/>
          <w:szCs w:val="23"/>
        </w:rPr>
      </w:pPr>
      <w:r w:rsidRPr="00F4454B">
        <w:rPr>
          <w:rFonts w:ascii="Arial" w:hAnsi="Arial" w:cs="Arial"/>
          <w:sz w:val="23"/>
          <w:szCs w:val="23"/>
        </w:rPr>
        <w:t>examine the factors affecting progress.</w:t>
      </w:r>
    </w:p>
    <w:p w14:paraId="43EE00CC" w14:textId="05280E71" w:rsidR="00C44608" w:rsidRPr="00495466" w:rsidRDefault="008B7C74" w:rsidP="007F2535">
      <w:pPr>
        <w:pStyle w:val="Numberedparagraph"/>
      </w:pPr>
      <w:r w:rsidRPr="00F4454B">
        <w:t xml:space="preserve">In conducting the review, the Commission was tasked with providing </w:t>
      </w:r>
      <w:r w:rsidRPr="007F2E9F">
        <w:t>recommendations</w:t>
      </w:r>
      <w:r w:rsidR="00937826" w:rsidRPr="007F2E9F">
        <w:t>, where relevant,</w:t>
      </w:r>
      <w:r w:rsidRPr="007F2E9F">
        <w:t xml:space="preserve"> </w:t>
      </w:r>
      <w:r w:rsidRPr="006E22AE">
        <w:t xml:space="preserve">to the Joint Council on Closing the Gap on potential changes to the </w:t>
      </w:r>
      <w:r w:rsidR="0020401F" w:rsidRPr="007F2E9F">
        <w:t>A</w:t>
      </w:r>
      <w:r w:rsidRPr="007F2E9F">
        <w:t>greement and its targets, indicators</w:t>
      </w:r>
      <w:r w:rsidR="00C71420" w:rsidRPr="007F2E9F">
        <w:t xml:space="preserve"> and trajectories, and on data improvements.</w:t>
      </w:r>
      <w:r w:rsidR="00700B28">
        <w:t xml:space="preserve"> </w:t>
      </w:r>
      <w:r w:rsidR="00C71420" w:rsidRPr="007F2E9F">
        <w:t xml:space="preserve">It was to have regard to all aspects of the </w:t>
      </w:r>
      <w:r w:rsidR="0020401F" w:rsidRPr="007F2E9F">
        <w:t>A</w:t>
      </w:r>
      <w:r w:rsidR="00C71420" w:rsidRPr="007F2E9F">
        <w:t xml:space="preserve">greement, consider all parties’ implementation and annual </w:t>
      </w:r>
      <w:r w:rsidR="00C71420" w:rsidRPr="00495466">
        <w:t xml:space="preserve">reports, and draw on evaluations and other relevant evidence. </w:t>
      </w:r>
    </w:p>
    <w:p w14:paraId="70FE85F5" w14:textId="6A163798" w:rsidR="0085462D" w:rsidRPr="008C4A55" w:rsidRDefault="00C71420" w:rsidP="007F2535">
      <w:pPr>
        <w:pStyle w:val="Numberedparagraph"/>
      </w:pPr>
      <w:r w:rsidRPr="00CC2C55">
        <w:t>The Commission was required to consult broadly</w:t>
      </w:r>
      <w:r w:rsidR="00BE6FB4" w:rsidRPr="00CC2C55">
        <w:t>, particularly with First Nations people</w:t>
      </w:r>
      <w:r w:rsidR="0020401F" w:rsidRPr="007F2E9F">
        <w:t>,</w:t>
      </w:r>
      <w:r w:rsidR="00BE6FB4" w:rsidRPr="007F2E9F">
        <w:t xml:space="preserve"> communities,</w:t>
      </w:r>
      <w:r w:rsidRPr="007F2E9F">
        <w:t xml:space="preserve"> </w:t>
      </w:r>
      <w:r w:rsidR="00C2083E" w:rsidRPr="007F2E9F">
        <w:t xml:space="preserve">and organisations, </w:t>
      </w:r>
      <w:r w:rsidRPr="007F2E9F">
        <w:t xml:space="preserve">and </w:t>
      </w:r>
      <w:r w:rsidR="00BE6FB4" w:rsidRPr="008C4A55">
        <w:t xml:space="preserve">to </w:t>
      </w:r>
      <w:r w:rsidRPr="008C4A55">
        <w:t xml:space="preserve">invite submissions and provide other options </w:t>
      </w:r>
      <w:r w:rsidR="00C2083E" w:rsidRPr="008C4A55">
        <w:t xml:space="preserve">for </w:t>
      </w:r>
      <w:r w:rsidR="00C2083E" w:rsidRPr="007F2E9F">
        <w:t xml:space="preserve">people </w:t>
      </w:r>
      <w:r w:rsidRPr="007F2E9F">
        <w:t xml:space="preserve">to engage </w:t>
      </w:r>
      <w:r w:rsidR="00C2083E" w:rsidRPr="007F2E9F">
        <w:t>with</w:t>
      </w:r>
      <w:r w:rsidR="0085462D" w:rsidRPr="008C4A55">
        <w:t xml:space="preserve"> the </w:t>
      </w:r>
      <w:r w:rsidRPr="008C4A55">
        <w:t>review.</w:t>
      </w:r>
      <w:r w:rsidR="00700B28">
        <w:t xml:space="preserve"> </w:t>
      </w:r>
    </w:p>
    <w:p w14:paraId="68B63862" w14:textId="7FCF90A1" w:rsidR="00255E0A" w:rsidRPr="00CC2C55" w:rsidRDefault="00C71420" w:rsidP="007F2535">
      <w:pPr>
        <w:pStyle w:val="Numberedparagraph"/>
      </w:pPr>
      <w:r w:rsidRPr="00495466">
        <w:t xml:space="preserve">The review process </w:t>
      </w:r>
      <w:r w:rsidR="00255E0A" w:rsidRPr="00495466">
        <w:t>included the public release of a draft report, with a final report due by the end of 2023.</w:t>
      </w:r>
      <w:r w:rsidR="00700B28">
        <w:t xml:space="preserve"> </w:t>
      </w:r>
      <w:r w:rsidR="00255E0A" w:rsidRPr="00495466">
        <w:t>The draft report identifie</w:t>
      </w:r>
      <w:r w:rsidR="00C2083E" w:rsidRPr="007F2E9F">
        <w:t>d</w:t>
      </w:r>
      <w:r w:rsidR="00255E0A" w:rsidRPr="007F2E9F">
        <w:t xml:space="preserve"> a range of issues </w:t>
      </w:r>
      <w:r w:rsidR="00C2083E" w:rsidRPr="007F2E9F">
        <w:t xml:space="preserve">about </w:t>
      </w:r>
      <w:r w:rsidR="00255E0A" w:rsidRPr="007F2E9F">
        <w:t xml:space="preserve">which specific information </w:t>
      </w:r>
      <w:r w:rsidR="00C2083E" w:rsidRPr="007F2E9F">
        <w:t>wa</w:t>
      </w:r>
      <w:r w:rsidR="00255E0A" w:rsidRPr="007F2E9F">
        <w:t xml:space="preserve">s </w:t>
      </w:r>
      <w:r w:rsidR="008309C6" w:rsidRPr="007F2E9F">
        <w:t>sought and</w:t>
      </w:r>
      <w:r w:rsidR="00C2083E" w:rsidRPr="007F2E9F">
        <w:t xml:space="preserve"> </w:t>
      </w:r>
      <w:r w:rsidR="00255E0A" w:rsidRPr="007F2E9F">
        <w:t xml:space="preserve">invited </w:t>
      </w:r>
      <w:r w:rsidR="00C2083E" w:rsidRPr="007F2E9F">
        <w:t xml:space="preserve">comment </w:t>
      </w:r>
      <w:r w:rsidR="00255E0A" w:rsidRPr="00495466">
        <w:t>in relation to six</w:t>
      </w:r>
      <w:r w:rsidR="00944625" w:rsidRPr="00495466">
        <w:t xml:space="preserve"> </w:t>
      </w:r>
      <w:r w:rsidR="0085462D" w:rsidRPr="00495466">
        <w:t>draft recommendations</w:t>
      </w:r>
      <w:r w:rsidR="00944625" w:rsidRPr="00CC2C55">
        <w:t>.</w:t>
      </w:r>
      <w:r w:rsidR="00255E0A" w:rsidRPr="00CC2C55">
        <w:t xml:space="preserve"> </w:t>
      </w:r>
    </w:p>
    <w:p w14:paraId="65B35140" w14:textId="28F56502" w:rsidR="003A6880" w:rsidRPr="00CC2C55" w:rsidRDefault="00944625" w:rsidP="007F2535">
      <w:pPr>
        <w:pStyle w:val="Numberedparagraph"/>
      </w:pPr>
      <w:r w:rsidRPr="006E22AE">
        <w:t xml:space="preserve">This submission provides information </w:t>
      </w:r>
      <w:r w:rsidR="00FE6957" w:rsidRPr="006E22AE">
        <w:t>drawn from the QHRC’s experience in consulting with First Nations individuals, organisations</w:t>
      </w:r>
      <w:r w:rsidR="00383D01" w:rsidRPr="008C4A55">
        <w:t>,</w:t>
      </w:r>
      <w:r w:rsidR="00FE6957" w:rsidRPr="00495466">
        <w:t xml:space="preserve"> and communities in Queensland,</w:t>
      </w:r>
      <w:r w:rsidR="00FE6957" w:rsidRPr="00CC2C55">
        <w:t xml:space="preserve"> </w:t>
      </w:r>
      <w:r w:rsidR="00383D01" w:rsidRPr="006E22AE">
        <w:t>and responds</w:t>
      </w:r>
      <w:r w:rsidRPr="00F4454B">
        <w:t xml:space="preserve"> to </w:t>
      </w:r>
      <w:r w:rsidR="00887D12" w:rsidRPr="00F4454B">
        <w:t xml:space="preserve">two of the Commission’s </w:t>
      </w:r>
      <w:r w:rsidRPr="007F2E9F">
        <w:t>information requests</w:t>
      </w:r>
      <w:r w:rsidR="003A6880" w:rsidRPr="008C4A55">
        <w:t>.</w:t>
      </w:r>
      <w:r w:rsidR="00700B28">
        <w:t xml:space="preserve"> </w:t>
      </w:r>
      <w:r w:rsidR="00ED4B90" w:rsidRPr="008C4A55">
        <w:t xml:space="preserve">Its major focus is on </w:t>
      </w:r>
      <w:r w:rsidR="005E001C">
        <w:t>i</w:t>
      </w:r>
      <w:r w:rsidR="00ED4B90" w:rsidRPr="008C4A55">
        <w:t xml:space="preserve">nformation </w:t>
      </w:r>
      <w:r w:rsidR="005E001C">
        <w:t>r</w:t>
      </w:r>
      <w:r w:rsidR="00ED4B90" w:rsidRPr="008C4A55">
        <w:t>equest 9</w:t>
      </w:r>
      <w:r w:rsidR="00383D01" w:rsidRPr="008C4A55">
        <w:t xml:space="preserve"> that </w:t>
      </w:r>
      <w:r w:rsidR="00ED4B90" w:rsidRPr="006E22AE">
        <w:t>relat</w:t>
      </w:r>
      <w:r w:rsidR="00383D01" w:rsidRPr="006E22AE">
        <w:t>e</w:t>
      </w:r>
      <w:r w:rsidR="00383D01" w:rsidRPr="008C4A55">
        <w:t>s</w:t>
      </w:r>
      <w:r w:rsidR="00ED4B90" w:rsidRPr="008C4A55">
        <w:t xml:space="preserve"> to an independent mechanism to drive accountability.</w:t>
      </w:r>
      <w:r w:rsidR="00700B28">
        <w:t xml:space="preserve"> </w:t>
      </w:r>
      <w:r w:rsidR="00C421F9" w:rsidRPr="008C4A55">
        <w:t>T</w:t>
      </w:r>
      <w:r w:rsidR="00B266D0" w:rsidRPr="008C4A55">
        <w:t xml:space="preserve">he content and </w:t>
      </w:r>
      <w:r w:rsidR="00B266D0" w:rsidRPr="006E22AE">
        <w:t xml:space="preserve">principles </w:t>
      </w:r>
      <w:r w:rsidR="002E6E33" w:rsidRPr="006E22AE">
        <w:t xml:space="preserve">put </w:t>
      </w:r>
      <w:r w:rsidR="002E6E33" w:rsidRPr="008C4A55">
        <w:t xml:space="preserve">forward </w:t>
      </w:r>
      <w:r w:rsidR="00B266D0" w:rsidRPr="00495466">
        <w:t xml:space="preserve">in this </w:t>
      </w:r>
      <w:r w:rsidR="00C421F9" w:rsidRPr="00495466">
        <w:t xml:space="preserve">part of the </w:t>
      </w:r>
      <w:r w:rsidR="00B266D0" w:rsidRPr="00495466">
        <w:t>submission have potential application throughout Australia</w:t>
      </w:r>
      <w:r w:rsidR="009362B5" w:rsidRPr="00CC2C55">
        <w:t xml:space="preserve">. </w:t>
      </w:r>
    </w:p>
    <w:p w14:paraId="2D5B4845" w14:textId="0E60CEAB" w:rsidR="00714C6D" w:rsidRPr="006E22AE" w:rsidRDefault="00C421F9" w:rsidP="007F2535">
      <w:pPr>
        <w:pStyle w:val="Numberedparagraph"/>
      </w:pPr>
      <w:r w:rsidRPr="006E22AE">
        <w:t>The submission</w:t>
      </w:r>
      <w:r w:rsidR="00530FC1" w:rsidRPr="006E22AE">
        <w:t xml:space="preserve"> also </w:t>
      </w:r>
      <w:r w:rsidR="0067569C" w:rsidRPr="006E22AE">
        <w:t>provide</w:t>
      </w:r>
      <w:r w:rsidR="00530FC1" w:rsidRPr="006E22AE">
        <w:t>s</w:t>
      </w:r>
      <w:r w:rsidR="0067569C" w:rsidRPr="006E22AE">
        <w:t xml:space="preserve"> brief </w:t>
      </w:r>
      <w:r w:rsidR="00395172" w:rsidRPr="006E22AE">
        <w:t>comment</w:t>
      </w:r>
      <w:r w:rsidR="0067569C" w:rsidRPr="006E22AE">
        <w:t xml:space="preserve"> </w:t>
      </w:r>
      <w:r w:rsidR="00F8653A" w:rsidRPr="006E22AE">
        <w:t xml:space="preserve">in response to </w:t>
      </w:r>
      <w:r w:rsidR="004619FB" w:rsidRPr="006E22AE">
        <w:t>I</w:t>
      </w:r>
      <w:r w:rsidR="00F8653A" w:rsidRPr="006E22AE">
        <w:t xml:space="preserve">nformation </w:t>
      </w:r>
      <w:r w:rsidR="004619FB" w:rsidRPr="006E22AE">
        <w:t>R</w:t>
      </w:r>
      <w:r w:rsidR="00F8653A" w:rsidRPr="006E22AE">
        <w:t xml:space="preserve">equest 8 and </w:t>
      </w:r>
      <w:r w:rsidR="00395172" w:rsidRPr="006E22AE">
        <w:t>on Draft Recommendation 4</w:t>
      </w:r>
      <w:r w:rsidR="00F8653A" w:rsidRPr="006E22AE">
        <w:t xml:space="preserve">, which respectively relate to </w:t>
      </w:r>
      <w:r w:rsidR="00DF7DA0" w:rsidRPr="006E22AE">
        <w:t xml:space="preserve">the quality of implementation plans and </w:t>
      </w:r>
      <w:r w:rsidR="00395172" w:rsidRPr="006E22AE">
        <w:t xml:space="preserve">changes to Cabinet, </w:t>
      </w:r>
      <w:r w:rsidR="002E6E33" w:rsidRPr="006E22AE">
        <w:t>b</w:t>
      </w:r>
      <w:r w:rsidR="00395172" w:rsidRPr="006E22AE">
        <w:t>udget, funding</w:t>
      </w:r>
      <w:r w:rsidR="002E6E33" w:rsidRPr="006E22AE">
        <w:t>,</w:t>
      </w:r>
      <w:r w:rsidR="00395172" w:rsidRPr="006E22AE">
        <w:t xml:space="preserve"> and contracting arrangements.</w:t>
      </w:r>
      <w:r w:rsidR="00700B28">
        <w:t xml:space="preserve"> </w:t>
      </w:r>
      <w:r w:rsidR="00DF7DA0" w:rsidRPr="006E22AE">
        <w:t xml:space="preserve"> </w:t>
      </w:r>
    </w:p>
    <w:p w14:paraId="4FB100EA" w14:textId="350788C7" w:rsidR="004822B6" w:rsidRPr="0058519A" w:rsidRDefault="004822B6" w:rsidP="007F2535">
      <w:pPr>
        <w:pStyle w:val="Heading1"/>
        <w:rPr>
          <w:rFonts w:eastAsia="MS Mincho"/>
        </w:rPr>
      </w:pPr>
      <w:r w:rsidRPr="006E22AE">
        <w:rPr>
          <w:rFonts w:eastAsia="MS Mincho"/>
        </w:rPr>
        <w:t>Summary</w:t>
      </w:r>
      <w:r w:rsidR="006D2B81" w:rsidRPr="006E22AE">
        <w:rPr>
          <w:rFonts w:eastAsia="MS Mincho"/>
        </w:rPr>
        <w:t xml:space="preserve"> and </w:t>
      </w:r>
      <w:r w:rsidR="002E6E33" w:rsidRPr="008C4A55">
        <w:rPr>
          <w:rFonts w:eastAsia="MS Mincho"/>
        </w:rPr>
        <w:t>r</w:t>
      </w:r>
      <w:r w:rsidR="006D2B81" w:rsidRPr="008C4A55">
        <w:rPr>
          <w:rFonts w:eastAsia="MS Mincho"/>
        </w:rPr>
        <w:t>ecommendations</w:t>
      </w:r>
    </w:p>
    <w:p w14:paraId="1E5DAE5D" w14:textId="317F4614" w:rsidR="00624C77" w:rsidRPr="008C4A55" w:rsidRDefault="00184BE7" w:rsidP="007F2535">
      <w:pPr>
        <w:pStyle w:val="Numberedparagraph"/>
        <w:rPr>
          <w:lang w:eastAsia="en-AU"/>
        </w:rPr>
      </w:pPr>
      <w:r w:rsidRPr="0058519A">
        <w:rPr>
          <w:lang w:eastAsia="en-AU"/>
        </w:rPr>
        <w:t>In broa</w:t>
      </w:r>
      <w:r w:rsidRPr="008C4A55">
        <w:rPr>
          <w:lang w:eastAsia="en-AU"/>
        </w:rPr>
        <w:t>d terms, t</w:t>
      </w:r>
      <w:r w:rsidR="00E54D22" w:rsidRPr="008C4A55">
        <w:rPr>
          <w:lang w:eastAsia="en-AU"/>
        </w:rPr>
        <w:t xml:space="preserve">he QHRC supports all </w:t>
      </w:r>
      <w:r w:rsidRPr="008C4A55">
        <w:rPr>
          <w:lang w:eastAsia="en-AU"/>
        </w:rPr>
        <w:t xml:space="preserve">of </w:t>
      </w:r>
      <w:r w:rsidR="00E54D22" w:rsidRPr="008C4A55">
        <w:rPr>
          <w:lang w:eastAsia="en-AU"/>
        </w:rPr>
        <w:t>the Commission’s draft recommendations</w:t>
      </w:r>
      <w:r w:rsidR="00E54D22" w:rsidRPr="006E22AE">
        <w:rPr>
          <w:lang w:eastAsia="en-AU"/>
        </w:rPr>
        <w:t xml:space="preserve">. </w:t>
      </w:r>
      <w:r w:rsidR="00624C77" w:rsidRPr="00F4454B">
        <w:rPr>
          <w:lang w:eastAsia="en-AU"/>
        </w:rPr>
        <w:t>However, significant structural change to the framework of government and community partnership</w:t>
      </w:r>
      <w:r w:rsidR="008D4265" w:rsidRPr="00F4454B">
        <w:rPr>
          <w:lang w:eastAsia="en-AU"/>
        </w:rPr>
        <w:t>s</w:t>
      </w:r>
      <w:r w:rsidR="00624C77" w:rsidRPr="00F4454B">
        <w:rPr>
          <w:lang w:eastAsia="en-AU"/>
        </w:rPr>
        <w:t xml:space="preserve"> </w:t>
      </w:r>
      <w:r w:rsidR="00714C6D" w:rsidRPr="007F2E9F">
        <w:rPr>
          <w:lang w:eastAsia="en-AU"/>
        </w:rPr>
        <w:t xml:space="preserve">within which the Agreement is negotiated </w:t>
      </w:r>
      <w:r w:rsidR="00624C77" w:rsidRPr="008C4A55">
        <w:rPr>
          <w:lang w:eastAsia="en-AU"/>
        </w:rPr>
        <w:t xml:space="preserve">is required before real progress on </w:t>
      </w:r>
      <w:r w:rsidR="00395172" w:rsidRPr="008C4A55">
        <w:rPr>
          <w:lang w:eastAsia="en-AU"/>
        </w:rPr>
        <w:t>C</w:t>
      </w:r>
      <w:r w:rsidR="00624C77" w:rsidRPr="008C4A55">
        <w:rPr>
          <w:lang w:eastAsia="en-AU"/>
        </w:rPr>
        <w:t xml:space="preserve">losing the </w:t>
      </w:r>
      <w:r w:rsidR="00395172" w:rsidRPr="008C4A55">
        <w:rPr>
          <w:lang w:eastAsia="en-AU"/>
        </w:rPr>
        <w:t>G</w:t>
      </w:r>
      <w:r w:rsidR="00624C77" w:rsidRPr="008C4A55">
        <w:rPr>
          <w:lang w:eastAsia="en-AU"/>
        </w:rPr>
        <w:t xml:space="preserve">ap </w:t>
      </w:r>
      <w:r w:rsidR="008D4265" w:rsidRPr="008C4A55">
        <w:rPr>
          <w:lang w:eastAsia="en-AU"/>
        </w:rPr>
        <w:t>can be</w:t>
      </w:r>
      <w:r w:rsidR="00624C77" w:rsidRPr="008C4A55">
        <w:rPr>
          <w:lang w:eastAsia="en-AU"/>
        </w:rPr>
        <w:t xml:space="preserve"> achieved. </w:t>
      </w:r>
    </w:p>
    <w:p w14:paraId="73762C52" w14:textId="2309CEB8" w:rsidR="00624C77" w:rsidRPr="00E6277B" w:rsidRDefault="00624C77" w:rsidP="007F2535">
      <w:pPr>
        <w:pStyle w:val="Numberedparagraph"/>
        <w:rPr>
          <w:lang w:eastAsia="en-AU"/>
        </w:rPr>
      </w:pPr>
      <w:r w:rsidRPr="008C4A55">
        <w:rPr>
          <w:lang w:eastAsia="en-AU"/>
        </w:rPr>
        <w:t xml:space="preserve">Existing structures have arisen reactively, rather than being </w:t>
      </w:r>
      <w:r w:rsidR="008D4265" w:rsidRPr="008C4A55">
        <w:rPr>
          <w:lang w:eastAsia="en-AU"/>
        </w:rPr>
        <w:t xml:space="preserve">designed </w:t>
      </w:r>
      <w:r w:rsidRPr="008C4A55">
        <w:rPr>
          <w:lang w:eastAsia="en-AU"/>
        </w:rPr>
        <w:t xml:space="preserve">proactively </w:t>
      </w:r>
      <w:r w:rsidR="008D4265" w:rsidRPr="008C4A55">
        <w:rPr>
          <w:lang w:eastAsia="en-AU"/>
        </w:rPr>
        <w:t>w</w:t>
      </w:r>
      <w:r w:rsidRPr="008C4A55">
        <w:rPr>
          <w:lang w:eastAsia="en-AU"/>
        </w:rPr>
        <w:t xml:space="preserve">ith the goal of addressing </w:t>
      </w:r>
      <w:r w:rsidR="008D4265" w:rsidRPr="008C4A55">
        <w:rPr>
          <w:lang w:eastAsia="en-AU"/>
        </w:rPr>
        <w:t>‘</w:t>
      </w:r>
      <w:r w:rsidR="00FF76C4" w:rsidRPr="008C4A55">
        <w:rPr>
          <w:lang w:eastAsia="en-AU"/>
        </w:rPr>
        <w:t xml:space="preserve">the </w:t>
      </w:r>
      <w:r w:rsidR="008D4265" w:rsidRPr="008C4A55">
        <w:rPr>
          <w:lang w:eastAsia="en-AU"/>
        </w:rPr>
        <w:t>G</w:t>
      </w:r>
      <w:r w:rsidR="00FF76C4" w:rsidRPr="008C4A55">
        <w:rPr>
          <w:lang w:eastAsia="en-AU"/>
        </w:rPr>
        <w:t>ap</w:t>
      </w:r>
      <w:r w:rsidR="008D4265" w:rsidRPr="008C4A55">
        <w:rPr>
          <w:lang w:eastAsia="en-AU"/>
        </w:rPr>
        <w:t>’</w:t>
      </w:r>
      <w:r w:rsidR="00714C6D" w:rsidRPr="008C4A55">
        <w:rPr>
          <w:lang w:eastAsia="en-AU"/>
        </w:rPr>
        <w:t xml:space="preserve"> </w:t>
      </w:r>
      <w:r w:rsidR="00714C6D" w:rsidRPr="006E22AE">
        <w:rPr>
          <w:lang w:eastAsia="en-AU"/>
        </w:rPr>
        <w:t xml:space="preserve">and its </w:t>
      </w:r>
      <w:r w:rsidR="002769FD" w:rsidRPr="00F4454B">
        <w:rPr>
          <w:lang w:eastAsia="en-AU"/>
        </w:rPr>
        <w:t xml:space="preserve">many </w:t>
      </w:r>
      <w:r w:rsidR="00714C6D" w:rsidRPr="00F4454B">
        <w:rPr>
          <w:lang w:eastAsia="en-AU"/>
        </w:rPr>
        <w:t>causes</w:t>
      </w:r>
      <w:r w:rsidR="002769FD" w:rsidRPr="00F4454B">
        <w:rPr>
          <w:lang w:eastAsia="en-AU"/>
        </w:rPr>
        <w:t xml:space="preserve">, </w:t>
      </w:r>
      <w:r w:rsidR="002769FD" w:rsidRPr="008C4A55">
        <w:rPr>
          <w:lang w:eastAsia="en-AU"/>
        </w:rPr>
        <w:t>particular</w:t>
      </w:r>
      <w:r w:rsidR="008D4265" w:rsidRPr="008C4A55">
        <w:rPr>
          <w:lang w:eastAsia="en-AU"/>
        </w:rPr>
        <w:t>ly</w:t>
      </w:r>
      <w:r w:rsidR="00FF76C4" w:rsidRPr="008C4A55">
        <w:rPr>
          <w:lang w:eastAsia="en-AU"/>
        </w:rPr>
        <w:t xml:space="preserve"> </w:t>
      </w:r>
      <w:r w:rsidRPr="0058519A">
        <w:rPr>
          <w:lang w:eastAsia="en-AU"/>
        </w:rPr>
        <w:t xml:space="preserve">the </w:t>
      </w:r>
      <w:r w:rsidR="002769FD" w:rsidRPr="0058519A">
        <w:rPr>
          <w:lang w:eastAsia="en-AU"/>
        </w:rPr>
        <w:t xml:space="preserve">significant </w:t>
      </w:r>
      <w:r w:rsidRPr="00E6277B">
        <w:rPr>
          <w:lang w:eastAsia="en-AU"/>
        </w:rPr>
        <w:t>power imbalance</w:t>
      </w:r>
      <w:r w:rsidR="002769FD" w:rsidRPr="00E6277B">
        <w:rPr>
          <w:lang w:eastAsia="en-AU"/>
        </w:rPr>
        <w:t xml:space="preserve"> that exists</w:t>
      </w:r>
      <w:r w:rsidRPr="00E6277B">
        <w:rPr>
          <w:lang w:eastAsia="en-AU"/>
        </w:rPr>
        <w:t xml:space="preserve"> between government and First Nations communities</w:t>
      </w:r>
      <w:r w:rsidR="00D46127" w:rsidRPr="00E6277B">
        <w:rPr>
          <w:lang w:eastAsia="en-AU"/>
        </w:rPr>
        <w:t xml:space="preserve"> and organisations</w:t>
      </w:r>
      <w:r w:rsidRPr="00E6277B">
        <w:rPr>
          <w:lang w:eastAsia="en-AU"/>
        </w:rPr>
        <w:t xml:space="preserve">. </w:t>
      </w:r>
      <w:r w:rsidRPr="008C4A55">
        <w:rPr>
          <w:lang w:eastAsia="en-AU"/>
        </w:rPr>
        <w:t xml:space="preserve">As a result, government and community organisations working towards </w:t>
      </w:r>
      <w:r w:rsidR="004619FB" w:rsidRPr="00E6277B">
        <w:rPr>
          <w:lang w:eastAsia="en-AU"/>
        </w:rPr>
        <w:lastRenderedPageBreak/>
        <w:t>C</w:t>
      </w:r>
      <w:r w:rsidRPr="00E6277B">
        <w:rPr>
          <w:lang w:eastAsia="en-AU"/>
        </w:rPr>
        <w:t xml:space="preserve">losing the </w:t>
      </w:r>
      <w:r w:rsidR="004619FB" w:rsidRPr="00E6277B">
        <w:rPr>
          <w:lang w:eastAsia="en-AU"/>
        </w:rPr>
        <w:t>G</w:t>
      </w:r>
      <w:r w:rsidRPr="00E6277B">
        <w:rPr>
          <w:lang w:eastAsia="en-AU"/>
        </w:rPr>
        <w:t xml:space="preserve">ap in their various sectors lack the authority and capacity to direct and lead change. </w:t>
      </w:r>
    </w:p>
    <w:p w14:paraId="3F3DFFDE" w14:textId="1A6E7BCB" w:rsidR="00624C77" w:rsidRPr="007F2E9F" w:rsidRDefault="00624C77" w:rsidP="007F2535">
      <w:pPr>
        <w:pStyle w:val="Numberedparagraph"/>
        <w:rPr>
          <w:lang w:eastAsia="en-AU"/>
        </w:rPr>
      </w:pPr>
      <w:r w:rsidRPr="00E6277B">
        <w:rPr>
          <w:lang w:eastAsia="en-AU"/>
        </w:rPr>
        <w:t>While government</w:t>
      </w:r>
      <w:r w:rsidR="00D46127" w:rsidRPr="00E6277B">
        <w:rPr>
          <w:lang w:eastAsia="en-AU"/>
        </w:rPr>
        <w:t>s generally have</w:t>
      </w:r>
      <w:r w:rsidRPr="00E6277B">
        <w:rPr>
          <w:lang w:eastAsia="en-AU"/>
        </w:rPr>
        <w:t xml:space="preserve"> authority to hold community organisations to account through funding </w:t>
      </w:r>
      <w:r w:rsidR="008D4265" w:rsidRPr="006E22AE">
        <w:rPr>
          <w:lang w:eastAsia="en-AU"/>
        </w:rPr>
        <w:t>arrangements</w:t>
      </w:r>
      <w:r w:rsidRPr="00F4454B">
        <w:rPr>
          <w:lang w:eastAsia="en-AU"/>
        </w:rPr>
        <w:t>, the Agreement does not effectively hold governments to the same level of accountability when commitments are not met.</w:t>
      </w:r>
      <w:r w:rsidR="00700B28">
        <w:rPr>
          <w:lang w:eastAsia="en-AU"/>
        </w:rPr>
        <w:t xml:space="preserve"> </w:t>
      </w:r>
    </w:p>
    <w:p w14:paraId="67608B2E" w14:textId="6C5A42C0" w:rsidR="00624C77" w:rsidRPr="00F4454B" w:rsidRDefault="004B782E" w:rsidP="007F2535">
      <w:pPr>
        <w:pStyle w:val="Numberedparagraph"/>
        <w:rPr>
          <w:lang w:eastAsia="en-AU"/>
        </w:rPr>
      </w:pPr>
      <w:r w:rsidRPr="008C4A55">
        <w:rPr>
          <w:lang w:eastAsia="en-AU"/>
        </w:rPr>
        <w:t xml:space="preserve">This submission suggests ways to improve </w:t>
      </w:r>
      <w:r w:rsidR="004619FB" w:rsidRPr="008C4A55">
        <w:rPr>
          <w:lang w:eastAsia="en-AU"/>
        </w:rPr>
        <w:t>accountability</w:t>
      </w:r>
      <w:r w:rsidR="004619FB" w:rsidRPr="0058519A">
        <w:rPr>
          <w:lang w:eastAsia="en-AU"/>
        </w:rPr>
        <w:t xml:space="preserve"> </w:t>
      </w:r>
      <w:r w:rsidR="00BC780A" w:rsidRPr="0058519A">
        <w:rPr>
          <w:lang w:eastAsia="en-AU"/>
        </w:rPr>
        <w:t>(</w:t>
      </w:r>
      <w:r w:rsidR="004619FB" w:rsidRPr="0058519A">
        <w:rPr>
          <w:lang w:eastAsia="en-AU"/>
        </w:rPr>
        <w:t xml:space="preserve">and therefore </w:t>
      </w:r>
      <w:r w:rsidR="009928B4" w:rsidRPr="0058519A">
        <w:rPr>
          <w:lang w:eastAsia="en-AU"/>
        </w:rPr>
        <w:t xml:space="preserve">make </w:t>
      </w:r>
      <w:r w:rsidRPr="0058519A">
        <w:rPr>
          <w:lang w:eastAsia="en-AU"/>
        </w:rPr>
        <w:t>progress</w:t>
      </w:r>
      <w:r w:rsidR="00BC780A" w:rsidRPr="0058519A">
        <w:rPr>
          <w:lang w:eastAsia="en-AU"/>
        </w:rPr>
        <w:t>)</w:t>
      </w:r>
      <w:r w:rsidRPr="0058519A">
        <w:rPr>
          <w:lang w:eastAsia="en-AU"/>
        </w:rPr>
        <w:t xml:space="preserve"> </w:t>
      </w:r>
      <w:r w:rsidR="002769FD" w:rsidRPr="0058519A">
        <w:rPr>
          <w:lang w:eastAsia="en-AU"/>
        </w:rPr>
        <w:t>by</w:t>
      </w:r>
      <w:r w:rsidRPr="0058519A">
        <w:rPr>
          <w:lang w:eastAsia="en-AU"/>
        </w:rPr>
        <w:t xml:space="preserve"> changing the framework within which the parties negotiate and hold each other accountable for </w:t>
      </w:r>
      <w:r w:rsidR="00492BD7" w:rsidRPr="0058519A">
        <w:rPr>
          <w:lang w:eastAsia="en-AU"/>
        </w:rPr>
        <w:t xml:space="preserve">their </w:t>
      </w:r>
      <w:r w:rsidRPr="0058519A">
        <w:rPr>
          <w:lang w:eastAsia="en-AU"/>
        </w:rPr>
        <w:t xml:space="preserve">performance </w:t>
      </w:r>
      <w:r w:rsidR="00492BD7" w:rsidRPr="0058519A">
        <w:rPr>
          <w:lang w:eastAsia="en-AU"/>
        </w:rPr>
        <w:t>under</w:t>
      </w:r>
      <w:r w:rsidRPr="0058519A">
        <w:rPr>
          <w:lang w:eastAsia="en-AU"/>
        </w:rPr>
        <w:t xml:space="preserve"> the Agreement</w:t>
      </w:r>
      <w:r w:rsidR="002769FD" w:rsidRPr="0058519A">
        <w:rPr>
          <w:lang w:eastAsia="en-AU"/>
        </w:rPr>
        <w:t>.</w:t>
      </w:r>
      <w:r w:rsidR="00700B28">
        <w:rPr>
          <w:lang w:eastAsia="en-AU"/>
        </w:rPr>
        <w:t xml:space="preserve"> </w:t>
      </w:r>
      <w:r w:rsidR="009928B4" w:rsidRPr="0058519A">
        <w:rPr>
          <w:lang w:eastAsia="en-AU"/>
        </w:rPr>
        <w:t>However, n</w:t>
      </w:r>
      <w:r w:rsidR="002769FD" w:rsidRPr="0058519A">
        <w:rPr>
          <w:lang w:eastAsia="en-AU"/>
        </w:rPr>
        <w:t>ew legislation</w:t>
      </w:r>
      <w:r w:rsidR="00DC25DC" w:rsidRPr="0058519A">
        <w:t xml:space="preserve"> </w:t>
      </w:r>
      <w:r w:rsidR="00DC25DC" w:rsidRPr="006E22AE">
        <w:rPr>
          <w:lang w:eastAsia="en-AU"/>
        </w:rPr>
        <w:t>may be necessary</w:t>
      </w:r>
      <w:r w:rsidR="00DC25DC" w:rsidRPr="00F4454B">
        <w:rPr>
          <w:lang w:eastAsia="en-AU"/>
        </w:rPr>
        <w:t xml:space="preserve"> to</w:t>
      </w:r>
      <w:r w:rsidRPr="00F4454B">
        <w:rPr>
          <w:lang w:eastAsia="en-AU"/>
        </w:rPr>
        <w:t xml:space="preserve"> establish the proposed framework.</w:t>
      </w:r>
      <w:r w:rsidRPr="0058519A">
        <w:rPr>
          <w:lang w:eastAsia="en-AU"/>
        </w:rPr>
        <w:t xml:space="preserve"> The suggestions made </w:t>
      </w:r>
      <w:r w:rsidR="00492BD7" w:rsidRPr="0058519A">
        <w:rPr>
          <w:lang w:eastAsia="en-AU"/>
        </w:rPr>
        <w:t xml:space="preserve">here </w:t>
      </w:r>
      <w:r w:rsidRPr="0058519A">
        <w:rPr>
          <w:lang w:eastAsia="en-AU"/>
        </w:rPr>
        <w:t xml:space="preserve">are relevant to all four </w:t>
      </w:r>
      <w:r w:rsidR="00492BD7" w:rsidRPr="0058519A">
        <w:rPr>
          <w:lang w:eastAsia="en-AU"/>
        </w:rPr>
        <w:t>P</w:t>
      </w:r>
      <w:r w:rsidRPr="0058519A">
        <w:rPr>
          <w:lang w:eastAsia="en-AU"/>
        </w:rPr>
        <w:t xml:space="preserve">riority </w:t>
      </w:r>
      <w:r w:rsidR="009928B4" w:rsidRPr="0058519A">
        <w:rPr>
          <w:lang w:eastAsia="en-AU"/>
        </w:rPr>
        <w:t>R</w:t>
      </w:r>
      <w:r w:rsidRPr="0058519A">
        <w:rPr>
          <w:lang w:eastAsia="en-AU"/>
        </w:rPr>
        <w:t>eforms</w:t>
      </w:r>
      <w:r w:rsidRPr="006E22AE">
        <w:rPr>
          <w:lang w:eastAsia="en-AU"/>
        </w:rPr>
        <w:t>.</w:t>
      </w:r>
      <w:r w:rsidR="00700B28">
        <w:rPr>
          <w:lang w:eastAsia="en-AU"/>
        </w:rPr>
        <w:t xml:space="preserve"> </w:t>
      </w:r>
      <w:r w:rsidR="00DC25DC" w:rsidRPr="00F4454B">
        <w:rPr>
          <w:lang w:eastAsia="en-AU"/>
        </w:rPr>
        <w:t xml:space="preserve"> </w:t>
      </w:r>
    </w:p>
    <w:p w14:paraId="78ECA0BA" w14:textId="103DB30C" w:rsidR="00B54437" w:rsidRPr="00E6277B" w:rsidRDefault="0085462D" w:rsidP="007F2535">
      <w:pPr>
        <w:pStyle w:val="Numberedparagraph"/>
        <w:rPr>
          <w:lang w:eastAsia="en-AU"/>
        </w:rPr>
      </w:pPr>
      <w:r w:rsidRPr="007F2E9F">
        <w:rPr>
          <w:lang w:eastAsia="en-AU"/>
        </w:rPr>
        <w:t>Th</w:t>
      </w:r>
      <w:r w:rsidR="002769FD" w:rsidRPr="007F2E9F">
        <w:rPr>
          <w:lang w:eastAsia="en-AU"/>
        </w:rPr>
        <w:t>e</w:t>
      </w:r>
      <w:r w:rsidR="0059012E" w:rsidRPr="008C4A55">
        <w:rPr>
          <w:lang w:eastAsia="en-AU"/>
        </w:rPr>
        <w:t xml:space="preserve"> submission makes </w:t>
      </w:r>
      <w:r w:rsidRPr="008C4A55">
        <w:rPr>
          <w:lang w:eastAsia="en-AU"/>
        </w:rPr>
        <w:t xml:space="preserve">suggestions </w:t>
      </w:r>
      <w:r w:rsidR="008164B0" w:rsidRPr="0058519A">
        <w:rPr>
          <w:lang w:eastAsia="en-AU"/>
        </w:rPr>
        <w:t xml:space="preserve">to </w:t>
      </w:r>
      <w:r w:rsidRPr="0058519A">
        <w:rPr>
          <w:lang w:eastAsia="en-AU"/>
        </w:rPr>
        <w:t xml:space="preserve">improve the </w:t>
      </w:r>
      <w:r w:rsidR="0059012E" w:rsidRPr="0058519A">
        <w:rPr>
          <w:lang w:eastAsia="en-AU"/>
        </w:rPr>
        <w:t xml:space="preserve">fundamental </w:t>
      </w:r>
      <w:r w:rsidRPr="0058519A">
        <w:rPr>
          <w:lang w:eastAsia="en-AU"/>
        </w:rPr>
        <w:t xml:space="preserve">framework within which the </w:t>
      </w:r>
      <w:r w:rsidR="0059012E" w:rsidRPr="0058519A">
        <w:rPr>
          <w:lang w:eastAsia="en-AU"/>
        </w:rPr>
        <w:t>A</w:t>
      </w:r>
      <w:r w:rsidRPr="0058519A">
        <w:rPr>
          <w:lang w:eastAsia="en-AU"/>
        </w:rPr>
        <w:t>greement is negotiated, implemented, monitored</w:t>
      </w:r>
      <w:r w:rsidR="009928B4" w:rsidRPr="0058519A">
        <w:rPr>
          <w:lang w:eastAsia="en-AU"/>
        </w:rPr>
        <w:t>,</w:t>
      </w:r>
      <w:r w:rsidR="00B54437" w:rsidRPr="0058519A">
        <w:rPr>
          <w:lang w:eastAsia="en-AU"/>
        </w:rPr>
        <w:t xml:space="preserve"> and</w:t>
      </w:r>
      <w:r w:rsidRPr="0058519A">
        <w:rPr>
          <w:lang w:eastAsia="en-AU"/>
        </w:rPr>
        <w:t xml:space="preserve"> evaluated</w:t>
      </w:r>
      <w:r w:rsidR="00B54437" w:rsidRPr="0058519A">
        <w:rPr>
          <w:lang w:eastAsia="en-AU"/>
        </w:rPr>
        <w:t>, including:</w:t>
      </w:r>
    </w:p>
    <w:p w14:paraId="71DC132D" w14:textId="7C3D68ED" w:rsidR="00287146" w:rsidRPr="00F4454B" w:rsidRDefault="00EB4FF8" w:rsidP="007F2535">
      <w:pPr>
        <w:pStyle w:val="ListParagraph"/>
        <w:numPr>
          <w:ilvl w:val="1"/>
          <w:numId w:val="5"/>
        </w:numPr>
        <w:spacing w:after="240"/>
        <w:ind w:left="851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>e</w:t>
      </w:r>
      <w:r w:rsidR="00530FC1" w:rsidRPr="0058519A">
        <w:rPr>
          <w:rFonts w:ascii="Arial" w:eastAsia="MS Mincho" w:hAnsi="Arial" w:cs="Arial"/>
          <w:iCs/>
          <w:sz w:val="23"/>
          <w:szCs w:val="23"/>
          <w:lang w:eastAsia="en-AU"/>
        </w:rPr>
        <w:t>stablishin</w:t>
      </w:r>
      <w:r w:rsidR="00973FB6" w:rsidRPr="0058519A">
        <w:rPr>
          <w:rFonts w:ascii="Arial" w:eastAsia="MS Mincho" w:hAnsi="Arial" w:cs="Arial"/>
          <w:iCs/>
          <w:sz w:val="23"/>
          <w:szCs w:val="23"/>
          <w:lang w:eastAsia="en-AU"/>
        </w:rPr>
        <w:t>g</w:t>
      </w:r>
      <w:r w:rsidR="00530FC1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="00287146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new </w:t>
      </w:r>
      <w:r w:rsidR="00530FC1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First Nations </w:t>
      </w:r>
      <w:r w:rsidR="00F37662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statutory </w:t>
      </w:r>
      <w:r w:rsidR="00530FC1" w:rsidRPr="0058519A">
        <w:rPr>
          <w:rFonts w:ascii="Arial" w:eastAsia="MS Mincho" w:hAnsi="Arial" w:cs="Arial"/>
          <w:iCs/>
          <w:sz w:val="23"/>
          <w:szCs w:val="23"/>
          <w:lang w:eastAsia="en-AU"/>
        </w:rPr>
        <w:t>bod</w:t>
      </w:r>
      <w:r w:rsidR="009614F0" w:rsidRPr="0058519A">
        <w:rPr>
          <w:rFonts w:ascii="Arial" w:eastAsia="MS Mincho" w:hAnsi="Arial" w:cs="Arial"/>
          <w:iCs/>
          <w:sz w:val="23"/>
          <w:szCs w:val="23"/>
          <w:lang w:eastAsia="en-AU"/>
        </w:rPr>
        <w:t>ies in each state and territory</w:t>
      </w:r>
      <w:r w:rsidR="00973FB6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="00B37215" w:rsidRPr="0058519A">
        <w:rPr>
          <w:rFonts w:ascii="Arial" w:eastAsia="MS Mincho" w:hAnsi="Arial" w:cs="Arial"/>
          <w:iCs/>
          <w:sz w:val="23"/>
          <w:szCs w:val="23"/>
          <w:lang w:eastAsia="en-AU"/>
        </w:rPr>
        <w:t>consisting of members elected by First Nations</w:t>
      </w:r>
      <w:r w:rsidR="00DC25DC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peoples</w:t>
      </w:r>
      <w:r w:rsidR="00B37215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, </w:t>
      </w:r>
      <w:r w:rsidR="00305D53" w:rsidRPr="0058519A">
        <w:rPr>
          <w:rFonts w:ascii="Arial" w:eastAsia="MS Mincho" w:hAnsi="Arial" w:cs="Arial"/>
          <w:iCs/>
          <w:sz w:val="23"/>
          <w:szCs w:val="23"/>
          <w:lang w:eastAsia="en-AU"/>
        </w:rPr>
        <w:t>whose functions include</w:t>
      </w:r>
      <w:r w:rsidR="00287146" w:rsidRPr="006E22AE">
        <w:rPr>
          <w:rFonts w:ascii="Arial" w:eastAsia="MS Mincho" w:hAnsi="Arial" w:cs="Arial"/>
          <w:iCs/>
          <w:sz w:val="23"/>
          <w:szCs w:val="23"/>
          <w:lang w:eastAsia="en-AU"/>
        </w:rPr>
        <w:t>:</w:t>
      </w:r>
    </w:p>
    <w:p w14:paraId="101D4977" w14:textId="5AEF4ACD" w:rsidR="00287146" w:rsidRPr="0058519A" w:rsidRDefault="00F37662" w:rsidP="007F2535">
      <w:pPr>
        <w:pStyle w:val="ListParagraph"/>
        <w:numPr>
          <w:ilvl w:val="2"/>
          <w:numId w:val="20"/>
        </w:numPr>
        <w:spacing w:after="120"/>
        <w:ind w:left="1134" w:hanging="283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F4454B">
        <w:rPr>
          <w:rFonts w:ascii="Arial" w:eastAsia="MS Mincho" w:hAnsi="Arial" w:cs="Arial"/>
          <w:iCs/>
          <w:sz w:val="23"/>
          <w:szCs w:val="23"/>
          <w:lang w:eastAsia="en-AU"/>
        </w:rPr>
        <w:t>n</w:t>
      </w:r>
      <w:r w:rsidR="00530FC1" w:rsidRPr="00F4454B">
        <w:rPr>
          <w:rFonts w:ascii="Arial" w:eastAsia="MS Mincho" w:hAnsi="Arial" w:cs="Arial"/>
          <w:iCs/>
          <w:sz w:val="23"/>
          <w:szCs w:val="23"/>
          <w:lang w:eastAsia="en-AU"/>
        </w:rPr>
        <w:t>egotiating</w:t>
      </w:r>
      <w:r w:rsidR="00287146" w:rsidRPr="00F4454B">
        <w:rPr>
          <w:rFonts w:ascii="Arial" w:eastAsia="MS Mincho" w:hAnsi="Arial" w:cs="Arial"/>
          <w:iCs/>
          <w:sz w:val="23"/>
          <w:szCs w:val="23"/>
          <w:lang w:eastAsia="en-AU"/>
        </w:rPr>
        <w:t xml:space="preserve"> the Agreement</w:t>
      </w:r>
      <w:r w:rsidRPr="00F4454B">
        <w:rPr>
          <w:rFonts w:ascii="Arial" w:eastAsia="MS Mincho" w:hAnsi="Arial" w:cs="Arial"/>
          <w:iCs/>
          <w:sz w:val="23"/>
          <w:szCs w:val="23"/>
          <w:lang w:eastAsia="en-AU"/>
        </w:rPr>
        <w:t xml:space="preserve"> on behalf of the Coalition of Peaks</w:t>
      </w:r>
    </w:p>
    <w:p w14:paraId="22C0E8AA" w14:textId="3C3D06F1" w:rsidR="00F37662" w:rsidRPr="006E22AE" w:rsidRDefault="00F37662" w:rsidP="007F2535">
      <w:pPr>
        <w:pStyle w:val="ListParagraph"/>
        <w:numPr>
          <w:ilvl w:val="2"/>
          <w:numId w:val="20"/>
        </w:numPr>
        <w:spacing w:after="120"/>
        <w:ind w:left="1134" w:hanging="283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>m</w:t>
      </w:r>
      <w:r w:rsidR="00530FC1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onitoring and evaluating progress against the </w:t>
      </w:r>
      <w:r w:rsidR="005E62E5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four </w:t>
      </w:r>
      <w:r w:rsidR="008164B0" w:rsidRPr="0058519A">
        <w:rPr>
          <w:rFonts w:ascii="Arial" w:eastAsia="MS Mincho" w:hAnsi="Arial" w:cs="Arial"/>
          <w:iCs/>
          <w:sz w:val="23"/>
          <w:szCs w:val="23"/>
          <w:lang w:eastAsia="en-AU"/>
        </w:rPr>
        <w:t>P</w:t>
      </w:r>
      <w:r w:rsidR="005E62E5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riority </w:t>
      </w:r>
      <w:r w:rsidR="008164B0" w:rsidRPr="0058519A">
        <w:rPr>
          <w:rFonts w:ascii="Arial" w:eastAsia="MS Mincho" w:hAnsi="Arial" w:cs="Arial"/>
          <w:iCs/>
          <w:sz w:val="23"/>
          <w:szCs w:val="23"/>
          <w:lang w:eastAsia="en-AU"/>
        </w:rPr>
        <w:t>R</w:t>
      </w:r>
      <w:r w:rsidR="005E62E5" w:rsidRPr="0058519A">
        <w:rPr>
          <w:rFonts w:ascii="Arial" w:eastAsia="MS Mincho" w:hAnsi="Arial" w:cs="Arial"/>
          <w:iCs/>
          <w:sz w:val="23"/>
          <w:szCs w:val="23"/>
          <w:lang w:eastAsia="en-AU"/>
        </w:rPr>
        <w:t>eforms and all</w:t>
      </w:r>
      <w:r w:rsidR="00287146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socio-economic targets set out in the Agreement</w:t>
      </w:r>
      <w:r w:rsidR="00287146" w:rsidRPr="006E22AE">
        <w:rPr>
          <w:rStyle w:val="FootnoteReference"/>
          <w:rFonts w:ascii="Arial" w:eastAsia="MS Mincho" w:hAnsi="Arial" w:cs="Arial"/>
          <w:iCs/>
          <w:sz w:val="23"/>
          <w:szCs w:val="23"/>
          <w:lang w:eastAsia="en-AU"/>
        </w:rPr>
        <w:footnoteReference w:id="6"/>
      </w:r>
    </w:p>
    <w:p w14:paraId="1E0B3BB2" w14:textId="0C401163" w:rsidR="00E54D22" w:rsidRPr="0058519A" w:rsidRDefault="00F37662" w:rsidP="007F2535">
      <w:pPr>
        <w:pStyle w:val="ListParagraph"/>
        <w:numPr>
          <w:ilvl w:val="2"/>
          <w:numId w:val="20"/>
        </w:numPr>
        <w:spacing w:after="120"/>
        <w:ind w:left="1134" w:hanging="283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F4454B">
        <w:rPr>
          <w:rFonts w:ascii="Arial" w:eastAsia="MS Mincho" w:hAnsi="Arial" w:cs="Arial"/>
          <w:iCs/>
          <w:sz w:val="23"/>
          <w:szCs w:val="23"/>
          <w:lang w:eastAsia="en-AU"/>
        </w:rPr>
        <w:t>h</w:t>
      </w:r>
      <w:r w:rsidR="00E54D22" w:rsidRPr="00F4454B">
        <w:rPr>
          <w:rFonts w:ascii="Arial" w:eastAsia="MS Mincho" w:hAnsi="Arial" w:cs="Arial"/>
          <w:iCs/>
          <w:sz w:val="23"/>
          <w:szCs w:val="23"/>
          <w:lang w:eastAsia="en-AU"/>
        </w:rPr>
        <w:t xml:space="preserve">olding </w:t>
      </w:r>
      <w:r w:rsidR="008164B0" w:rsidRPr="0058519A">
        <w:rPr>
          <w:rFonts w:ascii="Arial" w:eastAsia="MS Mincho" w:hAnsi="Arial" w:cs="Arial"/>
          <w:iCs/>
          <w:sz w:val="23"/>
          <w:szCs w:val="23"/>
          <w:lang w:eastAsia="en-AU"/>
        </w:rPr>
        <w:t>g</w:t>
      </w:r>
      <w:r w:rsidR="00E54D22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overnment </w:t>
      </w: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parties </w:t>
      </w:r>
      <w:r w:rsidR="00E54D22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publicly accountable for </w:t>
      </w: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>their</w:t>
      </w:r>
      <w:r w:rsidR="00E54D22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actions in the performance of, or failure to comply with</w:t>
      </w:r>
      <w:r w:rsidR="00EB4FF8" w:rsidRPr="0058519A">
        <w:rPr>
          <w:rFonts w:ascii="Arial" w:eastAsia="MS Mincho" w:hAnsi="Arial" w:cs="Arial"/>
          <w:iCs/>
          <w:sz w:val="23"/>
          <w:szCs w:val="23"/>
          <w:lang w:eastAsia="en-AU"/>
        </w:rPr>
        <w:t>,</w:t>
      </w:r>
      <w:r w:rsidR="00E54D22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="00701B86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obligations under </w:t>
      </w:r>
      <w:r w:rsidR="00E54D22" w:rsidRPr="0058519A">
        <w:rPr>
          <w:rFonts w:ascii="Arial" w:eastAsia="MS Mincho" w:hAnsi="Arial" w:cs="Arial"/>
          <w:iCs/>
          <w:sz w:val="23"/>
          <w:szCs w:val="23"/>
          <w:lang w:eastAsia="en-AU"/>
        </w:rPr>
        <w:t>the Agreement.</w:t>
      </w:r>
    </w:p>
    <w:p w14:paraId="2344733C" w14:textId="10E7C188" w:rsidR="00305D53" w:rsidRPr="0058519A" w:rsidRDefault="00EB4FF8" w:rsidP="007F2535">
      <w:pPr>
        <w:pStyle w:val="ListParagraph"/>
        <w:numPr>
          <w:ilvl w:val="1"/>
          <w:numId w:val="5"/>
        </w:numPr>
        <w:spacing w:after="240"/>
        <w:ind w:left="851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>r</w:t>
      </w:r>
      <w:r w:rsidR="00E54D22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esourcing </w:t>
      </w:r>
      <w:r w:rsidR="000D3954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the new </w:t>
      </w:r>
      <w:r w:rsidR="0056275E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statutory body </w:t>
      </w:r>
      <w:r w:rsidR="000D3954" w:rsidRPr="0058519A">
        <w:rPr>
          <w:rFonts w:ascii="Arial" w:eastAsia="MS Mincho" w:hAnsi="Arial" w:cs="Arial"/>
          <w:iCs/>
          <w:sz w:val="23"/>
          <w:szCs w:val="23"/>
          <w:lang w:eastAsia="en-AU"/>
        </w:rPr>
        <w:t>with</w:t>
      </w:r>
      <w:r w:rsidR="00305D53" w:rsidRPr="0058519A">
        <w:rPr>
          <w:rFonts w:ascii="Arial" w:eastAsia="MS Mincho" w:hAnsi="Arial" w:cs="Arial"/>
          <w:iCs/>
          <w:sz w:val="23"/>
          <w:szCs w:val="23"/>
          <w:lang w:eastAsia="en-AU"/>
        </w:rPr>
        <w:t>:</w:t>
      </w:r>
      <w:r w:rsidR="000D3954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</w:p>
    <w:p w14:paraId="19DA85B4" w14:textId="25F84B96" w:rsidR="00305D53" w:rsidRPr="0058519A" w:rsidRDefault="00B37215" w:rsidP="007F2535">
      <w:pPr>
        <w:pStyle w:val="ListParagraph"/>
        <w:numPr>
          <w:ilvl w:val="2"/>
          <w:numId w:val="21"/>
        </w:numPr>
        <w:spacing w:after="120"/>
        <w:ind w:left="1134" w:hanging="283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>sufficient guaranteed long-term funding to</w:t>
      </w:r>
      <w:r w:rsidR="00305D53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="00DC25DC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maintain independence and </w:t>
      </w:r>
      <w:r w:rsidR="00305D53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ensure its ability to perform </w:t>
      </w:r>
      <w:r w:rsidR="0056275E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all </w:t>
      </w:r>
      <w:r w:rsidR="00305D53" w:rsidRPr="0058519A">
        <w:rPr>
          <w:rFonts w:ascii="Arial" w:eastAsia="MS Mincho" w:hAnsi="Arial" w:cs="Arial"/>
          <w:iCs/>
          <w:sz w:val="23"/>
          <w:szCs w:val="23"/>
          <w:lang w:eastAsia="en-AU"/>
        </w:rPr>
        <w:t>its functions</w:t>
      </w:r>
    </w:p>
    <w:p w14:paraId="54B179F6" w14:textId="62A0F96F" w:rsidR="00BC1C13" w:rsidRPr="0058519A" w:rsidRDefault="00F37662" w:rsidP="007F2535">
      <w:pPr>
        <w:pStyle w:val="ListParagraph"/>
        <w:numPr>
          <w:ilvl w:val="2"/>
          <w:numId w:val="21"/>
        </w:numPr>
        <w:spacing w:after="120"/>
        <w:ind w:left="1134" w:hanging="283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>access to expert advice</w:t>
      </w:r>
      <w:r w:rsidR="0056275E" w:rsidRPr="0058519A">
        <w:rPr>
          <w:rFonts w:ascii="Arial" w:eastAsia="MS Mincho" w:hAnsi="Arial" w:cs="Arial"/>
          <w:iCs/>
          <w:sz w:val="23"/>
          <w:szCs w:val="23"/>
          <w:lang w:eastAsia="en-AU"/>
        </w:rPr>
        <w:t>, including</w:t>
      </w:r>
      <w:r w:rsidR="00BC1C13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advice on:</w:t>
      </w:r>
      <w:r w:rsidR="0056275E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</w:p>
    <w:p w14:paraId="162E6F77" w14:textId="3AC785C6" w:rsidR="00BC1C13" w:rsidRPr="0058519A" w:rsidRDefault="0056275E" w:rsidP="007F2535">
      <w:pPr>
        <w:pStyle w:val="ListParagraph"/>
        <w:numPr>
          <w:ilvl w:val="4"/>
          <w:numId w:val="23"/>
        </w:numPr>
        <w:spacing w:after="120"/>
        <w:ind w:left="1418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>develop</w:t>
      </w:r>
      <w:r w:rsidR="00EB4FF8" w:rsidRPr="0058519A">
        <w:rPr>
          <w:rFonts w:ascii="Arial" w:eastAsia="MS Mincho" w:hAnsi="Arial" w:cs="Arial"/>
          <w:iCs/>
          <w:sz w:val="23"/>
          <w:szCs w:val="23"/>
          <w:lang w:eastAsia="en-AU"/>
        </w:rPr>
        <w:t>ing</w:t>
      </w:r>
      <w:r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an effective negotiating position and </w:t>
      </w:r>
      <w:r w:rsidR="00822CDC" w:rsidRPr="0058519A">
        <w:rPr>
          <w:rFonts w:ascii="Arial" w:eastAsia="MS Mincho" w:hAnsi="Arial" w:cs="Arial"/>
          <w:iCs/>
          <w:sz w:val="23"/>
          <w:szCs w:val="23"/>
          <w:lang w:eastAsia="en-AU"/>
        </w:rPr>
        <w:t>strategy</w:t>
      </w:r>
      <w:r w:rsidR="009614F0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for </w:t>
      </w:r>
      <w:r w:rsidR="000D5085" w:rsidRPr="0058519A">
        <w:rPr>
          <w:rFonts w:ascii="Arial" w:eastAsia="MS Mincho" w:hAnsi="Arial" w:cs="Arial"/>
          <w:iCs/>
          <w:sz w:val="23"/>
          <w:szCs w:val="23"/>
          <w:lang w:eastAsia="en-AU"/>
        </w:rPr>
        <w:t>managing</w:t>
      </w:r>
      <w:r w:rsidR="009614F0" w:rsidRPr="0058519A">
        <w:rPr>
          <w:rFonts w:ascii="Arial" w:eastAsia="MS Mincho" w:hAnsi="Arial" w:cs="Arial"/>
          <w:iCs/>
          <w:sz w:val="23"/>
          <w:szCs w:val="23"/>
          <w:lang w:eastAsia="en-AU"/>
        </w:rPr>
        <w:t xml:space="preserve"> future amendments to the Agreement</w:t>
      </w:r>
    </w:p>
    <w:p w14:paraId="32C15107" w14:textId="24C0D4EE" w:rsidR="00BC1C13" w:rsidRPr="00C345D5" w:rsidRDefault="001D058E" w:rsidP="007F2535">
      <w:pPr>
        <w:pStyle w:val="ListParagraph"/>
        <w:numPr>
          <w:ilvl w:val="4"/>
          <w:numId w:val="23"/>
        </w:numPr>
        <w:spacing w:after="120"/>
        <w:ind w:left="1418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C345D5">
        <w:rPr>
          <w:rFonts w:ascii="Arial" w:eastAsia="MS Mincho" w:hAnsi="Arial" w:cs="Arial"/>
          <w:iCs/>
          <w:sz w:val="23"/>
          <w:szCs w:val="23"/>
          <w:lang w:eastAsia="en-AU"/>
        </w:rPr>
        <w:t xml:space="preserve">determining </w:t>
      </w:r>
      <w:r w:rsidR="00E523EB" w:rsidRPr="00C345D5">
        <w:rPr>
          <w:rFonts w:ascii="Arial" w:eastAsia="MS Mincho" w:hAnsi="Arial" w:cs="Arial"/>
          <w:iCs/>
          <w:sz w:val="23"/>
          <w:szCs w:val="23"/>
          <w:lang w:eastAsia="en-AU"/>
        </w:rPr>
        <w:t xml:space="preserve">the </w:t>
      </w:r>
      <w:r w:rsidR="005E62E5" w:rsidRPr="00C345D5">
        <w:rPr>
          <w:rFonts w:ascii="Arial" w:eastAsia="MS Mincho" w:hAnsi="Arial" w:cs="Arial"/>
          <w:iCs/>
          <w:sz w:val="23"/>
          <w:szCs w:val="23"/>
          <w:lang w:eastAsia="en-AU"/>
        </w:rPr>
        <w:t>specific</w:t>
      </w:r>
      <w:r w:rsidR="00BC1C13" w:rsidRPr="00C345D5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="005E62E5" w:rsidRPr="00C345D5">
        <w:rPr>
          <w:rFonts w:ascii="Arial" w:eastAsia="MS Mincho" w:hAnsi="Arial" w:cs="Arial"/>
          <w:iCs/>
          <w:sz w:val="23"/>
          <w:szCs w:val="23"/>
          <w:lang w:eastAsia="en-AU"/>
        </w:rPr>
        <w:t>data</w:t>
      </w:r>
      <w:r w:rsidRPr="00C345D5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="004408CE" w:rsidRPr="00C345D5">
        <w:rPr>
          <w:rFonts w:ascii="Arial" w:eastAsia="MS Mincho" w:hAnsi="Arial" w:cs="Arial"/>
          <w:iCs/>
          <w:sz w:val="23"/>
          <w:szCs w:val="23"/>
          <w:lang w:eastAsia="en-AU"/>
        </w:rPr>
        <w:t>required to effectively perform its functions, from a suitable qualified statistician, and</w:t>
      </w:r>
      <w:r w:rsidR="00700B28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Pr="00C345D5">
        <w:rPr>
          <w:rFonts w:ascii="Arial" w:eastAsia="MS Mincho" w:hAnsi="Arial" w:cs="Arial"/>
          <w:iCs/>
          <w:sz w:val="23"/>
          <w:szCs w:val="23"/>
          <w:lang w:eastAsia="en-AU"/>
        </w:rPr>
        <w:t xml:space="preserve">understanding how </w:t>
      </w:r>
      <w:r w:rsidR="00E523EB" w:rsidRPr="00C345D5">
        <w:rPr>
          <w:rFonts w:ascii="Arial" w:eastAsia="MS Mincho" w:hAnsi="Arial" w:cs="Arial"/>
          <w:iCs/>
          <w:sz w:val="23"/>
          <w:szCs w:val="23"/>
          <w:lang w:eastAsia="en-AU"/>
        </w:rPr>
        <w:t>best to use that data</w:t>
      </w:r>
    </w:p>
    <w:p w14:paraId="6296257F" w14:textId="59D1920F" w:rsidR="00822CDC" w:rsidRPr="006E22AE" w:rsidRDefault="00B13041" w:rsidP="007F2535">
      <w:pPr>
        <w:pStyle w:val="ListParagraph"/>
        <w:numPr>
          <w:ilvl w:val="4"/>
          <w:numId w:val="23"/>
        </w:numPr>
        <w:spacing w:after="120"/>
        <w:ind w:left="1418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>understan</w:t>
      </w:r>
      <w:r w:rsidRPr="00E6277B">
        <w:rPr>
          <w:rFonts w:ascii="Arial" w:eastAsia="MS Mincho" w:hAnsi="Arial" w:cs="Arial"/>
          <w:iCs/>
          <w:sz w:val="23"/>
          <w:szCs w:val="23"/>
          <w:lang w:eastAsia="en-AU"/>
        </w:rPr>
        <w:t xml:space="preserve">ding </w:t>
      </w:r>
      <w:r w:rsidR="0056275E" w:rsidRPr="00E6277B">
        <w:rPr>
          <w:rFonts w:ascii="Arial" w:eastAsia="MS Mincho" w:hAnsi="Arial" w:cs="Arial"/>
          <w:iCs/>
          <w:sz w:val="23"/>
          <w:szCs w:val="23"/>
          <w:lang w:eastAsia="en-AU"/>
        </w:rPr>
        <w:t xml:space="preserve">each of the </w:t>
      </w:r>
      <w:r w:rsidR="00822CDC" w:rsidRPr="00E6277B">
        <w:rPr>
          <w:rFonts w:ascii="Arial" w:eastAsia="MS Mincho" w:hAnsi="Arial" w:cs="Arial"/>
          <w:iCs/>
          <w:sz w:val="23"/>
          <w:szCs w:val="23"/>
          <w:lang w:eastAsia="en-AU"/>
        </w:rPr>
        <w:t>portfolio areas</w:t>
      </w:r>
      <w:r w:rsidR="00395172" w:rsidRPr="00E6277B">
        <w:rPr>
          <w:rFonts w:ascii="Arial" w:eastAsia="MS Mincho" w:hAnsi="Arial" w:cs="Arial"/>
          <w:iCs/>
          <w:sz w:val="23"/>
          <w:szCs w:val="23"/>
          <w:lang w:eastAsia="en-AU"/>
        </w:rPr>
        <w:t xml:space="preserve"> relevant to the 17 socio-economic targets set out in the Agreement</w:t>
      </w:r>
      <w:r w:rsidRPr="00E6277B">
        <w:rPr>
          <w:rFonts w:ascii="Arial" w:eastAsia="MS Mincho" w:hAnsi="Arial" w:cs="Arial"/>
          <w:iCs/>
          <w:sz w:val="23"/>
          <w:szCs w:val="23"/>
          <w:lang w:eastAsia="en-AU"/>
        </w:rPr>
        <w:t>.</w:t>
      </w:r>
      <w:r w:rsidR="00822CDC"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</w:p>
    <w:p w14:paraId="3667F6B6" w14:textId="7D300838" w:rsidR="00F37662" w:rsidRPr="00E6277B" w:rsidRDefault="00822CDC" w:rsidP="007F2535">
      <w:pPr>
        <w:pStyle w:val="ListParagraph"/>
        <w:numPr>
          <w:ilvl w:val="2"/>
          <w:numId w:val="21"/>
        </w:numPr>
        <w:spacing w:after="120"/>
        <w:ind w:left="851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F4454B">
        <w:rPr>
          <w:rFonts w:ascii="Arial" w:eastAsia="MS Mincho" w:hAnsi="Arial" w:cs="Arial"/>
          <w:iCs/>
          <w:sz w:val="23"/>
          <w:szCs w:val="23"/>
          <w:lang w:eastAsia="en-AU"/>
        </w:rPr>
        <w:t xml:space="preserve">access to </w:t>
      </w:r>
      <w:r w:rsidR="00F37662" w:rsidRPr="00F4454B">
        <w:rPr>
          <w:rFonts w:ascii="Arial" w:eastAsia="MS Mincho" w:hAnsi="Arial" w:cs="Arial"/>
          <w:iCs/>
          <w:sz w:val="23"/>
          <w:szCs w:val="23"/>
          <w:lang w:eastAsia="en-AU"/>
        </w:rPr>
        <w:t>disaggregated</w:t>
      </w:r>
      <w:r w:rsidR="004152D3" w:rsidRPr="007F2E9F">
        <w:rPr>
          <w:rFonts w:ascii="Arial" w:eastAsia="MS Mincho" w:hAnsi="Arial" w:cs="Arial"/>
          <w:iCs/>
          <w:sz w:val="23"/>
          <w:szCs w:val="23"/>
          <w:lang w:eastAsia="en-AU"/>
        </w:rPr>
        <w:t>,</w:t>
      </w:r>
      <w:r w:rsidR="00F37662" w:rsidRPr="008C4A55">
        <w:rPr>
          <w:rFonts w:ascii="Arial" w:eastAsia="MS Mincho" w:hAnsi="Arial" w:cs="Arial"/>
          <w:iCs/>
          <w:sz w:val="23"/>
          <w:szCs w:val="23"/>
          <w:lang w:eastAsia="en-AU"/>
        </w:rPr>
        <w:t xml:space="preserve"> place-based data</w:t>
      </w:r>
      <w:r w:rsidRPr="008C4A55">
        <w:rPr>
          <w:rFonts w:ascii="Arial" w:eastAsia="MS Mincho" w:hAnsi="Arial" w:cs="Arial"/>
          <w:iCs/>
          <w:sz w:val="23"/>
          <w:szCs w:val="23"/>
          <w:lang w:eastAsia="en-AU"/>
        </w:rPr>
        <w:t xml:space="preserve"> relating to each of the socio-economic targets in the Agreement in each discreet First Nations community and in urban areas</w:t>
      </w:r>
    </w:p>
    <w:p w14:paraId="70C215B7" w14:textId="41E45EE7" w:rsidR="003B4AE1" w:rsidRPr="00495466" w:rsidRDefault="00305D53" w:rsidP="007F2535">
      <w:pPr>
        <w:pStyle w:val="ListParagraph"/>
        <w:numPr>
          <w:ilvl w:val="2"/>
          <w:numId w:val="21"/>
        </w:numPr>
        <w:spacing w:after="120"/>
        <w:ind w:left="851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495466">
        <w:rPr>
          <w:rFonts w:ascii="Arial" w:eastAsia="MS Mincho" w:hAnsi="Arial" w:cs="Arial"/>
          <w:iCs/>
          <w:sz w:val="23"/>
          <w:szCs w:val="23"/>
          <w:lang w:eastAsia="en-AU"/>
        </w:rPr>
        <w:t>all powers necessary and convenient to perform its functions, including</w:t>
      </w:r>
      <w:r w:rsidR="003B4AE1" w:rsidRPr="00495466">
        <w:rPr>
          <w:rFonts w:ascii="Arial" w:eastAsia="MS Mincho" w:hAnsi="Arial" w:cs="Arial"/>
          <w:iCs/>
          <w:sz w:val="23"/>
          <w:szCs w:val="23"/>
          <w:lang w:eastAsia="en-AU"/>
        </w:rPr>
        <w:t xml:space="preserve"> powers to:</w:t>
      </w:r>
      <w:r w:rsidRPr="00495466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</w:p>
    <w:p w14:paraId="29BD9DBA" w14:textId="11202638" w:rsidR="003B4AE1" w:rsidRPr="00E6277B" w:rsidRDefault="00305D53" w:rsidP="007F2535">
      <w:pPr>
        <w:pStyle w:val="ListParagraph"/>
        <w:numPr>
          <w:ilvl w:val="4"/>
          <w:numId w:val="23"/>
        </w:numPr>
        <w:spacing w:after="120"/>
        <w:ind w:left="1418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CC2C55">
        <w:rPr>
          <w:rFonts w:ascii="Arial" w:eastAsia="MS Mincho" w:hAnsi="Arial" w:cs="Arial"/>
          <w:iCs/>
          <w:sz w:val="23"/>
          <w:szCs w:val="23"/>
          <w:lang w:eastAsia="en-AU"/>
        </w:rPr>
        <w:lastRenderedPageBreak/>
        <w:t xml:space="preserve">conduct hearings into the actions of </w:t>
      </w:r>
      <w:r w:rsidR="005F1222" w:rsidRPr="00CC2C55">
        <w:rPr>
          <w:rFonts w:ascii="Arial" w:eastAsia="MS Mincho" w:hAnsi="Arial" w:cs="Arial"/>
          <w:iCs/>
          <w:sz w:val="23"/>
          <w:szCs w:val="23"/>
          <w:lang w:eastAsia="en-AU"/>
        </w:rPr>
        <w:t xml:space="preserve">the </w:t>
      </w:r>
      <w:r w:rsidRPr="00CC2C55">
        <w:rPr>
          <w:rFonts w:ascii="Arial" w:eastAsia="MS Mincho" w:hAnsi="Arial" w:cs="Arial"/>
          <w:iCs/>
          <w:sz w:val="23"/>
          <w:szCs w:val="23"/>
          <w:lang w:eastAsia="en-AU"/>
        </w:rPr>
        <w:t>p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arties </w:t>
      </w:r>
      <w:r w:rsidR="00887B3B" w:rsidRPr="006E22AE">
        <w:rPr>
          <w:rFonts w:ascii="Arial" w:eastAsia="MS Mincho" w:hAnsi="Arial" w:cs="Arial"/>
          <w:iCs/>
          <w:sz w:val="23"/>
          <w:szCs w:val="23"/>
          <w:lang w:eastAsia="en-AU"/>
        </w:rPr>
        <w:t>concernin</w:t>
      </w:r>
      <w:r w:rsidR="00887B3B" w:rsidRPr="00E6277B">
        <w:rPr>
          <w:rFonts w:ascii="Arial" w:eastAsia="MS Mincho" w:hAnsi="Arial" w:cs="Arial"/>
          <w:iCs/>
          <w:sz w:val="23"/>
          <w:szCs w:val="23"/>
          <w:lang w:eastAsia="en-AU"/>
        </w:rPr>
        <w:t xml:space="preserve">g their </w:t>
      </w:r>
      <w:r w:rsidR="005F1222" w:rsidRPr="00E6277B">
        <w:rPr>
          <w:rFonts w:ascii="Arial" w:eastAsia="MS Mincho" w:hAnsi="Arial" w:cs="Arial"/>
          <w:iCs/>
          <w:sz w:val="23"/>
          <w:szCs w:val="23"/>
          <w:lang w:eastAsia="en-AU"/>
        </w:rPr>
        <w:t xml:space="preserve">performance </w:t>
      </w:r>
      <w:r w:rsidR="00887B3B" w:rsidRPr="00E6277B">
        <w:rPr>
          <w:rFonts w:ascii="Arial" w:eastAsia="MS Mincho" w:hAnsi="Arial" w:cs="Arial"/>
          <w:iCs/>
          <w:sz w:val="23"/>
          <w:szCs w:val="23"/>
          <w:lang w:eastAsia="en-AU"/>
        </w:rPr>
        <w:t xml:space="preserve">under </w:t>
      </w:r>
      <w:r w:rsidR="005F1222" w:rsidRPr="00E6277B">
        <w:rPr>
          <w:rFonts w:ascii="Arial" w:eastAsia="MS Mincho" w:hAnsi="Arial" w:cs="Arial"/>
          <w:iCs/>
          <w:sz w:val="23"/>
          <w:szCs w:val="23"/>
          <w:lang w:eastAsia="en-AU"/>
        </w:rPr>
        <w:t>the Agreement</w:t>
      </w:r>
      <w:r w:rsidR="00576732" w:rsidRPr="00495466">
        <w:rPr>
          <w:rFonts w:ascii="Arial" w:eastAsia="MS Mincho" w:hAnsi="Arial" w:cs="Arial"/>
          <w:iCs/>
          <w:sz w:val="23"/>
          <w:szCs w:val="23"/>
          <w:lang w:eastAsia="en-AU"/>
        </w:rPr>
        <w:t xml:space="preserve">, and </w:t>
      </w:r>
      <w:r w:rsidR="00F37662" w:rsidRPr="00495466">
        <w:rPr>
          <w:rFonts w:ascii="Arial" w:eastAsia="MS Mincho" w:hAnsi="Arial" w:cs="Arial"/>
          <w:iCs/>
          <w:sz w:val="23"/>
          <w:szCs w:val="23"/>
          <w:lang w:eastAsia="en-AU"/>
        </w:rPr>
        <w:t xml:space="preserve">to </w:t>
      </w:r>
      <w:r w:rsidRPr="00495466">
        <w:rPr>
          <w:rFonts w:ascii="Arial" w:eastAsia="MS Mincho" w:hAnsi="Arial" w:cs="Arial"/>
          <w:iCs/>
          <w:sz w:val="23"/>
          <w:szCs w:val="23"/>
          <w:lang w:eastAsia="en-AU"/>
        </w:rPr>
        <w:t>compel witnesses</w:t>
      </w:r>
      <w:r w:rsidR="00F37662" w:rsidRPr="00495466">
        <w:rPr>
          <w:rFonts w:ascii="Arial" w:eastAsia="MS Mincho" w:hAnsi="Arial" w:cs="Arial"/>
          <w:iCs/>
          <w:sz w:val="23"/>
          <w:szCs w:val="23"/>
          <w:lang w:eastAsia="en-AU"/>
        </w:rPr>
        <w:t xml:space="preserve"> to appear</w:t>
      </w:r>
      <w:r w:rsidR="005F1222" w:rsidRPr="00CC2C55">
        <w:rPr>
          <w:rFonts w:ascii="Arial" w:eastAsia="MS Mincho" w:hAnsi="Arial" w:cs="Arial"/>
          <w:iCs/>
          <w:sz w:val="23"/>
          <w:szCs w:val="23"/>
          <w:lang w:eastAsia="en-AU"/>
        </w:rPr>
        <w:t>,</w:t>
      </w:r>
      <w:r w:rsidR="00576732" w:rsidRPr="00CC2C55">
        <w:rPr>
          <w:rFonts w:ascii="Arial" w:eastAsia="MS Mincho" w:hAnsi="Arial" w:cs="Arial"/>
          <w:iCs/>
          <w:sz w:val="23"/>
          <w:szCs w:val="23"/>
          <w:lang w:eastAsia="en-AU"/>
        </w:rPr>
        <w:t xml:space="preserve"> give evidence</w:t>
      </w:r>
      <w:r w:rsidR="00887B3B" w:rsidRPr="00E6277B">
        <w:rPr>
          <w:rFonts w:ascii="Arial" w:eastAsia="MS Mincho" w:hAnsi="Arial" w:cs="Arial"/>
          <w:iCs/>
          <w:sz w:val="23"/>
          <w:szCs w:val="23"/>
          <w:lang w:eastAsia="en-AU"/>
        </w:rPr>
        <w:t>,</w:t>
      </w:r>
      <w:r w:rsidR="00D429C7" w:rsidRPr="00E6277B">
        <w:rPr>
          <w:rFonts w:ascii="Arial" w:eastAsia="MS Mincho" w:hAnsi="Arial" w:cs="Arial"/>
          <w:iCs/>
          <w:sz w:val="23"/>
          <w:szCs w:val="23"/>
          <w:lang w:eastAsia="en-AU"/>
        </w:rPr>
        <w:t xml:space="preserve"> and produce documents</w:t>
      </w:r>
    </w:p>
    <w:p w14:paraId="6809FAC1" w14:textId="74CDAAD8" w:rsidR="003B4AE1" w:rsidRPr="00E6277B" w:rsidRDefault="003B4AE1" w:rsidP="007F2535">
      <w:pPr>
        <w:pStyle w:val="ListParagraph"/>
        <w:numPr>
          <w:ilvl w:val="4"/>
          <w:numId w:val="23"/>
        </w:numPr>
        <w:spacing w:after="120"/>
        <w:ind w:left="1418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495466">
        <w:rPr>
          <w:rFonts w:ascii="Arial" w:eastAsia="MS Mincho" w:hAnsi="Arial" w:cs="Arial"/>
          <w:iCs/>
          <w:sz w:val="23"/>
          <w:szCs w:val="23"/>
          <w:lang w:eastAsia="en-AU"/>
        </w:rPr>
        <w:t>consult with independent agencies</w:t>
      </w:r>
      <w:r w:rsidR="00887B3B" w:rsidRPr="00495466">
        <w:rPr>
          <w:rFonts w:ascii="Arial" w:eastAsia="MS Mincho" w:hAnsi="Arial" w:cs="Arial"/>
          <w:iCs/>
          <w:sz w:val="23"/>
          <w:szCs w:val="23"/>
          <w:lang w:eastAsia="en-AU"/>
        </w:rPr>
        <w:t>,</w:t>
      </w:r>
      <w:r w:rsidRPr="00495466">
        <w:rPr>
          <w:rFonts w:ascii="Arial" w:eastAsia="MS Mincho" w:hAnsi="Arial" w:cs="Arial"/>
          <w:iCs/>
          <w:sz w:val="23"/>
          <w:szCs w:val="23"/>
          <w:lang w:eastAsia="en-AU"/>
        </w:rPr>
        <w:t xml:space="preserve"> such as the QHRC, the Queensland Ombudsman, Queensland Family and Child Commission</w:t>
      </w:r>
      <w:r w:rsidR="00E23C72" w:rsidRPr="00CC2C55">
        <w:rPr>
          <w:rFonts w:ascii="Arial" w:eastAsia="MS Mincho" w:hAnsi="Arial" w:cs="Arial"/>
          <w:iCs/>
          <w:sz w:val="23"/>
          <w:szCs w:val="23"/>
          <w:lang w:eastAsia="en-AU"/>
        </w:rPr>
        <w:t xml:space="preserve"> and others</w:t>
      </w:r>
    </w:p>
    <w:p w14:paraId="2B2C4DF4" w14:textId="25E1B5DD" w:rsidR="00E54D22" w:rsidRPr="006E22AE" w:rsidRDefault="003B4AE1" w:rsidP="007F2535">
      <w:pPr>
        <w:pStyle w:val="ListParagraph"/>
        <w:numPr>
          <w:ilvl w:val="4"/>
          <w:numId w:val="23"/>
        </w:numPr>
        <w:spacing w:after="120"/>
        <w:ind w:left="1418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495466">
        <w:rPr>
          <w:rFonts w:ascii="Arial" w:eastAsia="MS Mincho" w:hAnsi="Arial" w:cs="Arial"/>
          <w:iCs/>
          <w:sz w:val="23"/>
          <w:szCs w:val="23"/>
          <w:lang w:eastAsia="en-AU"/>
        </w:rPr>
        <w:t>consult with community-controlled organisations</w:t>
      </w:r>
      <w:r w:rsidR="00BC5918" w:rsidRPr="00495466">
        <w:rPr>
          <w:rFonts w:ascii="Arial" w:eastAsia="MS Mincho" w:hAnsi="Arial" w:cs="Arial"/>
          <w:iCs/>
          <w:sz w:val="23"/>
          <w:szCs w:val="23"/>
          <w:lang w:eastAsia="en-AU"/>
        </w:rPr>
        <w:t>, community councils</w:t>
      </w:r>
      <w:r w:rsidR="00887B3B" w:rsidRPr="00CC2C55">
        <w:rPr>
          <w:rFonts w:ascii="Arial" w:eastAsia="MS Mincho" w:hAnsi="Arial" w:cs="Arial"/>
          <w:iCs/>
          <w:sz w:val="23"/>
          <w:szCs w:val="23"/>
          <w:lang w:eastAsia="en-AU"/>
        </w:rPr>
        <w:t>,</w:t>
      </w:r>
      <w:r w:rsidR="00BC5918" w:rsidRPr="00CC2C55">
        <w:rPr>
          <w:rFonts w:ascii="Arial" w:eastAsia="MS Mincho" w:hAnsi="Arial" w:cs="Arial"/>
          <w:iCs/>
          <w:sz w:val="23"/>
          <w:szCs w:val="23"/>
          <w:lang w:eastAsia="en-AU"/>
        </w:rPr>
        <w:t xml:space="preserve"> and any other organisations with information relevant to its functions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>.</w:t>
      </w:r>
    </w:p>
    <w:p w14:paraId="17288D3C" w14:textId="29658BE3" w:rsidR="00824EED" w:rsidRPr="006E22AE" w:rsidRDefault="00824EED" w:rsidP="007F2535">
      <w:pPr>
        <w:pStyle w:val="ListParagraph"/>
        <w:numPr>
          <w:ilvl w:val="1"/>
          <w:numId w:val="5"/>
        </w:numPr>
        <w:spacing w:after="240"/>
        <w:ind w:left="851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>Shifting overall responsibility for implementation of the Agreement in Queensland to the Department of Premier and Cabinet (</w:t>
      </w:r>
      <w:r w:rsidRPr="006E22AE">
        <w:rPr>
          <w:rFonts w:ascii="Arial" w:eastAsia="MS Mincho" w:hAnsi="Arial" w:cs="Arial"/>
          <w:b/>
          <w:bCs/>
          <w:iCs/>
          <w:sz w:val="23"/>
          <w:szCs w:val="23"/>
          <w:lang w:eastAsia="en-AU"/>
        </w:rPr>
        <w:t>DPC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>)</w:t>
      </w:r>
    </w:p>
    <w:p w14:paraId="6CF3C567" w14:textId="18088916" w:rsidR="009A0FD4" w:rsidRPr="006E22AE" w:rsidRDefault="009A0FD4" w:rsidP="007F2535">
      <w:pPr>
        <w:pStyle w:val="ListParagraph"/>
        <w:numPr>
          <w:ilvl w:val="1"/>
          <w:numId w:val="5"/>
        </w:numPr>
        <w:spacing w:after="240"/>
        <w:ind w:left="851" w:hanging="284"/>
        <w:contextualSpacing w:val="0"/>
        <w:rPr>
          <w:rFonts w:ascii="Arial" w:eastAsia="MS Mincho" w:hAnsi="Arial" w:cs="Arial"/>
          <w:iCs/>
          <w:sz w:val="23"/>
          <w:szCs w:val="23"/>
          <w:lang w:eastAsia="en-AU"/>
        </w:rPr>
      </w:pP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>Making chang</w:t>
      </w:r>
      <w:r w:rsidR="00E23C72" w:rsidRPr="006E22AE">
        <w:rPr>
          <w:rFonts w:ascii="Arial" w:eastAsia="MS Mincho" w:hAnsi="Arial" w:cs="Arial"/>
          <w:iCs/>
          <w:sz w:val="23"/>
          <w:szCs w:val="23"/>
          <w:lang w:eastAsia="en-AU"/>
        </w:rPr>
        <w:t>es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 to the Queensland Government </w:t>
      </w:r>
      <w:r w:rsidR="00824EED" w:rsidRPr="006E22AE">
        <w:rPr>
          <w:rFonts w:ascii="Arial" w:eastAsia="MS Mincho" w:hAnsi="Arial" w:cs="Arial"/>
          <w:iCs/>
          <w:sz w:val="23"/>
          <w:szCs w:val="23"/>
          <w:lang w:eastAsia="en-AU"/>
        </w:rPr>
        <w:t>C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abinet </w:t>
      </w:r>
      <w:r w:rsidR="00824EED" w:rsidRPr="006E22AE">
        <w:rPr>
          <w:rFonts w:ascii="Arial" w:eastAsia="MS Mincho" w:hAnsi="Arial" w:cs="Arial"/>
          <w:iCs/>
          <w:sz w:val="23"/>
          <w:szCs w:val="23"/>
          <w:lang w:eastAsia="en-AU"/>
        </w:rPr>
        <w:t>H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>andbook</w:t>
      </w:r>
      <w:r w:rsidR="00887B3B"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 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to require </w:t>
      </w:r>
      <w:r w:rsidR="00203CC1"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all </w:t>
      </w:r>
      <w:r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cabinet submissions to </w:t>
      </w:r>
      <w:r w:rsidR="00203CC1"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identify any anticipated positive or negative impact on </w:t>
      </w:r>
      <w:r w:rsidR="006D2B81" w:rsidRPr="006E22AE">
        <w:rPr>
          <w:rFonts w:ascii="Arial" w:eastAsia="MS Mincho" w:hAnsi="Arial" w:cs="Arial"/>
          <w:iCs/>
          <w:sz w:val="23"/>
          <w:szCs w:val="23"/>
          <w:lang w:eastAsia="en-AU"/>
        </w:rPr>
        <w:t>C</w:t>
      </w:r>
      <w:r w:rsidR="00203CC1" w:rsidRPr="006E22AE">
        <w:rPr>
          <w:rFonts w:ascii="Arial" w:eastAsia="MS Mincho" w:hAnsi="Arial" w:cs="Arial"/>
          <w:iCs/>
          <w:sz w:val="23"/>
          <w:szCs w:val="23"/>
          <w:lang w:eastAsia="en-AU"/>
        </w:rPr>
        <w:t xml:space="preserve">losing the </w:t>
      </w:r>
      <w:r w:rsidR="006D2B81" w:rsidRPr="006E22AE">
        <w:rPr>
          <w:rFonts w:ascii="Arial" w:eastAsia="MS Mincho" w:hAnsi="Arial" w:cs="Arial"/>
          <w:iCs/>
          <w:sz w:val="23"/>
          <w:szCs w:val="23"/>
          <w:lang w:eastAsia="en-AU"/>
        </w:rPr>
        <w:t>G</w:t>
      </w:r>
      <w:r w:rsidR="00203CC1" w:rsidRPr="006E22AE">
        <w:rPr>
          <w:rFonts w:ascii="Arial" w:eastAsia="MS Mincho" w:hAnsi="Arial" w:cs="Arial"/>
          <w:iCs/>
          <w:sz w:val="23"/>
          <w:szCs w:val="23"/>
          <w:lang w:eastAsia="en-AU"/>
        </w:rPr>
        <w:t>ap targets</w:t>
      </w:r>
      <w:r w:rsidR="00887B3B" w:rsidRPr="006E22AE">
        <w:rPr>
          <w:rFonts w:ascii="Arial" w:eastAsia="MS Mincho" w:hAnsi="Arial" w:cs="Arial"/>
          <w:iCs/>
          <w:sz w:val="23"/>
          <w:szCs w:val="23"/>
          <w:lang w:eastAsia="en-AU"/>
        </w:rPr>
        <w:t>.</w:t>
      </w:r>
    </w:p>
    <w:p w14:paraId="690B3182" w14:textId="0E585BE8" w:rsidR="009614F0" w:rsidRPr="00E6277B" w:rsidRDefault="00887B3B" w:rsidP="007F2535">
      <w:pPr>
        <w:pStyle w:val="Numberedparagraph"/>
        <w:rPr>
          <w:lang w:eastAsia="en-AU"/>
        </w:rPr>
      </w:pPr>
      <w:r w:rsidRPr="00E6277B">
        <w:rPr>
          <w:lang w:eastAsia="en-AU"/>
        </w:rPr>
        <w:t>A</w:t>
      </w:r>
      <w:r w:rsidR="00C41757" w:rsidRPr="00E6277B">
        <w:rPr>
          <w:lang w:eastAsia="en-AU"/>
        </w:rPr>
        <w:t xml:space="preserve"> new statutory body with functions and powers as </w:t>
      </w:r>
      <w:r w:rsidR="006D137A" w:rsidRPr="00E6277B">
        <w:rPr>
          <w:lang w:eastAsia="en-AU"/>
        </w:rPr>
        <w:t xml:space="preserve">outlined </w:t>
      </w:r>
      <w:r w:rsidR="009A0FD4" w:rsidRPr="00495466">
        <w:rPr>
          <w:lang w:eastAsia="en-AU"/>
        </w:rPr>
        <w:t xml:space="preserve">above </w:t>
      </w:r>
      <w:r w:rsidR="00C41757" w:rsidRPr="00495466">
        <w:rPr>
          <w:lang w:eastAsia="en-AU"/>
        </w:rPr>
        <w:t xml:space="preserve">may replicate the </w:t>
      </w:r>
      <w:r w:rsidRPr="00495466">
        <w:rPr>
          <w:lang w:eastAsia="en-AU"/>
        </w:rPr>
        <w:t>propo</w:t>
      </w:r>
      <w:r w:rsidRPr="00E6277B">
        <w:rPr>
          <w:lang w:eastAsia="en-AU"/>
        </w:rPr>
        <w:t xml:space="preserve">sed </w:t>
      </w:r>
      <w:r w:rsidR="00C41757" w:rsidRPr="00E6277B">
        <w:rPr>
          <w:lang w:eastAsia="en-AU"/>
        </w:rPr>
        <w:t xml:space="preserve">Voice </w:t>
      </w:r>
      <w:r w:rsidR="006D137A" w:rsidRPr="00E6277B">
        <w:rPr>
          <w:lang w:eastAsia="en-AU"/>
        </w:rPr>
        <w:t xml:space="preserve">to </w:t>
      </w:r>
      <w:r w:rsidR="00C41757" w:rsidRPr="00E6277B">
        <w:rPr>
          <w:lang w:eastAsia="en-AU"/>
        </w:rPr>
        <w:t xml:space="preserve">Parliament, should the referendum </w:t>
      </w:r>
      <w:r w:rsidR="006D137A" w:rsidRPr="00E6277B">
        <w:rPr>
          <w:lang w:eastAsia="en-AU"/>
        </w:rPr>
        <w:t>succeed</w:t>
      </w:r>
      <w:r w:rsidR="00C41757" w:rsidRPr="00E6277B">
        <w:rPr>
          <w:lang w:eastAsia="en-AU"/>
        </w:rPr>
        <w:t>.</w:t>
      </w:r>
      <w:r w:rsidR="00700B28">
        <w:rPr>
          <w:lang w:eastAsia="en-AU"/>
        </w:rPr>
        <w:t xml:space="preserve"> </w:t>
      </w:r>
      <w:r w:rsidR="00BA491E" w:rsidRPr="00E6277B">
        <w:rPr>
          <w:lang w:eastAsia="en-AU"/>
        </w:rPr>
        <w:t xml:space="preserve">Overlap with the functions of proposed </w:t>
      </w:r>
      <w:r w:rsidR="006D137A" w:rsidRPr="00E6277B">
        <w:rPr>
          <w:lang w:eastAsia="en-AU"/>
        </w:rPr>
        <w:t>s</w:t>
      </w:r>
      <w:r w:rsidR="00BA491E" w:rsidRPr="00E6277B">
        <w:rPr>
          <w:lang w:eastAsia="en-AU"/>
        </w:rPr>
        <w:t xml:space="preserve">tate and </w:t>
      </w:r>
      <w:r w:rsidR="006D137A" w:rsidRPr="00E6277B">
        <w:rPr>
          <w:lang w:eastAsia="en-AU"/>
        </w:rPr>
        <w:t>t</w:t>
      </w:r>
      <w:r w:rsidR="00BA491E" w:rsidRPr="00E6277B">
        <w:rPr>
          <w:lang w:eastAsia="en-AU"/>
        </w:rPr>
        <w:t>erritory representative bodies is also possible</w:t>
      </w:r>
      <w:r w:rsidR="006D137A" w:rsidRPr="00E6277B">
        <w:rPr>
          <w:lang w:eastAsia="en-AU"/>
        </w:rPr>
        <w:t>, but</w:t>
      </w:r>
      <w:r w:rsidR="009A0FD4" w:rsidRPr="00E6277B">
        <w:rPr>
          <w:lang w:eastAsia="en-AU"/>
        </w:rPr>
        <w:t xml:space="preserve"> that risk is not sufficient reason for delay.</w:t>
      </w:r>
    </w:p>
    <w:p w14:paraId="4C5A4FF1" w14:textId="56B082F5" w:rsidR="004822B6" w:rsidRPr="00495466" w:rsidRDefault="004B782E" w:rsidP="007F2535">
      <w:pPr>
        <w:pStyle w:val="Heading1"/>
        <w:rPr>
          <w:rFonts w:eastAsia="MS Gothic"/>
        </w:rPr>
      </w:pPr>
      <w:bookmarkStart w:id="1" w:name="_Toc134713112"/>
      <w:r w:rsidRPr="00495466">
        <w:rPr>
          <w:rFonts w:eastAsia="MS Gothic"/>
        </w:rPr>
        <w:t xml:space="preserve">Responses to </w:t>
      </w:r>
      <w:r w:rsidR="006D137A" w:rsidRPr="00495466">
        <w:rPr>
          <w:rFonts w:eastAsia="MS Gothic"/>
        </w:rPr>
        <w:t>s</w:t>
      </w:r>
      <w:r w:rsidR="00576732" w:rsidRPr="00495466">
        <w:rPr>
          <w:rFonts w:eastAsia="MS Gothic"/>
        </w:rPr>
        <w:t xml:space="preserve">elected </w:t>
      </w:r>
      <w:r w:rsidR="00AB0AA1" w:rsidRPr="00495466">
        <w:rPr>
          <w:rFonts w:eastAsia="MS Gothic"/>
        </w:rPr>
        <w:t>i</w:t>
      </w:r>
      <w:r w:rsidRPr="00495466">
        <w:rPr>
          <w:rFonts w:eastAsia="MS Gothic"/>
        </w:rPr>
        <w:t xml:space="preserve">nformation </w:t>
      </w:r>
      <w:r w:rsidR="00AB0AA1" w:rsidRPr="00495466">
        <w:rPr>
          <w:rFonts w:eastAsia="MS Gothic"/>
        </w:rPr>
        <w:t>r</w:t>
      </w:r>
      <w:r w:rsidRPr="00495466">
        <w:rPr>
          <w:rFonts w:eastAsia="MS Gothic"/>
        </w:rPr>
        <w:t xml:space="preserve">equests </w:t>
      </w:r>
      <w:bookmarkEnd w:id="1"/>
    </w:p>
    <w:p w14:paraId="04C92C7A" w14:textId="42C7A24D" w:rsidR="006308C6" w:rsidRPr="00495466" w:rsidRDefault="002447DF" w:rsidP="007F2535">
      <w:pPr>
        <w:pStyle w:val="Heading2"/>
      </w:pPr>
      <w:r w:rsidRPr="00495466">
        <w:t>Information request 8</w:t>
      </w:r>
      <w:r w:rsidR="00777157" w:rsidRPr="00495466">
        <w:t xml:space="preserve"> - </w:t>
      </w:r>
      <w:r w:rsidRPr="00495466">
        <w:t>Quality of implementation plans and annual reports</w:t>
      </w:r>
    </w:p>
    <w:p w14:paraId="0E01BD9E" w14:textId="68FFC4E6" w:rsidR="00987735" w:rsidRPr="00495466" w:rsidRDefault="00A57802" w:rsidP="007F2535">
      <w:pPr>
        <w:pStyle w:val="Numberedparagraph"/>
      </w:pPr>
      <w:r w:rsidRPr="00495466">
        <w:t xml:space="preserve">Current administrative arrangements provide that the Department of </w:t>
      </w:r>
      <w:r w:rsidR="00987735" w:rsidRPr="00495466">
        <w:t>Treaty</w:t>
      </w:r>
      <w:r w:rsidR="00B801C9" w:rsidRPr="00495466">
        <w:t xml:space="preserve">, </w:t>
      </w:r>
      <w:r w:rsidRPr="00495466">
        <w:t>Aboriginal and Torres Strait Islander Partnerships</w:t>
      </w:r>
      <w:r w:rsidR="00B801C9" w:rsidRPr="00495466">
        <w:t xml:space="preserve">, Communities and the Arts </w:t>
      </w:r>
      <w:r w:rsidRPr="00495466">
        <w:t>(</w:t>
      </w:r>
      <w:r w:rsidRPr="00495466">
        <w:rPr>
          <w:b/>
          <w:bCs/>
        </w:rPr>
        <w:t>DATSIP</w:t>
      </w:r>
      <w:r w:rsidRPr="00495466">
        <w:t xml:space="preserve">) is the lead agency tasked with coordinating the Queensland Government’s activities in performance of </w:t>
      </w:r>
      <w:r w:rsidR="00AB0AA1" w:rsidRPr="00495466">
        <w:t xml:space="preserve">obligations under </w:t>
      </w:r>
      <w:r w:rsidRPr="00495466">
        <w:t>the Agreement.</w:t>
      </w:r>
      <w:r w:rsidR="00700B28">
        <w:t xml:space="preserve"> </w:t>
      </w:r>
    </w:p>
    <w:p w14:paraId="1FED41FC" w14:textId="0518DFDD" w:rsidR="00A57802" w:rsidRPr="00495466" w:rsidRDefault="009F7052" w:rsidP="007F2535">
      <w:pPr>
        <w:pStyle w:val="Numberedparagraph"/>
      </w:pPr>
      <w:r w:rsidRPr="00495466">
        <w:t xml:space="preserve">The Queensland </w:t>
      </w:r>
      <w:r w:rsidR="00E523EB" w:rsidRPr="00495466">
        <w:t>Government has</w:t>
      </w:r>
      <w:r w:rsidR="00A57802" w:rsidRPr="00495466">
        <w:t xml:space="preserve"> published </w:t>
      </w:r>
      <w:r w:rsidRPr="00495466">
        <w:t>Queensland’s Closing the Gap 2022 Implementation Plan</w:t>
      </w:r>
      <w:r w:rsidR="00A57802" w:rsidRPr="006E22AE">
        <w:t>,</w:t>
      </w:r>
      <w:r w:rsidRPr="006E22AE">
        <w:rPr>
          <w:rStyle w:val="FootnoteReference"/>
          <w:sz w:val="24"/>
        </w:rPr>
        <w:footnoteReference w:id="7"/>
      </w:r>
      <w:r w:rsidR="00A57802" w:rsidRPr="006E22AE">
        <w:t xml:space="preserve"> which </w:t>
      </w:r>
      <w:r w:rsidRPr="00495466">
        <w:t>comprises</w:t>
      </w:r>
      <w:r w:rsidR="00A57802" w:rsidRPr="00495466">
        <w:t xml:space="preserve"> a collection of policies</w:t>
      </w:r>
      <w:r w:rsidR="00B801C9" w:rsidRPr="00495466">
        <w:t xml:space="preserve"> and programs</w:t>
      </w:r>
      <w:r w:rsidR="00A57802" w:rsidRPr="00495466">
        <w:t xml:space="preserve"> from government departments and agencies</w:t>
      </w:r>
      <w:r w:rsidR="00B801C9" w:rsidRPr="00495466">
        <w:t xml:space="preserve"> that relate in some way to First Nations people. M</w:t>
      </w:r>
      <w:r w:rsidR="00A57802" w:rsidRPr="00495466">
        <w:t xml:space="preserve">any of </w:t>
      </w:r>
      <w:r w:rsidR="00B801C9" w:rsidRPr="00495466">
        <w:t>these policies and programs</w:t>
      </w:r>
      <w:r w:rsidR="00A57802" w:rsidRPr="00495466">
        <w:t xml:space="preserve"> show </w:t>
      </w:r>
      <w:r w:rsidR="009D38A1" w:rsidRPr="00495466">
        <w:t>little, if any</w:t>
      </w:r>
      <w:r w:rsidR="00862005" w:rsidRPr="00495466">
        <w:t>,</w:t>
      </w:r>
      <w:r w:rsidR="00761A3F" w:rsidRPr="00495466">
        <w:t xml:space="preserve"> </w:t>
      </w:r>
      <w:r w:rsidR="00A57802" w:rsidRPr="00495466">
        <w:t xml:space="preserve">discernible connection </w:t>
      </w:r>
      <w:r w:rsidR="00B801C9" w:rsidRPr="00495466">
        <w:t>to</w:t>
      </w:r>
      <w:r w:rsidR="00A57802" w:rsidRPr="00495466">
        <w:t xml:space="preserve"> the achiev</w:t>
      </w:r>
      <w:r w:rsidR="00761A3F" w:rsidRPr="00495466">
        <w:t>ing</w:t>
      </w:r>
      <w:r w:rsidR="00A57802" w:rsidRPr="00495466">
        <w:t xml:space="preserve"> the priority reforms or socio-economic target</w:t>
      </w:r>
      <w:r w:rsidR="00B801C9" w:rsidRPr="00495466">
        <w:t>s set out</w:t>
      </w:r>
      <w:r w:rsidR="00A57802" w:rsidRPr="00495466">
        <w:t xml:space="preserve"> in the Agreement.</w:t>
      </w:r>
      <w:r w:rsidR="00700B28">
        <w:t xml:space="preserve"> </w:t>
      </w:r>
      <w:r w:rsidR="00A57802" w:rsidRPr="00495466">
        <w:t xml:space="preserve"> </w:t>
      </w:r>
    </w:p>
    <w:p w14:paraId="590ED8B4" w14:textId="050D9961" w:rsidR="00A57802" w:rsidRPr="00495466" w:rsidRDefault="00A57802" w:rsidP="007F2535">
      <w:pPr>
        <w:pStyle w:val="Numberedparagraph"/>
      </w:pPr>
      <w:r w:rsidRPr="00495466">
        <w:t>The draft report acknowledge</w:t>
      </w:r>
      <w:r w:rsidR="00B801C9" w:rsidRPr="00495466">
        <w:t>s</w:t>
      </w:r>
      <w:r w:rsidRPr="00495466">
        <w:t xml:space="preserve"> that the government parties to the Agreement appear to have failed to grasp the scale of change required if the socio-economic targets or priority reforms are to be achieved.</w:t>
      </w:r>
      <w:r w:rsidR="00700B28">
        <w:t xml:space="preserve"> </w:t>
      </w:r>
      <w:r w:rsidRPr="00495466">
        <w:t xml:space="preserve">Given the gravity of the current circumstances, the QHRC submits that the </w:t>
      </w:r>
      <w:r w:rsidR="00F17B82" w:rsidRPr="00495466">
        <w:t xml:space="preserve">DPC </w:t>
      </w:r>
      <w:r w:rsidRPr="00495466">
        <w:t xml:space="preserve">should have a coordination and leadership role throughout </w:t>
      </w:r>
      <w:r w:rsidR="00F24DBC" w:rsidRPr="00495466">
        <w:t xml:space="preserve">the </w:t>
      </w:r>
      <w:r w:rsidRPr="00495466">
        <w:t xml:space="preserve">Queensland </w:t>
      </w:r>
      <w:r w:rsidR="0053310D" w:rsidRPr="00495466">
        <w:t>G</w:t>
      </w:r>
      <w:r w:rsidRPr="00495466">
        <w:t xml:space="preserve">overnment on all actions and policies associated with performance </w:t>
      </w:r>
      <w:r w:rsidR="0053310D" w:rsidRPr="00495466">
        <w:t xml:space="preserve">under </w:t>
      </w:r>
      <w:r w:rsidRPr="00495466">
        <w:t xml:space="preserve">the Agreement. DPC has sufficient influence throughout the </w:t>
      </w:r>
      <w:r w:rsidRPr="00495466">
        <w:lastRenderedPageBreak/>
        <w:t xml:space="preserve">Queensland </w:t>
      </w:r>
      <w:r w:rsidR="0053310D" w:rsidRPr="00495466">
        <w:t>G</w:t>
      </w:r>
      <w:r w:rsidRPr="00495466">
        <w:t xml:space="preserve">overnment to lend authority to </w:t>
      </w:r>
      <w:r w:rsidR="00F17B82" w:rsidRPr="00495466">
        <w:t xml:space="preserve">its </w:t>
      </w:r>
      <w:r w:rsidRPr="00495466">
        <w:t xml:space="preserve">leadership, thus promoting accountability in </w:t>
      </w:r>
      <w:r w:rsidR="0053310D" w:rsidRPr="00495466">
        <w:t xml:space="preserve">all </w:t>
      </w:r>
      <w:r w:rsidRPr="00495466">
        <w:t>departments and agencies.</w:t>
      </w:r>
    </w:p>
    <w:p w14:paraId="2FAC07DE" w14:textId="0ED9505B" w:rsidR="002570E1" w:rsidRPr="00495466" w:rsidRDefault="00344E3C" w:rsidP="007F2535">
      <w:pPr>
        <w:pStyle w:val="Heading2"/>
      </w:pPr>
      <w:r w:rsidRPr="00495466">
        <w:t>Information request 9 - Independent mechanism in the broader landscape</w:t>
      </w:r>
    </w:p>
    <w:p w14:paraId="7E38D180" w14:textId="7142E414" w:rsidR="00E53072" w:rsidRPr="003F7873" w:rsidRDefault="002570E1" w:rsidP="003F7873">
      <w:pPr>
        <w:pStyle w:val="Heading3"/>
      </w:pPr>
      <w:r w:rsidRPr="003F7873">
        <w:t>What are the essential features of the independent mechanism?</w:t>
      </w:r>
    </w:p>
    <w:p w14:paraId="21CFAC8C" w14:textId="106C2D65" w:rsidR="00ED3B97" w:rsidRPr="00495466" w:rsidRDefault="0053310D" w:rsidP="007F2535">
      <w:pPr>
        <w:pStyle w:val="Numberedparagraph"/>
      </w:pPr>
      <w:r w:rsidRPr="00495466">
        <w:t>T</w:t>
      </w:r>
      <w:r w:rsidR="003F00AF" w:rsidRPr="00495466">
        <w:t>he Commission’s draft report</w:t>
      </w:r>
      <w:r w:rsidR="00101631" w:rsidRPr="00495466">
        <w:t xml:space="preserve"> noted that</w:t>
      </w:r>
      <w:r w:rsidR="003F00AF" w:rsidRPr="00495466">
        <w:t xml:space="preserve"> new and emerging First Nations bodies</w:t>
      </w:r>
      <w:r w:rsidRPr="00495466">
        <w:t>,</w:t>
      </w:r>
      <w:r w:rsidR="003F00AF" w:rsidRPr="00495466">
        <w:t xml:space="preserve"> such as the proposed Voice to the Australian Parliament and others, may well have a role to play in </w:t>
      </w:r>
      <w:r w:rsidR="00101631" w:rsidRPr="00495466">
        <w:t xml:space="preserve">being </w:t>
      </w:r>
      <w:r w:rsidR="003F00AF" w:rsidRPr="00495466">
        <w:t>accountab</w:t>
      </w:r>
      <w:r w:rsidR="00101631" w:rsidRPr="00495466">
        <w:t>le</w:t>
      </w:r>
      <w:r w:rsidR="003F00AF" w:rsidRPr="00495466">
        <w:t xml:space="preserve"> for the parties’ actions taken in performance of </w:t>
      </w:r>
      <w:r w:rsidRPr="00495466">
        <w:t xml:space="preserve">their obligations under </w:t>
      </w:r>
      <w:r w:rsidR="003F00AF" w:rsidRPr="00495466">
        <w:t>the Agreement.</w:t>
      </w:r>
      <w:r w:rsidR="00700B28">
        <w:t xml:space="preserve"> </w:t>
      </w:r>
      <w:r w:rsidR="003F00AF" w:rsidRPr="00495466">
        <w:t>However, as the Commission has also acknowledged, commitments under the Agreement remain</w:t>
      </w:r>
      <w:r w:rsidR="001D0799" w:rsidRPr="00495466">
        <w:t>,</w:t>
      </w:r>
      <w:r w:rsidR="003F00AF" w:rsidRPr="00495466">
        <w:t xml:space="preserve"> irrespective of whether any of these proposed bodies come to fruition</w:t>
      </w:r>
      <w:r w:rsidR="00186DE0" w:rsidRPr="00495466">
        <w:t>.</w:t>
      </w:r>
      <w:r w:rsidR="00700B28">
        <w:t xml:space="preserve"> </w:t>
      </w:r>
    </w:p>
    <w:p w14:paraId="4021EFBF" w14:textId="6B9527DD" w:rsidR="00376D7A" w:rsidRPr="00825DA1" w:rsidRDefault="00186DE0" w:rsidP="007F2535">
      <w:pPr>
        <w:pStyle w:val="Numberedparagraph"/>
      </w:pPr>
      <w:r w:rsidRPr="00BF0B01">
        <w:t>Given the inadequacy of existing accountability measures under the Agreement</w:t>
      </w:r>
      <w:r w:rsidRPr="00825DA1">
        <w:t xml:space="preserve"> </w:t>
      </w:r>
      <w:r w:rsidR="00B73F80" w:rsidRPr="00825DA1">
        <w:t>and the consequent lack of positive progress</w:t>
      </w:r>
      <w:r w:rsidR="00F17B82" w:rsidRPr="00825DA1">
        <w:t xml:space="preserve"> in many of the socio-economic target areas</w:t>
      </w:r>
      <w:r w:rsidR="00B73F80" w:rsidRPr="00825DA1">
        <w:t xml:space="preserve">, improvement in accountability </w:t>
      </w:r>
      <w:r w:rsidRPr="00825DA1">
        <w:t xml:space="preserve">is </w:t>
      </w:r>
      <w:r w:rsidR="00B73F80" w:rsidRPr="00825DA1">
        <w:t xml:space="preserve">both </w:t>
      </w:r>
      <w:r w:rsidRPr="00825DA1">
        <w:t>imperative</w:t>
      </w:r>
      <w:r w:rsidR="00B73F80" w:rsidRPr="00825DA1">
        <w:t xml:space="preserve"> and urgent. </w:t>
      </w:r>
      <w:r w:rsidR="001D0799" w:rsidRPr="00495466">
        <w:t>S</w:t>
      </w:r>
      <w:r w:rsidR="00B73F80" w:rsidRPr="00495466">
        <w:t xml:space="preserve">tates </w:t>
      </w:r>
      <w:r w:rsidR="001D0799" w:rsidRPr="00BF0B01">
        <w:t xml:space="preserve">and territories </w:t>
      </w:r>
      <w:r w:rsidR="00B73F80" w:rsidRPr="00825DA1">
        <w:t>are overwhelmingly the parties with overall responsibility in relation to the main portfolio areas relevant to the socio-economic targets.</w:t>
      </w:r>
      <w:r w:rsidR="00700B28">
        <w:t xml:space="preserve"> </w:t>
      </w:r>
      <w:r w:rsidR="00B73F80" w:rsidRPr="00825DA1">
        <w:t xml:space="preserve"> </w:t>
      </w:r>
    </w:p>
    <w:p w14:paraId="50E304C7" w14:textId="69EF241A" w:rsidR="00ED3B97" w:rsidRPr="00F4454B" w:rsidRDefault="00415612" w:rsidP="007F2535">
      <w:pPr>
        <w:pStyle w:val="Numberedparagraph"/>
      </w:pPr>
      <w:r w:rsidRPr="00825DA1">
        <w:t xml:space="preserve">The QHRC </w:t>
      </w:r>
      <w:r w:rsidR="00B73F80" w:rsidRPr="00825DA1">
        <w:t xml:space="preserve">therefore </w:t>
      </w:r>
      <w:r w:rsidRPr="00825DA1">
        <w:t xml:space="preserve">proposes that the independent mechanism </w:t>
      </w:r>
      <w:r w:rsidR="00B32C9D">
        <w:t xml:space="preserve">be comprised </w:t>
      </w:r>
      <w:r w:rsidR="00376D7A" w:rsidRPr="00825DA1">
        <w:t xml:space="preserve">of </w:t>
      </w:r>
      <w:r w:rsidRPr="00825DA1">
        <w:t>state</w:t>
      </w:r>
      <w:r w:rsidR="00376D7A" w:rsidRPr="00825DA1">
        <w:t xml:space="preserve"> and territory</w:t>
      </w:r>
      <w:r w:rsidRPr="00825DA1">
        <w:t>-based statutory bod</w:t>
      </w:r>
      <w:r w:rsidR="00A14FBE" w:rsidRPr="00825DA1">
        <w:t xml:space="preserve">ies </w:t>
      </w:r>
      <w:r w:rsidR="00B73F80" w:rsidRPr="00825DA1">
        <w:t>made up</w:t>
      </w:r>
      <w:r w:rsidR="00A14FBE" w:rsidRPr="00825DA1">
        <w:t xml:space="preserve"> </w:t>
      </w:r>
      <w:r w:rsidRPr="00825DA1">
        <w:t xml:space="preserve">of elected individuals representing First Nations </w:t>
      </w:r>
      <w:r w:rsidR="003B683B" w:rsidRPr="00825DA1">
        <w:t>peoples</w:t>
      </w:r>
      <w:r w:rsidRPr="00825DA1">
        <w:t>.</w:t>
      </w:r>
      <w:r w:rsidR="00700B28">
        <w:t xml:space="preserve"> </w:t>
      </w:r>
      <w:r w:rsidR="00376D7A" w:rsidRPr="00825DA1">
        <w:t>Ideally, the Commonwealth would take a leadership role in coordinating and resourcing these bodies.</w:t>
      </w:r>
      <w:r w:rsidR="003B683B" w:rsidRPr="006E22AE">
        <w:rPr>
          <w:rStyle w:val="FootnoteReference"/>
          <w:sz w:val="24"/>
        </w:rPr>
        <w:footnoteReference w:id="8"/>
      </w:r>
      <w:r w:rsidRPr="006E22AE">
        <w:t xml:space="preserve"> </w:t>
      </w:r>
    </w:p>
    <w:p w14:paraId="51BB5002" w14:textId="73F94818" w:rsidR="005D6414" w:rsidRPr="006E22AE" w:rsidRDefault="00F17B82" w:rsidP="007F2535">
      <w:pPr>
        <w:pStyle w:val="Numberedparagraph"/>
      </w:pPr>
      <w:r w:rsidRPr="00F4454B">
        <w:t>T</w:t>
      </w:r>
      <w:r w:rsidR="00A57802" w:rsidRPr="007F2E9F">
        <w:t>he first and most essential feature of an independent mechanism</w:t>
      </w:r>
      <w:r w:rsidR="00A57802" w:rsidRPr="00825DA1">
        <w:t xml:space="preserve"> is independence</w:t>
      </w:r>
      <w:r w:rsidR="00ED3B97" w:rsidRPr="00825DA1">
        <w:t xml:space="preserve"> itself</w:t>
      </w:r>
      <w:r w:rsidR="00A57802" w:rsidRPr="00825DA1">
        <w:t xml:space="preserve">. </w:t>
      </w:r>
      <w:r w:rsidR="00ED3B97" w:rsidRPr="00825DA1">
        <w:t xml:space="preserve">Existing First Nations bodies, while independent by </w:t>
      </w:r>
      <w:r w:rsidR="00ED3B97" w:rsidRPr="00495466">
        <w:t>nature</w:t>
      </w:r>
      <w:r w:rsidR="005D6414" w:rsidRPr="00495466">
        <w:t xml:space="preserve"> in terms of their service delivery, </w:t>
      </w:r>
      <w:r w:rsidR="00ED3B97" w:rsidRPr="00BF0B01">
        <w:t xml:space="preserve">are publicly funded and as such are answerable to government. </w:t>
      </w:r>
      <w:r w:rsidR="00ED3B97" w:rsidRPr="00825DA1">
        <w:t xml:space="preserve">Ongoing funding is </w:t>
      </w:r>
      <w:r w:rsidRPr="00825DA1">
        <w:t>never</w:t>
      </w:r>
      <w:r w:rsidR="00ED3B97" w:rsidRPr="00825DA1">
        <w:t xml:space="preserve"> guaranteed</w:t>
      </w:r>
      <w:r w:rsidRPr="00825DA1">
        <w:t>,</w:t>
      </w:r>
      <w:r w:rsidR="00ED3B97" w:rsidRPr="00825DA1">
        <w:t xml:space="preserve"> with the result that </w:t>
      </w:r>
      <w:r w:rsidR="005D6414" w:rsidRPr="00825DA1">
        <w:t>community-controlled</w:t>
      </w:r>
      <w:r w:rsidR="00ED3B97" w:rsidRPr="00825DA1">
        <w:t xml:space="preserve"> organisation</w:t>
      </w:r>
      <w:r w:rsidR="005D6414" w:rsidRPr="00825DA1">
        <w:t>s</w:t>
      </w:r>
      <w:r w:rsidR="00376D7A" w:rsidRPr="00825DA1">
        <w:t xml:space="preserve"> have structural </w:t>
      </w:r>
      <w:r w:rsidR="00376D7A" w:rsidRPr="00CC2C55">
        <w:t>limitations on their independence</w:t>
      </w:r>
      <w:r w:rsidR="005D6414" w:rsidRPr="00CC2C55">
        <w:t xml:space="preserve">, </w:t>
      </w:r>
      <w:r w:rsidR="009A3CB6" w:rsidRPr="00CC2C55">
        <w:t xml:space="preserve">particularly </w:t>
      </w:r>
      <w:r w:rsidR="005D6414" w:rsidRPr="006E22AE">
        <w:t>when engag</w:t>
      </w:r>
      <w:r w:rsidR="009A3CB6" w:rsidRPr="006E22AE">
        <w:t>ing</w:t>
      </w:r>
      <w:r w:rsidR="005D6414" w:rsidRPr="006E22AE">
        <w:t xml:space="preserve"> in activities aimed at calling government to account.</w:t>
      </w:r>
      <w:r w:rsidR="00700B28">
        <w:t xml:space="preserve"> </w:t>
      </w:r>
    </w:p>
    <w:p w14:paraId="4C18FF40" w14:textId="4D62F33E" w:rsidR="005D6414" w:rsidRPr="00BF0B01" w:rsidRDefault="005D6414" w:rsidP="007F2535">
      <w:pPr>
        <w:pStyle w:val="Numberedparagraph"/>
      </w:pPr>
      <w:r w:rsidRPr="00BF0B01">
        <w:t xml:space="preserve">The second essential feature of an independent mechanism is that it must have </w:t>
      </w:r>
      <w:r w:rsidR="005E62E5" w:rsidRPr="00BF0B01">
        <w:t xml:space="preserve">and maintain genuine </w:t>
      </w:r>
      <w:r w:rsidRPr="00BF0B01">
        <w:t xml:space="preserve">authority to speak on behalf of the </w:t>
      </w:r>
      <w:r w:rsidR="006C16B6" w:rsidRPr="00BF0B01">
        <w:t xml:space="preserve">people </w:t>
      </w:r>
      <w:r w:rsidRPr="00BF0B01">
        <w:t xml:space="preserve">it represents. For this reason, QHRC believes that it must be subject to regular elections in which First Nations peoples </w:t>
      </w:r>
      <w:r w:rsidR="00297A21" w:rsidRPr="00BF0B01">
        <w:t xml:space="preserve">vote </w:t>
      </w:r>
      <w:r w:rsidR="00376D7A" w:rsidRPr="00BF0B01">
        <w:t xml:space="preserve">in electorates based </w:t>
      </w:r>
      <w:r w:rsidR="00A05FDD" w:rsidRPr="00BF0B01">
        <w:t>around</w:t>
      </w:r>
      <w:r w:rsidR="00376D7A" w:rsidRPr="00BF0B01">
        <w:t xml:space="preserve"> </w:t>
      </w:r>
      <w:r w:rsidR="00297A21" w:rsidRPr="00BF0B01">
        <w:t xml:space="preserve">discreet communities and in urban areas. </w:t>
      </w:r>
      <w:r w:rsidR="005E62E5" w:rsidRPr="00BF0B01">
        <w:t xml:space="preserve">Subject to the third essential feature </w:t>
      </w:r>
      <w:r w:rsidR="006C16B6" w:rsidRPr="00BF0B01">
        <w:t>outlined</w:t>
      </w:r>
      <w:r w:rsidR="005E62E5" w:rsidRPr="00BF0B01">
        <w:t xml:space="preserve"> in the following paragraph, t</w:t>
      </w:r>
      <w:r w:rsidR="00297A21" w:rsidRPr="00BF0B01">
        <w:t>here is no reason why individuals who currently hold other leadership positions</w:t>
      </w:r>
      <w:r w:rsidR="006C16B6" w:rsidRPr="00BF0B01">
        <w:t xml:space="preserve"> –</w:t>
      </w:r>
      <w:r w:rsidR="00A05FDD" w:rsidRPr="00BF0B01">
        <w:t xml:space="preserve"> for example on </w:t>
      </w:r>
      <w:r w:rsidR="00297A21" w:rsidRPr="00BF0B01">
        <w:t>community council</w:t>
      </w:r>
      <w:r w:rsidR="00A14FBE" w:rsidRPr="00BF0B01">
        <w:t>s, community-controlled</w:t>
      </w:r>
      <w:r w:rsidR="00297A21" w:rsidRPr="00BF0B01">
        <w:t xml:space="preserve"> organisations</w:t>
      </w:r>
      <w:r w:rsidR="006C16B6" w:rsidRPr="00BF0B01">
        <w:t>,</w:t>
      </w:r>
      <w:r w:rsidR="00A05FDD" w:rsidRPr="00BF0B01">
        <w:t xml:space="preserve"> boards</w:t>
      </w:r>
      <w:r w:rsidR="00297A21" w:rsidRPr="00BF0B01">
        <w:t>, native title bodies</w:t>
      </w:r>
      <w:r w:rsidR="006C16B6" w:rsidRPr="00BF0B01">
        <w:t>,</w:t>
      </w:r>
      <w:r w:rsidR="00297A21" w:rsidRPr="00BF0B01">
        <w:t xml:space="preserve"> or even the Coalition of Peaks itself</w:t>
      </w:r>
      <w:r w:rsidR="006C16B6" w:rsidRPr="00BF0B01">
        <w:t xml:space="preserve"> –</w:t>
      </w:r>
      <w:r w:rsidR="00297A21" w:rsidRPr="00BF0B01">
        <w:t xml:space="preserve"> shouldn’t be entitled to stand for election.</w:t>
      </w:r>
    </w:p>
    <w:p w14:paraId="2011289E" w14:textId="757D0766" w:rsidR="00976C07" w:rsidRPr="00BF0B01" w:rsidRDefault="00A57802" w:rsidP="007F2535">
      <w:pPr>
        <w:pStyle w:val="Numberedparagraph"/>
      </w:pPr>
      <w:r w:rsidRPr="00BF0B01">
        <w:t xml:space="preserve">Thirdly, it </w:t>
      </w:r>
      <w:r w:rsidR="009616FB" w:rsidRPr="00BF0B01">
        <w:t xml:space="preserve">is essential that the independent mechanism </w:t>
      </w:r>
      <w:r w:rsidRPr="00BF0B01">
        <w:t>be free of any conflict of interest</w:t>
      </w:r>
      <w:r w:rsidR="009616FB" w:rsidRPr="00BF0B01">
        <w:t xml:space="preserve">. Currently, the terms of the </w:t>
      </w:r>
      <w:r w:rsidR="006C16B6" w:rsidRPr="00BF0B01">
        <w:t>A</w:t>
      </w:r>
      <w:r w:rsidR="009616FB" w:rsidRPr="00BF0B01">
        <w:t xml:space="preserve">greement are negotiated between the government parties on one hand and the Coalition of Peaks on the other. </w:t>
      </w:r>
      <w:r w:rsidR="002570E1" w:rsidRPr="00BF0B01">
        <w:t>T</w:t>
      </w:r>
      <w:r w:rsidR="009616FB" w:rsidRPr="00BF0B01">
        <w:t xml:space="preserve">he </w:t>
      </w:r>
      <w:r w:rsidR="00796AC0" w:rsidRPr="00BF0B01">
        <w:t xml:space="preserve">Peaks </w:t>
      </w:r>
      <w:r w:rsidR="009616FB" w:rsidRPr="00BF0B01">
        <w:lastRenderedPageBreak/>
        <w:t xml:space="preserve">are </w:t>
      </w:r>
      <w:r w:rsidR="002570E1" w:rsidRPr="00BF0B01">
        <w:t>made up of national</w:t>
      </w:r>
      <w:r w:rsidR="007204AA" w:rsidRPr="00BF0B01">
        <w:t>,</w:t>
      </w:r>
      <w:r w:rsidR="002570E1" w:rsidRPr="00BF0B01">
        <w:t xml:space="preserve"> state</w:t>
      </w:r>
      <w:r w:rsidR="006C16B6" w:rsidRPr="00BF0B01">
        <w:t>,</w:t>
      </w:r>
      <w:r w:rsidR="002570E1" w:rsidRPr="00BF0B01">
        <w:t xml:space="preserve"> and territory non-government First Nations peak bodies and certain independent statutory authorities </w:t>
      </w:r>
      <w:r w:rsidR="00796AC0" w:rsidRPr="00BF0B01">
        <w:t xml:space="preserve">that </w:t>
      </w:r>
      <w:r w:rsidR="002570E1" w:rsidRPr="00BF0B01">
        <w:t>have responsibility for policies, programs</w:t>
      </w:r>
      <w:r w:rsidR="00796AC0" w:rsidRPr="00BF0B01">
        <w:t>,</w:t>
      </w:r>
      <w:r w:rsidR="002570E1" w:rsidRPr="00BF0B01">
        <w:t xml:space="preserve"> and services related to Closing the Gap.</w:t>
      </w:r>
      <w:r w:rsidR="00700B28">
        <w:t xml:space="preserve"> </w:t>
      </w:r>
      <w:r w:rsidR="009824F8" w:rsidRPr="00BF0B01">
        <w:t>While they are ultimately accountable to their membership, their dependence on regularly reviewed government funding imposes a consequent obligation on their leaders to answer to government and maintain their funding.</w:t>
      </w:r>
      <w:r w:rsidR="00700B28">
        <w:t xml:space="preserve"> </w:t>
      </w:r>
      <w:r w:rsidR="009824F8" w:rsidRPr="00BF0B01">
        <w:t xml:space="preserve"> </w:t>
      </w:r>
    </w:p>
    <w:p w14:paraId="1D1E76D7" w14:textId="23ABB480" w:rsidR="000F6375" w:rsidRPr="00CC2C55" w:rsidRDefault="000F6375" w:rsidP="003F7873">
      <w:pPr>
        <w:pStyle w:val="Heading3"/>
      </w:pPr>
      <w:r w:rsidRPr="00CC2C55">
        <w:t>What levers should the independent mechanism have to enable it to hold governments to account?</w:t>
      </w:r>
    </w:p>
    <w:p w14:paraId="0D385497" w14:textId="61C069FE" w:rsidR="000F6375" w:rsidRPr="00825DA1" w:rsidRDefault="00BC5918" w:rsidP="007F2535">
      <w:pPr>
        <w:pStyle w:val="Numberedparagraph"/>
      </w:pPr>
      <w:r w:rsidRPr="00825DA1">
        <w:t xml:space="preserve">While </w:t>
      </w:r>
      <w:r w:rsidR="00796AC0" w:rsidRPr="00825DA1">
        <w:t>‘</w:t>
      </w:r>
      <w:r w:rsidRPr="00825DA1">
        <w:t>supporting, monitoring</w:t>
      </w:r>
      <w:r w:rsidR="00796AC0" w:rsidRPr="00825DA1">
        <w:t>,</w:t>
      </w:r>
      <w:r w:rsidRPr="00825DA1">
        <w:t xml:space="preserve"> and reporting</w:t>
      </w:r>
      <w:r w:rsidR="00796AC0" w:rsidRPr="00825DA1">
        <w:t>’</w:t>
      </w:r>
      <w:r w:rsidRPr="00825DA1">
        <w:t xml:space="preserve"> </w:t>
      </w:r>
      <w:r w:rsidR="007A4C8E" w:rsidRPr="00825DA1">
        <w:t xml:space="preserve">are all essential to </w:t>
      </w:r>
      <w:r w:rsidRPr="00825DA1">
        <w:t xml:space="preserve">improving progress </w:t>
      </w:r>
      <w:r w:rsidR="00554837" w:rsidRPr="00825DA1">
        <w:t xml:space="preserve">on </w:t>
      </w:r>
      <w:r w:rsidR="009824F8" w:rsidRPr="00825DA1">
        <w:t>C</w:t>
      </w:r>
      <w:r w:rsidR="00554837" w:rsidRPr="00825DA1">
        <w:t xml:space="preserve">losing the </w:t>
      </w:r>
      <w:r w:rsidR="009824F8" w:rsidRPr="00825DA1">
        <w:t>G</w:t>
      </w:r>
      <w:r w:rsidR="00554837" w:rsidRPr="00825DA1">
        <w:t>ap</w:t>
      </w:r>
      <w:r w:rsidRPr="00825DA1">
        <w:t xml:space="preserve">, </w:t>
      </w:r>
      <w:r w:rsidR="00554837" w:rsidRPr="00825DA1">
        <w:t xml:space="preserve">without </w:t>
      </w:r>
      <w:r w:rsidR="00741B74" w:rsidRPr="00825DA1">
        <w:t xml:space="preserve">genuine accountability </w:t>
      </w:r>
      <w:r w:rsidR="00554837" w:rsidRPr="00825DA1">
        <w:t xml:space="preserve">improvement in </w:t>
      </w:r>
      <w:r w:rsidR="00796AC0" w:rsidRPr="00825DA1">
        <w:t xml:space="preserve">the current </w:t>
      </w:r>
      <w:r w:rsidR="00741B74" w:rsidRPr="00825DA1">
        <w:t>inadequate</w:t>
      </w:r>
      <w:r w:rsidR="00A05FDD" w:rsidRPr="00825DA1">
        <w:t xml:space="preserve"> progress </w:t>
      </w:r>
      <w:r w:rsidR="00554837" w:rsidRPr="00825DA1">
        <w:t xml:space="preserve">and reversal of negative progress is unlikely. </w:t>
      </w:r>
      <w:r w:rsidR="00741B74" w:rsidRPr="00825DA1">
        <w:t>The power to conduct public hearings and compel witnesses</w:t>
      </w:r>
      <w:r w:rsidR="00796AC0" w:rsidRPr="00825DA1">
        <w:t>,</w:t>
      </w:r>
      <w:r w:rsidR="003E7C95" w:rsidRPr="00825DA1">
        <w:t xml:space="preserve"> such as responsible ministers and government officials</w:t>
      </w:r>
      <w:r w:rsidR="00796AC0" w:rsidRPr="00825DA1">
        <w:t>,</w:t>
      </w:r>
      <w:r w:rsidR="00741B74" w:rsidRPr="00825DA1">
        <w:t xml:space="preserve"> to attend and give evidence is essential if the independent mechanism is to effectively driv</w:t>
      </w:r>
      <w:r w:rsidR="007A4C8E" w:rsidRPr="00825DA1">
        <w:t>e</w:t>
      </w:r>
      <w:r w:rsidR="00741B74" w:rsidRPr="00825DA1">
        <w:t xml:space="preserve"> accountability. </w:t>
      </w:r>
      <w:r w:rsidR="003C1FC2" w:rsidRPr="00825DA1">
        <w:t>P</w:t>
      </w:r>
      <w:r w:rsidR="0059092F" w:rsidRPr="00825DA1">
        <w:t xml:space="preserve">roceedings should be </w:t>
      </w:r>
      <w:r w:rsidR="00C114E4" w:rsidRPr="00825DA1">
        <w:t>recorded,</w:t>
      </w:r>
      <w:r w:rsidR="0059092F" w:rsidRPr="00825DA1">
        <w:t xml:space="preserve"> and </w:t>
      </w:r>
      <w:r w:rsidR="003C1FC2" w:rsidRPr="00825DA1">
        <w:t xml:space="preserve">the transcripts </w:t>
      </w:r>
      <w:r w:rsidR="00F17B82" w:rsidRPr="00825DA1">
        <w:t xml:space="preserve">tabled in </w:t>
      </w:r>
      <w:r w:rsidR="00796AC0" w:rsidRPr="00825DA1">
        <w:t>p</w:t>
      </w:r>
      <w:r w:rsidR="00F17B82" w:rsidRPr="00825DA1">
        <w:t>arliament</w:t>
      </w:r>
      <w:r w:rsidR="00C114E4">
        <w:t>,</w:t>
      </w:r>
      <w:r w:rsidR="0059092F" w:rsidRPr="00825DA1">
        <w:t xml:space="preserve"> to ensure that evidence given can be relied on to formulate solutions to identified problems and promote transparency</w:t>
      </w:r>
      <w:r w:rsidR="00926553" w:rsidRPr="00825DA1">
        <w:t xml:space="preserve"> –</w:t>
      </w:r>
      <w:r w:rsidR="00B66E5A" w:rsidRPr="00825DA1">
        <w:t xml:space="preserve"> another essential </w:t>
      </w:r>
      <w:r w:rsidR="00B32C9D">
        <w:t xml:space="preserve">feature of an </w:t>
      </w:r>
      <w:r w:rsidR="00B66E5A" w:rsidRPr="00825DA1">
        <w:t>effective accountability measure</w:t>
      </w:r>
      <w:r w:rsidR="0059092F" w:rsidRPr="00825DA1">
        <w:t xml:space="preserve">. </w:t>
      </w:r>
    </w:p>
    <w:p w14:paraId="573CF7D5" w14:textId="6B35B46B" w:rsidR="0019547E" w:rsidRPr="00825DA1" w:rsidRDefault="007204C4" w:rsidP="007F2535">
      <w:pPr>
        <w:pStyle w:val="Numberedparagraph"/>
      </w:pPr>
      <w:r w:rsidRPr="00825DA1">
        <w:t>I</w:t>
      </w:r>
      <w:r w:rsidR="00415612" w:rsidRPr="00825DA1">
        <w:t xml:space="preserve">f public hearings are to </w:t>
      </w:r>
      <w:r w:rsidRPr="00825DA1">
        <w:t xml:space="preserve">genuinely </w:t>
      </w:r>
      <w:r w:rsidR="00415612" w:rsidRPr="00825DA1">
        <w:t xml:space="preserve">address </w:t>
      </w:r>
      <w:r w:rsidR="00B66E5A" w:rsidRPr="00825DA1">
        <w:t xml:space="preserve">barriers to </w:t>
      </w:r>
      <w:r w:rsidR="00A07A9C" w:rsidRPr="00825DA1">
        <w:t>progress, the</w:t>
      </w:r>
      <w:r w:rsidR="00415612" w:rsidRPr="00825DA1">
        <w:t xml:space="preserve"> independent </w:t>
      </w:r>
      <w:r w:rsidR="00A14FBE" w:rsidRPr="00825DA1">
        <w:t xml:space="preserve">mechanism </w:t>
      </w:r>
      <w:r w:rsidR="00926553" w:rsidRPr="00825DA1">
        <w:t xml:space="preserve">will </w:t>
      </w:r>
      <w:r w:rsidR="00A14FBE" w:rsidRPr="00825DA1">
        <w:t xml:space="preserve">require access to information relevant to </w:t>
      </w:r>
      <w:r w:rsidR="00B66E5A" w:rsidRPr="00825DA1">
        <w:t>those matters</w:t>
      </w:r>
      <w:r w:rsidR="00A14FBE" w:rsidRPr="00825DA1">
        <w:t xml:space="preserve">. Without this, </w:t>
      </w:r>
      <w:r w:rsidR="00572D65" w:rsidRPr="00825DA1">
        <w:t xml:space="preserve">hearings are unlikely to reveal </w:t>
      </w:r>
      <w:r w:rsidR="0019547E" w:rsidRPr="00825DA1">
        <w:t xml:space="preserve">specific </w:t>
      </w:r>
      <w:r w:rsidR="00572D65" w:rsidRPr="00825DA1">
        <w:t>inadequacies and failures in performance</w:t>
      </w:r>
      <w:r w:rsidR="00926553" w:rsidRPr="00825DA1">
        <w:t>,</w:t>
      </w:r>
      <w:r w:rsidR="00572D65" w:rsidRPr="00825DA1">
        <w:t xml:space="preserve"> or problems in existing programs </w:t>
      </w:r>
      <w:r w:rsidR="00926553" w:rsidRPr="00825DA1">
        <w:t xml:space="preserve">that are </w:t>
      </w:r>
      <w:r w:rsidR="002F2DB1" w:rsidRPr="00825DA1">
        <w:t xml:space="preserve">intended </w:t>
      </w:r>
      <w:r w:rsidR="00572D65" w:rsidRPr="00825DA1">
        <w:t xml:space="preserve">to </w:t>
      </w:r>
      <w:r w:rsidR="003C1FC2" w:rsidRPr="00825DA1">
        <w:t>C</w:t>
      </w:r>
      <w:r w:rsidR="00354052" w:rsidRPr="00825DA1">
        <w:t xml:space="preserve">lose the </w:t>
      </w:r>
      <w:r w:rsidR="003C1FC2" w:rsidRPr="00825DA1">
        <w:t>G</w:t>
      </w:r>
      <w:r w:rsidR="00354052" w:rsidRPr="00825DA1">
        <w:t>ap</w:t>
      </w:r>
      <w:r w:rsidR="002F2DB1" w:rsidRPr="00825DA1">
        <w:t>, much less allow for the development of solutions.</w:t>
      </w:r>
      <w:r w:rsidR="00700B28">
        <w:t xml:space="preserve"> </w:t>
      </w:r>
    </w:p>
    <w:p w14:paraId="058D46DB" w14:textId="7D1F52CC" w:rsidR="00741B74" w:rsidRPr="00825DA1" w:rsidRDefault="00F17B82" w:rsidP="007F2535">
      <w:pPr>
        <w:pStyle w:val="Numberedparagraph"/>
      </w:pPr>
      <w:r w:rsidRPr="00825DA1">
        <w:t>I</w:t>
      </w:r>
      <w:r w:rsidR="0019547E" w:rsidRPr="00825DA1">
        <w:t xml:space="preserve">n order to find </w:t>
      </w:r>
      <w:r w:rsidR="00354052" w:rsidRPr="00825DA1">
        <w:t>the right answer</w:t>
      </w:r>
      <w:r w:rsidRPr="00825DA1">
        <w:t>s</w:t>
      </w:r>
      <w:r w:rsidR="00354052" w:rsidRPr="00825DA1">
        <w:t xml:space="preserve">, </w:t>
      </w:r>
      <w:r w:rsidR="0019547E" w:rsidRPr="00825DA1">
        <w:t>one</w:t>
      </w:r>
      <w:r w:rsidR="00354052" w:rsidRPr="00825DA1">
        <w:t xml:space="preserve"> must ask the right question</w:t>
      </w:r>
      <w:r w:rsidRPr="00825DA1">
        <w:t>s</w:t>
      </w:r>
      <w:r w:rsidR="00354052" w:rsidRPr="00825DA1">
        <w:t>.</w:t>
      </w:r>
      <w:r w:rsidR="00700B28">
        <w:t xml:space="preserve"> </w:t>
      </w:r>
      <w:r w:rsidR="0019547E" w:rsidRPr="00825DA1">
        <w:t xml:space="preserve">Formulating the right questions </w:t>
      </w:r>
      <w:r w:rsidR="00354052" w:rsidRPr="00825DA1">
        <w:t xml:space="preserve">necessitates the independent mechanism having access to the </w:t>
      </w:r>
      <w:r w:rsidR="0019547E" w:rsidRPr="00825DA1">
        <w:t xml:space="preserve">right </w:t>
      </w:r>
      <w:r w:rsidR="00354052" w:rsidRPr="00825DA1">
        <w:t>information.</w:t>
      </w:r>
      <w:r w:rsidR="00700B28">
        <w:t xml:space="preserve"> </w:t>
      </w:r>
      <w:r w:rsidR="0019547E" w:rsidRPr="00825DA1">
        <w:t xml:space="preserve">This is </w:t>
      </w:r>
      <w:r w:rsidR="00A07A9C" w:rsidRPr="00825DA1">
        <w:t>a necessary pre-requisite for the conduct of comprehensive, thorough</w:t>
      </w:r>
      <w:r w:rsidR="00926553" w:rsidRPr="00825DA1">
        <w:t>,</w:t>
      </w:r>
      <w:r w:rsidR="00A07A9C" w:rsidRPr="00825DA1">
        <w:t xml:space="preserve"> and ultimately successful </w:t>
      </w:r>
      <w:r w:rsidR="0019547E" w:rsidRPr="00825DA1">
        <w:t>hearings.</w:t>
      </w:r>
      <w:r w:rsidR="00700B28">
        <w:t xml:space="preserve">  </w:t>
      </w:r>
    </w:p>
    <w:p w14:paraId="63E075B2" w14:textId="3F5C711E" w:rsidR="00572D65" w:rsidRPr="00825DA1" w:rsidRDefault="008668D7" w:rsidP="007F2535">
      <w:pPr>
        <w:pStyle w:val="Numberedparagraph"/>
      </w:pPr>
      <w:r w:rsidRPr="00825DA1">
        <w:t>The work of</w:t>
      </w:r>
      <w:r w:rsidR="00572D65" w:rsidRPr="00825DA1">
        <w:t xml:space="preserve"> numerous independent statutory bodies and other organisations necessarily brings barriers to progress </w:t>
      </w:r>
      <w:r w:rsidR="00FB7DBE" w:rsidRPr="00825DA1">
        <w:t>on</w:t>
      </w:r>
      <w:r w:rsidR="00572D65" w:rsidRPr="00825DA1">
        <w:t xml:space="preserve"> </w:t>
      </w:r>
      <w:r w:rsidR="00354052" w:rsidRPr="00825DA1">
        <w:t xml:space="preserve">various aspects of </w:t>
      </w:r>
      <w:r w:rsidR="003C1FC2" w:rsidRPr="00825DA1">
        <w:t>C</w:t>
      </w:r>
      <w:r w:rsidR="00572D65" w:rsidRPr="00825DA1">
        <w:t xml:space="preserve">losing the </w:t>
      </w:r>
      <w:r w:rsidR="003C1FC2" w:rsidRPr="00825DA1">
        <w:t>G</w:t>
      </w:r>
      <w:r w:rsidR="00572D65" w:rsidRPr="00825DA1">
        <w:t>ap</w:t>
      </w:r>
      <w:r w:rsidR="00B4074A" w:rsidRPr="00825DA1">
        <w:t xml:space="preserve"> to their attention,</w:t>
      </w:r>
      <w:r w:rsidR="00572D65" w:rsidRPr="00825DA1">
        <w:t xml:space="preserve"> often on a daily basis. The QHRC is one such organisation. If the indep</w:t>
      </w:r>
      <w:r w:rsidR="001545D6" w:rsidRPr="00825DA1">
        <w:t>endent mechanism is to be armed with the specific information required to ensure that hearings uncover failures in the system</w:t>
      </w:r>
      <w:r w:rsidR="00FB7DBE" w:rsidRPr="00825DA1">
        <w:t xml:space="preserve"> and</w:t>
      </w:r>
      <w:r w:rsidR="00033B03" w:rsidRPr="00825DA1">
        <w:t xml:space="preserve"> </w:t>
      </w:r>
      <w:r w:rsidR="00FB7DBE" w:rsidRPr="00825DA1">
        <w:t>bring to light the i</w:t>
      </w:r>
      <w:r w:rsidR="00354052" w:rsidRPr="00825DA1">
        <w:t>nformation</w:t>
      </w:r>
      <w:r w:rsidR="00FB7DBE" w:rsidRPr="00825DA1">
        <w:t xml:space="preserve"> </w:t>
      </w:r>
      <w:r w:rsidR="00033B03" w:rsidRPr="00825DA1">
        <w:t xml:space="preserve">needed to formulate </w:t>
      </w:r>
      <w:r w:rsidR="00FB7DBE" w:rsidRPr="00825DA1">
        <w:t xml:space="preserve">solutions, </w:t>
      </w:r>
      <w:r w:rsidR="001545D6" w:rsidRPr="00825DA1">
        <w:t>they must have the authority to consult widely with all relevant organisations.</w:t>
      </w:r>
    </w:p>
    <w:p w14:paraId="379E65F6" w14:textId="74279546" w:rsidR="001545D6" w:rsidRPr="00825DA1" w:rsidRDefault="002570E1" w:rsidP="007F2535">
      <w:pPr>
        <w:pStyle w:val="Numberedparagraph"/>
      </w:pPr>
      <w:r w:rsidRPr="00825DA1">
        <w:t>Finally</w:t>
      </w:r>
      <w:r w:rsidR="00A57802" w:rsidRPr="00825DA1">
        <w:t xml:space="preserve">, </w:t>
      </w:r>
      <w:r w:rsidR="001545D6" w:rsidRPr="00825DA1">
        <w:t>the independent mechanism</w:t>
      </w:r>
      <w:r w:rsidR="00A57802" w:rsidRPr="00825DA1">
        <w:t xml:space="preserve"> must have the expertise, or access to the expertise</w:t>
      </w:r>
      <w:r w:rsidR="00B4074A" w:rsidRPr="00825DA1">
        <w:t>,</w:t>
      </w:r>
      <w:r w:rsidR="00A57802" w:rsidRPr="00825DA1">
        <w:t xml:space="preserve"> required to identify reasons for inadequate </w:t>
      </w:r>
      <w:r w:rsidR="002F2DB1" w:rsidRPr="00825DA1">
        <w:t xml:space="preserve">or negative </w:t>
      </w:r>
      <w:r w:rsidR="00A57802" w:rsidRPr="00825DA1">
        <w:t xml:space="preserve">progress and </w:t>
      </w:r>
      <w:r w:rsidR="002F2DB1" w:rsidRPr="00825DA1">
        <w:t xml:space="preserve">to </w:t>
      </w:r>
      <w:r w:rsidR="00A57802" w:rsidRPr="00825DA1">
        <w:t>develop solutions</w:t>
      </w:r>
      <w:r w:rsidR="00354052" w:rsidRPr="00825DA1">
        <w:t xml:space="preserve"> in partnership with the Coalition of Peaks</w:t>
      </w:r>
      <w:r w:rsidR="001A7070" w:rsidRPr="00825DA1">
        <w:t xml:space="preserve"> and</w:t>
      </w:r>
      <w:r w:rsidR="00033B03" w:rsidRPr="00825DA1">
        <w:t xml:space="preserve"> other </w:t>
      </w:r>
      <w:r w:rsidR="001A7070" w:rsidRPr="00825DA1">
        <w:t>relevant organisations</w:t>
      </w:r>
      <w:r w:rsidR="00A57802" w:rsidRPr="00825DA1">
        <w:t xml:space="preserve">. </w:t>
      </w:r>
      <w:r w:rsidR="001545D6" w:rsidRPr="00825DA1">
        <w:t>Such expertise would</w:t>
      </w:r>
      <w:r w:rsidR="00B4074A" w:rsidRPr="00825DA1">
        <w:t xml:space="preserve"> </w:t>
      </w:r>
      <w:r w:rsidR="001545D6" w:rsidRPr="00825DA1">
        <w:t>include expertise in all fields relevant to the socio-economic targets listed in the Agreement</w:t>
      </w:r>
      <w:r w:rsidR="00B074F0" w:rsidRPr="00825DA1">
        <w:t xml:space="preserve">, but not be </w:t>
      </w:r>
      <w:r w:rsidR="001545D6" w:rsidRPr="00825DA1">
        <w:t xml:space="preserve">limited </w:t>
      </w:r>
      <w:r w:rsidR="006E0ECC" w:rsidRPr="00825DA1">
        <w:t>to these fields. To enable thorough understanding of what the barriers to progress are, how they arise</w:t>
      </w:r>
      <w:r w:rsidR="00B074F0" w:rsidRPr="00825DA1">
        <w:t>,</w:t>
      </w:r>
      <w:r w:rsidR="006E0ECC" w:rsidRPr="00825DA1">
        <w:t xml:space="preserve"> and how to overcome them, knowledge and expertise i</w:t>
      </w:r>
      <w:r w:rsidR="001A7070" w:rsidRPr="00825DA1">
        <w:t xml:space="preserve">n statistics and data analysis is imperative. </w:t>
      </w:r>
    </w:p>
    <w:p w14:paraId="2D0E81CA" w14:textId="1F5A8CDE" w:rsidR="001545D6" w:rsidRPr="00825DA1" w:rsidRDefault="001545D6" w:rsidP="003F7873">
      <w:pPr>
        <w:pStyle w:val="Heading3"/>
      </w:pPr>
      <w:r w:rsidRPr="00825DA1">
        <w:lastRenderedPageBreak/>
        <w:t>Should the independent mechanism have a broader role – beyond Priority Reform 3 – so that it can drive accountability for progress towards all of the Priority Reforms in the Agreement?</w:t>
      </w:r>
    </w:p>
    <w:p w14:paraId="1A665C13" w14:textId="7D8091CF" w:rsidR="00114E5E" w:rsidRPr="00825DA1" w:rsidRDefault="001A7070" w:rsidP="007F2535">
      <w:pPr>
        <w:pStyle w:val="Numberedparagraph"/>
      </w:pPr>
      <w:r w:rsidRPr="00825DA1">
        <w:t xml:space="preserve">The QHRC submits that the role of the independent mechanism should not be limited to Priority Reform 3. </w:t>
      </w:r>
      <w:r w:rsidR="00A21BC2" w:rsidRPr="00825DA1">
        <w:t>As is clear from the draft report, Priority Reform 3 is not the only area in which progress and accountability have been inadequate.</w:t>
      </w:r>
      <w:r w:rsidR="00700B28">
        <w:t xml:space="preserve"> </w:t>
      </w:r>
    </w:p>
    <w:p w14:paraId="6FDADBB0" w14:textId="2467274E" w:rsidR="001A7070" w:rsidRPr="00825DA1" w:rsidRDefault="005E070E" w:rsidP="007F2535">
      <w:pPr>
        <w:pStyle w:val="Numberedparagraph"/>
      </w:pPr>
      <w:r w:rsidRPr="00825DA1">
        <w:t xml:space="preserve"> </w:t>
      </w:r>
      <w:r w:rsidR="00114E5E" w:rsidRPr="00825DA1">
        <w:t>For this reason, the QHRC supports the broadening of the independent mechanism’s role to supporting, monitoring, reporting, evaluating</w:t>
      </w:r>
      <w:r w:rsidR="00CB7F29" w:rsidRPr="00825DA1">
        <w:t>,</w:t>
      </w:r>
      <w:r w:rsidR="00114E5E" w:rsidRPr="00825DA1">
        <w:t xml:space="preserve"> and driving accountability in relation to all four </w:t>
      </w:r>
      <w:r w:rsidR="00CB7F29" w:rsidRPr="00825DA1">
        <w:t>P</w:t>
      </w:r>
      <w:r w:rsidR="00114E5E" w:rsidRPr="00825DA1">
        <w:t xml:space="preserve">riority </w:t>
      </w:r>
      <w:r w:rsidR="00CB7F29" w:rsidRPr="00825DA1">
        <w:t>R</w:t>
      </w:r>
      <w:r w:rsidR="00114E5E" w:rsidRPr="00825DA1">
        <w:t>eforms and all socio-economic targets included in the Agreement.</w:t>
      </w:r>
      <w:r w:rsidR="00700B28">
        <w:t xml:space="preserve"> </w:t>
      </w:r>
    </w:p>
    <w:p w14:paraId="79FC2121" w14:textId="392A3E7B" w:rsidR="00D471AF" w:rsidRPr="00825DA1" w:rsidRDefault="00114E5E" w:rsidP="007F2535">
      <w:pPr>
        <w:pStyle w:val="Numberedparagraph"/>
      </w:pPr>
      <w:r w:rsidRPr="00825DA1">
        <w:t xml:space="preserve">In addition to these aspects of the role, the QHRC </w:t>
      </w:r>
      <w:r w:rsidR="002E2858" w:rsidRPr="00825DA1">
        <w:t xml:space="preserve">supports the independent mechanism taking on the role of supporting the Coalition of Peaks to negotiate future amendments to the Agreement. </w:t>
      </w:r>
      <w:r w:rsidR="00D471AF" w:rsidRPr="00825DA1">
        <w:t xml:space="preserve">The existing framework within which the </w:t>
      </w:r>
      <w:r w:rsidR="00CB7F29" w:rsidRPr="00825DA1">
        <w:t>A</w:t>
      </w:r>
      <w:r w:rsidR="00D471AF" w:rsidRPr="00825DA1">
        <w:t>greement is negotiated lacks the essential features of an independent mechanism</w:t>
      </w:r>
      <w:r w:rsidR="00510FCC" w:rsidRPr="00825DA1">
        <w:t xml:space="preserve"> as outlined above</w:t>
      </w:r>
      <w:r w:rsidR="00D471AF" w:rsidRPr="00825DA1">
        <w:t xml:space="preserve">. For the same reasons that these features are imperative to </w:t>
      </w:r>
      <w:r w:rsidR="00887D12" w:rsidRPr="00825DA1">
        <w:t>the</w:t>
      </w:r>
      <w:r w:rsidR="00D471AF" w:rsidRPr="00825DA1">
        <w:t xml:space="preserve"> body tasked with driving accountability, they are also essential to negotiating an effective Agreement with specific provisions likely to achieve the </w:t>
      </w:r>
      <w:r w:rsidR="00510FCC" w:rsidRPr="00825DA1">
        <w:t>goal</w:t>
      </w:r>
      <w:r w:rsidR="00D471AF" w:rsidRPr="00825DA1">
        <w:t xml:space="preserve"> of </w:t>
      </w:r>
      <w:r w:rsidR="00D463EB" w:rsidRPr="00825DA1">
        <w:t>C</w:t>
      </w:r>
      <w:r w:rsidR="00D471AF" w:rsidRPr="00825DA1">
        <w:t xml:space="preserve">losing the </w:t>
      </w:r>
      <w:r w:rsidR="00D463EB" w:rsidRPr="00825DA1">
        <w:t>G</w:t>
      </w:r>
      <w:r w:rsidR="00D471AF" w:rsidRPr="00825DA1">
        <w:t xml:space="preserve">ap. </w:t>
      </w:r>
    </w:p>
    <w:p w14:paraId="7F92A892" w14:textId="6B510764" w:rsidR="002E2858" w:rsidRPr="00825DA1" w:rsidRDefault="002E2858" w:rsidP="007F2535">
      <w:pPr>
        <w:pStyle w:val="Numberedparagraph"/>
      </w:pPr>
      <w:r w:rsidRPr="00825DA1">
        <w:t xml:space="preserve">No doubt the performance of its role as monitor and driver of accountability as outlined above will equip the independent mechanism </w:t>
      </w:r>
      <w:r w:rsidR="00D471AF" w:rsidRPr="00825DA1">
        <w:t xml:space="preserve">with </w:t>
      </w:r>
      <w:r w:rsidRPr="00825DA1">
        <w:t xml:space="preserve">the information and knowledge essential to formulating a cogent and </w:t>
      </w:r>
      <w:r w:rsidR="00D471AF" w:rsidRPr="00825DA1">
        <w:t>widely</w:t>
      </w:r>
      <w:r w:rsidRPr="00825DA1">
        <w:t xml:space="preserve"> supported, and therefore powerful</w:t>
      </w:r>
      <w:r w:rsidR="00D471AF" w:rsidRPr="00825DA1">
        <w:t>,</w:t>
      </w:r>
      <w:r w:rsidRPr="00825DA1">
        <w:t xml:space="preserve"> negotiating position. This knowledge will only grow over time as the independent mechanism gathers experience in the performance of its role.</w:t>
      </w:r>
      <w:r w:rsidR="00700B28">
        <w:t xml:space="preserve"> </w:t>
      </w:r>
    </w:p>
    <w:p w14:paraId="3AD3D3FD" w14:textId="6707BA66" w:rsidR="003F7873" w:rsidRDefault="00263492" w:rsidP="003F7873">
      <w:pPr>
        <w:pStyle w:val="Numberedparagraph"/>
      </w:pPr>
      <w:r w:rsidRPr="00825DA1">
        <w:t>T</w:t>
      </w:r>
      <w:r w:rsidR="00D471AF" w:rsidRPr="00825DA1">
        <w:t xml:space="preserve">he QHRC also </w:t>
      </w:r>
      <w:r w:rsidRPr="00825DA1">
        <w:t xml:space="preserve">anticipates </w:t>
      </w:r>
      <w:r w:rsidR="00D471AF" w:rsidRPr="00825DA1">
        <w:t xml:space="preserve">that the independent mechanism and Coalition of Peaks will benefit from expert advice in the development of an agreed negotiating position and strategy. </w:t>
      </w:r>
      <w:r w:rsidR="003E7C95" w:rsidRPr="00825DA1">
        <w:t xml:space="preserve">The need for such expert advice may diminish over time as the independent mechanism gains experience, but the complexity and history of Australia’s efforts to </w:t>
      </w:r>
      <w:r w:rsidR="00D463EB" w:rsidRPr="00825DA1">
        <w:t>C</w:t>
      </w:r>
      <w:r w:rsidR="003E7C95" w:rsidRPr="00825DA1">
        <w:t xml:space="preserve">lose the </w:t>
      </w:r>
      <w:r w:rsidR="00D463EB" w:rsidRPr="00825DA1">
        <w:t>G</w:t>
      </w:r>
      <w:r w:rsidR="003E7C95" w:rsidRPr="00825DA1">
        <w:t xml:space="preserve">ap suggest that such expert advice and assistance </w:t>
      </w:r>
      <w:r w:rsidR="00510FCC" w:rsidRPr="00825DA1">
        <w:t xml:space="preserve">on these matters </w:t>
      </w:r>
      <w:r w:rsidR="003E7C95" w:rsidRPr="00825DA1">
        <w:t>would be beneficial on an ongoing basis.</w:t>
      </w:r>
      <w:r w:rsidR="00700B28">
        <w:t xml:space="preserve"> </w:t>
      </w:r>
    </w:p>
    <w:p w14:paraId="0A7121B6" w14:textId="52EBCAE7" w:rsidR="00510FCC" w:rsidRPr="003F7873" w:rsidRDefault="00510FCC" w:rsidP="003F7873">
      <w:pPr>
        <w:pStyle w:val="Heading3"/>
        <w:rPr>
          <w:color w:val="auto"/>
          <w:sz w:val="22"/>
        </w:rPr>
      </w:pPr>
      <w:r w:rsidRPr="003F7873">
        <w:t>How could the independent mechanism improve the timeliness of accountability?</w:t>
      </w:r>
    </w:p>
    <w:p w14:paraId="30C9EF92" w14:textId="34471167" w:rsidR="00CD3482" w:rsidRPr="00587D0F" w:rsidRDefault="00DF25F7" w:rsidP="007F2535">
      <w:pPr>
        <w:pStyle w:val="Numberedparagraph"/>
      </w:pPr>
      <w:r w:rsidRPr="00587D0F">
        <w:t xml:space="preserve">The QHRC acknowledges that the establishment of a new independent mechanism as outlined above will </w:t>
      </w:r>
      <w:r w:rsidR="00CD3482" w:rsidRPr="00587D0F">
        <w:t xml:space="preserve">require new legislation in every state and territory, </w:t>
      </w:r>
      <w:r w:rsidR="00A9232C" w:rsidRPr="00587D0F">
        <w:t>which requires</w:t>
      </w:r>
      <w:r w:rsidR="00CD3482" w:rsidRPr="00587D0F">
        <w:t xml:space="preserve"> </w:t>
      </w:r>
      <w:r w:rsidRPr="00587D0F">
        <w:t>political will and leadership</w:t>
      </w:r>
      <w:r w:rsidR="00CD3482" w:rsidRPr="00587D0F">
        <w:t>.</w:t>
      </w:r>
      <w:r w:rsidR="00700B28">
        <w:t xml:space="preserve"> </w:t>
      </w:r>
      <w:r w:rsidR="0095292E" w:rsidRPr="00587D0F">
        <w:t>Those things will inevitably take time, as will the proposed elections and induction of elected members.</w:t>
      </w:r>
      <w:r w:rsidR="00700B28">
        <w:t xml:space="preserve"> </w:t>
      </w:r>
    </w:p>
    <w:p w14:paraId="46C24864" w14:textId="569E5567" w:rsidR="00DF25F7" w:rsidRPr="00587D0F" w:rsidRDefault="0095292E" w:rsidP="007F2535">
      <w:pPr>
        <w:pStyle w:val="Numberedparagraph"/>
      </w:pPr>
      <w:r w:rsidRPr="00587D0F">
        <w:t>However, o</w:t>
      </w:r>
      <w:r w:rsidR="00CD3482" w:rsidRPr="00587D0F">
        <w:t xml:space="preserve">nce </w:t>
      </w:r>
      <w:r w:rsidR="004164AE" w:rsidRPr="00587D0F">
        <w:t>established, the</w:t>
      </w:r>
      <w:r w:rsidRPr="00587D0F">
        <w:t xml:space="preserve"> QHRC </w:t>
      </w:r>
      <w:r w:rsidR="00A9232C" w:rsidRPr="00587D0F">
        <w:t xml:space="preserve">expects </w:t>
      </w:r>
      <w:r w:rsidRPr="00587D0F">
        <w:t>that the independent mechanism would adopt an annual cycle</w:t>
      </w:r>
      <w:r w:rsidR="005560AB" w:rsidRPr="00587D0F">
        <w:t xml:space="preserve"> of activity </w:t>
      </w:r>
      <w:r w:rsidR="004164AE" w:rsidRPr="00587D0F">
        <w:t>to compl</w:t>
      </w:r>
      <w:r w:rsidR="001A550F" w:rsidRPr="00587D0F">
        <w:t>e</w:t>
      </w:r>
      <w:r w:rsidR="004164AE" w:rsidRPr="00587D0F">
        <w:t xml:space="preserve">ment the annual publication of </w:t>
      </w:r>
      <w:r w:rsidR="001A550F" w:rsidRPr="00587D0F">
        <w:t>C</w:t>
      </w:r>
      <w:r w:rsidR="004164AE" w:rsidRPr="00587D0F">
        <w:t xml:space="preserve">losing the </w:t>
      </w:r>
      <w:r w:rsidR="001A550F" w:rsidRPr="00587D0F">
        <w:t>G</w:t>
      </w:r>
      <w:r w:rsidR="004164AE" w:rsidRPr="00587D0F">
        <w:t>ap data.</w:t>
      </w:r>
      <w:r w:rsidR="00700B28">
        <w:t xml:space="preserve"> </w:t>
      </w:r>
      <w:r w:rsidR="004164AE" w:rsidRPr="00587D0F">
        <w:t>In th</w:t>
      </w:r>
      <w:r w:rsidR="001A550F" w:rsidRPr="00587D0F">
        <w:t>is</w:t>
      </w:r>
      <w:r w:rsidR="004164AE" w:rsidRPr="00587D0F">
        <w:t xml:space="preserve"> way, government parties and individuals with responsibilities for specific programs will have </w:t>
      </w:r>
      <w:r w:rsidR="00D429C7" w:rsidRPr="00587D0F">
        <w:t xml:space="preserve">an understanding and expectation that their actions, or inaction, will be subject to </w:t>
      </w:r>
      <w:r w:rsidR="004823E1" w:rsidRPr="00587D0F">
        <w:t xml:space="preserve">regular </w:t>
      </w:r>
      <w:r w:rsidR="00D429C7" w:rsidRPr="00587D0F">
        <w:t xml:space="preserve">public scrutiny. An environment in which transparency </w:t>
      </w:r>
      <w:r w:rsidR="001A550F" w:rsidRPr="00587D0F">
        <w:t xml:space="preserve">prevails </w:t>
      </w:r>
      <w:r w:rsidR="00D429C7" w:rsidRPr="00587D0F">
        <w:t xml:space="preserve">will ultimately promote ongoing higher standards and better performance than has </w:t>
      </w:r>
      <w:r w:rsidR="00316E26" w:rsidRPr="00587D0F">
        <w:t>been evidenced to date</w:t>
      </w:r>
      <w:r w:rsidR="00D429C7" w:rsidRPr="00587D0F">
        <w:t xml:space="preserve">. </w:t>
      </w:r>
    </w:p>
    <w:p w14:paraId="632BC38B" w14:textId="29D26DD8" w:rsidR="00876570" w:rsidRPr="006E22AE" w:rsidRDefault="00876570" w:rsidP="003F7873">
      <w:pPr>
        <w:pStyle w:val="Heading3"/>
      </w:pPr>
      <w:r w:rsidRPr="00CC2C55">
        <w:lastRenderedPageBreak/>
        <w:t xml:space="preserve">How should the independent mechanism be situated with respect to the new and emerging Aboriginal </w:t>
      </w:r>
      <w:r w:rsidRPr="006E22AE">
        <w:t xml:space="preserve">and Torres Strait Islander bodies (such as the proposed Voice to the Australian </w:t>
      </w:r>
      <w:r w:rsidRPr="00587D0F">
        <w:t>Parliament and</w:t>
      </w:r>
      <w:r w:rsidRPr="00CC2C55">
        <w:t xml:space="preserve"> others</w:t>
      </w:r>
      <w:r w:rsidR="00087638" w:rsidRPr="00CC2C55">
        <w:t>)</w:t>
      </w:r>
      <w:r w:rsidRPr="00CC2C55">
        <w:t>? Is a stand-alone independent mechanism still required?</w:t>
      </w:r>
    </w:p>
    <w:p w14:paraId="3F999C7C" w14:textId="26B2B1AD" w:rsidR="00203CC1" w:rsidRPr="00587D0F" w:rsidRDefault="00203CC1" w:rsidP="007F2535">
      <w:pPr>
        <w:pStyle w:val="Numberedparagraph"/>
      </w:pPr>
      <w:r w:rsidRPr="006E22AE">
        <w:t>Responsibilities and commitments under the Agreement are independent of the outcome of the referendum.</w:t>
      </w:r>
      <w:r w:rsidR="00700B28">
        <w:t xml:space="preserve"> </w:t>
      </w:r>
      <w:r w:rsidR="00215641" w:rsidRPr="006E22AE">
        <w:t xml:space="preserve">Evidence is clear that the progress </w:t>
      </w:r>
      <w:r w:rsidR="005B41E1" w:rsidRPr="006E22AE">
        <w:t>expec</w:t>
      </w:r>
      <w:r w:rsidR="005B41E1" w:rsidRPr="00587D0F">
        <w:t xml:space="preserve">ted </w:t>
      </w:r>
      <w:r w:rsidR="00215641" w:rsidRPr="00587D0F">
        <w:t xml:space="preserve">by the Agreement is not being achieved. </w:t>
      </w:r>
      <w:r w:rsidRPr="00587D0F">
        <w:t>Accordingly, whether or not the Voice</w:t>
      </w:r>
      <w:r w:rsidR="00215641" w:rsidRPr="00587D0F">
        <w:t xml:space="preserve"> or other representative </w:t>
      </w:r>
      <w:r w:rsidR="00887D12" w:rsidRPr="00587D0F">
        <w:t xml:space="preserve">body </w:t>
      </w:r>
      <w:r w:rsidRPr="00587D0F">
        <w:t>become</w:t>
      </w:r>
      <w:r w:rsidR="00215641" w:rsidRPr="00587D0F">
        <w:t xml:space="preserve"> a</w:t>
      </w:r>
      <w:r w:rsidRPr="00CC2C55">
        <w:t xml:space="preserve"> reality, </w:t>
      </w:r>
      <w:r w:rsidRPr="00587D0F">
        <w:t>a</w:t>
      </w:r>
      <w:r w:rsidR="00215641" w:rsidRPr="00587D0F">
        <w:t>n urgent</w:t>
      </w:r>
      <w:r w:rsidRPr="00CC2C55">
        <w:t xml:space="preserve"> need for </w:t>
      </w:r>
      <w:r w:rsidR="00215641" w:rsidRPr="00CC2C55">
        <w:t xml:space="preserve">genuine </w:t>
      </w:r>
      <w:r w:rsidR="007043B6" w:rsidRPr="00CC2C55">
        <w:t xml:space="preserve">accountability </w:t>
      </w:r>
      <w:r w:rsidR="00215641" w:rsidRPr="006E22AE">
        <w:t xml:space="preserve">for </w:t>
      </w:r>
      <w:r w:rsidR="00215641" w:rsidRPr="00587D0F">
        <w:t xml:space="preserve">performance </w:t>
      </w:r>
      <w:r w:rsidR="000E27CE" w:rsidRPr="00587D0F">
        <w:t>under t</w:t>
      </w:r>
      <w:r w:rsidR="00215641" w:rsidRPr="00587D0F">
        <w:t>he Agreement</w:t>
      </w:r>
      <w:r w:rsidR="000E27CE" w:rsidRPr="00587D0F">
        <w:t xml:space="preserve"> will continue</w:t>
      </w:r>
      <w:r w:rsidR="00215641" w:rsidRPr="00587D0F">
        <w:t>.</w:t>
      </w:r>
      <w:r w:rsidR="00700B28">
        <w:t xml:space="preserve"> </w:t>
      </w:r>
    </w:p>
    <w:p w14:paraId="2390E5F6" w14:textId="7F82C9C2" w:rsidR="00087638" w:rsidRPr="00CC2C55" w:rsidRDefault="00087638" w:rsidP="007F2535">
      <w:pPr>
        <w:pStyle w:val="Numberedparagraph"/>
      </w:pPr>
      <w:r w:rsidRPr="00CC2C55">
        <w:t xml:space="preserve">The QHRC acknowledges that the proposed new mechanism has potential to replicate the functions of the </w:t>
      </w:r>
      <w:r w:rsidRPr="00587D0F">
        <w:t>Voice</w:t>
      </w:r>
      <w:r w:rsidR="000E27CE" w:rsidRPr="00587D0F">
        <w:t xml:space="preserve"> to Parliament,</w:t>
      </w:r>
      <w:r w:rsidRPr="00587D0F">
        <w:t xml:space="preserve"> the subject of the upcoming referendum.</w:t>
      </w:r>
      <w:r w:rsidR="00700B28">
        <w:t xml:space="preserve"> </w:t>
      </w:r>
      <w:r w:rsidRPr="00587D0F">
        <w:t>Duplication and overlap in functions may also arise at a state or territory level i</w:t>
      </w:r>
      <w:r w:rsidRPr="00CC2C55">
        <w:t>n jurisdictions where similar representative bodies are proposed or already exist.</w:t>
      </w:r>
      <w:r w:rsidR="00700B28">
        <w:t xml:space="preserve"> </w:t>
      </w:r>
    </w:p>
    <w:p w14:paraId="18A49803" w14:textId="544EF86C" w:rsidR="00C67B05" w:rsidRPr="00CC2C55" w:rsidRDefault="00087638" w:rsidP="007F2535">
      <w:pPr>
        <w:pStyle w:val="Numberedparagraph"/>
      </w:pPr>
      <w:r w:rsidRPr="006E22AE">
        <w:t xml:space="preserve">However, </w:t>
      </w:r>
      <w:r w:rsidR="00B3424A" w:rsidRPr="006E22AE">
        <w:t>at the time of writing, the outcome of the federal referendum on the Voice remains unknown.</w:t>
      </w:r>
      <w:r w:rsidR="00700B28">
        <w:t xml:space="preserve"> </w:t>
      </w:r>
      <w:r w:rsidR="00B3424A" w:rsidRPr="006E22AE">
        <w:t xml:space="preserve">Even if the referendum succeeds in securing Constitutional change, the establishment of the Voice is likely to take </w:t>
      </w:r>
      <w:r w:rsidR="00215641" w:rsidRPr="006E22AE">
        <w:t xml:space="preserve">significant </w:t>
      </w:r>
      <w:r w:rsidR="00B3424A" w:rsidRPr="006E22AE">
        <w:t>time, given that it will require potentially contentious legislation</w:t>
      </w:r>
      <w:r w:rsidR="003A5934">
        <w:t>, and</w:t>
      </w:r>
      <w:r w:rsidR="00434CE5" w:rsidRPr="006E22AE">
        <w:t xml:space="preserve"> </w:t>
      </w:r>
      <w:r w:rsidR="00C67B05" w:rsidRPr="006E22AE">
        <w:t xml:space="preserve">until legislation is passed, the extent of any potential overlap between the functions of the Voice and the proposed independent mechanism </w:t>
      </w:r>
      <w:r w:rsidR="00434CE5" w:rsidRPr="006E22AE">
        <w:t xml:space="preserve">are </w:t>
      </w:r>
      <w:r w:rsidR="00434CE5" w:rsidRPr="00587D0F">
        <w:t xml:space="preserve">mere </w:t>
      </w:r>
      <w:r w:rsidR="00C67B05" w:rsidRPr="00CC2C55">
        <w:t>speculation.</w:t>
      </w:r>
      <w:r w:rsidR="00700B28">
        <w:t xml:space="preserve"> </w:t>
      </w:r>
    </w:p>
    <w:p w14:paraId="4FDB86CD" w14:textId="4223AEEC" w:rsidR="00087638" w:rsidRPr="006E22AE" w:rsidRDefault="00B3424A" w:rsidP="007F2535">
      <w:pPr>
        <w:pStyle w:val="Numberedparagraph"/>
      </w:pPr>
      <w:r w:rsidRPr="00CC2C55">
        <w:t>G</w:t>
      </w:r>
      <w:r w:rsidR="00087638" w:rsidRPr="00CC2C55">
        <w:t xml:space="preserve">iven the urgency and gravity of the current circumstances, </w:t>
      </w:r>
      <w:r w:rsidRPr="006E22AE">
        <w:t xml:space="preserve">the QHRC submits that </w:t>
      </w:r>
      <w:r w:rsidR="00C67B05" w:rsidRPr="006E22AE">
        <w:t xml:space="preserve">any further delay in establishing an effective accountability mechanism and implementing an effective </w:t>
      </w:r>
      <w:r w:rsidR="00C67B05" w:rsidRPr="00587D0F">
        <w:t>framework within which the Agreement is negotiated, monitored, evaluated</w:t>
      </w:r>
      <w:r w:rsidR="00434CE5" w:rsidRPr="00587D0F">
        <w:t>,</w:t>
      </w:r>
      <w:r w:rsidR="00C67B05" w:rsidRPr="00587D0F">
        <w:t xml:space="preserve"> and improved is not an acceptable option. </w:t>
      </w:r>
      <w:r w:rsidR="00C67B05" w:rsidRPr="006E22AE">
        <w:t xml:space="preserve">The independent mechanism proposed should proceed without delay and, </w:t>
      </w:r>
      <w:r w:rsidR="007043B6" w:rsidRPr="006E22AE">
        <w:t xml:space="preserve">in the event that </w:t>
      </w:r>
      <w:r w:rsidR="00C67B05" w:rsidRPr="006E22AE">
        <w:t xml:space="preserve">the Voice or </w:t>
      </w:r>
      <w:r w:rsidR="007043B6" w:rsidRPr="006E22AE">
        <w:t xml:space="preserve">other </w:t>
      </w:r>
      <w:r w:rsidR="00C67B05" w:rsidRPr="006E22AE">
        <w:t>relevant representative bod</w:t>
      </w:r>
      <w:r w:rsidR="007043B6" w:rsidRPr="006E22AE">
        <w:t>y</w:t>
      </w:r>
      <w:r w:rsidR="00C67B05" w:rsidRPr="006E22AE">
        <w:t xml:space="preserve"> come</w:t>
      </w:r>
      <w:r w:rsidR="007043B6" w:rsidRPr="006E22AE">
        <w:t>s</w:t>
      </w:r>
      <w:r w:rsidR="00C67B05" w:rsidRPr="006E22AE">
        <w:t xml:space="preserve"> into existence, any duplication or overlap in functions could be addressed </w:t>
      </w:r>
      <w:r w:rsidR="00374096" w:rsidRPr="006E22AE">
        <w:t xml:space="preserve">if and </w:t>
      </w:r>
      <w:r w:rsidR="00C67B05" w:rsidRPr="006E22AE">
        <w:t xml:space="preserve">when </w:t>
      </w:r>
      <w:r w:rsidR="007043B6" w:rsidRPr="006E22AE">
        <w:t xml:space="preserve">it </w:t>
      </w:r>
      <w:r w:rsidR="00C67B05" w:rsidRPr="006E22AE">
        <w:t>arise</w:t>
      </w:r>
      <w:r w:rsidR="007043B6" w:rsidRPr="006E22AE">
        <w:t>s</w:t>
      </w:r>
      <w:r w:rsidR="00C67B05" w:rsidRPr="006E22AE">
        <w:t>.</w:t>
      </w:r>
    </w:p>
    <w:p w14:paraId="293FD4D4" w14:textId="3B72E45D" w:rsidR="00374096" w:rsidRPr="006E22AE" w:rsidRDefault="00374096" w:rsidP="003F7873">
      <w:pPr>
        <w:pStyle w:val="Heading3"/>
      </w:pPr>
      <w:r w:rsidRPr="006E22AE">
        <w:t>What role should the independent mechanism play in reviewing and/or approving Closing the Gap implementation plans and annual reports?</w:t>
      </w:r>
    </w:p>
    <w:p w14:paraId="50A59B78" w14:textId="6DFA627B" w:rsidR="00D32517" w:rsidRPr="006E22AE" w:rsidRDefault="00374096" w:rsidP="007F2535">
      <w:pPr>
        <w:pStyle w:val="Numberedparagraph"/>
      </w:pPr>
      <w:r w:rsidRPr="006E22AE">
        <w:t xml:space="preserve">As discussed above, the QHRC proposes that the independent mechanism has a role to play at every point throughout the cycle of the Agreement from negotiating its terms, </w:t>
      </w:r>
      <w:r w:rsidRPr="00587D0F">
        <w:t>monitoring performance</w:t>
      </w:r>
      <w:r w:rsidR="00D32517" w:rsidRPr="00587D0F">
        <w:t xml:space="preserve"> to identify good and bad practice</w:t>
      </w:r>
      <w:r w:rsidRPr="00587D0F">
        <w:t xml:space="preserve">, </w:t>
      </w:r>
      <w:r w:rsidR="00E05EB5" w:rsidRPr="00587D0F">
        <w:t xml:space="preserve">and </w:t>
      </w:r>
      <w:r w:rsidR="003C4681" w:rsidRPr="00587D0F">
        <w:t xml:space="preserve">in </w:t>
      </w:r>
      <w:r w:rsidRPr="00587D0F">
        <w:t xml:space="preserve">promoting transparency and accountability for </w:t>
      </w:r>
      <w:r w:rsidR="00D32517" w:rsidRPr="00587D0F">
        <w:t>successes and failures</w:t>
      </w:r>
      <w:r w:rsidR="005B5993" w:rsidRPr="00587D0F">
        <w:t>.</w:t>
      </w:r>
    </w:p>
    <w:p w14:paraId="41AF8918" w14:textId="4DA86971" w:rsidR="00374096" w:rsidRPr="00CC2C55" w:rsidRDefault="005B5993" w:rsidP="007F2535">
      <w:pPr>
        <w:pStyle w:val="Numberedparagraph"/>
      </w:pPr>
      <w:r w:rsidRPr="006E22AE">
        <w:t>The QH</w:t>
      </w:r>
      <w:r w:rsidRPr="00587D0F">
        <w:t>RC expects</w:t>
      </w:r>
      <w:r w:rsidR="00D32517" w:rsidRPr="00587D0F">
        <w:t xml:space="preserve"> that the independent mechanism would necessarily be involved in reviewing implementation plans and annual reports.</w:t>
      </w:r>
      <w:r w:rsidR="003C4681" w:rsidRPr="00587D0F">
        <w:t xml:space="preserve"> </w:t>
      </w:r>
      <w:r w:rsidR="003C4681" w:rsidRPr="00CC2C55">
        <w:t>T</w:t>
      </w:r>
      <w:r w:rsidR="00D32517" w:rsidRPr="00CC2C55">
        <w:t xml:space="preserve">he conduct of its public hearings to investigate and </w:t>
      </w:r>
      <w:r w:rsidR="003C4681" w:rsidRPr="00CC2C55">
        <w:t>reveal</w:t>
      </w:r>
      <w:r w:rsidR="00D32517" w:rsidRPr="00CC2C55">
        <w:t xml:space="preserve"> good and bad practice will also involve </w:t>
      </w:r>
      <w:r w:rsidR="00887D12" w:rsidRPr="00CC2C55">
        <w:t xml:space="preserve">endorsing or declining to endorse </w:t>
      </w:r>
      <w:r w:rsidR="00D32517" w:rsidRPr="00CC2C55">
        <w:t>implementation plans.</w:t>
      </w:r>
      <w:r w:rsidR="00700B28">
        <w:t xml:space="preserve"> </w:t>
      </w:r>
    </w:p>
    <w:p w14:paraId="264CEBEA" w14:textId="3C97E61C" w:rsidR="00D32517" w:rsidRPr="00CC2C55" w:rsidRDefault="00ED5981" w:rsidP="007F2535">
      <w:pPr>
        <w:pStyle w:val="Numberedparagraph"/>
      </w:pPr>
      <w:r w:rsidRPr="00CC2C55">
        <w:t xml:space="preserve">For the sake of clarity, the QHRC </w:t>
      </w:r>
      <w:r w:rsidR="0076370B" w:rsidRPr="00CC2C55">
        <w:t xml:space="preserve">confirms that it </w:t>
      </w:r>
      <w:r w:rsidRPr="00CC2C55">
        <w:t xml:space="preserve">does not </w:t>
      </w:r>
      <w:r w:rsidR="0076370B" w:rsidRPr="00CC2C55">
        <w:t xml:space="preserve">anticipate </w:t>
      </w:r>
      <w:r w:rsidRPr="00CC2C55">
        <w:t>that these</w:t>
      </w:r>
      <w:r w:rsidR="00D32517" w:rsidRPr="00CC2C55">
        <w:t xml:space="preserve"> functions would </w:t>
      </w:r>
      <w:r w:rsidRPr="00CC2C55">
        <w:t xml:space="preserve">include </w:t>
      </w:r>
      <w:r w:rsidR="0076370B" w:rsidRPr="00CC2C55">
        <w:t>an</w:t>
      </w:r>
      <w:r w:rsidRPr="00CC2C55">
        <w:t xml:space="preserve"> </w:t>
      </w:r>
      <w:r w:rsidR="00D32517" w:rsidRPr="00CC2C55">
        <w:t>enforc</w:t>
      </w:r>
      <w:r w:rsidRPr="00CC2C55">
        <w:t>ement power</w:t>
      </w:r>
      <w:r w:rsidR="0076370B" w:rsidRPr="00CC2C55">
        <w:t>,</w:t>
      </w:r>
      <w:r w:rsidRPr="00CC2C55">
        <w:t xml:space="preserve"> or the power to impose consequences for failure to comply with commitments</w:t>
      </w:r>
      <w:r w:rsidR="00E05EB5" w:rsidRPr="00CC2C55">
        <w:t xml:space="preserve"> under implementation plans</w:t>
      </w:r>
      <w:r w:rsidRPr="00CC2C55">
        <w:t xml:space="preserve">. </w:t>
      </w:r>
      <w:r w:rsidR="00887D12" w:rsidRPr="00CC2C55">
        <w:t xml:space="preserve">Nor would it involve any power to dictate the content of implementation plans. Those </w:t>
      </w:r>
      <w:r w:rsidRPr="00CC2C55">
        <w:t>function</w:t>
      </w:r>
      <w:r w:rsidR="00887D12" w:rsidRPr="00CC2C55">
        <w:t>s are</w:t>
      </w:r>
      <w:r w:rsidRPr="00CC2C55">
        <w:t xml:space="preserve"> appropriately the responsibility of the public sector leadership.</w:t>
      </w:r>
    </w:p>
    <w:p w14:paraId="70806216" w14:textId="39A10537" w:rsidR="00437C09" w:rsidRPr="006E22AE" w:rsidRDefault="00437C09" w:rsidP="003F7873">
      <w:pPr>
        <w:pStyle w:val="Heading3"/>
      </w:pPr>
      <w:r w:rsidRPr="00CC2C55">
        <w:lastRenderedPageBreak/>
        <w:t>Draft recommendation 4</w:t>
      </w:r>
      <w:r w:rsidR="00340BC7" w:rsidRPr="00CC2C55">
        <w:t xml:space="preserve"> - </w:t>
      </w:r>
      <w:r w:rsidRPr="006E22AE">
        <w:t xml:space="preserve">Central agencies leading changes to Cabinet, </w:t>
      </w:r>
      <w:r w:rsidR="0076370B" w:rsidRPr="006E22AE">
        <w:t>b</w:t>
      </w:r>
      <w:r w:rsidRPr="006E22AE">
        <w:t>udget, funding and contracting processes</w:t>
      </w:r>
    </w:p>
    <w:p w14:paraId="0AB6929E" w14:textId="16336708" w:rsidR="00340BC7" w:rsidRPr="00CC2C55" w:rsidRDefault="00340BC7" w:rsidP="007F2535">
      <w:pPr>
        <w:pStyle w:val="Numberedparagraph"/>
      </w:pPr>
      <w:r w:rsidRPr="00CC2C55">
        <w:t xml:space="preserve">Existing processes </w:t>
      </w:r>
      <w:r w:rsidR="0076370B" w:rsidRPr="00CC2C55">
        <w:t xml:space="preserve">that </w:t>
      </w:r>
      <w:r w:rsidRPr="00CC2C55">
        <w:t xml:space="preserve">regulate the form and content of </w:t>
      </w:r>
      <w:r w:rsidR="0076370B" w:rsidRPr="00CC2C55">
        <w:t>C</w:t>
      </w:r>
      <w:r w:rsidRPr="00CC2C55">
        <w:t xml:space="preserve">abinet submissions in Queensland are contained in the </w:t>
      </w:r>
      <w:r w:rsidRPr="00CC2C55">
        <w:rPr>
          <w:i/>
          <w:iCs/>
        </w:rPr>
        <w:t>Cabinet Handbook</w:t>
      </w:r>
      <w:r w:rsidRPr="006E22AE">
        <w:t>.</w:t>
      </w:r>
      <w:r w:rsidR="00700B28">
        <w:t xml:space="preserve"> </w:t>
      </w:r>
      <w:r w:rsidRPr="006E22AE">
        <w:t xml:space="preserve">The handbook outlines minimum requirements for submissions put to </w:t>
      </w:r>
      <w:r w:rsidR="004D556E" w:rsidRPr="00CC2C55">
        <w:t>C</w:t>
      </w:r>
      <w:r w:rsidRPr="00CC2C55">
        <w:t>abinet.</w:t>
      </w:r>
      <w:r w:rsidR="00700B28">
        <w:t xml:space="preserve"> </w:t>
      </w:r>
      <w:r w:rsidR="00266E21" w:rsidRPr="00CC2C55">
        <w:t xml:space="preserve">In the QHRC’s submission, one small change to the handbook has potential to achieve substantive improvement to policy development </w:t>
      </w:r>
      <w:r w:rsidR="004D556E" w:rsidRPr="00CC2C55">
        <w:t>that</w:t>
      </w:r>
      <w:r w:rsidR="00266E21" w:rsidRPr="00CC2C55">
        <w:t xml:space="preserve"> relates to </w:t>
      </w:r>
      <w:r w:rsidR="00BA5335" w:rsidRPr="00CC2C55">
        <w:t>C</w:t>
      </w:r>
      <w:r w:rsidR="00266E21" w:rsidRPr="00CC2C55">
        <w:t xml:space="preserve">losing the </w:t>
      </w:r>
      <w:r w:rsidR="00BA5335" w:rsidRPr="00CC2C55">
        <w:t>G</w:t>
      </w:r>
      <w:r w:rsidR="00266E21" w:rsidRPr="00CC2C55">
        <w:t>ap.</w:t>
      </w:r>
      <w:r w:rsidR="00700B28">
        <w:t xml:space="preserve"> </w:t>
      </w:r>
    </w:p>
    <w:p w14:paraId="19236961" w14:textId="3BEEF48A" w:rsidR="00340BC7" w:rsidRPr="00CC2C55" w:rsidRDefault="003435C5" w:rsidP="007F2535">
      <w:pPr>
        <w:pStyle w:val="Numberedparagraph"/>
      </w:pPr>
      <w:r w:rsidRPr="00CC2C55">
        <w:t xml:space="preserve">The QHRC recommends amendment </w:t>
      </w:r>
      <w:r w:rsidR="004D556E" w:rsidRPr="00CC2C55">
        <w:t>of</w:t>
      </w:r>
      <w:r w:rsidRPr="00CC2C55">
        <w:t xml:space="preserve"> </w:t>
      </w:r>
      <w:r w:rsidR="00340BC7" w:rsidRPr="00CC2C55">
        <w:t xml:space="preserve">the </w:t>
      </w:r>
      <w:r w:rsidR="00340BC7" w:rsidRPr="00CC2C55">
        <w:rPr>
          <w:i/>
          <w:iCs/>
        </w:rPr>
        <w:t>Cabinet Handbook</w:t>
      </w:r>
      <w:r w:rsidR="00340BC7" w:rsidRPr="006E22AE">
        <w:t xml:space="preserve"> </w:t>
      </w:r>
      <w:r w:rsidRPr="00F4454B">
        <w:t xml:space="preserve">to </w:t>
      </w:r>
      <w:r w:rsidR="00340BC7" w:rsidRPr="00F4454B">
        <w:t>requir</w:t>
      </w:r>
      <w:r w:rsidRPr="007F2E9F">
        <w:t>e</w:t>
      </w:r>
      <w:r w:rsidR="00340BC7" w:rsidRPr="007F2E9F">
        <w:t xml:space="preserve"> the inclusion of a statement, perhaps described as a </w:t>
      </w:r>
      <w:r w:rsidR="004D556E" w:rsidRPr="00CC2C55">
        <w:t>‘</w:t>
      </w:r>
      <w:r w:rsidR="00340BC7" w:rsidRPr="00CC2C55">
        <w:t>Closing the Gap Impact Statement</w:t>
      </w:r>
      <w:r w:rsidR="004D556E" w:rsidRPr="00CC2C55">
        <w:t>’</w:t>
      </w:r>
      <w:r w:rsidR="00340BC7" w:rsidRPr="00CC2C55">
        <w:t xml:space="preserve"> addressing any anticipated positive or negative impact on progress towards </w:t>
      </w:r>
      <w:r w:rsidR="00BA5335" w:rsidRPr="00CC2C55">
        <w:t>C</w:t>
      </w:r>
      <w:r w:rsidR="00340BC7" w:rsidRPr="00CC2C55">
        <w:t xml:space="preserve">losing the </w:t>
      </w:r>
      <w:r w:rsidR="00BA5335" w:rsidRPr="00CC2C55">
        <w:t>G</w:t>
      </w:r>
      <w:r w:rsidR="00340BC7" w:rsidRPr="00CC2C55">
        <w:t xml:space="preserve">ap in any </w:t>
      </w:r>
      <w:r w:rsidR="004D556E" w:rsidRPr="00CC2C55">
        <w:t>C</w:t>
      </w:r>
      <w:r w:rsidR="00340BC7" w:rsidRPr="00CC2C55">
        <w:t>abinet submission.</w:t>
      </w:r>
      <w:r w:rsidR="00700B28">
        <w:t xml:space="preserve"> </w:t>
      </w:r>
    </w:p>
    <w:p w14:paraId="5E573905" w14:textId="192737CC" w:rsidR="00C359B6" w:rsidRPr="00CC2C55" w:rsidRDefault="00266E21" w:rsidP="007F2535">
      <w:pPr>
        <w:pStyle w:val="Numberedparagraph"/>
      </w:pPr>
      <w:r w:rsidRPr="00CC2C55">
        <w:t>Closing the Gap Impact Statements w</w:t>
      </w:r>
      <w:r w:rsidR="00340BC7" w:rsidRPr="00CC2C55">
        <w:t>ould work in a similar way to Statements of Compatibility under section 38 of the HR Act</w:t>
      </w:r>
      <w:r w:rsidR="00340BC7" w:rsidRPr="00CC2C55">
        <w:rPr>
          <w:i/>
          <w:iCs/>
        </w:rPr>
        <w:t>.</w:t>
      </w:r>
      <w:r w:rsidR="00700B28">
        <w:rPr>
          <w:i/>
          <w:iCs/>
        </w:rPr>
        <w:t xml:space="preserve"> </w:t>
      </w:r>
      <w:r w:rsidR="00340BC7" w:rsidRPr="00CC2C55">
        <w:t xml:space="preserve">While </w:t>
      </w:r>
      <w:r w:rsidRPr="00CC2C55">
        <w:t>these</w:t>
      </w:r>
      <w:r w:rsidR="00340BC7" w:rsidRPr="00CC2C55">
        <w:t xml:space="preserve"> statements do not guarantee substantive outcomes, making them mandatory serve</w:t>
      </w:r>
      <w:r w:rsidRPr="00CC2C55">
        <w:t>s</w:t>
      </w:r>
      <w:r w:rsidR="00340BC7" w:rsidRPr="00CC2C55">
        <w:t xml:space="preserve"> to ensure that the potential for positive and negative impacts are considered prior to </w:t>
      </w:r>
      <w:r w:rsidR="004D556E" w:rsidRPr="00CC2C55">
        <w:t>C</w:t>
      </w:r>
      <w:r w:rsidR="00340BC7" w:rsidRPr="00CC2C55">
        <w:t>abinet submissions becoming policy.</w:t>
      </w:r>
      <w:r w:rsidR="00700B28">
        <w:t xml:space="preserve"> </w:t>
      </w:r>
      <w:r w:rsidR="00887D12" w:rsidRPr="00CC2C55">
        <w:t>N</w:t>
      </w:r>
      <w:r w:rsidR="00340BC7" w:rsidRPr="00CC2C55">
        <w:t>egative impacts could still occur</w:t>
      </w:r>
      <w:r w:rsidR="004D556E" w:rsidRPr="00CC2C55">
        <w:t>, but</w:t>
      </w:r>
      <w:r w:rsidR="00887D12" w:rsidRPr="00CC2C55">
        <w:t xml:space="preserve"> </w:t>
      </w:r>
      <w:r w:rsidR="00340BC7" w:rsidRPr="00CC2C55">
        <w:t>accidental occurrence due to neglect is far less likely. Moreover, mandatory consideration and written reference to anticipated positive impacts should serve as encouragement to improve policy wherever possible.</w:t>
      </w:r>
      <w:r w:rsidR="00700B28">
        <w:t xml:space="preserve"> </w:t>
      </w:r>
      <w:r w:rsidR="00FC510D" w:rsidRPr="00CC2C55">
        <w:t xml:space="preserve"> </w:t>
      </w:r>
    </w:p>
    <w:p w14:paraId="1D8935FD" w14:textId="1B0F6751" w:rsidR="00C32333" w:rsidRPr="00CC2C55" w:rsidRDefault="00C32333" w:rsidP="007F2535">
      <w:pPr>
        <w:pStyle w:val="Heading1"/>
      </w:pPr>
      <w:r w:rsidRPr="00CC2C55">
        <w:t>Conclusion</w:t>
      </w:r>
    </w:p>
    <w:p w14:paraId="38FB493F" w14:textId="3EFE75DE" w:rsidR="00C32333" w:rsidRPr="00CC2C55" w:rsidRDefault="00C32333" w:rsidP="007F2535">
      <w:pPr>
        <w:pStyle w:val="Numberedparagraph"/>
      </w:pPr>
      <w:r w:rsidRPr="00CC2C55">
        <w:t>The QHRC supports all draft recommendations set out in the draft report and submits that further recommendations in line with th</w:t>
      </w:r>
      <w:r w:rsidR="00AB7860" w:rsidRPr="00CC2C55">
        <w:t>os</w:t>
      </w:r>
      <w:r w:rsidRPr="00CC2C55">
        <w:t xml:space="preserve">e </w:t>
      </w:r>
      <w:r w:rsidR="00AB7860" w:rsidRPr="00CC2C55">
        <w:t xml:space="preserve">outlined at paragraph 17 in the </w:t>
      </w:r>
      <w:r w:rsidRPr="00CC2C55">
        <w:t xml:space="preserve">summary </w:t>
      </w:r>
      <w:r w:rsidR="00AB7860" w:rsidRPr="00CC2C55">
        <w:t>of this submission be considered for inclusion in the Commission’s final report.</w:t>
      </w:r>
      <w:r w:rsidR="00700B28">
        <w:t xml:space="preserve">  </w:t>
      </w:r>
    </w:p>
    <w:p w14:paraId="0D2029A8" w14:textId="6F825B76" w:rsidR="00AB7860" w:rsidRPr="00CC2C55" w:rsidRDefault="00AB7860" w:rsidP="007F2535">
      <w:pPr>
        <w:pStyle w:val="Numberedparagraph"/>
      </w:pPr>
      <w:r w:rsidRPr="00CC2C55">
        <w:t>The QHRC appreciates the opportunity to make submissions in response to the Commission’s draft report.</w:t>
      </w:r>
      <w:r w:rsidR="00700B28">
        <w:t xml:space="preserve"> </w:t>
      </w:r>
    </w:p>
    <w:sectPr w:rsidR="00AB7860" w:rsidRPr="00CC2C55" w:rsidSect="003F7873"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8501" w14:textId="77777777" w:rsidR="004822B6" w:rsidRDefault="004822B6" w:rsidP="004822B6">
      <w:pPr>
        <w:spacing w:after="0" w:line="240" w:lineRule="auto"/>
      </w:pPr>
      <w:r>
        <w:separator/>
      </w:r>
    </w:p>
  </w:endnote>
  <w:endnote w:type="continuationSeparator" w:id="0">
    <w:p w14:paraId="5F5A1144" w14:textId="77777777" w:rsidR="004822B6" w:rsidRDefault="004822B6" w:rsidP="0048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D65F" w14:textId="77777777" w:rsidR="003F7873" w:rsidRPr="003F7873" w:rsidRDefault="003F7873" w:rsidP="003F7873">
    <w:pPr>
      <w:pStyle w:val="Footer"/>
      <w:jc w:val="right"/>
      <w:rPr>
        <w:rFonts w:ascii="Arial" w:hAnsi="Arial" w:cs="Arial"/>
        <w:color w:val="404040" w:themeColor="text1" w:themeTint="BF"/>
        <w:sz w:val="16"/>
        <w:szCs w:val="16"/>
      </w:rPr>
    </w:pPr>
    <w:r w:rsidRPr="00260847">
      <w:rPr>
        <w:rFonts w:cs="Arial"/>
        <w:noProof/>
        <w:sz w:val="20"/>
        <w:szCs w:val="20"/>
        <w:vertAlign w:val="subscript"/>
        <w:lang w:eastAsia="en-AU"/>
      </w:rPr>
      <w:drawing>
        <wp:inline distT="0" distB="0" distL="0" distR="0" wp14:anchorId="2D19CD75" wp14:editId="02F64B60">
          <wp:extent cx="5750351" cy="5054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bar - thin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0054" cy="294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F7873">
      <w:rPr>
        <w:rFonts w:ascii="Arial" w:hAnsi="Arial" w:cs="Arial"/>
        <w:color w:val="404040" w:themeColor="text1" w:themeTint="BF"/>
        <w:sz w:val="16"/>
        <w:szCs w:val="16"/>
      </w:rPr>
      <w:t>Queensland Human Rights Commission | www.qhrc.qld.gov.au</w:t>
    </w:r>
    <w:r w:rsidRPr="003F7873">
      <w:rPr>
        <w:rFonts w:ascii="Arial" w:hAnsi="Arial" w:cs="Arial"/>
        <w:color w:val="404040" w:themeColor="text1" w:themeTint="BF"/>
        <w:sz w:val="16"/>
        <w:szCs w:val="16"/>
      </w:rPr>
      <w:tab/>
    </w:r>
    <w:r w:rsidRPr="003F7873">
      <w:rPr>
        <w:rFonts w:ascii="Arial" w:hAnsi="Arial" w:cs="Arial"/>
        <w:color w:val="404040" w:themeColor="text1" w:themeTint="BF"/>
        <w:sz w:val="16"/>
        <w:szCs w:val="16"/>
      </w:rPr>
      <w:tab/>
    </w:r>
    <w:r w:rsidRPr="003F7873">
      <w:rPr>
        <w:rFonts w:ascii="Arial" w:hAnsi="Arial" w:cs="Arial"/>
        <w:color w:val="404040" w:themeColor="text1" w:themeTint="BF"/>
        <w:sz w:val="16"/>
        <w:szCs w:val="16"/>
      </w:rPr>
      <w:fldChar w:fldCharType="begin"/>
    </w:r>
    <w:r w:rsidRPr="003F7873">
      <w:rPr>
        <w:rFonts w:ascii="Arial" w:hAnsi="Arial" w:cs="Arial"/>
        <w:color w:val="404040" w:themeColor="text1" w:themeTint="BF"/>
        <w:sz w:val="16"/>
        <w:szCs w:val="16"/>
      </w:rPr>
      <w:instrText xml:space="preserve"> PAGE   \* MERGEFORMAT </w:instrText>
    </w:r>
    <w:r w:rsidRPr="003F7873">
      <w:rPr>
        <w:rFonts w:ascii="Arial" w:hAnsi="Arial" w:cs="Arial"/>
        <w:color w:val="404040" w:themeColor="text1" w:themeTint="BF"/>
        <w:sz w:val="16"/>
        <w:szCs w:val="16"/>
      </w:rPr>
      <w:fldChar w:fldCharType="separate"/>
    </w:r>
    <w:r w:rsidRPr="003F7873">
      <w:rPr>
        <w:rFonts w:ascii="Arial" w:hAnsi="Arial" w:cs="Arial"/>
        <w:color w:val="404040" w:themeColor="text1" w:themeTint="BF"/>
        <w:sz w:val="16"/>
        <w:szCs w:val="16"/>
      </w:rPr>
      <w:t>1</w:t>
    </w:r>
    <w:r w:rsidRPr="003F7873">
      <w:rPr>
        <w:rFonts w:ascii="Arial" w:hAnsi="Arial" w:cs="Arial"/>
        <w:noProof/>
        <w:color w:val="404040" w:themeColor="text1" w:themeTint="BF"/>
        <w:sz w:val="16"/>
        <w:szCs w:val="16"/>
      </w:rPr>
      <w:fldChar w:fldCharType="end"/>
    </w:r>
  </w:p>
  <w:p w14:paraId="0081948B" w14:textId="77777777" w:rsidR="00CF6177" w:rsidRDefault="00CF6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B17E" w14:textId="77777777" w:rsidR="004822B6" w:rsidRDefault="004822B6" w:rsidP="004822B6">
      <w:pPr>
        <w:spacing w:after="0" w:line="240" w:lineRule="auto"/>
      </w:pPr>
      <w:r>
        <w:separator/>
      </w:r>
    </w:p>
  </w:footnote>
  <w:footnote w:type="continuationSeparator" w:id="0">
    <w:p w14:paraId="6A9FAAA5" w14:textId="77777777" w:rsidR="004822B6" w:rsidRDefault="004822B6" w:rsidP="004822B6">
      <w:pPr>
        <w:spacing w:after="0" w:line="240" w:lineRule="auto"/>
      </w:pPr>
      <w:r>
        <w:continuationSeparator/>
      </w:r>
    </w:p>
  </w:footnote>
  <w:footnote w:id="1">
    <w:p w14:paraId="67E01718" w14:textId="7E8BC667" w:rsidR="008E34A4" w:rsidRPr="003F7873" w:rsidRDefault="008E34A4" w:rsidP="00F4454B">
      <w:pPr>
        <w:pStyle w:val="FootnoteText"/>
        <w:ind w:left="142" w:hanging="142"/>
        <w:rPr>
          <w:rFonts w:ascii="Arial" w:hAnsi="Arial" w:cs="Arial"/>
          <w:lang w:val="en-US"/>
        </w:rPr>
      </w:pPr>
      <w:r w:rsidRPr="003F7873">
        <w:rPr>
          <w:rStyle w:val="FootnoteReference"/>
          <w:rFonts w:ascii="Arial" w:hAnsi="Arial" w:cs="Arial"/>
        </w:rPr>
        <w:footnoteRef/>
      </w:r>
      <w:r w:rsidRPr="003F7873">
        <w:rPr>
          <w:rFonts w:ascii="Arial" w:hAnsi="Arial" w:cs="Arial"/>
        </w:rPr>
        <w:t xml:space="preserve"> </w:t>
      </w:r>
      <w:r w:rsidRPr="003F7873">
        <w:rPr>
          <w:rFonts w:ascii="Arial" w:hAnsi="Arial" w:cs="Arial"/>
          <w:lang w:val="en-US"/>
        </w:rPr>
        <w:t xml:space="preserve">Australian Government, Productivity Commission, </w:t>
      </w:r>
      <w:r w:rsidRPr="003F7873">
        <w:rPr>
          <w:rFonts w:ascii="Arial" w:hAnsi="Arial" w:cs="Arial"/>
          <w:i/>
          <w:iCs/>
          <w:lang w:val="en-US"/>
        </w:rPr>
        <w:t>Review of the National Agreement on Closing the Gap</w:t>
      </w:r>
      <w:r w:rsidRPr="003F7873">
        <w:rPr>
          <w:rFonts w:ascii="Arial" w:hAnsi="Arial" w:cs="Arial"/>
          <w:lang w:val="en-US"/>
        </w:rPr>
        <w:t xml:space="preserve"> (Draft report, July 2023)</w:t>
      </w:r>
      <w:r w:rsidR="001767E1" w:rsidRPr="003F7873">
        <w:rPr>
          <w:rFonts w:ascii="Arial" w:hAnsi="Arial" w:cs="Arial"/>
          <w:lang w:val="en-US"/>
        </w:rPr>
        <w:t xml:space="preserve"> &lt;</w:t>
      </w:r>
      <w:r w:rsidR="001767E1" w:rsidRPr="003F7873">
        <w:rPr>
          <w:rFonts w:ascii="Arial" w:hAnsi="Arial" w:cs="Arial"/>
        </w:rPr>
        <w:t xml:space="preserve"> </w:t>
      </w:r>
      <w:r w:rsidR="001767E1" w:rsidRPr="003F7873">
        <w:rPr>
          <w:rFonts w:ascii="Arial" w:hAnsi="Arial" w:cs="Arial"/>
          <w:lang w:val="en-US"/>
        </w:rPr>
        <w:t>https://www.pc.gov.au/inquiries/current/closing-the-gap-review/draft&gt;</w:t>
      </w:r>
      <w:r w:rsidRPr="003F7873">
        <w:rPr>
          <w:rFonts w:ascii="Arial" w:hAnsi="Arial" w:cs="Arial"/>
          <w:lang w:val="en-US"/>
        </w:rPr>
        <w:t>.</w:t>
      </w:r>
    </w:p>
  </w:footnote>
  <w:footnote w:id="2">
    <w:p w14:paraId="6823DCE7" w14:textId="5AE6ED90" w:rsidR="00FE6F79" w:rsidRPr="003F7873" w:rsidRDefault="00FE6F79" w:rsidP="00F4454B">
      <w:pPr>
        <w:pStyle w:val="FootnoteText"/>
        <w:ind w:left="142" w:hanging="142"/>
        <w:rPr>
          <w:rFonts w:ascii="Arial" w:hAnsi="Arial" w:cs="Arial"/>
          <w:lang w:val="en-US"/>
        </w:rPr>
      </w:pPr>
      <w:r w:rsidRPr="003F7873">
        <w:rPr>
          <w:rStyle w:val="FootnoteReference"/>
          <w:rFonts w:ascii="Arial" w:hAnsi="Arial" w:cs="Arial"/>
        </w:rPr>
        <w:footnoteRef/>
      </w:r>
      <w:r w:rsidRPr="003F7873">
        <w:rPr>
          <w:rFonts w:ascii="Arial" w:hAnsi="Arial" w:cs="Arial"/>
        </w:rPr>
        <w:t xml:space="preserve"> </w:t>
      </w:r>
      <w:r w:rsidRPr="003F7873">
        <w:rPr>
          <w:rFonts w:ascii="Arial" w:hAnsi="Arial" w:cs="Arial"/>
          <w:i/>
          <w:iCs/>
          <w:lang w:val="en-US"/>
        </w:rPr>
        <w:t>National Agreement on Closing the Gap</w:t>
      </w:r>
      <w:r w:rsidRPr="003F7873">
        <w:rPr>
          <w:rFonts w:ascii="Arial" w:hAnsi="Arial" w:cs="Arial"/>
          <w:lang w:val="en-US"/>
        </w:rPr>
        <w:t xml:space="preserve"> (Web Page, July 2020) &lt;https://www.closingthegap.gov.au/national-agreement/national-agreement-closing-the-gap&gt;.</w:t>
      </w:r>
    </w:p>
  </w:footnote>
  <w:footnote w:id="3">
    <w:p w14:paraId="0491EE60" w14:textId="3C92487A" w:rsidR="003A6880" w:rsidRPr="003F7873" w:rsidRDefault="003A6880">
      <w:pPr>
        <w:pStyle w:val="FootnoteText"/>
        <w:rPr>
          <w:rFonts w:ascii="Arial" w:hAnsi="Arial" w:cs="Arial"/>
          <w:lang w:val="en-GB"/>
        </w:rPr>
      </w:pPr>
      <w:r w:rsidRPr="003F7873">
        <w:rPr>
          <w:rStyle w:val="FootnoteReference"/>
          <w:rFonts w:ascii="Arial" w:hAnsi="Arial" w:cs="Arial"/>
        </w:rPr>
        <w:footnoteRef/>
      </w:r>
      <w:r w:rsidRPr="003F7873">
        <w:rPr>
          <w:rFonts w:ascii="Arial" w:hAnsi="Arial" w:cs="Arial"/>
        </w:rPr>
        <w:t xml:space="preserve"> </w:t>
      </w:r>
      <w:r w:rsidRPr="003F7873">
        <w:rPr>
          <w:rFonts w:ascii="Arial" w:hAnsi="Arial" w:cs="Arial"/>
          <w:lang w:val="en-GB"/>
        </w:rPr>
        <w:t xml:space="preserve">See clauses </w:t>
      </w:r>
      <w:r w:rsidR="00754655" w:rsidRPr="003F7873">
        <w:rPr>
          <w:rFonts w:ascii="Arial" w:hAnsi="Arial" w:cs="Arial"/>
          <w:lang w:val="en-GB"/>
        </w:rPr>
        <w:t>10 and 11 in Chapter 2 of the Agreement</w:t>
      </w:r>
      <w:r w:rsidR="008E34A4" w:rsidRPr="003F7873">
        <w:rPr>
          <w:rFonts w:ascii="Arial" w:hAnsi="Arial" w:cs="Arial"/>
          <w:lang w:val="en-GB"/>
        </w:rPr>
        <w:t>.</w:t>
      </w:r>
    </w:p>
  </w:footnote>
  <w:footnote w:id="4">
    <w:p w14:paraId="6D34D77E" w14:textId="52F348BC" w:rsidR="00527158" w:rsidRPr="003F7873" w:rsidRDefault="00527158">
      <w:pPr>
        <w:pStyle w:val="FootnoteText"/>
        <w:rPr>
          <w:rFonts w:ascii="Arial" w:hAnsi="Arial" w:cs="Arial"/>
          <w:lang w:val="en-GB"/>
        </w:rPr>
      </w:pPr>
      <w:r w:rsidRPr="003F7873">
        <w:rPr>
          <w:rStyle w:val="FootnoteReference"/>
          <w:rFonts w:ascii="Arial" w:hAnsi="Arial" w:cs="Arial"/>
        </w:rPr>
        <w:footnoteRef/>
      </w:r>
      <w:r w:rsidRPr="003F7873">
        <w:rPr>
          <w:rFonts w:ascii="Arial" w:hAnsi="Arial" w:cs="Arial"/>
        </w:rPr>
        <w:t xml:space="preserve"> </w:t>
      </w:r>
      <w:r w:rsidRPr="003F7873">
        <w:rPr>
          <w:rFonts w:ascii="Arial" w:hAnsi="Arial" w:cs="Arial"/>
          <w:lang w:val="en-GB"/>
        </w:rPr>
        <w:t>See clause 12 of the Agreement</w:t>
      </w:r>
      <w:r w:rsidR="008E34A4" w:rsidRPr="003F7873">
        <w:rPr>
          <w:rFonts w:ascii="Arial" w:hAnsi="Arial" w:cs="Arial"/>
          <w:lang w:val="en-GB"/>
        </w:rPr>
        <w:t>.</w:t>
      </w:r>
    </w:p>
  </w:footnote>
  <w:footnote w:id="5">
    <w:p w14:paraId="7896531B" w14:textId="0CCFC7F0" w:rsidR="007E6DEE" w:rsidRPr="00F4454B" w:rsidRDefault="007E6DEE" w:rsidP="00F4454B">
      <w:pPr>
        <w:pStyle w:val="FootnoteText"/>
        <w:ind w:left="142" w:hanging="142"/>
        <w:rPr>
          <w:lang w:val="en-US"/>
        </w:rPr>
      </w:pPr>
      <w:r w:rsidRPr="003F7873">
        <w:rPr>
          <w:rStyle w:val="FootnoteReference"/>
          <w:rFonts w:ascii="Arial" w:hAnsi="Arial" w:cs="Arial"/>
        </w:rPr>
        <w:footnoteRef/>
      </w:r>
      <w:r w:rsidRPr="003F7873">
        <w:rPr>
          <w:rFonts w:ascii="Arial" w:hAnsi="Arial" w:cs="Arial"/>
        </w:rPr>
        <w:t xml:space="preserve"> </w:t>
      </w:r>
      <w:r w:rsidRPr="003F7873">
        <w:rPr>
          <w:rFonts w:ascii="Arial" w:hAnsi="Arial" w:cs="Arial"/>
          <w:lang w:val="en-US"/>
        </w:rPr>
        <w:t xml:space="preserve">Australian Government, Productivity Commission, </w:t>
      </w:r>
      <w:r w:rsidRPr="003F7873">
        <w:rPr>
          <w:rFonts w:ascii="Arial" w:hAnsi="Arial" w:cs="Arial"/>
          <w:i/>
          <w:iCs/>
          <w:lang w:val="en-US"/>
        </w:rPr>
        <w:t>Review of the National Agreement on Closing the Gap</w:t>
      </w:r>
      <w:r w:rsidRPr="003F7873">
        <w:rPr>
          <w:rFonts w:ascii="Arial" w:hAnsi="Arial" w:cs="Arial"/>
          <w:lang w:val="en-US"/>
        </w:rPr>
        <w:t xml:space="preserve"> (Draft report, July 2023) </w:t>
      </w:r>
      <w:r w:rsidR="00DA29BB" w:rsidRPr="003F7873">
        <w:rPr>
          <w:rFonts w:ascii="Arial" w:hAnsi="Arial" w:cs="Arial"/>
          <w:lang w:val="en-US"/>
        </w:rPr>
        <w:t>iv.</w:t>
      </w:r>
    </w:p>
  </w:footnote>
  <w:footnote w:id="6">
    <w:p w14:paraId="041CA3BC" w14:textId="7E6500C4" w:rsidR="00287146" w:rsidRPr="00700B28" w:rsidRDefault="00287146">
      <w:pPr>
        <w:pStyle w:val="FootnoteText"/>
        <w:rPr>
          <w:rFonts w:ascii="Arial" w:hAnsi="Arial" w:cs="Arial"/>
          <w:lang w:val="en-GB"/>
        </w:rPr>
      </w:pPr>
      <w:r w:rsidRPr="00700B28">
        <w:rPr>
          <w:rStyle w:val="FootnoteReference"/>
          <w:rFonts w:ascii="Arial" w:hAnsi="Arial" w:cs="Arial"/>
        </w:rPr>
        <w:footnoteRef/>
      </w:r>
      <w:r w:rsidRPr="00700B28">
        <w:rPr>
          <w:rFonts w:ascii="Arial" w:hAnsi="Arial" w:cs="Arial"/>
        </w:rPr>
        <w:t xml:space="preserve"> </w:t>
      </w:r>
      <w:r w:rsidRPr="00700B28">
        <w:rPr>
          <w:rFonts w:ascii="Arial" w:hAnsi="Arial" w:cs="Arial"/>
          <w:lang w:val="en-GB"/>
        </w:rPr>
        <w:t>The targets are set out in Table B, which is referred to in Clause 82 of the Agreement</w:t>
      </w:r>
      <w:r w:rsidR="00861F47" w:rsidRPr="00700B28">
        <w:rPr>
          <w:rFonts w:ascii="Arial" w:hAnsi="Arial" w:cs="Arial"/>
          <w:lang w:val="en-GB"/>
        </w:rPr>
        <w:t>.</w:t>
      </w:r>
    </w:p>
  </w:footnote>
  <w:footnote w:id="7">
    <w:p w14:paraId="6161DC35" w14:textId="69F747A7" w:rsidR="009F7052" w:rsidRPr="00700B28" w:rsidRDefault="009F7052" w:rsidP="00825DA1">
      <w:pPr>
        <w:pStyle w:val="FootnoteText"/>
        <w:ind w:left="142" w:hanging="142"/>
        <w:rPr>
          <w:rFonts w:ascii="Arial" w:hAnsi="Arial" w:cs="Arial"/>
          <w:lang w:val="en-US"/>
        </w:rPr>
      </w:pPr>
      <w:r w:rsidRPr="00700B28">
        <w:rPr>
          <w:rStyle w:val="FootnoteReference"/>
          <w:rFonts w:ascii="Arial" w:hAnsi="Arial" w:cs="Arial"/>
        </w:rPr>
        <w:footnoteRef/>
      </w:r>
      <w:r w:rsidRPr="00700B28">
        <w:rPr>
          <w:rFonts w:ascii="Arial" w:hAnsi="Arial" w:cs="Arial"/>
        </w:rPr>
        <w:t xml:space="preserve"> </w:t>
      </w:r>
      <w:r w:rsidR="00862005" w:rsidRPr="00700B28">
        <w:rPr>
          <w:rFonts w:ascii="Arial" w:hAnsi="Arial" w:cs="Arial"/>
        </w:rPr>
        <w:t xml:space="preserve">Department of Seniors, Disability Services and Aboriginal and Torres Strait Islander Partnerships (Qld), </w:t>
      </w:r>
      <w:r w:rsidR="00862005" w:rsidRPr="00700B28">
        <w:rPr>
          <w:rFonts w:ascii="Arial" w:hAnsi="Arial" w:cs="Arial"/>
          <w:i/>
          <w:iCs/>
        </w:rPr>
        <w:t>National Agreement on Closing the Gap—Queensland’s 2022 Implementation Plan</w:t>
      </w:r>
      <w:r w:rsidR="00862005" w:rsidRPr="00700B28">
        <w:rPr>
          <w:rFonts w:ascii="Arial" w:hAnsi="Arial" w:cs="Arial"/>
        </w:rPr>
        <w:t xml:space="preserve"> (September 2022).</w:t>
      </w:r>
    </w:p>
  </w:footnote>
  <w:footnote w:id="8">
    <w:p w14:paraId="39AB0165" w14:textId="1D345EEC" w:rsidR="003B683B" w:rsidRPr="00700B28" w:rsidRDefault="003B683B" w:rsidP="00825DA1">
      <w:pPr>
        <w:pStyle w:val="FootnoteText"/>
        <w:ind w:left="142" w:hanging="142"/>
        <w:rPr>
          <w:rFonts w:ascii="Arial" w:hAnsi="Arial" w:cs="Arial"/>
          <w:i/>
          <w:iCs/>
          <w:lang w:val="en-GB"/>
        </w:rPr>
      </w:pPr>
      <w:r w:rsidRPr="00700B28">
        <w:rPr>
          <w:rStyle w:val="FootnoteReference"/>
          <w:rFonts w:ascii="Arial" w:hAnsi="Arial" w:cs="Arial"/>
        </w:rPr>
        <w:footnoteRef/>
      </w:r>
      <w:r w:rsidRPr="00700B28">
        <w:rPr>
          <w:rFonts w:ascii="Arial" w:hAnsi="Arial" w:cs="Arial"/>
        </w:rPr>
        <w:t xml:space="preserve"> The Commonwealth has previously legislated criteria for </w:t>
      </w:r>
      <w:r w:rsidR="00761A3F" w:rsidRPr="00700B28">
        <w:rPr>
          <w:rFonts w:ascii="Arial" w:hAnsi="Arial" w:cs="Arial"/>
        </w:rPr>
        <w:t>s</w:t>
      </w:r>
      <w:r w:rsidRPr="00700B28">
        <w:rPr>
          <w:rFonts w:ascii="Arial" w:hAnsi="Arial" w:cs="Arial"/>
        </w:rPr>
        <w:t xml:space="preserve">tate and </w:t>
      </w:r>
      <w:r w:rsidR="00761A3F" w:rsidRPr="00700B28">
        <w:rPr>
          <w:rFonts w:ascii="Arial" w:hAnsi="Arial" w:cs="Arial"/>
        </w:rPr>
        <w:t>t</w:t>
      </w:r>
      <w:r w:rsidRPr="00700B28">
        <w:rPr>
          <w:rFonts w:ascii="Arial" w:hAnsi="Arial" w:cs="Arial"/>
        </w:rPr>
        <w:t>erritory bodies to be recognised under a national scheme.</w:t>
      </w:r>
      <w:r w:rsidR="00700B28">
        <w:rPr>
          <w:rFonts w:ascii="Arial" w:hAnsi="Arial" w:cs="Arial"/>
        </w:rPr>
        <w:t xml:space="preserve"> </w:t>
      </w:r>
      <w:r w:rsidRPr="00700B28">
        <w:rPr>
          <w:rFonts w:ascii="Arial" w:hAnsi="Arial" w:cs="Arial"/>
          <w:lang w:val="en-GB"/>
        </w:rPr>
        <w:t xml:space="preserve">An example of this may be found in sections 207A and 207B of the </w:t>
      </w:r>
      <w:r w:rsidRPr="00700B28">
        <w:rPr>
          <w:rFonts w:ascii="Arial" w:hAnsi="Arial" w:cs="Arial"/>
          <w:i/>
          <w:iCs/>
          <w:lang w:val="en-GB"/>
        </w:rPr>
        <w:t>Native Title Act 1993.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5DC5"/>
    <w:multiLevelType w:val="hybridMultilevel"/>
    <w:tmpl w:val="6B5AEB86"/>
    <w:lvl w:ilvl="0" w:tplc="6F00E074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2DDE"/>
    <w:multiLevelType w:val="hybridMultilevel"/>
    <w:tmpl w:val="91DC52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A16C2"/>
    <w:multiLevelType w:val="hybridMultilevel"/>
    <w:tmpl w:val="AFAAC266"/>
    <w:lvl w:ilvl="0" w:tplc="430812A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B09"/>
    <w:multiLevelType w:val="hybridMultilevel"/>
    <w:tmpl w:val="F9EA2B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0E7E"/>
    <w:multiLevelType w:val="multilevel"/>
    <w:tmpl w:val="EC62F5F4"/>
    <w:lvl w:ilvl="0">
      <w:start w:val="1"/>
      <w:numFmt w:val="decimal"/>
      <w:pStyle w:val="Numberedparagrap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152E4337"/>
    <w:multiLevelType w:val="hybridMultilevel"/>
    <w:tmpl w:val="FE268FF2"/>
    <w:lvl w:ilvl="0" w:tplc="CF6048EC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D0163"/>
    <w:multiLevelType w:val="hybridMultilevel"/>
    <w:tmpl w:val="E78C882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8709CC"/>
    <w:multiLevelType w:val="hybridMultilevel"/>
    <w:tmpl w:val="EF8A4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702A"/>
    <w:multiLevelType w:val="hybridMultilevel"/>
    <w:tmpl w:val="DDE411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1E6A4D"/>
    <w:multiLevelType w:val="multilevel"/>
    <w:tmpl w:val="CA56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343E7"/>
    <w:multiLevelType w:val="hybridMultilevel"/>
    <w:tmpl w:val="CD3ADFC8"/>
    <w:lvl w:ilvl="0" w:tplc="5020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9034F2"/>
    <w:multiLevelType w:val="hybridMultilevel"/>
    <w:tmpl w:val="B1384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C5388"/>
    <w:multiLevelType w:val="hybridMultilevel"/>
    <w:tmpl w:val="A36864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D6B8E"/>
    <w:multiLevelType w:val="hybridMultilevel"/>
    <w:tmpl w:val="DB46C38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004F3"/>
    <w:multiLevelType w:val="hybridMultilevel"/>
    <w:tmpl w:val="A656A27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700" w:hanging="36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AD7F9D"/>
    <w:multiLevelType w:val="hybridMultilevel"/>
    <w:tmpl w:val="DD161A0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57AAC"/>
    <w:multiLevelType w:val="hybridMultilevel"/>
    <w:tmpl w:val="7C94D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67449"/>
    <w:multiLevelType w:val="hybridMultilevel"/>
    <w:tmpl w:val="AC76D1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337FCE"/>
    <w:multiLevelType w:val="hybridMultilevel"/>
    <w:tmpl w:val="946A3A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01E04"/>
    <w:multiLevelType w:val="hybridMultilevel"/>
    <w:tmpl w:val="D5B06FC4"/>
    <w:lvl w:ilvl="0" w:tplc="E0CC809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23CF4"/>
    <w:multiLevelType w:val="hybridMultilevel"/>
    <w:tmpl w:val="579EAE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5342E4"/>
    <w:multiLevelType w:val="hybridMultilevel"/>
    <w:tmpl w:val="B5B8D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1DF8"/>
    <w:multiLevelType w:val="hybridMultilevel"/>
    <w:tmpl w:val="FA4CBF7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996670"/>
    <w:multiLevelType w:val="hybridMultilevel"/>
    <w:tmpl w:val="3F1EC9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35B31"/>
    <w:multiLevelType w:val="hybridMultilevel"/>
    <w:tmpl w:val="85E40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50355"/>
    <w:multiLevelType w:val="hybridMultilevel"/>
    <w:tmpl w:val="1C72A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76D81"/>
    <w:multiLevelType w:val="hybridMultilevel"/>
    <w:tmpl w:val="5F048D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9561C4"/>
    <w:multiLevelType w:val="hybridMultilevel"/>
    <w:tmpl w:val="E586FC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7"/>
  </w:num>
  <w:num w:numId="9">
    <w:abstractNumId w:val="11"/>
  </w:num>
  <w:num w:numId="10">
    <w:abstractNumId w:val="23"/>
  </w:num>
  <w:num w:numId="11">
    <w:abstractNumId w:val="0"/>
  </w:num>
  <w:num w:numId="12">
    <w:abstractNumId w:val="18"/>
  </w:num>
  <w:num w:numId="13">
    <w:abstractNumId w:val="24"/>
  </w:num>
  <w:num w:numId="14">
    <w:abstractNumId w:val="5"/>
  </w:num>
  <w:num w:numId="15">
    <w:abstractNumId w:val="9"/>
  </w:num>
  <w:num w:numId="16">
    <w:abstractNumId w:val="27"/>
  </w:num>
  <w:num w:numId="17">
    <w:abstractNumId w:val="21"/>
  </w:num>
  <w:num w:numId="18">
    <w:abstractNumId w:val="8"/>
  </w:num>
  <w:num w:numId="19">
    <w:abstractNumId w:val="13"/>
  </w:num>
  <w:num w:numId="20">
    <w:abstractNumId w:val="15"/>
  </w:num>
  <w:num w:numId="21">
    <w:abstractNumId w:val="20"/>
  </w:num>
  <w:num w:numId="22">
    <w:abstractNumId w:val="1"/>
  </w:num>
  <w:num w:numId="23">
    <w:abstractNumId w:val="6"/>
  </w:num>
  <w:num w:numId="24">
    <w:abstractNumId w:val="26"/>
  </w:num>
  <w:num w:numId="25">
    <w:abstractNumId w:val="17"/>
  </w:num>
  <w:num w:numId="26">
    <w:abstractNumId w:val="22"/>
  </w:num>
  <w:num w:numId="27">
    <w:abstractNumId w:val="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40"/>
    <w:rsid w:val="00007300"/>
    <w:rsid w:val="00007B11"/>
    <w:rsid w:val="000121E4"/>
    <w:rsid w:val="00021629"/>
    <w:rsid w:val="00023473"/>
    <w:rsid w:val="00023EA8"/>
    <w:rsid w:val="00024C5A"/>
    <w:rsid w:val="00031061"/>
    <w:rsid w:val="0003396B"/>
    <w:rsid w:val="00033B03"/>
    <w:rsid w:val="00034E23"/>
    <w:rsid w:val="0003508F"/>
    <w:rsid w:val="00044AE6"/>
    <w:rsid w:val="00046468"/>
    <w:rsid w:val="00060E37"/>
    <w:rsid w:val="00061F5B"/>
    <w:rsid w:val="00070407"/>
    <w:rsid w:val="0007101C"/>
    <w:rsid w:val="00073765"/>
    <w:rsid w:val="0007385B"/>
    <w:rsid w:val="00080C9F"/>
    <w:rsid w:val="000819F0"/>
    <w:rsid w:val="0008618D"/>
    <w:rsid w:val="00087638"/>
    <w:rsid w:val="00092E05"/>
    <w:rsid w:val="00096836"/>
    <w:rsid w:val="000A02B5"/>
    <w:rsid w:val="000A2EBC"/>
    <w:rsid w:val="000A41C9"/>
    <w:rsid w:val="000A4EA0"/>
    <w:rsid w:val="000A55E9"/>
    <w:rsid w:val="000B0D28"/>
    <w:rsid w:val="000B4402"/>
    <w:rsid w:val="000C1FAD"/>
    <w:rsid w:val="000D3954"/>
    <w:rsid w:val="000D3CFB"/>
    <w:rsid w:val="000D3FBF"/>
    <w:rsid w:val="000D5085"/>
    <w:rsid w:val="000E27CE"/>
    <w:rsid w:val="000E38A0"/>
    <w:rsid w:val="000E3F0C"/>
    <w:rsid w:val="000E5FC2"/>
    <w:rsid w:val="000F0267"/>
    <w:rsid w:val="000F22B0"/>
    <w:rsid w:val="000F26D8"/>
    <w:rsid w:val="000F6375"/>
    <w:rsid w:val="00101631"/>
    <w:rsid w:val="00111184"/>
    <w:rsid w:val="00113A33"/>
    <w:rsid w:val="00114E5E"/>
    <w:rsid w:val="001270B6"/>
    <w:rsid w:val="00132AC1"/>
    <w:rsid w:val="001342B6"/>
    <w:rsid w:val="001450E2"/>
    <w:rsid w:val="00151131"/>
    <w:rsid w:val="0015246A"/>
    <w:rsid w:val="001545D6"/>
    <w:rsid w:val="001550AB"/>
    <w:rsid w:val="00161CDF"/>
    <w:rsid w:val="001767E1"/>
    <w:rsid w:val="00184BE7"/>
    <w:rsid w:val="00186DE0"/>
    <w:rsid w:val="00186E31"/>
    <w:rsid w:val="00192AC6"/>
    <w:rsid w:val="0019547E"/>
    <w:rsid w:val="001956B5"/>
    <w:rsid w:val="001A402F"/>
    <w:rsid w:val="001A550F"/>
    <w:rsid w:val="001A7070"/>
    <w:rsid w:val="001A7B1E"/>
    <w:rsid w:val="001B3ABA"/>
    <w:rsid w:val="001C1994"/>
    <w:rsid w:val="001C5E8B"/>
    <w:rsid w:val="001D058E"/>
    <w:rsid w:val="001D06F6"/>
    <w:rsid w:val="001D0799"/>
    <w:rsid w:val="001D1E09"/>
    <w:rsid w:val="001D71AF"/>
    <w:rsid w:val="001E22A7"/>
    <w:rsid w:val="001E4D4A"/>
    <w:rsid w:val="001F1AF5"/>
    <w:rsid w:val="001F6EAC"/>
    <w:rsid w:val="00203B4C"/>
    <w:rsid w:val="00203CC1"/>
    <w:rsid w:val="0020401F"/>
    <w:rsid w:val="0020450A"/>
    <w:rsid w:val="00211304"/>
    <w:rsid w:val="00215641"/>
    <w:rsid w:val="002175F0"/>
    <w:rsid w:val="002178B4"/>
    <w:rsid w:val="002416DC"/>
    <w:rsid w:val="00243748"/>
    <w:rsid w:val="002447DF"/>
    <w:rsid w:val="0025179E"/>
    <w:rsid w:val="00252441"/>
    <w:rsid w:val="00255E0A"/>
    <w:rsid w:val="00256515"/>
    <w:rsid w:val="002570E1"/>
    <w:rsid w:val="00261997"/>
    <w:rsid w:val="00263492"/>
    <w:rsid w:val="002650E4"/>
    <w:rsid w:val="00266E21"/>
    <w:rsid w:val="002702A5"/>
    <w:rsid w:val="002769FD"/>
    <w:rsid w:val="00281C84"/>
    <w:rsid w:val="00287146"/>
    <w:rsid w:val="00296865"/>
    <w:rsid w:val="00297A21"/>
    <w:rsid w:val="002A2968"/>
    <w:rsid w:val="002A3C05"/>
    <w:rsid w:val="002A517E"/>
    <w:rsid w:val="002B7D30"/>
    <w:rsid w:val="002C133C"/>
    <w:rsid w:val="002D27F6"/>
    <w:rsid w:val="002E1DD7"/>
    <w:rsid w:val="002E2858"/>
    <w:rsid w:val="002E6E33"/>
    <w:rsid w:val="002F2DB1"/>
    <w:rsid w:val="002F7545"/>
    <w:rsid w:val="00300413"/>
    <w:rsid w:val="00305D53"/>
    <w:rsid w:val="00312DB1"/>
    <w:rsid w:val="00316E26"/>
    <w:rsid w:val="003255A8"/>
    <w:rsid w:val="003265C5"/>
    <w:rsid w:val="003266D9"/>
    <w:rsid w:val="00330F3D"/>
    <w:rsid w:val="00340BC7"/>
    <w:rsid w:val="003425DE"/>
    <w:rsid w:val="003435C5"/>
    <w:rsid w:val="0034478B"/>
    <w:rsid w:val="00344E3C"/>
    <w:rsid w:val="00350BE5"/>
    <w:rsid w:val="00354052"/>
    <w:rsid w:val="003561B7"/>
    <w:rsid w:val="00374096"/>
    <w:rsid w:val="00374B4A"/>
    <w:rsid w:val="00375FCC"/>
    <w:rsid w:val="0037671D"/>
    <w:rsid w:val="00376D7A"/>
    <w:rsid w:val="00383D01"/>
    <w:rsid w:val="0038716D"/>
    <w:rsid w:val="003943B2"/>
    <w:rsid w:val="00395172"/>
    <w:rsid w:val="003A5934"/>
    <w:rsid w:val="003A6880"/>
    <w:rsid w:val="003B0166"/>
    <w:rsid w:val="003B02DA"/>
    <w:rsid w:val="003B4AE1"/>
    <w:rsid w:val="003B570E"/>
    <w:rsid w:val="003B683B"/>
    <w:rsid w:val="003C1FC2"/>
    <w:rsid w:val="003C44DE"/>
    <w:rsid w:val="003C4681"/>
    <w:rsid w:val="003D37ED"/>
    <w:rsid w:val="003E7C95"/>
    <w:rsid w:val="003F00AF"/>
    <w:rsid w:val="003F027E"/>
    <w:rsid w:val="003F7519"/>
    <w:rsid w:val="003F7873"/>
    <w:rsid w:val="004111D8"/>
    <w:rsid w:val="0041164D"/>
    <w:rsid w:val="004120E4"/>
    <w:rsid w:val="004152D3"/>
    <w:rsid w:val="00415612"/>
    <w:rsid w:val="004164AE"/>
    <w:rsid w:val="00424440"/>
    <w:rsid w:val="00431188"/>
    <w:rsid w:val="00434065"/>
    <w:rsid w:val="00434CE5"/>
    <w:rsid w:val="00435CFC"/>
    <w:rsid w:val="00436E54"/>
    <w:rsid w:val="00437C09"/>
    <w:rsid w:val="004408CE"/>
    <w:rsid w:val="00440AFB"/>
    <w:rsid w:val="00446792"/>
    <w:rsid w:val="00446BE2"/>
    <w:rsid w:val="004509D2"/>
    <w:rsid w:val="004510BC"/>
    <w:rsid w:val="00451597"/>
    <w:rsid w:val="00457BFD"/>
    <w:rsid w:val="00461624"/>
    <w:rsid w:val="004619FB"/>
    <w:rsid w:val="00465591"/>
    <w:rsid w:val="00465F9C"/>
    <w:rsid w:val="0048173A"/>
    <w:rsid w:val="004821F3"/>
    <w:rsid w:val="004822B6"/>
    <w:rsid w:val="004823E1"/>
    <w:rsid w:val="00482B9D"/>
    <w:rsid w:val="00483FFA"/>
    <w:rsid w:val="00490237"/>
    <w:rsid w:val="00490EB5"/>
    <w:rsid w:val="00492BD7"/>
    <w:rsid w:val="00495466"/>
    <w:rsid w:val="004A3782"/>
    <w:rsid w:val="004A708B"/>
    <w:rsid w:val="004B5924"/>
    <w:rsid w:val="004B70B8"/>
    <w:rsid w:val="004B782E"/>
    <w:rsid w:val="004C26A4"/>
    <w:rsid w:val="004C2882"/>
    <w:rsid w:val="004D556E"/>
    <w:rsid w:val="004D6BDC"/>
    <w:rsid w:val="004E4CC2"/>
    <w:rsid w:val="004F0437"/>
    <w:rsid w:val="004F64B0"/>
    <w:rsid w:val="00510FCC"/>
    <w:rsid w:val="005114DF"/>
    <w:rsid w:val="00514A37"/>
    <w:rsid w:val="00520E32"/>
    <w:rsid w:val="00522DF1"/>
    <w:rsid w:val="00527158"/>
    <w:rsid w:val="0052747F"/>
    <w:rsid w:val="00530FC1"/>
    <w:rsid w:val="00532BE7"/>
    <w:rsid w:val="0053310D"/>
    <w:rsid w:val="005367E5"/>
    <w:rsid w:val="00544958"/>
    <w:rsid w:val="0055464A"/>
    <w:rsid w:val="00554837"/>
    <w:rsid w:val="005560AB"/>
    <w:rsid w:val="00556A33"/>
    <w:rsid w:val="00560F5E"/>
    <w:rsid w:val="0056275E"/>
    <w:rsid w:val="00572D65"/>
    <w:rsid w:val="00576732"/>
    <w:rsid w:val="00580F14"/>
    <w:rsid w:val="00583B2E"/>
    <w:rsid w:val="0058519A"/>
    <w:rsid w:val="00587C6C"/>
    <w:rsid w:val="00587D0F"/>
    <w:rsid w:val="0059012E"/>
    <w:rsid w:val="0059092F"/>
    <w:rsid w:val="005A4C18"/>
    <w:rsid w:val="005B41E1"/>
    <w:rsid w:val="005B5993"/>
    <w:rsid w:val="005B63A2"/>
    <w:rsid w:val="005C0BD3"/>
    <w:rsid w:val="005C2840"/>
    <w:rsid w:val="005D6414"/>
    <w:rsid w:val="005E001C"/>
    <w:rsid w:val="005E070E"/>
    <w:rsid w:val="005E1A3E"/>
    <w:rsid w:val="005E52B9"/>
    <w:rsid w:val="005E62E5"/>
    <w:rsid w:val="005E679D"/>
    <w:rsid w:val="005F1222"/>
    <w:rsid w:val="005F65C5"/>
    <w:rsid w:val="006019BF"/>
    <w:rsid w:val="00604091"/>
    <w:rsid w:val="00607BFC"/>
    <w:rsid w:val="00612C5E"/>
    <w:rsid w:val="0061424D"/>
    <w:rsid w:val="00614EAB"/>
    <w:rsid w:val="00616EC8"/>
    <w:rsid w:val="006175A2"/>
    <w:rsid w:val="00622414"/>
    <w:rsid w:val="00624021"/>
    <w:rsid w:val="00624C77"/>
    <w:rsid w:val="00626AAC"/>
    <w:rsid w:val="006308C6"/>
    <w:rsid w:val="00636F41"/>
    <w:rsid w:val="00636F90"/>
    <w:rsid w:val="00653A26"/>
    <w:rsid w:val="006552D9"/>
    <w:rsid w:val="00657B2C"/>
    <w:rsid w:val="0066544C"/>
    <w:rsid w:val="00671A9E"/>
    <w:rsid w:val="0067569A"/>
    <w:rsid w:val="0067569C"/>
    <w:rsid w:val="006775A7"/>
    <w:rsid w:val="00677E96"/>
    <w:rsid w:val="006818EE"/>
    <w:rsid w:val="00686E6A"/>
    <w:rsid w:val="006879B1"/>
    <w:rsid w:val="0069232E"/>
    <w:rsid w:val="00694AC8"/>
    <w:rsid w:val="006B222B"/>
    <w:rsid w:val="006B5C7E"/>
    <w:rsid w:val="006C16B6"/>
    <w:rsid w:val="006D0C89"/>
    <w:rsid w:val="006D137A"/>
    <w:rsid w:val="006D2B81"/>
    <w:rsid w:val="006D67AB"/>
    <w:rsid w:val="006D6815"/>
    <w:rsid w:val="006E0ECC"/>
    <w:rsid w:val="006E22AE"/>
    <w:rsid w:val="006F0B33"/>
    <w:rsid w:val="006F5C72"/>
    <w:rsid w:val="00700B28"/>
    <w:rsid w:val="00701B86"/>
    <w:rsid w:val="007043B6"/>
    <w:rsid w:val="00714C6D"/>
    <w:rsid w:val="007204AA"/>
    <w:rsid w:val="007204C4"/>
    <w:rsid w:val="00724CE3"/>
    <w:rsid w:val="00726408"/>
    <w:rsid w:val="007341C7"/>
    <w:rsid w:val="007417FA"/>
    <w:rsid w:val="00741B74"/>
    <w:rsid w:val="00744429"/>
    <w:rsid w:val="00745AA0"/>
    <w:rsid w:val="00750077"/>
    <w:rsid w:val="00750EBD"/>
    <w:rsid w:val="00754655"/>
    <w:rsid w:val="00755AF8"/>
    <w:rsid w:val="00761A3F"/>
    <w:rsid w:val="0076370B"/>
    <w:rsid w:val="00774485"/>
    <w:rsid w:val="00777157"/>
    <w:rsid w:val="00777406"/>
    <w:rsid w:val="007943ED"/>
    <w:rsid w:val="00796AC0"/>
    <w:rsid w:val="007A4C8E"/>
    <w:rsid w:val="007B6870"/>
    <w:rsid w:val="007C7F5B"/>
    <w:rsid w:val="007D1123"/>
    <w:rsid w:val="007D1C81"/>
    <w:rsid w:val="007D2AD4"/>
    <w:rsid w:val="007E6414"/>
    <w:rsid w:val="007E6DEE"/>
    <w:rsid w:val="007F2535"/>
    <w:rsid w:val="007F2E9F"/>
    <w:rsid w:val="00803E18"/>
    <w:rsid w:val="00805B05"/>
    <w:rsid w:val="00812AEF"/>
    <w:rsid w:val="008139E2"/>
    <w:rsid w:val="0081550E"/>
    <w:rsid w:val="008164B0"/>
    <w:rsid w:val="008172C2"/>
    <w:rsid w:val="00822760"/>
    <w:rsid w:val="00822CDC"/>
    <w:rsid w:val="00822FC4"/>
    <w:rsid w:val="00824EED"/>
    <w:rsid w:val="00825DA1"/>
    <w:rsid w:val="008272EB"/>
    <w:rsid w:val="008309C6"/>
    <w:rsid w:val="00834EB6"/>
    <w:rsid w:val="0083507F"/>
    <w:rsid w:val="00835570"/>
    <w:rsid w:val="00840535"/>
    <w:rsid w:val="0084393D"/>
    <w:rsid w:val="00844649"/>
    <w:rsid w:val="0085462D"/>
    <w:rsid w:val="00861F47"/>
    <w:rsid w:val="00862005"/>
    <w:rsid w:val="00862826"/>
    <w:rsid w:val="008668CD"/>
    <w:rsid w:val="008668D7"/>
    <w:rsid w:val="0086709C"/>
    <w:rsid w:val="00876570"/>
    <w:rsid w:val="008824F5"/>
    <w:rsid w:val="00887B3B"/>
    <w:rsid w:val="00887D12"/>
    <w:rsid w:val="008902ED"/>
    <w:rsid w:val="00894D0F"/>
    <w:rsid w:val="00896FCC"/>
    <w:rsid w:val="00897165"/>
    <w:rsid w:val="008A3DC8"/>
    <w:rsid w:val="008A5609"/>
    <w:rsid w:val="008B120C"/>
    <w:rsid w:val="008B39B3"/>
    <w:rsid w:val="008B5242"/>
    <w:rsid w:val="008B7C74"/>
    <w:rsid w:val="008C4A55"/>
    <w:rsid w:val="008D3FBA"/>
    <w:rsid w:val="008D4265"/>
    <w:rsid w:val="008E041C"/>
    <w:rsid w:val="008E34A4"/>
    <w:rsid w:val="008E5B81"/>
    <w:rsid w:val="008E6E95"/>
    <w:rsid w:val="008F1E1D"/>
    <w:rsid w:val="008F213F"/>
    <w:rsid w:val="008F487D"/>
    <w:rsid w:val="00901489"/>
    <w:rsid w:val="009041A2"/>
    <w:rsid w:val="00907D22"/>
    <w:rsid w:val="00913289"/>
    <w:rsid w:val="0091497F"/>
    <w:rsid w:val="00922599"/>
    <w:rsid w:val="00926553"/>
    <w:rsid w:val="00927164"/>
    <w:rsid w:val="00932145"/>
    <w:rsid w:val="009362B5"/>
    <w:rsid w:val="00937826"/>
    <w:rsid w:val="00944625"/>
    <w:rsid w:val="00946367"/>
    <w:rsid w:val="00946C33"/>
    <w:rsid w:val="0095292E"/>
    <w:rsid w:val="00961030"/>
    <w:rsid w:val="009614F0"/>
    <w:rsid w:val="009616FB"/>
    <w:rsid w:val="00962DBF"/>
    <w:rsid w:val="00965BCB"/>
    <w:rsid w:val="009676FC"/>
    <w:rsid w:val="009717F2"/>
    <w:rsid w:val="00973FAC"/>
    <w:rsid w:val="00973FB6"/>
    <w:rsid w:val="00976C07"/>
    <w:rsid w:val="009824F8"/>
    <w:rsid w:val="00983648"/>
    <w:rsid w:val="009869FA"/>
    <w:rsid w:val="00987735"/>
    <w:rsid w:val="009904D1"/>
    <w:rsid w:val="009928B4"/>
    <w:rsid w:val="009A00FA"/>
    <w:rsid w:val="009A0FD4"/>
    <w:rsid w:val="009A3CB6"/>
    <w:rsid w:val="009A4AAB"/>
    <w:rsid w:val="009A4CD1"/>
    <w:rsid w:val="009C143E"/>
    <w:rsid w:val="009C4A80"/>
    <w:rsid w:val="009C6472"/>
    <w:rsid w:val="009D38A1"/>
    <w:rsid w:val="009E6EA5"/>
    <w:rsid w:val="009F3788"/>
    <w:rsid w:val="009F5E3B"/>
    <w:rsid w:val="009F7052"/>
    <w:rsid w:val="00A05FDD"/>
    <w:rsid w:val="00A06188"/>
    <w:rsid w:val="00A07A9C"/>
    <w:rsid w:val="00A07EE5"/>
    <w:rsid w:val="00A10AC6"/>
    <w:rsid w:val="00A14FBE"/>
    <w:rsid w:val="00A16198"/>
    <w:rsid w:val="00A21BC2"/>
    <w:rsid w:val="00A259D5"/>
    <w:rsid w:val="00A26388"/>
    <w:rsid w:val="00A34173"/>
    <w:rsid w:val="00A37E44"/>
    <w:rsid w:val="00A469A1"/>
    <w:rsid w:val="00A51FC7"/>
    <w:rsid w:val="00A57802"/>
    <w:rsid w:val="00A57A9A"/>
    <w:rsid w:val="00A64576"/>
    <w:rsid w:val="00A70AD4"/>
    <w:rsid w:val="00A81736"/>
    <w:rsid w:val="00A90ED4"/>
    <w:rsid w:val="00A9178D"/>
    <w:rsid w:val="00A9232C"/>
    <w:rsid w:val="00A92973"/>
    <w:rsid w:val="00A9764E"/>
    <w:rsid w:val="00AA0270"/>
    <w:rsid w:val="00AA0732"/>
    <w:rsid w:val="00AA3480"/>
    <w:rsid w:val="00AA5F63"/>
    <w:rsid w:val="00AB0AA1"/>
    <w:rsid w:val="00AB0EAE"/>
    <w:rsid w:val="00AB12BA"/>
    <w:rsid w:val="00AB1A46"/>
    <w:rsid w:val="00AB2D6D"/>
    <w:rsid w:val="00AB2EFC"/>
    <w:rsid w:val="00AB55C3"/>
    <w:rsid w:val="00AB7860"/>
    <w:rsid w:val="00AC100D"/>
    <w:rsid w:val="00AC7708"/>
    <w:rsid w:val="00AD6BF3"/>
    <w:rsid w:val="00AE1AA9"/>
    <w:rsid w:val="00AE1B08"/>
    <w:rsid w:val="00AF604D"/>
    <w:rsid w:val="00B00221"/>
    <w:rsid w:val="00B01251"/>
    <w:rsid w:val="00B04F84"/>
    <w:rsid w:val="00B074F0"/>
    <w:rsid w:val="00B13041"/>
    <w:rsid w:val="00B266D0"/>
    <w:rsid w:val="00B32C9D"/>
    <w:rsid w:val="00B3424A"/>
    <w:rsid w:val="00B37215"/>
    <w:rsid w:val="00B4074A"/>
    <w:rsid w:val="00B42556"/>
    <w:rsid w:val="00B54437"/>
    <w:rsid w:val="00B554D0"/>
    <w:rsid w:val="00B55D0D"/>
    <w:rsid w:val="00B56832"/>
    <w:rsid w:val="00B60617"/>
    <w:rsid w:val="00B6191E"/>
    <w:rsid w:val="00B64032"/>
    <w:rsid w:val="00B66B1C"/>
    <w:rsid w:val="00B66E5A"/>
    <w:rsid w:val="00B71B50"/>
    <w:rsid w:val="00B73F80"/>
    <w:rsid w:val="00B74D09"/>
    <w:rsid w:val="00B801C9"/>
    <w:rsid w:val="00B82E45"/>
    <w:rsid w:val="00B9390C"/>
    <w:rsid w:val="00B94AF6"/>
    <w:rsid w:val="00B95933"/>
    <w:rsid w:val="00B95BF5"/>
    <w:rsid w:val="00BA491E"/>
    <w:rsid w:val="00BA4DD0"/>
    <w:rsid w:val="00BA5335"/>
    <w:rsid w:val="00BA533E"/>
    <w:rsid w:val="00BA799E"/>
    <w:rsid w:val="00BB292F"/>
    <w:rsid w:val="00BB42AD"/>
    <w:rsid w:val="00BB7FEB"/>
    <w:rsid w:val="00BC058C"/>
    <w:rsid w:val="00BC1C13"/>
    <w:rsid w:val="00BC24E4"/>
    <w:rsid w:val="00BC3DB3"/>
    <w:rsid w:val="00BC5918"/>
    <w:rsid w:val="00BC5E68"/>
    <w:rsid w:val="00BC77C8"/>
    <w:rsid w:val="00BC780A"/>
    <w:rsid w:val="00BC7D36"/>
    <w:rsid w:val="00BD2A2A"/>
    <w:rsid w:val="00BD3971"/>
    <w:rsid w:val="00BD6953"/>
    <w:rsid w:val="00BE0B98"/>
    <w:rsid w:val="00BE4A61"/>
    <w:rsid w:val="00BE6FB4"/>
    <w:rsid w:val="00BF0B01"/>
    <w:rsid w:val="00C009A7"/>
    <w:rsid w:val="00C0730A"/>
    <w:rsid w:val="00C0736A"/>
    <w:rsid w:val="00C114E4"/>
    <w:rsid w:val="00C17B19"/>
    <w:rsid w:val="00C2083E"/>
    <w:rsid w:val="00C32333"/>
    <w:rsid w:val="00C345D5"/>
    <w:rsid w:val="00C357E0"/>
    <w:rsid w:val="00C359B6"/>
    <w:rsid w:val="00C416EA"/>
    <w:rsid w:val="00C41757"/>
    <w:rsid w:val="00C420E9"/>
    <w:rsid w:val="00C421F9"/>
    <w:rsid w:val="00C44608"/>
    <w:rsid w:val="00C447C5"/>
    <w:rsid w:val="00C53F94"/>
    <w:rsid w:val="00C67B05"/>
    <w:rsid w:val="00C71420"/>
    <w:rsid w:val="00C73C83"/>
    <w:rsid w:val="00C74080"/>
    <w:rsid w:val="00C82922"/>
    <w:rsid w:val="00C841E7"/>
    <w:rsid w:val="00C85F9C"/>
    <w:rsid w:val="00C917D9"/>
    <w:rsid w:val="00C924AB"/>
    <w:rsid w:val="00C964BE"/>
    <w:rsid w:val="00CA7B83"/>
    <w:rsid w:val="00CB0BD3"/>
    <w:rsid w:val="00CB3A4F"/>
    <w:rsid w:val="00CB60F2"/>
    <w:rsid w:val="00CB7F29"/>
    <w:rsid w:val="00CC16DA"/>
    <w:rsid w:val="00CC1EC9"/>
    <w:rsid w:val="00CC2C55"/>
    <w:rsid w:val="00CC5B9E"/>
    <w:rsid w:val="00CC5C75"/>
    <w:rsid w:val="00CD3482"/>
    <w:rsid w:val="00CD472E"/>
    <w:rsid w:val="00CD5F74"/>
    <w:rsid w:val="00CD64D3"/>
    <w:rsid w:val="00CD6C01"/>
    <w:rsid w:val="00CE0301"/>
    <w:rsid w:val="00CE2BAF"/>
    <w:rsid w:val="00CF2321"/>
    <w:rsid w:val="00CF430F"/>
    <w:rsid w:val="00CF464C"/>
    <w:rsid w:val="00CF6177"/>
    <w:rsid w:val="00D0644D"/>
    <w:rsid w:val="00D06B2C"/>
    <w:rsid w:val="00D13153"/>
    <w:rsid w:val="00D26289"/>
    <w:rsid w:val="00D272E5"/>
    <w:rsid w:val="00D32468"/>
    <w:rsid w:val="00D32517"/>
    <w:rsid w:val="00D429C7"/>
    <w:rsid w:val="00D46127"/>
    <w:rsid w:val="00D463EB"/>
    <w:rsid w:val="00D471AF"/>
    <w:rsid w:val="00D505EF"/>
    <w:rsid w:val="00D56B72"/>
    <w:rsid w:val="00D610E6"/>
    <w:rsid w:val="00D66F41"/>
    <w:rsid w:val="00D6755F"/>
    <w:rsid w:val="00D70930"/>
    <w:rsid w:val="00D70E49"/>
    <w:rsid w:val="00D72039"/>
    <w:rsid w:val="00D73CB6"/>
    <w:rsid w:val="00D76821"/>
    <w:rsid w:val="00D7690A"/>
    <w:rsid w:val="00D8732A"/>
    <w:rsid w:val="00DA29BB"/>
    <w:rsid w:val="00DA2B7E"/>
    <w:rsid w:val="00DB2E4A"/>
    <w:rsid w:val="00DC25DC"/>
    <w:rsid w:val="00DD3301"/>
    <w:rsid w:val="00DD68E6"/>
    <w:rsid w:val="00DE4F95"/>
    <w:rsid w:val="00DF0255"/>
    <w:rsid w:val="00DF25F7"/>
    <w:rsid w:val="00DF2F1A"/>
    <w:rsid w:val="00DF5E9E"/>
    <w:rsid w:val="00DF7DA0"/>
    <w:rsid w:val="00E05EB5"/>
    <w:rsid w:val="00E1291A"/>
    <w:rsid w:val="00E1439C"/>
    <w:rsid w:val="00E1576B"/>
    <w:rsid w:val="00E1631F"/>
    <w:rsid w:val="00E23C72"/>
    <w:rsid w:val="00E27F36"/>
    <w:rsid w:val="00E35E28"/>
    <w:rsid w:val="00E36444"/>
    <w:rsid w:val="00E37873"/>
    <w:rsid w:val="00E40884"/>
    <w:rsid w:val="00E41DED"/>
    <w:rsid w:val="00E44024"/>
    <w:rsid w:val="00E468C9"/>
    <w:rsid w:val="00E4706F"/>
    <w:rsid w:val="00E505CB"/>
    <w:rsid w:val="00E523EB"/>
    <w:rsid w:val="00E53072"/>
    <w:rsid w:val="00E54D22"/>
    <w:rsid w:val="00E557F5"/>
    <w:rsid w:val="00E557FB"/>
    <w:rsid w:val="00E6277B"/>
    <w:rsid w:val="00E70D55"/>
    <w:rsid w:val="00EA247E"/>
    <w:rsid w:val="00EA64F1"/>
    <w:rsid w:val="00EA736D"/>
    <w:rsid w:val="00EB4FF8"/>
    <w:rsid w:val="00EB720B"/>
    <w:rsid w:val="00EC79E3"/>
    <w:rsid w:val="00ED3B97"/>
    <w:rsid w:val="00ED4193"/>
    <w:rsid w:val="00ED4B90"/>
    <w:rsid w:val="00ED5981"/>
    <w:rsid w:val="00EE0CA2"/>
    <w:rsid w:val="00EE0CE9"/>
    <w:rsid w:val="00EE129C"/>
    <w:rsid w:val="00EE2A83"/>
    <w:rsid w:val="00EE4C95"/>
    <w:rsid w:val="00EE50C2"/>
    <w:rsid w:val="00EE6181"/>
    <w:rsid w:val="00EF2256"/>
    <w:rsid w:val="00F03B2C"/>
    <w:rsid w:val="00F03F30"/>
    <w:rsid w:val="00F066F3"/>
    <w:rsid w:val="00F12723"/>
    <w:rsid w:val="00F1272A"/>
    <w:rsid w:val="00F12983"/>
    <w:rsid w:val="00F1616A"/>
    <w:rsid w:val="00F17B82"/>
    <w:rsid w:val="00F23282"/>
    <w:rsid w:val="00F24DBC"/>
    <w:rsid w:val="00F341DC"/>
    <w:rsid w:val="00F34638"/>
    <w:rsid w:val="00F37662"/>
    <w:rsid w:val="00F37C1D"/>
    <w:rsid w:val="00F44325"/>
    <w:rsid w:val="00F4454B"/>
    <w:rsid w:val="00F449BE"/>
    <w:rsid w:val="00F46418"/>
    <w:rsid w:val="00F54A0C"/>
    <w:rsid w:val="00F659CE"/>
    <w:rsid w:val="00F67735"/>
    <w:rsid w:val="00F84A42"/>
    <w:rsid w:val="00F84CA9"/>
    <w:rsid w:val="00F8653A"/>
    <w:rsid w:val="00F8779F"/>
    <w:rsid w:val="00FA03ED"/>
    <w:rsid w:val="00FB1663"/>
    <w:rsid w:val="00FB7DBE"/>
    <w:rsid w:val="00FC510D"/>
    <w:rsid w:val="00FC77C6"/>
    <w:rsid w:val="00FD55A0"/>
    <w:rsid w:val="00FD5768"/>
    <w:rsid w:val="00FD74CF"/>
    <w:rsid w:val="00FE2C42"/>
    <w:rsid w:val="00FE6957"/>
    <w:rsid w:val="00FE6F79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38E6A8"/>
  <w15:chartTrackingRefBased/>
  <w15:docId w15:val="{DE346B9F-3F31-48DF-8760-E39592BA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873"/>
    <w:pPr>
      <w:keepNext/>
      <w:keepLines/>
      <w:spacing w:before="240" w:after="240" w:line="240" w:lineRule="auto"/>
      <w:outlineLvl w:val="0"/>
    </w:pPr>
    <w:rPr>
      <w:rFonts w:ascii="Arial" w:eastAsiaTheme="majorEastAsia" w:hAnsi="Arial" w:cstheme="majorBidi"/>
      <w:color w:val="00427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73"/>
    <w:pPr>
      <w:keepNext/>
      <w:keepLines/>
      <w:spacing w:before="240" w:after="120" w:line="240" w:lineRule="auto"/>
      <w:outlineLvl w:val="1"/>
    </w:pPr>
    <w:rPr>
      <w:rFonts w:ascii="Arial" w:eastAsiaTheme="majorEastAsia" w:hAnsi="Arial" w:cstheme="majorBidi"/>
      <w:color w:val="00427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73"/>
    <w:pPr>
      <w:keepNext/>
      <w:keepLines/>
      <w:spacing w:before="240" w:after="120" w:line="240" w:lineRule="auto"/>
      <w:outlineLvl w:val="2"/>
    </w:pPr>
    <w:rPr>
      <w:rFonts w:ascii="Arial" w:eastAsiaTheme="majorEastAsia" w:hAnsi="Arial" w:cstheme="majorBidi"/>
      <w:b/>
      <w:bCs/>
      <w:color w:val="00427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F2535"/>
    <w:pPr>
      <w:outlineLvl w:val="3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732"/>
    <w:pPr>
      <w:ind w:left="720"/>
      <w:contextualSpacing/>
    </w:pPr>
  </w:style>
  <w:style w:type="paragraph" w:customStyle="1" w:styleId="Default">
    <w:name w:val="Default"/>
    <w:rsid w:val="0096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2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2B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2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2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822B6"/>
    <w:rPr>
      <w:vertAlign w:val="superscript"/>
    </w:rPr>
  </w:style>
  <w:style w:type="paragraph" w:customStyle="1" w:styleId="Numberedparagraph">
    <w:name w:val="Numbered paragraph"/>
    <w:basedOn w:val="ListParagraph"/>
    <w:link w:val="NumberedparagraphChar"/>
    <w:autoRedefine/>
    <w:qFormat/>
    <w:rsid w:val="007F2535"/>
    <w:pPr>
      <w:numPr>
        <w:numId w:val="27"/>
      </w:numPr>
      <w:spacing w:before="120" w:after="240" w:line="276" w:lineRule="auto"/>
      <w:contextualSpacing w:val="0"/>
    </w:pPr>
    <w:rPr>
      <w:rFonts w:ascii="Arial" w:eastAsia="MS Mincho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754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6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465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177"/>
  </w:style>
  <w:style w:type="paragraph" w:styleId="Footer">
    <w:name w:val="footer"/>
    <w:basedOn w:val="Normal"/>
    <w:link w:val="FooterChar"/>
    <w:uiPriority w:val="99"/>
    <w:unhideWhenUsed/>
    <w:rsid w:val="00CF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177"/>
  </w:style>
  <w:style w:type="paragraph" w:styleId="EndnoteText">
    <w:name w:val="endnote text"/>
    <w:basedOn w:val="Normal"/>
    <w:link w:val="EndnoteTextChar"/>
    <w:uiPriority w:val="99"/>
    <w:semiHidden/>
    <w:unhideWhenUsed/>
    <w:rsid w:val="008E34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34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34A4"/>
    <w:rPr>
      <w:vertAlign w:val="superscript"/>
    </w:rPr>
  </w:style>
  <w:style w:type="paragraph" w:styleId="Revision">
    <w:name w:val="Revision"/>
    <w:hidden/>
    <w:uiPriority w:val="99"/>
    <w:semiHidden/>
    <w:rsid w:val="009F705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F7873"/>
    <w:rPr>
      <w:rFonts w:ascii="Arial" w:eastAsiaTheme="majorEastAsia" w:hAnsi="Arial" w:cstheme="majorBidi"/>
      <w:color w:val="00427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7873"/>
    <w:rPr>
      <w:rFonts w:ascii="Arial" w:eastAsiaTheme="majorEastAsia" w:hAnsi="Arial" w:cstheme="majorBidi"/>
      <w:color w:val="00427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7873"/>
    <w:rPr>
      <w:rFonts w:ascii="Arial" w:eastAsiaTheme="majorEastAsia" w:hAnsi="Arial" w:cstheme="majorBidi"/>
      <w:b/>
      <w:bCs/>
      <w:color w:val="004270"/>
      <w:sz w:val="24"/>
    </w:rPr>
  </w:style>
  <w:style w:type="character" w:customStyle="1" w:styleId="NumberedparagraphChar">
    <w:name w:val="Numbered paragraph Char"/>
    <w:basedOn w:val="DefaultParagraphFont"/>
    <w:link w:val="Numberedparagraph"/>
    <w:rsid w:val="007F2535"/>
    <w:rPr>
      <w:rFonts w:ascii="Arial" w:eastAsia="MS Mincho" w:hAnsi="Arial" w:cs="Arial"/>
      <w:szCs w:val="24"/>
    </w:rPr>
  </w:style>
  <w:style w:type="paragraph" w:styleId="NoSpacing">
    <w:name w:val="No Spacing"/>
    <w:link w:val="NoSpacingChar"/>
    <w:uiPriority w:val="1"/>
    <w:qFormat/>
    <w:rsid w:val="007F25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2535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F2535"/>
    <w:pPr>
      <w:pBdr>
        <w:bottom w:val="single" w:sz="8" w:space="12" w:color="004270"/>
      </w:pBdr>
      <w:spacing w:after="240" w:line="240" w:lineRule="auto"/>
      <w:contextualSpacing/>
    </w:pPr>
    <w:rPr>
      <w:rFonts w:ascii="Arial" w:eastAsiaTheme="majorEastAsia" w:hAnsi="Arial" w:cstheme="majorBidi"/>
      <w:color w:val="004270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535"/>
    <w:rPr>
      <w:rFonts w:ascii="Arial" w:eastAsiaTheme="majorEastAsia" w:hAnsi="Arial" w:cstheme="majorBidi"/>
      <w:color w:val="004270"/>
      <w:spacing w:val="-10"/>
      <w:kern w:val="28"/>
      <w:sz w:val="60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7F2535"/>
    <w:rPr>
      <w:rFonts w:ascii="Arial" w:eastAsiaTheme="majorEastAsia" w:hAnsi="Arial" w:cstheme="majorBidi"/>
      <w:b/>
      <w:bCs/>
      <w:color w:val="00427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74A463C17914288F556F3B3A13F4B" ma:contentTypeVersion="4" ma:contentTypeDescription="Create a new document." ma:contentTypeScope="" ma:versionID="75bd54a935b406dbd10ff6f57bb1c03e">
  <xsd:schema xmlns:xsd="http://www.w3.org/2001/XMLSchema" xmlns:xs="http://www.w3.org/2001/XMLSchema" xmlns:p="http://schemas.microsoft.com/office/2006/metadata/properties" xmlns:ns3="05fe3430-b92f-4c02-b9d0-d7540b98b5fb" targetNamespace="http://schemas.microsoft.com/office/2006/metadata/properties" ma:root="true" ma:fieldsID="686126f20cb778177c33b85bd52f2f81" ns3:_="">
    <xsd:import namespace="05fe3430-b92f-4c02-b9d0-d7540b98b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e3430-b92f-4c02-b9d0-d7540b98b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893A9-7562-4259-88CC-E282D04F5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E0DFC-8BFA-4ABC-B046-494BB33418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A5C2A9-A2BB-4F44-851A-78D14CBC284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5fe3430-b92f-4c02-b9d0-d7540b98b5f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9E8CAE-A488-4DFB-8681-9236B94FA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e3430-b92f-4c02-b9d0-d7540b98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3396</Words>
  <Characters>19362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National Agreement on Closing the Gap</vt:lpstr>
    </vt:vector>
  </TitlesOfParts>
  <Company>ADCQ</Company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National Agreement on Closing the Gap</dc:title>
  <dc:subject/>
  <dc:creator>Ruth Venables</dc:creator>
  <cp:keywords/>
  <dc:description/>
  <cp:lastModifiedBy>Ruth Venables</cp:lastModifiedBy>
  <cp:revision>2</cp:revision>
  <dcterms:created xsi:type="dcterms:W3CDTF">2023-10-05T07:19:00Z</dcterms:created>
  <dcterms:modified xsi:type="dcterms:W3CDTF">2023-10-05T07:19:00Z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0x010100DD074A463C17914288F556F3B3A13F4B</vt:lpwstr>
  </property>
</Properties>
</file>