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67608509"/>
        <w:docPartObj>
          <w:docPartGallery w:val="Cover Pages"/>
          <w:docPartUnique/>
        </w:docPartObj>
      </w:sdtPr>
      <w:sdtEndPr>
        <w:rPr>
          <w:sz w:val="16"/>
          <w:szCs w:val="16"/>
        </w:rPr>
      </w:sdtEndPr>
      <w:sdtContent>
        <w:p w14:paraId="2FED991D" w14:textId="77777777" w:rsidR="00A16356" w:rsidRDefault="00A16356" w:rsidP="004A2375">
          <w:pPr>
            <w:spacing w:before="1440"/>
          </w:pPr>
        </w:p>
        <w:tbl>
          <w:tblPr>
            <w:tblW w:w="5000" w:type="pct"/>
            <w:jc w:val="center"/>
            <w:tblLook w:val="04A0" w:firstRow="1" w:lastRow="0" w:firstColumn="1" w:lastColumn="0" w:noHBand="0" w:noVBand="1"/>
          </w:tblPr>
          <w:tblGrid>
            <w:gridCol w:w="8306"/>
          </w:tblGrid>
          <w:tr w:rsidR="004A2375" w:rsidRPr="00D95D9E" w14:paraId="2E9952F2" w14:textId="77777777" w:rsidTr="004A2375">
            <w:trPr>
              <w:trHeight w:val="360"/>
              <w:jc w:val="center"/>
            </w:trPr>
            <w:tc>
              <w:tcPr>
                <w:tcW w:w="5000" w:type="pct"/>
                <w:tcBorders>
                  <w:top w:val="thinThickSmallGap" w:sz="24" w:space="0" w:color="1F497D" w:themeColor="text2"/>
                </w:tcBorders>
                <w:vAlign w:val="center"/>
              </w:tcPr>
              <w:p w14:paraId="4917BC22" w14:textId="77777777" w:rsidR="004A2375" w:rsidRPr="00D95D9E" w:rsidRDefault="004A2375" w:rsidP="004A2375">
                <w:pPr>
                  <w:pStyle w:val="NoSpacing"/>
                  <w:spacing w:before="720" w:after="240"/>
                  <w:jc w:val="center"/>
                  <w:rPr>
                    <w:b/>
                    <w:bCs/>
                    <w:sz w:val="28"/>
                  </w:rPr>
                </w:pPr>
              </w:p>
            </w:tc>
          </w:tr>
          <w:tr w:rsidR="004A2375" w:rsidRPr="00D95D9E" w14:paraId="3CD02210" w14:textId="77777777" w:rsidTr="004A2375">
            <w:trPr>
              <w:trHeight w:val="2506"/>
              <w:jc w:val="center"/>
            </w:trPr>
            <w:sdt>
              <w:sdtPr>
                <w:rPr>
                  <w:rFonts w:asciiTheme="majorHAnsi" w:eastAsiaTheme="majorEastAsia" w:hAnsiTheme="majorHAnsi" w:cstheme="majorBidi"/>
                  <w:color w:val="1F497D" w:themeColor="text2"/>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4B0FEBA6" w14:textId="1128DE7F" w:rsidR="004A2375" w:rsidRPr="00D95D9E" w:rsidRDefault="00294A68" w:rsidP="00FE5D11">
                    <w:pPr>
                      <w:pStyle w:val="NoSpacing"/>
                      <w:spacing w:after="240"/>
                      <w:rPr>
                        <w:rFonts w:asciiTheme="majorHAnsi" w:eastAsiaTheme="majorEastAsia" w:hAnsiTheme="majorHAnsi" w:cstheme="majorBidi"/>
                        <w:sz w:val="80"/>
                        <w:szCs w:val="80"/>
                      </w:rPr>
                    </w:pPr>
                    <w:r>
                      <w:rPr>
                        <w:rFonts w:asciiTheme="majorHAnsi" w:eastAsiaTheme="majorEastAsia" w:hAnsiTheme="majorHAnsi" w:cstheme="majorBidi"/>
                        <w:color w:val="1F497D" w:themeColor="text2"/>
                        <w:sz w:val="60"/>
                        <w:szCs w:val="60"/>
                      </w:rPr>
                      <w:t>Criminal Code (</w:t>
                    </w:r>
                    <w:r w:rsidR="00242936">
                      <w:rPr>
                        <w:rFonts w:asciiTheme="majorHAnsi" w:eastAsiaTheme="majorEastAsia" w:hAnsiTheme="majorHAnsi" w:cstheme="majorBidi"/>
                        <w:color w:val="1F497D" w:themeColor="text2"/>
                        <w:sz w:val="60"/>
                        <w:szCs w:val="60"/>
                      </w:rPr>
                      <w:t>Serious Vilification and Hate Crimes) and Other Legislation Amendment Bill 2023</w:t>
                    </w:r>
                  </w:p>
                </w:tc>
              </w:sdtContent>
            </w:sdt>
          </w:tr>
          <w:tr w:rsidR="004A2375" w:rsidRPr="00D95D9E" w14:paraId="761ED4E9" w14:textId="77777777" w:rsidTr="004A2375">
            <w:trPr>
              <w:trHeight w:val="360"/>
              <w:jc w:val="center"/>
            </w:trPr>
            <w:tc>
              <w:tcPr>
                <w:tcW w:w="5000" w:type="pct"/>
                <w:vAlign w:val="center"/>
              </w:tcPr>
              <w:p w14:paraId="17B782BA" w14:textId="77777777" w:rsidR="004A2375" w:rsidRPr="00D95D9E" w:rsidRDefault="004A2375" w:rsidP="004A2375">
                <w:pPr>
                  <w:pStyle w:val="NoSpacing"/>
                  <w:spacing w:after="240"/>
                  <w:jc w:val="center"/>
                  <w:rPr>
                    <w:b/>
                    <w:bCs/>
                    <w:sz w:val="28"/>
                  </w:rPr>
                </w:pPr>
              </w:p>
            </w:tc>
          </w:tr>
          <w:tr w:rsidR="004A2375" w:rsidRPr="00D95D9E" w14:paraId="75DA5A7D" w14:textId="77777777" w:rsidTr="004A2375">
            <w:trPr>
              <w:trHeight w:val="360"/>
              <w:jc w:val="center"/>
            </w:trPr>
            <w:tc>
              <w:tcPr>
                <w:tcW w:w="5000" w:type="pct"/>
                <w:tcBorders>
                  <w:bottom w:val="thickThinSmallGap" w:sz="24" w:space="0" w:color="1F497D" w:themeColor="text2"/>
                </w:tcBorders>
                <w:vAlign w:val="center"/>
              </w:tcPr>
              <w:p w14:paraId="17DAE974" w14:textId="77777777" w:rsidR="00182865" w:rsidRDefault="00182865" w:rsidP="00182865">
                <w:pPr>
                  <w:pStyle w:val="NoSpacing"/>
                  <w:spacing w:before="120" w:after="120"/>
                  <w:jc w:val="right"/>
                  <w:rPr>
                    <w:rFonts w:ascii="Arial" w:hAnsi="Arial" w:cs="Arial"/>
                    <w:b/>
                    <w:bCs/>
                    <w:sz w:val="28"/>
                  </w:rPr>
                </w:pPr>
                <w:r>
                  <w:rPr>
                    <w:rFonts w:ascii="Arial" w:hAnsi="Arial" w:cs="Arial"/>
                    <w:b/>
                    <w:bCs/>
                    <w:sz w:val="28"/>
                  </w:rPr>
                  <w:t>Submission</w:t>
                </w:r>
              </w:p>
              <w:p w14:paraId="443AD5E4" w14:textId="77777777" w:rsidR="00182865" w:rsidRDefault="00182865" w:rsidP="00182865">
                <w:pPr>
                  <w:pStyle w:val="NoSpacing"/>
                  <w:spacing w:before="120" w:after="120"/>
                  <w:jc w:val="right"/>
                  <w:rPr>
                    <w:rFonts w:ascii="Arial" w:hAnsi="Arial" w:cs="Arial"/>
                    <w:b/>
                    <w:bCs/>
                    <w:sz w:val="28"/>
                  </w:rPr>
                </w:pPr>
                <w:r>
                  <w:rPr>
                    <w:rFonts w:ascii="Arial" w:hAnsi="Arial" w:cs="Arial"/>
                    <w:b/>
                    <w:bCs/>
                    <w:sz w:val="28"/>
                  </w:rPr>
                  <w:t>to</w:t>
                </w:r>
              </w:p>
              <w:p w14:paraId="202C61FF" w14:textId="5D22F4A0" w:rsidR="004A2375" w:rsidRDefault="00592493" w:rsidP="009746DD">
                <w:pPr>
                  <w:pStyle w:val="NoSpacing"/>
                  <w:spacing w:before="120" w:after="120"/>
                  <w:jc w:val="right"/>
                  <w:rPr>
                    <w:rFonts w:ascii="Arial" w:hAnsi="Arial" w:cs="Arial"/>
                    <w:b/>
                    <w:bCs/>
                    <w:sz w:val="28"/>
                  </w:rPr>
                </w:pPr>
                <w:r>
                  <w:rPr>
                    <w:rFonts w:ascii="Arial" w:hAnsi="Arial" w:cs="Arial"/>
                    <w:b/>
                    <w:bCs/>
                    <w:sz w:val="28"/>
                  </w:rPr>
                  <w:t>Legal Affairs and Safety Committee</w:t>
                </w:r>
              </w:p>
              <w:p w14:paraId="61B84921" w14:textId="77777777" w:rsidR="00240EF9" w:rsidRPr="00D95D9E" w:rsidRDefault="00240EF9" w:rsidP="009746DD">
                <w:pPr>
                  <w:pStyle w:val="NoSpacing"/>
                  <w:spacing w:before="120" w:after="120"/>
                  <w:jc w:val="right"/>
                  <w:rPr>
                    <w:b/>
                    <w:bCs/>
                    <w:sz w:val="28"/>
                  </w:rPr>
                </w:pPr>
              </w:p>
            </w:tc>
          </w:tr>
        </w:tbl>
        <w:p w14:paraId="54CE7601" w14:textId="77777777" w:rsidR="004A2375" w:rsidRDefault="004A2375"/>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57E88844" w14:textId="77777777" w:rsidTr="00392522">
            <w:tc>
              <w:tcPr>
                <w:tcW w:w="6585" w:type="dxa"/>
                <w:tcMar>
                  <w:top w:w="216" w:type="dxa"/>
                  <w:left w:w="115" w:type="dxa"/>
                  <w:bottom w:w="216" w:type="dxa"/>
                  <w:right w:w="115" w:type="dxa"/>
                </w:tcMar>
              </w:tcPr>
              <w:p w14:paraId="0F91E34D" w14:textId="558546BD" w:rsidR="00A16356" w:rsidRPr="00A16356" w:rsidRDefault="00380D53" w:rsidP="004A2375">
                <w:pPr>
                  <w:pStyle w:val="NoSpacing"/>
                  <w:jc w:val="center"/>
                  <w:rPr>
                    <w:rFonts w:ascii="Arial" w:hAnsi="Arial" w:cs="Arial"/>
                    <w:color w:val="4F81BD" w:themeColor="accent1"/>
                    <w:sz w:val="28"/>
                    <w:szCs w:val="28"/>
                  </w:rPr>
                </w:pPr>
                <w:r>
                  <w:rPr>
                    <w:rFonts w:ascii="Arial" w:hAnsi="Arial" w:cs="Arial"/>
                    <w:color w:val="4F81BD" w:themeColor="accent1"/>
                    <w:sz w:val="28"/>
                    <w:szCs w:val="28"/>
                  </w:rPr>
                  <w:t xml:space="preserve">4 </w:t>
                </w:r>
                <w:r w:rsidR="00242936">
                  <w:rPr>
                    <w:rFonts w:ascii="Arial" w:hAnsi="Arial" w:cs="Arial"/>
                    <w:color w:val="4F81BD" w:themeColor="accent1"/>
                    <w:sz w:val="28"/>
                    <w:szCs w:val="28"/>
                  </w:rPr>
                  <w:t>May</w:t>
                </w:r>
                <w:r w:rsidR="00444D7E">
                  <w:rPr>
                    <w:rFonts w:ascii="Arial" w:hAnsi="Arial" w:cs="Arial"/>
                    <w:color w:val="4F81BD" w:themeColor="accent1"/>
                    <w:sz w:val="28"/>
                    <w:szCs w:val="28"/>
                  </w:rPr>
                  <w:t xml:space="preserve"> 202</w:t>
                </w:r>
                <w:r w:rsidR="00242936">
                  <w:rPr>
                    <w:rFonts w:ascii="Arial" w:hAnsi="Arial" w:cs="Arial"/>
                    <w:color w:val="4F81BD" w:themeColor="accent1"/>
                    <w:sz w:val="28"/>
                    <w:szCs w:val="28"/>
                  </w:rPr>
                  <w:t>3</w:t>
                </w:r>
              </w:p>
              <w:p w14:paraId="6AC9B9C4" w14:textId="77777777" w:rsidR="00A16356" w:rsidRDefault="00A16356">
                <w:pPr>
                  <w:pStyle w:val="NoSpacing"/>
                  <w:rPr>
                    <w:color w:val="4F81BD" w:themeColor="accent1"/>
                  </w:rPr>
                </w:pPr>
              </w:p>
            </w:tc>
          </w:tr>
        </w:tbl>
        <w:p w14:paraId="0EC0807B" w14:textId="77777777" w:rsidR="004A2375" w:rsidRDefault="00A16356">
          <w:r>
            <w:br w:type="page"/>
          </w:r>
        </w:p>
        <w:p w14:paraId="0A0DB81E" w14:textId="44A3B409" w:rsidR="00A16356" w:rsidRPr="004A2375" w:rsidRDefault="00380D53">
          <w:pPr>
            <w:rPr>
              <w:rFonts w:eastAsiaTheme="majorEastAsia" w:cstheme="majorBidi"/>
              <w:b/>
              <w:color w:val="365F91" w:themeColor="accent1" w:themeShade="BF"/>
              <w:sz w:val="16"/>
              <w:szCs w:val="16"/>
            </w:rPr>
          </w:pPr>
        </w:p>
      </w:sdtContent>
    </w:sd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lang w:val="en-AU"/>
        </w:rPr>
      </w:sdtEndPr>
      <w:sdtContent>
        <w:p w14:paraId="4B5D0AAC" w14:textId="77777777" w:rsidR="00A16356" w:rsidRPr="00183FA4" w:rsidRDefault="00A16356" w:rsidP="0022037D">
          <w:pPr>
            <w:pStyle w:val="TOCHeading"/>
            <w:spacing w:before="120" w:after="120"/>
            <w:rPr>
              <w:rFonts w:ascii="Arial" w:hAnsi="Arial" w:cs="Arial"/>
              <w:b/>
            </w:rPr>
          </w:pPr>
          <w:r w:rsidRPr="00183FA4">
            <w:rPr>
              <w:rFonts w:ascii="Arial" w:hAnsi="Arial" w:cs="Arial"/>
              <w:b/>
            </w:rPr>
            <w:t>Table of Contents</w:t>
          </w:r>
        </w:p>
        <w:p w14:paraId="5551E629" w14:textId="169AE329" w:rsidR="009375A2" w:rsidRDefault="00A16356">
          <w:pPr>
            <w:pStyle w:val="TOC1"/>
            <w:rPr>
              <w:rFonts w:asciiTheme="minorHAnsi" w:hAnsiTheme="minorHAnsi"/>
              <w:noProof/>
              <w:sz w:val="22"/>
              <w:szCs w:val="22"/>
              <w:lang w:eastAsia="en-AU"/>
            </w:rPr>
          </w:pPr>
          <w:r w:rsidRPr="00857062">
            <w:rPr>
              <w:rFonts w:cs="Arial"/>
              <w:b/>
              <w:bCs/>
              <w:noProof/>
            </w:rPr>
            <w:fldChar w:fldCharType="begin"/>
          </w:r>
          <w:r w:rsidRPr="00857062">
            <w:rPr>
              <w:rFonts w:cs="Arial"/>
              <w:b/>
              <w:bCs/>
              <w:noProof/>
            </w:rPr>
            <w:instrText xml:space="preserve"> TOC \o "1-3" \h \z \u </w:instrText>
          </w:r>
          <w:r w:rsidRPr="00857062">
            <w:rPr>
              <w:rFonts w:cs="Arial"/>
              <w:b/>
              <w:bCs/>
              <w:noProof/>
            </w:rPr>
            <w:fldChar w:fldCharType="separate"/>
          </w:r>
          <w:hyperlink w:anchor="_Toc134102689" w:history="1">
            <w:r w:rsidR="009375A2" w:rsidRPr="00EC6FA5">
              <w:rPr>
                <w:rStyle w:val="Hyperlink"/>
                <w:noProof/>
              </w:rPr>
              <w:t>Introduction</w:t>
            </w:r>
            <w:r w:rsidR="009375A2">
              <w:rPr>
                <w:noProof/>
                <w:webHidden/>
              </w:rPr>
              <w:tab/>
            </w:r>
            <w:r w:rsidR="009375A2">
              <w:rPr>
                <w:noProof/>
                <w:webHidden/>
              </w:rPr>
              <w:fldChar w:fldCharType="begin"/>
            </w:r>
            <w:r w:rsidR="009375A2">
              <w:rPr>
                <w:noProof/>
                <w:webHidden/>
              </w:rPr>
              <w:instrText xml:space="preserve"> PAGEREF _Toc134102689 \h </w:instrText>
            </w:r>
            <w:r w:rsidR="009375A2">
              <w:rPr>
                <w:noProof/>
                <w:webHidden/>
              </w:rPr>
            </w:r>
            <w:r w:rsidR="009375A2">
              <w:rPr>
                <w:noProof/>
                <w:webHidden/>
              </w:rPr>
              <w:fldChar w:fldCharType="separate"/>
            </w:r>
            <w:r w:rsidR="00591ECD">
              <w:rPr>
                <w:noProof/>
                <w:webHidden/>
              </w:rPr>
              <w:t>2</w:t>
            </w:r>
            <w:r w:rsidR="009375A2">
              <w:rPr>
                <w:noProof/>
                <w:webHidden/>
              </w:rPr>
              <w:fldChar w:fldCharType="end"/>
            </w:r>
          </w:hyperlink>
        </w:p>
        <w:p w14:paraId="41F78B63" w14:textId="27139043" w:rsidR="009375A2" w:rsidRDefault="00380D53">
          <w:pPr>
            <w:pStyle w:val="TOC1"/>
            <w:rPr>
              <w:rFonts w:asciiTheme="minorHAnsi" w:hAnsiTheme="minorHAnsi"/>
              <w:noProof/>
              <w:sz w:val="22"/>
              <w:szCs w:val="22"/>
              <w:lang w:eastAsia="en-AU"/>
            </w:rPr>
          </w:pPr>
          <w:hyperlink w:anchor="_Toc134102690" w:history="1">
            <w:r w:rsidR="009375A2" w:rsidRPr="00EC6FA5">
              <w:rPr>
                <w:rStyle w:val="Hyperlink"/>
                <w:noProof/>
              </w:rPr>
              <w:t>Summary</w:t>
            </w:r>
            <w:r w:rsidR="009375A2">
              <w:rPr>
                <w:noProof/>
                <w:webHidden/>
              </w:rPr>
              <w:tab/>
            </w:r>
            <w:r w:rsidR="009375A2">
              <w:rPr>
                <w:noProof/>
                <w:webHidden/>
              </w:rPr>
              <w:fldChar w:fldCharType="begin"/>
            </w:r>
            <w:r w:rsidR="009375A2">
              <w:rPr>
                <w:noProof/>
                <w:webHidden/>
              </w:rPr>
              <w:instrText xml:space="preserve"> PAGEREF _Toc134102690 \h </w:instrText>
            </w:r>
            <w:r w:rsidR="009375A2">
              <w:rPr>
                <w:noProof/>
                <w:webHidden/>
              </w:rPr>
            </w:r>
            <w:r w:rsidR="009375A2">
              <w:rPr>
                <w:noProof/>
                <w:webHidden/>
              </w:rPr>
              <w:fldChar w:fldCharType="separate"/>
            </w:r>
            <w:r w:rsidR="00591ECD">
              <w:rPr>
                <w:noProof/>
                <w:webHidden/>
              </w:rPr>
              <w:t>3</w:t>
            </w:r>
            <w:r w:rsidR="009375A2">
              <w:rPr>
                <w:noProof/>
                <w:webHidden/>
              </w:rPr>
              <w:fldChar w:fldCharType="end"/>
            </w:r>
          </w:hyperlink>
        </w:p>
        <w:p w14:paraId="50AB1C4C" w14:textId="65D1F26F" w:rsidR="009375A2" w:rsidRDefault="00380D53">
          <w:pPr>
            <w:pStyle w:val="TOC1"/>
            <w:rPr>
              <w:rFonts w:asciiTheme="minorHAnsi" w:hAnsiTheme="minorHAnsi"/>
              <w:noProof/>
              <w:sz w:val="22"/>
              <w:szCs w:val="22"/>
              <w:lang w:eastAsia="en-AU"/>
            </w:rPr>
          </w:pPr>
          <w:hyperlink w:anchor="_Toc134102691" w:history="1">
            <w:r w:rsidR="009375A2" w:rsidRPr="00EC6FA5">
              <w:rPr>
                <w:rStyle w:val="Hyperlink"/>
                <w:noProof/>
              </w:rPr>
              <w:t>Relocation and amendment of serious vilification</w:t>
            </w:r>
            <w:r w:rsidR="009375A2">
              <w:rPr>
                <w:noProof/>
                <w:webHidden/>
              </w:rPr>
              <w:tab/>
            </w:r>
            <w:r w:rsidR="009375A2">
              <w:rPr>
                <w:noProof/>
                <w:webHidden/>
              </w:rPr>
              <w:fldChar w:fldCharType="begin"/>
            </w:r>
            <w:r w:rsidR="009375A2">
              <w:rPr>
                <w:noProof/>
                <w:webHidden/>
              </w:rPr>
              <w:instrText xml:space="preserve"> PAGEREF _Toc134102691 \h </w:instrText>
            </w:r>
            <w:r w:rsidR="009375A2">
              <w:rPr>
                <w:noProof/>
                <w:webHidden/>
              </w:rPr>
            </w:r>
            <w:r w:rsidR="009375A2">
              <w:rPr>
                <w:noProof/>
                <w:webHidden/>
              </w:rPr>
              <w:fldChar w:fldCharType="separate"/>
            </w:r>
            <w:r w:rsidR="00591ECD">
              <w:rPr>
                <w:noProof/>
                <w:webHidden/>
              </w:rPr>
              <w:t>3</w:t>
            </w:r>
            <w:r w:rsidR="009375A2">
              <w:rPr>
                <w:noProof/>
                <w:webHidden/>
              </w:rPr>
              <w:fldChar w:fldCharType="end"/>
            </w:r>
          </w:hyperlink>
        </w:p>
        <w:p w14:paraId="4F696673" w14:textId="5A43EAC8" w:rsidR="009375A2" w:rsidRDefault="00380D53">
          <w:pPr>
            <w:pStyle w:val="TOC1"/>
            <w:rPr>
              <w:rFonts w:asciiTheme="minorHAnsi" w:hAnsiTheme="minorHAnsi"/>
              <w:noProof/>
              <w:sz w:val="22"/>
              <w:szCs w:val="22"/>
              <w:lang w:eastAsia="en-AU"/>
            </w:rPr>
          </w:pPr>
          <w:hyperlink w:anchor="_Toc134102692" w:history="1">
            <w:r w:rsidR="009375A2" w:rsidRPr="00EC6FA5">
              <w:rPr>
                <w:rStyle w:val="Hyperlink"/>
                <w:noProof/>
              </w:rPr>
              <w:t>Public act</w:t>
            </w:r>
            <w:r w:rsidR="009375A2">
              <w:rPr>
                <w:noProof/>
                <w:webHidden/>
              </w:rPr>
              <w:tab/>
            </w:r>
            <w:r w:rsidR="009375A2">
              <w:rPr>
                <w:noProof/>
                <w:webHidden/>
              </w:rPr>
              <w:fldChar w:fldCharType="begin"/>
            </w:r>
            <w:r w:rsidR="009375A2">
              <w:rPr>
                <w:noProof/>
                <w:webHidden/>
              </w:rPr>
              <w:instrText xml:space="preserve"> PAGEREF _Toc134102692 \h </w:instrText>
            </w:r>
            <w:r w:rsidR="009375A2">
              <w:rPr>
                <w:noProof/>
                <w:webHidden/>
              </w:rPr>
            </w:r>
            <w:r w:rsidR="009375A2">
              <w:rPr>
                <w:noProof/>
                <w:webHidden/>
              </w:rPr>
              <w:fldChar w:fldCharType="separate"/>
            </w:r>
            <w:r w:rsidR="00591ECD">
              <w:rPr>
                <w:noProof/>
                <w:webHidden/>
              </w:rPr>
              <w:t>4</w:t>
            </w:r>
            <w:r w:rsidR="009375A2">
              <w:rPr>
                <w:noProof/>
                <w:webHidden/>
              </w:rPr>
              <w:fldChar w:fldCharType="end"/>
            </w:r>
          </w:hyperlink>
        </w:p>
        <w:p w14:paraId="198C37A0" w14:textId="71FF6EFD" w:rsidR="009375A2" w:rsidRDefault="00380D53">
          <w:pPr>
            <w:pStyle w:val="TOC1"/>
            <w:rPr>
              <w:rFonts w:asciiTheme="minorHAnsi" w:hAnsiTheme="minorHAnsi"/>
              <w:noProof/>
              <w:sz w:val="22"/>
              <w:szCs w:val="22"/>
              <w:lang w:eastAsia="en-AU"/>
            </w:rPr>
          </w:pPr>
          <w:hyperlink w:anchor="_Toc134102693" w:history="1">
            <w:r w:rsidR="009375A2" w:rsidRPr="00EC6FA5">
              <w:rPr>
                <w:rStyle w:val="Hyperlink"/>
                <w:noProof/>
              </w:rPr>
              <w:t>Additional ground for vilification and aggravation</w:t>
            </w:r>
            <w:r w:rsidR="009375A2">
              <w:rPr>
                <w:noProof/>
                <w:webHidden/>
              </w:rPr>
              <w:tab/>
            </w:r>
            <w:r w:rsidR="009375A2">
              <w:rPr>
                <w:noProof/>
                <w:webHidden/>
              </w:rPr>
              <w:fldChar w:fldCharType="begin"/>
            </w:r>
            <w:r w:rsidR="009375A2">
              <w:rPr>
                <w:noProof/>
                <w:webHidden/>
              </w:rPr>
              <w:instrText xml:space="preserve"> PAGEREF _Toc134102693 \h </w:instrText>
            </w:r>
            <w:r w:rsidR="009375A2">
              <w:rPr>
                <w:noProof/>
                <w:webHidden/>
              </w:rPr>
            </w:r>
            <w:r w:rsidR="009375A2">
              <w:rPr>
                <w:noProof/>
                <w:webHidden/>
              </w:rPr>
              <w:fldChar w:fldCharType="separate"/>
            </w:r>
            <w:r w:rsidR="00591ECD">
              <w:rPr>
                <w:noProof/>
                <w:webHidden/>
              </w:rPr>
              <w:t>5</w:t>
            </w:r>
            <w:r w:rsidR="009375A2">
              <w:rPr>
                <w:noProof/>
                <w:webHidden/>
              </w:rPr>
              <w:fldChar w:fldCharType="end"/>
            </w:r>
          </w:hyperlink>
        </w:p>
        <w:p w14:paraId="333EB38B" w14:textId="33A5038F" w:rsidR="009375A2" w:rsidRDefault="00380D53">
          <w:pPr>
            <w:pStyle w:val="TOC1"/>
            <w:rPr>
              <w:rFonts w:asciiTheme="minorHAnsi" w:hAnsiTheme="minorHAnsi"/>
              <w:noProof/>
              <w:sz w:val="22"/>
              <w:szCs w:val="22"/>
              <w:lang w:eastAsia="en-AU"/>
            </w:rPr>
          </w:pPr>
          <w:hyperlink w:anchor="_Toc134102694" w:history="1">
            <w:r w:rsidR="009375A2" w:rsidRPr="00EC6FA5">
              <w:rPr>
                <w:rStyle w:val="Hyperlink"/>
                <w:noProof/>
              </w:rPr>
              <w:t>Hate symbols</w:t>
            </w:r>
            <w:r w:rsidR="009375A2">
              <w:rPr>
                <w:noProof/>
                <w:webHidden/>
              </w:rPr>
              <w:tab/>
            </w:r>
            <w:r w:rsidR="009375A2">
              <w:rPr>
                <w:noProof/>
                <w:webHidden/>
              </w:rPr>
              <w:fldChar w:fldCharType="begin"/>
            </w:r>
            <w:r w:rsidR="009375A2">
              <w:rPr>
                <w:noProof/>
                <w:webHidden/>
              </w:rPr>
              <w:instrText xml:space="preserve"> PAGEREF _Toc134102694 \h </w:instrText>
            </w:r>
            <w:r w:rsidR="009375A2">
              <w:rPr>
                <w:noProof/>
                <w:webHidden/>
              </w:rPr>
            </w:r>
            <w:r w:rsidR="009375A2">
              <w:rPr>
                <w:noProof/>
                <w:webHidden/>
              </w:rPr>
              <w:fldChar w:fldCharType="separate"/>
            </w:r>
            <w:r w:rsidR="00591ECD">
              <w:rPr>
                <w:noProof/>
                <w:webHidden/>
              </w:rPr>
              <w:t>8</w:t>
            </w:r>
            <w:r w:rsidR="009375A2">
              <w:rPr>
                <w:noProof/>
                <w:webHidden/>
              </w:rPr>
              <w:fldChar w:fldCharType="end"/>
            </w:r>
          </w:hyperlink>
        </w:p>
        <w:p w14:paraId="077A9ABD" w14:textId="278DD879" w:rsidR="009375A2" w:rsidRDefault="00380D53">
          <w:pPr>
            <w:pStyle w:val="TOC1"/>
            <w:rPr>
              <w:rFonts w:asciiTheme="minorHAnsi" w:hAnsiTheme="minorHAnsi"/>
              <w:noProof/>
              <w:sz w:val="22"/>
              <w:szCs w:val="22"/>
              <w:lang w:eastAsia="en-AU"/>
            </w:rPr>
          </w:pPr>
          <w:hyperlink w:anchor="_Toc134102695" w:history="1">
            <w:r w:rsidR="009375A2" w:rsidRPr="00EC6FA5">
              <w:rPr>
                <w:rStyle w:val="Hyperlink"/>
                <w:noProof/>
              </w:rPr>
              <w:t>Test for aggravation</w:t>
            </w:r>
            <w:r w:rsidR="009375A2">
              <w:rPr>
                <w:noProof/>
                <w:webHidden/>
              </w:rPr>
              <w:tab/>
            </w:r>
            <w:r w:rsidR="009375A2">
              <w:rPr>
                <w:noProof/>
                <w:webHidden/>
              </w:rPr>
              <w:fldChar w:fldCharType="begin"/>
            </w:r>
            <w:r w:rsidR="009375A2">
              <w:rPr>
                <w:noProof/>
                <w:webHidden/>
              </w:rPr>
              <w:instrText xml:space="preserve"> PAGEREF _Toc134102695 \h </w:instrText>
            </w:r>
            <w:r w:rsidR="009375A2">
              <w:rPr>
                <w:noProof/>
                <w:webHidden/>
              </w:rPr>
            </w:r>
            <w:r w:rsidR="009375A2">
              <w:rPr>
                <w:noProof/>
                <w:webHidden/>
              </w:rPr>
              <w:fldChar w:fldCharType="separate"/>
            </w:r>
            <w:r w:rsidR="00591ECD">
              <w:rPr>
                <w:noProof/>
                <w:webHidden/>
              </w:rPr>
              <w:t>9</w:t>
            </w:r>
            <w:r w:rsidR="009375A2">
              <w:rPr>
                <w:noProof/>
                <w:webHidden/>
              </w:rPr>
              <w:fldChar w:fldCharType="end"/>
            </w:r>
          </w:hyperlink>
        </w:p>
        <w:p w14:paraId="058F03D4" w14:textId="7C267A8E" w:rsidR="009375A2" w:rsidRDefault="00380D53">
          <w:pPr>
            <w:pStyle w:val="TOC1"/>
            <w:rPr>
              <w:rFonts w:asciiTheme="minorHAnsi" w:hAnsiTheme="minorHAnsi"/>
              <w:noProof/>
              <w:sz w:val="22"/>
              <w:szCs w:val="22"/>
              <w:lang w:eastAsia="en-AU"/>
            </w:rPr>
          </w:pPr>
          <w:hyperlink w:anchor="_Toc134102696" w:history="1">
            <w:r w:rsidR="009375A2" w:rsidRPr="00EC6FA5">
              <w:rPr>
                <w:rStyle w:val="Hyperlink"/>
                <w:noProof/>
              </w:rPr>
              <w:t>Review of aggravated offences</w:t>
            </w:r>
            <w:r w:rsidR="009375A2">
              <w:rPr>
                <w:noProof/>
                <w:webHidden/>
              </w:rPr>
              <w:tab/>
            </w:r>
            <w:r w:rsidR="009375A2">
              <w:rPr>
                <w:noProof/>
                <w:webHidden/>
              </w:rPr>
              <w:fldChar w:fldCharType="begin"/>
            </w:r>
            <w:r w:rsidR="009375A2">
              <w:rPr>
                <w:noProof/>
                <w:webHidden/>
              </w:rPr>
              <w:instrText xml:space="preserve"> PAGEREF _Toc134102696 \h </w:instrText>
            </w:r>
            <w:r w:rsidR="009375A2">
              <w:rPr>
                <w:noProof/>
                <w:webHidden/>
              </w:rPr>
            </w:r>
            <w:r w:rsidR="009375A2">
              <w:rPr>
                <w:noProof/>
                <w:webHidden/>
              </w:rPr>
              <w:fldChar w:fldCharType="separate"/>
            </w:r>
            <w:r w:rsidR="00591ECD">
              <w:rPr>
                <w:noProof/>
                <w:webHidden/>
              </w:rPr>
              <w:t>10</w:t>
            </w:r>
            <w:r w:rsidR="009375A2">
              <w:rPr>
                <w:noProof/>
                <w:webHidden/>
              </w:rPr>
              <w:fldChar w:fldCharType="end"/>
            </w:r>
          </w:hyperlink>
        </w:p>
        <w:p w14:paraId="5A929436" w14:textId="75FAA5EB" w:rsidR="009375A2" w:rsidRDefault="00380D53">
          <w:pPr>
            <w:pStyle w:val="TOC1"/>
            <w:rPr>
              <w:rFonts w:asciiTheme="minorHAnsi" w:hAnsiTheme="minorHAnsi"/>
              <w:noProof/>
              <w:sz w:val="22"/>
              <w:szCs w:val="22"/>
              <w:lang w:eastAsia="en-AU"/>
            </w:rPr>
          </w:pPr>
          <w:hyperlink w:anchor="_Toc134102697" w:history="1">
            <w:r w:rsidR="009375A2" w:rsidRPr="00EC6FA5">
              <w:rPr>
                <w:rStyle w:val="Hyperlink"/>
                <w:noProof/>
              </w:rPr>
              <w:t>Exclude aggravated offensive behaviour towards police</w:t>
            </w:r>
            <w:r w:rsidR="009375A2">
              <w:rPr>
                <w:noProof/>
                <w:webHidden/>
              </w:rPr>
              <w:tab/>
            </w:r>
            <w:r w:rsidR="009375A2">
              <w:rPr>
                <w:noProof/>
                <w:webHidden/>
              </w:rPr>
              <w:fldChar w:fldCharType="begin"/>
            </w:r>
            <w:r w:rsidR="009375A2">
              <w:rPr>
                <w:noProof/>
                <w:webHidden/>
              </w:rPr>
              <w:instrText xml:space="preserve"> PAGEREF _Toc134102697 \h </w:instrText>
            </w:r>
            <w:r w:rsidR="009375A2">
              <w:rPr>
                <w:noProof/>
                <w:webHidden/>
              </w:rPr>
            </w:r>
            <w:r w:rsidR="009375A2">
              <w:rPr>
                <w:noProof/>
                <w:webHidden/>
              </w:rPr>
              <w:fldChar w:fldCharType="separate"/>
            </w:r>
            <w:r w:rsidR="00591ECD">
              <w:rPr>
                <w:noProof/>
                <w:webHidden/>
              </w:rPr>
              <w:t>12</w:t>
            </w:r>
            <w:r w:rsidR="009375A2">
              <w:rPr>
                <w:noProof/>
                <w:webHidden/>
              </w:rPr>
              <w:fldChar w:fldCharType="end"/>
            </w:r>
          </w:hyperlink>
        </w:p>
        <w:p w14:paraId="444CBE4C" w14:textId="6C84601D" w:rsidR="009375A2" w:rsidRDefault="00380D53">
          <w:pPr>
            <w:pStyle w:val="TOC1"/>
            <w:rPr>
              <w:rFonts w:asciiTheme="minorHAnsi" w:hAnsiTheme="minorHAnsi"/>
              <w:noProof/>
              <w:sz w:val="22"/>
              <w:szCs w:val="22"/>
              <w:lang w:eastAsia="en-AU"/>
            </w:rPr>
          </w:pPr>
          <w:hyperlink w:anchor="_Toc134102698" w:history="1">
            <w:r w:rsidR="009375A2" w:rsidRPr="00EC6FA5">
              <w:rPr>
                <w:rStyle w:val="Hyperlink"/>
                <w:noProof/>
              </w:rPr>
              <w:t>Human rights</w:t>
            </w:r>
            <w:r w:rsidR="009375A2">
              <w:rPr>
                <w:noProof/>
                <w:webHidden/>
              </w:rPr>
              <w:tab/>
            </w:r>
            <w:r w:rsidR="009375A2">
              <w:rPr>
                <w:noProof/>
                <w:webHidden/>
              </w:rPr>
              <w:fldChar w:fldCharType="begin"/>
            </w:r>
            <w:r w:rsidR="009375A2">
              <w:rPr>
                <w:noProof/>
                <w:webHidden/>
              </w:rPr>
              <w:instrText xml:space="preserve"> PAGEREF _Toc134102698 \h </w:instrText>
            </w:r>
            <w:r w:rsidR="009375A2">
              <w:rPr>
                <w:noProof/>
                <w:webHidden/>
              </w:rPr>
            </w:r>
            <w:r w:rsidR="009375A2">
              <w:rPr>
                <w:noProof/>
                <w:webHidden/>
              </w:rPr>
              <w:fldChar w:fldCharType="separate"/>
            </w:r>
            <w:r w:rsidR="00591ECD">
              <w:rPr>
                <w:noProof/>
                <w:webHidden/>
              </w:rPr>
              <w:t>12</w:t>
            </w:r>
            <w:r w:rsidR="009375A2">
              <w:rPr>
                <w:noProof/>
                <w:webHidden/>
              </w:rPr>
              <w:fldChar w:fldCharType="end"/>
            </w:r>
          </w:hyperlink>
        </w:p>
        <w:p w14:paraId="4F2D4BEA" w14:textId="0E5ECA23" w:rsidR="009375A2" w:rsidRDefault="00380D53">
          <w:pPr>
            <w:pStyle w:val="TOC1"/>
            <w:rPr>
              <w:rFonts w:asciiTheme="minorHAnsi" w:hAnsiTheme="minorHAnsi"/>
              <w:noProof/>
              <w:sz w:val="22"/>
              <w:szCs w:val="22"/>
              <w:lang w:eastAsia="en-AU"/>
            </w:rPr>
          </w:pPr>
          <w:hyperlink w:anchor="_Toc134102699" w:history="1">
            <w:r w:rsidR="009375A2" w:rsidRPr="00EC6FA5">
              <w:rPr>
                <w:rStyle w:val="Hyperlink"/>
                <w:noProof/>
              </w:rPr>
              <w:t>Conclusion</w:t>
            </w:r>
            <w:r w:rsidR="009375A2">
              <w:rPr>
                <w:noProof/>
                <w:webHidden/>
              </w:rPr>
              <w:tab/>
            </w:r>
            <w:r w:rsidR="009375A2">
              <w:rPr>
                <w:noProof/>
                <w:webHidden/>
              </w:rPr>
              <w:fldChar w:fldCharType="begin"/>
            </w:r>
            <w:r w:rsidR="009375A2">
              <w:rPr>
                <w:noProof/>
                <w:webHidden/>
              </w:rPr>
              <w:instrText xml:space="preserve"> PAGEREF _Toc134102699 \h </w:instrText>
            </w:r>
            <w:r w:rsidR="009375A2">
              <w:rPr>
                <w:noProof/>
                <w:webHidden/>
              </w:rPr>
            </w:r>
            <w:r w:rsidR="009375A2">
              <w:rPr>
                <w:noProof/>
                <w:webHidden/>
              </w:rPr>
              <w:fldChar w:fldCharType="separate"/>
            </w:r>
            <w:r w:rsidR="00591ECD">
              <w:rPr>
                <w:noProof/>
                <w:webHidden/>
              </w:rPr>
              <w:t>15</w:t>
            </w:r>
            <w:r w:rsidR="009375A2">
              <w:rPr>
                <w:noProof/>
                <w:webHidden/>
              </w:rPr>
              <w:fldChar w:fldCharType="end"/>
            </w:r>
          </w:hyperlink>
        </w:p>
        <w:p w14:paraId="3D3F6708" w14:textId="545718CC" w:rsidR="00A16356" w:rsidRPr="00041E58" w:rsidRDefault="00A16356" w:rsidP="0022037D">
          <w:pPr>
            <w:spacing w:before="120" w:after="120"/>
            <w:rPr>
              <w:rFonts w:cs="Arial"/>
            </w:rPr>
          </w:pPr>
          <w:r w:rsidRPr="00857062">
            <w:rPr>
              <w:rFonts w:cs="Arial"/>
              <w:b/>
              <w:bCs/>
              <w:noProof/>
            </w:rPr>
            <w:fldChar w:fldCharType="end"/>
          </w:r>
        </w:p>
      </w:sdtContent>
    </w:sdt>
    <w:p w14:paraId="44607B91" w14:textId="77777777" w:rsidR="004A2375" w:rsidRDefault="004A2375">
      <w:pPr>
        <w:rPr>
          <w:rFonts w:eastAsiaTheme="majorEastAsia" w:cstheme="majorBidi"/>
          <w:b/>
          <w:color w:val="365F91" w:themeColor="accent1" w:themeShade="BF"/>
          <w:sz w:val="28"/>
          <w:szCs w:val="32"/>
        </w:rPr>
        <w:sectPr w:rsidR="004A2375" w:rsidSect="006C75BC">
          <w:footerReference w:type="default" r:id="rId9"/>
          <w:headerReference w:type="first" r:id="rId10"/>
          <w:pgSz w:w="11900" w:h="16840" w:code="9"/>
          <w:pgMar w:top="993" w:right="1797" w:bottom="1440" w:left="1797" w:header="709" w:footer="709" w:gutter="0"/>
          <w:pgNumType w:start="0"/>
          <w:cols w:space="708"/>
          <w:titlePg/>
          <w:docGrid w:linePitch="360"/>
        </w:sectPr>
      </w:pPr>
    </w:p>
    <w:p w14:paraId="44714577" w14:textId="7139B451" w:rsidR="00B82CE9" w:rsidRDefault="00575A2B" w:rsidP="005A1137">
      <w:pPr>
        <w:pStyle w:val="Heading1"/>
        <w:pageBreakBefore/>
        <w:spacing w:before="0"/>
      </w:pPr>
      <w:bookmarkStart w:id="0" w:name="_Toc134102689"/>
      <w:r>
        <w:lastRenderedPageBreak/>
        <w:t>Introduction</w:t>
      </w:r>
      <w:bookmarkEnd w:id="0"/>
    </w:p>
    <w:p w14:paraId="4882AD43" w14:textId="6EEC22DB" w:rsidR="00303936" w:rsidRPr="00CF4439" w:rsidRDefault="00C07E20" w:rsidP="00810D74">
      <w:pPr>
        <w:pStyle w:val="ListParagraph"/>
        <w:numPr>
          <w:ilvl w:val="0"/>
          <w:numId w:val="4"/>
        </w:numPr>
        <w:spacing w:before="120" w:after="240" w:line="276" w:lineRule="auto"/>
        <w:ind w:left="567" w:hanging="567"/>
        <w:contextualSpacing w:val="0"/>
        <w:rPr>
          <w:rFonts w:cs="Arial"/>
          <w:sz w:val="22"/>
          <w:szCs w:val="22"/>
        </w:rPr>
      </w:pPr>
      <w:r w:rsidRPr="00CF4439">
        <w:rPr>
          <w:rFonts w:cs="Arial"/>
          <w:sz w:val="22"/>
          <w:szCs w:val="22"/>
        </w:rPr>
        <w:t xml:space="preserve">The Commission </w:t>
      </w:r>
      <w:r w:rsidR="00303936" w:rsidRPr="00CF4439">
        <w:rPr>
          <w:rFonts w:cs="Arial"/>
          <w:sz w:val="22"/>
          <w:szCs w:val="22"/>
        </w:rPr>
        <w:t xml:space="preserve">is a statutory authority established under the Queensland </w:t>
      </w:r>
      <w:r w:rsidR="00303936" w:rsidRPr="00CF4439">
        <w:rPr>
          <w:rFonts w:cs="Arial"/>
          <w:i/>
          <w:sz w:val="22"/>
          <w:szCs w:val="22"/>
        </w:rPr>
        <w:t>Anti-Discrimination Act 1991</w:t>
      </w:r>
      <w:r w:rsidR="00407CE3" w:rsidRPr="00CF4439">
        <w:rPr>
          <w:rFonts w:cs="Arial"/>
          <w:i/>
          <w:sz w:val="22"/>
          <w:szCs w:val="22"/>
        </w:rPr>
        <w:t>.</w:t>
      </w:r>
    </w:p>
    <w:p w14:paraId="12AC05C7" w14:textId="77777777" w:rsidR="00592493" w:rsidRPr="00CF4439" w:rsidRDefault="00303936" w:rsidP="00810D74">
      <w:pPr>
        <w:pStyle w:val="ListParagraph"/>
        <w:numPr>
          <w:ilvl w:val="0"/>
          <w:numId w:val="4"/>
        </w:numPr>
        <w:spacing w:before="120" w:after="240" w:line="276" w:lineRule="auto"/>
        <w:ind w:left="567" w:hanging="567"/>
        <w:contextualSpacing w:val="0"/>
        <w:rPr>
          <w:rFonts w:cs="Arial"/>
          <w:sz w:val="22"/>
          <w:szCs w:val="22"/>
        </w:rPr>
      </w:pPr>
      <w:r w:rsidRPr="00CF4439">
        <w:rPr>
          <w:rFonts w:cs="Arial"/>
          <w:color w:val="000000"/>
          <w:sz w:val="22"/>
          <w:szCs w:val="22"/>
        </w:rPr>
        <w:t xml:space="preserve">The </w:t>
      </w:r>
      <w:r w:rsidRPr="00CF4439">
        <w:rPr>
          <w:rFonts w:cs="Arial"/>
          <w:sz w:val="22"/>
          <w:szCs w:val="22"/>
        </w:rPr>
        <w:t>Commission</w:t>
      </w:r>
      <w:r w:rsidRPr="00CF4439">
        <w:rPr>
          <w:rFonts w:cs="Arial"/>
          <w:color w:val="000000"/>
          <w:sz w:val="22"/>
          <w:szCs w:val="22"/>
        </w:rPr>
        <w:t xml:space="preserve"> has </w:t>
      </w:r>
      <w:r w:rsidR="00BC2D69" w:rsidRPr="00CF4439">
        <w:rPr>
          <w:rFonts w:cs="Arial"/>
          <w:color w:val="000000"/>
          <w:sz w:val="22"/>
          <w:szCs w:val="22"/>
        </w:rPr>
        <w:t xml:space="preserve">functions under the </w:t>
      </w:r>
      <w:r w:rsidR="00BC2D69" w:rsidRPr="00CF4439">
        <w:rPr>
          <w:rFonts w:cs="Arial"/>
          <w:sz w:val="22"/>
          <w:szCs w:val="22"/>
        </w:rPr>
        <w:t xml:space="preserve">Queensland </w:t>
      </w:r>
      <w:r w:rsidR="00BC2D69" w:rsidRPr="00CF4439">
        <w:rPr>
          <w:rFonts w:cs="Arial"/>
          <w:i/>
          <w:sz w:val="22"/>
          <w:szCs w:val="22"/>
        </w:rPr>
        <w:t>Anti-Discrimination Act 1991</w:t>
      </w:r>
      <w:r w:rsidR="005957A9" w:rsidRPr="00CF4439">
        <w:rPr>
          <w:rFonts w:cs="Arial"/>
          <w:sz w:val="22"/>
          <w:szCs w:val="22"/>
        </w:rPr>
        <w:t xml:space="preserve"> and</w:t>
      </w:r>
      <w:r w:rsidR="00BC2D69" w:rsidRPr="00CF4439">
        <w:rPr>
          <w:rFonts w:cs="Arial"/>
          <w:sz w:val="22"/>
          <w:szCs w:val="22"/>
        </w:rPr>
        <w:t xml:space="preserve"> the </w:t>
      </w:r>
      <w:r w:rsidR="00BC2D69" w:rsidRPr="00CF4439">
        <w:rPr>
          <w:rFonts w:cs="Arial"/>
          <w:i/>
          <w:sz w:val="22"/>
          <w:szCs w:val="22"/>
        </w:rPr>
        <w:t xml:space="preserve">Human Rights Act 2019 </w:t>
      </w:r>
      <w:r w:rsidR="00BC2D69" w:rsidRPr="00CF4439">
        <w:rPr>
          <w:rFonts w:cs="Arial"/>
          <w:sz w:val="22"/>
          <w:szCs w:val="22"/>
        </w:rPr>
        <w:t xml:space="preserve">to </w:t>
      </w:r>
      <w:r w:rsidR="00BC2D69" w:rsidRPr="00CF4439">
        <w:rPr>
          <w:rFonts w:cs="Arial"/>
          <w:color w:val="000000"/>
          <w:sz w:val="22"/>
          <w:szCs w:val="22"/>
        </w:rPr>
        <w:t>promote</w:t>
      </w:r>
      <w:r w:rsidRPr="00CF4439">
        <w:rPr>
          <w:rFonts w:cs="Arial"/>
          <w:color w:val="000000"/>
          <w:sz w:val="22"/>
          <w:szCs w:val="22"/>
        </w:rPr>
        <w:t xml:space="preserve"> an understanding</w:t>
      </w:r>
      <w:r w:rsidR="00BC2D69" w:rsidRPr="00CF4439">
        <w:rPr>
          <w:rFonts w:cs="Arial"/>
          <w:color w:val="000000"/>
          <w:sz w:val="22"/>
          <w:szCs w:val="22"/>
        </w:rPr>
        <w:t xml:space="preserve"> </w:t>
      </w:r>
      <w:r w:rsidRPr="00CF4439">
        <w:rPr>
          <w:rFonts w:cs="Arial"/>
          <w:color w:val="000000"/>
          <w:sz w:val="22"/>
          <w:szCs w:val="22"/>
        </w:rPr>
        <w:t xml:space="preserve">and public discussion of human rights in Queensland, and </w:t>
      </w:r>
      <w:r w:rsidR="00BC2D69" w:rsidRPr="00CF4439">
        <w:rPr>
          <w:rFonts w:cs="Arial"/>
          <w:color w:val="000000"/>
          <w:sz w:val="22"/>
          <w:szCs w:val="22"/>
        </w:rPr>
        <w:t xml:space="preserve">to provide information and education about human rights.  </w:t>
      </w:r>
    </w:p>
    <w:p w14:paraId="583DC4AC" w14:textId="6C3540AE" w:rsidR="00303936" w:rsidRPr="00CF4439" w:rsidRDefault="00BC2D69" w:rsidP="00810D74">
      <w:pPr>
        <w:pStyle w:val="ListParagraph"/>
        <w:numPr>
          <w:ilvl w:val="0"/>
          <w:numId w:val="4"/>
        </w:numPr>
        <w:spacing w:before="120" w:after="240" w:line="276" w:lineRule="auto"/>
        <w:ind w:left="567" w:hanging="567"/>
        <w:contextualSpacing w:val="0"/>
        <w:rPr>
          <w:rFonts w:cs="Arial"/>
          <w:sz w:val="22"/>
          <w:szCs w:val="22"/>
        </w:rPr>
      </w:pPr>
      <w:r w:rsidRPr="00CF4439">
        <w:rPr>
          <w:rFonts w:cs="Arial"/>
          <w:color w:val="000000"/>
          <w:sz w:val="22"/>
          <w:szCs w:val="22"/>
        </w:rPr>
        <w:t xml:space="preserve">The Commission also deals with complaints of discrimination, vilification and other objectionable conduct under the </w:t>
      </w:r>
      <w:r w:rsidRPr="00CF4439">
        <w:rPr>
          <w:rFonts w:cs="Arial"/>
          <w:i/>
          <w:sz w:val="22"/>
          <w:szCs w:val="22"/>
        </w:rPr>
        <w:t>Anti-Discrimination Act 1991</w:t>
      </w:r>
      <w:r w:rsidR="00BB0330" w:rsidRPr="00CF4439">
        <w:rPr>
          <w:rFonts w:cs="Arial"/>
          <w:i/>
          <w:sz w:val="22"/>
          <w:szCs w:val="22"/>
        </w:rPr>
        <w:t>,</w:t>
      </w:r>
      <w:r w:rsidR="00592493" w:rsidRPr="00CF4439">
        <w:rPr>
          <w:rFonts w:cs="Arial"/>
          <w:i/>
          <w:sz w:val="22"/>
          <w:szCs w:val="22"/>
        </w:rPr>
        <w:t xml:space="preserve"> </w:t>
      </w:r>
      <w:r w:rsidRPr="00CF4439">
        <w:rPr>
          <w:rFonts w:cs="Arial"/>
          <w:sz w:val="22"/>
          <w:szCs w:val="22"/>
        </w:rPr>
        <w:t xml:space="preserve">reprisal under the </w:t>
      </w:r>
      <w:r w:rsidRPr="00CF4439">
        <w:rPr>
          <w:rFonts w:cs="Arial"/>
          <w:i/>
          <w:sz w:val="22"/>
          <w:szCs w:val="22"/>
        </w:rPr>
        <w:t>Public Interest Disclosure Act 2009</w:t>
      </w:r>
      <w:r w:rsidRPr="00CF4439">
        <w:rPr>
          <w:rFonts w:cs="Arial"/>
          <w:sz w:val="22"/>
          <w:szCs w:val="22"/>
        </w:rPr>
        <w:t xml:space="preserve">, and human rights </w:t>
      </w:r>
      <w:r w:rsidR="00592493" w:rsidRPr="00CF4439">
        <w:rPr>
          <w:rFonts w:cs="Arial"/>
          <w:sz w:val="22"/>
          <w:szCs w:val="22"/>
        </w:rPr>
        <w:t xml:space="preserve">complaints </w:t>
      </w:r>
      <w:r w:rsidRPr="00CF4439">
        <w:rPr>
          <w:rFonts w:cs="Arial"/>
          <w:sz w:val="22"/>
          <w:szCs w:val="22"/>
        </w:rPr>
        <w:t xml:space="preserve">under the </w:t>
      </w:r>
      <w:r w:rsidRPr="00CF4439">
        <w:rPr>
          <w:rFonts w:cs="Arial"/>
          <w:i/>
          <w:sz w:val="22"/>
          <w:szCs w:val="22"/>
        </w:rPr>
        <w:t>Human Rights Act 2019.</w:t>
      </w:r>
    </w:p>
    <w:p w14:paraId="68A157F9" w14:textId="74EC19A6" w:rsidR="00BC2D69" w:rsidRPr="00CF4439" w:rsidRDefault="00303936" w:rsidP="00810D74">
      <w:pPr>
        <w:pStyle w:val="ListParagraph"/>
        <w:numPr>
          <w:ilvl w:val="0"/>
          <w:numId w:val="4"/>
        </w:numPr>
        <w:spacing w:before="120" w:after="240" w:line="276" w:lineRule="auto"/>
        <w:ind w:left="567" w:hanging="567"/>
        <w:contextualSpacing w:val="0"/>
        <w:rPr>
          <w:rFonts w:cs="Arial"/>
          <w:sz w:val="22"/>
          <w:szCs w:val="22"/>
        </w:rPr>
      </w:pPr>
      <w:r w:rsidRPr="00CF4439">
        <w:rPr>
          <w:rFonts w:cs="Arial"/>
          <w:sz w:val="22"/>
          <w:szCs w:val="22"/>
        </w:rPr>
        <w:t xml:space="preserve">The </w:t>
      </w:r>
      <w:r w:rsidRPr="00CF4439">
        <w:rPr>
          <w:rFonts w:cs="Arial"/>
          <w:i/>
          <w:sz w:val="22"/>
          <w:szCs w:val="22"/>
        </w:rPr>
        <w:t>Anti-Discrimination Act 1991</w:t>
      </w:r>
      <w:r w:rsidRPr="00CF4439">
        <w:rPr>
          <w:rFonts w:cs="Arial"/>
          <w:sz w:val="22"/>
          <w:szCs w:val="22"/>
        </w:rPr>
        <w:t xml:space="preserve"> prohibits </w:t>
      </w:r>
      <w:r w:rsidR="00BC2D69" w:rsidRPr="00CF4439">
        <w:rPr>
          <w:rFonts w:cs="Arial"/>
          <w:sz w:val="22"/>
          <w:szCs w:val="22"/>
        </w:rPr>
        <w:t>v</w:t>
      </w:r>
      <w:r w:rsidRPr="00CF4439">
        <w:rPr>
          <w:rFonts w:cs="Arial"/>
          <w:sz w:val="22"/>
          <w:szCs w:val="22"/>
        </w:rPr>
        <w:t xml:space="preserve">ilification on the grounds of </w:t>
      </w:r>
      <w:r w:rsidR="00BC2D69" w:rsidRPr="00CF4439">
        <w:rPr>
          <w:rFonts w:cs="Arial"/>
          <w:sz w:val="22"/>
          <w:szCs w:val="22"/>
        </w:rPr>
        <w:t xml:space="preserve">race, </w:t>
      </w:r>
      <w:r w:rsidRPr="00CF4439">
        <w:rPr>
          <w:rFonts w:cs="Arial"/>
          <w:sz w:val="22"/>
          <w:szCs w:val="22"/>
        </w:rPr>
        <w:t>religion</w:t>
      </w:r>
      <w:r w:rsidR="00BC2D69" w:rsidRPr="00CF4439">
        <w:rPr>
          <w:rFonts w:cs="Arial"/>
          <w:sz w:val="22"/>
          <w:szCs w:val="22"/>
        </w:rPr>
        <w:t>, sexuality and gender identity</w:t>
      </w:r>
      <w:r w:rsidRPr="00CF4439">
        <w:rPr>
          <w:rFonts w:cs="Arial"/>
          <w:sz w:val="22"/>
          <w:szCs w:val="22"/>
        </w:rPr>
        <w:t>.</w:t>
      </w:r>
      <w:r w:rsidR="00BC2D69" w:rsidRPr="00CF4439">
        <w:rPr>
          <w:rFonts w:cs="Arial"/>
          <w:sz w:val="22"/>
          <w:szCs w:val="22"/>
        </w:rPr>
        <w:t xml:space="preserve">  It also </w:t>
      </w:r>
      <w:r w:rsidR="00242936" w:rsidRPr="00CF4439">
        <w:rPr>
          <w:rFonts w:cs="Arial"/>
          <w:sz w:val="22"/>
          <w:szCs w:val="22"/>
        </w:rPr>
        <w:t xml:space="preserve">currently </w:t>
      </w:r>
      <w:r w:rsidR="00BC2D69" w:rsidRPr="00CF4439">
        <w:rPr>
          <w:rFonts w:cs="Arial"/>
          <w:sz w:val="22"/>
          <w:szCs w:val="22"/>
        </w:rPr>
        <w:t>provides for a criminal offence of serious vilification.</w:t>
      </w:r>
    </w:p>
    <w:p w14:paraId="54AED273" w14:textId="2043C1DE" w:rsidR="00303936" w:rsidRDefault="00D86187" w:rsidP="00294A68">
      <w:pPr>
        <w:pStyle w:val="ListParagraph"/>
        <w:numPr>
          <w:ilvl w:val="0"/>
          <w:numId w:val="4"/>
        </w:numPr>
        <w:spacing w:before="120" w:after="240" w:line="276" w:lineRule="auto"/>
        <w:ind w:left="567" w:hanging="567"/>
        <w:contextualSpacing w:val="0"/>
        <w:rPr>
          <w:rFonts w:cs="Arial"/>
          <w:sz w:val="22"/>
          <w:szCs w:val="22"/>
        </w:rPr>
      </w:pPr>
      <w:r w:rsidRPr="00CF4439">
        <w:rPr>
          <w:rFonts w:cs="Arial"/>
          <w:sz w:val="22"/>
          <w:szCs w:val="22"/>
        </w:rPr>
        <w:t xml:space="preserve">In 2020, </w:t>
      </w:r>
      <w:r w:rsidR="00294A68" w:rsidRPr="00CF4439">
        <w:rPr>
          <w:rFonts w:cs="Arial"/>
          <w:sz w:val="22"/>
          <w:szCs w:val="22"/>
        </w:rPr>
        <w:t xml:space="preserve">the Commission </w:t>
      </w:r>
      <w:r w:rsidRPr="00CF4439">
        <w:rPr>
          <w:rFonts w:cs="Arial"/>
          <w:sz w:val="22"/>
          <w:szCs w:val="22"/>
        </w:rPr>
        <w:t>facilitat</w:t>
      </w:r>
      <w:r w:rsidR="00294A68" w:rsidRPr="00CF4439">
        <w:rPr>
          <w:rFonts w:cs="Arial"/>
          <w:sz w:val="22"/>
          <w:szCs w:val="22"/>
        </w:rPr>
        <w:t>ed</w:t>
      </w:r>
      <w:r w:rsidRPr="00CF4439">
        <w:rPr>
          <w:rFonts w:cs="Arial"/>
          <w:sz w:val="22"/>
          <w:szCs w:val="22"/>
        </w:rPr>
        <w:t xml:space="preserve"> t</w:t>
      </w:r>
      <w:r w:rsidR="00592493" w:rsidRPr="00CF4439">
        <w:rPr>
          <w:rFonts w:cs="Arial"/>
          <w:sz w:val="22"/>
          <w:szCs w:val="22"/>
        </w:rPr>
        <w:t>he development and advocacy of th</w:t>
      </w:r>
      <w:r w:rsidR="00773792" w:rsidRPr="00CF4439">
        <w:rPr>
          <w:rFonts w:cs="Arial"/>
          <w:sz w:val="22"/>
          <w:szCs w:val="22"/>
        </w:rPr>
        <w:t>e</w:t>
      </w:r>
      <w:r w:rsidRPr="00CF4439">
        <w:rPr>
          <w:rFonts w:cs="Arial"/>
          <w:sz w:val="22"/>
          <w:szCs w:val="22"/>
        </w:rPr>
        <w:t xml:space="preserve"> community representative group, the Cohesive Communities Coalition.</w:t>
      </w:r>
      <w:r w:rsidR="00294A68" w:rsidRPr="00CF4439">
        <w:rPr>
          <w:rFonts w:cs="Arial"/>
          <w:sz w:val="22"/>
          <w:szCs w:val="22"/>
        </w:rPr>
        <w:t xml:space="preserve">  Th</w:t>
      </w:r>
      <w:r w:rsidR="00CF4439">
        <w:rPr>
          <w:rFonts w:cs="Arial"/>
          <w:sz w:val="22"/>
          <w:szCs w:val="22"/>
        </w:rPr>
        <w:t xml:space="preserve">e Coalition developed </w:t>
      </w:r>
      <w:r w:rsidR="00294A68" w:rsidRPr="00CF4439">
        <w:rPr>
          <w:rFonts w:cs="Arial"/>
          <w:sz w:val="22"/>
          <w:szCs w:val="22"/>
        </w:rPr>
        <w:t xml:space="preserve">an Options Paper </w:t>
      </w:r>
      <w:r w:rsidR="00CF4439">
        <w:rPr>
          <w:rFonts w:cs="Arial"/>
          <w:sz w:val="22"/>
          <w:szCs w:val="22"/>
        </w:rPr>
        <w:t>that led to</w:t>
      </w:r>
      <w:r w:rsidR="00294A68" w:rsidRPr="00CF4439">
        <w:rPr>
          <w:rFonts w:cs="Arial"/>
          <w:sz w:val="22"/>
          <w:szCs w:val="22"/>
        </w:rPr>
        <w:t xml:space="preserve"> the inquiry by this Committee into serious vilification and hate crimes</w:t>
      </w:r>
      <w:r w:rsidR="00735379">
        <w:rPr>
          <w:rFonts w:cs="Arial"/>
          <w:sz w:val="22"/>
          <w:szCs w:val="22"/>
        </w:rPr>
        <w:t xml:space="preserve"> (the </w:t>
      </w:r>
      <w:r w:rsidR="00735379" w:rsidRPr="00735379">
        <w:rPr>
          <w:rFonts w:cs="Arial"/>
          <w:b/>
          <w:bCs/>
          <w:sz w:val="22"/>
          <w:szCs w:val="22"/>
        </w:rPr>
        <w:t>Inquiry</w:t>
      </w:r>
      <w:r w:rsidR="00735379">
        <w:rPr>
          <w:rFonts w:cs="Arial"/>
          <w:sz w:val="22"/>
          <w:szCs w:val="22"/>
        </w:rPr>
        <w:t>)</w:t>
      </w:r>
      <w:r w:rsidR="00294A68" w:rsidRPr="00CF4439">
        <w:rPr>
          <w:rFonts w:cs="Arial"/>
          <w:sz w:val="22"/>
          <w:szCs w:val="22"/>
        </w:rPr>
        <w:t>.</w:t>
      </w:r>
      <w:r w:rsidR="00242936" w:rsidRPr="00CF4439">
        <w:rPr>
          <w:rFonts w:cs="Arial"/>
          <w:sz w:val="22"/>
          <w:szCs w:val="22"/>
        </w:rPr>
        <w:t xml:space="preserve">  The Commission provided the Committee with a briefing, a comprehensive submission to the </w:t>
      </w:r>
      <w:r w:rsidR="00735379">
        <w:rPr>
          <w:rFonts w:cs="Arial"/>
          <w:sz w:val="22"/>
          <w:szCs w:val="22"/>
        </w:rPr>
        <w:t>I</w:t>
      </w:r>
      <w:r w:rsidR="00242936" w:rsidRPr="00CF4439">
        <w:rPr>
          <w:rFonts w:cs="Arial"/>
          <w:sz w:val="22"/>
          <w:szCs w:val="22"/>
        </w:rPr>
        <w:t xml:space="preserve">nquiry, evidence at a public hearing, and </w:t>
      </w:r>
      <w:r w:rsidR="00735379">
        <w:rPr>
          <w:rFonts w:cs="Arial"/>
          <w:sz w:val="22"/>
          <w:szCs w:val="22"/>
        </w:rPr>
        <w:t xml:space="preserve">a </w:t>
      </w:r>
      <w:r w:rsidR="00242936" w:rsidRPr="00CF4439">
        <w:rPr>
          <w:rFonts w:cs="Arial"/>
          <w:sz w:val="22"/>
          <w:szCs w:val="22"/>
        </w:rPr>
        <w:t>supplementary submission.</w:t>
      </w:r>
    </w:p>
    <w:p w14:paraId="7AF49C0E" w14:textId="2496BB68" w:rsidR="00D41C6B" w:rsidRDefault="00D41C6B" w:rsidP="00294A68">
      <w:pPr>
        <w:pStyle w:val="ListParagraph"/>
        <w:numPr>
          <w:ilvl w:val="0"/>
          <w:numId w:val="4"/>
        </w:numPr>
        <w:spacing w:before="120" w:after="240" w:line="276" w:lineRule="auto"/>
        <w:ind w:left="567" w:hanging="567"/>
        <w:contextualSpacing w:val="0"/>
        <w:rPr>
          <w:rFonts w:cs="Arial"/>
          <w:sz w:val="22"/>
          <w:szCs w:val="22"/>
        </w:rPr>
      </w:pPr>
      <w:r>
        <w:rPr>
          <w:rFonts w:cs="Arial"/>
          <w:sz w:val="22"/>
          <w:szCs w:val="22"/>
        </w:rPr>
        <w:t xml:space="preserve">The Criminal Code (Serious Vilification and Hate Crimes) and Other Legislation Amendment Bill 2023 (the </w:t>
      </w:r>
      <w:r w:rsidRPr="00D41C6B">
        <w:rPr>
          <w:rFonts w:cs="Arial"/>
          <w:b/>
          <w:bCs/>
          <w:sz w:val="22"/>
          <w:szCs w:val="22"/>
        </w:rPr>
        <w:t>Bill</w:t>
      </w:r>
      <w:r>
        <w:rPr>
          <w:rFonts w:cs="Arial"/>
          <w:sz w:val="22"/>
          <w:szCs w:val="22"/>
        </w:rPr>
        <w:t xml:space="preserve">) would implement some of the </w:t>
      </w:r>
      <w:r w:rsidR="00836796">
        <w:rPr>
          <w:rFonts w:cs="Arial"/>
          <w:sz w:val="22"/>
          <w:szCs w:val="22"/>
        </w:rPr>
        <w:t xml:space="preserve">Committee’s </w:t>
      </w:r>
      <w:r>
        <w:rPr>
          <w:rFonts w:cs="Arial"/>
          <w:sz w:val="22"/>
          <w:szCs w:val="22"/>
        </w:rPr>
        <w:t xml:space="preserve">recommendations from the </w:t>
      </w:r>
      <w:r w:rsidR="00735379">
        <w:rPr>
          <w:rFonts w:cs="Arial"/>
          <w:sz w:val="22"/>
          <w:szCs w:val="22"/>
        </w:rPr>
        <w:t>I</w:t>
      </w:r>
      <w:r>
        <w:rPr>
          <w:rFonts w:cs="Arial"/>
          <w:sz w:val="22"/>
          <w:szCs w:val="22"/>
        </w:rPr>
        <w:t>nquiry.  The Commission was consulted on a draft of the Bill and provided feedback to the department.</w:t>
      </w:r>
    </w:p>
    <w:p w14:paraId="43813ACC" w14:textId="3B912D79" w:rsidR="002852B8" w:rsidRDefault="002852B8" w:rsidP="000C129B">
      <w:pPr>
        <w:pStyle w:val="ListParagraph"/>
        <w:numPr>
          <w:ilvl w:val="0"/>
          <w:numId w:val="4"/>
        </w:numPr>
        <w:spacing w:before="120" w:after="120" w:line="276" w:lineRule="auto"/>
        <w:ind w:left="567" w:hanging="567"/>
        <w:contextualSpacing w:val="0"/>
        <w:rPr>
          <w:rFonts w:cs="Arial"/>
          <w:sz w:val="22"/>
          <w:szCs w:val="22"/>
        </w:rPr>
      </w:pPr>
      <w:r>
        <w:rPr>
          <w:rFonts w:cs="Arial"/>
          <w:sz w:val="22"/>
          <w:szCs w:val="22"/>
        </w:rPr>
        <w:t>The Bill would:</w:t>
      </w:r>
    </w:p>
    <w:p w14:paraId="71A0949F" w14:textId="77777777" w:rsidR="000C129B" w:rsidRPr="002852B8" w:rsidRDefault="000C129B" w:rsidP="008C310D">
      <w:pPr>
        <w:pStyle w:val="ListParagraph"/>
        <w:numPr>
          <w:ilvl w:val="1"/>
          <w:numId w:val="4"/>
        </w:numPr>
        <w:spacing w:before="120" w:after="120" w:line="276" w:lineRule="auto"/>
        <w:ind w:left="1276" w:hanging="425"/>
        <w:contextualSpacing w:val="0"/>
        <w:rPr>
          <w:rFonts w:cs="Arial"/>
          <w:sz w:val="22"/>
          <w:szCs w:val="22"/>
        </w:rPr>
      </w:pPr>
      <w:r>
        <w:rPr>
          <w:rFonts w:cs="Arial"/>
          <w:sz w:val="22"/>
          <w:szCs w:val="22"/>
        </w:rPr>
        <w:t xml:space="preserve">Relocate section 131A of the </w:t>
      </w:r>
      <w:r w:rsidRPr="00CF4439">
        <w:rPr>
          <w:rFonts w:cs="Arial"/>
          <w:i/>
          <w:sz w:val="22"/>
          <w:szCs w:val="22"/>
        </w:rPr>
        <w:t>Anti-Discrimination Act 1991</w:t>
      </w:r>
      <w:r>
        <w:rPr>
          <w:rFonts w:cs="Arial"/>
          <w:i/>
          <w:sz w:val="22"/>
          <w:szCs w:val="22"/>
        </w:rPr>
        <w:t xml:space="preserve"> </w:t>
      </w:r>
      <w:r>
        <w:rPr>
          <w:rFonts w:cs="Arial"/>
          <w:iCs/>
          <w:sz w:val="22"/>
          <w:szCs w:val="22"/>
        </w:rPr>
        <w:t xml:space="preserve">into the </w:t>
      </w:r>
      <w:r>
        <w:rPr>
          <w:rFonts w:cs="Arial"/>
          <w:i/>
          <w:sz w:val="22"/>
          <w:szCs w:val="22"/>
        </w:rPr>
        <w:t>Criminal Code</w:t>
      </w:r>
      <w:r>
        <w:rPr>
          <w:rFonts w:cs="Arial"/>
          <w:iCs/>
          <w:sz w:val="22"/>
          <w:szCs w:val="22"/>
        </w:rPr>
        <w:t>.</w:t>
      </w:r>
    </w:p>
    <w:p w14:paraId="4B8A4FC7" w14:textId="5CC665DD" w:rsidR="002852B8" w:rsidRDefault="002852B8" w:rsidP="008C310D">
      <w:pPr>
        <w:pStyle w:val="ListParagraph"/>
        <w:numPr>
          <w:ilvl w:val="1"/>
          <w:numId w:val="4"/>
        </w:numPr>
        <w:spacing w:before="120" w:after="120" w:line="276" w:lineRule="auto"/>
        <w:ind w:left="1276" w:hanging="425"/>
        <w:contextualSpacing w:val="0"/>
        <w:rPr>
          <w:rFonts w:cs="Arial"/>
          <w:sz w:val="22"/>
          <w:szCs w:val="22"/>
        </w:rPr>
      </w:pPr>
      <w:r>
        <w:rPr>
          <w:rFonts w:cs="Arial"/>
          <w:sz w:val="22"/>
          <w:szCs w:val="22"/>
        </w:rPr>
        <w:t xml:space="preserve">Remove the requirement to obtain </w:t>
      </w:r>
      <w:r w:rsidR="00735379">
        <w:rPr>
          <w:rFonts w:cs="Arial"/>
          <w:sz w:val="22"/>
          <w:szCs w:val="22"/>
        </w:rPr>
        <w:t>the</w:t>
      </w:r>
      <w:r>
        <w:rPr>
          <w:rFonts w:cs="Arial"/>
          <w:sz w:val="22"/>
          <w:szCs w:val="22"/>
        </w:rPr>
        <w:t xml:space="preserve"> written consent of the Attorney-General or Director of Public Prosecutions before commencing a prosecution for serious vilification.</w:t>
      </w:r>
    </w:p>
    <w:p w14:paraId="1D2048CB" w14:textId="12D40FBB" w:rsidR="000C129B" w:rsidRDefault="000C129B" w:rsidP="008C310D">
      <w:pPr>
        <w:pStyle w:val="ListParagraph"/>
        <w:numPr>
          <w:ilvl w:val="1"/>
          <w:numId w:val="4"/>
        </w:numPr>
        <w:spacing w:before="120" w:after="120" w:line="276" w:lineRule="auto"/>
        <w:ind w:left="1276" w:hanging="425"/>
        <w:contextualSpacing w:val="0"/>
        <w:rPr>
          <w:rFonts w:cs="Arial"/>
          <w:sz w:val="22"/>
          <w:szCs w:val="22"/>
        </w:rPr>
      </w:pPr>
      <w:r>
        <w:rPr>
          <w:rFonts w:cs="Arial"/>
          <w:sz w:val="22"/>
          <w:szCs w:val="22"/>
        </w:rPr>
        <w:t>Increase the maximum penalty for the offence of serious vilification to three years imprisonment.</w:t>
      </w:r>
    </w:p>
    <w:p w14:paraId="061127FB" w14:textId="3C1E7CFC" w:rsidR="002852B8" w:rsidRDefault="002852B8" w:rsidP="008C310D">
      <w:pPr>
        <w:pStyle w:val="ListParagraph"/>
        <w:numPr>
          <w:ilvl w:val="1"/>
          <w:numId w:val="4"/>
        </w:numPr>
        <w:spacing w:before="120" w:after="120" w:line="276" w:lineRule="auto"/>
        <w:ind w:left="1276" w:hanging="425"/>
        <w:contextualSpacing w:val="0"/>
        <w:rPr>
          <w:rFonts w:cs="Arial"/>
          <w:sz w:val="22"/>
          <w:szCs w:val="22"/>
        </w:rPr>
      </w:pPr>
      <w:r>
        <w:rPr>
          <w:rFonts w:cs="Arial"/>
          <w:sz w:val="22"/>
          <w:szCs w:val="22"/>
        </w:rPr>
        <w:t xml:space="preserve">Introduce </w:t>
      </w:r>
      <w:r w:rsidR="00DB7FE0">
        <w:rPr>
          <w:rFonts w:cs="Arial"/>
          <w:sz w:val="22"/>
          <w:szCs w:val="22"/>
        </w:rPr>
        <w:t xml:space="preserve">a </w:t>
      </w:r>
      <w:r>
        <w:rPr>
          <w:rFonts w:cs="Arial"/>
          <w:sz w:val="22"/>
          <w:szCs w:val="22"/>
        </w:rPr>
        <w:t xml:space="preserve">statutory circumstance of aggravation </w:t>
      </w:r>
      <w:r w:rsidR="00735379">
        <w:rPr>
          <w:rFonts w:cs="Arial"/>
          <w:sz w:val="22"/>
          <w:szCs w:val="22"/>
        </w:rPr>
        <w:t>of</w:t>
      </w:r>
      <w:r>
        <w:rPr>
          <w:rFonts w:cs="Arial"/>
          <w:sz w:val="22"/>
          <w:szCs w:val="22"/>
        </w:rPr>
        <w:t xml:space="preserve"> hate or serious contempt to apply to certain criminal conduct in the </w:t>
      </w:r>
      <w:r w:rsidRPr="002852B8">
        <w:rPr>
          <w:rFonts w:cs="Arial"/>
          <w:i/>
          <w:iCs/>
          <w:sz w:val="22"/>
          <w:szCs w:val="22"/>
        </w:rPr>
        <w:t>Criminal Code</w:t>
      </w:r>
      <w:r>
        <w:rPr>
          <w:rFonts w:cs="Arial"/>
          <w:sz w:val="22"/>
          <w:szCs w:val="22"/>
        </w:rPr>
        <w:t xml:space="preserve"> and </w:t>
      </w:r>
      <w:r w:rsidRPr="002852B8">
        <w:rPr>
          <w:rFonts w:cs="Arial"/>
          <w:i/>
          <w:iCs/>
          <w:sz w:val="22"/>
          <w:szCs w:val="22"/>
        </w:rPr>
        <w:t>Summary Offences Act 2005</w:t>
      </w:r>
      <w:r>
        <w:rPr>
          <w:rFonts w:cs="Arial"/>
          <w:sz w:val="22"/>
          <w:szCs w:val="22"/>
        </w:rPr>
        <w:t>.</w:t>
      </w:r>
    </w:p>
    <w:p w14:paraId="4BC07A25" w14:textId="6AE2F0DE" w:rsidR="002852B8" w:rsidRPr="00CF4439" w:rsidRDefault="002852B8" w:rsidP="002852B8">
      <w:pPr>
        <w:pStyle w:val="ListParagraph"/>
        <w:numPr>
          <w:ilvl w:val="1"/>
          <w:numId w:val="4"/>
        </w:numPr>
        <w:spacing w:before="120" w:after="240" w:line="276" w:lineRule="auto"/>
        <w:ind w:left="1276" w:hanging="425"/>
        <w:contextualSpacing w:val="0"/>
        <w:rPr>
          <w:rFonts w:cs="Arial"/>
          <w:sz w:val="22"/>
          <w:szCs w:val="22"/>
        </w:rPr>
      </w:pPr>
      <w:r>
        <w:rPr>
          <w:rFonts w:cs="Arial"/>
          <w:iCs/>
          <w:sz w:val="22"/>
          <w:szCs w:val="22"/>
        </w:rPr>
        <w:t>Create a criminal offence that prohibits the display of hate symbols</w:t>
      </w:r>
      <w:r w:rsidR="000C129B">
        <w:rPr>
          <w:rFonts w:cs="Arial"/>
          <w:iCs/>
          <w:sz w:val="22"/>
          <w:szCs w:val="22"/>
        </w:rPr>
        <w:t>.</w:t>
      </w:r>
    </w:p>
    <w:p w14:paraId="547C1619" w14:textId="6DDDAC02" w:rsidR="00CC2930" w:rsidRPr="00CC2930" w:rsidRDefault="00242936" w:rsidP="00B414BB">
      <w:pPr>
        <w:pStyle w:val="Heading1"/>
        <w:spacing w:before="0"/>
      </w:pPr>
      <w:bookmarkStart w:id="1" w:name="_Toc134102690"/>
      <w:r>
        <w:lastRenderedPageBreak/>
        <w:t>Summary</w:t>
      </w:r>
      <w:bookmarkEnd w:id="1"/>
    </w:p>
    <w:p w14:paraId="7B92C1FB" w14:textId="77777777" w:rsidR="000C129B" w:rsidRDefault="002852B8" w:rsidP="008C310D">
      <w:pPr>
        <w:pStyle w:val="ListParagraph"/>
        <w:keepNext/>
        <w:numPr>
          <w:ilvl w:val="0"/>
          <w:numId w:val="4"/>
        </w:numPr>
        <w:spacing w:before="120" w:after="120" w:line="276" w:lineRule="auto"/>
        <w:ind w:left="567" w:hanging="567"/>
        <w:contextualSpacing w:val="0"/>
        <w:rPr>
          <w:rFonts w:cs="Arial"/>
          <w:color w:val="000000"/>
          <w:sz w:val="22"/>
          <w:szCs w:val="22"/>
        </w:rPr>
      </w:pPr>
      <w:r>
        <w:rPr>
          <w:rFonts w:cs="Arial"/>
          <w:color w:val="000000"/>
          <w:sz w:val="22"/>
          <w:szCs w:val="22"/>
        </w:rPr>
        <w:t>The</w:t>
      </w:r>
      <w:r w:rsidR="000C129B">
        <w:rPr>
          <w:rFonts w:cs="Arial"/>
          <w:color w:val="000000"/>
          <w:sz w:val="22"/>
          <w:szCs w:val="22"/>
        </w:rPr>
        <w:t xml:space="preserve"> commission supports:</w:t>
      </w:r>
    </w:p>
    <w:p w14:paraId="5205554B" w14:textId="081D5271" w:rsidR="002F5814" w:rsidRPr="00CF195A" w:rsidRDefault="000C129B" w:rsidP="0059707F">
      <w:pPr>
        <w:pStyle w:val="ListParagraph"/>
        <w:numPr>
          <w:ilvl w:val="1"/>
          <w:numId w:val="4"/>
        </w:numPr>
        <w:spacing w:before="120" w:after="120" w:line="276" w:lineRule="auto"/>
        <w:ind w:left="1276" w:hanging="567"/>
        <w:contextualSpacing w:val="0"/>
        <w:rPr>
          <w:rFonts w:cs="Arial"/>
          <w:color w:val="000000"/>
          <w:sz w:val="22"/>
          <w:szCs w:val="22"/>
        </w:rPr>
      </w:pPr>
      <w:r>
        <w:rPr>
          <w:rFonts w:cs="Arial"/>
          <w:color w:val="000000"/>
          <w:sz w:val="22"/>
          <w:szCs w:val="22"/>
        </w:rPr>
        <w:t xml:space="preserve">The relocation of s131A of the </w:t>
      </w:r>
      <w:r w:rsidRPr="00CF4439">
        <w:rPr>
          <w:rFonts w:cs="Arial"/>
          <w:i/>
          <w:sz w:val="22"/>
          <w:szCs w:val="22"/>
        </w:rPr>
        <w:t>Anti-Discrimination Act 1991</w:t>
      </w:r>
      <w:r>
        <w:rPr>
          <w:rFonts w:cs="Arial"/>
          <w:i/>
          <w:sz w:val="22"/>
          <w:szCs w:val="22"/>
        </w:rPr>
        <w:t xml:space="preserve"> </w:t>
      </w:r>
      <w:r>
        <w:rPr>
          <w:rFonts w:cs="Arial"/>
          <w:iCs/>
          <w:sz w:val="22"/>
          <w:szCs w:val="22"/>
        </w:rPr>
        <w:t xml:space="preserve">into the Criminal Code, the removal of the requirement to obtain the consent of the Attorney-General or Director of Public Prosecutions before commencing a </w:t>
      </w:r>
      <w:r w:rsidR="00CF195A">
        <w:rPr>
          <w:rFonts w:cs="Arial"/>
          <w:iCs/>
          <w:sz w:val="22"/>
          <w:szCs w:val="22"/>
        </w:rPr>
        <w:t>prosecution, and increasing the maximum penalty to three years imprisonment.</w:t>
      </w:r>
    </w:p>
    <w:p w14:paraId="67F06A0D" w14:textId="0ECCDB5B" w:rsidR="00CF195A" w:rsidRPr="00CF195A" w:rsidRDefault="00CF195A" w:rsidP="009C0469">
      <w:pPr>
        <w:pStyle w:val="ListParagraph"/>
        <w:numPr>
          <w:ilvl w:val="1"/>
          <w:numId w:val="4"/>
        </w:numPr>
        <w:spacing w:before="120" w:after="120" w:line="276" w:lineRule="auto"/>
        <w:ind w:left="1276" w:hanging="567"/>
        <w:contextualSpacing w:val="0"/>
        <w:rPr>
          <w:rFonts w:cs="Arial"/>
          <w:color w:val="000000"/>
          <w:sz w:val="22"/>
          <w:szCs w:val="22"/>
        </w:rPr>
      </w:pPr>
      <w:r>
        <w:rPr>
          <w:rFonts w:cs="Arial"/>
          <w:iCs/>
          <w:sz w:val="22"/>
          <w:szCs w:val="22"/>
        </w:rPr>
        <w:t>The introduction of a statutory circumstance of aggravation regarding hate and serious contempt for certain offences.</w:t>
      </w:r>
    </w:p>
    <w:p w14:paraId="6407DC64" w14:textId="38AED7E5" w:rsidR="00CF195A" w:rsidRPr="00CF195A" w:rsidRDefault="00CF195A" w:rsidP="009C0469">
      <w:pPr>
        <w:pStyle w:val="ListParagraph"/>
        <w:numPr>
          <w:ilvl w:val="1"/>
          <w:numId w:val="4"/>
        </w:numPr>
        <w:spacing w:before="120" w:after="240" w:line="276" w:lineRule="auto"/>
        <w:ind w:left="1276" w:hanging="567"/>
        <w:contextualSpacing w:val="0"/>
        <w:rPr>
          <w:rFonts w:cs="Arial"/>
          <w:color w:val="000000"/>
          <w:sz w:val="22"/>
          <w:szCs w:val="22"/>
        </w:rPr>
      </w:pPr>
      <w:r>
        <w:rPr>
          <w:rFonts w:cs="Arial"/>
          <w:iCs/>
          <w:sz w:val="22"/>
          <w:szCs w:val="22"/>
        </w:rPr>
        <w:t>Prohibiting the display of hate symbols.</w:t>
      </w:r>
    </w:p>
    <w:p w14:paraId="269D3EFD" w14:textId="0C58C5AF" w:rsidR="00CF195A" w:rsidRDefault="00CF195A" w:rsidP="009C0469">
      <w:pPr>
        <w:pStyle w:val="ListParagraph"/>
        <w:numPr>
          <w:ilvl w:val="0"/>
          <w:numId w:val="4"/>
        </w:numPr>
        <w:spacing w:before="120" w:after="120" w:line="276" w:lineRule="auto"/>
        <w:ind w:left="567" w:hanging="567"/>
        <w:contextualSpacing w:val="0"/>
        <w:rPr>
          <w:rFonts w:cs="Arial"/>
          <w:color w:val="000000"/>
          <w:sz w:val="22"/>
          <w:szCs w:val="22"/>
        </w:rPr>
      </w:pPr>
      <w:bookmarkStart w:id="2" w:name="_Hlk133497375"/>
      <w:r>
        <w:rPr>
          <w:rFonts w:cs="Arial"/>
          <w:color w:val="000000"/>
          <w:sz w:val="22"/>
          <w:szCs w:val="22"/>
        </w:rPr>
        <w:t>The Commission recommends that the Bill be amended to address the following:</w:t>
      </w:r>
    </w:p>
    <w:p w14:paraId="44A489AA" w14:textId="1613D099" w:rsidR="00CF195A" w:rsidRDefault="00CF195A" w:rsidP="009C0469">
      <w:pPr>
        <w:pStyle w:val="ListParagraph"/>
        <w:numPr>
          <w:ilvl w:val="1"/>
          <w:numId w:val="4"/>
        </w:numPr>
        <w:spacing w:before="120" w:after="120" w:line="276" w:lineRule="auto"/>
        <w:ind w:left="1276" w:hanging="567"/>
        <w:contextualSpacing w:val="0"/>
        <w:rPr>
          <w:rFonts w:cs="Arial"/>
          <w:color w:val="000000"/>
          <w:sz w:val="22"/>
          <w:szCs w:val="22"/>
        </w:rPr>
      </w:pPr>
      <w:r>
        <w:rPr>
          <w:rFonts w:cs="Arial"/>
          <w:color w:val="000000"/>
          <w:sz w:val="22"/>
          <w:szCs w:val="22"/>
        </w:rPr>
        <w:t>Clarify that for vilification and serious vilification, a public act may occur in a closed environment such as a workplace or educational institution.</w:t>
      </w:r>
    </w:p>
    <w:p w14:paraId="11362E70" w14:textId="096BE545" w:rsidR="00CF195A" w:rsidRDefault="00CF195A" w:rsidP="009C0469">
      <w:pPr>
        <w:pStyle w:val="ListParagraph"/>
        <w:numPr>
          <w:ilvl w:val="1"/>
          <w:numId w:val="4"/>
        </w:numPr>
        <w:spacing w:before="120" w:after="120" w:line="276" w:lineRule="auto"/>
        <w:ind w:left="1276" w:hanging="567"/>
        <w:contextualSpacing w:val="0"/>
        <w:rPr>
          <w:rFonts w:cs="Arial"/>
          <w:color w:val="000000"/>
          <w:sz w:val="22"/>
          <w:szCs w:val="22"/>
        </w:rPr>
      </w:pPr>
      <w:r>
        <w:rPr>
          <w:rFonts w:cs="Arial"/>
          <w:color w:val="000000"/>
          <w:sz w:val="22"/>
          <w:szCs w:val="22"/>
        </w:rPr>
        <w:t>Simplify the test for aggravation.</w:t>
      </w:r>
    </w:p>
    <w:p w14:paraId="0B47430A" w14:textId="0E194393" w:rsidR="00CF195A" w:rsidRDefault="00736D79" w:rsidP="009C0469">
      <w:pPr>
        <w:pStyle w:val="ListParagraph"/>
        <w:numPr>
          <w:ilvl w:val="1"/>
          <w:numId w:val="4"/>
        </w:numPr>
        <w:spacing w:before="120" w:after="120" w:line="276" w:lineRule="auto"/>
        <w:ind w:left="1276" w:hanging="567"/>
        <w:contextualSpacing w:val="0"/>
        <w:rPr>
          <w:rFonts w:cs="Arial"/>
          <w:color w:val="000000"/>
          <w:sz w:val="22"/>
          <w:szCs w:val="22"/>
        </w:rPr>
      </w:pPr>
      <w:r>
        <w:rPr>
          <w:rFonts w:cs="Arial"/>
          <w:color w:val="000000"/>
          <w:sz w:val="22"/>
          <w:szCs w:val="22"/>
        </w:rPr>
        <w:t xml:space="preserve">Add the ground of </w:t>
      </w:r>
      <w:r w:rsidR="00AB3364">
        <w:rPr>
          <w:rFonts w:cs="Arial"/>
          <w:color w:val="000000"/>
          <w:sz w:val="22"/>
          <w:szCs w:val="22"/>
        </w:rPr>
        <w:t>impairment</w:t>
      </w:r>
      <w:r>
        <w:rPr>
          <w:rFonts w:cs="Arial"/>
          <w:color w:val="000000"/>
          <w:sz w:val="22"/>
          <w:szCs w:val="22"/>
        </w:rPr>
        <w:t xml:space="preserve"> to both the civil and criminal prohibitions of vilification</w:t>
      </w:r>
      <w:r w:rsidR="002F0B72">
        <w:rPr>
          <w:rFonts w:cs="Arial"/>
          <w:color w:val="000000"/>
          <w:sz w:val="22"/>
          <w:szCs w:val="22"/>
        </w:rPr>
        <w:t xml:space="preserve"> and</w:t>
      </w:r>
      <w:r w:rsidR="00AB3364">
        <w:rPr>
          <w:rFonts w:cs="Arial"/>
          <w:color w:val="000000"/>
          <w:sz w:val="22"/>
          <w:szCs w:val="22"/>
        </w:rPr>
        <w:t xml:space="preserve"> to the</w:t>
      </w:r>
      <w:r w:rsidR="002F0B72">
        <w:rPr>
          <w:rFonts w:cs="Arial"/>
          <w:color w:val="000000"/>
          <w:sz w:val="22"/>
          <w:szCs w:val="22"/>
        </w:rPr>
        <w:t xml:space="preserve"> circumstance of aggravation</w:t>
      </w:r>
      <w:r>
        <w:rPr>
          <w:rFonts w:cs="Arial"/>
          <w:color w:val="000000"/>
          <w:sz w:val="22"/>
          <w:szCs w:val="22"/>
        </w:rPr>
        <w:t>.</w:t>
      </w:r>
    </w:p>
    <w:p w14:paraId="40BD7D8B" w14:textId="39D822A2" w:rsidR="002F0B72" w:rsidRDefault="002F0B72" w:rsidP="009C0469">
      <w:pPr>
        <w:pStyle w:val="ListParagraph"/>
        <w:numPr>
          <w:ilvl w:val="1"/>
          <w:numId w:val="4"/>
        </w:numPr>
        <w:spacing w:before="120" w:after="120" w:line="276" w:lineRule="auto"/>
        <w:ind w:left="1276" w:hanging="567"/>
        <w:contextualSpacing w:val="0"/>
        <w:rPr>
          <w:rFonts w:cs="Arial"/>
          <w:color w:val="000000"/>
          <w:sz w:val="22"/>
          <w:szCs w:val="22"/>
        </w:rPr>
      </w:pPr>
      <w:r>
        <w:rPr>
          <w:rFonts w:cs="Arial"/>
          <w:color w:val="000000"/>
          <w:sz w:val="22"/>
          <w:szCs w:val="22"/>
        </w:rPr>
        <w:t xml:space="preserve">Make clear that the public display of prohibited symbols includes closed environments such as workplaces, educational </w:t>
      </w:r>
      <w:r w:rsidR="00DB7FE0">
        <w:rPr>
          <w:rFonts w:cs="Arial"/>
          <w:color w:val="000000"/>
          <w:sz w:val="22"/>
          <w:szCs w:val="22"/>
        </w:rPr>
        <w:t>institutions,</w:t>
      </w:r>
      <w:r>
        <w:rPr>
          <w:rFonts w:cs="Arial"/>
          <w:color w:val="000000"/>
          <w:sz w:val="22"/>
          <w:szCs w:val="22"/>
        </w:rPr>
        <w:t xml:space="preserve"> and hospitals.</w:t>
      </w:r>
    </w:p>
    <w:p w14:paraId="72CBA5AC" w14:textId="25648C16" w:rsidR="00736D79" w:rsidRDefault="00736D79" w:rsidP="00CF195A">
      <w:pPr>
        <w:pStyle w:val="ListParagraph"/>
        <w:numPr>
          <w:ilvl w:val="1"/>
          <w:numId w:val="4"/>
        </w:numPr>
        <w:spacing w:before="120" w:after="240" w:line="276" w:lineRule="auto"/>
        <w:ind w:left="1276" w:hanging="567"/>
        <w:contextualSpacing w:val="0"/>
        <w:rPr>
          <w:rFonts w:cs="Arial"/>
          <w:color w:val="000000"/>
          <w:sz w:val="22"/>
          <w:szCs w:val="22"/>
        </w:rPr>
      </w:pPr>
      <w:r>
        <w:rPr>
          <w:rFonts w:cs="Arial"/>
          <w:color w:val="000000"/>
          <w:sz w:val="22"/>
          <w:szCs w:val="22"/>
        </w:rPr>
        <w:t>Provide for a review of the operation of aggravated offences against Aboriginal and Torres Strait Islander people</w:t>
      </w:r>
      <w:r w:rsidR="009A5120">
        <w:rPr>
          <w:rFonts w:cs="Arial"/>
          <w:color w:val="000000"/>
          <w:sz w:val="22"/>
          <w:szCs w:val="22"/>
        </w:rPr>
        <w:t>s</w:t>
      </w:r>
      <w:r>
        <w:rPr>
          <w:rFonts w:cs="Arial"/>
          <w:color w:val="000000"/>
          <w:sz w:val="22"/>
          <w:szCs w:val="22"/>
        </w:rPr>
        <w:t>.</w:t>
      </w:r>
    </w:p>
    <w:p w14:paraId="1D5EEA62" w14:textId="6935062E" w:rsidR="005A40CB" w:rsidRPr="002F5814" w:rsidRDefault="005A40CB" w:rsidP="00CF195A">
      <w:pPr>
        <w:pStyle w:val="ListParagraph"/>
        <w:numPr>
          <w:ilvl w:val="1"/>
          <w:numId w:val="4"/>
        </w:numPr>
        <w:spacing w:before="120" w:after="240" w:line="276" w:lineRule="auto"/>
        <w:ind w:left="1276" w:hanging="567"/>
        <w:contextualSpacing w:val="0"/>
        <w:rPr>
          <w:rFonts w:cs="Arial"/>
          <w:color w:val="000000"/>
          <w:sz w:val="22"/>
          <w:szCs w:val="22"/>
        </w:rPr>
      </w:pPr>
      <w:r>
        <w:rPr>
          <w:rFonts w:cs="Arial"/>
          <w:color w:val="000000"/>
          <w:sz w:val="22"/>
          <w:szCs w:val="22"/>
        </w:rPr>
        <w:t>Exclude aggravated offensive behaviour towards police</w:t>
      </w:r>
    </w:p>
    <w:p w14:paraId="3718BD56" w14:textId="4DF6C9CF" w:rsidR="00C064A5" w:rsidRDefault="00736D79" w:rsidP="00736D79">
      <w:pPr>
        <w:pStyle w:val="Heading1"/>
        <w:keepLines w:val="0"/>
        <w:spacing w:before="360"/>
      </w:pPr>
      <w:bookmarkStart w:id="3" w:name="_Toc134102691"/>
      <w:bookmarkEnd w:id="2"/>
      <w:r w:rsidRPr="00DB0DCD">
        <w:t>Relocation and amendment of serious vilification</w:t>
      </w:r>
      <w:bookmarkEnd w:id="3"/>
    </w:p>
    <w:p w14:paraId="4C5F255C" w14:textId="34A35720" w:rsidR="00AD69D3" w:rsidRPr="00DB0DCD" w:rsidRDefault="00AD69D3" w:rsidP="00AD69D3">
      <w:pPr>
        <w:pStyle w:val="ListParagraph"/>
        <w:numPr>
          <w:ilvl w:val="0"/>
          <w:numId w:val="4"/>
        </w:numPr>
        <w:spacing w:before="120" w:after="240" w:line="276" w:lineRule="auto"/>
        <w:ind w:left="567" w:hanging="567"/>
        <w:contextualSpacing w:val="0"/>
        <w:rPr>
          <w:rFonts w:cs="Arial"/>
          <w:sz w:val="22"/>
          <w:szCs w:val="22"/>
        </w:rPr>
      </w:pPr>
      <w:r w:rsidRPr="00DB0DCD">
        <w:rPr>
          <w:rFonts w:cs="Arial"/>
          <w:sz w:val="22"/>
          <w:szCs w:val="22"/>
        </w:rPr>
        <w:t xml:space="preserve">The Commission recommended to the Inquiry that section 131A of the </w:t>
      </w:r>
      <w:r w:rsidRPr="00DB0DCD">
        <w:rPr>
          <w:rFonts w:cs="Arial"/>
          <w:i/>
          <w:iCs/>
          <w:sz w:val="22"/>
          <w:szCs w:val="22"/>
        </w:rPr>
        <w:t>Anti-Discrimination Act 1991</w:t>
      </w:r>
      <w:r w:rsidRPr="00DB0DCD">
        <w:rPr>
          <w:rFonts w:cs="Arial"/>
          <w:sz w:val="22"/>
          <w:szCs w:val="22"/>
        </w:rPr>
        <w:t xml:space="preserve"> be relocated to the </w:t>
      </w:r>
      <w:r w:rsidRPr="00DB0DCD">
        <w:rPr>
          <w:rFonts w:cs="Arial"/>
          <w:i/>
          <w:iCs/>
          <w:sz w:val="22"/>
          <w:szCs w:val="22"/>
        </w:rPr>
        <w:t>Criminal Code</w:t>
      </w:r>
      <w:r w:rsidRPr="00DB0DCD">
        <w:rPr>
          <w:rFonts w:cs="Arial"/>
          <w:sz w:val="22"/>
          <w:szCs w:val="22"/>
        </w:rPr>
        <w:t>, that the maximum penalty be increased to three years, and that the requirement for prior approval for prosecution of an offence be removed.</w:t>
      </w:r>
    </w:p>
    <w:p w14:paraId="6F375320" w14:textId="6296ADDA" w:rsidR="00AD69D3" w:rsidRPr="00DB0DCD" w:rsidRDefault="00AD69D3" w:rsidP="00AD69D3">
      <w:pPr>
        <w:pStyle w:val="ListParagraph"/>
        <w:numPr>
          <w:ilvl w:val="0"/>
          <w:numId w:val="4"/>
        </w:numPr>
        <w:spacing w:before="120" w:after="240" w:line="276" w:lineRule="auto"/>
        <w:ind w:left="567" w:hanging="567"/>
        <w:contextualSpacing w:val="0"/>
        <w:rPr>
          <w:rFonts w:cs="Arial"/>
          <w:sz w:val="22"/>
          <w:szCs w:val="22"/>
        </w:rPr>
      </w:pPr>
      <w:r w:rsidRPr="00DB0DCD">
        <w:rPr>
          <w:rFonts w:cs="Arial"/>
          <w:sz w:val="22"/>
          <w:szCs w:val="22"/>
        </w:rPr>
        <w:t xml:space="preserve">The relocation of the offence and removal of prior approval is expected to aid police in identifying and prosecuting appropriate cases of serious vilification.  The increase in the maximum penalty will enable police to obtain a warrant to access communications held by a telecommunications carrier, and it also reflects the serious impact of the offence on relevant communities. </w:t>
      </w:r>
    </w:p>
    <w:p w14:paraId="30673B13" w14:textId="42AE15ED" w:rsidR="00F875A2" w:rsidRDefault="00C90464" w:rsidP="00AD69D3">
      <w:pPr>
        <w:pStyle w:val="ListParagraph"/>
        <w:numPr>
          <w:ilvl w:val="0"/>
          <w:numId w:val="4"/>
        </w:numPr>
        <w:spacing w:before="120" w:after="240" w:line="276" w:lineRule="auto"/>
        <w:ind w:left="567" w:hanging="567"/>
        <w:contextualSpacing w:val="0"/>
        <w:rPr>
          <w:rFonts w:cs="Arial"/>
          <w:sz w:val="22"/>
          <w:szCs w:val="22"/>
        </w:rPr>
      </w:pPr>
      <w:r w:rsidRPr="00F875A2">
        <w:rPr>
          <w:rFonts w:cs="Arial"/>
          <w:sz w:val="22"/>
          <w:szCs w:val="22"/>
        </w:rPr>
        <w:t xml:space="preserve">Although the offence of serious vilification has been in force since </w:t>
      </w:r>
      <w:r w:rsidR="002D5D18" w:rsidRPr="00F875A2">
        <w:rPr>
          <w:rFonts w:cs="Arial"/>
          <w:sz w:val="22"/>
          <w:szCs w:val="22"/>
        </w:rPr>
        <w:t>June 2001, there have been very few charges under the provision (</w:t>
      </w:r>
      <w:r w:rsidR="00455D19">
        <w:rPr>
          <w:rFonts w:cs="Arial"/>
          <w:sz w:val="22"/>
          <w:szCs w:val="22"/>
        </w:rPr>
        <w:t xml:space="preserve">the </w:t>
      </w:r>
      <w:r w:rsidR="002D5D18" w:rsidRPr="00F875A2">
        <w:rPr>
          <w:rFonts w:cs="Arial"/>
          <w:sz w:val="22"/>
          <w:szCs w:val="22"/>
        </w:rPr>
        <w:t xml:space="preserve">Department of Justice and Attorney-General informed the Inquiry that as </w:t>
      </w:r>
      <w:r w:rsidR="00455D19" w:rsidRPr="00F875A2">
        <w:rPr>
          <w:rFonts w:cs="Arial"/>
          <w:sz w:val="22"/>
          <w:szCs w:val="22"/>
        </w:rPr>
        <w:t>of</w:t>
      </w:r>
      <w:r w:rsidR="002D5D18" w:rsidRPr="00F875A2">
        <w:rPr>
          <w:rFonts w:cs="Arial"/>
          <w:sz w:val="22"/>
          <w:szCs w:val="22"/>
        </w:rPr>
        <w:t xml:space="preserve"> 30 April 2021 there had been five charges la</w:t>
      </w:r>
      <w:r w:rsidR="00F875A2" w:rsidRPr="00F875A2">
        <w:rPr>
          <w:rFonts w:cs="Arial"/>
          <w:sz w:val="22"/>
          <w:szCs w:val="22"/>
        </w:rPr>
        <w:t xml:space="preserve">id and three convictions under section 131A). </w:t>
      </w:r>
      <w:r w:rsidR="00F875A2">
        <w:rPr>
          <w:rFonts w:cs="Arial"/>
          <w:sz w:val="22"/>
          <w:szCs w:val="22"/>
        </w:rPr>
        <w:t xml:space="preserve"> The Inquiry was informed that barriers to laying charges include </w:t>
      </w:r>
      <w:r w:rsidR="00836796">
        <w:rPr>
          <w:rFonts w:cs="Arial"/>
          <w:sz w:val="22"/>
          <w:szCs w:val="22"/>
        </w:rPr>
        <w:t xml:space="preserve">police being </w:t>
      </w:r>
      <w:r w:rsidR="00F875A2">
        <w:rPr>
          <w:rFonts w:cs="Arial"/>
          <w:sz w:val="22"/>
          <w:szCs w:val="22"/>
        </w:rPr>
        <w:t xml:space="preserve">unfamiliar with the provision and the need to </w:t>
      </w:r>
      <w:r w:rsidR="00455D19">
        <w:rPr>
          <w:rFonts w:cs="Arial"/>
          <w:sz w:val="22"/>
          <w:szCs w:val="22"/>
        </w:rPr>
        <w:t xml:space="preserve">obtain the consent of the Director of Public Prosecutions before laying charges.  The maximum penalty of less than three years imprisonment also meant that police </w:t>
      </w:r>
      <w:r w:rsidR="007E4687">
        <w:rPr>
          <w:rFonts w:cs="Arial"/>
          <w:sz w:val="22"/>
          <w:szCs w:val="22"/>
        </w:rPr>
        <w:t>are</w:t>
      </w:r>
      <w:r w:rsidR="00455D19">
        <w:rPr>
          <w:rFonts w:cs="Arial"/>
          <w:sz w:val="22"/>
          <w:szCs w:val="22"/>
        </w:rPr>
        <w:t xml:space="preserve"> unable to obtain the necessary warrant to preserve online and telecommunication evidence.</w:t>
      </w:r>
    </w:p>
    <w:p w14:paraId="1EC9A4F5" w14:textId="19550DF5" w:rsidR="007E4687" w:rsidRDefault="007E4687" w:rsidP="00AD69D3">
      <w:pPr>
        <w:pStyle w:val="ListParagraph"/>
        <w:numPr>
          <w:ilvl w:val="0"/>
          <w:numId w:val="4"/>
        </w:numPr>
        <w:spacing w:before="120" w:after="240" w:line="276" w:lineRule="auto"/>
        <w:ind w:left="567" w:hanging="567"/>
        <w:contextualSpacing w:val="0"/>
        <w:rPr>
          <w:rFonts w:cs="Arial"/>
          <w:sz w:val="22"/>
          <w:szCs w:val="22"/>
        </w:rPr>
      </w:pPr>
      <w:r>
        <w:rPr>
          <w:rFonts w:cs="Arial"/>
          <w:sz w:val="22"/>
          <w:szCs w:val="22"/>
        </w:rPr>
        <w:lastRenderedPageBreak/>
        <w:t>Additionally, the maximum penalty of six months imprisonment does not reflect the seriousness of the offence or community condemnation of the conduct, nor does the use of more common offences such as public nuisance and trespass.</w:t>
      </w:r>
    </w:p>
    <w:p w14:paraId="6F053815" w14:textId="7C28ACD2" w:rsidR="00DB0DCD" w:rsidRPr="00F875A2" w:rsidRDefault="00DB0DCD" w:rsidP="00AD69D3">
      <w:pPr>
        <w:pStyle w:val="ListParagraph"/>
        <w:numPr>
          <w:ilvl w:val="0"/>
          <w:numId w:val="4"/>
        </w:numPr>
        <w:spacing w:before="120" w:after="240" w:line="276" w:lineRule="auto"/>
        <w:ind w:left="567" w:hanging="567"/>
        <w:contextualSpacing w:val="0"/>
        <w:rPr>
          <w:rFonts w:cs="Arial"/>
          <w:sz w:val="22"/>
          <w:szCs w:val="22"/>
        </w:rPr>
      </w:pPr>
      <w:r>
        <w:rPr>
          <w:rFonts w:cs="Arial"/>
          <w:sz w:val="22"/>
          <w:szCs w:val="22"/>
        </w:rPr>
        <w:t>The Bill addresses these concerns by relocating the offence into the Criminal Code, increasing the maximum penalty to three years imprisonment, and removing the requirement to obtain the prior consent of the Director of Public Prosecutions or the Attorney-General.  The Commission supports these measures.</w:t>
      </w:r>
    </w:p>
    <w:p w14:paraId="77DD9B98" w14:textId="0BA6FF32" w:rsidR="00C54028" w:rsidRPr="00C54028" w:rsidRDefault="00C54028" w:rsidP="00C54028">
      <w:pPr>
        <w:pStyle w:val="Heading1"/>
        <w:keepLines w:val="0"/>
        <w:spacing w:before="360"/>
      </w:pPr>
      <w:bookmarkStart w:id="4" w:name="_Toc134102692"/>
      <w:r w:rsidRPr="00C54028">
        <w:t>Public act</w:t>
      </w:r>
      <w:bookmarkEnd w:id="4"/>
    </w:p>
    <w:p w14:paraId="5A189278" w14:textId="5ED74B3D" w:rsidR="00836796" w:rsidRDefault="00836796" w:rsidP="00AD69D3">
      <w:pPr>
        <w:pStyle w:val="ListParagraph"/>
        <w:numPr>
          <w:ilvl w:val="0"/>
          <w:numId w:val="4"/>
        </w:numPr>
        <w:spacing w:before="120" w:after="240" w:line="276" w:lineRule="auto"/>
        <w:ind w:left="567" w:hanging="567"/>
        <w:contextualSpacing w:val="0"/>
        <w:rPr>
          <w:rFonts w:cs="Arial"/>
          <w:sz w:val="22"/>
          <w:szCs w:val="22"/>
        </w:rPr>
      </w:pPr>
      <w:r>
        <w:rPr>
          <w:rFonts w:cs="Arial"/>
          <w:sz w:val="22"/>
          <w:szCs w:val="22"/>
        </w:rPr>
        <w:t xml:space="preserve">Unlawful vilification </w:t>
      </w:r>
      <w:r w:rsidR="001E6CD2">
        <w:rPr>
          <w:rFonts w:cs="Arial"/>
          <w:sz w:val="22"/>
          <w:szCs w:val="22"/>
        </w:rPr>
        <w:t xml:space="preserve">and serious vilification can only </w:t>
      </w:r>
      <w:r>
        <w:rPr>
          <w:rFonts w:cs="Arial"/>
          <w:sz w:val="22"/>
          <w:szCs w:val="22"/>
        </w:rPr>
        <w:t>occur by a public act</w:t>
      </w:r>
      <w:r w:rsidR="001E6CD2">
        <w:rPr>
          <w:rFonts w:cs="Arial"/>
          <w:sz w:val="22"/>
          <w:szCs w:val="22"/>
        </w:rPr>
        <w:t>.</w:t>
      </w:r>
    </w:p>
    <w:p w14:paraId="1E24F854" w14:textId="31A2443D" w:rsidR="00AD69D3" w:rsidRPr="007B0672" w:rsidRDefault="00AD69D3" w:rsidP="00AD69D3">
      <w:pPr>
        <w:pStyle w:val="ListParagraph"/>
        <w:numPr>
          <w:ilvl w:val="0"/>
          <w:numId w:val="4"/>
        </w:numPr>
        <w:spacing w:before="120" w:after="240" w:line="276" w:lineRule="auto"/>
        <w:ind w:left="567" w:hanging="567"/>
        <w:contextualSpacing w:val="0"/>
        <w:rPr>
          <w:rFonts w:cs="Arial"/>
          <w:sz w:val="22"/>
          <w:szCs w:val="22"/>
        </w:rPr>
      </w:pPr>
      <w:r w:rsidRPr="007B0672">
        <w:rPr>
          <w:rFonts w:cs="Arial"/>
          <w:sz w:val="22"/>
          <w:szCs w:val="22"/>
        </w:rPr>
        <w:t xml:space="preserve">Due to the relocation of section 131A of the </w:t>
      </w:r>
      <w:r w:rsidR="009052F7">
        <w:rPr>
          <w:rFonts w:cs="Arial"/>
          <w:i/>
          <w:iCs/>
          <w:sz w:val="22"/>
          <w:szCs w:val="22"/>
        </w:rPr>
        <w:t>Anti-Discrimination Act 1991</w:t>
      </w:r>
      <w:r w:rsidRPr="007B0672">
        <w:rPr>
          <w:rFonts w:cs="Arial"/>
          <w:sz w:val="22"/>
          <w:szCs w:val="22"/>
        </w:rPr>
        <w:t xml:space="preserve">, section 4A will be repealed and a definition of ‘public act’ will be included in section 124A (the prohibition of vilification that has a civil remedy) and in section 131A (which will become section 52A of the </w:t>
      </w:r>
      <w:r w:rsidRPr="007B0672">
        <w:rPr>
          <w:rFonts w:cs="Arial"/>
          <w:i/>
          <w:iCs/>
          <w:sz w:val="22"/>
          <w:szCs w:val="22"/>
        </w:rPr>
        <w:t>Criminal Code</w:t>
      </w:r>
      <w:r w:rsidRPr="007B0672">
        <w:rPr>
          <w:rFonts w:cs="Arial"/>
          <w:sz w:val="22"/>
          <w:szCs w:val="22"/>
        </w:rPr>
        <w:t xml:space="preserve">).  These amendments in the </w:t>
      </w:r>
      <w:r w:rsidR="00315939">
        <w:rPr>
          <w:rFonts w:cs="Arial"/>
          <w:sz w:val="22"/>
          <w:szCs w:val="22"/>
        </w:rPr>
        <w:t>Bill</w:t>
      </w:r>
      <w:r w:rsidRPr="007B0672">
        <w:rPr>
          <w:rFonts w:cs="Arial"/>
          <w:sz w:val="22"/>
          <w:szCs w:val="22"/>
        </w:rPr>
        <w:t xml:space="preserve"> make no change to the current definition of ‘public act’ in section 4A.</w:t>
      </w:r>
    </w:p>
    <w:p w14:paraId="7201C7AA" w14:textId="4955B6F3" w:rsidR="00BA6C36" w:rsidRPr="007B0672" w:rsidRDefault="00C92C02" w:rsidP="00C064A5">
      <w:pPr>
        <w:pStyle w:val="ListParagraph"/>
        <w:numPr>
          <w:ilvl w:val="0"/>
          <w:numId w:val="4"/>
        </w:numPr>
        <w:spacing w:before="120" w:after="240" w:line="276" w:lineRule="auto"/>
        <w:ind w:left="567" w:hanging="567"/>
        <w:contextualSpacing w:val="0"/>
        <w:rPr>
          <w:sz w:val="22"/>
          <w:szCs w:val="22"/>
        </w:rPr>
      </w:pPr>
      <w:r w:rsidRPr="007B0672">
        <w:rPr>
          <w:rFonts w:cs="Arial"/>
          <w:sz w:val="22"/>
          <w:szCs w:val="22"/>
        </w:rPr>
        <w:t>In its submission to the Inquiry, the Commission referred to case law in Queensland and NSW where communications within workplaces and schools were considered not to be communications to the public.</w:t>
      </w:r>
      <w:r w:rsidRPr="007B0672">
        <w:rPr>
          <w:rStyle w:val="FootnoteReference"/>
          <w:rFonts w:cs="Arial"/>
          <w:sz w:val="22"/>
          <w:szCs w:val="22"/>
        </w:rPr>
        <w:footnoteReference w:id="1"/>
      </w:r>
      <w:r w:rsidRPr="007B0672">
        <w:rPr>
          <w:rFonts w:cs="Arial"/>
          <w:sz w:val="22"/>
          <w:szCs w:val="22"/>
        </w:rPr>
        <w:t xml:space="preserve">  </w:t>
      </w:r>
    </w:p>
    <w:p w14:paraId="78585B38" w14:textId="5D91069F" w:rsidR="00BA6C36" w:rsidRPr="007B0672" w:rsidRDefault="00EB32FE" w:rsidP="00BA6C36">
      <w:pPr>
        <w:pStyle w:val="ListParagraph"/>
        <w:numPr>
          <w:ilvl w:val="1"/>
          <w:numId w:val="4"/>
        </w:numPr>
        <w:spacing w:before="120" w:after="240" w:line="276" w:lineRule="auto"/>
        <w:ind w:left="1276" w:hanging="425"/>
        <w:contextualSpacing w:val="0"/>
        <w:rPr>
          <w:sz w:val="22"/>
          <w:szCs w:val="22"/>
        </w:rPr>
      </w:pPr>
      <w:r w:rsidRPr="007B0672">
        <w:rPr>
          <w:rFonts w:cs="Arial"/>
          <w:sz w:val="22"/>
          <w:szCs w:val="22"/>
        </w:rPr>
        <w:t>The complaint in</w:t>
      </w:r>
      <w:r w:rsidR="00BA6C36" w:rsidRPr="007B0672">
        <w:rPr>
          <w:rFonts w:cs="Arial"/>
          <w:sz w:val="22"/>
          <w:szCs w:val="22"/>
        </w:rPr>
        <w:t xml:space="preserve"> </w:t>
      </w:r>
      <w:r w:rsidR="00BA6C36" w:rsidRPr="007B0672">
        <w:rPr>
          <w:rFonts w:cs="Arial"/>
          <w:i/>
          <w:iCs/>
          <w:sz w:val="22"/>
          <w:szCs w:val="22"/>
        </w:rPr>
        <w:t>Park</w:t>
      </w:r>
      <w:r w:rsidRPr="007B0672">
        <w:rPr>
          <w:rFonts w:cs="Arial"/>
          <w:sz w:val="22"/>
          <w:szCs w:val="22"/>
        </w:rPr>
        <w:t xml:space="preserve"> concerned comments made by a </w:t>
      </w:r>
      <w:r w:rsidR="009052F7" w:rsidRPr="007B0672">
        <w:rPr>
          <w:rFonts w:cs="Arial"/>
          <w:sz w:val="22"/>
          <w:szCs w:val="22"/>
        </w:rPr>
        <w:t>trade’s</w:t>
      </w:r>
      <w:r w:rsidRPr="007B0672">
        <w:rPr>
          <w:rFonts w:cs="Arial"/>
          <w:sz w:val="22"/>
          <w:szCs w:val="22"/>
        </w:rPr>
        <w:t xml:space="preserve"> teacher to another in the presence of students.  Although the Queensland Civil and Administrative Tribunal (the </w:t>
      </w:r>
      <w:r w:rsidRPr="007B0672">
        <w:rPr>
          <w:rFonts w:cs="Arial"/>
          <w:b/>
          <w:bCs/>
          <w:sz w:val="22"/>
          <w:szCs w:val="22"/>
        </w:rPr>
        <w:t>QCAT</w:t>
      </w:r>
      <w:r w:rsidRPr="007B0672">
        <w:rPr>
          <w:rFonts w:cs="Arial"/>
          <w:sz w:val="22"/>
          <w:szCs w:val="22"/>
        </w:rPr>
        <w:t>) found that the comments were unrelated to race and not capable of incitement, it also found that statements made in a classroom in the presence of students was not a communication to the public.</w:t>
      </w:r>
    </w:p>
    <w:p w14:paraId="08A63A1F" w14:textId="184813E2" w:rsidR="00EB32FE" w:rsidRPr="007B0672" w:rsidRDefault="00EB32FE" w:rsidP="00BA6C36">
      <w:pPr>
        <w:pStyle w:val="ListParagraph"/>
        <w:numPr>
          <w:ilvl w:val="1"/>
          <w:numId w:val="4"/>
        </w:numPr>
        <w:spacing w:before="120" w:after="240" w:line="276" w:lineRule="auto"/>
        <w:ind w:left="1276" w:hanging="425"/>
        <w:contextualSpacing w:val="0"/>
        <w:rPr>
          <w:sz w:val="22"/>
          <w:szCs w:val="22"/>
        </w:rPr>
      </w:pPr>
      <w:r w:rsidRPr="007B0672">
        <w:rPr>
          <w:rFonts w:cs="Arial"/>
          <w:sz w:val="22"/>
          <w:szCs w:val="22"/>
        </w:rPr>
        <w:t xml:space="preserve">The complaint in </w:t>
      </w:r>
      <w:proofErr w:type="spellStart"/>
      <w:r w:rsidRPr="007B0672">
        <w:rPr>
          <w:rFonts w:cs="Arial"/>
          <w:i/>
          <w:iCs/>
          <w:sz w:val="22"/>
          <w:szCs w:val="22"/>
        </w:rPr>
        <w:t>Bero</w:t>
      </w:r>
      <w:proofErr w:type="spellEnd"/>
      <w:r w:rsidRPr="007B0672">
        <w:rPr>
          <w:rFonts w:cs="Arial"/>
          <w:sz w:val="22"/>
          <w:szCs w:val="22"/>
        </w:rPr>
        <w:t xml:space="preserve"> concerned comments involving racial connotations made in a workplace that was a sugar Mill where other employees were present.</w:t>
      </w:r>
      <w:r w:rsidR="00D60AA2" w:rsidRPr="007B0672">
        <w:rPr>
          <w:rFonts w:cs="Arial"/>
          <w:sz w:val="22"/>
          <w:szCs w:val="22"/>
        </w:rPr>
        <w:t xml:space="preserve">  The QCAT was not convinced </w:t>
      </w:r>
      <w:r w:rsidR="00694A1F" w:rsidRPr="007B0672">
        <w:rPr>
          <w:rFonts w:cs="Arial"/>
          <w:sz w:val="22"/>
          <w:szCs w:val="22"/>
        </w:rPr>
        <w:t>that the comments incited any of the emotions in section 124A nor that they were in any way a communication to the public.</w:t>
      </w:r>
    </w:p>
    <w:p w14:paraId="202F804C" w14:textId="26FA1BAA" w:rsidR="00694A1F" w:rsidRPr="007B0672" w:rsidRDefault="00694A1F" w:rsidP="00BA6C36">
      <w:pPr>
        <w:pStyle w:val="ListParagraph"/>
        <w:numPr>
          <w:ilvl w:val="1"/>
          <w:numId w:val="4"/>
        </w:numPr>
        <w:spacing w:before="120" w:after="240" w:line="276" w:lineRule="auto"/>
        <w:ind w:left="1276" w:hanging="425"/>
        <w:contextualSpacing w:val="0"/>
        <w:rPr>
          <w:sz w:val="22"/>
          <w:szCs w:val="22"/>
        </w:rPr>
      </w:pPr>
      <w:r w:rsidRPr="007B0672">
        <w:rPr>
          <w:rFonts w:cs="Arial"/>
          <w:sz w:val="22"/>
          <w:szCs w:val="22"/>
        </w:rPr>
        <w:t xml:space="preserve">The NSW matter in </w:t>
      </w:r>
      <w:r w:rsidRPr="007B0672">
        <w:rPr>
          <w:rFonts w:cs="Arial"/>
          <w:i/>
          <w:iCs/>
          <w:sz w:val="22"/>
          <w:szCs w:val="22"/>
        </w:rPr>
        <w:t>Riley</w:t>
      </w:r>
      <w:r w:rsidRPr="007B0672">
        <w:rPr>
          <w:rFonts w:cs="Arial"/>
          <w:sz w:val="22"/>
          <w:szCs w:val="22"/>
        </w:rPr>
        <w:t xml:space="preserve"> concerned comments made and behaviour at a muster meeting within a school.  The tribunal considered it was not a public act because a member of the public was not entitled to be present at the meeting or to hear what was said</w:t>
      </w:r>
      <w:r w:rsidR="00781861" w:rsidRPr="007B0672">
        <w:rPr>
          <w:rFonts w:cs="Arial"/>
          <w:sz w:val="22"/>
          <w:szCs w:val="22"/>
        </w:rPr>
        <w:t xml:space="preserve">.  The tribunal </w:t>
      </w:r>
      <w:r w:rsidRPr="007B0672">
        <w:rPr>
          <w:rFonts w:cs="Arial"/>
          <w:sz w:val="22"/>
          <w:szCs w:val="22"/>
        </w:rPr>
        <w:t>did not accept that ‘public’ can consist of employees and contractors at the school.</w:t>
      </w:r>
      <w:r w:rsidR="0066593A" w:rsidRPr="007B0672">
        <w:rPr>
          <w:rStyle w:val="FootnoteReference"/>
          <w:rFonts w:cs="Arial"/>
          <w:sz w:val="22"/>
          <w:szCs w:val="22"/>
        </w:rPr>
        <w:footnoteReference w:id="2"/>
      </w:r>
    </w:p>
    <w:p w14:paraId="0C0C6C24" w14:textId="77777777" w:rsidR="00781861" w:rsidRPr="007B0672" w:rsidRDefault="0066593A" w:rsidP="00C064A5">
      <w:pPr>
        <w:pStyle w:val="ListParagraph"/>
        <w:numPr>
          <w:ilvl w:val="0"/>
          <w:numId w:val="4"/>
        </w:numPr>
        <w:spacing w:before="120" w:after="240" w:line="276" w:lineRule="auto"/>
        <w:ind w:left="567" w:hanging="567"/>
        <w:contextualSpacing w:val="0"/>
        <w:rPr>
          <w:sz w:val="22"/>
          <w:szCs w:val="22"/>
        </w:rPr>
      </w:pPr>
      <w:r w:rsidRPr="007B0672">
        <w:rPr>
          <w:rFonts w:cs="Arial"/>
          <w:sz w:val="22"/>
          <w:szCs w:val="22"/>
        </w:rPr>
        <w:t xml:space="preserve">These decisions that exclude communications within workplaces and schools are not consistent with </w:t>
      </w:r>
      <w:r w:rsidR="00781861" w:rsidRPr="007B0672">
        <w:rPr>
          <w:rFonts w:cs="Arial"/>
          <w:sz w:val="22"/>
          <w:szCs w:val="22"/>
        </w:rPr>
        <w:t xml:space="preserve">the intention of the prohibition of vilification. The Premier at the </w:t>
      </w:r>
      <w:r w:rsidR="00781861" w:rsidRPr="007B0672">
        <w:rPr>
          <w:rFonts w:cs="Arial"/>
          <w:sz w:val="22"/>
          <w:szCs w:val="22"/>
        </w:rPr>
        <w:lastRenderedPageBreak/>
        <w:t>time said in</w:t>
      </w:r>
      <w:r w:rsidR="00C92C02" w:rsidRPr="007B0672">
        <w:rPr>
          <w:rFonts w:cs="Arial"/>
          <w:sz w:val="22"/>
          <w:szCs w:val="22"/>
        </w:rPr>
        <w:t xml:space="preserve"> the Second Reading Speech in March 2001 that the vilification prohibitions do not proscribe private behaviour.</w:t>
      </w:r>
      <w:r w:rsidR="00C92C02" w:rsidRPr="007B0672">
        <w:rPr>
          <w:rStyle w:val="FootnoteReference"/>
          <w:rFonts w:cs="Arial"/>
          <w:sz w:val="22"/>
          <w:szCs w:val="22"/>
        </w:rPr>
        <w:footnoteReference w:id="3"/>
      </w:r>
      <w:r w:rsidR="00C92C02" w:rsidRPr="007B0672">
        <w:rPr>
          <w:rFonts w:cs="Arial"/>
          <w:sz w:val="22"/>
          <w:szCs w:val="22"/>
        </w:rPr>
        <w:t xml:space="preserve"> </w:t>
      </w:r>
    </w:p>
    <w:p w14:paraId="2368B8B0" w14:textId="73FE3FC4" w:rsidR="004D4C51" w:rsidRPr="007B0672" w:rsidRDefault="004D4C51" w:rsidP="004D4C51">
      <w:pPr>
        <w:pStyle w:val="ListParagraph"/>
        <w:numPr>
          <w:ilvl w:val="0"/>
          <w:numId w:val="4"/>
        </w:numPr>
        <w:spacing w:before="120" w:after="240" w:line="276" w:lineRule="auto"/>
        <w:ind w:left="567" w:hanging="567"/>
        <w:contextualSpacing w:val="0"/>
        <w:rPr>
          <w:rFonts w:cs="Arial"/>
          <w:sz w:val="22"/>
          <w:szCs w:val="22"/>
        </w:rPr>
      </w:pPr>
      <w:r w:rsidRPr="007B0672">
        <w:rPr>
          <w:rFonts w:cs="Arial"/>
          <w:sz w:val="22"/>
          <w:szCs w:val="22"/>
        </w:rPr>
        <w:t xml:space="preserve">Work is generally considered a part of a person’s public life.  For example, the areas of activity in which discrimination is prohibited </w:t>
      </w:r>
      <w:r w:rsidR="00FD5411">
        <w:rPr>
          <w:rFonts w:cs="Arial"/>
          <w:sz w:val="22"/>
          <w:szCs w:val="22"/>
        </w:rPr>
        <w:t xml:space="preserve">under the </w:t>
      </w:r>
      <w:r w:rsidR="00FD5411">
        <w:rPr>
          <w:rFonts w:cs="Arial"/>
          <w:i/>
          <w:iCs/>
          <w:sz w:val="22"/>
          <w:szCs w:val="22"/>
        </w:rPr>
        <w:t xml:space="preserve">Anti-Discrimination Act 1991 </w:t>
      </w:r>
      <w:r w:rsidRPr="007B0672">
        <w:rPr>
          <w:rFonts w:cs="Arial"/>
          <w:sz w:val="22"/>
          <w:szCs w:val="22"/>
        </w:rPr>
        <w:t>are areas of public life.  Work is an area of activity in which discrimination is prohibited.</w:t>
      </w:r>
      <w:r w:rsidRPr="007B0672">
        <w:rPr>
          <w:rStyle w:val="FootnoteReference"/>
          <w:rFonts w:cs="Arial"/>
          <w:sz w:val="22"/>
          <w:szCs w:val="22"/>
        </w:rPr>
        <w:footnoteReference w:id="4"/>
      </w:r>
      <w:r w:rsidRPr="007B0672">
        <w:rPr>
          <w:rFonts w:cs="Arial"/>
          <w:sz w:val="22"/>
          <w:szCs w:val="22"/>
        </w:rPr>
        <w:t xml:space="preserve">  Whilst entry into workplaces might be restricted to workers and service providers, an enclosed workplace might include numbers of people ranging from a few to many.  </w:t>
      </w:r>
      <w:r w:rsidR="00315939">
        <w:rPr>
          <w:rFonts w:cs="Arial"/>
          <w:sz w:val="22"/>
          <w:szCs w:val="22"/>
        </w:rPr>
        <w:t xml:space="preserve">Schools also include volunteers, parents, and lay people. </w:t>
      </w:r>
      <w:r w:rsidRPr="007B0672">
        <w:rPr>
          <w:rFonts w:cs="Arial"/>
          <w:sz w:val="22"/>
          <w:szCs w:val="22"/>
        </w:rPr>
        <w:t>People in a workplace comprise a segment of the public.  Likewise for educational institutions.</w:t>
      </w:r>
    </w:p>
    <w:p w14:paraId="5AF6A444" w14:textId="3303C2E6" w:rsidR="00980A54" w:rsidRPr="007B0672" w:rsidRDefault="00781861" w:rsidP="00C064A5">
      <w:pPr>
        <w:pStyle w:val="ListParagraph"/>
        <w:numPr>
          <w:ilvl w:val="0"/>
          <w:numId w:val="4"/>
        </w:numPr>
        <w:spacing w:before="120" w:after="240" w:line="276" w:lineRule="auto"/>
        <w:ind w:left="567" w:hanging="567"/>
        <w:contextualSpacing w:val="0"/>
        <w:rPr>
          <w:sz w:val="22"/>
          <w:szCs w:val="22"/>
        </w:rPr>
      </w:pPr>
      <w:r w:rsidRPr="007B0672">
        <w:rPr>
          <w:rFonts w:cs="Arial"/>
          <w:sz w:val="22"/>
          <w:szCs w:val="22"/>
        </w:rPr>
        <w:t>The Commission’s approach has been that groups of people in workplaces and schools are segments of the public.  This approach is consistent with the intention that only private</w:t>
      </w:r>
      <w:r w:rsidR="0019704A" w:rsidRPr="007B0672">
        <w:rPr>
          <w:rFonts w:cs="Arial"/>
          <w:sz w:val="22"/>
          <w:szCs w:val="22"/>
        </w:rPr>
        <w:t xml:space="preserve"> behaviour is excluded from the prohibition of vilification</w:t>
      </w:r>
      <w:r w:rsidR="00972034" w:rsidRPr="007B0672">
        <w:rPr>
          <w:rFonts w:cs="Arial"/>
          <w:sz w:val="22"/>
          <w:szCs w:val="22"/>
        </w:rPr>
        <w:t>,</w:t>
      </w:r>
      <w:r w:rsidR="004D4C51" w:rsidRPr="007B0672">
        <w:rPr>
          <w:rFonts w:cs="Arial"/>
          <w:sz w:val="22"/>
          <w:szCs w:val="22"/>
        </w:rPr>
        <w:t xml:space="preserve"> and that work and education are areas of public life</w:t>
      </w:r>
      <w:r w:rsidR="0019704A" w:rsidRPr="007B0672">
        <w:rPr>
          <w:rFonts w:cs="Arial"/>
          <w:sz w:val="22"/>
          <w:szCs w:val="22"/>
        </w:rPr>
        <w:t>.</w:t>
      </w:r>
    </w:p>
    <w:p w14:paraId="2098E713" w14:textId="088E7898" w:rsidR="00C54028" w:rsidRPr="007B0672" w:rsidRDefault="00980A54" w:rsidP="00C064A5">
      <w:pPr>
        <w:pStyle w:val="ListParagraph"/>
        <w:numPr>
          <w:ilvl w:val="0"/>
          <w:numId w:val="4"/>
        </w:numPr>
        <w:spacing w:before="120" w:after="240" w:line="276" w:lineRule="auto"/>
        <w:ind w:left="567" w:hanging="567"/>
        <w:contextualSpacing w:val="0"/>
        <w:rPr>
          <w:sz w:val="22"/>
          <w:szCs w:val="22"/>
        </w:rPr>
      </w:pPr>
      <w:r w:rsidRPr="007B0672">
        <w:rPr>
          <w:rFonts w:cs="Arial"/>
          <w:sz w:val="22"/>
          <w:szCs w:val="22"/>
        </w:rPr>
        <w:t>It would be anomalous that people who perform work outside with others, (for example construction workers, road workers, gardening and landscape providers, surveyors) are protected from vilification but those who work in enclosed environments do not have that protection.</w:t>
      </w:r>
    </w:p>
    <w:p w14:paraId="0887F3A0" w14:textId="0249CE5C" w:rsidR="004D4C51" w:rsidRPr="007B0672" w:rsidRDefault="004D4C51" w:rsidP="00323F91">
      <w:pPr>
        <w:pStyle w:val="ListParagraph"/>
        <w:numPr>
          <w:ilvl w:val="0"/>
          <w:numId w:val="4"/>
        </w:numPr>
        <w:spacing w:before="120" w:after="120" w:line="276" w:lineRule="auto"/>
        <w:ind w:left="567" w:hanging="567"/>
        <w:contextualSpacing w:val="0"/>
        <w:rPr>
          <w:rFonts w:cs="Arial"/>
          <w:sz w:val="22"/>
          <w:szCs w:val="22"/>
        </w:rPr>
      </w:pPr>
      <w:r w:rsidRPr="007B0672">
        <w:rPr>
          <w:rFonts w:cs="Arial"/>
          <w:sz w:val="22"/>
          <w:szCs w:val="22"/>
        </w:rPr>
        <w:t xml:space="preserve">The Commission urges the Committee to take this opportunity to recommend that the Bill clarify that a public act may occur in places such as workplaces and educational institutions.  This could be achieved by adding a note to subsection (3) that is to be inserted to section 124A by clause </w:t>
      </w:r>
      <w:r w:rsidR="009052F7">
        <w:rPr>
          <w:rFonts w:cs="Arial"/>
          <w:sz w:val="22"/>
          <w:szCs w:val="22"/>
        </w:rPr>
        <w:t>5</w:t>
      </w:r>
      <w:r w:rsidRPr="007B0672">
        <w:rPr>
          <w:rFonts w:cs="Arial"/>
          <w:sz w:val="22"/>
          <w:szCs w:val="22"/>
        </w:rPr>
        <w:t xml:space="preserve"> of the </w:t>
      </w:r>
      <w:r w:rsidR="009052F7">
        <w:rPr>
          <w:rFonts w:cs="Arial"/>
          <w:sz w:val="22"/>
          <w:szCs w:val="22"/>
        </w:rPr>
        <w:t>Bill</w:t>
      </w:r>
      <w:r w:rsidRPr="007B0672">
        <w:rPr>
          <w:rFonts w:cs="Arial"/>
          <w:sz w:val="22"/>
          <w:szCs w:val="22"/>
        </w:rPr>
        <w:t>, to the following effect:</w:t>
      </w:r>
    </w:p>
    <w:p w14:paraId="6299EF34" w14:textId="21085CDB" w:rsidR="004D4C51" w:rsidRPr="007B0672" w:rsidRDefault="004D4C51" w:rsidP="004D4C51">
      <w:pPr>
        <w:spacing w:before="120" w:after="200" w:line="259" w:lineRule="auto"/>
        <w:ind w:left="993" w:right="1021"/>
        <w:rPr>
          <w:rFonts w:cs="Arial"/>
          <w:i/>
          <w:iCs/>
          <w:sz w:val="22"/>
          <w:szCs w:val="22"/>
        </w:rPr>
      </w:pPr>
      <w:r w:rsidRPr="007B0672">
        <w:rPr>
          <w:rFonts w:cs="Arial"/>
          <w:i/>
          <w:iCs/>
          <w:sz w:val="22"/>
          <w:szCs w:val="22"/>
        </w:rPr>
        <w:t>Note: A public act may occur in a closed environment such as a workplace or an educational institution</w:t>
      </w:r>
      <w:r w:rsidR="00323F91" w:rsidRPr="007B0672">
        <w:rPr>
          <w:rFonts w:cs="Arial"/>
          <w:i/>
          <w:iCs/>
          <w:sz w:val="22"/>
          <w:szCs w:val="22"/>
        </w:rPr>
        <w:t xml:space="preserve"> w</w:t>
      </w:r>
      <w:r w:rsidR="0057682F" w:rsidRPr="007B0672">
        <w:rPr>
          <w:rFonts w:cs="Arial"/>
          <w:i/>
          <w:iCs/>
          <w:sz w:val="22"/>
          <w:szCs w:val="22"/>
        </w:rPr>
        <w:t>h</w:t>
      </w:r>
      <w:r w:rsidR="00323F91" w:rsidRPr="007B0672">
        <w:rPr>
          <w:rFonts w:cs="Arial"/>
          <w:i/>
          <w:iCs/>
          <w:sz w:val="22"/>
          <w:szCs w:val="22"/>
        </w:rPr>
        <w:t>ere people are present</w:t>
      </w:r>
      <w:r w:rsidRPr="007B0672">
        <w:rPr>
          <w:rFonts w:cs="Arial"/>
          <w:i/>
          <w:iCs/>
          <w:sz w:val="22"/>
          <w:szCs w:val="22"/>
        </w:rPr>
        <w:t>.</w:t>
      </w:r>
    </w:p>
    <w:p w14:paraId="5CB51697" w14:textId="1BDB84FD" w:rsidR="004D4C51" w:rsidRPr="007B0672" w:rsidRDefault="004D4C51" w:rsidP="00C064A5">
      <w:pPr>
        <w:pStyle w:val="ListParagraph"/>
        <w:numPr>
          <w:ilvl w:val="0"/>
          <w:numId w:val="4"/>
        </w:numPr>
        <w:spacing w:before="120" w:after="240" w:line="276" w:lineRule="auto"/>
        <w:ind w:left="567" w:hanging="567"/>
        <w:contextualSpacing w:val="0"/>
        <w:rPr>
          <w:sz w:val="22"/>
          <w:szCs w:val="22"/>
        </w:rPr>
      </w:pPr>
      <w:r w:rsidRPr="007B0672">
        <w:rPr>
          <w:sz w:val="22"/>
          <w:szCs w:val="22"/>
        </w:rPr>
        <w:t xml:space="preserve">For consistency, a correspondent note should also be added to subsection (2) of section 131A that will, by clause 7 of the Bill, become section 52A of the </w:t>
      </w:r>
      <w:r w:rsidRPr="007B0672">
        <w:rPr>
          <w:i/>
          <w:iCs/>
          <w:sz w:val="22"/>
          <w:szCs w:val="22"/>
        </w:rPr>
        <w:t>Criminal Code</w:t>
      </w:r>
      <w:r w:rsidRPr="007B0672">
        <w:rPr>
          <w:sz w:val="22"/>
          <w:szCs w:val="22"/>
        </w:rPr>
        <w:t>.</w:t>
      </w:r>
    </w:p>
    <w:p w14:paraId="269F6BEC" w14:textId="2E1A00F8" w:rsidR="00C54028" w:rsidRPr="00C54028" w:rsidRDefault="00C54028" w:rsidP="00C54028">
      <w:pPr>
        <w:pStyle w:val="Heading1"/>
        <w:keepLines w:val="0"/>
        <w:spacing w:before="360"/>
      </w:pPr>
      <w:bookmarkStart w:id="5" w:name="_Toc134102693"/>
      <w:r w:rsidRPr="005E3870">
        <w:t>Additional ground for vilification</w:t>
      </w:r>
      <w:r w:rsidR="00603433">
        <w:t xml:space="preserve"> and aggravation</w:t>
      </w:r>
      <w:bookmarkEnd w:id="5"/>
    </w:p>
    <w:p w14:paraId="01FD3AFA" w14:textId="11D8D8F1" w:rsidR="00C54028" w:rsidRDefault="005F198F" w:rsidP="00C064A5">
      <w:pPr>
        <w:pStyle w:val="ListParagraph"/>
        <w:numPr>
          <w:ilvl w:val="0"/>
          <w:numId w:val="4"/>
        </w:numPr>
        <w:spacing w:before="120" w:after="240" w:line="276" w:lineRule="auto"/>
        <w:ind w:left="567" w:hanging="567"/>
        <w:contextualSpacing w:val="0"/>
        <w:rPr>
          <w:sz w:val="22"/>
          <w:szCs w:val="22"/>
        </w:rPr>
      </w:pPr>
      <w:r>
        <w:rPr>
          <w:sz w:val="22"/>
          <w:szCs w:val="22"/>
        </w:rPr>
        <w:t xml:space="preserve">In undertaking the </w:t>
      </w:r>
      <w:r w:rsidR="00176208">
        <w:rPr>
          <w:sz w:val="22"/>
          <w:szCs w:val="22"/>
        </w:rPr>
        <w:t>Inquiry,</w:t>
      </w:r>
      <w:r>
        <w:rPr>
          <w:sz w:val="22"/>
          <w:szCs w:val="22"/>
        </w:rPr>
        <w:t xml:space="preserve"> the Committee heard that people with disabilities are subjected to vilification in public as well as in other areas of public life</w:t>
      </w:r>
      <w:r w:rsidR="00176208">
        <w:rPr>
          <w:sz w:val="22"/>
          <w:szCs w:val="22"/>
        </w:rPr>
        <w:t>.  The Committee heard evidence of distressing harassment and vilification experience</w:t>
      </w:r>
      <w:r w:rsidR="00050BB7">
        <w:rPr>
          <w:sz w:val="22"/>
          <w:szCs w:val="22"/>
        </w:rPr>
        <w:t>d</w:t>
      </w:r>
      <w:r w:rsidR="00176208">
        <w:rPr>
          <w:sz w:val="22"/>
          <w:szCs w:val="22"/>
        </w:rPr>
        <w:t xml:space="preserve"> by people of short stature when they try to go about their day-to-day life activities.</w:t>
      </w:r>
      <w:r w:rsidR="00B73B3F">
        <w:rPr>
          <w:rStyle w:val="FootnoteReference"/>
          <w:sz w:val="22"/>
          <w:szCs w:val="22"/>
        </w:rPr>
        <w:footnoteReference w:id="5"/>
      </w:r>
      <w:r w:rsidR="00176208">
        <w:rPr>
          <w:sz w:val="22"/>
          <w:szCs w:val="22"/>
        </w:rPr>
        <w:t xml:space="preserve">  The Committee also heard of the devastating impact of vilification on people with disability who are subjected to the conduct and on the community.</w:t>
      </w:r>
    </w:p>
    <w:p w14:paraId="06FEB313" w14:textId="34A676D7" w:rsidR="00176208" w:rsidRDefault="00176208" w:rsidP="00C064A5">
      <w:pPr>
        <w:pStyle w:val="ListParagraph"/>
        <w:numPr>
          <w:ilvl w:val="0"/>
          <w:numId w:val="4"/>
        </w:numPr>
        <w:spacing w:before="120" w:after="240" w:line="276" w:lineRule="auto"/>
        <w:ind w:left="567" w:hanging="567"/>
        <w:contextualSpacing w:val="0"/>
        <w:rPr>
          <w:sz w:val="22"/>
          <w:szCs w:val="22"/>
        </w:rPr>
      </w:pPr>
      <w:r>
        <w:rPr>
          <w:sz w:val="22"/>
          <w:szCs w:val="22"/>
        </w:rPr>
        <w:t xml:space="preserve">In a supplementary submission to the Inquiry the Commission considered that the criteria for including disability to the attributes protected from vilification were met.  The criteria </w:t>
      </w:r>
      <w:r w:rsidR="000B5340">
        <w:rPr>
          <w:sz w:val="22"/>
          <w:szCs w:val="22"/>
        </w:rPr>
        <w:t>comprise</w:t>
      </w:r>
      <w:r w:rsidR="00050BB7">
        <w:rPr>
          <w:sz w:val="22"/>
          <w:szCs w:val="22"/>
        </w:rPr>
        <w:t>:</w:t>
      </w:r>
      <w:r w:rsidR="000B5340">
        <w:rPr>
          <w:sz w:val="22"/>
          <w:szCs w:val="22"/>
        </w:rPr>
        <w:t xml:space="preserve"> </w:t>
      </w:r>
      <w:r>
        <w:rPr>
          <w:sz w:val="22"/>
          <w:szCs w:val="22"/>
        </w:rPr>
        <w:t>demonstrable need, additional harm, and suitability.</w:t>
      </w:r>
    </w:p>
    <w:p w14:paraId="648A7FC0" w14:textId="7E9AD381" w:rsidR="000B5340" w:rsidRDefault="00543019" w:rsidP="00C064A5">
      <w:pPr>
        <w:pStyle w:val="ListParagraph"/>
        <w:numPr>
          <w:ilvl w:val="0"/>
          <w:numId w:val="4"/>
        </w:numPr>
        <w:spacing w:before="120" w:after="240" w:line="276" w:lineRule="auto"/>
        <w:ind w:left="567" w:hanging="567"/>
        <w:contextualSpacing w:val="0"/>
        <w:rPr>
          <w:sz w:val="22"/>
          <w:szCs w:val="22"/>
        </w:rPr>
      </w:pPr>
      <w:r>
        <w:rPr>
          <w:sz w:val="22"/>
          <w:szCs w:val="22"/>
        </w:rPr>
        <w:lastRenderedPageBreak/>
        <w:t xml:space="preserve">Vilification was specifically excluded from the terms of reference for the Commission’s review of the </w:t>
      </w:r>
      <w:r w:rsidRPr="00543019">
        <w:rPr>
          <w:i/>
          <w:iCs/>
          <w:sz w:val="22"/>
          <w:szCs w:val="22"/>
        </w:rPr>
        <w:t>Anti-Discrimination Act 1991</w:t>
      </w:r>
      <w:r>
        <w:rPr>
          <w:sz w:val="22"/>
          <w:szCs w:val="22"/>
        </w:rPr>
        <w:t xml:space="preserve"> that culminated in the </w:t>
      </w:r>
      <w:r w:rsidR="00FD5411">
        <w:rPr>
          <w:sz w:val="22"/>
          <w:szCs w:val="22"/>
        </w:rPr>
        <w:t xml:space="preserve">Commission’s </w:t>
      </w:r>
      <w:r w:rsidR="000B5340" w:rsidRPr="00543019">
        <w:rPr>
          <w:i/>
          <w:iCs/>
          <w:sz w:val="22"/>
          <w:szCs w:val="22"/>
        </w:rPr>
        <w:t>Building Belonging</w:t>
      </w:r>
      <w:r w:rsidR="000B5340">
        <w:rPr>
          <w:sz w:val="22"/>
          <w:szCs w:val="22"/>
        </w:rPr>
        <w:t xml:space="preserve"> </w:t>
      </w:r>
      <w:r>
        <w:rPr>
          <w:sz w:val="22"/>
          <w:szCs w:val="22"/>
        </w:rPr>
        <w:t xml:space="preserve">report.  </w:t>
      </w:r>
      <w:r w:rsidR="00EC10FE">
        <w:rPr>
          <w:sz w:val="22"/>
          <w:szCs w:val="22"/>
        </w:rPr>
        <w:t>Consequently,</w:t>
      </w:r>
      <w:r>
        <w:rPr>
          <w:sz w:val="22"/>
          <w:szCs w:val="22"/>
        </w:rPr>
        <w:t xml:space="preserve"> the </w:t>
      </w:r>
      <w:r w:rsidRPr="00EC10FE">
        <w:rPr>
          <w:i/>
          <w:iCs/>
          <w:sz w:val="22"/>
          <w:szCs w:val="22"/>
        </w:rPr>
        <w:t>Building Belonging</w:t>
      </w:r>
      <w:r>
        <w:rPr>
          <w:sz w:val="22"/>
          <w:szCs w:val="22"/>
        </w:rPr>
        <w:t xml:space="preserve"> report does not make any recommendations in relation to additional grounds for unlawful vilification or serious vilification. </w:t>
      </w:r>
    </w:p>
    <w:p w14:paraId="4881840D" w14:textId="648C5A9B" w:rsidR="000B5340" w:rsidRDefault="00543019" w:rsidP="00375106">
      <w:pPr>
        <w:pStyle w:val="ListParagraph"/>
        <w:numPr>
          <w:ilvl w:val="0"/>
          <w:numId w:val="4"/>
        </w:numPr>
        <w:spacing w:before="120" w:after="120" w:line="276" w:lineRule="auto"/>
        <w:ind w:left="567" w:hanging="567"/>
        <w:contextualSpacing w:val="0"/>
        <w:rPr>
          <w:sz w:val="22"/>
          <w:szCs w:val="22"/>
        </w:rPr>
      </w:pPr>
      <w:r>
        <w:rPr>
          <w:sz w:val="22"/>
          <w:szCs w:val="22"/>
        </w:rPr>
        <w:t xml:space="preserve">However, </w:t>
      </w:r>
      <w:r w:rsidR="00EC10FE">
        <w:rPr>
          <w:sz w:val="22"/>
          <w:szCs w:val="22"/>
        </w:rPr>
        <w:t>a number of submissions to the Inquiry recommended expanding or clarifying the attributes for unlawful vilification and serious vilification.</w:t>
      </w:r>
      <w:r w:rsidR="00375106">
        <w:rPr>
          <w:sz w:val="22"/>
          <w:szCs w:val="22"/>
        </w:rPr>
        <w:t xml:space="preserve">  In the report on the Inquiry the Committee noted:</w:t>
      </w:r>
    </w:p>
    <w:p w14:paraId="777CD37B" w14:textId="6698085D" w:rsidR="00375106" w:rsidRPr="00375106" w:rsidRDefault="00375106" w:rsidP="00375106">
      <w:pPr>
        <w:spacing w:before="120" w:after="200" w:line="259" w:lineRule="auto"/>
        <w:ind w:left="993" w:right="1021"/>
        <w:rPr>
          <w:sz w:val="20"/>
          <w:szCs w:val="20"/>
        </w:rPr>
      </w:pPr>
      <w:r>
        <w:rPr>
          <w:sz w:val="20"/>
          <w:szCs w:val="20"/>
        </w:rPr>
        <w:t xml:space="preserve">Having reviewed all of the submitted suggestions, the committee considered that some very obvious omissions from protection, which can be the basis for people suffering from (in </w:t>
      </w:r>
      <w:r w:rsidR="007F70F5">
        <w:rPr>
          <w:sz w:val="20"/>
          <w:szCs w:val="20"/>
        </w:rPr>
        <w:t>s</w:t>
      </w:r>
      <w:r>
        <w:rPr>
          <w:sz w:val="20"/>
          <w:szCs w:val="20"/>
        </w:rPr>
        <w:t>ome cases, extreme) vilification, are ‘disability/impairment’, ‘medical status – including HIV/AIDS status</w:t>
      </w:r>
      <w:r w:rsidR="00F35555">
        <w:rPr>
          <w:sz w:val="20"/>
          <w:szCs w:val="20"/>
        </w:rPr>
        <w:t>’</w:t>
      </w:r>
      <w:r>
        <w:rPr>
          <w:sz w:val="20"/>
          <w:szCs w:val="20"/>
        </w:rPr>
        <w:t xml:space="preserve"> and the intersex community.</w:t>
      </w:r>
      <w:r>
        <w:rPr>
          <w:rStyle w:val="FootnoteReference"/>
          <w:sz w:val="20"/>
          <w:szCs w:val="20"/>
        </w:rPr>
        <w:footnoteReference w:id="6"/>
      </w:r>
    </w:p>
    <w:p w14:paraId="1FC22DCC" w14:textId="316FED53" w:rsidR="00375106" w:rsidRDefault="000F6CA1" w:rsidP="00C064A5">
      <w:pPr>
        <w:pStyle w:val="ListParagraph"/>
        <w:numPr>
          <w:ilvl w:val="0"/>
          <w:numId w:val="4"/>
        </w:numPr>
        <w:spacing w:before="120" w:after="240" w:line="276" w:lineRule="auto"/>
        <w:ind w:left="567" w:hanging="567"/>
        <w:contextualSpacing w:val="0"/>
        <w:rPr>
          <w:sz w:val="22"/>
          <w:szCs w:val="22"/>
        </w:rPr>
      </w:pPr>
      <w:r>
        <w:rPr>
          <w:sz w:val="22"/>
          <w:szCs w:val="22"/>
        </w:rPr>
        <w:t>Recommendation 4 of the Committee recommended that anti-vilification provisions (in both civil and criminal laws) cover a range of attributes, including sex characteristics and/or intersex status, disability, and medical status including HIV/AIDS status.</w:t>
      </w:r>
      <w:r>
        <w:rPr>
          <w:rStyle w:val="FootnoteReference"/>
          <w:sz w:val="22"/>
          <w:szCs w:val="22"/>
        </w:rPr>
        <w:footnoteReference w:id="7"/>
      </w:r>
      <w:r w:rsidR="000274F8">
        <w:rPr>
          <w:sz w:val="22"/>
          <w:szCs w:val="22"/>
        </w:rPr>
        <w:t xml:space="preserve">  The government response to th</w:t>
      </w:r>
      <w:r w:rsidR="00B071C1">
        <w:rPr>
          <w:sz w:val="22"/>
          <w:szCs w:val="22"/>
        </w:rPr>
        <w:t xml:space="preserve">e Committee’s report was </w:t>
      </w:r>
      <w:r w:rsidR="000274F8">
        <w:rPr>
          <w:sz w:val="22"/>
          <w:szCs w:val="22"/>
        </w:rPr>
        <w:t xml:space="preserve">tabled </w:t>
      </w:r>
      <w:r w:rsidR="00B071C1">
        <w:rPr>
          <w:sz w:val="22"/>
          <w:szCs w:val="22"/>
        </w:rPr>
        <w:t xml:space="preserve">on 26 May 2022.  The </w:t>
      </w:r>
      <w:r w:rsidR="00D33D5B">
        <w:rPr>
          <w:sz w:val="22"/>
          <w:szCs w:val="22"/>
        </w:rPr>
        <w:t xml:space="preserve">government supported in-principle recommendation 4, noting that the Commission was at that time reviewing the </w:t>
      </w:r>
      <w:r w:rsidR="00D33D5B" w:rsidRPr="00D33D5B">
        <w:rPr>
          <w:i/>
          <w:iCs/>
          <w:sz w:val="22"/>
          <w:szCs w:val="22"/>
        </w:rPr>
        <w:t>Anti-Discrimination Act 1991</w:t>
      </w:r>
      <w:r w:rsidR="00D33D5B">
        <w:rPr>
          <w:sz w:val="22"/>
          <w:szCs w:val="22"/>
        </w:rPr>
        <w:t xml:space="preserve"> and as part of that review was considering whether there is a need for any reform regarding current attributes in section 7 of the </w:t>
      </w:r>
      <w:r w:rsidR="00D33D5B" w:rsidRPr="00D33D5B">
        <w:rPr>
          <w:i/>
          <w:iCs/>
          <w:sz w:val="22"/>
          <w:szCs w:val="22"/>
        </w:rPr>
        <w:t>Anti-Discrimination Act 1991</w:t>
      </w:r>
      <w:r w:rsidR="00D33D5B">
        <w:rPr>
          <w:i/>
          <w:iCs/>
          <w:sz w:val="22"/>
          <w:szCs w:val="22"/>
        </w:rPr>
        <w:t xml:space="preserve">.  </w:t>
      </w:r>
      <w:r w:rsidR="00D33D5B">
        <w:rPr>
          <w:sz w:val="22"/>
          <w:szCs w:val="22"/>
        </w:rPr>
        <w:t>The response said the Committee’s recommended expansion of sections 124A and 131A</w:t>
      </w:r>
      <w:r w:rsidR="00B23F2C">
        <w:rPr>
          <w:sz w:val="22"/>
          <w:szCs w:val="22"/>
        </w:rPr>
        <w:t xml:space="preserve"> to capture additional attributes will be considered in the context of any broader reforms relevant to attributes recommended by the Commission.</w:t>
      </w:r>
    </w:p>
    <w:p w14:paraId="60BA6415" w14:textId="77777777" w:rsidR="00B23F2C" w:rsidRDefault="00B23F2C" w:rsidP="00642CB3">
      <w:pPr>
        <w:pStyle w:val="ListParagraph"/>
        <w:numPr>
          <w:ilvl w:val="0"/>
          <w:numId w:val="4"/>
        </w:numPr>
        <w:spacing w:before="120" w:after="120" w:line="276" w:lineRule="auto"/>
        <w:ind w:left="567" w:hanging="567"/>
        <w:contextualSpacing w:val="0"/>
        <w:rPr>
          <w:sz w:val="22"/>
          <w:szCs w:val="22"/>
        </w:rPr>
      </w:pPr>
      <w:r>
        <w:rPr>
          <w:sz w:val="22"/>
          <w:szCs w:val="22"/>
        </w:rPr>
        <w:t>Since the tabling of the government response to the Committee’s recommendations:</w:t>
      </w:r>
    </w:p>
    <w:p w14:paraId="2DF0447F" w14:textId="1B2494D4" w:rsidR="00B23F2C" w:rsidRDefault="00E745BA" w:rsidP="00642CB3">
      <w:pPr>
        <w:pStyle w:val="ListParagraph"/>
        <w:numPr>
          <w:ilvl w:val="1"/>
          <w:numId w:val="4"/>
        </w:numPr>
        <w:spacing w:before="120" w:after="120" w:line="276" w:lineRule="auto"/>
        <w:ind w:left="1418" w:hanging="567"/>
        <w:contextualSpacing w:val="0"/>
        <w:rPr>
          <w:sz w:val="22"/>
          <w:szCs w:val="22"/>
        </w:rPr>
      </w:pPr>
      <w:r>
        <w:rPr>
          <w:sz w:val="22"/>
          <w:szCs w:val="22"/>
        </w:rPr>
        <w:t>T</w:t>
      </w:r>
      <w:r w:rsidR="00B23F2C">
        <w:rPr>
          <w:sz w:val="22"/>
          <w:szCs w:val="22"/>
        </w:rPr>
        <w:t xml:space="preserve">he Commission presented the </w:t>
      </w:r>
      <w:r w:rsidR="00B23F2C">
        <w:rPr>
          <w:i/>
          <w:iCs/>
          <w:sz w:val="22"/>
          <w:szCs w:val="22"/>
        </w:rPr>
        <w:t xml:space="preserve">Building Belonging </w:t>
      </w:r>
      <w:r w:rsidR="00B23F2C">
        <w:rPr>
          <w:sz w:val="22"/>
          <w:szCs w:val="22"/>
        </w:rPr>
        <w:t xml:space="preserve">report on the review of the </w:t>
      </w:r>
      <w:r w:rsidR="00B23F2C" w:rsidRPr="00D33D5B">
        <w:rPr>
          <w:i/>
          <w:iCs/>
          <w:sz w:val="22"/>
          <w:szCs w:val="22"/>
        </w:rPr>
        <w:t xml:space="preserve">Anti-Discrimination Act </w:t>
      </w:r>
      <w:r w:rsidR="007F70F5" w:rsidRPr="00D33D5B">
        <w:rPr>
          <w:i/>
          <w:iCs/>
          <w:sz w:val="22"/>
          <w:szCs w:val="22"/>
        </w:rPr>
        <w:t>1991,</w:t>
      </w:r>
      <w:r w:rsidR="00B23F2C">
        <w:rPr>
          <w:i/>
          <w:iCs/>
          <w:sz w:val="22"/>
          <w:szCs w:val="22"/>
        </w:rPr>
        <w:t xml:space="preserve"> </w:t>
      </w:r>
      <w:r w:rsidR="00B23F2C">
        <w:rPr>
          <w:sz w:val="22"/>
          <w:szCs w:val="22"/>
        </w:rPr>
        <w:t xml:space="preserve">and it was tabled in parliament by the Attorney-General on </w:t>
      </w:r>
      <w:r>
        <w:rPr>
          <w:sz w:val="22"/>
          <w:szCs w:val="22"/>
        </w:rPr>
        <w:t>1 September 2022.</w:t>
      </w:r>
    </w:p>
    <w:p w14:paraId="6DB3E3D6" w14:textId="15198AB8" w:rsidR="0089790B" w:rsidRDefault="0089790B" w:rsidP="00642CB3">
      <w:pPr>
        <w:pStyle w:val="ListParagraph"/>
        <w:numPr>
          <w:ilvl w:val="1"/>
          <w:numId w:val="4"/>
        </w:numPr>
        <w:spacing w:before="120" w:after="120" w:line="276" w:lineRule="auto"/>
        <w:ind w:left="1418" w:hanging="567"/>
        <w:contextualSpacing w:val="0"/>
        <w:rPr>
          <w:sz w:val="22"/>
          <w:szCs w:val="22"/>
        </w:rPr>
      </w:pPr>
      <w:r>
        <w:rPr>
          <w:sz w:val="22"/>
          <w:szCs w:val="22"/>
        </w:rPr>
        <w:t>The Births, Deaths and Marriages Registration Bill 2022 was introduced into parliament on 2 December 2022.</w:t>
      </w:r>
    </w:p>
    <w:p w14:paraId="0FEB713D" w14:textId="7185D357" w:rsidR="0089790B" w:rsidRDefault="0089790B" w:rsidP="00B23F2C">
      <w:pPr>
        <w:pStyle w:val="ListParagraph"/>
        <w:numPr>
          <w:ilvl w:val="1"/>
          <w:numId w:val="4"/>
        </w:numPr>
        <w:spacing w:before="120" w:after="240" w:line="276" w:lineRule="auto"/>
        <w:ind w:left="1418" w:hanging="567"/>
        <w:contextualSpacing w:val="0"/>
        <w:rPr>
          <w:sz w:val="22"/>
          <w:szCs w:val="22"/>
        </w:rPr>
      </w:pPr>
      <w:r>
        <w:rPr>
          <w:sz w:val="22"/>
          <w:szCs w:val="22"/>
        </w:rPr>
        <w:t xml:space="preserve">The final government response to the </w:t>
      </w:r>
      <w:r w:rsidRPr="00F35555">
        <w:rPr>
          <w:i/>
          <w:iCs/>
          <w:sz w:val="22"/>
          <w:szCs w:val="22"/>
        </w:rPr>
        <w:t>Building Belonging</w:t>
      </w:r>
      <w:r>
        <w:rPr>
          <w:sz w:val="22"/>
          <w:szCs w:val="22"/>
        </w:rPr>
        <w:t xml:space="preserve"> report on the review of the </w:t>
      </w:r>
      <w:r w:rsidRPr="00D33D5B">
        <w:rPr>
          <w:i/>
          <w:iCs/>
          <w:sz w:val="22"/>
          <w:szCs w:val="22"/>
        </w:rPr>
        <w:t>Anti-Discrimination Act 1991</w:t>
      </w:r>
      <w:r>
        <w:rPr>
          <w:i/>
          <w:iCs/>
          <w:sz w:val="22"/>
          <w:szCs w:val="22"/>
        </w:rPr>
        <w:t xml:space="preserve"> </w:t>
      </w:r>
      <w:r>
        <w:rPr>
          <w:sz w:val="22"/>
          <w:szCs w:val="22"/>
        </w:rPr>
        <w:t>was table</w:t>
      </w:r>
      <w:r w:rsidR="00F35555">
        <w:rPr>
          <w:sz w:val="22"/>
          <w:szCs w:val="22"/>
        </w:rPr>
        <w:t>d</w:t>
      </w:r>
      <w:r>
        <w:rPr>
          <w:sz w:val="22"/>
          <w:szCs w:val="22"/>
        </w:rPr>
        <w:t xml:space="preserve"> in parliament by the Attorney-General on 3 April 2023.</w:t>
      </w:r>
    </w:p>
    <w:p w14:paraId="3E73D193" w14:textId="05A47675" w:rsidR="00AF1CC6" w:rsidRDefault="00AF1CC6" w:rsidP="00566526">
      <w:pPr>
        <w:pStyle w:val="ListParagraph"/>
        <w:numPr>
          <w:ilvl w:val="0"/>
          <w:numId w:val="4"/>
        </w:numPr>
        <w:spacing w:before="120" w:after="120" w:line="276" w:lineRule="auto"/>
        <w:ind w:left="567" w:hanging="567"/>
        <w:contextualSpacing w:val="0"/>
        <w:rPr>
          <w:sz w:val="22"/>
          <w:szCs w:val="22"/>
        </w:rPr>
      </w:pPr>
      <w:r>
        <w:rPr>
          <w:sz w:val="22"/>
          <w:szCs w:val="22"/>
        </w:rPr>
        <w:t xml:space="preserve">Recommendations in the </w:t>
      </w:r>
      <w:r w:rsidRPr="00AF1CC6">
        <w:rPr>
          <w:i/>
          <w:iCs/>
          <w:sz w:val="22"/>
          <w:szCs w:val="22"/>
        </w:rPr>
        <w:t>Building Belonging</w:t>
      </w:r>
      <w:r>
        <w:rPr>
          <w:sz w:val="22"/>
          <w:szCs w:val="22"/>
        </w:rPr>
        <w:t xml:space="preserve"> report relating to attributes include, relevantly:</w:t>
      </w:r>
    </w:p>
    <w:p w14:paraId="1004D8A4" w14:textId="608296A6" w:rsidR="00AF1CC6" w:rsidRDefault="00A57143" w:rsidP="00C51663">
      <w:pPr>
        <w:pStyle w:val="ListParagraph"/>
        <w:numPr>
          <w:ilvl w:val="1"/>
          <w:numId w:val="4"/>
        </w:numPr>
        <w:spacing w:before="120" w:after="120" w:line="276" w:lineRule="auto"/>
        <w:ind w:left="1418" w:hanging="567"/>
        <w:contextualSpacing w:val="0"/>
        <w:rPr>
          <w:sz w:val="22"/>
          <w:szCs w:val="22"/>
        </w:rPr>
      </w:pPr>
      <w:r>
        <w:rPr>
          <w:sz w:val="22"/>
          <w:szCs w:val="22"/>
        </w:rPr>
        <w:t>amend the definition of ‘impairment’ and renam</w:t>
      </w:r>
      <w:r w:rsidR="00A469D5">
        <w:rPr>
          <w:sz w:val="22"/>
          <w:szCs w:val="22"/>
        </w:rPr>
        <w:t>e</w:t>
      </w:r>
      <w:r>
        <w:rPr>
          <w:sz w:val="22"/>
          <w:szCs w:val="22"/>
        </w:rPr>
        <w:t xml:space="preserve"> it as ‘disability;</w:t>
      </w:r>
    </w:p>
    <w:p w14:paraId="0E66B72F" w14:textId="19D8C993" w:rsidR="00A57143" w:rsidRDefault="00A469D5" w:rsidP="00C51663">
      <w:pPr>
        <w:pStyle w:val="ListParagraph"/>
        <w:numPr>
          <w:ilvl w:val="1"/>
          <w:numId w:val="4"/>
        </w:numPr>
        <w:spacing w:before="120" w:after="120" w:line="276" w:lineRule="auto"/>
        <w:ind w:left="1418" w:hanging="567"/>
        <w:contextualSpacing w:val="0"/>
        <w:rPr>
          <w:sz w:val="22"/>
          <w:szCs w:val="22"/>
        </w:rPr>
      </w:pPr>
      <w:r>
        <w:rPr>
          <w:sz w:val="22"/>
          <w:szCs w:val="22"/>
        </w:rPr>
        <w:t>amend the definition of ‘gender identity’;</w:t>
      </w:r>
    </w:p>
    <w:p w14:paraId="2CB9DC34" w14:textId="3BCC566D" w:rsidR="00A469D5" w:rsidRDefault="00A469D5" w:rsidP="00C51663">
      <w:pPr>
        <w:pStyle w:val="ListParagraph"/>
        <w:numPr>
          <w:ilvl w:val="1"/>
          <w:numId w:val="4"/>
        </w:numPr>
        <w:spacing w:before="120" w:after="120" w:line="276" w:lineRule="auto"/>
        <w:ind w:left="1418" w:hanging="567"/>
        <w:contextualSpacing w:val="0"/>
        <w:rPr>
          <w:sz w:val="22"/>
          <w:szCs w:val="22"/>
        </w:rPr>
      </w:pPr>
      <w:r>
        <w:rPr>
          <w:sz w:val="22"/>
          <w:szCs w:val="22"/>
        </w:rPr>
        <w:t>amend the definition of ‘sexuality’ and rename it as ‘sexual orientation’;</w:t>
      </w:r>
    </w:p>
    <w:p w14:paraId="291C5995" w14:textId="31B3AFD9" w:rsidR="00A469D5" w:rsidRDefault="00A469D5" w:rsidP="00C51663">
      <w:pPr>
        <w:pStyle w:val="ListParagraph"/>
        <w:numPr>
          <w:ilvl w:val="1"/>
          <w:numId w:val="4"/>
        </w:numPr>
        <w:spacing w:before="120" w:after="120" w:line="276" w:lineRule="auto"/>
        <w:ind w:left="1418" w:hanging="567"/>
        <w:contextualSpacing w:val="0"/>
        <w:rPr>
          <w:sz w:val="22"/>
          <w:szCs w:val="22"/>
        </w:rPr>
      </w:pPr>
      <w:r>
        <w:rPr>
          <w:sz w:val="22"/>
          <w:szCs w:val="22"/>
        </w:rPr>
        <w:t xml:space="preserve">amend the definition of ‘race’ to </w:t>
      </w:r>
      <w:r w:rsidR="00C51663">
        <w:rPr>
          <w:sz w:val="22"/>
          <w:szCs w:val="22"/>
        </w:rPr>
        <w:t>include ‘immigration or migration status’;</w:t>
      </w:r>
    </w:p>
    <w:p w14:paraId="556DD63F" w14:textId="6D4F3207" w:rsidR="00C51663" w:rsidRDefault="00C51663" w:rsidP="00AF1CC6">
      <w:pPr>
        <w:pStyle w:val="ListParagraph"/>
        <w:numPr>
          <w:ilvl w:val="1"/>
          <w:numId w:val="4"/>
        </w:numPr>
        <w:spacing w:before="120" w:after="240" w:line="276" w:lineRule="auto"/>
        <w:ind w:left="1418" w:hanging="567"/>
        <w:contextualSpacing w:val="0"/>
        <w:rPr>
          <w:sz w:val="22"/>
          <w:szCs w:val="22"/>
        </w:rPr>
      </w:pPr>
      <w:r>
        <w:rPr>
          <w:sz w:val="22"/>
          <w:szCs w:val="22"/>
        </w:rPr>
        <w:lastRenderedPageBreak/>
        <w:t>include a new attribute of ‘sex characteristics’.</w:t>
      </w:r>
    </w:p>
    <w:p w14:paraId="08B26BD9" w14:textId="317AF353" w:rsidR="00BC1036" w:rsidRDefault="00BC1036" w:rsidP="00C064A5">
      <w:pPr>
        <w:pStyle w:val="ListParagraph"/>
        <w:numPr>
          <w:ilvl w:val="0"/>
          <w:numId w:val="4"/>
        </w:numPr>
        <w:spacing w:before="120" w:after="240" w:line="276" w:lineRule="auto"/>
        <w:ind w:left="567" w:hanging="567"/>
        <w:contextualSpacing w:val="0"/>
        <w:rPr>
          <w:sz w:val="22"/>
          <w:szCs w:val="22"/>
        </w:rPr>
      </w:pPr>
      <w:r>
        <w:rPr>
          <w:sz w:val="22"/>
          <w:szCs w:val="22"/>
        </w:rPr>
        <w:t>In terms of additional attributes recommended by the Commission, the only relevant additional attribute is ‘sex characteristics’.</w:t>
      </w:r>
    </w:p>
    <w:p w14:paraId="18F8CF0A" w14:textId="17CF59BD" w:rsidR="005772A9" w:rsidRDefault="005970C1" w:rsidP="00C064A5">
      <w:pPr>
        <w:pStyle w:val="ListParagraph"/>
        <w:numPr>
          <w:ilvl w:val="0"/>
          <w:numId w:val="4"/>
        </w:numPr>
        <w:spacing w:before="120" w:after="240" w:line="276" w:lineRule="auto"/>
        <w:ind w:left="567" w:hanging="567"/>
        <w:contextualSpacing w:val="0"/>
        <w:rPr>
          <w:sz w:val="22"/>
          <w:szCs w:val="22"/>
        </w:rPr>
      </w:pPr>
      <w:r>
        <w:rPr>
          <w:sz w:val="22"/>
          <w:szCs w:val="22"/>
        </w:rPr>
        <w:t>Unlawful vilification (section 124A) and serious vilification (section 131A) will be amended by t</w:t>
      </w:r>
      <w:r w:rsidR="005772A9">
        <w:rPr>
          <w:sz w:val="22"/>
          <w:szCs w:val="22"/>
        </w:rPr>
        <w:t>he Births, Deaths and Marriages Registration Bill 2022</w:t>
      </w:r>
      <w:r>
        <w:rPr>
          <w:sz w:val="22"/>
          <w:szCs w:val="22"/>
        </w:rPr>
        <w:t xml:space="preserve">, </w:t>
      </w:r>
      <w:r w:rsidR="005772A9">
        <w:rPr>
          <w:sz w:val="22"/>
          <w:szCs w:val="22"/>
        </w:rPr>
        <w:t>curren</w:t>
      </w:r>
      <w:r>
        <w:rPr>
          <w:sz w:val="22"/>
          <w:szCs w:val="22"/>
        </w:rPr>
        <w:t xml:space="preserve">tly before parliament, to include the attribute of ‘sex characteristics’.  The definition of ‘gender identity’ will be amended and a new attribute of ‘sex characteristics’ will be included.  The definition of ‘sex characteristics’ will </w:t>
      </w:r>
      <w:r w:rsidR="004F5CD4">
        <w:rPr>
          <w:sz w:val="22"/>
          <w:szCs w:val="22"/>
        </w:rPr>
        <w:t>cover intersex status.</w:t>
      </w:r>
    </w:p>
    <w:p w14:paraId="25C55FE7" w14:textId="7E2391F7" w:rsidR="004F5CD4" w:rsidRDefault="004F5CD4" w:rsidP="00C064A5">
      <w:pPr>
        <w:pStyle w:val="ListParagraph"/>
        <w:numPr>
          <w:ilvl w:val="0"/>
          <w:numId w:val="4"/>
        </w:numPr>
        <w:spacing w:before="120" w:after="240" w:line="276" w:lineRule="auto"/>
        <w:ind w:left="567" w:hanging="567"/>
        <w:contextualSpacing w:val="0"/>
        <w:rPr>
          <w:sz w:val="22"/>
          <w:szCs w:val="22"/>
        </w:rPr>
      </w:pPr>
      <w:r>
        <w:rPr>
          <w:sz w:val="22"/>
          <w:szCs w:val="22"/>
        </w:rPr>
        <w:t>HIV</w:t>
      </w:r>
      <w:r w:rsidR="00654264">
        <w:rPr>
          <w:sz w:val="22"/>
          <w:szCs w:val="22"/>
        </w:rPr>
        <w:t xml:space="preserve">/AIDS status is covered by the current definition of ‘impairment’ in the </w:t>
      </w:r>
      <w:r w:rsidR="00654264" w:rsidRPr="00654264">
        <w:rPr>
          <w:i/>
          <w:iCs/>
          <w:sz w:val="22"/>
          <w:szCs w:val="22"/>
        </w:rPr>
        <w:t>Anti-Discrimination Act 1991</w:t>
      </w:r>
      <w:r w:rsidR="00654264">
        <w:rPr>
          <w:sz w:val="22"/>
          <w:szCs w:val="22"/>
        </w:rPr>
        <w:t>.</w:t>
      </w:r>
      <w:r w:rsidR="00654264">
        <w:rPr>
          <w:rStyle w:val="FootnoteReference"/>
          <w:sz w:val="22"/>
          <w:szCs w:val="22"/>
        </w:rPr>
        <w:footnoteReference w:id="8"/>
      </w:r>
      <w:r w:rsidR="00654264">
        <w:rPr>
          <w:sz w:val="22"/>
          <w:szCs w:val="22"/>
        </w:rPr>
        <w:t xml:space="preserve">  </w:t>
      </w:r>
      <w:r w:rsidR="000274F8">
        <w:rPr>
          <w:sz w:val="22"/>
          <w:szCs w:val="22"/>
        </w:rPr>
        <w:t>Other medical statuses may also be covered.</w:t>
      </w:r>
    </w:p>
    <w:p w14:paraId="35A3B0DC" w14:textId="7B05D89E" w:rsidR="00BC1036" w:rsidRDefault="00BC1036" w:rsidP="00C064A5">
      <w:pPr>
        <w:pStyle w:val="ListParagraph"/>
        <w:numPr>
          <w:ilvl w:val="0"/>
          <w:numId w:val="4"/>
        </w:numPr>
        <w:spacing w:before="120" w:after="240" w:line="276" w:lineRule="auto"/>
        <w:ind w:left="567" w:hanging="567"/>
        <w:contextualSpacing w:val="0"/>
        <w:rPr>
          <w:sz w:val="22"/>
          <w:szCs w:val="22"/>
        </w:rPr>
      </w:pPr>
      <w:r>
        <w:rPr>
          <w:sz w:val="22"/>
          <w:szCs w:val="22"/>
        </w:rPr>
        <w:t xml:space="preserve">Although the objective of the Bill is to give effect to Recommendations 7, 8, 9, and 16 of the Committee’s report and to increase the maximum penalty for serious vilification, it is appropriate that this Bill also give effect to Recommendation 4.  The two new attributes for vilification recommended by the Committee are disability and sex characteristics.  Sex characteristics will be added </w:t>
      </w:r>
      <w:r w:rsidR="005E3870">
        <w:rPr>
          <w:sz w:val="22"/>
          <w:szCs w:val="22"/>
        </w:rPr>
        <w:t>by</w:t>
      </w:r>
      <w:r w:rsidR="00605841">
        <w:rPr>
          <w:sz w:val="22"/>
          <w:szCs w:val="22"/>
        </w:rPr>
        <w:t xml:space="preserve"> the Births, Deaths and Marriages Registration Bill 2022</w:t>
      </w:r>
      <w:r w:rsidR="005E3870">
        <w:rPr>
          <w:sz w:val="22"/>
          <w:szCs w:val="22"/>
        </w:rPr>
        <w:t xml:space="preserve"> leaving only disability to be added to the vilification protections.  This could be achieved by a simple amendment to clauses 5 and 7 of the Bill to insert ‘impairment’ in sections 124A and 131A respectively.</w:t>
      </w:r>
    </w:p>
    <w:p w14:paraId="2A541D83" w14:textId="1D21F3E2" w:rsidR="00603433" w:rsidRDefault="00603433" w:rsidP="00C064A5">
      <w:pPr>
        <w:pStyle w:val="ListParagraph"/>
        <w:numPr>
          <w:ilvl w:val="0"/>
          <w:numId w:val="4"/>
        </w:numPr>
        <w:spacing w:before="120" w:after="240" w:line="276" w:lineRule="auto"/>
        <w:ind w:left="567" w:hanging="567"/>
        <w:contextualSpacing w:val="0"/>
        <w:rPr>
          <w:sz w:val="22"/>
          <w:szCs w:val="22"/>
        </w:rPr>
      </w:pPr>
      <w:r>
        <w:rPr>
          <w:sz w:val="22"/>
          <w:szCs w:val="22"/>
        </w:rPr>
        <w:t xml:space="preserve">A corresponding amendment should be made in clause 12 of the Bill to include the attribute of impairment in the proposed new section 52B of the </w:t>
      </w:r>
      <w:r w:rsidRPr="00603433">
        <w:rPr>
          <w:i/>
          <w:iCs/>
          <w:sz w:val="22"/>
          <w:szCs w:val="22"/>
        </w:rPr>
        <w:t>Criminal Code</w:t>
      </w:r>
      <w:r>
        <w:rPr>
          <w:sz w:val="22"/>
          <w:szCs w:val="22"/>
        </w:rPr>
        <w:t>, subsections (1)(a) and (b).</w:t>
      </w:r>
    </w:p>
    <w:p w14:paraId="50EB4BB2" w14:textId="27EA8640" w:rsidR="007F70F5" w:rsidRDefault="009466A1" w:rsidP="00C6059B">
      <w:pPr>
        <w:pStyle w:val="ListParagraph"/>
        <w:numPr>
          <w:ilvl w:val="0"/>
          <w:numId w:val="4"/>
        </w:numPr>
        <w:spacing w:before="120" w:after="120" w:line="276" w:lineRule="auto"/>
        <w:ind w:left="567" w:hanging="567"/>
        <w:contextualSpacing w:val="0"/>
        <w:rPr>
          <w:sz w:val="22"/>
          <w:szCs w:val="22"/>
        </w:rPr>
      </w:pPr>
      <w:r>
        <w:rPr>
          <w:sz w:val="22"/>
          <w:szCs w:val="22"/>
        </w:rPr>
        <w:t xml:space="preserve">Adding impairment as a ground of unlawful vilification and serious vilification is consistent with obligations under the </w:t>
      </w:r>
      <w:r w:rsidRPr="001614A3">
        <w:rPr>
          <w:i/>
          <w:iCs/>
          <w:sz w:val="22"/>
          <w:szCs w:val="22"/>
        </w:rPr>
        <w:t>Convention on the Rights of Persons with Disabilities</w:t>
      </w:r>
      <w:r>
        <w:rPr>
          <w:sz w:val="22"/>
          <w:szCs w:val="22"/>
        </w:rPr>
        <w:t xml:space="preserve"> (the </w:t>
      </w:r>
      <w:r w:rsidRPr="001614A3">
        <w:rPr>
          <w:b/>
          <w:bCs/>
          <w:sz w:val="22"/>
          <w:szCs w:val="22"/>
        </w:rPr>
        <w:t>CRPD</w:t>
      </w:r>
      <w:r>
        <w:rPr>
          <w:sz w:val="22"/>
          <w:szCs w:val="22"/>
        </w:rPr>
        <w:t>) to which Australia is a party.</w:t>
      </w:r>
      <w:r w:rsidR="001614A3">
        <w:rPr>
          <w:sz w:val="22"/>
          <w:szCs w:val="22"/>
        </w:rPr>
        <w:t xml:space="preserve">  Article 16 of the CRPD imposes obligations to take legislative and other measures to protect persons with disability from violence and abuse, and to put in place effective legislation and policies to ensure that instances of violence and abuse against persons with disabilities are identified, investigated, and where appropriate, prosecuted.</w:t>
      </w:r>
      <w:r w:rsidR="007F70F5">
        <w:rPr>
          <w:sz w:val="22"/>
          <w:szCs w:val="22"/>
        </w:rPr>
        <w:t xml:space="preserve">  On</w:t>
      </w:r>
      <w:r w:rsidR="00315939">
        <w:rPr>
          <w:sz w:val="22"/>
          <w:szCs w:val="22"/>
        </w:rPr>
        <w:t>e</w:t>
      </w:r>
      <w:r w:rsidR="007F70F5">
        <w:rPr>
          <w:sz w:val="22"/>
          <w:szCs w:val="22"/>
        </w:rPr>
        <w:t xml:space="preserve"> of the indicators on freedom from violence, exploitation and abuse is: </w:t>
      </w:r>
    </w:p>
    <w:p w14:paraId="180B6CAD" w14:textId="049E848C" w:rsidR="009466A1" w:rsidRPr="00C6059B" w:rsidRDefault="007F70F5" w:rsidP="00C6059B">
      <w:pPr>
        <w:spacing w:before="120" w:after="200" w:line="259" w:lineRule="auto"/>
        <w:ind w:left="993" w:right="1021"/>
        <w:rPr>
          <w:sz w:val="20"/>
          <w:szCs w:val="20"/>
        </w:rPr>
      </w:pPr>
      <w:r w:rsidRPr="00C6059B">
        <w:rPr>
          <w:sz w:val="20"/>
          <w:szCs w:val="20"/>
        </w:rPr>
        <w:t>Legislation enacted to prohibit incitement to discrimination, hostility and violence and ‘hate speech explicitly include disability among protected grounds.</w:t>
      </w:r>
      <w:r w:rsidR="00C6059B">
        <w:rPr>
          <w:rStyle w:val="FootnoteReference"/>
          <w:sz w:val="20"/>
          <w:szCs w:val="20"/>
        </w:rPr>
        <w:footnoteReference w:id="9"/>
      </w:r>
    </w:p>
    <w:p w14:paraId="56EC068F" w14:textId="43148207" w:rsidR="001614A3" w:rsidRDefault="001614A3" w:rsidP="00C064A5">
      <w:pPr>
        <w:pStyle w:val="ListParagraph"/>
        <w:numPr>
          <w:ilvl w:val="0"/>
          <w:numId w:val="4"/>
        </w:numPr>
        <w:spacing w:before="120" w:after="240" w:line="276" w:lineRule="auto"/>
        <w:ind w:left="567" w:hanging="567"/>
        <w:contextualSpacing w:val="0"/>
        <w:rPr>
          <w:sz w:val="22"/>
          <w:szCs w:val="22"/>
        </w:rPr>
      </w:pPr>
      <w:r>
        <w:rPr>
          <w:sz w:val="22"/>
          <w:szCs w:val="22"/>
        </w:rPr>
        <w:t>The Commission urges the Committee to recommend that adding the ground of impairment occurs</w:t>
      </w:r>
      <w:r w:rsidR="00F35555">
        <w:rPr>
          <w:sz w:val="22"/>
          <w:szCs w:val="22"/>
        </w:rPr>
        <w:t xml:space="preserve"> now</w:t>
      </w:r>
      <w:r>
        <w:rPr>
          <w:sz w:val="22"/>
          <w:szCs w:val="22"/>
        </w:rPr>
        <w:t>.</w:t>
      </w:r>
    </w:p>
    <w:p w14:paraId="1527132F" w14:textId="484D174F" w:rsidR="00C54028" w:rsidRPr="00C54028" w:rsidRDefault="00C54028" w:rsidP="00F35555">
      <w:pPr>
        <w:pStyle w:val="Heading1"/>
        <w:keepLines w:val="0"/>
        <w:spacing w:before="360"/>
      </w:pPr>
      <w:bookmarkStart w:id="7" w:name="_Toc134102694"/>
      <w:r w:rsidRPr="00FF3AB9">
        <w:lastRenderedPageBreak/>
        <w:t>Hate symbols</w:t>
      </w:r>
      <w:bookmarkEnd w:id="7"/>
    </w:p>
    <w:p w14:paraId="7170C44C" w14:textId="73BEFC9E" w:rsidR="00B842AD" w:rsidRPr="00B842AD" w:rsidRDefault="00B842AD" w:rsidP="00351218">
      <w:pPr>
        <w:pStyle w:val="ListParagraph"/>
        <w:numPr>
          <w:ilvl w:val="0"/>
          <w:numId w:val="4"/>
        </w:numPr>
        <w:spacing w:before="120" w:after="240" w:line="276" w:lineRule="auto"/>
        <w:ind w:left="567" w:hanging="567"/>
        <w:contextualSpacing w:val="0"/>
        <w:rPr>
          <w:rFonts w:cs="Arial"/>
          <w:color w:val="000000"/>
          <w:sz w:val="22"/>
          <w:szCs w:val="22"/>
        </w:rPr>
      </w:pPr>
      <w:r w:rsidRPr="00B842AD">
        <w:rPr>
          <w:sz w:val="22"/>
          <w:szCs w:val="22"/>
        </w:rPr>
        <w:t xml:space="preserve">The Commission submitted to the Inquiry that </w:t>
      </w:r>
      <w:r w:rsidRPr="00B842AD">
        <w:rPr>
          <w:rFonts w:cs="Arial"/>
          <w:sz w:val="22"/>
          <w:szCs w:val="22"/>
        </w:rPr>
        <w:t xml:space="preserve">any regulation of the possession and display of </w:t>
      </w:r>
      <w:r w:rsidRPr="00B842AD">
        <w:rPr>
          <w:sz w:val="22"/>
          <w:szCs w:val="22"/>
        </w:rPr>
        <w:t>symbols</w:t>
      </w:r>
      <w:r w:rsidRPr="00B842AD">
        <w:rPr>
          <w:rFonts w:cs="Arial"/>
          <w:sz w:val="22"/>
          <w:szCs w:val="22"/>
        </w:rPr>
        <w:t xml:space="preserve"> and insignia must contain appropriate exceptions that include the historical, cultural, and religious significance of some symbols.  Of concern is the appropriation of the term ‘swastika’ in relation to the Nazi Party and its association with genocide, racism, and white supremacy.  </w:t>
      </w:r>
      <w:r w:rsidRPr="00B842AD">
        <w:rPr>
          <w:rFonts w:cs="Arial"/>
          <w:color w:val="000000"/>
          <w:sz w:val="22"/>
          <w:szCs w:val="22"/>
        </w:rPr>
        <w:t>The swastika is an ancient and revered symbol with profound meaning in Hinduism, Buddhism, and Jainism.  These communities feel strongly that the appropriation of this important religious symbol by the Nazi Party, and by other organisations such as the Carlsberg brewery, is highly offensive and cultural theft.</w:t>
      </w:r>
    </w:p>
    <w:p w14:paraId="453DB1B0" w14:textId="64E0C126" w:rsidR="00C54028" w:rsidRDefault="00B842AD" w:rsidP="00C064A5">
      <w:pPr>
        <w:pStyle w:val="ListParagraph"/>
        <w:numPr>
          <w:ilvl w:val="0"/>
          <w:numId w:val="4"/>
        </w:numPr>
        <w:spacing w:before="120" w:after="240" w:line="276" w:lineRule="auto"/>
        <w:ind w:left="567" w:hanging="567"/>
        <w:contextualSpacing w:val="0"/>
        <w:rPr>
          <w:sz w:val="22"/>
          <w:szCs w:val="22"/>
        </w:rPr>
      </w:pPr>
      <w:r>
        <w:rPr>
          <w:sz w:val="22"/>
          <w:szCs w:val="22"/>
        </w:rPr>
        <w:t>The Committee considered that the display of symbols of hate, such as the Nazi swastika and symbols of ISIS ideology, should be banned, and stressed that such a ban should include exceptions so that, for example, symbols from Hinduism, Buddhism, and Jainism are not inadvertently prohibited.</w:t>
      </w:r>
    </w:p>
    <w:p w14:paraId="1D5EBA41" w14:textId="54B333E7" w:rsidR="00B842AD" w:rsidRDefault="00B842AD" w:rsidP="00C064A5">
      <w:pPr>
        <w:pStyle w:val="ListParagraph"/>
        <w:numPr>
          <w:ilvl w:val="0"/>
          <w:numId w:val="4"/>
        </w:numPr>
        <w:spacing w:before="120" w:after="240" w:line="276" w:lineRule="auto"/>
        <w:ind w:left="567" w:hanging="567"/>
        <w:contextualSpacing w:val="0"/>
        <w:rPr>
          <w:sz w:val="22"/>
          <w:szCs w:val="22"/>
        </w:rPr>
      </w:pPr>
      <w:r>
        <w:rPr>
          <w:sz w:val="22"/>
          <w:szCs w:val="22"/>
        </w:rPr>
        <w:t xml:space="preserve">The Commission considers the proposed new offence that prohibits the </w:t>
      </w:r>
      <w:r w:rsidR="00100103">
        <w:rPr>
          <w:sz w:val="22"/>
          <w:szCs w:val="22"/>
        </w:rPr>
        <w:t xml:space="preserve">public distribution, publication, or public display of prohibited symbols, achieves an appropriate balance of the objective of protecting Queenslanders, particularly those from persecuted communities, and freedom of religion and public interest.  The </w:t>
      </w:r>
      <w:r w:rsidR="005C157C">
        <w:rPr>
          <w:sz w:val="22"/>
          <w:szCs w:val="22"/>
        </w:rPr>
        <w:t>criterion</w:t>
      </w:r>
      <w:r w:rsidR="00100103">
        <w:rPr>
          <w:sz w:val="22"/>
          <w:szCs w:val="22"/>
        </w:rPr>
        <w:t xml:space="preserve"> for prescribing a prohibited symbol </w:t>
      </w:r>
      <w:r w:rsidR="00372509">
        <w:rPr>
          <w:sz w:val="22"/>
          <w:szCs w:val="22"/>
        </w:rPr>
        <w:t xml:space="preserve">takes account of those that are </w:t>
      </w:r>
      <w:r w:rsidR="005C157C">
        <w:rPr>
          <w:sz w:val="22"/>
          <w:szCs w:val="22"/>
        </w:rPr>
        <w:t>widely</w:t>
      </w:r>
      <w:r w:rsidR="00372509">
        <w:rPr>
          <w:sz w:val="22"/>
          <w:szCs w:val="22"/>
        </w:rPr>
        <w:t xml:space="preserve"> known </w:t>
      </w:r>
      <w:r w:rsidR="00100103">
        <w:rPr>
          <w:sz w:val="22"/>
          <w:szCs w:val="22"/>
        </w:rPr>
        <w:t xml:space="preserve">by </w:t>
      </w:r>
      <w:r w:rsidR="00372509">
        <w:rPr>
          <w:sz w:val="22"/>
          <w:szCs w:val="22"/>
        </w:rPr>
        <w:t xml:space="preserve">the public </w:t>
      </w:r>
      <w:r w:rsidR="005C157C">
        <w:rPr>
          <w:sz w:val="22"/>
          <w:szCs w:val="22"/>
        </w:rPr>
        <w:t>as well as those widely known</w:t>
      </w:r>
      <w:r w:rsidR="00372509">
        <w:rPr>
          <w:sz w:val="22"/>
          <w:szCs w:val="22"/>
        </w:rPr>
        <w:t xml:space="preserve"> by members of a relevant group</w:t>
      </w:r>
      <w:r w:rsidR="00821C4C">
        <w:rPr>
          <w:sz w:val="22"/>
          <w:szCs w:val="22"/>
        </w:rPr>
        <w:t>.  T</w:t>
      </w:r>
      <w:r w:rsidR="00372509">
        <w:rPr>
          <w:sz w:val="22"/>
          <w:szCs w:val="22"/>
        </w:rPr>
        <w:t xml:space="preserve">he process for prescribing </w:t>
      </w:r>
      <w:r w:rsidR="00821C4C">
        <w:rPr>
          <w:sz w:val="22"/>
          <w:szCs w:val="22"/>
        </w:rPr>
        <w:t xml:space="preserve">a prohibited symbol </w:t>
      </w:r>
      <w:r w:rsidR="00372509">
        <w:rPr>
          <w:sz w:val="22"/>
          <w:szCs w:val="22"/>
        </w:rPr>
        <w:t xml:space="preserve">by </w:t>
      </w:r>
      <w:r w:rsidR="00100103">
        <w:rPr>
          <w:sz w:val="22"/>
          <w:szCs w:val="22"/>
        </w:rPr>
        <w:t>regulation</w:t>
      </w:r>
      <w:r w:rsidR="00372509">
        <w:rPr>
          <w:sz w:val="22"/>
          <w:szCs w:val="22"/>
        </w:rPr>
        <w:t xml:space="preserve"> requires consultation by the Minister and recommendation to the Governor in Council.  The Commission considers </w:t>
      </w:r>
      <w:r w:rsidR="00821C4C">
        <w:rPr>
          <w:sz w:val="22"/>
          <w:szCs w:val="22"/>
        </w:rPr>
        <w:t xml:space="preserve">the criterion is sufficiently comprehensive and the process </w:t>
      </w:r>
      <w:r w:rsidR="00FF3AB9">
        <w:rPr>
          <w:sz w:val="22"/>
          <w:szCs w:val="22"/>
        </w:rPr>
        <w:t>is an appropriate delegation of legislative power to appropriate persons in order to achieve flexibility to account for current and emerging symbols of hate.</w:t>
      </w:r>
    </w:p>
    <w:p w14:paraId="1E8FF50E" w14:textId="77777777" w:rsidR="00821C4C" w:rsidRDefault="005C157C" w:rsidP="00C064A5">
      <w:pPr>
        <w:pStyle w:val="ListParagraph"/>
        <w:numPr>
          <w:ilvl w:val="0"/>
          <w:numId w:val="4"/>
        </w:numPr>
        <w:spacing w:before="120" w:after="240" w:line="276" w:lineRule="auto"/>
        <w:ind w:left="567" w:hanging="567"/>
        <w:contextualSpacing w:val="0"/>
        <w:rPr>
          <w:sz w:val="22"/>
          <w:szCs w:val="22"/>
        </w:rPr>
      </w:pPr>
      <w:r>
        <w:rPr>
          <w:sz w:val="22"/>
          <w:szCs w:val="22"/>
        </w:rPr>
        <w:t xml:space="preserve">However, the definition of ‘publicly displays’ in subsection (4) of proposed section 52D of the Criminal Code would not apply to enclosed workplaces (such as offices where entry is restricted) and possibly schools and other educational institutions.  </w:t>
      </w:r>
    </w:p>
    <w:p w14:paraId="04B477B8" w14:textId="79BAD570" w:rsidR="00372509" w:rsidRDefault="005C157C" w:rsidP="00C064A5">
      <w:pPr>
        <w:pStyle w:val="ListParagraph"/>
        <w:numPr>
          <w:ilvl w:val="0"/>
          <w:numId w:val="4"/>
        </w:numPr>
        <w:spacing w:before="120" w:after="240" w:line="276" w:lineRule="auto"/>
        <w:ind w:left="567" w:hanging="567"/>
        <w:contextualSpacing w:val="0"/>
        <w:rPr>
          <w:sz w:val="22"/>
          <w:szCs w:val="22"/>
        </w:rPr>
      </w:pPr>
      <w:r>
        <w:rPr>
          <w:sz w:val="22"/>
          <w:szCs w:val="22"/>
        </w:rPr>
        <w:t xml:space="preserve">There is no </w:t>
      </w:r>
      <w:r w:rsidR="00821C4C">
        <w:rPr>
          <w:sz w:val="22"/>
          <w:szCs w:val="22"/>
        </w:rPr>
        <w:t xml:space="preserve">apparent </w:t>
      </w:r>
      <w:r>
        <w:rPr>
          <w:sz w:val="22"/>
          <w:szCs w:val="22"/>
        </w:rPr>
        <w:t>jus</w:t>
      </w:r>
      <w:r w:rsidR="00821C4C">
        <w:rPr>
          <w:sz w:val="22"/>
          <w:szCs w:val="22"/>
        </w:rPr>
        <w:t>t</w:t>
      </w:r>
      <w:r>
        <w:rPr>
          <w:sz w:val="22"/>
          <w:szCs w:val="22"/>
        </w:rPr>
        <w:t>ification</w:t>
      </w:r>
      <w:r w:rsidR="00821C4C">
        <w:rPr>
          <w:sz w:val="22"/>
          <w:szCs w:val="22"/>
        </w:rPr>
        <w:t xml:space="preserve"> for the display of a prohibited symbol in an enclosed workplace to not be caught by the prohibition where the display in an outside workplace would be caught.  This issue is similar to that discussed in the submission in relation to the definition of ‘public act’ for unlawful vilification and serious vilification.</w:t>
      </w:r>
    </w:p>
    <w:p w14:paraId="0F9B221A" w14:textId="173B5EB3" w:rsidR="000E3824" w:rsidRDefault="000E3824" w:rsidP="00C064A5">
      <w:pPr>
        <w:pStyle w:val="ListParagraph"/>
        <w:numPr>
          <w:ilvl w:val="0"/>
          <w:numId w:val="4"/>
        </w:numPr>
        <w:spacing w:before="120" w:after="240" w:line="276" w:lineRule="auto"/>
        <w:ind w:left="567" w:hanging="567"/>
        <w:contextualSpacing w:val="0"/>
        <w:rPr>
          <w:sz w:val="22"/>
          <w:szCs w:val="22"/>
        </w:rPr>
      </w:pPr>
      <w:r>
        <w:rPr>
          <w:sz w:val="22"/>
          <w:szCs w:val="22"/>
        </w:rPr>
        <w:t xml:space="preserve">Another concern is whether ‘publicly displays’ would apply to a hospital situation.  The Commission is aware of a situation where a patient on a ward in a hospital had a tattoo of the </w:t>
      </w:r>
      <w:r w:rsidR="00403F1D">
        <w:rPr>
          <w:sz w:val="22"/>
          <w:szCs w:val="22"/>
        </w:rPr>
        <w:t xml:space="preserve">SS </w:t>
      </w:r>
      <w:r>
        <w:rPr>
          <w:sz w:val="22"/>
          <w:szCs w:val="22"/>
        </w:rPr>
        <w:t>Nazi symbol of their chest and refused to wear clothing to cover it.</w:t>
      </w:r>
      <w:r w:rsidR="0047620D">
        <w:rPr>
          <w:rStyle w:val="FootnoteReference"/>
          <w:sz w:val="22"/>
          <w:szCs w:val="22"/>
        </w:rPr>
        <w:footnoteReference w:id="10"/>
      </w:r>
      <w:r w:rsidR="00045B8A">
        <w:rPr>
          <w:sz w:val="22"/>
          <w:szCs w:val="22"/>
        </w:rPr>
        <w:t xml:space="preserve">  We know of at least one staff member who found it offensive and caused them distress is undertaking their work tasks.  Whilst public hospitals are open to the public </w:t>
      </w:r>
      <w:r w:rsidR="000074F8">
        <w:rPr>
          <w:sz w:val="22"/>
          <w:szCs w:val="22"/>
        </w:rPr>
        <w:t>in some circumstance</w:t>
      </w:r>
      <w:r w:rsidR="005B73B8">
        <w:rPr>
          <w:sz w:val="22"/>
          <w:szCs w:val="22"/>
        </w:rPr>
        <w:t>s</w:t>
      </w:r>
      <w:r w:rsidR="000074F8">
        <w:rPr>
          <w:sz w:val="22"/>
          <w:szCs w:val="22"/>
        </w:rPr>
        <w:t xml:space="preserve">, for example </w:t>
      </w:r>
      <w:r w:rsidR="00045B8A">
        <w:rPr>
          <w:sz w:val="22"/>
          <w:szCs w:val="22"/>
        </w:rPr>
        <w:t xml:space="preserve">to go to the emergency centre and to visit patients on wards during visiting hours, the wards are not </w:t>
      </w:r>
      <w:r w:rsidR="005B3026">
        <w:rPr>
          <w:sz w:val="22"/>
          <w:szCs w:val="22"/>
        </w:rPr>
        <w:lastRenderedPageBreak/>
        <w:t xml:space="preserve">otherwise </w:t>
      </w:r>
      <w:r w:rsidR="00045B8A">
        <w:rPr>
          <w:sz w:val="22"/>
          <w:szCs w:val="22"/>
        </w:rPr>
        <w:t>generally open to the public.</w:t>
      </w:r>
      <w:r w:rsidR="005B3026">
        <w:rPr>
          <w:sz w:val="22"/>
          <w:szCs w:val="22"/>
        </w:rPr>
        <w:t xml:space="preserve">  And the question arises whether i</w:t>
      </w:r>
      <w:r w:rsidR="005B73B8">
        <w:rPr>
          <w:sz w:val="22"/>
          <w:szCs w:val="22"/>
        </w:rPr>
        <w:t>t</w:t>
      </w:r>
      <w:r w:rsidR="005B3026">
        <w:rPr>
          <w:sz w:val="22"/>
          <w:szCs w:val="22"/>
        </w:rPr>
        <w:t xml:space="preserve"> would be a public display if the patient wore clothing that covered the tattoo during visiting hours but no</w:t>
      </w:r>
      <w:r w:rsidR="002945A3">
        <w:rPr>
          <w:sz w:val="22"/>
          <w:szCs w:val="22"/>
        </w:rPr>
        <w:t>t</w:t>
      </w:r>
      <w:r w:rsidR="005B3026">
        <w:rPr>
          <w:sz w:val="22"/>
          <w:szCs w:val="22"/>
        </w:rPr>
        <w:t xml:space="preserve"> otherwise.</w:t>
      </w:r>
    </w:p>
    <w:p w14:paraId="068911AF" w14:textId="6BB7801D" w:rsidR="00FF3AB9" w:rsidRDefault="00FF3AB9" w:rsidP="00C064A5">
      <w:pPr>
        <w:pStyle w:val="ListParagraph"/>
        <w:numPr>
          <w:ilvl w:val="0"/>
          <w:numId w:val="4"/>
        </w:numPr>
        <w:spacing w:before="120" w:after="240" w:line="276" w:lineRule="auto"/>
        <w:ind w:left="567" w:hanging="567"/>
        <w:contextualSpacing w:val="0"/>
        <w:rPr>
          <w:sz w:val="22"/>
          <w:szCs w:val="22"/>
        </w:rPr>
      </w:pPr>
      <w:r>
        <w:rPr>
          <w:sz w:val="22"/>
          <w:szCs w:val="22"/>
        </w:rPr>
        <w:t>The Commission recommends amendment of proposed section 52D(4) to make it clear that ‘publicly displays’ includes workplaces</w:t>
      </w:r>
      <w:r w:rsidR="000E3824">
        <w:rPr>
          <w:sz w:val="22"/>
          <w:szCs w:val="22"/>
        </w:rPr>
        <w:t xml:space="preserve">, </w:t>
      </w:r>
      <w:r>
        <w:rPr>
          <w:sz w:val="22"/>
          <w:szCs w:val="22"/>
        </w:rPr>
        <w:t>educational institutions</w:t>
      </w:r>
      <w:r w:rsidR="000E3824">
        <w:rPr>
          <w:sz w:val="22"/>
          <w:szCs w:val="22"/>
        </w:rPr>
        <w:t>, and hospitals</w:t>
      </w:r>
      <w:r>
        <w:rPr>
          <w:sz w:val="22"/>
          <w:szCs w:val="22"/>
        </w:rPr>
        <w:t>.</w:t>
      </w:r>
    </w:p>
    <w:p w14:paraId="3797DA3B" w14:textId="18E2A784" w:rsidR="00C54028" w:rsidRPr="00C54028" w:rsidRDefault="00C54028" w:rsidP="00C54028">
      <w:pPr>
        <w:pStyle w:val="Heading1"/>
        <w:keepLines w:val="0"/>
        <w:spacing w:before="360"/>
      </w:pPr>
      <w:bookmarkStart w:id="8" w:name="_Toc134102695"/>
      <w:r w:rsidRPr="00C54028">
        <w:t>Test for aggravation</w:t>
      </w:r>
      <w:bookmarkEnd w:id="8"/>
    </w:p>
    <w:p w14:paraId="61AA4707" w14:textId="58751422" w:rsidR="00C54028" w:rsidRDefault="008C310D" w:rsidP="00C064A5">
      <w:pPr>
        <w:pStyle w:val="ListParagraph"/>
        <w:numPr>
          <w:ilvl w:val="0"/>
          <w:numId w:val="4"/>
        </w:numPr>
        <w:spacing w:before="120" w:after="240" w:line="276" w:lineRule="auto"/>
        <w:ind w:left="567" w:hanging="567"/>
        <w:contextualSpacing w:val="0"/>
        <w:rPr>
          <w:sz w:val="22"/>
          <w:szCs w:val="22"/>
        </w:rPr>
      </w:pPr>
      <w:r>
        <w:rPr>
          <w:sz w:val="22"/>
          <w:szCs w:val="22"/>
        </w:rPr>
        <w:t>Aggravated offences involve hostility towards individuals or groups with specified attributes.  The effect of adding a circumstance of aggravation to existing offences is to increase the maximum penalty that a judge or magistrate may impose.</w:t>
      </w:r>
      <w:r w:rsidR="00F910C7">
        <w:rPr>
          <w:sz w:val="22"/>
          <w:szCs w:val="22"/>
        </w:rPr>
        <w:t xml:space="preserve">  The Bill identifies hostility as hatred or serious contempt.</w:t>
      </w:r>
      <w:r w:rsidR="00AA57F5">
        <w:rPr>
          <w:rStyle w:val="FootnoteReference"/>
          <w:sz w:val="22"/>
          <w:szCs w:val="22"/>
        </w:rPr>
        <w:footnoteReference w:id="11"/>
      </w:r>
      <w:r w:rsidR="00F910C7">
        <w:rPr>
          <w:sz w:val="22"/>
          <w:szCs w:val="22"/>
        </w:rPr>
        <w:t xml:space="preserve"> </w:t>
      </w:r>
    </w:p>
    <w:p w14:paraId="20CE73D2" w14:textId="7F76B910" w:rsidR="00414C71" w:rsidRDefault="0067442F" w:rsidP="00C064A5">
      <w:pPr>
        <w:pStyle w:val="ListParagraph"/>
        <w:numPr>
          <w:ilvl w:val="0"/>
          <w:numId w:val="4"/>
        </w:numPr>
        <w:spacing w:before="120" w:after="240" w:line="276" w:lineRule="auto"/>
        <w:ind w:left="567" w:hanging="567"/>
        <w:contextualSpacing w:val="0"/>
        <w:rPr>
          <w:sz w:val="22"/>
          <w:szCs w:val="22"/>
        </w:rPr>
      </w:pPr>
      <w:r>
        <w:rPr>
          <w:sz w:val="22"/>
          <w:szCs w:val="22"/>
        </w:rPr>
        <w:t>A key purpose of hate crime laws is to signal the unacceptability of the conduct</w:t>
      </w:r>
      <w:r w:rsidR="0037261B">
        <w:rPr>
          <w:sz w:val="22"/>
          <w:szCs w:val="22"/>
        </w:rPr>
        <w:t>. A</w:t>
      </w:r>
      <w:r w:rsidR="00414C71">
        <w:rPr>
          <w:sz w:val="22"/>
          <w:szCs w:val="22"/>
        </w:rPr>
        <w:t>ggravated offence</w:t>
      </w:r>
      <w:r>
        <w:rPr>
          <w:sz w:val="22"/>
          <w:szCs w:val="22"/>
        </w:rPr>
        <w:t>s</w:t>
      </w:r>
      <w:r w:rsidR="00414C71">
        <w:rPr>
          <w:sz w:val="22"/>
          <w:szCs w:val="22"/>
        </w:rPr>
        <w:t xml:space="preserve"> </w:t>
      </w:r>
      <w:r>
        <w:rPr>
          <w:sz w:val="22"/>
          <w:szCs w:val="22"/>
        </w:rPr>
        <w:t>are</w:t>
      </w:r>
      <w:r w:rsidR="00414C71">
        <w:rPr>
          <w:sz w:val="22"/>
          <w:szCs w:val="22"/>
        </w:rPr>
        <w:t xml:space="preserve"> among the most powerful forms of condemnation of characteristic-based criminal hostility.</w:t>
      </w:r>
      <w:r w:rsidR="00414C71">
        <w:rPr>
          <w:rStyle w:val="FootnoteReference"/>
          <w:sz w:val="22"/>
          <w:szCs w:val="22"/>
        </w:rPr>
        <w:footnoteReference w:id="12"/>
      </w:r>
    </w:p>
    <w:p w14:paraId="260756AD" w14:textId="106A2EAC" w:rsidR="0067442F" w:rsidRDefault="0067442F" w:rsidP="009D652B">
      <w:pPr>
        <w:pStyle w:val="ListParagraph"/>
        <w:numPr>
          <w:ilvl w:val="0"/>
          <w:numId w:val="4"/>
        </w:numPr>
        <w:spacing w:before="120" w:after="120" w:line="276" w:lineRule="auto"/>
        <w:ind w:left="567" w:hanging="567"/>
        <w:contextualSpacing w:val="0"/>
        <w:rPr>
          <w:sz w:val="22"/>
          <w:szCs w:val="22"/>
        </w:rPr>
      </w:pPr>
      <w:r>
        <w:rPr>
          <w:sz w:val="22"/>
          <w:szCs w:val="22"/>
        </w:rPr>
        <w:t>The Bill prescribes the legal test for aggravation as the offender bein</w:t>
      </w:r>
      <w:r w:rsidR="00C409E1">
        <w:rPr>
          <w:sz w:val="22"/>
          <w:szCs w:val="22"/>
        </w:rPr>
        <w:t>g</w:t>
      </w:r>
      <w:r>
        <w:rPr>
          <w:sz w:val="22"/>
          <w:szCs w:val="22"/>
        </w:rPr>
        <w:t xml:space="preserve"> wholly or partially motivated to commit</w:t>
      </w:r>
      <w:r w:rsidR="009D652B">
        <w:rPr>
          <w:sz w:val="22"/>
          <w:szCs w:val="22"/>
        </w:rPr>
        <w:t xml:space="preserve"> the offence by hatred or serious contempt for a person or group based on prescribed attributes.  The prescribed attributes are:</w:t>
      </w:r>
    </w:p>
    <w:p w14:paraId="7F0FE3C9" w14:textId="49EE4B9E" w:rsidR="009D652B" w:rsidRDefault="009D652B" w:rsidP="005B73B8">
      <w:pPr>
        <w:pStyle w:val="ListParagraph"/>
        <w:numPr>
          <w:ilvl w:val="1"/>
          <w:numId w:val="4"/>
        </w:numPr>
        <w:spacing w:before="120" w:after="120" w:line="276" w:lineRule="auto"/>
        <w:ind w:left="1134" w:hanging="425"/>
        <w:contextualSpacing w:val="0"/>
        <w:rPr>
          <w:sz w:val="22"/>
          <w:szCs w:val="22"/>
        </w:rPr>
      </w:pPr>
      <w:r>
        <w:rPr>
          <w:sz w:val="22"/>
          <w:szCs w:val="22"/>
        </w:rPr>
        <w:t>race</w:t>
      </w:r>
    </w:p>
    <w:p w14:paraId="1D41E2E3" w14:textId="52FF36C5" w:rsidR="009D652B" w:rsidRDefault="009D652B" w:rsidP="005B73B8">
      <w:pPr>
        <w:pStyle w:val="ListParagraph"/>
        <w:numPr>
          <w:ilvl w:val="1"/>
          <w:numId w:val="4"/>
        </w:numPr>
        <w:spacing w:before="120" w:after="120" w:line="276" w:lineRule="auto"/>
        <w:ind w:left="1134" w:hanging="425"/>
        <w:contextualSpacing w:val="0"/>
        <w:rPr>
          <w:sz w:val="22"/>
          <w:szCs w:val="22"/>
        </w:rPr>
      </w:pPr>
      <w:r>
        <w:rPr>
          <w:sz w:val="22"/>
          <w:szCs w:val="22"/>
        </w:rPr>
        <w:t>religion</w:t>
      </w:r>
    </w:p>
    <w:p w14:paraId="4CA9A9F4" w14:textId="23A66746" w:rsidR="009D652B" w:rsidRDefault="009D652B" w:rsidP="005B73B8">
      <w:pPr>
        <w:pStyle w:val="ListParagraph"/>
        <w:numPr>
          <w:ilvl w:val="1"/>
          <w:numId w:val="4"/>
        </w:numPr>
        <w:spacing w:before="120" w:after="120" w:line="276" w:lineRule="auto"/>
        <w:ind w:left="1134" w:hanging="425"/>
        <w:contextualSpacing w:val="0"/>
        <w:rPr>
          <w:sz w:val="22"/>
          <w:szCs w:val="22"/>
        </w:rPr>
      </w:pPr>
      <w:r>
        <w:rPr>
          <w:sz w:val="22"/>
          <w:szCs w:val="22"/>
        </w:rPr>
        <w:t>sexuality</w:t>
      </w:r>
    </w:p>
    <w:p w14:paraId="24BFD63A" w14:textId="1681AD08" w:rsidR="009D652B" w:rsidRDefault="009D652B" w:rsidP="005B73B8">
      <w:pPr>
        <w:pStyle w:val="ListParagraph"/>
        <w:numPr>
          <w:ilvl w:val="1"/>
          <w:numId w:val="4"/>
        </w:numPr>
        <w:spacing w:before="120" w:after="120" w:line="276" w:lineRule="auto"/>
        <w:ind w:left="1134" w:hanging="425"/>
        <w:contextualSpacing w:val="0"/>
        <w:rPr>
          <w:sz w:val="22"/>
          <w:szCs w:val="22"/>
        </w:rPr>
      </w:pPr>
      <w:r>
        <w:rPr>
          <w:sz w:val="22"/>
          <w:szCs w:val="22"/>
        </w:rPr>
        <w:t>sex characteristics</w:t>
      </w:r>
    </w:p>
    <w:p w14:paraId="770621F1" w14:textId="7EE297BB" w:rsidR="009D652B" w:rsidRDefault="009D652B" w:rsidP="005B73B8">
      <w:pPr>
        <w:pStyle w:val="ListParagraph"/>
        <w:numPr>
          <w:ilvl w:val="1"/>
          <w:numId w:val="4"/>
        </w:numPr>
        <w:spacing w:before="120" w:after="240" w:line="276" w:lineRule="auto"/>
        <w:ind w:left="1134" w:hanging="425"/>
        <w:contextualSpacing w:val="0"/>
        <w:rPr>
          <w:sz w:val="22"/>
          <w:szCs w:val="22"/>
        </w:rPr>
      </w:pPr>
      <w:r>
        <w:rPr>
          <w:sz w:val="22"/>
          <w:szCs w:val="22"/>
        </w:rPr>
        <w:t>gender identity.</w:t>
      </w:r>
      <w:r>
        <w:rPr>
          <w:rStyle w:val="FootnoteReference"/>
          <w:sz w:val="22"/>
          <w:szCs w:val="22"/>
        </w:rPr>
        <w:footnoteReference w:id="13"/>
      </w:r>
    </w:p>
    <w:p w14:paraId="0196450C" w14:textId="7DEEC578" w:rsidR="009D652B" w:rsidRDefault="001013EB" w:rsidP="00C064A5">
      <w:pPr>
        <w:pStyle w:val="ListParagraph"/>
        <w:numPr>
          <w:ilvl w:val="0"/>
          <w:numId w:val="4"/>
        </w:numPr>
        <w:spacing w:before="120" w:after="240" w:line="276" w:lineRule="auto"/>
        <w:ind w:left="567" w:hanging="567"/>
        <w:contextualSpacing w:val="0"/>
        <w:rPr>
          <w:sz w:val="22"/>
          <w:szCs w:val="22"/>
        </w:rPr>
      </w:pPr>
      <w:r>
        <w:rPr>
          <w:sz w:val="22"/>
          <w:szCs w:val="22"/>
        </w:rPr>
        <w:t>The test of motivation</w:t>
      </w:r>
      <w:r w:rsidR="00FD2CB9">
        <w:rPr>
          <w:sz w:val="22"/>
          <w:szCs w:val="22"/>
        </w:rPr>
        <w:t xml:space="preserve">, whether wholly or partially, </w:t>
      </w:r>
      <w:r>
        <w:rPr>
          <w:sz w:val="22"/>
          <w:szCs w:val="22"/>
        </w:rPr>
        <w:t>requires proof of the defendant’s subjective</w:t>
      </w:r>
      <w:r w:rsidR="00FD2CB9">
        <w:rPr>
          <w:sz w:val="22"/>
          <w:szCs w:val="22"/>
        </w:rPr>
        <w:t xml:space="preserve"> reason</w:t>
      </w:r>
      <w:r w:rsidR="00A94D8B">
        <w:rPr>
          <w:sz w:val="22"/>
          <w:szCs w:val="22"/>
        </w:rPr>
        <w:t xml:space="preserve"> or reasons</w:t>
      </w:r>
      <w:r w:rsidR="00FD2CB9">
        <w:rPr>
          <w:sz w:val="22"/>
          <w:szCs w:val="22"/>
        </w:rPr>
        <w:t xml:space="preserve"> for committing the offence.  This can be difficult for the prosecution to prove. </w:t>
      </w:r>
    </w:p>
    <w:p w14:paraId="23B37565" w14:textId="27613D30" w:rsidR="009D652B" w:rsidRDefault="00FD2CB9" w:rsidP="00C064A5">
      <w:pPr>
        <w:pStyle w:val="ListParagraph"/>
        <w:numPr>
          <w:ilvl w:val="0"/>
          <w:numId w:val="4"/>
        </w:numPr>
        <w:spacing w:before="120" w:after="240" w:line="276" w:lineRule="auto"/>
        <w:ind w:left="567" w:hanging="567"/>
        <w:contextualSpacing w:val="0"/>
        <w:rPr>
          <w:sz w:val="22"/>
          <w:szCs w:val="22"/>
        </w:rPr>
      </w:pPr>
      <w:r>
        <w:rPr>
          <w:sz w:val="22"/>
          <w:szCs w:val="22"/>
        </w:rPr>
        <w:t xml:space="preserve">In the UK, the test </w:t>
      </w:r>
      <w:r w:rsidR="0075726A">
        <w:rPr>
          <w:sz w:val="22"/>
          <w:szCs w:val="22"/>
        </w:rPr>
        <w:t xml:space="preserve">for </w:t>
      </w:r>
      <w:r>
        <w:rPr>
          <w:sz w:val="22"/>
          <w:szCs w:val="22"/>
        </w:rPr>
        <w:t>aggravated offences has two alternate limbs: a motivation limb and a demonstration limb.</w:t>
      </w:r>
      <w:r w:rsidR="0075726A">
        <w:rPr>
          <w:sz w:val="22"/>
          <w:szCs w:val="22"/>
        </w:rPr>
        <w:t xml:space="preserve">  The reason for including a demonstration limb as well as motivation in the legal test was in recognition that proving motivation would create a difficult hurdle for prosecutors to overcome.</w:t>
      </w:r>
      <w:r w:rsidR="0075726A">
        <w:rPr>
          <w:rStyle w:val="FootnoteReference"/>
          <w:sz w:val="22"/>
          <w:szCs w:val="22"/>
        </w:rPr>
        <w:footnoteReference w:id="14"/>
      </w:r>
    </w:p>
    <w:p w14:paraId="779D6C03" w14:textId="5C3BE719" w:rsidR="009D652B" w:rsidRDefault="00A94D8B" w:rsidP="00C064A5">
      <w:pPr>
        <w:pStyle w:val="ListParagraph"/>
        <w:numPr>
          <w:ilvl w:val="0"/>
          <w:numId w:val="4"/>
        </w:numPr>
        <w:spacing w:before="120" w:after="240" w:line="276" w:lineRule="auto"/>
        <w:ind w:left="567" w:hanging="567"/>
        <w:contextualSpacing w:val="0"/>
        <w:rPr>
          <w:sz w:val="22"/>
          <w:szCs w:val="22"/>
        </w:rPr>
      </w:pPr>
      <w:r>
        <w:rPr>
          <w:sz w:val="22"/>
          <w:szCs w:val="22"/>
        </w:rPr>
        <w:lastRenderedPageBreak/>
        <w:t>The demonstration limb requires proof of the demonstration of hatred or serious contempt.  It is an objective test and does not require subjective intent or motivation.</w:t>
      </w:r>
    </w:p>
    <w:p w14:paraId="011D8E0A" w14:textId="08C1486F" w:rsidR="00A94D8B" w:rsidRDefault="00A94D8B" w:rsidP="00D134E5">
      <w:pPr>
        <w:pStyle w:val="ListParagraph"/>
        <w:numPr>
          <w:ilvl w:val="0"/>
          <w:numId w:val="4"/>
        </w:numPr>
        <w:spacing w:before="120" w:after="120" w:line="276" w:lineRule="auto"/>
        <w:ind w:left="567" w:hanging="567"/>
        <w:contextualSpacing w:val="0"/>
        <w:rPr>
          <w:sz w:val="22"/>
          <w:szCs w:val="22"/>
        </w:rPr>
      </w:pPr>
      <w:r>
        <w:rPr>
          <w:sz w:val="22"/>
          <w:szCs w:val="22"/>
        </w:rPr>
        <w:t xml:space="preserve">The following is an example of how the demonstration limb may </w:t>
      </w:r>
      <w:r w:rsidR="0087701C">
        <w:rPr>
          <w:sz w:val="22"/>
          <w:szCs w:val="22"/>
        </w:rPr>
        <w:t>apply</w:t>
      </w:r>
      <w:r w:rsidR="00C67131">
        <w:rPr>
          <w:sz w:val="22"/>
          <w:szCs w:val="22"/>
        </w:rPr>
        <w:t>.</w:t>
      </w:r>
    </w:p>
    <w:p w14:paraId="775D3FCC" w14:textId="41988DD8" w:rsidR="00C67131" w:rsidRPr="00C67131" w:rsidRDefault="00C67131" w:rsidP="00C67131">
      <w:pPr>
        <w:spacing w:before="120" w:after="240" w:line="276" w:lineRule="auto"/>
        <w:ind w:left="993" w:right="1127"/>
        <w:rPr>
          <w:sz w:val="22"/>
          <w:szCs w:val="22"/>
        </w:rPr>
      </w:pPr>
      <w:r>
        <w:rPr>
          <w:sz w:val="22"/>
          <w:szCs w:val="22"/>
        </w:rPr>
        <w:t>A passenger on public transport became angry when a group of people entered an already crowded carriage.  As a woman and two children who all had luggage tried to move into the carriage, the passenger verbally abused them with references to their race and telling them to go back to where they came from, and the passenger pushed one of the children.</w:t>
      </w:r>
      <w:r w:rsidR="000A7E0F">
        <w:rPr>
          <w:sz w:val="22"/>
          <w:szCs w:val="22"/>
        </w:rPr>
        <w:t xml:space="preserve">  The passenger might argue that the assault on the child was because the child entered the already crowded carriage and not because of the child’s race.</w:t>
      </w:r>
    </w:p>
    <w:p w14:paraId="2804495D" w14:textId="44B7CD6B" w:rsidR="00C67131" w:rsidRDefault="0087701C" w:rsidP="00861BC3">
      <w:pPr>
        <w:pStyle w:val="ListParagraph"/>
        <w:numPr>
          <w:ilvl w:val="0"/>
          <w:numId w:val="4"/>
        </w:numPr>
        <w:spacing w:before="120" w:after="120" w:line="276" w:lineRule="auto"/>
        <w:ind w:left="567" w:hanging="567"/>
        <w:contextualSpacing w:val="0"/>
        <w:rPr>
          <w:sz w:val="22"/>
          <w:szCs w:val="22"/>
        </w:rPr>
      </w:pPr>
      <w:r>
        <w:rPr>
          <w:sz w:val="22"/>
          <w:szCs w:val="22"/>
        </w:rPr>
        <w:t>The significance of the demonstration of hatred or serious contempt is that it highlights the context of the offending behaviour, which in the example above was assault.</w:t>
      </w:r>
      <w:r w:rsidR="00233B5D">
        <w:rPr>
          <w:sz w:val="22"/>
          <w:szCs w:val="22"/>
        </w:rPr>
        <w:t xml:space="preserve">  In response to the UK Law Commission’s consultation on hate crimes and the question of whether the demonstration limb of aggravated offences should be retained, the Welsh government said, in supporting maintaining the demonstration limb:</w:t>
      </w:r>
    </w:p>
    <w:p w14:paraId="5A5061DA" w14:textId="7111002E" w:rsidR="00233B5D" w:rsidRPr="00233B5D" w:rsidRDefault="00495576" w:rsidP="00233B5D">
      <w:pPr>
        <w:spacing w:before="120" w:after="240" w:line="276" w:lineRule="auto"/>
        <w:ind w:left="993" w:right="1127"/>
        <w:rPr>
          <w:sz w:val="20"/>
          <w:szCs w:val="20"/>
        </w:rPr>
      </w:pPr>
      <w:r>
        <w:rPr>
          <w:sz w:val="20"/>
          <w:szCs w:val="20"/>
        </w:rPr>
        <w:t>Whether the demonstration of hate at the commissioning of the crime aligns to the underlying motivating intent is immaterial to the impact of the crime on the victim and wider society.</w:t>
      </w:r>
      <w:r>
        <w:rPr>
          <w:rStyle w:val="FootnoteReference"/>
          <w:sz w:val="20"/>
          <w:szCs w:val="20"/>
        </w:rPr>
        <w:footnoteReference w:id="15"/>
      </w:r>
    </w:p>
    <w:p w14:paraId="4240A2F1" w14:textId="7A821ABE" w:rsidR="00233B5D" w:rsidRDefault="00495576" w:rsidP="00C064A5">
      <w:pPr>
        <w:pStyle w:val="ListParagraph"/>
        <w:numPr>
          <w:ilvl w:val="0"/>
          <w:numId w:val="4"/>
        </w:numPr>
        <w:spacing w:before="120" w:after="240" w:line="276" w:lineRule="auto"/>
        <w:ind w:left="567" w:hanging="567"/>
        <w:contextualSpacing w:val="0"/>
        <w:rPr>
          <w:sz w:val="22"/>
          <w:szCs w:val="22"/>
        </w:rPr>
      </w:pPr>
      <w:r>
        <w:rPr>
          <w:sz w:val="22"/>
          <w:szCs w:val="22"/>
        </w:rPr>
        <w:t xml:space="preserve">The impact of the crime on both the victim and wider society is </w:t>
      </w:r>
      <w:r w:rsidR="004863E7">
        <w:rPr>
          <w:sz w:val="22"/>
          <w:szCs w:val="22"/>
        </w:rPr>
        <w:t xml:space="preserve">a </w:t>
      </w:r>
      <w:r>
        <w:rPr>
          <w:sz w:val="22"/>
          <w:szCs w:val="22"/>
        </w:rPr>
        <w:t>primary reason for legislating circumstances of aggravation to relevant offences.</w:t>
      </w:r>
      <w:r w:rsidR="004863E7">
        <w:rPr>
          <w:rStyle w:val="FootnoteReference"/>
          <w:sz w:val="22"/>
          <w:szCs w:val="22"/>
        </w:rPr>
        <w:footnoteReference w:id="16"/>
      </w:r>
    </w:p>
    <w:p w14:paraId="6C48D964" w14:textId="5AEEA611" w:rsidR="00861BC3" w:rsidRDefault="00861BC3" w:rsidP="00C064A5">
      <w:pPr>
        <w:pStyle w:val="ListParagraph"/>
        <w:numPr>
          <w:ilvl w:val="0"/>
          <w:numId w:val="4"/>
        </w:numPr>
        <w:spacing w:before="120" w:after="240" w:line="276" w:lineRule="auto"/>
        <w:ind w:left="567" w:hanging="567"/>
        <w:contextualSpacing w:val="0"/>
        <w:rPr>
          <w:sz w:val="22"/>
          <w:szCs w:val="22"/>
        </w:rPr>
      </w:pPr>
      <w:r>
        <w:rPr>
          <w:sz w:val="22"/>
          <w:szCs w:val="22"/>
        </w:rPr>
        <w:t xml:space="preserve">To better achieve the objectives of circumstances of aggravation, the Commission recommends that the test for hatred or serious contempt include </w:t>
      </w:r>
      <w:r w:rsidR="00501621">
        <w:rPr>
          <w:sz w:val="22"/>
          <w:szCs w:val="22"/>
        </w:rPr>
        <w:t>demonstration of hatred or serious contempt, as well as the proposed motivation test.</w:t>
      </w:r>
    </w:p>
    <w:p w14:paraId="6E084AFB" w14:textId="46289A89" w:rsidR="00C54028" w:rsidRPr="00C54028" w:rsidRDefault="00C54028" w:rsidP="00C54028">
      <w:pPr>
        <w:pStyle w:val="Heading1"/>
        <w:keepLines w:val="0"/>
        <w:spacing w:before="360"/>
      </w:pPr>
      <w:bookmarkStart w:id="10" w:name="_Toc134102696"/>
      <w:r w:rsidRPr="00C54028">
        <w:t>Review of aggravated offences</w:t>
      </w:r>
      <w:bookmarkEnd w:id="10"/>
    </w:p>
    <w:p w14:paraId="1EBD50E0" w14:textId="0390A878" w:rsidR="00C54028" w:rsidRPr="00481D1C" w:rsidRDefault="001A288A" w:rsidP="00C064A5">
      <w:pPr>
        <w:pStyle w:val="ListParagraph"/>
        <w:numPr>
          <w:ilvl w:val="0"/>
          <w:numId w:val="4"/>
        </w:numPr>
        <w:spacing w:before="120" w:after="240" w:line="276" w:lineRule="auto"/>
        <w:ind w:left="567" w:hanging="567"/>
        <w:contextualSpacing w:val="0"/>
        <w:rPr>
          <w:sz w:val="22"/>
          <w:szCs w:val="22"/>
        </w:rPr>
      </w:pPr>
      <w:r>
        <w:rPr>
          <w:sz w:val="22"/>
          <w:szCs w:val="22"/>
        </w:rPr>
        <w:t>In the submission to the Inquiry, the Commission expressed concern that an aggravated offence of public nuisance might have a disproportionate impact on Aboriginal and Torres Strait Islander people, particularly in engagement with police.</w:t>
      </w:r>
    </w:p>
    <w:p w14:paraId="510B45D9" w14:textId="77777777" w:rsidR="0099657E" w:rsidRPr="0099657E" w:rsidRDefault="0099657E" w:rsidP="0099657E">
      <w:pPr>
        <w:pStyle w:val="ListParagraph"/>
        <w:numPr>
          <w:ilvl w:val="0"/>
          <w:numId w:val="4"/>
        </w:numPr>
        <w:spacing w:before="120" w:after="240" w:line="276" w:lineRule="auto"/>
        <w:ind w:left="567" w:hanging="567"/>
        <w:contextualSpacing w:val="0"/>
        <w:rPr>
          <w:rFonts w:cs="Arial"/>
          <w:sz w:val="22"/>
          <w:szCs w:val="22"/>
        </w:rPr>
      </w:pPr>
      <w:r w:rsidRPr="0099657E">
        <w:rPr>
          <w:rFonts w:cs="Arial"/>
          <w:sz w:val="22"/>
          <w:szCs w:val="22"/>
        </w:rPr>
        <w:t>The public nuisance offence is committed if a person’s behaviour interferes with, or is likely to interfere with, the peaceful passage through or enjoyment of a public place, and the behaviour is in a way that is disorderly, offensive, threatening, or violent.  Behaving in an offensive way includes using offensive, obscene, indecent, or abusive language, and behaving in a threatening way includes threatening language.</w:t>
      </w:r>
    </w:p>
    <w:p w14:paraId="1126FF6B" w14:textId="36FAAE35" w:rsidR="00526A42" w:rsidRDefault="0099657E" w:rsidP="0099657E">
      <w:pPr>
        <w:pStyle w:val="ListParagraph"/>
        <w:numPr>
          <w:ilvl w:val="0"/>
          <w:numId w:val="4"/>
        </w:numPr>
        <w:spacing w:before="120" w:after="240" w:line="276" w:lineRule="auto"/>
        <w:ind w:left="567" w:hanging="567"/>
        <w:contextualSpacing w:val="0"/>
        <w:rPr>
          <w:rFonts w:cs="Arial"/>
          <w:sz w:val="22"/>
          <w:szCs w:val="22"/>
        </w:rPr>
      </w:pPr>
      <w:r w:rsidRPr="0099657E">
        <w:rPr>
          <w:rFonts w:cs="Arial"/>
          <w:sz w:val="22"/>
          <w:szCs w:val="22"/>
        </w:rPr>
        <w:lastRenderedPageBreak/>
        <w:t xml:space="preserve">The Commission is concerned that an aggravated offence of public nuisance might be used in circumstances that involve swearing at police officers.  Minority groups that are over-represented in the criminal justice system and those who come to the attention of police, might be more inclined to swear at the officers.  </w:t>
      </w:r>
      <w:r w:rsidR="00526A42">
        <w:rPr>
          <w:rFonts w:cs="Arial"/>
          <w:sz w:val="22"/>
          <w:szCs w:val="22"/>
        </w:rPr>
        <w:t>The</w:t>
      </w:r>
      <w:r w:rsidR="000074F8">
        <w:rPr>
          <w:rFonts w:cs="Arial"/>
          <w:sz w:val="22"/>
          <w:szCs w:val="22"/>
        </w:rPr>
        <w:t xml:space="preserve"> Queensland Productivity Commission found that Aboriginal and Torres Strait Islander offenders had higher rates of police contact than non-Indigenous offenders, and the average Indigenous offender also experienced a much higher rate of contact with police while under the age of 18 years.  Aboriginal and Torres Strait Islander women had 14 times more frequent contact with police than non-Indigenous women.</w:t>
      </w:r>
      <w:r w:rsidR="002437EA">
        <w:rPr>
          <w:rStyle w:val="FootnoteReference"/>
          <w:rFonts w:cs="Arial"/>
          <w:sz w:val="22"/>
          <w:szCs w:val="22"/>
        </w:rPr>
        <w:footnoteReference w:id="17"/>
      </w:r>
      <w:r w:rsidR="000074F8">
        <w:rPr>
          <w:rFonts w:cs="Arial"/>
          <w:sz w:val="22"/>
          <w:szCs w:val="22"/>
        </w:rPr>
        <w:t xml:space="preserve"> </w:t>
      </w:r>
      <w:r w:rsidR="00526A42">
        <w:rPr>
          <w:rFonts w:cs="Arial"/>
          <w:sz w:val="22"/>
          <w:szCs w:val="22"/>
        </w:rPr>
        <w:t xml:space="preserve"> The 2008 report of the </w:t>
      </w:r>
      <w:r w:rsidR="001B1BB2">
        <w:rPr>
          <w:rFonts w:cs="Arial"/>
          <w:sz w:val="22"/>
          <w:szCs w:val="22"/>
        </w:rPr>
        <w:t>Crime and Misconduct Commission</w:t>
      </w:r>
      <w:r w:rsidR="00526A42">
        <w:rPr>
          <w:rFonts w:cs="Arial"/>
          <w:sz w:val="22"/>
          <w:szCs w:val="22"/>
        </w:rPr>
        <w:t xml:space="preserve"> on it</w:t>
      </w:r>
      <w:r w:rsidR="001B1BB2">
        <w:rPr>
          <w:rFonts w:cs="Arial"/>
          <w:sz w:val="22"/>
          <w:szCs w:val="22"/>
        </w:rPr>
        <w:t>s</w:t>
      </w:r>
      <w:r w:rsidR="00526A42">
        <w:rPr>
          <w:rFonts w:cs="Arial"/>
          <w:sz w:val="22"/>
          <w:szCs w:val="22"/>
        </w:rPr>
        <w:t xml:space="preserve"> review of public nuisance offences noted that empirical evidence has repeatedly shown Indigenous people are dispropo</w:t>
      </w:r>
      <w:r w:rsidR="001B1BB2">
        <w:rPr>
          <w:rFonts w:cs="Arial"/>
          <w:sz w:val="22"/>
          <w:szCs w:val="22"/>
        </w:rPr>
        <w:t>r</w:t>
      </w:r>
      <w:r w:rsidR="00526A42">
        <w:rPr>
          <w:rFonts w:cs="Arial"/>
          <w:sz w:val="22"/>
          <w:szCs w:val="22"/>
        </w:rPr>
        <w:t>tiona</w:t>
      </w:r>
      <w:r w:rsidR="001B1BB2">
        <w:rPr>
          <w:rFonts w:cs="Arial"/>
          <w:sz w:val="22"/>
          <w:szCs w:val="22"/>
        </w:rPr>
        <w:t>t</w:t>
      </w:r>
      <w:r w:rsidR="00526A42">
        <w:rPr>
          <w:rFonts w:cs="Arial"/>
          <w:sz w:val="22"/>
          <w:szCs w:val="22"/>
        </w:rPr>
        <w:t>e</w:t>
      </w:r>
      <w:r w:rsidR="001B1BB2">
        <w:rPr>
          <w:rFonts w:cs="Arial"/>
          <w:sz w:val="22"/>
          <w:szCs w:val="22"/>
        </w:rPr>
        <w:t>l</w:t>
      </w:r>
      <w:r w:rsidR="00526A42">
        <w:rPr>
          <w:rFonts w:cs="Arial"/>
          <w:sz w:val="22"/>
          <w:szCs w:val="22"/>
        </w:rPr>
        <w:t>y like</w:t>
      </w:r>
      <w:r w:rsidR="001B1BB2">
        <w:rPr>
          <w:rFonts w:cs="Arial"/>
          <w:sz w:val="22"/>
          <w:szCs w:val="22"/>
        </w:rPr>
        <w:t>ly</w:t>
      </w:r>
      <w:r w:rsidR="00526A42">
        <w:rPr>
          <w:rFonts w:cs="Arial"/>
          <w:sz w:val="22"/>
          <w:szCs w:val="22"/>
        </w:rPr>
        <w:t xml:space="preserve"> to be arreste</w:t>
      </w:r>
      <w:r w:rsidR="001B1BB2">
        <w:rPr>
          <w:rFonts w:cs="Arial"/>
          <w:sz w:val="22"/>
          <w:szCs w:val="22"/>
        </w:rPr>
        <w:t>d</w:t>
      </w:r>
      <w:r w:rsidR="00526A42">
        <w:rPr>
          <w:rFonts w:cs="Arial"/>
          <w:sz w:val="22"/>
          <w:szCs w:val="22"/>
        </w:rPr>
        <w:t xml:space="preserve"> and that public order offences are a major trigger leading to the detention of Indigenous people in police custody.</w:t>
      </w:r>
      <w:r w:rsidR="001B1BB2">
        <w:rPr>
          <w:rStyle w:val="FootnoteReference"/>
          <w:rFonts w:cs="Arial"/>
          <w:sz w:val="22"/>
          <w:szCs w:val="22"/>
        </w:rPr>
        <w:footnoteReference w:id="18"/>
      </w:r>
    </w:p>
    <w:p w14:paraId="38837631" w14:textId="01DAB85B" w:rsidR="0099657E" w:rsidRPr="0099657E" w:rsidRDefault="0099657E" w:rsidP="0099657E">
      <w:pPr>
        <w:pStyle w:val="ListParagraph"/>
        <w:numPr>
          <w:ilvl w:val="0"/>
          <w:numId w:val="4"/>
        </w:numPr>
        <w:spacing w:before="120" w:after="240" w:line="276" w:lineRule="auto"/>
        <w:ind w:left="567" w:hanging="567"/>
        <w:contextualSpacing w:val="0"/>
        <w:rPr>
          <w:rFonts w:cs="Arial"/>
          <w:sz w:val="22"/>
          <w:szCs w:val="22"/>
        </w:rPr>
      </w:pPr>
      <w:r w:rsidRPr="00DE3705">
        <w:rPr>
          <w:rFonts w:cs="Arial"/>
          <w:sz w:val="22"/>
          <w:szCs w:val="22"/>
        </w:rPr>
        <w:t xml:space="preserve">As swearing at police in public </w:t>
      </w:r>
      <w:r w:rsidR="003804EF" w:rsidRPr="00DE3705">
        <w:rPr>
          <w:rFonts w:cs="Arial"/>
          <w:sz w:val="22"/>
          <w:szCs w:val="22"/>
        </w:rPr>
        <w:t>has been held to be</w:t>
      </w:r>
      <w:r w:rsidRPr="00DE3705">
        <w:rPr>
          <w:rFonts w:cs="Arial"/>
          <w:sz w:val="22"/>
          <w:szCs w:val="22"/>
        </w:rPr>
        <w:t xml:space="preserve"> offensive,</w:t>
      </w:r>
      <w:r w:rsidR="003804EF" w:rsidRPr="00DE3705">
        <w:rPr>
          <w:rStyle w:val="FootnoteReference"/>
          <w:rFonts w:cs="Arial"/>
          <w:sz w:val="22"/>
          <w:szCs w:val="22"/>
        </w:rPr>
        <w:footnoteReference w:id="19"/>
      </w:r>
      <w:r w:rsidRPr="0099657E">
        <w:rPr>
          <w:rFonts w:cs="Arial"/>
          <w:sz w:val="22"/>
          <w:szCs w:val="22"/>
        </w:rPr>
        <w:t xml:space="preserve"> an additional spoken word might move the offence into the aggravated category.  </w:t>
      </w:r>
    </w:p>
    <w:p w14:paraId="2659FFE8" w14:textId="77777777" w:rsidR="0099657E" w:rsidRPr="0099657E" w:rsidRDefault="0099657E" w:rsidP="00692156">
      <w:pPr>
        <w:pStyle w:val="ListParagraph"/>
        <w:numPr>
          <w:ilvl w:val="0"/>
          <w:numId w:val="4"/>
        </w:numPr>
        <w:spacing w:before="120" w:after="240" w:line="276" w:lineRule="auto"/>
        <w:ind w:left="567" w:hanging="567"/>
        <w:contextualSpacing w:val="0"/>
        <w:rPr>
          <w:rFonts w:cs="Arial"/>
          <w:sz w:val="22"/>
          <w:szCs w:val="22"/>
        </w:rPr>
      </w:pPr>
      <w:r w:rsidRPr="0099657E">
        <w:rPr>
          <w:rFonts w:cs="Arial"/>
          <w:sz w:val="22"/>
          <w:szCs w:val="22"/>
        </w:rPr>
        <w:t>Indigenous people are significantly over-represented in those charged with public nuisance for using offensive language, often in circumstances where they have accused a police officer of racism.  Analysis of reported public nuisance decisions indicates that offensive language directed at police officers by Indigenous women reflects their feelings of powerlessness and marginalisation.</w:t>
      </w:r>
      <w:r w:rsidRPr="0099657E">
        <w:rPr>
          <w:rStyle w:val="FootnoteReference"/>
          <w:rFonts w:cs="Arial"/>
          <w:sz w:val="22"/>
          <w:szCs w:val="22"/>
        </w:rPr>
        <w:footnoteReference w:id="20"/>
      </w:r>
    </w:p>
    <w:p w14:paraId="54AFBB4D" w14:textId="31717D2A" w:rsidR="001A288A" w:rsidRPr="00B85758" w:rsidRDefault="0099657E" w:rsidP="00C064A5">
      <w:pPr>
        <w:pStyle w:val="ListParagraph"/>
        <w:numPr>
          <w:ilvl w:val="0"/>
          <w:numId w:val="4"/>
        </w:numPr>
        <w:spacing w:before="120" w:after="240" w:line="276" w:lineRule="auto"/>
        <w:ind w:left="567" w:hanging="567"/>
        <w:contextualSpacing w:val="0"/>
        <w:rPr>
          <w:sz w:val="22"/>
          <w:szCs w:val="22"/>
        </w:rPr>
      </w:pPr>
      <w:r w:rsidRPr="00B85758">
        <w:rPr>
          <w:rFonts w:cs="Arial"/>
          <w:sz w:val="22"/>
          <w:szCs w:val="22"/>
        </w:rPr>
        <w:t>The United Nations Human Rights Committee General Comment on the right to freedom of expression</w:t>
      </w:r>
      <w:r w:rsidR="00B85758" w:rsidRPr="00B85758">
        <w:rPr>
          <w:rFonts w:cs="Arial"/>
          <w:sz w:val="22"/>
          <w:szCs w:val="22"/>
        </w:rPr>
        <w:t xml:space="preserve"> </w:t>
      </w:r>
      <w:r w:rsidRPr="00B85758">
        <w:rPr>
          <w:rFonts w:cs="Arial"/>
          <w:sz w:val="22"/>
          <w:szCs w:val="22"/>
        </w:rPr>
        <w:t>states that ‘the mere fact that forms of expression are considered to be insulting to a public figure is not sufficient to justify the imposition of penalties’, and ‘laws should not provide for more severe penalties solely on the basis of the identity of the person who may have been impugned’.</w:t>
      </w:r>
      <w:r w:rsidRPr="00B85758">
        <w:rPr>
          <w:rStyle w:val="FootnoteReference"/>
          <w:rFonts w:cs="Arial"/>
          <w:sz w:val="22"/>
          <w:szCs w:val="22"/>
        </w:rPr>
        <w:footnoteReference w:id="21"/>
      </w:r>
    </w:p>
    <w:p w14:paraId="55B6B0B7" w14:textId="157391E2" w:rsidR="001A288A" w:rsidRDefault="00B85758" w:rsidP="00C064A5">
      <w:pPr>
        <w:pStyle w:val="ListParagraph"/>
        <w:numPr>
          <w:ilvl w:val="0"/>
          <w:numId w:val="4"/>
        </w:numPr>
        <w:spacing w:before="120" w:after="240" w:line="276" w:lineRule="auto"/>
        <w:ind w:left="567" w:hanging="567"/>
        <w:contextualSpacing w:val="0"/>
        <w:rPr>
          <w:sz w:val="22"/>
          <w:szCs w:val="22"/>
        </w:rPr>
      </w:pPr>
      <w:r w:rsidRPr="00494008">
        <w:rPr>
          <w:sz w:val="22"/>
          <w:szCs w:val="22"/>
        </w:rPr>
        <w:t>In the circumstances, the Commission considers there should be a legislative requirement for an independent review of the operation of aggravated offences against Aboriginal and Torres Strait Islander people to commence within three years of operation.  The terms of reference for a review should include quantitative and qualitative assessment of the use of the provision against Aboriginal and Torres Strait Islander defendants.  This will necessitate appropriate record-keeping.</w:t>
      </w:r>
      <w:r w:rsidR="004863E7">
        <w:rPr>
          <w:rStyle w:val="FootnoteReference"/>
          <w:sz w:val="22"/>
          <w:szCs w:val="22"/>
        </w:rPr>
        <w:footnoteReference w:id="22"/>
      </w:r>
      <w:r w:rsidRPr="00494008">
        <w:rPr>
          <w:sz w:val="22"/>
          <w:szCs w:val="22"/>
        </w:rPr>
        <w:t xml:space="preserve">  The data should be made publicly available.</w:t>
      </w:r>
    </w:p>
    <w:p w14:paraId="0DB038D0" w14:textId="46885881" w:rsidR="00194227" w:rsidRDefault="005A40CB" w:rsidP="00194227">
      <w:pPr>
        <w:pStyle w:val="Heading1"/>
        <w:keepLines w:val="0"/>
        <w:spacing w:before="360"/>
      </w:pPr>
      <w:bookmarkStart w:id="11" w:name="_Toc134102697"/>
      <w:r>
        <w:lastRenderedPageBreak/>
        <w:t>Exclude aggravated</w:t>
      </w:r>
      <w:r w:rsidR="00194227" w:rsidRPr="002C6EDD">
        <w:t xml:space="preserve"> </w:t>
      </w:r>
      <w:r>
        <w:t>offensive behaviour towards police</w:t>
      </w:r>
      <w:bookmarkEnd w:id="11"/>
    </w:p>
    <w:p w14:paraId="30580533" w14:textId="3DE2D20F" w:rsidR="00194227" w:rsidRDefault="005A40CB" w:rsidP="00E07589">
      <w:pPr>
        <w:pStyle w:val="ListParagraph"/>
        <w:numPr>
          <w:ilvl w:val="0"/>
          <w:numId w:val="4"/>
        </w:numPr>
        <w:spacing w:before="120" w:after="240" w:line="276" w:lineRule="auto"/>
        <w:ind w:left="567" w:hanging="567"/>
        <w:contextualSpacing w:val="0"/>
        <w:rPr>
          <w:sz w:val="22"/>
          <w:szCs w:val="22"/>
        </w:rPr>
      </w:pPr>
      <w:r>
        <w:rPr>
          <w:sz w:val="22"/>
          <w:szCs w:val="22"/>
        </w:rPr>
        <w:t xml:space="preserve">As </w:t>
      </w:r>
      <w:r w:rsidRPr="00E07589">
        <w:rPr>
          <w:rFonts w:cs="Arial"/>
          <w:sz w:val="22"/>
          <w:szCs w:val="22"/>
        </w:rPr>
        <w:t>explained</w:t>
      </w:r>
      <w:r>
        <w:rPr>
          <w:sz w:val="22"/>
          <w:szCs w:val="22"/>
        </w:rPr>
        <w:t xml:space="preserve"> above, there is a real risk that</w:t>
      </w:r>
      <w:r w:rsidR="00E07589">
        <w:rPr>
          <w:sz w:val="22"/>
          <w:szCs w:val="22"/>
        </w:rPr>
        <w:t xml:space="preserve"> minority groups, in particular Aboriginal and Torres Strait Islander people, may be charged with aggravated offensive behaviour in swearing at police.  The purpose of the </w:t>
      </w:r>
      <w:r w:rsidR="005F5F5E">
        <w:rPr>
          <w:sz w:val="22"/>
          <w:szCs w:val="22"/>
        </w:rPr>
        <w:t xml:space="preserve">hatred and serious contempt being a circumstance of aggravation to existing offences such as public nuisance is to protect members of the public from hate-based crimes.  It is not intended to protect police from being the subject of abusive language.  </w:t>
      </w:r>
      <w:r w:rsidR="00E07589">
        <w:rPr>
          <w:sz w:val="22"/>
          <w:szCs w:val="22"/>
        </w:rPr>
        <w:t>This is an uninte</w:t>
      </w:r>
      <w:r w:rsidR="005F5F5E">
        <w:rPr>
          <w:sz w:val="22"/>
          <w:szCs w:val="22"/>
        </w:rPr>
        <w:t>nded consequence of the circumstance of aggravation.</w:t>
      </w:r>
    </w:p>
    <w:p w14:paraId="5EFF07C8" w14:textId="17F25D31" w:rsidR="005F5F5E" w:rsidRDefault="00DC5D9F" w:rsidP="00E07589">
      <w:pPr>
        <w:pStyle w:val="ListParagraph"/>
        <w:numPr>
          <w:ilvl w:val="0"/>
          <w:numId w:val="4"/>
        </w:numPr>
        <w:spacing w:before="120" w:after="240" w:line="276" w:lineRule="auto"/>
        <w:ind w:left="567" w:hanging="567"/>
        <w:contextualSpacing w:val="0"/>
        <w:rPr>
          <w:sz w:val="22"/>
          <w:szCs w:val="22"/>
        </w:rPr>
      </w:pPr>
      <w:r>
        <w:rPr>
          <w:sz w:val="22"/>
          <w:szCs w:val="22"/>
        </w:rPr>
        <w:t xml:space="preserve">In </w:t>
      </w:r>
      <w:r w:rsidRPr="002C6EDD">
        <w:rPr>
          <w:i/>
          <w:iCs/>
          <w:sz w:val="22"/>
          <w:szCs w:val="22"/>
        </w:rPr>
        <w:t>Coleman v Power</w:t>
      </w:r>
      <w:r>
        <w:rPr>
          <w:sz w:val="22"/>
          <w:szCs w:val="22"/>
        </w:rPr>
        <w:t>,</w:t>
      </w:r>
      <w:r>
        <w:rPr>
          <w:rStyle w:val="FootnoteReference"/>
          <w:sz w:val="22"/>
          <w:szCs w:val="22"/>
        </w:rPr>
        <w:footnoteReference w:id="23"/>
      </w:r>
      <w:r>
        <w:rPr>
          <w:sz w:val="22"/>
          <w:szCs w:val="22"/>
        </w:rPr>
        <w:t xml:space="preserve"> some of the j</w:t>
      </w:r>
      <w:r w:rsidR="00354A21">
        <w:rPr>
          <w:sz w:val="22"/>
          <w:szCs w:val="22"/>
        </w:rPr>
        <w:t>udges of t</w:t>
      </w:r>
      <w:r w:rsidR="009F3462">
        <w:rPr>
          <w:sz w:val="22"/>
          <w:szCs w:val="22"/>
        </w:rPr>
        <w:t>he High Court ha</w:t>
      </w:r>
      <w:r w:rsidR="002E7C96">
        <w:rPr>
          <w:sz w:val="22"/>
          <w:szCs w:val="22"/>
        </w:rPr>
        <w:t>ve</w:t>
      </w:r>
      <w:r w:rsidR="009F3462">
        <w:rPr>
          <w:sz w:val="22"/>
          <w:szCs w:val="22"/>
        </w:rPr>
        <w:t xml:space="preserve"> said that police would be expected to be able to resist reacting to insults directed at them.  For example:</w:t>
      </w:r>
    </w:p>
    <w:p w14:paraId="7A23A057" w14:textId="12E54D76" w:rsidR="009F3462" w:rsidRDefault="009F3462" w:rsidP="009F3462">
      <w:pPr>
        <w:spacing w:before="120" w:after="240" w:line="276" w:lineRule="auto"/>
        <w:ind w:left="993" w:right="1127"/>
        <w:rPr>
          <w:sz w:val="20"/>
          <w:szCs w:val="20"/>
        </w:rPr>
      </w:pPr>
      <w:r>
        <w:rPr>
          <w:sz w:val="20"/>
          <w:szCs w:val="20"/>
        </w:rPr>
        <w:t>By their training and temperament police officers must be expected to resist the sting of insults directed to them</w:t>
      </w:r>
      <w:r w:rsidR="00972073">
        <w:rPr>
          <w:sz w:val="20"/>
          <w:szCs w:val="20"/>
        </w:rPr>
        <w:t>.</w:t>
      </w:r>
      <w:r>
        <w:rPr>
          <w:sz w:val="20"/>
          <w:szCs w:val="20"/>
        </w:rPr>
        <w:t xml:space="preserve">  </w:t>
      </w:r>
      <w:proofErr w:type="spellStart"/>
      <w:r w:rsidR="00972073">
        <w:rPr>
          <w:sz w:val="20"/>
          <w:szCs w:val="20"/>
        </w:rPr>
        <w:t>Gummow</w:t>
      </w:r>
      <w:proofErr w:type="spellEnd"/>
      <w:r w:rsidR="00972073">
        <w:rPr>
          <w:sz w:val="20"/>
          <w:szCs w:val="20"/>
        </w:rPr>
        <w:t xml:space="preserve"> &amp; Hayne JJ [200]</w:t>
      </w:r>
      <w:r w:rsidR="002C6EDD">
        <w:rPr>
          <w:sz w:val="20"/>
          <w:szCs w:val="20"/>
        </w:rPr>
        <w:t>.</w:t>
      </w:r>
    </w:p>
    <w:p w14:paraId="00C1B15A" w14:textId="2E808118" w:rsidR="00972073" w:rsidRDefault="00972073" w:rsidP="009F3462">
      <w:pPr>
        <w:spacing w:before="120" w:after="240" w:line="276" w:lineRule="auto"/>
        <w:ind w:left="993" w:right="1127"/>
        <w:rPr>
          <w:sz w:val="20"/>
          <w:szCs w:val="20"/>
        </w:rPr>
      </w:pPr>
      <w:r>
        <w:rPr>
          <w:sz w:val="20"/>
          <w:szCs w:val="20"/>
        </w:rPr>
        <w:t>… the law would not impute [the] possibility [being provoked to unlawful physical violence] to police officers who, like other public officials, are expected to be thick skinned and broad shouldered in the performance of their duties.  Kirby J [258]</w:t>
      </w:r>
      <w:r w:rsidR="002C6EDD">
        <w:rPr>
          <w:sz w:val="20"/>
          <w:szCs w:val="20"/>
        </w:rPr>
        <w:t>.</w:t>
      </w:r>
    </w:p>
    <w:p w14:paraId="38355173" w14:textId="287869D3" w:rsidR="00972073" w:rsidRPr="002C6EDD" w:rsidRDefault="00972073" w:rsidP="002C6EDD">
      <w:pPr>
        <w:spacing w:before="120" w:after="240" w:line="276" w:lineRule="auto"/>
        <w:ind w:left="993" w:right="1127"/>
        <w:rPr>
          <w:sz w:val="20"/>
          <w:szCs w:val="20"/>
        </w:rPr>
      </w:pPr>
      <w:r>
        <w:rPr>
          <w:sz w:val="20"/>
          <w:szCs w:val="20"/>
        </w:rPr>
        <w:t xml:space="preserve">… it is to be expected that the object of words will resist their sting, it being contrary to the training of a police officer to </w:t>
      </w:r>
      <w:r w:rsidR="0023561C">
        <w:rPr>
          <w:sz w:val="20"/>
          <w:szCs w:val="20"/>
        </w:rPr>
        <w:t>engage in, and it being the duty of a police officer to refrain from, unlawful physical retaliation</w:t>
      </w:r>
      <w:r w:rsidR="002C6EDD">
        <w:rPr>
          <w:sz w:val="20"/>
          <w:szCs w:val="20"/>
        </w:rPr>
        <w:t xml:space="preserve">. </w:t>
      </w:r>
      <w:proofErr w:type="spellStart"/>
      <w:r w:rsidR="002C6EDD">
        <w:rPr>
          <w:sz w:val="20"/>
          <w:szCs w:val="20"/>
        </w:rPr>
        <w:t>Heydon</w:t>
      </w:r>
      <w:proofErr w:type="spellEnd"/>
      <w:r w:rsidR="002C6EDD">
        <w:rPr>
          <w:sz w:val="20"/>
          <w:szCs w:val="20"/>
        </w:rPr>
        <w:t xml:space="preserve"> J [313].</w:t>
      </w:r>
    </w:p>
    <w:p w14:paraId="693BF662" w14:textId="0D722C70" w:rsidR="009F3462" w:rsidRDefault="00DC5D9F" w:rsidP="00E07589">
      <w:pPr>
        <w:pStyle w:val="ListParagraph"/>
        <w:numPr>
          <w:ilvl w:val="0"/>
          <w:numId w:val="4"/>
        </w:numPr>
        <w:spacing w:before="120" w:after="240" w:line="276" w:lineRule="auto"/>
        <w:ind w:left="567" w:hanging="567"/>
        <w:contextualSpacing w:val="0"/>
        <w:rPr>
          <w:sz w:val="22"/>
          <w:szCs w:val="22"/>
        </w:rPr>
      </w:pPr>
      <w:r>
        <w:rPr>
          <w:sz w:val="22"/>
          <w:szCs w:val="22"/>
        </w:rPr>
        <w:t>In that case the Court consider</w:t>
      </w:r>
      <w:r w:rsidR="000F6807">
        <w:rPr>
          <w:sz w:val="22"/>
          <w:szCs w:val="22"/>
        </w:rPr>
        <w:t>ed</w:t>
      </w:r>
      <w:r>
        <w:rPr>
          <w:sz w:val="22"/>
          <w:szCs w:val="22"/>
        </w:rPr>
        <w:t xml:space="preserve"> the meaning of ‘using insulting words’ in the offence in section 7(1)(d) of the </w:t>
      </w:r>
      <w:r>
        <w:rPr>
          <w:i/>
          <w:iCs/>
          <w:sz w:val="22"/>
          <w:szCs w:val="22"/>
        </w:rPr>
        <w:t xml:space="preserve">Vagrants Gaming and Other Offences Act 1931 </w:t>
      </w:r>
      <w:r>
        <w:rPr>
          <w:sz w:val="22"/>
          <w:szCs w:val="22"/>
        </w:rPr>
        <w:t xml:space="preserve">(since repealed).  That phrase is similar to behaving ‘in an offensive way’ in the public nuisance offence in section 6(2)(a)(ii) of the </w:t>
      </w:r>
      <w:r w:rsidR="00C47399">
        <w:rPr>
          <w:i/>
          <w:iCs/>
          <w:sz w:val="22"/>
          <w:szCs w:val="22"/>
        </w:rPr>
        <w:t>Summary Offences Act 2005.</w:t>
      </w:r>
    </w:p>
    <w:p w14:paraId="0EE3879A" w14:textId="6BC0307A" w:rsidR="00C47399" w:rsidRPr="00194227" w:rsidRDefault="00C47399" w:rsidP="002C6EDD">
      <w:pPr>
        <w:pStyle w:val="ListParagraph"/>
        <w:numPr>
          <w:ilvl w:val="0"/>
          <w:numId w:val="4"/>
        </w:numPr>
        <w:spacing w:before="120" w:after="240" w:line="276" w:lineRule="auto"/>
        <w:ind w:left="567" w:hanging="567"/>
        <w:contextualSpacing w:val="0"/>
        <w:rPr>
          <w:sz w:val="22"/>
          <w:szCs w:val="22"/>
        </w:rPr>
      </w:pPr>
      <w:r>
        <w:rPr>
          <w:sz w:val="22"/>
          <w:szCs w:val="22"/>
        </w:rPr>
        <w:t xml:space="preserve">The Commission recommends that offensive behaviour towards police constituted by words is excluded from the offence of aggravated public nuisance.  This requires an amendment to clause </w:t>
      </w:r>
      <w:r w:rsidR="00CE33BF">
        <w:rPr>
          <w:sz w:val="22"/>
          <w:szCs w:val="22"/>
        </w:rPr>
        <w:t>28 of the Bill.</w:t>
      </w:r>
    </w:p>
    <w:p w14:paraId="0CF948FA" w14:textId="77777777" w:rsidR="0037261B" w:rsidRPr="004C5F91" w:rsidRDefault="0037261B" w:rsidP="0037261B">
      <w:pPr>
        <w:pStyle w:val="Heading1"/>
        <w:keepLines w:val="0"/>
        <w:spacing w:before="0"/>
      </w:pPr>
      <w:bookmarkStart w:id="12" w:name="_Toc134102698"/>
      <w:r w:rsidRPr="00AB3364">
        <w:t>Human rights</w:t>
      </w:r>
      <w:bookmarkEnd w:id="12"/>
      <w:r w:rsidRPr="00987F1C">
        <w:t xml:space="preserve"> </w:t>
      </w:r>
    </w:p>
    <w:p w14:paraId="527168A0" w14:textId="0F3B5A01" w:rsidR="0037261B" w:rsidRPr="007703D1" w:rsidRDefault="0037261B" w:rsidP="0037261B">
      <w:pPr>
        <w:pStyle w:val="ListParagraph"/>
        <w:numPr>
          <w:ilvl w:val="0"/>
          <w:numId w:val="4"/>
        </w:numPr>
        <w:spacing w:before="120" w:after="240" w:line="276" w:lineRule="auto"/>
        <w:ind w:left="567" w:hanging="567"/>
        <w:contextualSpacing w:val="0"/>
        <w:rPr>
          <w:rFonts w:cs="Arial"/>
          <w:color w:val="000000"/>
          <w:sz w:val="22"/>
          <w:szCs w:val="22"/>
        </w:rPr>
      </w:pPr>
      <w:r w:rsidRPr="007703D1">
        <w:rPr>
          <w:rFonts w:cs="Arial"/>
          <w:color w:val="000000"/>
          <w:sz w:val="22"/>
          <w:szCs w:val="22"/>
        </w:rPr>
        <w:t xml:space="preserve">The obligations under the </w:t>
      </w:r>
      <w:r w:rsidRPr="007703D1">
        <w:rPr>
          <w:rFonts w:cs="Arial"/>
          <w:i/>
          <w:color w:val="000000"/>
          <w:sz w:val="22"/>
          <w:szCs w:val="22"/>
        </w:rPr>
        <w:t xml:space="preserve">Human Rights Act 2019 </w:t>
      </w:r>
      <w:r w:rsidRPr="007703D1">
        <w:rPr>
          <w:rFonts w:cs="Arial"/>
          <w:color w:val="000000"/>
          <w:sz w:val="22"/>
          <w:szCs w:val="22"/>
        </w:rPr>
        <w:t xml:space="preserve">(the </w:t>
      </w:r>
      <w:r w:rsidRPr="007703D1">
        <w:rPr>
          <w:rFonts w:cs="Arial"/>
          <w:b/>
          <w:color w:val="000000"/>
          <w:sz w:val="22"/>
          <w:szCs w:val="22"/>
        </w:rPr>
        <w:t>HR Act</w:t>
      </w:r>
      <w:r w:rsidRPr="007703D1">
        <w:rPr>
          <w:rFonts w:cs="Arial"/>
          <w:color w:val="000000"/>
          <w:sz w:val="22"/>
          <w:szCs w:val="22"/>
        </w:rPr>
        <w:t xml:space="preserve">) operate to ensure that laws, policies, and decisions are made and applied in a way that is compatible with human rights. The expression ‘compatible with human rights’ is defined in the HR Act as meaning, either, that a human right is not limited, or, </w:t>
      </w:r>
      <w:r w:rsidR="00B64C4A">
        <w:rPr>
          <w:rFonts w:cs="Arial"/>
          <w:color w:val="000000"/>
          <w:sz w:val="22"/>
          <w:szCs w:val="22"/>
        </w:rPr>
        <w:t xml:space="preserve">that </w:t>
      </w:r>
      <w:r w:rsidRPr="007703D1">
        <w:rPr>
          <w:rFonts w:cs="Arial"/>
          <w:color w:val="000000"/>
          <w:sz w:val="22"/>
          <w:szCs w:val="22"/>
        </w:rPr>
        <w:t>a human right is limited only to the extent that is reasonably and demonstrably justified in a free and democratic society based on human dignity, equality, and freedom.</w:t>
      </w:r>
    </w:p>
    <w:p w14:paraId="63C798BE" w14:textId="1C8B3D13" w:rsidR="0037261B" w:rsidRPr="007703D1" w:rsidRDefault="0037261B" w:rsidP="0037261B">
      <w:pPr>
        <w:pStyle w:val="ListParagraph"/>
        <w:numPr>
          <w:ilvl w:val="0"/>
          <w:numId w:val="4"/>
        </w:numPr>
        <w:spacing w:before="120" w:after="120" w:line="276" w:lineRule="auto"/>
        <w:ind w:left="567" w:hanging="567"/>
        <w:contextualSpacing w:val="0"/>
        <w:rPr>
          <w:sz w:val="22"/>
          <w:szCs w:val="22"/>
        </w:rPr>
      </w:pPr>
      <w:r w:rsidRPr="007703D1">
        <w:rPr>
          <w:rFonts w:cs="Arial"/>
          <w:color w:val="000000"/>
          <w:sz w:val="22"/>
          <w:szCs w:val="22"/>
        </w:rPr>
        <w:t>In the State</w:t>
      </w:r>
      <w:r>
        <w:rPr>
          <w:rFonts w:cs="Arial"/>
          <w:color w:val="000000"/>
          <w:sz w:val="22"/>
          <w:szCs w:val="22"/>
        </w:rPr>
        <w:t xml:space="preserve">ment of Compatibility, the Attorney-General identifies nine human rights in the HR Act that will be limited by </w:t>
      </w:r>
      <w:r w:rsidR="00631A0F">
        <w:rPr>
          <w:rFonts w:cs="Arial"/>
          <w:color w:val="000000"/>
          <w:sz w:val="22"/>
          <w:szCs w:val="22"/>
        </w:rPr>
        <w:t>increasing the maximum penalty for serious vilification and introducing circumstances of aggravation to certain offences and a new offence of displaying, distributing or publish</w:t>
      </w:r>
      <w:r w:rsidR="00B27793">
        <w:rPr>
          <w:rFonts w:cs="Arial"/>
          <w:color w:val="000000"/>
          <w:sz w:val="22"/>
          <w:szCs w:val="22"/>
        </w:rPr>
        <w:t>ing</w:t>
      </w:r>
      <w:r w:rsidR="00631A0F">
        <w:rPr>
          <w:rFonts w:cs="Arial"/>
          <w:color w:val="000000"/>
          <w:sz w:val="22"/>
          <w:szCs w:val="22"/>
        </w:rPr>
        <w:t xml:space="preserve"> prohibited symbols</w:t>
      </w:r>
      <w:r>
        <w:rPr>
          <w:rFonts w:cs="Arial"/>
          <w:color w:val="000000"/>
          <w:sz w:val="22"/>
          <w:szCs w:val="22"/>
        </w:rPr>
        <w:t xml:space="preserve">.  These </w:t>
      </w:r>
      <w:r w:rsidR="00631A0F">
        <w:rPr>
          <w:rFonts w:cs="Arial"/>
          <w:color w:val="000000"/>
          <w:sz w:val="22"/>
          <w:szCs w:val="22"/>
        </w:rPr>
        <w:t xml:space="preserve">rights </w:t>
      </w:r>
      <w:r>
        <w:rPr>
          <w:rFonts w:cs="Arial"/>
          <w:color w:val="000000"/>
          <w:sz w:val="22"/>
          <w:szCs w:val="22"/>
        </w:rPr>
        <w:t>are:</w:t>
      </w:r>
    </w:p>
    <w:p w14:paraId="7B3B89F6" w14:textId="5634240E" w:rsidR="0037261B" w:rsidRDefault="0037261B" w:rsidP="0037261B">
      <w:pPr>
        <w:pStyle w:val="ListParagraph"/>
        <w:numPr>
          <w:ilvl w:val="1"/>
          <w:numId w:val="4"/>
        </w:numPr>
        <w:spacing w:before="120" w:after="120" w:line="276" w:lineRule="auto"/>
        <w:ind w:left="1276" w:hanging="425"/>
        <w:contextualSpacing w:val="0"/>
        <w:rPr>
          <w:sz w:val="22"/>
          <w:szCs w:val="22"/>
        </w:rPr>
      </w:pPr>
      <w:r>
        <w:rPr>
          <w:sz w:val="22"/>
          <w:szCs w:val="22"/>
        </w:rPr>
        <w:lastRenderedPageBreak/>
        <w:t>Recognition and equality before the law (section 15)</w:t>
      </w:r>
      <w:r w:rsidR="00B64C4A">
        <w:rPr>
          <w:sz w:val="22"/>
          <w:szCs w:val="22"/>
        </w:rPr>
        <w:t>.</w:t>
      </w:r>
    </w:p>
    <w:p w14:paraId="36289383" w14:textId="2957FF0F" w:rsidR="0037261B" w:rsidRDefault="0037261B" w:rsidP="0037261B">
      <w:pPr>
        <w:pStyle w:val="ListParagraph"/>
        <w:numPr>
          <w:ilvl w:val="1"/>
          <w:numId w:val="4"/>
        </w:numPr>
        <w:spacing w:before="120" w:after="120" w:line="276" w:lineRule="auto"/>
        <w:ind w:left="1276" w:hanging="425"/>
        <w:contextualSpacing w:val="0"/>
        <w:rPr>
          <w:sz w:val="22"/>
          <w:szCs w:val="22"/>
        </w:rPr>
      </w:pPr>
      <w:r>
        <w:rPr>
          <w:sz w:val="22"/>
          <w:szCs w:val="22"/>
        </w:rPr>
        <w:t>Freedom of thought, conscience, religion and belief (section 20)</w:t>
      </w:r>
      <w:r w:rsidR="00B64C4A">
        <w:rPr>
          <w:sz w:val="22"/>
          <w:szCs w:val="22"/>
        </w:rPr>
        <w:t>.</w:t>
      </w:r>
    </w:p>
    <w:p w14:paraId="4DAFC6DB" w14:textId="2FE0B15A" w:rsidR="0037261B" w:rsidRDefault="0037261B" w:rsidP="0037261B">
      <w:pPr>
        <w:pStyle w:val="ListParagraph"/>
        <w:numPr>
          <w:ilvl w:val="1"/>
          <w:numId w:val="4"/>
        </w:numPr>
        <w:spacing w:before="120" w:after="120" w:line="276" w:lineRule="auto"/>
        <w:ind w:left="1276" w:hanging="425"/>
        <w:contextualSpacing w:val="0"/>
        <w:rPr>
          <w:sz w:val="22"/>
          <w:szCs w:val="22"/>
        </w:rPr>
      </w:pPr>
      <w:r>
        <w:rPr>
          <w:sz w:val="22"/>
          <w:szCs w:val="22"/>
        </w:rPr>
        <w:t>Freedom of expression (section 21)</w:t>
      </w:r>
      <w:r w:rsidR="00B64C4A">
        <w:rPr>
          <w:sz w:val="22"/>
          <w:szCs w:val="22"/>
        </w:rPr>
        <w:t>.</w:t>
      </w:r>
    </w:p>
    <w:p w14:paraId="6B6C9739" w14:textId="5A00876F" w:rsidR="0037261B" w:rsidRDefault="0037261B" w:rsidP="0037261B">
      <w:pPr>
        <w:pStyle w:val="ListParagraph"/>
        <w:numPr>
          <w:ilvl w:val="1"/>
          <w:numId w:val="4"/>
        </w:numPr>
        <w:spacing w:before="120" w:after="120" w:line="276" w:lineRule="auto"/>
        <w:ind w:left="1276" w:hanging="425"/>
        <w:contextualSpacing w:val="0"/>
        <w:rPr>
          <w:sz w:val="22"/>
          <w:szCs w:val="22"/>
        </w:rPr>
      </w:pPr>
      <w:r>
        <w:rPr>
          <w:sz w:val="22"/>
          <w:szCs w:val="22"/>
        </w:rPr>
        <w:t>Peaceful assembly and freedom of association (section 22)</w:t>
      </w:r>
      <w:r w:rsidR="00B64C4A">
        <w:rPr>
          <w:sz w:val="22"/>
          <w:szCs w:val="22"/>
        </w:rPr>
        <w:t>.</w:t>
      </w:r>
    </w:p>
    <w:p w14:paraId="3FF2537A" w14:textId="6158A0F0" w:rsidR="0037261B" w:rsidRDefault="0037261B" w:rsidP="0037261B">
      <w:pPr>
        <w:pStyle w:val="ListParagraph"/>
        <w:numPr>
          <w:ilvl w:val="1"/>
          <w:numId w:val="4"/>
        </w:numPr>
        <w:spacing w:before="120" w:after="120" w:line="276" w:lineRule="auto"/>
        <w:ind w:left="1276" w:hanging="425"/>
        <w:contextualSpacing w:val="0"/>
        <w:rPr>
          <w:sz w:val="22"/>
          <w:szCs w:val="22"/>
        </w:rPr>
      </w:pPr>
      <w:r>
        <w:rPr>
          <w:sz w:val="22"/>
          <w:szCs w:val="22"/>
        </w:rPr>
        <w:t>Taking part in public life (section 23)</w:t>
      </w:r>
      <w:r w:rsidR="00B64C4A">
        <w:rPr>
          <w:sz w:val="22"/>
          <w:szCs w:val="22"/>
        </w:rPr>
        <w:t>.</w:t>
      </w:r>
    </w:p>
    <w:p w14:paraId="4E794D34" w14:textId="2022FB72" w:rsidR="0037261B" w:rsidRDefault="0037261B" w:rsidP="0037261B">
      <w:pPr>
        <w:pStyle w:val="ListParagraph"/>
        <w:numPr>
          <w:ilvl w:val="1"/>
          <w:numId w:val="4"/>
        </w:numPr>
        <w:spacing w:before="120" w:after="120" w:line="276" w:lineRule="auto"/>
        <w:ind w:left="1276" w:hanging="425"/>
        <w:contextualSpacing w:val="0"/>
        <w:rPr>
          <w:sz w:val="22"/>
          <w:szCs w:val="22"/>
        </w:rPr>
      </w:pPr>
      <w:r>
        <w:rPr>
          <w:sz w:val="22"/>
          <w:szCs w:val="22"/>
        </w:rPr>
        <w:t>Property rights (section 24)</w:t>
      </w:r>
      <w:r w:rsidR="00B64C4A">
        <w:rPr>
          <w:sz w:val="22"/>
          <w:szCs w:val="22"/>
        </w:rPr>
        <w:t>.</w:t>
      </w:r>
    </w:p>
    <w:p w14:paraId="1E93B496" w14:textId="7914F93C" w:rsidR="0037261B" w:rsidRDefault="0037261B" w:rsidP="0037261B">
      <w:pPr>
        <w:pStyle w:val="ListParagraph"/>
        <w:numPr>
          <w:ilvl w:val="1"/>
          <w:numId w:val="4"/>
        </w:numPr>
        <w:spacing w:before="120" w:after="120" w:line="276" w:lineRule="auto"/>
        <w:ind w:left="1276" w:hanging="425"/>
        <w:contextualSpacing w:val="0"/>
        <w:rPr>
          <w:sz w:val="22"/>
          <w:szCs w:val="22"/>
        </w:rPr>
      </w:pPr>
      <w:r>
        <w:rPr>
          <w:sz w:val="22"/>
          <w:szCs w:val="22"/>
        </w:rPr>
        <w:t>Privacy and reputation (section 25)</w:t>
      </w:r>
      <w:r w:rsidR="00B64C4A">
        <w:rPr>
          <w:sz w:val="22"/>
          <w:szCs w:val="22"/>
        </w:rPr>
        <w:t>.</w:t>
      </w:r>
    </w:p>
    <w:p w14:paraId="2383992A" w14:textId="34AA752C" w:rsidR="0037261B" w:rsidRDefault="0037261B" w:rsidP="0037261B">
      <w:pPr>
        <w:pStyle w:val="ListParagraph"/>
        <w:numPr>
          <w:ilvl w:val="1"/>
          <w:numId w:val="4"/>
        </w:numPr>
        <w:spacing w:before="120" w:after="120" w:line="276" w:lineRule="auto"/>
        <w:ind w:left="1276" w:hanging="425"/>
        <w:contextualSpacing w:val="0"/>
        <w:rPr>
          <w:sz w:val="22"/>
          <w:szCs w:val="22"/>
        </w:rPr>
      </w:pPr>
      <w:r>
        <w:rPr>
          <w:sz w:val="22"/>
          <w:szCs w:val="22"/>
        </w:rPr>
        <w:t>Cultural rights (sections 27 and 28) Liberty and security of person (section 29)</w:t>
      </w:r>
      <w:r w:rsidR="00B64C4A">
        <w:rPr>
          <w:sz w:val="22"/>
          <w:szCs w:val="22"/>
        </w:rPr>
        <w:t>.</w:t>
      </w:r>
    </w:p>
    <w:p w14:paraId="7B4059E9" w14:textId="0A5DF4ED" w:rsidR="00B64C4A" w:rsidRDefault="00B64C4A" w:rsidP="00ED312E">
      <w:pPr>
        <w:pStyle w:val="ListParagraph"/>
        <w:numPr>
          <w:ilvl w:val="1"/>
          <w:numId w:val="4"/>
        </w:numPr>
        <w:spacing w:before="120" w:after="240" w:line="276" w:lineRule="auto"/>
        <w:ind w:left="1276" w:hanging="425"/>
        <w:contextualSpacing w:val="0"/>
        <w:rPr>
          <w:sz w:val="22"/>
          <w:szCs w:val="22"/>
        </w:rPr>
      </w:pPr>
      <w:r>
        <w:rPr>
          <w:sz w:val="22"/>
          <w:szCs w:val="22"/>
        </w:rPr>
        <w:t>Liberty and security of person (section 29).</w:t>
      </w:r>
    </w:p>
    <w:p w14:paraId="0D23E393" w14:textId="36196069" w:rsidR="00631A0F" w:rsidRPr="00B27793" w:rsidRDefault="00631A0F" w:rsidP="00B27793">
      <w:pPr>
        <w:pStyle w:val="ListParagraph"/>
        <w:numPr>
          <w:ilvl w:val="0"/>
          <w:numId w:val="4"/>
        </w:numPr>
        <w:spacing w:before="120" w:after="120" w:line="276" w:lineRule="auto"/>
        <w:ind w:left="567" w:hanging="567"/>
        <w:contextualSpacing w:val="0"/>
        <w:rPr>
          <w:rFonts w:cs="Arial"/>
          <w:sz w:val="22"/>
          <w:szCs w:val="22"/>
        </w:rPr>
      </w:pPr>
      <w:r>
        <w:rPr>
          <w:rFonts w:cs="Arial"/>
          <w:sz w:val="22"/>
          <w:szCs w:val="22"/>
        </w:rPr>
        <w:t xml:space="preserve">The Statement of Compatibility also states that the </w:t>
      </w:r>
      <w:r w:rsidR="00B27793">
        <w:rPr>
          <w:rFonts w:cs="Arial"/>
          <w:color w:val="000000"/>
          <w:sz w:val="22"/>
          <w:szCs w:val="22"/>
        </w:rPr>
        <w:t>new offence of displaying, distributing or publishing prohibited symbols promotes the following rights:</w:t>
      </w:r>
    </w:p>
    <w:p w14:paraId="06947EAE" w14:textId="750E1ADB" w:rsidR="00B27793" w:rsidRDefault="00B27793" w:rsidP="00B27793">
      <w:pPr>
        <w:pStyle w:val="ListParagraph"/>
        <w:numPr>
          <w:ilvl w:val="1"/>
          <w:numId w:val="4"/>
        </w:numPr>
        <w:spacing w:before="120" w:after="120" w:line="276" w:lineRule="auto"/>
        <w:ind w:left="1276" w:hanging="425"/>
        <w:contextualSpacing w:val="0"/>
        <w:rPr>
          <w:rFonts w:cs="Arial"/>
          <w:sz w:val="22"/>
          <w:szCs w:val="22"/>
        </w:rPr>
      </w:pPr>
      <w:r>
        <w:rPr>
          <w:rFonts w:cs="Arial"/>
          <w:sz w:val="22"/>
          <w:szCs w:val="22"/>
        </w:rPr>
        <w:t>Equality and non-discrimination (section 15).</w:t>
      </w:r>
    </w:p>
    <w:p w14:paraId="39293A3F" w14:textId="45C964FA" w:rsidR="00B27793" w:rsidRDefault="00B27793" w:rsidP="00B27793">
      <w:pPr>
        <w:pStyle w:val="ListParagraph"/>
        <w:numPr>
          <w:ilvl w:val="1"/>
          <w:numId w:val="4"/>
        </w:numPr>
        <w:spacing w:before="120" w:after="120" w:line="276" w:lineRule="auto"/>
        <w:ind w:left="1276" w:hanging="425"/>
        <w:contextualSpacing w:val="0"/>
        <w:rPr>
          <w:rFonts w:cs="Arial"/>
          <w:sz w:val="22"/>
          <w:szCs w:val="22"/>
        </w:rPr>
      </w:pPr>
      <w:r>
        <w:rPr>
          <w:rFonts w:cs="Arial"/>
          <w:sz w:val="22"/>
          <w:szCs w:val="22"/>
        </w:rPr>
        <w:t>Freedom of religion (section 20).</w:t>
      </w:r>
    </w:p>
    <w:p w14:paraId="4C197B2A" w14:textId="2FC2231A" w:rsidR="00B27793" w:rsidRPr="00631A0F" w:rsidRDefault="00B27793" w:rsidP="00B27793">
      <w:pPr>
        <w:pStyle w:val="ListParagraph"/>
        <w:numPr>
          <w:ilvl w:val="1"/>
          <w:numId w:val="4"/>
        </w:numPr>
        <w:spacing w:before="120" w:after="240" w:line="276" w:lineRule="auto"/>
        <w:ind w:left="1276" w:hanging="425"/>
        <w:contextualSpacing w:val="0"/>
        <w:rPr>
          <w:rFonts w:cs="Arial"/>
          <w:sz w:val="22"/>
          <w:szCs w:val="22"/>
        </w:rPr>
      </w:pPr>
      <w:r>
        <w:rPr>
          <w:rFonts w:cs="Arial"/>
          <w:sz w:val="22"/>
          <w:szCs w:val="22"/>
        </w:rPr>
        <w:t>Cultural rights (section 28).</w:t>
      </w:r>
    </w:p>
    <w:p w14:paraId="077B89A3" w14:textId="012BECB1" w:rsidR="00692156" w:rsidRPr="00692156" w:rsidRDefault="00692156" w:rsidP="00692156">
      <w:pPr>
        <w:pStyle w:val="ListParagraph"/>
        <w:numPr>
          <w:ilvl w:val="0"/>
          <w:numId w:val="4"/>
        </w:numPr>
        <w:spacing w:before="120" w:after="240" w:line="276" w:lineRule="auto"/>
        <w:ind w:left="567" w:hanging="567"/>
        <w:contextualSpacing w:val="0"/>
        <w:rPr>
          <w:rFonts w:cs="Arial"/>
          <w:sz w:val="22"/>
          <w:szCs w:val="22"/>
        </w:rPr>
      </w:pPr>
      <w:r w:rsidRPr="00692156">
        <w:rPr>
          <w:rFonts w:cs="Arial"/>
          <w:color w:val="1A1A1A"/>
          <w:spacing w:val="4"/>
          <w:sz w:val="22"/>
          <w:szCs w:val="22"/>
        </w:rPr>
        <w:t xml:space="preserve">The right to freedom of thought, conscience, religion, and belief in section 20 of the HR Act, and the right to freedom of expression in section 21 of the HR Act, are drawn from articles 18 and 19 of the </w:t>
      </w:r>
      <w:r w:rsidRPr="00692156">
        <w:rPr>
          <w:rFonts w:cs="Arial"/>
          <w:i/>
          <w:sz w:val="22"/>
          <w:szCs w:val="22"/>
          <w:lang w:val="en-US"/>
        </w:rPr>
        <w:t xml:space="preserve">International Covenant on Civil and Political Rights </w:t>
      </w:r>
      <w:r w:rsidRPr="00692156">
        <w:rPr>
          <w:rFonts w:cs="Arial"/>
          <w:sz w:val="22"/>
          <w:szCs w:val="22"/>
          <w:lang w:val="en-US"/>
        </w:rPr>
        <w:t>(</w:t>
      </w:r>
      <w:r>
        <w:rPr>
          <w:rFonts w:cs="Arial"/>
          <w:sz w:val="22"/>
          <w:szCs w:val="22"/>
          <w:lang w:val="en-US"/>
        </w:rPr>
        <w:t xml:space="preserve">the </w:t>
      </w:r>
      <w:r w:rsidRPr="00692156">
        <w:rPr>
          <w:rFonts w:cs="Arial"/>
          <w:b/>
          <w:bCs/>
          <w:sz w:val="22"/>
          <w:szCs w:val="22"/>
          <w:lang w:val="en-US"/>
        </w:rPr>
        <w:t>ICCPR</w:t>
      </w:r>
      <w:r w:rsidRPr="00692156">
        <w:rPr>
          <w:rFonts w:cs="Arial"/>
          <w:sz w:val="22"/>
          <w:szCs w:val="22"/>
          <w:lang w:val="en-US"/>
        </w:rPr>
        <w:t xml:space="preserve">) </w:t>
      </w:r>
      <w:r w:rsidRPr="00692156">
        <w:rPr>
          <w:rFonts w:cs="Arial"/>
          <w:color w:val="1A1A1A"/>
          <w:spacing w:val="4"/>
          <w:sz w:val="22"/>
          <w:szCs w:val="22"/>
        </w:rPr>
        <w:t>respectively</w:t>
      </w:r>
      <w:r w:rsidRPr="00692156">
        <w:rPr>
          <w:rFonts w:cs="Arial"/>
          <w:sz w:val="22"/>
          <w:szCs w:val="22"/>
          <w:lang w:val="en-US"/>
        </w:rPr>
        <w:t>.</w:t>
      </w:r>
    </w:p>
    <w:p w14:paraId="295BEC83" w14:textId="77777777" w:rsidR="00692156" w:rsidRPr="00692156" w:rsidRDefault="00692156" w:rsidP="00692156">
      <w:pPr>
        <w:pStyle w:val="ListParagraph"/>
        <w:numPr>
          <w:ilvl w:val="0"/>
          <w:numId w:val="4"/>
        </w:numPr>
        <w:spacing w:before="120" w:after="120" w:line="276" w:lineRule="auto"/>
        <w:ind w:left="567" w:hanging="567"/>
        <w:contextualSpacing w:val="0"/>
        <w:rPr>
          <w:rFonts w:cs="Arial"/>
          <w:sz w:val="22"/>
          <w:szCs w:val="22"/>
        </w:rPr>
      </w:pPr>
      <w:r w:rsidRPr="00692156">
        <w:rPr>
          <w:rFonts w:cs="Arial"/>
          <w:color w:val="1A1A1A"/>
          <w:spacing w:val="4"/>
          <w:sz w:val="22"/>
          <w:szCs w:val="22"/>
        </w:rPr>
        <w:t xml:space="preserve">The rights in article 19 of the ICCPR are referred to as the right to freedoms of opinion and expression.  The United Nations Human Rights </w:t>
      </w:r>
      <w:r w:rsidRPr="00692156">
        <w:rPr>
          <w:rFonts w:cs="Arial"/>
          <w:color w:val="000000"/>
          <w:sz w:val="22"/>
          <w:szCs w:val="22"/>
        </w:rPr>
        <w:t>Committee</w:t>
      </w:r>
      <w:r w:rsidRPr="00692156">
        <w:rPr>
          <w:rFonts w:cs="Arial"/>
          <w:color w:val="1A1A1A"/>
          <w:spacing w:val="4"/>
          <w:sz w:val="22"/>
          <w:szCs w:val="22"/>
        </w:rPr>
        <w:t xml:space="preserve"> describes freedom of opinion and freedom of expression as ‘essential for any society’, and as constituting ‘the foundation stone for every free and democratic society’.  The Human Rights Committee also states:</w:t>
      </w:r>
    </w:p>
    <w:p w14:paraId="468D1D34" w14:textId="77777777" w:rsidR="00692156" w:rsidRPr="00692156" w:rsidRDefault="00692156" w:rsidP="00692156">
      <w:pPr>
        <w:spacing w:before="120"/>
        <w:ind w:left="1134" w:right="845"/>
        <w:rPr>
          <w:rFonts w:cs="Arial"/>
          <w:sz w:val="20"/>
          <w:szCs w:val="20"/>
        </w:rPr>
      </w:pPr>
      <w:r w:rsidRPr="00692156">
        <w:rPr>
          <w:rFonts w:cs="Arial"/>
          <w:sz w:val="20"/>
          <w:szCs w:val="20"/>
        </w:rPr>
        <w:t>Freedom of expression is a necessary condition for the realisation of the principles of transparency and accountability that are, in turn, essential for the promotion and protection of human rights.</w:t>
      </w:r>
    </w:p>
    <w:p w14:paraId="2EA635E6" w14:textId="77777777" w:rsidR="00692156" w:rsidRPr="00692156" w:rsidRDefault="00692156" w:rsidP="00692156">
      <w:pPr>
        <w:spacing w:after="120"/>
        <w:ind w:left="1134" w:right="845"/>
        <w:rPr>
          <w:rFonts w:cs="Arial"/>
          <w:sz w:val="20"/>
          <w:szCs w:val="20"/>
        </w:rPr>
      </w:pPr>
      <w:r w:rsidRPr="00692156">
        <w:rPr>
          <w:rFonts w:cs="Arial"/>
          <w:sz w:val="20"/>
          <w:szCs w:val="20"/>
        </w:rPr>
        <w:t>…</w:t>
      </w:r>
    </w:p>
    <w:p w14:paraId="396E8282" w14:textId="77777777" w:rsidR="00692156" w:rsidRPr="00692156" w:rsidRDefault="00692156" w:rsidP="00692156">
      <w:pPr>
        <w:spacing w:before="120" w:after="240"/>
        <w:ind w:left="1134" w:right="845"/>
        <w:rPr>
          <w:rFonts w:cs="Arial"/>
          <w:sz w:val="20"/>
          <w:szCs w:val="20"/>
        </w:rPr>
      </w:pPr>
      <w:r w:rsidRPr="00692156">
        <w:rPr>
          <w:rFonts w:cs="Arial"/>
          <w:sz w:val="20"/>
          <w:szCs w:val="20"/>
        </w:rPr>
        <w:t>The freedoms of opinion and expression form a basis for the full enjoyment of a wide range of other human rights.</w:t>
      </w:r>
      <w:r w:rsidRPr="00692156">
        <w:rPr>
          <w:rStyle w:val="FootnoteReference"/>
          <w:rFonts w:cs="Arial"/>
          <w:sz w:val="20"/>
          <w:szCs w:val="20"/>
        </w:rPr>
        <w:footnoteReference w:id="24"/>
      </w:r>
    </w:p>
    <w:p w14:paraId="5F9199C7" w14:textId="77777777" w:rsidR="00692156" w:rsidRPr="008D7997" w:rsidRDefault="00692156" w:rsidP="00692156">
      <w:pPr>
        <w:pStyle w:val="ListParagraph"/>
        <w:numPr>
          <w:ilvl w:val="0"/>
          <w:numId w:val="4"/>
        </w:numPr>
        <w:spacing w:before="120" w:after="240" w:line="276" w:lineRule="auto"/>
        <w:ind w:left="567" w:hanging="567"/>
        <w:contextualSpacing w:val="0"/>
        <w:rPr>
          <w:rFonts w:cs="Arial"/>
          <w:sz w:val="22"/>
          <w:szCs w:val="22"/>
        </w:rPr>
      </w:pPr>
      <w:r w:rsidRPr="008D7997">
        <w:rPr>
          <w:rFonts w:cs="Arial"/>
          <w:color w:val="000000"/>
          <w:sz w:val="22"/>
          <w:szCs w:val="22"/>
        </w:rPr>
        <w:t>International</w:t>
      </w:r>
      <w:r w:rsidRPr="008D7997">
        <w:rPr>
          <w:rFonts w:cs="Arial"/>
          <w:sz w:val="22"/>
          <w:szCs w:val="22"/>
        </w:rPr>
        <w:t xml:space="preserve"> law requires that given the significance of the right to freedom of expression, restrictions must be exceptional, subject to narrow conditions, and strict oversight.  Any limitations must meet three conditions: legality, legitimacy, and necessity and proportionality.</w:t>
      </w:r>
      <w:r w:rsidRPr="008D7997">
        <w:rPr>
          <w:rStyle w:val="FootnoteReference"/>
          <w:rFonts w:cs="Arial"/>
          <w:sz w:val="22"/>
          <w:szCs w:val="22"/>
        </w:rPr>
        <w:footnoteReference w:id="25"/>
      </w:r>
    </w:p>
    <w:p w14:paraId="6FC55E5A" w14:textId="77777777" w:rsidR="00692156" w:rsidRPr="008D7997" w:rsidRDefault="00692156" w:rsidP="00692156">
      <w:pPr>
        <w:pStyle w:val="ListParagraph"/>
        <w:numPr>
          <w:ilvl w:val="0"/>
          <w:numId w:val="4"/>
        </w:numPr>
        <w:spacing w:before="120" w:after="120" w:line="276" w:lineRule="auto"/>
        <w:ind w:left="567" w:hanging="567"/>
        <w:contextualSpacing w:val="0"/>
        <w:rPr>
          <w:rFonts w:cs="Arial"/>
          <w:sz w:val="22"/>
          <w:szCs w:val="22"/>
        </w:rPr>
      </w:pPr>
      <w:r w:rsidRPr="008D7997">
        <w:rPr>
          <w:rFonts w:cs="Arial"/>
          <w:sz w:val="22"/>
          <w:szCs w:val="22"/>
        </w:rPr>
        <w:t xml:space="preserve">Article 19(3) of the ICCPR provides that the right to freedom </w:t>
      </w:r>
      <w:r w:rsidRPr="008D7997">
        <w:rPr>
          <w:rFonts w:cs="Arial"/>
          <w:color w:val="000000"/>
          <w:sz w:val="22"/>
          <w:szCs w:val="22"/>
        </w:rPr>
        <w:t>of</w:t>
      </w:r>
      <w:r w:rsidRPr="008D7997">
        <w:rPr>
          <w:rFonts w:cs="Arial"/>
          <w:sz w:val="22"/>
          <w:szCs w:val="22"/>
        </w:rPr>
        <w:t xml:space="preserve"> expression carries with it special duties and responsibilities, and may therefore be subject to restrictions, only where necessary and provided by law, for:</w:t>
      </w:r>
    </w:p>
    <w:p w14:paraId="01C19497" w14:textId="77777777" w:rsidR="00692156" w:rsidRPr="008D7997" w:rsidRDefault="00692156" w:rsidP="00692156">
      <w:pPr>
        <w:pStyle w:val="ListParagraph"/>
        <w:numPr>
          <w:ilvl w:val="1"/>
          <w:numId w:val="4"/>
        </w:numPr>
        <w:spacing w:before="120" w:after="120" w:line="276" w:lineRule="auto"/>
        <w:ind w:left="1417" w:hanging="425"/>
        <w:contextualSpacing w:val="0"/>
        <w:rPr>
          <w:rFonts w:cs="Arial"/>
          <w:sz w:val="22"/>
          <w:szCs w:val="22"/>
        </w:rPr>
      </w:pPr>
      <w:r w:rsidRPr="008D7997">
        <w:rPr>
          <w:rFonts w:cs="Arial"/>
          <w:sz w:val="22"/>
          <w:szCs w:val="22"/>
        </w:rPr>
        <w:lastRenderedPageBreak/>
        <w:t>respect of the rights or reputations of others; and</w:t>
      </w:r>
    </w:p>
    <w:p w14:paraId="7A6E1BED" w14:textId="77777777" w:rsidR="00692156" w:rsidRPr="008D7997" w:rsidRDefault="00692156" w:rsidP="00692156">
      <w:pPr>
        <w:pStyle w:val="ListParagraph"/>
        <w:numPr>
          <w:ilvl w:val="1"/>
          <w:numId w:val="4"/>
        </w:numPr>
        <w:spacing w:before="120" w:after="240" w:line="276" w:lineRule="auto"/>
        <w:ind w:left="1417" w:hanging="425"/>
        <w:contextualSpacing w:val="0"/>
        <w:rPr>
          <w:rFonts w:cs="Arial"/>
          <w:sz w:val="22"/>
          <w:szCs w:val="22"/>
        </w:rPr>
      </w:pPr>
      <w:r w:rsidRPr="008D7997">
        <w:rPr>
          <w:rFonts w:cs="Arial"/>
          <w:sz w:val="22"/>
          <w:szCs w:val="22"/>
        </w:rPr>
        <w:t>the protection of national security or of public order (</w:t>
      </w:r>
      <w:proofErr w:type="spellStart"/>
      <w:r w:rsidRPr="008D7997">
        <w:rPr>
          <w:rFonts w:cs="Arial"/>
          <w:sz w:val="22"/>
          <w:szCs w:val="22"/>
        </w:rPr>
        <w:t>ordre</w:t>
      </w:r>
      <w:proofErr w:type="spellEnd"/>
      <w:r w:rsidRPr="008D7997">
        <w:rPr>
          <w:rFonts w:cs="Arial"/>
          <w:sz w:val="22"/>
          <w:szCs w:val="22"/>
        </w:rPr>
        <w:t xml:space="preserve"> public), or of public health or morals.</w:t>
      </w:r>
    </w:p>
    <w:p w14:paraId="1AB6DE40" w14:textId="70B26436" w:rsidR="00B27793" w:rsidRDefault="00B27793" w:rsidP="00692156">
      <w:pPr>
        <w:pStyle w:val="ListParagraph"/>
        <w:numPr>
          <w:ilvl w:val="0"/>
          <w:numId w:val="4"/>
        </w:numPr>
        <w:spacing w:before="120" w:after="240" w:line="276" w:lineRule="auto"/>
        <w:ind w:left="567" w:hanging="567"/>
        <w:contextualSpacing w:val="0"/>
        <w:rPr>
          <w:sz w:val="22"/>
          <w:szCs w:val="22"/>
        </w:rPr>
      </w:pPr>
      <w:r>
        <w:rPr>
          <w:sz w:val="22"/>
          <w:szCs w:val="22"/>
        </w:rPr>
        <w:t>The Commission considers that amendments and new offences provided for in the Bill satisfy th</w:t>
      </w:r>
      <w:r w:rsidR="00297B24">
        <w:rPr>
          <w:sz w:val="22"/>
          <w:szCs w:val="22"/>
        </w:rPr>
        <w:t>e criteria for restricting these rights.</w:t>
      </w:r>
    </w:p>
    <w:p w14:paraId="5189D6B4" w14:textId="139534B9" w:rsidR="00B64C4A" w:rsidRDefault="008A5BC3" w:rsidP="00692156">
      <w:pPr>
        <w:pStyle w:val="ListParagraph"/>
        <w:numPr>
          <w:ilvl w:val="0"/>
          <w:numId w:val="4"/>
        </w:numPr>
        <w:spacing w:before="120" w:after="240" w:line="276" w:lineRule="auto"/>
        <w:ind w:left="567" w:hanging="567"/>
        <w:contextualSpacing w:val="0"/>
        <w:rPr>
          <w:sz w:val="22"/>
          <w:szCs w:val="22"/>
        </w:rPr>
      </w:pPr>
      <w:r>
        <w:rPr>
          <w:sz w:val="22"/>
          <w:szCs w:val="22"/>
        </w:rPr>
        <w:t xml:space="preserve">Assessing compatibility with human rights </w:t>
      </w:r>
      <w:r w:rsidR="00297B24">
        <w:rPr>
          <w:sz w:val="22"/>
          <w:szCs w:val="22"/>
        </w:rPr>
        <w:t>includes</w:t>
      </w:r>
      <w:r>
        <w:rPr>
          <w:sz w:val="22"/>
          <w:szCs w:val="22"/>
        </w:rPr>
        <w:t xml:space="preserve"> identifying human rights that are relevant to the proposed statutory provisions.  </w:t>
      </w:r>
      <w:r w:rsidR="00297B24">
        <w:rPr>
          <w:sz w:val="22"/>
          <w:szCs w:val="22"/>
        </w:rPr>
        <w:t xml:space="preserve">The rights to life, security, privacy, and equality and non-discrimination are also relevant to the </w:t>
      </w:r>
      <w:r>
        <w:rPr>
          <w:sz w:val="22"/>
          <w:szCs w:val="22"/>
        </w:rPr>
        <w:t>protections from vilification</w:t>
      </w:r>
      <w:r w:rsidR="00297B24">
        <w:rPr>
          <w:sz w:val="22"/>
          <w:szCs w:val="22"/>
        </w:rPr>
        <w:t>,</w:t>
      </w:r>
      <w:r>
        <w:rPr>
          <w:sz w:val="22"/>
          <w:szCs w:val="22"/>
        </w:rPr>
        <w:t xml:space="preserve"> formulating aggravated offences, </w:t>
      </w:r>
      <w:r w:rsidR="00297B24">
        <w:rPr>
          <w:sz w:val="22"/>
          <w:szCs w:val="22"/>
        </w:rPr>
        <w:t xml:space="preserve">and introducing a new offence prohibiting the display, distribution and publication of prohibited symbols. </w:t>
      </w:r>
    </w:p>
    <w:p w14:paraId="4687F27F" w14:textId="77777777" w:rsidR="00553464" w:rsidRDefault="00CB6330" w:rsidP="00B64C4A">
      <w:pPr>
        <w:pStyle w:val="ListParagraph"/>
        <w:numPr>
          <w:ilvl w:val="0"/>
          <w:numId w:val="4"/>
        </w:numPr>
        <w:spacing w:before="120" w:after="120" w:line="276" w:lineRule="auto"/>
        <w:ind w:left="567" w:hanging="567"/>
        <w:contextualSpacing w:val="0"/>
        <w:rPr>
          <w:sz w:val="22"/>
          <w:szCs w:val="22"/>
        </w:rPr>
      </w:pPr>
      <w:r>
        <w:rPr>
          <w:sz w:val="22"/>
          <w:szCs w:val="22"/>
        </w:rPr>
        <w:t xml:space="preserve">The right to life </w:t>
      </w:r>
      <w:r w:rsidR="00474CE2">
        <w:rPr>
          <w:sz w:val="22"/>
          <w:szCs w:val="22"/>
        </w:rPr>
        <w:t>imposes</w:t>
      </w:r>
      <w:r>
        <w:rPr>
          <w:sz w:val="22"/>
          <w:szCs w:val="22"/>
        </w:rPr>
        <w:t xml:space="preserve"> a positive obligation on the State to protect life and take positive steps to do so.</w:t>
      </w:r>
      <w:r>
        <w:rPr>
          <w:rStyle w:val="FootnoteReference"/>
          <w:sz w:val="22"/>
          <w:szCs w:val="22"/>
        </w:rPr>
        <w:footnoteReference w:id="26"/>
      </w:r>
      <w:r w:rsidR="00474CE2">
        <w:rPr>
          <w:sz w:val="22"/>
          <w:szCs w:val="22"/>
        </w:rPr>
        <w:t xml:space="preserve">  The right to security imposes a positive obligation to protect security of the person, which concerns freedom from injury to the body and the mind, or bodily and mental integrity.</w:t>
      </w:r>
      <w:r w:rsidR="00474CE2">
        <w:rPr>
          <w:rStyle w:val="FootnoteReference"/>
          <w:sz w:val="22"/>
          <w:szCs w:val="22"/>
        </w:rPr>
        <w:footnoteReference w:id="27"/>
      </w:r>
      <w:r w:rsidR="00553464">
        <w:rPr>
          <w:sz w:val="22"/>
          <w:szCs w:val="22"/>
        </w:rPr>
        <w:t xml:space="preserve">  </w:t>
      </w:r>
    </w:p>
    <w:p w14:paraId="354ED428" w14:textId="724E7268" w:rsidR="00CB6330" w:rsidRDefault="00553464" w:rsidP="00B64C4A">
      <w:pPr>
        <w:pStyle w:val="ListParagraph"/>
        <w:numPr>
          <w:ilvl w:val="0"/>
          <w:numId w:val="4"/>
        </w:numPr>
        <w:spacing w:before="120" w:after="120" w:line="276" w:lineRule="auto"/>
        <w:ind w:left="567" w:hanging="567"/>
        <w:contextualSpacing w:val="0"/>
        <w:rPr>
          <w:sz w:val="22"/>
          <w:szCs w:val="22"/>
        </w:rPr>
      </w:pPr>
      <w:r w:rsidRPr="00553464">
        <w:rPr>
          <w:rFonts w:cs="Arial"/>
          <w:sz w:val="22"/>
          <w:szCs w:val="22"/>
        </w:rPr>
        <w:t>Everyone also has the right not to have their privacy, family, or home interfered with unlawfully or arbitrarily, and everyone is entitled to equality before the law without discrimination, and the right to protection against discrimination.</w:t>
      </w:r>
      <w:r>
        <w:rPr>
          <w:rFonts w:cs="Arial"/>
        </w:rPr>
        <w:t xml:space="preserve">  </w:t>
      </w:r>
    </w:p>
    <w:p w14:paraId="549C6498" w14:textId="58BE5FF4" w:rsidR="00553464" w:rsidRDefault="00553464" w:rsidP="00B64C4A">
      <w:pPr>
        <w:pStyle w:val="ListParagraph"/>
        <w:numPr>
          <w:ilvl w:val="0"/>
          <w:numId w:val="4"/>
        </w:numPr>
        <w:spacing w:before="120" w:after="120" w:line="276" w:lineRule="auto"/>
        <w:ind w:left="567" w:hanging="567"/>
        <w:contextualSpacing w:val="0"/>
        <w:rPr>
          <w:sz w:val="22"/>
          <w:szCs w:val="22"/>
        </w:rPr>
      </w:pPr>
      <w:r>
        <w:rPr>
          <w:sz w:val="22"/>
          <w:szCs w:val="22"/>
        </w:rPr>
        <w:t>Regulating speech and restricting other means of expression invariably involves the balancing of competing rights.</w:t>
      </w:r>
      <w:r w:rsidR="00D134E5">
        <w:rPr>
          <w:sz w:val="22"/>
          <w:szCs w:val="22"/>
        </w:rPr>
        <w:t xml:space="preserve">  So too for increasing penalties for certain offences as a defendant’s right to liberty may be limited by increasing the time that they may be detained in custody.</w:t>
      </w:r>
    </w:p>
    <w:p w14:paraId="2AEAA0FE" w14:textId="52F6B244" w:rsidR="007A6644" w:rsidRDefault="00ED312E" w:rsidP="00B64C4A">
      <w:pPr>
        <w:pStyle w:val="ListParagraph"/>
        <w:numPr>
          <w:ilvl w:val="0"/>
          <w:numId w:val="4"/>
        </w:numPr>
        <w:spacing w:before="120" w:after="120" w:line="276" w:lineRule="auto"/>
        <w:ind w:left="567" w:hanging="567"/>
        <w:contextualSpacing w:val="0"/>
        <w:rPr>
          <w:sz w:val="22"/>
          <w:szCs w:val="22"/>
        </w:rPr>
      </w:pPr>
      <w:r>
        <w:rPr>
          <w:sz w:val="22"/>
          <w:szCs w:val="22"/>
        </w:rPr>
        <w:t xml:space="preserve">Also of relevance </w:t>
      </w:r>
      <w:r w:rsidR="00553464">
        <w:rPr>
          <w:sz w:val="22"/>
          <w:szCs w:val="22"/>
        </w:rPr>
        <w:t xml:space="preserve">to the assessment of compatibility </w:t>
      </w:r>
      <w:r>
        <w:rPr>
          <w:sz w:val="22"/>
          <w:szCs w:val="22"/>
        </w:rPr>
        <w:t xml:space="preserve">is Australia’s obligations under the international human rights treaties to which it is a party.  Importantly, Article 20 of the </w:t>
      </w:r>
      <w:r w:rsidRPr="008D7997">
        <w:rPr>
          <w:sz w:val="22"/>
          <w:szCs w:val="22"/>
        </w:rPr>
        <w:t>ICCPR</w:t>
      </w:r>
      <w:r w:rsidR="000F7EB7">
        <w:rPr>
          <w:sz w:val="22"/>
          <w:szCs w:val="22"/>
        </w:rPr>
        <w:t xml:space="preserve"> imposes obligations to prohibit by law any propaganda for war and any advocacy of national, racial, or religious hatred th</w:t>
      </w:r>
      <w:r w:rsidR="00553464">
        <w:rPr>
          <w:sz w:val="22"/>
          <w:szCs w:val="22"/>
        </w:rPr>
        <w:t>at</w:t>
      </w:r>
      <w:r w:rsidR="000F7EB7">
        <w:rPr>
          <w:sz w:val="22"/>
          <w:szCs w:val="22"/>
        </w:rPr>
        <w:t xml:space="preserve"> constitutes discrimination, hostility</w:t>
      </w:r>
      <w:r w:rsidR="00553464">
        <w:rPr>
          <w:sz w:val="22"/>
          <w:szCs w:val="22"/>
        </w:rPr>
        <w:t>,</w:t>
      </w:r>
      <w:r w:rsidR="000F7EB7">
        <w:rPr>
          <w:sz w:val="22"/>
          <w:szCs w:val="22"/>
        </w:rPr>
        <w:t xml:space="preserve"> or violence.</w:t>
      </w:r>
    </w:p>
    <w:p w14:paraId="0031414A" w14:textId="045769EF" w:rsidR="007A6644" w:rsidRPr="007703D1" w:rsidRDefault="00D134E5" w:rsidP="00B64C4A">
      <w:pPr>
        <w:pStyle w:val="ListParagraph"/>
        <w:numPr>
          <w:ilvl w:val="0"/>
          <w:numId w:val="4"/>
        </w:numPr>
        <w:spacing w:before="120" w:after="120" w:line="276" w:lineRule="auto"/>
        <w:ind w:left="567" w:hanging="567"/>
        <w:contextualSpacing w:val="0"/>
        <w:rPr>
          <w:sz w:val="22"/>
          <w:szCs w:val="22"/>
        </w:rPr>
      </w:pPr>
      <w:r>
        <w:rPr>
          <w:sz w:val="22"/>
          <w:szCs w:val="22"/>
        </w:rPr>
        <w:t>As noted earlier in this submission, there is also an obligation under the CRPD to take legislative and other measures to protect persons with disability from violence and abuse, and to put in place effective legislation and policies to ensure that instances of violence and abuse against persons with disabilities are identified, investigated, and where appropriate, prosecuted.</w:t>
      </w:r>
    </w:p>
    <w:p w14:paraId="05CA0598" w14:textId="0EA732B2" w:rsidR="0037261B" w:rsidRDefault="0010065E" w:rsidP="0037261B">
      <w:pPr>
        <w:pStyle w:val="ListParagraph"/>
        <w:numPr>
          <w:ilvl w:val="0"/>
          <w:numId w:val="4"/>
        </w:numPr>
        <w:spacing w:before="120" w:after="240" w:line="276" w:lineRule="auto"/>
        <w:ind w:left="567" w:hanging="567"/>
        <w:contextualSpacing w:val="0"/>
        <w:rPr>
          <w:sz w:val="22"/>
          <w:szCs w:val="22"/>
        </w:rPr>
      </w:pPr>
      <w:r>
        <w:rPr>
          <w:sz w:val="22"/>
          <w:szCs w:val="22"/>
        </w:rPr>
        <w:t>The Commission considers that criminalising conduct that advocates national, racial, or religious hatred that constitutes discrimination, hostility, or violence and violence and abuse of persons with disability, are consistent with the permissible limitation of rights and are demonstrably justified in a free and democratic society based on human dignity, equality, and freedom.</w:t>
      </w:r>
      <w:r w:rsidR="00F411FA">
        <w:rPr>
          <w:sz w:val="22"/>
          <w:szCs w:val="22"/>
        </w:rPr>
        <w:t xml:space="preserve">  </w:t>
      </w:r>
    </w:p>
    <w:p w14:paraId="17F40815" w14:textId="16F324FA" w:rsidR="008D7997" w:rsidRDefault="008D7997" w:rsidP="008D7997">
      <w:pPr>
        <w:pStyle w:val="ListParagraph"/>
        <w:numPr>
          <w:ilvl w:val="0"/>
          <w:numId w:val="4"/>
        </w:numPr>
        <w:spacing w:before="120" w:after="120" w:line="276" w:lineRule="auto"/>
        <w:ind w:left="567" w:hanging="567"/>
        <w:contextualSpacing w:val="0"/>
        <w:rPr>
          <w:sz w:val="22"/>
          <w:szCs w:val="22"/>
        </w:rPr>
      </w:pPr>
      <w:r>
        <w:rPr>
          <w:sz w:val="22"/>
          <w:szCs w:val="22"/>
        </w:rPr>
        <w:t xml:space="preserve">In terms of the implied right to freedom of political communication in the </w:t>
      </w:r>
      <w:r w:rsidRPr="00CC4A4A">
        <w:rPr>
          <w:i/>
          <w:iCs/>
          <w:sz w:val="22"/>
          <w:szCs w:val="22"/>
        </w:rPr>
        <w:t>Constitution</w:t>
      </w:r>
      <w:r>
        <w:rPr>
          <w:sz w:val="22"/>
          <w:szCs w:val="22"/>
        </w:rPr>
        <w:t xml:space="preserve">, the Queensland Court of appeal has determined that section 124A of the </w:t>
      </w:r>
      <w:r>
        <w:rPr>
          <w:i/>
          <w:iCs/>
          <w:sz w:val="22"/>
          <w:szCs w:val="22"/>
        </w:rPr>
        <w:t>Anti-Discrimination Act 1991</w:t>
      </w:r>
      <w:r>
        <w:rPr>
          <w:sz w:val="22"/>
          <w:szCs w:val="22"/>
        </w:rPr>
        <w:t xml:space="preserve"> is not inconsistent with that right.</w:t>
      </w:r>
      <w:r>
        <w:rPr>
          <w:rStyle w:val="FootnoteReference"/>
          <w:sz w:val="22"/>
          <w:szCs w:val="22"/>
        </w:rPr>
        <w:footnoteReference w:id="28"/>
      </w:r>
      <w:r>
        <w:rPr>
          <w:sz w:val="22"/>
          <w:szCs w:val="22"/>
        </w:rPr>
        <w:t xml:space="preserve">  The judges of </w:t>
      </w:r>
      <w:r>
        <w:rPr>
          <w:sz w:val="22"/>
          <w:szCs w:val="22"/>
        </w:rPr>
        <w:lastRenderedPageBreak/>
        <w:t>the Court agreed that is section 124A did burden the implied constitutional freedom of political communication, any burden was incidental and reasonably appropriate and adapted to service a legitimate end.  That end is the promotion of equality of opportunity for all members of the community by prohibiting objectionable conduct consistent with the purposes of the Act and the Parliament’s desire to improve the quality of democratic life through an educated community appreciative and respectful of the dignity and work of all its members.  Any burden was confined and controlled by section 124A(2) (the exceptions).</w:t>
      </w:r>
    </w:p>
    <w:p w14:paraId="1611A507" w14:textId="3F509B99" w:rsidR="0037261B" w:rsidRDefault="0037261B" w:rsidP="002437EA">
      <w:pPr>
        <w:pStyle w:val="Heading1"/>
        <w:keepLines w:val="0"/>
        <w:spacing w:before="360"/>
      </w:pPr>
      <w:bookmarkStart w:id="13" w:name="_Toc134102699"/>
      <w:r w:rsidRPr="00AB3364">
        <w:t>Conclusion</w:t>
      </w:r>
      <w:bookmarkEnd w:id="13"/>
    </w:p>
    <w:p w14:paraId="126E1A9F" w14:textId="5C3B9BE7" w:rsidR="00F411FA" w:rsidRDefault="00F411FA" w:rsidP="002437EA">
      <w:pPr>
        <w:pStyle w:val="ListParagraph"/>
        <w:numPr>
          <w:ilvl w:val="0"/>
          <w:numId w:val="4"/>
        </w:numPr>
        <w:spacing w:before="120" w:after="120" w:line="276" w:lineRule="auto"/>
        <w:ind w:left="567" w:hanging="567"/>
        <w:contextualSpacing w:val="0"/>
        <w:rPr>
          <w:sz w:val="22"/>
          <w:szCs w:val="22"/>
        </w:rPr>
      </w:pPr>
      <w:r w:rsidRPr="00F411FA">
        <w:rPr>
          <w:sz w:val="22"/>
          <w:szCs w:val="22"/>
        </w:rPr>
        <w:t>The Commission supports the Bill with the recommendations to:</w:t>
      </w:r>
    </w:p>
    <w:p w14:paraId="7B755665" w14:textId="25F66EF7" w:rsidR="002F0B72" w:rsidRDefault="00AB3364" w:rsidP="002437EA">
      <w:pPr>
        <w:pStyle w:val="ListParagraph"/>
        <w:numPr>
          <w:ilvl w:val="1"/>
          <w:numId w:val="4"/>
        </w:numPr>
        <w:spacing w:before="120" w:after="120" w:line="276" w:lineRule="auto"/>
        <w:ind w:left="1276" w:hanging="567"/>
        <w:contextualSpacing w:val="0"/>
        <w:rPr>
          <w:sz w:val="22"/>
          <w:szCs w:val="22"/>
        </w:rPr>
      </w:pPr>
      <w:r>
        <w:rPr>
          <w:sz w:val="22"/>
          <w:szCs w:val="22"/>
        </w:rPr>
        <w:t>C</w:t>
      </w:r>
      <w:r w:rsidR="00F411FA">
        <w:rPr>
          <w:sz w:val="22"/>
          <w:szCs w:val="22"/>
        </w:rPr>
        <w:t xml:space="preserve">larify that for vilification and serious vilification a public act may </w:t>
      </w:r>
      <w:r w:rsidR="002F0B72">
        <w:rPr>
          <w:sz w:val="22"/>
          <w:szCs w:val="22"/>
        </w:rPr>
        <w:t xml:space="preserve">occur in closed environments such as a workplace or educational </w:t>
      </w:r>
      <w:r>
        <w:rPr>
          <w:sz w:val="22"/>
          <w:szCs w:val="22"/>
        </w:rPr>
        <w:t>institution.</w:t>
      </w:r>
    </w:p>
    <w:p w14:paraId="515773F4" w14:textId="6B6CA4C7" w:rsidR="002F0B72" w:rsidRDefault="00AB3364" w:rsidP="002437EA">
      <w:pPr>
        <w:pStyle w:val="ListParagraph"/>
        <w:numPr>
          <w:ilvl w:val="1"/>
          <w:numId w:val="4"/>
        </w:numPr>
        <w:spacing w:before="120" w:after="120" w:line="276" w:lineRule="auto"/>
        <w:ind w:left="1276" w:hanging="567"/>
        <w:contextualSpacing w:val="0"/>
        <w:rPr>
          <w:sz w:val="22"/>
          <w:szCs w:val="22"/>
        </w:rPr>
      </w:pPr>
      <w:r>
        <w:rPr>
          <w:sz w:val="22"/>
          <w:szCs w:val="22"/>
        </w:rPr>
        <w:t>S</w:t>
      </w:r>
      <w:r w:rsidR="002F0B72">
        <w:rPr>
          <w:sz w:val="22"/>
          <w:szCs w:val="22"/>
        </w:rPr>
        <w:t xml:space="preserve">implify the test for circumstance of aggravation by included a ‘demonstration’ limb in addition to the ‘motivation’ </w:t>
      </w:r>
      <w:r>
        <w:rPr>
          <w:sz w:val="22"/>
          <w:szCs w:val="22"/>
        </w:rPr>
        <w:t>limb.</w:t>
      </w:r>
    </w:p>
    <w:p w14:paraId="720247CB" w14:textId="02B35E54" w:rsidR="002F0B72" w:rsidRDefault="00AB3364" w:rsidP="002437EA">
      <w:pPr>
        <w:pStyle w:val="ListParagraph"/>
        <w:numPr>
          <w:ilvl w:val="1"/>
          <w:numId w:val="4"/>
        </w:numPr>
        <w:spacing w:before="120" w:after="120" w:line="276" w:lineRule="auto"/>
        <w:ind w:left="1276" w:hanging="567"/>
        <w:contextualSpacing w:val="0"/>
        <w:rPr>
          <w:sz w:val="22"/>
          <w:szCs w:val="22"/>
        </w:rPr>
      </w:pPr>
      <w:r>
        <w:rPr>
          <w:sz w:val="22"/>
          <w:szCs w:val="22"/>
        </w:rPr>
        <w:t>A</w:t>
      </w:r>
      <w:r w:rsidR="002F0B72">
        <w:rPr>
          <w:sz w:val="22"/>
          <w:szCs w:val="22"/>
        </w:rPr>
        <w:t xml:space="preserve">dd the ground of impairment to both the civil and criminal prohibitions of vilification and to the circumstance of </w:t>
      </w:r>
      <w:r>
        <w:rPr>
          <w:sz w:val="22"/>
          <w:szCs w:val="22"/>
        </w:rPr>
        <w:t>aggravation.</w:t>
      </w:r>
    </w:p>
    <w:p w14:paraId="604A3938" w14:textId="77777777" w:rsidR="00AB3364" w:rsidRDefault="00AB3364" w:rsidP="002437EA">
      <w:pPr>
        <w:pStyle w:val="ListParagraph"/>
        <w:numPr>
          <w:ilvl w:val="1"/>
          <w:numId w:val="4"/>
        </w:numPr>
        <w:spacing w:before="120" w:after="120" w:line="276" w:lineRule="auto"/>
        <w:ind w:left="1276" w:hanging="567"/>
        <w:contextualSpacing w:val="0"/>
        <w:rPr>
          <w:sz w:val="22"/>
          <w:szCs w:val="22"/>
        </w:rPr>
      </w:pPr>
      <w:r>
        <w:rPr>
          <w:sz w:val="22"/>
          <w:szCs w:val="22"/>
        </w:rPr>
        <w:t>Make clear that the public display of prohibited symbols includes closed environments such as workplaces, educational institutions, and hospitals.</w:t>
      </w:r>
      <w:r w:rsidR="00F411FA">
        <w:rPr>
          <w:sz w:val="22"/>
          <w:szCs w:val="22"/>
        </w:rPr>
        <w:t xml:space="preserve"> </w:t>
      </w:r>
    </w:p>
    <w:p w14:paraId="75D8C33B" w14:textId="2C5DC610" w:rsidR="00F411FA" w:rsidRDefault="00AB3364" w:rsidP="002437EA">
      <w:pPr>
        <w:pStyle w:val="ListParagraph"/>
        <w:numPr>
          <w:ilvl w:val="1"/>
          <w:numId w:val="4"/>
        </w:numPr>
        <w:spacing w:before="120" w:after="120" w:line="276" w:lineRule="auto"/>
        <w:ind w:left="1276" w:hanging="567"/>
        <w:contextualSpacing w:val="0"/>
        <w:rPr>
          <w:sz w:val="22"/>
          <w:szCs w:val="22"/>
        </w:rPr>
      </w:pPr>
      <w:r>
        <w:rPr>
          <w:sz w:val="22"/>
          <w:szCs w:val="22"/>
        </w:rPr>
        <w:t>Provide for a review of the operation of aggravated offences against Aboriginal and Torres Strait Islander peoples.</w:t>
      </w:r>
      <w:r w:rsidR="00F411FA">
        <w:rPr>
          <w:sz w:val="22"/>
          <w:szCs w:val="22"/>
        </w:rPr>
        <w:t xml:space="preserve"> </w:t>
      </w:r>
    </w:p>
    <w:p w14:paraId="16214BC2" w14:textId="11129B69" w:rsidR="00740517" w:rsidRPr="002F5814" w:rsidRDefault="00740517" w:rsidP="00740517">
      <w:pPr>
        <w:pStyle w:val="ListParagraph"/>
        <w:numPr>
          <w:ilvl w:val="1"/>
          <w:numId w:val="4"/>
        </w:numPr>
        <w:spacing w:before="120" w:after="240" w:line="276" w:lineRule="auto"/>
        <w:ind w:left="1276" w:hanging="567"/>
        <w:contextualSpacing w:val="0"/>
        <w:rPr>
          <w:rFonts w:cs="Arial"/>
          <w:color w:val="000000"/>
          <w:sz w:val="22"/>
          <w:szCs w:val="22"/>
        </w:rPr>
      </w:pPr>
      <w:r>
        <w:rPr>
          <w:rFonts w:cs="Arial"/>
          <w:color w:val="000000"/>
          <w:sz w:val="22"/>
          <w:szCs w:val="22"/>
        </w:rPr>
        <w:t>Exclude aggravated offensive behaviour towards police</w:t>
      </w:r>
      <w:r w:rsidR="002C6EDD">
        <w:rPr>
          <w:rFonts w:cs="Arial"/>
          <w:color w:val="000000"/>
          <w:sz w:val="22"/>
          <w:szCs w:val="22"/>
        </w:rPr>
        <w:t>.</w:t>
      </w:r>
    </w:p>
    <w:p w14:paraId="23FBE09F" w14:textId="77777777" w:rsidR="00740517" w:rsidRPr="00F411FA" w:rsidRDefault="00740517" w:rsidP="002C6EDD">
      <w:pPr>
        <w:pStyle w:val="ListParagraph"/>
        <w:spacing w:before="120" w:after="120" w:line="276" w:lineRule="auto"/>
        <w:ind w:left="1276"/>
        <w:contextualSpacing w:val="0"/>
        <w:rPr>
          <w:sz w:val="22"/>
          <w:szCs w:val="22"/>
        </w:rPr>
      </w:pPr>
    </w:p>
    <w:p w14:paraId="4A463C30" w14:textId="3F52BFC3" w:rsidR="00F411FA" w:rsidRPr="00F411FA" w:rsidRDefault="00F411FA" w:rsidP="002437EA">
      <w:pPr>
        <w:pStyle w:val="ListParagraph"/>
        <w:numPr>
          <w:ilvl w:val="0"/>
          <w:numId w:val="4"/>
        </w:numPr>
        <w:spacing w:before="120" w:line="276" w:lineRule="auto"/>
        <w:ind w:left="567" w:hanging="567"/>
        <w:contextualSpacing w:val="0"/>
      </w:pPr>
      <w:r>
        <w:rPr>
          <w:sz w:val="22"/>
          <w:szCs w:val="22"/>
        </w:rPr>
        <w:t xml:space="preserve">The reform of Queensland’s vilification and hate crime laws in the Bill constitute measures to set community </w:t>
      </w:r>
      <w:r w:rsidR="00AB3364">
        <w:rPr>
          <w:sz w:val="22"/>
          <w:szCs w:val="22"/>
        </w:rPr>
        <w:t>standards and</w:t>
      </w:r>
      <w:r>
        <w:rPr>
          <w:sz w:val="22"/>
          <w:szCs w:val="22"/>
        </w:rPr>
        <w:t xml:space="preserve"> sends a clear and unequivocal message that crime motivated by attribute-based </w:t>
      </w:r>
      <w:r w:rsidR="00AB3364">
        <w:rPr>
          <w:sz w:val="22"/>
          <w:szCs w:val="22"/>
        </w:rPr>
        <w:t xml:space="preserve">hate </w:t>
      </w:r>
      <w:r>
        <w:rPr>
          <w:sz w:val="22"/>
          <w:szCs w:val="22"/>
        </w:rPr>
        <w:t>is unacceptable and will not be tolerated.</w:t>
      </w:r>
    </w:p>
    <w:sectPr w:rsidR="00F411FA" w:rsidRPr="00F411FA" w:rsidSect="002437EA">
      <w:headerReference w:type="default" r:id="rId11"/>
      <w:pgSz w:w="11900" w:h="16840" w:code="9"/>
      <w:pgMar w:top="1134" w:right="1644" w:bottom="1134" w:left="164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DDBD" w14:textId="77777777" w:rsidR="0018756A" w:rsidRDefault="0018756A" w:rsidP="0034134D">
      <w:r>
        <w:separator/>
      </w:r>
    </w:p>
  </w:endnote>
  <w:endnote w:type="continuationSeparator" w:id="0">
    <w:p w14:paraId="7C33471E" w14:textId="77777777" w:rsidR="0018756A" w:rsidRDefault="0018756A"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0F37" w14:textId="77777777" w:rsidR="00F83AEB" w:rsidRDefault="00F83AEB" w:rsidP="006D0CD6">
    <w:pPr>
      <w:pStyle w:val="Footer"/>
      <w:pBdr>
        <w:top w:val="single" w:sz="4" w:space="1" w:color="auto"/>
      </w:pBdr>
      <w:jc w:val="right"/>
      <w:rPr>
        <w:rFonts w:cs="Arial"/>
        <w:sz w:val="20"/>
        <w:szCs w:val="20"/>
      </w:rPr>
    </w:pPr>
  </w:p>
  <w:p w14:paraId="10688C65" w14:textId="13254EAD" w:rsidR="00F83AEB" w:rsidRPr="006D0CD6" w:rsidRDefault="00F83AEB" w:rsidP="006D0CD6">
    <w:pPr>
      <w:pStyle w:val="Footer"/>
      <w:jc w:val="right"/>
      <w:rPr>
        <w:rFonts w:cs="Arial"/>
        <w:sz w:val="20"/>
        <w:szCs w:val="20"/>
      </w:rPr>
    </w:pP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236C04">
      <w:rPr>
        <w:rFonts w:cs="Arial"/>
        <w:noProof/>
        <w:sz w:val="20"/>
        <w:szCs w:val="20"/>
      </w:rPr>
      <w:t>50</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1F175" w14:textId="77777777" w:rsidR="0018756A" w:rsidRDefault="0018756A" w:rsidP="0034134D">
      <w:r>
        <w:separator/>
      </w:r>
    </w:p>
  </w:footnote>
  <w:footnote w:type="continuationSeparator" w:id="0">
    <w:p w14:paraId="1E572FCD" w14:textId="77777777" w:rsidR="0018756A" w:rsidRDefault="0018756A" w:rsidP="0034134D">
      <w:r>
        <w:continuationSeparator/>
      </w:r>
    </w:p>
  </w:footnote>
  <w:footnote w:id="1">
    <w:p w14:paraId="3BE640EC" w14:textId="3CC03F2B" w:rsidR="00C92C02" w:rsidRPr="00AF7A7A" w:rsidRDefault="00C92C02" w:rsidP="00C92C02">
      <w:pPr>
        <w:pStyle w:val="FootnoteText"/>
        <w:rPr>
          <w:rFonts w:cs="Arial"/>
          <w:lang w:val="en-US"/>
        </w:rPr>
      </w:pPr>
      <w:r w:rsidRPr="00AF7A7A">
        <w:rPr>
          <w:rStyle w:val="FootnoteReference"/>
          <w:rFonts w:cs="Arial"/>
        </w:rPr>
        <w:footnoteRef/>
      </w:r>
      <w:r w:rsidRPr="00AF7A7A">
        <w:rPr>
          <w:rFonts w:cs="Arial"/>
        </w:rPr>
        <w:t xml:space="preserve"> </w:t>
      </w:r>
      <w:r w:rsidRPr="00AF7A7A">
        <w:rPr>
          <w:rFonts w:cs="Arial"/>
          <w:i/>
          <w:iCs/>
          <w:lang w:val="en-US"/>
        </w:rPr>
        <w:t xml:space="preserve">Park v State of Queensland &amp; Anor </w:t>
      </w:r>
      <w:r w:rsidRPr="00AF7A7A">
        <w:rPr>
          <w:rFonts w:cs="Arial"/>
          <w:lang w:val="en-US"/>
        </w:rPr>
        <w:t xml:space="preserve">[2013] QCAT 183; </w:t>
      </w:r>
      <w:r w:rsidRPr="00AF7A7A">
        <w:rPr>
          <w:rFonts w:cs="Arial"/>
          <w:i/>
          <w:iCs/>
          <w:lang w:val="en-US"/>
        </w:rPr>
        <w:t xml:space="preserve">Bero v Wilmar Sugar Pty Ltd &amp; Ors </w:t>
      </w:r>
      <w:r w:rsidRPr="00AF7A7A">
        <w:rPr>
          <w:rFonts w:cs="Arial"/>
          <w:lang w:val="en-US"/>
        </w:rPr>
        <w:t xml:space="preserve">[2016] QCAT 371; </w:t>
      </w:r>
      <w:r w:rsidRPr="00AF7A7A">
        <w:rPr>
          <w:rFonts w:cs="Arial"/>
          <w:i/>
          <w:iCs/>
          <w:lang w:val="en-US"/>
        </w:rPr>
        <w:t xml:space="preserve">Riley v State of New South Wales (Department of Education) </w:t>
      </w:r>
      <w:r w:rsidRPr="00AF7A7A">
        <w:rPr>
          <w:rFonts w:cs="Arial"/>
          <w:lang w:val="en-US"/>
        </w:rPr>
        <w:t>[2019] NSWCATAD 223.</w:t>
      </w:r>
    </w:p>
  </w:footnote>
  <w:footnote w:id="2">
    <w:p w14:paraId="1BB9E52E" w14:textId="58B1E2A6" w:rsidR="0066593A" w:rsidRPr="0066593A" w:rsidRDefault="0066593A">
      <w:pPr>
        <w:pStyle w:val="FootnoteText"/>
        <w:rPr>
          <w:lang w:val="en-US"/>
        </w:rPr>
      </w:pPr>
      <w:r>
        <w:rPr>
          <w:rStyle w:val="FootnoteReference"/>
        </w:rPr>
        <w:footnoteRef/>
      </w:r>
      <w:r>
        <w:t xml:space="preserve"> </w:t>
      </w:r>
      <w:r>
        <w:rPr>
          <w:lang w:val="en-US"/>
        </w:rPr>
        <w:t>In NSW legislation makes it unlawful to enter inclosed lands (which includes government schools) without consent or a lawful excuse.  In Queensland it is an offence to be on the premises of a State educational institution without lawful authority or reasonable excuse.</w:t>
      </w:r>
    </w:p>
  </w:footnote>
  <w:footnote w:id="3">
    <w:p w14:paraId="0B556119" w14:textId="77777777" w:rsidR="00C92C02" w:rsidRPr="00553EC3" w:rsidRDefault="00C92C02" w:rsidP="00C92C02">
      <w:pPr>
        <w:pStyle w:val="FootnoteText"/>
        <w:rPr>
          <w:rFonts w:cs="Arial"/>
          <w:lang w:val="en-US"/>
        </w:rPr>
      </w:pPr>
      <w:r w:rsidRPr="00553EC3">
        <w:rPr>
          <w:rStyle w:val="FootnoteReference"/>
          <w:rFonts w:cs="Arial"/>
        </w:rPr>
        <w:footnoteRef/>
      </w:r>
      <w:r w:rsidRPr="00553EC3">
        <w:rPr>
          <w:rFonts w:cs="Arial"/>
        </w:rPr>
        <w:t xml:space="preserve"> </w:t>
      </w:r>
      <w:r w:rsidRPr="00553EC3">
        <w:rPr>
          <w:rFonts w:cs="Arial"/>
          <w:lang w:val="en-US"/>
        </w:rPr>
        <w:t>Paragraph 156 of the Submission.</w:t>
      </w:r>
    </w:p>
  </w:footnote>
  <w:footnote w:id="4">
    <w:p w14:paraId="0382026C" w14:textId="77777777" w:rsidR="004D4C51" w:rsidRPr="00902C5B" w:rsidRDefault="004D4C51" w:rsidP="004D4C51">
      <w:pPr>
        <w:pStyle w:val="FootnoteText"/>
        <w:rPr>
          <w:rFonts w:cs="Arial"/>
          <w:lang w:val="en-US"/>
        </w:rPr>
      </w:pPr>
      <w:r w:rsidRPr="00902C5B">
        <w:rPr>
          <w:rStyle w:val="FootnoteReference"/>
          <w:rFonts w:cs="Arial"/>
        </w:rPr>
        <w:footnoteRef/>
      </w:r>
      <w:r w:rsidRPr="00902C5B">
        <w:rPr>
          <w:rFonts w:cs="Arial"/>
        </w:rPr>
        <w:t xml:space="preserve"> </w:t>
      </w:r>
      <w:r w:rsidRPr="00902C5B">
        <w:rPr>
          <w:rFonts w:cs="Arial"/>
          <w:i/>
          <w:iCs/>
          <w:lang w:val="en-US"/>
        </w:rPr>
        <w:t xml:space="preserve">Anti-Discrimination Act 1991 </w:t>
      </w:r>
      <w:r w:rsidRPr="00902C5B">
        <w:rPr>
          <w:rFonts w:cs="Arial"/>
          <w:lang w:val="en-US"/>
        </w:rPr>
        <w:t>section 6, and Chapter 2 Part 4 Division 2.</w:t>
      </w:r>
    </w:p>
  </w:footnote>
  <w:footnote w:id="5">
    <w:p w14:paraId="470749ED" w14:textId="23EEA8BA" w:rsidR="00B73B3F" w:rsidRPr="00B73B3F" w:rsidRDefault="00B73B3F">
      <w:pPr>
        <w:pStyle w:val="FootnoteText"/>
        <w:rPr>
          <w:lang w:val="en-US"/>
        </w:rPr>
      </w:pPr>
      <w:r>
        <w:rPr>
          <w:rStyle w:val="FootnoteReference"/>
        </w:rPr>
        <w:footnoteRef/>
      </w:r>
      <w:r>
        <w:t xml:space="preserve"> </w:t>
      </w:r>
      <w:r w:rsidR="008F7000">
        <w:t xml:space="preserve">Evidence to </w:t>
      </w:r>
      <w:r>
        <w:t xml:space="preserve">Legal Affairs and Safety Committee, Queensland Parliament, Brisbane, 15 October 2021, </w:t>
      </w:r>
      <w:r w:rsidR="008F7000">
        <w:t>4.</w:t>
      </w:r>
    </w:p>
  </w:footnote>
  <w:footnote w:id="6">
    <w:p w14:paraId="22DBB90A" w14:textId="712B0872" w:rsidR="00375106" w:rsidRPr="000F6CA1" w:rsidRDefault="00375106">
      <w:pPr>
        <w:pStyle w:val="FootnoteText"/>
        <w:rPr>
          <w:lang w:val="en-US"/>
        </w:rPr>
      </w:pPr>
      <w:r>
        <w:rPr>
          <w:rStyle w:val="FootnoteReference"/>
        </w:rPr>
        <w:footnoteRef/>
      </w:r>
      <w:r>
        <w:t xml:space="preserve"> </w:t>
      </w:r>
      <w:r>
        <w:rPr>
          <w:lang w:val="en-US"/>
        </w:rPr>
        <w:t xml:space="preserve">Legal Affairs and Safety Committee, </w:t>
      </w:r>
      <w:r w:rsidR="000F6CA1">
        <w:rPr>
          <w:lang w:val="en-US"/>
        </w:rPr>
        <w:t xml:space="preserve">Parliament of Queensland, </w:t>
      </w:r>
      <w:r w:rsidR="000F6CA1">
        <w:rPr>
          <w:i/>
          <w:iCs/>
          <w:lang w:val="en-US"/>
        </w:rPr>
        <w:t xml:space="preserve">Inquiry into serious vilification and hate crimes </w:t>
      </w:r>
      <w:r w:rsidR="000F6CA1">
        <w:rPr>
          <w:lang w:val="en-US"/>
        </w:rPr>
        <w:t>(2022) 43.</w:t>
      </w:r>
    </w:p>
  </w:footnote>
  <w:footnote w:id="7">
    <w:p w14:paraId="25AE7F75" w14:textId="2692FA24" w:rsidR="000F6CA1" w:rsidRPr="000F6CA1" w:rsidRDefault="000F6CA1">
      <w:pPr>
        <w:pStyle w:val="FootnoteText"/>
        <w:rPr>
          <w:lang w:val="en-US"/>
        </w:rPr>
      </w:pPr>
      <w:r>
        <w:rPr>
          <w:rStyle w:val="FootnoteReference"/>
        </w:rPr>
        <w:footnoteRef/>
      </w:r>
      <w:r>
        <w:t xml:space="preserve"> </w:t>
      </w:r>
      <w:r>
        <w:rPr>
          <w:lang w:val="en-US"/>
        </w:rPr>
        <w:t>Ibid</w:t>
      </w:r>
      <w:r w:rsidR="005772A9">
        <w:rPr>
          <w:lang w:val="en-US"/>
        </w:rPr>
        <w:t xml:space="preserve"> 45.</w:t>
      </w:r>
    </w:p>
  </w:footnote>
  <w:footnote w:id="8">
    <w:p w14:paraId="0BFF4FA5" w14:textId="641F141A" w:rsidR="00654264" w:rsidRPr="00654264" w:rsidRDefault="00654264">
      <w:pPr>
        <w:pStyle w:val="FootnoteText"/>
        <w:rPr>
          <w:lang w:val="en-US"/>
        </w:rPr>
      </w:pPr>
      <w:r>
        <w:rPr>
          <w:rStyle w:val="FootnoteReference"/>
        </w:rPr>
        <w:footnoteRef/>
      </w:r>
      <w:r>
        <w:t xml:space="preserve"> </w:t>
      </w:r>
      <w:r>
        <w:rPr>
          <w:lang w:val="en-US"/>
        </w:rPr>
        <w:t xml:space="preserve">See for example </w:t>
      </w:r>
      <w:r>
        <w:rPr>
          <w:i/>
          <w:iCs/>
          <w:lang w:val="en-US"/>
        </w:rPr>
        <w:t xml:space="preserve">NC and others v Queensland Corrective Services Commission </w:t>
      </w:r>
      <w:r>
        <w:rPr>
          <w:lang w:val="en-US"/>
        </w:rPr>
        <w:t xml:space="preserve">[1997] QADT 22; </w:t>
      </w:r>
      <w:r>
        <w:rPr>
          <w:i/>
          <w:iCs/>
          <w:lang w:val="en-US"/>
        </w:rPr>
        <w:t xml:space="preserve">S v S </w:t>
      </w:r>
      <w:r>
        <w:rPr>
          <w:lang w:val="en-US"/>
        </w:rPr>
        <w:t>[2000] QADT 4</w:t>
      </w:r>
      <w:r w:rsidR="00CD3FFE">
        <w:rPr>
          <w:lang w:val="en-US"/>
        </w:rPr>
        <w:t>.</w:t>
      </w:r>
    </w:p>
  </w:footnote>
  <w:footnote w:id="9">
    <w:p w14:paraId="504F8EA1" w14:textId="205E7B90" w:rsidR="00C6059B" w:rsidRPr="00AB0FC1" w:rsidRDefault="00C6059B">
      <w:pPr>
        <w:pStyle w:val="FootnoteText"/>
        <w:rPr>
          <w:lang w:val="en-US"/>
        </w:rPr>
      </w:pPr>
      <w:bookmarkStart w:id="6" w:name="_Hlk133578089"/>
      <w:r>
        <w:rPr>
          <w:rStyle w:val="FootnoteReference"/>
        </w:rPr>
        <w:footnoteRef/>
      </w:r>
      <w:r>
        <w:t xml:space="preserve"> </w:t>
      </w:r>
      <w:r w:rsidR="00AB0FC1">
        <w:rPr>
          <w:i/>
          <w:iCs/>
          <w:lang w:val="en-US"/>
        </w:rPr>
        <w:t>Article 16: Illustrative indicators on freedom from violence, exploitation and abuse</w:t>
      </w:r>
      <w:r w:rsidR="00AB0FC1">
        <w:rPr>
          <w:lang w:val="en-US"/>
        </w:rPr>
        <w:t xml:space="preserve"> (2020), </w:t>
      </w:r>
      <w:r w:rsidR="00E17E2C">
        <w:rPr>
          <w:lang w:val="en-US"/>
        </w:rPr>
        <w:t xml:space="preserve">16.11, </w:t>
      </w:r>
      <w:r w:rsidR="00AB0FC1">
        <w:rPr>
          <w:lang w:val="en-US"/>
        </w:rPr>
        <w:t>Component of the SDG-CRPD Resource Package developed by the Office of the United Nations High Commissioner for Human Rights &lt;</w:t>
      </w:r>
      <w:r w:rsidR="00AB0FC1" w:rsidRPr="00AB0FC1">
        <w:rPr>
          <w:lang w:val="en-US"/>
        </w:rPr>
        <w:t>https://www.ohchr.org/en/disabilities/sdg-crpd-resource-package</w:t>
      </w:r>
      <w:r w:rsidR="00AB0FC1">
        <w:rPr>
          <w:lang w:val="en-US"/>
        </w:rPr>
        <w:t>&gt;.</w:t>
      </w:r>
      <w:bookmarkEnd w:id="6"/>
    </w:p>
  </w:footnote>
  <w:footnote w:id="10">
    <w:p w14:paraId="3CB275BD" w14:textId="7B0376FD" w:rsidR="0047620D" w:rsidRPr="0047620D" w:rsidRDefault="0047620D">
      <w:pPr>
        <w:pStyle w:val="FootnoteText"/>
        <w:rPr>
          <w:lang w:val="en-US"/>
        </w:rPr>
      </w:pPr>
      <w:r>
        <w:rPr>
          <w:rStyle w:val="FootnoteReference"/>
        </w:rPr>
        <w:footnoteRef/>
      </w:r>
      <w:r>
        <w:t xml:space="preserve"> </w:t>
      </w:r>
      <w:r>
        <w:rPr>
          <w:lang w:val="en-US"/>
        </w:rPr>
        <w:t>The Explanatory Notes (page 4) make it clear that the offence is intended to capture a broad range of circumstances including the public display of tattoos.  The Attorney-General confirmed this intention in her introductory speech.</w:t>
      </w:r>
    </w:p>
  </w:footnote>
  <w:footnote w:id="11">
    <w:p w14:paraId="561F7914" w14:textId="4945E761" w:rsidR="00AA57F5" w:rsidRPr="00AA57F5" w:rsidRDefault="00AA57F5">
      <w:pPr>
        <w:pStyle w:val="FootnoteText"/>
        <w:rPr>
          <w:lang w:val="en-US"/>
        </w:rPr>
      </w:pPr>
      <w:r>
        <w:rPr>
          <w:rStyle w:val="FootnoteReference"/>
        </w:rPr>
        <w:footnoteRef/>
      </w:r>
      <w:r>
        <w:t xml:space="preserve"> </w:t>
      </w:r>
      <w:r>
        <w:rPr>
          <w:lang w:val="en-US"/>
        </w:rPr>
        <w:t>The meaning of hatred and contempt were considered by the</w:t>
      </w:r>
      <w:r w:rsidR="00414C71">
        <w:rPr>
          <w:lang w:val="en-US"/>
        </w:rPr>
        <w:t xml:space="preserve"> President of</w:t>
      </w:r>
      <w:r>
        <w:rPr>
          <w:lang w:val="en-US"/>
        </w:rPr>
        <w:t xml:space="preserve"> </w:t>
      </w:r>
      <w:r w:rsidR="00414C71">
        <w:rPr>
          <w:lang w:val="en-US"/>
        </w:rPr>
        <w:t>former Anti-Discrimination T</w:t>
      </w:r>
      <w:r>
        <w:rPr>
          <w:lang w:val="en-US"/>
        </w:rPr>
        <w:t xml:space="preserve">ribunal </w:t>
      </w:r>
      <w:r w:rsidR="00414C71">
        <w:rPr>
          <w:lang w:val="en-US"/>
        </w:rPr>
        <w:t>at the time, Wa</w:t>
      </w:r>
      <w:r w:rsidR="00B2091C">
        <w:rPr>
          <w:lang w:val="en-US"/>
        </w:rPr>
        <w:t>l</w:t>
      </w:r>
      <w:r w:rsidR="00414C71">
        <w:rPr>
          <w:lang w:val="en-US"/>
        </w:rPr>
        <w:t xml:space="preserve">ter Sofronoff QC, </w:t>
      </w:r>
      <w:r>
        <w:rPr>
          <w:lang w:val="en-US"/>
        </w:rPr>
        <w:t xml:space="preserve">in </w:t>
      </w:r>
      <w:r w:rsidRPr="00414C71">
        <w:rPr>
          <w:i/>
          <w:iCs/>
          <w:lang w:val="en-US"/>
        </w:rPr>
        <w:t>Deen v Lamb</w:t>
      </w:r>
      <w:r>
        <w:rPr>
          <w:lang w:val="en-US"/>
        </w:rPr>
        <w:t xml:space="preserve"> [2001] QADT 20 with reference to a passage from a decision of the Canadian Supreme Court.  Hatred is essentially extreme ill-will and contempt suggests a mental process of looking down upon or treating as inferior.</w:t>
      </w:r>
    </w:p>
  </w:footnote>
  <w:footnote w:id="12">
    <w:p w14:paraId="6D9917A0" w14:textId="1D3509BF" w:rsidR="00414C71" w:rsidRPr="00414C71" w:rsidRDefault="00414C71">
      <w:pPr>
        <w:pStyle w:val="FootnoteText"/>
        <w:rPr>
          <w:lang w:val="en-US"/>
        </w:rPr>
      </w:pPr>
      <w:r>
        <w:rPr>
          <w:rStyle w:val="FootnoteReference"/>
        </w:rPr>
        <w:footnoteRef/>
      </w:r>
      <w:r>
        <w:t xml:space="preserve"> </w:t>
      </w:r>
      <w:bookmarkStart w:id="9" w:name="_Hlk133321715"/>
      <w:r>
        <w:rPr>
          <w:lang w:val="en-US"/>
        </w:rPr>
        <w:t xml:space="preserve">Law Commission </w:t>
      </w:r>
      <w:r w:rsidR="000A7E0F">
        <w:rPr>
          <w:lang w:val="en-US"/>
        </w:rPr>
        <w:t>(</w:t>
      </w:r>
      <w:r>
        <w:rPr>
          <w:lang w:val="en-US"/>
        </w:rPr>
        <w:t>UK</w:t>
      </w:r>
      <w:r w:rsidR="000A7E0F">
        <w:rPr>
          <w:lang w:val="en-US"/>
        </w:rPr>
        <w:t>)</w:t>
      </w:r>
      <w:r>
        <w:rPr>
          <w:lang w:val="en-US"/>
        </w:rPr>
        <w:t xml:space="preserve">, </w:t>
      </w:r>
      <w:r w:rsidRPr="00B2091C">
        <w:rPr>
          <w:i/>
          <w:iCs/>
          <w:lang w:val="en-US"/>
        </w:rPr>
        <w:t xml:space="preserve">Hate </w:t>
      </w:r>
      <w:r w:rsidR="000A7E0F">
        <w:rPr>
          <w:i/>
          <w:iCs/>
          <w:lang w:val="en-US"/>
        </w:rPr>
        <w:t>C</w:t>
      </w:r>
      <w:r w:rsidRPr="00B2091C">
        <w:rPr>
          <w:i/>
          <w:iCs/>
          <w:lang w:val="en-US"/>
        </w:rPr>
        <w:t xml:space="preserve">rime </w:t>
      </w:r>
      <w:r w:rsidR="000A7E0F">
        <w:rPr>
          <w:i/>
          <w:iCs/>
          <w:lang w:val="en-US"/>
        </w:rPr>
        <w:t>L</w:t>
      </w:r>
      <w:r w:rsidRPr="00B2091C">
        <w:rPr>
          <w:i/>
          <w:iCs/>
          <w:lang w:val="en-US"/>
        </w:rPr>
        <w:t>aws</w:t>
      </w:r>
      <w:r w:rsidR="00FA0F90">
        <w:rPr>
          <w:lang w:val="en-US"/>
        </w:rPr>
        <w:t xml:space="preserve"> (Consultation paper 250, 23 September 2020) 381 </w:t>
      </w:r>
      <w:r w:rsidR="00B2091C">
        <w:rPr>
          <w:lang w:val="en-US"/>
        </w:rPr>
        <w:t>[</w:t>
      </w:r>
      <w:r w:rsidR="00FA0F90">
        <w:rPr>
          <w:lang w:val="en-US"/>
        </w:rPr>
        <w:t>16.32</w:t>
      </w:r>
      <w:r w:rsidR="00B2091C">
        <w:rPr>
          <w:lang w:val="en-US"/>
        </w:rPr>
        <w:t>]</w:t>
      </w:r>
      <w:r w:rsidR="00FA0F90">
        <w:rPr>
          <w:lang w:val="en-US"/>
        </w:rPr>
        <w:t>.</w:t>
      </w:r>
      <w:bookmarkEnd w:id="9"/>
    </w:p>
  </w:footnote>
  <w:footnote w:id="13">
    <w:p w14:paraId="55E3DA8B" w14:textId="1FF34A40" w:rsidR="009D652B" w:rsidRPr="009D652B" w:rsidRDefault="009D652B">
      <w:pPr>
        <w:pStyle w:val="FootnoteText"/>
        <w:rPr>
          <w:lang w:val="en-US"/>
        </w:rPr>
      </w:pPr>
      <w:r>
        <w:rPr>
          <w:rStyle w:val="FootnoteReference"/>
        </w:rPr>
        <w:footnoteRef/>
      </w:r>
      <w:r>
        <w:t xml:space="preserve"> </w:t>
      </w:r>
      <w:r>
        <w:rPr>
          <w:lang w:val="en-US"/>
        </w:rPr>
        <w:t>The attributes of race, sexuality, sex characteristics, and gender identity take on the</w:t>
      </w:r>
      <w:r w:rsidR="00EF1368">
        <w:rPr>
          <w:lang w:val="en-US"/>
        </w:rPr>
        <w:t xml:space="preserve"> definitions of these attributes in the </w:t>
      </w:r>
      <w:r w:rsidR="00EF1368" w:rsidRPr="00EF1368">
        <w:rPr>
          <w:i/>
          <w:iCs/>
          <w:lang w:val="en-US"/>
        </w:rPr>
        <w:t>Anti-Discrimination Act 1991</w:t>
      </w:r>
      <w:r w:rsidR="00EF1368">
        <w:rPr>
          <w:lang w:val="en-US"/>
        </w:rPr>
        <w:t xml:space="preserve">.  The Births, Deaths and Marriages Registration Bill 2022 currently before parliament will amend the definition of the attributes of sexuality and gender identity and insert and define a new attribute of sex characteristics. </w:t>
      </w:r>
    </w:p>
  </w:footnote>
  <w:footnote w:id="14">
    <w:p w14:paraId="1751DC0D" w14:textId="2D1EF569" w:rsidR="0075726A" w:rsidRPr="0075726A" w:rsidRDefault="0075726A">
      <w:pPr>
        <w:pStyle w:val="FootnoteText"/>
        <w:rPr>
          <w:lang w:val="en-US"/>
        </w:rPr>
      </w:pPr>
      <w:r>
        <w:rPr>
          <w:rStyle w:val="FootnoteReference"/>
        </w:rPr>
        <w:footnoteRef/>
      </w:r>
      <w:r>
        <w:t xml:space="preserve"> </w:t>
      </w:r>
      <w:r>
        <w:rPr>
          <w:lang w:val="en-US"/>
        </w:rPr>
        <w:t xml:space="preserve">Law Commission </w:t>
      </w:r>
      <w:r w:rsidR="000A7E0F">
        <w:rPr>
          <w:lang w:val="en-US"/>
        </w:rPr>
        <w:t>(</w:t>
      </w:r>
      <w:r>
        <w:rPr>
          <w:lang w:val="en-US"/>
        </w:rPr>
        <w:t>UK</w:t>
      </w:r>
      <w:r w:rsidR="000A7E0F">
        <w:rPr>
          <w:lang w:val="en-US"/>
        </w:rPr>
        <w:t>)</w:t>
      </w:r>
      <w:r>
        <w:rPr>
          <w:lang w:val="en-US"/>
        </w:rPr>
        <w:t xml:space="preserve">, </w:t>
      </w:r>
      <w:r w:rsidRPr="000A7E0F">
        <w:rPr>
          <w:i/>
          <w:iCs/>
          <w:lang w:val="en-US"/>
        </w:rPr>
        <w:t>Hate Crime Laws</w:t>
      </w:r>
      <w:r w:rsidR="001C1593">
        <w:rPr>
          <w:lang w:val="en-US"/>
        </w:rPr>
        <w:t xml:space="preserve"> (Final Report No. 402, 6 December 2021) 361 </w:t>
      </w:r>
      <w:r w:rsidR="000A7E0F">
        <w:rPr>
          <w:lang w:val="en-US"/>
        </w:rPr>
        <w:t>[</w:t>
      </w:r>
      <w:r w:rsidR="001C1593">
        <w:rPr>
          <w:lang w:val="en-US"/>
        </w:rPr>
        <w:t>9.39</w:t>
      </w:r>
      <w:r w:rsidR="000A7E0F">
        <w:rPr>
          <w:lang w:val="en-US"/>
        </w:rPr>
        <w:t>]</w:t>
      </w:r>
      <w:r w:rsidR="001C1593">
        <w:rPr>
          <w:lang w:val="en-US"/>
        </w:rPr>
        <w:t>.</w:t>
      </w:r>
    </w:p>
  </w:footnote>
  <w:footnote w:id="15">
    <w:p w14:paraId="3440DFBF" w14:textId="5A99F796" w:rsidR="00495576" w:rsidRPr="00495576" w:rsidRDefault="00495576">
      <w:pPr>
        <w:pStyle w:val="FootnoteText"/>
        <w:rPr>
          <w:lang w:val="en-US"/>
        </w:rPr>
      </w:pPr>
      <w:r>
        <w:rPr>
          <w:rStyle w:val="FootnoteReference"/>
        </w:rPr>
        <w:footnoteRef/>
      </w:r>
      <w:r>
        <w:t xml:space="preserve"> </w:t>
      </w:r>
      <w:r>
        <w:rPr>
          <w:lang w:val="en-US"/>
        </w:rPr>
        <w:t>Ibid 364 [9.48].</w:t>
      </w:r>
    </w:p>
  </w:footnote>
  <w:footnote w:id="16">
    <w:p w14:paraId="07FD1DA7" w14:textId="77D20748" w:rsidR="004863E7" w:rsidRPr="004863E7" w:rsidRDefault="004863E7">
      <w:pPr>
        <w:pStyle w:val="FootnoteText"/>
        <w:rPr>
          <w:lang w:val="en-US"/>
        </w:rPr>
      </w:pPr>
      <w:r>
        <w:rPr>
          <w:rStyle w:val="FootnoteReference"/>
        </w:rPr>
        <w:footnoteRef/>
      </w:r>
      <w:r>
        <w:t xml:space="preserve"> </w:t>
      </w:r>
      <w:r>
        <w:rPr>
          <w:lang w:val="en-US"/>
        </w:rPr>
        <w:t xml:space="preserve">In the report on the Inquiry, the Committee considered </w:t>
      </w:r>
      <w:r w:rsidR="00861BC3">
        <w:rPr>
          <w:lang w:val="en-US"/>
        </w:rPr>
        <w:t>that providing that a bias motivation is an aggravating factor for certain criminal offences acknowledges the psychological harm caused by vilification and reflects that by way of an increased sanction for offending conduct.</w:t>
      </w:r>
    </w:p>
  </w:footnote>
  <w:footnote w:id="17">
    <w:p w14:paraId="2474DBB4" w14:textId="4C1E9796" w:rsidR="002437EA" w:rsidRPr="002437EA" w:rsidRDefault="002437EA">
      <w:pPr>
        <w:pStyle w:val="FootnoteText"/>
        <w:rPr>
          <w:lang w:val="en-US"/>
        </w:rPr>
      </w:pPr>
      <w:r>
        <w:rPr>
          <w:rStyle w:val="FootnoteReference"/>
        </w:rPr>
        <w:footnoteRef/>
      </w:r>
      <w:r>
        <w:t xml:space="preserve"> Queensland Productivity Commission, </w:t>
      </w:r>
      <w:r>
        <w:rPr>
          <w:i/>
          <w:iCs/>
        </w:rPr>
        <w:t xml:space="preserve">Inquiry into Imprisonment and Recidivism </w:t>
      </w:r>
      <w:r>
        <w:t>Report 2020, 76.</w:t>
      </w:r>
    </w:p>
  </w:footnote>
  <w:footnote w:id="18">
    <w:p w14:paraId="1F71E6AE" w14:textId="2BB1529E" w:rsidR="001B1BB2" w:rsidRPr="0094072B" w:rsidRDefault="001B1BB2">
      <w:pPr>
        <w:pStyle w:val="FootnoteText"/>
        <w:rPr>
          <w:lang w:val="en-US"/>
        </w:rPr>
      </w:pPr>
      <w:r>
        <w:rPr>
          <w:rStyle w:val="FootnoteReference"/>
        </w:rPr>
        <w:footnoteRef/>
      </w:r>
      <w:r>
        <w:t xml:space="preserve"> </w:t>
      </w:r>
      <w:r w:rsidR="0094072B">
        <w:t xml:space="preserve">Crime and Misconduct Commission, </w:t>
      </w:r>
      <w:r w:rsidR="0094072B">
        <w:rPr>
          <w:i/>
          <w:iCs/>
        </w:rPr>
        <w:t xml:space="preserve">Policing public order: A review of the public nuisance offence </w:t>
      </w:r>
      <w:r w:rsidR="0094072B">
        <w:t>(May 2008) 116.</w:t>
      </w:r>
    </w:p>
  </w:footnote>
  <w:footnote w:id="19">
    <w:p w14:paraId="3EDF1E33" w14:textId="00A3D36F" w:rsidR="003804EF" w:rsidRPr="003804EF" w:rsidRDefault="003804EF">
      <w:pPr>
        <w:pStyle w:val="FootnoteText"/>
        <w:rPr>
          <w:lang w:val="en-US"/>
        </w:rPr>
      </w:pPr>
      <w:r>
        <w:rPr>
          <w:rStyle w:val="FootnoteReference"/>
        </w:rPr>
        <w:footnoteRef/>
      </w:r>
      <w:r>
        <w:t xml:space="preserve"> </w:t>
      </w:r>
      <w:r>
        <w:rPr>
          <w:lang w:val="en-US"/>
        </w:rPr>
        <w:t xml:space="preserve">See for example, </w:t>
      </w:r>
      <w:r>
        <w:rPr>
          <w:i/>
          <w:iCs/>
          <w:lang w:val="en-US"/>
        </w:rPr>
        <w:t xml:space="preserve">Kris v Tramacchi </w:t>
      </w:r>
      <w:r>
        <w:rPr>
          <w:lang w:val="en-US"/>
        </w:rPr>
        <w:t xml:space="preserve">[2006] QDC 035; </w:t>
      </w:r>
      <w:r>
        <w:rPr>
          <w:i/>
          <w:iCs/>
          <w:lang w:val="en-US"/>
        </w:rPr>
        <w:t xml:space="preserve">David v Joel </w:t>
      </w:r>
      <w:r>
        <w:rPr>
          <w:lang w:val="en-US"/>
        </w:rPr>
        <w:t>[2017] QDC 256.</w:t>
      </w:r>
    </w:p>
  </w:footnote>
  <w:footnote w:id="20">
    <w:p w14:paraId="65BB3368" w14:textId="77777777" w:rsidR="0099657E" w:rsidRPr="004863E7" w:rsidRDefault="0099657E" w:rsidP="0099657E">
      <w:pPr>
        <w:pStyle w:val="FootnoteText"/>
        <w:rPr>
          <w:i/>
        </w:rPr>
      </w:pPr>
      <w:r w:rsidRPr="004863E7">
        <w:rPr>
          <w:rStyle w:val="FootnoteReference"/>
        </w:rPr>
        <w:footnoteRef/>
      </w:r>
      <w:r w:rsidRPr="004863E7">
        <w:t xml:space="preserve"> Tamara Walsh, ‘Public nuisance, race and gender’ (2017) 26(3) </w:t>
      </w:r>
      <w:r w:rsidRPr="004863E7">
        <w:rPr>
          <w:i/>
        </w:rPr>
        <w:t>Griffith Law Review.</w:t>
      </w:r>
    </w:p>
  </w:footnote>
  <w:footnote w:id="21">
    <w:p w14:paraId="1AB1C007" w14:textId="77777777" w:rsidR="0099657E" w:rsidRPr="004863E7" w:rsidRDefault="0099657E" w:rsidP="0099657E">
      <w:pPr>
        <w:pStyle w:val="FootnoteText"/>
      </w:pPr>
      <w:r w:rsidRPr="004863E7">
        <w:rPr>
          <w:rStyle w:val="FootnoteReference"/>
        </w:rPr>
        <w:footnoteRef/>
      </w:r>
      <w:r w:rsidRPr="004863E7">
        <w:t xml:space="preserve"> Human Rights Committee, </w:t>
      </w:r>
      <w:r w:rsidRPr="004863E7">
        <w:rPr>
          <w:i/>
        </w:rPr>
        <w:t>General Comment No 34: Article 19 Freedoms of opinion and expression</w:t>
      </w:r>
      <w:r w:rsidRPr="004863E7">
        <w:t>, 102</w:t>
      </w:r>
      <w:r w:rsidRPr="004863E7">
        <w:rPr>
          <w:vertAlign w:val="superscript"/>
        </w:rPr>
        <w:t>nd</w:t>
      </w:r>
      <w:r w:rsidRPr="004863E7">
        <w:t xml:space="preserve"> sess, UN doc CCRP/C/GC/34 (12 September 2011).</w:t>
      </w:r>
    </w:p>
  </w:footnote>
  <w:footnote w:id="22">
    <w:p w14:paraId="61A907ED" w14:textId="257D2515" w:rsidR="004863E7" w:rsidRPr="004863E7" w:rsidRDefault="004863E7">
      <w:pPr>
        <w:pStyle w:val="FootnoteText"/>
      </w:pPr>
      <w:r w:rsidRPr="004863E7">
        <w:rPr>
          <w:rStyle w:val="FootnoteReference"/>
        </w:rPr>
        <w:footnoteRef/>
      </w:r>
      <w:r w:rsidRPr="004863E7">
        <w:t xml:space="preserve"> In the report on the Inquiry, the Committee recommended that the Queensland Police ensure standardi</w:t>
      </w:r>
      <w:r>
        <w:t>s</w:t>
      </w:r>
      <w:r w:rsidRPr="004863E7">
        <w:t xml:space="preserve">ation of </w:t>
      </w:r>
      <w:r>
        <w:t>record-keeping for reports of hate crime and serious vilification.  See recommendation 2.</w:t>
      </w:r>
    </w:p>
  </w:footnote>
  <w:footnote w:id="23">
    <w:p w14:paraId="47EDE9C8" w14:textId="01D9763F" w:rsidR="00DC5D9F" w:rsidRPr="002C6EDD" w:rsidRDefault="00DC5D9F">
      <w:pPr>
        <w:pStyle w:val="FootnoteText"/>
        <w:rPr>
          <w:i/>
          <w:iCs/>
          <w:lang w:val="en-US"/>
        </w:rPr>
      </w:pPr>
      <w:r>
        <w:rPr>
          <w:rStyle w:val="FootnoteReference"/>
        </w:rPr>
        <w:footnoteRef/>
      </w:r>
      <w:r>
        <w:t xml:space="preserve"> </w:t>
      </w:r>
      <w:r>
        <w:rPr>
          <w:i/>
          <w:iCs/>
          <w:lang w:val="en-US"/>
        </w:rPr>
        <w:t xml:space="preserve">Coleman v Power </w:t>
      </w:r>
      <w:r w:rsidRPr="002C6EDD">
        <w:rPr>
          <w:lang w:val="en-US"/>
        </w:rPr>
        <w:t>[2004] HCA 39</w:t>
      </w:r>
      <w:r w:rsidR="00DC5B2E">
        <w:rPr>
          <w:lang w:val="en-US"/>
        </w:rPr>
        <w:t>; 220 CLR 1.</w:t>
      </w:r>
    </w:p>
  </w:footnote>
  <w:footnote w:id="24">
    <w:p w14:paraId="6D324058" w14:textId="77777777" w:rsidR="00692156" w:rsidRDefault="00692156" w:rsidP="00692156">
      <w:pPr>
        <w:pStyle w:val="FootnoteText"/>
        <w:rPr>
          <w:lang w:val="en-US"/>
        </w:rPr>
      </w:pPr>
      <w:r>
        <w:rPr>
          <w:rStyle w:val="FootnoteReference"/>
        </w:rPr>
        <w:footnoteRef/>
      </w:r>
      <w:r>
        <w:t xml:space="preserve"> </w:t>
      </w:r>
      <w:r>
        <w:rPr>
          <w:lang w:val="en-US"/>
        </w:rPr>
        <w:t xml:space="preserve">Human Rights Committee, </w:t>
      </w:r>
      <w:r>
        <w:rPr>
          <w:i/>
          <w:lang w:val="en-US"/>
        </w:rPr>
        <w:t>General Comment No. 34: Article 19 Freedoms of opinion and expression</w:t>
      </w:r>
      <w:r>
        <w:rPr>
          <w:lang w:val="en-US"/>
        </w:rPr>
        <w:t>, 102</w:t>
      </w:r>
      <w:r>
        <w:rPr>
          <w:vertAlign w:val="superscript"/>
          <w:lang w:val="en-US"/>
        </w:rPr>
        <w:t>nd</w:t>
      </w:r>
      <w:r>
        <w:rPr>
          <w:lang w:val="en-US"/>
        </w:rPr>
        <w:t xml:space="preserve"> sess, UN Doc CCPR/C/GC/34 (12 September 2011).</w:t>
      </w:r>
    </w:p>
  </w:footnote>
  <w:footnote w:id="25">
    <w:p w14:paraId="3BDB5A71" w14:textId="77777777" w:rsidR="00692156" w:rsidRDefault="00692156" w:rsidP="00692156">
      <w:pPr>
        <w:pStyle w:val="FootnoteText"/>
        <w:rPr>
          <w:lang w:val="en-US"/>
        </w:rPr>
      </w:pPr>
      <w:r>
        <w:rPr>
          <w:rStyle w:val="FootnoteReference"/>
        </w:rPr>
        <w:footnoteRef/>
      </w:r>
      <w:r>
        <w:t xml:space="preserve"> David Kaye</w:t>
      </w:r>
      <w:r>
        <w:rPr>
          <w:lang w:val="en-US"/>
        </w:rPr>
        <w:t xml:space="preserve">, </w:t>
      </w:r>
      <w:r>
        <w:rPr>
          <w:i/>
          <w:lang w:val="en-US"/>
        </w:rPr>
        <w:t xml:space="preserve">Report of the Special Rapporteur on the promotion and protection of the right to freedom of opinion and expression, </w:t>
      </w:r>
      <w:r>
        <w:rPr>
          <w:lang w:val="en-US"/>
        </w:rPr>
        <w:t>UN Doc A/74/486 (9 October 2019) 5.</w:t>
      </w:r>
    </w:p>
  </w:footnote>
  <w:footnote w:id="26">
    <w:p w14:paraId="49D4D973" w14:textId="0B50E478" w:rsidR="00CB6330" w:rsidRPr="00CB6330" w:rsidRDefault="00CB6330">
      <w:pPr>
        <w:pStyle w:val="FootnoteText"/>
        <w:rPr>
          <w:lang w:val="en-US"/>
        </w:rPr>
      </w:pPr>
      <w:r>
        <w:rPr>
          <w:rStyle w:val="FootnoteReference"/>
        </w:rPr>
        <w:footnoteRef/>
      </w:r>
      <w:r>
        <w:t xml:space="preserve"> </w:t>
      </w:r>
      <w:r>
        <w:rPr>
          <w:lang w:val="en-US"/>
        </w:rPr>
        <w:t xml:space="preserve">The right to life is drawn from Article </w:t>
      </w:r>
      <w:r w:rsidR="000E613A">
        <w:rPr>
          <w:lang w:val="en-US"/>
        </w:rPr>
        <w:t xml:space="preserve">6 of the </w:t>
      </w:r>
      <w:r w:rsidR="000E613A" w:rsidRPr="000E613A">
        <w:rPr>
          <w:i/>
          <w:iCs/>
          <w:lang w:val="en-US"/>
        </w:rPr>
        <w:t>International Covenant of Civil and Political Rights</w:t>
      </w:r>
      <w:r w:rsidR="000E613A">
        <w:rPr>
          <w:lang w:val="en-US"/>
        </w:rPr>
        <w:t>, which contains a formal statement that the right shall be protected by law.</w:t>
      </w:r>
    </w:p>
  </w:footnote>
  <w:footnote w:id="27">
    <w:p w14:paraId="6B25C72F" w14:textId="21231AB3" w:rsidR="00474CE2" w:rsidRPr="007A6644" w:rsidRDefault="00474CE2">
      <w:pPr>
        <w:pStyle w:val="FootnoteText"/>
        <w:rPr>
          <w:lang w:val="en-US"/>
        </w:rPr>
      </w:pPr>
      <w:r>
        <w:rPr>
          <w:rStyle w:val="FootnoteReference"/>
        </w:rPr>
        <w:footnoteRef/>
      </w:r>
      <w:r>
        <w:t xml:space="preserve"> </w:t>
      </w:r>
      <w:r w:rsidR="007A6644">
        <w:rPr>
          <w:lang w:val="en-US"/>
        </w:rPr>
        <w:t xml:space="preserve">Human Rights Committee, </w:t>
      </w:r>
      <w:r w:rsidR="007A6644">
        <w:rPr>
          <w:i/>
          <w:iCs/>
          <w:lang w:val="en-US"/>
        </w:rPr>
        <w:t xml:space="preserve">General Comment No. 35: Article 9 (Liberty and security of person), </w:t>
      </w:r>
      <w:r w:rsidR="007A6644">
        <w:rPr>
          <w:lang w:val="en-US"/>
        </w:rPr>
        <w:t>112</w:t>
      </w:r>
      <w:r w:rsidR="007A6644" w:rsidRPr="007A6644">
        <w:rPr>
          <w:vertAlign w:val="superscript"/>
          <w:lang w:val="en-US"/>
        </w:rPr>
        <w:t>th</w:t>
      </w:r>
      <w:r w:rsidR="007A6644">
        <w:rPr>
          <w:lang w:val="en-US"/>
        </w:rPr>
        <w:t xml:space="preserve"> sess, UN Doc CCPR/C/GC/35 (16 December 2014).</w:t>
      </w:r>
    </w:p>
  </w:footnote>
  <w:footnote w:id="28">
    <w:p w14:paraId="07E6C90D" w14:textId="77777777" w:rsidR="008D7997" w:rsidRPr="00D079B4" w:rsidRDefault="008D7997" w:rsidP="008D7997">
      <w:pPr>
        <w:pStyle w:val="FootnoteText"/>
        <w:rPr>
          <w:lang w:val="en-US"/>
        </w:rPr>
      </w:pPr>
      <w:r>
        <w:rPr>
          <w:rStyle w:val="FootnoteReference"/>
        </w:rPr>
        <w:footnoteRef/>
      </w:r>
      <w:r>
        <w:t xml:space="preserve"> </w:t>
      </w:r>
      <w:r>
        <w:rPr>
          <w:i/>
          <w:iCs/>
          <w:lang w:val="en-US"/>
        </w:rPr>
        <w:t xml:space="preserve">Owen v Menzies </w:t>
      </w:r>
      <w:r>
        <w:rPr>
          <w:lang w:val="en-US"/>
        </w:rPr>
        <w:t>[2013] 2 Qd R 327; [2012] QCA 170.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4577" w14:textId="77777777" w:rsidR="00F83AEB" w:rsidRDefault="00F83AEB" w:rsidP="000731D3">
    <w:pPr>
      <w:pStyle w:val="Header"/>
      <w:tabs>
        <w:tab w:val="clear" w:pos="4513"/>
        <w:tab w:val="clear" w:pos="9026"/>
      </w:tabs>
      <w:spacing w:before="240"/>
      <w:jc w:val="center"/>
    </w:pPr>
    <w:r w:rsidRPr="00F63848">
      <w:rPr>
        <w:noProof/>
        <w:lang w:eastAsia="en-AU"/>
      </w:rPr>
      <w:drawing>
        <wp:inline distT="0" distB="0" distL="0" distR="0" wp14:anchorId="0660BB33" wp14:editId="47FA547D">
          <wp:extent cx="4095750" cy="1635396"/>
          <wp:effectExtent l="0" t="0" r="0" b="0"/>
          <wp:docPr id="6" name="Picture 6"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5565" cy="1647301"/>
                  </a:xfrm>
                  <a:prstGeom prst="rect">
                    <a:avLst/>
                  </a:prstGeom>
                  <a:noFill/>
                  <a:ln>
                    <a:noFill/>
                  </a:ln>
                </pic:spPr>
              </pic:pic>
            </a:graphicData>
          </a:graphic>
        </wp:inline>
      </w:drawing>
    </w:r>
  </w:p>
  <w:p w14:paraId="5D0495F5" w14:textId="77777777" w:rsidR="00F83AEB" w:rsidRDefault="00F83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7020" w14:textId="06DA30E3" w:rsidR="00F83AEB" w:rsidRDefault="00CF4439" w:rsidP="00B50D7B">
    <w:pPr>
      <w:pStyle w:val="Header"/>
      <w:rPr>
        <w:sz w:val="20"/>
        <w:szCs w:val="20"/>
        <w:lang w:val="en-US"/>
      </w:rPr>
    </w:pPr>
    <w:r w:rsidRPr="00CF4439">
      <w:rPr>
        <w:sz w:val="20"/>
        <w:szCs w:val="20"/>
        <w:lang w:val="en-US"/>
      </w:rPr>
      <w:t xml:space="preserve">Criminal Code (Serious Vilification and Hate Crimes) and Other Legislation Amendment Bill 2023 </w:t>
    </w:r>
  </w:p>
  <w:p w14:paraId="7B921D86" w14:textId="77777777" w:rsidR="007B0672" w:rsidRPr="00CF4439" w:rsidRDefault="007B0672" w:rsidP="007B0672">
    <w:pPr>
      <w:pStyle w:val="Header"/>
      <w:pBdr>
        <w:top w:val="single" w:sz="4" w:space="1" w:color="auto"/>
      </w:pBdr>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397E"/>
    <w:multiLevelType w:val="hybridMultilevel"/>
    <w:tmpl w:val="96FE3306"/>
    <w:lvl w:ilvl="0" w:tplc="68E2373A">
      <w:start w:val="1"/>
      <w:numFmt w:val="lowerLetter"/>
      <w:lvlText w:val="(%1)"/>
      <w:lvlJc w:val="left"/>
      <w:pPr>
        <w:ind w:left="1797" w:hanging="360"/>
      </w:pPr>
      <w:rPr>
        <w:rFonts w:ascii="Arial" w:hAnsi="Arial" w:cs="Arial"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97BB1"/>
    <w:multiLevelType w:val="hybridMultilevel"/>
    <w:tmpl w:val="B66AB84C"/>
    <w:lvl w:ilvl="0" w:tplc="C6E60EB6">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 w15:restartNumberingAfterBreak="0">
    <w:nsid w:val="0D5937C2"/>
    <w:multiLevelType w:val="hybridMultilevel"/>
    <w:tmpl w:val="A91280EA"/>
    <w:lvl w:ilvl="0" w:tplc="2C4234D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0E101E24"/>
    <w:multiLevelType w:val="hybridMultilevel"/>
    <w:tmpl w:val="FA067182"/>
    <w:lvl w:ilvl="0" w:tplc="C962360E">
      <w:start w:val="1"/>
      <w:numFmt w:val="decimal"/>
      <w:lvlText w:val="%1."/>
      <w:lvlJc w:val="left"/>
      <w:pPr>
        <w:ind w:left="720" w:hanging="360"/>
      </w:pPr>
      <w:rPr>
        <w:rFonts w:ascii="Arial" w:hAnsi="Arial" w:hint="default"/>
        <w:b w:val="0"/>
        <w:i w:val="0"/>
        <w:color w:val="000000" w:themeColor="text1"/>
        <w:sz w:val="24"/>
      </w:rPr>
    </w:lvl>
    <w:lvl w:ilvl="1" w:tplc="088C559A">
      <w:start w:val="1"/>
      <w:numFmt w:val="lowerLetter"/>
      <w:lvlText w:val="(%2)"/>
      <w:lvlJc w:val="left"/>
      <w:pPr>
        <w:ind w:left="1440" w:hanging="360"/>
      </w:pPr>
      <w:rPr>
        <w:rFonts w:ascii="Arial" w:hAnsi="Arial" w:cs="Arial" w:hint="default"/>
        <w:b w:val="0"/>
        <w:i w:val="0"/>
        <w:sz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6" w15:restartNumberingAfterBreak="0">
    <w:nsid w:val="111F1429"/>
    <w:multiLevelType w:val="hybridMultilevel"/>
    <w:tmpl w:val="4092959C"/>
    <w:lvl w:ilvl="0" w:tplc="88BADBC8">
      <w:start w:val="1"/>
      <w:numFmt w:val="lowerLetter"/>
      <w:lvlText w:val="(%1)"/>
      <w:lvlJc w:val="left"/>
      <w:pPr>
        <w:ind w:left="16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AE61F7"/>
    <w:multiLevelType w:val="hybridMultilevel"/>
    <w:tmpl w:val="098EFF78"/>
    <w:lvl w:ilvl="0" w:tplc="50984DEE">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1E4642"/>
    <w:multiLevelType w:val="hybridMultilevel"/>
    <w:tmpl w:val="4A16BFD6"/>
    <w:lvl w:ilvl="0" w:tplc="D1E2763C">
      <w:start w:val="1"/>
      <w:numFmt w:val="lowerLetter"/>
      <w:lvlText w:val="(%1)"/>
      <w:lvlJc w:val="left"/>
      <w:pPr>
        <w:ind w:left="16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C817DB"/>
    <w:multiLevelType w:val="hybridMultilevel"/>
    <w:tmpl w:val="A45C0858"/>
    <w:lvl w:ilvl="0" w:tplc="6C1611DA">
      <w:start w:val="1"/>
      <w:numFmt w:val="decimal"/>
      <w:lvlText w:val="(%1)"/>
      <w:lvlJc w:val="left"/>
      <w:pPr>
        <w:ind w:left="1287" w:hanging="360"/>
      </w:pPr>
      <w:rPr>
        <w:rFonts w:ascii="Arial" w:hAnsi="Arial" w:hint="default"/>
        <w:b w:val="0"/>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751913"/>
    <w:multiLevelType w:val="hybridMultilevel"/>
    <w:tmpl w:val="11647B48"/>
    <w:lvl w:ilvl="0" w:tplc="6556FF70">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1" w15:restartNumberingAfterBreak="0">
    <w:nsid w:val="2B255B06"/>
    <w:multiLevelType w:val="hybridMultilevel"/>
    <w:tmpl w:val="66E4B922"/>
    <w:lvl w:ilvl="0" w:tplc="FEF24A5E">
      <w:start w:val="1"/>
      <w:numFmt w:val="decimal"/>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8F47C8"/>
    <w:multiLevelType w:val="hybridMultilevel"/>
    <w:tmpl w:val="3134F8F6"/>
    <w:lvl w:ilvl="0" w:tplc="61F693D2">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FB627C"/>
    <w:multiLevelType w:val="multilevel"/>
    <w:tmpl w:val="007E3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5" w15:restartNumberingAfterBreak="0">
    <w:nsid w:val="3FDB7BEE"/>
    <w:multiLevelType w:val="hybridMultilevel"/>
    <w:tmpl w:val="21481CD2"/>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D45DD2"/>
    <w:multiLevelType w:val="hybridMultilevel"/>
    <w:tmpl w:val="03A8AB30"/>
    <w:lvl w:ilvl="0" w:tplc="DEC23476">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7" w15:restartNumberingAfterBreak="0">
    <w:nsid w:val="456575ED"/>
    <w:multiLevelType w:val="hybridMultilevel"/>
    <w:tmpl w:val="9000E4E6"/>
    <w:lvl w:ilvl="0" w:tplc="0F4A01B4">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022C2E"/>
    <w:multiLevelType w:val="hybridMultilevel"/>
    <w:tmpl w:val="6A1C2ED8"/>
    <w:lvl w:ilvl="0" w:tplc="59A21AC8">
      <w:start w:val="1"/>
      <w:numFmt w:val="decimal"/>
      <w:lvlText w:val="(%1)"/>
      <w:lvlJc w:val="left"/>
      <w:pPr>
        <w:ind w:left="1494" w:hanging="360"/>
      </w:pPr>
      <w:rPr>
        <w:rFonts w:hint="default"/>
      </w:rPr>
    </w:lvl>
    <w:lvl w:ilvl="1" w:tplc="9738AEC6">
      <w:start w:val="1"/>
      <w:numFmt w:val="lowerLetter"/>
      <w:lvlText w:val="(%2)"/>
      <w:lvlJc w:val="left"/>
      <w:pPr>
        <w:ind w:left="2214" w:hanging="360"/>
      </w:pPr>
      <w:rPr>
        <w:rFonts w:hint="default"/>
      </w:rPr>
    </w:lvl>
    <w:lvl w:ilvl="2" w:tplc="848EC7CC">
      <w:start w:val="1"/>
      <w:numFmt w:val="decimal"/>
      <w:lvlText w:val="%3."/>
      <w:lvlJc w:val="left"/>
      <w:pPr>
        <w:ind w:left="3114" w:hanging="360"/>
      </w:pPr>
      <w:rPr>
        <w:rFonts w:hint="default"/>
      </w:r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B14587"/>
    <w:multiLevelType w:val="hybridMultilevel"/>
    <w:tmpl w:val="F15E23DE"/>
    <w:lvl w:ilvl="0" w:tplc="815C4D48">
      <w:start w:val="1"/>
      <w:numFmt w:val="decimal"/>
      <w:lvlText w:val="%1."/>
      <w:lvlJc w:val="left"/>
      <w:pPr>
        <w:ind w:left="5322" w:hanging="360"/>
      </w:pPr>
      <w:rPr>
        <w:rFonts w:ascii="Arial" w:hAnsi="Arial" w:hint="default"/>
        <w:b w:val="0"/>
        <w:i w:val="0"/>
        <w:color w:val="000000" w:themeColor="text1"/>
        <w:sz w:val="22"/>
      </w:rPr>
    </w:lvl>
    <w:lvl w:ilvl="1" w:tplc="088C559A">
      <w:start w:val="1"/>
      <w:numFmt w:val="lowerLetter"/>
      <w:lvlText w:val="(%2)"/>
      <w:lvlJc w:val="left"/>
      <w:pPr>
        <w:ind w:left="1797" w:hanging="360"/>
      </w:pPr>
      <w:rPr>
        <w:rFonts w:ascii="Arial" w:hAnsi="Arial" w:cs="Arial" w:hint="default"/>
        <w:b w:val="0"/>
        <w:i w:val="0"/>
        <w:sz w:val="22"/>
      </w:rPr>
    </w:lvl>
    <w:lvl w:ilvl="2" w:tplc="5FDAB712">
      <w:start w:val="1"/>
      <w:numFmt w:val="bullet"/>
      <w:lvlText w:val=""/>
      <w:lvlJc w:val="left"/>
      <w:pPr>
        <w:ind w:left="2517" w:hanging="180"/>
      </w:pPr>
      <w:rPr>
        <w:rFonts w:ascii="Symbol" w:hAnsi="Symbol" w:hint="default"/>
        <w:sz w:val="20"/>
        <w:szCs w:val="20"/>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23"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4558DD"/>
    <w:multiLevelType w:val="hybridMultilevel"/>
    <w:tmpl w:val="6A76C1B0"/>
    <w:lvl w:ilvl="0" w:tplc="63C4C482">
      <w:start w:val="1"/>
      <w:numFmt w:val="decimal"/>
      <w:lvlText w:val="(%1)"/>
      <w:lvlJc w:val="left"/>
      <w:pPr>
        <w:ind w:left="1287" w:hanging="360"/>
      </w:pPr>
      <w:rPr>
        <w:rFonts w:ascii="Arial" w:hAnsi="Arial"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5" w15:restartNumberingAfterBreak="0">
    <w:nsid w:val="59A13CC2"/>
    <w:multiLevelType w:val="hybridMultilevel"/>
    <w:tmpl w:val="656A0424"/>
    <w:lvl w:ilvl="0" w:tplc="B85E7170">
      <w:start w:val="1"/>
      <w:numFmt w:val="decimal"/>
      <w:lvlText w:val="(%1)"/>
      <w:lvlJc w:val="left"/>
      <w:pPr>
        <w:ind w:left="305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7E4C54"/>
    <w:multiLevelType w:val="hybridMultilevel"/>
    <w:tmpl w:val="DCE02176"/>
    <w:lvl w:ilvl="0" w:tplc="142C3F4C">
      <w:start w:val="1"/>
      <w:numFmt w:val="lowerLetter"/>
      <w:lvlText w:val="(%1)"/>
      <w:lvlJc w:val="left"/>
      <w:pPr>
        <w:ind w:left="1797" w:hanging="360"/>
      </w:pPr>
      <w:rPr>
        <w:rFonts w:ascii="Arial" w:hAnsi="Arial" w:cs="Arial"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471753"/>
    <w:multiLevelType w:val="hybridMultilevel"/>
    <w:tmpl w:val="B52002EC"/>
    <w:lvl w:ilvl="0" w:tplc="0C090005">
      <w:start w:val="1"/>
      <w:numFmt w:val="bullet"/>
      <w:lvlText w:val=""/>
      <w:lvlJc w:val="left"/>
      <w:pPr>
        <w:ind w:left="1211" w:hanging="360"/>
      </w:pPr>
      <w:rPr>
        <w:rFonts w:ascii="Wingdings" w:hAnsi="Wingdings" w:hint="default"/>
      </w:rPr>
    </w:lvl>
    <w:lvl w:ilvl="1" w:tplc="0C090001">
      <w:start w:val="1"/>
      <w:numFmt w:val="bullet"/>
      <w:lvlText w:val=""/>
      <w:lvlJc w:val="left"/>
      <w:pPr>
        <w:ind w:left="1931" w:hanging="360"/>
      </w:pPr>
      <w:rPr>
        <w:rFonts w:ascii="Symbol" w:hAnsi="Symbol" w:hint="default"/>
      </w:rPr>
    </w:lvl>
    <w:lvl w:ilvl="2" w:tplc="5FDAB712">
      <w:start w:val="1"/>
      <w:numFmt w:val="bullet"/>
      <w:lvlText w:val=""/>
      <w:lvlJc w:val="left"/>
      <w:pPr>
        <w:ind w:left="2651" w:hanging="360"/>
      </w:pPr>
      <w:rPr>
        <w:rFonts w:ascii="Symbol" w:hAnsi="Symbol" w:hint="default"/>
        <w:sz w:val="20"/>
        <w:szCs w:val="20"/>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8"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2" w15:restartNumberingAfterBreak="0">
    <w:nsid w:val="6A4F22DC"/>
    <w:multiLevelType w:val="hybridMultilevel"/>
    <w:tmpl w:val="6700DCAC"/>
    <w:lvl w:ilvl="0" w:tplc="E09E8FE2">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4" w15:restartNumberingAfterBreak="0">
    <w:nsid w:val="6F0E4257"/>
    <w:multiLevelType w:val="hybridMultilevel"/>
    <w:tmpl w:val="B0E273B6"/>
    <w:lvl w:ilvl="0" w:tplc="8A603042">
      <w:start w:val="1"/>
      <w:numFmt w:val="bullet"/>
      <w:lvlText w:val=""/>
      <w:lvlJc w:val="left"/>
      <w:pPr>
        <w:ind w:left="2070" w:hanging="360"/>
      </w:pPr>
      <w:rPr>
        <w:rFonts w:ascii="Wingdings" w:hAnsi="Wingdings" w:hint="default"/>
        <w:sz w:val="24"/>
      </w:rPr>
    </w:lvl>
    <w:lvl w:ilvl="1" w:tplc="0C090003" w:tentative="1">
      <w:start w:val="1"/>
      <w:numFmt w:val="bullet"/>
      <w:lvlText w:val="o"/>
      <w:lvlJc w:val="left"/>
      <w:pPr>
        <w:ind w:left="2790" w:hanging="360"/>
      </w:pPr>
      <w:rPr>
        <w:rFonts w:ascii="Courier New" w:hAnsi="Courier New" w:cs="Courier New" w:hint="default"/>
      </w:rPr>
    </w:lvl>
    <w:lvl w:ilvl="2" w:tplc="0C090005" w:tentative="1">
      <w:start w:val="1"/>
      <w:numFmt w:val="bullet"/>
      <w:lvlText w:val=""/>
      <w:lvlJc w:val="left"/>
      <w:pPr>
        <w:ind w:left="3510" w:hanging="360"/>
      </w:pPr>
      <w:rPr>
        <w:rFonts w:ascii="Wingdings" w:hAnsi="Wingdings" w:hint="default"/>
      </w:rPr>
    </w:lvl>
    <w:lvl w:ilvl="3" w:tplc="0C090001" w:tentative="1">
      <w:start w:val="1"/>
      <w:numFmt w:val="bullet"/>
      <w:lvlText w:val=""/>
      <w:lvlJc w:val="left"/>
      <w:pPr>
        <w:ind w:left="4230" w:hanging="360"/>
      </w:pPr>
      <w:rPr>
        <w:rFonts w:ascii="Symbol" w:hAnsi="Symbol" w:hint="default"/>
      </w:rPr>
    </w:lvl>
    <w:lvl w:ilvl="4" w:tplc="0C090003" w:tentative="1">
      <w:start w:val="1"/>
      <w:numFmt w:val="bullet"/>
      <w:lvlText w:val="o"/>
      <w:lvlJc w:val="left"/>
      <w:pPr>
        <w:ind w:left="4950" w:hanging="360"/>
      </w:pPr>
      <w:rPr>
        <w:rFonts w:ascii="Courier New" w:hAnsi="Courier New" w:cs="Courier New" w:hint="default"/>
      </w:rPr>
    </w:lvl>
    <w:lvl w:ilvl="5" w:tplc="0C090005" w:tentative="1">
      <w:start w:val="1"/>
      <w:numFmt w:val="bullet"/>
      <w:lvlText w:val=""/>
      <w:lvlJc w:val="left"/>
      <w:pPr>
        <w:ind w:left="5670" w:hanging="360"/>
      </w:pPr>
      <w:rPr>
        <w:rFonts w:ascii="Wingdings" w:hAnsi="Wingdings" w:hint="default"/>
      </w:rPr>
    </w:lvl>
    <w:lvl w:ilvl="6" w:tplc="0C090001" w:tentative="1">
      <w:start w:val="1"/>
      <w:numFmt w:val="bullet"/>
      <w:lvlText w:val=""/>
      <w:lvlJc w:val="left"/>
      <w:pPr>
        <w:ind w:left="6390" w:hanging="360"/>
      </w:pPr>
      <w:rPr>
        <w:rFonts w:ascii="Symbol" w:hAnsi="Symbol" w:hint="default"/>
      </w:rPr>
    </w:lvl>
    <w:lvl w:ilvl="7" w:tplc="0C090003" w:tentative="1">
      <w:start w:val="1"/>
      <w:numFmt w:val="bullet"/>
      <w:lvlText w:val="o"/>
      <w:lvlJc w:val="left"/>
      <w:pPr>
        <w:ind w:left="7110" w:hanging="360"/>
      </w:pPr>
      <w:rPr>
        <w:rFonts w:ascii="Courier New" w:hAnsi="Courier New" w:cs="Courier New" w:hint="default"/>
      </w:rPr>
    </w:lvl>
    <w:lvl w:ilvl="8" w:tplc="0C090005" w:tentative="1">
      <w:start w:val="1"/>
      <w:numFmt w:val="bullet"/>
      <w:lvlText w:val=""/>
      <w:lvlJc w:val="left"/>
      <w:pPr>
        <w:ind w:left="7830" w:hanging="360"/>
      </w:pPr>
      <w:rPr>
        <w:rFonts w:ascii="Wingdings" w:hAnsi="Wingdings" w:hint="default"/>
      </w:rPr>
    </w:lvl>
  </w:abstractNum>
  <w:abstractNum w:abstractNumId="35" w15:restartNumberingAfterBreak="0">
    <w:nsid w:val="6FE208DC"/>
    <w:multiLevelType w:val="hybridMultilevel"/>
    <w:tmpl w:val="FFB8D19C"/>
    <w:lvl w:ilvl="0" w:tplc="DE3E9B08">
      <w:start w:val="1"/>
      <w:numFmt w:val="lowerLetter"/>
      <w:lvlText w:val="(%1)"/>
      <w:lvlJc w:val="left"/>
      <w:pPr>
        <w:ind w:left="1440" w:hanging="360"/>
      </w:pPr>
      <w:rPr>
        <w:rFonts w:ascii="Arial" w:hAnsi="Arial" w:cs="Arial" w:hint="default"/>
        <w:b w:val="0"/>
        <w:i w:val="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0E003C0"/>
    <w:multiLevelType w:val="hybridMultilevel"/>
    <w:tmpl w:val="95A4316C"/>
    <w:lvl w:ilvl="0" w:tplc="E75A22CE">
      <w:start w:val="1"/>
      <w:numFmt w:val="decimal"/>
      <w:lvlText w:val="(%1)"/>
      <w:lvlJc w:val="left"/>
      <w:pPr>
        <w:ind w:left="1494" w:hanging="360"/>
      </w:pPr>
      <w:rPr>
        <w:rFonts w:ascii="Arial" w:hAnsi="Arial" w:hint="default"/>
        <w:b w:val="0"/>
        <w:i w:val="0"/>
        <w:sz w:val="22"/>
      </w:rPr>
    </w:lvl>
    <w:lvl w:ilvl="1" w:tplc="500E9BC4">
      <w:start w:val="1"/>
      <w:numFmt w:val="lowerLetter"/>
      <w:lvlText w:val="(%2)"/>
      <w:lvlJc w:val="left"/>
      <w:pPr>
        <w:ind w:left="2214" w:hanging="360"/>
      </w:pPr>
      <w:rPr>
        <w:rFonts w:hint="default"/>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7"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8" w15:restartNumberingAfterBreak="0">
    <w:nsid w:val="735E3F04"/>
    <w:multiLevelType w:val="hybridMultilevel"/>
    <w:tmpl w:val="6AA6C4AC"/>
    <w:lvl w:ilvl="0" w:tplc="8A603042">
      <w:start w:val="1"/>
      <w:numFmt w:val="bullet"/>
      <w:lvlText w:val=""/>
      <w:lvlJc w:val="left"/>
      <w:pPr>
        <w:ind w:left="927" w:hanging="360"/>
      </w:pPr>
      <w:rPr>
        <w:rFonts w:ascii="Wingdings" w:hAnsi="Wingdings" w:hint="default"/>
        <w:sz w:val="24"/>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9" w15:restartNumberingAfterBreak="0">
    <w:nsid w:val="74287E9C"/>
    <w:multiLevelType w:val="hybridMultilevel"/>
    <w:tmpl w:val="1014565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1" w15:restartNumberingAfterBreak="0">
    <w:nsid w:val="74761907"/>
    <w:multiLevelType w:val="hybridMultilevel"/>
    <w:tmpl w:val="727C7E42"/>
    <w:lvl w:ilvl="0" w:tplc="0C090005">
      <w:start w:val="1"/>
      <w:numFmt w:val="bullet"/>
      <w:lvlText w:val=""/>
      <w:lvlJc w:val="left"/>
      <w:pPr>
        <w:ind w:left="1211" w:hanging="360"/>
      </w:pPr>
      <w:rPr>
        <w:rFonts w:ascii="Wingdings" w:hAnsi="Wingdings" w:hint="default"/>
      </w:rPr>
    </w:lvl>
    <w:lvl w:ilvl="1" w:tplc="0C090001">
      <w:start w:val="1"/>
      <w:numFmt w:val="bullet"/>
      <w:lvlText w:val=""/>
      <w:lvlJc w:val="left"/>
      <w:pPr>
        <w:ind w:left="1931" w:hanging="360"/>
      </w:pPr>
      <w:rPr>
        <w:rFonts w:ascii="Symbol" w:hAnsi="Symbol" w:hint="default"/>
      </w:rPr>
    </w:lvl>
    <w:lvl w:ilvl="2" w:tplc="0C090005">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2" w15:restartNumberingAfterBreak="0">
    <w:nsid w:val="763519DC"/>
    <w:multiLevelType w:val="hybridMultilevel"/>
    <w:tmpl w:val="6BA65338"/>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3" w15:restartNumberingAfterBreak="0">
    <w:nsid w:val="79B913F1"/>
    <w:multiLevelType w:val="hybridMultilevel"/>
    <w:tmpl w:val="C69AA63A"/>
    <w:lvl w:ilvl="0" w:tplc="E3E6978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15:restartNumberingAfterBreak="0">
    <w:nsid w:val="7C661711"/>
    <w:multiLevelType w:val="hybridMultilevel"/>
    <w:tmpl w:val="1AA8EB18"/>
    <w:lvl w:ilvl="0" w:tplc="7640EAC4">
      <w:start w:val="1"/>
      <w:numFmt w:val="lowerLetter"/>
      <w:lvlText w:val="(%1)"/>
      <w:lvlJc w:val="left"/>
      <w:pPr>
        <w:ind w:left="1636" w:hanging="360"/>
      </w:pPr>
      <w:rPr>
        <w:rFonts w:hint="default"/>
      </w:rPr>
    </w:lvl>
    <w:lvl w:ilvl="1" w:tplc="58A2A2D6">
      <w:start w:val="1"/>
      <w:numFmt w:val="lowerRoman"/>
      <w:lvlText w:val="(%2)"/>
      <w:lvlJc w:val="right"/>
      <w:pPr>
        <w:ind w:left="2356" w:hanging="360"/>
      </w:pPr>
      <w:rPr>
        <w:rFonts w:hint="default"/>
      </w:rPr>
    </w:lvl>
    <w:lvl w:ilvl="2" w:tplc="0C09001B">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num w:numId="1">
    <w:abstractNumId w:val="28"/>
  </w:num>
  <w:num w:numId="2">
    <w:abstractNumId w:val="19"/>
  </w:num>
  <w:num w:numId="3">
    <w:abstractNumId w:val="37"/>
  </w:num>
  <w:num w:numId="4">
    <w:abstractNumId w:val="20"/>
  </w:num>
  <w:num w:numId="5">
    <w:abstractNumId w:val="23"/>
  </w:num>
  <w:num w:numId="6">
    <w:abstractNumId w:val="29"/>
  </w:num>
  <w:num w:numId="7">
    <w:abstractNumId w:val="1"/>
  </w:num>
  <w:num w:numId="8">
    <w:abstractNumId w:val="21"/>
  </w:num>
  <w:num w:numId="9">
    <w:abstractNumId w:val="33"/>
  </w:num>
  <w:num w:numId="10">
    <w:abstractNumId w:val="40"/>
  </w:num>
  <w:num w:numId="11">
    <w:abstractNumId w:val="30"/>
  </w:num>
  <w:num w:numId="12">
    <w:abstractNumId w:val="22"/>
  </w:num>
  <w:num w:numId="13">
    <w:abstractNumId w:val="5"/>
  </w:num>
  <w:num w:numId="14">
    <w:abstractNumId w:val="14"/>
  </w:num>
  <w:num w:numId="15">
    <w:abstractNumId w:val="20"/>
    <w:lvlOverride w:ilvl="0">
      <w:lvl w:ilvl="0" w:tplc="815C4D48">
        <w:start w:val="1"/>
        <w:numFmt w:val="decimal"/>
        <w:lvlText w:val="%1."/>
        <w:lvlJc w:val="left"/>
        <w:pPr>
          <w:ind w:left="720" w:hanging="360"/>
        </w:pPr>
        <w:rPr>
          <w:rFonts w:hint="default"/>
        </w:rPr>
      </w:lvl>
    </w:lvlOverride>
    <w:lvlOverride w:ilvl="1">
      <w:lvl w:ilvl="1" w:tplc="088C559A">
        <w:start w:val="1"/>
        <w:numFmt w:val="lowerLetter"/>
        <w:lvlText w:val="(%2)"/>
        <w:lvlJc w:val="left"/>
        <w:pPr>
          <w:ind w:left="1440" w:hanging="1083"/>
        </w:pPr>
        <w:rPr>
          <w:rFonts w:ascii="Arial" w:hAnsi="Arial" w:hint="default"/>
          <w:b w:val="0"/>
          <w:i w:val="0"/>
          <w:sz w:val="24"/>
        </w:rPr>
      </w:lvl>
    </w:lvlOverride>
    <w:lvlOverride w:ilvl="2">
      <w:lvl w:ilvl="2" w:tplc="5FDAB712">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31"/>
  </w:num>
  <w:num w:numId="17">
    <w:abstractNumId w:val="5"/>
  </w:num>
  <w:num w:numId="18">
    <w:abstractNumId w:val="43"/>
  </w:num>
  <w:num w:numId="19">
    <w:abstractNumId w:val="34"/>
  </w:num>
  <w:num w:numId="20">
    <w:abstractNumId w:val="17"/>
  </w:num>
  <w:num w:numId="21">
    <w:abstractNumId w:val="38"/>
  </w:num>
  <w:num w:numId="22">
    <w:abstractNumId w:val="3"/>
  </w:num>
  <w:num w:numId="23">
    <w:abstractNumId w:val="39"/>
  </w:num>
  <w:num w:numId="24">
    <w:abstractNumId w:val="11"/>
  </w:num>
  <w:num w:numId="25">
    <w:abstractNumId w:val="42"/>
  </w:num>
  <w:num w:numId="26">
    <w:abstractNumId w:val="41"/>
  </w:num>
  <w:num w:numId="27">
    <w:abstractNumId w:val="27"/>
  </w:num>
  <w:num w:numId="28">
    <w:abstractNumId w:val="24"/>
  </w:num>
  <w:num w:numId="29">
    <w:abstractNumId w:val="35"/>
  </w:num>
  <w:num w:numId="30">
    <w:abstractNumId w:val="15"/>
  </w:num>
  <w:num w:numId="31">
    <w:abstractNumId w:val="26"/>
  </w:num>
  <w:num w:numId="32">
    <w:abstractNumId w:val="0"/>
  </w:num>
  <w:num w:numId="33">
    <w:abstractNumId w:val="13"/>
  </w:num>
  <w:num w:numId="34">
    <w:abstractNumId w:val="9"/>
  </w:num>
  <w:num w:numId="35">
    <w:abstractNumId w:val="4"/>
  </w:num>
  <w:num w:numId="36">
    <w:abstractNumId w:val="18"/>
  </w:num>
  <w:num w:numId="37">
    <w:abstractNumId w:val="36"/>
  </w:num>
  <w:num w:numId="38">
    <w:abstractNumId w:val="44"/>
  </w:num>
  <w:num w:numId="39">
    <w:abstractNumId w:val="25"/>
  </w:num>
  <w:num w:numId="40">
    <w:abstractNumId w:val="12"/>
  </w:num>
  <w:num w:numId="41">
    <w:abstractNumId w:val="8"/>
  </w:num>
  <w:num w:numId="42">
    <w:abstractNumId w:val="6"/>
  </w:num>
  <w:num w:numId="43">
    <w:abstractNumId w:val="16"/>
  </w:num>
  <w:num w:numId="44">
    <w:abstractNumId w:val="10"/>
  </w:num>
  <w:num w:numId="45">
    <w:abstractNumId w:val="2"/>
  </w:num>
  <w:num w:numId="46">
    <w:abstractNumId w:val="32"/>
  </w:num>
  <w:num w:numId="47">
    <w:abstractNumId w:val="7"/>
  </w:num>
  <w:num w:numId="48">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A2B"/>
    <w:rsid w:val="00002F05"/>
    <w:rsid w:val="000030ED"/>
    <w:rsid w:val="00003D20"/>
    <w:rsid w:val="00005BD1"/>
    <w:rsid w:val="000074F8"/>
    <w:rsid w:val="00007FD2"/>
    <w:rsid w:val="00010976"/>
    <w:rsid w:val="000120E1"/>
    <w:rsid w:val="00012B56"/>
    <w:rsid w:val="00013764"/>
    <w:rsid w:val="000149D7"/>
    <w:rsid w:val="0002325A"/>
    <w:rsid w:val="0002351E"/>
    <w:rsid w:val="000274F8"/>
    <w:rsid w:val="00034B87"/>
    <w:rsid w:val="00034C83"/>
    <w:rsid w:val="00037E68"/>
    <w:rsid w:val="00041E58"/>
    <w:rsid w:val="00043A6F"/>
    <w:rsid w:val="00044A7F"/>
    <w:rsid w:val="0004571C"/>
    <w:rsid w:val="00045B46"/>
    <w:rsid w:val="00045B8A"/>
    <w:rsid w:val="000464D9"/>
    <w:rsid w:val="00047983"/>
    <w:rsid w:val="00050801"/>
    <w:rsid w:val="00050BB7"/>
    <w:rsid w:val="00051170"/>
    <w:rsid w:val="00054120"/>
    <w:rsid w:val="00054EDF"/>
    <w:rsid w:val="0005503C"/>
    <w:rsid w:val="00055693"/>
    <w:rsid w:val="00056960"/>
    <w:rsid w:val="00057023"/>
    <w:rsid w:val="00057D21"/>
    <w:rsid w:val="00057EA3"/>
    <w:rsid w:val="0006155A"/>
    <w:rsid w:val="00061B2B"/>
    <w:rsid w:val="00062A9F"/>
    <w:rsid w:val="00063563"/>
    <w:rsid w:val="00063E15"/>
    <w:rsid w:val="00063EDF"/>
    <w:rsid w:val="0006439D"/>
    <w:rsid w:val="00071CD9"/>
    <w:rsid w:val="00072CE6"/>
    <w:rsid w:val="000731D3"/>
    <w:rsid w:val="00074147"/>
    <w:rsid w:val="00075AB0"/>
    <w:rsid w:val="0007682B"/>
    <w:rsid w:val="00081B92"/>
    <w:rsid w:val="0008388F"/>
    <w:rsid w:val="00087B6E"/>
    <w:rsid w:val="00091C5C"/>
    <w:rsid w:val="00092207"/>
    <w:rsid w:val="000936BA"/>
    <w:rsid w:val="00095FBB"/>
    <w:rsid w:val="00096517"/>
    <w:rsid w:val="000A201B"/>
    <w:rsid w:val="000A56A0"/>
    <w:rsid w:val="000A6A6E"/>
    <w:rsid w:val="000A7E0F"/>
    <w:rsid w:val="000B0669"/>
    <w:rsid w:val="000B395E"/>
    <w:rsid w:val="000B5340"/>
    <w:rsid w:val="000B6C72"/>
    <w:rsid w:val="000B72A0"/>
    <w:rsid w:val="000B794F"/>
    <w:rsid w:val="000C129B"/>
    <w:rsid w:val="000C585D"/>
    <w:rsid w:val="000D1519"/>
    <w:rsid w:val="000D175F"/>
    <w:rsid w:val="000D49A5"/>
    <w:rsid w:val="000E1039"/>
    <w:rsid w:val="000E1B5B"/>
    <w:rsid w:val="000E352B"/>
    <w:rsid w:val="000E3824"/>
    <w:rsid w:val="000E3A3C"/>
    <w:rsid w:val="000E3A7A"/>
    <w:rsid w:val="000E613A"/>
    <w:rsid w:val="000F0BC1"/>
    <w:rsid w:val="000F3A55"/>
    <w:rsid w:val="000F4098"/>
    <w:rsid w:val="000F4FAA"/>
    <w:rsid w:val="000F6807"/>
    <w:rsid w:val="000F6CA1"/>
    <w:rsid w:val="000F7EB7"/>
    <w:rsid w:val="00100103"/>
    <w:rsid w:val="0010065E"/>
    <w:rsid w:val="001012F4"/>
    <w:rsid w:val="001013EB"/>
    <w:rsid w:val="00102887"/>
    <w:rsid w:val="001047F1"/>
    <w:rsid w:val="00105217"/>
    <w:rsid w:val="001066BD"/>
    <w:rsid w:val="001070FE"/>
    <w:rsid w:val="00114587"/>
    <w:rsid w:val="00120064"/>
    <w:rsid w:val="001205F8"/>
    <w:rsid w:val="00121337"/>
    <w:rsid w:val="00121BD8"/>
    <w:rsid w:val="00121E6F"/>
    <w:rsid w:val="001248F7"/>
    <w:rsid w:val="00124A35"/>
    <w:rsid w:val="001304EE"/>
    <w:rsid w:val="001308C4"/>
    <w:rsid w:val="00133770"/>
    <w:rsid w:val="001338FD"/>
    <w:rsid w:val="00137C8D"/>
    <w:rsid w:val="00143D93"/>
    <w:rsid w:val="00152FA3"/>
    <w:rsid w:val="00153139"/>
    <w:rsid w:val="0015534D"/>
    <w:rsid w:val="00155B6A"/>
    <w:rsid w:val="00155E24"/>
    <w:rsid w:val="00157209"/>
    <w:rsid w:val="001614A3"/>
    <w:rsid w:val="001617CC"/>
    <w:rsid w:val="001627CC"/>
    <w:rsid w:val="00162EE3"/>
    <w:rsid w:val="00166F3C"/>
    <w:rsid w:val="001719DF"/>
    <w:rsid w:val="00176208"/>
    <w:rsid w:val="00180CAE"/>
    <w:rsid w:val="001825CB"/>
    <w:rsid w:val="00182865"/>
    <w:rsid w:val="00182E06"/>
    <w:rsid w:val="00183C3B"/>
    <w:rsid w:val="00183FA4"/>
    <w:rsid w:val="0018756A"/>
    <w:rsid w:val="001900B6"/>
    <w:rsid w:val="001916E4"/>
    <w:rsid w:val="0019203A"/>
    <w:rsid w:val="00194227"/>
    <w:rsid w:val="001950D2"/>
    <w:rsid w:val="00195E9F"/>
    <w:rsid w:val="0019704A"/>
    <w:rsid w:val="0019775E"/>
    <w:rsid w:val="00197E86"/>
    <w:rsid w:val="001A03C9"/>
    <w:rsid w:val="001A12BD"/>
    <w:rsid w:val="001A288A"/>
    <w:rsid w:val="001A416E"/>
    <w:rsid w:val="001A4926"/>
    <w:rsid w:val="001A575E"/>
    <w:rsid w:val="001A5B03"/>
    <w:rsid w:val="001A6B0A"/>
    <w:rsid w:val="001B1A27"/>
    <w:rsid w:val="001B1BB2"/>
    <w:rsid w:val="001B3831"/>
    <w:rsid w:val="001B5470"/>
    <w:rsid w:val="001B57C6"/>
    <w:rsid w:val="001B5957"/>
    <w:rsid w:val="001B5C85"/>
    <w:rsid w:val="001B6249"/>
    <w:rsid w:val="001B7806"/>
    <w:rsid w:val="001C01FD"/>
    <w:rsid w:val="001C127F"/>
    <w:rsid w:val="001C1593"/>
    <w:rsid w:val="001C56D3"/>
    <w:rsid w:val="001C6492"/>
    <w:rsid w:val="001C68DC"/>
    <w:rsid w:val="001D07BA"/>
    <w:rsid w:val="001D50C0"/>
    <w:rsid w:val="001D7758"/>
    <w:rsid w:val="001D7A1B"/>
    <w:rsid w:val="001E2395"/>
    <w:rsid w:val="001E3A26"/>
    <w:rsid w:val="001E6640"/>
    <w:rsid w:val="001E6CD2"/>
    <w:rsid w:val="001F3F19"/>
    <w:rsid w:val="001F4FC5"/>
    <w:rsid w:val="001F5F4B"/>
    <w:rsid w:val="002019BF"/>
    <w:rsid w:val="002058A9"/>
    <w:rsid w:val="00212C2B"/>
    <w:rsid w:val="00214B45"/>
    <w:rsid w:val="00215450"/>
    <w:rsid w:val="0022037D"/>
    <w:rsid w:val="002264E2"/>
    <w:rsid w:val="0022657D"/>
    <w:rsid w:val="00226686"/>
    <w:rsid w:val="0022696F"/>
    <w:rsid w:val="00227178"/>
    <w:rsid w:val="00230151"/>
    <w:rsid w:val="00232763"/>
    <w:rsid w:val="0023306E"/>
    <w:rsid w:val="00233B5D"/>
    <w:rsid w:val="00233F52"/>
    <w:rsid w:val="0023451F"/>
    <w:rsid w:val="00235527"/>
    <w:rsid w:val="0023561C"/>
    <w:rsid w:val="00236C04"/>
    <w:rsid w:val="002375F3"/>
    <w:rsid w:val="00237C78"/>
    <w:rsid w:val="00237E48"/>
    <w:rsid w:val="00240EF9"/>
    <w:rsid w:val="0024194E"/>
    <w:rsid w:val="00242936"/>
    <w:rsid w:val="002437EA"/>
    <w:rsid w:val="00245A89"/>
    <w:rsid w:val="002479A8"/>
    <w:rsid w:val="00253B42"/>
    <w:rsid w:val="00262529"/>
    <w:rsid w:val="0026322D"/>
    <w:rsid w:val="00277FA4"/>
    <w:rsid w:val="00280494"/>
    <w:rsid w:val="00283A26"/>
    <w:rsid w:val="00283D88"/>
    <w:rsid w:val="00284FF0"/>
    <w:rsid w:val="002852B8"/>
    <w:rsid w:val="00290574"/>
    <w:rsid w:val="0029091B"/>
    <w:rsid w:val="00292C50"/>
    <w:rsid w:val="0029315E"/>
    <w:rsid w:val="002931EF"/>
    <w:rsid w:val="002945A3"/>
    <w:rsid w:val="00294A68"/>
    <w:rsid w:val="00295757"/>
    <w:rsid w:val="00297B24"/>
    <w:rsid w:val="002A03F1"/>
    <w:rsid w:val="002A408C"/>
    <w:rsid w:val="002A512A"/>
    <w:rsid w:val="002B05B5"/>
    <w:rsid w:val="002B0F1E"/>
    <w:rsid w:val="002B1729"/>
    <w:rsid w:val="002B39F8"/>
    <w:rsid w:val="002B65D4"/>
    <w:rsid w:val="002C1019"/>
    <w:rsid w:val="002C6EDD"/>
    <w:rsid w:val="002D0A46"/>
    <w:rsid w:val="002D1B6C"/>
    <w:rsid w:val="002D42F2"/>
    <w:rsid w:val="002D46A2"/>
    <w:rsid w:val="002D472A"/>
    <w:rsid w:val="002D4BC3"/>
    <w:rsid w:val="002D5D18"/>
    <w:rsid w:val="002E24AC"/>
    <w:rsid w:val="002E2C7E"/>
    <w:rsid w:val="002E433B"/>
    <w:rsid w:val="002E461C"/>
    <w:rsid w:val="002E6BBE"/>
    <w:rsid w:val="002E7C96"/>
    <w:rsid w:val="002F03E1"/>
    <w:rsid w:val="002F0B72"/>
    <w:rsid w:val="002F238A"/>
    <w:rsid w:val="002F2D6C"/>
    <w:rsid w:val="002F4AB4"/>
    <w:rsid w:val="002F5814"/>
    <w:rsid w:val="002F7053"/>
    <w:rsid w:val="00301FFE"/>
    <w:rsid w:val="00303936"/>
    <w:rsid w:val="00306DD0"/>
    <w:rsid w:val="00310CB2"/>
    <w:rsid w:val="00312C2A"/>
    <w:rsid w:val="003144B5"/>
    <w:rsid w:val="00315939"/>
    <w:rsid w:val="0031657C"/>
    <w:rsid w:val="003204FA"/>
    <w:rsid w:val="00321445"/>
    <w:rsid w:val="00321EE0"/>
    <w:rsid w:val="00323F91"/>
    <w:rsid w:val="003241CC"/>
    <w:rsid w:val="0032516B"/>
    <w:rsid w:val="0033216F"/>
    <w:rsid w:val="00334C0E"/>
    <w:rsid w:val="0034134D"/>
    <w:rsid w:val="00342ECA"/>
    <w:rsid w:val="00343FDD"/>
    <w:rsid w:val="00344F59"/>
    <w:rsid w:val="003455E8"/>
    <w:rsid w:val="003469CC"/>
    <w:rsid w:val="00350D39"/>
    <w:rsid w:val="00350F49"/>
    <w:rsid w:val="00351595"/>
    <w:rsid w:val="00354A21"/>
    <w:rsid w:val="0035654D"/>
    <w:rsid w:val="0036592A"/>
    <w:rsid w:val="00370336"/>
    <w:rsid w:val="00372509"/>
    <w:rsid w:val="0037261B"/>
    <w:rsid w:val="003738C4"/>
    <w:rsid w:val="00373A94"/>
    <w:rsid w:val="003747BE"/>
    <w:rsid w:val="00374B1E"/>
    <w:rsid w:val="00375106"/>
    <w:rsid w:val="00376232"/>
    <w:rsid w:val="0038014E"/>
    <w:rsid w:val="003804EF"/>
    <w:rsid w:val="00380598"/>
    <w:rsid w:val="00380D53"/>
    <w:rsid w:val="00383588"/>
    <w:rsid w:val="003847F0"/>
    <w:rsid w:val="00385125"/>
    <w:rsid w:val="003910D1"/>
    <w:rsid w:val="00392522"/>
    <w:rsid w:val="00395332"/>
    <w:rsid w:val="003965D7"/>
    <w:rsid w:val="003977F4"/>
    <w:rsid w:val="00397835"/>
    <w:rsid w:val="003A0786"/>
    <w:rsid w:val="003A3887"/>
    <w:rsid w:val="003A666E"/>
    <w:rsid w:val="003B197E"/>
    <w:rsid w:val="003B4F2B"/>
    <w:rsid w:val="003B5A28"/>
    <w:rsid w:val="003C22AF"/>
    <w:rsid w:val="003C2709"/>
    <w:rsid w:val="003C6A61"/>
    <w:rsid w:val="003D0373"/>
    <w:rsid w:val="003D1B39"/>
    <w:rsid w:val="003D263B"/>
    <w:rsid w:val="003D29D2"/>
    <w:rsid w:val="003D3AAC"/>
    <w:rsid w:val="003D4F3D"/>
    <w:rsid w:val="003D625C"/>
    <w:rsid w:val="003E01C9"/>
    <w:rsid w:val="003E054B"/>
    <w:rsid w:val="003E17F8"/>
    <w:rsid w:val="003E3672"/>
    <w:rsid w:val="003E4C29"/>
    <w:rsid w:val="003F370E"/>
    <w:rsid w:val="003F6F7E"/>
    <w:rsid w:val="003F741D"/>
    <w:rsid w:val="00400445"/>
    <w:rsid w:val="00403F1D"/>
    <w:rsid w:val="00407CE3"/>
    <w:rsid w:val="0041039B"/>
    <w:rsid w:val="00413015"/>
    <w:rsid w:val="004140C3"/>
    <w:rsid w:val="00414C71"/>
    <w:rsid w:val="0041574C"/>
    <w:rsid w:val="004174D2"/>
    <w:rsid w:val="00420BFC"/>
    <w:rsid w:val="00421429"/>
    <w:rsid w:val="00422D04"/>
    <w:rsid w:val="00431D51"/>
    <w:rsid w:val="004328B6"/>
    <w:rsid w:val="00435A37"/>
    <w:rsid w:val="00437F35"/>
    <w:rsid w:val="0044029F"/>
    <w:rsid w:val="004418EC"/>
    <w:rsid w:val="00441C21"/>
    <w:rsid w:val="004424F3"/>
    <w:rsid w:val="00444D7E"/>
    <w:rsid w:val="00451416"/>
    <w:rsid w:val="00451AB9"/>
    <w:rsid w:val="004538FC"/>
    <w:rsid w:val="00454E95"/>
    <w:rsid w:val="00455885"/>
    <w:rsid w:val="00455917"/>
    <w:rsid w:val="00455D19"/>
    <w:rsid w:val="0045765D"/>
    <w:rsid w:val="00462D8B"/>
    <w:rsid w:val="00463BEF"/>
    <w:rsid w:val="00466216"/>
    <w:rsid w:val="00473F47"/>
    <w:rsid w:val="00474AB4"/>
    <w:rsid w:val="00474CE2"/>
    <w:rsid w:val="0047620D"/>
    <w:rsid w:val="004804F0"/>
    <w:rsid w:val="00481D1C"/>
    <w:rsid w:val="0048281A"/>
    <w:rsid w:val="00483E8F"/>
    <w:rsid w:val="004863E7"/>
    <w:rsid w:val="00490073"/>
    <w:rsid w:val="00494008"/>
    <w:rsid w:val="00495576"/>
    <w:rsid w:val="00495766"/>
    <w:rsid w:val="004A2375"/>
    <w:rsid w:val="004A6F71"/>
    <w:rsid w:val="004A78D2"/>
    <w:rsid w:val="004A7C45"/>
    <w:rsid w:val="004B0599"/>
    <w:rsid w:val="004B0EE0"/>
    <w:rsid w:val="004B3141"/>
    <w:rsid w:val="004B586B"/>
    <w:rsid w:val="004B6FB1"/>
    <w:rsid w:val="004B71ED"/>
    <w:rsid w:val="004C09B0"/>
    <w:rsid w:val="004C0FBA"/>
    <w:rsid w:val="004C17FC"/>
    <w:rsid w:val="004C2886"/>
    <w:rsid w:val="004C36C1"/>
    <w:rsid w:val="004C4065"/>
    <w:rsid w:val="004C4B87"/>
    <w:rsid w:val="004C5F91"/>
    <w:rsid w:val="004C74C7"/>
    <w:rsid w:val="004D1763"/>
    <w:rsid w:val="004D4C51"/>
    <w:rsid w:val="004E021B"/>
    <w:rsid w:val="004E278F"/>
    <w:rsid w:val="004E3D6B"/>
    <w:rsid w:val="004E5378"/>
    <w:rsid w:val="004E55B8"/>
    <w:rsid w:val="004E58C1"/>
    <w:rsid w:val="004F2CB8"/>
    <w:rsid w:val="004F4CB1"/>
    <w:rsid w:val="004F5CD4"/>
    <w:rsid w:val="004F700E"/>
    <w:rsid w:val="005009D5"/>
    <w:rsid w:val="00501621"/>
    <w:rsid w:val="00502924"/>
    <w:rsid w:val="00504818"/>
    <w:rsid w:val="00511C03"/>
    <w:rsid w:val="00514765"/>
    <w:rsid w:val="00516283"/>
    <w:rsid w:val="00517D74"/>
    <w:rsid w:val="00520946"/>
    <w:rsid w:val="00526A42"/>
    <w:rsid w:val="005345DE"/>
    <w:rsid w:val="005379F1"/>
    <w:rsid w:val="00541441"/>
    <w:rsid w:val="00543019"/>
    <w:rsid w:val="00543597"/>
    <w:rsid w:val="005463FE"/>
    <w:rsid w:val="00546F24"/>
    <w:rsid w:val="00553464"/>
    <w:rsid w:val="005557EC"/>
    <w:rsid w:val="005620BF"/>
    <w:rsid w:val="00562219"/>
    <w:rsid w:val="0056244F"/>
    <w:rsid w:val="00566526"/>
    <w:rsid w:val="00571028"/>
    <w:rsid w:val="00571DE0"/>
    <w:rsid w:val="00572989"/>
    <w:rsid w:val="005739B5"/>
    <w:rsid w:val="00575A2B"/>
    <w:rsid w:val="0057682F"/>
    <w:rsid w:val="005772A9"/>
    <w:rsid w:val="00580083"/>
    <w:rsid w:val="00583DA9"/>
    <w:rsid w:val="00584422"/>
    <w:rsid w:val="00584A22"/>
    <w:rsid w:val="00584ABA"/>
    <w:rsid w:val="005916EB"/>
    <w:rsid w:val="00591C59"/>
    <w:rsid w:val="00591ECD"/>
    <w:rsid w:val="00592493"/>
    <w:rsid w:val="00592597"/>
    <w:rsid w:val="005957A9"/>
    <w:rsid w:val="00596E0C"/>
    <w:rsid w:val="0059707F"/>
    <w:rsid w:val="005970C1"/>
    <w:rsid w:val="005A1137"/>
    <w:rsid w:val="005A1ACF"/>
    <w:rsid w:val="005A2730"/>
    <w:rsid w:val="005A40CB"/>
    <w:rsid w:val="005B3026"/>
    <w:rsid w:val="005B404C"/>
    <w:rsid w:val="005B6B4B"/>
    <w:rsid w:val="005B73B8"/>
    <w:rsid w:val="005B7E50"/>
    <w:rsid w:val="005B7F7A"/>
    <w:rsid w:val="005C157C"/>
    <w:rsid w:val="005C1954"/>
    <w:rsid w:val="005C2385"/>
    <w:rsid w:val="005C2605"/>
    <w:rsid w:val="005C26C9"/>
    <w:rsid w:val="005C3FB8"/>
    <w:rsid w:val="005C551D"/>
    <w:rsid w:val="005D0F98"/>
    <w:rsid w:val="005D5A16"/>
    <w:rsid w:val="005D5EDC"/>
    <w:rsid w:val="005D741D"/>
    <w:rsid w:val="005E2036"/>
    <w:rsid w:val="005E210F"/>
    <w:rsid w:val="005E3526"/>
    <w:rsid w:val="005E3870"/>
    <w:rsid w:val="005E452A"/>
    <w:rsid w:val="005E5159"/>
    <w:rsid w:val="005F0F47"/>
    <w:rsid w:val="005F11F7"/>
    <w:rsid w:val="005F198F"/>
    <w:rsid w:val="005F47EE"/>
    <w:rsid w:val="005F4E56"/>
    <w:rsid w:val="005F5F5E"/>
    <w:rsid w:val="00603433"/>
    <w:rsid w:val="00603FB1"/>
    <w:rsid w:val="006044B0"/>
    <w:rsid w:val="00605305"/>
    <w:rsid w:val="00605841"/>
    <w:rsid w:val="0061048B"/>
    <w:rsid w:val="006109D6"/>
    <w:rsid w:val="00613183"/>
    <w:rsid w:val="006150F0"/>
    <w:rsid w:val="00617E4F"/>
    <w:rsid w:val="00626F14"/>
    <w:rsid w:val="00627334"/>
    <w:rsid w:val="00631A0F"/>
    <w:rsid w:val="006335BE"/>
    <w:rsid w:val="006369AF"/>
    <w:rsid w:val="00637283"/>
    <w:rsid w:val="00642CB3"/>
    <w:rsid w:val="00644CAE"/>
    <w:rsid w:val="00644E93"/>
    <w:rsid w:val="006466AD"/>
    <w:rsid w:val="00652D40"/>
    <w:rsid w:val="006530FA"/>
    <w:rsid w:val="00653483"/>
    <w:rsid w:val="00654264"/>
    <w:rsid w:val="006551F5"/>
    <w:rsid w:val="006573E0"/>
    <w:rsid w:val="00661663"/>
    <w:rsid w:val="0066593A"/>
    <w:rsid w:val="006715BB"/>
    <w:rsid w:val="0067442F"/>
    <w:rsid w:val="006769BF"/>
    <w:rsid w:val="00680A8A"/>
    <w:rsid w:val="0068205C"/>
    <w:rsid w:val="0068224C"/>
    <w:rsid w:val="006833C4"/>
    <w:rsid w:val="00683E98"/>
    <w:rsid w:val="00685647"/>
    <w:rsid w:val="00687941"/>
    <w:rsid w:val="00692156"/>
    <w:rsid w:val="00694221"/>
    <w:rsid w:val="00694A1F"/>
    <w:rsid w:val="006A39A0"/>
    <w:rsid w:val="006A5837"/>
    <w:rsid w:val="006A6906"/>
    <w:rsid w:val="006A7B3A"/>
    <w:rsid w:val="006B2F9E"/>
    <w:rsid w:val="006C1C71"/>
    <w:rsid w:val="006C3C27"/>
    <w:rsid w:val="006C3C9A"/>
    <w:rsid w:val="006C613F"/>
    <w:rsid w:val="006C75BC"/>
    <w:rsid w:val="006D0CD6"/>
    <w:rsid w:val="006D0D8E"/>
    <w:rsid w:val="006D1FAF"/>
    <w:rsid w:val="006D31E5"/>
    <w:rsid w:val="006D46BA"/>
    <w:rsid w:val="006D6572"/>
    <w:rsid w:val="006D6A8A"/>
    <w:rsid w:val="006E2167"/>
    <w:rsid w:val="006E2878"/>
    <w:rsid w:val="006E3B88"/>
    <w:rsid w:val="006E3C00"/>
    <w:rsid w:val="006E4D86"/>
    <w:rsid w:val="006E7ACA"/>
    <w:rsid w:val="006F0979"/>
    <w:rsid w:val="006F0E93"/>
    <w:rsid w:val="006F1B9D"/>
    <w:rsid w:val="006F1EFD"/>
    <w:rsid w:val="006F1F8D"/>
    <w:rsid w:val="006F6F29"/>
    <w:rsid w:val="006F7971"/>
    <w:rsid w:val="0070042E"/>
    <w:rsid w:val="00700740"/>
    <w:rsid w:val="00701BE5"/>
    <w:rsid w:val="00705873"/>
    <w:rsid w:val="0070656F"/>
    <w:rsid w:val="007069A1"/>
    <w:rsid w:val="00706A05"/>
    <w:rsid w:val="0071227F"/>
    <w:rsid w:val="0071335F"/>
    <w:rsid w:val="00715BCF"/>
    <w:rsid w:val="00715EFF"/>
    <w:rsid w:val="00715F6C"/>
    <w:rsid w:val="00717049"/>
    <w:rsid w:val="00730224"/>
    <w:rsid w:val="00732EB8"/>
    <w:rsid w:val="00735379"/>
    <w:rsid w:val="00735BA1"/>
    <w:rsid w:val="00736D79"/>
    <w:rsid w:val="00740517"/>
    <w:rsid w:val="00742B71"/>
    <w:rsid w:val="00743B55"/>
    <w:rsid w:val="00751AE0"/>
    <w:rsid w:val="00751B12"/>
    <w:rsid w:val="00752BB6"/>
    <w:rsid w:val="00755289"/>
    <w:rsid w:val="00755C84"/>
    <w:rsid w:val="00755CAF"/>
    <w:rsid w:val="00756C87"/>
    <w:rsid w:val="0075726A"/>
    <w:rsid w:val="0075733E"/>
    <w:rsid w:val="00757B20"/>
    <w:rsid w:val="00761970"/>
    <w:rsid w:val="007619FB"/>
    <w:rsid w:val="007635BE"/>
    <w:rsid w:val="00763604"/>
    <w:rsid w:val="00765C4F"/>
    <w:rsid w:val="007703D1"/>
    <w:rsid w:val="00772CF8"/>
    <w:rsid w:val="00773792"/>
    <w:rsid w:val="00774AA2"/>
    <w:rsid w:val="007817EC"/>
    <w:rsid w:val="00781861"/>
    <w:rsid w:val="00781CA8"/>
    <w:rsid w:val="007826E7"/>
    <w:rsid w:val="007844A3"/>
    <w:rsid w:val="00784C50"/>
    <w:rsid w:val="00787618"/>
    <w:rsid w:val="00792C90"/>
    <w:rsid w:val="007A00B6"/>
    <w:rsid w:val="007A24A6"/>
    <w:rsid w:val="007A2C0D"/>
    <w:rsid w:val="007A45D7"/>
    <w:rsid w:val="007A6644"/>
    <w:rsid w:val="007A7CD2"/>
    <w:rsid w:val="007B0672"/>
    <w:rsid w:val="007B0F89"/>
    <w:rsid w:val="007B16AE"/>
    <w:rsid w:val="007B538A"/>
    <w:rsid w:val="007B589F"/>
    <w:rsid w:val="007B674F"/>
    <w:rsid w:val="007B6AAF"/>
    <w:rsid w:val="007C0BDC"/>
    <w:rsid w:val="007C192D"/>
    <w:rsid w:val="007C29E5"/>
    <w:rsid w:val="007C2EA5"/>
    <w:rsid w:val="007C3139"/>
    <w:rsid w:val="007C47D8"/>
    <w:rsid w:val="007C510E"/>
    <w:rsid w:val="007C5206"/>
    <w:rsid w:val="007C62E7"/>
    <w:rsid w:val="007C6727"/>
    <w:rsid w:val="007D0694"/>
    <w:rsid w:val="007D0AF8"/>
    <w:rsid w:val="007D381A"/>
    <w:rsid w:val="007D461F"/>
    <w:rsid w:val="007E4687"/>
    <w:rsid w:val="007E7857"/>
    <w:rsid w:val="007E7E27"/>
    <w:rsid w:val="007F46E9"/>
    <w:rsid w:val="007F4F44"/>
    <w:rsid w:val="007F67EF"/>
    <w:rsid w:val="007F70F5"/>
    <w:rsid w:val="0080290B"/>
    <w:rsid w:val="00803505"/>
    <w:rsid w:val="008037F9"/>
    <w:rsid w:val="00804C3F"/>
    <w:rsid w:val="00805768"/>
    <w:rsid w:val="00806003"/>
    <w:rsid w:val="00807711"/>
    <w:rsid w:val="00807B4F"/>
    <w:rsid w:val="008101EC"/>
    <w:rsid w:val="00810D74"/>
    <w:rsid w:val="008148FC"/>
    <w:rsid w:val="00820270"/>
    <w:rsid w:val="00820769"/>
    <w:rsid w:val="00821712"/>
    <w:rsid w:val="00821C4C"/>
    <w:rsid w:val="0082330C"/>
    <w:rsid w:val="00827429"/>
    <w:rsid w:val="00827E90"/>
    <w:rsid w:val="008355C0"/>
    <w:rsid w:val="00835E0F"/>
    <w:rsid w:val="00836796"/>
    <w:rsid w:val="00840515"/>
    <w:rsid w:val="00843B4B"/>
    <w:rsid w:val="008449A2"/>
    <w:rsid w:val="00844E9D"/>
    <w:rsid w:val="008470F3"/>
    <w:rsid w:val="00850155"/>
    <w:rsid w:val="008514B0"/>
    <w:rsid w:val="00855C5C"/>
    <w:rsid w:val="00856C7A"/>
    <w:rsid w:val="00857062"/>
    <w:rsid w:val="008601EF"/>
    <w:rsid w:val="00861BC3"/>
    <w:rsid w:val="0086439D"/>
    <w:rsid w:val="00867AFD"/>
    <w:rsid w:val="00871324"/>
    <w:rsid w:val="008743D1"/>
    <w:rsid w:val="00876CA1"/>
    <w:rsid w:val="0087701C"/>
    <w:rsid w:val="00877B6B"/>
    <w:rsid w:val="008852AA"/>
    <w:rsid w:val="0088607A"/>
    <w:rsid w:val="008918D5"/>
    <w:rsid w:val="0089208D"/>
    <w:rsid w:val="008930A1"/>
    <w:rsid w:val="008942AB"/>
    <w:rsid w:val="008961FC"/>
    <w:rsid w:val="00896225"/>
    <w:rsid w:val="008970A8"/>
    <w:rsid w:val="0089790B"/>
    <w:rsid w:val="008A2479"/>
    <w:rsid w:val="008A5BC3"/>
    <w:rsid w:val="008A6291"/>
    <w:rsid w:val="008A756A"/>
    <w:rsid w:val="008B0352"/>
    <w:rsid w:val="008B3191"/>
    <w:rsid w:val="008C310D"/>
    <w:rsid w:val="008C37D3"/>
    <w:rsid w:val="008C3D59"/>
    <w:rsid w:val="008C4979"/>
    <w:rsid w:val="008C6189"/>
    <w:rsid w:val="008C7C06"/>
    <w:rsid w:val="008D0CE2"/>
    <w:rsid w:val="008D29B3"/>
    <w:rsid w:val="008D48FD"/>
    <w:rsid w:val="008D4D8D"/>
    <w:rsid w:val="008D53EE"/>
    <w:rsid w:val="008D7997"/>
    <w:rsid w:val="008E2FB8"/>
    <w:rsid w:val="008E304C"/>
    <w:rsid w:val="008E4BEE"/>
    <w:rsid w:val="008E792D"/>
    <w:rsid w:val="008F06B2"/>
    <w:rsid w:val="008F132C"/>
    <w:rsid w:val="008F19CE"/>
    <w:rsid w:val="008F1D4D"/>
    <w:rsid w:val="008F1D57"/>
    <w:rsid w:val="008F5474"/>
    <w:rsid w:val="008F7000"/>
    <w:rsid w:val="0090102E"/>
    <w:rsid w:val="009052F7"/>
    <w:rsid w:val="00905A21"/>
    <w:rsid w:val="009063DB"/>
    <w:rsid w:val="009077A4"/>
    <w:rsid w:val="009116DC"/>
    <w:rsid w:val="00912E7D"/>
    <w:rsid w:val="00914828"/>
    <w:rsid w:val="00914CDD"/>
    <w:rsid w:val="00927432"/>
    <w:rsid w:val="00931EAF"/>
    <w:rsid w:val="00934B1C"/>
    <w:rsid w:val="009367A8"/>
    <w:rsid w:val="009375A2"/>
    <w:rsid w:val="00937C1D"/>
    <w:rsid w:val="0094072B"/>
    <w:rsid w:val="00946534"/>
    <w:rsid w:val="009466A1"/>
    <w:rsid w:val="00947F73"/>
    <w:rsid w:val="0095184E"/>
    <w:rsid w:val="00952971"/>
    <w:rsid w:val="0096351D"/>
    <w:rsid w:val="00964EBC"/>
    <w:rsid w:val="009653A7"/>
    <w:rsid w:val="00965429"/>
    <w:rsid w:val="0096620A"/>
    <w:rsid w:val="0097100C"/>
    <w:rsid w:val="00972034"/>
    <w:rsid w:val="00972073"/>
    <w:rsid w:val="009746DD"/>
    <w:rsid w:val="00975687"/>
    <w:rsid w:val="00977B84"/>
    <w:rsid w:val="00980A54"/>
    <w:rsid w:val="009812F7"/>
    <w:rsid w:val="009815F6"/>
    <w:rsid w:val="00987057"/>
    <w:rsid w:val="00987DCA"/>
    <w:rsid w:val="00987F1C"/>
    <w:rsid w:val="009921B7"/>
    <w:rsid w:val="00996424"/>
    <w:rsid w:val="0099657E"/>
    <w:rsid w:val="009A25FD"/>
    <w:rsid w:val="009A3D36"/>
    <w:rsid w:val="009A5120"/>
    <w:rsid w:val="009A556B"/>
    <w:rsid w:val="009A6225"/>
    <w:rsid w:val="009A6807"/>
    <w:rsid w:val="009A6CEA"/>
    <w:rsid w:val="009A6D59"/>
    <w:rsid w:val="009A7A4E"/>
    <w:rsid w:val="009A7A7F"/>
    <w:rsid w:val="009A7E66"/>
    <w:rsid w:val="009B630C"/>
    <w:rsid w:val="009C0469"/>
    <w:rsid w:val="009C2862"/>
    <w:rsid w:val="009C2D0B"/>
    <w:rsid w:val="009C4A02"/>
    <w:rsid w:val="009C528E"/>
    <w:rsid w:val="009C59DB"/>
    <w:rsid w:val="009C75B2"/>
    <w:rsid w:val="009D26AF"/>
    <w:rsid w:val="009D3109"/>
    <w:rsid w:val="009D3B40"/>
    <w:rsid w:val="009D652B"/>
    <w:rsid w:val="009D71EE"/>
    <w:rsid w:val="009E1332"/>
    <w:rsid w:val="009E53FE"/>
    <w:rsid w:val="009F0D21"/>
    <w:rsid w:val="009F0E11"/>
    <w:rsid w:val="009F3462"/>
    <w:rsid w:val="009F3E8A"/>
    <w:rsid w:val="009F4BAD"/>
    <w:rsid w:val="009F5082"/>
    <w:rsid w:val="00A0082F"/>
    <w:rsid w:val="00A023C1"/>
    <w:rsid w:val="00A12A3C"/>
    <w:rsid w:val="00A15800"/>
    <w:rsid w:val="00A16356"/>
    <w:rsid w:val="00A201F5"/>
    <w:rsid w:val="00A2218B"/>
    <w:rsid w:val="00A222AC"/>
    <w:rsid w:val="00A2275D"/>
    <w:rsid w:val="00A26794"/>
    <w:rsid w:val="00A30198"/>
    <w:rsid w:val="00A33DE7"/>
    <w:rsid w:val="00A33ED9"/>
    <w:rsid w:val="00A35BBA"/>
    <w:rsid w:val="00A3604A"/>
    <w:rsid w:val="00A45369"/>
    <w:rsid w:val="00A469D5"/>
    <w:rsid w:val="00A469DD"/>
    <w:rsid w:val="00A47A65"/>
    <w:rsid w:val="00A509AE"/>
    <w:rsid w:val="00A520C6"/>
    <w:rsid w:val="00A53A33"/>
    <w:rsid w:val="00A53D1F"/>
    <w:rsid w:val="00A57143"/>
    <w:rsid w:val="00A70E36"/>
    <w:rsid w:val="00A76116"/>
    <w:rsid w:val="00A76CD8"/>
    <w:rsid w:val="00A817F8"/>
    <w:rsid w:val="00A90373"/>
    <w:rsid w:val="00A92D3E"/>
    <w:rsid w:val="00A93A6E"/>
    <w:rsid w:val="00A94D8B"/>
    <w:rsid w:val="00AA57F5"/>
    <w:rsid w:val="00AA5E30"/>
    <w:rsid w:val="00AA7716"/>
    <w:rsid w:val="00AB02E9"/>
    <w:rsid w:val="00AB06E6"/>
    <w:rsid w:val="00AB0900"/>
    <w:rsid w:val="00AB0FC1"/>
    <w:rsid w:val="00AB2514"/>
    <w:rsid w:val="00AB3364"/>
    <w:rsid w:val="00AB6D72"/>
    <w:rsid w:val="00AB7C0D"/>
    <w:rsid w:val="00AD667A"/>
    <w:rsid w:val="00AD69D3"/>
    <w:rsid w:val="00AE176D"/>
    <w:rsid w:val="00AE2165"/>
    <w:rsid w:val="00AE3A61"/>
    <w:rsid w:val="00AE3D5C"/>
    <w:rsid w:val="00AF0BDD"/>
    <w:rsid w:val="00AF1035"/>
    <w:rsid w:val="00AF1CC6"/>
    <w:rsid w:val="00AF40D2"/>
    <w:rsid w:val="00AF4B7C"/>
    <w:rsid w:val="00B03079"/>
    <w:rsid w:val="00B04F6F"/>
    <w:rsid w:val="00B071C1"/>
    <w:rsid w:val="00B07DC9"/>
    <w:rsid w:val="00B12919"/>
    <w:rsid w:val="00B14BA0"/>
    <w:rsid w:val="00B15778"/>
    <w:rsid w:val="00B16D65"/>
    <w:rsid w:val="00B17261"/>
    <w:rsid w:val="00B2091C"/>
    <w:rsid w:val="00B22A3E"/>
    <w:rsid w:val="00B23F2C"/>
    <w:rsid w:val="00B24CC6"/>
    <w:rsid w:val="00B27793"/>
    <w:rsid w:val="00B27A4D"/>
    <w:rsid w:val="00B33C06"/>
    <w:rsid w:val="00B33F62"/>
    <w:rsid w:val="00B360EA"/>
    <w:rsid w:val="00B41356"/>
    <w:rsid w:val="00B414BB"/>
    <w:rsid w:val="00B416A9"/>
    <w:rsid w:val="00B46BAB"/>
    <w:rsid w:val="00B50D05"/>
    <w:rsid w:val="00B50D7B"/>
    <w:rsid w:val="00B50F67"/>
    <w:rsid w:val="00B54D50"/>
    <w:rsid w:val="00B55E3F"/>
    <w:rsid w:val="00B56A49"/>
    <w:rsid w:val="00B63EC1"/>
    <w:rsid w:val="00B64C4A"/>
    <w:rsid w:val="00B666A3"/>
    <w:rsid w:val="00B67E6E"/>
    <w:rsid w:val="00B73B3F"/>
    <w:rsid w:val="00B80D77"/>
    <w:rsid w:val="00B82CE9"/>
    <w:rsid w:val="00B83AE9"/>
    <w:rsid w:val="00B842AD"/>
    <w:rsid w:val="00B84EDD"/>
    <w:rsid w:val="00B85758"/>
    <w:rsid w:val="00B86FDC"/>
    <w:rsid w:val="00B8743D"/>
    <w:rsid w:val="00B87FB4"/>
    <w:rsid w:val="00B9187A"/>
    <w:rsid w:val="00B91EA6"/>
    <w:rsid w:val="00B933A9"/>
    <w:rsid w:val="00B96989"/>
    <w:rsid w:val="00B972B2"/>
    <w:rsid w:val="00BA1742"/>
    <w:rsid w:val="00BA1856"/>
    <w:rsid w:val="00BA50E0"/>
    <w:rsid w:val="00BA60BF"/>
    <w:rsid w:val="00BA6C36"/>
    <w:rsid w:val="00BA6E38"/>
    <w:rsid w:val="00BB0330"/>
    <w:rsid w:val="00BB0B80"/>
    <w:rsid w:val="00BB1932"/>
    <w:rsid w:val="00BB238A"/>
    <w:rsid w:val="00BB2D66"/>
    <w:rsid w:val="00BB2F50"/>
    <w:rsid w:val="00BC1036"/>
    <w:rsid w:val="00BC2D69"/>
    <w:rsid w:val="00BC7187"/>
    <w:rsid w:val="00BD241F"/>
    <w:rsid w:val="00BD2707"/>
    <w:rsid w:val="00BD34DC"/>
    <w:rsid w:val="00BD3BFB"/>
    <w:rsid w:val="00BE0F7A"/>
    <w:rsid w:val="00BE34DD"/>
    <w:rsid w:val="00BE7F5B"/>
    <w:rsid w:val="00BF016F"/>
    <w:rsid w:val="00BF4BAD"/>
    <w:rsid w:val="00BF5BE6"/>
    <w:rsid w:val="00BF6002"/>
    <w:rsid w:val="00BF7864"/>
    <w:rsid w:val="00C00E52"/>
    <w:rsid w:val="00C03B64"/>
    <w:rsid w:val="00C064A5"/>
    <w:rsid w:val="00C07E20"/>
    <w:rsid w:val="00C10F8B"/>
    <w:rsid w:val="00C15283"/>
    <w:rsid w:val="00C15CCD"/>
    <w:rsid w:val="00C24A0F"/>
    <w:rsid w:val="00C255F9"/>
    <w:rsid w:val="00C3049E"/>
    <w:rsid w:val="00C31053"/>
    <w:rsid w:val="00C321C0"/>
    <w:rsid w:val="00C32947"/>
    <w:rsid w:val="00C33416"/>
    <w:rsid w:val="00C34E53"/>
    <w:rsid w:val="00C35743"/>
    <w:rsid w:val="00C373B5"/>
    <w:rsid w:val="00C37E14"/>
    <w:rsid w:val="00C409E1"/>
    <w:rsid w:val="00C4116E"/>
    <w:rsid w:val="00C43A49"/>
    <w:rsid w:val="00C45616"/>
    <w:rsid w:val="00C47399"/>
    <w:rsid w:val="00C50AFF"/>
    <w:rsid w:val="00C51663"/>
    <w:rsid w:val="00C51895"/>
    <w:rsid w:val="00C526DC"/>
    <w:rsid w:val="00C54028"/>
    <w:rsid w:val="00C546E5"/>
    <w:rsid w:val="00C54D67"/>
    <w:rsid w:val="00C6059B"/>
    <w:rsid w:val="00C6264C"/>
    <w:rsid w:val="00C627FD"/>
    <w:rsid w:val="00C641D7"/>
    <w:rsid w:val="00C65ECE"/>
    <w:rsid w:val="00C66E1D"/>
    <w:rsid w:val="00C67131"/>
    <w:rsid w:val="00C83C9F"/>
    <w:rsid w:val="00C8564F"/>
    <w:rsid w:val="00C87082"/>
    <w:rsid w:val="00C90464"/>
    <w:rsid w:val="00C9262C"/>
    <w:rsid w:val="00C92C02"/>
    <w:rsid w:val="00C9568E"/>
    <w:rsid w:val="00C9716F"/>
    <w:rsid w:val="00CA0FAA"/>
    <w:rsid w:val="00CA162B"/>
    <w:rsid w:val="00CA23CF"/>
    <w:rsid w:val="00CA2CE5"/>
    <w:rsid w:val="00CA306B"/>
    <w:rsid w:val="00CA4879"/>
    <w:rsid w:val="00CA77F5"/>
    <w:rsid w:val="00CB0BBF"/>
    <w:rsid w:val="00CB4063"/>
    <w:rsid w:val="00CB52D3"/>
    <w:rsid w:val="00CB6330"/>
    <w:rsid w:val="00CC1B42"/>
    <w:rsid w:val="00CC2930"/>
    <w:rsid w:val="00CC2E5C"/>
    <w:rsid w:val="00CC3FF1"/>
    <w:rsid w:val="00CC4A4A"/>
    <w:rsid w:val="00CD0BD6"/>
    <w:rsid w:val="00CD36AE"/>
    <w:rsid w:val="00CD3CD3"/>
    <w:rsid w:val="00CD3FFE"/>
    <w:rsid w:val="00CD4FA1"/>
    <w:rsid w:val="00CD76F9"/>
    <w:rsid w:val="00CD7704"/>
    <w:rsid w:val="00CE14AA"/>
    <w:rsid w:val="00CE1D50"/>
    <w:rsid w:val="00CE1D81"/>
    <w:rsid w:val="00CE33BF"/>
    <w:rsid w:val="00CE403B"/>
    <w:rsid w:val="00CE4544"/>
    <w:rsid w:val="00CE5E4D"/>
    <w:rsid w:val="00CF1625"/>
    <w:rsid w:val="00CF1902"/>
    <w:rsid w:val="00CF195A"/>
    <w:rsid w:val="00CF4439"/>
    <w:rsid w:val="00CF44EA"/>
    <w:rsid w:val="00CF69AE"/>
    <w:rsid w:val="00D00254"/>
    <w:rsid w:val="00D00D62"/>
    <w:rsid w:val="00D05102"/>
    <w:rsid w:val="00D079B4"/>
    <w:rsid w:val="00D102EC"/>
    <w:rsid w:val="00D11F6F"/>
    <w:rsid w:val="00D12E7A"/>
    <w:rsid w:val="00D134E5"/>
    <w:rsid w:val="00D14304"/>
    <w:rsid w:val="00D1551A"/>
    <w:rsid w:val="00D1577C"/>
    <w:rsid w:val="00D17866"/>
    <w:rsid w:val="00D21103"/>
    <w:rsid w:val="00D3128D"/>
    <w:rsid w:val="00D32789"/>
    <w:rsid w:val="00D33110"/>
    <w:rsid w:val="00D33D5B"/>
    <w:rsid w:val="00D33FEE"/>
    <w:rsid w:val="00D35AB9"/>
    <w:rsid w:val="00D35B0E"/>
    <w:rsid w:val="00D41C6B"/>
    <w:rsid w:val="00D426EB"/>
    <w:rsid w:val="00D42939"/>
    <w:rsid w:val="00D46260"/>
    <w:rsid w:val="00D46CFC"/>
    <w:rsid w:val="00D50215"/>
    <w:rsid w:val="00D52636"/>
    <w:rsid w:val="00D53BC3"/>
    <w:rsid w:val="00D55238"/>
    <w:rsid w:val="00D55580"/>
    <w:rsid w:val="00D57675"/>
    <w:rsid w:val="00D60384"/>
    <w:rsid w:val="00D60AA2"/>
    <w:rsid w:val="00D61B81"/>
    <w:rsid w:val="00D61DB4"/>
    <w:rsid w:val="00D6241A"/>
    <w:rsid w:val="00D65752"/>
    <w:rsid w:val="00D70E21"/>
    <w:rsid w:val="00D71324"/>
    <w:rsid w:val="00D73DF9"/>
    <w:rsid w:val="00D73FE0"/>
    <w:rsid w:val="00D74335"/>
    <w:rsid w:val="00D74372"/>
    <w:rsid w:val="00D76F2A"/>
    <w:rsid w:val="00D8484F"/>
    <w:rsid w:val="00D86187"/>
    <w:rsid w:val="00D86386"/>
    <w:rsid w:val="00D87A14"/>
    <w:rsid w:val="00D92201"/>
    <w:rsid w:val="00D927B9"/>
    <w:rsid w:val="00D93C4A"/>
    <w:rsid w:val="00D941EB"/>
    <w:rsid w:val="00D9481C"/>
    <w:rsid w:val="00D96185"/>
    <w:rsid w:val="00DA0B29"/>
    <w:rsid w:val="00DA27DB"/>
    <w:rsid w:val="00DA3A48"/>
    <w:rsid w:val="00DB0DCD"/>
    <w:rsid w:val="00DB3646"/>
    <w:rsid w:val="00DB527C"/>
    <w:rsid w:val="00DB7FE0"/>
    <w:rsid w:val="00DC0A10"/>
    <w:rsid w:val="00DC0EDF"/>
    <w:rsid w:val="00DC1BAC"/>
    <w:rsid w:val="00DC553C"/>
    <w:rsid w:val="00DC5B2E"/>
    <w:rsid w:val="00DC5D9F"/>
    <w:rsid w:val="00DC7280"/>
    <w:rsid w:val="00DD0CF7"/>
    <w:rsid w:val="00DD2998"/>
    <w:rsid w:val="00DD4168"/>
    <w:rsid w:val="00DD5B86"/>
    <w:rsid w:val="00DD698D"/>
    <w:rsid w:val="00DD7883"/>
    <w:rsid w:val="00DE3705"/>
    <w:rsid w:val="00DE3B63"/>
    <w:rsid w:val="00DE568F"/>
    <w:rsid w:val="00DE62F6"/>
    <w:rsid w:val="00DF098A"/>
    <w:rsid w:val="00DF0FED"/>
    <w:rsid w:val="00DF50CE"/>
    <w:rsid w:val="00DF5AE3"/>
    <w:rsid w:val="00E02A42"/>
    <w:rsid w:val="00E02BF6"/>
    <w:rsid w:val="00E07589"/>
    <w:rsid w:val="00E10D8C"/>
    <w:rsid w:val="00E15E88"/>
    <w:rsid w:val="00E1631A"/>
    <w:rsid w:val="00E17E1B"/>
    <w:rsid w:val="00E17E2C"/>
    <w:rsid w:val="00E3092A"/>
    <w:rsid w:val="00E32982"/>
    <w:rsid w:val="00E3745C"/>
    <w:rsid w:val="00E45E08"/>
    <w:rsid w:val="00E54B68"/>
    <w:rsid w:val="00E55DFB"/>
    <w:rsid w:val="00E569BB"/>
    <w:rsid w:val="00E57628"/>
    <w:rsid w:val="00E57DA8"/>
    <w:rsid w:val="00E60AB2"/>
    <w:rsid w:val="00E64195"/>
    <w:rsid w:val="00E65EF2"/>
    <w:rsid w:val="00E6776E"/>
    <w:rsid w:val="00E72537"/>
    <w:rsid w:val="00E73D68"/>
    <w:rsid w:val="00E745BA"/>
    <w:rsid w:val="00E7746A"/>
    <w:rsid w:val="00E80841"/>
    <w:rsid w:val="00E83035"/>
    <w:rsid w:val="00E84955"/>
    <w:rsid w:val="00E87D92"/>
    <w:rsid w:val="00E91A9E"/>
    <w:rsid w:val="00E940D7"/>
    <w:rsid w:val="00EA0FB4"/>
    <w:rsid w:val="00EA15FB"/>
    <w:rsid w:val="00EA2E9D"/>
    <w:rsid w:val="00EA4066"/>
    <w:rsid w:val="00EA4BD7"/>
    <w:rsid w:val="00EA56A7"/>
    <w:rsid w:val="00EB2D50"/>
    <w:rsid w:val="00EB32FE"/>
    <w:rsid w:val="00EB3433"/>
    <w:rsid w:val="00EB43F3"/>
    <w:rsid w:val="00EB5211"/>
    <w:rsid w:val="00EB6445"/>
    <w:rsid w:val="00EB7E3E"/>
    <w:rsid w:val="00EC0BEF"/>
    <w:rsid w:val="00EC10FE"/>
    <w:rsid w:val="00EC4278"/>
    <w:rsid w:val="00EC4641"/>
    <w:rsid w:val="00EC4E7E"/>
    <w:rsid w:val="00EC71A2"/>
    <w:rsid w:val="00EC7EBD"/>
    <w:rsid w:val="00ED0709"/>
    <w:rsid w:val="00ED13DD"/>
    <w:rsid w:val="00ED312E"/>
    <w:rsid w:val="00ED3A08"/>
    <w:rsid w:val="00ED426F"/>
    <w:rsid w:val="00ED4E77"/>
    <w:rsid w:val="00ED6006"/>
    <w:rsid w:val="00ED6ADD"/>
    <w:rsid w:val="00ED723C"/>
    <w:rsid w:val="00EE20D8"/>
    <w:rsid w:val="00EE47D6"/>
    <w:rsid w:val="00EE4810"/>
    <w:rsid w:val="00EE5677"/>
    <w:rsid w:val="00EE707A"/>
    <w:rsid w:val="00EF1368"/>
    <w:rsid w:val="00EF27B1"/>
    <w:rsid w:val="00EF2CD3"/>
    <w:rsid w:val="00EF34D1"/>
    <w:rsid w:val="00F01DA4"/>
    <w:rsid w:val="00F03603"/>
    <w:rsid w:val="00F05076"/>
    <w:rsid w:val="00F055A6"/>
    <w:rsid w:val="00F12660"/>
    <w:rsid w:val="00F139B0"/>
    <w:rsid w:val="00F2270B"/>
    <w:rsid w:val="00F23A23"/>
    <w:rsid w:val="00F23A6C"/>
    <w:rsid w:val="00F26FB2"/>
    <w:rsid w:val="00F30CE2"/>
    <w:rsid w:val="00F310A1"/>
    <w:rsid w:val="00F35555"/>
    <w:rsid w:val="00F3595C"/>
    <w:rsid w:val="00F37F4E"/>
    <w:rsid w:val="00F411FA"/>
    <w:rsid w:val="00F41D27"/>
    <w:rsid w:val="00F425E4"/>
    <w:rsid w:val="00F42A99"/>
    <w:rsid w:val="00F4420D"/>
    <w:rsid w:val="00F51A83"/>
    <w:rsid w:val="00F552D1"/>
    <w:rsid w:val="00F558ED"/>
    <w:rsid w:val="00F55DEB"/>
    <w:rsid w:val="00F57AF4"/>
    <w:rsid w:val="00F63407"/>
    <w:rsid w:val="00F656F5"/>
    <w:rsid w:val="00F67981"/>
    <w:rsid w:val="00F70469"/>
    <w:rsid w:val="00F7098D"/>
    <w:rsid w:val="00F73260"/>
    <w:rsid w:val="00F734EB"/>
    <w:rsid w:val="00F73546"/>
    <w:rsid w:val="00F76EDD"/>
    <w:rsid w:val="00F801B3"/>
    <w:rsid w:val="00F817A1"/>
    <w:rsid w:val="00F82647"/>
    <w:rsid w:val="00F82A95"/>
    <w:rsid w:val="00F83AEB"/>
    <w:rsid w:val="00F84112"/>
    <w:rsid w:val="00F857EC"/>
    <w:rsid w:val="00F875A2"/>
    <w:rsid w:val="00F910C7"/>
    <w:rsid w:val="00F94696"/>
    <w:rsid w:val="00FA016B"/>
    <w:rsid w:val="00FA0F90"/>
    <w:rsid w:val="00FA24FA"/>
    <w:rsid w:val="00FA4A39"/>
    <w:rsid w:val="00FA551C"/>
    <w:rsid w:val="00FA583C"/>
    <w:rsid w:val="00FB4D15"/>
    <w:rsid w:val="00FB681C"/>
    <w:rsid w:val="00FC7606"/>
    <w:rsid w:val="00FD2CB9"/>
    <w:rsid w:val="00FD4014"/>
    <w:rsid w:val="00FD5411"/>
    <w:rsid w:val="00FD6271"/>
    <w:rsid w:val="00FD6B90"/>
    <w:rsid w:val="00FE5D11"/>
    <w:rsid w:val="00FE7FE2"/>
    <w:rsid w:val="00FF091D"/>
    <w:rsid w:val="00FF2BC8"/>
    <w:rsid w:val="00FF3AB9"/>
    <w:rsid w:val="00FF4CD2"/>
    <w:rsid w:val="00FF7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46F3B7"/>
  <w14:defaultImageDpi w14:val="300"/>
  <w15:docId w15:val="{2E283501-A12F-49E6-8810-2DECED1D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12A"/>
    <w:rPr>
      <w:rFonts w:ascii="Arial" w:hAnsi="Arial"/>
      <w:lang w:val="en-AU"/>
    </w:rPr>
  </w:style>
  <w:style w:type="paragraph" w:styleId="Heading1">
    <w:name w:val="heading 1"/>
    <w:basedOn w:val="Normal"/>
    <w:next w:val="Normal"/>
    <w:link w:val="Heading1Char"/>
    <w:uiPriority w:val="9"/>
    <w:qFormat/>
    <w:rsid w:val="007C510E"/>
    <w:pPr>
      <w:keepNext/>
      <w:keepLines/>
      <w:spacing w:before="240" w:after="240"/>
      <w:outlineLvl w:val="0"/>
    </w:pPr>
    <w:rPr>
      <w:rFonts w:eastAsiaTheme="majorEastAsia"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502924"/>
    <w:pPr>
      <w:keepNext/>
      <w:keepLines/>
      <w:spacing w:before="240" w:after="120"/>
      <w:outlineLvl w:val="1"/>
    </w:pPr>
    <w:rPr>
      <w:rFonts w:eastAsiaTheme="majorEastAsia" w:cstheme="majorBidi"/>
      <w:b/>
      <w:color w:val="365F91" w:themeColor="accent1" w:themeShade="BF"/>
    </w:rPr>
  </w:style>
  <w:style w:type="paragraph" w:styleId="Heading3">
    <w:name w:val="heading 3"/>
    <w:basedOn w:val="Normal"/>
    <w:next w:val="Normal"/>
    <w:link w:val="Heading3Char"/>
    <w:uiPriority w:val="9"/>
    <w:unhideWhenUsed/>
    <w:qFormat/>
    <w:rsid w:val="00502924"/>
    <w:pPr>
      <w:keepNext/>
      <w:keepLines/>
      <w:spacing w:before="240" w:after="120"/>
      <w:outlineLvl w:val="2"/>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basedOn w:val="Normal"/>
    <w:link w:val="FootnoteTextChar"/>
    <w:uiPriority w:val="99"/>
    <w:unhideWhenUsed/>
    <w:rsid w:val="00C33416"/>
    <w:rPr>
      <w:sz w:val="20"/>
    </w:rPr>
  </w:style>
  <w:style w:type="character" w:customStyle="1" w:styleId="FootnoteTextChar">
    <w:name w:val="Footnote Text Char"/>
    <w:basedOn w:val="DefaultParagraphFont"/>
    <w:link w:val="FootnoteText"/>
    <w:uiPriority w:val="99"/>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1"/>
    <w:rsid w:val="007C510E"/>
    <w:rPr>
      <w:rFonts w:ascii="Arial" w:eastAsiaTheme="majorEastAsia" w:hAnsi="Arial" w:cstheme="majorBidi"/>
      <w:b/>
      <w:color w:val="365F91" w:themeColor="accent1" w:themeShade="BF"/>
      <w:sz w:val="2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FE5D11"/>
    <w:pPr>
      <w:tabs>
        <w:tab w:val="right" w:leader="dot" w:pos="8296"/>
      </w:tabs>
      <w:spacing w:before="120" w:after="12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502924"/>
    <w:rPr>
      <w:rFonts w:ascii="Arial" w:eastAsiaTheme="majorEastAsia" w:hAnsi="Arial" w:cstheme="majorBidi"/>
      <w:b/>
      <w:color w:val="365F91" w:themeColor="accent1" w:themeShade="BF"/>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uiPriority w:val="39"/>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02924"/>
    <w:rPr>
      <w:rFonts w:ascii="Arial" w:eastAsiaTheme="majorEastAsia" w:hAnsi="Arial" w:cstheme="majorBidi"/>
      <w:i/>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cs="Arial"/>
    </w:rPr>
  </w:style>
  <w:style w:type="paragraph" w:styleId="NormalWeb">
    <w:name w:val="Normal (Web)"/>
    <w:basedOn w:val="Normal"/>
    <w:uiPriority w:val="99"/>
    <w:unhideWhenUsed/>
    <w:rsid w:val="008C37D3"/>
    <w:pPr>
      <w:spacing w:before="100" w:beforeAutospacing="1" w:after="100" w:afterAutospacing="1"/>
    </w:pPr>
    <w:rPr>
      <w:rFonts w:ascii="Times New Roman" w:eastAsia="Times New Roman" w:hAnsi="Times New Roman" w:cs="Times New Roman"/>
      <w:lang w:eastAsia="en-AU"/>
    </w:rPr>
  </w:style>
  <w:style w:type="character" w:customStyle="1" w:styleId="content-elementreference">
    <w:name w:val="content-element__reference"/>
    <w:basedOn w:val="DefaultParagraphFont"/>
    <w:rsid w:val="008C37D3"/>
  </w:style>
  <w:style w:type="character" w:styleId="Emphasis">
    <w:name w:val="Emphasis"/>
    <w:basedOn w:val="DefaultParagraphFont"/>
    <w:uiPriority w:val="20"/>
    <w:qFormat/>
    <w:rsid w:val="008C37D3"/>
    <w:rPr>
      <w:i/>
      <w:iCs/>
    </w:rPr>
  </w:style>
  <w:style w:type="paragraph" w:customStyle="1" w:styleId="Pa2">
    <w:name w:val="Pa2"/>
    <w:basedOn w:val="Normal"/>
    <w:uiPriority w:val="99"/>
    <w:rsid w:val="000D1519"/>
    <w:pPr>
      <w:autoSpaceDE w:val="0"/>
      <w:autoSpaceDN w:val="0"/>
      <w:spacing w:line="221" w:lineRule="atLeast"/>
    </w:pPr>
    <w:rPr>
      <w:rFonts w:ascii="Myriad Pro" w:eastAsiaTheme="minorHAnsi" w:hAnsi="Myriad Pro" w:cs="Times New Roman"/>
      <w:lang w:eastAsia="en-AU"/>
    </w:rPr>
  </w:style>
  <w:style w:type="paragraph" w:customStyle="1" w:styleId="Pa7">
    <w:name w:val="Pa7"/>
    <w:basedOn w:val="Normal"/>
    <w:uiPriority w:val="99"/>
    <w:rsid w:val="000D1519"/>
    <w:pPr>
      <w:autoSpaceDE w:val="0"/>
      <w:autoSpaceDN w:val="0"/>
      <w:spacing w:line="281" w:lineRule="atLeast"/>
    </w:pPr>
    <w:rPr>
      <w:rFonts w:ascii="Myriad Pro" w:eastAsiaTheme="minorHAnsi" w:hAnsi="Myriad Pro" w:cs="Times New Roman"/>
      <w:lang w:eastAsia="en-AU"/>
    </w:rPr>
  </w:style>
  <w:style w:type="paragraph" w:customStyle="1" w:styleId="Pa3">
    <w:name w:val="Pa3"/>
    <w:basedOn w:val="Normal"/>
    <w:uiPriority w:val="99"/>
    <w:rsid w:val="000D1519"/>
    <w:pPr>
      <w:autoSpaceDE w:val="0"/>
      <w:autoSpaceDN w:val="0"/>
      <w:spacing w:line="221" w:lineRule="atLeast"/>
    </w:pPr>
    <w:rPr>
      <w:rFonts w:ascii="Myriad Pro" w:eastAsiaTheme="minorHAnsi" w:hAnsi="Myriad Pro" w:cs="Times New Roman"/>
      <w:lang w:eastAsia="en-AU"/>
    </w:rPr>
  </w:style>
  <w:style w:type="character" w:customStyle="1" w:styleId="A15">
    <w:name w:val="A15"/>
    <w:basedOn w:val="DefaultParagraphFont"/>
    <w:uiPriority w:val="99"/>
    <w:rsid w:val="000D1519"/>
    <w:rPr>
      <w:rFonts w:ascii="Myriad Pro" w:hAnsi="Myriad Pro" w:hint="default"/>
      <w:color w:val="000000"/>
    </w:rPr>
  </w:style>
  <w:style w:type="character" w:customStyle="1" w:styleId="A7">
    <w:name w:val="A7"/>
    <w:basedOn w:val="DefaultParagraphFont"/>
    <w:uiPriority w:val="99"/>
    <w:rsid w:val="000D1519"/>
    <w:rPr>
      <w:rFonts w:ascii="Myriad Pro" w:hAnsi="Myriad Pro" w:hint="default"/>
      <w:color w:val="000000"/>
      <w:u w:val="single"/>
    </w:rPr>
  </w:style>
  <w:style w:type="paragraph" w:styleId="Revision">
    <w:name w:val="Revision"/>
    <w:hidden/>
    <w:uiPriority w:val="99"/>
    <w:semiHidden/>
    <w:rsid w:val="00D11F6F"/>
    <w:rPr>
      <w:lang w:val="en-AU"/>
    </w:rPr>
  </w:style>
  <w:style w:type="character" w:styleId="FollowedHyperlink">
    <w:name w:val="FollowedHyperlink"/>
    <w:basedOn w:val="DefaultParagraphFont"/>
    <w:uiPriority w:val="99"/>
    <w:semiHidden/>
    <w:unhideWhenUsed/>
    <w:rsid w:val="00520946"/>
    <w:rPr>
      <w:color w:val="800080" w:themeColor="followedHyperlink"/>
      <w:u w:val="single"/>
    </w:rPr>
  </w:style>
  <w:style w:type="paragraph" w:customStyle="1" w:styleId="Default">
    <w:name w:val="Default"/>
    <w:rsid w:val="00F2270B"/>
    <w:pPr>
      <w:autoSpaceDE w:val="0"/>
      <w:autoSpaceDN w:val="0"/>
      <w:adjustRightInd w:val="0"/>
    </w:pPr>
    <w:rPr>
      <w:rFonts w:ascii="Verdana" w:hAnsi="Verdana" w:cs="Verdana"/>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60016">
      <w:bodyDiv w:val="1"/>
      <w:marLeft w:val="0"/>
      <w:marRight w:val="0"/>
      <w:marTop w:val="0"/>
      <w:marBottom w:val="0"/>
      <w:divBdr>
        <w:top w:val="none" w:sz="0" w:space="0" w:color="auto"/>
        <w:left w:val="none" w:sz="0" w:space="0" w:color="auto"/>
        <w:bottom w:val="none" w:sz="0" w:space="0" w:color="auto"/>
        <w:right w:val="none" w:sz="0" w:space="0" w:color="auto"/>
      </w:divBdr>
    </w:div>
    <w:div w:id="1506018456">
      <w:bodyDiv w:val="1"/>
      <w:marLeft w:val="0"/>
      <w:marRight w:val="0"/>
      <w:marTop w:val="0"/>
      <w:marBottom w:val="0"/>
      <w:divBdr>
        <w:top w:val="none" w:sz="0" w:space="0" w:color="auto"/>
        <w:left w:val="none" w:sz="0" w:space="0" w:color="auto"/>
        <w:bottom w:val="none" w:sz="0" w:space="0" w:color="auto"/>
        <w:right w:val="none" w:sz="0" w:space="0" w:color="auto"/>
      </w:divBdr>
    </w:div>
    <w:div w:id="19053335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613C6B-BFC6-49A9-9BB2-8CAD9D3AB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5275</Words>
  <Characters>30071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Criminal Code (Serious Vilification and Hate Crimes) and Other Legislation Amendment Bill 2023</vt:lpstr>
    </vt:vector>
  </TitlesOfParts>
  <Company/>
  <LinksUpToDate>false</LinksUpToDate>
  <CharactersWithSpaces>35276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(Serious Vilification and Hate Crimes) and Other Legislation Amendment Bill 2023</dc:title>
  <dc:subject/>
  <dc:creator>Julie Ball</dc:creator>
  <cp:keywords/>
  <dc:description/>
  <cp:lastModifiedBy>Julie Ball</cp:lastModifiedBy>
  <cp:revision>3</cp:revision>
  <cp:lastPrinted>2023-05-04T04:41:00Z</cp:lastPrinted>
  <dcterms:created xsi:type="dcterms:W3CDTF">2023-05-26T00:43:00Z</dcterms:created>
  <dcterms:modified xsi:type="dcterms:W3CDTF">2023-05-26T00:43:00Z</dcterms:modified>
</cp:coreProperties>
</file>