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2CDC02B3" w14:textId="77777777" w:rsidR="0035517B" w:rsidRDefault="0035517B" w:rsidP="00260847">
          <w:pPr>
            <w:pStyle w:val="NoSpacing"/>
            <w:spacing w:before="120" w:after="120"/>
            <w:rPr>
              <w:rFonts w:ascii="Arial" w:hAnsi="Arial" w:cs="Arial"/>
              <w:bCs/>
              <w:sz w:val="28"/>
            </w:rPr>
          </w:pPr>
        </w:p>
        <w:p w14:paraId="0F605ABB" w14:textId="77777777" w:rsidR="0035517B" w:rsidRDefault="0035517B" w:rsidP="00260847">
          <w:pPr>
            <w:pStyle w:val="NoSpacing"/>
            <w:spacing w:before="120" w:after="120"/>
            <w:rPr>
              <w:rFonts w:ascii="Arial" w:hAnsi="Arial" w:cs="Arial"/>
              <w:bCs/>
              <w:sz w:val="28"/>
            </w:rPr>
          </w:pPr>
        </w:p>
        <w:p w14:paraId="7E857944"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0A116034" wp14:editId="57A4670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618A34E4" w14:textId="77777777" w:rsidR="0035517B" w:rsidRDefault="0035517B" w:rsidP="00260847">
          <w:pPr>
            <w:pStyle w:val="NoSpacing"/>
            <w:spacing w:before="120" w:after="120"/>
            <w:rPr>
              <w:rFonts w:ascii="Arial" w:hAnsi="Arial" w:cs="Arial"/>
              <w:bCs/>
              <w:sz w:val="28"/>
            </w:rPr>
          </w:pPr>
        </w:p>
        <w:p w14:paraId="0E1BED2B" w14:textId="77777777" w:rsidR="0035517B" w:rsidRDefault="0035517B" w:rsidP="00260847">
          <w:pPr>
            <w:pStyle w:val="NoSpacing"/>
            <w:spacing w:before="120" w:after="120"/>
            <w:rPr>
              <w:rFonts w:ascii="Arial" w:hAnsi="Arial" w:cs="Arial"/>
              <w:bCs/>
              <w:sz w:val="28"/>
            </w:rPr>
          </w:pPr>
        </w:p>
        <w:p w14:paraId="60663208" w14:textId="77777777" w:rsidR="0035517B" w:rsidRDefault="0035517B" w:rsidP="00260847">
          <w:pPr>
            <w:pStyle w:val="NoSpacing"/>
            <w:spacing w:before="120" w:after="120"/>
            <w:rPr>
              <w:rFonts w:ascii="Arial" w:hAnsi="Arial" w:cs="Arial"/>
              <w:bCs/>
              <w:sz w:val="28"/>
            </w:rPr>
          </w:pPr>
        </w:p>
        <w:p w14:paraId="4B9A4B93" w14:textId="77777777" w:rsidR="0035517B" w:rsidRDefault="0035517B" w:rsidP="00260847">
          <w:pPr>
            <w:pStyle w:val="NoSpacing"/>
            <w:spacing w:before="120" w:after="120"/>
            <w:rPr>
              <w:rFonts w:ascii="Arial" w:hAnsi="Arial" w:cs="Arial"/>
              <w:bCs/>
              <w:sz w:val="28"/>
            </w:rPr>
          </w:pPr>
        </w:p>
        <w:p w14:paraId="79522B1A" w14:textId="77777777" w:rsidR="0035517B" w:rsidRDefault="0035517B" w:rsidP="00260847">
          <w:pPr>
            <w:pStyle w:val="NoSpacing"/>
            <w:spacing w:before="120" w:after="120"/>
            <w:rPr>
              <w:rFonts w:ascii="Arial" w:hAnsi="Arial" w:cs="Arial"/>
              <w:bCs/>
              <w:sz w:val="28"/>
            </w:rPr>
          </w:pPr>
        </w:p>
        <w:p w14:paraId="604C8971" w14:textId="77777777" w:rsidR="0035517B" w:rsidRDefault="0035517B" w:rsidP="00260847">
          <w:pPr>
            <w:pStyle w:val="NoSpacing"/>
            <w:spacing w:before="120" w:after="120"/>
            <w:rPr>
              <w:rFonts w:ascii="Arial" w:hAnsi="Arial" w:cs="Arial"/>
              <w:bCs/>
              <w:sz w:val="28"/>
            </w:rPr>
          </w:pPr>
        </w:p>
        <w:p w14:paraId="73419DC6" w14:textId="71884B72" w:rsidR="0035517B" w:rsidRPr="0035517B" w:rsidRDefault="001D678F" w:rsidP="0035517B">
          <w:pPr>
            <w:pStyle w:val="Title"/>
          </w:pPr>
          <w:r>
            <w:t>Queensland Non-State Schools Accreditation Framework Review</w:t>
          </w:r>
        </w:p>
        <w:p w14:paraId="374E9A15" w14:textId="3EABA11E" w:rsidR="00260847" w:rsidRPr="006C0490" w:rsidRDefault="00260847" w:rsidP="006C0490">
          <w:pPr>
            <w:rPr>
              <w:color w:val="004270"/>
              <w:sz w:val="36"/>
              <w:szCs w:val="36"/>
            </w:rPr>
          </w:pPr>
          <w:bookmarkStart w:id="0" w:name="_Toc132125993"/>
          <w:bookmarkStart w:id="1" w:name="_Toc132142446"/>
          <w:bookmarkStart w:id="2" w:name="_Toc132187083"/>
          <w:r w:rsidRPr="006C0490">
            <w:rPr>
              <w:color w:val="004270"/>
              <w:sz w:val="36"/>
              <w:szCs w:val="36"/>
            </w:rPr>
            <w:t xml:space="preserve">Submission to </w:t>
          </w:r>
          <w:bookmarkEnd w:id="0"/>
          <w:bookmarkEnd w:id="1"/>
          <w:bookmarkEnd w:id="2"/>
          <w:r w:rsidR="001D678F">
            <w:rPr>
              <w:color w:val="004270"/>
              <w:sz w:val="36"/>
              <w:szCs w:val="36"/>
            </w:rPr>
            <w:t>Independent Reviewer</w:t>
          </w:r>
          <w:r w:rsidR="006C0490">
            <w:rPr>
              <w:color w:val="004270"/>
              <w:sz w:val="36"/>
              <w:szCs w:val="36"/>
            </w:rPr>
            <w:br/>
          </w:r>
        </w:p>
        <w:p w14:paraId="5D79F9DC" w14:textId="4BBCD5B4" w:rsidR="00260847" w:rsidRPr="006C0490" w:rsidRDefault="00D24B4E" w:rsidP="006C0490">
          <w:pPr>
            <w:rPr>
              <w:color w:val="004270"/>
              <w:sz w:val="28"/>
              <w:szCs w:val="28"/>
            </w:rPr>
          </w:pPr>
          <w:r w:rsidRPr="007B3BFF">
            <w:rPr>
              <w:color w:val="004270"/>
              <w:sz w:val="28"/>
              <w:szCs w:val="28"/>
            </w:rPr>
            <w:t>22 May 2023</w:t>
          </w:r>
        </w:p>
        <w:p w14:paraId="2B734BC8" w14:textId="77777777" w:rsidR="00260847" w:rsidRDefault="00260847">
          <w:pPr>
            <w:rPr>
              <w:rFonts w:cs="Arial"/>
              <w:bCs/>
              <w:sz w:val="28"/>
              <w:szCs w:val="22"/>
              <w:lang w:val="en-US"/>
            </w:rPr>
          </w:pPr>
          <w:r>
            <w:rPr>
              <w:rFonts w:cs="Arial"/>
              <w:bCs/>
              <w:sz w:val="28"/>
            </w:rPr>
            <w:br w:type="page"/>
          </w:r>
        </w:p>
        <w:p w14:paraId="012F0FDA" w14:textId="77777777" w:rsidR="004A2375" w:rsidRDefault="004A2375" w:rsidP="00260847">
          <w:pPr>
            <w:pStyle w:val="NoSpacing"/>
            <w:spacing w:before="120" w:after="120"/>
          </w:pPr>
        </w:p>
        <w:p w14:paraId="057FC9A8" w14:textId="77777777" w:rsidR="00A16356" w:rsidRPr="004A2375" w:rsidRDefault="00DB2F8B">
          <w:pPr>
            <w:rPr>
              <w:rFonts w:eastAsiaTheme="majorEastAsia" w:cstheme="majorBidi"/>
              <w:b/>
              <w:color w:val="365F91" w:themeColor="accent1" w:themeShade="BF"/>
              <w:sz w:val="16"/>
              <w:szCs w:val="16"/>
            </w:rPr>
          </w:pPr>
        </w:p>
      </w:sdtContent>
    </w:sdt>
    <w:bookmarkStart w:id="3" w:name="_Toc135637826" w:displacedByCustomXml="next"/>
    <w:bookmarkStart w:id="4" w:name="_Toc132204342" w:displacedByCustomXml="next"/>
    <w:bookmarkStart w:id="5" w:name="_Toc132142448" w:displacedByCustomXml="next"/>
    <w:bookmarkStart w:id="6" w:name="_Toc132125995" w:displacedByCustomXml="next"/>
    <w:bookmarkStart w:id="7" w:name="_Toc132187085"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4C7D1F08" w14:textId="77777777" w:rsidR="007B3BFF" w:rsidRDefault="00260847" w:rsidP="00C82CAE">
          <w:pPr>
            <w:pStyle w:val="Heading1"/>
            <w:rPr>
              <w:noProof/>
            </w:rPr>
          </w:pPr>
          <w:r w:rsidRPr="006C0490">
            <w:t>Table of c</w:t>
          </w:r>
          <w:r w:rsidR="00A16356" w:rsidRPr="006C0490">
            <w:t>ontent</w:t>
          </w:r>
          <w:r w:rsidR="00A16356" w:rsidRPr="00A16356">
            <w:t>s</w:t>
          </w:r>
          <w:bookmarkEnd w:id="7"/>
          <w:bookmarkEnd w:id="6"/>
          <w:bookmarkEnd w:id="5"/>
          <w:bookmarkEnd w:id="4"/>
          <w:bookmarkEnd w:id="3"/>
          <w:r w:rsidR="00A16356" w:rsidRPr="00041E58">
            <w:rPr>
              <w:rFonts w:cs="Arial"/>
              <w:b/>
              <w:bCs/>
              <w:noProof/>
            </w:rPr>
            <w:fldChar w:fldCharType="begin"/>
          </w:r>
          <w:r w:rsidR="00A16356" w:rsidRPr="00041E58">
            <w:rPr>
              <w:rFonts w:cs="Arial"/>
              <w:b/>
              <w:bCs/>
              <w:noProof/>
            </w:rPr>
            <w:instrText xml:space="preserve"> TOC \o "1-3" \h \z \u </w:instrText>
          </w:r>
          <w:r w:rsidR="00A16356" w:rsidRPr="00041E58">
            <w:rPr>
              <w:rFonts w:cs="Arial"/>
              <w:b/>
              <w:bCs/>
              <w:noProof/>
            </w:rPr>
            <w:fldChar w:fldCharType="separate"/>
          </w:r>
        </w:p>
        <w:p w14:paraId="771C439B" w14:textId="65396BF1" w:rsidR="007B3BFF" w:rsidRDefault="007B3BFF">
          <w:pPr>
            <w:pStyle w:val="TOC1"/>
            <w:tabs>
              <w:tab w:val="right" w:leader="dot" w:pos="8296"/>
            </w:tabs>
            <w:rPr>
              <w:rFonts w:asciiTheme="minorHAnsi" w:hAnsiTheme="minorHAnsi"/>
              <w:noProof/>
              <w:color w:val="auto"/>
              <w:szCs w:val="22"/>
              <w:lang w:eastAsia="en-AU"/>
            </w:rPr>
          </w:pPr>
          <w:hyperlink w:anchor="_Toc135637826" w:history="1">
            <w:r w:rsidRPr="000567B1">
              <w:rPr>
                <w:rStyle w:val="Hyperlink"/>
                <w:noProof/>
              </w:rPr>
              <w:t>Table of contents</w:t>
            </w:r>
            <w:r>
              <w:rPr>
                <w:noProof/>
                <w:webHidden/>
              </w:rPr>
              <w:tab/>
            </w:r>
            <w:r>
              <w:rPr>
                <w:noProof/>
                <w:webHidden/>
              </w:rPr>
              <w:fldChar w:fldCharType="begin"/>
            </w:r>
            <w:r>
              <w:rPr>
                <w:noProof/>
                <w:webHidden/>
              </w:rPr>
              <w:instrText xml:space="preserve"> PAGEREF _Toc135637826 \h </w:instrText>
            </w:r>
            <w:r>
              <w:rPr>
                <w:noProof/>
                <w:webHidden/>
              </w:rPr>
            </w:r>
            <w:r>
              <w:rPr>
                <w:noProof/>
                <w:webHidden/>
              </w:rPr>
              <w:fldChar w:fldCharType="separate"/>
            </w:r>
            <w:r>
              <w:rPr>
                <w:noProof/>
                <w:webHidden/>
              </w:rPr>
              <w:t>1</w:t>
            </w:r>
            <w:r>
              <w:rPr>
                <w:noProof/>
                <w:webHidden/>
              </w:rPr>
              <w:fldChar w:fldCharType="end"/>
            </w:r>
          </w:hyperlink>
        </w:p>
        <w:p w14:paraId="125A7903" w14:textId="3F2AA311" w:rsidR="007B3BFF" w:rsidRDefault="007B3BFF">
          <w:pPr>
            <w:pStyle w:val="TOC1"/>
            <w:tabs>
              <w:tab w:val="right" w:leader="dot" w:pos="8296"/>
            </w:tabs>
            <w:rPr>
              <w:rFonts w:asciiTheme="minorHAnsi" w:hAnsiTheme="minorHAnsi"/>
              <w:noProof/>
              <w:color w:val="auto"/>
              <w:szCs w:val="22"/>
              <w:lang w:eastAsia="en-AU"/>
            </w:rPr>
          </w:pPr>
          <w:hyperlink w:anchor="_Toc135637827" w:history="1">
            <w:r w:rsidRPr="000567B1">
              <w:rPr>
                <w:rStyle w:val="Hyperlink"/>
                <w:noProof/>
              </w:rPr>
              <w:t>Summary</w:t>
            </w:r>
            <w:r>
              <w:rPr>
                <w:noProof/>
                <w:webHidden/>
              </w:rPr>
              <w:tab/>
            </w:r>
            <w:r>
              <w:rPr>
                <w:noProof/>
                <w:webHidden/>
              </w:rPr>
              <w:fldChar w:fldCharType="begin"/>
            </w:r>
            <w:r>
              <w:rPr>
                <w:noProof/>
                <w:webHidden/>
              </w:rPr>
              <w:instrText xml:space="preserve"> PAGEREF _Toc135637827 \h </w:instrText>
            </w:r>
            <w:r>
              <w:rPr>
                <w:noProof/>
                <w:webHidden/>
              </w:rPr>
            </w:r>
            <w:r>
              <w:rPr>
                <w:noProof/>
                <w:webHidden/>
              </w:rPr>
              <w:fldChar w:fldCharType="separate"/>
            </w:r>
            <w:r>
              <w:rPr>
                <w:noProof/>
                <w:webHidden/>
              </w:rPr>
              <w:t>2</w:t>
            </w:r>
            <w:r>
              <w:rPr>
                <w:noProof/>
                <w:webHidden/>
              </w:rPr>
              <w:fldChar w:fldCharType="end"/>
            </w:r>
          </w:hyperlink>
        </w:p>
        <w:p w14:paraId="33E12A8D" w14:textId="5D044F11" w:rsidR="007B3BFF" w:rsidRDefault="007B3BFF">
          <w:pPr>
            <w:pStyle w:val="TOC1"/>
            <w:tabs>
              <w:tab w:val="right" w:leader="dot" w:pos="8296"/>
            </w:tabs>
            <w:rPr>
              <w:rFonts w:asciiTheme="minorHAnsi" w:hAnsiTheme="minorHAnsi"/>
              <w:noProof/>
              <w:color w:val="auto"/>
              <w:szCs w:val="22"/>
              <w:lang w:eastAsia="en-AU"/>
            </w:rPr>
          </w:pPr>
          <w:hyperlink w:anchor="_Toc135637828" w:history="1">
            <w:r w:rsidRPr="000567B1">
              <w:rPr>
                <w:rStyle w:val="Hyperlink"/>
                <w:noProof/>
              </w:rPr>
              <w:t>Introduction</w:t>
            </w:r>
            <w:r>
              <w:rPr>
                <w:noProof/>
                <w:webHidden/>
              </w:rPr>
              <w:tab/>
            </w:r>
            <w:r>
              <w:rPr>
                <w:noProof/>
                <w:webHidden/>
              </w:rPr>
              <w:fldChar w:fldCharType="begin"/>
            </w:r>
            <w:r>
              <w:rPr>
                <w:noProof/>
                <w:webHidden/>
              </w:rPr>
              <w:instrText xml:space="preserve"> PAGEREF _Toc135637828 \h </w:instrText>
            </w:r>
            <w:r>
              <w:rPr>
                <w:noProof/>
                <w:webHidden/>
              </w:rPr>
            </w:r>
            <w:r>
              <w:rPr>
                <w:noProof/>
                <w:webHidden/>
              </w:rPr>
              <w:fldChar w:fldCharType="separate"/>
            </w:r>
            <w:r>
              <w:rPr>
                <w:noProof/>
                <w:webHidden/>
              </w:rPr>
              <w:t>3</w:t>
            </w:r>
            <w:r>
              <w:rPr>
                <w:noProof/>
                <w:webHidden/>
              </w:rPr>
              <w:fldChar w:fldCharType="end"/>
            </w:r>
          </w:hyperlink>
        </w:p>
        <w:p w14:paraId="602A417B" w14:textId="359C6828" w:rsidR="007B3BFF" w:rsidRDefault="007B3BFF">
          <w:pPr>
            <w:pStyle w:val="TOC1"/>
            <w:tabs>
              <w:tab w:val="right" w:leader="dot" w:pos="8296"/>
            </w:tabs>
            <w:rPr>
              <w:rFonts w:asciiTheme="minorHAnsi" w:hAnsiTheme="minorHAnsi"/>
              <w:noProof/>
              <w:color w:val="auto"/>
              <w:szCs w:val="22"/>
              <w:lang w:eastAsia="en-AU"/>
            </w:rPr>
          </w:pPr>
          <w:hyperlink w:anchor="_Toc135637829" w:history="1">
            <w:r w:rsidRPr="000567B1">
              <w:rPr>
                <w:rStyle w:val="Hyperlink"/>
                <w:noProof/>
              </w:rPr>
              <w:t>Community expectations of schools</w:t>
            </w:r>
            <w:r>
              <w:rPr>
                <w:noProof/>
                <w:webHidden/>
              </w:rPr>
              <w:tab/>
            </w:r>
            <w:r>
              <w:rPr>
                <w:noProof/>
                <w:webHidden/>
              </w:rPr>
              <w:fldChar w:fldCharType="begin"/>
            </w:r>
            <w:r>
              <w:rPr>
                <w:noProof/>
                <w:webHidden/>
              </w:rPr>
              <w:instrText xml:space="preserve"> PAGEREF _Toc135637829 \h </w:instrText>
            </w:r>
            <w:r>
              <w:rPr>
                <w:noProof/>
                <w:webHidden/>
              </w:rPr>
            </w:r>
            <w:r>
              <w:rPr>
                <w:noProof/>
                <w:webHidden/>
              </w:rPr>
              <w:fldChar w:fldCharType="separate"/>
            </w:r>
            <w:r>
              <w:rPr>
                <w:noProof/>
                <w:webHidden/>
              </w:rPr>
              <w:t>3</w:t>
            </w:r>
            <w:r>
              <w:rPr>
                <w:noProof/>
                <w:webHidden/>
              </w:rPr>
              <w:fldChar w:fldCharType="end"/>
            </w:r>
          </w:hyperlink>
        </w:p>
        <w:p w14:paraId="501EF8DA" w14:textId="7256D140" w:rsidR="007B3BFF" w:rsidRDefault="007B3BFF">
          <w:pPr>
            <w:pStyle w:val="TOC2"/>
            <w:rPr>
              <w:rFonts w:asciiTheme="minorHAnsi" w:hAnsiTheme="minorHAnsi"/>
              <w:noProof/>
              <w:color w:val="auto"/>
              <w:szCs w:val="22"/>
              <w:lang w:eastAsia="en-AU"/>
            </w:rPr>
          </w:pPr>
          <w:hyperlink w:anchor="_Toc135637830" w:history="1">
            <w:r w:rsidRPr="000567B1">
              <w:rPr>
                <w:rStyle w:val="Hyperlink"/>
                <w:noProof/>
              </w:rPr>
              <w:t>The changing role of schools</w:t>
            </w:r>
            <w:r>
              <w:rPr>
                <w:noProof/>
                <w:webHidden/>
              </w:rPr>
              <w:tab/>
            </w:r>
            <w:r>
              <w:rPr>
                <w:noProof/>
                <w:webHidden/>
              </w:rPr>
              <w:fldChar w:fldCharType="begin"/>
            </w:r>
            <w:r>
              <w:rPr>
                <w:noProof/>
                <w:webHidden/>
              </w:rPr>
              <w:instrText xml:space="preserve"> PAGEREF _Toc135637830 \h </w:instrText>
            </w:r>
            <w:r>
              <w:rPr>
                <w:noProof/>
                <w:webHidden/>
              </w:rPr>
            </w:r>
            <w:r>
              <w:rPr>
                <w:noProof/>
                <w:webHidden/>
              </w:rPr>
              <w:fldChar w:fldCharType="separate"/>
            </w:r>
            <w:r>
              <w:rPr>
                <w:noProof/>
                <w:webHidden/>
              </w:rPr>
              <w:t>3</w:t>
            </w:r>
            <w:r>
              <w:rPr>
                <w:noProof/>
                <w:webHidden/>
              </w:rPr>
              <w:fldChar w:fldCharType="end"/>
            </w:r>
          </w:hyperlink>
        </w:p>
        <w:p w14:paraId="4F3DB5FC" w14:textId="21E15156" w:rsidR="007B3BFF" w:rsidRDefault="007B3BFF">
          <w:pPr>
            <w:pStyle w:val="TOC2"/>
            <w:rPr>
              <w:rFonts w:asciiTheme="minorHAnsi" w:hAnsiTheme="minorHAnsi"/>
              <w:noProof/>
              <w:color w:val="auto"/>
              <w:szCs w:val="22"/>
              <w:lang w:eastAsia="en-AU"/>
            </w:rPr>
          </w:pPr>
          <w:hyperlink w:anchor="_Toc135637831" w:history="1">
            <w:r w:rsidRPr="000567B1">
              <w:rPr>
                <w:rStyle w:val="Hyperlink"/>
                <w:noProof/>
              </w:rPr>
              <w:t>Human rights and schools</w:t>
            </w:r>
            <w:r>
              <w:rPr>
                <w:noProof/>
                <w:webHidden/>
              </w:rPr>
              <w:tab/>
            </w:r>
            <w:r>
              <w:rPr>
                <w:noProof/>
                <w:webHidden/>
              </w:rPr>
              <w:fldChar w:fldCharType="begin"/>
            </w:r>
            <w:r>
              <w:rPr>
                <w:noProof/>
                <w:webHidden/>
              </w:rPr>
              <w:instrText xml:space="preserve"> PAGEREF _Toc135637831 \h </w:instrText>
            </w:r>
            <w:r>
              <w:rPr>
                <w:noProof/>
                <w:webHidden/>
              </w:rPr>
            </w:r>
            <w:r>
              <w:rPr>
                <w:noProof/>
                <w:webHidden/>
              </w:rPr>
              <w:fldChar w:fldCharType="separate"/>
            </w:r>
            <w:r>
              <w:rPr>
                <w:noProof/>
                <w:webHidden/>
              </w:rPr>
              <w:t>5</w:t>
            </w:r>
            <w:r>
              <w:rPr>
                <w:noProof/>
                <w:webHidden/>
              </w:rPr>
              <w:fldChar w:fldCharType="end"/>
            </w:r>
          </w:hyperlink>
        </w:p>
        <w:p w14:paraId="0D7B68E1" w14:textId="45C726DE" w:rsidR="007B3BFF" w:rsidRDefault="007B3BFF">
          <w:pPr>
            <w:pStyle w:val="TOC2"/>
            <w:rPr>
              <w:rFonts w:asciiTheme="minorHAnsi" w:hAnsiTheme="minorHAnsi"/>
              <w:noProof/>
              <w:color w:val="auto"/>
              <w:szCs w:val="22"/>
              <w:lang w:eastAsia="en-AU"/>
            </w:rPr>
          </w:pPr>
          <w:hyperlink w:anchor="_Toc135637832" w:history="1">
            <w:r w:rsidRPr="000567B1">
              <w:rPr>
                <w:rStyle w:val="Hyperlink"/>
                <w:noProof/>
              </w:rPr>
              <w:t>Student and school community participation in an accreditation framework</w:t>
            </w:r>
            <w:r>
              <w:rPr>
                <w:noProof/>
                <w:webHidden/>
              </w:rPr>
              <w:tab/>
            </w:r>
            <w:r>
              <w:rPr>
                <w:noProof/>
                <w:webHidden/>
              </w:rPr>
              <w:fldChar w:fldCharType="begin"/>
            </w:r>
            <w:r>
              <w:rPr>
                <w:noProof/>
                <w:webHidden/>
              </w:rPr>
              <w:instrText xml:space="preserve"> PAGEREF _Toc135637832 \h </w:instrText>
            </w:r>
            <w:r>
              <w:rPr>
                <w:noProof/>
                <w:webHidden/>
              </w:rPr>
            </w:r>
            <w:r>
              <w:rPr>
                <w:noProof/>
                <w:webHidden/>
              </w:rPr>
              <w:fldChar w:fldCharType="separate"/>
            </w:r>
            <w:r>
              <w:rPr>
                <w:noProof/>
                <w:webHidden/>
              </w:rPr>
              <w:t>6</w:t>
            </w:r>
            <w:r>
              <w:rPr>
                <w:noProof/>
                <w:webHidden/>
              </w:rPr>
              <w:fldChar w:fldCharType="end"/>
            </w:r>
          </w:hyperlink>
        </w:p>
        <w:p w14:paraId="52733B88" w14:textId="5657C832" w:rsidR="007B3BFF" w:rsidRDefault="007B3BFF">
          <w:pPr>
            <w:pStyle w:val="TOC1"/>
            <w:tabs>
              <w:tab w:val="right" w:leader="dot" w:pos="8296"/>
            </w:tabs>
            <w:rPr>
              <w:rFonts w:asciiTheme="minorHAnsi" w:hAnsiTheme="minorHAnsi"/>
              <w:noProof/>
              <w:color w:val="auto"/>
              <w:szCs w:val="22"/>
              <w:lang w:eastAsia="en-AU"/>
            </w:rPr>
          </w:pPr>
          <w:hyperlink w:anchor="_Toc135637833" w:history="1">
            <w:r w:rsidRPr="000567B1">
              <w:rPr>
                <w:rStyle w:val="Hyperlink"/>
                <w:noProof/>
              </w:rPr>
              <w:t>Protecting students, promoting wellbeing</w:t>
            </w:r>
            <w:r>
              <w:rPr>
                <w:noProof/>
                <w:webHidden/>
              </w:rPr>
              <w:tab/>
            </w:r>
            <w:r>
              <w:rPr>
                <w:noProof/>
                <w:webHidden/>
              </w:rPr>
              <w:fldChar w:fldCharType="begin"/>
            </w:r>
            <w:r>
              <w:rPr>
                <w:noProof/>
                <w:webHidden/>
              </w:rPr>
              <w:instrText xml:space="preserve"> PAGEREF _Toc135637833 \h </w:instrText>
            </w:r>
            <w:r>
              <w:rPr>
                <w:noProof/>
                <w:webHidden/>
              </w:rPr>
            </w:r>
            <w:r>
              <w:rPr>
                <w:noProof/>
                <w:webHidden/>
              </w:rPr>
              <w:fldChar w:fldCharType="separate"/>
            </w:r>
            <w:r>
              <w:rPr>
                <w:noProof/>
                <w:webHidden/>
              </w:rPr>
              <w:t>8</w:t>
            </w:r>
            <w:r>
              <w:rPr>
                <w:noProof/>
                <w:webHidden/>
              </w:rPr>
              <w:fldChar w:fldCharType="end"/>
            </w:r>
          </w:hyperlink>
        </w:p>
        <w:p w14:paraId="29BFA84C" w14:textId="19FCE471" w:rsidR="007B3BFF" w:rsidRDefault="007B3BFF">
          <w:pPr>
            <w:pStyle w:val="TOC2"/>
            <w:rPr>
              <w:rFonts w:asciiTheme="minorHAnsi" w:hAnsiTheme="minorHAnsi"/>
              <w:noProof/>
              <w:color w:val="auto"/>
              <w:szCs w:val="22"/>
              <w:lang w:eastAsia="en-AU"/>
            </w:rPr>
          </w:pPr>
          <w:hyperlink w:anchor="_Toc135637834" w:history="1">
            <w:r w:rsidRPr="000567B1">
              <w:rPr>
                <w:rStyle w:val="Hyperlink"/>
                <w:noProof/>
              </w:rPr>
              <w:t>Equity and inclusion</w:t>
            </w:r>
            <w:r>
              <w:rPr>
                <w:noProof/>
                <w:webHidden/>
              </w:rPr>
              <w:tab/>
            </w:r>
            <w:r>
              <w:rPr>
                <w:noProof/>
                <w:webHidden/>
              </w:rPr>
              <w:fldChar w:fldCharType="begin"/>
            </w:r>
            <w:r>
              <w:rPr>
                <w:noProof/>
                <w:webHidden/>
              </w:rPr>
              <w:instrText xml:space="preserve"> PAGEREF _Toc135637834 \h </w:instrText>
            </w:r>
            <w:r>
              <w:rPr>
                <w:noProof/>
                <w:webHidden/>
              </w:rPr>
            </w:r>
            <w:r>
              <w:rPr>
                <w:noProof/>
                <w:webHidden/>
              </w:rPr>
              <w:fldChar w:fldCharType="separate"/>
            </w:r>
            <w:r>
              <w:rPr>
                <w:noProof/>
                <w:webHidden/>
              </w:rPr>
              <w:t>8</w:t>
            </w:r>
            <w:r>
              <w:rPr>
                <w:noProof/>
                <w:webHidden/>
              </w:rPr>
              <w:fldChar w:fldCharType="end"/>
            </w:r>
          </w:hyperlink>
        </w:p>
        <w:p w14:paraId="38A847EC" w14:textId="428F1B9E" w:rsidR="007B3BFF" w:rsidRDefault="007B3BFF">
          <w:pPr>
            <w:pStyle w:val="TOC2"/>
            <w:rPr>
              <w:rFonts w:asciiTheme="minorHAnsi" w:hAnsiTheme="minorHAnsi"/>
              <w:noProof/>
              <w:color w:val="auto"/>
              <w:szCs w:val="22"/>
              <w:lang w:eastAsia="en-AU"/>
            </w:rPr>
          </w:pPr>
          <w:hyperlink w:anchor="_Toc135637835" w:history="1">
            <w:r w:rsidRPr="000567B1">
              <w:rPr>
                <w:rStyle w:val="Hyperlink"/>
                <w:noProof/>
              </w:rPr>
              <w:t>Health and wellbeing</w:t>
            </w:r>
            <w:r>
              <w:rPr>
                <w:noProof/>
                <w:webHidden/>
              </w:rPr>
              <w:tab/>
            </w:r>
            <w:r>
              <w:rPr>
                <w:noProof/>
                <w:webHidden/>
              </w:rPr>
              <w:fldChar w:fldCharType="begin"/>
            </w:r>
            <w:r>
              <w:rPr>
                <w:noProof/>
                <w:webHidden/>
              </w:rPr>
              <w:instrText xml:space="preserve"> PAGEREF _Toc135637835 \h </w:instrText>
            </w:r>
            <w:r>
              <w:rPr>
                <w:noProof/>
                <w:webHidden/>
              </w:rPr>
            </w:r>
            <w:r>
              <w:rPr>
                <w:noProof/>
                <w:webHidden/>
              </w:rPr>
              <w:fldChar w:fldCharType="separate"/>
            </w:r>
            <w:r>
              <w:rPr>
                <w:noProof/>
                <w:webHidden/>
              </w:rPr>
              <w:t>10</w:t>
            </w:r>
            <w:r>
              <w:rPr>
                <w:noProof/>
                <w:webHidden/>
              </w:rPr>
              <w:fldChar w:fldCharType="end"/>
            </w:r>
          </w:hyperlink>
        </w:p>
        <w:p w14:paraId="2ADBFA2F" w14:textId="4ABDE35B" w:rsidR="007B3BFF" w:rsidRDefault="007B3BFF">
          <w:pPr>
            <w:pStyle w:val="TOC1"/>
            <w:tabs>
              <w:tab w:val="right" w:leader="dot" w:pos="8296"/>
            </w:tabs>
            <w:rPr>
              <w:rFonts w:asciiTheme="minorHAnsi" w:hAnsiTheme="minorHAnsi"/>
              <w:noProof/>
              <w:color w:val="auto"/>
              <w:szCs w:val="22"/>
              <w:lang w:eastAsia="en-AU"/>
            </w:rPr>
          </w:pPr>
          <w:hyperlink w:anchor="_Toc135637836" w:history="1">
            <w:r w:rsidRPr="000567B1">
              <w:rPr>
                <w:rStyle w:val="Hyperlink"/>
                <w:noProof/>
              </w:rPr>
              <w:t>Setting the standards of education – Expectations of schools</w:t>
            </w:r>
            <w:r>
              <w:rPr>
                <w:noProof/>
                <w:webHidden/>
              </w:rPr>
              <w:tab/>
            </w:r>
            <w:r>
              <w:rPr>
                <w:noProof/>
                <w:webHidden/>
              </w:rPr>
              <w:fldChar w:fldCharType="begin"/>
            </w:r>
            <w:r>
              <w:rPr>
                <w:noProof/>
                <w:webHidden/>
              </w:rPr>
              <w:instrText xml:space="preserve"> PAGEREF _Toc135637836 \h </w:instrText>
            </w:r>
            <w:r>
              <w:rPr>
                <w:noProof/>
                <w:webHidden/>
              </w:rPr>
            </w:r>
            <w:r>
              <w:rPr>
                <w:noProof/>
                <w:webHidden/>
              </w:rPr>
              <w:fldChar w:fldCharType="separate"/>
            </w:r>
            <w:r>
              <w:rPr>
                <w:noProof/>
                <w:webHidden/>
              </w:rPr>
              <w:t>11</w:t>
            </w:r>
            <w:r>
              <w:rPr>
                <w:noProof/>
                <w:webHidden/>
              </w:rPr>
              <w:fldChar w:fldCharType="end"/>
            </w:r>
          </w:hyperlink>
        </w:p>
        <w:p w14:paraId="5419A18F" w14:textId="4AEA2D81" w:rsidR="007B3BFF" w:rsidRDefault="007B3BFF">
          <w:pPr>
            <w:pStyle w:val="TOC2"/>
            <w:rPr>
              <w:rFonts w:asciiTheme="minorHAnsi" w:hAnsiTheme="minorHAnsi"/>
              <w:noProof/>
              <w:color w:val="auto"/>
              <w:szCs w:val="22"/>
              <w:lang w:eastAsia="en-AU"/>
            </w:rPr>
          </w:pPr>
          <w:hyperlink w:anchor="_Toc135637837" w:history="1">
            <w:r w:rsidRPr="000567B1">
              <w:rPr>
                <w:rStyle w:val="Hyperlink"/>
                <w:noProof/>
              </w:rPr>
              <w:t>Underlying principles</w:t>
            </w:r>
            <w:r>
              <w:rPr>
                <w:noProof/>
                <w:webHidden/>
              </w:rPr>
              <w:tab/>
            </w:r>
            <w:r>
              <w:rPr>
                <w:noProof/>
                <w:webHidden/>
              </w:rPr>
              <w:fldChar w:fldCharType="begin"/>
            </w:r>
            <w:r>
              <w:rPr>
                <w:noProof/>
                <w:webHidden/>
              </w:rPr>
              <w:instrText xml:space="preserve"> PAGEREF _Toc135637837 \h </w:instrText>
            </w:r>
            <w:r>
              <w:rPr>
                <w:noProof/>
                <w:webHidden/>
              </w:rPr>
            </w:r>
            <w:r>
              <w:rPr>
                <w:noProof/>
                <w:webHidden/>
              </w:rPr>
              <w:fldChar w:fldCharType="separate"/>
            </w:r>
            <w:r>
              <w:rPr>
                <w:noProof/>
                <w:webHidden/>
              </w:rPr>
              <w:t>11</w:t>
            </w:r>
            <w:r>
              <w:rPr>
                <w:noProof/>
                <w:webHidden/>
              </w:rPr>
              <w:fldChar w:fldCharType="end"/>
            </w:r>
          </w:hyperlink>
        </w:p>
        <w:p w14:paraId="7657C589" w14:textId="7714F254" w:rsidR="007B3BFF" w:rsidRDefault="007B3BFF">
          <w:pPr>
            <w:pStyle w:val="TOC2"/>
            <w:rPr>
              <w:rFonts w:asciiTheme="minorHAnsi" w:hAnsiTheme="minorHAnsi"/>
              <w:noProof/>
              <w:color w:val="auto"/>
              <w:szCs w:val="22"/>
              <w:lang w:eastAsia="en-AU"/>
            </w:rPr>
          </w:pPr>
          <w:hyperlink w:anchor="_Toc135637838" w:history="1">
            <w:r w:rsidRPr="000567B1">
              <w:rPr>
                <w:rStyle w:val="Hyperlink"/>
                <w:noProof/>
              </w:rPr>
              <w:t>Human Rights Act compliance as a requirement of registration</w:t>
            </w:r>
            <w:r>
              <w:rPr>
                <w:noProof/>
                <w:webHidden/>
              </w:rPr>
              <w:tab/>
            </w:r>
            <w:r>
              <w:rPr>
                <w:noProof/>
                <w:webHidden/>
              </w:rPr>
              <w:fldChar w:fldCharType="begin"/>
            </w:r>
            <w:r>
              <w:rPr>
                <w:noProof/>
                <w:webHidden/>
              </w:rPr>
              <w:instrText xml:space="preserve"> PAGEREF _Toc135637838 \h </w:instrText>
            </w:r>
            <w:r>
              <w:rPr>
                <w:noProof/>
                <w:webHidden/>
              </w:rPr>
            </w:r>
            <w:r>
              <w:rPr>
                <w:noProof/>
                <w:webHidden/>
              </w:rPr>
              <w:fldChar w:fldCharType="separate"/>
            </w:r>
            <w:r>
              <w:rPr>
                <w:noProof/>
                <w:webHidden/>
              </w:rPr>
              <w:t>12</w:t>
            </w:r>
            <w:r>
              <w:rPr>
                <w:noProof/>
                <w:webHidden/>
              </w:rPr>
              <w:fldChar w:fldCharType="end"/>
            </w:r>
          </w:hyperlink>
        </w:p>
        <w:p w14:paraId="204209C3" w14:textId="0EE80162" w:rsidR="007B3BFF" w:rsidRDefault="007B3BFF">
          <w:pPr>
            <w:pStyle w:val="TOC2"/>
            <w:rPr>
              <w:rFonts w:asciiTheme="minorHAnsi" w:hAnsiTheme="minorHAnsi"/>
              <w:noProof/>
              <w:color w:val="auto"/>
              <w:szCs w:val="22"/>
              <w:lang w:eastAsia="en-AU"/>
            </w:rPr>
          </w:pPr>
          <w:hyperlink w:anchor="_Toc135637839" w:history="1">
            <w:r w:rsidRPr="000567B1">
              <w:rPr>
                <w:rStyle w:val="Hyperlink"/>
                <w:noProof/>
              </w:rPr>
              <w:t>Specific Charter of Rights</w:t>
            </w:r>
            <w:r>
              <w:rPr>
                <w:noProof/>
                <w:webHidden/>
              </w:rPr>
              <w:tab/>
            </w:r>
            <w:r>
              <w:rPr>
                <w:noProof/>
                <w:webHidden/>
              </w:rPr>
              <w:fldChar w:fldCharType="begin"/>
            </w:r>
            <w:r>
              <w:rPr>
                <w:noProof/>
                <w:webHidden/>
              </w:rPr>
              <w:instrText xml:space="preserve"> PAGEREF _Toc135637839 \h </w:instrText>
            </w:r>
            <w:r>
              <w:rPr>
                <w:noProof/>
                <w:webHidden/>
              </w:rPr>
            </w:r>
            <w:r>
              <w:rPr>
                <w:noProof/>
                <w:webHidden/>
              </w:rPr>
              <w:fldChar w:fldCharType="separate"/>
            </w:r>
            <w:r>
              <w:rPr>
                <w:noProof/>
                <w:webHidden/>
              </w:rPr>
              <w:t>13</w:t>
            </w:r>
            <w:r>
              <w:rPr>
                <w:noProof/>
                <w:webHidden/>
              </w:rPr>
              <w:fldChar w:fldCharType="end"/>
            </w:r>
          </w:hyperlink>
        </w:p>
        <w:p w14:paraId="207D5462" w14:textId="0030C2C6" w:rsidR="007B3BFF" w:rsidRDefault="007B3BFF">
          <w:pPr>
            <w:pStyle w:val="TOC1"/>
            <w:tabs>
              <w:tab w:val="right" w:leader="dot" w:pos="8296"/>
            </w:tabs>
            <w:rPr>
              <w:rFonts w:asciiTheme="minorHAnsi" w:hAnsiTheme="minorHAnsi"/>
              <w:noProof/>
              <w:color w:val="auto"/>
              <w:szCs w:val="22"/>
              <w:lang w:eastAsia="en-AU"/>
            </w:rPr>
          </w:pPr>
          <w:hyperlink w:anchor="_Toc135637840" w:history="1">
            <w:r w:rsidRPr="000567B1">
              <w:rPr>
                <w:rStyle w:val="Hyperlink"/>
                <w:noProof/>
              </w:rPr>
              <w:t>Maintaining standards through monitoring and compliance</w:t>
            </w:r>
            <w:r>
              <w:rPr>
                <w:noProof/>
                <w:webHidden/>
              </w:rPr>
              <w:tab/>
            </w:r>
            <w:r>
              <w:rPr>
                <w:noProof/>
                <w:webHidden/>
              </w:rPr>
              <w:fldChar w:fldCharType="begin"/>
            </w:r>
            <w:r>
              <w:rPr>
                <w:noProof/>
                <w:webHidden/>
              </w:rPr>
              <w:instrText xml:space="preserve"> PAGEREF _Toc135637840 \h </w:instrText>
            </w:r>
            <w:r>
              <w:rPr>
                <w:noProof/>
                <w:webHidden/>
              </w:rPr>
            </w:r>
            <w:r>
              <w:rPr>
                <w:noProof/>
                <w:webHidden/>
              </w:rPr>
              <w:fldChar w:fldCharType="separate"/>
            </w:r>
            <w:r>
              <w:rPr>
                <w:noProof/>
                <w:webHidden/>
              </w:rPr>
              <w:t>13</w:t>
            </w:r>
            <w:r>
              <w:rPr>
                <w:noProof/>
                <w:webHidden/>
              </w:rPr>
              <w:fldChar w:fldCharType="end"/>
            </w:r>
          </w:hyperlink>
        </w:p>
        <w:p w14:paraId="031B0594" w14:textId="7270B69D" w:rsidR="007B3BFF" w:rsidRDefault="007B3BFF">
          <w:pPr>
            <w:pStyle w:val="TOC2"/>
            <w:rPr>
              <w:rFonts w:asciiTheme="minorHAnsi" w:hAnsiTheme="minorHAnsi"/>
              <w:noProof/>
              <w:color w:val="auto"/>
              <w:szCs w:val="22"/>
              <w:lang w:eastAsia="en-AU"/>
            </w:rPr>
          </w:pPr>
          <w:hyperlink w:anchor="_Toc135637841" w:history="1">
            <w:r w:rsidRPr="000567B1">
              <w:rPr>
                <w:rStyle w:val="Hyperlink"/>
                <w:noProof/>
              </w:rPr>
              <w:t>Information and education</w:t>
            </w:r>
            <w:r>
              <w:rPr>
                <w:noProof/>
                <w:webHidden/>
              </w:rPr>
              <w:tab/>
            </w:r>
            <w:r>
              <w:rPr>
                <w:noProof/>
                <w:webHidden/>
              </w:rPr>
              <w:fldChar w:fldCharType="begin"/>
            </w:r>
            <w:r>
              <w:rPr>
                <w:noProof/>
                <w:webHidden/>
              </w:rPr>
              <w:instrText xml:space="preserve"> PAGEREF _Toc135637841 \h </w:instrText>
            </w:r>
            <w:r>
              <w:rPr>
                <w:noProof/>
                <w:webHidden/>
              </w:rPr>
            </w:r>
            <w:r>
              <w:rPr>
                <w:noProof/>
                <w:webHidden/>
              </w:rPr>
              <w:fldChar w:fldCharType="separate"/>
            </w:r>
            <w:r>
              <w:rPr>
                <w:noProof/>
                <w:webHidden/>
              </w:rPr>
              <w:t>13</w:t>
            </w:r>
            <w:r>
              <w:rPr>
                <w:noProof/>
                <w:webHidden/>
              </w:rPr>
              <w:fldChar w:fldCharType="end"/>
            </w:r>
          </w:hyperlink>
        </w:p>
        <w:p w14:paraId="3EB1A74D" w14:textId="328F82DD" w:rsidR="007B3BFF" w:rsidRDefault="007B3BFF">
          <w:pPr>
            <w:pStyle w:val="TOC2"/>
            <w:rPr>
              <w:rFonts w:asciiTheme="minorHAnsi" w:hAnsiTheme="minorHAnsi"/>
              <w:noProof/>
              <w:color w:val="auto"/>
              <w:szCs w:val="22"/>
              <w:lang w:eastAsia="en-AU"/>
            </w:rPr>
          </w:pPr>
          <w:hyperlink w:anchor="_Toc135637842" w:history="1">
            <w:r w:rsidRPr="000567B1">
              <w:rPr>
                <w:rStyle w:val="Hyperlink"/>
                <w:noProof/>
              </w:rPr>
              <w:t>Complaints processes</w:t>
            </w:r>
            <w:r>
              <w:rPr>
                <w:noProof/>
                <w:webHidden/>
              </w:rPr>
              <w:tab/>
            </w:r>
            <w:r>
              <w:rPr>
                <w:noProof/>
                <w:webHidden/>
              </w:rPr>
              <w:fldChar w:fldCharType="begin"/>
            </w:r>
            <w:r>
              <w:rPr>
                <w:noProof/>
                <w:webHidden/>
              </w:rPr>
              <w:instrText xml:space="preserve"> PAGEREF _Toc135637842 \h </w:instrText>
            </w:r>
            <w:r>
              <w:rPr>
                <w:noProof/>
                <w:webHidden/>
              </w:rPr>
            </w:r>
            <w:r>
              <w:rPr>
                <w:noProof/>
                <w:webHidden/>
              </w:rPr>
              <w:fldChar w:fldCharType="separate"/>
            </w:r>
            <w:r>
              <w:rPr>
                <w:noProof/>
                <w:webHidden/>
              </w:rPr>
              <w:t>14</w:t>
            </w:r>
            <w:r>
              <w:rPr>
                <w:noProof/>
                <w:webHidden/>
              </w:rPr>
              <w:fldChar w:fldCharType="end"/>
            </w:r>
          </w:hyperlink>
        </w:p>
        <w:p w14:paraId="406C1914" w14:textId="4E61F675" w:rsidR="007B3BFF" w:rsidRDefault="007B3BFF">
          <w:pPr>
            <w:pStyle w:val="TOC2"/>
            <w:rPr>
              <w:rFonts w:asciiTheme="minorHAnsi" w:hAnsiTheme="minorHAnsi"/>
              <w:noProof/>
              <w:color w:val="auto"/>
              <w:szCs w:val="22"/>
              <w:lang w:eastAsia="en-AU"/>
            </w:rPr>
          </w:pPr>
          <w:hyperlink w:anchor="_Toc135637843" w:history="1">
            <w:r w:rsidRPr="000567B1">
              <w:rPr>
                <w:rStyle w:val="Hyperlink"/>
                <w:noProof/>
              </w:rPr>
              <w:t>Accountability and transparency</w:t>
            </w:r>
            <w:r>
              <w:rPr>
                <w:noProof/>
                <w:webHidden/>
              </w:rPr>
              <w:tab/>
            </w:r>
            <w:r>
              <w:rPr>
                <w:noProof/>
                <w:webHidden/>
              </w:rPr>
              <w:fldChar w:fldCharType="begin"/>
            </w:r>
            <w:r>
              <w:rPr>
                <w:noProof/>
                <w:webHidden/>
              </w:rPr>
              <w:instrText xml:space="preserve"> PAGEREF _Toc135637843 \h </w:instrText>
            </w:r>
            <w:r>
              <w:rPr>
                <w:noProof/>
                <w:webHidden/>
              </w:rPr>
            </w:r>
            <w:r>
              <w:rPr>
                <w:noProof/>
                <w:webHidden/>
              </w:rPr>
              <w:fldChar w:fldCharType="separate"/>
            </w:r>
            <w:r>
              <w:rPr>
                <w:noProof/>
                <w:webHidden/>
              </w:rPr>
              <w:t>14</w:t>
            </w:r>
            <w:r>
              <w:rPr>
                <w:noProof/>
                <w:webHidden/>
              </w:rPr>
              <w:fldChar w:fldCharType="end"/>
            </w:r>
          </w:hyperlink>
        </w:p>
        <w:p w14:paraId="0E0AF886" w14:textId="16D3698A" w:rsidR="007B3BFF" w:rsidRDefault="007B3BFF">
          <w:pPr>
            <w:pStyle w:val="TOC1"/>
            <w:tabs>
              <w:tab w:val="right" w:leader="dot" w:pos="8296"/>
            </w:tabs>
            <w:rPr>
              <w:rFonts w:asciiTheme="minorHAnsi" w:hAnsiTheme="minorHAnsi"/>
              <w:noProof/>
              <w:color w:val="auto"/>
              <w:szCs w:val="22"/>
              <w:lang w:eastAsia="en-AU"/>
            </w:rPr>
          </w:pPr>
          <w:hyperlink w:anchor="_Toc135637844" w:history="1">
            <w:r w:rsidRPr="000567B1">
              <w:rPr>
                <w:rStyle w:val="Hyperlink"/>
                <w:noProof/>
              </w:rPr>
              <w:t>Conclusion</w:t>
            </w:r>
            <w:r>
              <w:rPr>
                <w:noProof/>
                <w:webHidden/>
              </w:rPr>
              <w:tab/>
            </w:r>
            <w:r>
              <w:rPr>
                <w:noProof/>
                <w:webHidden/>
              </w:rPr>
              <w:fldChar w:fldCharType="begin"/>
            </w:r>
            <w:r>
              <w:rPr>
                <w:noProof/>
                <w:webHidden/>
              </w:rPr>
              <w:instrText xml:space="preserve"> PAGEREF _Toc135637844 \h </w:instrText>
            </w:r>
            <w:r>
              <w:rPr>
                <w:noProof/>
                <w:webHidden/>
              </w:rPr>
            </w:r>
            <w:r>
              <w:rPr>
                <w:noProof/>
                <w:webHidden/>
              </w:rPr>
              <w:fldChar w:fldCharType="separate"/>
            </w:r>
            <w:r>
              <w:rPr>
                <w:noProof/>
                <w:webHidden/>
              </w:rPr>
              <w:t>14</w:t>
            </w:r>
            <w:r>
              <w:rPr>
                <w:noProof/>
                <w:webHidden/>
              </w:rPr>
              <w:fldChar w:fldCharType="end"/>
            </w:r>
          </w:hyperlink>
        </w:p>
        <w:p w14:paraId="279B0937" w14:textId="7989080C" w:rsidR="00A16356" w:rsidRPr="00041E58" w:rsidRDefault="00A16356" w:rsidP="00466216">
          <w:pPr>
            <w:spacing w:before="120"/>
            <w:rPr>
              <w:rFonts w:cs="Arial"/>
            </w:rPr>
          </w:pPr>
          <w:r w:rsidRPr="00041E58">
            <w:rPr>
              <w:rFonts w:cs="Arial"/>
              <w:b/>
              <w:bCs/>
              <w:noProof/>
            </w:rPr>
            <w:fldChar w:fldCharType="end"/>
          </w:r>
        </w:p>
      </w:sdtContent>
    </w:sdt>
    <w:p w14:paraId="01BD3AF5" w14:textId="77777777" w:rsidR="004A2375" w:rsidRDefault="004A2375">
      <w:pPr>
        <w:rPr>
          <w:rFonts w:eastAsiaTheme="majorEastAsia" w:cstheme="majorBidi"/>
          <w:b/>
          <w:color w:val="365F91" w:themeColor="accent1" w:themeShade="BF"/>
          <w:sz w:val="28"/>
          <w:szCs w:val="32"/>
        </w:rPr>
        <w:sectPr w:rsidR="004A2375" w:rsidSect="00A16356">
          <w:headerReference w:type="default" r:id="rId10"/>
          <w:footerReference w:type="default" r:id="rId11"/>
          <w:headerReference w:type="first" r:id="rId12"/>
          <w:pgSz w:w="11900" w:h="16840" w:code="9"/>
          <w:pgMar w:top="1440" w:right="1797" w:bottom="1440" w:left="1797" w:header="709" w:footer="709" w:gutter="0"/>
          <w:pgNumType w:start="0"/>
          <w:cols w:space="708"/>
          <w:titlePg/>
          <w:docGrid w:linePitch="360"/>
        </w:sectPr>
      </w:pPr>
    </w:p>
    <w:p w14:paraId="399B8632" w14:textId="37227C54" w:rsidR="001C324B" w:rsidRDefault="001C324B" w:rsidP="007C510E">
      <w:pPr>
        <w:pStyle w:val="Heading1"/>
      </w:pPr>
      <w:bookmarkStart w:id="8" w:name="_Toc135637827"/>
      <w:r>
        <w:lastRenderedPageBreak/>
        <w:t>Summary</w:t>
      </w:r>
      <w:bookmarkEnd w:id="8"/>
    </w:p>
    <w:p w14:paraId="30185778" w14:textId="77777777" w:rsidR="00921526" w:rsidRDefault="00921526" w:rsidP="00921526">
      <w:pPr>
        <w:pStyle w:val="Numberedparagraph"/>
      </w:pPr>
      <w:r w:rsidRPr="001C324B">
        <w:t xml:space="preserve">Thank you for the opportunity to </w:t>
      </w:r>
      <w:r>
        <w:t>make submissions on this review of Queensland Non-State Schools Accreditation Framework.</w:t>
      </w:r>
    </w:p>
    <w:p w14:paraId="30E06B44" w14:textId="14A2FC04" w:rsidR="00921526" w:rsidRDefault="00921526" w:rsidP="00921526">
      <w:pPr>
        <w:pStyle w:val="Numberedparagraph"/>
      </w:pPr>
      <w:r>
        <w:t xml:space="preserve">Schools play a significant role in supporting the development and wellbeing of children. Schools that are unable to meet a child’s needs can have negative social and economic consequences for the </w:t>
      </w:r>
      <w:r w:rsidR="007B3BFF">
        <w:t>child</w:t>
      </w:r>
      <w:r>
        <w:t xml:space="preserve"> and their families, and in the longer term, for community and society. Non-State schools, which provide education services to one-third of Queensland’s children</w:t>
      </w:r>
      <w:r>
        <w:rPr>
          <w:rStyle w:val="FootnoteReference"/>
        </w:rPr>
        <w:footnoteReference w:id="2"/>
      </w:r>
      <w:r>
        <w:t>, must therefore be required to meet the same standards expected of State schools.</w:t>
      </w:r>
    </w:p>
    <w:p w14:paraId="2C7FCCEC" w14:textId="75FD4181" w:rsidR="00921526" w:rsidRDefault="00921526" w:rsidP="00921526">
      <w:pPr>
        <w:pStyle w:val="Numberedparagraph"/>
      </w:pPr>
      <w:r>
        <w:t xml:space="preserve">The Queensland Human Rights Commission (Commission) acknowledges that non-State schools are not public entities bound by obligations under the </w:t>
      </w:r>
      <w:r w:rsidRPr="009423A5">
        <w:rPr>
          <w:i/>
          <w:iCs/>
        </w:rPr>
        <w:t>Human Rights Act 2019</w:t>
      </w:r>
      <w:r>
        <w:t xml:space="preserve"> (Qld). However</w:t>
      </w:r>
      <w:r w:rsidR="00DC2F5E">
        <w:t>,</w:t>
      </w:r>
      <w:r>
        <w:t xml:space="preserve"> human rights </w:t>
      </w:r>
      <w:r w:rsidR="00DC2F5E">
        <w:t xml:space="preserve">principles </w:t>
      </w:r>
      <w:r>
        <w:t xml:space="preserve">can provide a </w:t>
      </w:r>
      <w:r w:rsidR="00CA72A9">
        <w:t>valuable</w:t>
      </w:r>
      <w:r>
        <w:t xml:space="preserve"> framework to assess whether the fundamental needs of children are being met. All children have human rights, whether or not they attend a State school or a non-State school.</w:t>
      </w:r>
    </w:p>
    <w:p w14:paraId="3DE53C92" w14:textId="2B6FB5EF" w:rsidR="00921526" w:rsidRDefault="00921526" w:rsidP="00921526">
      <w:pPr>
        <w:pStyle w:val="Numberedparagraph"/>
      </w:pPr>
      <w:r>
        <w:t xml:space="preserve">In this submission, the Commission has answered </w:t>
      </w:r>
      <w:r w:rsidR="007946B4">
        <w:t>select questions</w:t>
      </w:r>
      <w:r>
        <w:t xml:space="preserve"> put forward in the submission guide to this review.</w:t>
      </w:r>
      <w:r>
        <w:rPr>
          <w:rStyle w:val="FootnoteReference"/>
        </w:rPr>
        <w:footnoteReference w:id="3"/>
      </w:r>
      <w:r>
        <w:t xml:space="preserve"> In summary, the Commission’s views are:</w:t>
      </w:r>
    </w:p>
    <w:p w14:paraId="1E5187C8" w14:textId="3265BD71" w:rsidR="00921526" w:rsidRDefault="00851F0F" w:rsidP="00921526">
      <w:pPr>
        <w:pStyle w:val="Numberedparagraph"/>
        <w:numPr>
          <w:ilvl w:val="1"/>
          <w:numId w:val="13"/>
        </w:numPr>
      </w:pPr>
      <w:r>
        <w:t>S</w:t>
      </w:r>
      <w:r w:rsidR="00921526">
        <w:t xml:space="preserve">chools play a vital role in child development beyond literacy and numeracy. </w:t>
      </w:r>
    </w:p>
    <w:p w14:paraId="38D2B5DC" w14:textId="42A56E4F" w:rsidR="00921526" w:rsidRDefault="003A0907" w:rsidP="00921526">
      <w:pPr>
        <w:pStyle w:val="Numberedparagraph"/>
        <w:numPr>
          <w:ilvl w:val="1"/>
          <w:numId w:val="13"/>
        </w:numPr>
      </w:pPr>
      <w:r>
        <w:t>T</w:t>
      </w:r>
      <w:r w:rsidR="00851F0F">
        <w:t xml:space="preserve">here is a </w:t>
      </w:r>
      <w:r w:rsidR="00921526">
        <w:t>community expectation that non-State schools</w:t>
      </w:r>
      <w:r>
        <w:t xml:space="preserve"> be subject to the same human rights standards as State schools. </w:t>
      </w:r>
    </w:p>
    <w:p w14:paraId="0697873A" w14:textId="77777777" w:rsidR="00921526" w:rsidRDefault="00921526" w:rsidP="00921526">
      <w:pPr>
        <w:pStyle w:val="Numberedparagraph"/>
        <w:numPr>
          <w:ilvl w:val="1"/>
          <w:numId w:val="13"/>
        </w:numPr>
      </w:pPr>
      <w:r>
        <w:t xml:space="preserve">Current human rights discussion in Australia is supportive of an express ‘participation duty’ that would require children and families are given the opportunity to meaningfully participate in major decisions that affect their lives. </w:t>
      </w:r>
    </w:p>
    <w:p w14:paraId="7E2B686D" w14:textId="48615D1C" w:rsidR="00921526" w:rsidRDefault="00921526" w:rsidP="00921526">
      <w:pPr>
        <w:pStyle w:val="Numberedparagraph"/>
        <w:numPr>
          <w:ilvl w:val="1"/>
          <w:numId w:val="13"/>
        </w:numPr>
      </w:pPr>
      <w:r>
        <w:t xml:space="preserve">Protecting student safety, health and wellbeing must ensure there are sufficient protections against discrimination. The Independent Reviewer should be aware of a number of reforms to Queensland anti-discrimination laws were recommended in the Commission’s 2022 review of the </w:t>
      </w:r>
      <w:r w:rsidRPr="00E42B81">
        <w:rPr>
          <w:i/>
          <w:iCs/>
        </w:rPr>
        <w:t>Anti-Discrimination Act 1991</w:t>
      </w:r>
      <w:r>
        <w:t xml:space="preserve"> (Qld)</w:t>
      </w:r>
      <w:r w:rsidR="00E33A17">
        <w:rPr>
          <w:rStyle w:val="FootnoteReference"/>
        </w:rPr>
        <w:footnoteReference w:id="4"/>
      </w:r>
      <w:r>
        <w:t xml:space="preserve">, which have been accepted in principle by Government, including additional protected attributes, changes to religious exception provisions, a new positive duty to make reasonable adjustment for </w:t>
      </w:r>
      <w:r>
        <w:lastRenderedPageBreak/>
        <w:t xml:space="preserve">people with disability, and a broader positive duty to take reasonable and proportionate measures to eliminate discrimination. </w:t>
      </w:r>
    </w:p>
    <w:p w14:paraId="62520BD1" w14:textId="1FC771C7" w:rsidR="00921526" w:rsidRDefault="00921526" w:rsidP="00921526">
      <w:pPr>
        <w:pStyle w:val="Numberedparagraph"/>
        <w:numPr>
          <w:ilvl w:val="1"/>
          <w:numId w:val="13"/>
        </w:numPr>
      </w:pPr>
      <w:r>
        <w:t xml:space="preserve">There is greater scope within the accreditation criteria to confirm </w:t>
      </w:r>
      <w:r w:rsidR="00A872E8">
        <w:t>a</w:t>
      </w:r>
      <w:r>
        <w:t xml:space="preserve"> school’s role in fostering student health and wellbeing, in line with community expectation</w:t>
      </w:r>
      <w:r w:rsidR="00A872E8">
        <w:t>s</w:t>
      </w:r>
      <w:r>
        <w:t>.</w:t>
      </w:r>
    </w:p>
    <w:p w14:paraId="009C3243" w14:textId="50DD3E2D" w:rsidR="00921526" w:rsidRDefault="00921526" w:rsidP="00921526">
      <w:pPr>
        <w:pStyle w:val="Numberedparagraph"/>
        <w:numPr>
          <w:ilvl w:val="1"/>
          <w:numId w:val="13"/>
        </w:numPr>
      </w:pPr>
      <w:r>
        <w:t xml:space="preserve">While many non-State schools likely already apply human rights principles, existing legal frameworks do not provide coverage of all rights protected under the </w:t>
      </w:r>
      <w:r w:rsidRPr="00A872E8">
        <w:rPr>
          <w:i/>
          <w:iCs/>
        </w:rPr>
        <w:t>H</w:t>
      </w:r>
      <w:r w:rsidR="00A872E8" w:rsidRPr="00A872E8">
        <w:rPr>
          <w:i/>
          <w:iCs/>
        </w:rPr>
        <w:t xml:space="preserve">uman </w:t>
      </w:r>
      <w:r w:rsidRPr="00A872E8">
        <w:rPr>
          <w:i/>
          <w:iCs/>
        </w:rPr>
        <w:t>R</w:t>
      </w:r>
      <w:r w:rsidR="00A872E8" w:rsidRPr="00A872E8">
        <w:rPr>
          <w:i/>
          <w:iCs/>
        </w:rPr>
        <w:t>ights</w:t>
      </w:r>
      <w:r w:rsidRPr="00A872E8">
        <w:rPr>
          <w:i/>
          <w:iCs/>
        </w:rPr>
        <w:t xml:space="preserve"> Act</w:t>
      </w:r>
      <w:r w:rsidR="00A872E8" w:rsidRPr="00A872E8">
        <w:rPr>
          <w:i/>
          <w:iCs/>
        </w:rPr>
        <w:t xml:space="preserve"> 2019</w:t>
      </w:r>
      <w:r w:rsidR="00A872E8">
        <w:t xml:space="preserve"> (Qld)</w:t>
      </w:r>
      <w:r>
        <w:t>. The review is an opportunity to embed respect and protection of human rights into the policy and culture of non-State schools.</w:t>
      </w:r>
      <w:r w:rsidR="00A872E8">
        <w:t xml:space="preserve"> The submission outlines some examples of how this could be achieved.</w:t>
      </w:r>
    </w:p>
    <w:p w14:paraId="0340E5F2" w14:textId="45FBCC3D" w:rsidR="00921526" w:rsidRDefault="00921526" w:rsidP="00921526">
      <w:pPr>
        <w:pStyle w:val="Numberedparagraph"/>
        <w:numPr>
          <w:ilvl w:val="1"/>
          <w:numId w:val="13"/>
        </w:numPr>
      </w:pPr>
      <w:r>
        <w:t xml:space="preserve">Any changes to </w:t>
      </w:r>
      <w:r w:rsidR="000935E7">
        <w:t xml:space="preserve">the </w:t>
      </w:r>
      <w:r>
        <w:t xml:space="preserve">accreditation framework </w:t>
      </w:r>
      <w:r w:rsidR="00BC10E8">
        <w:t>need</w:t>
      </w:r>
      <w:r>
        <w:t xml:space="preserve"> to be accompanied by </w:t>
      </w:r>
      <w:r w:rsidR="000935E7">
        <w:t xml:space="preserve">sufficient </w:t>
      </w:r>
      <w:r>
        <w:t>education and guidance on the changes for schools</w:t>
      </w:r>
      <w:r w:rsidR="000935E7">
        <w:t xml:space="preserve">, staff, students, </w:t>
      </w:r>
      <w:r>
        <w:t>and families to support compliance.</w:t>
      </w:r>
    </w:p>
    <w:p w14:paraId="0494B848" w14:textId="586E4F7D" w:rsidR="000935E7" w:rsidRPr="00A872E8" w:rsidRDefault="000935E7" w:rsidP="000935E7">
      <w:pPr>
        <w:pStyle w:val="Numberedparagraph"/>
        <w:numPr>
          <w:ilvl w:val="1"/>
          <w:numId w:val="13"/>
        </w:numPr>
      </w:pPr>
      <w:r w:rsidRPr="00A872E8">
        <w:t xml:space="preserve">Schools should be required to inform staff, students, parents and guardians about any rights to make complaints to external bodies, including the Accreditation Board. </w:t>
      </w:r>
    </w:p>
    <w:p w14:paraId="13FE9135" w14:textId="33C2A82F" w:rsidR="00921526" w:rsidRDefault="00921526" w:rsidP="00921526">
      <w:pPr>
        <w:pStyle w:val="Numberedparagraph"/>
        <w:numPr>
          <w:ilvl w:val="1"/>
          <w:numId w:val="13"/>
        </w:numPr>
      </w:pPr>
      <w:r>
        <w:t xml:space="preserve">There should be increased accountability and transparency </w:t>
      </w:r>
      <w:r w:rsidR="000935E7">
        <w:t>of</w:t>
      </w:r>
      <w:r>
        <w:t xml:space="preserve"> </w:t>
      </w:r>
      <w:r w:rsidR="000935E7">
        <w:t>the regulatory</w:t>
      </w:r>
      <w:r>
        <w:t xml:space="preserve"> activities of the Accreditation Board</w:t>
      </w:r>
      <w:r w:rsidR="000935E7">
        <w:t xml:space="preserve">, </w:t>
      </w:r>
      <w:r>
        <w:t>and additional annual reporting requirements on non-State schools to assist with monitoring and analysis of key issues that affect all schools, such as rates of school disciplinary absences.</w:t>
      </w:r>
    </w:p>
    <w:p w14:paraId="538B706A" w14:textId="38088322" w:rsidR="00B82CE9" w:rsidRDefault="002B4657" w:rsidP="007C510E">
      <w:pPr>
        <w:pStyle w:val="Heading1"/>
      </w:pPr>
      <w:bookmarkStart w:id="9" w:name="_Toc135637828"/>
      <w:r>
        <w:t>Introduction</w:t>
      </w:r>
      <w:bookmarkEnd w:id="9"/>
    </w:p>
    <w:p w14:paraId="6548113F" w14:textId="701431D6" w:rsidR="001C324B" w:rsidRPr="007D5A0E" w:rsidRDefault="001C324B" w:rsidP="001C324B">
      <w:pPr>
        <w:pStyle w:val="Numberedparagraph"/>
      </w:pPr>
      <w:r>
        <w:t xml:space="preserve">The </w:t>
      </w:r>
      <w:r w:rsidR="00DB6DEA">
        <w:t>Queensland Human Rights Commission (</w:t>
      </w:r>
      <w:r w:rsidR="005B3D6E">
        <w:t>QHRC</w:t>
      </w:r>
      <w:r w:rsidR="00DB6DEA">
        <w:t>)</w:t>
      </w:r>
      <w:r w:rsidR="005B3D6E">
        <w:t xml:space="preserve"> </w:t>
      </w:r>
      <w:r>
        <w:t xml:space="preserve">is a statutory body established under the Queensland </w:t>
      </w:r>
      <w:r w:rsidRPr="30EDE313">
        <w:rPr>
          <w:i/>
          <w:iCs/>
        </w:rPr>
        <w:t>Anti-Discrimination Act 1991</w:t>
      </w:r>
      <w:r>
        <w:t xml:space="preserve"> (AD Act).</w:t>
      </w:r>
    </w:p>
    <w:p w14:paraId="18CA8105" w14:textId="796381DD" w:rsidR="001C324B" w:rsidRPr="00041B02" w:rsidRDefault="001C324B" w:rsidP="001C324B">
      <w:pPr>
        <w:pStyle w:val="Numberedparagraph"/>
      </w:pPr>
      <w:r>
        <w:t xml:space="preserve">The </w:t>
      </w:r>
      <w:r w:rsidR="005B3D6E">
        <w:t>QHRC</w:t>
      </w:r>
      <w:r>
        <w:t xml:space="preserve"> deals with complaints of discrimination, sexual harassment, vilification, and other objectionable conduct under the AD Act</w:t>
      </w:r>
      <w:r w:rsidR="45B33C4D">
        <w:t xml:space="preserve">, and with human rights complaints under the </w:t>
      </w:r>
      <w:r w:rsidR="45B33C4D" w:rsidRPr="13EBB126">
        <w:rPr>
          <w:i/>
        </w:rPr>
        <w:t xml:space="preserve">Human Rights Act 2019 </w:t>
      </w:r>
      <w:r w:rsidR="45B33C4D">
        <w:t>(HR Act).</w:t>
      </w:r>
    </w:p>
    <w:p w14:paraId="700F54D5" w14:textId="210797A6" w:rsidR="00587AEA" w:rsidRDefault="001C324B" w:rsidP="00587AEA">
      <w:pPr>
        <w:pStyle w:val="Numberedparagraph"/>
      </w:pPr>
      <w:r>
        <w:t xml:space="preserve">The </w:t>
      </w:r>
      <w:r w:rsidR="005B3D6E">
        <w:t>QHRC</w:t>
      </w:r>
      <w:r>
        <w:t xml:space="preserve"> also has functions under the AD Act and the HR Act to promote an understanding and public discussion of human rights in Queensland, and to provide information and education about human rights. </w:t>
      </w:r>
    </w:p>
    <w:p w14:paraId="62B9E593" w14:textId="1B08F817" w:rsidR="003F2299" w:rsidRDefault="001D678F" w:rsidP="003F2299">
      <w:pPr>
        <w:pStyle w:val="Heading1"/>
      </w:pPr>
      <w:bookmarkStart w:id="10" w:name="_Toc135637829"/>
      <w:r>
        <w:t>Community expectations of schools</w:t>
      </w:r>
      <w:bookmarkEnd w:id="10"/>
    </w:p>
    <w:p w14:paraId="253E3003" w14:textId="7C6DB40A" w:rsidR="00E453E0" w:rsidRDefault="00BE3B92" w:rsidP="00BE3B92">
      <w:pPr>
        <w:pStyle w:val="Heading2"/>
      </w:pPr>
      <w:bookmarkStart w:id="11" w:name="_Toc135637830"/>
      <w:r>
        <w:t>The changing role of schools</w:t>
      </w:r>
      <w:bookmarkEnd w:id="11"/>
    </w:p>
    <w:p w14:paraId="6FDDC86E" w14:textId="4C7D8346" w:rsidR="00BE3B92" w:rsidRDefault="00C96BA9" w:rsidP="001D678F">
      <w:pPr>
        <w:pStyle w:val="Numberedparagraph"/>
      </w:pPr>
      <w:r w:rsidRPr="009E010B">
        <w:t xml:space="preserve">There has been growing recognition, heightened by the experience of the COVID-19 pandemic, of the important </w:t>
      </w:r>
      <w:r w:rsidR="009E010B" w:rsidRPr="009E010B">
        <w:t>role schools play beyond lit</w:t>
      </w:r>
      <w:r w:rsidR="009E010B">
        <w:t>e</w:t>
      </w:r>
      <w:r w:rsidR="009E010B" w:rsidRPr="009E010B">
        <w:t>racy and numeracy skills</w:t>
      </w:r>
      <w:r w:rsidR="00C67F8C">
        <w:t>, and academic development</w:t>
      </w:r>
      <w:r w:rsidR="009E010B" w:rsidRPr="009E010B">
        <w:t>.</w:t>
      </w:r>
    </w:p>
    <w:p w14:paraId="5AD11E5C" w14:textId="1EB6B7D7" w:rsidR="009E010B" w:rsidRDefault="009E010B" w:rsidP="001D678F">
      <w:pPr>
        <w:pStyle w:val="Numberedparagraph"/>
      </w:pPr>
      <w:r>
        <w:lastRenderedPageBreak/>
        <w:t xml:space="preserve">The preamble to the </w:t>
      </w:r>
      <w:r w:rsidRPr="008D1D80">
        <w:t>Alice Springs (Mparntwe) Education Declaration</w:t>
      </w:r>
      <w:r w:rsidR="006628CA">
        <w:t xml:space="preserve"> (Mparntwe Declaration)</w:t>
      </w:r>
      <w:r>
        <w:t xml:space="preserve"> provides:</w:t>
      </w:r>
    </w:p>
    <w:p w14:paraId="747C804F" w14:textId="77777777" w:rsidR="009E010B" w:rsidRPr="009E010B" w:rsidRDefault="009E010B" w:rsidP="009E010B">
      <w:pPr>
        <w:pStyle w:val="Numberedparagraph"/>
        <w:numPr>
          <w:ilvl w:val="0"/>
          <w:numId w:val="0"/>
        </w:numPr>
        <w:ind w:left="720"/>
        <w:rPr>
          <w:sz w:val="20"/>
          <w:szCs w:val="20"/>
        </w:rPr>
      </w:pPr>
      <w:r w:rsidRPr="009E010B">
        <w:rPr>
          <w:sz w:val="20"/>
          <w:szCs w:val="20"/>
        </w:rPr>
        <w:t xml:space="preserve">However, our education system must do more than this – it must also prepare young people to thrive in a time of rapid social and technological change, and complex environmental, social and economic challenges. Education plays a vital role in promoting the intellectual, physical, social, emotional, moral, spiritual and aesthetic development and wellbeing of young Australians, and in ensuring the nation’s ongoing economic prosperity and social cohesion. They need to deal with information abundance, and navigate questions of trust and authenticity. They need flexibility, resilience, creativity, and the ability and drive to keep on learning throughout their lives. </w:t>
      </w:r>
    </w:p>
    <w:p w14:paraId="49FA6444" w14:textId="41A00896" w:rsidR="008D65EF" w:rsidRDefault="007653D2" w:rsidP="000A2EEE">
      <w:pPr>
        <w:pStyle w:val="Numberedparagraph"/>
      </w:pPr>
      <w:r>
        <w:t xml:space="preserve">The two goals of the </w:t>
      </w:r>
      <w:r w:rsidR="00BC10E8">
        <w:t>D</w:t>
      </w:r>
      <w:r w:rsidR="008D65EF">
        <w:t xml:space="preserve">eclaration </w:t>
      </w:r>
      <w:r>
        <w:t>are t</w:t>
      </w:r>
      <w:r w:rsidR="008D65EF">
        <w:t xml:space="preserve">hat </w:t>
      </w:r>
      <w:r>
        <w:t xml:space="preserve">the Australian education system promotes excellence and equity, and that </w:t>
      </w:r>
      <w:r w:rsidR="008D65EF">
        <w:t>all young Australians become confident and creative individuals, successful lifelong learners, and active and informed members of the community.</w:t>
      </w:r>
    </w:p>
    <w:p w14:paraId="46E48717" w14:textId="3C9F6535" w:rsidR="000A2EEE" w:rsidRPr="00CF58D8" w:rsidRDefault="000A2EEE" w:rsidP="000A2EEE">
      <w:pPr>
        <w:pStyle w:val="Numberedparagraph"/>
      </w:pPr>
      <w:r>
        <w:t>Internationally, t</w:t>
      </w:r>
      <w:r w:rsidRPr="00CF58D8">
        <w:t xml:space="preserve">he United Nations Committee on Economic, Social and Cultural Rights </w:t>
      </w:r>
      <w:r>
        <w:t xml:space="preserve">has </w:t>
      </w:r>
      <w:r w:rsidRPr="00CF58D8">
        <w:t xml:space="preserve">identified the following benefits of education:  </w:t>
      </w:r>
    </w:p>
    <w:p w14:paraId="481F47AF" w14:textId="77777777" w:rsidR="000A2EEE" w:rsidRDefault="000A2EEE" w:rsidP="000A2EEE">
      <w:pPr>
        <w:pStyle w:val="Numberedparagraph"/>
        <w:numPr>
          <w:ilvl w:val="0"/>
          <w:numId w:val="0"/>
        </w:numPr>
        <w:ind w:left="720"/>
        <w:rPr>
          <w:spacing w:val="4"/>
          <w:sz w:val="20"/>
          <w:szCs w:val="20"/>
        </w:rPr>
      </w:pPr>
      <w:r w:rsidRPr="00CF58D8">
        <w:rPr>
          <w:spacing w:val="4"/>
          <w:sz w:val="20"/>
          <w:szCs w:val="20"/>
        </w:rPr>
        <w:t>Education is both a human right in itself and an indispensable means of realizing other human rights. As an empowerment right, education is the primary vehicle by which economically and socially marginalized adults and children can lift themselves out of poverty and obtain the means to participate fully in their communities. Education has a vital role in empowering women, safeguarding children from exploitative and hazardous labour and sexual exploitation, promoting human rights and democracy, protecting the environment, and controlling population growth. Increasingly, education is recognized as one of the best financial investments States can make. But the importance of education is not just practical: a well-educated, enlightened and active mind, able to wander freely and widely, is one of the joys and rewards of human existence.</w:t>
      </w:r>
      <w:r w:rsidRPr="00CF58D8">
        <w:rPr>
          <w:rStyle w:val="FootnoteReference"/>
          <w:spacing w:val="4"/>
          <w:sz w:val="20"/>
          <w:szCs w:val="20"/>
        </w:rPr>
        <w:footnoteReference w:id="5"/>
      </w:r>
    </w:p>
    <w:p w14:paraId="26D05EFB" w14:textId="339F0B19" w:rsidR="004924D2" w:rsidRDefault="004924D2" w:rsidP="004924D2">
      <w:pPr>
        <w:pStyle w:val="Numberedparagraph"/>
      </w:pPr>
      <w:r>
        <w:t xml:space="preserve">In Queensland, education has found to be key in preventing and addressing youth offending. </w:t>
      </w:r>
      <w:r w:rsidRPr="00CF58D8">
        <w:t>Schools also provide the ideal environment to identify those who are at risk of anti-social or offending behaviour, and opportunities to intervene early.</w:t>
      </w:r>
      <w:r w:rsidRPr="00CF58D8">
        <w:rPr>
          <w:rStyle w:val="FootnoteReference"/>
        </w:rPr>
        <w:footnoteReference w:id="6"/>
      </w:r>
    </w:p>
    <w:p w14:paraId="4CB91E16" w14:textId="54354643" w:rsidR="000A2EEE" w:rsidRDefault="00870C8F" w:rsidP="00870C8F">
      <w:pPr>
        <w:pStyle w:val="Numberedparagraph"/>
      </w:pPr>
      <w:r>
        <w:t xml:space="preserve">In order for these benefits </w:t>
      </w:r>
      <w:r w:rsidR="00DB6DEA">
        <w:t xml:space="preserve">to </w:t>
      </w:r>
      <w:r>
        <w:t xml:space="preserve">children, their families and society to be realised, there must be a focus on keeping all children enrolled and engaged in school. </w:t>
      </w:r>
      <w:r w:rsidR="004924D2">
        <w:t xml:space="preserve">A recent discussion paper into reinventing Australian schools proposes a greater focus on the health and wellbeing of students in order to achieve this: </w:t>
      </w:r>
    </w:p>
    <w:p w14:paraId="46AB2E60" w14:textId="499155EE" w:rsidR="009E010B" w:rsidRDefault="0031425E" w:rsidP="0031425E">
      <w:pPr>
        <w:pStyle w:val="Numberedparagraph"/>
        <w:numPr>
          <w:ilvl w:val="0"/>
          <w:numId w:val="0"/>
        </w:numPr>
        <w:ind w:left="720"/>
        <w:rPr>
          <w:sz w:val="20"/>
          <w:szCs w:val="20"/>
        </w:rPr>
      </w:pPr>
      <w:r w:rsidRPr="0031425E">
        <w:rPr>
          <w:sz w:val="20"/>
          <w:szCs w:val="20"/>
        </w:rPr>
        <w:t xml:space="preserve">COVID-19 highlighted the established links between health, wellbeing and learning, and the existing associated inequities. Research indicates a common-sense wisdom – children who are healthier are better learners. And in turn, better learners are often healthier, with greater overall wellbeing into their adult years. Yet, in most schools and in many families, intellectual or academic achievement is often valued and rewarded </w:t>
      </w:r>
      <w:r w:rsidRPr="0031425E">
        <w:rPr>
          <w:sz w:val="20"/>
          <w:szCs w:val="20"/>
        </w:rPr>
        <w:lastRenderedPageBreak/>
        <w:t>before anything else; this fuels an artificial disconnect between health, wellbeing and learning. … We suggest shifting the core purpose of school from primarily focusing on academic intelligence to equally focusing on learning, wellbeing, and health for optimised whole child development. This change would enable schools to be multi-opportunity communities designed to build a healthy foundation for lifelong success.</w:t>
      </w:r>
    </w:p>
    <w:p w14:paraId="1D68B598" w14:textId="43B20C2C" w:rsidR="00CA734F" w:rsidRDefault="00CA734F" w:rsidP="00CA734F">
      <w:pPr>
        <w:pStyle w:val="Heading2"/>
      </w:pPr>
      <w:bookmarkStart w:id="12" w:name="_Toc135637831"/>
      <w:r>
        <w:t>Human rights and schools</w:t>
      </w:r>
      <w:bookmarkEnd w:id="12"/>
    </w:p>
    <w:p w14:paraId="0395B0E0" w14:textId="4EF80FA5" w:rsidR="00CA734F" w:rsidRDefault="00C56DC3" w:rsidP="00CD08F9">
      <w:pPr>
        <w:pStyle w:val="Numberedparagraph"/>
      </w:pPr>
      <w:r>
        <w:t xml:space="preserve">The </w:t>
      </w:r>
      <w:r w:rsidRPr="00EB429C">
        <w:rPr>
          <w:i/>
          <w:iCs/>
        </w:rPr>
        <w:t>Human Rights Act 2019</w:t>
      </w:r>
      <w:r>
        <w:t xml:space="preserve">, which commenced substantive operation on 1 January 2020, imposes obligations </w:t>
      </w:r>
      <w:r w:rsidR="00843BB9">
        <w:t xml:space="preserve">on public entities to properly consider and act compatibly with specified </w:t>
      </w:r>
      <w:r w:rsidR="00EB429C">
        <w:t>rights. These include:</w:t>
      </w:r>
    </w:p>
    <w:p w14:paraId="0B2651FC" w14:textId="014702C7" w:rsidR="00EB429C" w:rsidRDefault="00327C6F" w:rsidP="00EB429C">
      <w:pPr>
        <w:pStyle w:val="Numberedparagraph"/>
        <w:numPr>
          <w:ilvl w:val="1"/>
          <w:numId w:val="13"/>
        </w:numPr>
      </w:pPr>
      <w:r>
        <w:t xml:space="preserve">Recognition and equality before the law, which protects against discrimination and </w:t>
      </w:r>
      <w:r w:rsidR="0018639D">
        <w:t xml:space="preserve">prompts </w:t>
      </w:r>
      <w:r>
        <w:t>positive action to make reasonable adjustments to achieve substantive equality;</w:t>
      </w:r>
      <w:r>
        <w:rPr>
          <w:rStyle w:val="FootnoteReference"/>
        </w:rPr>
        <w:footnoteReference w:id="7"/>
      </w:r>
    </w:p>
    <w:p w14:paraId="662C6E93" w14:textId="6963459F" w:rsidR="00327C6F" w:rsidRDefault="0018639D" w:rsidP="00EB429C">
      <w:pPr>
        <w:pStyle w:val="Numberedparagraph"/>
        <w:numPr>
          <w:ilvl w:val="1"/>
          <w:numId w:val="13"/>
        </w:numPr>
      </w:pPr>
      <w:r>
        <w:t xml:space="preserve">Rights </w:t>
      </w:r>
      <w:r w:rsidR="00327C6F">
        <w:t xml:space="preserve">to life, </w:t>
      </w:r>
      <w:r>
        <w:t>protection from torture and cruel, inhuman or degrading treatment, and liberty and security,</w:t>
      </w:r>
      <w:r>
        <w:rPr>
          <w:rStyle w:val="FootnoteReference"/>
        </w:rPr>
        <w:footnoteReference w:id="8"/>
      </w:r>
      <w:r>
        <w:t xml:space="preserve"> which all go towards ensuring a safe </w:t>
      </w:r>
      <w:r w:rsidR="003F5D3E">
        <w:t xml:space="preserve">school </w:t>
      </w:r>
      <w:r>
        <w:t>environment;</w:t>
      </w:r>
    </w:p>
    <w:p w14:paraId="4630271C" w14:textId="02BE5693" w:rsidR="0018639D" w:rsidRDefault="0018639D" w:rsidP="00EB429C">
      <w:pPr>
        <w:pStyle w:val="Numberedparagraph"/>
        <w:numPr>
          <w:ilvl w:val="1"/>
          <w:numId w:val="13"/>
        </w:numPr>
      </w:pPr>
      <w:r>
        <w:t xml:space="preserve">Freedom of </w:t>
      </w:r>
      <w:r w:rsidR="00873667">
        <w:t>expression</w:t>
      </w:r>
      <w:r>
        <w:rPr>
          <w:rStyle w:val="FootnoteReference"/>
        </w:rPr>
        <w:footnoteReference w:id="9"/>
      </w:r>
      <w:r>
        <w:t>, which includes rights to seek and receive information;</w:t>
      </w:r>
    </w:p>
    <w:p w14:paraId="2B9BF0B7" w14:textId="14BF0BA3" w:rsidR="0018639D" w:rsidRDefault="003F5D3E" w:rsidP="00EB429C">
      <w:pPr>
        <w:pStyle w:val="Numberedparagraph"/>
        <w:numPr>
          <w:ilvl w:val="1"/>
          <w:numId w:val="13"/>
        </w:numPr>
      </w:pPr>
      <w:r>
        <w:t xml:space="preserve">Protection from unlawful or arbitrary interference with a person’s </w:t>
      </w:r>
      <w:r w:rsidR="0018639D">
        <w:t>privacy, family, and home, including informational privacy and the right to individual identity</w:t>
      </w:r>
      <w:r>
        <w:t xml:space="preserve"> and personal development;</w:t>
      </w:r>
      <w:r w:rsidR="00866368" w:rsidRPr="00866368">
        <w:rPr>
          <w:rStyle w:val="FootnoteReference"/>
        </w:rPr>
        <w:t xml:space="preserve"> </w:t>
      </w:r>
      <w:r w:rsidR="00866368">
        <w:rPr>
          <w:rStyle w:val="FootnoteReference"/>
        </w:rPr>
        <w:footnoteReference w:id="10"/>
      </w:r>
    </w:p>
    <w:p w14:paraId="16971043" w14:textId="4FEF5B9D" w:rsidR="0082355F" w:rsidRDefault="003F5D3E" w:rsidP="00EB429C">
      <w:pPr>
        <w:pStyle w:val="Numberedparagraph"/>
        <w:numPr>
          <w:ilvl w:val="1"/>
          <w:numId w:val="13"/>
        </w:numPr>
      </w:pPr>
      <w:r>
        <w:t>Cultural rights of Aboriginal peoples and Torres Strait Islander peoples</w:t>
      </w:r>
      <w:r w:rsidR="0082355F">
        <w:rPr>
          <w:rStyle w:val="FootnoteReference"/>
        </w:rPr>
        <w:footnoteReference w:id="11"/>
      </w:r>
      <w:r>
        <w:t xml:space="preserve"> </w:t>
      </w:r>
      <w:r w:rsidR="0082355F">
        <w:t xml:space="preserve">which requires </w:t>
      </w:r>
      <w:r>
        <w:t>school</w:t>
      </w:r>
      <w:r w:rsidR="0082355F">
        <w:t>s</w:t>
      </w:r>
      <w:r>
        <w:t xml:space="preserve"> </w:t>
      </w:r>
      <w:r w:rsidR="0082355F">
        <w:t xml:space="preserve">to be </w:t>
      </w:r>
      <w:r>
        <w:t>culturally safe for Aboriginal and Torres Strait Islander children and their families</w:t>
      </w:r>
      <w:r w:rsidR="0082355F">
        <w:t>, and supports a curriculum that teaches and celebrates First Nations history and culture</w:t>
      </w:r>
      <w:r>
        <w:t>;</w:t>
      </w:r>
    </w:p>
    <w:p w14:paraId="3285C29D" w14:textId="7F6F2D22" w:rsidR="003F5D3E" w:rsidRDefault="00EA7228" w:rsidP="00EB429C">
      <w:pPr>
        <w:pStyle w:val="Numberedparagraph"/>
        <w:numPr>
          <w:ilvl w:val="1"/>
          <w:numId w:val="13"/>
        </w:numPr>
      </w:pPr>
      <w:r>
        <w:t>The right of a child, wit</w:t>
      </w:r>
      <w:r w:rsidR="00873667">
        <w:t>h</w:t>
      </w:r>
      <w:r>
        <w:t>out discrimination, to the protection that is needed by the child, and is in the child’s best interests, because of being a child</w:t>
      </w:r>
      <w:r w:rsidR="00062028">
        <w:rPr>
          <w:rStyle w:val="FootnoteReference"/>
        </w:rPr>
        <w:footnoteReference w:id="12"/>
      </w:r>
      <w:r w:rsidR="00062028">
        <w:t>; and</w:t>
      </w:r>
    </w:p>
    <w:p w14:paraId="60D276FF" w14:textId="259BEB01" w:rsidR="00062028" w:rsidRDefault="00062028" w:rsidP="00EB429C">
      <w:pPr>
        <w:pStyle w:val="Numberedparagraph"/>
        <w:numPr>
          <w:ilvl w:val="1"/>
          <w:numId w:val="13"/>
        </w:numPr>
      </w:pPr>
      <w:r>
        <w:t>The right to education, which states that every child has the right to have access to primary and secondary education appropriate to the child’s needs,</w:t>
      </w:r>
      <w:r>
        <w:rPr>
          <w:rStyle w:val="FootnoteReference"/>
        </w:rPr>
        <w:footnoteReference w:id="13"/>
      </w:r>
      <w:r>
        <w:t xml:space="preserve"> </w:t>
      </w:r>
      <w:r>
        <w:lastRenderedPageBreak/>
        <w:t xml:space="preserve">and is especially relevant to decisions regarding enrolment, cancellation, suspension and exclusion. </w:t>
      </w:r>
    </w:p>
    <w:p w14:paraId="483C167A" w14:textId="13DD1C3F" w:rsidR="00062028" w:rsidRDefault="0008613C" w:rsidP="00CD08F9">
      <w:pPr>
        <w:pStyle w:val="Numberedparagraph"/>
      </w:pPr>
      <w:r>
        <w:t>Public</w:t>
      </w:r>
      <w:r w:rsidR="007408EB">
        <w:t xml:space="preserve"> entities have obligations under the </w:t>
      </w:r>
      <w:r w:rsidR="00E33A17" w:rsidRPr="00DB6DEA">
        <w:t>HR Act</w:t>
      </w:r>
      <w:r w:rsidR="00E33A17">
        <w:rPr>
          <w:i/>
          <w:iCs/>
        </w:rPr>
        <w:t xml:space="preserve"> </w:t>
      </w:r>
      <w:r w:rsidR="00EF7E9C">
        <w:t>to act and make decisions compatibly with human rights</w:t>
      </w:r>
      <w:r w:rsidR="007408EB">
        <w:t>.</w:t>
      </w:r>
      <w:r w:rsidR="00F4616B">
        <w:t xml:space="preserve"> The definition of public entity includes ‘an entity whose functions are, or include, functions of a public nature when it is performing the functions for the State or a public entity.</w:t>
      </w:r>
      <w:r w:rsidR="00F4616B">
        <w:rPr>
          <w:rStyle w:val="FootnoteReference"/>
        </w:rPr>
        <w:footnoteReference w:id="14"/>
      </w:r>
      <w:r w:rsidR="00F4616B">
        <w:t xml:space="preserve"> The </w:t>
      </w:r>
      <w:r w:rsidR="00E33A17">
        <w:t xml:space="preserve">HR </w:t>
      </w:r>
      <w:r w:rsidR="00F4616B">
        <w:t>Act provides the example of a non-State school</w:t>
      </w:r>
      <w:r w:rsidR="00EF7E9C">
        <w:t xml:space="preserve"> as a body which will not be</w:t>
      </w:r>
      <w:r w:rsidR="00F4616B">
        <w:t xml:space="preserve"> a public entity merely because it performs functions of a public nature in educating students</w:t>
      </w:r>
      <w:r w:rsidR="00EF7E9C">
        <w:t>,</w:t>
      </w:r>
      <w:r w:rsidR="00F4616B">
        <w:t xml:space="preserve"> because it is not doing so for the State. </w:t>
      </w:r>
    </w:p>
    <w:p w14:paraId="4BF56F05" w14:textId="4B43ECBA" w:rsidR="00EF7E9C" w:rsidRDefault="00EF7E9C" w:rsidP="00CD08F9">
      <w:pPr>
        <w:pStyle w:val="Numberedparagraph"/>
      </w:pPr>
      <w:r>
        <w:t xml:space="preserve">Human rights are nonetheless relevant to the work of private entities including </w:t>
      </w:r>
      <w:r w:rsidR="00E078EE">
        <w:t>non-state schools</w:t>
      </w:r>
      <w:r>
        <w:t>.</w:t>
      </w:r>
      <w:r w:rsidR="00A13CB8">
        <w:rPr>
          <w:rStyle w:val="FootnoteReference"/>
        </w:rPr>
        <w:footnoteReference w:id="15"/>
      </w:r>
      <w:r>
        <w:t xml:space="preserve"> </w:t>
      </w:r>
    </w:p>
    <w:p w14:paraId="140BC3F7" w14:textId="70624885" w:rsidR="00787731" w:rsidRDefault="0010004D" w:rsidP="00DD0434">
      <w:pPr>
        <w:pStyle w:val="Numberedparagraph"/>
      </w:pPr>
      <w:r>
        <w:t xml:space="preserve">A child has human rights whether or not they attend a State or non-State school. The importance of school in a child’s life, and the broader social benefit that school provides, applies to all schools. </w:t>
      </w:r>
      <w:r w:rsidR="00787731">
        <w:t xml:space="preserve">In the Commission’s view, </w:t>
      </w:r>
      <w:r w:rsidR="00E33A17">
        <w:t xml:space="preserve">there is already a community expectation that the same human rights obligations and standards apply to both State and non-State schools, which can only be strengthened by </w:t>
      </w:r>
      <w:r w:rsidR="00DC02E4">
        <w:t>a growing understanding of human rights in Queensland and the introduction of human rights legislation at a federal level</w:t>
      </w:r>
      <w:r w:rsidR="00E33A17">
        <w:t xml:space="preserve">. </w:t>
      </w:r>
    </w:p>
    <w:p w14:paraId="59D9E650" w14:textId="5C63891D" w:rsidR="007A1633" w:rsidRDefault="007A1633" w:rsidP="007A1633">
      <w:pPr>
        <w:pStyle w:val="Heading2"/>
      </w:pPr>
      <w:bookmarkStart w:id="13" w:name="_Toc135637832"/>
      <w:r>
        <w:t>Student and school community participation in an accreditation framework</w:t>
      </w:r>
      <w:bookmarkEnd w:id="13"/>
    </w:p>
    <w:p w14:paraId="0BD436BD" w14:textId="26047411" w:rsidR="00132986" w:rsidRPr="00E078EE" w:rsidRDefault="008E0D35" w:rsidP="00C45995">
      <w:pPr>
        <w:pStyle w:val="Numberedparagraph"/>
      </w:pPr>
      <w:r w:rsidRPr="006628CA">
        <w:t xml:space="preserve">The Australian Human Rights Commission (AHRC) notes that </w:t>
      </w:r>
      <w:r w:rsidRPr="00DF2CDD">
        <w:t xml:space="preserve">the best interests principle </w:t>
      </w:r>
      <w:r w:rsidRPr="00C36B84">
        <w:t xml:space="preserve">for children applies to actions concerning individual children, groups of children, and children as a class, with </w:t>
      </w:r>
      <w:r w:rsidRPr="00E078EE">
        <w:t>S</w:t>
      </w:r>
      <w:r w:rsidRPr="00DF2CDD">
        <w:t>tate p</w:t>
      </w:r>
      <w:r w:rsidRPr="008E0D35">
        <w:t xml:space="preserve">arties called upon to apply the principle ‘in all legislative, administrative and judicial proceedings as well as policies, </w:t>
      </w:r>
      <w:r w:rsidRPr="00DF2CDD">
        <w:t>programmes and projects relevant to and with an impact on children’</w:t>
      </w:r>
      <w:r w:rsidRPr="00DF2CDD">
        <w:rPr>
          <w:rStyle w:val="FootnoteReference"/>
        </w:rPr>
        <w:footnoteReference w:id="16"/>
      </w:r>
      <w:r w:rsidRPr="00DF2CDD">
        <w:t xml:space="preserve"> The AHRC suggests </w:t>
      </w:r>
      <w:r w:rsidRPr="00C36B84">
        <w:t>that the</w:t>
      </w:r>
      <w:r w:rsidR="00DF2CDD">
        <w:t>se</w:t>
      </w:r>
      <w:r w:rsidRPr="00DF2CDD">
        <w:t xml:space="preserve"> obligations under the </w:t>
      </w:r>
      <w:r w:rsidR="008E4292">
        <w:t>Convention on the Rights of the Child</w:t>
      </w:r>
      <w:r w:rsidR="00A07F76">
        <w:t xml:space="preserve"> (CRC)</w:t>
      </w:r>
      <w:r w:rsidRPr="00DF2CDD">
        <w:t xml:space="preserve"> mean that </w:t>
      </w:r>
      <w:r w:rsidRPr="00C36B84">
        <w:t>any decision making process assessing a child’s best inte</w:t>
      </w:r>
      <w:r w:rsidRPr="00810BEC">
        <w:t>rests must involve consideration of:</w:t>
      </w:r>
    </w:p>
    <w:p w14:paraId="217FAC0E" w14:textId="7CF75F55" w:rsidR="0075097B" w:rsidRPr="00E078EE" w:rsidRDefault="0075097B" w:rsidP="006628CA">
      <w:pPr>
        <w:pStyle w:val="Numberedparagraph"/>
        <w:numPr>
          <w:ilvl w:val="1"/>
          <w:numId w:val="13"/>
        </w:numPr>
      </w:pPr>
      <w:r w:rsidRPr="00E078EE">
        <w:t>the views of a child, subject to their evolving capacity</w:t>
      </w:r>
      <w:r w:rsidR="000D19E0">
        <w:t>;</w:t>
      </w:r>
    </w:p>
    <w:p w14:paraId="39F8620A" w14:textId="39114C5F" w:rsidR="0075097B" w:rsidRPr="00DF2CDD" w:rsidRDefault="0075097B" w:rsidP="006628CA">
      <w:pPr>
        <w:pStyle w:val="Numberedparagraph"/>
        <w:numPr>
          <w:ilvl w:val="1"/>
          <w:numId w:val="13"/>
        </w:numPr>
      </w:pPr>
      <w:r w:rsidRPr="00DF2CDD">
        <w:lastRenderedPageBreak/>
        <w:t>the relevance of any other rights under the Convention or other international treaties</w:t>
      </w:r>
      <w:r w:rsidR="000D19E0">
        <w:t>;</w:t>
      </w:r>
    </w:p>
    <w:p w14:paraId="08D5E204" w14:textId="67ABA22A" w:rsidR="0075097B" w:rsidRPr="00DF2CDD" w:rsidRDefault="0075097B" w:rsidP="006628CA">
      <w:pPr>
        <w:pStyle w:val="Numberedparagraph"/>
        <w:numPr>
          <w:ilvl w:val="1"/>
          <w:numId w:val="13"/>
        </w:numPr>
      </w:pPr>
      <w:r w:rsidRPr="00DF2CDD">
        <w:t>the views of parents or other persons involved in the child’s care</w:t>
      </w:r>
      <w:r w:rsidR="000D19E0">
        <w:t>;</w:t>
      </w:r>
    </w:p>
    <w:p w14:paraId="104C78C4" w14:textId="3E79144D" w:rsidR="0075097B" w:rsidRPr="00DF2CDD" w:rsidRDefault="0075097B" w:rsidP="006628CA">
      <w:pPr>
        <w:pStyle w:val="Numberedparagraph"/>
        <w:numPr>
          <w:ilvl w:val="1"/>
          <w:numId w:val="13"/>
        </w:numPr>
      </w:pPr>
      <w:r w:rsidRPr="00DF2CDD">
        <w:t>the individual circumstances of the child, including their developmental needs and any relevant social, religious or cultural practices</w:t>
      </w:r>
      <w:r w:rsidR="000D19E0">
        <w:t>;</w:t>
      </w:r>
    </w:p>
    <w:p w14:paraId="60C1AB5A" w14:textId="2C2194B2" w:rsidR="0075097B" w:rsidRPr="00DF2CDD" w:rsidRDefault="0075097B" w:rsidP="006628CA">
      <w:pPr>
        <w:pStyle w:val="Numberedparagraph"/>
        <w:numPr>
          <w:ilvl w:val="1"/>
          <w:numId w:val="13"/>
        </w:numPr>
      </w:pPr>
      <w:r w:rsidRPr="00DF2CDD">
        <w:t>any available empirical evidence of relevance.</w:t>
      </w:r>
      <w:r w:rsidRPr="00DF2CDD">
        <w:rPr>
          <w:rStyle w:val="FootnoteReference"/>
        </w:rPr>
        <w:footnoteReference w:id="17"/>
      </w:r>
      <w:r w:rsidRPr="00DF2CDD">
        <w:t xml:space="preserve"> </w:t>
      </w:r>
    </w:p>
    <w:p w14:paraId="56ADEB55" w14:textId="530B1257" w:rsidR="008E0D35" w:rsidRPr="006628CA" w:rsidRDefault="0075097B" w:rsidP="00C45995">
      <w:pPr>
        <w:pStyle w:val="Numberedparagraph"/>
      </w:pPr>
      <w:r w:rsidRPr="006628CA">
        <w:t>Further, the AHRC suggests:</w:t>
      </w:r>
    </w:p>
    <w:p w14:paraId="1A4C336A" w14:textId="300F7492" w:rsidR="0075097B" w:rsidRPr="00DC7F02" w:rsidRDefault="0075097B" w:rsidP="006628CA">
      <w:pPr>
        <w:pStyle w:val="Quote"/>
      </w:pPr>
      <w:r w:rsidRPr="00DF2CDD">
        <w:t>The right to be heard is a necessary complement to the best interests principle</w:t>
      </w:r>
      <w:r w:rsidR="00FC3DC6" w:rsidRPr="00C36B84">
        <w:t>…</w:t>
      </w:r>
      <w:r w:rsidRPr="00C36B84">
        <w:t>The right to be heard ensures that decisions made affecting children, including those design</w:t>
      </w:r>
      <w:r w:rsidRPr="00E078EE">
        <w:t>ed to protect them from harm, are not merely based on adult assumptions about what is in the interests of children, and instead genuinely take into account children’s views about decisions that affect their lives</w:t>
      </w:r>
      <w:r w:rsidRPr="00DC7F02">
        <w:t>.</w:t>
      </w:r>
      <w:r w:rsidRPr="00DC7F02">
        <w:rPr>
          <w:rStyle w:val="FootnoteReference"/>
        </w:rPr>
        <w:footnoteReference w:id="18"/>
      </w:r>
      <w:r w:rsidRPr="00DC7F02">
        <w:t xml:space="preserve"> </w:t>
      </w:r>
    </w:p>
    <w:p w14:paraId="23C2F056" w14:textId="77777777" w:rsidR="00C36B84" w:rsidRDefault="00B82026" w:rsidP="00B82026">
      <w:pPr>
        <w:pStyle w:val="Numberedparagraph"/>
      </w:pPr>
      <w:r w:rsidRPr="006628CA">
        <w:t>In applying these obligations and others under international law to its proposed national Human Rights Act, the AHRC suggests that an obligation should be placed on Commonwealth public entities to</w:t>
      </w:r>
      <w:r w:rsidR="00C36B84">
        <w:t xml:space="preserve"> ensure the participation of First Nations peoples, children and persons with disability in relation to decisions that directly or indirectly affect their rights. This would form part of the positive duty on public authorities to properly consider human rights in decision-making, already part of the obligations placed on Queensland public entities under the HR Act.</w:t>
      </w:r>
    </w:p>
    <w:p w14:paraId="7A3DFE69" w14:textId="4DE0EE99" w:rsidR="00C36B84" w:rsidRDefault="00C36B84" w:rsidP="00B82026">
      <w:pPr>
        <w:pStyle w:val="Numberedparagraph"/>
      </w:pPr>
      <w:r w:rsidRPr="00C36B84">
        <w:t>The participation duty would arise when decisions are being made that directly concern these groups or where the decision is likely to have a disproportionate impact on the group in question</w:t>
      </w:r>
      <w:r>
        <w:t>.</w:t>
      </w:r>
      <w:r>
        <w:rPr>
          <w:rStyle w:val="FootnoteReference"/>
        </w:rPr>
        <w:footnoteReference w:id="19"/>
      </w:r>
      <w:r>
        <w:t xml:space="preserve"> The AHRC has provided indicative guidance on when and how the obligation would apply.</w:t>
      </w:r>
      <w:r>
        <w:rPr>
          <w:rStyle w:val="FootnoteReference"/>
        </w:rPr>
        <w:footnoteReference w:id="20"/>
      </w:r>
    </w:p>
    <w:p w14:paraId="6ACB74C9" w14:textId="77E07D90" w:rsidR="0075097B" w:rsidRPr="006628CA" w:rsidRDefault="00B82026" w:rsidP="00B82026">
      <w:pPr>
        <w:pStyle w:val="Numberedparagraph"/>
      </w:pPr>
      <w:r w:rsidRPr="006628CA">
        <w:t xml:space="preserve"> For children this would mean:</w:t>
      </w:r>
    </w:p>
    <w:p w14:paraId="7D8FC020" w14:textId="77777777" w:rsidR="00B82026" w:rsidRPr="00DF2CDD" w:rsidRDefault="00B82026" w:rsidP="00B82026">
      <w:pPr>
        <w:pStyle w:val="Quote"/>
      </w:pPr>
      <w:r w:rsidRPr="00DF2CDD">
        <w:t>The implementation of this principle will require the embedding of policies and practices across the public service</w:t>
      </w:r>
      <w:r w:rsidRPr="00C36B84">
        <w:t>… It could also take the form of guid</w:t>
      </w:r>
      <w:r w:rsidRPr="00E078EE">
        <w:t>ance and codes for officials engaging directly with children and their families, about the steps that need to be undertaken to ensure that the duty is fulfilled</w:t>
      </w:r>
      <w:r w:rsidRPr="00DF2CDD">
        <w:t>.</w:t>
      </w:r>
    </w:p>
    <w:p w14:paraId="440A0D11" w14:textId="6A605381" w:rsidR="00B82026" w:rsidRPr="00DC7F02" w:rsidRDefault="00B82026" w:rsidP="006628CA">
      <w:pPr>
        <w:pStyle w:val="Quote"/>
      </w:pPr>
      <w:r w:rsidRPr="00DC7F02">
        <w:t xml:space="preserve">For some public authorities that deal directly with children and children’s rights, the requirement to fulfil the duty may be more onerous and </w:t>
      </w:r>
      <w:r w:rsidRPr="00DC7F02">
        <w:lastRenderedPageBreak/>
        <w:t>comprehensive, applicable to virtually all decisions made in that space – for example, education</w:t>
      </w:r>
      <w:r w:rsidR="004C2EDD">
        <w:t>..</w:t>
      </w:r>
      <w:r w:rsidRPr="00DC7F02">
        <w:t>.</w:t>
      </w:r>
      <w:r w:rsidRPr="00DC7F02">
        <w:rPr>
          <w:rStyle w:val="FootnoteReference"/>
        </w:rPr>
        <w:footnoteReference w:id="21"/>
      </w:r>
    </w:p>
    <w:p w14:paraId="67B9C954" w14:textId="1702F8DF" w:rsidR="0075097B" w:rsidRPr="006628CA" w:rsidRDefault="00FC3DC6" w:rsidP="00FC3DC6">
      <w:pPr>
        <w:pStyle w:val="Numberedparagraph"/>
      </w:pPr>
      <w:r w:rsidRPr="006628CA">
        <w:t>In the long term, t</w:t>
      </w:r>
      <w:r w:rsidR="0075097B" w:rsidRPr="006628CA">
        <w:t>he Commission suggests there is merit</w:t>
      </w:r>
      <w:r w:rsidRPr="006628CA">
        <w:t xml:space="preserve"> in considering formally adopting the participation duty into the </w:t>
      </w:r>
      <w:r w:rsidR="00DF2CDD" w:rsidRPr="006628CA">
        <w:t xml:space="preserve">Queensland </w:t>
      </w:r>
      <w:r w:rsidRPr="006628CA">
        <w:t xml:space="preserve">HR Act, which is shortly to be reviewed. In the short term, arguably the obligations encompassed within the rights in the HR Act, when interpreted consistently with the CRC, mean children and parents should already be given the opportunity to participate in decisions that affect them. </w:t>
      </w:r>
    </w:p>
    <w:p w14:paraId="327570D6" w14:textId="0A5FB65A" w:rsidR="00DF2CDD" w:rsidRPr="006628CA" w:rsidRDefault="00DF2CDD" w:rsidP="00C45995">
      <w:pPr>
        <w:pStyle w:val="Numberedparagraph"/>
      </w:pPr>
      <w:r w:rsidRPr="006628CA">
        <w:t xml:space="preserve">While </w:t>
      </w:r>
      <w:r w:rsidR="00A07F76" w:rsidRPr="006628CA">
        <w:t>these obligations</w:t>
      </w:r>
      <w:r w:rsidRPr="006628CA">
        <w:t xml:space="preserve"> are placed</w:t>
      </w:r>
      <w:r w:rsidR="00C36B84" w:rsidRPr="006628CA">
        <w:t xml:space="preserve"> directly</w:t>
      </w:r>
      <w:r w:rsidRPr="006628CA">
        <w:t xml:space="preserve"> on public entities, </w:t>
      </w:r>
      <w:r w:rsidR="00C36B84" w:rsidRPr="006628CA">
        <w:t>t</w:t>
      </w:r>
      <w:r w:rsidR="00810BEC" w:rsidRPr="006628CA">
        <w:t>hrough the state’s regulation of education standards, they are also relevant non-</w:t>
      </w:r>
      <w:r w:rsidR="008A4C4B">
        <w:t>S</w:t>
      </w:r>
      <w:r w:rsidR="00810BEC" w:rsidRPr="006628CA">
        <w:t>tate schools</w:t>
      </w:r>
      <w:r w:rsidR="006628CA" w:rsidRPr="006628CA">
        <w:t>.</w:t>
      </w:r>
      <w:r w:rsidR="00810BEC" w:rsidRPr="006628CA">
        <w:t xml:space="preserve"> T</w:t>
      </w:r>
      <w:r w:rsidRPr="006628CA">
        <w:t xml:space="preserve">he intention of the </w:t>
      </w:r>
      <w:r w:rsidR="00810BEC" w:rsidRPr="006628CA">
        <w:t xml:space="preserve">relevant </w:t>
      </w:r>
      <w:r w:rsidRPr="006628CA">
        <w:t>international standards</w:t>
      </w:r>
      <w:r w:rsidR="00810BEC" w:rsidRPr="006628CA">
        <w:t xml:space="preserve"> for children</w:t>
      </w:r>
      <w:r w:rsidRPr="006628CA">
        <w:t xml:space="preserve"> is that the </w:t>
      </w:r>
      <w:r w:rsidR="00810BEC" w:rsidRPr="006628CA">
        <w:t>S</w:t>
      </w:r>
      <w:r w:rsidRPr="006628CA">
        <w:t>tate</w:t>
      </w:r>
      <w:r w:rsidR="00810BEC" w:rsidRPr="006628CA">
        <w:t xml:space="preserve"> must</w:t>
      </w:r>
      <w:r w:rsidRPr="006628CA">
        <w:t xml:space="preserve"> ensure that all children, and their families, are given the opportunity to meaningfully participate in major decisions that affect their lives. Arguably this includes ensuring that children in the non-</w:t>
      </w:r>
      <w:r w:rsidR="008A4C4B">
        <w:t>S</w:t>
      </w:r>
      <w:r w:rsidR="00810BEC" w:rsidRPr="006628CA">
        <w:t>tate</w:t>
      </w:r>
      <w:r w:rsidRPr="006628CA">
        <w:t xml:space="preserve"> education system are given the same participation opportunities. </w:t>
      </w:r>
    </w:p>
    <w:p w14:paraId="1A225C46" w14:textId="0BD2C394" w:rsidR="00A4456C" w:rsidRPr="006628CA" w:rsidRDefault="008E0D35" w:rsidP="00C45995">
      <w:pPr>
        <w:pStyle w:val="Numberedparagraph"/>
      </w:pPr>
      <w:r w:rsidRPr="006628CA">
        <w:t xml:space="preserve">An example of this obligation in practice may be seen in the ACT registration standards. </w:t>
      </w:r>
      <w:r w:rsidR="00A4456C" w:rsidRPr="006628CA">
        <w:t xml:space="preserve">Consultation with students, parents and staff about the operation of the school, its education programs, and various policies </w:t>
      </w:r>
      <w:r w:rsidR="00AA6F73" w:rsidRPr="006628CA">
        <w:t xml:space="preserve">are a requirement of the Registration Standards set out in Schedule 2 of the </w:t>
      </w:r>
      <w:r w:rsidR="00AA6F73" w:rsidRPr="006628CA">
        <w:rPr>
          <w:i/>
          <w:iCs/>
        </w:rPr>
        <w:t>Education Regulation 2005</w:t>
      </w:r>
      <w:r w:rsidR="00AA6F73" w:rsidRPr="006628CA">
        <w:t xml:space="preserve"> (ACT).</w:t>
      </w:r>
    </w:p>
    <w:p w14:paraId="2C332875" w14:textId="0F0A591A" w:rsidR="006406CD" w:rsidRDefault="006406CD" w:rsidP="007A1633">
      <w:pPr>
        <w:pStyle w:val="Heading1"/>
      </w:pPr>
      <w:bookmarkStart w:id="15" w:name="_Toc135637833"/>
      <w:r>
        <w:t>Protecting students, promoting wellbeing</w:t>
      </w:r>
      <w:bookmarkEnd w:id="15"/>
    </w:p>
    <w:p w14:paraId="73E1977A" w14:textId="6A9AA12B" w:rsidR="006406CD" w:rsidRPr="006406CD" w:rsidRDefault="00D609E9" w:rsidP="007A1633">
      <w:pPr>
        <w:pStyle w:val="Heading2"/>
      </w:pPr>
      <w:bookmarkStart w:id="16" w:name="_Toc135637834"/>
      <w:r>
        <w:t>Equity and inclusion</w:t>
      </w:r>
      <w:bookmarkEnd w:id="16"/>
      <w:r>
        <w:t xml:space="preserve"> </w:t>
      </w:r>
    </w:p>
    <w:p w14:paraId="026425DD" w14:textId="4077CB11" w:rsidR="001D678F" w:rsidRDefault="00D609E9" w:rsidP="006406CD">
      <w:pPr>
        <w:pStyle w:val="Numberedparagraph"/>
      </w:pPr>
      <w:r>
        <w:t>Protection of students</w:t>
      </w:r>
      <w:r w:rsidR="006628CA">
        <w:t>’</w:t>
      </w:r>
      <w:r>
        <w:t xml:space="preserve"> safety, health and wellbeing must also </w:t>
      </w:r>
      <w:r w:rsidR="00A07F76">
        <w:t>incorporate</w:t>
      </w:r>
      <w:r>
        <w:t xml:space="preserve"> mechanisms to ensure an environment that is free from discrimination. </w:t>
      </w:r>
    </w:p>
    <w:p w14:paraId="4201AF88" w14:textId="2062FA2C" w:rsidR="00D609E9" w:rsidRDefault="00D609E9" w:rsidP="0087298F">
      <w:pPr>
        <w:pStyle w:val="Numberedparagraph"/>
      </w:pPr>
      <w:r>
        <w:t>The current accreditation framework</w:t>
      </w:r>
      <w:r w:rsidR="008D65EF">
        <w:t xml:space="preserve"> requires</w:t>
      </w:r>
      <w:r w:rsidR="00122576">
        <w:t xml:space="preserve"> an educational program that is consistent </w:t>
      </w:r>
      <w:r w:rsidR="008D65EF">
        <w:t xml:space="preserve">with the </w:t>
      </w:r>
      <w:r w:rsidR="008D65EF" w:rsidRPr="008D1D80">
        <w:t>Mparntwe</w:t>
      </w:r>
      <w:r w:rsidR="008D65EF">
        <w:t xml:space="preserve"> Declaration, which includes principles of equity, and</w:t>
      </w:r>
      <w:r>
        <w:t xml:space="preserve"> </w:t>
      </w:r>
      <w:r w:rsidR="0087298F">
        <w:t xml:space="preserve">specifically requires schools to have </w:t>
      </w:r>
      <w:r>
        <w:t xml:space="preserve">written processes about identifying people with disability and devising an educational program that is specific to the needs of people with disability that complies </w:t>
      </w:r>
      <w:r w:rsidR="0053180F">
        <w:t xml:space="preserve">the </w:t>
      </w:r>
      <w:r w:rsidR="0036036F" w:rsidRPr="0036036F">
        <w:t>A</w:t>
      </w:r>
      <w:r w:rsidR="0036036F">
        <w:t>D</w:t>
      </w:r>
      <w:r w:rsidR="0036036F" w:rsidRPr="0036036F">
        <w:t xml:space="preserve"> Act</w:t>
      </w:r>
      <w:r w:rsidR="0036036F">
        <w:rPr>
          <w:i/>
          <w:iCs/>
        </w:rPr>
        <w:t xml:space="preserve"> </w:t>
      </w:r>
      <w:r w:rsidR="0053180F">
        <w:t xml:space="preserve">and the Disability Standards of the </w:t>
      </w:r>
      <w:r w:rsidR="0053180F" w:rsidRPr="006D34FE">
        <w:rPr>
          <w:i/>
          <w:iCs/>
        </w:rPr>
        <w:t>Disability Discrimination Act</w:t>
      </w:r>
      <w:r w:rsidR="0036036F">
        <w:rPr>
          <w:i/>
          <w:iCs/>
        </w:rPr>
        <w:t xml:space="preserve"> 1992 </w:t>
      </w:r>
      <w:r w:rsidR="0036036F" w:rsidRPr="0036036F">
        <w:t>(Cth)</w:t>
      </w:r>
      <w:r w:rsidR="0036036F">
        <w:rPr>
          <w:i/>
          <w:iCs/>
        </w:rPr>
        <w:t>.</w:t>
      </w:r>
      <w:r w:rsidR="0036036F">
        <w:rPr>
          <w:rStyle w:val="FootnoteReference"/>
          <w:i/>
          <w:iCs/>
        </w:rPr>
        <w:footnoteReference w:id="22"/>
      </w:r>
      <w:r w:rsidR="0053180F">
        <w:t xml:space="preserve"> </w:t>
      </w:r>
    </w:p>
    <w:p w14:paraId="1D1FFDB1" w14:textId="233E0CE4" w:rsidR="00C3204C" w:rsidRDefault="00982965" w:rsidP="00F37A0F">
      <w:pPr>
        <w:pStyle w:val="Numberedparagraph"/>
      </w:pPr>
      <w:r>
        <w:t xml:space="preserve">This focus on disability discrimination </w:t>
      </w:r>
      <w:r w:rsidR="0036036F">
        <w:t>might be unintentionally limiting</w:t>
      </w:r>
      <w:r w:rsidR="006D34FE">
        <w:t>, when discrimination can occur in schools on many different protected grounds.</w:t>
      </w:r>
      <w:r>
        <w:t xml:space="preserve"> For example, in</w:t>
      </w:r>
      <w:r w:rsidRPr="00982965">
        <w:t xml:space="preserve"> </w:t>
      </w:r>
      <w:r w:rsidRPr="00982965">
        <w:rPr>
          <w:i/>
          <w:iCs/>
        </w:rPr>
        <w:t>Taniela v Australian Christian College Moreton Ltd</w:t>
      </w:r>
      <w:r w:rsidR="0036036F">
        <w:rPr>
          <w:rStyle w:val="FootnoteReference"/>
          <w:i/>
          <w:iCs/>
        </w:rPr>
        <w:footnoteReference w:id="23"/>
      </w:r>
      <w:r>
        <w:t xml:space="preserve">, QCAT upheld a </w:t>
      </w:r>
      <w:r>
        <w:lastRenderedPageBreak/>
        <w:t>complaint of unlawful discrimination on the basis of race against a school who</w:t>
      </w:r>
      <w:r w:rsidR="0032745E">
        <w:t xml:space="preserve"> required a male student to cut his hair, inconsistent with Cook Island custom</w:t>
      </w:r>
      <w:r>
        <w:t>.</w:t>
      </w:r>
      <w:r w:rsidR="00870C8F">
        <w:rPr>
          <w:rStyle w:val="FootnoteReference"/>
        </w:rPr>
        <w:footnoteReference w:id="24"/>
      </w:r>
      <w:r w:rsidR="006D34FE">
        <w:t xml:space="preserve"> </w:t>
      </w:r>
    </w:p>
    <w:p w14:paraId="02D1F235" w14:textId="66589000" w:rsidR="00E52215" w:rsidRDefault="0036036F" w:rsidP="00F37A0F">
      <w:pPr>
        <w:pStyle w:val="Numberedparagraph"/>
      </w:pPr>
      <w:r>
        <w:t>As yet unpublished r</w:t>
      </w:r>
      <w:r w:rsidR="00C821DF">
        <w:t xml:space="preserve">esearch into </w:t>
      </w:r>
      <w:r w:rsidR="00C821DF" w:rsidRPr="0036036F">
        <w:t xml:space="preserve">Queensland </w:t>
      </w:r>
      <w:r w:rsidR="00C3204C" w:rsidRPr="0036036F">
        <w:t>State schools</w:t>
      </w:r>
      <w:r w:rsidR="00C821DF" w:rsidRPr="0036036F">
        <w:t xml:space="preserve"> shows that children most at risk of school </w:t>
      </w:r>
      <w:r w:rsidR="00C3204C" w:rsidRPr="0036036F">
        <w:t xml:space="preserve">disciplinary absences are </w:t>
      </w:r>
      <w:r w:rsidR="00C821DF" w:rsidRPr="0036036F">
        <w:t xml:space="preserve">children with </w:t>
      </w:r>
      <w:r w:rsidR="00C3204C" w:rsidRPr="0036036F">
        <w:t xml:space="preserve">disability, Aboriginal and/or Torres Strait Islander </w:t>
      </w:r>
      <w:r w:rsidR="00C821DF" w:rsidRPr="0036036F">
        <w:t xml:space="preserve">children </w:t>
      </w:r>
      <w:r w:rsidR="00C3204C" w:rsidRPr="0036036F">
        <w:t>and children in out of home care</w:t>
      </w:r>
      <w:r w:rsidR="00870C8F" w:rsidRPr="0036036F">
        <w:t>, or a combination of these attributes</w:t>
      </w:r>
      <w:r w:rsidR="00E52215" w:rsidRPr="0036036F">
        <w:rPr>
          <w:rStyle w:val="FootnoteReference"/>
        </w:rPr>
        <w:footnoteReference w:id="25"/>
      </w:r>
      <w:r w:rsidR="00C3204C" w:rsidRPr="0036036F">
        <w:t xml:space="preserve">. </w:t>
      </w:r>
      <w:r w:rsidR="00E52215" w:rsidRPr="0036036F">
        <w:t>While children in</w:t>
      </w:r>
      <w:r w:rsidR="00E52215">
        <w:t xml:space="preserve"> out of home care are not a protected attribute under the AD Act, </w:t>
      </w:r>
      <w:r w:rsidR="003B083A">
        <w:t xml:space="preserve">in its </w:t>
      </w:r>
      <w:r w:rsidR="003B083A">
        <w:rPr>
          <w:i/>
          <w:iCs/>
        </w:rPr>
        <w:t>Building Belonging</w:t>
      </w:r>
      <w:r w:rsidR="003B083A">
        <w:t xml:space="preserve"> </w:t>
      </w:r>
      <w:r w:rsidR="003B083A">
        <w:rPr>
          <w:i/>
          <w:iCs/>
        </w:rPr>
        <w:t>Report – Review of Queensland’s Anti-Discrimination Act 1991</w:t>
      </w:r>
      <w:r w:rsidR="003B083A">
        <w:t xml:space="preserve"> (</w:t>
      </w:r>
      <w:r w:rsidR="003B083A">
        <w:rPr>
          <w:i/>
          <w:iCs/>
        </w:rPr>
        <w:t>Building Belonging)</w:t>
      </w:r>
      <w:r w:rsidR="003B083A">
        <w:t xml:space="preserve">, </w:t>
      </w:r>
      <w:r w:rsidR="00E52215">
        <w:t xml:space="preserve">the Commission recommended </w:t>
      </w:r>
      <w:r w:rsidR="003B083A">
        <w:t xml:space="preserve">inclusion of the following new attributes: </w:t>
      </w:r>
      <w:bookmarkStart w:id="17" w:name="_Hlk135211357"/>
      <w:r w:rsidR="003B083A">
        <w:t>subjection to domestic or family violence, homelessness, and irrelevant criminal record</w:t>
      </w:r>
      <w:bookmarkEnd w:id="17"/>
      <w:r w:rsidR="003B083A">
        <w:t>.</w:t>
      </w:r>
      <w:r w:rsidRPr="0036036F">
        <w:rPr>
          <w:rStyle w:val="FootnoteReference"/>
        </w:rPr>
        <w:t xml:space="preserve"> </w:t>
      </w:r>
      <w:r>
        <w:rPr>
          <w:rStyle w:val="FootnoteReference"/>
        </w:rPr>
        <w:footnoteReference w:id="26"/>
      </w:r>
      <w:r w:rsidR="003B083A">
        <w:t xml:space="preserve">  </w:t>
      </w:r>
    </w:p>
    <w:p w14:paraId="7A1985C8" w14:textId="77777777" w:rsidR="003B083A" w:rsidRDefault="003B083A" w:rsidP="00F37A0F">
      <w:pPr>
        <w:pStyle w:val="Numberedparagraph"/>
      </w:pPr>
      <w:r>
        <w:t>The Independent Reviewer should be aware that the Commission also recommended:</w:t>
      </w:r>
    </w:p>
    <w:p w14:paraId="48534B6F" w14:textId="06BC18A2" w:rsidR="003B083A" w:rsidRDefault="003B083A" w:rsidP="003B083A">
      <w:pPr>
        <w:pStyle w:val="Numberedparagraph"/>
        <w:numPr>
          <w:ilvl w:val="1"/>
          <w:numId w:val="13"/>
        </w:numPr>
      </w:pPr>
      <w:bookmarkStart w:id="18" w:name="_Hlk135211370"/>
      <w:r>
        <w:t>the addition of sex characteristics and physical features as protected attributes,</w:t>
      </w:r>
      <w:r w:rsidR="0011748B">
        <w:rPr>
          <w:rStyle w:val="FootnoteReference"/>
        </w:rPr>
        <w:footnoteReference w:id="27"/>
      </w:r>
      <w:r>
        <w:t xml:space="preserve"> </w:t>
      </w:r>
    </w:p>
    <w:p w14:paraId="4A10EF60" w14:textId="597DA7B0" w:rsidR="0011748B" w:rsidRPr="009C1E19" w:rsidRDefault="00A169FE" w:rsidP="003B083A">
      <w:pPr>
        <w:pStyle w:val="Numberedparagraph"/>
        <w:numPr>
          <w:ilvl w:val="1"/>
          <w:numId w:val="13"/>
        </w:numPr>
      </w:pPr>
      <w:r w:rsidRPr="009C1E19">
        <w:t xml:space="preserve">a </w:t>
      </w:r>
      <w:r w:rsidR="0069402D" w:rsidRPr="009C1E19">
        <w:t xml:space="preserve">revised </w:t>
      </w:r>
      <w:r w:rsidRPr="009C1E19">
        <w:t>exception that allows discrimination on the ground of religious belief or religious activity in relation to work for an organisation or related entity established for religious purposes if reasonable and proportionate in the circumstances and the participation of the person in the teaching, observance or practice of a particular religion is a genuine occupational requirement</w:t>
      </w:r>
      <w:r w:rsidR="00A40A39" w:rsidRPr="009C1E19">
        <w:t>;</w:t>
      </w:r>
      <w:r w:rsidRPr="009C1E19">
        <w:rPr>
          <w:rStyle w:val="FootnoteReference"/>
        </w:rPr>
        <w:footnoteReference w:id="28"/>
      </w:r>
      <w:r w:rsidRPr="009C1E19">
        <w:t xml:space="preserve"> </w:t>
      </w:r>
    </w:p>
    <w:p w14:paraId="1FA44139" w14:textId="21145703" w:rsidR="005C37A9" w:rsidRPr="00A1287A" w:rsidRDefault="005C37A9" w:rsidP="003B083A">
      <w:pPr>
        <w:pStyle w:val="Numberedparagraph"/>
        <w:numPr>
          <w:ilvl w:val="1"/>
          <w:numId w:val="13"/>
        </w:numPr>
      </w:pPr>
      <w:r w:rsidRPr="00A1287A">
        <w:t>A new positive duty to make reasonable accommodations for people with disability in all areas</w:t>
      </w:r>
      <w:r w:rsidR="002E2288" w:rsidRPr="00A1287A">
        <w:t xml:space="preserve"> covered by the AD Act, including education</w:t>
      </w:r>
      <w:r w:rsidR="00A40A39" w:rsidRPr="00A1287A">
        <w:t>;</w:t>
      </w:r>
      <w:r w:rsidR="00A40A39" w:rsidRPr="00A1287A">
        <w:rPr>
          <w:rStyle w:val="FootnoteReference"/>
        </w:rPr>
        <w:footnoteReference w:id="29"/>
      </w:r>
      <w:r w:rsidR="002E2288" w:rsidRPr="00A1287A">
        <w:t xml:space="preserve"> </w:t>
      </w:r>
    </w:p>
    <w:p w14:paraId="245ACD8E" w14:textId="0B06E199" w:rsidR="00A40A39" w:rsidRPr="00A1287A" w:rsidRDefault="00A40A39" w:rsidP="003B083A">
      <w:pPr>
        <w:pStyle w:val="Numberedparagraph"/>
        <w:numPr>
          <w:ilvl w:val="1"/>
          <w:numId w:val="13"/>
        </w:numPr>
      </w:pPr>
      <w:r w:rsidRPr="00A1287A">
        <w:t>A new positive duty to take reasonable and proportionate measures to eliminate discrimination and other prohibited conduct as far as possible which applies to anyone who has a legal obligation under the Act, and for all attributes and areas covered by the Act.</w:t>
      </w:r>
      <w:r w:rsidRPr="00A1287A">
        <w:rPr>
          <w:rStyle w:val="FootnoteReference"/>
        </w:rPr>
        <w:footnoteReference w:id="30"/>
      </w:r>
    </w:p>
    <w:bookmarkEnd w:id="18"/>
    <w:p w14:paraId="5BF0D225" w14:textId="676408FC" w:rsidR="00A169FE" w:rsidRDefault="00A169FE" w:rsidP="00A169FE">
      <w:pPr>
        <w:pStyle w:val="Numberedparagraph"/>
      </w:pPr>
      <w:r>
        <w:lastRenderedPageBreak/>
        <w:t>These recommendations have been accepted</w:t>
      </w:r>
      <w:r w:rsidR="0069402D">
        <w:t xml:space="preserve"> in-principle</w:t>
      </w:r>
      <w:r>
        <w:t xml:space="preserve"> for implementation by Government.</w:t>
      </w:r>
      <w:r w:rsidR="006F0792">
        <w:rPr>
          <w:rStyle w:val="FootnoteReference"/>
        </w:rPr>
        <w:footnoteReference w:id="31"/>
      </w:r>
      <w:r>
        <w:t xml:space="preserve"> </w:t>
      </w:r>
    </w:p>
    <w:p w14:paraId="1E34D0A9" w14:textId="7DA29B8D" w:rsidR="005E7FA1" w:rsidRDefault="005E7FA1" w:rsidP="005E7FA1">
      <w:pPr>
        <w:pStyle w:val="Heading2"/>
      </w:pPr>
      <w:bookmarkStart w:id="19" w:name="_Toc135637835"/>
      <w:r>
        <w:t>Health and wellbeing</w:t>
      </w:r>
      <w:bookmarkEnd w:id="19"/>
    </w:p>
    <w:p w14:paraId="62366436" w14:textId="70CAD540" w:rsidR="005E7FA1" w:rsidRDefault="005E7FA1" w:rsidP="005E7FA1">
      <w:pPr>
        <w:pStyle w:val="Numberedparagraph"/>
      </w:pPr>
      <w:r>
        <w:t xml:space="preserve">As already indicated above, health and wellbeing and its connection to learning </w:t>
      </w:r>
      <w:r w:rsidR="00D61326">
        <w:t xml:space="preserve">and </w:t>
      </w:r>
      <w:r>
        <w:t>school</w:t>
      </w:r>
      <w:r w:rsidR="00D61326">
        <w:t xml:space="preserve"> engagement</w:t>
      </w:r>
      <w:r>
        <w:t xml:space="preserve"> is gaining prominence.</w:t>
      </w:r>
      <w:r>
        <w:rPr>
          <w:rStyle w:val="FootnoteReference"/>
        </w:rPr>
        <w:footnoteReference w:id="32"/>
      </w:r>
      <w:r>
        <w:t xml:space="preserve"> </w:t>
      </w:r>
      <w:r w:rsidR="007649D1">
        <w:t xml:space="preserve">In addition, schools are a significant protective factor for vulnerable children </w:t>
      </w:r>
      <w:r w:rsidR="00F92D93">
        <w:t xml:space="preserve">and are well placed to provide early intervention supports. </w:t>
      </w:r>
    </w:p>
    <w:p w14:paraId="3063E32D" w14:textId="3407590A" w:rsidR="00D05D59" w:rsidRDefault="00D05D59" w:rsidP="005E7FA1">
      <w:pPr>
        <w:pStyle w:val="Numberedparagraph"/>
      </w:pPr>
      <w:r>
        <w:t xml:space="preserve">Regulation 9 of the </w:t>
      </w:r>
      <w:r w:rsidRPr="00FB48F9">
        <w:rPr>
          <w:i/>
          <w:iCs/>
        </w:rPr>
        <w:t xml:space="preserve">Education (Accreditation of Non-State Schools) Regulation 2017 </w:t>
      </w:r>
      <w:r>
        <w:t>(Qld) requires schools have a written education program that:</w:t>
      </w:r>
    </w:p>
    <w:p w14:paraId="426FD29A" w14:textId="4197B304" w:rsidR="00D05D59" w:rsidRPr="00D05D59" w:rsidRDefault="00D05D59" w:rsidP="00D05D59">
      <w:pPr>
        <w:pStyle w:val="Numberedparagraph"/>
        <w:numPr>
          <w:ilvl w:val="0"/>
          <w:numId w:val="29"/>
        </w:numPr>
        <w:rPr>
          <w:lang w:eastAsia="en-AU"/>
        </w:rPr>
      </w:pPr>
      <w:r w:rsidRPr="00D05D59">
        <w:rPr>
          <w:lang w:eastAsia="en-AU"/>
        </w:rPr>
        <w:t>provides a breadth, depth and balance of learning appropriate to students’ phases of development and across an appropriate range of learning areas; and</w:t>
      </w:r>
    </w:p>
    <w:p w14:paraId="56EF232E" w14:textId="6C38E4ED" w:rsidR="00D05D59" w:rsidRPr="00D05D59" w:rsidRDefault="00D05D59" w:rsidP="00D05D59">
      <w:pPr>
        <w:pStyle w:val="Numberedparagraph"/>
        <w:numPr>
          <w:ilvl w:val="0"/>
          <w:numId w:val="29"/>
        </w:numPr>
        <w:rPr>
          <w:lang w:eastAsia="en-AU"/>
        </w:rPr>
      </w:pPr>
      <w:r w:rsidRPr="00D05D59">
        <w:rPr>
          <w:lang w:eastAsia="en-AU"/>
        </w:rPr>
        <w:t>is responsive to the needs of the school’s students; and</w:t>
      </w:r>
    </w:p>
    <w:p w14:paraId="2F256F42" w14:textId="6DC8DB9A" w:rsidR="00D05D59" w:rsidRPr="00D05D59" w:rsidRDefault="00D05D59" w:rsidP="00D05D59">
      <w:pPr>
        <w:pStyle w:val="Numberedparagraph"/>
        <w:numPr>
          <w:ilvl w:val="0"/>
          <w:numId w:val="29"/>
        </w:numPr>
        <w:rPr>
          <w:lang w:eastAsia="en-AU"/>
        </w:rPr>
      </w:pPr>
      <w:r w:rsidRPr="00D05D59">
        <w:rPr>
          <w:lang w:eastAsia="en-AU"/>
        </w:rPr>
        <w:t>is consistent with the Mparntwe Declaration.</w:t>
      </w:r>
    </w:p>
    <w:p w14:paraId="30692664" w14:textId="5BA3D854" w:rsidR="00122576" w:rsidRDefault="00122576" w:rsidP="005E7FA1">
      <w:pPr>
        <w:pStyle w:val="Numberedparagraph"/>
      </w:pPr>
      <w:r>
        <w:t xml:space="preserve">The Mparntwe Declaration, while setting out </w:t>
      </w:r>
      <w:r w:rsidR="007653D2">
        <w:t>worthwhile</w:t>
      </w:r>
      <w:r>
        <w:t xml:space="preserve"> goals</w:t>
      </w:r>
      <w:r w:rsidR="0090347B">
        <w:t xml:space="preserve"> and focus areas for action</w:t>
      </w:r>
      <w:r>
        <w:t xml:space="preserve">, </w:t>
      </w:r>
      <w:r w:rsidR="00FB48F9">
        <w:t xml:space="preserve">without further guidance, might be difficult for schools to implement and embed in their policies and practice. </w:t>
      </w:r>
      <w:r>
        <w:t xml:space="preserve"> </w:t>
      </w:r>
    </w:p>
    <w:p w14:paraId="082A38C0" w14:textId="050BCFB1" w:rsidR="005E7FA1" w:rsidRDefault="00D05D59" w:rsidP="005E7FA1">
      <w:pPr>
        <w:pStyle w:val="Numberedparagraph"/>
      </w:pPr>
      <w:r>
        <w:t xml:space="preserve">The </w:t>
      </w:r>
      <w:r w:rsidR="005E7FA1">
        <w:t>accreditation criteria for ‘the school’s student welfare processes’</w:t>
      </w:r>
      <w:r>
        <w:t xml:space="preserve"> </w:t>
      </w:r>
      <w:r w:rsidR="00D61326">
        <w:t xml:space="preserve">only </w:t>
      </w:r>
      <w:r w:rsidR="00A07F76">
        <w:t>require</w:t>
      </w:r>
      <w:r w:rsidR="00D61326">
        <w:t xml:space="preserve"> compliance with workplace health and safety laws, Blue Card requirements, and processes to respond to allegations of harm.</w:t>
      </w:r>
      <w:r w:rsidR="00D61326">
        <w:rPr>
          <w:rStyle w:val="FootnoteReference"/>
        </w:rPr>
        <w:footnoteReference w:id="33"/>
      </w:r>
      <w:r w:rsidR="00D61326">
        <w:t xml:space="preserve">  </w:t>
      </w:r>
    </w:p>
    <w:p w14:paraId="3EC3B25A" w14:textId="13A035C6" w:rsidR="00D61326" w:rsidRPr="005E7FA1" w:rsidRDefault="00D61326" w:rsidP="005E7FA1">
      <w:pPr>
        <w:pStyle w:val="Numberedparagraph"/>
      </w:pPr>
      <w:r>
        <w:t xml:space="preserve">There is greater scope within </w:t>
      </w:r>
      <w:r w:rsidR="0087298F">
        <w:t xml:space="preserve">the accreditation </w:t>
      </w:r>
      <w:r>
        <w:t>criteria t</w:t>
      </w:r>
      <w:r w:rsidR="00F92D93">
        <w:t>o</w:t>
      </w:r>
      <w:r>
        <w:t xml:space="preserve"> </w:t>
      </w:r>
      <w:r w:rsidR="00F92D93">
        <w:t xml:space="preserve">promote </w:t>
      </w:r>
      <w:r>
        <w:t>student health and wellbeing</w:t>
      </w:r>
      <w:r w:rsidR="00F92D93">
        <w:t xml:space="preserve">. For example, </w:t>
      </w:r>
      <w:r w:rsidR="005C37A9">
        <w:t>this could include school strategies that prioritise student health and wellbeing, health and wellbeing skills as part of the curriculum, and demonstrated collaboration between services, families and schools.</w:t>
      </w:r>
      <w:r w:rsidR="005C37A9">
        <w:rPr>
          <w:rStyle w:val="FootnoteReference"/>
        </w:rPr>
        <w:footnoteReference w:id="34"/>
      </w:r>
      <w:r w:rsidR="009B3A33">
        <w:t xml:space="preserve"> The ACT registration standards require schools to have procedures in place to encourage student attendance</w:t>
      </w:r>
      <w:r w:rsidR="00AE049E">
        <w:t xml:space="preserve">, and written behaviour management policies and procedures that deal with school disciplinary absences that have </w:t>
      </w:r>
      <w:r w:rsidR="00AE049E">
        <w:lastRenderedPageBreak/>
        <w:t>regard to the best interests of the individual student, other students, and staff of the school.</w:t>
      </w:r>
      <w:r w:rsidR="00AE049E">
        <w:rPr>
          <w:rStyle w:val="FootnoteReference"/>
        </w:rPr>
        <w:footnoteReference w:id="35"/>
      </w:r>
      <w:r w:rsidR="00AE049E">
        <w:t xml:space="preserve"> </w:t>
      </w:r>
    </w:p>
    <w:p w14:paraId="57545BFC" w14:textId="039F3D96" w:rsidR="00114970" w:rsidRDefault="00114970" w:rsidP="00114970">
      <w:pPr>
        <w:pStyle w:val="Heading1"/>
      </w:pPr>
      <w:bookmarkStart w:id="20" w:name="_Toc135637836"/>
      <w:r>
        <w:t>Setting the standards of education – Expectations of schools</w:t>
      </w:r>
      <w:bookmarkEnd w:id="20"/>
    </w:p>
    <w:p w14:paraId="69F09DD1" w14:textId="57CA2360" w:rsidR="005F77E4" w:rsidRPr="005F77E4" w:rsidRDefault="00114970" w:rsidP="009F7E4A">
      <w:pPr>
        <w:pStyle w:val="Numberedparagraph"/>
      </w:pPr>
      <w:r>
        <w:t xml:space="preserve">For reasons already set out above, the Commission envisages </w:t>
      </w:r>
      <w:r w:rsidR="00474550">
        <w:t xml:space="preserve">an increasing community expectation that non-State schools abide by human rights principles. Many of the rights protected by the </w:t>
      </w:r>
      <w:r w:rsidR="009C1E19" w:rsidRPr="009C1E19">
        <w:t>HR Act</w:t>
      </w:r>
      <w:r w:rsidR="009C1E19">
        <w:rPr>
          <w:i/>
          <w:iCs/>
        </w:rPr>
        <w:t xml:space="preserve"> </w:t>
      </w:r>
      <w:r w:rsidR="00474550">
        <w:t>are already covered by other legal frameworks, such as Federal and state anti-discrimination laws and current accreditation criteria</w:t>
      </w:r>
      <w:r w:rsidR="00474550" w:rsidRPr="0074184C">
        <w:rPr>
          <w:szCs w:val="22"/>
        </w:rPr>
        <w:t>, for example, the requirement for a school’s educational programs to be consistent with the Mparntwe Declaration</w:t>
      </w:r>
      <w:r w:rsidR="00EF024F">
        <w:rPr>
          <w:szCs w:val="22"/>
        </w:rPr>
        <w:t>.</w:t>
      </w:r>
      <w:r w:rsidR="00474550">
        <w:rPr>
          <w:rStyle w:val="FootnoteReference"/>
          <w:szCs w:val="22"/>
        </w:rPr>
        <w:footnoteReference w:id="36"/>
      </w:r>
      <w:r w:rsidR="00474550" w:rsidRPr="0074184C">
        <w:rPr>
          <w:szCs w:val="22"/>
        </w:rPr>
        <w:t xml:space="preserve">  </w:t>
      </w:r>
      <w:r w:rsidR="009B3A33">
        <w:rPr>
          <w:szCs w:val="22"/>
        </w:rPr>
        <w:t xml:space="preserve">However, </w:t>
      </w:r>
      <w:r w:rsidR="005F77E4">
        <w:rPr>
          <w:szCs w:val="22"/>
        </w:rPr>
        <w:t xml:space="preserve">existing frameworks do not provide coverage of all rights protected by the HR Act. </w:t>
      </w:r>
    </w:p>
    <w:p w14:paraId="501A706C" w14:textId="35A7C60E" w:rsidR="009E0F40" w:rsidRDefault="0074184C" w:rsidP="00EF024F">
      <w:pPr>
        <w:pStyle w:val="Numberedparagraph"/>
      </w:pPr>
      <w:r>
        <w:t>Regardless of legal requirements,</w:t>
      </w:r>
      <w:r w:rsidR="0088775F">
        <w:t xml:space="preserve"> human rights considerations lead to better policy and more inclusive practices. Many non-</w:t>
      </w:r>
      <w:r w:rsidR="00366270">
        <w:t>S</w:t>
      </w:r>
      <w:r w:rsidR="0088775F">
        <w:t xml:space="preserve">tate schools now likely already adopt many of these principles. Ensuring all </w:t>
      </w:r>
      <w:r>
        <w:t>non-State school</w:t>
      </w:r>
      <w:r w:rsidR="0088775F">
        <w:t>s</w:t>
      </w:r>
      <w:r>
        <w:t xml:space="preserve"> </w:t>
      </w:r>
      <w:r w:rsidR="0088775F">
        <w:t>consider</w:t>
      </w:r>
      <w:r>
        <w:t xml:space="preserve"> human rights </w:t>
      </w:r>
      <w:r w:rsidR="0088775F">
        <w:t xml:space="preserve">would </w:t>
      </w:r>
      <w:r>
        <w:t xml:space="preserve">lead to more structured and consistent decision making, better outcomes for individuals, fewer complaints and decreased risk. </w:t>
      </w:r>
      <w:r w:rsidR="00EF024F">
        <w:t xml:space="preserve">This review provides an opportunity to </w:t>
      </w:r>
      <w:r w:rsidR="0088775F">
        <w:t>build on the existing</w:t>
      </w:r>
      <w:r w:rsidR="00EF024F">
        <w:t xml:space="preserve"> human rights culture within non-State schools</w:t>
      </w:r>
      <w:r w:rsidR="0088775F">
        <w:t>, to</w:t>
      </w:r>
      <w:r w:rsidR="00A40A39">
        <w:t xml:space="preserve"> </w:t>
      </w:r>
      <w:r w:rsidR="00EF024F">
        <w:t>scaffold a greater focus on the whole child to align with changing community expectations of schools</w:t>
      </w:r>
      <w:r w:rsidR="00A40A39">
        <w:t xml:space="preserve"> and will assist in maintaining public confidence in the operation of non-State schools</w:t>
      </w:r>
      <w:r w:rsidR="00EF024F">
        <w:t>.</w:t>
      </w:r>
      <w:r w:rsidR="00F02676">
        <w:rPr>
          <w:rStyle w:val="FootnoteReference"/>
        </w:rPr>
        <w:footnoteReference w:id="37"/>
      </w:r>
      <w:r w:rsidR="00EF024F">
        <w:t xml:space="preserve"> It is also consistent with </w:t>
      </w:r>
      <w:r w:rsidR="009E0F40">
        <w:t>the Accreditation Board</w:t>
      </w:r>
      <w:r w:rsidR="00EF024F">
        <w:t xml:space="preserve">’s </w:t>
      </w:r>
      <w:r w:rsidR="009E0F40">
        <w:t xml:space="preserve">obligations </w:t>
      </w:r>
      <w:r w:rsidR="00786D31">
        <w:t xml:space="preserve">as </w:t>
      </w:r>
      <w:r w:rsidR="009E0F40">
        <w:t xml:space="preserve">a public entity </w:t>
      </w:r>
      <w:r w:rsidR="00786D31">
        <w:t xml:space="preserve">in </w:t>
      </w:r>
      <w:r w:rsidR="009E0F40">
        <w:t>regulating non-public entit</w:t>
      </w:r>
      <w:r w:rsidR="00EF024F">
        <w:t>ies</w:t>
      </w:r>
      <w:r w:rsidR="009E0F40">
        <w:t xml:space="preserve"> whose functions</w:t>
      </w:r>
      <w:r w:rsidR="00EF024F">
        <w:t>, nevertheless,</w:t>
      </w:r>
      <w:r w:rsidR="009E0F40">
        <w:t xml:space="preserve"> </w:t>
      </w:r>
      <w:r w:rsidR="00786D31">
        <w:t xml:space="preserve">can </w:t>
      </w:r>
      <w:r w:rsidR="009E0F40">
        <w:t>have a significant impact on individual human rights.</w:t>
      </w:r>
    </w:p>
    <w:p w14:paraId="3E3A95BA" w14:textId="36A811C1" w:rsidR="0074184C" w:rsidRDefault="00A1287A" w:rsidP="00114970">
      <w:pPr>
        <w:pStyle w:val="Numberedparagraph"/>
      </w:pPr>
      <w:r>
        <w:t xml:space="preserve">The following are </w:t>
      </w:r>
      <w:r w:rsidR="00A40A39">
        <w:t>examples of how this can be achieved</w:t>
      </w:r>
      <w:r w:rsidR="00F8155A">
        <w:t>.</w:t>
      </w:r>
    </w:p>
    <w:p w14:paraId="68BDF6C6" w14:textId="3595F0D3" w:rsidR="00F8155A" w:rsidRDefault="00F02676" w:rsidP="00F8155A">
      <w:pPr>
        <w:pStyle w:val="Heading2"/>
      </w:pPr>
      <w:bookmarkStart w:id="21" w:name="_Toc135637837"/>
      <w:r>
        <w:t>Underlying p</w:t>
      </w:r>
      <w:r w:rsidR="00F8155A">
        <w:t>rinciples</w:t>
      </w:r>
      <w:bookmarkEnd w:id="21"/>
    </w:p>
    <w:p w14:paraId="610BD1D1" w14:textId="4C82E1C7" w:rsidR="00F8155A" w:rsidRDefault="00F8155A" w:rsidP="00F8155A">
      <w:pPr>
        <w:pStyle w:val="Numberedparagraph"/>
      </w:pPr>
      <w:r w:rsidRPr="00F8155A">
        <w:t>ACT legislation sets out principles underpinning the regulation of non-Government schools</w:t>
      </w:r>
      <w:r>
        <w:t>. These are:</w:t>
      </w:r>
    </w:p>
    <w:p w14:paraId="5DAE2063" w14:textId="77777777" w:rsidR="00F8155A" w:rsidRPr="00F02676" w:rsidRDefault="00F8155A" w:rsidP="00F02676">
      <w:pPr>
        <w:ind w:left="720"/>
        <w:rPr>
          <w:rFonts w:ascii="Times New Roman" w:hAnsi="Times New Roman"/>
          <w:sz w:val="20"/>
          <w:szCs w:val="20"/>
        </w:rPr>
      </w:pPr>
      <w:r w:rsidRPr="00F02676">
        <w:rPr>
          <w:sz w:val="20"/>
          <w:szCs w:val="20"/>
        </w:rPr>
        <w:t>(a) the non</w:t>
      </w:r>
      <w:r w:rsidRPr="00F02676">
        <w:rPr>
          <w:sz w:val="20"/>
          <w:szCs w:val="20"/>
        </w:rPr>
        <w:noBreakHyphen/>
        <w:t>government school sector consists of schools from a range of different educational and religious philosophies;</w:t>
      </w:r>
    </w:p>
    <w:p w14:paraId="7C1D6FCC" w14:textId="41F6D4AD" w:rsidR="00F8155A" w:rsidRPr="00F02676" w:rsidRDefault="00F8155A" w:rsidP="00F02676">
      <w:pPr>
        <w:ind w:left="720"/>
        <w:rPr>
          <w:sz w:val="20"/>
          <w:szCs w:val="20"/>
        </w:rPr>
      </w:pPr>
      <w:r w:rsidRPr="00F02676">
        <w:rPr>
          <w:sz w:val="20"/>
          <w:szCs w:val="20"/>
        </w:rPr>
        <w:t>(b) the variety of schools in the sector reflects the diversity of the community in the ACT and the preferences of parents for a particular style of education for their children;</w:t>
      </w:r>
    </w:p>
    <w:p w14:paraId="1056E34B" w14:textId="3549D4E1" w:rsidR="00F8155A" w:rsidRPr="00F02676" w:rsidRDefault="00F8155A" w:rsidP="00F02676">
      <w:pPr>
        <w:ind w:left="720"/>
        <w:rPr>
          <w:sz w:val="20"/>
          <w:szCs w:val="20"/>
        </w:rPr>
      </w:pPr>
      <w:r w:rsidRPr="00F02676">
        <w:rPr>
          <w:sz w:val="20"/>
          <w:szCs w:val="20"/>
        </w:rPr>
        <w:t>(c) the non</w:t>
      </w:r>
      <w:r w:rsidRPr="00F02676">
        <w:rPr>
          <w:sz w:val="20"/>
          <w:szCs w:val="20"/>
        </w:rPr>
        <w:noBreakHyphen/>
        <w:t>government schools sector is committed to—</w:t>
      </w:r>
    </w:p>
    <w:p w14:paraId="705A6339" w14:textId="6C788205" w:rsidR="00F8155A" w:rsidRPr="00F02676" w:rsidRDefault="00F8155A" w:rsidP="00BC7FA0">
      <w:pPr>
        <w:ind w:left="1440"/>
        <w:rPr>
          <w:sz w:val="20"/>
          <w:szCs w:val="20"/>
        </w:rPr>
      </w:pPr>
      <w:r w:rsidRPr="00F02676">
        <w:rPr>
          <w:sz w:val="20"/>
          <w:szCs w:val="20"/>
        </w:rPr>
        <w:t>(i) developing the spiritual, physical, emotional and intellectual welfare of its students; and</w:t>
      </w:r>
    </w:p>
    <w:p w14:paraId="569D7DA3" w14:textId="6620E231" w:rsidR="00F8155A" w:rsidRPr="00F02676" w:rsidRDefault="00F8155A" w:rsidP="00BC7FA0">
      <w:pPr>
        <w:ind w:left="1440"/>
        <w:rPr>
          <w:sz w:val="20"/>
          <w:szCs w:val="20"/>
        </w:rPr>
      </w:pPr>
      <w:r w:rsidRPr="00F02676">
        <w:rPr>
          <w:sz w:val="20"/>
          <w:szCs w:val="20"/>
        </w:rPr>
        <w:t>(ii) innovation, diversity and choice; and</w:t>
      </w:r>
    </w:p>
    <w:p w14:paraId="72E9C0D6" w14:textId="16924CB1" w:rsidR="00F8155A" w:rsidRPr="00F02676" w:rsidRDefault="00F8155A" w:rsidP="00BC7FA0">
      <w:pPr>
        <w:ind w:left="1440"/>
        <w:rPr>
          <w:sz w:val="20"/>
          <w:szCs w:val="20"/>
        </w:rPr>
      </w:pPr>
      <w:r w:rsidRPr="00F02676">
        <w:rPr>
          <w:sz w:val="20"/>
          <w:szCs w:val="20"/>
        </w:rPr>
        <w:lastRenderedPageBreak/>
        <w:t>(iii) maximising student outcomes; and</w:t>
      </w:r>
    </w:p>
    <w:p w14:paraId="0C97BDCB" w14:textId="0594E271" w:rsidR="00F8155A" w:rsidRPr="00F02676" w:rsidRDefault="00F8155A" w:rsidP="00BC7FA0">
      <w:pPr>
        <w:ind w:left="1440"/>
        <w:rPr>
          <w:sz w:val="20"/>
          <w:szCs w:val="20"/>
        </w:rPr>
      </w:pPr>
      <w:r w:rsidRPr="00F02676">
        <w:rPr>
          <w:sz w:val="20"/>
          <w:szCs w:val="20"/>
        </w:rPr>
        <w:t>(iv) teacher, parent and student participation in school education; and</w:t>
      </w:r>
    </w:p>
    <w:p w14:paraId="3458C587" w14:textId="3BBFCF1C" w:rsidR="00F8155A" w:rsidRPr="00F02676" w:rsidRDefault="00F8155A" w:rsidP="00BC7FA0">
      <w:pPr>
        <w:ind w:left="1440"/>
        <w:rPr>
          <w:sz w:val="20"/>
          <w:szCs w:val="20"/>
        </w:rPr>
      </w:pPr>
      <w:r w:rsidRPr="00F02676">
        <w:rPr>
          <w:sz w:val="20"/>
          <w:szCs w:val="20"/>
        </w:rPr>
        <w:t>(v) promoting the partnership between home and school; and</w:t>
      </w:r>
    </w:p>
    <w:p w14:paraId="4C9E8909" w14:textId="487938A4" w:rsidR="00F8155A" w:rsidRPr="00F02676" w:rsidRDefault="00F8155A" w:rsidP="00BC7FA0">
      <w:pPr>
        <w:spacing w:after="240"/>
        <w:ind w:left="1440"/>
        <w:rPr>
          <w:sz w:val="20"/>
          <w:szCs w:val="20"/>
        </w:rPr>
      </w:pPr>
      <w:r w:rsidRPr="00F02676">
        <w:rPr>
          <w:sz w:val="20"/>
          <w:szCs w:val="20"/>
        </w:rPr>
        <w:t>(vi) preparing students for their full participation in all aspects of a democratic society.</w:t>
      </w:r>
      <w:r w:rsidRPr="00F02676">
        <w:rPr>
          <w:rStyle w:val="FootnoteReference"/>
          <w:sz w:val="20"/>
          <w:szCs w:val="20"/>
        </w:rPr>
        <w:footnoteReference w:id="38"/>
      </w:r>
    </w:p>
    <w:p w14:paraId="5BD72FE9" w14:textId="2235E4A5" w:rsidR="00735758" w:rsidRDefault="00735758" w:rsidP="00F8155A">
      <w:pPr>
        <w:pStyle w:val="Numberedparagraph"/>
      </w:pPr>
      <w:r>
        <w:t xml:space="preserve">Victoria’s legislation has </w:t>
      </w:r>
      <w:r w:rsidR="00510064">
        <w:t xml:space="preserve">a set of principles that apply </w:t>
      </w:r>
      <w:r>
        <w:t>to all providers of education and training</w:t>
      </w:r>
      <w:r w:rsidR="00BC7FA0">
        <w:t xml:space="preserve">. These </w:t>
      </w:r>
      <w:r>
        <w:t>refer to a commit</w:t>
      </w:r>
      <w:r w:rsidR="00510064">
        <w:t>ment to a number of freedoms such as equality, religion, speech and association, the values of openness and tolerance, the right of all Victorians to access high quality education, a system which allows parents to take an active part in their child’s learning, and the right of students and parents to information about a student, and the rights of the community to information about its school.</w:t>
      </w:r>
      <w:r w:rsidR="00510064">
        <w:rPr>
          <w:rStyle w:val="FootnoteReference"/>
        </w:rPr>
        <w:footnoteReference w:id="39"/>
      </w:r>
      <w:r w:rsidR="00324D01">
        <w:t xml:space="preserve"> </w:t>
      </w:r>
      <w:r w:rsidR="00D15B5D">
        <w:t>Many of these</w:t>
      </w:r>
      <w:r w:rsidR="00324D01">
        <w:t xml:space="preserve"> principles are</w:t>
      </w:r>
      <w:r w:rsidR="00351128">
        <w:t xml:space="preserve"> then given form in the </w:t>
      </w:r>
      <w:r w:rsidR="00324D01">
        <w:t>minimum standards for the registration of schools</w:t>
      </w:r>
      <w:r w:rsidR="005239B3">
        <w:t>.</w:t>
      </w:r>
      <w:r w:rsidR="005239B3">
        <w:rPr>
          <w:rStyle w:val="FootnoteReference"/>
        </w:rPr>
        <w:footnoteReference w:id="40"/>
      </w:r>
      <w:r w:rsidR="005239B3">
        <w:t xml:space="preserve"> </w:t>
      </w:r>
      <w:r w:rsidR="005239B3" w:rsidRPr="00D15B5D">
        <w:t>In addition to general powers to investigate issues regarding compliance</w:t>
      </w:r>
      <w:r w:rsidR="005239B3" w:rsidRPr="00D15B5D">
        <w:rPr>
          <w:rStyle w:val="FootnoteReference"/>
        </w:rPr>
        <w:footnoteReference w:id="41"/>
      </w:r>
      <w:r w:rsidR="005239B3" w:rsidRPr="00D15B5D">
        <w:t>, the Victorian</w:t>
      </w:r>
      <w:r w:rsidR="005239B3">
        <w:t xml:space="preserve"> Registration and Qualifications Authority must investigate complaints</w:t>
      </w:r>
      <w:r w:rsidR="00D15B5D">
        <w:t xml:space="preserve"> which</w:t>
      </w:r>
      <w:r w:rsidR="005239B3">
        <w:t xml:space="preserve"> </w:t>
      </w:r>
      <w:r w:rsidR="00D15B5D">
        <w:t xml:space="preserve">allege </w:t>
      </w:r>
      <w:r w:rsidR="005239B3">
        <w:t>breach of certain principles</w:t>
      </w:r>
      <w:r w:rsidR="00324D01">
        <w:t>.</w:t>
      </w:r>
      <w:r w:rsidR="005239B3">
        <w:rPr>
          <w:rStyle w:val="FootnoteReference"/>
        </w:rPr>
        <w:footnoteReference w:id="42"/>
      </w:r>
      <w:r w:rsidR="007B7731">
        <w:t xml:space="preserve"> </w:t>
      </w:r>
    </w:p>
    <w:p w14:paraId="3A100303" w14:textId="1721976A" w:rsidR="00F8155A" w:rsidRDefault="00EB04E4" w:rsidP="00F8155A">
      <w:pPr>
        <w:pStyle w:val="Numberedparagraph"/>
      </w:pPr>
      <w:r>
        <w:t xml:space="preserve">Setting out a </w:t>
      </w:r>
      <w:r w:rsidR="00F8155A">
        <w:t>purpose</w:t>
      </w:r>
      <w:r w:rsidR="001A1FD8">
        <w:t xml:space="preserve"> and principles for </w:t>
      </w:r>
      <w:r w:rsidR="00F8155A">
        <w:t>non-State school</w:t>
      </w:r>
      <w:r w:rsidR="00461B78">
        <w:t>s</w:t>
      </w:r>
      <w:r>
        <w:t xml:space="preserve"> </w:t>
      </w:r>
      <w:r w:rsidR="00461B78">
        <w:t>would help</w:t>
      </w:r>
      <w:r w:rsidR="001A1FD8">
        <w:t xml:space="preserve"> schools to develop </w:t>
      </w:r>
      <w:r w:rsidR="00461B78">
        <w:t>human rights centred practice and procedures</w:t>
      </w:r>
      <w:r w:rsidR="001A1FD8">
        <w:t>.</w:t>
      </w:r>
    </w:p>
    <w:p w14:paraId="1059899C" w14:textId="3DA2E747" w:rsidR="00461B78" w:rsidRPr="00F8155A" w:rsidRDefault="00CE72F9" w:rsidP="00461B78">
      <w:pPr>
        <w:pStyle w:val="Heading2"/>
      </w:pPr>
      <w:bookmarkStart w:id="22" w:name="_Toc135637838"/>
      <w:r>
        <w:t>Human Rights Act c</w:t>
      </w:r>
      <w:r w:rsidR="00461B78">
        <w:t>ompliance as a requirement of registration</w:t>
      </w:r>
      <w:bookmarkEnd w:id="22"/>
    </w:p>
    <w:p w14:paraId="1879775D" w14:textId="696BCC52" w:rsidR="00A4456C" w:rsidRPr="000A0D9B" w:rsidRDefault="00A1287A" w:rsidP="00461B78">
      <w:pPr>
        <w:pStyle w:val="Numberedparagraph"/>
      </w:pPr>
      <w:r w:rsidRPr="00EA2492">
        <w:t>In the ACT</w:t>
      </w:r>
      <w:r w:rsidRPr="00C76971">
        <w:t xml:space="preserve">, </w:t>
      </w:r>
      <w:r w:rsidR="00461B78" w:rsidRPr="00C76971">
        <w:t xml:space="preserve">a non-Government school must comply with registration standards, which are set out in Schedule 2 of the </w:t>
      </w:r>
      <w:r w:rsidR="00461B78" w:rsidRPr="00C76971">
        <w:rPr>
          <w:i/>
          <w:iCs/>
        </w:rPr>
        <w:t>Education Regulation 2005</w:t>
      </w:r>
      <w:r w:rsidR="00461B78" w:rsidRPr="00C76971">
        <w:t xml:space="preserve"> (ACT). </w:t>
      </w:r>
      <w:r w:rsidR="00AE049E" w:rsidRPr="00C76971">
        <w:t xml:space="preserve">The standards require schools to comply with all applicable territory and Commonwealth laws, including </w:t>
      </w:r>
      <w:r w:rsidR="00EA2492" w:rsidRPr="00C76971">
        <w:t xml:space="preserve">the </w:t>
      </w:r>
      <w:r w:rsidRPr="00C76971">
        <w:rPr>
          <w:i/>
          <w:iCs/>
        </w:rPr>
        <w:t>Human Rights Act 2004</w:t>
      </w:r>
      <w:r w:rsidR="00624652">
        <w:t xml:space="preserve"> (ACT)</w:t>
      </w:r>
      <w:r w:rsidRPr="00C76971">
        <w:t>.</w:t>
      </w:r>
      <w:r w:rsidR="00EA2492" w:rsidRPr="00C76971">
        <w:rPr>
          <w:rStyle w:val="FootnoteReference"/>
        </w:rPr>
        <w:footnoteReference w:id="43"/>
      </w:r>
      <w:r w:rsidRPr="00C76971">
        <w:t xml:space="preserve"> </w:t>
      </w:r>
      <w:r w:rsidRPr="00C76971">
        <w:rPr>
          <w:szCs w:val="22"/>
        </w:rPr>
        <w:t xml:space="preserve">Notably, the ACT </w:t>
      </w:r>
      <w:r w:rsidRPr="00667A75">
        <w:rPr>
          <w:szCs w:val="22"/>
        </w:rPr>
        <w:t>Human Rights Act</w:t>
      </w:r>
      <w:r w:rsidRPr="00C76971">
        <w:rPr>
          <w:szCs w:val="22"/>
        </w:rPr>
        <w:t xml:space="preserve"> does not </w:t>
      </w:r>
      <w:r w:rsidR="00EA2492" w:rsidRPr="00C76971">
        <w:rPr>
          <w:szCs w:val="22"/>
        </w:rPr>
        <w:t xml:space="preserve">use </w:t>
      </w:r>
      <w:r w:rsidRPr="00C76971">
        <w:rPr>
          <w:szCs w:val="22"/>
        </w:rPr>
        <w:t>non-</w:t>
      </w:r>
      <w:r w:rsidR="00EA2492" w:rsidRPr="00C76971">
        <w:rPr>
          <w:szCs w:val="22"/>
        </w:rPr>
        <w:t xml:space="preserve">State </w:t>
      </w:r>
      <w:r w:rsidRPr="00C76971">
        <w:rPr>
          <w:szCs w:val="22"/>
        </w:rPr>
        <w:t xml:space="preserve">schools </w:t>
      </w:r>
      <w:r w:rsidR="00EA2492" w:rsidRPr="00C76971">
        <w:rPr>
          <w:szCs w:val="22"/>
        </w:rPr>
        <w:t xml:space="preserve">as an example of a non-public entity, unlike the Queensland </w:t>
      </w:r>
      <w:r w:rsidR="00667A75">
        <w:rPr>
          <w:szCs w:val="22"/>
        </w:rPr>
        <w:t xml:space="preserve">HR </w:t>
      </w:r>
      <w:r w:rsidR="00EA2492" w:rsidRPr="00C76971">
        <w:rPr>
          <w:szCs w:val="22"/>
        </w:rPr>
        <w:t>Act and the Victorian Charter</w:t>
      </w:r>
      <w:r w:rsidRPr="00C76971">
        <w:rPr>
          <w:szCs w:val="22"/>
        </w:rPr>
        <w:t>.</w:t>
      </w:r>
      <w:r w:rsidR="00EA2492" w:rsidRPr="00C76971">
        <w:rPr>
          <w:rStyle w:val="FootnoteReference"/>
          <w:szCs w:val="22"/>
        </w:rPr>
        <w:footnoteReference w:id="44"/>
      </w:r>
      <w:r w:rsidR="0088775F">
        <w:rPr>
          <w:szCs w:val="22"/>
        </w:rPr>
        <w:t xml:space="preserve"> The provisions defining public entities in the ACT </w:t>
      </w:r>
      <w:r w:rsidR="0088775F" w:rsidRPr="00667A75">
        <w:rPr>
          <w:szCs w:val="22"/>
        </w:rPr>
        <w:t>Human Rights Act</w:t>
      </w:r>
      <w:r w:rsidR="0088775F">
        <w:rPr>
          <w:i/>
          <w:iCs/>
          <w:szCs w:val="22"/>
        </w:rPr>
        <w:t xml:space="preserve"> </w:t>
      </w:r>
      <w:r w:rsidR="0088775F">
        <w:rPr>
          <w:szCs w:val="22"/>
        </w:rPr>
        <w:t xml:space="preserve">are nonetheless very similar to the relevant provisions of the Queensland HR Act. </w:t>
      </w:r>
      <w:r w:rsidRPr="00C76971">
        <w:rPr>
          <w:szCs w:val="22"/>
        </w:rPr>
        <w:t xml:space="preserve"> </w:t>
      </w:r>
    </w:p>
    <w:p w14:paraId="4135CCF1" w14:textId="3A8E75BB" w:rsidR="000A0D9B" w:rsidRDefault="000A0D9B" w:rsidP="000A0D9B">
      <w:pPr>
        <w:pStyle w:val="Numberedparagraph"/>
      </w:pPr>
      <w:r w:rsidRPr="00823AE5">
        <w:t>In Victoria, both Government and non-Government schools are subject to the same minimum standards for registration</w:t>
      </w:r>
      <w:r>
        <w:t xml:space="preserve"> set out in regulation and guideline</w:t>
      </w:r>
      <w:r w:rsidR="009F4507">
        <w:t>s</w:t>
      </w:r>
      <w:r w:rsidRPr="00823AE5">
        <w:t>.</w:t>
      </w:r>
      <w:r w:rsidRPr="00823AE5">
        <w:rPr>
          <w:rStyle w:val="FootnoteReference"/>
        </w:rPr>
        <w:footnoteReference w:id="45"/>
      </w:r>
      <w:r w:rsidRPr="00823AE5">
        <w:t xml:space="preserve"> </w:t>
      </w:r>
      <w:r>
        <w:t xml:space="preserve">The minimum standards require that a school’s programs and teachings must be </w:t>
      </w:r>
      <w:r>
        <w:lastRenderedPageBreak/>
        <w:t>consistent with the principles of Australian democracy, and evidence of a statement affirming that the school adheres to those principles. This includes a commitment to equal rights for all before the law, freedom of religion, freedom of speech and association; and the values of openness and tolerance.</w:t>
      </w:r>
      <w:r>
        <w:rPr>
          <w:rStyle w:val="FootnoteReference"/>
        </w:rPr>
        <w:footnoteReference w:id="46"/>
      </w:r>
    </w:p>
    <w:p w14:paraId="58ABC374" w14:textId="0DD3342B" w:rsidR="002B61AC" w:rsidRPr="00CC3261" w:rsidRDefault="002B61AC" w:rsidP="00461B78">
      <w:pPr>
        <w:pStyle w:val="Numberedparagraph"/>
      </w:pPr>
      <w:r w:rsidRPr="00C76971">
        <w:rPr>
          <w:szCs w:val="22"/>
        </w:rPr>
        <w:t xml:space="preserve">In Queensland, non-public entities may ask the Minister to declare that an entity is subject to the obligations of a public entity under the </w:t>
      </w:r>
      <w:r w:rsidR="00667A75" w:rsidRPr="00667A75">
        <w:rPr>
          <w:szCs w:val="22"/>
        </w:rPr>
        <w:t>HR Act</w:t>
      </w:r>
      <w:r w:rsidRPr="00C76971">
        <w:rPr>
          <w:szCs w:val="22"/>
        </w:rPr>
        <w:t>.</w:t>
      </w:r>
      <w:r w:rsidRPr="00C76971">
        <w:rPr>
          <w:rStyle w:val="FootnoteReference"/>
          <w:szCs w:val="22"/>
        </w:rPr>
        <w:footnoteReference w:id="47"/>
      </w:r>
      <w:r w:rsidRPr="00C76971">
        <w:rPr>
          <w:szCs w:val="22"/>
        </w:rPr>
        <w:t xml:space="preserve">  </w:t>
      </w:r>
    </w:p>
    <w:p w14:paraId="2B61E7A2" w14:textId="6DB0799A" w:rsidR="00CC3261" w:rsidRPr="00C76971" w:rsidRDefault="00CC3261" w:rsidP="00461B78">
      <w:pPr>
        <w:pStyle w:val="Numberedparagraph"/>
      </w:pPr>
      <w:r>
        <w:rPr>
          <w:szCs w:val="22"/>
        </w:rPr>
        <w:t xml:space="preserve">Requiring </w:t>
      </w:r>
      <w:r w:rsidR="006C65BB">
        <w:rPr>
          <w:szCs w:val="22"/>
        </w:rPr>
        <w:t>HR Act</w:t>
      </w:r>
      <w:r>
        <w:rPr>
          <w:szCs w:val="22"/>
        </w:rPr>
        <w:t xml:space="preserve"> compliance as a requirement of registration would not necessarily be the same as a school opting in</w:t>
      </w:r>
      <w:r w:rsidR="00E078EE">
        <w:rPr>
          <w:szCs w:val="22"/>
        </w:rPr>
        <w:t xml:space="preserve"> under the HR Act</w:t>
      </w:r>
      <w:r>
        <w:rPr>
          <w:szCs w:val="22"/>
        </w:rPr>
        <w:t xml:space="preserve">. </w:t>
      </w:r>
      <w:r w:rsidR="00E078EE">
        <w:rPr>
          <w:szCs w:val="22"/>
        </w:rPr>
        <w:t>For example</w:t>
      </w:r>
      <w:r>
        <w:rPr>
          <w:szCs w:val="22"/>
        </w:rPr>
        <w:t xml:space="preserve">, </w:t>
      </w:r>
      <w:r w:rsidR="00E078EE">
        <w:rPr>
          <w:szCs w:val="22"/>
        </w:rPr>
        <w:t xml:space="preserve">if a school was only required to demonstrate </w:t>
      </w:r>
      <w:r w:rsidR="003564DB">
        <w:rPr>
          <w:szCs w:val="22"/>
        </w:rPr>
        <w:t xml:space="preserve">compatibility </w:t>
      </w:r>
      <w:r w:rsidR="00624652">
        <w:rPr>
          <w:szCs w:val="22"/>
        </w:rPr>
        <w:t>with protected human rights</w:t>
      </w:r>
      <w:r w:rsidR="00E078EE">
        <w:rPr>
          <w:szCs w:val="22"/>
        </w:rPr>
        <w:t xml:space="preserve"> as</w:t>
      </w:r>
      <w:r>
        <w:rPr>
          <w:szCs w:val="22"/>
        </w:rPr>
        <w:t xml:space="preserve"> a requirement of registration</w:t>
      </w:r>
      <w:r w:rsidR="00E078EE">
        <w:rPr>
          <w:szCs w:val="22"/>
        </w:rPr>
        <w:t>, then schools would only be held accountable for that obligation through the accreditation process</w:t>
      </w:r>
      <w:r w:rsidR="00EC7A98">
        <w:rPr>
          <w:szCs w:val="22"/>
        </w:rPr>
        <w:t>, and possibly under any ongoing compliance mechanisms</w:t>
      </w:r>
      <w:r>
        <w:rPr>
          <w:szCs w:val="22"/>
        </w:rPr>
        <w:t xml:space="preserve">. </w:t>
      </w:r>
      <w:r w:rsidR="00EC7A98">
        <w:rPr>
          <w:szCs w:val="22"/>
        </w:rPr>
        <w:t>However, u</w:t>
      </w:r>
      <w:r>
        <w:rPr>
          <w:szCs w:val="22"/>
        </w:rPr>
        <w:t>nlike a core, functional or opted-in public entity, a non-</w:t>
      </w:r>
      <w:r w:rsidR="00366270">
        <w:rPr>
          <w:szCs w:val="22"/>
        </w:rPr>
        <w:t>S</w:t>
      </w:r>
      <w:r>
        <w:rPr>
          <w:szCs w:val="22"/>
        </w:rPr>
        <w:t xml:space="preserve">tate school would not be liable to respond to a complaint made to the Commission under the HR Act, or be subject to ‘piggy-back’ human rights actions through the courts. </w:t>
      </w:r>
    </w:p>
    <w:p w14:paraId="72BE6271" w14:textId="47EA6301" w:rsidR="00CC3261" w:rsidRDefault="00CC3261" w:rsidP="007B7731">
      <w:pPr>
        <w:pStyle w:val="Heading2"/>
      </w:pPr>
      <w:bookmarkStart w:id="23" w:name="_Toc135637839"/>
      <w:r>
        <w:t>Specific Charter of Rights</w:t>
      </w:r>
      <w:bookmarkEnd w:id="23"/>
    </w:p>
    <w:p w14:paraId="20DA6F41" w14:textId="6846D37E" w:rsidR="00823AE5" w:rsidRPr="00823AE5" w:rsidRDefault="00CC3261" w:rsidP="00823AE5">
      <w:pPr>
        <w:pStyle w:val="Numberedparagraph"/>
      </w:pPr>
      <w:r>
        <w:t>An alternative to requiring HR Act compliance as part of the registration system would be</w:t>
      </w:r>
      <w:r w:rsidR="00C76971">
        <w:t xml:space="preserve"> the development of a</w:t>
      </w:r>
      <w:r>
        <w:t xml:space="preserve"> specific</w:t>
      </w:r>
      <w:r w:rsidR="00C76971">
        <w:t xml:space="preserve"> charter of rights for schools, which are able to articulate protected human rights in the education context</w:t>
      </w:r>
      <w:r>
        <w:t xml:space="preserve">. Such a </w:t>
      </w:r>
      <w:r w:rsidR="00A07F76">
        <w:t>c</w:t>
      </w:r>
      <w:r>
        <w:t>harter should be developed in consultation with students, families and schools and</w:t>
      </w:r>
      <w:r w:rsidR="00835348">
        <w:t xml:space="preserve"> </w:t>
      </w:r>
      <w:r w:rsidR="00C76971">
        <w:t xml:space="preserve">may be easier for schools to understand and embed within their own processes. </w:t>
      </w:r>
    </w:p>
    <w:p w14:paraId="3251C11F" w14:textId="15B6087C" w:rsidR="00905C05" w:rsidRDefault="00905C05" w:rsidP="00921526">
      <w:pPr>
        <w:pStyle w:val="Heading1"/>
      </w:pPr>
      <w:bookmarkStart w:id="24" w:name="_Toc135637840"/>
      <w:r>
        <w:t>Maintaining standards through monitoring and compliance</w:t>
      </w:r>
      <w:bookmarkEnd w:id="24"/>
    </w:p>
    <w:p w14:paraId="158E114B" w14:textId="61273F2C" w:rsidR="007B7731" w:rsidRDefault="007B7731" w:rsidP="007B7731">
      <w:pPr>
        <w:pStyle w:val="Heading2"/>
      </w:pPr>
      <w:bookmarkStart w:id="25" w:name="_Toc135637841"/>
      <w:r>
        <w:t>Information and education</w:t>
      </w:r>
      <w:bookmarkEnd w:id="25"/>
    </w:p>
    <w:p w14:paraId="0C5E98BD" w14:textId="39AF7558" w:rsidR="00C76971" w:rsidRDefault="00947656" w:rsidP="00C76971">
      <w:pPr>
        <w:pStyle w:val="Numberedparagraph"/>
      </w:pPr>
      <w:r>
        <w:t>Schools need education and guidance to comply with existing legislative frameworks and any new accreditation standards. This education should also extend to students and families so that they are aware of their rights.</w:t>
      </w:r>
      <w:r w:rsidR="00237B45">
        <w:t xml:space="preserve"> Support for achieving compliance should be prioritised over fixing problems after the harm to individuals has already occurred.</w:t>
      </w:r>
    </w:p>
    <w:p w14:paraId="0E22192F" w14:textId="5F15F1C8" w:rsidR="007B7731" w:rsidRDefault="007B7731" w:rsidP="007B7731">
      <w:pPr>
        <w:pStyle w:val="Heading2"/>
      </w:pPr>
      <w:bookmarkStart w:id="26" w:name="_Toc135637842"/>
      <w:r>
        <w:lastRenderedPageBreak/>
        <w:t>Complaints processes</w:t>
      </w:r>
      <w:bookmarkEnd w:id="26"/>
    </w:p>
    <w:p w14:paraId="03E0E4AF" w14:textId="4AE47DFD" w:rsidR="007B7731" w:rsidRPr="00A872E8" w:rsidRDefault="00453E31" w:rsidP="007B7731">
      <w:pPr>
        <w:pStyle w:val="Numberedparagraph"/>
      </w:pPr>
      <w:r w:rsidRPr="00A872E8">
        <w:t>Under current accreditation criteria, a school must have a complaints procedure and staff,</w:t>
      </w:r>
      <w:r w:rsidR="00B350A5" w:rsidRPr="00A872E8">
        <w:t xml:space="preserve"> students,</w:t>
      </w:r>
      <w:r w:rsidRPr="00A872E8">
        <w:t xml:space="preserve"> parents and guardians are made aware of that process.</w:t>
      </w:r>
      <w:r w:rsidRPr="00A872E8">
        <w:rPr>
          <w:rStyle w:val="FootnoteReference"/>
        </w:rPr>
        <w:footnoteReference w:id="48"/>
      </w:r>
      <w:r w:rsidRPr="00A872E8">
        <w:t xml:space="preserve"> </w:t>
      </w:r>
      <w:r w:rsidR="0022043C" w:rsidRPr="00A872E8">
        <w:t>Schools should also be required to inform staff,</w:t>
      </w:r>
      <w:r w:rsidR="00B350A5" w:rsidRPr="00A872E8">
        <w:t xml:space="preserve"> students,</w:t>
      </w:r>
      <w:r w:rsidR="0022043C" w:rsidRPr="00A872E8">
        <w:t xml:space="preserve"> parents and guardians </w:t>
      </w:r>
      <w:r w:rsidR="00C959E0" w:rsidRPr="00A872E8">
        <w:t>about any rights to make complaints</w:t>
      </w:r>
      <w:r w:rsidR="00D15B5D" w:rsidRPr="00A872E8">
        <w:t xml:space="preserve"> to</w:t>
      </w:r>
      <w:r w:rsidR="00C959E0" w:rsidRPr="00A872E8">
        <w:t xml:space="preserve"> </w:t>
      </w:r>
      <w:r w:rsidR="00D15B5D" w:rsidRPr="00A872E8">
        <w:t xml:space="preserve">external bodies, including </w:t>
      </w:r>
      <w:r w:rsidR="00C959E0" w:rsidRPr="00A872E8">
        <w:t xml:space="preserve">the Accreditation Board. </w:t>
      </w:r>
    </w:p>
    <w:p w14:paraId="1B357C33" w14:textId="03F94D96" w:rsidR="007B7731" w:rsidRDefault="007B7731" w:rsidP="007B7731">
      <w:pPr>
        <w:pStyle w:val="Heading2"/>
      </w:pPr>
      <w:bookmarkStart w:id="27" w:name="_Toc135637843"/>
      <w:r>
        <w:t>Accountability and transparency</w:t>
      </w:r>
      <w:bookmarkEnd w:id="27"/>
    </w:p>
    <w:p w14:paraId="4C9E0C3A" w14:textId="03C777AD" w:rsidR="00274FAF" w:rsidRDefault="00274FAF" w:rsidP="00C76971">
      <w:pPr>
        <w:pStyle w:val="Numberedparagraph"/>
      </w:pPr>
      <w:r>
        <w:t>Complaints regarding a school’s compliance can be made to the Accreditation Board. The annual report</w:t>
      </w:r>
      <w:r w:rsidR="00835348">
        <w:t xml:space="preserve"> of the Accreditation Board</w:t>
      </w:r>
      <w:r>
        <w:t xml:space="preserve"> provides statistics on numbers of compliance concerns received, and notices issued as a result but </w:t>
      </w:r>
      <w:r w:rsidR="008C23D6">
        <w:t xml:space="preserve">does not appear to detail the types of compliance issues raised or how they were resolved. Such information could be valuable for students, </w:t>
      </w:r>
      <w:r w:rsidR="00835348">
        <w:t>communities,</w:t>
      </w:r>
      <w:r w:rsidR="008C23D6">
        <w:t xml:space="preserve"> and other schools to learn from. It may also provide opportunities to develop systemic </w:t>
      </w:r>
      <w:r w:rsidR="00835348">
        <w:t>responses to commonly arising non-</w:t>
      </w:r>
      <w:r w:rsidR="008C23D6">
        <w:t>compliance</w:t>
      </w:r>
      <w:r w:rsidR="00835348">
        <w:t xml:space="preserve"> issues. </w:t>
      </w:r>
    </w:p>
    <w:p w14:paraId="345581E7" w14:textId="1C93D1B8" w:rsidR="005E7EB9" w:rsidRDefault="00835348" w:rsidP="008C23D6">
      <w:pPr>
        <w:pStyle w:val="Numberedparagraph"/>
      </w:pPr>
      <w:r>
        <w:t xml:space="preserve">Under section 121 of the </w:t>
      </w:r>
      <w:r w:rsidRPr="00AE0D8B">
        <w:rPr>
          <w:i/>
          <w:iCs/>
        </w:rPr>
        <w:t>Education (Accreditation of Non-State Schools) Act 2017</w:t>
      </w:r>
      <w:r w:rsidR="00AE0D8B">
        <w:t xml:space="preserve"> (Qld)</w:t>
      </w:r>
      <w:r>
        <w:t xml:space="preserve">, the </w:t>
      </w:r>
      <w:r w:rsidR="008C23D6" w:rsidRPr="00B4134A">
        <w:t xml:space="preserve">Minister may refer </w:t>
      </w:r>
      <w:r>
        <w:t xml:space="preserve">an accreditation </w:t>
      </w:r>
      <w:r w:rsidR="008C23D6" w:rsidRPr="00B4134A">
        <w:t xml:space="preserve">matter </w:t>
      </w:r>
      <w:r>
        <w:t xml:space="preserve">to the Accreditation Board for examination and report. One such referral was made </w:t>
      </w:r>
      <w:r w:rsidR="005E7EB9">
        <w:t>regarding ‘certain concerns relating to Citipointe Christian College’.</w:t>
      </w:r>
      <w:r w:rsidR="00BA18AE">
        <w:rPr>
          <w:rStyle w:val="FootnoteReference"/>
        </w:rPr>
        <w:footnoteReference w:id="49"/>
      </w:r>
      <w:r w:rsidR="005E7EB9">
        <w:t xml:space="preserve"> Any explanation for the referral, the terms of reference, or the progress of the examination is not publicly available. There is no indication whether the final report will be published. Again, monitoring and compliance would be assisted by increased transparency and accountability of process and outcomes. </w:t>
      </w:r>
    </w:p>
    <w:p w14:paraId="5C9ACEFA" w14:textId="546BF7FE" w:rsidR="005E7EB9" w:rsidRDefault="005E7EB9" w:rsidP="008C23D6">
      <w:pPr>
        <w:pStyle w:val="Numberedparagraph"/>
      </w:pPr>
      <w:r>
        <w:t>Required annual reporting</w:t>
      </w:r>
      <w:r w:rsidR="009E07FE">
        <w:t xml:space="preserve"> on identified key issues</w:t>
      </w:r>
      <w:r>
        <w:t xml:space="preserve"> for non-State schools would also assist monitoring and compliance, particularly where that reporting is already required or collected from State schools</w:t>
      </w:r>
      <w:r w:rsidR="009E07FE">
        <w:t xml:space="preserve"> in order to draw comparisons and provide a complete picture of student education for the State</w:t>
      </w:r>
      <w:r>
        <w:t xml:space="preserve">. For example, rates of </w:t>
      </w:r>
      <w:r w:rsidR="009E07FE">
        <w:t>student disciplinary absences and demographics, and internal complaints and outcomes data.</w:t>
      </w:r>
    </w:p>
    <w:p w14:paraId="718A62ED" w14:textId="7B714B22" w:rsidR="000C619C" w:rsidRDefault="000C619C" w:rsidP="003175C1">
      <w:pPr>
        <w:pStyle w:val="Heading1"/>
      </w:pPr>
      <w:bookmarkStart w:id="28" w:name="_Toc135637844"/>
      <w:r>
        <w:t>Conclusion</w:t>
      </w:r>
      <w:bookmarkEnd w:id="28"/>
    </w:p>
    <w:p w14:paraId="445C4F16" w14:textId="05B0C651" w:rsidR="00A872E8" w:rsidRPr="00A872E8" w:rsidRDefault="00B11A39" w:rsidP="00A872E8">
      <w:pPr>
        <w:pStyle w:val="Numberedparagraph"/>
      </w:pPr>
      <w:r>
        <w:t xml:space="preserve">This review presents an opportunity to support </w:t>
      </w:r>
      <w:r w:rsidR="003B4BF4">
        <w:t>non-State schools to achieve</w:t>
      </w:r>
      <w:r>
        <w:t xml:space="preserve"> education best practice and </w:t>
      </w:r>
      <w:r w:rsidR="003B4BF4">
        <w:t>the goals of the Mparntwe Declaration</w:t>
      </w:r>
      <w:r w:rsidR="00DB2F8B">
        <w:t xml:space="preserve">. Incorporating human rights principles meets the expectations of the community and creates consistency between the experience of State and non-State school students. </w:t>
      </w:r>
    </w:p>
    <w:sectPr w:rsidR="00A872E8" w:rsidRPr="00A872E8" w:rsidSect="00CB0BBF">
      <w:headerReference w:type="default" r:id="rId13"/>
      <w:headerReference w:type="first" r:id="rId14"/>
      <w:footerReference w:type="first" r:id="rId15"/>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F9973" w14:textId="77777777" w:rsidR="00D11196" w:rsidRDefault="00D11196" w:rsidP="0034134D">
      <w:r>
        <w:separator/>
      </w:r>
    </w:p>
  </w:endnote>
  <w:endnote w:type="continuationSeparator" w:id="0">
    <w:p w14:paraId="4C89C6A6" w14:textId="77777777" w:rsidR="00D11196" w:rsidRDefault="00D11196" w:rsidP="0034134D">
      <w:r>
        <w:continuationSeparator/>
      </w:r>
    </w:p>
  </w:endnote>
  <w:endnote w:type="continuationNotice" w:id="1">
    <w:p w14:paraId="197B739A" w14:textId="77777777" w:rsidR="00D11196" w:rsidRDefault="00D111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DFBA" w14:textId="04F34480" w:rsidR="003C1017" w:rsidRPr="00260847" w:rsidRDefault="003C101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57BA6901" wp14:editId="255B2A00">
          <wp:extent cx="5463606" cy="4802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Pr="00260847">
      <w:rPr>
        <w:rFonts w:cs="Arial"/>
        <w:color w:val="404040" w:themeColor="text1" w:themeTint="BF"/>
        <w:sz w:val="16"/>
        <w:szCs w:val="20"/>
      </w:rPr>
      <w:fldChar w:fldCharType="begin"/>
    </w:r>
    <w:r w:rsidRPr="00260847">
      <w:rPr>
        <w:rFonts w:cs="Arial"/>
        <w:color w:val="404040" w:themeColor="text1" w:themeTint="BF"/>
        <w:sz w:val="16"/>
        <w:szCs w:val="20"/>
      </w:rPr>
      <w:instrText xml:space="preserve"> PAGE   \* MERGEFORMAT </w:instrText>
    </w:r>
    <w:r w:rsidRPr="00260847">
      <w:rPr>
        <w:rFonts w:cs="Arial"/>
        <w:color w:val="404040" w:themeColor="text1" w:themeTint="BF"/>
        <w:sz w:val="16"/>
        <w:szCs w:val="20"/>
      </w:rPr>
      <w:fldChar w:fldCharType="separate"/>
    </w:r>
    <w:r w:rsidR="00464840">
      <w:rPr>
        <w:rFonts w:cs="Arial"/>
        <w:noProof/>
        <w:color w:val="404040" w:themeColor="text1" w:themeTint="BF"/>
        <w:sz w:val="16"/>
        <w:szCs w:val="20"/>
      </w:rPr>
      <w:t>2</w:t>
    </w:r>
    <w:r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6152" w14:textId="77777777" w:rsidR="003C1017" w:rsidRDefault="003C1017" w:rsidP="000731D3">
    <w:pPr>
      <w:pStyle w:val="Footer"/>
      <w:pBdr>
        <w:top w:val="single" w:sz="4" w:space="1" w:color="auto"/>
      </w:pBdr>
      <w:jc w:val="right"/>
      <w:rPr>
        <w:rFonts w:cs="Arial"/>
        <w:sz w:val="20"/>
        <w:szCs w:val="20"/>
      </w:rPr>
    </w:pPr>
  </w:p>
  <w:p w14:paraId="58717575" w14:textId="77777777" w:rsidR="003C1017" w:rsidRPr="004A2375" w:rsidRDefault="003C1017"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5D3F" w14:textId="77777777" w:rsidR="00D11196" w:rsidRDefault="00D11196" w:rsidP="0034134D">
      <w:r>
        <w:separator/>
      </w:r>
    </w:p>
  </w:footnote>
  <w:footnote w:type="continuationSeparator" w:id="0">
    <w:p w14:paraId="36762A59" w14:textId="77777777" w:rsidR="00D11196" w:rsidRDefault="00D11196" w:rsidP="0034134D">
      <w:r>
        <w:continuationSeparator/>
      </w:r>
    </w:p>
  </w:footnote>
  <w:footnote w:type="continuationNotice" w:id="1">
    <w:p w14:paraId="2CADD197" w14:textId="77777777" w:rsidR="00D11196" w:rsidRDefault="00D11196">
      <w:pPr>
        <w:spacing w:after="0"/>
      </w:pPr>
    </w:p>
  </w:footnote>
  <w:footnote w:id="2">
    <w:p w14:paraId="28155ADF" w14:textId="1AA7ED65" w:rsidR="00921526" w:rsidRPr="00123BC8" w:rsidRDefault="00921526" w:rsidP="00921526">
      <w:pPr>
        <w:pStyle w:val="FootnoteText"/>
        <w:rPr>
          <w:lang w:val="en-US"/>
        </w:rPr>
      </w:pPr>
      <w:r>
        <w:rPr>
          <w:rStyle w:val="FootnoteReference"/>
        </w:rPr>
        <w:footnoteRef/>
      </w:r>
      <w:r>
        <w:t xml:space="preserve"> </w:t>
      </w:r>
      <w:r w:rsidRPr="00921526">
        <w:t xml:space="preserve">Department of Education (Qld), </w:t>
      </w:r>
      <w:r w:rsidRPr="00921526">
        <w:rPr>
          <w:i/>
          <w:iCs/>
        </w:rPr>
        <w:t>Queensland Non-State Schools Accreditation Framework Review: Submission Guide</w:t>
      </w:r>
      <w:r w:rsidRPr="00921526">
        <w:t xml:space="preserve"> (2023)</w:t>
      </w:r>
      <w:r>
        <w:t xml:space="preserve"> 1</w:t>
      </w:r>
      <w:r w:rsidRPr="00921526">
        <w:t>.</w:t>
      </w:r>
    </w:p>
  </w:footnote>
  <w:footnote w:id="3">
    <w:p w14:paraId="564BF4D4" w14:textId="472933CB" w:rsidR="00921526" w:rsidRPr="00123BC8" w:rsidRDefault="00921526" w:rsidP="00921526">
      <w:pPr>
        <w:pStyle w:val="FootnoteText"/>
        <w:rPr>
          <w:lang w:val="en-US"/>
        </w:rPr>
      </w:pPr>
      <w:r>
        <w:rPr>
          <w:rStyle w:val="FootnoteReference"/>
        </w:rPr>
        <w:footnoteRef/>
      </w:r>
      <w:r>
        <w:t xml:space="preserve"> Ibid.</w:t>
      </w:r>
    </w:p>
  </w:footnote>
  <w:footnote w:id="4">
    <w:p w14:paraId="5A3DE532" w14:textId="4698EB99" w:rsidR="00E33A17" w:rsidRPr="00DB6DEA" w:rsidRDefault="00E33A17">
      <w:pPr>
        <w:pStyle w:val="FootnoteText"/>
        <w:rPr>
          <w:lang w:val="en-US"/>
        </w:rPr>
      </w:pPr>
      <w:r>
        <w:rPr>
          <w:rStyle w:val="FootnoteReference"/>
        </w:rPr>
        <w:footnoteRef/>
      </w:r>
      <w:r>
        <w:t xml:space="preserve"> Queensland Human Rights Commission, </w:t>
      </w:r>
      <w:r>
        <w:rPr>
          <w:i/>
          <w:iCs/>
        </w:rPr>
        <w:t>Building Belonging – Review of Queensland’s Anti-Discrimination Act 1991</w:t>
      </w:r>
      <w:r>
        <w:t xml:space="preserve"> (July 2022). </w:t>
      </w:r>
    </w:p>
  </w:footnote>
  <w:footnote w:id="5">
    <w:p w14:paraId="772E4DC3" w14:textId="77777777" w:rsidR="000A2EEE" w:rsidRDefault="000A2EEE" w:rsidP="000A2EEE">
      <w:pPr>
        <w:pStyle w:val="FootnoteText"/>
      </w:pPr>
      <w:r>
        <w:rPr>
          <w:rStyle w:val="FootnoteReference"/>
        </w:rPr>
        <w:footnoteRef/>
      </w:r>
      <w:r>
        <w:t xml:space="preserve"> </w:t>
      </w:r>
      <w:r w:rsidRPr="00745FB3">
        <w:rPr>
          <w:rFonts w:cs="Arial"/>
          <w:szCs w:val="20"/>
        </w:rPr>
        <w:t xml:space="preserve">United Nations Office of the High Commissioner for Human Rights, </w:t>
      </w:r>
      <w:r w:rsidRPr="00745FB3">
        <w:rPr>
          <w:rFonts w:cs="Arial"/>
          <w:i/>
          <w:iCs/>
          <w:szCs w:val="20"/>
        </w:rPr>
        <w:t>CESCR</w:t>
      </w:r>
      <w:r w:rsidRPr="00745FB3">
        <w:rPr>
          <w:rFonts w:cs="Arial"/>
          <w:szCs w:val="20"/>
        </w:rPr>
        <w:t xml:space="preserve"> </w:t>
      </w:r>
      <w:r w:rsidRPr="00745FB3">
        <w:rPr>
          <w:rFonts w:cs="Arial"/>
          <w:i/>
          <w:iCs/>
          <w:szCs w:val="20"/>
        </w:rPr>
        <w:t>General Comment No. 13: The Right to Education (Art. 13)</w:t>
      </w:r>
      <w:r w:rsidRPr="00745FB3">
        <w:rPr>
          <w:rFonts w:cs="Arial"/>
          <w:szCs w:val="20"/>
        </w:rPr>
        <w:t>, </w:t>
      </w:r>
      <w:r>
        <w:rPr>
          <w:rFonts w:cs="Arial"/>
          <w:szCs w:val="20"/>
        </w:rPr>
        <w:t xml:space="preserve">UN Doc </w:t>
      </w:r>
      <w:r w:rsidRPr="00745FB3">
        <w:rPr>
          <w:rFonts w:cs="Arial"/>
          <w:szCs w:val="20"/>
        </w:rPr>
        <w:t>E/C.12/1999/10 (8 December 1999) [1]</w:t>
      </w:r>
      <w:r>
        <w:rPr>
          <w:rFonts w:cs="Arial"/>
          <w:szCs w:val="20"/>
        </w:rPr>
        <w:t>.</w:t>
      </w:r>
    </w:p>
  </w:footnote>
  <w:footnote w:id="6">
    <w:p w14:paraId="679488D0" w14:textId="73D20CB4" w:rsidR="004924D2" w:rsidRPr="00691DE1" w:rsidRDefault="004924D2" w:rsidP="004924D2">
      <w:pPr>
        <w:pStyle w:val="FootnoteText"/>
        <w:rPr>
          <w:lang w:val="en-US"/>
        </w:rPr>
      </w:pPr>
      <w:r>
        <w:rPr>
          <w:rStyle w:val="FootnoteReference"/>
        </w:rPr>
        <w:footnoteRef/>
      </w:r>
      <w:r>
        <w:t xml:space="preserve"> </w:t>
      </w:r>
      <w:r w:rsidR="009C1E19" w:rsidRPr="009C1E19">
        <w:t xml:space="preserve">Bob Atkinson, </w:t>
      </w:r>
      <w:r w:rsidR="009C1E19" w:rsidRPr="00873667">
        <w:rPr>
          <w:i/>
          <w:iCs/>
        </w:rPr>
        <w:t>Report on Youth Justice</w:t>
      </w:r>
      <w:r w:rsidR="009C1E19" w:rsidRPr="009C1E19">
        <w:t xml:space="preserve"> (Report, version 2, 8 June 2018)</w:t>
      </w:r>
      <w:r w:rsidR="009C1E19">
        <w:t xml:space="preserve"> </w:t>
      </w:r>
      <w:r>
        <w:rPr>
          <w:lang w:val="en-US"/>
        </w:rPr>
        <w:t>33-34</w:t>
      </w:r>
      <w:r w:rsidR="009C1E19">
        <w:rPr>
          <w:lang w:val="en-US"/>
        </w:rPr>
        <w:t>.</w:t>
      </w:r>
    </w:p>
  </w:footnote>
  <w:footnote w:id="7">
    <w:p w14:paraId="6E7C4D76" w14:textId="3E3BFCA9" w:rsidR="00327C6F" w:rsidRPr="00327C6F" w:rsidRDefault="00327C6F" w:rsidP="00327C6F">
      <w:pPr>
        <w:pStyle w:val="FootnoteText"/>
        <w:rPr>
          <w:lang w:val="en-US"/>
        </w:rPr>
      </w:pPr>
      <w:r>
        <w:rPr>
          <w:rStyle w:val="FootnoteReference"/>
        </w:rPr>
        <w:footnoteRef/>
      </w:r>
      <w:r>
        <w:t xml:space="preserve"> </w:t>
      </w:r>
      <w:r w:rsidR="00873667" w:rsidRPr="00873667">
        <w:rPr>
          <w:i/>
          <w:iCs/>
        </w:rPr>
        <w:t>Human Rights Act 2019</w:t>
      </w:r>
      <w:r w:rsidR="00873667">
        <w:t xml:space="preserve"> (Qld) s</w:t>
      </w:r>
      <w:r>
        <w:rPr>
          <w:lang w:val="en-US"/>
        </w:rPr>
        <w:t xml:space="preserve"> 15</w:t>
      </w:r>
      <w:r w:rsidR="00873667">
        <w:rPr>
          <w:lang w:val="en-US"/>
        </w:rPr>
        <w:t>.</w:t>
      </w:r>
    </w:p>
  </w:footnote>
  <w:footnote w:id="8">
    <w:p w14:paraId="3969A238" w14:textId="52A3CAC1" w:rsidR="0018639D" w:rsidRPr="0018639D" w:rsidRDefault="0018639D">
      <w:pPr>
        <w:pStyle w:val="FootnoteText"/>
        <w:rPr>
          <w:lang w:val="en-US"/>
        </w:rPr>
      </w:pPr>
      <w:r>
        <w:rPr>
          <w:rStyle w:val="FootnoteReference"/>
        </w:rPr>
        <w:footnoteRef/>
      </w:r>
      <w:r>
        <w:t xml:space="preserve"> </w:t>
      </w:r>
      <w:r w:rsidR="00873667" w:rsidRPr="00873667">
        <w:rPr>
          <w:i/>
          <w:iCs/>
        </w:rPr>
        <w:t>Human Rights Act 2019</w:t>
      </w:r>
      <w:r w:rsidR="00873667">
        <w:t xml:space="preserve"> (Qld) ss 16, 17, 29.</w:t>
      </w:r>
    </w:p>
  </w:footnote>
  <w:footnote w:id="9">
    <w:p w14:paraId="71AF92BB" w14:textId="56D2B5F9" w:rsidR="0018639D" w:rsidRPr="0018639D" w:rsidRDefault="0018639D">
      <w:pPr>
        <w:pStyle w:val="FootnoteText"/>
        <w:rPr>
          <w:lang w:val="en-US"/>
        </w:rPr>
      </w:pPr>
      <w:r>
        <w:rPr>
          <w:rStyle w:val="FootnoteReference"/>
        </w:rPr>
        <w:footnoteRef/>
      </w:r>
      <w:r>
        <w:t xml:space="preserve"> </w:t>
      </w:r>
      <w:r w:rsidR="00873667" w:rsidRPr="00873667">
        <w:rPr>
          <w:i/>
          <w:iCs/>
        </w:rPr>
        <w:t>Human Rights Act 2019</w:t>
      </w:r>
      <w:r w:rsidR="00873667">
        <w:t xml:space="preserve"> (Qld) s 21.</w:t>
      </w:r>
    </w:p>
  </w:footnote>
  <w:footnote w:id="10">
    <w:p w14:paraId="4E7FB7E8" w14:textId="77777777" w:rsidR="00866368" w:rsidRPr="003F5D3E" w:rsidRDefault="00866368" w:rsidP="00866368">
      <w:pPr>
        <w:pStyle w:val="FootnoteText"/>
        <w:rPr>
          <w:lang w:val="en-US"/>
        </w:rPr>
      </w:pPr>
      <w:r>
        <w:rPr>
          <w:rStyle w:val="FootnoteReference"/>
        </w:rPr>
        <w:footnoteRef/>
      </w:r>
      <w:r>
        <w:t xml:space="preserve"> </w:t>
      </w:r>
      <w:r w:rsidRPr="00873667">
        <w:rPr>
          <w:i/>
          <w:iCs/>
        </w:rPr>
        <w:t>Human Rights Act 2019</w:t>
      </w:r>
      <w:r>
        <w:t xml:space="preserve"> (Qld) s</w:t>
      </w:r>
      <w:r>
        <w:rPr>
          <w:lang w:val="en-US"/>
        </w:rPr>
        <w:t xml:space="preserve"> 25; see also </w:t>
      </w:r>
      <w:r w:rsidRPr="00A5281B">
        <w:rPr>
          <w:i/>
          <w:iCs/>
          <w:lang w:val="en-US"/>
        </w:rPr>
        <w:t>Kracke v Mental Health Review Board</w:t>
      </w:r>
      <w:r w:rsidRPr="00A5281B">
        <w:rPr>
          <w:lang w:val="en-US"/>
        </w:rPr>
        <w:t xml:space="preserve"> [2009] VCAT 646; [2009] 29 VAR 1</w:t>
      </w:r>
      <w:r>
        <w:rPr>
          <w:lang w:val="en-US"/>
        </w:rPr>
        <w:t xml:space="preserve"> [619].</w:t>
      </w:r>
    </w:p>
  </w:footnote>
  <w:footnote w:id="11">
    <w:p w14:paraId="07B1680A" w14:textId="5081354E" w:rsidR="0082355F" w:rsidRPr="0082355F" w:rsidRDefault="0082355F">
      <w:pPr>
        <w:pStyle w:val="FootnoteText"/>
        <w:rPr>
          <w:lang w:val="en-US"/>
        </w:rPr>
      </w:pPr>
      <w:r>
        <w:rPr>
          <w:rStyle w:val="FootnoteReference"/>
        </w:rPr>
        <w:footnoteRef/>
      </w:r>
      <w:r>
        <w:t xml:space="preserve"> </w:t>
      </w:r>
      <w:r w:rsidR="00873667" w:rsidRPr="00873667">
        <w:rPr>
          <w:i/>
          <w:iCs/>
        </w:rPr>
        <w:t>Human Rights Act 2019</w:t>
      </w:r>
      <w:r w:rsidR="00873667">
        <w:t xml:space="preserve"> (Qld) s 28.</w:t>
      </w:r>
    </w:p>
  </w:footnote>
  <w:footnote w:id="12">
    <w:p w14:paraId="3DF6EBB6" w14:textId="35F6EFD0" w:rsidR="00062028" w:rsidRPr="00062028" w:rsidRDefault="00062028">
      <w:pPr>
        <w:pStyle w:val="FootnoteText"/>
        <w:rPr>
          <w:lang w:val="en-US"/>
        </w:rPr>
      </w:pPr>
      <w:r>
        <w:rPr>
          <w:rStyle w:val="FootnoteReference"/>
        </w:rPr>
        <w:footnoteRef/>
      </w:r>
      <w:r>
        <w:t xml:space="preserve"> </w:t>
      </w:r>
      <w:r w:rsidR="00873667" w:rsidRPr="00873667">
        <w:rPr>
          <w:i/>
          <w:iCs/>
        </w:rPr>
        <w:t>Human Rights Act 2019</w:t>
      </w:r>
      <w:r w:rsidR="00873667">
        <w:t xml:space="preserve"> (Qld) s</w:t>
      </w:r>
      <w:r w:rsidR="00EA7228">
        <w:t xml:space="preserve"> 26(2)</w:t>
      </w:r>
      <w:r w:rsidR="00873667">
        <w:t>.</w:t>
      </w:r>
    </w:p>
  </w:footnote>
  <w:footnote w:id="13">
    <w:p w14:paraId="3FC0C248" w14:textId="5020285A" w:rsidR="00062028" w:rsidRPr="00062028" w:rsidRDefault="00062028">
      <w:pPr>
        <w:pStyle w:val="FootnoteText"/>
        <w:rPr>
          <w:lang w:val="en-US"/>
        </w:rPr>
      </w:pPr>
      <w:r>
        <w:rPr>
          <w:rStyle w:val="FootnoteReference"/>
        </w:rPr>
        <w:footnoteRef/>
      </w:r>
      <w:r>
        <w:t xml:space="preserve"> </w:t>
      </w:r>
      <w:r w:rsidR="00873667" w:rsidRPr="00873667">
        <w:rPr>
          <w:i/>
          <w:iCs/>
        </w:rPr>
        <w:t>Human Rights Act 2019</w:t>
      </w:r>
      <w:r w:rsidR="00873667">
        <w:t xml:space="preserve"> (Qld) s 36.</w:t>
      </w:r>
    </w:p>
  </w:footnote>
  <w:footnote w:id="14">
    <w:p w14:paraId="6084406D" w14:textId="1C83896F" w:rsidR="00F4616B" w:rsidRPr="00F4616B" w:rsidRDefault="00F4616B">
      <w:pPr>
        <w:pStyle w:val="FootnoteText"/>
        <w:rPr>
          <w:lang w:val="en-US"/>
        </w:rPr>
      </w:pPr>
      <w:r>
        <w:rPr>
          <w:rStyle w:val="FootnoteReference"/>
        </w:rPr>
        <w:footnoteRef/>
      </w:r>
      <w:r>
        <w:t xml:space="preserve"> </w:t>
      </w:r>
      <w:r w:rsidR="00873667" w:rsidRPr="00873667">
        <w:rPr>
          <w:i/>
          <w:iCs/>
        </w:rPr>
        <w:t>Human Rights Act 2019</w:t>
      </w:r>
      <w:r w:rsidR="00873667">
        <w:t xml:space="preserve"> (Qld) </w:t>
      </w:r>
      <w:r w:rsidR="00873667">
        <w:rPr>
          <w:lang w:val="en-US"/>
        </w:rPr>
        <w:t>s</w:t>
      </w:r>
      <w:r>
        <w:rPr>
          <w:lang w:val="en-US"/>
        </w:rPr>
        <w:t xml:space="preserve"> 9(1)(h)</w:t>
      </w:r>
      <w:r w:rsidR="00873667">
        <w:rPr>
          <w:lang w:val="en-US"/>
        </w:rPr>
        <w:t>.</w:t>
      </w:r>
    </w:p>
  </w:footnote>
  <w:footnote w:id="15">
    <w:p w14:paraId="23C8478F" w14:textId="58CEF66B" w:rsidR="00A13CB8" w:rsidRPr="00A5281B" w:rsidRDefault="00A13CB8">
      <w:pPr>
        <w:pStyle w:val="FootnoteText"/>
        <w:rPr>
          <w:lang w:val="en-US"/>
        </w:rPr>
      </w:pPr>
      <w:r>
        <w:rPr>
          <w:rStyle w:val="FootnoteReference"/>
        </w:rPr>
        <w:footnoteRef/>
      </w:r>
      <w:r>
        <w:t xml:space="preserve"> </w:t>
      </w:r>
      <w:r>
        <w:rPr>
          <w:lang w:val="en-US"/>
        </w:rPr>
        <w:t xml:space="preserve">See for example, </w:t>
      </w:r>
      <w:r w:rsidR="004542DD" w:rsidRPr="004542DD">
        <w:rPr>
          <w:lang w:val="en-US"/>
        </w:rPr>
        <w:t xml:space="preserve">Rolla Moumné and Charlotte Saudemont, </w:t>
      </w:r>
      <w:r w:rsidR="004542DD" w:rsidRPr="004542DD">
        <w:rPr>
          <w:i/>
          <w:iCs/>
          <w:lang w:val="en-US"/>
        </w:rPr>
        <w:t>Overview of the Role of Private Providers in Education in Light of the Existing International Legal Framework. Investments in private education: undermining or contributing to the full development of the human right to education?</w:t>
      </w:r>
      <w:r w:rsidR="004542DD" w:rsidRPr="004542DD">
        <w:rPr>
          <w:lang w:val="en-US"/>
        </w:rPr>
        <w:t xml:space="preserve">  (UNESCO Working Papers on Education Policy No 1, 2015).</w:t>
      </w:r>
    </w:p>
  </w:footnote>
  <w:footnote w:id="16">
    <w:p w14:paraId="25011B03" w14:textId="51DC5051" w:rsidR="008E0D35" w:rsidRPr="00A5281B" w:rsidRDefault="008E0D35">
      <w:pPr>
        <w:pStyle w:val="FootnoteText"/>
        <w:rPr>
          <w:lang w:val="en-US"/>
        </w:rPr>
      </w:pPr>
      <w:r>
        <w:rPr>
          <w:rStyle w:val="FootnoteReference"/>
        </w:rPr>
        <w:footnoteRef/>
      </w:r>
      <w:r>
        <w:t xml:space="preserve"> </w:t>
      </w:r>
      <w:bookmarkStart w:id="14" w:name="_Hlk135149166"/>
      <w:r w:rsidR="004542DD" w:rsidRPr="004542DD">
        <w:t xml:space="preserve">Australian Human Rights Commission, </w:t>
      </w:r>
      <w:r w:rsidR="004542DD" w:rsidRPr="004542DD">
        <w:rPr>
          <w:i/>
          <w:iCs/>
        </w:rPr>
        <w:t>Free and Equal: A Human Rights Act for Australia</w:t>
      </w:r>
      <w:r w:rsidR="004542DD" w:rsidRPr="004542DD">
        <w:t xml:space="preserve"> (Position Paper, December 2022) 196, citing John Eekelaar and John Tobin, ‘Art 3 The Best Interests of the Child’ in John Tobin (ed) </w:t>
      </w:r>
      <w:r w:rsidR="004542DD" w:rsidRPr="004542DD">
        <w:rPr>
          <w:i/>
          <w:iCs/>
        </w:rPr>
        <w:t>The UN Convention on the Rights of the Child: A Commentary</w:t>
      </w:r>
      <w:r w:rsidR="004542DD" w:rsidRPr="004542DD">
        <w:t xml:space="preserve"> (OUP, 2019) 78 and </w:t>
      </w:r>
      <w:r w:rsidR="004542DD" w:rsidRPr="004542DD">
        <w:rPr>
          <w:i/>
          <w:iCs/>
        </w:rPr>
        <w:t>Concluding Observations: Albania</w:t>
      </w:r>
      <w:r w:rsidR="004542DD" w:rsidRPr="004542DD">
        <w:t xml:space="preserve">, CRC/C/ALB/CO/2-4 (October 2012) [30(a)], and </w:t>
      </w:r>
      <w:r w:rsidR="004542DD" w:rsidRPr="004542DD">
        <w:rPr>
          <w:i/>
          <w:iCs/>
        </w:rPr>
        <w:t>Concluding Observations: Australia</w:t>
      </w:r>
      <w:r w:rsidR="004542DD" w:rsidRPr="004542DD">
        <w:t>, CRC/C/AUS/CO/4 (August 2012) [32].</w:t>
      </w:r>
      <w:bookmarkEnd w:id="14"/>
    </w:p>
  </w:footnote>
  <w:footnote w:id="17">
    <w:p w14:paraId="1F522C9C" w14:textId="5CDB31D9" w:rsidR="0075097B" w:rsidRPr="00A5281B" w:rsidRDefault="0075097B">
      <w:pPr>
        <w:pStyle w:val="FootnoteText"/>
        <w:rPr>
          <w:lang w:val="en-US"/>
        </w:rPr>
      </w:pPr>
      <w:r w:rsidRPr="00A5281B">
        <w:rPr>
          <w:rStyle w:val="FootnoteReference"/>
        </w:rPr>
        <w:footnoteRef/>
      </w:r>
      <w:r w:rsidRPr="00A5281B">
        <w:t xml:space="preserve"> </w:t>
      </w:r>
      <w:r w:rsidR="004542DD" w:rsidRPr="00A5281B">
        <w:t xml:space="preserve">Australian Human Rights Commission, </w:t>
      </w:r>
      <w:r w:rsidR="004542DD" w:rsidRPr="00A5281B">
        <w:rPr>
          <w:i/>
          <w:iCs/>
        </w:rPr>
        <w:t>Free and Equal: A Human Rights Act for Australia</w:t>
      </w:r>
      <w:r w:rsidR="004542DD" w:rsidRPr="00A5281B">
        <w:t xml:space="preserve"> (Position Paper, December 2022)</w:t>
      </w:r>
      <w:r w:rsidRPr="00A5281B">
        <w:rPr>
          <w:lang w:val="en-US"/>
        </w:rPr>
        <w:t xml:space="preserve"> </w:t>
      </w:r>
      <w:r w:rsidR="004542DD" w:rsidRPr="00A5281B">
        <w:rPr>
          <w:lang w:val="en-US"/>
        </w:rPr>
        <w:t>197</w:t>
      </w:r>
      <w:r w:rsidRPr="00A5281B">
        <w:rPr>
          <w:lang w:val="en-US"/>
        </w:rPr>
        <w:t xml:space="preserve">. </w:t>
      </w:r>
    </w:p>
  </w:footnote>
  <w:footnote w:id="18">
    <w:p w14:paraId="6D89AAA3" w14:textId="6D5BBAEB" w:rsidR="0075097B" w:rsidRPr="00A5281B" w:rsidRDefault="0075097B">
      <w:pPr>
        <w:pStyle w:val="FootnoteText"/>
        <w:rPr>
          <w:lang w:val="en-US"/>
        </w:rPr>
      </w:pPr>
      <w:r w:rsidRPr="00A5281B">
        <w:rPr>
          <w:rStyle w:val="FootnoteReference"/>
        </w:rPr>
        <w:footnoteRef/>
      </w:r>
      <w:r w:rsidRPr="00A5281B">
        <w:t xml:space="preserve"> </w:t>
      </w:r>
      <w:r w:rsidR="00873667" w:rsidRPr="00A5281B">
        <w:t xml:space="preserve">Ibid </w:t>
      </w:r>
      <w:r w:rsidR="004542DD" w:rsidRPr="00A5281B">
        <w:t>199</w:t>
      </w:r>
      <w:r w:rsidRPr="00A5281B">
        <w:t xml:space="preserve">. </w:t>
      </w:r>
    </w:p>
  </w:footnote>
  <w:footnote w:id="19">
    <w:p w14:paraId="4526FED1" w14:textId="3312168D" w:rsidR="00C36B84" w:rsidRPr="00A5281B" w:rsidRDefault="00C36B84">
      <w:pPr>
        <w:pStyle w:val="FootnoteText"/>
        <w:rPr>
          <w:lang w:val="en-US"/>
        </w:rPr>
      </w:pPr>
      <w:r w:rsidRPr="00A5281B">
        <w:rPr>
          <w:rStyle w:val="FootnoteReference"/>
        </w:rPr>
        <w:footnoteRef/>
      </w:r>
      <w:r w:rsidRPr="00A5281B">
        <w:t xml:space="preserve"> </w:t>
      </w:r>
      <w:r w:rsidR="00873667" w:rsidRPr="00A5281B">
        <w:rPr>
          <w:lang w:val="en-US"/>
        </w:rPr>
        <w:t xml:space="preserve">Ibid </w:t>
      </w:r>
      <w:r w:rsidR="00B84372" w:rsidRPr="00A5281B">
        <w:rPr>
          <w:lang w:val="en-US"/>
        </w:rPr>
        <w:t>183</w:t>
      </w:r>
      <w:r w:rsidRPr="00A5281B">
        <w:rPr>
          <w:lang w:val="en-US"/>
        </w:rPr>
        <w:t xml:space="preserve">. </w:t>
      </w:r>
    </w:p>
  </w:footnote>
  <w:footnote w:id="20">
    <w:p w14:paraId="309F5A68" w14:textId="5C51FB3E" w:rsidR="00C36B84" w:rsidRPr="00873667" w:rsidRDefault="00C36B84">
      <w:pPr>
        <w:pStyle w:val="FootnoteText"/>
        <w:rPr>
          <w:lang w:val="en-US"/>
        </w:rPr>
      </w:pPr>
      <w:r w:rsidRPr="00A5281B">
        <w:rPr>
          <w:rStyle w:val="FootnoteReference"/>
        </w:rPr>
        <w:footnoteRef/>
      </w:r>
      <w:r w:rsidRPr="00A5281B">
        <w:t xml:space="preserve"> </w:t>
      </w:r>
      <w:r w:rsidR="00873667" w:rsidRPr="00A5281B">
        <w:rPr>
          <w:lang w:val="en-US"/>
        </w:rPr>
        <w:t xml:space="preserve">Ibid </w:t>
      </w:r>
      <w:r w:rsidR="00B84372" w:rsidRPr="00A5281B">
        <w:rPr>
          <w:lang w:val="en-US"/>
        </w:rPr>
        <w:t>184-186</w:t>
      </w:r>
      <w:r w:rsidRPr="00A5281B">
        <w:rPr>
          <w:lang w:val="en-US"/>
        </w:rPr>
        <w:t>.</w:t>
      </w:r>
      <w:r>
        <w:rPr>
          <w:lang w:val="en-US"/>
        </w:rPr>
        <w:t xml:space="preserve"> </w:t>
      </w:r>
    </w:p>
  </w:footnote>
  <w:footnote w:id="21">
    <w:p w14:paraId="65A0DB0F" w14:textId="12944250" w:rsidR="00B82026" w:rsidRPr="00A5281B" w:rsidRDefault="00B82026">
      <w:pPr>
        <w:pStyle w:val="FootnoteText"/>
        <w:rPr>
          <w:lang w:val="en-US"/>
        </w:rPr>
      </w:pPr>
      <w:r>
        <w:rPr>
          <w:rStyle w:val="FootnoteReference"/>
        </w:rPr>
        <w:footnoteRef/>
      </w:r>
      <w:r>
        <w:t xml:space="preserve"> </w:t>
      </w:r>
      <w:r w:rsidR="00873667">
        <w:t xml:space="preserve">Ibid </w:t>
      </w:r>
      <w:r w:rsidR="004C2EDD">
        <w:t>203</w:t>
      </w:r>
      <w:r w:rsidR="00873667">
        <w:t>.</w:t>
      </w:r>
    </w:p>
  </w:footnote>
  <w:footnote w:id="22">
    <w:p w14:paraId="037B1827" w14:textId="727DA8F8" w:rsidR="0036036F" w:rsidRPr="0036036F" w:rsidRDefault="0036036F">
      <w:pPr>
        <w:pStyle w:val="FootnoteText"/>
        <w:rPr>
          <w:lang w:val="en-US"/>
        </w:rPr>
      </w:pPr>
      <w:r>
        <w:rPr>
          <w:rStyle w:val="FootnoteReference"/>
        </w:rPr>
        <w:footnoteRef/>
      </w:r>
      <w:r>
        <w:t xml:space="preserve"> </w:t>
      </w:r>
      <w:r w:rsidRPr="0036036F">
        <w:rPr>
          <w:i/>
          <w:iCs/>
        </w:rPr>
        <w:t>Education (Accreditation of Non-State Schools) Regulation 2017</w:t>
      </w:r>
      <w:r>
        <w:t xml:space="preserve"> (Qld) r</w:t>
      </w:r>
      <w:r>
        <w:rPr>
          <w:lang w:val="en-US"/>
        </w:rPr>
        <w:t>r 9(1)(e)</w:t>
      </w:r>
      <w:r w:rsidR="005F77E4">
        <w:rPr>
          <w:lang w:val="en-US"/>
        </w:rPr>
        <w:t xml:space="preserve">, </w:t>
      </w:r>
      <w:r>
        <w:rPr>
          <w:lang w:val="en-US"/>
        </w:rPr>
        <w:t>11.</w:t>
      </w:r>
    </w:p>
  </w:footnote>
  <w:footnote w:id="23">
    <w:p w14:paraId="1E814E89" w14:textId="3D4D141F" w:rsidR="0036036F" w:rsidRPr="0036036F" w:rsidRDefault="0036036F">
      <w:pPr>
        <w:pStyle w:val="FootnoteText"/>
        <w:rPr>
          <w:lang w:val="en-US"/>
        </w:rPr>
      </w:pPr>
      <w:r>
        <w:rPr>
          <w:rStyle w:val="FootnoteReference"/>
        </w:rPr>
        <w:footnoteRef/>
      </w:r>
      <w:r>
        <w:t xml:space="preserve"> </w:t>
      </w:r>
      <w:r w:rsidRPr="00982965">
        <w:t>[2020] QCAT 249</w:t>
      </w:r>
      <w:r w:rsidR="005F77E4">
        <w:t>.</w:t>
      </w:r>
    </w:p>
  </w:footnote>
  <w:footnote w:id="24">
    <w:p w14:paraId="6D2EDA68" w14:textId="3EDAFED5" w:rsidR="00870C8F" w:rsidRPr="00870C8F" w:rsidRDefault="00870C8F">
      <w:pPr>
        <w:pStyle w:val="FootnoteText"/>
        <w:rPr>
          <w:lang w:val="en-US"/>
        </w:rPr>
      </w:pPr>
      <w:r>
        <w:rPr>
          <w:rStyle w:val="FootnoteReference"/>
        </w:rPr>
        <w:footnoteRef/>
      </w:r>
      <w:r>
        <w:t xml:space="preserve"> </w:t>
      </w:r>
      <w:r>
        <w:rPr>
          <w:lang w:val="en-US"/>
        </w:rPr>
        <w:t>This decision has been appealed by the respondent, but a final determination has not yet been published.</w:t>
      </w:r>
    </w:p>
  </w:footnote>
  <w:footnote w:id="25">
    <w:p w14:paraId="3BBFE3DA" w14:textId="629B7795" w:rsidR="00E52215" w:rsidRPr="00E52215" w:rsidRDefault="00E52215">
      <w:pPr>
        <w:pStyle w:val="FootnoteText"/>
        <w:rPr>
          <w:lang w:val="en-US"/>
        </w:rPr>
      </w:pPr>
      <w:r>
        <w:rPr>
          <w:rStyle w:val="FootnoteReference"/>
        </w:rPr>
        <w:footnoteRef/>
      </w:r>
      <w:r>
        <w:t xml:space="preserve"> </w:t>
      </w:r>
      <w:r w:rsidR="0036036F" w:rsidRPr="0036036F">
        <w:t xml:space="preserve">Linda Graham, Callula Killingly and Sophie Wiggans, ‘Intersectionality and disproportionate risk’, </w:t>
      </w:r>
      <w:r w:rsidR="0036036F" w:rsidRPr="0036036F">
        <w:rPr>
          <w:i/>
          <w:iCs/>
        </w:rPr>
        <w:t xml:space="preserve">Use of Suspensions in QLD State Schools </w:t>
      </w:r>
      <w:r w:rsidR="0036036F" w:rsidRPr="0036036F">
        <w:t>(Web Page, 17 March 2023 ) &lt; https://research.qut.edu.au/c4ie/events/overuse-of-suspensions-in-qld-state-schools-a-long-way-from-equity-and-excellence/&gt;.</w:t>
      </w:r>
    </w:p>
  </w:footnote>
  <w:footnote w:id="26">
    <w:p w14:paraId="5A6B6D9A" w14:textId="36208564" w:rsidR="0036036F" w:rsidRPr="00A872E8" w:rsidRDefault="0036036F" w:rsidP="0036036F">
      <w:pPr>
        <w:pStyle w:val="FootnoteText"/>
      </w:pPr>
      <w:r>
        <w:rPr>
          <w:rStyle w:val="FootnoteReference"/>
        </w:rPr>
        <w:footnoteRef/>
      </w:r>
      <w:r>
        <w:t xml:space="preserve"> Queensland Human Rights Commission, </w:t>
      </w:r>
      <w:r>
        <w:rPr>
          <w:i/>
          <w:iCs/>
        </w:rPr>
        <w:t>Building Belonging – Review of Queensland’s Anti-Discrimination Act 1991</w:t>
      </w:r>
      <w:r>
        <w:t xml:space="preserve"> (July 2022). </w:t>
      </w:r>
      <w:r w:rsidRPr="00A872E8">
        <w:t>Recommendation</w:t>
      </w:r>
      <w:r w:rsidR="00A5281B" w:rsidRPr="00A872E8">
        <w:t xml:space="preserve">s </w:t>
      </w:r>
      <w:r w:rsidR="00A872E8" w:rsidRPr="00A872E8">
        <w:t>29, 31, 32.</w:t>
      </w:r>
    </w:p>
  </w:footnote>
  <w:footnote w:id="27">
    <w:p w14:paraId="7909C1C2" w14:textId="52A7AE8D" w:rsidR="0011748B" w:rsidRPr="0011748B" w:rsidRDefault="0011748B">
      <w:pPr>
        <w:pStyle w:val="FootnoteText"/>
        <w:rPr>
          <w:lang w:val="en-US"/>
        </w:rPr>
      </w:pPr>
      <w:r w:rsidRPr="00A872E8">
        <w:rPr>
          <w:rStyle w:val="FootnoteReference"/>
        </w:rPr>
        <w:footnoteRef/>
      </w:r>
      <w:r w:rsidRPr="00A872E8">
        <w:t xml:space="preserve"> </w:t>
      </w:r>
      <w:r w:rsidR="009C1E19" w:rsidRPr="00A872E8">
        <w:t>Ibid Recommendation</w:t>
      </w:r>
      <w:r w:rsidR="00A872E8" w:rsidRPr="00A872E8">
        <w:t>s 28, 30.</w:t>
      </w:r>
      <w:r w:rsidR="009C1E19">
        <w:t xml:space="preserve"> </w:t>
      </w:r>
    </w:p>
  </w:footnote>
  <w:footnote w:id="28">
    <w:p w14:paraId="7DC00DF9" w14:textId="222748F4" w:rsidR="00A169FE" w:rsidRPr="00A169FE" w:rsidRDefault="00A169FE">
      <w:pPr>
        <w:pStyle w:val="FootnoteText"/>
        <w:rPr>
          <w:lang w:val="en-US"/>
        </w:rPr>
      </w:pPr>
      <w:r>
        <w:rPr>
          <w:rStyle w:val="FootnoteReference"/>
        </w:rPr>
        <w:footnoteRef/>
      </w:r>
      <w:r>
        <w:t xml:space="preserve"> </w:t>
      </w:r>
      <w:r w:rsidR="009C1E19">
        <w:t>Ibid</w:t>
      </w:r>
      <w:r w:rsidR="009C1E19">
        <w:rPr>
          <w:lang w:val="en-US"/>
        </w:rPr>
        <w:t xml:space="preserve"> </w:t>
      </w:r>
      <w:r>
        <w:rPr>
          <w:lang w:val="en-US"/>
        </w:rPr>
        <w:t>Recommendation 39.2.</w:t>
      </w:r>
    </w:p>
  </w:footnote>
  <w:footnote w:id="29">
    <w:p w14:paraId="62B61785" w14:textId="4CE26160" w:rsidR="00A40A39" w:rsidRPr="00A40A39" w:rsidRDefault="00A40A39">
      <w:pPr>
        <w:pStyle w:val="FootnoteText"/>
        <w:rPr>
          <w:lang w:val="en-US"/>
        </w:rPr>
      </w:pPr>
      <w:r>
        <w:rPr>
          <w:rStyle w:val="FootnoteReference"/>
        </w:rPr>
        <w:footnoteRef/>
      </w:r>
      <w:r>
        <w:t xml:space="preserve"> </w:t>
      </w:r>
      <w:r w:rsidR="009C1E19">
        <w:t xml:space="preserve">Ibid </w:t>
      </w:r>
      <w:r>
        <w:t>Recommendation 5</w:t>
      </w:r>
      <w:r w:rsidR="009C1E19">
        <w:t>.</w:t>
      </w:r>
    </w:p>
  </w:footnote>
  <w:footnote w:id="30">
    <w:p w14:paraId="22095BE3" w14:textId="23BE7F8F" w:rsidR="00A40A39" w:rsidRPr="00A40A39" w:rsidRDefault="00A40A39">
      <w:pPr>
        <w:pStyle w:val="FootnoteText"/>
        <w:rPr>
          <w:lang w:val="en-US"/>
        </w:rPr>
      </w:pPr>
      <w:r>
        <w:rPr>
          <w:rStyle w:val="FootnoteReference"/>
        </w:rPr>
        <w:footnoteRef/>
      </w:r>
      <w:r>
        <w:t xml:space="preserve"> </w:t>
      </w:r>
      <w:r w:rsidR="009C1E19">
        <w:t>Ibid</w:t>
      </w:r>
      <w:r w:rsidR="009C1E19">
        <w:rPr>
          <w:lang w:val="en-US"/>
        </w:rPr>
        <w:t xml:space="preserve"> </w:t>
      </w:r>
      <w:r>
        <w:rPr>
          <w:lang w:val="en-US"/>
        </w:rPr>
        <w:t>Recommendation</w:t>
      </w:r>
      <w:r w:rsidR="00A1287A">
        <w:rPr>
          <w:lang w:val="en-US"/>
        </w:rPr>
        <w:t xml:space="preserve"> 15</w:t>
      </w:r>
      <w:r w:rsidR="009C1E19">
        <w:rPr>
          <w:lang w:val="en-US"/>
        </w:rPr>
        <w:t>.</w:t>
      </w:r>
    </w:p>
  </w:footnote>
  <w:footnote w:id="31">
    <w:p w14:paraId="03B9981F" w14:textId="719A8CEA" w:rsidR="006F0792" w:rsidRPr="00DB6DEA" w:rsidRDefault="006F0792">
      <w:pPr>
        <w:pStyle w:val="FootnoteText"/>
        <w:rPr>
          <w:lang w:val="en-US"/>
        </w:rPr>
      </w:pPr>
      <w:r>
        <w:rPr>
          <w:rStyle w:val="FootnoteReference"/>
        </w:rPr>
        <w:footnoteRef/>
      </w:r>
      <w:r>
        <w:t xml:space="preserve"> </w:t>
      </w:r>
      <w:r w:rsidR="00D24B4E" w:rsidRPr="00D24B4E">
        <w:rPr>
          <w:lang w:val="en-US"/>
        </w:rPr>
        <w:t xml:space="preserve">Queensland Government, </w:t>
      </w:r>
      <w:r w:rsidR="00D24B4E" w:rsidRPr="00DB6DEA">
        <w:rPr>
          <w:i/>
          <w:iCs/>
          <w:lang w:val="en-US"/>
        </w:rPr>
        <w:t>Final Queensland Government Response to the Queensland Human Rights Commission’s Report, Building Belonging – Review of Queensland’s Anti-Discrimination Act 1991</w:t>
      </w:r>
      <w:r w:rsidR="00D24B4E" w:rsidRPr="00D24B4E">
        <w:rPr>
          <w:lang w:val="en-US"/>
        </w:rPr>
        <w:t xml:space="preserve"> (Final Response, 3 April 2023).</w:t>
      </w:r>
    </w:p>
  </w:footnote>
  <w:footnote w:id="32">
    <w:p w14:paraId="0B24B5A0" w14:textId="0A7527C4" w:rsidR="005E7FA1" w:rsidRPr="005E7FA1" w:rsidRDefault="005E7FA1">
      <w:pPr>
        <w:pStyle w:val="FootnoteText"/>
        <w:rPr>
          <w:lang w:val="en-US"/>
        </w:rPr>
      </w:pPr>
      <w:r>
        <w:rPr>
          <w:rStyle w:val="FootnoteReference"/>
        </w:rPr>
        <w:footnoteRef/>
      </w:r>
      <w:r>
        <w:t xml:space="preserve"> </w:t>
      </w:r>
      <w:r w:rsidR="009C1E19" w:rsidRPr="009C1E19">
        <w:rPr>
          <w:lang w:val="en-US"/>
        </w:rPr>
        <w:t>Pasi Sahlberg et al, ‘Reinventing Australian Schools for the Better Wellbeing, Health and Learning of Every Child’ (Discussion paper, Melbourne Graduate School of Education at University of Melbourne, Centre for Community Child Health at Murdoch Children’s Research Institute, and Faculty of Education at Southern Cross University, 2023).</w:t>
      </w:r>
    </w:p>
  </w:footnote>
  <w:footnote w:id="33">
    <w:p w14:paraId="2CC10E35" w14:textId="05E038DC" w:rsidR="00D61326" w:rsidRPr="00D61326" w:rsidRDefault="00D61326">
      <w:pPr>
        <w:pStyle w:val="FootnoteText"/>
        <w:rPr>
          <w:lang w:val="en-US"/>
        </w:rPr>
      </w:pPr>
      <w:r>
        <w:rPr>
          <w:rStyle w:val="FootnoteReference"/>
        </w:rPr>
        <w:footnoteRef/>
      </w:r>
      <w:r>
        <w:t xml:space="preserve"> </w:t>
      </w:r>
      <w:r w:rsidR="00F02676" w:rsidRPr="0036036F">
        <w:rPr>
          <w:i/>
          <w:iCs/>
        </w:rPr>
        <w:t>Education (Accreditation of Non-State Schools) Regulation 2017</w:t>
      </w:r>
      <w:r w:rsidR="00F02676">
        <w:t xml:space="preserve"> (Qld) </w:t>
      </w:r>
      <w:r w:rsidR="00F02676">
        <w:rPr>
          <w:lang w:val="en-US"/>
        </w:rPr>
        <w:t xml:space="preserve">rr </w:t>
      </w:r>
      <w:r>
        <w:rPr>
          <w:lang w:val="en-US"/>
        </w:rPr>
        <w:t>15 and 16</w:t>
      </w:r>
      <w:r w:rsidR="00A872E8">
        <w:rPr>
          <w:lang w:val="en-US"/>
        </w:rPr>
        <w:t>.</w:t>
      </w:r>
    </w:p>
  </w:footnote>
  <w:footnote w:id="34">
    <w:p w14:paraId="22EC48C6" w14:textId="67C7FA5C" w:rsidR="005C37A9" w:rsidRPr="005C37A9" w:rsidRDefault="005C37A9">
      <w:pPr>
        <w:pStyle w:val="FootnoteText"/>
        <w:rPr>
          <w:lang w:val="en-US"/>
        </w:rPr>
      </w:pPr>
      <w:r>
        <w:rPr>
          <w:rStyle w:val="FootnoteReference"/>
        </w:rPr>
        <w:footnoteRef/>
      </w:r>
      <w:r>
        <w:t xml:space="preserve"> </w:t>
      </w:r>
      <w:r>
        <w:rPr>
          <w:lang w:val="en-US"/>
        </w:rPr>
        <w:t xml:space="preserve">These examples are taken from </w:t>
      </w:r>
      <w:r w:rsidR="00F02676" w:rsidRPr="009C1E19">
        <w:rPr>
          <w:lang w:val="en-US"/>
        </w:rPr>
        <w:t>Pasi Sahlberg et al, ‘Reinventing Australian Schools for the Better Wellbeing, Health and Learning of Every Child’ (Discussion paper, Melbourne Graduate School of Education at University of Melbourne, Centre for Community Child Health at Murdoch Children’s Research Institute, and Faculty of Education at Southern Cross University, 2023).</w:t>
      </w:r>
    </w:p>
  </w:footnote>
  <w:footnote w:id="35">
    <w:p w14:paraId="61522E7F" w14:textId="421FFCA4" w:rsidR="00AE049E" w:rsidRPr="00AE049E" w:rsidRDefault="00AE049E">
      <w:pPr>
        <w:pStyle w:val="FootnoteText"/>
        <w:rPr>
          <w:lang w:val="en-US"/>
        </w:rPr>
      </w:pPr>
      <w:r>
        <w:rPr>
          <w:rStyle w:val="FootnoteReference"/>
        </w:rPr>
        <w:footnoteRef/>
      </w:r>
      <w:r>
        <w:t xml:space="preserve"> </w:t>
      </w:r>
      <w:r w:rsidRPr="00AE049E">
        <w:rPr>
          <w:i/>
          <w:iCs/>
          <w:lang w:val="en-US"/>
        </w:rPr>
        <w:t>Education Regulation 2005</w:t>
      </w:r>
      <w:r>
        <w:rPr>
          <w:lang w:val="en-US"/>
        </w:rPr>
        <w:t xml:space="preserve"> (ACT) </w:t>
      </w:r>
      <w:r w:rsidR="00F02676">
        <w:rPr>
          <w:lang w:val="en-US"/>
        </w:rPr>
        <w:t xml:space="preserve">Sch </w:t>
      </w:r>
      <w:r>
        <w:rPr>
          <w:lang w:val="en-US"/>
        </w:rPr>
        <w:t xml:space="preserve">2, </w:t>
      </w:r>
      <w:r w:rsidR="00F02676">
        <w:rPr>
          <w:lang w:val="en-US"/>
        </w:rPr>
        <w:t xml:space="preserve">Pt </w:t>
      </w:r>
      <w:r>
        <w:rPr>
          <w:lang w:val="en-US"/>
        </w:rPr>
        <w:t>2.3</w:t>
      </w:r>
      <w:r w:rsidR="00F02676">
        <w:rPr>
          <w:lang w:val="en-US"/>
        </w:rPr>
        <w:t>.</w:t>
      </w:r>
    </w:p>
  </w:footnote>
  <w:footnote w:id="36">
    <w:p w14:paraId="64B18204" w14:textId="265E34D8" w:rsidR="00474550" w:rsidRPr="00787731" w:rsidRDefault="00474550" w:rsidP="00474550">
      <w:pPr>
        <w:pStyle w:val="FootnoteText"/>
        <w:rPr>
          <w:lang w:val="en-US"/>
        </w:rPr>
      </w:pPr>
      <w:r>
        <w:rPr>
          <w:rStyle w:val="FootnoteReference"/>
        </w:rPr>
        <w:footnoteRef/>
      </w:r>
      <w:r>
        <w:t xml:space="preserve"> </w:t>
      </w:r>
      <w:r w:rsidRPr="00F02676">
        <w:rPr>
          <w:rFonts w:cs="Arial"/>
          <w:i/>
          <w:iCs/>
          <w:szCs w:val="20"/>
        </w:rPr>
        <w:t xml:space="preserve">Education (Accreditation of Non-State Schools) Regulation 2017 </w:t>
      </w:r>
      <w:r w:rsidRPr="00F02676">
        <w:rPr>
          <w:szCs w:val="20"/>
        </w:rPr>
        <w:t>r</w:t>
      </w:r>
      <w:r w:rsidRPr="00F02676">
        <w:rPr>
          <w:szCs w:val="20"/>
          <w:lang w:val="en-US"/>
        </w:rPr>
        <w:t xml:space="preserve"> 9</w:t>
      </w:r>
      <w:r w:rsidR="00F02676">
        <w:rPr>
          <w:szCs w:val="20"/>
          <w:lang w:val="en-US"/>
        </w:rPr>
        <w:t>.</w:t>
      </w:r>
    </w:p>
  </w:footnote>
  <w:footnote w:id="37">
    <w:p w14:paraId="3B179FA8" w14:textId="49928E90" w:rsidR="00F02676" w:rsidRPr="009E0F40" w:rsidRDefault="00F02676" w:rsidP="00F02676">
      <w:pPr>
        <w:pStyle w:val="FootnoteText"/>
        <w:rPr>
          <w:lang w:val="en-US"/>
        </w:rPr>
      </w:pPr>
      <w:r>
        <w:rPr>
          <w:rStyle w:val="FootnoteReference"/>
        </w:rPr>
        <w:footnoteRef/>
      </w:r>
      <w:r>
        <w:t xml:space="preserve"> See </w:t>
      </w:r>
      <w:r>
        <w:rPr>
          <w:lang w:val="en-US"/>
        </w:rPr>
        <w:t xml:space="preserve">Objects of Act, </w:t>
      </w:r>
      <w:r w:rsidRPr="00F02676">
        <w:rPr>
          <w:i/>
          <w:iCs/>
          <w:lang w:val="en-US"/>
        </w:rPr>
        <w:t>Education (Accreditation of Non-State Schools) Act 2017</w:t>
      </w:r>
      <w:r>
        <w:rPr>
          <w:lang w:val="en-US"/>
        </w:rPr>
        <w:t xml:space="preserve"> (Qld), s 3(1)(b).</w:t>
      </w:r>
    </w:p>
  </w:footnote>
  <w:footnote w:id="38">
    <w:p w14:paraId="481EFF39" w14:textId="25522E67" w:rsidR="00F8155A" w:rsidRPr="00F8155A" w:rsidRDefault="00F8155A">
      <w:pPr>
        <w:pStyle w:val="FootnoteText"/>
        <w:rPr>
          <w:lang w:val="en-US"/>
        </w:rPr>
      </w:pPr>
      <w:r>
        <w:rPr>
          <w:rStyle w:val="FootnoteReference"/>
        </w:rPr>
        <w:footnoteRef/>
      </w:r>
      <w:r>
        <w:t xml:space="preserve"> </w:t>
      </w:r>
      <w:r w:rsidRPr="00BC7FA0">
        <w:rPr>
          <w:i/>
          <w:iCs/>
        </w:rPr>
        <w:t>Education Act 2004</w:t>
      </w:r>
      <w:r w:rsidR="00BC7FA0" w:rsidRPr="00BC7FA0">
        <w:rPr>
          <w:i/>
          <w:iCs/>
        </w:rPr>
        <w:t xml:space="preserve"> (</w:t>
      </w:r>
      <w:r w:rsidR="00BC7FA0">
        <w:t>ACT)</w:t>
      </w:r>
      <w:r>
        <w:t xml:space="preserve"> s</w:t>
      </w:r>
      <w:r>
        <w:rPr>
          <w:lang w:val="en-US"/>
        </w:rPr>
        <w:t xml:space="preserve"> 72</w:t>
      </w:r>
      <w:r w:rsidR="00BC7FA0">
        <w:rPr>
          <w:lang w:val="en-US"/>
        </w:rPr>
        <w:t>.</w:t>
      </w:r>
      <w:r>
        <w:rPr>
          <w:lang w:val="en-US"/>
        </w:rPr>
        <w:t xml:space="preserve"> </w:t>
      </w:r>
    </w:p>
  </w:footnote>
  <w:footnote w:id="39">
    <w:p w14:paraId="5DA5DC32" w14:textId="5C25BC03" w:rsidR="00510064" w:rsidRPr="00510064" w:rsidRDefault="00510064">
      <w:pPr>
        <w:pStyle w:val="FootnoteText"/>
        <w:rPr>
          <w:lang w:val="en-US"/>
        </w:rPr>
      </w:pPr>
      <w:r>
        <w:rPr>
          <w:rStyle w:val="FootnoteReference"/>
        </w:rPr>
        <w:footnoteRef/>
      </w:r>
      <w:r>
        <w:t xml:space="preserve"> </w:t>
      </w:r>
      <w:r w:rsidRPr="00510064">
        <w:rPr>
          <w:i/>
          <w:iCs/>
        </w:rPr>
        <w:t>Education and Training Reform Act 2006</w:t>
      </w:r>
      <w:r>
        <w:t xml:space="preserve"> (Vic) </w:t>
      </w:r>
      <w:r w:rsidR="00BC7FA0">
        <w:t xml:space="preserve">s </w:t>
      </w:r>
      <w:r>
        <w:rPr>
          <w:lang w:val="en-US"/>
        </w:rPr>
        <w:t>1.2.1</w:t>
      </w:r>
      <w:r w:rsidR="00BC7FA0">
        <w:rPr>
          <w:lang w:val="en-US"/>
        </w:rPr>
        <w:t>.</w:t>
      </w:r>
    </w:p>
  </w:footnote>
  <w:footnote w:id="40">
    <w:p w14:paraId="4A7EF14A" w14:textId="77777777" w:rsidR="005239B3" w:rsidRPr="00324D01" w:rsidRDefault="005239B3" w:rsidP="005239B3">
      <w:pPr>
        <w:pStyle w:val="FootnoteText"/>
        <w:rPr>
          <w:lang w:val="en-US"/>
        </w:rPr>
      </w:pPr>
      <w:r>
        <w:rPr>
          <w:rStyle w:val="FootnoteReference"/>
        </w:rPr>
        <w:footnoteRef/>
      </w:r>
      <w:r>
        <w:t xml:space="preserve"> </w:t>
      </w:r>
      <w:r w:rsidRPr="00BC7FA0">
        <w:rPr>
          <w:i/>
          <w:iCs/>
          <w:lang w:val="en-US"/>
        </w:rPr>
        <w:t>Education and Training Reform Regulation 2017</w:t>
      </w:r>
      <w:r>
        <w:rPr>
          <w:lang w:val="en-US"/>
        </w:rPr>
        <w:t xml:space="preserve"> (Vic) Sch 4; </w:t>
      </w:r>
      <w:r w:rsidRPr="00BC7FA0">
        <w:rPr>
          <w:i/>
          <w:iCs/>
          <w:lang w:val="en-US"/>
        </w:rPr>
        <w:t>Education and Training Reform Regulation 2017</w:t>
      </w:r>
      <w:r>
        <w:rPr>
          <w:lang w:val="en-US"/>
        </w:rPr>
        <w:t xml:space="preserve"> (Vic) rr 97-99.</w:t>
      </w:r>
    </w:p>
  </w:footnote>
  <w:footnote w:id="41">
    <w:p w14:paraId="609DD781" w14:textId="08915221" w:rsidR="005239B3" w:rsidRPr="00C959E0" w:rsidRDefault="005239B3" w:rsidP="005239B3">
      <w:pPr>
        <w:pStyle w:val="FootnoteText"/>
        <w:rPr>
          <w:lang w:val="en-US"/>
        </w:rPr>
      </w:pPr>
      <w:r>
        <w:rPr>
          <w:rStyle w:val="FootnoteReference"/>
        </w:rPr>
        <w:footnoteRef/>
      </w:r>
      <w:r>
        <w:t xml:space="preserve"> </w:t>
      </w:r>
      <w:r w:rsidRPr="00735758">
        <w:rPr>
          <w:i/>
          <w:iCs/>
        </w:rPr>
        <w:t>Education and Training Reform Act 2006</w:t>
      </w:r>
      <w:r>
        <w:t xml:space="preserve"> (Vic) s</w:t>
      </w:r>
      <w:r>
        <w:rPr>
          <w:lang w:val="en-US"/>
        </w:rPr>
        <w:t xml:space="preserve"> 4.2.3</w:t>
      </w:r>
      <w:r w:rsidR="00D15B5D">
        <w:rPr>
          <w:lang w:val="en-US"/>
        </w:rPr>
        <w:t>.</w:t>
      </w:r>
    </w:p>
  </w:footnote>
  <w:footnote w:id="42">
    <w:p w14:paraId="2A00CA3A" w14:textId="704C2E97" w:rsidR="005239B3" w:rsidRPr="005239B3" w:rsidRDefault="005239B3">
      <w:pPr>
        <w:pStyle w:val="FootnoteText"/>
        <w:rPr>
          <w:lang w:val="en-US"/>
        </w:rPr>
      </w:pPr>
      <w:r>
        <w:rPr>
          <w:rStyle w:val="FootnoteReference"/>
        </w:rPr>
        <w:footnoteRef/>
      </w:r>
      <w:r>
        <w:t xml:space="preserve"> </w:t>
      </w:r>
      <w:r w:rsidRPr="00BC7FA0">
        <w:rPr>
          <w:i/>
          <w:iCs/>
          <w:lang w:val="en-US"/>
        </w:rPr>
        <w:t>Education and Training Reform Regulation 2017</w:t>
      </w:r>
      <w:r>
        <w:rPr>
          <w:lang w:val="en-US"/>
        </w:rPr>
        <w:t xml:space="preserve"> (Vic) rr 97-99.</w:t>
      </w:r>
    </w:p>
  </w:footnote>
  <w:footnote w:id="43">
    <w:p w14:paraId="489140A4" w14:textId="0A069E36" w:rsidR="00EA2492" w:rsidRPr="00EA2492" w:rsidRDefault="00EA2492">
      <w:pPr>
        <w:pStyle w:val="FootnoteText"/>
        <w:rPr>
          <w:lang w:val="en-US"/>
        </w:rPr>
      </w:pPr>
      <w:r>
        <w:rPr>
          <w:rStyle w:val="FootnoteReference"/>
        </w:rPr>
        <w:footnoteRef/>
      </w:r>
      <w:r>
        <w:t xml:space="preserve"> </w:t>
      </w:r>
      <w:r w:rsidR="00624652" w:rsidRPr="00C76971">
        <w:rPr>
          <w:i/>
          <w:iCs/>
        </w:rPr>
        <w:t>Human Rights Act 2004</w:t>
      </w:r>
      <w:r w:rsidR="00624652">
        <w:t xml:space="preserve"> (ACT) s </w:t>
      </w:r>
      <w:r>
        <w:t>2.19</w:t>
      </w:r>
      <w:r w:rsidR="00624652">
        <w:t>.</w:t>
      </w:r>
    </w:p>
  </w:footnote>
  <w:footnote w:id="44">
    <w:p w14:paraId="7BD520A6" w14:textId="05F1F70A" w:rsidR="00EA2492" w:rsidRPr="00EA2492" w:rsidRDefault="00EA2492">
      <w:pPr>
        <w:pStyle w:val="FootnoteText"/>
        <w:rPr>
          <w:lang w:val="en-US"/>
        </w:rPr>
      </w:pPr>
      <w:r>
        <w:rPr>
          <w:rStyle w:val="FootnoteReference"/>
        </w:rPr>
        <w:footnoteRef/>
      </w:r>
      <w:r>
        <w:t xml:space="preserve"> </w:t>
      </w:r>
      <w:r w:rsidR="00624652">
        <w:t xml:space="preserve">See </w:t>
      </w:r>
      <w:r w:rsidR="00624652" w:rsidRPr="00624652">
        <w:rPr>
          <w:i/>
          <w:iCs/>
        </w:rPr>
        <w:t>Human Rights Act 2019</w:t>
      </w:r>
      <w:r w:rsidR="00624652">
        <w:t xml:space="preserve"> (Qld) s 9(1)(h); </w:t>
      </w:r>
      <w:r w:rsidR="00624652" w:rsidRPr="00624652">
        <w:rPr>
          <w:i/>
          <w:iCs/>
        </w:rPr>
        <w:t>Charter of Human Rights and Responsibilities Act 2006</w:t>
      </w:r>
      <w:r w:rsidR="00624652">
        <w:t xml:space="preserve"> (Vic)</w:t>
      </w:r>
      <w:r w:rsidR="00A872E8">
        <w:t>.</w:t>
      </w:r>
    </w:p>
  </w:footnote>
  <w:footnote w:id="45">
    <w:p w14:paraId="48040348" w14:textId="39D9A707" w:rsidR="000A0D9B" w:rsidRPr="00735758" w:rsidRDefault="000A0D9B" w:rsidP="000A0D9B">
      <w:pPr>
        <w:pStyle w:val="FootnoteText"/>
        <w:rPr>
          <w:lang w:val="en-US"/>
        </w:rPr>
      </w:pPr>
      <w:r>
        <w:rPr>
          <w:rStyle w:val="FootnoteReference"/>
        </w:rPr>
        <w:footnoteRef/>
      </w:r>
      <w:r>
        <w:t xml:space="preserve"> </w:t>
      </w:r>
      <w:r w:rsidRPr="00735758">
        <w:rPr>
          <w:i/>
          <w:iCs/>
        </w:rPr>
        <w:t>Education and Training Reform Act 2006</w:t>
      </w:r>
      <w:r>
        <w:t xml:space="preserve"> (Vic) </w:t>
      </w:r>
      <w:r>
        <w:rPr>
          <w:lang w:val="en-US"/>
        </w:rPr>
        <w:t>4.3.1</w:t>
      </w:r>
      <w:r w:rsidR="009F4507">
        <w:rPr>
          <w:lang w:val="en-US"/>
        </w:rPr>
        <w:t>.</w:t>
      </w:r>
    </w:p>
  </w:footnote>
  <w:footnote w:id="46">
    <w:p w14:paraId="5CFEB0CE" w14:textId="2DFC13C0" w:rsidR="000A0D9B" w:rsidRPr="003564DB" w:rsidRDefault="000A0D9B" w:rsidP="000A0D9B">
      <w:pPr>
        <w:pStyle w:val="FootnoteText"/>
        <w:rPr>
          <w:lang w:val="en-US"/>
        </w:rPr>
      </w:pPr>
      <w:r>
        <w:rPr>
          <w:rStyle w:val="FootnoteReference"/>
        </w:rPr>
        <w:footnoteRef/>
      </w:r>
      <w:r>
        <w:t xml:space="preserve"> </w:t>
      </w:r>
      <w:r w:rsidRPr="00BC7FA0">
        <w:rPr>
          <w:i/>
          <w:iCs/>
          <w:lang w:val="en-US"/>
        </w:rPr>
        <w:t>Education and Training Reform Regulation 2017</w:t>
      </w:r>
      <w:r>
        <w:rPr>
          <w:lang w:val="en-US"/>
        </w:rPr>
        <w:t xml:space="preserve"> (Vic) Sch 4 Item 1</w:t>
      </w:r>
      <w:r w:rsidR="009F4507">
        <w:rPr>
          <w:lang w:val="en-US"/>
        </w:rPr>
        <w:t>;</w:t>
      </w:r>
      <w:r>
        <w:rPr>
          <w:lang w:val="en-US"/>
        </w:rPr>
        <w:t xml:space="preserve"> </w:t>
      </w:r>
      <w:r w:rsidRPr="00B92F44">
        <w:rPr>
          <w:lang w:val="en-US"/>
        </w:rPr>
        <w:t xml:space="preserve">Victorian Registration &amp; Qualifications Authority, </w:t>
      </w:r>
      <w:r w:rsidRPr="00B92F44">
        <w:rPr>
          <w:i/>
          <w:iCs/>
          <w:lang w:val="en-US"/>
        </w:rPr>
        <w:t>Guidelines to the Minimum Standards and Requirements for School Registration</w:t>
      </w:r>
      <w:r w:rsidRPr="00B92F44">
        <w:rPr>
          <w:lang w:val="en-US"/>
        </w:rPr>
        <w:t xml:space="preserve"> (For new and existing schools from 1 July 2022)</w:t>
      </w:r>
      <w:r>
        <w:rPr>
          <w:lang w:val="en-US"/>
        </w:rPr>
        <w:t xml:space="preserve"> 9</w:t>
      </w:r>
      <w:r w:rsidRPr="00B92F44">
        <w:rPr>
          <w:lang w:val="en-US"/>
        </w:rPr>
        <w:t>.</w:t>
      </w:r>
    </w:p>
  </w:footnote>
  <w:footnote w:id="47">
    <w:p w14:paraId="241F6B60" w14:textId="5ED6BC4B" w:rsidR="002B61AC" w:rsidRPr="002B61AC" w:rsidRDefault="002B61AC">
      <w:pPr>
        <w:pStyle w:val="FootnoteText"/>
        <w:rPr>
          <w:lang w:val="en-US"/>
        </w:rPr>
      </w:pPr>
      <w:r>
        <w:rPr>
          <w:rStyle w:val="FootnoteReference"/>
        </w:rPr>
        <w:footnoteRef/>
      </w:r>
      <w:r>
        <w:t xml:space="preserve"> Human Rights Act, s</w:t>
      </w:r>
      <w:r>
        <w:rPr>
          <w:lang w:val="en-US"/>
        </w:rPr>
        <w:t xml:space="preserve"> 60. To date, two entities have opted in: Queensland Advocacy Incorporated and Caxton Legal Centre. </w:t>
      </w:r>
    </w:p>
  </w:footnote>
  <w:footnote w:id="48">
    <w:p w14:paraId="1D1B8F0C" w14:textId="2EC050AF" w:rsidR="00453E31" w:rsidRPr="00453E31" w:rsidRDefault="00453E31">
      <w:pPr>
        <w:pStyle w:val="FootnoteText"/>
        <w:rPr>
          <w:lang w:val="en-US"/>
        </w:rPr>
      </w:pPr>
      <w:r>
        <w:rPr>
          <w:rStyle w:val="FootnoteReference"/>
        </w:rPr>
        <w:footnoteRef/>
      </w:r>
      <w:r>
        <w:t xml:space="preserve"> </w:t>
      </w:r>
      <w:r w:rsidRPr="00453E31">
        <w:rPr>
          <w:i/>
          <w:iCs/>
          <w:lang w:val="en-US"/>
        </w:rPr>
        <w:t>Education (Accreditation of Non-State Schools) Regulation 2017</w:t>
      </w:r>
      <w:r>
        <w:rPr>
          <w:lang w:val="en-US"/>
        </w:rPr>
        <w:t xml:space="preserve"> (Qld) r 7.</w:t>
      </w:r>
    </w:p>
  </w:footnote>
  <w:footnote w:id="49">
    <w:p w14:paraId="6DE144DA" w14:textId="4F1AB648" w:rsidR="00BA18AE" w:rsidRPr="00BA18AE" w:rsidRDefault="00BA18AE">
      <w:pPr>
        <w:pStyle w:val="FootnoteText"/>
        <w:rPr>
          <w:lang w:val="en-US"/>
        </w:rPr>
      </w:pPr>
      <w:r>
        <w:rPr>
          <w:rStyle w:val="FootnoteReference"/>
        </w:rPr>
        <w:footnoteRef/>
      </w:r>
      <w:r>
        <w:t xml:space="preserve"> </w:t>
      </w:r>
      <w:r w:rsidRPr="00BA18AE">
        <w:t xml:space="preserve">Non-State Schools Accreditation Board (Qld), </w:t>
      </w:r>
      <w:r w:rsidRPr="00BA18AE">
        <w:rPr>
          <w:i/>
          <w:iCs/>
        </w:rPr>
        <w:t>Media Statements</w:t>
      </w:r>
      <w:r w:rsidRPr="00BA18AE">
        <w:t xml:space="preserve"> (Web Page, 4 February 2022) &lt;https://nssab.qld.edu.au/Publications/media.php&gt;.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03C1017" w14:paraId="3ABA0E04" w14:textId="77777777" w:rsidTr="157CCB34">
      <w:trPr>
        <w:trHeight w:val="300"/>
      </w:trPr>
      <w:tc>
        <w:tcPr>
          <w:tcW w:w="2765" w:type="dxa"/>
        </w:tcPr>
        <w:p w14:paraId="10A9ABFE" w14:textId="7263F3B0" w:rsidR="003C1017" w:rsidRDefault="003C1017" w:rsidP="157CCB34">
          <w:pPr>
            <w:pStyle w:val="Header"/>
            <w:ind w:left="-115"/>
          </w:pPr>
        </w:p>
      </w:tc>
      <w:tc>
        <w:tcPr>
          <w:tcW w:w="2765" w:type="dxa"/>
        </w:tcPr>
        <w:p w14:paraId="74F07214" w14:textId="2124A6B3" w:rsidR="003C1017" w:rsidRDefault="003C1017" w:rsidP="157CCB34">
          <w:pPr>
            <w:pStyle w:val="Header"/>
            <w:jc w:val="center"/>
          </w:pPr>
        </w:p>
      </w:tc>
      <w:tc>
        <w:tcPr>
          <w:tcW w:w="2765" w:type="dxa"/>
        </w:tcPr>
        <w:p w14:paraId="21876844" w14:textId="02138906" w:rsidR="003C1017" w:rsidRDefault="003C1017" w:rsidP="157CCB34">
          <w:pPr>
            <w:pStyle w:val="Header"/>
            <w:ind w:right="-115"/>
            <w:jc w:val="right"/>
          </w:pPr>
        </w:p>
      </w:tc>
    </w:tr>
  </w:tbl>
  <w:p w14:paraId="5253CB89" w14:textId="32E3E2E9" w:rsidR="003C1017" w:rsidRDefault="003C1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297B" w14:textId="77777777" w:rsidR="003C1017" w:rsidRDefault="003C1017" w:rsidP="00260847">
    <w:pPr>
      <w:pStyle w:val="Header"/>
      <w:tabs>
        <w:tab w:val="clear" w:pos="4513"/>
        <w:tab w:val="clear" w:pos="9026"/>
      </w:tabs>
      <w:spacing w:before="240"/>
    </w:pPr>
  </w:p>
  <w:p w14:paraId="6F8733AA" w14:textId="77777777" w:rsidR="003C1017" w:rsidRDefault="003C1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241F" w14:textId="77777777" w:rsidR="003C1017" w:rsidRPr="000731D3" w:rsidRDefault="003C1017" w:rsidP="0007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5F5B" w14:textId="77777777" w:rsidR="003C1017" w:rsidRPr="000731D3" w:rsidRDefault="003C1017" w:rsidP="000731D3">
    <w:pPr>
      <w:pStyle w:val="Header"/>
      <w:rPr>
        <w:rFonts w:cs="Arial"/>
        <w:color w:val="365F91" w:themeColor="accent1" w:themeShade="BF"/>
      </w:rPr>
    </w:pPr>
    <w:r>
      <w:rPr>
        <w:rFonts w:cs="Arial"/>
        <w:color w:val="365F91" w:themeColor="accent1" w:themeShade="BF"/>
      </w:rPr>
      <w:t>[title]</w:t>
    </w:r>
  </w:p>
  <w:p w14:paraId="0AC4F077" w14:textId="77777777" w:rsidR="003C1017" w:rsidRPr="000731D3" w:rsidRDefault="003C1017" w:rsidP="000731D3">
    <w:pPr>
      <w:pStyle w:val="Header"/>
      <w:pBdr>
        <w:bottom w:val="single" w:sz="4" w:space="1" w:color="auto"/>
      </w:pBdr>
      <w:rPr>
        <w:rFonts w:cs="Arial"/>
        <w:sz w:val="20"/>
        <w:szCs w:val="20"/>
      </w:rPr>
    </w:pPr>
  </w:p>
  <w:p w14:paraId="4049C6DE" w14:textId="77777777" w:rsidR="003C1017" w:rsidRPr="000731D3" w:rsidRDefault="003C1017"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5AF8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A36BA"/>
    <w:multiLevelType w:val="hybridMultilevel"/>
    <w:tmpl w:val="95381F64"/>
    <w:lvl w:ilvl="0" w:tplc="5DC6C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50E7E"/>
    <w:multiLevelType w:val="hybridMultilevel"/>
    <w:tmpl w:val="6E505E64"/>
    <w:lvl w:ilvl="0" w:tplc="AC46A534">
      <w:start w:val="1"/>
      <w:numFmt w:val="decimal"/>
      <w:pStyle w:val="Numberedparagraph"/>
      <w:lvlText w:val="%1."/>
      <w:lvlJc w:val="left"/>
      <w:pPr>
        <w:ind w:left="567" w:hanging="567"/>
      </w:pPr>
      <w:rPr>
        <w:vertAlign w:val="baseline"/>
      </w:rPr>
    </w:lvl>
    <w:lvl w:ilvl="1" w:tplc="76924038">
      <w:start w:val="1"/>
      <w:numFmt w:val="lowerLetter"/>
      <w:lvlText w:val="%2."/>
      <w:lvlJc w:val="left"/>
      <w:pPr>
        <w:ind w:left="907" w:hanging="283"/>
      </w:pPr>
      <w:rPr>
        <w:b w:val="0"/>
        <w:i w:val="0"/>
        <w:sz w:val="24"/>
        <w:vertAlign w:val="baseline"/>
      </w:rPr>
    </w:lvl>
    <w:lvl w:ilvl="2" w:tplc="BC4EA7EC">
      <w:start w:val="1"/>
      <w:numFmt w:val="lowerRoman"/>
      <w:lvlText w:val="%3."/>
      <w:lvlJc w:val="right"/>
      <w:pPr>
        <w:ind w:left="1247" w:hanging="113"/>
      </w:pPr>
    </w:lvl>
    <w:lvl w:ilvl="3" w:tplc="80E41944">
      <w:start w:val="1"/>
      <w:numFmt w:val="decimal"/>
      <w:lvlText w:val="%4."/>
      <w:lvlJc w:val="left"/>
      <w:pPr>
        <w:ind w:left="1428" w:hanging="357"/>
      </w:pPr>
    </w:lvl>
    <w:lvl w:ilvl="4" w:tplc="9336F2C8">
      <w:start w:val="1"/>
      <w:numFmt w:val="lowerLetter"/>
      <w:lvlText w:val="%5."/>
      <w:lvlJc w:val="left"/>
      <w:pPr>
        <w:ind w:left="1785" w:hanging="357"/>
      </w:pPr>
    </w:lvl>
    <w:lvl w:ilvl="5" w:tplc="6FCEB290">
      <w:start w:val="1"/>
      <w:numFmt w:val="lowerRoman"/>
      <w:lvlText w:val="%6."/>
      <w:lvlJc w:val="right"/>
      <w:pPr>
        <w:ind w:left="2142" w:hanging="357"/>
      </w:pPr>
    </w:lvl>
    <w:lvl w:ilvl="6" w:tplc="F2926638">
      <w:start w:val="1"/>
      <w:numFmt w:val="decimal"/>
      <w:lvlText w:val="%7."/>
      <w:lvlJc w:val="left"/>
      <w:pPr>
        <w:ind w:left="2499" w:hanging="357"/>
      </w:pPr>
    </w:lvl>
    <w:lvl w:ilvl="7" w:tplc="E9028670">
      <w:start w:val="1"/>
      <w:numFmt w:val="lowerLetter"/>
      <w:lvlText w:val="%8."/>
      <w:lvlJc w:val="left"/>
      <w:pPr>
        <w:ind w:left="2856" w:hanging="357"/>
      </w:pPr>
    </w:lvl>
    <w:lvl w:ilvl="8" w:tplc="15106A22">
      <w:start w:val="1"/>
      <w:numFmt w:val="lowerRoman"/>
      <w:lvlText w:val="%9."/>
      <w:lvlJc w:val="right"/>
      <w:pPr>
        <w:ind w:left="3213" w:hanging="357"/>
      </w:pPr>
    </w:lvl>
  </w:abstractNum>
  <w:abstractNum w:abstractNumId="4" w15:restartNumberingAfterBreak="0">
    <w:nsid w:val="17C46C2A"/>
    <w:multiLevelType w:val="multilevel"/>
    <w:tmpl w:val="C35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26185"/>
    <w:multiLevelType w:val="hybridMultilevel"/>
    <w:tmpl w:val="EE8285FC"/>
    <w:lvl w:ilvl="0" w:tplc="0C090001">
      <w:start w:val="1"/>
      <w:numFmt w:val="bullet"/>
      <w:lvlText w:val=""/>
      <w:lvlJc w:val="left"/>
      <w:pPr>
        <w:ind w:left="567" w:hanging="567"/>
      </w:pPr>
      <w:rPr>
        <w:rFonts w:ascii="Symbol" w:hAnsi="Symbol" w:hint="default"/>
        <w:vertAlign w:val="baseline"/>
      </w:rPr>
    </w:lvl>
    <w:lvl w:ilvl="1" w:tplc="FFFFFFFF">
      <w:start w:val="1"/>
      <w:numFmt w:val="lowerLetter"/>
      <w:lvlText w:val="%2."/>
      <w:lvlJc w:val="left"/>
      <w:pPr>
        <w:ind w:left="907" w:hanging="283"/>
      </w:pPr>
      <w:rPr>
        <w:b w:val="0"/>
        <w:i w:val="0"/>
        <w:sz w:val="24"/>
        <w:vertAlign w:val="baseline"/>
      </w:rPr>
    </w:lvl>
    <w:lvl w:ilvl="2" w:tplc="FFFFFFFF">
      <w:start w:val="1"/>
      <w:numFmt w:val="lowerRoman"/>
      <w:lvlText w:val="%3."/>
      <w:lvlJc w:val="right"/>
      <w:pPr>
        <w:ind w:left="1247" w:hanging="113"/>
      </w:pPr>
    </w:lvl>
    <w:lvl w:ilvl="3" w:tplc="FFFFFFFF">
      <w:start w:val="1"/>
      <w:numFmt w:val="decimal"/>
      <w:lvlText w:val="%4."/>
      <w:lvlJc w:val="left"/>
      <w:pPr>
        <w:ind w:left="1428" w:hanging="357"/>
      </w:pPr>
    </w:lvl>
    <w:lvl w:ilvl="4" w:tplc="FFFFFFFF">
      <w:start w:val="1"/>
      <w:numFmt w:val="lowerLetter"/>
      <w:lvlText w:val="%5."/>
      <w:lvlJc w:val="left"/>
      <w:pPr>
        <w:ind w:left="1785" w:hanging="357"/>
      </w:pPr>
    </w:lvl>
    <w:lvl w:ilvl="5" w:tplc="FFFFFFFF">
      <w:start w:val="1"/>
      <w:numFmt w:val="lowerRoman"/>
      <w:lvlText w:val="%6."/>
      <w:lvlJc w:val="right"/>
      <w:pPr>
        <w:ind w:left="2142" w:hanging="357"/>
      </w:pPr>
    </w:lvl>
    <w:lvl w:ilvl="6" w:tplc="FFFFFFFF">
      <w:start w:val="1"/>
      <w:numFmt w:val="decimal"/>
      <w:lvlText w:val="%7."/>
      <w:lvlJc w:val="left"/>
      <w:pPr>
        <w:ind w:left="2499" w:hanging="357"/>
      </w:pPr>
    </w:lvl>
    <w:lvl w:ilvl="7" w:tplc="FFFFFFFF">
      <w:start w:val="1"/>
      <w:numFmt w:val="lowerLetter"/>
      <w:lvlText w:val="%8."/>
      <w:lvlJc w:val="left"/>
      <w:pPr>
        <w:ind w:left="2856" w:hanging="357"/>
      </w:pPr>
    </w:lvl>
    <w:lvl w:ilvl="8" w:tplc="FFFFFFFF">
      <w:start w:val="1"/>
      <w:numFmt w:val="lowerRoman"/>
      <w:lvlText w:val="%9."/>
      <w:lvlJc w:val="right"/>
      <w:pPr>
        <w:ind w:left="3213" w:hanging="357"/>
      </w:pPr>
    </w:lvl>
  </w:abstractNum>
  <w:abstractNum w:abstractNumId="6"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37C543D6"/>
    <w:multiLevelType w:val="hybridMultilevel"/>
    <w:tmpl w:val="5F2C9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74B753"/>
    <w:multiLevelType w:val="multilevel"/>
    <w:tmpl w:val="FFFFFFFF"/>
    <w:lvl w:ilvl="0">
      <w:start w:val="1"/>
      <w:numFmt w:val="bullet"/>
      <w:lvlText w:val=""/>
      <w:lvlJc w:val="left"/>
      <w:pPr>
        <w:ind w:left="128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4DDC390F"/>
    <w:multiLevelType w:val="hybridMultilevel"/>
    <w:tmpl w:val="253CC94A"/>
    <w:lvl w:ilvl="0" w:tplc="F530FA84">
      <w:start w:val="6"/>
      <w:numFmt w:val="bullet"/>
      <w:lvlText w:val=""/>
      <w:lvlJc w:val="left"/>
      <w:pPr>
        <w:ind w:left="720" w:hanging="360"/>
      </w:pPr>
      <w:rPr>
        <w:rFonts w:ascii="Symbol" w:eastAsiaTheme="minorHAnsi" w:hAnsi="Symbol" w:cs="CIDFont+F1"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DF0F24"/>
    <w:multiLevelType w:val="hybridMultilevel"/>
    <w:tmpl w:val="011A7CBC"/>
    <w:lvl w:ilvl="0" w:tplc="C49ABAA8">
      <w:start w:val="1"/>
      <w:numFmt w:val="bullet"/>
      <w:lvlText w:val="•"/>
      <w:lvlJc w:val="left"/>
      <w:pPr>
        <w:tabs>
          <w:tab w:val="num" w:pos="720"/>
        </w:tabs>
        <w:ind w:left="720" w:hanging="360"/>
      </w:pPr>
      <w:rPr>
        <w:rFonts w:ascii="Arial" w:hAnsi="Arial" w:hint="default"/>
      </w:rPr>
    </w:lvl>
    <w:lvl w:ilvl="1" w:tplc="6B087346">
      <w:numFmt w:val="bullet"/>
      <w:lvlText w:val="•"/>
      <w:lvlJc w:val="left"/>
      <w:pPr>
        <w:tabs>
          <w:tab w:val="num" w:pos="1440"/>
        </w:tabs>
        <w:ind w:left="1440" w:hanging="360"/>
      </w:pPr>
      <w:rPr>
        <w:rFonts w:ascii="Arial" w:hAnsi="Arial" w:hint="default"/>
      </w:rPr>
    </w:lvl>
    <w:lvl w:ilvl="2" w:tplc="ABF21102" w:tentative="1">
      <w:start w:val="1"/>
      <w:numFmt w:val="bullet"/>
      <w:lvlText w:val="•"/>
      <w:lvlJc w:val="left"/>
      <w:pPr>
        <w:tabs>
          <w:tab w:val="num" w:pos="2160"/>
        </w:tabs>
        <w:ind w:left="2160" w:hanging="360"/>
      </w:pPr>
      <w:rPr>
        <w:rFonts w:ascii="Arial" w:hAnsi="Arial" w:hint="default"/>
      </w:rPr>
    </w:lvl>
    <w:lvl w:ilvl="3" w:tplc="E8D6E78C" w:tentative="1">
      <w:start w:val="1"/>
      <w:numFmt w:val="bullet"/>
      <w:lvlText w:val="•"/>
      <w:lvlJc w:val="left"/>
      <w:pPr>
        <w:tabs>
          <w:tab w:val="num" w:pos="2880"/>
        </w:tabs>
        <w:ind w:left="2880" w:hanging="360"/>
      </w:pPr>
      <w:rPr>
        <w:rFonts w:ascii="Arial" w:hAnsi="Arial" w:hint="default"/>
      </w:rPr>
    </w:lvl>
    <w:lvl w:ilvl="4" w:tplc="9306D2CC" w:tentative="1">
      <w:start w:val="1"/>
      <w:numFmt w:val="bullet"/>
      <w:lvlText w:val="•"/>
      <w:lvlJc w:val="left"/>
      <w:pPr>
        <w:tabs>
          <w:tab w:val="num" w:pos="3600"/>
        </w:tabs>
        <w:ind w:left="3600" w:hanging="360"/>
      </w:pPr>
      <w:rPr>
        <w:rFonts w:ascii="Arial" w:hAnsi="Arial" w:hint="default"/>
      </w:rPr>
    </w:lvl>
    <w:lvl w:ilvl="5" w:tplc="913AE6A6" w:tentative="1">
      <w:start w:val="1"/>
      <w:numFmt w:val="bullet"/>
      <w:lvlText w:val="•"/>
      <w:lvlJc w:val="left"/>
      <w:pPr>
        <w:tabs>
          <w:tab w:val="num" w:pos="4320"/>
        </w:tabs>
        <w:ind w:left="4320" w:hanging="360"/>
      </w:pPr>
      <w:rPr>
        <w:rFonts w:ascii="Arial" w:hAnsi="Arial" w:hint="default"/>
      </w:rPr>
    </w:lvl>
    <w:lvl w:ilvl="6" w:tplc="23085450" w:tentative="1">
      <w:start w:val="1"/>
      <w:numFmt w:val="bullet"/>
      <w:lvlText w:val="•"/>
      <w:lvlJc w:val="left"/>
      <w:pPr>
        <w:tabs>
          <w:tab w:val="num" w:pos="5040"/>
        </w:tabs>
        <w:ind w:left="5040" w:hanging="360"/>
      </w:pPr>
      <w:rPr>
        <w:rFonts w:ascii="Arial" w:hAnsi="Arial" w:hint="default"/>
      </w:rPr>
    </w:lvl>
    <w:lvl w:ilvl="7" w:tplc="D43EF18E" w:tentative="1">
      <w:start w:val="1"/>
      <w:numFmt w:val="bullet"/>
      <w:lvlText w:val="•"/>
      <w:lvlJc w:val="left"/>
      <w:pPr>
        <w:tabs>
          <w:tab w:val="num" w:pos="5760"/>
        </w:tabs>
        <w:ind w:left="5760" w:hanging="360"/>
      </w:pPr>
      <w:rPr>
        <w:rFonts w:ascii="Arial" w:hAnsi="Arial" w:hint="default"/>
      </w:rPr>
    </w:lvl>
    <w:lvl w:ilvl="8" w:tplc="87F2D12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0"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6B6B44D6"/>
    <w:multiLevelType w:val="hybridMultilevel"/>
    <w:tmpl w:val="E90050A0"/>
    <w:lvl w:ilvl="0" w:tplc="EA1A855E">
      <w:start w:val="1"/>
      <w:numFmt w:val="bullet"/>
      <w:lvlText w:val=""/>
      <w:lvlJc w:val="left"/>
      <w:pPr>
        <w:ind w:left="1267" w:hanging="360"/>
      </w:pPr>
      <w:rPr>
        <w:rFonts w:ascii="Symbol" w:eastAsiaTheme="minorEastAsia" w:hAnsi="Symbol" w:cs="Arial" w:hint="default"/>
      </w:rPr>
    </w:lvl>
    <w:lvl w:ilvl="1" w:tplc="0C090003" w:tentative="1">
      <w:start w:val="1"/>
      <w:numFmt w:val="bullet"/>
      <w:lvlText w:val="o"/>
      <w:lvlJc w:val="left"/>
      <w:pPr>
        <w:ind w:left="1987" w:hanging="360"/>
      </w:pPr>
      <w:rPr>
        <w:rFonts w:ascii="Courier New" w:hAnsi="Courier New" w:cs="Courier New" w:hint="default"/>
      </w:rPr>
    </w:lvl>
    <w:lvl w:ilvl="2" w:tplc="0C090005" w:tentative="1">
      <w:start w:val="1"/>
      <w:numFmt w:val="bullet"/>
      <w:lvlText w:val=""/>
      <w:lvlJc w:val="left"/>
      <w:pPr>
        <w:ind w:left="2707" w:hanging="360"/>
      </w:pPr>
      <w:rPr>
        <w:rFonts w:ascii="Wingdings" w:hAnsi="Wingdings" w:hint="default"/>
      </w:rPr>
    </w:lvl>
    <w:lvl w:ilvl="3" w:tplc="0C090001" w:tentative="1">
      <w:start w:val="1"/>
      <w:numFmt w:val="bullet"/>
      <w:lvlText w:val=""/>
      <w:lvlJc w:val="left"/>
      <w:pPr>
        <w:ind w:left="3427" w:hanging="360"/>
      </w:pPr>
      <w:rPr>
        <w:rFonts w:ascii="Symbol" w:hAnsi="Symbol" w:hint="default"/>
      </w:rPr>
    </w:lvl>
    <w:lvl w:ilvl="4" w:tplc="0C090003" w:tentative="1">
      <w:start w:val="1"/>
      <w:numFmt w:val="bullet"/>
      <w:lvlText w:val="o"/>
      <w:lvlJc w:val="left"/>
      <w:pPr>
        <w:ind w:left="4147" w:hanging="360"/>
      </w:pPr>
      <w:rPr>
        <w:rFonts w:ascii="Courier New" w:hAnsi="Courier New" w:cs="Courier New" w:hint="default"/>
      </w:rPr>
    </w:lvl>
    <w:lvl w:ilvl="5" w:tplc="0C090005" w:tentative="1">
      <w:start w:val="1"/>
      <w:numFmt w:val="bullet"/>
      <w:lvlText w:val=""/>
      <w:lvlJc w:val="left"/>
      <w:pPr>
        <w:ind w:left="4867" w:hanging="360"/>
      </w:pPr>
      <w:rPr>
        <w:rFonts w:ascii="Wingdings" w:hAnsi="Wingdings" w:hint="default"/>
      </w:rPr>
    </w:lvl>
    <w:lvl w:ilvl="6" w:tplc="0C090001" w:tentative="1">
      <w:start w:val="1"/>
      <w:numFmt w:val="bullet"/>
      <w:lvlText w:val=""/>
      <w:lvlJc w:val="left"/>
      <w:pPr>
        <w:ind w:left="5587" w:hanging="360"/>
      </w:pPr>
      <w:rPr>
        <w:rFonts w:ascii="Symbol" w:hAnsi="Symbol" w:hint="default"/>
      </w:rPr>
    </w:lvl>
    <w:lvl w:ilvl="7" w:tplc="0C090003" w:tentative="1">
      <w:start w:val="1"/>
      <w:numFmt w:val="bullet"/>
      <w:lvlText w:val="o"/>
      <w:lvlJc w:val="left"/>
      <w:pPr>
        <w:ind w:left="6307" w:hanging="360"/>
      </w:pPr>
      <w:rPr>
        <w:rFonts w:ascii="Courier New" w:hAnsi="Courier New" w:cs="Courier New" w:hint="default"/>
      </w:rPr>
    </w:lvl>
    <w:lvl w:ilvl="8" w:tplc="0C090005" w:tentative="1">
      <w:start w:val="1"/>
      <w:numFmt w:val="bullet"/>
      <w:lvlText w:val=""/>
      <w:lvlJc w:val="left"/>
      <w:pPr>
        <w:ind w:left="7027" w:hanging="360"/>
      </w:pPr>
      <w:rPr>
        <w:rFonts w:ascii="Wingdings" w:hAnsi="Wingdings" w:hint="default"/>
      </w:rPr>
    </w:lvl>
  </w:abstractNum>
  <w:abstractNum w:abstractNumId="22"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3" w15:restartNumberingAfterBreak="0">
    <w:nsid w:val="73BA7B42"/>
    <w:multiLevelType w:val="hybridMultilevel"/>
    <w:tmpl w:val="DF4CF11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C7C6CBB"/>
    <w:multiLevelType w:val="hybridMultilevel"/>
    <w:tmpl w:val="23605F94"/>
    <w:lvl w:ilvl="0" w:tplc="01AECB58">
      <w:start w:val="1"/>
      <w:numFmt w:val="bullet"/>
      <w:lvlText w:val=""/>
      <w:lvlJc w:val="left"/>
      <w:pPr>
        <w:ind w:left="720" w:hanging="360"/>
      </w:pPr>
      <w:rPr>
        <w:rFonts w:ascii="Symbol" w:hAnsi="Symbol" w:hint="default"/>
        <w:color w:val="595959"/>
        <w:w w:val="80"/>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2"/>
  </w:num>
  <w:num w:numId="4">
    <w:abstractNumId w:val="10"/>
  </w:num>
  <w:num w:numId="5">
    <w:abstractNumId w:val="14"/>
  </w:num>
  <w:num w:numId="6">
    <w:abstractNumId w:val="17"/>
  </w:num>
  <w:num w:numId="7">
    <w:abstractNumId w:val="2"/>
  </w:num>
  <w:num w:numId="8">
    <w:abstractNumId w:val="12"/>
  </w:num>
  <w:num w:numId="9">
    <w:abstractNumId w:val="20"/>
  </w:num>
  <w:num w:numId="10">
    <w:abstractNumId w:val="24"/>
  </w:num>
  <w:num w:numId="11">
    <w:abstractNumId w:val="18"/>
  </w:num>
  <w:num w:numId="12">
    <w:abstractNumId w:val="13"/>
  </w:num>
  <w:num w:numId="13">
    <w:abstractNumId w:val="3"/>
  </w:num>
  <w:num w:numId="14">
    <w:abstractNumId w:val="6"/>
  </w:num>
  <w:num w:numId="15">
    <w:abstractNumId w:val="1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9"/>
  </w:num>
  <w:num w:numId="17">
    <w:abstractNumId w:val="1"/>
  </w:num>
  <w:num w:numId="18">
    <w:abstractNumId w:val="0"/>
  </w:num>
  <w:num w:numId="19">
    <w:abstractNumId w:val="4"/>
  </w:num>
  <w:num w:numId="20">
    <w:abstractNumId w:val="7"/>
  </w:num>
  <w:num w:numId="21">
    <w:abstractNumId w:val="15"/>
  </w:num>
  <w:num w:numId="22">
    <w:abstractNumId w:val="1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3">
    <w:abstractNumId w:val="8"/>
  </w:num>
  <w:num w:numId="24">
    <w:abstractNumId w:val="21"/>
  </w:num>
  <w:num w:numId="25">
    <w:abstractNumId w:val="1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6">
    <w:abstractNumId w:val="10"/>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27">
    <w:abstractNumId w:val="11"/>
  </w:num>
  <w:num w:numId="28">
    <w:abstractNumId w:val="3"/>
    <w:lvlOverride w:ilvl="0">
      <w:startOverride w:val="1"/>
    </w:lvlOverride>
  </w:num>
  <w:num w:numId="29">
    <w:abstractNumId w:val="23"/>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38"/>
    <w:rsid w:val="00000227"/>
    <w:rsid w:val="00002F05"/>
    <w:rsid w:val="0000423C"/>
    <w:rsid w:val="0000532D"/>
    <w:rsid w:val="000056DA"/>
    <w:rsid w:val="00007948"/>
    <w:rsid w:val="00010F8E"/>
    <w:rsid w:val="00014804"/>
    <w:rsid w:val="0001596B"/>
    <w:rsid w:val="00015C03"/>
    <w:rsid w:val="00015F36"/>
    <w:rsid w:val="00016922"/>
    <w:rsid w:val="000208A0"/>
    <w:rsid w:val="0002351E"/>
    <w:rsid w:val="000237DE"/>
    <w:rsid w:val="00030DD5"/>
    <w:rsid w:val="00035139"/>
    <w:rsid w:val="00037D31"/>
    <w:rsid w:val="00041E58"/>
    <w:rsid w:val="000432B3"/>
    <w:rsid w:val="00043C9D"/>
    <w:rsid w:val="000441C0"/>
    <w:rsid w:val="00044A7F"/>
    <w:rsid w:val="0004580B"/>
    <w:rsid w:val="00045B46"/>
    <w:rsid w:val="00046AC1"/>
    <w:rsid w:val="00047983"/>
    <w:rsid w:val="00050688"/>
    <w:rsid w:val="000520FF"/>
    <w:rsid w:val="00052533"/>
    <w:rsid w:val="00054120"/>
    <w:rsid w:val="00054FD9"/>
    <w:rsid w:val="00056960"/>
    <w:rsid w:val="00056E77"/>
    <w:rsid w:val="00057023"/>
    <w:rsid w:val="00057D21"/>
    <w:rsid w:val="00060B45"/>
    <w:rsid w:val="00061BF6"/>
    <w:rsid w:val="00062028"/>
    <w:rsid w:val="00062DAD"/>
    <w:rsid w:val="00063EDF"/>
    <w:rsid w:val="00064660"/>
    <w:rsid w:val="00064C35"/>
    <w:rsid w:val="00066283"/>
    <w:rsid w:val="0006659E"/>
    <w:rsid w:val="0007050B"/>
    <w:rsid w:val="00072CE6"/>
    <w:rsid w:val="00072F04"/>
    <w:rsid w:val="00073025"/>
    <w:rsid w:val="000731D3"/>
    <w:rsid w:val="00074ECA"/>
    <w:rsid w:val="00075AB0"/>
    <w:rsid w:val="0007682B"/>
    <w:rsid w:val="00077814"/>
    <w:rsid w:val="00080050"/>
    <w:rsid w:val="000803A7"/>
    <w:rsid w:val="00080522"/>
    <w:rsid w:val="0008293D"/>
    <w:rsid w:val="00084851"/>
    <w:rsid w:val="0008613C"/>
    <w:rsid w:val="00086C4E"/>
    <w:rsid w:val="0008790A"/>
    <w:rsid w:val="00091D4B"/>
    <w:rsid w:val="00092E4C"/>
    <w:rsid w:val="000935E7"/>
    <w:rsid w:val="00095FBB"/>
    <w:rsid w:val="00096517"/>
    <w:rsid w:val="00096ADC"/>
    <w:rsid w:val="00097295"/>
    <w:rsid w:val="0009742D"/>
    <w:rsid w:val="000A0D5F"/>
    <w:rsid w:val="000A0D9B"/>
    <w:rsid w:val="000A201B"/>
    <w:rsid w:val="000A2036"/>
    <w:rsid w:val="000A2CB5"/>
    <w:rsid w:val="000A2EEE"/>
    <w:rsid w:val="000A35FA"/>
    <w:rsid w:val="000A5CE7"/>
    <w:rsid w:val="000B0790"/>
    <w:rsid w:val="000B4454"/>
    <w:rsid w:val="000B4B52"/>
    <w:rsid w:val="000B6C72"/>
    <w:rsid w:val="000B7454"/>
    <w:rsid w:val="000B794F"/>
    <w:rsid w:val="000B7D20"/>
    <w:rsid w:val="000C1B91"/>
    <w:rsid w:val="000C4088"/>
    <w:rsid w:val="000C4333"/>
    <w:rsid w:val="000C45E2"/>
    <w:rsid w:val="000C5CFE"/>
    <w:rsid w:val="000C6007"/>
    <w:rsid w:val="000C619C"/>
    <w:rsid w:val="000D1796"/>
    <w:rsid w:val="000D19E0"/>
    <w:rsid w:val="000D1F65"/>
    <w:rsid w:val="000D3ED6"/>
    <w:rsid w:val="000D49A5"/>
    <w:rsid w:val="000D519F"/>
    <w:rsid w:val="000D520A"/>
    <w:rsid w:val="000D6F91"/>
    <w:rsid w:val="000D6FBA"/>
    <w:rsid w:val="000E02AC"/>
    <w:rsid w:val="000E1039"/>
    <w:rsid w:val="000E1AEB"/>
    <w:rsid w:val="000E2B2D"/>
    <w:rsid w:val="000E2E58"/>
    <w:rsid w:val="000E357B"/>
    <w:rsid w:val="000E37A0"/>
    <w:rsid w:val="000E4460"/>
    <w:rsid w:val="000E57F2"/>
    <w:rsid w:val="000E606B"/>
    <w:rsid w:val="000F0BC1"/>
    <w:rsid w:val="000F4098"/>
    <w:rsid w:val="0010004D"/>
    <w:rsid w:val="001043A8"/>
    <w:rsid w:val="00105217"/>
    <w:rsid w:val="001066BD"/>
    <w:rsid w:val="00107DF3"/>
    <w:rsid w:val="00110696"/>
    <w:rsid w:val="00110D00"/>
    <w:rsid w:val="001137A9"/>
    <w:rsid w:val="001143CC"/>
    <w:rsid w:val="00114970"/>
    <w:rsid w:val="00114F37"/>
    <w:rsid w:val="001157E5"/>
    <w:rsid w:val="00115874"/>
    <w:rsid w:val="00116CC0"/>
    <w:rsid w:val="0011748B"/>
    <w:rsid w:val="00121E6F"/>
    <w:rsid w:val="00122576"/>
    <w:rsid w:val="00123556"/>
    <w:rsid w:val="00124365"/>
    <w:rsid w:val="00124A35"/>
    <w:rsid w:val="001304EE"/>
    <w:rsid w:val="00130C6F"/>
    <w:rsid w:val="00131CF3"/>
    <w:rsid w:val="00132908"/>
    <w:rsid w:val="00132986"/>
    <w:rsid w:val="00133908"/>
    <w:rsid w:val="00133F54"/>
    <w:rsid w:val="0014035C"/>
    <w:rsid w:val="00141E96"/>
    <w:rsid w:val="0014286D"/>
    <w:rsid w:val="001444C7"/>
    <w:rsid w:val="0014476E"/>
    <w:rsid w:val="00147D97"/>
    <w:rsid w:val="0015171E"/>
    <w:rsid w:val="00153BC4"/>
    <w:rsid w:val="00153D7F"/>
    <w:rsid w:val="001559F7"/>
    <w:rsid w:val="00160614"/>
    <w:rsid w:val="0016469D"/>
    <w:rsid w:val="00166238"/>
    <w:rsid w:val="001703B7"/>
    <w:rsid w:val="0017044A"/>
    <w:rsid w:val="00170CB7"/>
    <w:rsid w:val="00172931"/>
    <w:rsid w:val="00174DBB"/>
    <w:rsid w:val="0017592B"/>
    <w:rsid w:val="00175CEE"/>
    <w:rsid w:val="00176022"/>
    <w:rsid w:val="001825CB"/>
    <w:rsid w:val="00182865"/>
    <w:rsid w:val="00182D21"/>
    <w:rsid w:val="00182E06"/>
    <w:rsid w:val="0018441D"/>
    <w:rsid w:val="00185E17"/>
    <w:rsid w:val="0018639D"/>
    <w:rsid w:val="00186791"/>
    <w:rsid w:val="001906C1"/>
    <w:rsid w:val="001916E4"/>
    <w:rsid w:val="0019203A"/>
    <w:rsid w:val="0019220B"/>
    <w:rsid w:val="00192D57"/>
    <w:rsid w:val="00192E04"/>
    <w:rsid w:val="00192F4F"/>
    <w:rsid w:val="00193498"/>
    <w:rsid w:val="00195E9F"/>
    <w:rsid w:val="00196671"/>
    <w:rsid w:val="001A03CE"/>
    <w:rsid w:val="001A04EE"/>
    <w:rsid w:val="001A0EFC"/>
    <w:rsid w:val="001A12BD"/>
    <w:rsid w:val="001A1DB0"/>
    <w:rsid w:val="001A1FD8"/>
    <w:rsid w:val="001A227A"/>
    <w:rsid w:val="001A52A4"/>
    <w:rsid w:val="001A5AAB"/>
    <w:rsid w:val="001B1A27"/>
    <w:rsid w:val="001B3260"/>
    <w:rsid w:val="001B3972"/>
    <w:rsid w:val="001B5470"/>
    <w:rsid w:val="001B57C6"/>
    <w:rsid w:val="001B63D1"/>
    <w:rsid w:val="001B6740"/>
    <w:rsid w:val="001B69A6"/>
    <w:rsid w:val="001B6A45"/>
    <w:rsid w:val="001B7008"/>
    <w:rsid w:val="001C01FD"/>
    <w:rsid w:val="001C127F"/>
    <w:rsid w:val="001C324B"/>
    <w:rsid w:val="001C332F"/>
    <w:rsid w:val="001D2122"/>
    <w:rsid w:val="001D50C0"/>
    <w:rsid w:val="001D678F"/>
    <w:rsid w:val="001D7758"/>
    <w:rsid w:val="001DC40E"/>
    <w:rsid w:val="001E00A4"/>
    <w:rsid w:val="001E3A26"/>
    <w:rsid w:val="001F33A6"/>
    <w:rsid w:val="001F389A"/>
    <w:rsid w:val="001F3F19"/>
    <w:rsid w:val="001F40E2"/>
    <w:rsid w:val="001F5F4B"/>
    <w:rsid w:val="00200CE1"/>
    <w:rsid w:val="00203630"/>
    <w:rsid w:val="00203F05"/>
    <w:rsid w:val="002041BA"/>
    <w:rsid w:val="0020460C"/>
    <w:rsid w:val="002056B8"/>
    <w:rsid w:val="00205797"/>
    <w:rsid w:val="00206577"/>
    <w:rsid w:val="002078B9"/>
    <w:rsid w:val="002112FF"/>
    <w:rsid w:val="00211F74"/>
    <w:rsid w:val="002137EF"/>
    <w:rsid w:val="00213E7D"/>
    <w:rsid w:val="00215DF5"/>
    <w:rsid w:val="00215EDE"/>
    <w:rsid w:val="0021616F"/>
    <w:rsid w:val="00216F15"/>
    <w:rsid w:val="00217F21"/>
    <w:rsid w:val="0022043C"/>
    <w:rsid w:val="00221F7D"/>
    <w:rsid w:val="0022344F"/>
    <w:rsid w:val="0022377E"/>
    <w:rsid w:val="0022592D"/>
    <w:rsid w:val="0022603E"/>
    <w:rsid w:val="00227178"/>
    <w:rsid w:val="0023346A"/>
    <w:rsid w:val="00233F52"/>
    <w:rsid w:val="00233F6B"/>
    <w:rsid w:val="00235527"/>
    <w:rsid w:val="0023691D"/>
    <w:rsid w:val="00237B45"/>
    <w:rsid w:val="0024052B"/>
    <w:rsid w:val="00240EF9"/>
    <w:rsid w:val="00240F83"/>
    <w:rsid w:val="0024194E"/>
    <w:rsid w:val="00247033"/>
    <w:rsid w:val="00247570"/>
    <w:rsid w:val="002477F6"/>
    <w:rsid w:val="00250364"/>
    <w:rsid w:val="00250648"/>
    <w:rsid w:val="00250709"/>
    <w:rsid w:val="0025289A"/>
    <w:rsid w:val="00253B42"/>
    <w:rsid w:val="00253D15"/>
    <w:rsid w:val="0025417E"/>
    <w:rsid w:val="0025607C"/>
    <w:rsid w:val="00256EEA"/>
    <w:rsid w:val="00260847"/>
    <w:rsid w:val="00260B90"/>
    <w:rsid w:val="002621D4"/>
    <w:rsid w:val="00262EDE"/>
    <w:rsid w:val="00263426"/>
    <w:rsid w:val="00263FF2"/>
    <w:rsid w:val="00264F3D"/>
    <w:rsid w:val="002725FC"/>
    <w:rsid w:val="00272A9E"/>
    <w:rsid w:val="00273D46"/>
    <w:rsid w:val="00274FAF"/>
    <w:rsid w:val="00275280"/>
    <w:rsid w:val="002762A3"/>
    <w:rsid w:val="00277C1F"/>
    <w:rsid w:val="00280980"/>
    <w:rsid w:val="00283D88"/>
    <w:rsid w:val="00284FF0"/>
    <w:rsid w:val="0028591B"/>
    <w:rsid w:val="00285BD8"/>
    <w:rsid w:val="00286728"/>
    <w:rsid w:val="0028A1B1"/>
    <w:rsid w:val="00290B4D"/>
    <w:rsid w:val="00292C50"/>
    <w:rsid w:val="0029553A"/>
    <w:rsid w:val="002966E4"/>
    <w:rsid w:val="002977AE"/>
    <w:rsid w:val="002A03F1"/>
    <w:rsid w:val="002A2E16"/>
    <w:rsid w:val="002A2EAF"/>
    <w:rsid w:val="002A4061"/>
    <w:rsid w:val="002A640F"/>
    <w:rsid w:val="002B2AA1"/>
    <w:rsid w:val="002B3686"/>
    <w:rsid w:val="002B4657"/>
    <w:rsid w:val="002B5A18"/>
    <w:rsid w:val="002B61AC"/>
    <w:rsid w:val="002B63B4"/>
    <w:rsid w:val="002B65D4"/>
    <w:rsid w:val="002C076A"/>
    <w:rsid w:val="002C1BEC"/>
    <w:rsid w:val="002C31D3"/>
    <w:rsid w:val="002C388F"/>
    <w:rsid w:val="002C4871"/>
    <w:rsid w:val="002C4B78"/>
    <w:rsid w:val="002C54D2"/>
    <w:rsid w:val="002C5D81"/>
    <w:rsid w:val="002C5DEE"/>
    <w:rsid w:val="002C6F28"/>
    <w:rsid w:val="002D2770"/>
    <w:rsid w:val="002D46A2"/>
    <w:rsid w:val="002D6755"/>
    <w:rsid w:val="002E2288"/>
    <w:rsid w:val="002E433B"/>
    <w:rsid w:val="002E60EF"/>
    <w:rsid w:val="002E6BF5"/>
    <w:rsid w:val="002E7F5D"/>
    <w:rsid w:val="002E7FCC"/>
    <w:rsid w:val="002F03E3"/>
    <w:rsid w:val="002F50FF"/>
    <w:rsid w:val="002F5819"/>
    <w:rsid w:val="002F5CB8"/>
    <w:rsid w:val="00303598"/>
    <w:rsid w:val="0030362E"/>
    <w:rsid w:val="00305D47"/>
    <w:rsid w:val="003064EE"/>
    <w:rsid w:val="00307555"/>
    <w:rsid w:val="00310982"/>
    <w:rsid w:val="00310CB2"/>
    <w:rsid w:val="00312C2A"/>
    <w:rsid w:val="003140DC"/>
    <w:rsid w:val="0031425E"/>
    <w:rsid w:val="003175C1"/>
    <w:rsid w:val="00317643"/>
    <w:rsid w:val="003204FA"/>
    <w:rsid w:val="00320591"/>
    <w:rsid w:val="003209E0"/>
    <w:rsid w:val="00321445"/>
    <w:rsid w:val="00321587"/>
    <w:rsid w:val="003226BB"/>
    <w:rsid w:val="00322768"/>
    <w:rsid w:val="003236AC"/>
    <w:rsid w:val="00324D01"/>
    <w:rsid w:val="0032516B"/>
    <w:rsid w:val="00325B4C"/>
    <w:rsid w:val="00326869"/>
    <w:rsid w:val="0032745E"/>
    <w:rsid w:val="00327C6F"/>
    <w:rsid w:val="00330202"/>
    <w:rsid w:val="00330504"/>
    <w:rsid w:val="00330886"/>
    <w:rsid w:val="00330935"/>
    <w:rsid w:val="0033216F"/>
    <w:rsid w:val="00333638"/>
    <w:rsid w:val="00333EA8"/>
    <w:rsid w:val="00336923"/>
    <w:rsid w:val="003410D6"/>
    <w:rsid w:val="0034134D"/>
    <w:rsid w:val="00341819"/>
    <w:rsid w:val="00341A30"/>
    <w:rsid w:val="00341AD2"/>
    <w:rsid w:val="00343F7D"/>
    <w:rsid w:val="00344BFF"/>
    <w:rsid w:val="00344F59"/>
    <w:rsid w:val="00347EB9"/>
    <w:rsid w:val="003506C6"/>
    <w:rsid w:val="0035098A"/>
    <w:rsid w:val="00350D39"/>
    <w:rsid w:val="00350D76"/>
    <w:rsid w:val="00351128"/>
    <w:rsid w:val="00353EC6"/>
    <w:rsid w:val="0035517B"/>
    <w:rsid w:val="003564DB"/>
    <w:rsid w:val="0035654D"/>
    <w:rsid w:val="0036036F"/>
    <w:rsid w:val="00361AB8"/>
    <w:rsid w:val="00361C5B"/>
    <w:rsid w:val="003626DD"/>
    <w:rsid w:val="00363580"/>
    <w:rsid w:val="00364BE1"/>
    <w:rsid w:val="00366270"/>
    <w:rsid w:val="00366C5B"/>
    <w:rsid w:val="00367E92"/>
    <w:rsid w:val="00370336"/>
    <w:rsid w:val="00370337"/>
    <w:rsid w:val="00370EC3"/>
    <w:rsid w:val="00373364"/>
    <w:rsid w:val="003735D1"/>
    <w:rsid w:val="00373C83"/>
    <w:rsid w:val="00376874"/>
    <w:rsid w:val="00380142"/>
    <w:rsid w:val="003810B8"/>
    <w:rsid w:val="00381429"/>
    <w:rsid w:val="003822F1"/>
    <w:rsid w:val="003829C2"/>
    <w:rsid w:val="0038466F"/>
    <w:rsid w:val="003847F0"/>
    <w:rsid w:val="00384C79"/>
    <w:rsid w:val="00385D8A"/>
    <w:rsid w:val="00390A19"/>
    <w:rsid w:val="003913F6"/>
    <w:rsid w:val="00392522"/>
    <w:rsid w:val="00392FB2"/>
    <w:rsid w:val="003933DA"/>
    <w:rsid w:val="003943ED"/>
    <w:rsid w:val="003952D3"/>
    <w:rsid w:val="00395332"/>
    <w:rsid w:val="0039696F"/>
    <w:rsid w:val="00396F27"/>
    <w:rsid w:val="0039703D"/>
    <w:rsid w:val="003A0332"/>
    <w:rsid w:val="003A0907"/>
    <w:rsid w:val="003A3309"/>
    <w:rsid w:val="003A4193"/>
    <w:rsid w:val="003A4882"/>
    <w:rsid w:val="003A666E"/>
    <w:rsid w:val="003A7158"/>
    <w:rsid w:val="003A733D"/>
    <w:rsid w:val="003A7357"/>
    <w:rsid w:val="003A73C6"/>
    <w:rsid w:val="003A79F6"/>
    <w:rsid w:val="003B083A"/>
    <w:rsid w:val="003B197E"/>
    <w:rsid w:val="003B3853"/>
    <w:rsid w:val="003B4BF4"/>
    <w:rsid w:val="003B514F"/>
    <w:rsid w:val="003C071F"/>
    <w:rsid w:val="003C1017"/>
    <w:rsid w:val="003C2709"/>
    <w:rsid w:val="003C2782"/>
    <w:rsid w:val="003C2DB9"/>
    <w:rsid w:val="003C3E7A"/>
    <w:rsid w:val="003C443B"/>
    <w:rsid w:val="003C4692"/>
    <w:rsid w:val="003C4812"/>
    <w:rsid w:val="003C5B85"/>
    <w:rsid w:val="003C6A61"/>
    <w:rsid w:val="003C6DF3"/>
    <w:rsid w:val="003D0F48"/>
    <w:rsid w:val="003D3049"/>
    <w:rsid w:val="003D369C"/>
    <w:rsid w:val="003D3AAC"/>
    <w:rsid w:val="003D4D91"/>
    <w:rsid w:val="003D5132"/>
    <w:rsid w:val="003D538C"/>
    <w:rsid w:val="003D605A"/>
    <w:rsid w:val="003D625C"/>
    <w:rsid w:val="003E0048"/>
    <w:rsid w:val="003E0979"/>
    <w:rsid w:val="003E19E8"/>
    <w:rsid w:val="003E1CC3"/>
    <w:rsid w:val="003E4A32"/>
    <w:rsid w:val="003E4F54"/>
    <w:rsid w:val="003F2299"/>
    <w:rsid w:val="003F2F64"/>
    <w:rsid w:val="003F4276"/>
    <w:rsid w:val="003F5694"/>
    <w:rsid w:val="003F5D3E"/>
    <w:rsid w:val="003F6F7E"/>
    <w:rsid w:val="00400449"/>
    <w:rsid w:val="0040116B"/>
    <w:rsid w:val="00402223"/>
    <w:rsid w:val="004043BE"/>
    <w:rsid w:val="00405CFF"/>
    <w:rsid w:val="0040746E"/>
    <w:rsid w:val="00407D7F"/>
    <w:rsid w:val="004116D0"/>
    <w:rsid w:val="00411FC6"/>
    <w:rsid w:val="004159B5"/>
    <w:rsid w:val="004167A2"/>
    <w:rsid w:val="0041791C"/>
    <w:rsid w:val="00421429"/>
    <w:rsid w:val="00425009"/>
    <w:rsid w:val="004269B3"/>
    <w:rsid w:val="00426E2B"/>
    <w:rsid w:val="00426ED9"/>
    <w:rsid w:val="00427938"/>
    <w:rsid w:val="00427F11"/>
    <w:rsid w:val="0043019E"/>
    <w:rsid w:val="00430488"/>
    <w:rsid w:val="00430BA9"/>
    <w:rsid w:val="0043167D"/>
    <w:rsid w:val="00431D51"/>
    <w:rsid w:val="00432DF8"/>
    <w:rsid w:val="0043334D"/>
    <w:rsid w:val="004348E3"/>
    <w:rsid w:val="00437A1E"/>
    <w:rsid w:val="00440235"/>
    <w:rsid w:val="00440CC5"/>
    <w:rsid w:val="004418EC"/>
    <w:rsid w:val="00441F20"/>
    <w:rsid w:val="004424F3"/>
    <w:rsid w:val="004447B3"/>
    <w:rsid w:val="00445038"/>
    <w:rsid w:val="00445E00"/>
    <w:rsid w:val="00446AE7"/>
    <w:rsid w:val="004471DE"/>
    <w:rsid w:val="00447740"/>
    <w:rsid w:val="00451416"/>
    <w:rsid w:val="00452BE4"/>
    <w:rsid w:val="004538FC"/>
    <w:rsid w:val="00453E31"/>
    <w:rsid w:val="004542DD"/>
    <w:rsid w:val="00454F0E"/>
    <w:rsid w:val="0045535F"/>
    <w:rsid w:val="004564C7"/>
    <w:rsid w:val="0045765D"/>
    <w:rsid w:val="004609C1"/>
    <w:rsid w:val="00461B78"/>
    <w:rsid w:val="00461BFE"/>
    <w:rsid w:val="00463BEF"/>
    <w:rsid w:val="00464144"/>
    <w:rsid w:val="00464840"/>
    <w:rsid w:val="004651F9"/>
    <w:rsid w:val="00465D83"/>
    <w:rsid w:val="00466216"/>
    <w:rsid w:val="0046668E"/>
    <w:rsid w:val="00467166"/>
    <w:rsid w:val="004676A5"/>
    <w:rsid w:val="00472A7B"/>
    <w:rsid w:val="00473347"/>
    <w:rsid w:val="00474529"/>
    <w:rsid w:val="00474550"/>
    <w:rsid w:val="00476429"/>
    <w:rsid w:val="00476A15"/>
    <w:rsid w:val="00476C1A"/>
    <w:rsid w:val="00477016"/>
    <w:rsid w:val="00481147"/>
    <w:rsid w:val="004811B5"/>
    <w:rsid w:val="00482C7D"/>
    <w:rsid w:val="00486645"/>
    <w:rsid w:val="00486E5E"/>
    <w:rsid w:val="0048713B"/>
    <w:rsid w:val="00487B64"/>
    <w:rsid w:val="00490273"/>
    <w:rsid w:val="004924D2"/>
    <w:rsid w:val="00493469"/>
    <w:rsid w:val="00493621"/>
    <w:rsid w:val="00496036"/>
    <w:rsid w:val="004A1B59"/>
    <w:rsid w:val="004A2375"/>
    <w:rsid w:val="004A3A65"/>
    <w:rsid w:val="004A3ED2"/>
    <w:rsid w:val="004A4BB4"/>
    <w:rsid w:val="004A6F71"/>
    <w:rsid w:val="004A70D8"/>
    <w:rsid w:val="004A7AD2"/>
    <w:rsid w:val="004A7D05"/>
    <w:rsid w:val="004B0599"/>
    <w:rsid w:val="004B3248"/>
    <w:rsid w:val="004B4158"/>
    <w:rsid w:val="004B48E4"/>
    <w:rsid w:val="004B5C57"/>
    <w:rsid w:val="004B6125"/>
    <w:rsid w:val="004B682F"/>
    <w:rsid w:val="004B71ED"/>
    <w:rsid w:val="004B7AA8"/>
    <w:rsid w:val="004C09EC"/>
    <w:rsid w:val="004C17FC"/>
    <w:rsid w:val="004C2481"/>
    <w:rsid w:val="004C2886"/>
    <w:rsid w:val="004C2EDD"/>
    <w:rsid w:val="004C3D01"/>
    <w:rsid w:val="004C44CD"/>
    <w:rsid w:val="004D389A"/>
    <w:rsid w:val="004D425F"/>
    <w:rsid w:val="004D4D97"/>
    <w:rsid w:val="004D5D5B"/>
    <w:rsid w:val="004D7111"/>
    <w:rsid w:val="004E2F1E"/>
    <w:rsid w:val="004E3C4B"/>
    <w:rsid w:val="004E3D6B"/>
    <w:rsid w:val="004E3DE6"/>
    <w:rsid w:val="004E58C1"/>
    <w:rsid w:val="004E6CE3"/>
    <w:rsid w:val="004F2064"/>
    <w:rsid w:val="004F2CB8"/>
    <w:rsid w:val="004F3217"/>
    <w:rsid w:val="004F3718"/>
    <w:rsid w:val="004F4CB1"/>
    <w:rsid w:val="004F75F4"/>
    <w:rsid w:val="004F7F02"/>
    <w:rsid w:val="005009D5"/>
    <w:rsid w:val="00501049"/>
    <w:rsid w:val="005012A1"/>
    <w:rsid w:val="00502924"/>
    <w:rsid w:val="005033A9"/>
    <w:rsid w:val="00503AE7"/>
    <w:rsid w:val="00505A57"/>
    <w:rsid w:val="00506B35"/>
    <w:rsid w:val="00510064"/>
    <w:rsid w:val="00510B9C"/>
    <w:rsid w:val="005113A1"/>
    <w:rsid w:val="00511612"/>
    <w:rsid w:val="00511D97"/>
    <w:rsid w:val="0051296F"/>
    <w:rsid w:val="0051299B"/>
    <w:rsid w:val="00515065"/>
    <w:rsid w:val="00515DA1"/>
    <w:rsid w:val="00516283"/>
    <w:rsid w:val="005169A6"/>
    <w:rsid w:val="00516FEE"/>
    <w:rsid w:val="00517D74"/>
    <w:rsid w:val="0052278B"/>
    <w:rsid w:val="00523348"/>
    <w:rsid w:val="00523384"/>
    <w:rsid w:val="005239B3"/>
    <w:rsid w:val="00525CCA"/>
    <w:rsid w:val="005262CE"/>
    <w:rsid w:val="0052711B"/>
    <w:rsid w:val="00530CFA"/>
    <w:rsid w:val="0053180F"/>
    <w:rsid w:val="0053385B"/>
    <w:rsid w:val="0053463E"/>
    <w:rsid w:val="005359F2"/>
    <w:rsid w:val="00535D67"/>
    <w:rsid w:val="0053C1A6"/>
    <w:rsid w:val="00540A95"/>
    <w:rsid w:val="005413E3"/>
    <w:rsid w:val="00552C1A"/>
    <w:rsid w:val="00552E57"/>
    <w:rsid w:val="00552F9A"/>
    <w:rsid w:val="0055696A"/>
    <w:rsid w:val="00556B7D"/>
    <w:rsid w:val="00557ED0"/>
    <w:rsid w:val="00560FB6"/>
    <w:rsid w:val="00564A19"/>
    <w:rsid w:val="00564ED5"/>
    <w:rsid w:val="005670D5"/>
    <w:rsid w:val="00570014"/>
    <w:rsid w:val="005715B9"/>
    <w:rsid w:val="005723A4"/>
    <w:rsid w:val="0057394E"/>
    <w:rsid w:val="00580083"/>
    <w:rsid w:val="00581CBC"/>
    <w:rsid w:val="005834A0"/>
    <w:rsid w:val="005858F4"/>
    <w:rsid w:val="00586C43"/>
    <w:rsid w:val="005871A9"/>
    <w:rsid w:val="00587AEA"/>
    <w:rsid w:val="0058BC35"/>
    <w:rsid w:val="005916EB"/>
    <w:rsid w:val="00592312"/>
    <w:rsid w:val="005930BE"/>
    <w:rsid w:val="0059336E"/>
    <w:rsid w:val="005938F3"/>
    <w:rsid w:val="00593F27"/>
    <w:rsid w:val="005940B5"/>
    <w:rsid w:val="005967C5"/>
    <w:rsid w:val="00596AF1"/>
    <w:rsid w:val="005975BE"/>
    <w:rsid w:val="00597743"/>
    <w:rsid w:val="00597879"/>
    <w:rsid w:val="005A1AC1"/>
    <w:rsid w:val="005A49E2"/>
    <w:rsid w:val="005B0097"/>
    <w:rsid w:val="005B0841"/>
    <w:rsid w:val="005B13C7"/>
    <w:rsid w:val="005B273A"/>
    <w:rsid w:val="005B3855"/>
    <w:rsid w:val="005B3D6E"/>
    <w:rsid w:val="005B404C"/>
    <w:rsid w:val="005B4749"/>
    <w:rsid w:val="005B4DB6"/>
    <w:rsid w:val="005B6DCC"/>
    <w:rsid w:val="005B78EB"/>
    <w:rsid w:val="005B7E50"/>
    <w:rsid w:val="005C12B6"/>
    <w:rsid w:val="005C1730"/>
    <w:rsid w:val="005C2CDD"/>
    <w:rsid w:val="005C3764"/>
    <w:rsid w:val="005C37A9"/>
    <w:rsid w:val="005C3FB8"/>
    <w:rsid w:val="005C42B9"/>
    <w:rsid w:val="005C4638"/>
    <w:rsid w:val="005C4AFB"/>
    <w:rsid w:val="005C5DF9"/>
    <w:rsid w:val="005C6541"/>
    <w:rsid w:val="005C73C5"/>
    <w:rsid w:val="005C74C6"/>
    <w:rsid w:val="005D261A"/>
    <w:rsid w:val="005D3977"/>
    <w:rsid w:val="005D5A16"/>
    <w:rsid w:val="005D6656"/>
    <w:rsid w:val="005D68BA"/>
    <w:rsid w:val="005D6FD2"/>
    <w:rsid w:val="005D7E35"/>
    <w:rsid w:val="005E001B"/>
    <w:rsid w:val="005E1BF7"/>
    <w:rsid w:val="005E1E53"/>
    <w:rsid w:val="005E20FF"/>
    <w:rsid w:val="005E452A"/>
    <w:rsid w:val="005E5159"/>
    <w:rsid w:val="005E6BB5"/>
    <w:rsid w:val="005E7622"/>
    <w:rsid w:val="005E7BBB"/>
    <w:rsid w:val="005E7EB9"/>
    <w:rsid w:val="005E7FA1"/>
    <w:rsid w:val="005F0F47"/>
    <w:rsid w:val="005F10F6"/>
    <w:rsid w:val="005F136C"/>
    <w:rsid w:val="005F18BF"/>
    <w:rsid w:val="005F1FE7"/>
    <w:rsid w:val="005F28C3"/>
    <w:rsid w:val="005F2C19"/>
    <w:rsid w:val="005F626B"/>
    <w:rsid w:val="005F6C00"/>
    <w:rsid w:val="005F723D"/>
    <w:rsid w:val="005F72FE"/>
    <w:rsid w:val="005F77E4"/>
    <w:rsid w:val="00600A72"/>
    <w:rsid w:val="00601D8D"/>
    <w:rsid w:val="0060460A"/>
    <w:rsid w:val="00606B58"/>
    <w:rsid w:val="00612632"/>
    <w:rsid w:val="00612C84"/>
    <w:rsid w:val="00614647"/>
    <w:rsid w:val="0061612F"/>
    <w:rsid w:val="006163BC"/>
    <w:rsid w:val="00616950"/>
    <w:rsid w:val="00617E4F"/>
    <w:rsid w:val="00623A50"/>
    <w:rsid w:val="00624652"/>
    <w:rsid w:val="00624BD7"/>
    <w:rsid w:val="00625948"/>
    <w:rsid w:val="00627334"/>
    <w:rsid w:val="00630131"/>
    <w:rsid w:val="00630688"/>
    <w:rsid w:val="006313A6"/>
    <w:rsid w:val="00632F9D"/>
    <w:rsid w:val="006335BE"/>
    <w:rsid w:val="00633CA2"/>
    <w:rsid w:val="00633DE3"/>
    <w:rsid w:val="00634198"/>
    <w:rsid w:val="006346E2"/>
    <w:rsid w:val="00635018"/>
    <w:rsid w:val="00637F19"/>
    <w:rsid w:val="006406CD"/>
    <w:rsid w:val="00640A23"/>
    <w:rsid w:val="00642155"/>
    <w:rsid w:val="00642947"/>
    <w:rsid w:val="006438CD"/>
    <w:rsid w:val="00644E93"/>
    <w:rsid w:val="0064506A"/>
    <w:rsid w:val="00645A36"/>
    <w:rsid w:val="00645C7C"/>
    <w:rsid w:val="00645E6D"/>
    <w:rsid w:val="006466AD"/>
    <w:rsid w:val="00646952"/>
    <w:rsid w:val="00646A36"/>
    <w:rsid w:val="00646FD3"/>
    <w:rsid w:val="006474E4"/>
    <w:rsid w:val="006478B8"/>
    <w:rsid w:val="006504AB"/>
    <w:rsid w:val="0065057C"/>
    <w:rsid w:val="006512D1"/>
    <w:rsid w:val="006524CF"/>
    <w:rsid w:val="00660B94"/>
    <w:rsid w:val="006623DE"/>
    <w:rsid w:val="006628CA"/>
    <w:rsid w:val="006670B9"/>
    <w:rsid w:val="00667A75"/>
    <w:rsid w:val="006718B0"/>
    <w:rsid w:val="00674B77"/>
    <w:rsid w:val="006756E0"/>
    <w:rsid w:val="006769BF"/>
    <w:rsid w:val="0067744B"/>
    <w:rsid w:val="00681CFD"/>
    <w:rsid w:val="00684668"/>
    <w:rsid w:val="00691D8E"/>
    <w:rsid w:val="00691DE1"/>
    <w:rsid w:val="006926F4"/>
    <w:rsid w:val="00693048"/>
    <w:rsid w:val="0069402D"/>
    <w:rsid w:val="00694221"/>
    <w:rsid w:val="00694E81"/>
    <w:rsid w:val="00696D32"/>
    <w:rsid w:val="006A0603"/>
    <w:rsid w:val="006A0B2F"/>
    <w:rsid w:val="006A12A0"/>
    <w:rsid w:val="006A3931"/>
    <w:rsid w:val="006A394A"/>
    <w:rsid w:val="006A39A0"/>
    <w:rsid w:val="006A4A09"/>
    <w:rsid w:val="006A7B3A"/>
    <w:rsid w:val="006B1D79"/>
    <w:rsid w:val="006B56DB"/>
    <w:rsid w:val="006B6B47"/>
    <w:rsid w:val="006B7670"/>
    <w:rsid w:val="006C0490"/>
    <w:rsid w:val="006C1307"/>
    <w:rsid w:val="006C1EFC"/>
    <w:rsid w:val="006C21BD"/>
    <w:rsid w:val="006C2F91"/>
    <w:rsid w:val="006C4DCD"/>
    <w:rsid w:val="006C55B8"/>
    <w:rsid w:val="006C57AE"/>
    <w:rsid w:val="006C5F9F"/>
    <w:rsid w:val="006C65BB"/>
    <w:rsid w:val="006C7E45"/>
    <w:rsid w:val="006D0CD6"/>
    <w:rsid w:val="006D34FE"/>
    <w:rsid w:val="006D3D71"/>
    <w:rsid w:val="006D5A0A"/>
    <w:rsid w:val="006D653F"/>
    <w:rsid w:val="006D76D8"/>
    <w:rsid w:val="006D7D77"/>
    <w:rsid w:val="006E192E"/>
    <w:rsid w:val="006E1A9A"/>
    <w:rsid w:val="006E1F2B"/>
    <w:rsid w:val="006E22E4"/>
    <w:rsid w:val="006E3CA0"/>
    <w:rsid w:val="006E5E13"/>
    <w:rsid w:val="006E6632"/>
    <w:rsid w:val="006E7169"/>
    <w:rsid w:val="006E7ACA"/>
    <w:rsid w:val="006E7FB9"/>
    <w:rsid w:val="006F0792"/>
    <w:rsid w:val="006F0979"/>
    <w:rsid w:val="006F0D29"/>
    <w:rsid w:val="006F14B7"/>
    <w:rsid w:val="006F1EFD"/>
    <w:rsid w:val="006F1F8D"/>
    <w:rsid w:val="006F4387"/>
    <w:rsid w:val="006F7D5F"/>
    <w:rsid w:val="0070012D"/>
    <w:rsid w:val="00700790"/>
    <w:rsid w:val="00701996"/>
    <w:rsid w:val="00701BE5"/>
    <w:rsid w:val="0070342C"/>
    <w:rsid w:val="0070575B"/>
    <w:rsid w:val="00705B8E"/>
    <w:rsid w:val="007069A1"/>
    <w:rsid w:val="00706A05"/>
    <w:rsid w:val="007123DB"/>
    <w:rsid w:val="007173FC"/>
    <w:rsid w:val="00717AD5"/>
    <w:rsid w:val="007227D5"/>
    <w:rsid w:val="00725874"/>
    <w:rsid w:val="0072618C"/>
    <w:rsid w:val="00730224"/>
    <w:rsid w:val="007309EA"/>
    <w:rsid w:val="0073237F"/>
    <w:rsid w:val="0073384E"/>
    <w:rsid w:val="00735392"/>
    <w:rsid w:val="00735758"/>
    <w:rsid w:val="00735BA1"/>
    <w:rsid w:val="00736385"/>
    <w:rsid w:val="007408EB"/>
    <w:rsid w:val="00740A28"/>
    <w:rsid w:val="00740D03"/>
    <w:rsid w:val="0074143B"/>
    <w:rsid w:val="0074184C"/>
    <w:rsid w:val="00744585"/>
    <w:rsid w:val="00747579"/>
    <w:rsid w:val="0075067E"/>
    <w:rsid w:val="0075097B"/>
    <w:rsid w:val="007519EC"/>
    <w:rsid w:val="00751AE0"/>
    <w:rsid w:val="00753C92"/>
    <w:rsid w:val="00754510"/>
    <w:rsid w:val="007558A7"/>
    <w:rsid w:val="0076072C"/>
    <w:rsid w:val="00761557"/>
    <w:rsid w:val="007619FB"/>
    <w:rsid w:val="00763604"/>
    <w:rsid w:val="007649D1"/>
    <w:rsid w:val="00764BC9"/>
    <w:rsid w:val="007653D2"/>
    <w:rsid w:val="00766B61"/>
    <w:rsid w:val="007704FB"/>
    <w:rsid w:val="0077172A"/>
    <w:rsid w:val="00774822"/>
    <w:rsid w:val="007764C5"/>
    <w:rsid w:val="00776A48"/>
    <w:rsid w:val="00776FEA"/>
    <w:rsid w:val="00785394"/>
    <w:rsid w:val="00786D31"/>
    <w:rsid w:val="00786F3E"/>
    <w:rsid w:val="00787731"/>
    <w:rsid w:val="00787811"/>
    <w:rsid w:val="00793861"/>
    <w:rsid w:val="0079415C"/>
    <w:rsid w:val="007946B4"/>
    <w:rsid w:val="0079557C"/>
    <w:rsid w:val="00796194"/>
    <w:rsid w:val="007A1633"/>
    <w:rsid w:val="007A1C78"/>
    <w:rsid w:val="007A3ABD"/>
    <w:rsid w:val="007A3E2B"/>
    <w:rsid w:val="007A426E"/>
    <w:rsid w:val="007A45D7"/>
    <w:rsid w:val="007A528C"/>
    <w:rsid w:val="007A593C"/>
    <w:rsid w:val="007A7EC9"/>
    <w:rsid w:val="007B0131"/>
    <w:rsid w:val="007B27C9"/>
    <w:rsid w:val="007B3BFF"/>
    <w:rsid w:val="007B4E89"/>
    <w:rsid w:val="007B538A"/>
    <w:rsid w:val="007B6781"/>
    <w:rsid w:val="007B6B7D"/>
    <w:rsid w:val="007B7731"/>
    <w:rsid w:val="007C320B"/>
    <w:rsid w:val="007C362C"/>
    <w:rsid w:val="007C47D8"/>
    <w:rsid w:val="007C510E"/>
    <w:rsid w:val="007C52A9"/>
    <w:rsid w:val="007C6173"/>
    <w:rsid w:val="007C62E7"/>
    <w:rsid w:val="007C7B91"/>
    <w:rsid w:val="007CD5DE"/>
    <w:rsid w:val="007D0694"/>
    <w:rsid w:val="007D0AF8"/>
    <w:rsid w:val="007D0B99"/>
    <w:rsid w:val="007D23A1"/>
    <w:rsid w:val="007D457F"/>
    <w:rsid w:val="007D53E8"/>
    <w:rsid w:val="007D5592"/>
    <w:rsid w:val="007E02DA"/>
    <w:rsid w:val="007E0300"/>
    <w:rsid w:val="007E0F63"/>
    <w:rsid w:val="007E30CB"/>
    <w:rsid w:val="007E34CC"/>
    <w:rsid w:val="007E41CA"/>
    <w:rsid w:val="007F2468"/>
    <w:rsid w:val="007F3E17"/>
    <w:rsid w:val="007F4F44"/>
    <w:rsid w:val="007F531A"/>
    <w:rsid w:val="00800A1B"/>
    <w:rsid w:val="00801654"/>
    <w:rsid w:val="0080222F"/>
    <w:rsid w:val="0080290B"/>
    <w:rsid w:val="0080314F"/>
    <w:rsid w:val="008037F9"/>
    <w:rsid w:val="00803CBE"/>
    <w:rsid w:val="00804376"/>
    <w:rsid w:val="00805768"/>
    <w:rsid w:val="0080764D"/>
    <w:rsid w:val="008101EC"/>
    <w:rsid w:val="00810BAF"/>
    <w:rsid w:val="00810BEC"/>
    <w:rsid w:val="00811AC5"/>
    <w:rsid w:val="008126C2"/>
    <w:rsid w:val="00812E5F"/>
    <w:rsid w:val="008168BE"/>
    <w:rsid w:val="008175E1"/>
    <w:rsid w:val="00820CEB"/>
    <w:rsid w:val="00821053"/>
    <w:rsid w:val="0082355F"/>
    <w:rsid w:val="00823AE5"/>
    <w:rsid w:val="00824972"/>
    <w:rsid w:val="00825CF0"/>
    <w:rsid w:val="00827160"/>
    <w:rsid w:val="00827429"/>
    <w:rsid w:val="00830DF1"/>
    <w:rsid w:val="00830FD9"/>
    <w:rsid w:val="00833626"/>
    <w:rsid w:val="00834453"/>
    <w:rsid w:val="00835348"/>
    <w:rsid w:val="008373F7"/>
    <w:rsid w:val="00837713"/>
    <w:rsid w:val="00837D5A"/>
    <w:rsid w:val="00842442"/>
    <w:rsid w:val="0084317A"/>
    <w:rsid w:val="00843BB9"/>
    <w:rsid w:val="008470F3"/>
    <w:rsid w:val="00847C91"/>
    <w:rsid w:val="00850155"/>
    <w:rsid w:val="00851F0F"/>
    <w:rsid w:val="00852ADB"/>
    <w:rsid w:val="0085442B"/>
    <w:rsid w:val="00860387"/>
    <w:rsid w:val="00862D19"/>
    <w:rsid w:val="00863D5A"/>
    <w:rsid w:val="00864345"/>
    <w:rsid w:val="0086439D"/>
    <w:rsid w:val="00865D9C"/>
    <w:rsid w:val="00866368"/>
    <w:rsid w:val="00867ACE"/>
    <w:rsid w:val="00867AFD"/>
    <w:rsid w:val="00870C8F"/>
    <w:rsid w:val="00870EF0"/>
    <w:rsid w:val="00871324"/>
    <w:rsid w:val="0087298F"/>
    <w:rsid w:val="00873667"/>
    <w:rsid w:val="008742CC"/>
    <w:rsid w:val="00874634"/>
    <w:rsid w:val="0087565B"/>
    <w:rsid w:val="00876B8B"/>
    <w:rsid w:val="00876C29"/>
    <w:rsid w:val="008808A7"/>
    <w:rsid w:val="00883518"/>
    <w:rsid w:val="00884289"/>
    <w:rsid w:val="00884313"/>
    <w:rsid w:val="0088775F"/>
    <w:rsid w:val="0088EFF9"/>
    <w:rsid w:val="008918E1"/>
    <w:rsid w:val="0089208D"/>
    <w:rsid w:val="0089262F"/>
    <w:rsid w:val="008930A1"/>
    <w:rsid w:val="00895171"/>
    <w:rsid w:val="008970A8"/>
    <w:rsid w:val="008A02F3"/>
    <w:rsid w:val="008A0C2E"/>
    <w:rsid w:val="008A1499"/>
    <w:rsid w:val="008A1FD1"/>
    <w:rsid w:val="008A2D9A"/>
    <w:rsid w:val="008A4C4B"/>
    <w:rsid w:val="008A4D01"/>
    <w:rsid w:val="008A5548"/>
    <w:rsid w:val="008A5E55"/>
    <w:rsid w:val="008A642C"/>
    <w:rsid w:val="008A6A64"/>
    <w:rsid w:val="008A6B1D"/>
    <w:rsid w:val="008A7406"/>
    <w:rsid w:val="008A74FF"/>
    <w:rsid w:val="008A7702"/>
    <w:rsid w:val="008A7B18"/>
    <w:rsid w:val="008B0352"/>
    <w:rsid w:val="008B3191"/>
    <w:rsid w:val="008B35E5"/>
    <w:rsid w:val="008B4B32"/>
    <w:rsid w:val="008B4D95"/>
    <w:rsid w:val="008C23D6"/>
    <w:rsid w:val="008C3D59"/>
    <w:rsid w:val="008C6189"/>
    <w:rsid w:val="008C6C4C"/>
    <w:rsid w:val="008C6C73"/>
    <w:rsid w:val="008C778C"/>
    <w:rsid w:val="008D0249"/>
    <w:rsid w:val="008D0270"/>
    <w:rsid w:val="008D03E1"/>
    <w:rsid w:val="008D29B3"/>
    <w:rsid w:val="008D4D8D"/>
    <w:rsid w:val="008D65EF"/>
    <w:rsid w:val="008E0D35"/>
    <w:rsid w:val="008E2FB8"/>
    <w:rsid w:val="008E304C"/>
    <w:rsid w:val="008E3C90"/>
    <w:rsid w:val="008E4292"/>
    <w:rsid w:val="008E5A0B"/>
    <w:rsid w:val="008E5B98"/>
    <w:rsid w:val="008E792D"/>
    <w:rsid w:val="008F137A"/>
    <w:rsid w:val="008F217C"/>
    <w:rsid w:val="008F3485"/>
    <w:rsid w:val="008F5853"/>
    <w:rsid w:val="008F68FA"/>
    <w:rsid w:val="008F71B6"/>
    <w:rsid w:val="008F77CF"/>
    <w:rsid w:val="0090102E"/>
    <w:rsid w:val="0090347B"/>
    <w:rsid w:val="00903638"/>
    <w:rsid w:val="009045E4"/>
    <w:rsid w:val="00904AF6"/>
    <w:rsid w:val="00905482"/>
    <w:rsid w:val="00905587"/>
    <w:rsid w:val="00905A21"/>
    <w:rsid w:val="00905C05"/>
    <w:rsid w:val="00907B14"/>
    <w:rsid w:val="009106F9"/>
    <w:rsid w:val="00910AF7"/>
    <w:rsid w:val="00910D92"/>
    <w:rsid w:val="009116DC"/>
    <w:rsid w:val="009126B5"/>
    <w:rsid w:val="00912E7D"/>
    <w:rsid w:val="00913C31"/>
    <w:rsid w:val="00913CA2"/>
    <w:rsid w:val="00914828"/>
    <w:rsid w:val="009214FB"/>
    <w:rsid w:val="00921526"/>
    <w:rsid w:val="00927AC5"/>
    <w:rsid w:val="00930558"/>
    <w:rsid w:val="00932048"/>
    <w:rsid w:val="00932AC2"/>
    <w:rsid w:val="00941ABE"/>
    <w:rsid w:val="00944CD7"/>
    <w:rsid w:val="00944ED1"/>
    <w:rsid w:val="00947196"/>
    <w:rsid w:val="00947656"/>
    <w:rsid w:val="00952922"/>
    <w:rsid w:val="00957228"/>
    <w:rsid w:val="00964DE2"/>
    <w:rsid w:val="00965FEE"/>
    <w:rsid w:val="0097096C"/>
    <w:rsid w:val="00970ED7"/>
    <w:rsid w:val="009746DD"/>
    <w:rsid w:val="00975281"/>
    <w:rsid w:val="00975D1A"/>
    <w:rsid w:val="0097656B"/>
    <w:rsid w:val="009767C8"/>
    <w:rsid w:val="009773C8"/>
    <w:rsid w:val="009811A8"/>
    <w:rsid w:val="0098282B"/>
    <w:rsid w:val="00982965"/>
    <w:rsid w:val="00983097"/>
    <w:rsid w:val="0098385C"/>
    <w:rsid w:val="009851EA"/>
    <w:rsid w:val="00985258"/>
    <w:rsid w:val="009862DC"/>
    <w:rsid w:val="00986BF1"/>
    <w:rsid w:val="00987057"/>
    <w:rsid w:val="00987B83"/>
    <w:rsid w:val="00990C2E"/>
    <w:rsid w:val="00994211"/>
    <w:rsid w:val="00994B5C"/>
    <w:rsid w:val="00995569"/>
    <w:rsid w:val="009969B5"/>
    <w:rsid w:val="0099769B"/>
    <w:rsid w:val="009A0335"/>
    <w:rsid w:val="009A0935"/>
    <w:rsid w:val="009A172C"/>
    <w:rsid w:val="009A1BEC"/>
    <w:rsid w:val="009A295A"/>
    <w:rsid w:val="009A3BF7"/>
    <w:rsid w:val="009A46C0"/>
    <w:rsid w:val="009A556B"/>
    <w:rsid w:val="009A664D"/>
    <w:rsid w:val="009A735E"/>
    <w:rsid w:val="009B056B"/>
    <w:rsid w:val="009B23C4"/>
    <w:rsid w:val="009B3A33"/>
    <w:rsid w:val="009B48FB"/>
    <w:rsid w:val="009C1E19"/>
    <w:rsid w:val="009C1FF8"/>
    <w:rsid w:val="009C3280"/>
    <w:rsid w:val="009C74E1"/>
    <w:rsid w:val="009D21F0"/>
    <w:rsid w:val="009D3109"/>
    <w:rsid w:val="009D3B40"/>
    <w:rsid w:val="009D3E50"/>
    <w:rsid w:val="009D4AC3"/>
    <w:rsid w:val="009D516D"/>
    <w:rsid w:val="009D6C15"/>
    <w:rsid w:val="009E010B"/>
    <w:rsid w:val="009E07FE"/>
    <w:rsid w:val="009E0F40"/>
    <w:rsid w:val="009E1244"/>
    <w:rsid w:val="009E2323"/>
    <w:rsid w:val="009E6E96"/>
    <w:rsid w:val="009F296D"/>
    <w:rsid w:val="009F3E8A"/>
    <w:rsid w:val="009F4507"/>
    <w:rsid w:val="009F4F0F"/>
    <w:rsid w:val="009F59E7"/>
    <w:rsid w:val="009F7454"/>
    <w:rsid w:val="009F7C2B"/>
    <w:rsid w:val="00A0082F"/>
    <w:rsid w:val="00A0140D"/>
    <w:rsid w:val="00A023C1"/>
    <w:rsid w:val="00A07E0E"/>
    <w:rsid w:val="00A07F76"/>
    <w:rsid w:val="00A10D8F"/>
    <w:rsid w:val="00A124A5"/>
    <w:rsid w:val="00A1287A"/>
    <w:rsid w:val="00A13CB8"/>
    <w:rsid w:val="00A16356"/>
    <w:rsid w:val="00A1661E"/>
    <w:rsid w:val="00A169FE"/>
    <w:rsid w:val="00A16DC7"/>
    <w:rsid w:val="00A16F85"/>
    <w:rsid w:val="00A20997"/>
    <w:rsid w:val="00A21BF3"/>
    <w:rsid w:val="00A23348"/>
    <w:rsid w:val="00A27603"/>
    <w:rsid w:val="00A30198"/>
    <w:rsid w:val="00A3479F"/>
    <w:rsid w:val="00A34FA3"/>
    <w:rsid w:val="00A35A18"/>
    <w:rsid w:val="00A35BBA"/>
    <w:rsid w:val="00A4060B"/>
    <w:rsid w:val="00A40A39"/>
    <w:rsid w:val="00A42E32"/>
    <w:rsid w:val="00A437C5"/>
    <w:rsid w:val="00A4456C"/>
    <w:rsid w:val="00A44865"/>
    <w:rsid w:val="00A450DC"/>
    <w:rsid w:val="00A45369"/>
    <w:rsid w:val="00A45CF9"/>
    <w:rsid w:val="00A50634"/>
    <w:rsid w:val="00A51FCA"/>
    <w:rsid w:val="00A5281B"/>
    <w:rsid w:val="00A53D1F"/>
    <w:rsid w:val="00A5651D"/>
    <w:rsid w:val="00A62607"/>
    <w:rsid w:val="00A63BBD"/>
    <w:rsid w:val="00A64098"/>
    <w:rsid w:val="00A645DE"/>
    <w:rsid w:val="00A667E1"/>
    <w:rsid w:val="00A67FDD"/>
    <w:rsid w:val="00A70E36"/>
    <w:rsid w:val="00A72FA9"/>
    <w:rsid w:val="00A824B5"/>
    <w:rsid w:val="00A8309E"/>
    <w:rsid w:val="00A835DF"/>
    <w:rsid w:val="00A872E8"/>
    <w:rsid w:val="00A90373"/>
    <w:rsid w:val="00A9089B"/>
    <w:rsid w:val="00A90BDB"/>
    <w:rsid w:val="00A92385"/>
    <w:rsid w:val="00A926EB"/>
    <w:rsid w:val="00A93672"/>
    <w:rsid w:val="00A953CE"/>
    <w:rsid w:val="00A97361"/>
    <w:rsid w:val="00A9C288"/>
    <w:rsid w:val="00AA1AA7"/>
    <w:rsid w:val="00AA4A7B"/>
    <w:rsid w:val="00AA5B7E"/>
    <w:rsid w:val="00AA6EB9"/>
    <w:rsid w:val="00AA6F73"/>
    <w:rsid w:val="00AB0B6E"/>
    <w:rsid w:val="00AB4F82"/>
    <w:rsid w:val="00AB5DA2"/>
    <w:rsid w:val="00AC07EF"/>
    <w:rsid w:val="00AC311B"/>
    <w:rsid w:val="00AC32DB"/>
    <w:rsid w:val="00AC36E6"/>
    <w:rsid w:val="00AC70E5"/>
    <w:rsid w:val="00AD19DC"/>
    <w:rsid w:val="00AD2FD1"/>
    <w:rsid w:val="00AD3640"/>
    <w:rsid w:val="00AD3A7B"/>
    <w:rsid w:val="00AD4700"/>
    <w:rsid w:val="00AD5D43"/>
    <w:rsid w:val="00AD751D"/>
    <w:rsid w:val="00AE049E"/>
    <w:rsid w:val="00AE0D8B"/>
    <w:rsid w:val="00AE176D"/>
    <w:rsid w:val="00AE215D"/>
    <w:rsid w:val="00AE2CD1"/>
    <w:rsid w:val="00AE3A61"/>
    <w:rsid w:val="00AE5578"/>
    <w:rsid w:val="00AE5C8B"/>
    <w:rsid w:val="00AE7568"/>
    <w:rsid w:val="00AE7F87"/>
    <w:rsid w:val="00AF043E"/>
    <w:rsid w:val="00AF0BDD"/>
    <w:rsid w:val="00AF2BBF"/>
    <w:rsid w:val="00AF40B1"/>
    <w:rsid w:val="00AF4107"/>
    <w:rsid w:val="00AF5167"/>
    <w:rsid w:val="00AF7BE6"/>
    <w:rsid w:val="00AF7D6C"/>
    <w:rsid w:val="00B000E4"/>
    <w:rsid w:val="00B03079"/>
    <w:rsid w:val="00B06336"/>
    <w:rsid w:val="00B07FBE"/>
    <w:rsid w:val="00B112B8"/>
    <w:rsid w:val="00B11A39"/>
    <w:rsid w:val="00B11ED2"/>
    <w:rsid w:val="00B12775"/>
    <w:rsid w:val="00B15458"/>
    <w:rsid w:val="00B15876"/>
    <w:rsid w:val="00B15AEF"/>
    <w:rsid w:val="00B161E0"/>
    <w:rsid w:val="00B162E9"/>
    <w:rsid w:val="00B2120D"/>
    <w:rsid w:val="00B234B5"/>
    <w:rsid w:val="00B25DC2"/>
    <w:rsid w:val="00B27913"/>
    <w:rsid w:val="00B27F0E"/>
    <w:rsid w:val="00B30982"/>
    <w:rsid w:val="00B31B37"/>
    <w:rsid w:val="00B31F14"/>
    <w:rsid w:val="00B33162"/>
    <w:rsid w:val="00B33674"/>
    <w:rsid w:val="00B350A5"/>
    <w:rsid w:val="00B360EA"/>
    <w:rsid w:val="00B37545"/>
    <w:rsid w:val="00B37B28"/>
    <w:rsid w:val="00B37CCF"/>
    <w:rsid w:val="00B40661"/>
    <w:rsid w:val="00B41356"/>
    <w:rsid w:val="00B417BE"/>
    <w:rsid w:val="00B41855"/>
    <w:rsid w:val="00B46BAB"/>
    <w:rsid w:val="00B504B0"/>
    <w:rsid w:val="00B50F67"/>
    <w:rsid w:val="00B52A72"/>
    <w:rsid w:val="00B5357D"/>
    <w:rsid w:val="00B625A9"/>
    <w:rsid w:val="00B64369"/>
    <w:rsid w:val="00B64638"/>
    <w:rsid w:val="00B6574D"/>
    <w:rsid w:val="00B661A6"/>
    <w:rsid w:val="00B66F79"/>
    <w:rsid w:val="00B67E6E"/>
    <w:rsid w:val="00B70053"/>
    <w:rsid w:val="00B71026"/>
    <w:rsid w:val="00B72531"/>
    <w:rsid w:val="00B74B51"/>
    <w:rsid w:val="00B74FA2"/>
    <w:rsid w:val="00B7744C"/>
    <w:rsid w:val="00B82026"/>
    <w:rsid w:val="00B82C34"/>
    <w:rsid w:val="00B82CE9"/>
    <w:rsid w:val="00B83AE9"/>
    <w:rsid w:val="00B84372"/>
    <w:rsid w:val="00B8500A"/>
    <w:rsid w:val="00B8743D"/>
    <w:rsid w:val="00B87FB4"/>
    <w:rsid w:val="00B9024E"/>
    <w:rsid w:val="00B91CEF"/>
    <w:rsid w:val="00B91EA6"/>
    <w:rsid w:val="00B92F44"/>
    <w:rsid w:val="00B933A9"/>
    <w:rsid w:val="00B93F7F"/>
    <w:rsid w:val="00B952D0"/>
    <w:rsid w:val="00B957D1"/>
    <w:rsid w:val="00B95B14"/>
    <w:rsid w:val="00B96D1B"/>
    <w:rsid w:val="00BA1758"/>
    <w:rsid w:val="00BA18AE"/>
    <w:rsid w:val="00BA2481"/>
    <w:rsid w:val="00BA3184"/>
    <w:rsid w:val="00BA3673"/>
    <w:rsid w:val="00BB0B80"/>
    <w:rsid w:val="00BB1196"/>
    <w:rsid w:val="00BB2650"/>
    <w:rsid w:val="00BB2F50"/>
    <w:rsid w:val="00BC02EE"/>
    <w:rsid w:val="00BC10E8"/>
    <w:rsid w:val="00BC1792"/>
    <w:rsid w:val="00BC1867"/>
    <w:rsid w:val="00BC2FA8"/>
    <w:rsid w:val="00BC3A66"/>
    <w:rsid w:val="00BC6022"/>
    <w:rsid w:val="00BC7FA0"/>
    <w:rsid w:val="00BD3DD4"/>
    <w:rsid w:val="00BD4253"/>
    <w:rsid w:val="00BD511F"/>
    <w:rsid w:val="00BD6173"/>
    <w:rsid w:val="00BD7A13"/>
    <w:rsid w:val="00BE00F7"/>
    <w:rsid w:val="00BE0177"/>
    <w:rsid w:val="00BE2DE5"/>
    <w:rsid w:val="00BE3679"/>
    <w:rsid w:val="00BE3B92"/>
    <w:rsid w:val="00BE44F7"/>
    <w:rsid w:val="00BE4D59"/>
    <w:rsid w:val="00BF54EF"/>
    <w:rsid w:val="00BF7DEB"/>
    <w:rsid w:val="00C00547"/>
    <w:rsid w:val="00C00744"/>
    <w:rsid w:val="00C027CA"/>
    <w:rsid w:val="00C0642F"/>
    <w:rsid w:val="00C10DC4"/>
    <w:rsid w:val="00C12DBA"/>
    <w:rsid w:val="00C148E2"/>
    <w:rsid w:val="00C149D8"/>
    <w:rsid w:val="00C14D51"/>
    <w:rsid w:val="00C158CC"/>
    <w:rsid w:val="00C20E06"/>
    <w:rsid w:val="00C23107"/>
    <w:rsid w:val="00C255F9"/>
    <w:rsid w:val="00C303D7"/>
    <w:rsid w:val="00C30D63"/>
    <w:rsid w:val="00C30F8B"/>
    <w:rsid w:val="00C3204C"/>
    <w:rsid w:val="00C33416"/>
    <w:rsid w:val="00C34AD1"/>
    <w:rsid w:val="00C35743"/>
    <w:rsid w:val="00C36B84"/>
    <w:rsid w:val="00C37543"/>
    <w:rsid w:val="00C4116E"/>
    <w:rsid w:val="00C451E5"/>
    <w:rsid w:val="00C47110"/>
    <w:rsid w:val="00C47F9E"/>
    <w:rsid w:val="00C52440"/>
    <w:rsid w:val="00C526DC"/>
    <w:rsid w:val="00C55E90"/>
    <w:rsid w:val="00C566CF"/>
    <w:rsid w:val="00C56DC3"/>
    <w:rsid w:val="00C57E48"/>
    <w:rsid w:val="00C61452"/>
    <w:rsid w:val="00C61783"/>
    <w:rsid w:val="00C622B8"/>
    <w:rsid w:val="00C627FD"/>
    <w:rsid w:val="00C641D7"/>
    <w:rsid w:val="00C64DCA"/>
    <w:rsid w:val="00C66E1D"/>
    <w:rsid w:val="00C67F8C"/>
    <w:rsid w:val="00C71EB5"/>
    <w:rsid w:val="00C730B4"/>
    <w:rsid w:val="00C746C9"/>
    <w:rsid w:val="00C754DF"/>
    <w:rsid w:val="00C76971"/>
    <w:rsid w:val="00C814F4"/>
    <w:rsid w:val="00C821DF"/>
    <w:rsid w:val="00C82274"/>
    <w:rsid w:val="00C82ADC"/>
    <w:rsid w:val="00C82CAE"/>
    <w:rsid w:val="00C84E18"/>
    <w:rsid w:val="00C85272"/>
    <w:rsid w:val="00C8564F"/>
    <w:rsid w:val="00C878E9"/>
    <w:rsid w:val="00C913AE"/>
    <w:rsid w:val="00C9178C"/>
    <w:rsid w:val="00C92DD8"/>
    <w:rsid w:val="00C9333D"/>
    <w:rsid w:val="00C93537"/>
    <w:rsid w:val="00C94399"/>
    <w:rsid w:val="00C949AE"/>
    <w:rsid w:val="00C95554"/>
    <w:rsid w:val="00C95958"/>
    <w:rsid w:val="00C959E0"/>
    <w:rsid w:val="00C95C55"/>
    <w:rsid w:val="00C96BA9"/>
    <w:rsid w:val="00C9716F"/>
    <w:rsid w:val="00CA087E"/>
    <w:rsid w:val="00CA162B"/>
    <w:rsid w:val="00CA23CF"/>
    <w:rsid w:val="00CA3168"/>
    <w:rsid w:val="00CA475E"/>
    <w:rsid w:val="00CA4825"/>
    <w:rsid w:val="00CA4879"/>
    <w:rsid w:val="00CA617C"/>
    <w:rsid w:val="00CA6709"/>
    <w:rsid w:val="00CA687C"/>
    <w:rsid w:val="00CA72A9"/>
    <w:rsid w:val="00CA734F"/>
    <w:rsid w:val="00CB0BBF"/>
    <w:rsid w:val="00CB24FE"/>
    <w:rsid w:val="00CB327D"/>
    <w:rsid w:val="00CB6380"/>
    <w:rsid w:val="00CB70D9"/>
    <w:rsid w:val="00CB7535"/>
    <w:rsid w:val="00CC2D3D"/>
    <w:rsid w:val="00CC2E5C"/>
    <w:rsid w:val="00CC3261"/>
    <w:rsid w:val="00CC3DF6"/>
    <w:rsid w:val="00CC48D9"/>
    <w:rsid w:val="00CC4D6A"/>
    <w:rsid w:val="00CC5235"/>
    <w:rsid w:val="00CC68B4"/>
    <w:rsid w:val="00CC70B8"/>
    <w:rsid w:val="00CD0D0B"/>
    <w:rsid w:val="00CD25CB"/>
    <w:rsid w:val="00CD2820"/>
    <w:rsid w:val="00CD343F"/>
    <w:rsid w:val="00CD4F87"/>
    <w:rsid w:val="00CD7704"/>
    <w:rsid w:val="00CE14AA"/>
    <w:rsid w:val="00CE35D2"/>
    <w:rsid w:val="00CE4544"/>
    <w:rsid w:val="00CE5F44"/>
    <w:rsid w:val="00CE72F9"/>
    <w:rsid w:val="00CF153F"/>
    <w:rsid w:val="00CF2E93"/>
    <w:rsid w:val="00CF58D8"/>
    <w:rsid w:val="00CF7427"/>
    <w:rsid w:val="00D03530"/>
    <w:rsid w:val="00D0382E"/>
    <w:rsid w:val="00D03D91"/>
    <w:rsid w:val="00D03FDA"/>
    <w:rsid w:val="00D040AF"/>
    <w:rsid w:val="00D046BF"/>
    <w:rsid w:val="00D05D59"/>
    <w:rsid w:val="00D0782E"/>
    <w:rsid w:val="00D07B48"/>
    <w:rsid w:val="00D102EC"/>
    <w:rsid w:val="00D10E89"/>
    <w:rsid w:val="00D10EB0"/>
    <w:rsid w:val="00D11196"/>
    <w:rsid w:val="00D14E96"/>
    <w:rsid w:val="00D156A2"/>
    <w:rsid w:val="00D15B5D"/>
    <w:rsid w:val="00D1624F"/>
    <w:rsid w:val="00D1776C"/>
    <w:rsid w:val="00D21103"/>
    <w:rsid w:val="00D217EA"/>
    <w:rsid w:val="00D2212C"/>
    <w:rsid w:val="00D22A5B"/>
    <w:rsid w:val="00D24B4E"/>
    <w:rsid w:val="00D26746"/>
    <w:rsid w:val="00D322AD"/>
    <w:rsid w:val="00D32BF6"/>
    <w:rsid w:val="00D33110"/>
    <w:rsid w:val="00D33FEE"/>
    <w:rsid w:val="00D34D45"/>
    <w:rsid w:val="00D35B0E"/>
    <w:rsid w:val="00D412CB"/>
    <w:rsid w:val="00D44F6D"/>
    <w:rsid w:val="00D47427"/>
    <w:rsid w:val="00D47619"/>
    <w:rsid w:val="00D507F1"/>
    <w:rsid w:val="00D51F41"/>
    <w:rsid w:val="00D522DF"/>
    <w:rsid w:val="00D54A67"/>
    <w:rsid w:val="00D568DC"/>
    <w:rsid w:val="00D56AF0"/>
    <w:rsid w:val="00D56C2C"/>
    <w:rsid w:val="00D609E9"/>
    <w:rsid w:val="00D60C2D"/>
    <w:rsid w:val="00D61326"/>
    <w:rsid w:val="00D61B81"/>
    <w:rsid w:val="00D6241A"/>
    <w:rsid w:val="00D64111"/>
    <w:rsid w:val="00D66674"/>
    <w:rsid w:val="00D66F4F"/>
    <w:rsid w:val="00D719FB"/>
    <w:rsid w:val="00D71B76"/>
    <w:rsid w:val="00D74335"/>
    <w:rsid w:val="00D74D14"/>
    <w:rsid w:val="00D76265"/>
    <w:rsid w:val="00D76F2A"/>
    <w:rsid w:val="00D81C95"/>
    <w:rsid w:val="00D82241"/>
    <w:rsid w:val="00D85A8A"/>
    <w:rsid w:val="00D86386"/>
    <w:rsid w:val="00D8722C"/>
    <w:rsid w:val="00D8759D"/>
    <w:rsid w:val="00D87728"/>
    <w:rsid w:val="00D934D5"/>
    <w:rsid w:val="00D9355E"/>
    <w:rsid w:val="00D93DE1"/>
    <w:rsid w:val="00D95EBA"/>
    <w:rsid w:val="00DA0313"/>
    <w:rsid w:val="00DA18C3"/>
    <w:rsid w:val="00DA3932"/>
    <w:rsid w:val="00DA3FC2"/>
    <w:rsid w:val="00DB12AE"/>
    <w:rsid w:val="00DB1CEF"/>
    <w:rsid w:val="00DB2F8B"/>
    <w:rsid w:val="00DB5349"/>
    <w:rsid w:val="00DB5AE5"/>
    <w:rsid w:val="00DB6B82"/>
    <w:rsid w:val="00DB6DEA"/>
    <w:rsid w:val="00DB7D13"/>
    <w:rsid w:val="00DC02E4"/>
    <w:rsid w:val="00DC0A10"/>
    <w:rsid w:val="00DC0EDF"/>
    <w:rsid w:val="00DC2F5E"/>
    <w:rsid w:val="00DC48E9"/>
    <w:rsid w:val="00DC553C"/>
    <w:rsid w:val="00DC59B4"/>
    <w:rsid w:val="00DC7280"/>
    <w:rsid w:val="00DC7F02"/>
    <w:rsid w:val="00DD0E19"/>
    <w:rsid w:val="00DD2998"/>
    <w:rsid w:val="00DD3453"/>
    <w:rsid w:val="00DD3D71"/>
    <w:rsid w:val="00DD4168"/>
    <w:rsid w:val="00DD439C"/>
    <w:rsid w:val="00DD5B86"/>
    <w:rsid w:val="00DD5C6B"/>
    <w:rsid w:val="00DD6E1A"/>
    <w:rsid w:val="00DD6FA4"/>
    <w:rsid w:val="00DD7883"/>
    <w:rsid w:val="00DE62F6"/>
    <w:rsid w:val="00DE7E3E"/>
    <w:rsid w:val="00DF12E7"/>
    <w:rsid w:val="00DF28BF"/>
    <w:rsid w:val="00DF2973"/>
    <w:rsid w:val="00DF2CDD"/>
    <w:rsid w:val="00DF39F1"/>
    <w:rsid w:val="00DF5AE3"/>
    <w:rsid w:val="00DF5D4B"/>
    <w:rsid w:val="00E02BF6"/>
    <w:rsid w:val="00E03A42"/>
    <w:rsid w:val="00E061D2"/>
    <w:rsid w:val="00E06E43"/>
    <w:rsid w:val="00E07213"/>
    <w:rsid w:val="00E078EE"/>
    <w:rsid w:val="00E125A0"/>
    <w:rsid w:val="00E1300D"/>
    <w:rsid w:val="00E1403A"/>
    <w:rsid w:val="00E15E88"/>
    <w:rsid w:val="00E1631A"/>
    <w:rsid w:val="00E16E42"/>
    <w:rsid w:val="00E200AD"/>
    <w:rsid w:val="00E205EA"/>
    <w:rsid w:val="00E21275"/>
    <w:rsid w:val="00E22399"/>
    <w:rsid w:val="00E22A31"/>
    <w:rsid w:val="00E24818"/>
    <w:rsid w:val="00E314D4"/>
    <w:rsid w:val="00E33045"/>
    <w:rsid w:val="00E33269"/>
    <w:rsid w:val="00E33A17"/>
    <w:rsid w:val="00E344C1"/>
    <w:rsid w:val="00E34F48"/>
    <w:rsid w:val="00E3573A"/>
    <w:rsid w:val="00E41771"/>
    <w:rsid w:val="00E423B5"/>
    <w:rsid w:val="00E425EB"/>
    <w:rsid w:val="00E43876"/>
    <w:rsid w:val="00E453E0"/>
    <w:rsid w:val="00E45971"/>
    <w:rsid w:val="00E46D7A"/>
    <w:rsid w:val="00E5183B"/>
    <w:rsid w:val="00E5212D"/>
    <w:rsid w:val="00E52168"/>
    <w:rsid w:val="00E52215"/>
    <w:rsid w:val="00E533CC"/>
    <w:rsid w:val="00E5423D"/>
    <w:rsid w:val="00E54B68"/>
    <w:rsid w:val="00E55855"/>
    <w:rsid w:val="00E56FC4"/>
    <w:rsid w:val="00E61A96"/>
    <w:rsid w:val="00E61BEE"/>
    <w:rsid w:val="00E63B2C"/>
    <w:rsid w:val="00E64589"/>
    <w:rsid w:val="00E650A1"/>
    <w:rsid w:val="00E66442"/>
    <w:rsid w:val="00E669B1"/>
    <w:rsid w:val="00E674C4"/>
    <w:rsid w:val="00E6776E"/>
    <w:rsid w:val="00E70099"/>
    <w:rsid w:val="00E709FC"/>
    <w:rsid w:val="00E740E6"/>
    <w:rsid w:val="00E74320"/>
    <w:rsid w:val="00E7746A"/>
    <w:rsid w:val="00E77F4E"/>
    <w:rsid w:val="00E80292"/>
    <w:rsid w:val="00E804B7"/>
    <w:rsid w:val="00E81232"/>
    <w:rsid w:val="00E813EC"/>
    <w:rsid w:val="00E81D04"/>
    <w:rsid w:val="00E82CD1"/>
    <w:rsid w:val="00E84F59"/>
    <w:rsid w:val="00E87DE3"/>
    <w:rsid w:val="00E9009C"/>
    <w:rsid w:val="00E91039"/>
    <w:rsid w:val="00E91A9E"/>
    <w:rsid w:val="00E91C96"/>
    <w:rsid w:val="00E92263"/>
    <w:rsid w:val="00E940D7"/>
    <w:rsid w:val="00E956F2"/>
    <w:rsid w:val="00E95827"/>
    <w:rsid w:val="00E95E98"/>
    <w:rsid w:val="00E96BD2"/>
    <w:rsid w:val="00E96E0F"/>
    <w:rsid w:val="00E97566"/>
    <w:rsid w:val="00EA0F33"/>
    <w:rsid w:val="00EA0FB4"/>
    <w:rsid w:val="00EA2492"/>
    <w:rsid w:val="00EA3CCE"/>
    <w:rsid w:val="00EA4066"/>
    <w:rsid w:val="00EA512A"/>
    <w:rsid w:val="00EA7228"/>
    <w:rsid w:val="00EA77AE"/>
    <w:rsid w:val="00EB0472"/>
    <w:rsid w:val="00EB04E4"/>
    <w:rsid w:val="00EB20AA"/>
    <w:rsid w:val="00EB26CD"/>
    <w:rsid w:val="00EB3433"/>
    <w:rsid w:val="00EB3DA9"/>
    <w:rsid w:val="00EB4121"/>
    <w:rsid w:val="00EB429C"/>
    <w:rsid w:val="00EB5211"/>
    <w:rsid w:val="00EB5F5D"/>
    <w:rsid w:val="00EB6445"/>
    <w:rsid w:val="00EB6DAB"/>
    <w:rsid w:val="00EB7E3E"/>
    <w:rsid w:val="00EC1043"/>
    <w:rsid w:val="00EC18FD"/>
    <w:rsid w:val="00EC3DB7"/>
    <w:rsid w:val="00EC4641"/>
    <w:rsid w:val="00EC5F74"/>
    <w:rsid w:val="00EC7A98"/>
    <w:rsid w:val="00ED0709"/>
    <w:rsid w:val="00ED10E4"/>
    <w:rsid w:val="00ED426F"/>
    <w:rsid w:val="00ED5AD2"/>
    <w:rsid w:val="00ED6006"/>
    <w:rsid w:val="00EE20D8"/>
    <w:rsid w:val="00EE71AD"/>
    <w:rsid w:val="00EE75F8"/>
    <w:rsid w:val="00EF024F"/>
    <w:rsid w:val="00EF1534"/>
    <w:rsid w:val="00EF1691"/>
    <w:rsid w:val="00EF2CD3"/>
    <w:rsid w:val="00EF46E1"/>
    <w:rsid w:val="00EF4E18"/>
    <w:rsid w:val="00EF641D"/>
    <w:rsid w:val="00EF7E9C"/>
    <w:rsid w:val="00F02676"/>
    <w:rsid w:val="00F05929"/>
    <w:rsid w:val="00F06692"/>
    <w:rsid w:val="00F07CF7"/>
    <w:rsid w:val="00F1108C"/>
    <w:rsid w:val="00F113E3"/>
    <w:rsid w:val="00F123A1"/>
    <w:rsid w:val="00F12660"/>
    <w:rsid w:val="00F1331E"/>
    <w:rsid w:val="00F2107A"/>
    <w:rsid w:val="00F21242"/>
    <w:rsid w:val="00F24258"/>
    <w:rsid w:val="00F24451"/>
    <w:rsid w:val="00F2778E"/>
    <w:rsid w:val="00F30E86"/>
    <w:rsid w:val="00F31D05"/>
    <w:rsid w:val="00F32955"/>
    <w:rsid w:val="00F3782A"/>
    <w:rsid w:val="00F37940"/>
    <w:rsid w:val="00F37D4C"/>
    <w:rsid w:val="00F403CC"/>
    <w:rsid w:val="00F41ED0"/>
    <w:rsid w:val="00F43079"/>
    <w:rsid w:val="00F4418B"/>
    <w:rsid w:val="00F4420D"/>
    <w:rsid w:val="00F44340"/>
    <w:rsid w:val="00F4616B"/>
    <w:rsid w:val="00F4677A"/>
    <w:rsid w:val="00F46C50"/>
    <w:rsid w:val="00F552D1"/>
    <w:rsid w:val="00F558ED"/>
    <w:rsid w:val="00F55DEB"/>
    <w:rsid w:val="00F573B6"/>
    <w:rsid w:val="00F57FB9"/>
    <w:rsid w:val="00F60D23"/>
    <w:rsid w:val="00F60EA7"/>
    <w:rsid w:val="00F613C9"/>
    <w:rsid w:val="00F61425"/>
    <w:rsid w:val="00F61B37"/>
    <w:rsid w:val="00F64CF7"/>
    <w:rsid w:val="00F65706"/>
    <w:rsid w:val="00F65803"/>
    <w:rsid w:val="00F65822"/>
    <w:rsid w:val="00F72A1B"/>
    <w:rsid w:val="00F73546"/>
    <w:rsid w:val="00F74667"/>
    <w:rsid w:val="00F80552"/>
    <w:rsid w:val="00F808AC"/>
    <w:rsid w:val="00F8155A"/>
    <w:rsid w:val="00F81605"/>
    <w:rsid w:val="00F83783"/>
    <w:rsid w:val="00F8388B"/>
    <w:rsid w:val="00F90848"/>
    <w:rsid w:val="00F92D93"/>
    <w:rsid w:val="00F9341F"/>
    <w:rsid w:val="00F94633"/>
    <w:rsid w:val="00F94960"/>
    <w:rsid w:val="00F95BCF"/>
    <w:rsid w:val="00F960E6"/>
    <w:rsid w:val="00F96AE0"/>
    <w:rsid w:val="00F96BA4"/>
    <w:rsid w:val="00FA0204"/>
    <w:rsid w:val="00FA024C"/>
    <w:rsid w:val="00FA0506"/>
    <w:rsid w:val="00FA203F"/>
    <w:rsid w:val="00FA28ED"/>
    <w:rsid w:val="00FA2964"/>
    <w:rsid w:val="00FA40E7"/>
    <w:rsid w:val="00FA4EFB"/>
    <w:rsid w:val="00FB093E"/>
    <w:rsid w:val="00FB2278"/>
    <w:rsid w:val="00FB2DDC"/>
    <w:rsid w:val="00FB2F08"/>
    <w:rsid w:val="00FB48F9"/>
    <w:rsid w:val="00FB4D15"/>
    <w:rsid w:val="00FB509A"/>
    <w:rsid w:val="00FB6480"/>
    <w:rsid w:val="00FB65B7"/>
    <w:rsid w:val="00FC3DC6"/>
    <w:rsid w:val="00FD1483"/>
    <w:rsid w:val="00FD2E8C"/>
    <w:rsid w:val="00FD3527"/>
    <w:rsid w:val="00FD4014"/>
    <w:rsid w:val="00FD4E21"/>
    <w:rsid w:val="00FD59FC"/>
    <w:rsid w:val="00FD5D2B"/>
    <w:rsid w:val="00FD663B"/>
    <w:rsid w:val="00FE1500"/>
    <w:rsid w:val="00FE1CEB"/>
    <w:rsid w:val="00FE2469"/>
    <w:rsid w:val="00FE29AE"/>
    <w:rsid w:val="00FE3B91"/>
    <w:rsid w:val="00FE71D4"/>
    <w:rsid w:val="00FE7A24"/>
    <w:rsid w:val="00FE7FE2"/>
    <w:rsid w:val="00FF1D69"/>
    <w:rsid w:val="00FF2731"/>
    <w:rsid w:val="00FF38B0"/>
    <w:rsid w:val="00FF4886"/>
    <w:rsid w:val="00FF4B7E"/>
    <w:rsid w:val="00FF5A27"/>
    <w:rsid w:val="0120F180"/>
    <w:rsid w:val="012B6493"/>
    <w:rsid w:val="014AE725"/>
    <w:rsid w:val="0151E167"/>
    <w:rsid w:val="0164BFFA"/>
    <w:rsid w:val="01981038"/>
    <w:rsid w:val="01D8D263"/>
    <w:rsid w:val="01F1EB31"/>
    <w:rsid w:val="021C42E0"/>
    <w:rsid w:val="023B66C1"/>
    <w:rsid w:val="023BF4AE"/>
    <w:rsid w:val="026880E5"/>
    <w:rsid w:val="026CD5F8"/>
    <w:rsid w:val="02BF0D3F"/>
    <w:rsid w:val="02C47C26"/>
    <w:rsid w:val="02D2BAA1"/>
    <w:rsid w:val="02DC9F3E"/>
    <w:rsid w:val="02EC7752"/>
    <w:rsid w:val="02F2F784"/>
    <w:rsid w:val="0330832E"/>
    <w:rsid w:val="03456227"/>
    <w:rsid w:val="034DF3EC"/>
    <w:rsid w:val="035EBC08"/>
    <w:rsid w:val="0363D330"/>
    <w:rsid w:val="03677C8D"/>
    <w:rsid w:val="0367BDB6"/>
    <w:rsid w:val="037E9D13"/>
    <w:rsid w:val="03945CA2"/>
    <w:rsid w:val="03A800F9"/>
    <w:rsid w:val="03B566D7"/>
    <w:rsid w:val="0404978F"/>
    <w:rsid w:val="0414CDE8"/>
    <w:rsid w:val="0432A1D2"/>
    <w:rsid w:val="0444F5E3"/>
    <w:rsid w:val="0445C597"/>
    <w:rsid w:val="046FF437"/>
    <w:rsid w:val="047715CA"/>
    <w:rsid w:val="049E1E03"/>
    <w:rsid w:val="04A49643"/>
    <w:rsid w:val="04B58919"/>
    <w:rsid w:val="04F2226C"/>
    <w:rsid w:val="04F7CF71"/>
    <w:rsid w:val="0502D761"/>
    <w:rsid w:val="052E0F8D"/>
    <w:rsid w:val="052F966B"/>
    <w:rsid w:val="05513FDC"/>
    <w:rsid w:val="05589C81"/>
    <w:rsid w:val="0576BEE4"/>
    <w:rsid w:val="05866CB9"/>
    <w:rsid w:val="05AC4A57"/>
    <w:rsid w:val="05AE2794"/>
    <w:rsid w:val="05BE00AA"/>
    <w:rsid w:val="05E52685"/>
    <w:rsid w:val="05EE6A5A"/>
    <w:rsid w:val="05FC7C0A"/>
    <w:rsid w:val="06020D41"/>
    <w:rsid w:val="061B98B4"/>
    <w:rsid w:val="0628667C"/>
    <w:rsid w:val="064BB7C6"/>
    <w:rsid w:val="068E1467"/>
    <w:rsid w:val="06903B59"/>
    <w:rsid w:val="06933E6B"/>
    <w:rsid w:val="0699F2DD"/>
    <w:rsid w:val="06A6F117"/>
    <w:rsid w:val="06C6D9C0"/>
    <w:rsid w:val="06D3CBA9"/>
    <w:rsid w:val="06D48F8F"/>
    <w:rsid w:val="06DB8BBA"/>
    <w:rsid w:val="06E23322"/>
    <w:rsid w:val="06E2C8C1"/>
    <w:rsid w:val="06F43E18"/>
    <w:rsid w:val="06F75C9C"/>
    <w:rsid w:val="0704658C"/>
    <w:rsid w:val="07471CBF"/>
    <w:rsid w:val="07614CE2"/>
    <w:rsid w:val="0762DAE2"/>
    <w:rsid w:val="076AA81D"/>
    <w:rsid w:val="07836259"/>
    <w:rsid w:val="078AF2BC"/>
    <w:rsid w:val="07A3FF03"/>
    <w:rsid w:val="07C9CD3E"/>
    <w:rsid w:val="07DA40EF"/>
    <w:rsid w:val="07ED29DB"/>
    <w:rsid w:val="08026979"/>
    <w:rsid w:val="0803C7A9"/>
    <w:rsid w:val="080F5B8C"/>
    <w:rsid w:val="080F9F89"/>
    <w:rsid w:val="081AD03F"/>
    <w:rsid w:val="08BCBAF9"/>
    <w:rsid w:val="08CEE8EB"/>
    <w:rsid w:val="08E254B5"/>
    <w:rsid w:val="08E8BCB3"/>
    <w:rsid w:val="08FBE42A"/>
    <w:rsid w:val="0906787E"/>
    <w:rsid w:val="0988BA85"/>
    <w:rsid w:val="09940C1D"/>
    <w:rsid w:val="09944740"/>
    <w:rsid w:val="099C1C3E"/>
    <w:rsid w:val="09D322E1"/>
    <w:rsid w:val="09D957E7"/>
    <w:rsid w:val="09DC7848"/>
    <w:rsid w:val="09EC1B22"/>
    <w:rsid w:val="09F44642"/>
    <w:rsid w:val="09FFDEFC"/>
    <w:rsid w:val="0A028CBC"/>
    <w:rsid w:val="0A10B0B0"/>
    <w:rsid w:val="0A1C6713"/>
    <w:rsid w:val="0A2A6D68"/>
    <w:rsid w:val="0A5447AE"/>
    <w:rsid w:val="0A58E5FC"/>
    <w:rsid w:val="0A6C0C20"/>
    <w:rsid w:val="0A7E3420"/>
    <w:rsid w:val="0A8252B2"/>
    <w:rsid w:val="0A889959"/>
    <w:rsid w:val="0AA36392"/>
    <w:rsid w:val="0AA4AA65"/>
    <w:rsid w:val="0AA98B56"/>
    <w:rsid w:val="0AB192B4"/>
    <w:rsid w:val="0AD91518"/>
    <w:rsid w:val="0ADACDFC"/>
    <w:rsid w:val="0AEBE02F"/>
    <w:rsid w:val="0B2099E5"/>
    <w:rsid w:val="0B46A4F9"/>
    <w:rsid w:val="0B50554B"/>
    <w:rsid w:val="0B62BDD4"/>
    <w:rsid w:val="0B661EF5"/>
    <w:rsid w:val="0B773742"/>
    <w:rsid w:val="0BAFF4BD"/>
    <w:rsid w:val="0BFB7F4F"/>
    <w:rsid w:val="0C2B181A"/>
    <w:rsid w:val="0C374E2B"/>
    <w:rsid w:val="0C3AD5B1"/>
    <w:rsid w:val="0C46A087"/>
    <w:rsid w:val="0C4CDB84"/>
    <w:rsid w:val="0C5F6AAF"/>
    <w:rsid w:val="0C5FD1C2"/>
    <w:rsid w:val="0C643FF6"/>
    <w:rsid w:val="0C662945"/>
    <w:rsid w:val="0C7159F2"/>
    <w:rsid w:val="0C916BF2"/>
    <w:rsid w:val="0C93A722"/>
    <w:rsid w:val="0C99B6A1"/>
    <w:rsid w:val="0CA110A7"/>
    <w:rsid w:val="0CBFCDB6"/>
    <w:rsid w:val="0CC9252B"/>
    <w:rsid w:val="0CD42FFE"/>
    <w:rsid w:val="0CD702FB"/>
    <w:rsid w:val="0CE11696"/>
    <w:rsid w:val="0CE2CCAF"/>
    <w:rsid w:val="0CF59B36"/>
    <w:rsid w:val="0CF76B40"/>
    <w:rsid w:val="0D080FB6"/>
    <w:rsid w:val="0D45F1A7"/>
    <w:rsid w:val="0D90D78F"/>
    <w:rsid w:val="0D986833"/>
    <w:rsid w:val="0DAF7315"/>
    <w:rsid w:val="0DB5DF7A"/>
    <w:rsid w:val="0DBBFE9C"/>
    <w:rsid w:val="0DCDD9CA"/>
    <w:rsid w:val="0DCEADC8"/>
    <w:rsid w:val="0DD8310E"/>
    <w:rsid w:val="0DEE28C8"/>
    <w:rsid w:val="0DF27D44"/>
    <w:rsid w:val="0E0B27F3"/>
    <w:rsid w:val="0E1326E6"/>
    <w:rsid w:val="0E13A16B"/>
    <w:rsid w:val="0E19E667"/>
    <w:rsid w:val="0E2A0992"/>
    <w:rsid w:val="0E2D2628"/>
    <w:rsid w:val="0E377C32"/>
    <w:rsid w:val="0E3C1355"/>
    <w:rsid w:val="0E41DF3F"/>
    <w:rsid w:val="0E6C0021"/>
    <w:rsid w:val="0EE3CB52"/>
    <w:rsid w:val="0EF720ED"/>
    <w:rsid w:val="0F15B3A4"/>
    <w:rsid w:val="0F1C884C"/>
    <w:rsid w:val="0F294904"/>
    <w:rsid w:val="0F2BBF6C"/>
    <w:rsid w:val="0F53ECF7"/>
    <w:rsid w:val="0F57E89A"/>
    <w:rsid w:val="0F5D7BFC"/>
    <w:rsid w:val="0F9A64BE"/>
    <w:rsid w:val="0FADD424"/>
    <w:rsid w:val="0FC25332"/>
    <w:rsid w:val="0FDCA29A"/>
    <w:rsid w:val="0FE8F593"/>
    <w:rsid w:val="0FFA76F3"/>
    <w:rsid w:val="1005B26A"/>
    <w:rsid w:val="10128BB0"/>
    <w:rsid w:val="10372C54"/>
    <w:rsid w:val="103C03BF"/>
    <w:rsid w:val="1041B74C"/>
    <w:rsid w:val="10476435"/>
    <w:rsid w:val="10548296"/>
    <w:rsid w:val="1073BB88"/>
    <w:rsid w:val="10822868"/>
    <w:rsid w:val="108FC671"/>
    <w:rsid w:val="10974E76"/>
    <w:rsid w:val="10B9CEAA"/>
    <w:rsid w:val="10BEB9A3"/>
    <w:rsid w:val="10C2F235"/>
    <w:rsid w:val="10F94198"/>
    <w:rsid w:val="110A89F8"/>
    <w:rsid w:val="1128120A"/>
    <w:rsid w:val="112F00BC"/>
    <w:rsid w:val="115080D0"/>
    <w:rsid w:val="11731C9F"/>
    <w:rsid w:val="11845B29"/>
    <w:rsid w:val="11890D98"/>
    <w:rsid w:val="11A9F23E"/>
    <w:rsid w:val="11BF2D41"/>
    <w:rsid w:val="11D1F190"/>
    <w:rsid w:val="11F1788C"/>
    <w:rsid w:val="11F3A58A"/>
    <w:rsid w:val="11FD207D"/>
    <w:rsid w:val="12139D86"/>
    <w:rsid w:val="122771FA"/>
    <w:rsid w:val="126638C6"/>
    <w:rsid w:val="1266A636"/>
    <w:rsid w:val="1275EAB7"/>
    <w:rsid w:val="127B7F00"/>
    <w:rsid w:val="12AD5AC4"/>
    <w:rsid w:val="12B93749"/>
    <w:rsid w:val="12BA7CFF"/>
    <w:rsid w:val="12F6BD1A"/>
    <w:rsid w:val="13148EB5"/>
    <w:rsid w:val="131814F5"/>
    <w:rsid w:val="1324DA57"/>
    <w:rsid w:val="132F5B35"/>
    <w:rsid w:val="132F66AD"/>
    <w:rsid w:val="1330B0FC"/>
    <w:rsid w:val="134DA30F"/>
    <w:rsid w:val="134E616F"/>
    <w:rsid w:val="137AB5B0"/>
    <w:rsid w:val="139F00FB"/>
    <w:rsid w:val="13C95CAC"/>
    <w:rsid w:val="13D24992"/>
    <w:rsid w:val="13E6332C"/>
    <w:rsid w:val="13EBB126"/>
    <w:rsid w:val="13FC46C9"/>
    <w:rsid w:val="140297F5"/>
    <w:rsid w:val="14036A0D"/>
    <w:rsid w:val="14043EE7"/>
    <w:rsid w:val="140B9A75"/>
    <w:rsid w:val="14497752"/>
    <w:rsid w:val="145E3075"/>
    <w:rsid w:val="146C5A5B"/>
    <w:rsid w:val="1493B6E4"/>
    <w:rsid w:val="14A1DCAD"/>
    <w:rsid w:val="14C74A55"/>
    <w:rsid w:val="14DF6183"/>
    <w:rsid w:val="14E1BCF6"/>
    <w:rsid w:val="14EB6EE2"/>
    <w:rsid w:val="14F7CF09"/>
    <w:rsid w:val="1506ECAE"/>
    <w:rsid w:val="151FA502"/>
    <w:rsid w:val="15203904"/>
    <w:rsid w:val="154A3ABE"/>
    <w:rsid w:val="1550F52C"/>
    <w:rsid w:val="155E1092"/>
    <w:rsid w:val="155E7CF0"/>
    <w:rsid w:val="156CE09D"/>
    <w:rsid w:val="1577EE2E"/>
    <w:rsid w:val="157CCB34"/>
    <w:rsid w:val="1584F528"/>
    <w:rsid w:val="15899600"/>
    <w:rsid w:val="158CF2D5"/>
    <w:rsid w:val="15A73728"/>
    <w:rsid w:val="15ADBE4E"/>
    <w:rsid w:val="15B5D8D3"/>
    <w:rsid w:val="16005E82"/>
    <w:rsid w:val="160A3740"/>
    <w:rsid w:val="163136C5"/>
    <w:rsid w:val="1643EBD6"/>
    <w:rsid w:val="165E2288"/>
    <w:rsid w:val="166F724A"/>
    <w:rsid w:val="16783BCA"/>
    <w:rsid w:val="16A1B7B6"/>
    <w:rsid w:val="16A4B383"/>
    <w:rsid w:val="16B7FA3B"/>
    <w:rsid w:val="16C13464"/>
    <w:rsid w:val="16CB2963"/>
    <w:rsid w:val="16E965A1"/>
    <w:rsid w:val="16F7F31D"/>
    <w:rsid w:val="1724BB1D"/>
    <w:rsid w:val="173C9F9B"/>
    <w:rsid w:val="17467890"/>
    <w:rsid w:val="174D1A80"/>
    <w:rsid w:val="1754BF46"/>
    <w:rsid w:val="175B39BA"/>
    <w:rsid w:val="17635AF1"/>
    <w:rsid w:val="176C7B0E"/>
    <w:rsid w:val="1771EE0E"/>
    <w:rsid w:val="178EB664"/>
    <w:rsid w:val="17E32FD4"/>
    <w:rsid w:val="17EE6A53"/>
    <w:rsid w:val="17F31A88"/>
    <w:rsid w:val="17FF8F93"/>
    <w:rsid w:val="180E84A0"/>
    <w:rsid w:val="18316036"/>
    <w:rsid w:val="184715A4"/>
    <w:rsid w:val="18486FEF"/>
    <w:rsid w:val="18591B04"/>
    <w:rsid w:val="1863B795"/>
    <w:rsid w:val="18B29F13"/>
    <w:rsid w:val="18D557C8"/>
    <w:rsid w:val="18F71098"/>
    <w:rsid w:val="19280DD5"/>
    <w:rsid w:val="195EABB4"/>
    <w:rsid w:val="19995514"/>
    <w:rsid w:val="19B6703A"/>
    <w:rsid w:val="19B694C9"/>
    <w:rsid w:val="19C7C56A"/>
    <w:rsid w:val="19CF461B"/>
    <w:rsid w:val="19DAD906"/>
    <w:rsid w:val="19DB774D"/>
    <w:rsid w:val="1A075AAA"/>
    <w:rsid w:val="1A5CB761"/>
    <w:rsid w:val="1A9767ED"/>
    <w:rsid w:val="1AAC9DFB"/>
    <w:rsid w:val="1AD02681"/>
    <w:rsid w:val="1ADB3509"/>
    <w:rsid w:val="1AE5DAEA"/>
    <w:rsid w:val="1AF72668"/>
    <w:rsid w:val="1B3F15D1"/>
    <w:rsid w:val="1B45F7E7"/>
    <w:rsid w:val="1B5D6415"/>
    <w:rsid w:val="1B6D5EE9"/>
    <w:rsid w:val="1B7CA182"/>
    <w:rsid w:val="1BC132CF"/>
    <w:rsid w:val="1BC1D5DA"/>
    <w:rsid w:val="1BDC851D"/>
    <w:rsid w:val="1C089DC9"/>
    <w:rsid w:val="1C0A3580"/>
    <w:rsid w:val="1C30FD2C"/>
    <w:rsid w:val="1C39F91F"/>
    <w:rsid w:val="1C46F1FE"/>
    <w:rsid w:val="1C4B20AD"/>
    <w:rsid w:val="1C508DB8"/>
    <w:rsid w:val="1CDC31C8"/>
    <w:rsid w:val="1CE9FEB8"/>
    <w:rsid w:val="1D1557DB"/>
    <w:rsid w:val="1D1F0CE3"/>
    <w:rsid w:val="1D2EA4E8"/>
    <w:rsid w:val="1D4546E1"/>
    <w:rsid w:val="1D51D8E1"/>
    <w:rsid w:val="1D8C1F6A"/>
    <w:rsid w:val="1D99C69F"/>
    <w:rsid w:val="1DA33945"/>
    <w:rsid w:val="1DCF2A72"/>
    <w:rsid w:val="1DD4977D"/>
    <w:rsid w:val="1DDDAE55"/>
    <w:rsid w:val="1E0A6E6E"/>
    <w:rsid w:val="1E273963"/>
    <w:rsid w:val="1E3744B2"/>
    <w:rsid w:val="1E43EB68"/>
    <w:rsid w:val="1E4E8963"/>
    <w:rsid w:val="1E948E22"/>
    <w:rsid w:val="1EDAF479"/>
    <w:rsid w:val="1EDD42A4"/>
    <w:rsid w:val="1EE84068"/>
    <w:rsid w:val="1EF7D329"/>
    <w:rsid w:val="1F0BAD92"/>
    <w:rsid w:val="1F2493B2"/>
    <w:rsid w:val="1F29C14E"/>
    <w:rsid w:val="1F2BC4A0"/>
    <w:rsid w:val="1F3A5C6A"/>
    <w:rsid w:val="1F6AC802"/>
    <w:rsid w:val="1F72FD89"/>
    <w:rsid w:val="1F75C4B3"/>
    <w:rsid w:val="1F85280B"/>
    <w:rsid w:val="1F8ABC1E"/>
    <w:rsid w:val="1F96C03A"/>
    <w:rsid w:val="1F998BEC"/>
    <w:rsid w:val="1FACA356"/>
    <w:rsid w:val="1FDF418A"/>
    <w:rsid w:val="200CD765"/>
    <w:rsid w:val="201BA2C7"/>
    <w:rsid w:val="201C95A6"/>
    <w:rsid w:val="2020F4AC"/>
    <w:rsid w:val="2020F94F"/>
    <w:rsid w:val="202A42F8"/>
    <w:rsid w:val="204BB1D6"/>
    <w:rsid w:val="206E888D"/>
    <w:rsid w:val="208E410A"/>
    <w:rsid w:val="209734A3"/>
    <w:rsid w:val="20E9A013"/>
    <w:rsid w:val="20EB1321"/>
    <w:rsid w:val="2124A99E"/>
    <w:rsid w:val="21442CC4"/>
    <w:rsid w:val="2164201E"/>
    <w:rsid w:val="2169AFDD"/>
    <w:rsid w:val="219E45DC"/>
    <w:rsid w:val="21BEB6D4"/>
    <w:rsid w:val="21CCA599"/>
    <w:rsid w:val="21D2D74F"/>
    <w:rsid w:val="21D624DE"/>
    <w:rsid w:val="21F53152"/>
    <w:rsid w:val="22383A6D"/>
    <w:rsid w:val="224084CD"/>
    <w:rsid w:val="224E9F76"/>
    <w:rsid w:val="22BA830E"/>
    <w:rsid w:val="22C875DA"/>
    <w:rsid w:val="230169BF"/>
    <w:rsid w:val="230E747B"/>
    <w:rsid w:val="233E12C6"/>
    <w:rsid w:val="234DDBC4"/>
    <w:rsid w:val="236875FA"/>
    <w:rsid w:val="237FA453"/>
    <w:rsid w:val="23881F4D"/>
    <w:rsid w:val="23AFD8CF"/>
    <w:rsid w:val="23C2B819"/>
    <w:rsid w:val="23C87DC0"/>
    <w:rsid w:val="23EE21D2"/>
    <w:rsid w:val="23EF1605"/>
    <w:rsid w:val="23EFFF7D"/>
    <w:rsid w:val="2427D004"/>
    <w:rsid w:val="243DDA10"/>
    <w:rsid w:val="243E981C"/>
    <w:rsid w:val="2443A949"/>
    <w:rsid w:val="2443D901"/>
    <w:rsid w:val="246E5EB7"/>
    <w:rsid w:val="24771E71"/>
    <w:rsid w:val="249BD41C"/>
    <w:rsid w:val="24E8A228"/>
    <w:rsid w:val="24FDEA10"/>
    <w:rsid w:val="250E28E2"/>
    <w:rsid w:val="25187F4A"/>
    <w:rsid w:val="251F22F9"/>
    <w:rsid w:val="2523F8A5"/>
    <w:rsid w:val="25241C37"/>
    <w:rsid w:val="2525869E"/>
    <w:rsid w:val="252AE792"/>
    <w:rsid w:val="252D6AA1"/>
    <w:rsid w:val="2536073D"/>
    <w:rsid w:val="255D0EBD"/>
    <w:rsid w:val="256D4CC2"/>
    <w:rsid w:val="256F75BB"/>
    <w:rsid w:val="257D24BD"/>
    <w:rsid w:val="25811634"/>
    <w:rsid w:val="258EF4E1"/>
    <w:rsid w:val="25964870"/>
    <w:rsid w:val="25F8094E"/>
    <w:rsid w:val="25F9966A"/>
    <w:rsid w:val="25FEF578"/>
    <w:rsid w:val="26089B9A"/>
    <w:rsid w:val="26106B7F"/>
    <w:rsid w:val="263A4697"/>
    <w:rsid w:val="265A81DD"/>
    <w:rsid w:val="26694E5D"/>
    <w:rsid w:val="267BC993"/>
    <w:rsid w:val="26A615C4"/>
    <w:rsid w:val="26A8BB82"/>
    <w:rsid w:val="26D5B9E6"/>
    <w:rsid w:val="26E283EC"/>
    <w:rsid w:val="2702905C"/>
    <w:rsid w:val="27062B53"/>
    <w:rsid w:val="2707037E"/>
    <w:rsid w:val="273458F6"/>
    <w:rsid w:val="27373DF2"/>
    <w:rsid w:val="273ED6D9"/>
    <w:rsid w:val="27556CAD"/>
    <w:rsid w:val="2769767B"/>
    <w:rsid w:val="2772E4DA"/>
    <w:rsid w:val="278B842B"/>
    <w:rsid w:val="278EC96F"/>
    <w:rsid w:val="27937436"/>
    <w:rsid w:val="27951830"/>
    <w:rsid w:val="27BFC489"/>
    <w:rsid w:val="27D86A1F"/>
    <w:rsid w:val="27E898A1"/>
    <w:rsid w:val="27F74278"/>
    <w:rsid w:val="284E53E6"/>
    <w:rsid w:val="28650F9E"/>
    <w:rsid w:val="286A98F9"/>
    <w:rsid w:val="28715DFB"/>
    <w:rsid w:val="2891BA1A"/>
    <w:rsid w:val="28A5AB1F"/>
    <w:rsid w:val="28A5C3FA"/>
    <w:rsid w:val="28BA97AA"/>
    <w:rsid w:val="28E028EC"/>
    <w:rsid w:val="2905108C"/>
    <w:rsid w:val="291016B1"/>
    <w:rsid w:val="294E0B08"/>
    <w:rsid w:val="295F2681"/>
    <w:rsid w:val="29781D9A"/>
    <w:rsid w:val="2978C3A9"/>
    <w:rsid w:val="297A0E1E"/>
    <w:rsid w:val="29924152"/>
    <w:rsid w:val="29B93C99"/>
    <w:rsid w:val="29CC602B"/>
    <w:rsid w:val="29D0F288"/>
    <w:rsid w:val="29D2304C"/>
    <w:rsid w:val="2A4C70F2"/>
    <w:rsid w:val="2A7EA18F"/>
    <w:rsid w:val="2A939F26"/>
    <w:rsid w:val="2A98ED49"/>
    <w:rsid w:val="2AD452F2"/>
    <w:rsid w:val="2AF18BE0"/>
    <w:rsid w:val="2B3726FA"/>
    <w:rsid w:val="2B442602"/>
    <w:rsid w:val="2B51CA6C"/>
    <w:rsid w:val="2B582BCE"/>
    <w:rsid w:val="2B60FF2C"/>
    <w:rsid w:val="2B864FD2"/>
    <w:rsid w:val="2BA74095"/>
    <w:rsid w:val="2BC1C2BD"/>
    <w:rsid w:val="2BF83054"/>
    <w:rsid w:val="2C103DB0"/>
    <w:rsid w:val="2C16FCB1"/>
    <w:rsid w:val="2C3F019A"/>
    <w:rsid w:val="2C4617B9"/>
    <w:rsid w:val="2C5555CA"/>
    <w:rsid w:val="2C6CFA0B"/>
    <w:rsid w:val="2C76AE2E"/>
    <w:rsid w:val="2CDA2954"/>
    <w:rsid w:val="2CE3AA71"/>
    <w:rsid w:val="2D0AFD27"/>
    <w:rsid w:val="2D351156"/>
    <w:rsid w:val="2D5FAA51"/>
    <w:rsid w:val="2D67844D"/>
    <w:rsid w:val="2D6820FD"/>
    <w:rsid w:val="2D8053E6"/>
    <w:rsid w:val="2DA33DF1"/>
    <w:rsid w:val="2DABD0A5"/>
    <w:rsid w:val="2DC1A99E"/>
    <w:rsid w:val="2E112E02"/>
    <w:rsid w:val="2E2FA83C"/>
    <w:rsid w:val="2E2FFE35"/>
    <w:rsid w:val="2E8A0D3E"/>
    <w:rsid w:val="2E8C370D"/>
    <w:rsid w:val="2E9CE125"/>
    <w:rsid w:val="2EC1E20B"/>
    <w:rsid w:val="2ECDA80A"/>
    <w:rsid w:val="2ED6A1A9"/>
    <w:rsid w:val="2EDEB010"/>
    <w:rsid w:val="2EEEFCEC"/>
    <w:rsid w:val="2EFD592D"/>
    <w:rsid w:val="2F095623"/>
    <w:rsid w:val="2F0BAA82"/>
    <w:rsid w:val="2F6402C2"/>
    <w:rsid w:val="2F8916BB"/>
    <w:rsid w:val="2FD52964"/>
    <w:rsid w:val="3014019B"/>
    <w:rsid w:val="301D26CB"/>
    <w:rsid w:val="30248354"/>
    <w:rsid w:val="306CC234"/>
    <w:rsid w:val="308E6E94"/>
    <w:rsid w:val="3093DC4D"/>
    <w:rsid w:val="30AA7E2D"/>
    <w:rsid w:val="30B4219B"/>
    <w:rsid w:val="30B55EDC"/>
    <w:rsid w:val="30D805DA"/>
    <w:rsid w:val="30E953DD"/>
    <w:rsid w:val="30EDE313"/>
    <w:rsid w:val="3107B818"/>
    <w:rsid w:val="317F3C2F"/>
    <w:rsid w:val="31938EB4"/>
    <w:rsid w:val="3198B130"/>
    <w:rsid w:val="31F4FB0F"/>
    <w:rsid w:val="3298094A"/>
    <w:rsid w:val="32AB086E"/>
    <w:rsid w:val="32B7A581"/>
    <w:rsid w:val="32BADFA0"/>
    <w:rsid w:val="32D1BF83"/>
    <w:rsid w:val="32D48FC6"/>
    <w:rsid w:val="32D6B94D"/>
    <w:rsid w:val="32DAA928"/>
    <w:rsid w:val="32DAEB34"/>
    <w:rsid w:val="32E50A8C"/>
    <w:rsid w:val="32ED54FB"/>
    <w:rsid w:val="3317F457"/>
    <w:rsid w:val="333D8DD1"/>
    <w:rsid w:val="3359C65F"/>
    <w:rsid w:val="336421A7"/>
    <w:rsid w:val="33745376"/>
    <w:rsid w:val="337CCC17"/>
    <w:rsid w:val="338659FA"/>
    <w:rsid w:val="339B7951"/>
    <w:rsid w:val="33A467AD"/>
    <w:rsid w:val="33A50D08"/>
    <w:rsid w:val="33CBE5D5"/>
    <w:rsid w:val="33F5B402"/>
    <w:rsid w:val="33FCD98F"/>
    <w:rsid w:val="342E403D"/>
    <w:rsid w:val="3445EF37"/>
    <w:rsid w:val="34AE66AA"/>
    <w:rsid w:val="34DA4656"/>
    <w:rsid w:val="35161CE0"/>
    <w:rsid w:val="3518DAAB"/>
    <w:rsid w:val="353188D4"/>
    <w:rsid w:val="3536F541"/>
    <w:rsid w:val="353EB736"/>
    <w:rsid w:val="353F9694"/>
    <w:rsid w:val="3554658B"/>
    <w:rsid w:val="35697963"/>
    <w:rsid w:val="3571153D"/>
    <w:rsid w:val="357A4E25"/>
    <w:rsid w:val="3587CED4"/>
    <w:rsid w:val="359D9520"/>
    <w:rsid w:val="35BF8039"/>
    <w:rsid w:val="35F29CC2"/>
    <w:rsid w:val="35F984A0"/>
    <w:rsid w:val="3611FEEE"/>
    <w:rsid w:val="3620390E"/>
    <w:rsid w:val="363366E6"/>
    <w:rsid w:val="364332FC"/>
    <w:rsid w:val="36641009"/>
    <w:rsid w:val="369187BB"/>
    <w:rsid w:val="3693E59B"/>
    <w:rsid w:val="36986E71"/>
    <w:rsid w:val="36C73304"/>
    <w:rsid w:val="36D85A56"/>
    <w:rsid w:val="36F01C42"/>
    <w:rsid w:val="371BFED4"/>
    <w:rsid w:val="371C55E6"/>
    <w:rsid w:val="372EB8E4"/>
    <w:rsid w:val="374D0DC2"/>
    <w:rsid w:val="375A783B"/>
    <w:rsid w:val="37B0D212"/>
    <w:rsid w:val="37B1FB29"/>
    <w:rsid w:val="37B58931"/>
    <w:rsid w:val="37C495E4"/>
    <w:rsid w:val="3819D358"/>
    <w:rsid w:val="383083C2"/>
    <w:rsid w:val="383A9600"/>
    <w:rsid w:val="38FB597C"/>
    <w:rsid w:val="38FE6392"/>
    <w:rsid w:val="3909B91A"/>
    <w:rsid w:val="3920C300"/>
    <w:rsid w:val="392B3AF1"/>
    <w:rsid w:val="39858E6A"/>
    <w:rsid w:val="39AA7175"/>
    <w:rsid w:val="39BCDB5D"/>
    <w:rsid w:val="39CCBF5F"/>
    <w:rsid w:val="3A00B371"/>
    <w:rsid w:val="3A0B081A"/>
    <w:rsid w:val="3A2402E1"/>
    <w:rsid w:val="3A2CA49E"/>
    <w:rsid w:val="3A520FA4"/>
    <w:rsid w:val="3A5F05E5"/>
    <w:rsid w:val="3AA12C3F"/>
    <w:rsid w:val="3ABB3040"/>
    <w:rsid w:val="3AC40415"/>
    <w:rsid w:val="3AD09C29"/>
    <w:rsid w:val="3ADDC50A"/>
    <w:rsid w:val="3AF6320B"/>
    <w:rsid w:val="3B0953F5"/>
    <w:rsid w:val="3B0DFD33"/>
    <w:rsid w:val="3B227005"/>
    <w:rsid w:val="3B338183"/>
    <w:rsid w:val="3B4B9413"/>
    <w:rsid w:val="3B8FACBE"/>
    <w:rsid w:val="3B90FFDF"/>
    <w:rsid w:val="3BA138F9"/>
    <w:rsid w:val="3BA2F4C9"/>
    <w:rsid w:val="3BB5468D"/>
    <w:rsid w:val="3BB60B38"/>
    <w:rsid w:val="3BE4C48A"/>
    <w:rsid w:val="3BF0EA8D"/>
    <w:rsid w:val="3BF57E14"/>
    <w:rsid w:val="3BF5B48D"/>
    <w:rsid w:val="3C21420E"/>
    <w:rsid w:val="3C2A737A"/>
    <w:rsid w:val="3C2C9582"/>
    <w:rsid w:val="3C41D091"/>
    <w:rsid w:val="3C4E4F5A"/>
    <w:rsid w:val="3C71E72A"/>
    <w:rsid w:val="3C74616A"/>
    <w:rsid w:val="3C96A738"/>
    <w:rsid w:val="3CB472A5"/>
    <w:rsid w:val="3CB7BD18"/>
    <w:rsid w:val="3CFE07B3"/>
    <w:rsid w:val="3D0ADC77"/>
    <w:rsid w:val="3D1FE337"/>
    <w:rsid w:val="3D2D0DF9"/>
    <w:rsid w:val="3D486E4A"/>
    <w:rsid w:val="3D4B6EB4"/>
    <w:rsid w:val="3D89C179"/>
    <w:rsid w:val="3D99A44A"/>
    <w:rsid w:val="3D9C3B4D"/>
    <w:rsid w:val="3DD32FBF"/>
    <w:rsid w:val="3DD4DF8F"/>
    <w:rsid w:val="3DE11940"/>
    <w:rsid w:val="3E0016A0"/>
    <w:rsid w:val="3E064856"/>
    <w:rsid w:val="3E06F238"/>
    <w:rsid w:val="3E20A050"/>
    <w:rsid w:val="3E382AAC"/>
    <w:rsid w:val="3E63080D"/>
    <w:rsid w:val="3E829D5D"/>
    <w:rsid w:val="3E8BC46C"/>
    <w:rsid w:val="3EB1C5EE"/>
    <w:rsid w:val="3ECEB789"/>
    <w:rsid w:val="3EE20265"/>
    <w:rsid w:val="3F3D84CC"/>
    <w:rsid w:val="3F5023E4"/>
    <w:rsid w:val="3F5F1E05"/>
    <w:rsid w:val="3F7BFA8E"/>
    <w:rsid w:val="3F865AA3"/>
    <w:rsid w:val="3F9D36B4"/>
    <w:rsid w:val="3FEE74DC"/>
    <w:rsid w:val="3FF04CDF"/>
    <w:rsid w:val="401CB349"/>
    <w:rsid w:val="4021DD5A"/>
    <w:rsid w:val="4026CA83"/>
    <w:rsid w:val="402C49F3"/>
    <w:rsid w:val="405D1CCC"/>
    <w:rsid w:val="406BF23B"/>
    <w:rsid w:val="40B72568"/>
    <w:rsid w:val="40C214E5"/>
    <w:rsid w:val="40D89692"/>
    <w:rsid w:val="40E68EEC"/>
    <w:rsid w:val="4100C0EB"/>
    <w:rsid w:val="413054C4"/>
    <w:rsid w:val="413ED541"/>
    <w:rsid w:val="416983BC"/>
    <w:rsid w:val="41AF39A1"/>
    <w:rsid w:val="41BE3A2E"/>
    <w:rsid w:val="41F828FD"/>
    <w:rsid w:val="41FE7AFB"/>
    <w:rsid w:val="42006E96"/>
    <w:rsid w:val="4209245E"/>
    <w:rsid w:val="42106474"/>
    <w:rsid w:val="423E926F"/>
    <w:rsid w:val="42777164"/>
    <w:rsid w:val="4277B045"/>
    <w:rsid w:val="42837A9C"/>
    <w:rsid w:val="428BFF46"/>
    <w:rsid w:val="428F5945"/>
    <w:rsid w:val="42932BE6"/>
    <w:rsid w:val="42976737"/>
    <w:rsid w:val="42A21319"/>
    <w:rsid w:val="42E9F04E"/>
    <w:rsid w:val="42F1AF65"/>
    <w:rsid w:val="43029308"/>
    <w:rsid w:val="430751AC"/>
    <w:rsid w:val="431A191D"/>
    <w:rsid w:val="431E39BE"/>
    <w:rsid w:val="432A5BB7"/>
    <w:rsid w:val="4334AD57"/>
    <w:rsid w:val="436C2012"/>
    <w:rsid w:val="439791AA"/>
    <w:rsid w:val="439CE782"/>
    <w:rsid w:val="43A61F17"/>
    <w:rsid w:val="43C739A3"/>
    <w:rsid w:val="43CC610B"/>
    <w:rsid w:val="43F54C46"/>
    <w:rsid w:val="44097F9A"/>
    <w:rsid w:val="441F7066"/>
    <w:rsid w:val="444A137F"/>
    <w:rsid w:val="4453EC81"/>
    <w:rsid w:val="445B4D6B"/>
    <w:rsid w:val="4471D6C7"/>
    <w:rsid w:val="447B3002"/>
    <w:rsid w:val="449AB0FC"/>
    <w:rsid w:val="44BC2BC1"/>
    <w:rsid w:val="44E109DB"/>
    <w:rsid w:val="44F0934B"/>
    <w:rsid w:val="4501EB02"/>
    <w:rsid w:val="451799D2"/>
    <w:rsid w:val="45308DEF"/>
    <w:rsid w:val="454580F1"/>
    <w:rsid w:val="4547FCFB"/>
    <w:rsid w:val="45B33C4D"/>
    <w:rsid w:val="45CFBD08"/>
    <w:rsid w:val="461BEDA2"/>
    <w:rsid w:val="4640CBAF"/>
    <w:rsid w:val="466620A3"/>
    <w:rsid w:val="469E60CC"/>
    <w:rsid w:val="46A9A4A5"/>
    <w:rsid w:val="46A9E8A2"/>
    <w:rsid w:val="46C668EF"/>
    <w:rsid w:val="46CD8393"/>
    <w:rsid w:val="46EBD926"/>
    <w:rsid w:val="470BCE98"/>
    <w:rsid w:val="472A2A4B"/>
    <w:rsid w:val="47318EB2"/>
    <w:rsid w:val="474C67EC"/>
    <w:rsid w:val="47598ED4"/>
    <w:rsid w:val="476399E8"/>
    <w:rsid w:val="476EA3C7"/>
    <w:rsid w:val="478AA3DB"/>
    <w:rsid w:val="47AEB1C3"/>
    <w:rsid w:val="47C30D21"/>
    <w:rsid w:val="47CDCF6F"/>
    <w:rsid w:val="47CED667"/>
    <w:rsid w:val="47E2FE1D"/>
    <w:rsid w:val="47F3E6F8"/>
    <w:rsid w:val="481172FA"/>
    <w:rsid w:val="48120108"/>
    <w:rsid w:val="48500017"/>
    <w:rsid w:val="485E3212"/>
    <w:rsid w:val="485F4A24"/>
    <w:rsid w:val="48629873"/>
    <w:rsid w:val="4873C0D9"/>
    <w:rsid w:val="48845BB2"/>
    <w:rsid w:val="48939CB9"/>
    <w:rsid w:val="48BDD4E1"/>
    <w:rsid w:val="48D5FAEA"/>
    <w:rsid w:val="48D61111"/>
    <w:rsid w:val="48DB5532"/>
    <w:rsid w:val="48FE5F3D"/>
    <w:rsid w:val="491A8DCB"/>
    <w:rsid w:val="492E9437"/>
    <w:rsid w:val="496A7F83"/>
    <w:rsid w:val="4976B68D"/>
    <w:rsid w:val="49811D1A"/>
    <w:rsid w:val="498DFD66"/>
    <w:rsid w:val="49B3B4BA"/>
    <w:rsid w:val="49C90A1D"/>
    <w:rsid w:val="49D11BD8"/>
    <w:rsid w:val="49E74BF8"/>
    <w:rsid w:val="49F19373"/>
    <w:rsid w:val="4A04032F"/>
    <w:rsid w:val="4A15370B"/>
    <w:rsid w:val="4A4BA106"/>
    <w:rsid w:val="4A56E54F"/>
    <w:rsid w:val="4A91724A"/>
    <w:rsid w:val="4ABEB7CD"/>
    <w:rsid w:val="4ABF177A"/>
    <w:rsid w:val="4AF1421A"/>
    <w:rsid w:val="4AFBBC3C"/>
    <w:rsid w:val="4B0BEABE"/>
    <w:rsid w:val="4B3AAEA8"/>
    <w:rsid w:val="4B864BCD"/>
    <w:rsid w:val="4B90EB06"/>
    <w:rsid w:val="4B979748"/>
    <w:rsid w:val="4BBD2065"/>
    <w:rsid w:val="4BCCEC52"/>
    <w:rsid w:val="4C03ACDF"/>
    <w:rsid w:val="4C35C319"/>
    <w:rsid w:val="4C48B8EF"/>
    <w:rsid w:val="4C55F206"/>
    <w:rsid w:val="4C677B8C"/>
    <w:rsid w:val="4C6C1211"/>
    <w:rsid w:val="4C7EEC7D"/>
    <w:rsid w:val="4C89CF3B"/>
    <w:rsid w:val="4C8BDD9B"/>
    <w:rsid w:val="4CA268E2"/>
    <w:rsid w:val="4CAEC004"/>
    <w:rsid w:val="4CFF66B1"/>
    <w:rsid w:val="4D0CC167"/>
    <w:rsid w:val="4D1340AF"/>
    <w:rsid w:val="4D346CA1"/>
    <w:rsid w:val="4D40F62E"/>
    <w:rsid w:val="4D4D9DB4"/>
    <w:rsid w:val="4D4E452C"/>
    <w:rsid w:val="4D630735"/>
    <w:rsid w:val="4D8127C0"/>
    <w:rsid w:val="4D9C31FB"/>
    <w:rsid w:val="4D9E46B8"/>
    <w:rsid w:val="4DA1801B"/>
    <w:rsid w:val="4DB1E7F4"/>
    <w:rsid w:val="4DEFF827"/>
    <w:rsid w:val="4DF119CE"/>
    <w:rsid w:val="4E0488DE"/>
    <w:rsid w:val="4E077E36"/>
    <w:rsid w:val="4E2459A6"/>
    <w:rsid w:val="4E26353E"/>
    <w:rsid w:val="4E2B6322"/>
    <w:rsid w:val="4E2D6EA6"/>
    <w:rsid w:val="4E6965C5"/>
    <w:rsid w:val="4E815180"/>
    <w:rsid w:val="4E82C0F3"/>
    <w:rsid w:val="4E885E55"/>
    <w:rsid w:val="4E8EA788"/>
    <w:rsid w:val="4E903D24"/>
    <w:rsid w:val="4E91EBC9"/>
    <w:rsid w:val="4E963C09"/>
    <w:rsid w:val="4E9702D7"/>
    <w:rsid w:val="4EB23CE8"/>
    <w:rsid w:val="4EC660B9"/>
    <w:rsid w:val="4ECCC392"/>
    <w:rsid w:val="4EDC1FCB"/>
    <w:rsid w:val="4EE364DA"/>
    <w:rsid w:val="4EF680C6"/>
    <w:rsid w:val="4F110606"/>
    <w:rsid w:val="4F4609CA"/>
    <w:rsid w:val="4F48B275"/>
    <w:rsid w:val="4F6253B7"/>
    <w:rsid w:val="4F78B98D"/>
    <w:rsid w:val="4F85FD50"/>
    <w:rsid w:val="4F95A626"/>
    <w:rsid w:val="4FA0CFF4"/>
    <w:rsid w:val="4FB17276"/>
    <w:rsid w:val="4FB29130"/>
    <w:rsid w:val="4FC14528"/>
    <w:rsid w:val="4FD3E5ED"/>
    <w:rsid w:val="4FE0A0FC"/>
    <w:rsid w:val="4FF5C1B7"/>
    <w:rsid w:val="4FF796A3"/>
    <w:rsid w:val="50225A92"/>
    <w:rsid w:val="5025BF29"/>
    <w:rsid w:val="5047CAEF"/>
    <w:rsid w:val="5048F46F"/>
    <w:rsid w:val="5060501B"/>
    <w:rsid w:val="50703D9B"/>
    <w:rsid w:val="507B6A8A"/>
    <w:rsid w:val="508E6872"/>
    <w:rsid w:val="50919714"/>
    <w:rsid w:val="50AED826"/>
    <w:rsid w:val="50BB6D24"/>
    <w:rsid w:val="50BBD8C7"/>
    <w:rsid w:val="50D9EF32"/>
    <w:rsid w:val="50E14039"/>
    <w:rsid w:val="50E2616D"/>
    <w:rsid w:val="50FF7006"/>
    <w:rsid w:val="5105BC32"/>
    <w:rsid w:val="51300F17"/>
    <w:rsid w:val="514511CD"/>
    <w:rsid w:val="514B29D8"/>
    <w:rsid w:val="515BFA68"/>
    <w:rsid w:val="51693218"/>
    <w:rsid w:val="516B7287"/>
    <w:rsid w:val="5170A550"/>
    <w:rsid w:val="51D87A2A"/>
    <w:rsid w:val="52101133"/>
    <w:rsid w:val="521047D2"/>
    <w:rsid w:val="5237DA19"/>
    <w:rsid w:val="52428912"/>
    <w:rsid w:val="52533C6F"/>
    <w:rsid w:val="5254C021"/>
    <w:rsid w:val="5255DC3A"/>
    <w:rsid w:val="5256B97B"/>
    <w:rsid w:val="52653C66"/>
    <w:rsid w:val="526D8B22"/>
    <w:rsid w:val="528FA57F"/>
    <w:rsid w:val="52A6CE9A"/>
    <w:rsid w:val="52CBE09D"/>
    <w:rsid w:val="52D46C68"/>
    <w:rsid w:val="52E08E3A"/>
    <w:rsid w:val="52E37952"/>
    <w:rsid w:val="52FCD922"/>
    <w:rsid w:val="53307E27"/>
    <w:rsid w:val="534156D6"/>
    <w:rsid w:val="5345D6B8"/>
    <w:rsid w:val="537BC0A9"/>
    <w:rsid w:val="538477AC"/>
    <w:rsid w:val="53B30B4C"/>
    <w:rsid w:val="53C69D88"/>
    <w:rsid w:val="53D612E4"/>
    <w:rsid w:val="53DD8F43"/>
    <w:rsid w:val="53E0849B"/>
    <w:rsid w:val="53E6B651"/>
    <w:rsid w:val="53F926F7"/>
    <w:rsid w:val="53FF3935"/>
    <w:rsid w:val="54185E0E"/>
    <w:rsid w:val="543B1717"/>
    <w:rsid w:val="544BC18B"/>
    <w:rsid w:val="545C0BC4"/>
    <w:rsid w:val="54986E24"/>
    <w:rsid w:val="549E382E"/>
    <w:rsid w:val="549EAD0B"/>
    <w:rsid w:val="54A84612"/>
    <w:rsid w:val="54B41708"/>
    <w:rsid w:val="54E89190"/>
    <w:rsid w:val="54E8B2D8"/>
    <w:rsid w:val="54F086F4"/>
    <w:rsid w:val="55136581"/>
    <w:rsid w:val="5519730E"/>
    <w:rsid w:val="55228CE9"/>
    <w:rsid w:val="55247782"/>
    <w:rsid w:val="552D7E7D"/>
    <w:rsid w:val="554670B4"/>
    <w:rsid w:val="554EA2DE"/>
    <w:rsid w:val="556C114D"/>
    <w:rsid w:val="55704EC1"/>
    <w:rsid w:val="55AC93AD"/>
    <w:rsid w:val="55AEE20B"/>
    <w:rsid w:val="56086CAD"/>
    <w:rsid w:val="560E2266"/>
    <w:rsid w:val="56214C4F"/>
    <w:rsid w:val="562D2E62"/>
    <w:rsid w:val="562D65E2"/>
    <w:rsid w:val="5645B4A2"/>
    <w:rsid w:val="567456E7"/>
    <w:rsid w:val="5679800E"/>
    <w:rsid w:val="56A3E3D2"/>
    <w:rsid w:val="56C0C4A7"/>
    <w:rsid w:val="56C7C549"/>
    <w:rsid w:val="56D308FC"/>
    <w:rsid w:val="56E5D59E"/>
    <w:rsid w:val="5715FA35"/>
    <w:rsid w:val="571B5723"/>
    <w:rsid w:val="57253CE7"/>
    <w:rsid w:val="573F2268"/>
    <w:rsid w:val="5754067F"/>
    <w:rsid w:val="577D72DA"/>
    <w:rsid w:val="5789CBF6"/>
    <w:rsid w:val="57933FE1"/>
    <w:rsid w:val="579F82BE"/>
    <w:rsid w:val="57A3575B"/>
    <w:rsid w:val="57D7DCC1"/>
    <w:rsid w:val="57E18503"/>
    <w:rsid w:val="57EF5A25"/>
    <w:rsid w:val="5820FA00"/>
    <w:rsid w:val="5835A192"/>
    <w:rsid w:val="58462972"/>
    <w:rsid w:val="58796408"/>
    <w:rsid w:val="5884B087"/>
    <w:rsid w:val="58B1CA96"/>
    <w:rsid w:val="58C7DB19"/>
    <w:rsid w:val="58F8DF0E"/>
    <w:rsid w:val="59507BDF"/>
    <w:rsid w:val="59A44FD8"/>
    <w:rsid w:val="59AAC7DC"/>
    <w:rsid w:val="59BB33C7"/>
    <w:rsid w:val="59BC030C"/>
    <w:rsid w:val="59BC0F23"/>
    <w:rsid w:val="59C1E6CA"/>
    <w:rsid w:val="59E39DC2"/>
    <w:rsid w:val="59EC5810"/>
    <w:rsid w:val="59F37671"/>
    <w:rsid w:val="5A075296"/>
    <w:rsid w:val="5A1111F9"/>
    <w:rsid w:val="5A1314BF"/>
    <w:rsid w:val="5A24CB73"/>
    <w:rsid w:val="5A37D74A"/>
    <w:rsid w:val="5A666AC6"/>
    <w:rsid w:val="5A797C81"/>
    <w:rsid w:val="5A7E364D"/>
    <w:rsid w:val="5A92051F"/>
    <w:rsid w:val="5AA318B8"/>
    <w:rsid w:val="5AB2AA01"/>
    <w:rsid w:val="5ABD14FB"/>
    <w:rsid w:val="5AE2C352"/>
    <w:rsid w:val="5AF97E95"/>
    <w:rsid w:val="5B0D150B"/>
    <w:rsid w:val="5B0DE9EC"/>
    <w:rsid w:val="5B27A3E1"/>
    <w:rsid w:val="5B2F3DC6"/>
    <w:rsid w:val="5B3626ED"/>
    <w:rsid w:val="5B38A72F"/>
    <w:rsid w:val="5B5EC241"/>
    <w:rsid w:val="5B68794F"/>
    <w:rsid w:val="5B825E7E"/>
    <w:rsid w:val="5B8A9776"/>
    <w:rsid w:val="5B9C205D"/>
    <w:rsid w:val="5BA39509"/>
    <w:rsid w:val="5BAA2F8F"/>
    <w:rsid w:val="5BAF0B91"/>
    <w:rsid w:val="5BCE323B"/>
    <w:rsid w:val="5BE0B49D"/>
    <w:rsid w:val="5BE96B58"/>
    <w:rsid w:val="5BE9E8BD"/>
    <w:rsid w:val="5BF45EBC"/>
    <w:rsid w:val="5BFE1C7A"/>
    <w:rsid w:val="5C17EAD9"/>
    <w:rsid w:val="5C2278AB"/>
    <w:rsid w:val="5C27196E"/>
    <w:rsid w:val="5C2E5560"/>
    <w:rsid w:val="5C4E09EA"/>
    <w:rsid w:val="5C90F64C"/>
    <w:rsid w:val="5C9177E7"/>
    <w:rsid w:val="5C964B04"/>
    <w:rsid w:val="5CB7D31F"/>
    <w:rsid w:val="5CF86EC7"/>
    <w:rsid w:val="5D13056B"/>
    <w:rsid w:val="5D399F60"/>
    <w:rsid w:val="5D3F2629"/>
    <w:rsid w:val="5D5D13E3"/>
    <w:rsid w:val="5D61DB18"/>
    <w:rsid w:val="5D64D751"/>
    <w:rsid w:val="5D71A2A8"/>
    <w:rsid w:val="5D7D123B"/>
    <w:rsid w:val="5D8DFD3E"/>
    <w:rsid w:val="5D9454DF"/>
    <w:rsid w:val="5D9AA326"/>
    <w:rsid w:val="5DA51C5D"/>
    <w:rsid w:val="5DB35FDC"/>
    <w:rsid w:val="5DBF29A5"/>
    <w:rsid w:val="5DEC58F8"/>
    <w:rsid w:val="5DF2135D"/>
    <w:rsid w:val="5E0F6FF2"/>
    <w:rsid w:val="5E350FBD"/>
    <w:rsid w:val="5E46D670"/>
    <w:rsid w:val="5E4D1735"/>
    <w:rsid w:val="5E50C687"/>
    <w:rsid w:val="5E545112"/>
    <w:rsid w:val="5E78FEAC"/>
    <w:rsid w:val="5E8C694B"/>
    <w:rsid w:val="5EA13501"/>
    <w:rsid w:val="5ECB1E51"/>
    <w:rsid w:val="5ED833A9"/>
    <w:rsid w:val="5EF0653B"/>
    <w:rsid w:val="5EFC0DB2"/>
    <w:rsid w:val="5F0596AB"/>
    <w:rsid w:val="5F166ADD"/>
    <w:rsid w:val="5F1AEBE5"/>
    <w:rsid w:val="5F25DC28"/>
    <w:rsid w:val="5F32E91A"/>
    <w:rsid w:val="5F3A4864"/>
    <w:rsid w:val="5F40B6E6"/>
    <w:rsid w:val="5F4EFCAF"/>
    <w:rsid w:val="5F5349E4"/>
    <w:rsid w:val="5F535C21"/>
    <w:rsid w:val="5F5C7B42"/>
    <w:rsid w:val="5F68118B"/>
    <w:rsid w:val="5F75EE2C"/>
    <w:rsid w:val="5F7D0A1E"/>
    <w:rsid w:val="5F83BE0B"/>
    <w:rsid w:val="5F8B5087"/>
    <w:rsid w:val="5FC1ACD4"/>
    <w:rsid w:val="5FCBD34D"/>
    <w:rsid w:val="5FCE9B06"/>
    <w:rsid w:val="60174236"/>
    <w:rsid w:val="601EE69D"/>
    <w:rsid w:val="602057F9"/>
    <w:rsid w:val="602CEA4B"/>
    <w:rsid w:val="604ABF59"/>
    <w:rsid w:val="60693DFB"/>
    <w:rsid w:val="606F3907"/>
    <w:rsid w:val="607C85B9"/>
    <w:rsid w:val="608D8BCA"/>
    <w:rsid w:val="60AE3173"/>
    <w:rsid w:val="60B6F2DF"/>
    <w:rsid w:val="60E993BD"/>
    <w:rsid w:val="60EBBA51"/>
    <w:rsid w:val="611352C5"/>
    <w:rsid w:val="614F02B1"/>
    <w:rsid w:val="6152803B"/>
    <w:rsid w:val="6187CCCB"/>
    <w:rsid w:val="61C3409E"/>
    <w:rsid w:val="61C7572E"/>
    <w:rsid w:val="61C75FA1"/>
    <w:rsid w:val="61CAB77A"/>
    <w:rsid w:val="61D4B364"/>
    <w:rsid w:val="61E1D8AA"/>
    <w:rsid w:val="62081A10"/>
    <w:rsid w:val="62162DB9"/>
    <w:rsid w:val="62264BF2"/>
    <w:rsid w:val="625CD57B"/>
    <w:rsid w:val="6270D632"/>
    <w:rsid w:val="627C2A3C"/>
    <w:rsid w:val="627FAB53"/>
    <w:rsid w:val="628376F7"/>
    <w:rsid w:val="6294CA75"/>
    <w:rsid w:val="62ACB2EB"/>
    <w:rsid w:val="62AE63F3"/>
    <w:rsid w:val="62C9A537"/>
    <w:rsid w:val="62DD15AC"/>
    <w:rsid w:val="62DD59A9"/>
    <w:rsid w:val="62F24165"/>
    <w:rsid w:val="62F2623E"/>
    <w:rsid w:val="62FD64E7"/>
    <w:rsid w:val="630466FB"/>
    <w:rsid w:val="63137CFF"/>
    <w:rsid w:val="63224CA4"/>
    <w:rsid w:val="637D687E"/>
    <w:rsid w:val="63974D77"/>
    <w:rsid w:val="63BB14F2"/>
    <w:rsid w:val="63CC2296"/>
    <w:rsid w:val="63E25773"/>
    <w:rsid w:val="63E88929"/>
    <w:rsid w:val="64140953"/>
    <w:rsid w:val="64260E5F"/>
    <w:rsid w:val="642BDA73"/>
    <w:rsid w:val="64438BC6"/>
    <w:rsid w:val="6448B3A2"/>
    <w:rsid w:val="64575A42"/>
    <w:rsid w:val="645BF48B"/>
    <w:rsid w:val="646888AD"/>
    <w:rsid w:val="6489EE2C"/>
    <w:rsid w:val="649DF2C2"/>
    <w:rsid w:val="651AB4D6"/>
    <w:rsid w:val="6528E101"/>
    <w:rsid w:val="65376402"/>
    <w:rsid w:val="654289C9"/>
    <w:rsid w:val="658B0612"/>
    <w:rsid w:val="65B7C62B"/>
    <w:rsid w:val="65C52739"/>
    <w:rsid w:val="65D8439B"/>
    <w:rsid w:val="65DF5812"/>
    <w:rsid w:val="6603BF94"/>
    <w:rsid w:val="660CB3D1"/>
    <w:rsid w:val="6619268E"/>
    <w:rsid w:val="663C8264"/>
    <w:rsid w:val="663F5D9F"/>
    <w:rsid w:val="6641DE14"/>
    <w:rsid w:val="66424B81"/>
    <w:rsid w:val="66692295"/>
    <w:rsid w:val="667DD6F1"/>
    <w:rsid w:val="66818657"/>
    <w:rsid w:val="6688CEE1"/>
    <w:rsid w:val="66903804"/>
    <w:rsid w:val="669E6354"/>
    <w:rsid w:val="66AB2B8D"/>
    <w:rsid w:val="66DC0D86"/>
    <w:rsid w:val="66E9947B"/>
    <w:rsid w:val="66F0C219"/>
    <w:rsid w:val="66F5E875"/>
    <w:rsid w:val="6718511C"/>
    <w:rsid w:val="6732E746"/>
    <w:rsid w:val="676491DA"/>
    <w:rsid w:val="6764C975"/>
    <w:rsid w:val="6770E6E0"/>
    <w:rsid w:val="67752CC1"/>
    <w:rsid w:val="67956165"/>
    <w:rsid w:val="67AC098C"/>
    <w:rsid w:val="67B086CF"/>
    <w:rsid w:val="67C07629"/>
    <w:rsid w:val="67C5CF6A"/>
    <w:rsid w:val="67DF8538"/>
    <w:rsid w:val="67F1637F"/>
    <w:rsid w:val="67F91231"/>
    <w:rsid w:val="67FF9653"/>
    <w:rsid w:val="68195E3F"/>
    <w:rsid w:val="681DB5FC"/>
    <w:rsid w:val="6833F6BD"/>
    <w:rsid w:val="68371F1B"/>
    <w:rsid w:val="684A7A40"/>
    <w:rsid w:val="6864E292"/>
    <w:rsid w:val="687C1794"/>
    <w:rsid w:val="6897D461"/>
    <w:rsid w:val="689A98F6"/>
    <w:rsid w:val="68CFDBE6"/>
    <w:rsid w:val="68D0A534"/>
    <w:rsid w:val="68ED3BDE"/>
    <w:rsid w:val="68EFF854"/>
    <w:rsid w:val="68F6CB38"/>
    <w:rsid w:val="690158E2"/>
    <w:rsid w:val="69214A4D"/>
    <w:rsid w:val="6932D71B"/>
    <w:rsid w:val="695F12C0"/>
    <w:rsid w:val="6967D2C6"/>
    <w:rsid w:val="69750A40"/>
    <w:rsid w:val="6976FE61"/>
    <w:rsid w:val="697A40D4"/>
    <w:rsid w:val="697F24F7"/>
    <w:rsid w:val="69A34A44"/>
    <w:rsid w:val="69A5DC27"/>
    <w:rsid w:val="69B5F98D"/>
    <w:rsid w:val="69C8797F"/>
    <w:rsid w:val="69E19649"/>
    <w:rsid w:val="69E9137C"/>
    <w:rsid w:val="69FB234D"/>
    <w:rsid w:val="6A037C1D"/>
    <w:rsid w:val="6A05E372"/>
    <w:rsid w:val="6A49FF05"/>
    <w:rsid w:val="6A52CF05"/>
    <w:rsid w:val="6A754A4F"/>
    <w:rsid w:val="6A9DF2C4"/>
    <w:rsid w:val="6A9E05BC"/>
    <w:rsid w:val="6A9FD6BC"/>
    <w:rsid w:val="6AA6FF97"/>
    <w:rsid w:val="6AE09515"/>
    <w:rsid w:val="6AE343D2"/>
    <w:rsid w:val="6B00C60C"/>
    <w:rsid w:val="6B241978"/>
    <w:rsid w:val="6B260918"/>
    <w:rsid w:val="6B28C87B"/>
    <w:rsid w:val="6B2C227A"/>
    <w:rsid w:val="6B45BEB9"/>
    <w:rsid w:val="6B8DE9C0"/>
    <w:rsid w:val="6BB06209"/>
    <w:rsid w:val="6BB58347"/>
    <w:rsid w:val="6BC0BF6A"/>
    <w:rsid w:val="6BDCF5F7"/>
    <w:rsid w:val="6C082A65"/>
    <w:rsid w:val="6C1C2F19"/>
    <w:rsid w:val="6C47AC66"/>
    <w:rsid w:val="6C5E5FD2"/>
    <w:rsid w:val="6C5FBBF5"/>
    <w:rsid w:val="6C81B112"/>
    <w:rsid w:val="6C9403F2"/>
    <w:rsid w:val="6C9BFF34"/>
    <w:rsid w:val="6CAA79FE"/>
    <w:rsid w:val="6CB16A6A"/>
    <w:rsid w:val="6CE74F17"/>
    <w:rsid w:val="6CECFDD1"/>
    <w:rsid w:val="6CF35215"/>
    <w:rsid w:val="6CFB204F"/>
    <w:rsid w:val="6D0DF3A5"/>
    <w:rsid w:val="6D1E997E"/>
    <w:rsid w:val="6D62C181"/>
    <w:rsid w:val="6D6EBF30"/>
    <w:rsid w:val="6D8808F1"/>
    <w:rsid w:val="6D8C59FF"/>
    <w:rsid w:val="6D96896C"/>
    <w:rsid w:val="6DB5A106"/>
    <w:rsid w:val="6DCBFF1E"/>
    <w:rsid w:val="6DE6977C"/>
    <w:rsid w:val="6DEAB626"/>
    <w:rsid w:val="6E0D835A"/>
    <w:rsid w:val="6E0DC86A"/>
    <w:rsid w:val="6E0ED179"/>
    <w:rsid w:val="6E108C21"/>
    <w:rsid w:val="6E24B72B"/>
    <w:rsid w:val="6E308A82"/>
    <w:rsid w:val="6E36F790"/>
    <w:rsid w:val="6E3934AD"/>
    <w:rsid w:val="6E3C91CE"/>
    <w:rsid w:val="6E5274D3"/>
    <w:rsid w:val="6E922184"/>
    <w:rsid w:val="6EBB65FE"/>
    <w:rsid w:val="6EF57575"/>
    <w:rsid w:val="6F0B1697"/>
    <w:rsid w:val="6F28D180"/>
    <w:rsid w:val="6F3330E8"/>
    <w:rsid w:val="6F34FFD8"/>
    <w:rsid w:val="6F3F1D6A"/>
    <w:rsid w:val="6F4B37F3"/>
    <w:rsid w:val="6F4FB33F"/>
    <w:rsid w:val="6F72A985"/>
    <w:rsid w:val="6F952710"/>
    <w:rsid w:val="6F9A6DBA"/>
    <w:rsid w:val="6FD0E51C"/>
    <w:rsid w:val="6FEE44E4"/>
    <w:rsid w:val="6FEFA09F"/>
    <w:rsid w:val="6FF6BBE4"/>
    <w:rsid w:val="706CC500"/>
    <w:rsid w:val="70715FD5"/>
    <w:rsid w:val="707D4375"/>
    <w:rsid w:val="7099CACB"/>
    <w:rsid w:val="70C2C6F8"/>
    <w:rsid w:val="70C3FB2E"/>
    <w:rsid w:val="70C6FFC1"/>
    <w:rsid w:val="70DDFC14"/>
    <w:rsid w:val="70EB17CF"/>
    <w:rsid w:val="70F75D37"/>
    <w:rsid w:val="71016A39"/>
    <w:rsid w:val="710CEDF9"/>
    <w:rsid w:val="71113C6C"/>
    <w:rsid w:val="7158DE23"/>
    <w:rsid w:val="71732114"/>
    <w:rsid w:val="717C94BE"/>
    <w:rsid w:val="71B2DB70"/>
    <w:rsid w:val="71C2114C"/>
    <w:rsid w:val="71DE3A76"/>
    <w:rsid w:val="71EFD13B"/>
    <w:rsid w:val="7202DC60"/>
    <w:rsid w:val="724BFF48"/>
    <w:rsid w:val="727F31FB"/>
    <w:rsid w:val="72A8B04F"/>
    <w:rsid w:val="72B3CEA4"/>
    <w:rsid w:val="72B5F7EF"/>
    <w:rsid w:val="72BEE5FF"/>
    <w:rsid w:val="72CB71A4"/>
    <w:rsid w:val="72D4258F"/>
    <w:rsid w:val="72E95725"/>
    <w:rsid w:val="7301D097"/>
    <w:rsid w:val="730394ED"/>
    <w:rsid w:val="730C1942"/>
    <w:rsid w:val="738CB207"/>
    <w:rsid w:val="738CCF81"/>
    <w:rsid w:val="739243DE"/>
    <w:rsid w:val="73BA464B"/>
    <w:rsid w:val="73C32396"/>
    <w:rsid w:val="73C3B069"/>
    <w:rsid w:val="73D32662"/>
    <w:rsid w:val="73E301CF"/>
    <w:rsid w:val="73FEC61D"/>
    <w:rsid w:val="7400EE2D"/>
    <w:rsid w:val="741EDBE7"/>
    <w:rsid w:val="74348D06"/>
    <w:rsid w:val="74388458"/>
    <w:rsid w:val="743D38E0"/>
    <w:rsid w:val="7489530C"/>
    <w:rsid w:val="74A5BB85"/>
    <w:rsid w:val="74B7B6F2"/>
    <w:rsid w:val="74BBE60E"/>
    <w:rsid w:val="74D8D74E"/>
    <w:rsid w:val="750AE15D"/>
    <w:rsid w:val="751E55E6"/>
    <w:rsid w:val="75502E44"/>
    <w:rsid w:val="7568E51A"/>
    <w:rsid w:val="756CFE85"/>
    <w:rsid w:val="7570A950"/>
    <w:rsid w:val="75742469"/>
    <w:rsid w:val="7581698D"/>
    <w:rsid w:val="75A0BA9D"/>
    <w:rsid w:val="75B0C66B"/>
    <w:rsid w:val="75B478E2"/>
    <w:rsid w:val="75C3D25B"/>
    <w:rsid w:val="75FC03F7"/>
    <w:rsid w:val="760CF822"/>
    <w:rsid w:val="76115D83"/>
    <w:rsid w:val="76165C70"/>
    <w:rsid w:val="7623B537"/>
    <w:rsid w:val="765F97BA"/>
    <w:rsid w:val="7679E9BC"/>
    <w:rsid w:val="76897EE9"/>
    <w:rsid w:val="76922A48"/>
    <w:rsid w:val="769E0C86"/>
    <w:rsid w:val="76A18548"/>
    <w:rsid w:val="76B3666E"/>
    <w:rsid w:val="76B3A65A"/>
    <w:rsid w:val="76C1E021"/>
    <w:rsid w:val="76C5117F"/>
    <w:rsid w:val="76DC49BA"/>
    <w:rsid w:val="76EBBEA3"/>
    <w:rsid w:val="76EEF3C1"/>
    <w:rsid w:val="76F4FB47"/>
    <w:rsid w:val="76FC6B7A"/>
    <w:rsid w:val="7702BDF3"/>
    <w:rsid w:val="772D37D1"/>
    <w:rsid w:val="77434D77"/>
    <w:rsid w:val="778D56BD"/>
    <w:rsid w:val="778DDF31"/>
    <w:rsid w:val="7812A243"/>
    <w:rsid w:val="7815BA1D"/>
    <w:rsid w:val="78613F58"/>
    <w:rsid w:val="78667F29"/>
    <w:rsid w:val="786CF9D6"/>
    <w:rsid w:val="789623D1"/>
    <w:rsid w:val="78A9608A"/>
    <w:rsid w:val="78AE7D55"/>
    <w:rsid w:val="78D411AF"/>
    <w:rsid w:val="78E93780"/>
    <w:rsid w:val="796F8772"/>
    <w:rsid w:val="79976520"/>
    <w:rsid w:val="7997D671"/>
    <w:rsid w:val="79AE747C"/>
    <w:rsid w:val="79B0C684"/>
    <w:rsid w:val="79B52104"/>
    <w:rsid w:val="79F3A15E"/>
    <w:rsid w:val="7A019798"/>
    <w:rsid w:val="7A470DAC"/>
    <w:rsid w:val="7A6622AF"/>
    <w:rsid w:val="7A70DC59"/>
    <w:rsid w:val="7A7C4B1C"/>
    <w:rsid w:val="7A904DC3"/>
    <w:rsid w:val="7AA1D5EA"/>
    <w:rsid w:val="7AA2E907"/>
    <w:rsid w:val="7ACDC09D"/>
    <w:rsid w:val="7AD17AB3"/>
    <w:rsid w:val="7ADA6A51"/>
    <w:rsid w:val="7AE1F151"/>
    <w:rsid w:val="7AE68D14"/>
    <w:rsid w:val="7AF9F556"/>
    <w:rsid w:val="7B151735"/>
    <w:rsid w:val="7B2E0B7D"/>
    <w:rsid w:val="7B41EAD6"/>
    <w:rsid w:val="7B48890D"/>
    <w:rsid w:val="7B4B641E"/>
    <w:rsid w:val="7B51279B"/>
    <w:rsid w:val="7B698558"/>
    <w:rsid w:val="7B734C95"/>
    <w:rsid w:val="7B78BD2C"/>
    <w:rsid w:val="7BAAF052"/>
    <w:rsid w:val="7BD6C68E"/>
    <w:rsid w:val="7BEA9BB7"/>
    <w:rsid w:val="7C03C410"/>
    <w:rsid w:val="7C0B6EB0"/>
    <w:rsid w:val="7C0D80E0"/>
    <w:rsid w:val="7C23AEAB"/>
    <w:rsid w:val="7C26FC47"/>
    <w:rsid w:val="7C415442"/>
    <w:rsid w:val="7C45EAF5"/>
    <w:rsid w:val="7C4655AB"/>
    <w:rsid w:val="7C5EC1AE"/>
    <w:rsid w:val="7C8F9302"/>
    <w:rsid w:val="7C9D8E40"/>
    <w:rsid w:val="7CA3D43C"/>
    <w:rsid w:val="7CAE65D7"/>
    <w:rsid w:val="7CC097F9"/>
    <w:rsid w:val="7CC81576"/>
    <w:rsid w:val="7CEA1433"/>
    <w:rsid w:val="7D1B5781"/>
    <w:rsid w:val="7D6C0FCD"/>
    <w:rsid w:val="7D752CC6"/>
    <w:rsid w:val="7D7F5C07"/>
    <w:rsid w:val="7D8286A5"/>
    <w:rsid w:val="7D8BF5C5"/>
    <w:rsid w:val="7D91EA12"/>
    <w:rsid w:val="7D9E52DF"/>
    <w:rsid w:val="7DAAEC78"/>
    <w:rsid w:val="7DC741A8"/>
    <w:rsid w:val="7DD7B340"/>
    <w:rsid w:val="7DE27CF7"/>
    <w:rsid w:val="7DEADE5F"/>
    <w:rsid w:val="7DEB65C4"/>
    <w:rsid w:val="7DF09EE8"/>
    <w:rsid w:val="7DF5BAA4"/>
    <w:rsid w:val="7E159522"/>
    <w:rsid w:val="7E1DD02E"/>
    <w:rsid w:val="7E339800"/>
    <w:rsid w:val="7E36FC58"/>
    <w:rsid w:val="7E3BFD29"/>
    <w:rsid w:val="7E4B6528"/>
    <w:rsid w:val="7E8029CF"/>
    <w:rsid w:val="7E839433"/>
    <w:rsid w:val="7E94D4B7"/>
    <w:rsid w:val="7EA70F7D"/>
    <w:rsid w:val="7EB830F9"/>
    <w:rsid w:val="7EC7DD65"/>
    <w:rsid w:val="7F036F42"/>
    <w:rsid w:val="7F1631B1"/>
    <w:rsid w:val="7F2DB79A"/>
    <w:rsid w:val="7F416AC9"/>
    <w:rsid w:val="7F436C6A"/>
    <w:rsid w:val="7F501666"/>
    <w:rsid w:val="7F5A9208"/>
    <w:rsid w:val="7F64F18C"/>
    <w:rsid w:val="7F7AC088"/>
    <w:rsid w:val="7F805BC1"/>
    <w:rsid w:val="7FAA3A65"/>
    <w:rsid w:val="7FAD0BFC"/>
    <w:rsid w:val="7FB355CA"/>
    <w:rsid w:val="7FC107AB"/>
    <w:rsid w:val="7FC34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6B71C5"/>
  <w14:defaultImageDpi w14:val="300"/>
  <w15:docId w15:val="{D5B07378-CBE7-43D1-9485-D2BA2F30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C82CAE"/>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C82CAE"/>
    <w:pPr>
      <w:tabs>
        <w:tab w:val="right" w:leader="dot" w:pos="8296"/>
      </w:tabs>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14035C"/>
    <w:rPr>
      <w:color w:val="605E5C"/>
      <w:shd w:val="clear" w:color="auto" w:fill="E1DFDD"/>
    </w:rPr>
  </w:style>
  <w:style w:type="paragraph" w:customStyle="1" w:styleId="Default">
    <w:name w:val="Default"/>
    <w:rsid w:val="00587AEA"/>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633DE3"/>
    <w:rPr>
      <w:color w:val="800080" w:themeColor="followedHyperlink"/>
      <w:u w:val="single"/>
    </w:rPr>
  </w:style>
  <w:style w:type="paragraph" w:styleId="NormalWeb">
    <w:name w:val="Normal (Web)"/>
    <w:basedOn w:val="Normal"/>
    <w:uiPriority w:val="99"/>
    <w:semiHidden/>
    <w:unhideWhenUsed/>
    <w:rsid w:val="00464144"/>
    <w:pPr>
      <w:spacing w:before="100" w:beforeAutospacing="1" w:after="100" w:afterAutospacing="1"/>
    </w:pPr>
    <w:rPr>
      <w:rFonts w:ascii="Times New Roman" w:eastAsia="Times New Roman" w:hAnsi="Times New Roman" w:cs="Times New Roman"/>
      <w:color w:val="auto"/>
      <w:sz w:val="24"/>
      <w:lang w:eastAsia="en-AU"/>
    </w:rPr>
  </w:style>
  <w:style w:type="character" w:styleId="Emphasis">
    <w:name w:val="Emphasis"/>
    <w:basedOn w:val="DefaultParagraphFont"/>
    <w:uiPriority w:val="20"/>
    <w:qFormat/>
    <w:rsid w:val="00464144"/>
    <w:rPr>
      <w:i/>
      <w:iCs/>
    </w:rPr>
  </w:style>
  <w:style w:type="paragraph" w:customStyle="1" w:styleId="paragraph">
    <w:name w:val="paragraph"/>
    <w:basedOn w:val="Normal"/>
    <w:rsid w:val="00464144"/>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464144"/>
  </w:style>
  <w:style w:type="paragraph" w:styleId="Revision">
    <w:name w:val="Revision"/>
    <w:hidden/>
    <w:uiPriority w:val="99"/>
    <w:semiHidden/>
    <w:rsid w:val="00597879"/>
    <w:rPr>
      <w:rFonts w:ascii="Arial" w:hAnsi="Arial"/>
      <w:color w:val="000000" w:themeColor="text1"/>
      <w:sz w:val="22"/>
      <w:lang w:val="en-AU"/>
    </w:rPr>
  </w:style>
  <w:style w:type="character" w:styleId="UnresolvedMention">
    <w:name w:val="Unresolved Mention"/>
    <w:basedOn w:val="DefaultParagraphFont"/>
    <w:uiPriority w:val="99"/>
    <w:semiHidden/>
    <w:unhideWhenUsed/>
    <w:rsid w:val="006B7670"/>
    <w:rPr>
      <w:color w:val="605E5C"/>
      <w:shd w:val="clear" w:color="auto" w:fill="E1DFDD"/>
    </w:rPr>
  </w:style>
  <w:style w:type="paragraph" w:customStyle="1" w:styleId="apara">
    <w:name w:val="apara"/>
    <w:basedOn w:val="Normal"/>
    <w:rsid w:val="00F8155A"/>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asubpara">
    <w:name w:val="asubpara"/>
    <w:basedOn w:val="Normal"/>
    <w:rsid w:val="00F8155A"/>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listnumber">
    <w:name w:val="listnumber"/>
    <w:basedOn w:val="DefaultParagraphFont"/>
    <w:rsid w:val="00D05D59"/>
  </w:style>
  <w:style w:type="paragraph" w:styleId="EndnoteText">
    <w:name w:val="endnote text"/>
    <w:basedOn w:val="Normal"/>
    <w:link w:val="EndnoteTextChar1"/>
    <w:uiPriority w:val="99"/>
    <w:qFormat/>
    <w:rsid w:val="0075097B"/>
    <w:pPr>
      <w:keepLines/>
      <w:tabs>
        <w:tab w:val="left" w:pos="397"/>
      </w:tabs>
      <w:spacing w:after="0" w:line="288" w:lineRule="auto"/>
      <w:ind w:left="397" w:hanging="397"/>
    </w:pPr>
    <w:rPr>
      <w:rFonts w:ascii="Open Sans" w:eastAsia="MS Mincho" w:hAnsi="Open Sans" w:cs="Times New Roman"/>
      <w:color w:val="auto"/>
      <w:sz w:val="18"/>
      <w:szCs w:val="20"/>
      <w:lang w:eastAsia="en-AU"/>
    </w:rPr>
  </w:style>
  <w:style w:type="character" w:customStyle="1" w:styleId="EndnoteTextChar">
    <w:name w:val="Endnote Text Char"/>
    <w:basedOn w:val="DefaultParagraphFont"/>
    <w:uiPriority w:val="99"/>
    <w:semiHidden/>
    <w:rsid w:val="0075097B"/>
    <w:rPr>
      <w:rFonts w:ascii="Arial" w:hAnsi="Arial"/>
      <w:color w:val="000000" w:themeColor="text1"/>
      <w:sz w:val="20"/>
      <w:szCs w:val="20"/>
      <w:lang w:val="en-AU"/>
    </w:rPr>
  </w:style>
  <w:style w:type="character" w:customStyle="1" w:styleId="EndnoteTextChar1">
    <w:name w:val="Endnote Text Char1"/>
    <w:link w:val="EndnoteText"/>
    <w:uiPriority w:val="99"/>
    <w:rsid w:val="0075097B"/>
    <w:rPr>
      <w:rFonts w:ascii="Open Sans" w:eastAsia="MS Mincho" w:hAnsi="Open Sans" w:cs="Times New Roman"/>
      <w:sz w:val="18"/>
      <w:szCs w:val="20"/>
      <w:lang w:val="en-AU" w:eastAsia="en-AU"/>
    </w:rPr>
  </w:style>
  <w:style w:type="character" w:styleId="EndnoteReference">
    <w:name w:val="endnote reference"/>
    <w:uiPriority w:val="99"/>
    <w:qFormat/>
    <w:rsid w:val="0075097B"/>
    <w:rPr>
      <w:rFonts w:ascii="Open Sans" w:hAnsi="Open Sans"/>
      <w:sz w:val="20"/>
      <w:vertAlign w:val="superscript"/>
    </w:rPr>
  </w:style>
  <w:style w:type="character" w:customStyle="1" w:styleId="VRQAbodyChar">
    <w:name w:val="VRQA body Char"/>
    <w:basedOn w:val="DefaultParagraphFont"/>
    <w:link w:val="VRQAbody"/>
    <w:locked/>
    <w:rsid w:val="00C959E0"/>
    <w:rPr>
      <w:rFonts w:ascii="Arial" w:hAnsi="Arial" w:cs="Arial"/>
      <w:color w:val="555559"/>
    </w:rPr>
  </w:style>
  <w:style w:type="paragraph" w:customStyle="1" w:styleId="VRQAbody">
    <w:name w:val="VRQA body"/>
    <w:basedOn w:val="Normal"/>
    <w:link w:val="VRQAbodyChar"/>
    <w:qFormat/>
    <w:rsid w:val="00C959E0"/>
    <w:pPr>
      <w:suppressAutoHyphens/>
      <w:autoSpaceDE w:val="0"/>
      <w:autoSpaceDN w:val="0"/>
      <w:adjustRightInd w:val="0"/>
      <w:spacing w:after="113"/>
    </w:pPr>
    <w:rPr>
      <w:rFonts w:cs="Arial"/>
      <w:color w:val="555559"/>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859">
      <w:bodyDiv w:val="1"/>
      <w:marLeft w:val="0"/>
      <w:marRight w:val="0"/>
      <w:marTop w:val="0"/>
      <w:marBottom w:val="0"/>
      <w:divBdr>
        <w:top w:val="none" w:sz="0" w:space="0" w:color="auto"/>
        <w:left w:val="none" w:sz="0" w:space="0" w:color="auto"/>
        <w:bottom w:val="none" w:sz="0" w:space="0" w:color="auto"/>
        <w:right w:val="none" w:sz="0" w:space="0" w:color="auto"/>
      </w:divBdr>
    </w:div>
    <w:div w:id="192574194">
      <w:bodyDiv w:val="1"/>
      <w:marLeft w:val="0"/>
      <w:marRight w:val="0"/>
      <w:marTop w:val="0"/>
      <w:marBottom w:val="0"/>
      <w:divBdr>
        <w:top w:val="none" w:sz="0" w:space="0" w:color="auto"/>
        <w:left w:val="none" w:sz="0" w:space="0" w:color="auto"/>
        <w:bottom w:val="none" w:sz="0" w:space="0" w:color="auto"/>
        <w:right w:val="none" w:sz="0" w:space="0" w:color="auto"/>
      </w:divBdr>
    </w:div>
    <w:div w:id="196092541">
      <w:bodyDiv w:val="1"/>
      <w:marLeft w:val="0"/>
      <w:marRight w:val="0"/>
      <w:marTop w:val="0"/>
      <w:marBottom w:val="0"/>
      <w:divBdr>
        <w:top w:val="none" w:sz="0" w:space="0" w:color="auto"/>
        <w:left w:val="none" w:sz="0" w:space="0" w:color="auto"/>
        <w:bottom w:val="none" w:sz="0" w:space="0" w:color="auto"/>
        <w:right w:val="none" w:sz="0" w:space="0" w:color="auto"/>
      </w:divBdr>
    </w:div>
    <w:div w:id="316883136">
      <w:bodyDiv w:val="1"/>
      <w:marLeft w:val="0"/>
      <w:marRight w:val="0"/>
      <w:marTop w:val="0"/>
      <w:marBottom w:val="0"/>
      <w:divBdr>
        <w:top w:val="none" w:sz="0" w:space="0" w:color="auto"/>
        <w:left w:val="none" w:sz="0" w:space="0" w:color="auto"/>
        <w:bottom w:val="none" w:sz="0" w:space="0" w:color="auto"/>
        <w:right w:val="none" w:sz="0" w:space="0" w:color="auto"/>
      </w:divBdr>
    </w:div>
    <w:div w:id="325716360">
      <w:bodyDiv w:val="1"/>
      <w:marLeft w:val="0"/>
      <w:marRight w:val="0"/>
      <w:marTop w:val="0"/>
      <w:marBottom w:val="0"/>
      <w:divBdr>
        <w:top w:val="none" w:sz="0" w:space="0" w:color="auto"/>
        <w:left w:val="none" w:sz="0" w:space="0" w:color="auto"/>
        <w:bottom w:val="none" w:sz="0" w:space="0" w:color="auto"/>
        <w:right w:val="none" w:sz="0" w:space="0" w:color="auto"/>
      </w:divBdr>
      <w:divsChild>
        <w:div w:id="682820346">
          <w:blockQuote w:val="1"/>
          <w:marLeft w:val="600"/>
          <w:marRight w:val="0"/>
          <w:marTop w:val="120"/>
          <w:marBottom w:val="120"/>
          <w:divBdr>
            <w:top w:val="none" w:sz="0" w:space="0" w:color="auto"/>
            <w:left w:val="none" w:sz="0" w:space="0" w:color="auto"/>
            <w:bottom w:val="none" w:sz="0" w:space="0" w:color="auto"/>
            <w:right w:val="none" w:sz="0" w:space="0" w:color="auto"/>
          </w:divBdr>
        </w:div>
        <w:div w:id="997883161">
          <w:blockQuote w:val="1"/>
          <w:marLeft w:val="600"/>
          <w:marRight w:val="0"/>
          <w:marTop w:val="120"/>
          <w:marBottom w:val="120"/>
          <w:divBdr>
            <w:top w:val="none" w:sz="0" w:space="0" w:color="auto"/>
            <w:left w:val="none" w:sz="0" w:space="0" w:color="auto"/>
            <w:bottom w:val="none" w:sz="0" w:space="0" w:color="auto"/>
            <w:right w:val="none" w:sz="0" w:space="0" w:color="auto"/>
          </w:divBdr>
        </w:div>
        <w:div w:id="133086497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35951033">
      <w:bodyDiv w:val="1"/>
      <w:marLeft w:val="0"/>
      <w:marRight w:val="0"/>
      <w:marTop w:val="0"/>
      <w:marBottom w:val="0"/>
      <w:divBdr>
        <w:top w:val="none" w:sz="0" w:space="0" w:color="auto"/>
        <w:left w:val="none" w:sz="0" w:space="0" w:color="auto"/>
        <w:bottom w:val="none" w:sz="0" w:space="0" w:color="auto"/>
        <w:right w:val="none" w:sz="0" w:space="0" w:color="auto"/>
      </w:divBdr>
    </w:div>
    <w:div w:id="491070718">
      <w:bodyDiv w:val="1"/>
      <w:marLeft w:val="0"/>
      <w:marRight w:val="0"/>
      <w:marTop w:val="0"/>
      <w:marBottom w:val="0"/>
      <w:divBdr>
        <w:top w:val="none" w:sz="0" w:space="0" w:color="auto"/>
        <w:left w:val="none" w:sz="0" w:space="0" w:color="auto"/>
        <w:bottom w:val="none" w:sz="0" w:space="0" w:color="auto"/>
        <w:right w:val="none" w:sz="0" w:space="0" w:color="auto"/>
      </w:divBdr>
    </w:div>
    <w:div w:id="637340501">
      <w:bodyDiv w:val="1"/>
      <w:marLeft w:val="0"/>
      <w:marRight w:val="0"/>
      <w:marTop w:val="0"/>
      <w:marBottom w:val="0"/>
      <w:divBdr>
        <w:top w:val="none" w:sz="0" w:space="0" w:color="auto"/>
        <w:left w:val="none" w:sz="0" w:space="0" w:color="auto"/>
        <w:bottom w:val="none" w:sz="0" w:space="0" w:color="auto"/>
        <w:right w:val="none" w:sz="0" w:space="0" w:color="auto"/>
      </w:divBdr>
    </w:div>
    <w:div w:id="663122021">
      <w:bodyDiv w:val="1"/>
      <w:marLeft w:val="0"/>
      <w:marRight w:val="0"/>
      <w:marTop w:val="0"/>
      <w:marBottom w:val="0"/>
      <w:divBdr>
        <w:top w:val="none" w:sz="0" w:space="0" w:color="auto"/>
        <w:left w:val="none" w:sz="0" w:space="0" w:color="auto"/>
        <w:bottom w:val="none" w:sz="0" w:space="0" w:color="auto"/>
        <w:right w:val="none" w:sz="0" w:space="0" w:color="auto"/>
      </w:divBdr>
      <w:divsChild>
        <w:div w:id="42944482">
          <w:marLeft w:val="360"/>
          <w:marRight w:val="0"/>
          <w:marTop w:val="200"/>
          <w:marBottom w:val="0"/>
          <w:divBdr>
            <w:top w:val="none" w:sz="0" w:space="0" w:color="auto"/>
            <w:left w:val="none" w:sz="0" w:space="0" w:color="auto"/>
            <w:bottom w:val="none" w:sz="0" w:space="0" w:color="auto"/>
            <w:right w:val="none" w:sz="0" w:space="0" w:color="auto"/>
          </w:divBdr>
        </w:div>
        <w:div w:id="600450542">
          <w:marLeft w:val="1080"/>
          <w:marRight w:val="0"/>
          <w:marTop w:val="100"/>
          <w:marBottom w:val="0"/>
          <w:divBdr>
            <w:top w:val="none" w:sz="0" w:space="0" w:color="auto"/>
            <w:left w:val="none" w:sz="0" w:space="0" w:color="auto"/>
            <w:bottom w:val="none" w:sz="0" w:space="0" w:color="auto"/>
            <w:right w:val="none" w:sz="0" w:space="0" w:color="auto"/>
          </w:divBdr>
        </w:div>
        <w:div w:id="1629428953">
          <w:marLeft w:val="360"/>
          <w:marRight w:val="0"/>
          <w:marTop w:val="200"/>
          <w:marBottom w:val="0"/>
          <w:divBdr>
            <w:top w:val="none" w:sz="0" w:space="0" w:color="auto"/>
            <w:left w:val="none" w:sz="0" w:space="0" w:color="auto"/>
            <w:bottom w:val="none" w:sz="0" w:space="0" w:color="auto"/>
            <w:right w:val="none" w:sz="0" w:space="0" w:color="auto"/>
          </w:divBdr>
        </w:div>
        <w:div w:id="1646205528">
          <w:marLeft w:val="360"/>
          <w:marRight w:val="0"/>
          <w:marTop w:val="200"/>
          <w:marBottom w:val="0"/>
          <w:divBdr>
            <w:top w:val="none" w:sz="0" w:space="0" w:color="auto"/>
            <w:left w:val="none" w:sz="0" w:space="0" w:color="auto"/>
            <w:bottom w:val="none" w:sz="0" w:space="0" w:color="auto"/>
            <w:right w:val="none" w:sz="0" w:space="0" w:color="auto"/>
          </w:divBdr>
        </w:div>
      </w:divsChild>
    </w:div>
    <w:div w:id="675496515">
      <w:bodyDiv w:val="1"/>
      <w:marLeft w:val="0"/>
      <w:marRight w:val="0"/>
      <w:marTop w:val="0"/>
      <w:marBottom w:val="0"/>
      <w:divBdr>
        <w:top w:val="none" w:sz="0" w:space="0" w:color="auto"/>
        <w:left w:val="none" w:sz="0" w:space="0" w:color="auto"/>
        <w:bottom w:val="none" w:sz="0" w:space="0" w:color="auto"/>
        <w:right w:val="none" w:sz="0" w:space="0" w:color="auto"/>
      </w:divBdr>
    </w:div>
    <w:div w:id="697581780">
      <w:bodyDiv w:val="1"/>
      <w:marLeft w:val="0"/>
      <w:marRight w:val="0"/>
      <w:marTop w:val="0"/>
      <w:marBottom w:val="0"/>
      <w:divBdr>
        <w:top w:val="none" w:sz="0" w:space="0" w:color="auto"/>
        <w:left w:val="none" w:sz="0" w:space="0" w:color="auto"/>
        <w:bottom w:val="none" w:sz="0" w:space="0" w:color="auto"/>
        <w:right w:val="none" w:sz="0" w:space="0" w:color="auto"/>
      </w:divBdr>
    </w:div>
    <w:div w:id="914901181">
      <w:bodyDiv w:val="1"/>
      <w:marLeft w:val="0"/>
      <w:marRight w:val="0"/>
      <w:marTop w:val="0"/>
      <w:marBottom w:val="0"/>
      <w:divBdr>
        <w:top w:val="none" w:sz="0" w:space="0" w:color="auto"/>
        <w:left w:val="none" w:sz="0" w:space="0" w:color="auto"/>
        <w:bottom w:val="none" w:sz="0" w:space="0" w:color="auto"/>
        <w:right w:val="none" w:sz="0" w:space="0" w:color="auto"/>
      </w:divBdr>
    </w:div>
    <w:div w:id="925843066">
      <w:bodyDiv w:val="1"/>
      <w:marLeft w:val="0"/>
      <w:marRight w:val="0"/>
      <w:marTop w:val="0"/>
      <w:marBottom w:val="0"/>
      <w:divBdr>
        <w:top w:val="none" w:sz="0" w:space="0" w:color="auto"/>
        <w:left w:val="none" w:sz="0" w:space="0" w:color="auto"/>
        <w:bottom w:val="none" w:sz="0" w:space="0" w:color="auto"/>
        <w:right w:val="none" w:sz="0" w:space="0" w:color="auto"/>
      </w:divBdr>
    </w:div>
    <w:div w:id="984895283">
      <w:bodyDiv w:val="1"/>
      <w:marLeft w:val="0"/>
      <w:marRight w:val="0"/>
      <w:marTop w:val="0"/>
      <w:marBottom w:val="0"/>
      <w:divBdr>
        <w:top w:val="none" w:sz="0" w:space="0" w:color="auto"/>
        <w:left w:val="none" w:sz="0" w:space="0" w:color="auto"/>
        <w:bottom w:val="none" w:sz="0" w:space="0" w:color="auto"/>
        <w:right w:val="none" w:sz="0" w:space="0" w:color="auto"/>
      </w:divBdr>
    </w:div>
    <w:div w:id="1117604771">
      <w:bodyDiv w:val="1"/>
      <w:marLeft w:val="0"/>
      <w:marRight w:val="0"/>
      <w:marTop w:val="0"/>
      <w:marBottom w:val="0"/>
      <w:divBdr>
        <w:top w:val="none" w:sz="0" w:space="0" w:color="auto"/>
        <w:left w:val="none" w:sz="0" w:space="0" w:color="auto"/>
        <w:bottom w:val="none" w:sz="0" w:space="0" w:color="auto"/>
        <w:right w:val="none" w:sz="0" w:space="0" w:color="auto"/>
      </w:divBdr>
    </w:div>
    <w:div w:id="1325931775">
      <w:bodyDiv w:val="1"/>
      <w:marLeft w:val="0"/>
      <w:marRight w:val="0"/>
      <w:marTop w:val="0"/>
      <w:marBottom w:val="0"/>
      <w:divBdr>
        <w:top w:val="none" w:sz="0" w:space="0" w:color="auto"/>
        <w:left w:val="none" w:sz="0" w:space="0" w:color="auto"/>
        <w:bottom w:val="none" w:sz="0" w:space="0" w:color="auto"/>
        <w:right w:val="none" w:sz="0" w:space="0" w:color="auto"/>
      </w:divBdr>
    </w:div>
    <w:div w:id="1380126536">
      <w:bodyDiv w:val="1"/>
      <w:marLeft w:val="0"/>
      <w:marRight w:val="0"/>
      <w:marTop w:val="0"/>
      <w:marBottom w:val="0"/>
      <w:divBdr>
        <w:top w:val="none" w:sz="0" w:space="0" w:color="auto"/>
        <w:left w:val="none" w:sz="0" w:space="0" w:color="auto"/>
        <w:bottom w:val="none" w:sz="0" w:space="0" w:color="auto"/>
        <w:right w:val="none" w:sz="0" w:space="0" w:color="auto"/>
      </w:divBdr>
    </w:div>
    <w:div w:id="1580822882">
      <w:bodyDiv w:val="1"/>
      <w:marLeft w:val="0"/>
      <w:marRight w:val="0"/>
      <w:marTop w:val="0"/>
      <w:marBottom w:val="0"/>
      <w:divBdr>
        <w:top w:val="none" w:sz="0" w:space="0" w:color="auto"/>
        <w:left w:val="none" w:sz="0" w:space="0" w:color="auto"/>
        <w:bottom w:val="none" w:sz="0" w:space="0" w:color="auto"/>
        <w:right w:val="none" w:sz="0" w:space="0" w:color="auto"/>
      </w:divBdr>
    </w:div>
    <w:div w:id="1792238372">
      <w:bodyDiv w:val="1"/>
      <w:marLeft w:val="0"/>
      <w:marRight w:val="0"/>
      <w:marTop w:val="0"/>
      <w:marBottom w:val="0"/>
      <w:divBdr>
        <w:top w:val="none" w:sz="0" w:space="0" w:color="auto"/>
        <w:left w:val="none" w:sz="0" w:space="0" w:color="auto"/>
        <w:bottom w:val="none" w:sz="0" w:space="0" w:color="auto"/>
        <w:right w:val="none" w:sz="0" w:space="0" w:color="auto"/>
      </w:divBdr>
    </w:div>
    <w:div w:id="1807508746">
      <w:bodyDiv w:val="1"/>
      <w:marLeft w:val="0"/>
      <w:marRight w:val="0"/>
      <w:marTop w:val="0"/>
      <w:marBottom w:val="0"/>
      <w:divBdr>
        <w:top w:val="none" w:sz="0" w:space="0" w:color="auto"/>
        <w:left w:val="none" w:sz="0" w:space="0" w:color="auto"/>
        <w:bottom w:val="none" w:sz="0" w:space="0" w:color="auto"/>
        <w:right w:val="none" w:sz="0" w:space="0" w:color="auto"/>
      </w:divBdr>
    </w:div>
    <w:div w:id="1853374397">
      <w:bodyDiv w:val="1"/>
      <w:marLeft w:val="0"/>
      <w:marRight w:val="0"/>
      <w:marTop w:val="0"/>
      <w:marBottom w:val="0"/>
      <w:divBdr>
        <w:top w:val="none" w:sz="0" w:space="0" w:color="auto"/>
        <w:left w:val="none" w:sz="0" w:space="0" w:color="auto"/>
        <w:bottom w:val="none" w:sz="0" w:space="0" w:color="auto"/>
        <w:right w:val="none" w:sz="0" w:space="0" w:color="auto"/>
      </w:divBdr>
    </w:div>
    <w:div w:id="2031838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8318C-076C-4C44-A212-C6A4B7BE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895</TotalTime>
  <Pages>15</Pages>
  <Words>4402</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29442</CharactersWithSpaces>
  <SharedDoc>false</SharedDoc>
  <HLinks>
    <vt:vector size="138" baseType="variant">
      <vt:variant>
        <vt:i4>1179706</vt:i4>
      </vt:variant>
      <vt:variant>
        <vt:i4>110</vt:i4>
      </vt:variant>
      <vt:variant>
        <vt:i4>0</vt:i4>
      </vt:variant>
      <vt:variant>
        <vt:i4>5</vt:i4>
      </vt:variant>
      <vt:variant>
        <vt:lpwstr/>
      </vt:variant>
      <vt:variant>
        <vt:lpwstr>_Toc132187104</vt:lpwstr>
      </vt:variant>
      <vt:variant>
        <vt:i4>1179706</vt:i4>
      </vt:variant>
      <vt:variant>
        <vt:i4>104</vt:i4>
      </vt:variant>
      <vt:variant>
        <vt:i4>0</vt:i4>
      </vt:variant>
      <vt:variant>
        <vt:i4>5</vt:i4>
      </vt:variant>
      <vt:variant>
        <vt:lpwstr/>
      </vt:variant>
      <vt:variant>
        <vt:lpwstr>_Toc132187103</vt:lpwstr>
      </vt:variant>
      <vt:variant>
        <vt:i4>1179706</vt:i4>
      </vt:variant>
      <vt:variant>
        <vt:i4>98</vt:i4>
      </vt:variant>
      <vt:variant>
        <vt:i4>0</vt:i4>
      </vt:variant>
      <vt:variant>
        <vt:i4>5</vt:i4>
      </vt:variant>
      <vt:variant>
        <vt:lpwstr/>
      </vt:variant>
      <vt:variant>
        <vt:lpwstr>_Toc132187102</vt:lpwstr>
      </vt:variant>
      <vt:variant>
        <vt:i4>1179706</vt:i4>
      </vt:variant>
      <vt:variant>
        <vt:i4>92</vt:i4>
      </vt:variant>
      <vt:variant>
        <vt:i4>0</vt:i4>
      </vt:variant>
      <vt:variant>
        <vt:i4>5</vt:i4>
      </vt:variant>
      <vt:variant>
        <vt:lpwstr/>
      </vt:variant>
      <vt:variant>
        <vt:lpwstr>_Toc132187101</vt:lpwstr>
      </vt:variant>
      <vt:variant>
        <vt:i4>1179706</vt:i4>
      </vt:variant>
      <vt:variant>
        <vt:i4>86</vt:i4>
      </vt:variant>
      <vt:variant>
        <vt:i4>0</vt:i4>
      </vt:variant>
      <vt:variant>
        <vt:i4>5</vt:i4>
      </vt:variant>
      <vt:variant>
        <vt:lpwstr/>
      </vt:variant>
      <vt:variant>
        <vt:lpwstr>_Toc132187100</vt:lpwstr>
      </vt:variant>
      <vt:variant>
        <vt:i4>1769531</vt:i4>
      </vt:variant>
      <vt:variant>
        <vt:i4>80</vt:i4>
      </vt:variant>
      <vt:variant>
        <vt:i4>0</vt:i4>
      </vt:variant>
      <vt:variant>
        <vt:i4>5</vt:i4>
      </vt:variant>
      <vt:variant>
        <vt:lpwstr/>
      </vt:variant>
      <vt:variant>
        <vt:lpwstr>_Toc132187099</vt:lpwstr>
      </vt:variant>
      <vt:variant>
        <vt:i4>1769531</vt:i4>
      </vt:variant>
      <vt:variant>
        <vt:i4>74</vt:i4>
      </vt:variant>
      <vt:variant>
        <vt:i4>0</vt:i4>
      </vt:variant>
      <vt:variant>
        <vt:i4>5</vt:i4>
      </vt:variant>
      <vt:variant>
        <vt:lpwstr/>
      </vt:variant>
      <vt:variant>
        <vt:lpwstr>_Toc132187098</vt:lpwstr>
      </vt:variant>
      <vt:variant>
        <vt:i4>1769531</vt:i4>
      </vt:variant>
      <vt:variant>
        <vt:i4>68</vt:i4>
      </vt:variant>
      <vt:variant>
        <vt:i4>0</vt:i4>
      </vt:variant>
      <vt:variant>
        <vt:i4>5</vt:i4>
      </vt:variant>
      <vt:variant>
        <vt:lpwstr/>
      </vt:variant>
      <vt:variant>
        <vt:lpwstr>_Toc132187097</vt:lpwstr>
      </vt:variant>
      <vt:variant>
        <vt:i4>1769531</vt:i4>
      </vt:variant>
      <vt:variant>
        <vt:i4>62</vt:i4>
      </vt:variant>
      <vt:variant>
        <vt:i4>0</vt:i4>
      </vt:variant>
      <vt:variant>
        <vt:i4>5</vt:i4>
      </vt:variant>
      <vt:variant>
        <vt:lpwstr/>
      </vt:variant>
      <vt:variant>
        <vt:lpwstr>_Toc132187096</vt:lpwstr>
      </vt:variant>
      <vt:variant>
        <vt:i4>1769531</vt:i4>
      </vt:variant>
      <vt:variant>
        <vt:i4>56</vt:i4>
      </vt:variant>
      <vt:variant>
        <vt:i4>0</vt:i4>
      </vt:variant>
      <vt:variant>
        <vt:i4>5</vt:i4>
      </vt:variant>
      <vt:variant>
        <vt:lpwstr/>
      </vt:variant>
      <vt:variant>
        <vt:lpwstr>_Toc132187095</vt:lpwstr>
      </vt:variant>
      <vt:variant>
        <vt:i4>1769531</vt:i4>
      </vt:variant>
      <vt:variant>
        <vt:i4>50</vt:i4>
      </vt:variant>
      <vt:variant>
        <vt:i4>0</vt:i4>
      </vt:variant>
      <vt:variant>
        <vt:i4>5</vt:i4>
      </vt:variant>
      <vt:variant>
        <vt:lpwstr/>
      </vt:variant>
      <vt:variant>
        <vt:lpwstr>_Toc132187094</vt:lpwstr>
      </vt:variant>
      <vt:variant>
        <vt:i4>1769531</vt:i4>
      </vt:variant>
      <vt:variant>
        <vt:i4>44</vt:i4>
      </vt:variant>
      <vt:variant>
        <vt:i4>0</vt:i4>
      </vt:variant>
      <vt:variant>
        <vt:i4>5</vt:i4>
      </vt:variant>
      <vt:variant>
        <vt:lpwstr/>
      </vt:variant>
      <vt:variant>
        <vt:lpwstr>_Toc132187093</vt:lpwstr>
      </vt:variant>
      <vt:variant>
        <vt:i4>1769531</vt:i4>
      </vt:variant>
      <vt:variant>
        <vt:i4>38</vt:i4>
      </vt:variant>
      <vt:variant>
        <vt:i4>0</vt:i4>
      </vt:variant>
      <vt:variant>
        <vt:i4>5</vt:i4>
      </vt:variant>
      <vt:variant>
        <vt:lpwstr/>
      </vt:variant>
      <vt:variant>
        <vt:lpwstr>_Toc132187092</vt:lpwstr>
      </vt:variant>
      <vt:variant>
        <vt:i4>1769531</vt:i4>
      </vt:variant>
      <vt:variant>
        <vt:i4>32</vt:i4>
      </vt:variant>
      <vt:variant>
        <vt:i4>0</vt:i4>
      </vt:variant>
      <vt:variant>
        <vt:i4>5</vt:i4>
      </vt:variant>
      <vt:variant>
        <vt:lpwstr/>
      </vt:variant>
      <vt:variant>
        <vt:lpwstr>_Toc132187091</vt:lpwstr>
      </vt:variant>
      <vt:variant>
        <vt:i4>1769531</vt:i4>
      </vt:variant>
      <vt:variant>
        <vt:i4>26</vt:i4>
      </vt:variant>
      <vt:variant>
        <vt:i4>0</vt:i4>
      </vt:variant>
      <vt:variant>
        <vt:i4>5</vt:i4>
      </vt:variant>
      <vt:variant>
        <vt:lpwstr/>
      </vt:variant>
      <vt:variant>
        <vt:lpwstr>_Toc132187090</vt:lpwstr>
      </vt:variant>
      <vt:variant>
        <vt:i4>1703995</vt:i4>
      </vt:variant>
      <vt:variant>
        <vt:i4>20</vt:i4>
      </vt:variant>
      <vt:variant>
        <vt:i4>0</vt:i4>
      </vt:variant>
      <vt:variant>
        <vt:i4>5</vt:i4>
      </vt:variant>
      <vt:variant>
        <vt:lpwstr/>
      </vt:variant>
      <vt:variant>
        <vt:lpwstr>_Toc132187089</vt:lpwstr>
      </vt:variant>
      <vt:variant>
        <vt:i4>1703995</vt:i4>
      </vt:variant>
      <vt:variant>
        <vt:i4>14</vt:i4>
      </vt:variant>
      <vt:variant>
        <vt:i4>0</vt:i4>
      </vt:variant>
      <vt:variant>
        <vt:i4>5</vt:i4>
      </vt:variant>
      <vt:variant>
        <vt:lpwstr/>
      </vt:variant>
      <vt:variant>
        <vt:lpwstr>_Toc132187088</vt:lpwstr>
      </vt:variant>
      <vt:variant>
        <vt:i4>1703995</vt:i4>
      </vt:variant>
      <vt:variant>
        <vt:i4>8</vt:i4>
      </vt:variant>
      <vt:variant>
        <vt:i4>0</vt:i4>
      </vt:variant>
      <vt:variant>
        <vt:i4>5</vt:i4>
      </vt:variant>
      <vt:variant>
        <vt:lpwstr/>
      </vt:variant>
      <vt:variant>
        <vt:lpwstr>_Toc132187087</vt:lpwstr>
      </vt:variant>
      <vt:variant>
        <vt:i4>1703995</vt:i4>
      </vt:variant>
      <vt:variant>
        <vt:i4>2</vt:i4>
      </vt:variant>
      <vt:variant>
        <vt:i4>0</vt:i4>
      </vt:variant>
      <vt:variant>
        <vt:i4>5</vt:i4>
      </vt:variant>
      <vt:variant>
        <vt:lpwstr/>
      </vt:variant>
      <vt:variant>
        <vt:lpwstr>_Toc132187086</vt:lpwstr>
      </vt:variant>
      <vt:variant>
        <vt:i4>4587605</vt:i4>
      </vt:variant>
      <vt:variant>
        <vt:i4>3</vt:i4>
      </vt:variant>
      <vt:variant>
        <vt:i4>0</vt:i4>
      </vt:variant>
      <vt:variant>
        <vt:i4>5</vt:i4>
      </vt:variant>
      <vt:variant>
        <vt:lpwstr>https://hrc.act.gov.au/act-intermediary-program/</vt:lpwstr>
      </vt:variant>
      <vt:variant>
        <vt:lpwstr/>
      </vt:variant>
      <vt:variant>
        <vt:i4>7864371</vt:i4>
      </vt:variant>
      <vt:variant>
        <vt:i4>0</vt:i4>
      </vt:variant>
      <vt:variant>
        <vt:i4>0</vt:i4>
      </vt:variant>
      <vt:variant>
        <vt:i4>5</vt:i4>
      </vt:variant>
      <vt:variant>
        <vt:lpwstr>https://www.sclqld.org.au/caselaw/QCA/2017/100</vt:lpwstr>
      </vt:variant>
      <vt:variant>
        <vt:lpwstr/>
      </vt:variant>
      <vt:variant>
        <vt:i4>5308424</vt:i4>
      </vt:variant>
      <vt:variant>
        <vt:i4>3</vt:i4>
      </vt:variant>
      <vt:variant>
        <vt:i4>0</vt:i4>
      </vt:variant>
      <vt:variant>
        <vt:i4>5</vt:i4>
      </vt:variant>
      <vt:variant>
        <vt:lpwstr>https://www.lawreform.vic.gov.au/publication/the-role-of-victims-of-crime-in-the-criminal-trial-process-report-2/3-the-victim-as-a-participant-in-the-criminal-trial-process/</vt:lpwstr>
      </vt:variant>
      <vt:variant>
        <vt:lpwstr>:~:text=Family%20members%E2%80%94particularly%20the%20families%20of%20victims%20who%20have,receive%20information%20and%20assistance%20in%20the%20recovery%20process.</vt:lpwstr>
      </vt:variant>
      <vt:variant>
        <vt:i4>7143545</vt:i4>
      </vt:variant>
      <vt:variant>
        <vt:i4>0</vt:i4>
      </vt:variant>
      <vt:variant>
        <vt:i4>0</vt:i4>
      </vt:variant>
      <vt:variant>
        <vt:i4>5</vt:i4>
      </vt:variant>
      <vt:variant>
        <vt:lpwstr>https://www.lawreform.vic.gov.au/publication/the-role-of-victims-of-crime-in-the-criminal-trial-process-report-2/3-the-victim-as-a-participant-in-the-criminal-trial-process/</vt:lpwstr>
      </vt:variant>
      <vt:variant>
        <vt:lpwstr>footnote-79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Sean Costello</dc:creator>
  <cp:keywords/>
  <dc:description/>
  <cp:lastModifiedBy>Heather Corkhill</cp:lastModifiedBy>
  <cp:revision>32</cp:revision>
  <cp:lastPrinted>2023-04-12T05:45:00Z</cp:lastPrinted>
  <dcterms:created xsi:type="dcterms:W3CDTF">2023-05-15T04:39:00Z</dcterms:created>
  <dcterms:modified xsi:type="dcterms:W3CDTF">2023-05-21T22:57:00Z</dcterms:modified>
</cp:coreProperties>
</file>