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Cs/>
          <w:color w:val="000000" w:themeColor="text1"/>
          <w:sz w:val="28"/>
          <w:szCs w:val="24"/>
          <w:lang w:val="en-AU"/>
        </w:rPr>
        <w:id w:val="2067608509"/>
        <w:docPartObj>
          <w:docPartGallery w:val="Cover Pages"/>
          <w:docPartUnique/>
        </w:docPartObj>
      </w:sdtPr>
      <w:sdtEndPr>
        <w:rPr>
          <w:rFonts w:cstheme="minorBidi"/>
          <w:bCs w:val="0"/>
          <w:sz w:val="16"/>
          <w:szCs w:val="16"/>
        </w:rPr>
      </w:sdtEndPr>
      <w:sdtContent>
        <w:p w14:paraId="307DF7E2" w14:textId="77777777" w:rsidR="00C8623B" w:rsidRDefault="00C8623B" w:rsidP="00C8623B">
          <w:pPr>
            <w:pStyle w:val="NoSpacing"/>
            <w:spacing w:before="120" w:after="120" w:line="276" w:lineRule="auto"/>
            <w:rPr>
              <w:rFonts w:ascii="Arial" w:hAnsi="Arial" w:cs="Arial"/>
              <w:bCs/>
              <w:color w:val="000000" w:themeColor="text1"/>
              <w:sz w:val="28"/>
              <w:szCs w:val="24"/>
              <w:lang w:val="en-AU"/>
            </w:rPr>
          </w:pPr>
        </w:p>
        <w:p w14:paraId="24DEFF60" w14:textId="77777777" w:rsidR="00A6569F" w:rsidRDefault="00A6569F" w:rsidP="00C8623B">
          <w:pPr>
            <w:pStyle w:val="NoSpacing"/>
            <w:spacing w:before="120" w:after="120" w:line="276" w:lineRule="auto"/>
            <w:rPr>
              <w:rFonts w:ascii="Arial" w:hAnsi="Arial" w:cs="Arial"/>
              <w:bCs/>
              <w:color w:val="000000" w:themeColor="text1"/>
              <w:sz w:val="28"/>
              <w:szCs w:val="24"/>
              <w:lang w:val="en-AU"/>
            </w:rPr>
          </w:pPr>
        </w:p>
        <w:p w14:paraId="031D1210" w14:textId="77777777" w:rsidR="005239F0" w:rsidRDefault="005239F0" w:rsidP="00C8623B">
          <w:pPr>
            <w:pStyle w:val="NoSpacing"/>
            <w:spacing w:before="120" w:after="120" w:line="276" w:lineRule="auto"/>
            <w:rPr>
              <w:rFonts w:ascii="Arial" w:hAnsi="Arial" w:cs="Arial"/>
              <w:bCs/>
              <w:color w:val="000000" w:themeColor="text1"/>
              <w:sz w:val="28"/>
              <w:szCs w:val="24"/>
              <w:lang w:val="en-AU"/>
            </w:rPr>
          </w:pPr>
        </w:p>
        <w:p w14:paraId="009ED7CC" w14:textId="77777777" w:rsidR="00176FB6" w:rsidRDefault="00176FB6" w:rsidP="00C8623B">
          <w:pPr>
            <w:pStyle w:val="NoSpacing"/>
            <w:spacing w:before="120" w:after="120" w:line="276" w:lineRule="auto"/>
            <w:rPr>
              <w:rFonts w:ascii="Arial" w:hAnsi="Arial" w:cs="Arial"/>
              <w:bCs/>
              <w:color w:val="000000" w:themeColor="text1"/>
              <w:sz w:val="28"/>
              <w:szCs w:val="24"/>
              <w:lang w:val="en-AU"/>
            </w:rPr>
          </w:pPr>
        </w:p>
        <w:p w14:paraId="1741DB85" w14:textId="77777777" w:rsidR="00176FB6" w:rsidRDefault="00176FB6" w:rsidP="00C8623B">
          <w:pPr>
            <w:pStyle w:val="NoSpacing"/>
            <w:spacing w:before="120" w:after="120" w:line="276" w:lineRule="auto"/>
            <w:rPr>
              <w:rFonts w:ascii="Arial" w:hAnsi="Arial" w:cs="Arial"/>
              <w:bCs/>
              <w:sz w:val="28"/>
            </w:rPr>
          </w:pPr>
        </w:p>
        <w:p w14:paraId="6B9B65F0" w14:textId="77777777" w:rsidR="00C8623B" w:rsidRDefault="00C8623B" w:rsidP="00C8623B">
          <w:pPr>
            <w:pStyle w:val="NoSpacing"/>
            <w:spacing w:before="120" w:after="120" w:line="276" w:lineRule="auto"/>
            <w:rPr>
              <w:rFonts w:ascii="Arial" w:hAnsi="Arial" w:cs="Arial"/>
              <w:bCs/>
              <w:sz w:val="28"/>
            </w:rPr>
          </w:pPr>
        </w:p>
        <w:p w14:paraId="43A29FA9" w14:textId="77777777" w:rsidR="00C8623B" w:rsidRDefault="00C8623B" w:rsidP="00C8623B">
          <w:pPr>
            <w:pStyle w:val="NoSpacing"/>
            <w:spacing w:before="120" w:after="120" w:line="276" w:lineRule="auto"/>
            <w:rPr>
              <w:rFonts w:ascii="Arial" w:hAnsi="Arial" w:cs="Arial"/>
              <w:bCs/>
              <w:sz w:val="28"/>
            </w:rPr>
          </w:pPr>
          <w:r w:rsidRPr="00F63848">
            <w:rPr>
              <w:noProof/>
              <w:lang w:val="en-AU" w:eastAsia="en-AU"/>
            </w:rPr>
            <w:drawing>
              <wp:inline distT="0" distB="0" distL="0" distR="0" wp14:anchorId="34043FEA" wp14:editId="3B2332EF">
                <wp:extent cx="3259015" cy="1066800"/>
                <wp:effectExtent l="0" t="0" r="0" b="0"/>
                <wp:docPr id="3" name="Picture 3" descr="H:\QHRC-logo-rgb-for-digital-u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QHRC-logo-rgb-for-digital-use.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4903" t="13919" r="4207" b="11569"/>
                        <a:stretch/>
                      </pic:blipFill>
                      <pic:spPr bwMode="auto">
                        <a:xfrm>
                          <a:off x="0" y="0"/>
                          <a:ext cx="3303563" cy="1081382"/>
                        </a:xfrm>
                        <a:prstGeom prst="rect">
                          <a:avLst/>
                        </a:prstGeom>
                        <a:noFill/>
                        <a:ln>
                          <a:noFill/>
                        </a:ln>
                        <a:extLst>
                          <a:ext uri="{53640926-AAD7-44D8-BBD7-CCE9431645EC}">
                            <a14:shadowObscured xmlns:a14="http://schemas.microsoft.com/office/drawing/2010/main"/>
                          </a:ext>
                        </a:extLst>
                      </pic:spPr>
                    </pic:pic>
                  </a:graphicData>
                </a:graphic>
              </wp:inline>
            </w:drawing>
          </w:r>
        </w:p>
        <w:p w14:paraId="50D3F52E" w14:textId="77777777" w:rsidR="00C8623B" w:rsidRDefault="00C8623B" w:rsidP="00C8623B">
          <w:pPr>
            <w:pStyle w:val="NoSpacing"/>
            <w:spacing w:before="120" w:after="120" w:line="276" w:lineRule="auto"/>
            <w:rPr>
              <w:rFonts w:ascii="Arial" w:hAnsi="Arial" w:cs="Arial"/>
              <w:bCs/>
              <w:sz w:val="28"/>
            </w:rPr>
          </w:pPr>
        </w:p>
        <w:p w14:paraId="6E71B6EE" w14:textId="77777777" w:rsidR="00C8623B" w:rsidRDefault="00C8623B" w:rsidP="00C8623B">
          <w:pPr>
            <w:pStyle w:val="NoSpacing"/>
            <w:spacing w:before="120" w:after="120" w:line="276" w:lineRule="auto"/>
            <w:rPr>
              <w:rFonts w:ascii="Arial" w:hAnsi="Arial" w:cs="Arial"/>
              <w:bCs/>
              <w:sz w:val="28"/>
            </w:rPr>
          </w:pPr>
        </w:p>
        <w:p w14:paraId="1B83C4C5" w14:textId="77777777" w:rsidR="00C8623B" w:rsidRDefault="00C8623B" w:rsidP="00C8623B">
          <w:pPr>
            <w:pStyle w:val="NoSpacing"/>
            <w:spacing w:before="120" w:after="120" w:line="276" w:lineRule="auto"/>
            <w:rPr>
              <w:rFonts w:ascii="Arial" w:hAnsi="Arial" w:cs="Arial"/>
              <w:bCs/>
              <w:sz w:val="28"/>
            </w:rPr>
          </w:pPr>
        </w:p>
        <w:p w14:paraId="29207A3B" w14:textId="77777777" w:rsidR="00C8623B" w:rsidRDefault="00C8623B" w:rsidP="00C8623B">
          <w:pPr>
            <w:pStyle w:val="NoSpacing"/>
            <w:spacing w:before="120" w:after="120" w:line="276" w:lineRule="auto"/>
            <w:rPr>
              <w:rFonts w:ascii="Arial" w:hAnsi="Arial" w:cs="Arial"/>
              <w:bCs/>
              <w:sz w:val="28"/>
            </w:rPr>
          </w:pPr>
        </w:p>
        <w:p w14:paraId="5DFDF9E8" w14:textId="77777777" w:rsidR="00C8623B" w:rsidRDefault="00C8623B" w:rsidP="00C8623B">
          <w:pPr>
            <w:pStyle w:val="NoSpacing"/>
            <w:spacing w:before="120" w:after="120" w:line="276" w:lineRule="auto"/>
            <w:rPr>
              <w:rFonts w:ascii="Arial" w:hAnsi="Arial" w:cs="Arial"/>
              <w:bCs/>
              <w:sz w:val="28"/>
            </w:rPr>
          </w:pPr>
        </w:p>
        <w:p w14:paraId="73691644" w14:textId="77777777" w:rsidR="00C8623B" w:rsidRDefault="00C8623B" w:rsidP="00C8623B">
          <w:pPr>
            <w:pStyle w:val="NoSpacing"/>
            <w:spacing w:before="120" w:after="120" w:line="276" w:lineRule="auto"/>
            <w:rPr>
              <w:rFonts w:ascii="Arial" w:hAnsi="Arial" w:cs="Arial"/>
              <w:bCs/>
              <w:sz w:val="28"/>
            </w:rPr>
          </w:pPr>
        </w:p>
        <w:p w14:paraId="21881881" w14:textId="18620F6D" w:rsidR="00C8623B" w:rsidRPr="00C8623B" w:rsidRDefault="00C8623B" w:rsidP="00C8623B">
          <w:pPr>
            <w:pStyle w:val="Title"/>
            <w:spacing w:line="276" w:lineRule="auto"/>
            <w:rPr>
              <w:sz w:val="44"/>
              <w:szCs w:val="40"/>
            </w:rPr>
          </w:pPr>
          <w:r w:rsidRPr="00C8623B">
            <w:rPr>
              <w:sz w:val="44"/>
              <w:szCs w:val="40"/>
            </w:rPr>
            <w:t xml:space="preserve">Criminal </w:t>
          </w:r>
          <w:r w:rsidR="002E5457">
            <w:rPr>
              <w:sz w:val="44"/>
              <w:szCs w:val="40"/>
            </w:rPr>
            <w:t>Code</w:t>
          </w:r>
          <w:r w:rsidRPr="00C8623B">
            <w:rPr>
              <w:sz w:val="44"/>
              <w:szCs w:val="40"/>
            </w:rPr>
            <w:t xml:space="preserve"> (</w:t>
          </w:r>
          <w:r w:rsidR="002E5457">
            <w:rPr>
              <w:sz w:val="44"/>
              <w:szCs w:val="40"/>
            </w:rPr>
            <w:t>Decriminalising Sex Work</w:t>
          </w:r>
          <w:r w:rsidRPr="00C8623B">
            <w:rPr>
              <w:sz w:val="44"/>
              <w:szCs w:val="40"/>
            </w:rPr>
            <w:t xml:space="preserve">) and </w:t>
          </w:r>
          <w:r w:rsidR="00770CB1">
            <w:rPr>
              <w:sz w:val="44"/>
              <w:szCs w:val="40"/>
            </w:rPr>
            <w:t>O</w:t>
          </w:r>
          <w:r w:rsidRPr="00C8623B">
            <w:rPr>
              <w:sz w:val="44"/>
              <w:szCs w:val="40"/>
            </w:rPr>
            <w:t>ther Legislation Amendment Bill 202</w:t>
          </w:r>
          <w:r w:rsidR="002E5457">
            <w:rPr>
              <w:sz w:val="44"/>
              <w:szCs w:val="40"/>
            </w:rPr>
            <w:t>4</w:t>
          </w:r>
        </w:p>
        <w:p w14:paraId="4BAC08D1" w14:textId="2DC7F4B4" w:rsidR="00E92291" w:rsidRDefault="00334560" w:rsidP="00C8623B">
          <w:pPr>
            <w:pStyle w:val="Heading2"/>
            <w:spacing w:line="276" w:lineRule="auto"/>
          </w:pPr>
          <w:bookmarkStart w:id="0" w:name="_Toc148537188"/>
          <w:bookmarkStart w:id="1" w:name="_Toc149049555"/>
          <w:bookmarkStart w:id="2" w:name="_Toc149202266"/>
          <w:bookmarkStart w:id="3" w:name="_Toc160621242"/>
          <w:bookmarkStart w:id="4" w:name="_Toc160621306"/>
          <w:bookmarkStart w:id="5" w:name="_Toc125540735"/>
          <w:bookmarkStart w:id="6" w:name="_Toc141442159"/>
          <w:r>
            <w:t xml:space="preserve">Submission to </w:t>
          </w:r>
          <w:r w:rsidR="002E5457">
            <w:t>Housing, Big Build and Manufacturing</w:t>
          </w:r>
          <w:r>
            <w:t xml:space="preserve"> Committee</w:t>
          </w:r>
          <w:bookmarkEnd w:id="0"/>
          <w:bookmarkEnd w:id="1"/>
          <w:bookmarkEnd w:id="2"/>
          <w:bookmarkEnd w:id="3"/>
          <w:bookmarkEnd w:id="4"/>
        </w:p>
        <w:p w14:paraId="6F3CFBB8" w14:textId="28348A2D" w:rsidR="00C8623B" w:rsidRDefault="002E5457" w:rsidP="00C8623B">
          <w:pPr>
            <w:pStyle w:val="Heading2"/>
            <w:spacing w:line="276" w:lineRule="auto"/>
          </w:pPr>
          <w:bookmarkStart w:id="7" w:name="_Toc148537189"/>
          <w:bookmarkStart w:id="8" w:name="_Toc149049556"/>
          <w:bookmarkStart w:id="9" w:name="_Toc149202267"/>
          <w:bookmarkStart w:id="10" w:name="_Toc160621243"/>
          <w:bookmarkStart w:id="11" w:name="_Toc160621307"/>
          <w:r>
            <w:t>8 March</w:t>
          </w:r>
          <w:r w:rsidR="00C8623B" w:rsidRPr="00D824F8">
            <w:t xml:space="preserve"> 202</w:t>
          </w:r>
          <w:bookmarkEnd w:id="5"/>
          <w:bookmarkEnd w:id="6"/>
          <w:bookmarkEnd w:id="7"/>
          <w:bookmarkEnd w:id="8"/>
          <w:bookmarkEnd w:id="9"/>
          <w:r>
            <w:t>4</w:t>
          </w:r>
          <w:bookmarkEnd w:id="10"/>
          <w:bookmarkEnd w:id="11"/>
        </w:p>
        <w:p w14:paraId="1191B9A8" w14:textId="77777777" w:rsidR="00C8623B" w:rsidRDefault="00C8623B" w:rsidP="00C8623B">
          <w:pPr>
            <w:spacing w:line="276" w:lineRule="auto"/>
            <w:rPr>
              <w:rFonts w:cs="Arial"/>
              <w:bCs/>
              <w:sz w:val="28"/>
              <w:szCs w:val="22"/>
              <w:lang w:val="en-US"/>
            </w:rPr>
          </w:pPr>
          <w:r>
            <w:rPr>
              <w:rFonts w:cs="Arial"/>
              <w:bCs/>
              <w:sz w:val="28"/>
            </w:rPr>
            <w:br w:type="page"/>
          </w:r>
        </w:p>
        <w:p w14:paraId="1E8C2698" w14:textId="77777777" w:rsidR="00C8623B" w:rsidRDefault="00C8623B" w:rsidP="00C8623B">
          <w:pPr>
            <w:pStyle w:val="NoSpacing"/>
            <w:spacing w:before="120" w:after="120" w:line="276" w:lineRule="auto"/>
          </w:pPr>
        </w:p>
        <w:sdt>
          <w:sdtPr>
            <w:rPr>
              <w:rFonts w:eastAsiaTheme="minorEastAsia" w:cstheme="minorBidi"/>
              <w:color w:val="000000" w:themeColor="text1"/>
              <w:sz w:val="22"/>
              <w:szCs w:val="24"/>
              <w:lang w:val="en-GB"/>
            </w:rPr>
            <w:id w:val="-1191601576"/>
            <w:docPartObj>
              <w:docPartGallery w:val="Table of Contents"/>
              <w:docPartUnique/>
            </w:docPartObj>
          </w:sdtPr>
          <w:sdtEndPr>
            <w:rPr>
              <w:b/>
              <w:bCs/>
            </w:rPr>
          </w:sdtEndPr>
          <w:sdtContent>
            <w:p w14:paraId="2F571E33" w14:textId="77777777" w:rsidR="00A95F2E" w:rsidRDefault="00A95F2E" w:rsidP="00A95F2E">
              <w:pPr>
                <w:pStyle w:val="TOCHeading"/>
              </w:pPr>
              <w:r>
                <w:rPr>
                  <w:lang w:val="en-GB"/>
                </w:rPr>
                <w:t>Contents</w:t>
              </w:r>
            </w:p>
            <w:p w14:paraId="2AABB768" w14:textId="119E814D" w:rsidR="00155CBD" w:rsidRDefault="00155CBD" w:rsidP="00864187">
              <w:pPr>
                <w:pStyle w:val="TOC2"/>
                <w:rPr>
                  <w:rFonts w:asciiTheme="minorHAnsi" w:hAnsiTheme="minorHAnsi"/>
                  <w:noProof/>
                  <w:color w:val="auto"/>
                  <w:szCs w:val="28"/>
                  <w:lang w:eastAsia="zh-CN" w:bidi="th-TH"/>
                </w:rPr>
              </w:pPr>
              <w:r>
                <w:fldChar w:fldCharType="begin"/>
              </w:r>
              <w:r>
                <w:instrText xml:space="preserve"> TOC \o "1-2" \h \z \u </w:instrText>
              </w:r>
              <w:r>
                <w:fldChar w:fldCharType="separate"/>
              </w:r>
            </w:p>
            <w:p w14:paraId="18A7DBA3" w14:textId="5FD68C82" w:rsidR="00155CBD" w:rsidRDefault="009B6F5B">
              <w:pPr>
                <w:pStyle w:val="TOC1"/>
                <w:tabs>
                  <w:tab w:val="right" w:leader="dot" w:pos="8296"/>
                </w:tabs>
                <w:rPr>
                  <w:rFonts w:asciiTheme="minorHAnsi" w:hAnsiTheme="minorHAnsi"/>
                  <w:noProof/>
                  <w:color w:val="auto"/>
                  <w:szCs w:val="28"/>
                  <w:lang w:eastAsia="zh-CN" w:bidi="th-TH"/>
                </w:rPr>
              </w:pPr>
              <w:hyperlink w:anchor="_Toc160621308" w:history="1">
                <w:r w:rsidR="00155CBD" w:rsidRPr="008369F6">
                  <w:rPr>
                    <w:rStyle w:val="Hyperlink"/>
                    <w:noProof/>
                  </w:rPr>
                  <w:t>Introduction</w:t>
                </w:r>
                <w:r w:rsidR="00155CBD">
                  <w:rPr>
                    <w:noProof/>
                    <w:webHidden/>
                  </w:rPr>
                  <w:tab/>
                </w:r>
                <w:r w:rsidR="00155CBD">
                  <w:rPr>
                    <w:noProof/>
                    <w:webHidden/>
                  </w:rPr>
                  <w:fldChar w:fldCharType="begin"/>
                </w:r>
                <w:r w:rsidR="00155CBD">
                  <w:rPr>
                    <w:noProof/>
                    <w:webHidden/>
                  </w:rPr>
                  <w:instrText xml:space="preserve"> PAGEREF _Toc160621308 \h </w:instrText>
                </w:r>
                <w:r w:rsidR="00155CBD">
                  <w:rPr>
                    <w:noProof/>
                    <w:webHidden/>
                  </w:rPr>
                </w:r>
                <w:r w:rsidR="00155CBD">
                  <w:rPr>
                    <w:noProof/>
                    <w:webHidden/>
                  </w:rPr>
                  <w:fldChar w:fldCharType="separate"/>
                </w:r>
                <w:r w:rsidR="00155CBD">
                  <w:rPr>
                    <w:noProof/>
                    <w:webHidden/>
                  </w:rPr>
                  <w:t>2</w:t>
                </w:r>
                <w:r w:rsidR="00155CBD">
                  <w:rPr>
                    <w:noProof/>
                    <w:webHidden/>
                  </w:rPr>
                  <w:fldChar w:fldCharType="end"/>
                </w:r>
              </w:hyperlink>
            </w:p>
            <w:p w14:paraId="7AA1C14C" w14:textId="1C4B5E98" w:rsidR="00155CBD" w:rsidRDefault="009B6F5B">
              <w:pPr>
                <w:pStyle w:val="TOC2"/>
                <w:rPr>
                  <w:rFonts w:asciiTheme="minorHAnsi" w:hAnsiTheme="minorHAnsi"/>
                  <w:noProof/>
                  <w:color w:val="auto"/>
                  <w:szCs w:val="28"/>
                  <w:lang w:eastAsia="zh-CN" w:bidi="th-TH"/>
                </w:rPr>
              </w:pPr>
              <w:hyperlink w:anchor="_Toc160621309" w:history="1">
                <w:r w:rsidR="00155CBD" w:rsidRPr="008369F6">
                  <w:rPr>
                    <w:rStyle w:val="Hyperlink"/>
                    <w:noProof/>
                  </w:rPr>
                  <w:t>About the QHRC</w:t>
                </w:r>
                <w:r w:rsidR="00155CBD">
                  <w:rPr>
                    <w:noProof/>
                    <w:webHidden/>
                  </w:rPr>
                  <w:tab/>
                </w:r>
                <w:r w:rsidR="00155CBD">
                  <w:rPr>
                    <w:noProof/>
                    <w:webHidden/>
                  </w:rPr>
                  <w:fldChar w:fldCharType="begin"/>
                </w:r>
                <w:r w:rsidR="00155CBD">
                  <w:rPr>
                    <w:noProof/>
                    <w:webHidden/>
                  </w:rPr>
                  <w:instrText xml:space="preserve"> PAGEREF _Toc160621309 \h </w:instrText>
                </w:r>
                <w:r w:rsidR="00155CBD">
                  <w:rPr>
                    <w:noProof/>
                    <w:webHidden/>
                  </w:rPr>
                </w:r>
                <w:r w:rsidR="00155CBD">
                  <w:rPr>
                    <w:noProof/>
                    <w:webHidden/>
                  </w:rPr>
                  <w:fldChar w:fldCharType="separate"/>
                </w:r>
                <w:r w:rsidR="00155CBD">
                  <w:rPr>
                    <w:noProof/>
                    <w:webHidden/>
                  </w:rPr>
                  <w:t>2</w:t>
                </w:r>
                <w:r w:rsidR="00155CBD">
                  <w:rPr>
                    <w:noProof/>
                    <w:webHidden/>
                  </w:rPr>
                  <w:fldChar w:fldCharType="end"/>
                </w:r>
              </w:hyperlink>
            </w:p>
            <w:p w14:paraId="2A816C95" w14:textId="7F2DB511" w:rsidR="00155CBD" w:rsidRDefault="009B6F5B">
              <w:pPr>
                <w:pStyle w:val="TOC2"/>
                <w:rPr>
                  <w:rFonts w:asciiTheme="minorHAnsi" w:hAnsiTheme="minorHAnsi"/>
                  <w:noProof/>
                  <w:color w:val="auto"/>
                  <w:szCs w:val="28"/>
                  <w:lang w:eastAsia="zh-CN" w:bidi="th-TH"/>
                </w:rPr>
              </w:pPr>
              <w:hyperlink w:anchor="_Toc160621310" w:history="1">
                <w:r w:rsidR="00155CBD" w:rsidRPr="008369F6">
                  <w:rPr>
                    <w:rStyle w:val="Hyperlink"/>
                    <w:noProof/>
                  </w:rPr>
                  <w:t>Summary of submission</w:t>
                </w:r>
                <w:r w:rsidR="00155CBD">
                  <w:rPr>
                    <w:noProof/>
                    <w:webHidden/>
                  </w:rPr>
                  <w:tab/>
                </w:r>
                <w:r w:rsidR="00155CBD">
                  <w:rPr>
                    <w:noProof/>
                    <w:webHidden/>
                  </w:rPr>
                  <w:fldChar w:fldCharType="begin"/>
                </w:r>
                <w:r w:rsidR="00155CBD">
                  <w:rPr>
                    <w:noProof/>
                    <w:webHidden/>
                  </w:rPr>
                  <w:instrText xml:space="preserve"> PAGEREF _Toc160621310 \h </w:instrText>
                </w:r>
                <w:r w:rsidR="00155CBD">
                  <w:rPr>
                    <w:noProof/>
                    <w:webHidden/>
                  </w:rPr>
                </w:r>
                <w:r w:rsidR="00155CBD">
                  <w:rPr>
                    <w:noProof/>
                    <w:webHidden/>
                  </w:rPr>
                  <w:fldChar w:fldCharType="separate"/>
                </w:r>
                <w:r w:rsidR="00155CBD">
                  <w:rPr>
                    <w:noProof/>
                    <w:webHidden/>
                  </w:rPr>
                  <w:t>2</w:t>
                </w:r>
                <w:r w:rsidR="00155CBD">
                  <w:rPr>
                    <w:noProof/>
                    <w:webHidden/>
                  </w:rPr>
                  <w:fldChar w:fldCharType="end"/>
                </w:r>
              </w:hyperlink>
            </w:p>
            <w:p w14:paraId="422F603A" w14:textId="7790C4F7" w:rsidR="00155CBD" w:rsidRDefault="009B6F5B">
              <w:pPr>
                <w:pStyle w:val="TOC1"/>
                <w:tabs>
                  <w:tab w:val="right" w:leader="dot" w:pos="8296"/>
                </w:tabs>
                <w:rPr>
                  <w:rFonts w:asciiTheme="minorHAnsi" w:hAnsiTheme="minorHAnsi"/>
                  <w:noProof/>
                  <w:color w:val="auto"/>
                  <w:szCs w:val="28"/>
                  <w:lang w:eastAsia="zh-CN" w:bidi="th-TH"/>
                </w:rPr>
              </w:pPr>
              <w:hyperlink w:anchor="_Toc160621311" w:history="1">
                <w:r w:rsidR="00155CBD" w:rsidRPr="008369F6">
                  <w:rPr>
                    <w:rStyle w:val="Hyperlink"/>
                    <w:noProof/>
                  </w:rPr>
                  <w:t>Amendments to the AD Act</w:t>
                </w:r>
                <w:r w:rsidR="00155CBD">
                  <w:rPr>
                    <w:noProof/>
                    <w:webHidden/>
                  </w:rPr>
                  <w:tab/>
                </w:r>
                <w:r w:rsidR="00155CBD">
                  <w:rPr>
                    <w:noProof/>
                    <w:webHidden/>
                  </w:rPr>
                  <w:fldChar w:fldCharType="begin"/>
                </w:r>
                <w:r w:rsidR="00155CBD">
                  <w:rPr>
                    <w:noProof/>
                    <w:webHidden/>
                  </w:rPr>
                  <w:instrText xml:space="preserve"> PAGEREF _Toc160621311 \h </w:instrText>
                </w:r>
                <w:r w:rsidR="00155CBD">
                  <w:rPr>
                    <w:noProof/>
                    <w:webHidden/>
                  </w:rPr>
                </w:r>
                <w:r w:rsidR="00155CBD">
                  <w:rPr>
                    <w:noProof/>
                    <w:webHidden/>
                  </w:rPr>
                  <w:fldChar w:fldCharType="separate"/>
                </w:r>
                <w:r w:rsidR="00155CBD">
                  <w:rPr>
                    <w:noProof/>
                    <w:webHidden/>
                  </w:rPr>
                  <w:t>3</w:t>
                </w:r>
                <w:r w:rsidR="00155CBD">
                  <w:rPr>
                    <w:noProof/>
                    <w:webHidden/>
                  </w:rPr>
                  <w:fldChar w:fldCharType="end"/>
                </w:r>
              </w:hyperlink>
            </w:p>
            <w:p w14:paraId="2E8B7194" w14:textId="52606B7E" w:rsidR="00155CBD" w:rsidRDefault="009B6F5B">
              <w:pPr>
                <w:pStyle w:val="TOC2"/>
                <w:rPr>
                  <w:rFonts w:asciiTheme="minorHAnsi" w:hAnsiTheme="minorHAnsi"/>
                  <w:noProof/>
                  <w:color w:val="auto"/>
                  <w:szCs w:val="28"/>
                  <w:lang w:eastAsia="zh-CN" w:bidi="th-TH"/>
                </w:rPr>
              </w:pPr>
              <w:hyperlink w:anchor="_Toc160621312" w:history="1">
                <w:r w:rsidR="00155CBD" w:rsidRPr="008369F6">
                  <w:rPr>
                    <w:rStyle w:val="Hyperlink"/>
                    <w:noProof/>
                  </w:rPr>
                  <w:t>Omission of section 106C</w:t>
                </w:r>
                <w:r w:rsidR="00155CBD">
                  <w:rPr>
                    <w:noProof/>
                    <w:webHidden/>
                  </w:rPr>
                  <w:tab/>
                </w:r>
                <w:r w:rsidR="00155CBD">
                  <w:rPr>
                    <w:noProof/>
                    <w:webHidden/>
                  </w:rPr>
                  <w:fldChar w:fldCharType="begin"/>
                </w:r>
                <w:r w:rsidR="00155CBD">
                  <w:rPr>
                    <w:noProof/>
                    <w:webHidden/>
                  </w:rPr>
                  <w:instrText xml:space="preserve"> PAGEREF _Toc160621312 \h </w:instrText>
                </w:r>
                <w:r w:rsidR="00155CBD">
                  <w:rPr>
                    <w:noProof/>
                    <w:webHidden/>
                  </w:rPr>
                </w:r>
                <w:r w:rsidR="00155CBD">
                  <w:rPr>
                    <w:noProof/>
                    <w:webHidden/>
                  </w:rPr>
                  <w:fldChar w:fldCharType="separate"/>
                </w:r>
                <w:r w:rsidR="00155CBD">
                  <w:rPr>
                    <w:noProof/>
                    <w:webHidden/>
                  </w:rPr>
                  <w:t>3</w:t>
                </w:r>
                <w:r w:rsidR="00155CBD">
                  <w:rPr>
                    <w:noProof/>
                    <w:webHidden/>
                  </w:rPr>
                  <w:fldChar w:fldCharType="end"/>
                </w:r>
              </w:hyperlink>
            </w:p>
            <w:p w14:paraId="369112CF" w14:textId="758B607F" w:rsidR="00155CBD" w:rsidRDefault="009B6F5B">
              <w:pPr>
                <w:pStyle w:val="TOC2"/>
                <w:rPr>
                  <w:rFonts w:asciiTheme="minorHAnsi" w:hAnsiTheme="minorHAnsi"/>
                  <w:noProof/>
                  <w:color w:val="auto"/>
                  <w:szCs w:val="28"/>
                  <w:lang w:eastAsia="zh-CN" w:bidi="th-TH"/>
                </w:rPr>
              </w:pPr>
              <w:hyperlink w:anchor="_Toc160621313" w:history="1">
                <w:r w:rsidR="00155CBD" w:rsidRPr="008369F6">
                  <w:rPr>
                    <w:rStyle w:val="Hyperlink"/>
                    <w:noProof/>
                  </w:rPr>
                  <w:t>Definition of sex work activity</w:t>
                </w:r>
                <w:r w:rsidR="00155CBD">
                  <w:rPr>
                    <w:noProof/>
                    <w:webHidden/>
                  </w:rPr>
                  <w:tab/>
                </w:r>
                <w:r w:rsidR="00155CBD">
                  <w:rPr>
                    <w:noProof/>
                    <w:webHidden/>
                  </w:rPr>
                  <w:fldChar w:fldCharType="begin"/>
                </w:r>
                <w:r w:rsidR="00155CBD">
                  <w:rPr>
                    <w:noProof/>
                    <w:webHidden/>
                  </w:rPr>
                  <w:instrText xml:space="preserve"> PAGEREF _Toc160621313 \h </w:instrText>
                </w:r>
                <w:r w:rsidR="00155CBD">
                  <w:rPr>
                    <w:noProof/>
                    <w:webHidden/>
                  </w:rPr>
                </w:r>
                <w:r w:rsidR="00155CBD">
                  <w:rPr>
                    <w:noProof/>
                    <w:webHidden/>
                  </w:rPr>
                  <w:fldChar w:fldCharType="separate"/>
                </w:r>
                <w:r w:rsidR="00155CBD">
                  <w:rPr>
                    <w:noProof/>
                    <w:webHidden/>
                  </w:rPr>
                  <w:t>5</w:t>
                </w:r>
                <w:r w:rsidR="00155CBD">
                  <w:rPr>
                    <w:noProof/>
                    <w:webHidden/>
                  </w:rPr>
                  <w:fldChar w:fldCharType="end"/>
                </w:r>
              </w:hyperlink>
            </w:p>
            <w:p w14:paraId="768B5315" w14:textId="0FE36ACF" w:rsidR="00155CBD" w:rsidRDefault="009B6F5B">
              <w:pPr>
                <w:pStyle w:val="TOC1"/>
                <w:tabs>
                  <w:tab w:val="right" w:leader="dot" w:pos="8296"/>
                </w:tabs>
                <w:rPr>
                  <w:rFonts w:asciiTheme="minorHAnsi" w:hAnsiTheme="minorHAnsi"/>
                  <w:noProof/>
                  <w:color w:val="auto"/>
                  <w:szCs w:val="28"/>
                  <w:lang w:eastAsia="zh-CN" w:bidi="th-TH"/>
                </w:rPr>
              </w:pPr>
              <w:hyperlink w:anchor="_Toc160621314" w:history="1">
                <w:r w:rsidR="00155CBD" w:rsidRPr="008369F6">
                  <w:rPr>
                    <w:rStyle w:val="Hyperlink"/>
                    <w:noProof/>
                  </w:rPr>
                  <w:t>Other review processes recommended</w:t>
                </w:r>
                <w:r w:rsidR="00155CBD">
                  <w:rPr>
                    <w:noProof/>
                    <w:webHidden/>
                  </w:rPr>
                  <w:tab/>
                </w:r>
                <w:r w:rsidR="00155CBD">
                  <w:rPr>
                    <w:noProof/>
                    <w:webHidden/>
                  </w:rPr>
                  <w:fldChar w:fldCharType="begin"/>
                </w:r>
                <w:r w:rsidR="00155CBD">
                  <w:rPr>
                    <w:noProof/>
                    <w:webHidden/>
                  </w:rPr>
                  <w:instrText xml:space="preserve"> PAGEREF _Toc160621314 \h </w:instrText>
                </w:r>
                <w:r w:rsidR="00155CBD">
                  <w:rPr>
                    <w:noProof/>
                    <w:webHidden/>
                  </w:rPr>
                </w:r>
                <w:r w:rsidR="00155CBD">
                  <w:rPr>
                    <w:noProof/>
                    <w:webHidden/>
                  </w:rPr>
                  <w:fldChar w:fldCharType="separate"/>
                </w:r>
                <w:r w:rsidR="00155CBD">
                  <w:rPr>
                    <w:noProof/>
                    <w:webHidden/>
                  </w:rPr>
                  <w:t>7</w:t>
                </w:r>
                <w:r w:rsidR="00155CBD">
                  <w:rPr>
                    <w:noProof/>
                    <w:webHidden/>
                  </w:rPr>
                  <w:fldChar w:fldCharType="end"/>
                </w:r>
              </w:hyperlink>
            </w:p>
            <w:p w14:paraId="59FF3C32" w14:textId="788B77F1" w:rsidR="00155CBD" w:rsidRDefault="009B6F5B">
              <w:pPr>
                <w:pStyle w:val="TOC2"/>
                <w:rPr>
                  <w:rFonts w:asciiTheme="minorHAnsi" w:hAnsiTheme="minorHAnsi"/>
                  <w:noProof/>
                  <w:color w:val="auto"/>
                  <w:szCs w:val="28"/>
                  <w:lang w:eastAsia="zh-CN" w:bidi="th-TH"/>
                </w:rPr>
              </w:pPr>
              <w:hyperlink w:anchor="_Toc160621315" w:history="1">
                <w:r w:rsidR="00155CBD" w:rsidRPr="008369F6">
                  <w:rPr>
                    <w:rStyle w:val="Hyperlink"/>
                    <w:noProof/>
                  </w:rPr>
                  <w:t>Adult entertainment</w:t>
                </w:r>
                <w:r w:rsidR="00155CBD">
                  <w:rPr>
                    <w:noProof/>
                    <w:webHidden/>
                  </w:rPr>
                  <w:tab/>
                </w:r>
                <w:r w:rsidR="00155CBD">
                  <w:rPr>
                    <w:noProof/>
                    <w:webHidden/>
                  </w:rPr>
                  <w:fldChar w:fldCharType="begin"/>
                </w:r>
                <w:r w:rsidR="00155CBD">
                  <w:rPr>
                    <w:noProof/>
                    <w:webHidden/>
                  </w:rPr>
                  <w:instrText xml:space="preserve"> PAGEREF _Toc160621315 \h </w:instrText>
                </w:r>
                <w:r w:rsidR="00155CBD">
                  <w:rPr>
                    <w:noProof/>
                    <w:webHidden/>
                  </w:rPr>
                </w:r>
                <w:r w:rsidR="00155CBD">
                  <w:rPr>
                    <w:noProof/>
                    <w:webHidden/>
                  </w:rPr>
                  <w:fldChar w:fldCharType="separate"/>
                </w:r>
                <w:r w:rsidR="00155CBD">
                  <w:rPr>
                    <w:noProof/>
                    <w:webHidden/>
                  </w:rPr>
                  <w:t>7</w:t>
                </w:r>
                <w:r w:rsidR="00155CBD">
                  <w:rPr>
                    <w:noProof/>
                    <w:webHidden/>
                  </w:rPr>
                  <w:fldChar w:fldCharType="end"/>
                </w:r>
              </w:hyperlink>
            </w:p>
            <w:p w14:paraId="2FB535D6" w14:textId="20ED4852" w:rsidR="00155CBD" w:rsidRDefault="009B6F5B">
              <w:pPr>
                <w:pStyle w:val="TOC2"/>
                <w:rPr>
                  <w:rFonts w:asciiTheme="minorHAnsi" w:hAnsiTheme="minorHAnsi"/>
                  <w:noProof/>
                  <w:color w:val="auto"/>
                  <w:szCs w:val="28"/>
                  <w:lang w:eastAsia="zh-CN" w:bidi="th-TH"/>
                </w:rPr>
              </w:pPr>
              <w:hyperlink w:anchor="_Toc160621316" w:history="1">
                <w:r w:rsidR="00155CBD" w:rsidRPr="008369F6">
                  <w:rPr>
                    <w:rStyle w:val="Hyperlink"/>
                    <w:noProof/>
                  </w:rPr>
                  <w:t>Expungement scheme</w:t>
                </w:r>
                <w:r w:rsidR="00155CBD">
                  <w:rPr>
                    <w:noProof/>
                    <w:webHidden/>
                  </w:rPr>
                  <w:tab/>
                </w:r>
                <w:r w:rsidR="00155CBD">
                  <w:rPr>
                    <w:noProof/>
                    <w:webHidden/>
                  </w:rPr>
                  <w:fldChar w:fldCharType="begin"/>
                </w:r>
                <w:r w:rsidR="00155CBD">
                  <w:rPr>
                    <w:noProof/>
                    <w:webHidden/>
                  </w:rPr>
                  <w:instrText xml:space="preserve"> PAGEREF _Toc160621316 \h </w:instrText>
                </w:r>
                <w:r w:rsidR="00155CBD">
                  <w:rPr>
                    <w:noProof/>
                    <w:webHidden/>
                  </w:rPr>
                </w:r>
                <w:r w:rsidR="00155CBD">
                  <w:rPr>
                    <w:noProof/>
                    <w:webHidden/>
                  </w:rPr>
                  <w:fldChar w:fldCharType="separate"/>
                </w:r>
                <w:r w:rsidR="00155CBD">
                  <w:rPr>
                    <w:noProof/>
                    <w:webHidden/>
                  </w:rPr>
                  <w:t>7</w:t>
                </w:r>
                <w:r w:rsidR="00155CBD">
                  <w:rPr>
                    <w:noProof/>
                    <w:webHidden/>
                  </w:rPr>
                  <w:fldChar w:fldCharType="end"/>
                </w:r>
              </w:hyperlink>
            </w:p>
            <w:p w14:paraId="55DF2D41" w14:textId="3CD67A30" w:rsidR="00155CBD" w:rsidRDefault="009B6F5B">
              <w:pPr>
                <w:pStyle w:val="TOC1"/>
                <w:tabs>
                  <w:tab w:val="right" w:leader="dot" w:pos="8296"/>
                </w:tabs>
                <w:rPr>
                  <w:rFonts w:asciiTheme="minorHAnsi" w:hAnsiTheme="minorHAnsi"/>
                  <w:noProof/>
                  <w:color w:val="auto"/>
                  <w:szCs w:val="28"/>
                  <w:lang w:eastAsia="zh-CN" w:bidi="th-TH"/>
                </w:rPr>
              </w:pPr>
              <w:hyperlink w:anchor="_Toc160621317" w:history="1">
                <w:r w:rsidR="00155CBD" w:rsidRPr="008369F6">
                  <w:rPr>
                    <w:rStyle w:val="Hyperlink"/>
                    <w:noProof/>
                  </w:rPr>
                  <w:t>Conclusion</w:t>
                </w:r>
                <w:r w:rsidR="00155CBD">
                  <w:rPr>
                    <w:noProof/>
                    <w:webHidden/>
                  </w:rPr>
                  <w:tab/>
                </w:r>
                <w:r w:rsidR="00155CBD">
                  <w:rPr>
                    <w:noProof/>
                    <w:webHidden/>
                  </w:rPr>
                  <w:fldChar w:fldCharType="begin"/>
                </w:r>
                <w:r w:rsidR="00155CBD">
                  <w:rPr>
                    <w:noProof/>
                    <w:webHidden/>
                  </w:rPr>
                  <w:instrText xml:space="preserve"> PAGEREF _Toc160621317 \h </w:instrText>
                </w:r>
                <w:r w:rsidR="00155CBD">
                  <w:rPr>
                    <w:noProof/>
                    <w:webHidden/>
                  </w:rPr>
                </w:r>
                <w:r w:rsidR="00155CBD">
                  <w:rPr>
                    <w:noProof/>
                    <w:webHidden/>
                  </w:rPr>
                  <w:fldChar w:fldCharType="separate"/>
                </w:r>
                <w:r w:rsidR="00155CBD">
                  <w:rPr>
                    <w:noProof/>
                    <w:webHidden/>
                  </w:rPr>
                  <w:t>8</w:t>
                </w:r>
                <w:r w:rsidR="00155CBD">
                  <w:rPr>
                    <w:noProof/>
                    <w:webHidden/>
                  </w:rPr>
                  <w:fldChar w:fldCharType="end"/>
                </w:r>
              </w:hyperlink>
            </w:p>
            <w:p w14:paraId="16D56812" w14:textId="6DD800A2" w:rsidR="00A95F2E" w:rsidRDefault="00155CBD" w:rsidP="00A95F2E">
              <w:r>
                <w:fldChar w:fldCharType="end"/>
              </w:r>
            </w:p>
          </w:sdtContent>
        </w:sdt>
        <w:p w14:paraId="01B1506B" w14:textId="77777777" w:rsidR="00C8623B" w:rsidRPr="004A2375" w:rsidRDefault="009B6F5B" w:rsidP="00C8623B">
          <w:pPr>
            <w:spacing w:line="276" w:lineRule="auto"/>
            <w:rPr>
              <w:rFonts w:eastAsiaTheme="majorEastAsia" w:cstheme="majorBidi"/>
              <w:b/>
              <w:color w:val="2F5496" w:themeColor="accent1" w:themeShade="BF"/>
              <w:sz w:val="16"/>
              <w:szCs w:val="16"/>
            </w:rPr>
          </w:pPr>
        </w:p>
      </w:sdtContent>
    </w:sdt>
    <w:p w14:paraId="0DD2DCBD" w14:textId="77777777" w:rsidR="00C8623B" w:rsidRDefault="00C8623B" w:rsidP="00C8623B">
      <w:pPr>
        <w:spacing w:line="276" w:lineRule="auto"/>
        <w:rPr>
          <w:rFonts w:eastAsiaTheme="majorEastAsia" w:cstheme="majorBidi"/>
          <w:b/>
          <w:color w:val="2F5496" w:themeColor="accent1" w:themeShade="BF"/>
          <w:sz w:val="28"/>
          <w:szCs w:val="32"/>
        </w:rPr>
        <w:sectPr w:rsidR="00C8623B" w:rsidSect="00E53D1A">
          <w:footerReference w:type="default" r:id="rId12"/>
          <w:headerReference w:type="first" r:id="rId13"/>
          <w:pgSz w:w="11900" w:h="16840" w:code="9"/>
          <w:pgMar w:top="1440" w:right="1797" w:bottom="1440" w:left="1797" w:header="709" w:footer="709" w:gutter="0"/>
          <w:pgNumType w:start="0"/>
          <w:cols w:space="708"/>
          <w:titlePg/>
          <w:docGrid w:linePitch="360"/>
        </w:sectPr>
      </w:pPr>
    </w:p>
    <w:p w14:paraId="6D6B08C3" w14:textId="6B8CE146" w:rsidR="00C8623B" w:rsidRDefault="00C8623B" w:rsidP="00C8623B">
      <w:pPr>
        <w:pStyle w:val="Heading1"/>
        <w:spacing w:line="276" w:lineRule="auto"/>
      </w:pPr>
      <w:bookmarkStart w:id="12" w:name="_Toc160621308"/>
      <w:r>
        <w:lastRenderedPageBreak/>
        <w:t>Introduction</w:t>
      </w:r>
      <w:bookmarkEnd w:id="12"/>
      <w:r>
        <w:t xml:space="preserve"> </w:t>
      </w:r>
    </w:p>
    <w:p w14:paraId="3E3C1355" w14:textId="03B4E1B9" w:rsidR="00C8623B" w:rsidRDefault="00C8623B" w:rsidP="00B10F66">
      <w:pPr>
        <w:pStyle w:val="Numberedparagraph"/>
      </w:pPr>
      <w:r>
        <w:t xml:space="preserve">Thank you for the opportunity to make </w:t>
      </w:r>
      <w:r w:rsidR="00E46AA7">
        <w:t xml:space="preserve">a </w:t>
      </w:r>
      <w:r>
        <w:t>submission on the</w:t>
      </w:r>
      <w:r w:rsidR="0005465D">
        <w:t xml:space="preserve"> Criminal </w:t>
      </w:r>
      <w:r w:rsidR="002E5457">
        <w:t>Code (Decriminalising Sex Work</w:t>
      </w:r>
      <w:r w:rsidR="0005465D">
        <w:t xml:space="preserve">) and Other Legislation </w:t>
      </w:r>
      <w:r w:rsidR="001A6018">
        <w:t xml:space="preserve">Amendment </w:t>
      </w:r>
      <w:r w:rsidR="0005465D">
        <w:t>Bill 202</w:t>
      </w:r>
      <w:r w:rsidR="002E5457">
        <w:t>4</w:t>
      </w:r>
      <w:r w:rsidR="007D67EE">
        <w:t xml:space="preserve"> (the Bill)</w:t>
      </w:r>
      <w:r w:rsidR="0005465D">
        <w:t xml:space="preserve">. </w:t>
      </w:r>
    </w:p>
    <w:p w14:paraId="5D80230C" w14:textId="51F37DAD" w:rsidR="0010724F" w:rsidRDefault="0010724F" w:rsidP="0010724F">
      <w:pPr>
        <w:pStyle w:val="Heading2"/>
      </w:pPr>
      <w:bookmarkStart w:id="13" w:name="_Toc160621309"/>
      <w:r>
        <w:t xml:space="preserve">About the </w:t>
      </w:r>
      <w:r w:rsidR="00F60CD3">
        <w:t>QHRC</w:t>
      </w:r>
      <w:bookmarkEnd w:id="13"/>
    </w:p>
    <w:p w14:paraId="7EC81951" w14:textId="5B0CF41F" w:rsidR="0010724F" w:rsidRDefault="0010724F" w:rsidP="00B10F66">
      <w:pPr>
        <w:pStyle w:val="Numberedparagraph"/>
      </w:pPr>
      <w:r w:rsidRPr="0010724F">
        <w:t>The Queensland Human Rights Commission (</w:t>
      </w:r>
      <w:r w:rsidR="0085446F" w:rsidRPr="002E5457">
        <w:rPr>
          <w:b/>
          <w:bCs/>
        </w:rPr>
        <w:t>QHRC</w:t>
      </w:r>
      <w:r w:rsidRPr="0010724F">
        <w:t xml:space="preserve">) is a statutory body established under the </w:t>
      </w:r>
      <w:r w:rsidRPr="00075EAB">
        <w:rPr>
          <w:i/>
          <w:iCs/>
        </w:rPr>
        <w:t>Anti-Discrimination Act 1991</w:t>
      </w:r>
      <w:r w:rsidRPr="0010724F">
        <w:t xml:space="preserve"> (Qld) </w:t>
      </w:r>
      <w:r w:rsidR="0018585D">
        <w:t>(</w:t>
      </w:r>
      <w:r w:rsidR="0018585D">
        <w:rPr>
          <w:b/>
          <w:bCs/>
        </w:rPr>
        <w:t xml:space="preserve">the AD </w:t>
      </w:r>
      <w:r w:rsidR="0018585D" w:rsidRPr="0018585D">
        <w:rPr>
          <w:b/>
          <w:bCs/>
        </w:rPr>
        <w:t>Act</w:t>
      </w:r>
      <w:r w:rsidR="0018585D">
        <w:t xml:space="preserve">) </w:t>
      </w:r>
      <w:r w:rsidRPr="0018585D">
        <w:t>and</w:t>
      </w:r>
      <w:r w:rsidRPr="0010724F">
        <w:t xml:space="preserve"> deals with complaints made under that Act and the </w:t>
      </w:r>
      <w:r w:rsidRPr="00075EAB">
        <w:rPr>
          <w:i/>
          <w:iCs/>
        </w:rPr>
        <w:t>Human Rights Act 2019</w:t>
      </w:r>
      <w:r w:rsidRPr="0010724F">
        <w:t xml:space="preserve"> (Qld). The </w:t>
      </w:r>
      <w:r w:rsidR="00326DEE">
        <w:t>QHRC</w:t>
      </w:r>
      <w:r w:rsidRPr="0010724F">
        <w:t xml:space="preserve"> also has functions to promote an understanding and public discussion of human rights in Queensland, and to provide information and education about human rights.</w:t>
      </w:r>
    </w:p>
    <w:p w14:paraId="7E5D2146" w14:textId="1926B4B2" w:rsidR="00DD080D" w:rsidRDefault="00DD080D" w:rsidP="00DD080D">
      <w:pPr>
        <w:pStyle w:val="Numberedparagraph"/>
        <w:rPr>
          <w:color w:val="auto"/>
          <w:lang w:eastAsia="en-AU"/>
        </w:rPr>
      </w:pPr>
      <w:r>
        <w:t xml:space="preserve">The </w:t>
      </w:r>
      <w:r w:rsidR="00326DEE">
        <w:t>QHRC</w:t>
      </w:r>
      <w:r>
        <w:t xml:space="preserve"> deals with complaints of discrimination, sexual harassment, vilification, and other objectionable conduct under the AD Act</w:t>
      </w:r>
      <w:r>
        <w:rPr>
          <w:i/>
        </w:rPr>
        <w:t xml:space="preserve">, </w:t>
      </w:r>
      <w:r>
        <w:rPr>
          <w:iCs/>
        </w:rPr>
        <w:t>including</w:t>
      </w:r>
      <w:r w:rsidR="00FC621C">
        <w:rPr>
          <w:iCs/>
        </w:rPr>
        <w:t xml:space="preserve"> discrimination</w:t>
      </w:r>
      <w:r>
        <w:rPr>
          <w:iCs/>
        </w:rPr>
        <w:t xml:space="preserve"> </w:t>
      </w:r>
      <w:proofErr w:type="gramStart"/>
      <w:r>
        <w:rPr>
          <w:iCs/>
        </w:rPr>
        <w:t>on the basis of</w:t>
      </w:r>
      <w:proofErr w:type="gramEnd"/>
      <w:r>
        <w:rPr>
          <w:iCs/>
        </w:rPr>
        <w:t xml:space="preserve"> lawful sexual activity.</w:t>
      </w:r>
    </w:p>
    <w:p w14:paraId="5C82325A" w14:textId="2B79259C" w:rsidR="0085446F" w:rsidRDefault="0085446F" w:rsidP="0085446F">
      <w:pPr>
        <w:pStyle w:val="Heading2"/>
      </w:pPr>
      <w:bookmarkStart w:id="14" w:name="_Toc160621310"/>
      <w:r>
        <w:t>Summary of submission</w:t>
      </w:r>
      <w:bookmarkEnd w:id="14"/>
    </w:p>
    <w:p w14:paraId="07F6C6E2" w14:textId="536013A8" w:rsidR="00AC0B5A" w:rsidRDefault="00C85BC7" w:rsidP="00B10F66">
      <w:pPr>
        <w:pStyle w:val="Numberedparagraph"/>
      </w:pPr>
      <w:r>
        <w:t xml:space="preserve">The </w:t>
      </w:r>
      <w:r w:rsidR="002E5457">
        <w:t xml:space="preserve">QHRC </w:t>
      </w:r>
      <w:r w:rsidR="0018585D">
        <w:t xml:space="preserve">generally </w:t>
      </w:r>
      <w:r w:rsidR="002E5457">
        <w:t>supports the passage of the Bill</w:t>
      </w:r>
      <w:r w:rsidR="0018585D">
        <w:t xml:space="preserve"> with recommended amendments, as outlined </w:t>
      </w:r>
      <w:r w:rsidR="00AB7EF0">
        <w:t>below</w:t>
      </w:r>
      <w:r w:rsidR="002E5457">
        <w:t>.</w:t>
      </w:r>
      <w:r w:rsidR="0099032A">
        <w:t xml:space="preserve"> The Bill establishes a decriminalised framework for the sex work industry based on the recommendations of the Queensland Law Reform Commission.</w:t>
      </w:r>
      <w:r w:rsidR="0013637E">
        <w:rPr>
          <w:rStyle w:val="FootnoteReference"/>
        </w:rPr>
        <w:footnoteReference w:id="2"/>
      </w:r>
    </w:p>
    <w:p w14:paraId="61ABF634" w14:textId="27DEF1C5" w:rsidR="0013637E" w:rsidRDefault="0013637E" w:rsidP="0013637E">
      <w:pPr>
        <w:pStyle w:val="Numberedparagraph"/>
        <w:rPr>
          <w:color w:val="auto"/>
        </w:rPr>
      </w:pPr>
      <w:r>
        <w:t xml:space="preserve">The Bill implements aspects of the QHRC’s recent </w:t>
      </w:r>
      <w:r>
        <w:rPr>
          <w:i/>
          <w:iCs/>
        </w:rPr>
        <w:t>Building Belonging</w:t>
      </w:r>
      <w:r>
        <w:t xml:space="preserve"> </w:t>
      </w:r>
      <w:r>
        <w:rPr>
          <w:i/>
          <w:iCs/>
        </w:rPr>
        <w:t>Report – Review of Queensland’s Anti-Discrimination Act 1991</w:t>
      </w:r>
      <w:r>
        <w:t xml:space="preserve"> (</w:t>
      </w:r>
      <w:r>
        <w:rPr>
          <w:i/>
          <w:iCs/>
        </w:rPr>
        <w:t xml:space="preserve">Building Belonging) </w:t>
      </w:r>
      <w:r>
        <w:t xml:space="preserve">by updating an attribute intended to protect sex workers and by removing an exemption that permitted discrimination against sex workers </w:t>
      </w:r>
      <w:proofErr w:type="gramStart"/>
      <w:r>
        <w:t>in the area of</w:t>
      </w:r>
      <w:proofErr w:type="gramEnd"/>
      <w:r>
        <w:t xml:space="preserve"> accommodation.</w:t>
      </w:r>
      <w:r>
        <w:rPr>
          <w:rStyle w:val="FootnoteReference"/>
        </w:rPr>
        <w:footnoteReference w:id="3"/>
      </w:r>
    </w:p>
    <w:p w14:paraId="2CC35CB4" w14:textId="75B3138A" w:rsidR="00FE7A17" w:rsidRPr="00B721C4" w:rsidRDefault="00AB7EF0" w:rsidP="00AB7EF0">
      <w:pPr>
        <w:pStyle w:val="Numberedparagraph"/>
        <w:rPr>
          <w:color w:val="auto"/>
        </w:rPr>
      </w:pPr>
      <w:r>
        <w:t xml:space="preserve">Through decriminalising sex work, and enhancing protections against discrimination, the Bill delivers reforms which are necessary to ensure the </w:t>
      </w:r>
      <w:r w:rsidR="007F68AA">
        <w:t xml:space="preserve">right to </w:t>
      </w:r>
      <w:r>
        <w:t>privacy, freedom of expression, freedom of movement, and equality before the law of sex workers in Queensland.</w:t>
      </w:r>
    </w:p>
    <w:p w14:paraId="1AFD5273" w14:textId="42C64C92" w:rsidR="00911924" w:rsidRDefault="00AB7EF0" w:rsidP="00911924">
      <w:pPr>
        <w:pStyle w:val="Heading3"/>
      </w:pPr>
      <w:r>
        <w:t>Recommendations</w:t>
      </w:r>
    </w:p>
    <w:p w14:paraId="0379480B" w14:textId="2667C56F" w:rsidR="00AB7EF0" w:rsidRPr="00B721C4" w:rsidRDefault="00AB7EF0" w:rsidP="00B10F66">
      <w:pPr>
        <w:pStyle w:val="Numberedparagraph"/>
        <w:rPr>
          <w:szCs w:val="22"/>
        </w:rPr>
      </w:pPr>
      <w:r w:rsidRPr="00B721C4">
        <w:rPr>
          <w:szCs w:val="22"/>
        </w:rPr>
        <w:t>The Committee should recommend the following changes to the Bill:</w:t>
      </w:r>
    </w:p>
    <w:p w14:paraId="0BFE1F71" w14:textId="795CC3BD" w:rsidR="00B721C4" w:rsidRDefault="00B721C4" w:rsidP="00B721C4">
      <w:pPr>
        <w:pStyle w:val="Numberedparagraph"/>
        <w:numPr>
          <w:ilvl w:val="0"/>
          <w:numId w:val="0"/>
        </w:numPr>
        <w:ind w:left="567"/>
      </w:pPr>
      <w:r>
        <w:t>Amend the definition of ‘sex work activity’ in Clause 6 by:</w:t>
      </w:r>
    </w:p>
    <w:p w14:paraId="2F08F377" w14:textId="77777777" w:rsidR="00B721C4" w:rsidRDefault="00B721C4" w:rsidP="00B721C4">
      <w:pPr>
        <w:pStyle w:val="NumberedPara"/>
        <w:numPr>
          <w:ilvl w:val="1"/>
          <w:numId w:val="30"/>
        </w:numPr>
      </w:pPr>
      <w:r>
        <w:lastRenderedPageBreak/>
        <w:t xml:space="preserve">removing the word ‘adult’ in paragraph (a) to make it consistent with the definitions contained in Clauses 8 and 28 and Schedule 1 Other </w:t>
      </w:r>
      <w:proofErr w:type="gramStart"/>
      <w:r>
        <w:t>Amendments;</w:t>
      </w:r>
      <w:proofErr w:type="gramEnd"/>
      <w:r>
        <w:t xml:space="preserve"> and</w:t>
      </w:r>
    </w:p>
    <w:p w14:paraId="0570E5AA" w14:textId="77777777" w:rsidR="00B721C4" w:rsidRDefault="00B721C4" w:rsidP="00B721C4">
      <w:pPr>
        <w:pStyle w:val="NumberedPara"/>
        <w:numPr>
          <w:ilvl w:val="1"/>
          <w:numId w:val="30"/>
        </w:numPr>
      </w:pPr>
      <w:r>
        <w:t>inserting the word ‘or’ at the end of paragraph (a)(</w:t>
      </w:r>
      <w:proofErr w:type="spellStart"/>
      <w:r>
        <w:t>i</w:t>
      </w:r>
      <w:proofErr w:type="spellEnd"/>
      <w:r>
        <w:t>) for the sake of clarity.</w:t>
      </w:r>
    </w:p>
    <w:p w14:paraId="71A7CA26" w14:textId="4561FB7A" w:rsidR="00772FD3" w:rsidRPr="00B721C4" w:rsidRDefault="00AB7EF0" w:rsidP="00B721C4">
      <w:pPr>
        <w:pStyle w:val="Numberedparagraph"/>
      </w:pPr>
      <w:r w:rsidRPr="00B721C4">
        <w:t>The Committee should also recommend that the Government undertake further reviews in relation to:</w:t>
      </w:r>
    </w:p>
    <w:p w14:paraId="3E4CBAB6" w14:textId="39B5785D" w:rsidR="008D6B6B" w:rsidRPr="00B721C4" w:rsidRDefault="00B43E1B" w:rsidP="008D6B6B">
      <w:pPr>
        <w:pStyle w:val="Numberedparagraph"/>
        <w:numPr>
          <w:ilvl w:val="1"/>
          <w:numId w:val="30"/>
        </w:numPr>
        <w:rPr>
          <w:szCs w:val="22"/>
        </w:rPr>
      </w:pPr>
      <w:r w:rsidRPr="00B721C4">
        <w:rPr>
          <w:szCs w:val="22"/>
        </w:rPr>
        <w:t xml:space="preserve">Adult entertainment licences under Division 6 of the </w:t>
      </w:r>
      <w:r w:rsidRPr="00B721C4">
        <w:rPr>
          <w:i/>
          <w:iCs/>
          <w:szCs w:val="22"/>
        </w:rPr>
        <w:t xml:space="preserve">Liquor Act 1992 </w:t>
      </w:r>
      <w:r w:rsidRPr="00B721C4">
        <w:rPr>
          <w:szCs w:val="22"/>
        </w:rPr>
        <w:t>(Qld).</w:t>
      </w:r>
    </w:p>
    <w:p w14:paraId="66E1B3A7" w14:textId="4201BEA4" w:rsidR="00C30F18" w:rsidRPr="00B721C4" w:rsidRDefault="00B43E1B" w:rsidP="00AB7EF0">
      <w:pPr>
        <w:pStyle w:val="Numberedparagraph"/>
        <w:numPr>
          <w:ilvl w:val="1"/>
          <w:numId w:val="30"/>
        </w:numPr>
        <w:rPr>
          <w:szCs w:val="22"/>
        </w:rPr>
      </w:pPr>
      <w:r w:rsidRPr="00B721C4">
        <w:rPr>
          <w:szCs w:val="22"/>
        </w:rPr>
        <w:t xml:space="preserve">Potential expungement of criminal records for prior convictions under the relevant provisions of the </w:t>
      </w:r>
      <w:r w:rsidRPr="00B721C4">
        <w:rPr>
          <w:i/>
          <w:iCs/>
          <w:szCs w:val="22"/>
        </w:rPr>
        <w:t>Criminal Code</w:t>
      </w:r>
      <w:r w:rsidRPr="00B721C4">
        <w:rPr>
          <w:szCs w:val="22"/>
        </w:rPr>
        <w:t>.</w:t>
      </w:r>
    </w:p>
    <w:p w14:paraId="3CEB5311" w14:textId="188B9C33" w:rsidR="00B35A43" w:rsidRDefault="00B35A43" w:rsidP="00B35A43">
      <w:pPr>
        <w:pStyle w:val="Heading1"/>
      </w:pPr>
      <w:bookmarkStart w:id="15" w:name="_Toc141442162"/>
      <w:bookmarkStart w:id="16" w:name="_Toc160621311"/>
      <w:r>
        <w:t>A</w:t>
      </w:r>
      <w:bookmarkEnd w:id="15"/>
      <w:r w:rsidR="005F7844">
        <w:t>mendments to the AD Act</w:t>
      </w:r>
      <w:bookmarkEnd w:id="16"/>
    </w:p>
    <w:p w14:paraId="21763482" w14:textId="41454D1D" w:rsidR="00A95F2E" w:rsidRDefault="005F7844" w:rsidP="00A95F2E">
      <w:pPr>
        <w:pStyle w:val="Heading2"/>
      </w:pPr>
      <w:bookmarkStart w:id="17" w:name="_Toc160621312"/>
      <w:r>
        <w:t>Omission of section 106C</w:t>
      </w:r>
      <w:bookmarkEnd w:id="17"/>
    </w:p>
    <w:p w14:paraId="55B08B41" w14:textId="3C680FEE" w:rsidR="00326DEE" w:rsidRDefault="00326DEE" w:rsidP="005F7844">
      <w:pPr>
        <w:pStyle w:val="Numberedparagraph"/>
      </w:pPr>
      <w:r>
        <w:t xml:space="preserve">The Commission supports the omission of section 106C of the AD Act, consistent with recommendation 24.3 of </w:t>
      </w:r>
      <w:r>
        <w:rPr>
          <w:i/>
          <w:iCs/>
        </w:rPr>
        <w:t>Building Belonging.</w:t>
      </w:r>
    </w:p>
    <w:p w14:paraId="329EF173" w14:textId="04052D89" w:rsidR="005F7844" w:rsidRDefault="005F7844" w:rsidP="005F7844">
      <w:pPr>
        <w:pStyle w:val="Numberedparagraph"/>
      </w:pPr>
      <w:r>
        <w:t xml:space="preserve">The </w:t>
      </w:r>
      <w:r w:rsidR="00464C25">
        <w:t xml:space="preserve">AD </w:t>
      </w:r>
      <w:r>
        <w:t>Act currently</w:t>
      </w:r>
      <w:r w:rsidRPr="000276C6" w:rsidDel="00FA7141">
        <w:t xml:space="preserve"> </w:t>
      </w:r>
      <w:r w:rsidRPr="000276C6">
        <w:t>provides that it is not unlawful for an accommodation provider to discriminate against another person by refusing to supply accommodation, evicting them</w:t>
      </w:r>
      <w:r>
        <w:t>,</w:t>
      </w:r>
      <w:r w:rsidRPr="000276C6">
        <w:t xml:space="preserve"> or treating them unfavourably in any way in connection with accommodation</w:t>
      </w:r>
      <w:r>
        <w:t>,</w:t>
      </w:r>
      <w:r w:rsidRPr="000276C6">
        <w:t xml:space="preserve"> if the accommodation provider reasonably believes the other person is using, or intends to use, the accommodation in connection with that person’s, or another person’s, work as a sex worker.</w:t>
      </w:r>
      <w:r>
        <w:rPr>
          <w:rStyle w:val="FootnoteReference"/>
        </w:rPr>
        <w:footnoteReference w:id="4"/>
      </w:r>
    </w:p>
    <w:p w14:paraId="7C209E19" w14:textId="77777777" w:rsidR="00231771" w:rsidRDefault="005F7844" w:rsidP="00231771">
      <w:pPr>
        <w:pStyle w:val="Numberedparagraph"/>
      </w:pPr>
      <w:r>
        <w:t xml:space="preserve">Accommodation is defined broadly to include </w:t>
      </w:r>
      <w:r w:rsidRPr="000276C6">
        <w:t>business premises, houses, flats, hotels, motels, boarding houses and hostels, caravans, manufactured homes, camping sites</w:t>
      </w:r>
      <w:r>
        <w:t>,</w:t>
      </w:r>
      <w:r w:rsidRPr="000276C6">
        <w:t xml:space="preserve"> and building or construction sites.</w:t>
      </w:r>
      <w:r>
        <w:rPr>
          <w:rStyle w:val="FootnoteReference"/>
        </w:rPr>
        <w:footnoteReference w:id="5"/>
      </w:r>
    </w:p>
    <w:p w14:paraId="17D7D296" w14:textId="035D5C0C" w:rsidR="00231771" w:rsidRDefault="00231771" w:rsidP="00231771">
      <w:pPr>
        <w:pStyle w:val="Numberedparagraph"/>
      </w:pPr>
      <w:r>
        <w:t>Queensland is the only jurisdiction in Australia to have this exception in its discrimination law. The most recent repeal of a similar provision occurred in February 2022 in Victoria.</w:t>
      </w:r>
      <w:r>
        <w:rPr>
          <w:rStyle w:val="FootnoteReference"/>
        </w:rPr>
        <w:footnoteReference w:id="6"/>
      </w:r>
    </w:p>
    <w:p w14:paraId="7C8C4BEB" w14:textId="3E83FD06" w:rsidR="00707577" w:rsidRDefault="00707577" w:rsidP="00707577">
      <w:pPr>
        <w:pStyle w:val="Heading3"/>
      </w:pPr>
      <w:r>
        <w:t>Purpose of the exception</w:t>
      </w:r>
    </w:p>
    <w:p w14:paraId="75E20A65" w14:textId="77777777" w:rsidR="000A02A4" w:rsidRDefault="00707577" w:rsidP="00707577">
      <w:pPr>
        <w:pStyle w:val="Numberedparagraph"/>
      </w:pPr>
      <w:r w:rsidRPr="000276C6">
        <w:t xml:space="preserve">The provision was introduced in 2012 in response to a finding of the Appeal Tribunal of QCAT that a motel operator had contravened the Act by refusing accommodation to a sex worker. </w:t>
      </w:r>
      <w:r>
        <w:t>That</w:t>
      </w:r>
      <w:r w:rsidRPr="000276C6">
        <w:t xml:space="preserve"> decision was </w:t>
      </w:r>
      <w:r>
        <w:t xml:space="preserve">subsequently </w:t>
      </w:r>
      <w:r w:rsidRPr="000276C6">
        <w:t>overturned by the Court of Appeal.</w:t>
      </w:r>
      <w:r>
        <w:rPr>
          <w:rStyle w:val="FootnoteReference"/>
        </w:rPr>
        <w:footnoteReference w:id="7"/>
      </w:r>
      <w:r w:rsidRPr="000276C6">
        <w:t xml:space="preserve"> </w:t>
      </w:r>
    </w:p>
    <w:p w14:paraId="407AE224" w14:textId="57E13604" w:rsidR="00707577" w:rsidRDefault="00707577" w:rsidP="00707577">
      <w:pPr>
        <w:pStyle w:val="Numberedparagraph"/>
      </w:pPr>
      <w:r>
        <w:lastRenderedPageBreak/>
        <w:t>Records of parliamentary debate</w:t>
      </w:r>
      <w:r w:rsidRPr="000276C6">
        <w:t xml:space="preserve"> </w:t>
      </w:r>
      <w:r>
        <w:t>provide an insight into the policy intention at the time</w:t>
      </w:r>
      <w:r w:rsidRPr="000276C6">
        <w:t xml:space="preserve"> to</w:t>
      </w:r>
      <w:r>
        <w:t>:</w:t>
      </w:r>
      <w:r w:rsidRPr="000276C6">
        <w:t xml:space="preserve"> ‘protect businesses from this sort of complaint and give them control over the use that is made of their premises</w:t>
      </w:r>
      <w:r>
        <w:t>…it will not allow a person to refuse to provide accommodation to someone merely because the other person is a sex worker.’</w:t>
      </w:r>
      <w:r>
        <w:rPr>
          <w:rStyle w:val="FootnoteReference"/>
        </w:rPr>
        <w:footnoteReference w:id="8"/>
      </w:r>
    </w:p>
    <w:p w14:paraId="247BE7A2" w14:textId="28A92BA0" w:rsidR="000A02A4" w:rsidRDefault="000A02A4" w:rsidP="000A02A4">
      <w:pPr>
        <w:pStyle w:val="Heading3"/>
      </w:pPr>
      <w:r>
        <w:t>Scope and how the exception is being applied</w:t>
      </w:r>
      <w:r w:rsidR="00326DEE">
        <w:t xml:space="preserve"> currently</w:t>
      </w:r>
    </w:p>
    <w:p w14:paraId="083D0908" w14:textId="16864AAD" w:rsidR="00707577" w:rsidRDefault="000A02A4" w:rsidP="00231771">
      <w:pPr>
        <w:pStyle w:val="Numberedparagraph"/>
      </w:pPr>
      <w:r>
        <w:t xml:space="preserve">The sex worker accommodation exception may apply if </w:t>
      </w:r>
      <w:r w:rsidRPr="00DD23DD">
        <w:t>‘</w:t>
      </w:r>
      <w:r>
        <w:t>the accommodation provider r</w:t>
      </w:r>
      <w:r w:rsidRPr="00DD23DD">
        <w:t>easonabl</w:t>
      </w:r>
      <w:r>
        <w:t>y</w:t>
      </w:r>
      <w:r w:rsidRPr="00DD23DD">
        <w:t xml:space="preserve"> belie</w:t>
      </w:r>
      <w:r>
        <w:t>ves</w:t>
      </w:r>
      <w:r w:rsidRPr="00DD23DD">
        <w:t xml:space="preserve">’ </w:t>
      </w:r>
      <w:r>
        <w:t>that the accommodation is being used in connection with sex work.</w:t>
      </w:r>
      <w:r>
        <w:rPr>
          <w:rStyle w:val="FootnoteReference"/>
        </w:rPr>
        <w:footnoteReference w:id="9"/>
      </w:r>
      <w:r>
        <w:t xml:space="preserve"> This provision</w:t>
      </w:r>
      <w:r w:rsidRPr="00DD23DD">
        <w:t xml:space="preserve"> is based on the subjective view of the property owner without the need for evidence of an intention to use</w:t>
      </w:r>
      <w:r>
        <w:t>,</w:t>
      </w:r>
      <w:r w:rsidRPr="00DD23DD">
        <w:t xml:space="preserve"> or actual use of</w:t>
      </w:r>
      <w:r>
        <w:t>,</w:t>
      </w:r>
      <w:r w:rsidRPr="00DD23DD">
        <w:t xml:space="preserve"> the property for sex work. While the belief must be ‘reasonable</w:t>
      </w:r>
      <w:r w:rsidR="00B71B1B">
        <w:t>’</w:t>
      </w:r>
      <w:r w:rsidRPr="00DD23DD">
        <w:t xml:space="preserve">, in practice the reasonableness or otherwise of the property owner’s belief will rarely, if ever, be subjected to scrutiny by </w:t>
      </w:r>
      <w:r w:rsidR="001A2C1F">
        <w:t>a court or</w:t>
      </w:r>
      <w:r w:rsidRPr="00DD23DD">
        <w:t xml:space="preserve"> tribunal. </w:t>
      </w:r>
      <w:r>
        <w:t>O</w:t>
      </w:r>
      <w:r w:rsidRPr="00DD23DD">
        <w:t>nce a person has been evicted, it would be rare for them to make a complaint of discrimination</w:t>
      </w:r>
      <w:r>
        <w:t>.</w:t>
      </w:r>
      <w:r w:rsidRPr="00DD23DD">
        <w:t xml:space="preserve"> </w:t>
      </w:r>
    </w:p>
    <w:p w14:paraId="294DCA86" w14:textId="77777777" w:rsidR="00231771" w:rsidRDefault="00231771" w:rsidP="00231771">
      <w:pPr>
        <w:pStyle w:val="Numberedparagraph"/>
      </w:pPr>
      <w:r>
        <w:t>Researchers Hobbs and Trotter have commented that the exception forms a ‘viable pretext’ for unfair treatment sex workers in a broad range of circumstances, and can result in poor treatment, overcharging and eviction, and could result in housing instability and homelessness.</w:t>
      </w:r>
      <w:r>
        <w:rPr>
          <w:rStyle w:val="FootnoteReference"/>
        </w:rPr>
        <w:footnoteReference w:id="10"/>
      </w:r>
    </w:p>
    <w:p w14:paraId="26194547" w14:textId="528E09D9" w:rsidR="005F7844" w:rsidRPr="005F7844" w:rsidRDefault="00231771" w:rsidP="00231771">
      <w:pPr>
        <w:pStyle w:val="Heading3"/>
      </w:pPr>
      <w:r>
        <w:t>Human rights considerations</w:t>
      </w:r>
    </w:p>
    <w:p w14:paraId="1E48791E" w14:textId="77777777" w:rsidR="00231771" w:rsidRDefault="00231771" w:rsidP="00231771">
      <w:pPr>
        <w:pStyle w:val="Numberedparagraph"/>
      </w:pPr>
      <w:r>
        <w:t>The Human Rights Act protects and promotes human rights of people in Queensland. Human rights may be subject to reasonable limitations that can be demonstrably justified in a free and democratic society based on human dignity, equality, and freedom. In deciding whether rights can be reasonably and justifiably limited, consideration should be given to the factors outlined in the Human Rights Act.</w:t>
      </w:r>
      <w:r>
        <w:rPr>
          <w:rStyle w:val="FootnoteReference"/>
        </w:rPr>
        <w:footnoteReference w:id="11"/>
      </w:r>
    </w:p>
    <w:p w14:paraId="5D5B44E5" w14:textId="704011E0" w:rsidR="00231771" w:rsidRDefault="00231771" w:rsidP="00231771">
      <w:pPr>
        <w:pStyle w:val="Numberedparagraph"/>
      </w:pPr>
      <w:r>
        <w:t>Under the Human Rights Act</w:t>
      </w:r>
      <w:r w:rsidRPr="00DD23DD">
        <w:t xml:space="preserve">, sex workers have a right to privacy and </w:t>
      </w:r>
      <w:r>
        <w:t>reputation</w:t>
      </w:r>
      <w:r>
        <w:rPr>
          <w:rStyle w:val="FootnoteReference"/>
        </w:rPr>
        <w:footnoteReference w:id="12"/>
      </w:r>
      <w:r w:rsidRPr="00DD23DD">
        <w:t xml:space="preserve"> </w:t>
      </w:r>
      <w:r>
        <w:t>(which includes the right not to have their privacy, family, or home arbitrarily interfered with)</w:t>
      </w:r>
      <w:r w:rsidRPr="00DD23DD">
        <w:t xml:space="preserve"> </w:t>
      </w:r>
      <w:r>
        <w:t>which must be balanced with</w:t>
      </w:r>
      <w:r w:rsidRPr="00DD23DD">
        <w:t xml:space="preserve"> the accommodation providers</w:t>
      </w:r>
      <w:r>
        <w:t>’</w:t>
      </w:r>
      <w:r w:rsidRPr="00DD23DD">
        <w:t xml:space="preserve"> property rights</w:t>
      </w:r>
      <w:r>
        <w:rPr>
          <w:rStyle w:val="FootnoteReference"/>
        </w:rPr>
        <w:footnoteReference w:id="13"/>
      </w:r>
      <w:r w:rsidRPr="00DD23DD">
        <w:t xml:space="preserve"> </w:t>
      </w:r>
      <w:r>
        <w:t>(which includes the right to own property and not be arbitrarily deprived of their property). T</w:t>
      </w:r>
      <w:r w:rsidRPr="00DD23DD">
        <w:t>he peace, comfort</w:t>
      </w:r>
      <w:r>
        <w:t>,</w:t>
      </w:r>
      <w:r w:rsidRPr="00DD23DD">
        <w:t xml:space="preserve"> and privacy of others, including other residents, guests</w:t>
      </w:r>
      <w:r>
        <w:t>,</w:t>
      </w:r>
      <w:r w:rsidRPr="00DD23DD">
        <w:t xml:space="preserve"> and neighbours to accommodation premises must </w:t>
      </w:r>
      <w:r>
        <w:t xml:space="preserve">also </w:t>
      </w:r>
      <w:r w:rsidRPr="00DD23DD">
        <w:t>be considered.</w:t>
      </w:r>
    </w:p>
    <w:p w14:paraId="116EEC98" w14:textId="77777777" w:rsidR="00231771" w:rsidRPr="00DD23DD" w:rsidRDefault="00231771" w:rsidP="00231771">
      <w:pPr>
        <w:pStyle w:val="Numberedparagraph"/>
      </w:pPr>
      <w:r>
        <w:lastRenderedPageBreak/>
        <w:t>Placing</w:t>
      </w:r>
      <w:r w:rsidRPr="00DD23DD">
        <w:t xml:space="preserve"> </w:t>
      </w:r>
      <w:r>
        <w:t xml:space="preserve">the </w:t>
      </w:r>
      <w:r w:rsidRPr="00DD23DD">
        <w:t xml:space="preserve">threshold </w:t>
      </w:r>
      <w:r>
        <w:t>at a</w:t>
      </w:r>
      <w:r w:rsidRPr="00DD23DD">
        <w:t xml:space="preserve"> ‘reasonable belief’ </w:t>
      </w:r>
      <w:r>
        <w:t>may</w:t>
      </w:r>
      <w:r w:rsidRPr="00DD23DD">
        <w:t xml:space="preserve"> amount to an arbitrary in</w:t>
      </w:r>
      <w:r>
        <w:t>ter</w:t>
      </w:r>
      <w:r w:rsidRPr="00DD23DD">
        <w:t xml:space="preserve">ference with </w:t>
      </w:r>
      <w:r>
        <w:t>a</w:t>
      </w:r>
      <w:r w:rsidRPr="00DD23DD">
        <w:t xml:space="preserve"> sex worker</w:t>
      </w:r>
      <w:r>
        <w:t>’s right to privacy, particularly in residential tenancy situations</w:t>
      </w:r>
      <w:r w:rsidRPr="00DD23DD">
        <w:t>.</w:t>
      </w:r>
    </w:p>
    <w:p w14:paraId="74FA8DE0" w14:textId="360E1E04" w:rsidR="00C650E6" w:rsidRDefault="00231771" w:rsidP="00C650E6">
      <w:pPr>
        <w:pStyle w:val="Numberedparagraph"/>
      </w:pPr>
      <w:r w:rsidRPr="00DD23DD">
        <w:t xml:space="preserve">When a similar exception was repealed in Victoria, the human rights statement of compatibility addressed these potentially competing rights and </w:t>
      </w:r>
      <w:r>
        <w:t>determined</w:t>
      </w:r>
      <w:r w:rsidRPr="00DD23DD">
        <w:t xml:space="preserve"> that repeal of the exception would not mean that accommodation provider’s property rights are unfairly limited.</w:t>
      </w:r>
      <w:r>
        <w:rPr>
          <w:rStyle w:val="FootnoteReference"/>
        </w:rPr>
        <w:footnoteReference w:id="14"/>
      </w:r>
    </w:p>
    <w:p w14:paraId="628EDF24" w14:textId="542923F1" w:rsidR="00231771" w:rsidRDefault="00231771" w:rsidP="00C650E6">
      <w:pPr>
        <w:pStyle w:val="Numberedparagraph"/>
      </w:pPr>
      <w:r w:rsidRPr="00C650E6">
        <w:rPr>
          <w:color w:val="auto"/>
        </w:rPr>
        <w:t xml:space="preserve">The </w:t>
      </w:r>
      <w:r w:rsidR="00C650E6">
        <w:t>QHRC’s Review of the AD Act</w:t>
      </w:r>
      <w:r w:rsidR="00C650E6">
        <w:rPr>
          <w:rStyle w:val="FootnoteReference"/>
        </w:rPr>
        <w:footnoteReference w:id="15"/>
      </w:r>
      <w:r w:rsidR="00C650E6">
        <w:t xml:space="preserve"> formed the view that the exception may not be compatible with human rights because it unreasonably limits the right to equality and the right to privacy of sex workers, including the right not to have a person’s home arbitrarily interfered with, such as through eviction.</w:t>
      </w:r>
    </w:p>
    <w:p w14:paraId="569859FD" w14:textId="74E376E3" w:rsidR="00D10E4C" w:rsidRDefault="00384C45" w:rsidP="00C650E6">
      <w:pPr>
        <w:pStyle w:val="Numberedparagraph"/>
      </w:pPr>
      <w:r>
        <w:rPr>
          <w:color w:val="auto"/>
        </w:rPr>
        <w:t xml:space="preserve">The Queensland Law Reform Commission </w:t>
      </w:r>
      <w:r w:rsidR="00095F04">
        <w:rPr>
          <w:color w:val="auto"/>
        </w:rPr>
        <w:t xml:space="preserve">also </w:t>
      </w:r>
      <w:r>
        <w:rPr>
          <w:color w:val="auto"/>
        </w:rPr>
        <w:t xml:space="preserve">formed the view that </w:t>
      </w:r>
      <w:r w:rsidR="00592325">
        <w:rPr>
          <w:color w:val="auto"/>
        </w:rPr>
        <w:t>‘removing the exemption is consistent with decriminalisation, including the aims of reducing stigma and discrimination</w:t>
      </w:r>
      <w:r w:rsidR="001303F8">
        <w:rPr>
          <w:color w:val="auto"/>
        </w:rPr>
        <w:t>, and safeguarding sex workers’ human rights.</w:t>
      </w:r>
      <w:r w:rsidR="001303F8">
        <w:rPr>
          <w:rStyle w:val="FootnoteReference"/>
          <w:color w:val="auto"/>
        </w:rPr>
        <w:footnoteReference w:id="16"/>
      </w:r>
    </w:p>
    <w:p w14:paraId="076D6D8C" w14:textId="1E12ED2C" w:rsidR="00C650E6" w:rsidRDefault="00C650E6" w:rsidP="00C650E6">
      <w:pPr>
        <w:pStyle w:val="Heading2"/>
      </w:pPr>
      <w:bookmarkStart w:id="18" w:name="_Toc160621313"/>
      <w:r>
        <w:t>Definition of sex work activity</w:t>
      </w:r>
      <w:bookmarkEnd w:id="18"/>
    </w:p>
    <w:p w14:paraId="14B55914" w14:textId="4AB081BE" w:rsidR="00CC41D1" w:rsidRPr="00CC41D1" w:rsidRDefault="00326DEE" w:rsidP="00326DEE">
      <w:pPr>
        <w:pStyle w:val="Heading3"/>
      </w:pPr>
      <w:r>
        <w:t>Replacement of ‘lawful sexual activity’ attribute</w:t>
      </w:r>
    </w:p>
    <w:p w14:paraId="0D92BEF3" w14:textId="2E0CAC5D" w:rsidR="00C650E6" w:rsidRDefault="00C650E6" w:rsidP="00C650E6">
      <w:pPr>
        <w:pStyle w:val="Numberedparagraph"/>
      </w:pPr>
      <w:r>
        <w:t>The QHRC endorses the omission of the current ‘lawful sexual activity’</w:t>
      </w:r>
      <w:r w:rsidR="00326DEE">
        <w:t xml:space="preserve"> attribute and its replacement with the attribute ‘sex work activity’.</w:t>
      </w:r>
    </w:p>
    <w:p w14:paraId="1D727F9B" w14:textId="0E7E3B0C" w:rsidR="002C5A55" w:rsidRDefault="00505C0A" w:rsidP="00C650E6">
      <w:pPr>
        <w:pStyle w:val="Numberedparagraph"/>
      </w:pPr>
      <w:r>
        <w:t>The QHRC’s Review of the AD Act</w:t>
      </w:r>
      <w:r w:rsidR="00D8598F">
        <w:rPr>
          <w:rStyle w:val="FootnoteReference"/>
        </w:rPr>
        <w:footnoteReference w:id="17"/>
      </w:r>
      <w:r w:rsidR="00EF6B64">
        <w:t xml:space="preserve"> </w:t>
      </w:r>
      <w:r w:rsidR="00510CF3">
        <w:t>formed the view that</w:t>
      </w:r>
      <w:r w:rsidR="002C5A55">
        <w:t>:</w:t>
      </w:r>
    </w:p>
    <w:p w14:paraId="1D0B3F0E" w14:textId="29D2F7A0" w:rsidR="00816F72" w:rsidRDefault="00446994" w:rsidP="002C5A55">
      <w:pPr>
        <w:pStyle w:val="Numberedparagraph"/>
        <w:numPr>
          <w:ilvl w:val="1"/>
          <w:numId w:val="30"/>
        </w:numPr>
      </w:pPr>
      <w:r>
        <w:t>the current ‘lawful sexual activity’</w:t>
      </w:r>
      <w:r w:rsidR="00D26C0F">
        <w:t xml:space="preserve"> attribute only protects lawful sex workers, but people who work outside of the regulated and licenced sector are still experiencing discrimination.</w:t>
      </w:r>
    </w:p>
    <w:p w14:paraId="37CE2B56" w14:textId="7A284240" w:rsidR="002C5A55" w:rsidRDefault="00593CB7" w:rsidP="00326DEE">
      <w:pPr>
        <w:pStyle w:val="Numberedparagraph"/>
        <w:numPr>
          <w:ilvl w:val="1"/>
          <w:numId w:val="30"/>
        </w:numPr>
      </w:pPr>
      <w:r>
        <w:t xml:space="preserve">The attribute and its definition should not be limited to a person’s status as a sex </w:t>
      </w:r>
      <w:proofErr w:type="gramStart"/>
      <w:r>
        <w:t>worker, and</w:t>
      </w:r>
      <w:proofErr w:type="gramEnd"/>
      <w:r>
        <w:t xml:space="preserve"> should also include the activity of engaging in sex work</w:t>
      </w:r>
      <w:r w:rsidR="00E2204A">
        <w:t>. This would create certainty in the law and avoid an ongoing gap in discrimination protection.</w:t>
      </w:r>
    </w:p>
    <w:p w14:paraId="0B39AF81" w14:textId="76C234CD" w:rsidR="00C650E6" w:rsidRDefault="00C650E6" w:rsidP="00C650E6">
      <w:pPr>
        <w:pStyle w:val="Numberedparagraph"/>
      </w:pPr>
      <w:r>
        <w:t xml:space="preserve">The QHRC endorses the new proposed definition of ‘sex work activity’ </w:t>
      </w:r>
      <w:r w:rsidR="00453E84">
        <w:t xml:space="preserve">in Clause 6 </w:t>
      </w:r>
      <w:r>
        <w:t>with 2 amendments:</w:t>
      </w:r>
    </w:p>
    <w:p w14:paraId="2ADAAE14" w14:textId="56DCB59F" w:rsidR="00C650E6" w:rsidRDefault="00C650E6" w:rsidP="00C650E6">
      <w:pPr>
        <w:pStyle w:val="NumberedPara"/>
        <w:numPr>
          <w:ilvl w:val="1"/>
          <w:numId w:val="30"/>
        </w:numPr>
      </w:pPr>
      <w:r>
        <w:lastRenderedPageBreak/>
        <w:t>removing the word ‘adult’ in paragraph (a) to make it consistent with the definitions contained in Clauses 8 and 28</w:t>
      </w:r>
      <w:r w:rsidR="004C5002">
        <w:t xml:space="preserve"> and Schedule 1 Other </w:t>
      </w:r>
      <w:proofErr w:type="gramStart"/>
      <w:r w:rsidR="004C5002">
        <w:t>Amendments</w:t>
      </w:r>
      <w:r>
        <w:t>;</w:t>
      </w:r>
      <w:proofErr w:type="gramEnd"/>
      <w:r>
        <w:t xml:space="preserve"> and</w:t>
      </w:r>
    </w:p>
    <w:p w14:paraId="2254F482" w14:textId="30FFD1CF" w:rsidR="00C650E6" w:rsidRDefault="00C650E6" w:rsidP="00C650E6">
      <w:pPr>
        <w:pStyle w:val="NumberedPara"/>
        <w:numPr>
          <w:ilvl w:val="1"/>
          <w:numId w:val="30"/>
        </w:numPr>
      </w:pPr>
      <w:r>
        <w:t>inserting the word ‘or’ at the end of paragraph (a)(</w:t>
      </w:r>
      <w:proofErr w:type="spellStart"/>
      <w:r>
        <w:t>i</w:t>
      </w:r>
      <w:proofErr w:type="spellEnd"/>
      <w:r>
        <w:t>) for the sake of clarity.</w:t>
      </w:r>
    </w:p>
    <w:p w14:paraId="6120B6D5" w14:textId="4D4B783D" w:rsidR="00326DEE" w:rsidRDefault="00326DEE" w:rsidP="00326DEE">
      <w:pPr>
        <w:pStyle w:val="Heading3"/>
      </w:pPr>
      <w:r>
        <w:t>Inclusion of the term ‘adult’</w:t>
      </w:r>
    </w:p>
    <w:p w14:paraId="17ED3BF1" w14:textId="77777777" w:rsidR="00326DEE" w:rsidRDefault="00C650E6" w:rsidP="00326DEE">
      <w:pPr>
        <w:pStyle w:val="Numberedparagraph"/>
      </w:pPr>
      <w:r>
        <w:t>The QHRC in no way endorses or encourages children to be involved in sex work activity.</w:t>
      </w:r>
      <w:r w:rsidR="00326DEE">
        <w:t xml:space="preserve"> However, this definition is not about who should or should not do sex work activity; it is aimed at protecting those who do sex work activity from unlawful discrimination.</w:t>
      </w:r>
    </w:p>
    <w:p w14:paraId="1C50047E" w14:textId="78A6C20A" w:rsidR="00C650E6" w:rsidRDefault="00326DEE" w:rsidP="00C650E6">
      <w:pPr>
        <w:pStyle w:val="Numberedparagraph"/>
      </w:pPr>
      <w:r>
        <w:t>The inclusion of the term ‘adult’ in the definition of sex worker activity is problematic for three reasons:</w:t>
      </w:r>
    </w:p>
    <w:p w14:paraId="6774C212" w14:textId="7E71EBE6" w:rsidR="000528B0" w:rsidRDefault="000528B0" w:rsidP="000528B0">
      <w:pPr>
        <w:pStyle w:val="Numberedparagraph"/>
        <w:numPr>
          <w:ilvl w:val="1"/>
          <w:numId w:val="30"/>
        </w:numPr>
      </w:pPr>
      <w:r>
        <w:t xml:space="preserve">it is inconsistent with other definitions of ‘sex work’ throughout the </w:t>
      </w:r>
      <w:proofErr w:type="gramStart"/>
      <w:r>
        <w:t>Bill</w:t>
      </w:r>
      <w:r w:rsidR="00B71B1B">
        <w:t>;</w:t>
      </w:r>
      <w:proofErr w:type="gramEnd"/>
    </w:p>
    <w:p w14:paraId="26B72AAC" w14:textId="717574D5" w:rsidR="00326DEE" w:rsidRDefault="00A07ABC" w:rsidP="00326DEE">
      <w:pPr>
        <w:pStyle w:val="Numberedparagraph"/>
        <w:numPr>
          <w:ilvl w:val="1"/>
          <w:numId w:val="30"/>
        </w:numPr>
      </w:pPr>
      <w:r>
        <w:t xml:space="preserve">it introduces unequal protection of the law into the AD Act, based on the </w:t>
      </w:r>
      <w:r w:rsidR="00326DEE">
        <w:t>age of the complainant at the time they did sex work</w:t>
      </w:r>
      <w:r w:rsidR="00B71B1B">
        <w:t>; and</w:t>
      </w:r>
    </w:p>
    <w:p w14:paraId="763CD93E" w14:textId="1CDDF390" w:rsidR="00326DEE" w:rsidRDefault="00326DEE" w:rsidP="00326DEE">
      <w:pPr>
        <w:pStyle w:val="Numberedparagraph"/>
        <w:numPr>
          <w:ilvl w:val="1"/>
          <w:numId w:val="30"/>
        </w:numPr>
      </w:pPr>
      <w:r>
        <w:t xml:space="preserve">it potentially disadvantages children who have been victims of crimes, including </w:t>
      </w:r>
      <w:r w:rsidR="00C26AFD">
        <w:t xml:space="preserve">the </w:t>
      </w:r>
      <w:r>
        <w:t>new coercion offences</w:t>
      </w:r>
      <w:r w:rsidR="00B71B1B">
        <w:t>.</w:t>
      </w:r>
    </w:p>
    <w:p w14:paraId="49D26C3A" w14:textId="34ACFF04" w:rsidR="000528B0" w:rsidRDefault="000528B0" w:rsidP="000528B0">
      <w:pPr>
        <w:pStyle w:val="Numberedparagraph"/>
      </w:pPr>
      <w:r>
        <w:t>Firstly, clauses 8</w:t>
      </w:r>
      <w:r>
        <w:rPr>
          <w:rStyle w:val="FootnoteReference"/>
        </w:rPr>
        <w:footnoteReference w:id="18"/>
      </w:r>
      <w:r>
        <w:t xml:space="preserve"> and 28</w:t>
      </w:r>
      <w:r>
        <w:rPr>
          <w:rStyle w:val="FootnoteReference"/>
        </w:rPr>
        <w:footnoteReference w:id="19"/>
      </w:r>
      <w:r>
        <w:t xml:space="preserve"> and Schedule 1 Other Amendments</w:t>
      </w:r>
      <w:r>
        <w:rPr>
          <w:rStyle w:val="FootnoteReference"/>
        </w:rPr>
        <w:footnoteReference w:id="20"/>
      </w:r>
      <w:r>
        <w:t xml:space="preserve"> also refer to definitions of ‘sex work’ and neither contain the reference to ‘adult’. The Explanatory Notes do not explain this discrepancy.</w:t>
      </w:r>
    </w:p>
    <w:p w14:paraId="5A4B8356" w14:textId="3F80137B" w:rsidR="00326DEE" w:rsidRDefault="000528B0" w:rsidP="00326DEE">
      <w:pPr>
        <w:pStyle w:val="Numberedparagraph"/>
      </w:pPr>
      <w:r>
        <w:t>Secondly</w:t>
      </w:r>
      <w:r w:rsidR="00326DEE">
        <w:t>, being a sex worker who works alone at age 16 or 17 is not currently unlawful in Queensland, nor will it be if the Bill passes. Children are not barred from making a complaint currently under lawful sexual activity</w:t>
      </w:r>
      <w:r>
        <w:t xml:space="preserve"> attribute but may be barred from bringing a complaint under the new attribute.</w:t>
      </w:r>
      <w:r w:rsidR="00207F11">
        <w:t xml:space="preserve"> </w:t>
      </w:r>
    </w:p>
    <w:p w14:paraId="32030AFF" w14:textId="77777777" w:rsidR="00207F11" w:rsidRDefault="00207F11" w:rsidP="00207F11">
      <w:pPr>
        <w:pStyle w:val="Numberedparagraph"/>
      </w:pPr>
      <w:r>
        <w:t>To present a hypothetical example:</w:t>
      </w:r>
    </w:p>
    <w:p w14:paraId="39C9B4F3" w14:textId="322093C5" w:rsidR="00207F11" w:rsidRPr="00207F11" w:rsidRDefault="00207F11" w:rsidP="0091303E">
      <w:pPr>
        <w:pStyle w:val="Quote"/>
        <w:rPr>
          <w:lang w:val="en-GB"/>
        </w:rPr>
      </w:pPr>
      <w:r>
        <w:rPr>
          <w:lang w:val="en-GB"/>
        </w:rPr>
        <w:t xml:space="preserve">A person had engaged in sex work at age 17. Now they are 20 years old and working in a bookstore. Their current employer dismisses them from their non-sex work related employment because they become aware of </w:t>
      </w:r>
      <w:r w:rsidR="003618CC">
        <w:rPr>
          <w:lang w:val="en-GB"/>
        </w:rPr>
        <w:t>their previous job</w:t>
      </w:r>
      <w:r>
        <w:rPr>
          <w:lang w:val="en-GB"/>
        </w:rPr>
        <w:t xml:space="preserve">. </w:t>
      </w:r>
      <w:r w:rsidR="0091303E">
        <w:rPr>
          <w:lang w:val="en-GB"/>
        </w:rPr>
        <w:t>This person would not be protected from discrimination.</w:t>
      </w:r>
    </w:p>
    <w:p w14:paraId="462662A1" w14:textId="50E93182" w:rsidR="000528B0" w:rsidRDefault="000528B0" w:rsidP="00326DEE">
      <w:pPr>
        <w:pStyle w:val="Numberedparagraph"/>
      </w:pPr>
      <w:r>
        <w:t xml:space="preserve">Section 15(4) of the </w:t>
      </w:r>
      <w:r>
        <w:rPr>
          <w:i/>
        </w:rPr>
        <w:t xml:space="preserve">Human Rights Act 2019 </w:t>
      </w:r>
      <w:r>
        <w:rPr>
          <w:iCs/>
        </w:rPr>
        <w:t xml:space="preserve">provides the right to equality, which </w:t>
      </w:r>
      <w:r w:rsidR="00C421CE">
        <w:rPr>
          <w:iCs/>
        </w:rPr>
        <w:t>ensures</w:t>
      </w:r>
      <w:r>
        <w:rPr>
          <w:iCs/>
        </w:rPr>
        <w:t xml:space="preserve"> that every person is entitled to equal and effective protection against discrimination. </w:t>
      </w:r>
      <w:r>
        <w:t xml:space="preserve">By providing rights for some sex workers, and not others, </w:t>
      </w:r>
      <w:proofErr w:type="gramStart"/>
      <w:r>
        <w:t xml:space="preserve">on the </w:t>
      </w:r>
      <w:r>
        <w:lastRenderedPageBreak/>
        <w:t>basis of</w:t>
      </w:r>
      <w:proofErr w:type="gramEnd"/>
      <w:r>
        <w:t xml:space="preserve"> age, the provision may therefore be incompatible with the HR Act, and this has not been justified in the Statement of Compatibility.</w:t>
      </w:r>
      <w:r w:rsidR="0056759F">
        <w:rPr>
          <w:rStyle w:val="FootnoteReference"/>
        </w:rPr>
        <w:footnoteReference w:id="21"/>
      </w:r>
    </w:p>
    <w:p w14:paraId="3D65D02C" w14:textId="6F2E8F2E" w:rsidR="00207F11" w:rsidRPr="00207F11" w:rsidRDefault="000528B0" w:rsidP="00207F11">
      <w:pPr>
        <w:pStyle w:val="Numberedparagraph"/>
        <w:rPr>
          <w:lang w:val="en-GB"/>
        </w:rPr>
      </w:pPr>
      <w:r>
        <w:t>Thirdly, a</w:t>
      </w:r>
      <w:r w:rsidR="00453E84">
        <w:t>s the proposed definition in Clause 6 stands, it could result in a situation where a child who has been</w:t>
      </w:r>
      <w:r>
        <w:t xml:space="preserve"> coerced or</w:t>
      </w:r>
      <w:r w:rsidR="00453E84">
        <w:t xml:space="preserve"> forced into sex work (a criminal offence under section 229G of the </w:t>
      </w:r>
      <w:r w:rsidR="00453E84">
        <w:rPr>
          <w:i/>
          <w:iCs/>
        </w:rPr>
        <w:t>Criminal Code</w:t>
      </w:r>
      <w:r w:rsidR="00453E84">
        <w:t>) would not then be protected from discrimination at a later stage because the sex work conducted by them would not fall under this definition.</w:t>
      </w:r>
      <w:r>
        <w:t xml:space="preserve"> </w:t>
      </w:r>
    </w:p>
    <w:p w14:paraId="458366B4" w14:textId="668C5921" w:rsidR="000528B0" w:rsidRDefault="00453E84" w:rsidP="000528B0">
      <w:pPr>
        <w:pStyle w:val="Numberedparagraph"/>
      </w:pPr>
      <w:r>
        <w:t xml:space="preserve">A </w:t>
      </w:r>
      <w:r w:rsidR="00373709">
        <w:t>child victim of a crime</w:t>
      </w:r>
      <w:r>
        <w:t xml:space="preserve"> in this situation</w:t>
      </w:r>
      <w:r w:rsidR="00373709">
        <w:t xml:space="preserve"> should</w:t>
      </w:r>
      <w:r>
        <w:t xml:space="preserve"> be given the fullest protection from discrimination </w:t>
      </w:r>
      <w:r w:rsidR="0010747D">
        <w:t xml:space="preserve">as </w:t>
      </w:r>
      <w:r>
        <w:t>possible.</w:t>
      </w:r>
    </w:p>
    <w:p w14:paraId="36BEB62D" w14:textId="0995DA93" w:rsidR="00516989" w:rsidRDefault="002F4278" w:rsidP="00326DEE">
      <w:pPr>
        <w:pStyle w:val="Heading3"/>
      </w:pPr>
      <w:r>
        <w:t>‘Participating’ or ‘use or display’</w:t>
      </w:r>
    </w:p>
    <w:p w14:paraId="728490DA" w14:textId="34F6FBCD" w:rsidR="00AA6A5A" w:rsidRDefault="004C5002" w:rsidP="004C5002">
      <w:pPr>
        <w:pStyle w:val="Numberedparagraph"/>
      </w:pPr>
      <w:r>
        <w:t xml:space="preserve">The proposed definition </w:t>
      </w:r>
      <w:r w:rsidR="00527B3B">
        <w:t>of</w:t>
      </w:r>
      <w:r>
        <w:t xml:space="preserve"> </w:t>
      </w:r>
      <w:r w:rsidRPr="00527B3B">
        <w:t>sex work activity</w:t>
      </w:r>
      <w:r w:rsidR="00527B3B">
        <w:t xml:space="preserve"> has two limbs to describe the services that a person may be providing for payment or reward</w:t>
      </w:r>
      <w:r w:rsidR="00D11699">
        <w:t>:</w:t>
      </w:r>
    </w:p>
    <w:p w14:paraId="740D9F46" w14:textId="2EABF0EE" w:rsidR="004C5002" w:rsidRDefault="00CC41D1" w:rsidP="00AA6A5A">
      <w:pPr>
        <w:pStyle w:val="Numberedparagraph"/>
        <w:numPr>
          <w:ilvl w:val="1"/>
          <w:numId w:val="30"/>
        </w:numPr>
      </w:pPr>
      <w:r>
        <w:t>s</w:t>
      </w:r>
      <w:r w:rsidR="004C5002">
        <w:t xml:space="preserve">ervices that involve the person participating in a sexual activity with another </w:t>
      </w:r>
      <w:proofErr w:type="gramStart"/>
      <w:r w:rsidR="004C5002">
        <w:t>person;</w:t>
      </w:r>
      <w:proofErr w:type="gramEnd"/>
    </w:p>
    <w:p w14:paraId="36DA813A" w14:textId="1546A47E" w:rsidR="004C5002" w:rsidRDefault="00CC41D1" w:rsidP="004C5002">
      <w:pPr>
        <w:pStyle w:val="Numberedparagraph"/>
        <w:numPr>
          <w:ilvl w:val="1"/>
          <w:numId w:val="30"/>
        </w:numPr>
      </w:pPr>
      <w:r>
        <w:t>s</w:t>
      </w:r>
      <w:r w:rsidR="004C5002">
        <w:t>ervices that involve the use or display of the person’s body for the sexual arousal or gratification of another person; etc</w:t>
      </w:r>
    </w:p>
    <w:p w14:paraId="449AB18B" w14:textId="579FB644" w:rsidR="004C5002" w:rsidRDefault="004C5002" w:rsidP="004C5002">
      <w:pPr>
        <w:pStyle w:val="Numberedparagraph"/>
      </w:pPr>
      <w:r>
        <w:t>The QHRC recommends addition of the word ‘or’</w:t>
      </w:r>
      <w:r w:rsidR="00AA6A5A">
        <w:t xml:space="preserve"> between paragraphs (</w:t>
      </w:r>
      <w:proofErr w:type="spellStart"/>
      <w:r w:rsidR="00AA6A5A">
        <w:t>i</w:t>
      </w:r>
      <w:proofErr w:type="spellEnd"/>
      <w:r w:rsidR="00AA6A5A">
        <w:t>) and (ii) for the sake of clarity. This would make it clear that the services can involve the person participating in certain activities OR use or display of the person’s body but that the definition does not require both limbs to be made out.</w:t>
      </w:r>
    </w:p>
    <w:p w14:paraId="727F2964" w14:textId="770F0768" w:rsidR="00AA6A5A" w:rsidRDefault="009F0BA0" w:rsidP="009F0BA0">
      <w:pPr>
        <w:pStyle w:val="Heading1"/>
      </w:pPr>
      <w:bookmarkStart w:id="19" w:name="_Toc160621314"/>
      <w:r>
        <w:t>Other review processes recommended</w:t>
      </w:r>
      <w:bookmarkEnd w:id="19"/>
    </w:p>
    <w:p w14:paraId="22B485B6" w14:textId="0FC8F3A1" w:rsidR="009F0BA0" w:rsidRPr="009F0BA0" w:rsidRDefault="009F0BA0" w:rsidP="009F0BA0">
      <w:pPr>
        <w:pStyle w:val="Heading2"/>
      </w:pPr>
      <w:bookmarkStart w:id="20" w:name="_Toc160621315"/>
      <w:r>
        <w:t>Adult entertainment</w:t>
      </w:r>
      <w:bookmarkEnd w:id="20"/>
    </w:p>
    <w:p w14:paraId="1C1BC146" w14:textId="1038A84D" w:rsidR="00AA6A5A" w:rsidRDefault="009F0BA0" w:rsidP="004C5002">
      <w:pPr>
        <w:pStyle w:val="Numberedparagraph"/>
      </w:pPr>
      <w:r>
        <w:t>The Explanatory Notes</w:t>
      </w:r>
      <w:r w:rsidR="008D5EA8">
        <w:rPr>
          <w:rStyle w:val="FootnoteReference"/>
        </w:rPr>
        <w:footnoteReference w:id="22"/>
      </w:r>
      <w:r>
        <w:t xml:space="preserve"> </w:t>
      </w:r>
      <w:r w:rsidR="00797DD0">
        <w:t>highlight</w:t>
      </w:r>
      <w:r>
        <w:t xml:space="preserve"> that the QLRC did not make any recommendations about the future regulation of the adult entertainment industry. </w:t>
      </w:r>
      <w:r w:rsidR="00797DD0">
        <w:t>The Notes also refer to the</w:t>
      </w:r>
      <w:r>
        <w:t xml:space="preserve"> QLRC position that these are complex policy issues which require separate consultation and Government consideration.</w:t>
      </w:r>
    </w:p>
    <w:p w14:paraId="474AF370" w14:textId="7410E35C" w:rsidR="009F0BA0" w:rsidRDefault="009F0BA0" w:rsidP="004C5002">
      <w:pPr>
        <w:pStyle w:val="Numberedparagraph"/>
      </w:pPr>
      <w:r>
        <w:t xml:space="preserve">The QHRC supports </w:t>
      </w:r>
      <w:r w:rsidR="00797DD0">
        <w:t xml:space="preserve">a </w:t>
      </w:r>
      <w:r>
        <w:t>further detailed review of the adult entertainment industry.</w:t>
      </w:r>
    </w:p>
    <w:p w14:paraId="33075621" w14:textId="2DCC1A89" w:rsidR="009F0BA0" w:rsidRDefault="009F0BA0" w:rsidP="009F0BA0">
      <w:pPr>
        <w:pStyle w:val="Heading2"/>
      </w:pPr>
      <w:bookmarkStart w:id="21" w:name="_Toc160621316"/>
      <w:r>
        <w:lastRenderedPageBreak/>
        <w:t>Expungement scheme</w:t>
      </w:r>
      <w:bookmarkEnd w:id="21"/>
    </w:p>
    <w:p w14:paraId="365D80AD" w14:textId="730CC330" w:rsidR="00D46273" w:rsidRPr="00D46273" w:rsidRDefault="00D46273" w:rsidP="00326DEE">
      <w:pPr>
        <w:pStyle w:val="Heading3"/>
      </w:pPr>
      <w:r>
        <w:t>Human rights considerations</w:t>
      </w:r>
    </w:p>
    <w:p w14:paraId="349760E6" w14:textId="5D3E354B" w:rsidR="005C75FC" w:rsidRDefault="00D46273" w:rsidP="00797DD0">
      <w:pPr>
        <w:pStyle w:val="Numberedparagraph"/>
      </w:pPr>
      <w:r>
        <w:t>The Human Rights Act protects and promotes human rights of people in Queensland.</w:t>
      </w:r>
    </w:p>
    <w:p w14:paraId="227A3035" w14:textId="58E37350" w:rsidR="00A75870" w:rsidRDefault="00A75870" w:rsidP="004C5002">
      <w:pPr>
        <w:pStyle w:val="Numberedparagraph"/>
      </w:pPr>
      <w:r>
        <w:t xml:space="preserve">The </w:t>
      </w:r>
      <w:r>
        <w:rPr>
          <w:i/>
          <w:iCs/>
        </w:rPr>
        <w:t>Criminal Code (Decriminalising Sex Work) and Other Legislation Amendment Bill 2024</w:t>
      </w:r>
      <w:r w:rsidR="005F3E11">
        <w:t xml:space="preserve"> will regulate sex work and remove many </w:t>
      </w:r>
      <w:r w:rsidR="00952A04">
        <w:t xml:space="preserve">offences from the statute book. This reform alone will fail to address the stigma that a historical conviction for sex work related </w:t>
      </w:r>
      <w:r w:rsidR="0002366B">
        <w:t>activity</w:t>
      </w:r>
      <w:r w:rsidR="00952A04">
        <w:t xml:space="preserve"> carries.</w:t>
      </w:r>
    </w:p>
    <w:p w14:paraId="416CD863" w14:textId="685D0BFE" w:rsidR="0002366B" w:rsidRDefault="0002366B" w:rsidP="004C5002">
      <w:pPr>
        <w:pStyle w:val="Numberedparagraph"/>
      </w:pPr>
      <w:r>
        <w:t xml:space="preserve">Having a conviction for sex work related activity that is no longer considered a criminal offence can be a great disadvantage where convictions </w:t>
      </w:r>
      <w:proofErr w:type="gramStart"/>
      <w:r>
        <w:t>have to</w:t>
      </w:r>
      <w:proofErr w:type="gramEnd"/>
      <w:r>
        <w:t xml:space="preserve"> be disclosed, for example, in employment. People who have a conviction for an historical sex work offence may choose to limit their own career choices or participation in community life, for fear that their conviction may be revealed, and that they may suffer from associated stigma or discrimination.</w:t>
      </w:r>
    </w:p>
    <w:p w14:paraId="77EE8F96" w14:textId="79FF49EB" w:rsidR="00E82F49" w:rsidRDefault="00E82F49" w:rsidP="004C5002">
      <w:pPr>
        <w:pStyle w:val="Numberedparagraph"/>
      </w:pPr>
      <w:r>
        <w:t xml:space="preserve">While Queensland has ‘spent convictions’ </w:t>
      </w:r>
      <w:r w:rsidR="00E46FDC">
        <w:t>legislation</w:t>
      </w:r>
      <w:r w:rsidR="006A798D">
        <w:rPr>
          <w:rStyle w:val="FootnoteReference"/>
        </w:rPr>
        <w:footnoteReference w:id="23"/>
      </w:r>
      <w:r w:rsidR="00E46FDC">
        <w:t xml:space="preserve"> to protect people from unauthorised disclosure of convictions once a certain </w:t>
      </w:r>
      <w:proofErr w:type="gramStart"/>
      <w:r w:rsidR="00E46FDC">
        <w:t>period of time</w:t>
      </w:r>
      <w:proofErr w:type="gramEnd"/>
      <w:r w:rsidR="00E46FDC">
        <w:t xml:space="preserve"> has elapsed, there are a number of exceptions where disclosure is permitted or required, including when applying for certain jobs or positions.</w:t>
      </w:r>
      <w:r w:rsidR="00D56F8E">
        <w:rPr>
          <w:rStyle w:val="FootnoteReference"/>
        </w:rPr>
        <w:footnoteReference w:id="24"/>
      </w:r>
    </w:p>
    <w:p w14:paraId="7CA39345" w14:textId="48EA76BC" w:rsidR="009F0BA0" w:rsidRPr="00C650E6" w:rsidRDefault="00797DD0" w:rsidP="004C5002">
      <w:pPr>
        <w:pStyle w:val="Numberedparagraph"/>
      </w:pPr>
      <w:r>
        <w:t>On this basis, the QHRC supports the process of</w:t>
      </w:r>
      <w:r w:rsidR="00153960">
        <w:t xml:space="preserve"> a</w:t>
      </w:r>
      <w:r>
        <w:t xml:space="preserve"> further</w:t>
      </w:r>
      <w:r w:rsidR="00153960">
        <w:t xml:space="preserve"> </w:t>
      </w:r>
      <w:r>
        <w:t xml:space="preserve">supplementary </w:t>
      </w:r>
      <w:r w:rsidR="00153960">
        <w:t xml:space="preserve">review </w:t>
      </w:r>
      <w:r w:rsidR="003B51B3">
        <w:t xml:space="preserve">of an expungement scheme </w:t>
      </w:r>
      <w:r>
        <w:t>to be followed by legislative changes</w:t>
      </w:r>
      <w:r w:rsidR="009B6F5B">
        <w:t>,</w:t>
      </w:r>
      <w:r>
        <w:t xml:space="preserve"> as a matter of priority.</w:t>
      </w:r>
    </w:p>
    <w:p w14:paraId="54886A26" w14:textId="7A0F85B4" w:rsidR="00CE357B" w:rsidRPr="00CE357B" w:rsidRDefault="00C8623B" w:rsidP="00797DD0">
      <w:pPr>
        <w:pStyle w:val="Heading1"/>
        <w:spacing w:line="276" w:lineRule="auto"/>
      </w:pPr>
      <w:bookmarkStart w:id="22" w:name="_Toc160621317"/>
      <w:r>
        <w:t>Conclusion</w:t>
      </w:r>
      <w:bookmarkEnd w:id="22"/>
      <w:r>
        <w:t xml:space="preserve"> </w:t>
      </w:r>
    </w:p>
    <w:p w14:paraId="3C815508" w14:textId="408937C9" w:rsidR="00AC2FFF" w:rsidRDefault="00C8623B" w:rsidP="00B10F66">
      <w:pPr>
        <w:pStyle w:val="Numberedparagraph"/>
      </w:pPr>
      <w:r w:rsidRPr="000E6120">
        <w:t xml:space="preserve">Thank you for the opportunity to </w:t>
      </w:r>
      <w:r w:rsidR="00B31C62">
        <w:t xml:space="preserve">comment on </w:t>
      </w:r>
      <w:r w:rsidR="00BE0DD1">
        <w:t>this Bill</w:t>
      </w:r>
      <w:r w:rsidR="00B31C62">
        <w:t>.</w:t>
      </w:r>
    </w:p>
    <w:p w14:paraId="6B2DFB59" w14:textId="7823C775" w:rsidR="00797DD0" w:rsidRPr="00CE357B" w:rsidRDefault="00797DD0" w:rsidP="00B10F66">
      <w:pPr>
        <w:pStyle w:val="Numberedparagraph"/>
      </w:pPr>
      <w:r>
        <w:t>The QHRC would be pleased to answer any follow up questions in relation to this submission.</w:t>
      </w:r>
    </w:p>
    <w:sectPr w:rsidR="00797DD0" w:rsidRPr="00CE357B" w:rsidSect="00E53D1A">
      <w:headerReference w:type="default" r:id="rId14"/>
      <w:headerReference w:type="first" r:id="rId15"/>
      <w:footerReference w:type="first" r:id="rId16"/>
      <w:pgSz w:w="11900" w:h="16840" w:code="9"/>
      <w:pgMar w:top="1440" w:right="1701" w:bottom="1361" w:left="1701" w:header="709"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AB621" w14:textId="77777777" w:rsidR="00E53D1A" w:rsidRDefault="00E53D1A" w:rsidP="00C8623B">
      <w:pPr>
        <w:spacing w:after="0"/>
      </w:pPr>
      <w:r>
        <w:separator/>
      </w:r>
    </w:p>
  </w:endnote>
  <w:endnote w:type="continuationSeparator" w:id="0">
    <w:p w14:paraId="59E3D3E4" w14:textId="77777777" w:rsidR="00E53D1A" w:rsidRDefault="00E53D1A" w:rsidP="00C8623B">
      <w:pPr>
        <w:spacing w:after="0"/>
      </w:pPr>
      <w:r>
        <w:continuationSeparator/>
      </w:r>
    </w:p>
  </w:endnote>
  <w:endnote w:type="continuationNotice" w:id="1">
    <w:p w14:paraId="28A01AA0" w14:textId="77777777" w:rsidR="00E53D1A" w:rsidRDefault="00E53D1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0A4E2" w14:textId="77777777" w:rsidR="00C8623B" w:rsidRPr="00260847" w:rsidRDefault="00C8623B" w:rsidP="00A82986">
    <w:pPr>
      <w:pStyle w:val="Footer"/>
      <w:jc w:val="right"/>
      <w:rPr>
        <w:rFonts w:cs="Arial"/>
        <w:color w:val="404040" w:themeColor="text1" w:themeTint="BF"/>
        <w:sz w:val="16"/>
        <w:szCs w:val="20"/>
      </w:rPr>
    </w:pPr>
    <w:r w:rsidRPr="00260847">
      <w:rPr>
        <w:rFonts w:cs="Arial"/>
        <w:noProof/>
        <w:sz w:val="20"/>
        <w:szCs w:val="20"/>
        <w:vertAlign w:val="subscript"/>
        <w:lang w:eastAsia="en-AU"/>
      </w:rPr>
      <w:drawing>
        <wp:inline distT="0" distB="0" distL="0" distR="0" wp14:anchorId="4CED826E" wp14:editId="4EB18E60">
          <wp:extent cx="5463606" cy="48027"/>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lour bar - thin cmyk.png"/>
                  <pic:cNvPicPr/>
                </pic:nvPicPr>
                <pic:blipFill>
                  <a:blip r:embed="rId1">
                    <a:extLst>
                      <a:ext uri="{28A0092B-C50C-407E-A947-70E740481C1C}">
                        <a14:useLocalDpi xmlns:a14="http://schemas.microsoft.com/office/drawing/2010/main" val="0"/>
                      </a:ext>
                    </a:extLst>
                  </a:blip>
                  <a:stretch>
                    <a:fillRect/>
                  </a:stretch>
                </pic:blipFill>
                <pic:spPr>
                  <a:xfrm>
                    <a:off x="0" y="0"/>
                    <a:ext cx="17558567" cy="154346"/>
                  </a:xfrm>
                  <a:prstGeom prst="rect">
                    <a:avLst/>
                  </a:prstGeom>
                </pic:spPr>
              </pic:pic>
            </a:graphicData>
          </a:graphic>
        </wp:inline>
      </w:drawing>
    </w:r>
    <w:r w:rsidRPr="00260847">
      <w:rPr>
        <w:rFonts w:cs="Arial"/>
        <w:color w:val="404040" w:themeColor="text1" w:themeTint="BF"/>
        <w:sz w:val="16"/>
        <w:szCs w:val="20"/>
      </w:rPr>
      <w:t>Queensland Human Rights Commission | www.qhrc.qld.gov.au</w:t>
    </w:r>
    <w:r>
      <w:rPr>
        <w:rFonts w:cs="Arial"/>
        <w:color w:val="404040" w:themeColor="text1" w:themeTint="BF"/>
        <w:sz w:val="16"/>
        <w:szCs w:val="20"/>
      </w:rPr>
      <w:tab/>
    </w:r>
    <w:r w:rsidRPr="00260847">
      <w:rPr>
        <w:rFonts w:cs="Arial"/>
        <w:color w:val="404040" w:themeColor="text1" w:themeTint="BF"/>
        <w:sz w:val="16"/>
        <w:szCs w:val="20"/>
      </w:rPr>
      <w:tab/>
    </w:r>
    <w:r w:rsidRPr="00260847">
      <w:rPr>
        <w:rFonts w:cs="Arial"/>
        <w:color w:val="404040" w:themeColor="text1" w:themeTint="BF"/>
        <w:sz w:val="16"/>
        <w:szCs w:val="20"/>
      </w:rPr>
      <w:fldChar w:fldCharType="begin"/>
    </w:r>
    <w:r w:rsidRPr="00260847">
      <w:rPr>
        <w:rFonts w:cs="Arial"/>
        <w:color w:val="404040" w:themeColor="text1" w:themeTint="BF"/>
        <w:sz w:val="16"/>
        <w:szCs w:val="20"/>
      </w:rPr>
      <w:instrText xml:space="preserve"> PAGE   \* MERGEFORMAT </w:instrText>
    </w:r>
    <w:r w:rsidRPr="00260847">
      <w:rPr>
        <w:rFonts w:cs="Arial"/>
        <w:color w:val="404040" w:themeColor="text1" w:themeTint="BF"/>
        <w:sz w:val="16"/>
        <w:szCs w:val="20"/>
      </w:rPr>
      <w:fldChar w:fldCharType="separate"/>
    </w:r>
    <w:r>
      <w:rPr>
        <w:rFonts w:cs="Arial"/>
        <w:noProof/>
        <w:color w:val="404040" w:themeColor="text1" w:themeTint="BF"/>
        <w:sz w:val="16"/>
        <w:szCs w:val="20"/>
      </w:rPr>
      <w:t>3</w:t>
    </w:r>
    <w:r w:rsidRPr="00260847">
      <w:rPr>
        <w:rFonts w:cs="Arial"/>
        <w:noProof/>
        <w:color w:val="404040" w:themeColor="text1" w:themeTint="BF"/>
        <w:sz w:val="16"/>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766AF" w14:textId="77777777" w:rsidR="00D64259" w:rsidRDefault="00D64259" w:rsidP="00A82986">
    <w:pPr>
      <w:pStyle w:val="Footer"/>
      <w:pBdr>
        <w:top w:val="single" w:sz="4" w:space="1" w:color="auto"/>
      </w:pBdr>
      <w:jc w:val="right"/>
      <w:rPr>
        <w:rFonts w:cs="Arial"/>
        <w:sz w:val="20"/>
        <w:szCs w:val="20"/>
      </w:rPr>
    </w:pPr>
  </w:p>
  <w:p w14:paraId="3F6B1E31" w14:textId="77777777" w:rsidR="00D64259" w:rsidRPr="004A2375" w:rsidRDefault="00150D29" w:rsidP="00A82986">
    <w:pPr>
      <w:pStyle w:val="Footer"/>
      <w:tabs>
        <w:tab w:val="left" w:pos="1905"/>
        <w:tab w:val="right" w:pos="8498"/>
      </w:tabs>
      <w:rPr>
        <w:rFonts w:cs="Arial"/>
        <w:sz w:val="20"/>
        <w:szCs w:val="20"/>
      </w:rPr>
    </w:pPr>
    <w:r>
      <w:rPr>
        <w:rFonts w:cs="Arial"/>
        <w:sz w:val="20"/>
        <w:szCs w:val="20"/>
      </w:rPr>
      <w:tab/>
    </w:r>
    <w:r>
      <w:rPr>
        <w:rFonts w:cs="Arial"/>
        <w:sz w:val="20"/>
        <w:szCs w:val="20"/>
      </w:rPr>
      <w:tab/>
    </w:r>
    <w:r>
      <w:rPr>
        <w:rFonts w:cs="Arial"/>
        <w:sz w:val="20"/>
        <w:szCs w:val="20"/>
      </w:rPr>
      <w:tab/>
    </w:r>
    <w:r w:rsidRPr="004A2375">
      <w:rPr>
        <w:rFonts w:cs="Arial"/>
        <w:sz w:val="20"/>
        <w:szCs w:val="20"/>
      </w:rPr>
      <w:t xml:space="preserve">Page | </w:t>
    </w:r>
    <w:r w:rsidRPr="004A2375">
      <w:rPr>
        <w:rFonts w:cs="Arial"/>
        <w:sz w:val="20"/>
        <w:szCs w:val="20"/>
      </w:rPr>
      <w:fldChar w:fldCharType="begin"/>
    </w:r>
    <w:r w:rsidRPr="004A2375">
      <w:rPr>
        <w:rFonts w:cs="Arial"/>
        <w:sz w:val="20"/>
        <w:szCs w:val="20"/>
      </w:rPr>
      <w:instrText xml:space="preserve"> PAGE   \* MERGEFORMAT </w:instrText>
    </w:r>
    <w:r w:rsidRPr="004A2375">
      <w:rPr>
        <w:rFonts w:cs="Arial"/>
        <w:sz w:val="20"/>
        <w:szCs w:val="20"/>
      </w:rPr>
      <w:fldChar w:fldCharType="separate"/>
    </w:r>
    <w:r>
      <w:rPr>
        <w:rFonts w:cs="Arial"/>
        <w:noProof/>
        <w:sz w:val="20"/>
        <w:szCs w:val="20"/>
      </w:rPr>
      <w:t>3</w:t>
    </w:r>
    <w:r w:rsidRPr="004A2375">
      <w:rPr>
        <w:rFonts w:cs="Arial"/>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33F3EF" w14:textId="77777777" w:rsidR="00E53D1A" w:rsidRDefault="00E53D1A" w:rsidP="00C8623B">
      <w:pPr>
        <w:spacing w:after="0"/>
      </w:pPr>
      <w:r>
        <w:separator/>
      </w:r>
    </w:p>
  </w:footnote>
  <w:footnote w:type="continuationSeparator" w:id="0">
    <w:p w14:paraId="6971E1BD" w14:textId="77777777" w:rsidR="00E53D1A" w:rsidRDefault="00E53D1A" w:rsidP="00C8623B">
      <w:pPr>
        <w:spacing w:after="0"/>
      </w:pPr>
      <w:r>
        <w:continuationSeparator/>
      </w:r>
    </w:p>
  </w:footnote>
  <w:footnote w:type="continuationNotice" w:id="1">
    <w:p w14:paraId="564B3552" w14:textId="77777777" w:rsidR="00E53D1A" w:rsidRDefault="00E53D1A">
      <w:pPr>
        <w:spacing w:after="0"/>
      </w:pPr>
    </w:p>
  </w:footnote>
  <w:footnote w:id="2">
    <w:p w14:paraId="279D7735" w14:textId="43A19F9B" w:rsidR="0013637E" w:rsidRPr="0013637E" w:rsidRDefault="0013637E">
      <w:pPr>
        <w:pStyle w:val="FootnoteText"/>
      </w:pPr>
      <w:r>
        <w:rPr>
          <w:rStyle w:val="FootnoteReference"/>
        </w:rPr>
        <w:footnoteRef/>
      </w:r>
      <w:r>
        <w:t xml:space="preserve"> </w:t>
      </w:r>
      <w:r w:rsidR="0041148E">
        <w:t xml:space="preserve">Queensland Law Reform Commission, </w:t>
      </w:r>
      <w:r w:rsidR="00B86DDF">
        <w:rPr>
          <w:i/>
          <w:iCs/>
        </w:rPr>
        <w:t xml:space="preserve">A </w:t>
      </w:r>
      <w:r w:rsidR="00430294">
        <w:rPr>
          <w:i/>
          <w:iCs/>
        </w:rPr>
        <w:t>decriminalised sex-work industry for</w:t>
      </w:r>
      <w:r w:rsidR="00430294" w:rsidRPr="00430294">
        <w:rPr>
          <w:i/>
          <w:iCs/>
        </w:rPr>
        <w:t xml:space="preserve"> Queensland</w:t>
      </w:r>
      <w:r w:rsidR="00962988">
        <w:t>, Report No 80 (March 2023).</w:t>
      </w:r>
    </w:p>
  </w:footnote>
  <w:footnote w:id="3">
    <w:p w14:paraId="348244FD" w14:textId="75AB637F" w:rsidR="0013637E" w:rsidRDefault="0013637E" w:rsidP="0013637E">
      <w:pPr>
        <w:pStyle w:val="FootnoteText"/>
      </w:pPr>
      <w:r>
        <w:rPr>
          <w:rStyle w:val="FootnoteReference"/>
        </w:rPr>
        <w:footnoteRef/>
      </w:r>
      <w:r>
        <w:t xml:space="preserve"> Queensland Human Rights Commission, </w:t>
      </w:r>
      <w:r>
        <w:rPr>
          <w:i/>
          <w:iCs/>
        </w:rPr>
        <w:t>Building belonging – Review of Queensland’s Anti-Discrimination Act 1991</w:t>
      </w:r>
      <w:r>
        <w:t xml:space="preserve"> (July 2022) Recommendation 24.</w:t>
      </w:r>
    </w:p>
  </w:footnote>
  <w:footnote w:id="4">
    <w:p w14:paraId="4DDAA7C2" w14:textId="77777777" w:rsidR="005F7844" w:rsidRPr="00E71C3C" w:rsidRDefault="005F7844" w:rsidP="005F7844">
      <w:pPr>
        <w:pStyle w:val="FootnoteText"/>
      </w:pPr>
      <w:r>
        <w:rPr>
          <w:rStyle w:val="FootnoteReference"/>
        </w:rPr>
        <w:footnoteRef/>
      </w:r>
      <w:r>
        <w:t xml:space="preserve"> </w:t>
      </w:r>
      <w:r>
        <w:rPr>
          <w:i/>
        </w:rPr>
        <w:t xml:space="preserve">Anti-Discrimination Act 1991 </w:t>
      </w:r>
      <w:r>
        <w:t>(Qld) s 106C.</w:t>
      </w:r>
    </w:p>
  </w:footnote>
  <w:footnote w:id="5">
    <w:p w14:paraId="58628E66" w14:textId="77777777" w:rsidR="005F7844" w:rsidRDefault="005F7844" w:rsidP="005F7844">
      <w:pPr>
        <w:pStyle w:val="FootnoteText"/>
      </w:pPr>
      <w:r>
        <w:rPr>
          <w:rStyle w:val="FootnoteReference"/>
        </w:rPr>
        <w:footnoteRef/>
      </w:r>
      <w:r>
        <w:t xml:space="preserve"> </w:t>
      </w:r>
      <w:r>
        <w:rPr>
          <w:i/>
          <w:iCs/>
        </w:rPr>
        <w:t xml:space="preserve">Anti-Discrimination Act 1991 </w:t>
      </w:r>
      <w:r>
        <w:t xml:space="preserve">(Qld) </w:t>
      </w:r>
      <w:r w:rsidRPr="00045417">
        <w:t>Dictionary</w:t>
      </w:r>
      <w:r>
        <w:t xml:space="preserve"> - ‘accommodation’.</w:t>
      </w:r>
    </w:p>
  </w:footnote>
  <w:footnote w:id="6">
    <w:p w14:paraId="1084D8F6" w14:textId="77777777" w:rsidR="00231771" w:rsidRDefault="00231771" w:rsidP="00231771">
      <w:pPr>
        <w:pStyle w:val="FootnoteText"/>
      </w:pPr>
      <w:r>
        <w:rPr>
          <w:rStyle w:val="FootnoteReference"/>
        </w:rPr>
        <w:footnoteRef/>
      </w:r>
      <w:r>
        <w:t xml:space="preserve"> </w:t>
      </w:r>
      <w:r>
        <w:rPr>
          <w:i/>
        </w:rPr>
        <w:t>Decriminalisation of Sex Work Act 2022</w:t>
      </w:r>
      <w:r>
        <w:t xml:space="preserve"> (Vic) s 36.</w:t>
      </w:r>
    </w:p>
  </w:footnote>
  <w:footnote w:id="7">
    <w:p w14:paraId="45425758" w14:textId="77777777" w:rsidR="00707577" w:rsidRPr="000C727B" w:rsidRDefault="00707577" w:rsidP="00707577">
      <w:pPr>
        <w:pStyle w:val="FootnoteText"/>
      </w:pPr>
      <w:r>
        <w:rPr>
          <w:rStyle w:val="FootnoteReference"/>
        </w:rPr>
        <w:footnoteRef/>
      </w:r>
      <w:r w:rsidRPr="000C727B">
        <w:t xml:space="preserve"> See </w:t>
      </w:r>
      <w:r w:rsidRPr="0091000A">
        <w:rPr>
          <w:i/>
          <w:iCs/>
        </w:rPr>
        <w:t xml:space="preserve">GK v </w:t>
      </w:r>
      <w:proofErr w:type="spellStart"/>
      <w:r w:rsidRPr="0091000A">
        <w:rPr>
          <w:i/>
          <w:iCs/>
        </w:rPr>
        <w:t>Dovedeen</w:t>
      </w:r>
      <w:proofErr w:type="spellEnd"/>
      <w:r w:rsidRPr="0091000A">
        <w:rPr>
          <w:i/>
          <w:iCs/>
        </w:rPr>
        <w:t xml:space="preserve"> Pty Ltd &amp; Anor</w:t>
      </w:r>
      <w:r w:rsidRPr="000C727B">
        <w:t xml:space="preserve"> [2012] QCATA 128 for the Appeal Tribunal decision, and </w:t>
      </w:r>
      <w:proofErr w:type="spellStart"/>
      <w:r w:rsidRPr="0091000A">
        <w:rPr>
          <w:i/>
          <w:iCs/>
        </w:rPr>
        <w:t>Dovedeen</w:t>
      </w:r>
      <w:proofErr w:type="spellEnd"/>
      <w:r w:rsidRPr="0091000A">
        <w:rPr>
          <w:i/>
          <w:iCs/>
        </w:rPr>
        <w:t xml:space="preserve"> Pty Ltd v GK</w:t>
      </w:r>
      <w:r w:rsidRPr="000C727B">
        <w:t xml:space="preserve"> [2013] QCA 116 for the Court of Appeal decision.</w:t>
      </w:r>
    </w:p>
  </w:footnote>
  <w:footnote w:id="8">
    <w:p w14:paraId="1D1DA3C3" w14:textId="77777777" w:rsidR="00707577" w:rsidRPr="00762773" w:rsidRDefault="00707577" w:rsidP="00707577">
      <w:pPr>
        <w:pStyle w:val="FootnoteText"/>
      </w:pPr>
      <w:r>
        <w:rPr>
          <w:rStyle w:val="FootnoteReference"/>
        </w:rPr>
        <w:footnoteRef/>
      </w:r>
      <w:r>
        <w:t xml:space="preserve"> </w:t>
      </w:r>
      <w:r w:rsidRPr="00E07997">
        <w:t xml:space="preserve">Queensland, Parliamentary Debates, Legislative Assembly, 1 November 2012, 2382 (JP </w:t>
      </w:r>
      <w:proofErr w:type="spellStart"/>
      <w:r w:rsidRPr="00E07997">
        <w:t>Bleijie</w:t>
      </w:r>
      <w:proofErr w:type="spellEnd"/>
      <w:r w:rsidRPr="00E07997">
        <w:t>, Attorney-General).</w:t>
      </w:r>
    </w:p>
  </w:footnote>
  <w:footnote w:id="9">
    <w:p w14:paraId="32A7AB07" w14:textId="77777777" w:rsidR="000A02A4" w:rsidRPr="00931E3D" w:rsidRDefault="000A02A4" w:rsidP="000A02A4">
      <w:pPr>
        <w:pStyle w:val="FootnoteText"/>
      </w:pPr>
      <w:r>
        <w:rPr>
          <w:rStyle w:val="FootnoteReference"/>
        </w:rPr>
        <w:footnoteRef/>
      </w:r>
      <w:r>
        <w:t xml:space="preserve"> </w:t>
      </w:r>
      <w:r>
        <w:rPr>
          <w:i/>
        </w:rPr>
        <w:t xml:space="preserve">Anti-Discrimination Act 1991 </w:t>
      </w:r>
      <w:r>
        <w:t>(Qld) s 106C.</w:t>
      </w:r>
    </w:p>
  </w:footnote>
  <w:footnote w:id="10">
    <w:p w14:paraId="285F4F06" w14:textId="39414750" w:rsidR="00231771" w:rsidRPr="000C727B" w:rsidRDefault="00231771" w:rsidP="00231771">
      <w:pPr>
        <w:pStyle w:val="FootnoteText"/>
      </w:pPr>
      <w:r>
        <w:rPr>
          <w:rStyle w:val="FootnoteReference"/>
        </w:rPr>
        <w:footnoteRef/>
      </w:r>
      <w:r w:rsidRPr="000C727B">
        <w:t xml:space="preserve"> Harry Hobbs and Andrew Trotter, </w:t>
      </w:r>
      <w:r>
        <w:t>‘</w:t>
      </w:r>
      <w:r w:rsidRPr="00C125EA">
        <w:t>How far have we really come? Civil and political rights in Queensland</w:t>
      </w:r>
      <w:r>
        <w:t>’</w:t>
      </w:r>
      <w:r w:rsidRPr="000C727B">
        <w:t xml:space="preserve"> (2013) 25(2) Bond Law Review 166, 205–6; Scarlet Alliance, The Principles for Model Sex Work Legislation (2014) 75–6, 78</w:t>
      </w:r>
      <w:r>
        <w:t>.</w:t>
      </w:r>
    </w:p>
  </w:footnote>
  <w:footnote w:id="11">
    <w:p w14:paraId="674B705D" w14:textId="77777777" w:rsidR="00231771" w:rsidRDefault="00231771" w:rsidP="00231771">
      <w:pPr>
        <w:pStyle w:val="FootnoteText"/>
      </w:pPr>
      <w:r>
        <w:rPr>
          <w:rStyle w:val="FootnoteReference"/>
        </w:rPr>
        <w:footnoteRef/>
      </w:r>
      <w:r>
        <w:t xml:space="preserve"> </w:t>
      </w:r>
      <w:r w:rsidRPr="00020097">
        <w:rPr>
          <w:i/>
        </w:rPr>
        <w:t>Human Rights Act 2019</w:t>
      </w:r>
      <w:r>
        <w:t xml:space="preserve"> (Qld) s 13.</w:t>
      </w:r>
    </w:p>
  </w:footnote>
  <w:footnote w:id="12">
    <w:p w14:paraId="54228B75" w14:textId="77777777" w:rsidR="00231771" w:rsidRPr="009133F3" w:rsidRDefault="00231771" w:rsidP="00231771">
      <w:pPr>
        <w:pStyle w:val="FootnoteText"/>
      </w:pPr>
      <w:r>
        <w:rPr>
          <w:rStyle w:val="FootnoteReference"/>
        </w:rPr>
        <w:footnoteRef/>
      </w:r>
      <w:r>
        <w:t xml:space="preserve"> </w:t>
      </w:r>
      <w:r>
        <w:rPr>
          <w:i/>
        </w:rPr>
        <w:t xml:space="preserve">Human Rights Act 2019 </w:t>
      </w:r>
      <w:r>
        <w:t>(Qld) s 25.</w:t>
      </w:r>
    </w:p>
  </w:footnote>
  <w:footnote w:id="13">
    <w:p w14:paraId="4C4CE204" w14:textId="77777777" w:rsidR="00231771" w:rsidRDefault="00231771" w:rsidP="00231771">
      <w:pPr>
        <w:pStyle w:val="FootnoteText"/>
      </w:pPr>
      <w:r>
        <w:rPr>
          <w:rStyle w:val="FootnoteReference"/>
        </w:rPr>
        <w:footnoteRef/>
      </w:r>
      <w:r>
        <w:t xml:space="preserve"> </w:t>
      </w:r>
      <w:r>
        <w:rPr>
          <w:i/>
        </w:rPr>
        <w:t xml:space="preserve">Human Rights Act 2019 </w:t>
      </w:r>
      <w:r>
        <w:t>(Qld) s 24.</w:t>
      </w:r>
    </w:p>
  </w:footnote>
  <w:footnote w:id="14">
    <w:p w14:paraId="3C879D7A" w14:textId="77777777" w:rsidR="00231771" w:rsidRDefault="00231771" w:rsidP="00231771">
      <w:pPr>
        <w:pStyle w:val="FootnoteText"/>
      </w:pPr>
      <w:r>
        <w:rPr>
          <w:rStyle w:val="FootnoteReference"/>
        </w:rPr>
        <w:footnoteRef/>
      </w:r>
      <w:r>
        <w:t xml:space="preserve"> Victoria, Parliamentary Debates, Legislative Assembly, 13 October 2021, 3875.</w:t>
      </w:r>
    </w:p>
  </w:footnote>
  <w:footnote w:id="15">
    <w:p w14:paraId="48AF9997" w14:textId="15535D28" w:rsidR="00C650E6" w:rsidRDefault="00C650E6">
      <w:pPr>
        <w:pStyle w:val="FootnoteText"/>
      </w:pPr>
      <w:r>
        <w:rPr>
          <w:rStyle w:val="FootnoteReference"/>
        </w:rPr>
        <w:footnoteRef/>
      </w:r>
      <w:r>
        <w:t xml:space="preserve"> </w:t>
      </w:r>
      <w:r w:rsidR="00B71B1B">
        <w:t xml:space="preserve">Queensland Human Rights Commission, </w:t>
      </w:r>
      <w:r w:rsidR="00B71B1B">
        <w:rPr>
          <w:i/>
          <w:iCs/>
        </w:rPr>
        <w:t>Building belonging – Review of Queensland’s Anti-Discrimination Act 1991</w:t>
      </w:r>
      <w:r w:rsidR="00B71B1B">
        <w:t xml:space="preserve"> (July 2022), </w:t>
      </w:r>
      <w:r w:rsidR="00455EB2">
        <w:t>293</w:t>
      </w:r>
      <w:r>
        <w:t>.</w:t>
      </w:r>
    </w:p>
  </w:footnote>
  <w:footnote w:id="16">
    <w:p w14:paraId="582FFB1E" w14:textId="1C560995" w:rsidR="001303F8" w:rsidRDefault="001303F8">
      <w:pPr>
        <w:pStyle w:val="FootnoteText"/>
      </w:pPr>
      <w:r>
        <w:rPr>
          <w:rStyle w:val="FootnoteReference"/>
        </w:rPr>
        <w:footnoteRef/>
      </w:r>
      <w:r>
        <w:t xml:space="preserve"> </w:t>
      </w:r>
      <w:r w:rsidR="00B71B1B">
        <w:t xml:space="preserve">Queensland Law Reform Commission, </w:t>
      </w:r>
      <w:r w:rsidR="00B71B1B">
        <w:rPr>
          <w:i/>
          <w:iCs/>
        </w:rPr>
        <w:t>A decriminalised sex-work industry for</w:t>
      </w:r>
      <w:r w:rsidR="00B71B1B" w:rsidRPr="00430294">
        <w:rPr>
          <w:i/>
          <w:iCs/>
        </w:rPr>
        <w:t xml:space="preserve"> Queensland</w:t>
      </w:r>
      <w:r w:rsidR="00B71B1B">
        <w:t>, Report No 80 (March 2023),</w:t>
      </w:r>
      <w:r w:rsidR="00D82785" w:rsidRPr="00B71B1B">
        <w:t xml:space="preserve"> 103.</w:t>
      </w:r>
    </w:p>
  </w:footnote>
  <w:footnote w:id="17">
    <w:p w14:paraId="1BABF582" w14:textId="44A4660D" w:rsidR="00D8598F" w:rsidRDefault="00D8598F">
      <w:pPr>
        <w:pStyle w:val="FootnoteText"/>
      </w:pPr>
      <w:r>
        <w:rPr>
          <w:rStyle w:val="FootnoteReference"/>
        </w:rPr>
        <w:footnoteRef/>
      </w:r>
      <w:r>
        <w:t xml:space="preserve"> </w:t>
      </w:r>
      <w:r w:rsidR="00B71B1B">
        <w:t xml:space="preserve">Queensland Human Rights Commission, </w:t>
      </w:r>
      <w:r w:rsidR="00B71B1B">
        <w:rPr>
          <w:i/>
          <w:iCs/>
        </w:rPr>
        <w:t>Building belonging – Review of Queensland’s Anti-Discrimination Act 1991</w:t>
      </w:r>
      <w:r w:rsidR="00B71B1B">
        <w:t xml:space="preserve"> (July 2022), </w:t>
      </w:r>
      <w:r w:rsidR="00A83193">
        <w:t>286-290.</w:t>
      </w:r>
    </w:p>
  </w:footnote>
  <w:footnote w:id="18">
    <w:p w14:paraId="288EC20A" w14:textId="77777777" w:rsidR="000528B0" w:rsidRPr="004C5002" w:rsidRDefault="000528B0" w:rsidP="000528B0">
      <w:pPr>
        <w:pStyle w:val="FootnoteText"/>
      </w:pPr>
      <w:r>
        <w:rPr>
          <w:rStyle w:val="FootnoteReference"/>
        </w:rPr>
        <w:footnoteRef/>
      </w:r>
      <w:r>
        <w:t xml:space="preserve"> </w:t>
      </w:r>
      <w:r>
        <w:rPr>
          <w:i/>
          <w:iCs/>
        </w:rPr>
        <w:t>City of Brisbane Act 2010</w:t>
      </w:r>
      <w:r>
        <w:t xml:space="preserve"> (Qld) – insertion of new s40A Regulation of sex work including a definition of ‘sex work’.</w:t>
      </w:r>
    </w:p>
  </w:footnote>
  <w:footnote w:id="19">
    <w:p w14:paraId="07B6D2BA" w14:textId="77777777" w:rsidR="000528B0" w:rsidRPr="004C5002" w:rsidRDefault="000528B0" w:rsidP="000528B0">
      <w:pPr>
        <w:pStyle w:val="FootnoteText"/>
      </w:pPr>
      <w:r>
        <w:rPr>
          <w:rStyle w:val="FootnoteReference"/>
        </w:rPr>
        <w:footnoteRef/>
      </w:r>
      <w:r>
        <w:t xml:space="preserve"> </w:t>
      </w:r>
      <w:r>
        <w:rPr>
          <w:i/>
          <w:iCs/>
        </w:rPr>
        <w:t xml:space="preserve">Local Government Act 2009 </w:t>
      </w:r>
      <w:r>
        <w:t>(Qld) – insertion of new s37A Regulation of sex work including a definition of ‘sex work’.</w:t>
      </w:r>
    </w:p>
  </w:footnote>
  <w:footnote w:id="20">
    <w:p w14:paraId="0BBEDBED" w14:textId="77777777" w:rsidR="000528B0" w:rsidRPr="004C5002" w:rsidRDefault="000528B0" w:rsidP="000528B0">
      <w:pPr>
        <w:pStyle w:val="FootnoteText"/>
      </w:pPr>
      <w:r>
        <w:rPr>
          <w:rStyle w:val="FootnoteReference"/>
        </w:rPr>
        <w:footnoteRef/>
      </w:r>
      <w:r>
        <w:t xml:space="preserve"> Amendments to the </w:t>
      </w:r>
      <w:r>
        <w:rPr>
          <w:i/>
          <w:iCs/>
        </w:rPr>
        <w:t xml:space="preserve">Introduction Agents Act 2001 </w:t>
      </w:r>
      <w:r>
        <w:t>(Qld), Schedule 2 – definition of ‘sex work’.</w:t>
      </w:r>
    </w:p>
  </w:footnote>
  <w:footnote w:id="21">
    <w:p w14:paraId="5630973F" w14:textId="437F43DC" w:rsidR="0056759F" w:rsidRDefault="0056759F">
      <w:pPr>
        <w:pStyle w:val="FootnoteText"/>
      </w:pPr>
      <w:r>
        <w:rPr>
          <w:rStyle w:val="FootnoteReference"/>
        </w:rPr>
        <w:footnoteRef/>
      </w:r>
      <w:r>
        <w:t xml:space="preserve"> </w:t>
      </w:r>
      <w:r w:rsidR="00342A6B">
        <w:t>Noting that i</w:t>
      </w:r>
      <w:r>
        <w:t xml:space="preserve">n relation to </w:t>
      </w:r>
      <w:r w:rsidR="0010747D">
        <w:t>the absolute liability sections</w:t>
      </w:r>
      <w:r>
        <w:t xml:space="preserve"> of the Bill</w:t>
      </w:r>
      <w:r w:rsidR="0010747D">
        <w:t xml:space="preserve"> which would amend Chapter 22 of the </w:t>
      </w:r>
      <w:r w:rsidR="0010747D">
        <w:rPr>
          <w:i/>
          <w:iCs/>
        </w:rPr>
        <w:t>Criminal Code</w:t>
      </w:r>
      <w:r>
        <w:t xml:space="preserve">, the Statement of Compatibility </w:t>
      </w:r>
      <w:r w:rsidR="0010747D">
        <w:t xml:space="preserve">explicitly identifies that the purpose of the limitation of human rights of the person charged with a criminal offence is to ‘also protect against the exploitation of children aged 16 and 17’. See </w:t>
      </w:r>
      <w:r w:rsidR="0010747D">
        <w:rPr>
          <w:i/>
          <w:iCs/>
        </w:rPr>
        <w:t>Criminal Code (Decriminalising Sex Work) and Other Legislation Amendment Bill 2024</w:t>
      </w:r>
      <w:r w:rsidR="0010747D">
        <w:t>, Statement of Compatibility, 7.</w:t>
      </w:r>
    </w:p>
  </w:footnote>
  <w:footnote w:id="22">
    <w:p w14:paraId="6676A2B2" w14:textId="7F13E69B" w:rsidR="008D5EA8" w:rsidRPr="008D5EA8" w:rsidRDefault="008D5EA8">
      <w:pPr>
        <w:pStyle w:val="FootnoteText"/>
      </w:pPr>
      <w:r>
        <w:rPr>
          <w:rStyle w:val="FootnoteReference"/>
        </w:rPr>
        <w:footnoteRef/>
      </w:r>
      <w:r>
        <w:t xml:space="preserve"> </w:t>
      </w:r>
      <w:r w:rsidR="0010747D">
        <w:rPr>
          <w:i/>
          <w:iCs/>
        </w:rPr>
        <w:t>Criminal Code (Decriminalising Sex Work) and Other Legislation Amendment Bill 2024</w:t>
      </w:r>
      <w:r w:rsidR="005A2A1B">
        <w:t>, Explanatory Notes, 2</w:t>
      </w:r>
      <w:r>
        <w:t>.</w:t>
      </w:r>
    </w:p>
  </w:footnote>
  <w:footnote w:id="23">
    <w:p w14:paraId="697CD255" w14:textId="11B03CF2" w:rsidR="006A798D" w:rsidRPr="00D56F8E" w:rsidRDefault="006A798D">
      <w:pPr>
        <w:pStyle w:val="FootnoteText"/>
      </w:pPr>
      <w:r>
        <w:rPr>
          <w:rStyle w:val="FootnoteReference"/>
        </w:rPr>
        <w:footnoteRef/>
      </w:r>
      <w:r>
        <w:t xml:space="preserve"> </w:t>
      </w:r>
      <w:r>
        <w:rPr>
          <w:i/>
          <w:iCs/>
        </w:rPr>
        <w:t>Criminal Law (Rehabilitation of Offenders) Act 1986</w:t>
      </w:r>
      <w:r w:rsidR="00D56F8E">
        <w:rPr>
          <w:i/>
          <w:iCs/>
        </w:rPr>
        <w:t xml:space="preserve"> </w:t>
      </w:r>
      <w:r w:rsidR="00D56F8E">
        <w:t>(Qld).</w:t>
      </w:r>
    </w:p>
  </w:footnote>
  <w:footnote w:id="24">
    <w:p w14:paraId="51C3B12F" w14:textId="52BF4958" w:rsidR="00D56F8E" w:rsidRDefault="00D56F8E">
      <w:pPr>
        <w:pStyle w:val="FootnoteText"/>
      </w:pPr>
      <w:r>
        <w:rPr>
          <w:rStyle w:val="FootnoteReference"/>
        </w:rPr>
        <w:footnoteRef/>
      </w:r>
      <w:r>
        <w:t xml:space="preserve"> This includes, for example, persons applying to be police officers, corrective services officers, justices of the peace, lawyers and (</w:t>
      </w:r>
      <w:r w:rsidRPr="0010747D">
        <w:t xml:space="preserve">for </w:t>
      </w:r>
      <w:r w:rsidR="00F47B4C" w:rsidRPr="0010747D">
        <w:t>certain types of sexual and other offences</w:t>
      </w:r>
      <w:r w:rsidR="00F47B4C">
        <w:t>) teachers.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ABD3A" w14:textId="77777777" w:rsidR="00C8623B" w:rsidRDefault="00C8623B" w:rsidP="00A82986">
    <w:pPr>
      <w:pStyle w:val="Header"/>
      <w:tabs>
        <w:tab w:val="clear" w:pos="4513"/>
        <w:tab w:val="clear" w:pos="9026"/>
      </w:tabs>
      <w:spacing w:before="240"/>
    </w:pPr>
  </w:p>
  <w:p w14:paraId="147A1EEF" w14:textId="77777777" w:rsidR="00C8623B" w:rsidRDefault="00C862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FDF9B" w14:textId="77777777" w:rsidR="00D64259" w:rsidRPr="000731D3" w:rsidRDefault="00D64259" w:rsidP="00A829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A3EC0" w14:textId="77777777" w:rsidR="00D64259" w:rsidRPr="000731D3" w:rsidRDefault="00150D29" w:rsidP="00A82986">
    <w:pPr>
      <w:pStyle w:val="Header"/>
      <w:rPr>
        <w:rFonts w:cs="Arial"/>
        <w:color w:val="2F5496" w:themeColor="accent1" w:themeShade="BF"/>
      </w:rPr>
    </w:pPr>
    <w:r>
      <w:rPr>
        <w:rFonts w:cs="Arial"/>
        <w:color w:val="2F5496" w:themeColor="accent1" w:themeShade="BF"/>
      </w:rPr>
      <w:t>[title]</w:t>
    </w:r>
  </w:p>
  <w:p w14:paraId="6A56340C" w14:textId="77777777" w:rsidR="00D64259" w:rsidRPr="000731D3" w:rsidRDefault="00D64259" w:rsidP="00A82986">
    <w:pPr>
      <w:pStyle w:val="Header"/>
      <w:pBdr>
        <w:bottom w:val="single" w:sz="4" w:space="1" w:color="auto"/>
      </w:pBdr>
      <w:rPr>
        <w:rFonts w:cs="Arial"/>
        <w:sz w:val="20"/>
        <w:szCs w:val="20"/>
      </w:rPr>
    </w:pPr>
  </w:p>
  <w:p w14:paraId="0817AA92" w14:textId="77777777" w:rsidR="00D64259" w:rsidRPr="000731D3" w:rsidRDefault="00D64259" w:rsidP="00A82986">
    <w:pPr>
      <w:pStyle w:val="Header"/>
      <w:rPr>
        <w:rFonts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34E5A"/>
    <w:multiLevelType w:val="hybridMultilevel"/>
    <w:tmpl w:val="7E48F0E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68D6E33"/>
    <w:multiLevelType w:val="multilevel"/>
    <w:tmpl w:val="30AEE7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8654016"/>
    <w:multiLevelType w:val="hybridMultilevel"/>
    <w:tmpl w:val="114A801A"/>
    <w:lvl w:ilvl="0" w:tplc="A5B8ED1C">
      <w:start w:val="1"/>
      <w:numFmt w:val="bullet"/>
      <w:lvlText w:val="-"/>
      <w:lvlJc w:val="left"/>
      <w:pPr>
        <w:ind w:left="720" w:hanging="360"/>
      </w:pPr>
      <w:rPr>
        <w:rFonts w:ascii="Arial" w:eastAsiaTheme="minorEastAsia"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6065B0"/>
    <w:multiLevelType w:val="hybridMultilevel"/>
    <w:tmpl w:val="59F80E32"/>
    <w:lvl w:ilvl="0" w:tplc="F426F5EC">
      <w:start w:val="1"/>
      <w:numFmt w:val="lowerLetter"/>
      <w:lvlText w:val="%1)"/>
      <w:lvlJc w:val="left"/>
      <w:pPr>
        <w:ind w:left="720" w:hanging="360"/>
      </w:pPr>
      <w:rPr>
        <w:rFonts w:hint="default"/>
        <w:color w:val="44546A" w:themeColor="text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0250E7E"/>
    <w:multiLevelType w:val="multilevel"/>
    <w:tmpl w:val="64429A9E"/>
    <w:lvl w:ilvl="0">
      <w:start w:val="1"/>
      <w:numFmt w:val="decimal"/>
      <w:pStyle w:val="Numberedparagraph"/>
      <w:lvlText w:val="%1."/>
      <w:lvlJc w:val="left"/>
      <w:pPr>
        <w:ind w:left="567" w:hanging="567"/>
      </w:pPr>
    </w:lvl>
    <w:lvl w:ilvl="1">
      <w:start w:val="1"/>
      <w:numFmt w:val="lowerRoman"/>
      <w:lvlText w:val="(%2)"/>
      <w:lvlJc w:val="left"/>
      <w:pPr>
        <w:ind w:left="984" w:hanging="360"/>
      </w:pPr>
      <w:rPr>
        <w:rFonts w:ascii="Arial" w:eastAsiaTheme="minorEastAsia" w:hAnsi="Arial" w:cs="Arial"/>
      </w:rPr>
    </w:lvl>
    <w:lvl w:ilvl="2">
      <w:start w:val="1"/>
      <w:numFmt w:val="lowerRoman"/>
      <w:lvlText w:val="%3."/>
      <w:lvlJc w:val="right"/>
      <w:pPr>
        <w:ind w:left="1247" w:hanging="113"/>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5" w15:restartNumberingAfterBreak="0">
    <w:nsid w:val="1A380936"/>
    <w:multiLevelType w:val="hybridMultilevel"/>
    <w:tmpl w:val="E1AAFA1C"/>
    <w:lvl w:ilvl="0" w:tplc="0C090001">
      <w:start w:val="1"/>
      <w:numFmt w:val="bullet"/>
      <w:lvlText w:val=""/>
      <w:lvlJc w:val="left"/>
      <w:pPr>
        <w:ind w:left="720" w:hanging="360"/>
      </w:pPr>
      <w:rPr>
        <w:rFonts w:ascii="Symbol" w:hAnsi="Symbol" w:hint="default"/>
        <w:b w:val="0"/>
        <w:bCs/>
        <w:i w:val="0"/>
        <w:i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F2B68F1"/>
    <w:multiLevelType w:val="hybridMultilevel"/>
    <w:tmpl w:val="65B68E1E"/>
    <w:lvl w:ilvl="0" w:tplc="19484FF8">
      <w:numFmt w:val="bullet"/>
      <w:lvlText w:val=""/>
      <w:lvlJc w:val="left"/>
      <w:pPr>
        <w:ind w:left="1080" w:hanging="360"/>
      </w:pPr>
      <w:rPr>
        <w:rFonts w:ascii="Symbol" w:eastAsia="Calibri" w:hAnsi="Symbo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20D96BAB"/>
    <w:multiLevelType w:val="hybridMultilevel"/>
    <w:tmpl w:val="7DC2ED66"/>
    <w:lvl w:ilvl="0" w:tplc="0C090001">
      <w:start w:val="1"/>
      <w:numFmt w:val="bullet"/>
      <w:lvlText w:val=""/>
      <w:lvlJc w:val="left"/>
      <w:pPr>
        <w:ind w:left="720" w:hanging="360"/>
      </w:pPr>
      <w:rPr>
        <w:rFonts w:ascii="Symbol" w:hAnsi="Symbol" w:hint="default"/>
        <w:b w:val="0"/>
        <w:bCs/>
        <w:i w:val="0"/>
        <w:iCs/>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DF2624F"/>
    <w:multiLevelType w:val="multilevel"/>
    <w:tmpl w:val="4918A2D8"/>
    <w:lvl w:ilvl="0">
      <w:start w:val="1"/>
      <w:numFmt w:val="decimal"/>
      <w:lvlText w:val="%1."/>
      <w:lvlJc w:val="left"/>
      <w:pPr>
        <w:ind w:left="357" w:hanging="357"/>
      </w:pPr>
      <w:rPr>
        <w:rFonts w:hint="default"/>
      </w:rPr>
    </w:lvl>
    <w:lvl w:ilvl="1">
      <w:start w:val="1"/>
      <w:numFmt w:val="lowerLetter"/>
      <w:lvlText w:val="(%2)"/>
      <w:lvlJc w:val="left"/>
      <w:pPr>
        <w:ind w:left="714" w:hanging="357"/>
      </w:pPr>
      <w:rPr>
        <w:rFonts w:ascii="Arial" w:hAnsi="Arial" w:hint="default"/>
        <w:b w:val="0"/>
        <w:i w:val="0"/>
        <w:sz w:val="24"/>
      </w:rPr>
    </w:lvl>
    <w:lvl w:ilvl="2">
      <w:start w:val="1"/>
      <w:numFmt w:val="lowerRoman"/>
      <w:lvlText w:val="(%3)"/>
      <w:lvlJc w:val="left"/>
      <w:pPr>
        <w:ind w:left="1134" w:hanging="420"/>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9" w15:restartNumberingAfterBreak="0">
    <w:nsid w:val="2EA64D6B"/>
    <w:multiLevelType w:val="hybridMultilevel"/>
    <w:tmpl w:val="7C1493A4"/>
    <w:lvl w:ilvl="0" w:tplc="A5B8ED1C">
      <w:start w:val="1"/>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4862D7C"/>
    <w:multiLevelType w:val="hybridMultilevel"/>
    <w:tmpl w:val="360CB19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4A44030"/>
    <w:multiLevelType w:val="hybridMultilevel"/>
    <w:tmpl w:val="75BC2F90"/>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15:restartNumberingAfterBreak="0">
    <w:nsid w:val="38525FF8"/>
    <w:multiLevelType w:val="hybridMultilevel"/>
    <w:tmpl w:val="F26261DC"/>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15:restartNumberingAfterBreak="0">
    <w:nsid w:val="487F77D8"/>
    <w:multiLevelType w:val="multilevel"/>
    <w:tmpl w:val="88BE498E"/>
    <w:lvl w:ilvl="0">
      <w:start w:val="1"/>
      <w:numFmt w:val="bullet"/>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A073E54"/>
    <w:multiLevelType w:val="hybridMultilevel"/>
    <w:tmpl w:val="643E3796"/>
    <w:lvl w:ilvl="0" w:tplc="3646808E">
      <w:start w:val="9"/>
      <w:numFmt w:val="bullet"/>
      <w:lvlText w:val=""/>
      <w:lvlJc w:val="left"/>
      <w:pPr>
        <w:ind w:left="1069" w:hanging="360"/>
      </w:pPr>
      <w:rPr>
        <w:rFonts w:ascii="Symbol" w:eastAsia="Calibri" w:hAnsi="Symbol" w:cs="Arial" w:hint="default"/>
      </w:rPr>
    </w:lvl>
    <w:lvl w:ilvl="1" w:tplc="0C090003">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15" w15:restartNumberingAfterBreak="0">
    <w:nsid w:val="4DB14587"/>
    <w:multiLevelType w:val="hybridMultilevel"/>
    <w:tmpl w:val="949A464C"/>
    <w:lvl w:ilvl="0" w:tplc="40928A58">
      <w:start w:val="1"/>
      <w:numFmt w:val="decimal"/>
      <w:lvlText w:val="%1."/>
      <w:lvlJc w:val="left"/>
      <w:pPr>
        <w:ind w:left="1077" w:hanging="360"/>
      </w:pPr>
    </w:lvl>
    <w:lvl w:ilvl="1" w:tplc="7098FF66">
      <w:start w:val="1"/>
      <w:numFmt w:val="lowerLetter"/>
      <w:lvlText w:val="(%2)"/>
      <w:lvlJc w:val="left"/>
      <w:pPr>
        <w:ind w:left="1797" w:hanging="360"/>
      </w:pPr>
      <w:rPr>
        <w:rFonts w:ascii="Arial" w:hAnsi="Arial" w:hint="default"/>
        <w:b w:val="0"/>
        <w:i w:val="0"/>
        <w:sz w:val="24"/>
      </w:rPr>
    </w:lvl>
    <w:lvl w:ilvl="2" w:tplc="B908F1CC">
      <w:start w:val="1"/>
      <w:numFmt w:val="lowerRoman"/>
      <w:lvlText w:val="(%3)"/>
      <w:lvlJc w:val="right"/>
      <w:pPr>
        <w:ind w:left="2517" w:hanging="180"/>
      </w:pPr>
      <w:rPr>
        <w:rFonts w:hint="default"/>
      </w:r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6" w15:restartNumberingAfterBreak="0">
    <w:nsid w:val="4E5F5D97"/>
    <w:multiLevelType w:val="hybridMultilevel"/>
    <w:tmpl w:val="8030149C"/>
    <w:lvl w:ilvl="0" w:tplc="5F944412">
      <w:start w:val="1"/>
      <w:numFmt w:val="bullet"/>
      <w:lvlText w:val=""/>
      <w:lvlJc w:val="left"/>
      <w:pPr>
        <w:ind w:left="1440" w:hanging="360"/>
      </w:pPr>
      <w:rPr>
        <w:rFonts w:ascii="Wingdings" w:hAnsi="Wingdings" w:hint="default"/>
        <w:sz w:val="20"/>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4FB80E0A"/>
    <w:multiLevelType w:val="hybridMultilevel"/>
    <w:tmpl w:val="6518AFD2"/>
    <w:lvl w:ilvl="0" w:tplc="59FC7D9C">
      <w:start w:val="1"/>
      <w:numFmt w:val="lowerLetter"/>
      <w:lvlText w:val="(%1)"/>
      <w:lvlJc w:val="left"/>
      <w:pPr>
        <w:ind w:left="1636" w:hanging="360"/>
      </w:pPr>
      <w:rPr>
        <w:rFonts w:hint="default"/>
      </w:rPr>
    </w:lvl>
    <w:lvl w:ilvl="1" w:tplc="0C090019" w:tentative="1">
      <w:start w:val="1"/>
      <w:numFmt w:val="lowerLetter"/>
      <w:lvlText w:val="%2."/>
      <w:lvlJc w:val="left"/>
      <w:pPr>
        <w:ind w:left="2356" w:hanging="360"/>
      </w:pPr>
    </w:lvl>
    <w:lvl w:ilvl="2" w:tplc="0C09001B" w:tentative="1">
      <w:start w:val="1"/>
      <w:numFmt w:val="lowerRoman"/>
      <w:lvlText w:val="%3."/>
      <w:lvlJc w:val="right"/>
      <w:pPr>
        <w:ind w:left="3076" w:hanging="180"/>
      </w:pPr>
    </w:lvl>
    <w:lvl w:ilvl="3" w:tplc="0C09000F" w:tentative="1">
      <w:start w:val="1"/>
      <w:numFmt w:val="decimal"/>
      <w:lvlText w:val="%4."/>
      <w:lvlJc w:val="left"/>
      <w:pPr>
        <w:ind w:left="3796" w:hanging="360"/>
      </w:pPr>
    </w:lvl>
    <w:lvl w:ilvl="4" w:tplc="0C090019" w:tentative="1">
      <w:start w:val="1"/>
      <w:numFmt w:val="lowerLetter"/>
      <w:lvlText w:val="%5."/>
      <w:lvlJc w:val="left"/>
      <w:pPr>
        <w:ind w:left="4516" w:hanging="360"/>
      </w:pPr>
    </w:lvl>
    <w:lvl w:ilvl="5" w:tplc="0C09001B" w:tentative="1">
      <w:start w:val="1"/>
      <w:numFmt w:val="lowerRoman"/>
      <w:lvlText w:val="%6."/>
      <w:lvlJc w:val="right"/>
      <w:pPr>
        <w:ind w:left="5236" w:hanging="180"/>
      </w:pPr>
    </w:lvl>
    <w:lvl w:ilvl="6" w:tplc="0C09000F" w:tentative="1">
      <w:start w:val="1"/>
      <w:numFmt w:val="decimal"/>
      <w:lvlText w:val="%7."/>
      <w:lvlJc w:val="left"/>
      <w:pPr>
        <w:ind w:left="5956" w:hanging="360"/>
      </w:pPr>
    </w:lvl>
    <w:lvl w:ilvl="7" w:tplc="0C090019" w:tentative="1">
      <w:start w:val="1"/>
      <w:numFmt w:val="lowerLetter"/>
      <w:lvlText w:val="%8."/>
      <w:lvlJc w:val="left"/>
      <w:pPr>
        <w:ind w:left="6676" w:hanging="360"/>
      </w:pPr>
    </w:lvl>
    <w:lvl w:ilvl="8" w:tplc="0C09001B" w:tentative="1">
      <w:start w:val="1"/>
      <w:numFmt w:val="lowerRoman"/>
      <w:lvlText w:val="%9."/>
      <w:lvlJc w:val="right"/>
      <w:pPr>
        <w:ind w:left="7396" w:hanging="180"/>
      </w:pPr>
    </w:lvl>
  </w:abstractNum>
  <w:abstractNum w:abstractNumId="18" w15:restartNumberingAfterBreak="0">
    <w:nsid w:val="502C75D7"/>
    <w:multiLevelType w:val="hybridMultilevel"/>
    <w:tmpl w:val="3C1A3DFA"/>
    <w:lvl w:ilvl="0" w:tplc="5A6AE810">
      <w:start w:val="4"/>
      <w:numFmt w:val="bullet"/>
      <w:lvlText w:val=""/>
      <w:lvlJc w:val="left"/>
      <w:pPr>
        <w:ind w:left="927" w:hanging="360"/>
      </w:pPr>
      <w:rPr>
        <w:rFonts w:ascii="Symbol" w:eastAsiaTheme="minorEastAsia" w:hAnsi="Symbol" w:cs="Aria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19" w15:restartNumberingAfterBreak="0">
    <w:nsid w:val="50657E41"/>
    <w:multiLevelType w:val="multilevel"/>
    <w:tmpl w:val="30AEE7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9346E67"/>
    <w:multiLevelType w:val="hybridMultilevel"/>
    <w:tmpl w:val="CEC86A7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E633906"/>
    <w:multiLevelType w:val="hybridMultilevel"/>
    <w:tmpl w:val="360CB19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2AE01D7"/>
    <w:multiLevelType w:val="hybridMultilevel"/>
    <w:tmpl w:val="88BE498E"/>
    <w:lvl w:ilvl="0" w:tplc="7CC885D6">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287D80"/>
    <w:multiLevelType w:val="hybridMultilevel"/>
    <w:tmpl w:val="C4127F2C"/>
    <w:lvl w:ilvl="0" w:tplc="37261572">
      <w:start w:val="1"/>
      <w:numFmt w:val="bullet"/>
      <w:pStyle w:val="Listparagraph-bulleted"/>
      <w:lvlText w:val=""/>
      <w:lvlJc w:val="left"/>
      <w:pPr>
        <w:ind w:left="1170" w:hanging="360"/>
      </w:pPr>
      <w:rPr>
        <w:rFonts w:ascii="Symbol" w:hAnsi="Symbol" w:hint="default"/>
      </w:rPr>
    </w:lvl>
    <w:lvl w:ilvl="1" w:tplc="0C090003">
      <w:start w:val="1"/>
      <w:numFmt w:val="bullet"/>
      <w:lvlText w:val="o"/>
      <w:lvlJc w:val="left"/>
      <w:pPr>
        <w:ind w:left="1890" w:hanging="360"/>
      </w:pPr>
      <w:rPr>
        <w:rFonts w:ascii="Courier New" w:hAnsi="Courier New" w:cs="Courier New" w:hint="default"/>
      </w:rPr>
    </w:lvl>
    <w:lvl w:ilvl="2" w:tplc="0C090005" w:tentative="1">
      <w:start w:val="1"/>
      <w:numFmt w:val="bullet"/>
      <w:lvlText w:val=""/>
      <w:lvlJc w:val="left"/>
      <w:pPr>
        <w:ind w:left="2610" w:hanging="360"/>
      </w:pPr>
      <w:rPr>
        <w:rFonts w:ascii="Wingdings" w:hAnsi="Wingdings" w:hint="default"/>
      </w:rPr>
    </w:lvl>
    <w:lvl w:ilvl="3" w:tplc="0C090001" w:tentative="1">
      <w:start w:val="1"/>
      <w:numFmt w:val="bullet"/>
      <w:lvlText w:val=""/>
      <w:lvlJc w:val="left"/>
      <w:pPr>
        <w:ind w:left="3330" w:hanging="360"/>
      </w:pPr>
      <w:rPr>
        <w:rFonts w:ascii="Symbol" w:hAnsi="Symbol" w:hint="default"/>
      </w:rPr>
    </w:lvl>
    <w:lvl w:ilvl="4" w:tplc="0C090003" w:tentative="1">
      <w:start w:val="1"/>
      <w:numFmt w:val="bullet"/>
      <w:lvlText w:val="o"/>
      <w:lvlJc w:val="left"/>
      <w:pPr>
        <w:ind w:left="4050" w:hanging="360"/>
      </w:pPr>
      <w:rPr>
        <w:rFonts w:ascii="Courier New" w:hAnsi="Courier New" w:cs="Courier New" w:hint="default"/>
      </w:rPr>
    </w:lvl>
    <w:lvl w:ilvl="5" w:tplc="0C090005" w:tentative="1">
      <w:start w:val="1"/>
      <w:numFmt w:val="bullet"/>
      <w:lvlText w:val=""/>
      <w:lvlJc w:val="left"/>
      <w:pPr>
        <w:ind w:left="4770" w:hanging="360"/>
      </w:pPr>
      <w:rPr>
        <w:rFonts w:ascii="Wingdings" w:hAnsi="Wingdings" w:hint="default"/>
      </w:rPr>
    </w:lvl>
    <w:lvl w:ilvl="6" w:tplc="0C090001" w:tentative="1">
      <w:start w:val="1"/>
      <w:numFmt w:val="bullet"/>
      <w:lvlText w:val=""/>
      <w:lvlJc w:val="left"/>
      <w:pPr>
        <w:ind w:left="5490" w:hanging="360"/>
      </w:pPr>
      <w:rPr>
        <w:rFonts w:ascii="Symbol" w:hAnsi="Symbol" w:hint="default"/>
      </w:rPr>
    </w:lvl>
    <w:lvl w:ilvl="7" w:tplc="0C090003" w:tentative="1">
      <w:start w:val="1"/>
      <w:numFmt w:val="bullet"/>
      <w:lvlText w:val="o"/>
      <w:lvlJc w:val="left"/>
      <w:pPr>
        <w:ind w:left="6210" w:hanging="360"/>
      </w:pPr>
      <w:rPr>
        <w:rFonts w:ascii="Courier New" w:hAnsi="Courier New" w:cs="Courier New" w:hint="default"/>
      </w:rPr>
    </w:lvl>
    <w:lvl w:ilvl="8" w:tplc="0C090005" w:tentative="1">
      <w:start w:val="1"/>
      <w:numFmt w:val="bullet"/>
      <w:lvlText w:val=""/>
      <w:lvlJc w:val="left"/>
      <w:pPr>
        <w:ind w:left="6930" w:hanging="360"/>
      </w:pPr>
      <w:rPr>
        <w:rFonts w:ascii="Wingdings" w:hAnsi="Wingdings" w:hint="default"/>
      </w:rPr>
    </w:lvl>
  </w:abstractNum>
  <w:abstractNum w:abstractNumId="24" w15:restartNumberingAfterBreak="0">
    <w:nsid w:val="658E4DE9"/>
    <w:multiLevelType w:val="multilevel"/>
    <w:tmpl w:val="30AEE7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5DF755A"/>
    <w:multiLevelType w:val="hybridMultilevel"/>
    <w:tmpl w:val="7D1AE196"/>
    <w:lvl w:ilvl="0" w:tplc="8E0CD5B8">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6" w15:restartNumberingAfterBreak="0">
    <w:nsid w:val="665D5C79"/>
    <w:multiLevelType w:val="hybridMultilevel"/>
    <w:tmpl w:val="14A6805C"/>
    <w:lvl w:ilvl="0" w:tplc="7DCC6138">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7" w15:restartNumberingAfterBreak="0">
    <w:nsid w:val="680E217B"/>
    <w:multiLevelType w:val="multilevel"/>
    <w:tmpl w:val="2F949630"/>
    <w:lvl w:ilvl="0">
      <w:start w:val="1"/>
      <w:numFmt w:val="bullet"/>
      <w:pStyle w:val="Bulletedlist"/>
      <w:lvlText w:val=""/>
      <w:lvlJc w:val="left"/>
      <w:pPr>
        <w:ind w:left="1287" w:hanging="567"/>
      </w:pPr>
      <w:rPr>
        <w:rFonts w:ascii="Symbol" w:hAnsi="Symbol" w:hint="default"/>
      </w:rPr>
    </w:lvl>
    <w:lvl w:ilvl="1">
      <w:start w:val="1"/>
      <w:numFmt w:val="bullet"/>
      <w:lvlText w:val=""/>
      <w:lvlJc w:val="left"/>
      <w:pPr>
        <w:ind w:left="1627" w:hanging="283"/>
      </w:pPr>
      <w:rPr>
        <w:rFonts w:ascii="Symbol" w:hAnsi="Symbol" w:hint="default"/>
        <w:b w:val="0"/>
        <w:i w:val="0"/>
        <w:sz w:val="24"/>
      </w:rPr>
    </w:lvl>
    <w:lvl w:ilvl="2">
      <w:start w:val="1"/>
      <w:numFmt w:val="lowerRoman"/>
      <w:lvlText w:val="%3."/>
      <w:lvlJc w:val="right"/>
      <w:pPr>
        <w:ind w:left="1967" w:hanging="113"/>
      </w:pPr>
      <w:rPr>
        <w:rFonts w:hint="default"/>
      </w:rPr>
    </w:lvl>
    <w:lvl w:ilvl="3">
      <w:start w:val="1"/>
      <w:numFmt w:val="decimal"/>
      <w:lvlText w:val="%4."/>
      <w:lvlJc w:val="left"/>
      <w:pPr>
        <w:ind w:left="2148" w:hanging="357"/>
      </w:pPr>
      <w:rPr>
        <w:rFonts w:hint="default"/>
      </w:rPr>
    </w:lvl>
    <w:lvl w:ilvl="4">
      <w:start w:val="1"/>
      <w:numFmt w:val="lowerLetter"/>
      <w:lvlText w:val="%5."/>
      <w:lvlJc w:val="left"/>
      <w:pPr>
        <w:ind w:left="2505" w:hanging="357"/>
      </w:pPr>
      <w:rPr>
        <w:rFonts w:hint="default"/>
      </w:rPr>
    </w:lvl>
    <w:lvl w:ilvl="5">
      <w:start w:val="1"/>
      <w:numFmt w:val="lowerRoman"/>
      <w:lvlText w:val="%6."/>
      <w:lvlJc w:val="right"/>
      <w:pPr>
        <w:ind w:left="2862" w:hanging="357"/>
      </w:pPr>
      <w:rPr>
        <w:rFonts w:hint="default"/>
      </w:rPr>
    </w:lvl>
    <w:lvl w:ilvl="6">
      <w:start w:val="1"/>
      <w:numFmt w:val="decimal"/>
      <w:lvlText w:val="%7."/>
      <w:lvlJc w:val="left"/>
      <w:pPr>
        <w:ind w:left="3219" w:hanging="357"/>
      </w:pPr>
      <w:rPr>
        <w:rFonts w:hint="default"/>
      </w:rPr>
    </w:lvl>
    <w:lvl w:ilvl="7">
      <w:start w:val="1"/>
      <w:numFmt w:val="lowerLetter"/>
      <w:lvlText w:val="%8."/>
      <w:lvlJc w:val="left"/>
      <w:pPr>
        <w:ind w:left="3576" w:hanging="357"/>
      </w:pPr>
      <w:rPr>
        <w:rFonts w:hint="default"/>
      </w:rPr>
    </w:lvl>
    <w:lvl w:ilvl="8">
      <w:start w:val="1"/>
      <w:numFmt w:val="lowerRoman"/>
      <w:lvlText w:val="%9."/>
      <w:lvlJc w:val="right"/>
      <w:pPr>
        <w:ind w:left="3933" w:hanging="357"/>
      </w:pPr>
      <w:rPr>
        <w:rFonts w:hint="default"/>
      </w:rPr>
    </w:lvl>
  </w:abstractNum>
  <w:abstractNum w:abstractNumId="28" w15:restartNumberingAfterBreak="0">
    <w:nsid w:val="69106B20"/>
    <w:multiLevelType w:val="hybridMultilevel"/>
    <w:tmpl w:val="E0F81B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9F52E4F"/>
    <w:multiLevelType w:val="hybridMultilevel"/>
    <w:tmpl w:val="80408CEC"/>
    <w:lvl w:ilvl="0" w:tplc="4156D262">
      <w:numFmt w:val="bullet"/>
      <w:lvlText w:val=""/>
      <w:lvlJc w:val="left"/>
      <w:pPr>
        <w:ind w:left="1080" w:hanging="360"/>
      </w:pPr>
      <w:rPr>
        <w:rFonts w:ascii="Symbol" w:eastAsia="Calibri" w:hAnsi="Symbo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0" w15:restartNumberingAfterBreak="0">
    <w:nsid w:val="6AA76568"/>
    <w:multiLevelType w:val="hybridMultilevel"/>
    <w:tmpl w:val="AB2C332A"/>
    <w:lvl w:ilvl="0" w:tplc="27900748">
      <w:start w:val="1"/>
      <w:numFmt w:val="decimal"/>
      <w:pStyle w:val="NumberedPara"/>
      <w:lvlText w:val="%1."/>
      <w:lvlJc w:val="left"/>
      <w:pPr>
        <w:ind w:left="1069"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ABC7826"/>
    <w:multiLevelType w:val="hybridMultilevel"/>
    <w:tmpl w:val="A86E13A4"/>
    <w:lvl w:ilvl="0" w:tplc="E94248AE">
      <w:start w:val="1"/>
      <w:numFmt w:val="decimal"/>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32" w15:restartNumberingAfterBreak="0">
    <w:nsid w:val="721C5E17"/>
    <w:multiLevelType w:val="hybridMultilevel"/>
    <w:tmpl w:val="9F448C52"/>
    <w:lvl w:ilvl="0" w:tplc="13620EE4">
      <w:start w:val="1"/>
      <w:numFmt w:val="bullet"/>
      <w:lvlText w:val=""/>
      <w:lvlJc w:val="left"/>
      <w:pPr>
        <w:ind w:left="2030" w:hanging="360"/>
      </w:pPr>
      <w:rPr>
        <w:rFonts w:ascii="Wingdings" w:hAnsi="Wingdings" w:hint="default"/>
      </w:rPr>
    </w:lvl>
    <w:lvl w:ilvl="1" w:tplc="04090003" w:tentative="1">
      <w:start w:val="1"/>
      <w:numFmt w:val="bullet"/>
      <w:lvlText w:val="o"/>
      <w:lvlJc w:val="left"/>
      <w:pPr>
        <w:ind w:left="2750" w:hanging="360"/>
      </w:pPr>
      <w:rPr>
        <w:rFonts w:ascii="Courier New" w:hAnsi="Courier New" w:hint="default"/>
      </w:rPr>
    </w:lvl>
    <w:lvl w:ilvl="2" w:tplc="04090005" w:tentative="1">
      <w:start w:val="1"/>
      <w:numFmt w:val="bullet"/>
      <w:lvlText w:val=""/>
      <w:lvlJc w:val="left"/>
      <w:pPr>
        <w:ind w:left="3470" w:hanging="360"/>
      </w:pPr>
      <w:rPr>
        <w:rFonts w:ascii="Wingdings" w:hAnsi="Wingdings" w:hint="default"/>
      </w:rPr>
    </w:lvl>
    <w:lvl w:ilvl="3" w:tplc="04090001" w:tentative="1">
      <w:start w:val="1"/>
      <w:numFmt w:val="bullet"/>
      <w:lvlText w:val=""/>
      <w:lvlJc w:val="left"/>
      <w:pPr>
        <w:ind w:left="4190" w:hanging="360"/>
      </w:pPr>
      <w:rPr>
        <w:rFonts w:ascii="Symbol" w:hAnsi="Symbol" w:hint="default"/>
      </w:rPr>
    </w:lvl>
    <w:lvl w:ilvl="4" w:tplc="04090003" w:tentative="1">
      <w:start w:val="1"/>
      <w:numFmt w:val="bullet"/>
      <w:lvlText w:val="o"/>
      <w:lvlJc w:val="left"/>
      <w:pPr>
        <w:ind w:left="4910" w:hanging="360"/>
      </w:pPr>
      <w:rPr>
        <w:rFonts w:ascii="Courier New" w:hAnsi="Courier New" w:hint="default"/>
      </w:rPr>
    </w:lvl>
    <w:lvl w:ilvl="5" w:tplc="04090005" w:tentative="1">
      <w:start w:val="1"/>
      <w:numFmt w:val="bullet"/>
      <w:lvlText w:val=""/>
      <w:lvlJc w:val="left"/>
      <w:pPr>
        <w:ind w:left="5630" w:hanging="360"/>
      </w:pPr>
      <w:rPr>
        <w:rFonts w:ascii="Wingdings" w:hAnsi="Wingdings" w:hint="default"/>
      </w:rPr>
    </w:lvl>
    <w:lvl w:ilvl="6" w:tplc="04090001" w:tentative="1">
      <w:start w:val="1"/>
      <w:numFmt w:val="bullet"/>
      <w:lvlText w:val=""/>
      <w:lvlJc w:val="left"/>
      <w:pPr>
        <w:ind w:left="6350" w:hanging="360"/>
      </w:pPr>
      <w:rPr>
        <w:rFonts w:ascii="Symbol" w:hAnsi="Symbol" w:hint="default"/>
      </w:rPr>
    </w:lvl>
    <w:lvl w:ilvl="7" w:tplc="04090003" w:tentative="1">
      <w:start w:val="1"/>
      <w:numFmt w:val="bullet"/>
      <w:lvlText w:val="o"/>
      <w:lvlJc w:val="left"/>
      <w:pPr>
        <w:ind w:left="7070" w:hanging="360"/>
      </w:pPr>
      <w:rPr>
        <w:rFonts w:ascii="Courier New" w:hAnsi="Courier New" w:hint="default"/>
      </w:rPr>
    </w:lvl>
    <w:lvl w:ilvl="8" w:tplc="04090005" w:tentative="1">
      <w:start w:val="1"/>
      <w:numFmt w:val="bullet"/>
      <w:lvlText w:val=""/>
      <w:lvlJc w:val="left"/>
      <w:pPr>
        <w:ind w:left="7790" w:hanging="360"/>
      </w:pPr>
      <w:rPr>
        <w:rFonts w:ascii="Wingdings" w:hAnsi="Wingdings" w:hint="default"/>
      </w:rPr>
    </w:lvl>
  </w:abstractNum>
  <w:abstractNum w:abstractNumId="33" w15:restartNumberingAfterBreak="0">
    <w:nsid w:val="74233592"/>
    <w:multiLevelType w:val="hybridMultilevel"/>
    <w:tmpl w:val="E722BF8C"/>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45E0806"/>
    <w:multiLevelType w:val="hybridMultilevel"/>
    <w:tmpl w:val="BCEA0F00"/>
    <w:lvl w:ilvl="0" w:tplc="02885366">
      <w:start w:val="1"/>
      <w:numFmt w:val="decimal"/>
      <w:lvlText w:val="(%1)"/>
      <w:lvlJc w:val="left"/>
      <w:pPr>
        <w:ind w:left="1800" w:hanging="360"/>
      </w:pPr>
      <w:rPr>
        <w:rFonts w:hint="default"/>
      </w:rPr>
    </w:lvl>
    <w:lvl w:ilvl="1" w:tplc="9DE4B894">
      <w:start w:val="1"/>
      <w:numFmt w:val="lowerLetter"/>
      <w:lvlText w:val="(%2)"/>
      <w:lvlJc w:val="left"/>
      <w:pPr>
        <w:ind w:left="2520" w:hanging="360"/>
      </w:pPr>
      <w:rPr>
        <w:rFonts w:hint="default"/>
      </w:r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5" w15:restartNumberingAfterBreak="0">
    <w:nsid w:val="7EBA6DF0"/>
    <w:multiLevelType w:val="hybridMultilevel"/>
    <w:tmpl w:val="939EBB1E"/>
    <w:lvl w:ilvl="0" w:tplc="16B80510">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1322463078">
    <w:abstractNumId w:val="22"/>
  </w:num>
  <w:num w:numId="2" w16cid:durableId="1066687521">
    <w:abstractNumId w:val="13"/>
  </w:num>
  <w:num w:numId="3" w16cid:durableId="2101902865">
    <w:abstractNumId w:val="32"/>
  </w:num>
  <w:num w:numId="4" w16cid:durableId="105201590">
    <w:abstractNumId w:val="15"/>
  </w:num>
  <w:num w:numId="5" w16cid:durableId="1985237744">
    <w:abstractNumId w:val="19"/>
  </w:num>
  <w:num w:numId="6" w16cid:durableId="2068647225">
    <w:abstractNumId w:val="24"/>
  </w:num>
  <w:num w:numId="7" w16cid:durableId="1880318908">
    <w:abstractNumId w:val="1"/>
  </w:num>
  <w:num w:numId="8" w16cid:durableId="1209343973">
    <w:abstractNumId w:val="16"/>
  </w:num>
  <w:num w:numId="9" w16cid:durableId="675574352">
    <w:abstractNumId w:val="31"/>
  </w:num>
  <w:num w:numId="10" w16cid:durableId="1539001954">
    <w:abstractNumId w:val="34"/>
  </w:num>
  <w:num w:numId="11" w16cid:durableId="1864785499">
    <w:abstractNumId w:val="26"/>
  </w:num>
  <w:num w:numId="12" w16cid:durableId="859322547">
    <w:abstractNumId w:val="17"/>
  </w:num>
  <w:num w:numId="13" w16cid:durableId="1106510175">
    <w:abstractNumId w:val="4"/>
  </w:num>
  <w:num w:numId="14" w16cid:durableId="1375732183">
    <w:abstractNumId w:val="8"/>
  </w:num>
  <w:num w:numId="15" w16cid:durableId="1795515111">
    <w:abstractNumId w:val="15"/>
    <w:lvlOverride w:ilvl="0">
      <w:lvl w:ilvl="0" w:tplc="40928A58">
        <w:start w:val="1"/>
        <w:numFmt w:val="decimal"/>
        <w:lvlText w:val="%1."/>
        <w:lvlJc w:val="left"/>
        <w:pPr>
          <w:ind w:left="720" w:hanging="360"/>
        </w:pPr>
        <w:rPr>
          <w:rFonts w:hint="default"/>
        </w:rPr>
      </w:lvl>
    </w:lvlOverride>
    <w:lvlOverride w:ilvl="1">
      <w:lvl w:ilvl="1" w:tplc="7098FF66">
        <w:start w:val="1"/>
        <w:numFmt w:val="lowerLetter"/>
        <w:lvlText w:val="(%2)"/>
        <w:lvlJc w:val="left"/>
        <w:pPr>
          <w:ind w:left="1440" w:hanging="1083"/>
        </w:pPr>
        <w:rPr>
          <w:rFonts w:ascii="Arial" w:hAnsi="Arial" w:hint="default"/>
          <w:b w:val="0"/>
          <w:i w:val="0"/>
          <w:sz w:val="24"/>
        </w:rPr>
      </w:lvl>
    </w:lvlOverride>
    <w:lvlOverride w:ilvl="2">
      <w:lvl w:ilvl="2" w:tplc="B908F1CC">
        <w:start w:val="1"/>
        <w:numFmt w:val="lowerRoman"/>
        <w:lvlText w:val="(%3)"/>
        <w:lvlJc w:val="right"/>
        <w:pPr>
          <w:ind w:left="2160" w:hanging="180"/>
        </w:pPr>
        <w:rPr>
          <w:rFonts w:hint="default"/>
        </w:rPr>
      </w:lvl>
    </w:lvlOverride>
    <w:lvlOverride w:ilvl="3">
      <w:lvl w:ilvl="3" w:tplc="0409000F">
        <w:start w:val="1"/>
        <w:numFmt w:val="decimal"/>
        <w:lvlText w:val="%4."/>
        <w:lvlJc w:val="left"/>
        <w:pPr>
          <w:ind w:left="2880" w:hanging="360"/>
        </w:pPr>
        <w:rPr>
          <w:rFonts w:hint="default"/>
        </w:rPr>
      </w:lvl>
    </w:lvlOverride>
    <w:lvlOverride w:ilvl="4">
      <w:lvl w:ilvl="4" w:tplc="04090019">
        <w:start w:val="1"/>
        <w:numFmt w:val="lowerLetter"/>
        <w:lvlText w:val="%5."/>
        <w:lvlJc w:val="left"/>
        <w:pPr>
          <w:ind w:left="3600" w:hanging="360"/>
        </w:pPr>
        <w:rPr>
          <w:rFonts w:hint="default"/>
        </w:rPr>
      </w:lvl>
    </w:lvlOverride>
    <w:lvlOverride w:ilvl="5">
      <w:lvl w:ilvl="5" w:tplc="0409001B">
        <w:start w:val="1"/>
        <w:numFmt w:val="lowerRoman"/>
        <w:lvlText w:val="%6."/>
        <w:lvlJc w:val="right"/>
        <w:pPr>
          <w:ind w:left="4320" w:hanging="180"/>
        </w:pPr>
        <w:rPr>
          <w:rFonts w:hint="default"/>
        </w:rPr>
      </w:lvl>
    </w:lvlOverride>
    <w:lvlOverride w:ilvl="6">
      <w:lvl w:ilvl="6" w:tplc="0409000F">
        <w:start w:val="1"/>
        <w:numFmt w:val="decimal"/>
        <w:lvlText w:val="%7."/>
        <w:lvlJc w:val="left"/>
        <w:pPr>
          <w:ind w:left="5040" w:hanging="360"/>
        </w:pPr>
        <w:rPr>
          <w:rFonts w:hint="default"/>
        </w:rPr>
      </w:lvl>
    </w:lvlOverride>
    <w:lvlOverride w:ilvl="7">
      <w:lvl w:ilvl="7" w:tplc="04090019">
        <w:start w:val="1"/>
        <w:numFmt w:val="lowerLetter"/>
        <w:lvlText w:val="%8."/>
        <w:lvlJc w:val="left"/>
        <w:pPr>
          <w:ind w:left="5760" w:hanging="360"/>
        </w:pPr>
        <w:rPr>
          <w:rFonts w:hint="default"/>
        </w:rPr>
      </w:lvl>
    </w:lvlOverride>
    <w:lvlOverride w:ilvl="8">
      <w:lvl w:ilvl="8" w:tplc="0409001B">
        <w:start w:val="1"/>
        <w:numFmt w:val="lowerRoman"/>
        <w:lvlText w:val="%9."/>
        <w:lvlJc w:val="right"/>
        <w:pPr>
          <w:ind w:left="6480" w:hanging="180"/>
        </w:pPr>
        <w:rPr>
          <w:rFonts w:hint="default"/>
        </w:rPr>
      </w:lvl>
    </w:lvlOverride>
  </w:num>
  <w:num w:numId="16" w16cid:durableId="880433786">
    <w:abstractNumId w:val="27"/>
  </w:num>
  <w:num w:numId="17" w16cid:durableId="1356271999">
    <w:abstractNumId w:val="30"/>
  </w:num>
  <w:num w:numId="18" w16cid:durableId="1461190712">
    <w:abstractNumId w:val="6"/>
  </w:num>
  <w:num w:numId="19" w16cid:durableId="1882744625">
    <w:abstractNumId w:val="35"/>
  </w:num>
  <w:num w:numId="20" w16cid:durableId="1251817498">
    <w:abstractNumId w:val="0"/>
  </w:num>
  <w:num w:numId="21" w16cid:durableId="1582179474">
    <w:abstractNumId w:val="33"/>
  </w:num>
  <w:num w:numId="22" w16cid:durableId="1665474361">
    <w:abstractNumId w:val="21"/>
  </w:num>
  <w:num w:numId="23" w16cid:durableId="1044603164">
    <w:abstractNumId w:val="2"/>
  </w:num>
  <w:num w:numId="24" w16cid:durableId="307784303">
    <w:abstractNumId w:val="10"/>
  </w:num>
  <w:num w:numId="25" w16cid:durableId="1114062285">
    <w:abstractNumId w:val="5"/>
  </w:num>
  <w:num w:numId="26" w16cid:durableId="33845741">
    <w:abstractNumId w:val="3"/>
  </w:num>
  <w:num w:numId="27" w16cid:durableId="474883335">
    <w:abstractNumId w:val="11"/>
  </w:num>
  <w:num w:numId="28" w16cid:durableId="1963344337">
    <w:abstractNumId w:val="9"/>
  </w:num>
  <w:num w:numId="29" w16cid:durableId="1490055923">
    <w:abstractNumId w:val="7"/>
  </w:num>
  <w:num w:numId="30" w16cid:durableId="1185096826">
    <w:abstractNumId w:val="4"/>
  </w:num>
  <w:num w:numId="31" w16cid:durableId="1459759221">
    <w:abstractNumId w:val="30"/>
  </w:num>
  <w:num w:numId="32" w16cid:durableId="136267853">
    <w:abstractNumId w:val="30"/>
    <w:lvlOverride w:ilvl="0">
      <w:startOverride w:val="1"/>
    </w:lvlOverride>
  </w:num>
  <w:num w:numId="33" w16cid:durableId="1091581274">
    <w:abstractNumId w:val="20"/>
  </w:num>
  <w:num w:numId="34" w16cid:durableId="190264179">
    <w:abstractNumId w:val="30"/>
    <w:lvlOverride w:ilvl="0">
      <w:startOverride w:val="1"/>
    </w:lvlOverride>
  </w:num>
  <w:num w:numId="35" w16cid:durableId="652874979">
    <w:abstractNumId w:val="30"/>
    <w:lvlOverride w:ilvl="0">
      <w:startOverride w:val="1"/>
    </w:lvlOverride>
  </w:num>
  <w:num w:numId="36" w16cid:durableId="1559702430">
    <w:abstractNumId w:val="29"/>
  </w:num>
  <w:num w:numId="37" w16cid:durableId="716590731">
    <w:abstractNumId w:val="12"/>
  </w:num>
  <w:num w:numId="38" w16cid:durableId="989748960">
    <w:abstractNumId w:val="30"/>
    <w:lvlOverride w:ilvl="0">
      <w:startOverride w:val="1"/>
    </w:lvlOverride>
  </w:num>
  <w:num w:numId="39" w16cid:durableId="1731884580">
    <w:abstractNumId w:val="30"/>
    <w:lvlOverride w:ilvl="0">
      <w:startOverride w:val="1"/>
    </w:lvlOverride>
  </w:num>
  <w:num w:numId="40" w16cid:durableId="343284025">
    <w:abstractNumId w:val="14"/>
  </w:num>
  <w:num w:numId="41" w16cid:durableId="2007200418">
    <w:abstractNumId w:val="23"/>
  </w:num>
  <w:num w:numId="42" w16cid:durableId="534848945">
    <w:abstractNumId w:val="28"/>
  </w:num>
  <w:num w:numId="43" w16cid:durableId="1957367832">
    <w:abstractNumId w:val="25"/>
  </w:num>
  <w:num w:numId="44" w16cid:durableId="76496460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097866311">
    <w:abstractNumId w:val="2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81071177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23B"/>
    <w:rsid w:val="00001B45"/>
    <w:rsid w:val="000037C7"/>
    <w:rsid w:val="00005264"/>
    <w:rsid w:val="000060E2"/>
    <w:rsid w:val="00010492"/>
    <w:rsid w:val="00010AAE"/>
    <w:rsid w:val="00012F3C"/>
    <w:rsid w:val="0001373D"/>
    <w:rsid w:val="00014D51"/>
    <w:rsid w:val="00016B35"/>
    <w:rsid w:val="00021E1D"/>
    <w:rsid w:val="0002366B"/>
    <w:rsid w:val="00027632"/>
    <w:rsid w:val="00042F12"/>
    <w:rsid w:val="0004304F"/>
    <w:rsid w:val="00044173"/>
    <w:rsid w:val="00044919"/>
    <w:rsid w:val="00045AC7"/>
    <w:rsid w:val="000466D0"/>
    <w:rsid w:val="0004716E"/>
    <w:rsid w:val="000475AF"/>
    <w:rsid w:val="00050BF0"/>
    <w:rsid w:val="00050E7D"/>
    <w:rsid w:val="000528B0"/>
    <w:rsid w:val="000529E8"/>
    <w:rsid w:val="0005465D"/>
    <w:rsid w:val="000716A2"/>
    <w:rsid w:val="00072992"/>
    <w:rsid w:val="00072CD8"/>
    <w:rsid w:val="00075EAB"/>
    <w:rsid w:val="000762AA"/>
    <w:rsid w:val="00076E7D"/>
    <w:rsid w:val="00081561"/>
    <w:rsid w:val="000854A0"/>
    <w:rsid w:val="00091A0F"/>
    <w:rsid w:val="00092A94"/>
    <w:rsid w:val="00094418"/>
    <w:rsid w:val="000957C6"/>
    <w:rsid w:val="00095F04"/>
    <w:rsid w:val="000A0164"/>
    <w:rsid w:val="000A02A4"/>
    <w:rsid w:val="000A0D4B"/>
    <w:rsid w:val="000A54D6"/>
    <w:rsid w:val="000B592A"/>
    <w:rsid w:val="000C27F9"/>
    <w:rsid w:val="000C29C4"/>
    <w:rsid w:val="000C6CB3"/>
    <w:rsid w:val="000D1397"/>
    <w:rsid w:val="000D212B"/>
    <w:rsid w:val="000D24F6"/>
    <w:rsid w:val="000D34D9"/>
    <w:rsid w:val="000D34FD"/>
    <w:rsid w:val="000D6144"/>
    <w:rsid w:val="000D7723"/>
    <w:rsid w:val="000E0385"/>
    <w:rsid w:val="000E21AA"/>
    <w:rsid w:val="000E373D"/>
    <w:rsid w:val="000E381F"/>
    <w:rsid w:val="000E5FE7"/>
    <w:rsid w:val="000E6499"/>
    <w:rsid w:val="000E7005"/>
    <w:rsid w:val="000F1C64"/>
    <w:rsid w:val="000F57C9"/>
    <w:rsid w:val="00102485"/>
    <w:rsid w:val="0010724F"/>
    <w:rsid w:val="0010747D"/>
    <w:rsid w:val="00107512"/>
    <w:rsid w:val="00107689"/>
    <w:rsid w:val="00111B1B"/>
    <w:rsid w:val="001124A2"/>
    <w:rsid w:val="001163EB"/>
    <w:rsid w:val="001175D4"/>
    <w:rsid w:val="00124274"/>
    <w:rsid w:val="00124A1A"/>
    <w:rsid w:val="00124F09"/>
    <w:rsid w:val="00127446"/>
    <w:rsid w:val="001303F8"/>
    <w:rsid w:val="00130D84"/>
    <w:rsid w:val="00131247"/>
    <w:rsid w:val="001313CA"/>
    <w:rsid w:val="00131AFB"/>
    <w:rsid w:val="00131EFB"/>
    <w:rsid w:val="0013637E"/>
    <w:rsid w:val="001508DF"/>
    <w:rsid w:val="00150D29"/>
    <w:rsid w:val="00151FAF"/>
    <w:rsid w:val="00153960"/>
    <w:rsid w:val="00155CBD"/>
    <w:rsid w:val="00156971"/>
    <w:rsid w:val="001575D6"/>
    <w:rsid w:val="001606DA"/>
    <w:rsid w:val="00162969"/>
    <w:rsid w:val="001629E6"/>
    <w:rsid w:val="00165010"/>
    <w:rsid w:val="00165517"/>
    <w:rsid w:val="00170DD2"/>
    <w:rsid w:val="001715C3"/>
    <w:rsid w:val="00176E84"/>
    <w:rsid w:val="00176FB6"/>
    <w:rsid w:val="00177EE0"/>
    <w:rsid w:val="00182DFF"/>
    <w:rsid w:val="00183027"/>
    <w:rsid w:val="00183AD4"/>
    <w:rsid w:val="00183F0D"/>
    <w:rsid w:val="001851D2"/>
    <w:rsid w:val="0018585D"/>
    <w:rsid w:val="00186A51"/>
    <w:rsid w:val="00187D8A"/>
    <w:rsid w:val="00190F2D"/>
    <w:rsid w:val="00192131"/>
    <w:rsid w:val="0019390A"/>
    <w:rsid w:val="001A2C1F"/>
    <w:rsid w:val="001A5207"/>
    <w:rsid w:val="001A6018"/>
    <w:rsid w:val="001A797E"/>
    <w:rsid w:val="001A7CE5"/>
    <w:rsid w:val="001B191A"/>
    <w:rsid w:val="001B3BFA"/>
    <w:rsid w:val="001B5F46"/>
    <w:rsid w:val="001C24EB"/>
    <w:rsid w:val="001C524E"/>
    <w:rsid w:val="001C5296"/>
    <w:rsid w:val="001C7A0E"/>
    <w:rsid w:val="001D0806"/>
    <w:rsid w:val="001D387E"/>
    <w:rsid w:val="001E1679"/>
    <w:rsid w:val="001E4BF2"/>
    <w:rsid w:val="001E510E"/>
    <w:rsid w:val="001F6138"/>
    <w:rsid w:val="00206BC1"/>
    <w:rsid w:val="00207F11"/>
    <w:rsid w:val="002140FC"/>
    <w:rsid w:val="002167AA"/>
    <w:rsid w:val="00223CBD"/>
    <w:rsid w:val="00227A7F"/>
    <w:rsid w:val="00231424"/>
    <w:rsid w:val="00231771"/>
    <w:rsid w:val="00231BB3"/>
    <w:rsid w:val="00232E0F"/>
    <w:rsid w:val="00233921"/>
    <w:rsid w:val="00234045"/>
    <w:rsid w:val="00235DCF"/>
    <w:rsid w:val="002435B4"/>
    <w:rsid w:val="00243FC3"/>
    <w:rsid w:val="002440A8"/>
    <w:rsid w:val="00245473"/>
    <w:rsid w:val="0024590C"/>
    <w:rsid w:val="0024652F"/>
    <w:rsid w:val="0026070B"/>
    <w:rsid w:val="00263EFA"/>
    <w:rsid w:val="002670E9"/>
    <w:rsid w:val="00271596"/>
    <w:rsid w:val="0027418E"/>
    <w:rsid w:val="002742C4"/>
    <w:rsid w:val="002820A1"/>
    <w:rsid w:val="002850C6"/>
    <w:rsid w:val="00292511"/>
    <w:rsid w:val="002930C2"/>
    <w:rsid w:val="002A5AB3"/>
    <w:rsid w:val="002A75C6"/>
    <w:rsid w:val="002B23D1"/>
    <w:rsid w:val="002B4BEF"/>
    <w:rsid w:val="002B597F"/>
    <w:rsid w:val="002B6F5B"/>
    <w:rsid w:val="002C1545"/>
    <w:rsid w:val="002C4B0E"/>
    <w:rsid w:val="002C5A55"/>
    <w:rsid w:val="002D13C4"/>
    <w:rsid w:val="002D314D"/>
    <w:rsid w:val="002D348F"/>
    <w:rsid w:val="002D7380"/>
    <w:rsid w:val="002D73FE"/>
    <w:rsid w:val="002E2873"/>
    <w:rsid w:val="002E3DB6"/>
    <w:rsid w:val="002E5457"/>
    <w:rsid w:val="002E7799"/>
    <w:rsid w:val="002F177A"/>
    <w:rsid w:val="002F18D8"/>
    <w:rsid w:val="002F19B5"/>
    <w:rsid w:val="002F4278"/>
    <w:rsid w:val="002F4C6F"/>
    <w:rsid w:val="00302881"/>
    <w:rsid w:val="00303E48"/>
    <w:rsid w:val="00304CEC"/>
    <w:rsid w:val="0030726C"/>
    <w:rsid w:val="00313427"/>
    <w:rsid w:val="003177B4"/>
    <w:rsid w:val="00320F2A"/>
    <w:rsid w:val="00320F41"/>
    <w:rsid w:val="003210BC"/>
    <w:rsid w:val="00326C47"/>
    <w:rsid w:val="00326DEE"/>
    <w:rsid w:val="003319FB"/>
    <w:rsid w:val="00334560"/>
    <w:rsid w:val="00334820"/>
    <w:rsid w:val="00334F49"/>
    <w:rsid w:val="00335E9C"/>
    <w:rsid w:val="00336160"/>
    <w:rsid w:val="00342A6B"/>
    <w:rsid w:val="003434FF"/>
    <w:rsid w:val="00347215"/>
    <w:rsid w:val="00347375"/>
    <w:rsid w:val="00350AAA"/>
    <w:rsid w:val="00351A76"/>
    <w:rsid w:val="0035348E"/>
    <w:rsid w:val="003618CC"/>
    <w:rsid w:val="00361B46"/>
    <w:rsid w:val="00362D55"/>
    <w:rsid w:val="00364279"/>
    <w:rsid w:val="00366F40"/>
    <w:rsid w:val="00373709"/>
    <w:rsid w:val="00375ECD"/>
    <w:rsid w:val="00384C45"/>
    <w:rsid w:val="003851F2"/>
    <w:rsid w:val="0039111D"/>
    <w:rsid w:val="00396F3E"/>
    <w:rsid w:val="003974FA"/>
    <w:rsid w:val="003A2055"/>
    <w:rsid w:val="003B0C36"/>
    <w:rsid w:val="003B3618"/>
    <w:rsid w:val="003B51B3"/>
    <w:rsid w:val="003B6CF8"/>
    <w:rsid w:val="003C4C72"/>
    <w:rsid w:val="003C5665"/>
    <w:rsid w:val="003C57B8"/>
    <w:rsid w:val="003C5988"/>
    <w:rsid w:val="003C68C6"/>
    <w:rsid w:val="003C68C8"/>
    <w:rsid w:val="003D7A0D"/>
    <w:rsid w:val="003E1F76"/>
    <w:rsid w:val="003E5422"/>
    <w:rsid w:val="003F59F8"/>
    <w:rsid w:val="003F5D14"/>
    <w:rsid w:val="003F650C"/>
    <w:rsid w:val="004054C4"/>
    <w:rsid w:val="004058CD"/>
    <w:rsid w:val="00407A89"/>
    <w:rsid w:val="00407FBE"/>
    <w:rsid w:val="0041148E"/>
    <w:rsid w:val="004145DF"/>
    <w:rsid w:val="004237F7"/>
    <w:rsid w:val="004244A6"/>
    <w:rsid w:val="004260AA"/>
    <w:rsid w:val="0042737A"/>
    <w:rsid w:val="00430294"/>
    <w:rsid w:val="004326B0"/>
    <w:rsid w:val="00433107"/>
    <w:rsid w:val="0044440A"/>
    <w:rsid w:val="0044673E"/>
    <w:rsid w:val="00446994"/>
    <w:rsid w:val="00453E84"/>
    <w:rsid w:val="004554D5"/>
    <w:rsid w:val="00455EB2"/>
    <w:rsid w:val="004571E1"/>
    <w:rsid w:val="00457747"/>
    <w:rsid w:val="0046265A"/>
    <w:rsid w:val="00464C25"/>
    <w:rsid w:val="00466EE7"/>
    <w:rsid w:val="00466FB4"/>
    <w:rsid w:val="00470A04"/>
    <w:rsid w:val="00472652"/>
    <w:rsid w:val="00472DEC"/>
    <w:rsid w:val="00486B53"/>
    <w:rsid w:val="004919F3"/>
    <w:rsid w:val="004923DC"/>
    <w:rsid w:val="00497369"/>
    <w:rsid w:val="004A09B1"/>
    <w:rsid w:val="004A20CF"/>
    <w:rsid w:val="004A30E2"/>
    <w:rsid w:val="004A402B"/>
    <w:rsid w:val="004A4DD9"/>
    <w:rsid w:val="004A6ACA"/>
    <w:rsid w:val="004B009A"/>
    <w:rsid w:val="004B02AB"/>
    <w:rsid w:val="004B7C30"/>
    <w:rsid w:val="004C1239"/>
    <w:rsid w:val="004C16B6"/>
    <w:rsid w:val="004C481C"/>
    <w:rsid w:val="004C5002"/>
    <w:rsid w:val="004C7953"/>
    <w:rsid w:val="004D1B44"/>
    <w:rsid w:val="004D2C07"/>
    <w:rsid w:val="004D3B1A"/>
    <w:rsid w:val="004E566F"/>
    <w:rsid w:val="004E6EE0"/>
    <w:rsid w:val="004E7F17"/>
    <w:rsid w:val="004F00DA"/>
    <w:rsid w:val="004F408C"/>
    <w:rsid w:val="005032E3"/>
    <w:rsid w:val="005046FB"/>
    <w:rsid w:val="00505C0A"/>
    <w:rsid w:val="0050656A"/>
    <w:rsid w:val="00510CF3"/>
    <w:rsid w:val="005112DA"/>
    <w:rsid w:val="00512997"/>
    <w:rsid w:val="00513081"/>
    <w:rsid w:val="005161E9"/>
    <w:rsid w:val="00516989"/>
    <w:rsid w:val="00516F80"/>
    <w:rsid w:val="00521ECB"/>
    <w:rsid w:val="005239F0"/>
    <w:rsid w:val="0052525B"/>
    <w:rsid w:val="00525D0A"/>
    <w:rsid w:val="00527B3B"/>
    <w:rsid w:val="00535DA9"/>
    <w:rsid w:val="0054263D"/>
    <w:rsid w:val="00545DBB"/>
    <w:rsid w:val="005462A3"/>
    <w:rsid w:val="00550598"/>
    <w:rsid w:val="00551F64"/>
    <w:rsid w:val="00552B7A"/>
    <w:rsid w:val="005613A9"/>
    <w:rsid w:val="00561CA5"/>
    <w:rsid w:val="0056759F"/>
    <w:rsid w:val="00580596"/>
    <w:rsid w:val="00580DC0"/>
    <w:rsid w:val="00584ED0"/>
    <w:rsid w:val="00585BF5"/>
    <w:rsid w:val="005860F2"/>
    <w:rsid w:val="00587A07"/>
    <w:rsid w:val="00592325"/>
    <w:rsid w:val="00593CB7"/>
    <w:rsid w:val="00593EAE"/>
    <w:rsid w:val="0059481F"/>
    <w:rsid w:val="005A1365"/>
    <w:rsid w:val="005A2A1B"/>
    <w:rsid w:val="005A32D7"/>
    <w:rsid w:val="005A42D3"/>
    <w:rsid w:val="005A466B"/>
    <w:rsid w:val="005A4A35"/>
    <w:rsid w:val="005A6115"/>
    <w:rsid w:val="005A6803"/>
    <w:rsid w:val="005B0CD3"/>
    <w:rsid w:val="005B3B5A"/>
    <w:rsid w:val="005C26F1"/>
    <w:rsid w:val="005C3A85"/>
    <w:rsid w:val="005C5D7A"/>
    <w:rsid w:val="005C75FC"/>
    <w:rsid w:val="005D6476"/>
    <w:rsid w:val="005D6C52"/>
    <w:rsid w:val="005E2EF5"/>
    <w:rsid w:val="005E66B0"/>
    <w:rsid w:val="005F34DE"/>
    <w:rsid w:val="005F375C"/>
    <w:rsid w:val="005F3E11"/>
    <w:rsid w:val="005F3F07"/>
    <w:rsid w:val="005F5E1B"/>
    <w:rsid w:val="005F7844"/>
    <w:rsid w:val="005F7EC2"/>
    <w:rsid w:val="00606C6A"/>
    <w:rsid w:val="00607656"/>
    <w:rsid w:val="00610649"/>
    <w:rsid w:val="00614DB7"/>
    <w:rsid w:val="00614DEE"/>
    <w:rsid w:val="00621A6E"/>
    <w:rsid w:val="00622690"/>
    <w:rsid w:val="00624BF4"/>
    <w:rsid w:val="0063178A"/>
    <w:rsid w:val="00635E68"/>
    <w:rsid w:val="00640458"/>
    <w:rsid w:val="006461EF"/>
    <w:rsid w:val="0065612D"/>
    <w:rsid w:val="006574C9"/>
    <w:rsid w:val="006612A1"/>
    <w:rsid w:val="0066177A"/>
    <w:rsid w:val="006620E1"/>
    <w:rsid w:val="0066479F"/>
    <w:rsid w:val="00665F9E"/>
    <w:rsid w:val="006671FB"/>
    <w:rsid w:val="0067260D"/>
    <w:rsid w:val="00674A2F"/>
    <w:rsid w:val="00676F7B"/>
    <w:rsid w:val="00681ED8"/>
    <w:rsid w:val="00687B1B"/>
    <w:rsid w:val="00693F95"/>
    <w:rsid w:val="006A15D8"/>
    <w:rsid w:val="006A2FD5"/>
    <w:rsid w:val="006A31DE"/>
    <w:rsid w:val="006A3CED"/>
    <w:rsid w:val="006A7420"/>
    <w:rsid w:val="006A798D"/>
    <w:rsid w:val="006B086F"/>
    <w:rsid w:val="006B1026"/>
    <w:rsid w:val="006B122E"/>
    <w:rsid w:val="006C077E"/>
    <w:rsid w:val="006C3E31"/>
    <w:rsid w:val="006D2421"/>
    <w:rsid w:val="006D4683"/>
    <w:rsid w:val="006D4D2E"/>
    <w:rsid w:val="006E3538"/>
    <w:rsid w:val="006F3242"/>
    <w:rsid w:val="00702F89"/>
    <w:rsid w:val="00707577"/>
    <w:rsid w:val="00711F57"/>
    <w:rsid w:val="00713D10"/>
    <w:rsid w:val="00715492"/>
    <w:rsid w:val="0071653E"/>
    <w:rsid w:val="00723D84"/>
    <w:rsid w:val="007272EF"/>
    <w:rsid w:val="007359D1"/>
    <w:rsid w:val="00741AA1"/>
    <w:rsid w:val="0074201E"/>
    <w:rsid w:val="007465E3"/>
    <w:rsid w:val="00751895"/>
    <w:rsid w:val="007545B8"/>
    <w:rsid w:val="00754B78"/>
    <w:rsid w:val="00762890"/>
    <w:rsid w:val="00763365"/>
    <w:rsid w:val="00764440"/>
    <w:rsid w:val="00764871"/>
    <w:rsid w:val="00764DD7"/>
    <w:rsid w:val="00770A4E"/>
    <w:rsid w:val="00770CB1"/>
    <w:rsid w:val="00772FD3"/>
    <w:rsid w:val="0077378B"/>
    <w:rsid w:val="00773E5C"/>
    <w:rsid w:val="00774CED"/>
    <w:rsid w:val="0078050D"/>
    <w:rsid w:val="007824E8"/>
    <w:rsid w:val="0078531C"/>
    <w:rsid w:val="00791CBB"/>
    <w:rsid w:val="00797DD0"/>
    <w:rsid w:val="007A05EB"/>
    <w:rsid w:val="007A14EF"/>
    <w:rsid w:val="007A7238"/>
    <w:rsid w:val="007B050C"/>
    <w:rsid w:val="007B05C4"/>
    <w:rsid w:val="007B3B32"/>
    <w:rsid w:val="007B6E29"/>
    <w:rsid w:val="007C14C7"/>
    <w:rsid w:val="007C2522"/>
    <w:rsid w:val="007C3FBE"/>
    <w:rsid w:val="007C6182"/>
    <w:rsid w:val="007D67EE"/>
    <w:rsid w:val="007F0FFC"/>
    <w:rsid w:val="007F68AA"/>
    <w:rsid w:val="00801B33"/>
    <w:rsid w:val="008033BC"/>
    <w:rsid w:val="00803473"/>
    <w:rsid w:val="00803688"/>
    <w:rsid w:val="00805013"/>
    <w:rsid w:val="0080506D"/>
    <w:rsid w:val="00805B9D"/>
    <w:rsid w:val="00807EB9"/>
    <w:rsid w:val="008100B2"/>
    <w:rsid w:val="00816F72"/>
    <w:rsid w:val="00822A91"/>
    <w:rsid w:val="00825966"/>
    <w:rsid w:val="00827464"/>
    <w:rsid w:val="00827C8F"/>
    <w:rsid w:val="00833BA7"/>
    <w:rsid w:val="00834678"/>
    <w:rsid w:val="00834788"/>
    <w:rsid w:val="00834E85"/>
    <w:rsid w:val="00836E1D"/>
    <w:rsid w:val="00840E88"/>
    <w:rsid w:val="008418E2"/>
    <w:rsid w:val="00845C20"/>
    <w:rsid w:val="008525E6"/>
    <w:rsid w:val="0085296C"/>
    <w:rsid w:val="0085446F"/>
    <w:rsid w:val="0085487B"/>
    <w:rsid w:val="00855567"/>
    <w:rsid w:val="0086014F"/>
    <w:rsid w:val="00862991"/>
    <w:rsid w:val="008633E7"/>
    <w:rsid w:val="00864187"/>
    <w:rsid w:val="00867B56"/>
    <w:rsid w:val="008753F9"/>
    <w:rsid w:val="00877E9E"/>
    <w:rsid w:val="00880020"/>
    <w:rsid w:val="00885C23"/>
    <w:rsid w:val="0089369D"/>
    <w:rsid w:val="00895C8C"/>
    <w:rsid w:val="008A46C4"/>
    <w:rsid w:val="008A506A"/>
    <w:rsid w:val="008B5662"/>
    <w:rsid w:val="008B6859"/>
    <w:rsid w:val="008B6F93"/>
    <w:rsid w:val="008C23C8"/>
    <w:rsid w:val="008C3AC7"/>
    <w:rsid w:val="008C4219"/>
    <w:rsid w:val="008C47AA"/>
    <w:rsid w:val="008C4870"/>
    <w:rsid w:val="008D3A1D"/>
    <w:rsid w:val="008D5607"/>
    <w:rsid w:val="008D5EA8"/>
    <w:rsid w:val="008D6B6B"/>
    <w:rsid w:val="008E12E3"/>
    <w:rsid w:val="008E4921"/>
    <w:rsid w:val="008E7EA4"/>
    <w:rsid w:val="008F2B0D"/>
    <w:rsid w:val="008F375D"/>
    <w:rsid w:val="008F382E"/>
    <w:rsid w:val="008F5FAE"/>
    <w:rsid w:val="008F6336"/>
    <w:rsid w:val="0090059F"/>
    <w:rsid w:val="00902583"/>
    <w:rsid w:val="00906084"/>
    <w:rsid w:val="00907126"/>
    <w:rsid w:val="00910090"/>
    <w:rsid w:val="00911924"/>
    <w:rsid w:val="0091303E"/>
    <w:rsid w:val="009137BC"/>
    <w:rsid w:val="00933620"/>
    <w:rsid w:val="00940FAC"/>
    <w:rsid w:val="00945236"/>
    <w:rsid w:val="00946457"/>
    <w:rsid w:val="00947099"/>
    <w:rsid w:val="00947106"/>
    <w:rsid w:val="00947388"/>
    <w:rsid w:val="0094795F"/>
    <w:rsid w:val="009503C8"/>
    <w:rsid w:val="00952A04"/>
    <w:rsid w:val="009608C4"/>
    <w:rsid w:val="00962988"/>
    <w:rsid w:val="00965CA5"/>
    <w:rsid w:val="00967652"/>
    <w:rsid w:val="00970DCE"/>
    <w:rsid w:val="009738F2"/>
    <w:rsid w:val="00977E24"/>
    <w:rsid w:val="00980279"/>
    <w:rsid w:val="0098152C"/>
    <w:rsid w:val="00981CA9"/>
    <w:rsid w:val="0098297B"/>
    <w:rsid w:val="0098436F"/>
    <w:rsid w:val="00985454"/>
    <w:rsid w:val="009868BD"/>
    <w:rsid w:val="00986FBE"/>
    <w:rsid w:val="0099032A"/>
    <w:rsid w:val="00991951"/>
    <w:rsid w:val="009A6C29"/>
    <w:rsid w:val="009B0D34"/>
    <w:rsid w:val="009B185F"/>
    <w:rsid w:val="009B6F5B"/>
    <w:rsid w:val="009C1AF7"/>
    <w:rsid w:val="009C1C82"/>
    <w:rsid w:val="009C5337"/>
    <w:rsid w:val="009C5C22"/>
    <w:rsid w:val="009C603F"/>
    <w:rsid w:val="009D6BD5"/>
    <w:rsid w:val="009D749C"/>
    <w:rsid w:val="009E0244"/>
    <w:rsid w:val="009E4011"/>
    <w:rsid w:val="009E5BB1"/>
    <w:rsid w:val="009F0BA0"/>
    <w:rsid w:val="009F20CC"/>
    <w:rsid w:val="009F29C2"/>
    <w:rsid w:val="009F4D53"/>
    <w:rsid w:val="009F5563"/>
    <w:rsid w:val="00A00EEE"/>
    <w:rsid w:val="00A07ABC"/>
    <w:rsid w:val="00A1378B"/>
    <w:rsid w:val="00A14786"/>
    <w:rsid w:val="00A2231B"/>
    <w:rsid w:val="00A2400A"/>
    <w:rsid w:val="00A31FE7"/>
    <w:rsid w:val="00A32761"/>
    <w:rsid w:val="00A32812"/>
    <w:rsid w:val="00A462E3"/>
    <w:rsid w:val="00A51CCB"/>
    <w:rsid w:val="00A5546E"/>
    <w:rsid w:val="00A56534"/>
    <w:rsid w:val="00A60E08"/>
    <w:rsid w:val="00A6569F"/>
    <w:rsid w:val="00A669D5"/>
    <w:rsid w:val="00A67F9C"/>
    <w:rsid w:val="00A725FF"/>
    <w:rsid w:val="00A72C27"/>
    <w:rsid w:val="00A72C9A"/>
    <w:rsid w:val="00A74304"/>
    <w:rsid w:val="00A75598"/>
    <w:rsid w:val="00A75870"/>
    <w:rsid w:val="00A82986"/>
    <w:rsid w:val="00A83193"/>
    <w:rsid w:val="00A85AF2"/>
    <w:rsid w:val="00A86F39"/>
    <w:rsid w:val="00A87815"/>
    <w:rsid w:val="00A90928"/>
    <w:rsid w:val="00A95F2E"/>
    <w:rsid w:val="00A96CB4"/>
    <w:rsid w:val="00AA4747"/>
    <w:rsid w:val="00AA5CB2"/>
    <w:rsid w:val="00AA6A5A"/>
    <w:rsid w:val="00AB173A"/>
    <w:rsid w:val="00AB2BD5"/>
    <w:rsid w:val="00AB4CB6"/>
    <w:rsid w:val="00AB7EF0"/>
    <w:rsid w:val="00AC07EC"/>
    <w:rsid w:val="00AC0B5A"/>
    <w:rsid w:val="00AC2FFF"/>
    <w:rsid w:val="00AC4EDC"/>
    <w:rsid w:val="00AD2D98"/>
    <w:rsid w:val="00AD3C7E"/>
    <w:rsid w:val="00AD6D2A"/>
    <w:rsid w:val="00AD78CD"/>
    <w:rsid w:val="00AE0C4A"/>
    <w:rsid w:val="00AE6BCE"/>
    <w:rsid w:val="00AF324A"/>
    <w:rsid w:val="00AF6E9D"/>
    <w:rsid w:val="00AF7ADE"/>
    <w:rsid w:val="00B04521"/>
    <w:rsid w:val="00B07A5E"/>
    <w:rsid w:val="00B10F66"/>
    <w:rsid w:val="00B117D2"/>
    <w:rsid w:val="00B153BB"/>
    <w:rsid w:val="00B213CD"/>
    <w:rsid w:val="00B31C62"/>
    <w:rsid w:val="00B35A43"/>
    <w:rsid w:val="00B3701B"/>
    <w:rsid w:val="00B403F7"/>
    <w:rsid w:val="00B43E1B"/>
    <w:rsid w:val="00B513F1"/>
    <w:rsid w:val="00B53643"/>
    <w:rsid w:val="00B53EB8"/>
    <w:rsid w:val="00B54769"/>
    <w:rsid w:val="00B55E3E"/>
    <w:rsid w:val="00B5789D"/>
    <w:rsid w:val="00B611C8"/>
    <w:rsid w:val="00B64424"/>
    <w:rsid w:val="00B672CA"/>
    <w:rsid w:val="00B70E20"/>
    <w:rsid w:val="00B71B1B"/>
    <w:rsid w:val="00B721C4"/>
    <w:rsid w:val="00B736FF"/>
    <w:rsid w:val="00B7700A"/>
    <w:rsid w:val="00B815E5"/>
    <w:rsid w:val="00B83187"/>
    <w:rsid w:val="00B83207"/>
    <w:rsid w:val="00B83EA4"/>
    <w:rsid w:val="00B86DDF"/>
    <w:rsid w:val="00B92198"/>
    <w:rsid w:val="00BA2987"/>
    <w:rsid w:val="00BA29A0"/>
    <w:rsid w:val="00BA772F"/>
    <w:rsid w:val="00BB5C6D"/>
    <w:rsid w:val="00BB5E5F"/>
    <w:rsid w:val="00BC41EC"/>
    <w:rsid w:val="00BD0463"/>
    <w:rsid w:val="00BD06C2"/>
    <w:rsid w:val="00BD0C0D"/>
    <w:rsid w:val="00BE0DD1"/>
    <w:rsid w:val="00BE171B"/>
    <w:rsid w:val="00BE7604"/>
    <w:rsid w:val="00BF0985"/>
    <w:rsid w:val="00C03752"/>
    <w:rsid w:val="00C11117"/>
    <w:rsid w:val="00C13520"/>
    <w:rsid w:val="00C14180"/>
    <w:rsid w:val="00C1595E"/>
    <w:rsid w:val="00C169A4"/>
    <w:rsid w:val="00C204F7"/>
    <w:rsid w:val="00C23A28"/>
    <w:rsid w:val="00C23E89"/>
    <w:rsid w:val="00C26AFD"/>
    <w:rsid w:val="00C26CB6"/>
    <w:rsid w:val="00C30F18"/>
    <w:rsid w:val="00C3251A"/>
    <w:rsid w:val="00C33420"/>
    <w:rsid w:val="00C4040A"/>
    <w:rsid w:val="00C421CE"/>
    <w:rsid w:val="00C56280"/>
    <w:rsid w:val="00C650E6"/>
    <w:rsid w:val="00C65A6B"/>
    <w:rsid w:val="00C6781F"/>
    <w:rsid w:val="00C67C7E"/>
    <w:rsid w:val="00C738BB"/>
    <w:rsid w:val="00C753BF"/>
    <w:rsid w:val="00C7611C"/>
    <w:rsid w:val="00C83E6A"/>
    <w:rsid w:val="00C8401C"/>
    <w:rsid w:val="00C84421"/>
    <w:rsid w:val="00C85BC7"/>
    <w:rsid w:val="00C85FE5"/>
    <w:rsid w:val="00C8623B"/>
    <w:rsid w:val="00C962E4"/>
    <w:rsid w:val="00CB7C53"/>
    <w:rsid w:val="00CC41D1"/>
    <w:rsid w:val="00CC6F03"/>
    <w:rsid w:val="00CD0B6D"/>
    <w:rsid w:val="00CD2416"/>
    <w:rsid w:val="00CD3552"/>
    <w:rsid w:val="00CD4AA5"/>
    <w:rsid w:val="00CD55A7"/>
    <w:rsid w:val="00CE357B"/>
    <w:rsid w:val="00CE3C1F"/>
    <w:rsid w:val="00CE4FFC"/>
    <w:rsid w:val="00CE6D7E"/>
    <w:rsid w:val="00CE73A1"/>
    <w:rsid w:val="00CF2BB7"/>
    <w:rsid w:val="00D00E36"/>
    <w:rsid w:val="00D03E2F"/>
    <w:rsid w:val="00D10E4C"/>
    <w:rsid w:val="00D11699"/>
    <w:rsid w:val="00D14CCC"/>
    <w:rsid w:val="00D16208"/>
    <w:rsid w:val="00D20CF2"/>
    <w:rsid w:val="00D236D2"/>
    <w:rsid w:val="00D23F74"/>
    <w:rsid w:val="00D26C0F"/>
    <w:rsid w:val="00D343C8"/>
    <w:rsid w:val="00D35566"/>
    <w:rsid w:val="00D4582A"/>
    <w:rsid w:val="00D46273"/>
    <w:rsid w:val="00D56F8E"/>
    <w:rsid w:val="00D57794"/>
    <w:rsid w:val="00D61596"/>
    <w:rsid w:val="00D63FE5"/>
    <w:rsid w:val="00D64259"/>
    <w:rsid w:val="00D648B9"/>
    <w:rsid w:val="00D70780"/>
    <w:rsid w:val="00D707DA"/>
    <w:rsid w:val="00D73D90"/>
    <w:rsid w:val="00D7542D"/>
    <w:rsid w:val="00D76770"/>
    <w:rsid w:val="00D824F8"/>
    <w:rsid w:val="00D82785"/>
    <w:rsid w:val="00D8598F"/>
    <w:rsid w:val="00D8690F"/>
    <w:rsid w:val="00D90CA5"/>
    <w:rsid w:val="00D935E4"/>
    <w:rsid w:val="00D97553"/>
    <w:rsid w:val="00DA2423"/>
    <w:rsid w:val="00DA35E7"/>
    <w:rsid w:val="00DB21D2"/>
    <w:rsid w:val="00DB294B"/>
    <w:rsid w:val="00DC0BCD"/>
    <w:rsid w:val="00DC0D23"/>
    <w:rsid w:val="00DC36C9"/>
    <w:rsid w:val="00DC4BA4"/>
    <w:rsid w:val="00DD080D"/>
    <w:rsid w:val="00DD12E4"/>
    <w:rsid w:val="00DD1677"/>
    <w:rsid w:val="00DD3BA6"/>
    <w:rsid w:val="00DD6881"/>
    <w:rsid w:val="00DE1825"/>
    <w:rsid w:val="00DE4804"/>
    <w:rsid w:val="00DE5850"/>
    <w:rsid w:val="00DE60CF"/>
    <w:rsid w:val="00DF1947"/>
    <w:rsid w:val="00DF19D8"/>
    <w:rsid w:val="00DF445B"/>
    <w:rsid w:val="00DF536C"/>
    <w:rsid w:val="00DF792F"/>
    <w:rsid w:val="00E003B5"/>
    <w:rsid w:val="00E11139"/>
    <w:rsid w:val="00E11A16"/>
    <w:rsid w:val="00E12138"/>
    <w:rsid w:val="00E122BE"/>
    <w:rsid w:val="00E132A2"/>
    <w:rsid w:val="00E14553"/>
    <w:rsid w:val="00E15274"/>
    <w:rsid w:val="00E21800"/>
    <w:rsid w:val="00E2204A"/>
    <w:rsid w:val="00E22585"/>
    <w:rsid w:val="00E230A6"/>
    <w:rsid w:val="00E311DE"/>
    <w:rsid w:val="00E33507"/>
    <w:rsid w:val="00E36B40"/>
    <w:rsid w:val="00E4005C"/>
    <w:rsid w:val="00E40652"/>
    <w:rsid w:val="00E42FC8"/>
    <w:rsid w:val="00E46AA7"/>
    <w:rsid w:val="00E46FDC"/>
    <w:rsid w:val="00E4754C"/>
    <w:rsid w:val="00E504F6"/>
    <w:rsid w:val="00E5181E"/>
    <w:rsid w:val="00E5249A"/>
    <w:rsid w:val="00E53D1A"/>
    <w:rsid w:val="00E554EC"/>
    <w:rsid w:val="00E563A9"/>
    <w:rsid w:val="00E61ED8"/>
    <w:rsid w:val="00E664FC"/>
    <w:rsid w:val="00E70B75"/>
    <w:rsid w:val="00E80688"/>
    <w:rsid w:val="00E80A99"/>
    <w:rsid w:val="00E82F49"/>
    <w:rsid w:val="00E86008"/>
    <w:rsid w:val="00E86D68"/>
    <w:rsid w:val="00E91955"/>
    <w:rsid w:val="00E91EA2"/>
    <w:rsid w:val="00E92291"/>
    <w:rsid w:val="00E9646B"/>
    <w:rsid w:val="00EB278C"/>
    <w:rsid w:val="00EB61CB"/>
    <w:rsid w:val="00EC1EE2"/>
    <w:rsid w:val="00EC30B9"/>
    <w:rsid w:val="00EC4630"/>
    <w:rsid w:val="00EC793D"/>
    <w:rsid w:val="00EC7E9E"/>
    <w:rsid w:val="00ED1379"/>
    <w:rsid w:val="00EE3C58"/>
    <w:rsid w:val="00EE45BA"/>
    <w:rsid w:val="00EE613B"/>
    <w:rsid w:val="00EF0368"/>
    <w:rsid w:val="00EF131D"/>
    <w:rsid w:val="00EF6B64"/>
    <w:rsid w:val="00F072F1"/>
    <w:rsid w:val="00F114E6"/>
    <w:rsid w:val="00F13DAC"/>
    <w:rsid w:val="00F13E96"/>
    <w:rsid w:val="00F14B75"/>
    <w:rsid w:val="00F17EC2"/>
    <w:rsid w:val="00F21028"/>
    <w:rsid w:val="00F23D53"/>
    <w:rsid w:val="00F24975"/>
    <w:rsid w:val="00F2741A"/>
    <w:rsid w:val="00F275E3"/>
    <w:rsid w:val="00F276FE"/>
    <w:rsid w:val="00F318B3"/>
    <w:rsid w:val="00F32A1A"/>
    <w:rsid w:val="00F40D0B"/>
    <w:rsid w:val="00F47B4C"/>
    <w:rsid w:val="00F53CDC"/>
    <w:rsid w:val="00F54886"/>
    <w:rsid w:val="00F60CD3"/>
    <w:rsid w:val="00F611C7"/>
    <w:rsid w:val="00F63282"/>
    <w:rsid w:val="00F64948"/>
    <w:rsid w:val="00F669B6"/>
    <w:rsid w:val="00F76BBC"/>
    <w:rsid w:val="00F834C0"/>
    <w:rsid w:val="00F83928"/>
    <w:rsid w:val="00F93728"/>
    <w:rsid w:val="00F96379"/>
    <w:rsid w:val="00FA0C34"/>
    <w:rsid w:val="00FA0F72"/>
    <w:rsid w:val="00FA439E"/>
    <w:rsid w:val="00FA5235"/>
    <w:rsid w:val="00FB46A4"/>
    <w:rsid w:val="00FC1F3E"/>
    <w:rsid w:val="00FC621C"/>
    <w:rsid w:val="00FC628B"/>
    <w:rsid w:val="00FD0220"/>
    <w:rsid w:val="00FD0507"/>
    <w:rsid w:val="00FD0DC0"/>
    <w:rsid w:val="00FD5D98"/>
    <w:rsid w:val="00FE0079"/>
    <w:rsid w:val="00FE2C7C"/>
    <w:rsid w:val="00FE4AFA"/>
    <w:rsid w:val="00FE7A17"/>
    <w:rsid w:val="00FF3A3D"/>
    <w:rsid w:val="1B5ED057"/>
    <w:rsid w:val="35F64AE2"/>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EFFB65"/>
  <w15:docId w15:val="{6E0FCD6B-9442-41B9-9979-8E90D74DE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623B"/>
    <w:pPr>
      <w:spacing w:after="120" w:line="240" w:lineRule="auto"/>
    </w:pPr>
    <w:rPr>
      <w:rFonts w:ascii="Arial" w:eastAsiaTheme="minorEastAsia" w:hAnsi="Arial"/>
      <w:color w:val="000000" w:themeColor="text1"/>
      <w:szCs w:val="24"/>
    </w:rPr>
  </w:style>
  <w:style w:type="paragraph" w:styleId="Heading1">
    <w:name w:val="heading 1"/>
    <w:basedOn w:val="Normal"/>
    <w:next w:val="Normal"/>
    <w:link w:val="Heading1Char"/>
    <w:uiPriority w:val="9"/>
    <w:qFormat/>
    <w:rsid w:val="00C8623B"/>
    <w:pPr>
      <w:keepNext/>
      <w:keepLines/>
      <w:spacing w:before="240" w:after="240"/>
      <w:outlineLvl w:val="0"/>
    </w:pPr>
    <w:rPr>
      <w:rFonts w:eastAsiaTheme="majorEastAsia" w:cstheme="majorBidi"/>
      <w:color w:val="004270"/>
      <w:sz w:val="48"/>
      <w:szCs w:val="32"/>
    </w:rPr>
  </w:style>
  <w:style w:type="paragraph" w:styleId="Heading2">
    <w:name w:val="heading 2"/>
    <w:basedOn w:val="Normal"/>
    <w:next w:val="Normal"/>
    <w:link w:val="Heading2Char"/>
    <w:uiPriority w:val="9"/>
    <w:unhideWhenUsed/>
    <w:qFormat/>
    <w:rsid w:val="00C8623B"/>
    <w:pPr>
      <w:keepNext/>
      <w:keepLines/>
      <w:spacing w:before="240"/>
      <w:outlineLvl w:val="1"/>
    </w:pPr>
    <w:rPr>
      <w:rFonts w:eastAsiaTheme="majorEastAsia" w:cstheme="majorBidi"/>
      <w:color w:val="004270"/>
      <w:sz w:val="36"/>
    </w:rPr>
  </w:style>
  <w:style w:type="paragraph" w:styleId="Heading3">
    <w:name w:val="heading 3"/>
    <w:basedOn w:val="Normal"/>
    <w:next w:val="Normal"/>
    <w:link w:val="Heading3Char"/>
    <w:uiPriority w:val="9"/>
    <w:unhideWhenUsed/>
    <w:qFormat/>
    <w:rsid w:val="00C8623B"/>
    <w:pPr>
      <w:keepNext/>
      <w:keepLines/>
      <w:spacing w:before="240"/>
      <w:outlineLvl w:val="2"/>
    </w:pPr>
    <w:rPr>
      <w:rFonts w:eastAsiaTheme="majorEastAsia" w:cstheme="majorBidi"/>
      <w:color w:val="004270"/>
      <w:sz w:val="28"/>
    </w:rPr>
  </w:style>
  <w:style w:type="paragraph" w:styleId="Heading5">
    <w:name w:val="heading 5"/>
    <w:basedOn w:val="Normal"/>
    <w:next w:val="Normal"/>
    <w:link w:val="Heading5Char"/>
    <w:uiPriority w:val="9"/>
    <w:semiHidden/>
    <w:unhideWhenUsed/>
    <w:qFormat/>
    <w:rsid w:val="00C8623B"/>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623B"/>
    <w:rPr>
      <w:rFonts w:ascii="Arial" w:eastAsiaTheme="majorEastAsia" w:hAnsi="Arial" w:cstheme="majorBidi"/>
      <w:color w:val="004270"/>
      <w:sz w:val="48"/>
      <w:szCs w:val="32"/>
    </w:rPr>
  </w:style>
  <w:style w:type="character" w:customStyle="1" w:styleId="Heading2Char">
    <w:name w:val="Heading 2 Char"/>
    <w:basedOn w:val="DefaultParagraphFont"/>
    <w:link w:val="Heading2"/>
    <w:uiPriority w:val="9"/>
    <w:rsid w:val="00C8623B"/>
    <w:rPr>
      <w:rFonts w:ascii="Arial" w:eastAsiaTheme="majorEastAsia" w:hAnsi="Arial" w:cstheme="majorBidi"/>
      <w:color w:val="004270"/>
      <w:sz w:val="36"/>
      <w:szCs w:val="24"/>
    </w:rPr>
  </w:style>
  <w:style w:type="character" w:customStyle="1" w:styleId="Heading3Char">
    <w:name w:val="Heading 3 Char"/>
    <w:basedOn w:val="DefaultParagraphFont"/>
    <w:link w:val="Heading3"/>
    <w:uiPriority w:val="9"/>
    <w:rsid w:val="00C8623B"/>
    <w:rPr>
      <w:rFonts w:ascii="Arial" w:eastAsiaTheme="majorEastAsia" w:hAnsi="Arial" w:cstheme="majorBidi"/>
      <w:color w:val="004270"/>
      <w:sz w:val="28"/>
      <w:szCs w:val="24"/>
    </w:rPr>
  </w:style>
  <w:style w:type="character" w:customStyle="1" w:styleId="Heading5Char">
    <w:name w:val="Heading 5 Char"/>
    <w:basedOn w:val="DefaultParagraphFont"/>
    <w:link w:val="Heading5"/>
    <w:uiPriority w:val="9"/>
    <w:semiHidden/>
    <w:rsid w:val="00C8623B"/>
    <w:rPr>
      <w:rFonts w:asciiTheme="majorHAnsi" w:eastAsiaTheme="majorEastAsia" w:hAnsiTheme="majorHAnsi" w:cstheme="majorBidi"/>
      <w:color w:val="2F5496" w:themeColor="accent1" w:themeShade="BF"/>
      <w:szCs w:val="24"/>
    </w:rPr>
  </w:style>
  <w:style w:type="paragraph" w:styleId="ListParagraph">
    <w:name w:val="List Paragraph"/>
    <w:basedOn w:val="Normal"/>
    <w:link w:val="ListParagraphChar"/>
    <w:uiPriority w:val="34"/>
    <w:qFormat/>
    <w:rsid w:val="00C8623B"/>
    <w:pPr>
      <w:ind w:left="720"/>
      <w:contextualSpacing/>
    </w:pPr>
  </w:style>
  <w:style w:type="paragraph" w:styleId="FootnoteText">
    <w:name w:val="footnote text"/>
    <w:aliases w:val="5_G,Footnote text"/>
    <w:basedOn w:val="Normal"/>
    <w:link w:val="FootnoteTextChar"/>
    <w:uiPriority w:val="99"/>
    <w:unhideWhenUsed/>
    <w:qFormat/>
    <w:rsid w:val="00B736FF"/>
    <w:rPr>
      <w:sz w:val="18"/>
    </w:rPr>
  </w:style>
  <w:style w:type="character" w:customStyle="1" w:styleId="FootnoteTextChar">
    <w:name w:val="Footnote Text Char"/>
    <w:aliases w:val="5_G Char,Footnote text Char"/>
    <w:basedOn w:val="DefaultParagraphFont"/>
    <w:link w:val="FootnoteText"/>
    <w:uiPriority w:val="99"/>
    <w:rsid w:val="00C8623B"/>
    <w:rPr>
      <w:rFonts w:ascii="Arial" w:eastAsiaTheme="minorEastAsia" w:hAnsi="Arial"/>
      <w:color w:val="000000" w:themeColor="text1"/>
      <w:sz w:val="18"/>
      <w:szCs w:val="24"/>
    </w:rPr>
  </w:style>
  <w:style w:type="character" w:styleId="FootnoteReference">
    <w:name w:val="footnote reference"/>
    <w:aliases w:val="4_G,Footnote number,Footnotes refss"/>
    <w:basedOn w:val="DefaultParagraphFont"/>
    <w:uiPriority w:val="99"/>
    <w:unhideWhenUsed/>
    <w:rsid w:val="00C8623B"/>
    <w:rPr>
      <w:vertAlign w:val="superscript"/>
    </w:rPr>
  </w:style>
  <w:style w:type="paragraph" w:styleId="NoSpacing">
    <w:name w:val="No Spacing"/>
    <w:link w:val="NoSpacingChar"/>
    <w:uiPriority w:val="1"/>
    <w:qFormat/>
    <w:rsid w:val="00C8623B"/>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C8623B"/>
    <w:rPr>
      <w:rFonts w:eastAsiaTheme="minorEastAsia"/>
      <w:lang w:val="en-US"/>
    </w:rPr>
  </w:style>
  <w:style w:type="paragraph" w:styleId="TOCHeading">
    <w:name w:val="TOC Heading"/>
    <w:basedOn w:val="Heading1"/>
    <w:next w:val="Normal"/>
    <w:uiPriority w:val="39"/>
    <w:unhideWhenUsed/>
    <w:qFormat/>
    <w:rsid w:val="00C8623B"/>
    <w:pPr>
      <w:spacing w:line="259" w:lineRule="auto"/>
      <w:outlineLvl w:val="9"/>
    </w:pPr>
  </w:style>
  <w:style w:type="paragraph" w:styleId="TOC1">
    <w:name w:val="toc 1"/>
    <w:basedOn w:val="Normal"/>
    <w:next w:val="Normal"/>
    <w:autoRedefine/>
    <w:uiPriority w:val="39"/>
    <w:unhideWhenUsed/>
    <w:rsid w:val="00C8623B"/>
    <w:pPr>
      <w:spacing w:after="100"/>
    </w:pPr>
  </w:style>
  <w:style w:type="character" w:styleId="Hyperlink">
    <w:name w:val="Hyperlink"/>
    <w:basedOn w:val="DefaultParagraphFont"/>
    <w:uiPriority w:val="99"/>
    <w:unhideWhenUsed/>
    <w:rsid w:val="00C8623B"/>
    <w:rPr>
      <w:color w:val="0563C1" w:themeColor="hyperlink"/>
      <w:u w:val="single"/>
    </w:rPr>
  </w:style>
  <w:style w:type="paragraph" w:styleId="Header">
    <w:name w:val="header"/>
    <w:basedOn w:val="Normal"/>
    <w:link w:val="HeaderChar"/>
    <w:uiPriority w:val="99"/>
    <w:unhideWhenUsed/>
    <w:rsid w:val="00C8623B"/>
    <w:pPr>
      <w:tabs>
        <w:tab w:val="center" w:pos="4513"/>
        <w:tab w:val="right" w:pos="9026"/>
      </w:tabs>
    </w:pPr>
  </w:style>
  <w:style w:type="character" w:customStyle="1" w:styleId="HeaderChar">
    <w:name w:val="Header Char"/>
    <w:basedOn w:val="DefaultParagraphFont"/>
    <w:link w:val="Header"/>
    <w:uiPriority w:val="99"/>
    <w:rsid w:val="00C8623B"/>
    <w:rPr>
      <w:rFonts w:ascii="Arial" w:eastAsiaTheme="minorEastAsia" w:hAnsi="Arial"/>
      <w:color w:val="000000" w:themeColor="text1"/>
      <w:szCs w:val="24"/>
    </w:rPr>
  </w:style>
  <w:style w:type="paragraph" w:styleId="Footer">
    <w:name w:val="footer"/>
    <w:basedOn w:val="Normal"/>
    <w:link w:val="FooterChar"/>
    <w:uiPriority w:val="99"/>
    <w:unhideWhenUsed/>
    <w:rsid w:val="00C8623B"/>
    <w:pPr>
      <w:tabs>
        <w:tab w:val="center" w:pos="4513"/>
        <w:tab w:val="right" w:pos="9026"/>
      </w:tabs>
    </w:pPr>
  </w:style>
  <w:style w:type="character" w:customStyle="1" w:styleId="FooterChar">
    <w:name w:val="Footer Char"/>
    <w:basedOn w:val="DefaultParagraphFont"/>
    <w:link w:val="Footer"/>
    <w:uiPriority w:val="99"/>
    <w:rsid w:val="00C8623B"/>
    <w:rPr>
      <w:rFonts w:ascii="Arial" w:eastAsiaTheme="minorEastAsia" w:hAnsi="Arial"/>
      <w:color w:val="000000" w:themeColor="text1"/>
      <w:szCs w:val="24"/>
    </w:rPr>
  </w:style>
  <w:style w:type="paragraph" w:styleId="TOC2">
    <w:name w:val="toc 2"/>
    <w:basedOn w:val="Normal"/>
    <w:next w:val="Normal"/>
    <w:autoRedefine/>
    <w:uiPriority w:val="39"/>
    <w:unhideWhenUsed/>
    <w:rsid w:val="00DD080D"/>
    <w:pPr>
      <w:tabs>
        <w:tab w:val="right" w:leader="dot" w:pos="8296"/>
      </w:tabs>
      <w:spacing w:before="120"/>
    </w:pPr>
  </w:style>
  <w:style w:type="character" w:styleId="HTMLCite">
    <w:name w:val="HTML Cite"/>
    <w:uiPriority w:val="99"/>
    <w:unhideWhenUsed/>
    <w:rsid w:val="00C8623B"/>
    <w:rPr>
      <w:i/>
      <w:iCs/>
    </w:rPr>
  </w:style>
  <w:style w:type="table" w:styleId="TableGrid">
    <w:name w:val="Table Grid"/>
    <w:basedOn w:val="TableNormal"/>
    <w:rsid w:val="00C8623B"/>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862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623B"/>
    <w:rPr>
      <w:rFonts w:ascii="Segoe UI" w:eastAsiaTheme="minorEastAsia" w:hAnsi="Segoe UI" w:cs="Segoe UI"/>
      <w:color w:val="000000" w:themeColor="text1"/>
      <w:sz w:val="18"/>
      <w:szCs w:val="18"/>
    </w:rPr>
  </w:style>
  <w:style w:type="paragraph" w:styleId="TOC3">
    <w:name w:val="toc 3"/>
    <w:basedOn w:val="Normal"/>
    <w:next w:val="Normal"/>
    <w:autoRedefine/>
    <w:uiPriority w:val="39"/>
    <w:unhideWhenUsed/>
    <w:rsid w:val="00A90928"/>
    <w:pPr>
      <w:tabs>
        <w:tab w:val="right" w:leader="dot" w:pos="8296"/>
      </w:tabs>
      <w:spacing w:after="100"/>
    </w:pPr>
  </w:style>
  <w:style w:type="character" w:styleId="CommentReference">
    <w:name w:val="annotation reference"/>
    <w:basedOn w:val="DefaultParagraphFont"/>
    <w:uiPriority w:val="99"/>
    <w:semiHidden/>
    <w:unhideWhenUsed/>
    <w:rsid w:val="00C8623B"/>
    <w:rPr>
      <w:sz w:val="16"/>
      <w:szCs w:val="16"/>
    </w:rPr>
  </w:style>
  <w:style w:type="paragraph" w:styleId="CommentText">
    <w:name w:val="annotation text"/>
    <w:basedOn w:val="Normal"/>
    <w:link w:val="CommentTextChar"/>
    <w:uiPriority w:val="99"/>
    <w:unhideWhenUsed/>
    <w:rsid w:val="00C8623B"/>
    <w:rPr>
      <w:sz w:val="20"/>
      <w:szCs w:val="20"/>
    </w:rPr>
  </w:style>
  <w:style w:type="character" w:customStyle="1" w:styleId="CommentTextChar">
    <w:name w:val="Comment Text Char"/>
    <w:basedOn w:val="DefaultParagraphFont"/>
    <w:link w:val="CommentText"/>
    <w:uiPriority w:val="99"/>
    <w:rsid w:val="00C8623B"/>
    <w:rPr>
      <w:rFonts w:ascii="Arial" w:eastAsiaTheme="minorEastAsia" w:hAnsi="Arial"/>
      <w:color w:val="000000" w:themeColor="text1"/>
      <w:sz w:val="20"/>
      <w:szCs w:val="20"/>
    </w:rPr>
  </w:style>
  <w:style w:type="paragraph" w:styleId="CommentSubject">
    <w:name w:val="annotation subject"/>
    <w:basedOn w:val="CommentText"/>
    <w:next w:val="CommentText"/>
    <w:link w:val="CommentSubjectChar"/>
    <w:uiPriority w:val="99"/>
    <w:unhideWhenUsed/>
    <w:rsid w:val="00C8623B"/>
    <w:rPr>
      <w:b/>
      <w:bCs/>
    </w:rPr>
  </w:style>
  <w:style w:type="character" w:customStyle="1" w:styleId="CommentSubjectChar">
    <w:name w:val="Comment Subject Char"/>
    <w:basedOn w:val="CommentTextChar"/>
    <w:link w:val="CommentSubject"/>
    <w:uiPriority w:val="99"/>
    <w:rsid w:val="00C8623B"/>
    <w:rPr>
      <w:rFonts w:ascii="Arial" w:eastAsiaTheme="minorEastAsia" w:hAnsi="Arial"/>
      <w:b/>
      <w:bCs/>
      <w:color w:val="000000" w:themeColor="text1"/>
      <w:sz w:val="20"/>
      <w:szCs w:val="20"/>
    </w:rPr>
  </w:style>
  <w:style w:type="paragraph" w:customStyle="1" w:styleId="Numberedparagraph">
    <w:name w:val="Numbered paragraph"/>
    <w:basedOn w:val="ListParagraph"/>
    <w:link w:val="NumberedparagraphChar"/>
    <w:qFormat/>
    <w:rsid w:val="00C8623B"/>
    <w:pPr>
      <w:numPr>
        <w:numId w:val="30"/>
      </w:numPr>
      <w:spacing w:before="120" w:after="240" w:line="276" w:lineRule="auto"/>
      <w:contextualSpacing w:val="0"/>
    </w:pPr>
    <w:rPr>
      <w:rFonts w:cs="Arial"/>
    </w:rPr>
  </w:style>
  <w:style w:type="paragraph" w:styleId="Quote">
    <w:name w:val="Quote"/>
    <w:aliases w:val="Quote - standard,Quote - from submissions"/>
    <w:basedOn w:val="Normal"/>
    <w:next w:val="Normal"/>
    <w:link w:val="QuoteChar"/>
    <w:uiPriority w:val="29"/>
    <w:qFormat/>
    <w:rsid w:val="00C8623B"/>
    <w:pPr>
      <w:spacing w:before="240" w:after="240" w:line="276" w:lineRule="auto"/>
      <w:ind w:left="907" w:right="843"/>
    </w:pPr>
    <w:rPr>
      <w:rFonts w:cs="Arial"/>
      <w:sz w:val="20"/>
      <w:szCs w:val="20"/>
    </w:rPr>
  </w:style>
  <w:style w:type="character" w:customStyle="1" w:styleId="QuoteChar">
    <w:name w:val="Quote Char"/>
    <w:aliases w:val="Quote - standard Char,Quote - from submissions Char"/>
    <w:basedOn w:val="DefaultParagraphFont"/>
    <w:link w:val="Quote"/>
    <w:uiPriority w:val="29"/>
    <w:rsid w:val="00C8623B"/>
    <w:rPr>
      <w:rFonts w:ascii="Arial" w:eastAsiaTheme="minorEastAsia" w:hAnsi="Arial" w:cs="Arial"/>
      <w:color w:val="000000" w:themeColor="text1"/>
      <w:sz w:val="20"/>
      <w:szCs w:val="20"/>
    </w:rPr>
  </w:style>
  <w:style w:type="character" w:customStyle="1" w:styleId="ListParagraphChar">
    <w:name w:val="List Paragraph Char"/>
    <w:basedOn w:val="DefaultParagraphFont"/>
    <w:link w:val="ListParagraph"/>
    <w:uiPriority w:val="34"/>
    <w:rsid w:val="00C8623B"/>
    <w:rPr>
      <w:rFonts w:ascii="Arial" w:eastAsiaTheme="minorEastAsia" w:hAnsi="Arial"/>
      <w:color w:val="000000" w:themeColor="text1"/>
      <w:szCs w:val="24"/>
    </w:rPr>
  </w:style>
  <w:style w:type="character" w:customStyle="1" w:styleId="NumberedparagraphChar">
    <w:name w:val="Numbered paragraph Char"/>
    <w:basedOn w:val="ListParagraphChar"/>
    <w:link w:val="Numberedparagraph"/>
    <w:rsid w:val="00C8623B"/>
    <w:rPr>
      <w:rFonts w:ascii="Arial" w:eastAsiaTheme="minorEastAsia" w:hAnsi="Arial" w:cs="Arial"/>
      <w:color w:val="000000" w:themeColor="text1"/>
      <w:szCs w:val="24"/>
    </w:rPr>
  </w:style>
  <w:style w:type="paragraph" w:customStyle="1" w:styleId="Bulletedlist">
    <w:name w:val="Bulleted list"/>
    <w:basedOn w:val="ListParagraph"/>
    <w:qFormat/>
    <w:rsid w:val="00C8623B"/>
    <w:pPr>
      <w:numPr>
        <w:numId w:val="16"/>
      </w:numPr>
      <w:spacing w:after="240"/>
    </w:pPr>
    <w:rPr>
      <w:rFonts w:cs="Arial"/>
    </w:rPr>
  </w:style>
  <w:style w:type="paragraph" w:styleId="Title">
    <w:name w:val="Title"/>
    <w:basedOn w:val="Normal"/>
    <w:next w:val="Normal"/>
    <w:link w:val="TitleChar"/>
    <w:uiPriority w:val="10"/>
    <w:qFormat/>
    <w:rsid w:val="00C8623B"/>
    <w:pPr>
      <w:pBdr>
        <w:bottom w:val="single" w:sz="8" w:space="12" w:color="004270"/>
      </w:pBdr>
      <w:spacing w:after="240"/>
      <w:contextualSpacing/>
    </w:pPr>
    <w:rPr>
      <w:rFonts w:eastAsiaTheme="majorEastAsia" w:cstheme="majorBidi"/>
      <w:color w:val="004270"/>
      <w:spacing w:val="-10"/>
      <w:kern w:val="28"/>
      <w:sz w:val="60"/>
      <w:szCs w:val="56"/>
    </w:rPr>
  </w:style>
  <w:style w:type="character" w:customStyle="1" w:styleId="TitleChar">
    <w:name w:val="Title Char"/>
    <w:basedOn w:val="DefaultParagraphFont"/>
    <w:link w:val="Title"/>
    <w:uiPriority w:val="10"/>
    <w:rsid w:val="00C8623B"/>
    <w:rPr>
      <w:rFonts w:ascii="Arial" w:eastAsiaTheme="majorEastAsia" w:hAnsi="Arial" w:cstheme="majorBidi"/>
      <w:color w:val="004270"/>
      <w:spacing w:val="-10"/>
      <w:kern w:val="28"/>
      <w:sz w:val="60"/>
      <w:szCs w:val="56"/>
    </w:rPr>
  </w:style>
  <w:style w:type="paragraph" w:customStyle="1" w:styleId="NumberedPara">
    <w:name w:val="Numbered Para"/>
    <w:basedOn w:val="ListParagraph"/>
    <w:qFormat/>
    <w:rsid w:val="00C8623B"/>
    <w:pPr>
      <w:numPr>
        <w:numId w:val="39"/>
      </w:numPr>
      <w:spacing w:before="120" w:after="240" w:line="276" w:lineRule="auto"/>
      <w:contextualSpacing w:val="0"/>
    </w:pPr>
    <w:rPr>
      <w:rFonts w:eastAsia="Calibri" w:cs="Arial"/>
      <w:color w:val="000000"/>
    </w:rPr>
  </w:style>
  <w:style w:type="character" w:styleId="Strong">
    <w:name w:val="Strong"/>
    <w:basedOn w:val="DefaultParagraphFont"/>
    <w:uiPriority w:val="22"/>
    <w:qFormat/>
    <w:rsid w:val="00C8623B"/>
    <w:rPr>
      <w:b/>
      <w:bCs/>
    </w:rPr>
  </w:style>
  <w:style w:type="paragraph" w:styleId="NormalWeb">
    <w:name w:val="Normal (Web)"/>
    <w:basedOn w:val="Normal"/>
    <w:uiPriority w:val="99"/>
    <w:semiHidden/>
    <w:unhideWhenUsed/>
    <w:rsid w:val="00C8623B"/>
    <w:pPr>
      <w:spacing w:before="100" w:beforeAutospacing="1" w:after="100" w:afterAutospacing="1"/>
    </w:pPr>
    <w:rPr>
      <w:rFonts w:ascii="Times New Roman" w:eastAsia="Times New Roman" w:hAnsi="Times New Roman" w:cs="Times New Roman"/>
      <w:color w:val="auto"/>
      <w:sz w:val="24"/>
      <w:lang w:eastAsia="en-AU"/>
    </w:rPr>
  </w:style>
  <w:style w:type="character" w:styleId="Emphasis">
    <w:name w:val="Emphasis"/>
    <w:basedOn w:val="DefaultParagraphFont"/>
    <w:uiPriority w:val="20"/>
    <w:qFormat/>
    <w:rsid w:val="00C8623B"/>
    <w:rPr>
      <w:i/>
      <w:iCs/>
    </w:rPr>
  </w:style>
  <w:style w:type="character" w:styleId="UnresolvedMention">
    <w:name w:val="Unresolved Mention"/>
    <w:basedOn w:val="DefaultParagraphFont"/>
    <w:uiPriority w:val="99"/>
    <w:semiHidden/>
    <w:unhideWhenUsed/>
    <w:rsid w:val="00C8623B"/>
    <w:rPr>
      <w:color w:val="605E5C"/>
      <w:shd w:val="clear" w:color="auto" w:fill="E1DFDD"/>
    </w:rPr>
  </w:style>
  <w:style w:type="paragraph" w:styleId="Revision">
    <w:name w:val="Revision"/>
    <w:hidden/>
    <w:uiPriority w:val="99"/>
    <w:semiHidden/>
    <w:rsid w:val="00C8623B"/>
    <w:pPr>
      <w:spacing w:after="0" w:line="240" w:lineRule="auto"/>
    </w:pPr>
    <w:rPr>
      <w:rFonts w:ascii="Arial" w:eastAsiaTheme="minorEastAsia" w:hAnsi="Arial"/>
      <w:color w:val="000000" w:themeColor="text1"/>
      <w:szCs w:val="24"/>
    </w:rPr>
  </w:style>
  <w:style w:type="character" w:customStyle="1" w:styleId="normalitalicschar-h">
    <w:name w:val="normalitalicschar-h"/>
    <w:basedOn w:val="DefaultParagraphFont"/>
    <w:rsid w:val="00F64948"/>
  </w:style>
  <w:style w:type="character" w:styleId="FollowedHyperlink">
    <w:name w:val="FollowedHyperlink"/>
    <w:basedOn w:val="DefaultParagraphFont"/>
    <w:uiPriority w:val="99"/>
    <w:semiHidden/>
    <w:unhideWhenUsed/>
    <w:rsid w:val="000D7723"/>
    <w:rPr>
      <w:color w:val="954F72" w:themeColor="followedHyperlink"/>
      <w:u w:val="single"/>
    </w:rPr>
  </w:style>
  <w:style w:type="paragraph" w:styleId="EndnoteText">
    <w:name w:val="endnote text"/>
    <w:basedOn w:val="Normal"/>
    <w:link w:val="EndnoteTextChar"/>
    <w:uiPriority w:val="99"/>
    <w:semiHidden/>
    <w:unhideWhenUsed/>
    <w:rsid w:val="008D6B6B"/>
    <w:pPr>
      <w:spacing w:after="0"/>
    </w:pPr>
    <w:rPr>
      <w:sz w:val="20"/>
      <w:szCs w:val="20"/>
    </w:rPr>
  </w:style>
  <w:style w:type="character" w:customStyle="1" w:styleId="EndnoteTextChar">
    <w:name w:val="Endnote Text Char"/>
    <w:basedOn w:val="DefaultParagraphFont"/>
    <w:link w:val="EndnoteText"/>
    <w:uiPriority w:val="99"/>
    <w:semiHidden/>
    <w:rsid w:val="008D6B6B"/>
    <w:rPr>
      <w:rFonts w:ascii="Arial" w:eastAsiaTheme="minorEastAsia" w:hAnsi="Arial"/>
      <w:color w:val="000000" w:themeColor="text1"/>
      <w:sz w:val="20"/>
      <w:szCs w:val="20"/>
    </w:rPr>
  </w:style>
  <w:style w:type="character" w:styleId="EndnoteReference">
    <w:name w:val="endnote reference"/>
    <w:basedOn w:val="DefaultParagraphFont"/>
    <w:uiPriority w:val="99"/>
    <w:semiHidden/>
    <w:unhideWhenUsed/>
    <w:rsid w:val="008D6B6B"/>
    <w:rPr>
      <w:vertAlign w:val="superscript"/>
    </w:rPr>
  </w:style>
  <w:style w:type="paragraph" w:customStyle="1" w:styleId="Listparagraph-bulleted">
    <w:name w:val="List paragraph - bulleted"/>
    <w:basedOn w:val="Normal"/>
    <w:qFormat/>
    <w:rsid w:val="00C650E6"/>
    <w:pPr>
      <w:numPr>
        <w:numId w:val="41"/>
      </w:numPr>
      <w:tabs>
        <w:tab w:val="left" w:pos="7892"/>
      </w:tabs>
      <w:spacing w:after="240" w:line="300" w:lineRule="auto"/>
      <w:ind w:right="1440"/>
      <w:contextualSpacing/>
    </w:pPr>
    <w:rPr>
      <w:rFonts w:eastAsiaTheme="minorHAnsi"/>
      <w:color w:val="auto"/>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808215">
      <w:bodyDiv w:val="1"/>
      <w:marLeft w:val="0"/>
      <w:marRight w:val="0"/>
      <w:marTop w:val="0"/>
      <w:marBottom w:val="0"/>
      <w:divBdr>
        <w:top w:val="none" w:sz="0" w:space="0" w:color="auto"/>
        <w:left w:val="none" w:sz="0" w:space="0" w:color="auto"/>
        <w:bottom w:val="none" w:sz="0" w:space="0" w:color="auto"/>
        <w:right w:val="none" w:sz="0" w:space="0" w:color="auto"/>
      </w:divBdr>
    </w:div>
    <w:div w:id="135804841">
      <w:bodyDiv w:val="1"/>
      <w:marLeft w:val="0"/>
      <w:marRight w:val="0"/>
      <w:marTop w:val="0"/>
      <w:marBottom w:val="0"/>
      <w:divBdr>
        <w:top w:val="none" w:sz="0" w:space="0" w:color="auto"/>
        <w:left w:val="none" w:sz="0" w:space="0" w:color="auto"/>
        <w:bottom w:val="none" w:sz="0" w:space="0" w:color="auto"/>
        <w:right w:val="none" w:sz="0" w:space="0" w:color="auto"/>
      </w:divBdr>
    </w:div>
    <w:div w:id="315574459">
      <w:bodyDiv w:val="1"/>
      <w:marLeft w:val="0"/>
      <w:marRight w:val="0"/>
      <w:marTop w:val="0"/>
      <w:marBottom w:val="0"/>
      <w:divBdr>
        <w:top w:val="none" w:sz="0" w:space="0" w:color="auto"/>
        <w:left w:val="none" w:sz="0" w:space="0" w:color="auto"/>
        <w:bottom w:val="none" w:sz="0" w:space="0" w:color="auto"/>
        <w:right w:val="none" w:sz="0" w:space="0" w:color="auto"/>
      </w:divBdr>
    </w:div>
    <w:div w:id="365835594">
      <w:bodyDiv w:val="1"/>
      <w:marLeft w:val="0"/>
      <w:marRight w:val="0"/>
      <w:marTop w:val="0"/>
      <w:marBottom w:val="0"/>
      <w:divBdr>
        <w:top w:val="none" w:sz="0" w:space="0" w:color="auto"/>
        <w:left w:val="none" w:sz="0" w:space="0" w:color="auto"/>
        <w:bottom w:val="none" w:sz="0" w:space="0" w:color="auto"/>
        <w:right w:val="none" w:sz="0" w:space="0" w:color="auto"/>
      </w:divBdr>
    </w:div>
    <w:div w:id="589966976">
      <w:bodyDiv w:val="1"/>
      <w:marLeft w:val="0"/>
      <w:marRight w:val="0"/>
      <w:marTop w:val="0"/>
      <w:marBottom w:val="0"/>
      <w:divBdr>
        <w:top w:val="none" w:sz="0" w:space="0" w:color="auto"/>
        <w:left w:val="none" w:sz="0" w:space="0" w:color="auto"/>
        <w:bottom w:val="none" w:sz="0" w:space="0" w:color="auto"/>
        <w:right w:val="none" w:sz="0" w:space="0" w:color="auto"/>
      </w:divBdr>
    </w:div>
    <w:div w:id="638001630">
      <w:bodyDiv w:val="1"/>
      <w:marLeft w:val="0"/>
      <w:marRight w:val="0"/>
      <w:marTop w:val="0"/>
      <w:marBottom w:val="0"/>
      <w:divBdr>
        <w:top w:val="none" w:sz="0" w:space="0" w:color="auto"/>
        <w:left w:val="none" w:sz="0" w:space="0" w:color="auto"/>
        <w:bottom w:val="none" w:sz="0" w:space="0" w:color="auto"/>
        <w:right w:val="none" w:sz="0" w:space="0" w:color="auto"/>
      </w:divBdr>
    </w:div>
    <w:div w:id="854029704">
      <w:bodyDiv w:val="1"/>
      <w:marLeft w:val="0"/>
      <w:marRight w:val="0"/>
      <w:marTop w:val="0"/>
      <w:marBottom w:val="0"/>
      <w:divBdr>
        <w:top w:val="none" w:sz="0" w:space="0" w:color="auto"/>
        <w:left w:val="none" w:sz="0" w:space="0" w:color="auto"/>
        <w:bottom w:val="none" w:sz="0" w:space="0" w:color="auto"/>
        <w:right w:val="none" w:sz="0" w:space="0" w:color="auto"/>
      </w:divBdr>
    </w:div>
    <w:div w:id="946930642">
      <w:bodyDiv w:val="1"/>
      <w:marLeft w:val="0"/>
      <w:marRight w:val="0"/>
      <w:marTop w:val="0"/>
      <w:marBottom w:val="0"/>
      <w:divBdr>
        <w:top w:val="none" w:sz="0" w:space="0" w:color="auto"/>
        <w:left w:val="none" w:sz="0" w:space="0" w:color="auto"/>
        <w:bottom w:val="none" w:sz="0" w:space="0" w:color="auto"/>
        <w:right w:val="none" w:sz="0" w:space="0" w:color="auto"/>
      </w:divBdr>
    </w:div>
    <w:div w:id="1214734008">
      <w:bodyDiv w:val="1"/>
      <w:marLeft w:val="0"/>
      <w:marRight w:val="0"/>
      <w:marTop w:val="0"/>
      <w:marBottom w:val="0"/>
      <w:divBdr>
        <w:top w:val="none" w:sz="0" w:space="0" w:color="auto"/>
        <w:left w:val="none" w:sz="0" w:space="0" w:color="auto"/>
        <w:bottom w:val="none" w:sz="0" w:space="0" w:color="auto"/>
        <w:right w:val="none" w:sz="0" w:space="0" w:color="auto"/>
      </w:divBdr>
    </w:div>
    <w:div w:id="1894536106">
      <w:bodyDiv w:val="1"/>
      <w:marLeft w:val="0"/>
      <w:marRight w:val="0"/>
      <w:marTop w:val="0"/>
      <w:marBottom w:val="0"/>
      <w:divBdr>
        <w:top w:val="none" w:sz="0" w:space="0" w:color="auto"/>
        <w:left w:val="none" w:sz="0" w:space="0" w:color="auto"/>
        <w:bottom w:val="none" w:sz="0" w:space="0" w:color="auto"/>
        <w:right w:val="none" w:sz="0" w:space="0" w:color="auto"/>
      </w:divBdr>
    </w:div>
    <w:div w:id="19092202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E670C0B708384A9FE68EDDD2FCA27F" ma:contentTypeVersion="11" ma:contentTypeDescription="Create a new document." ma:contentTypeScope="" ma:versionID="11351e6ca541bfb95503b10b1f22152e">
  <xsd:schema xmlns:xsd="http://www.w3.org/2001/XMLSchema" xmlns:xs="http://www.w3.org/2001/XMLSchema" xmlns:p="http://schemas.microsoft.com/office/2006/metadata/properties" xmlns:ns2="4895baa6-ac4c-4d1e-b231-8483c88111dc" xmlns:ns3="a9ec758c-7b29-4bbd-836f-c599af6fef2b" targetNamespace="http://schemas.microsoft.com/office/2006/metadata/properties" ma:root="true" ma:fieldsID="a13380e46dd13f118c08896d30f2b820" ns2:_="" ns3:_="">
    <xsd:import namespace="4895baa6-ac4c-4d1e-b231-8483c88111dc"/>
    <xsd:import namespace="a9ec758c-7b29-4bbd-836f-c599af6fef2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95baa6-ac4c-4d1e-b231-8483c88111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ec758c-7b29-4bbd-836f-c599af6fef2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DDA2F5-CFC9-47AE-9345-66B85A4EC6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95baa6-ac4c-4d1e-b231-8483c88111dc"/>
    <ds:schemaRef ds:uri="a9ec758c-7b29-4bbd-836f-c599af6fe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AB0806-7E2B-4E55-8B11-79351C64374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A248DDB-54DF-47AB-8EDA-46BA26C2C470}">
  <ds:schemaRefs>
    <ds:schemaRef ds:uri="http://schemas.microsoft.com/sharepoint/v3/contenttype/forms"/>
  </ds:schemaRefs>
</ds:datastoreItem>
</file>

<file path=customXml/itemProps4.xml><?xml version="1.0" encoding="utf-8"?>
<ds:datastoreItem xmlns:ds="http://schemas.openxmlformats.org/officeDocument/2006/customXml" ds:itemID="{414793ED-CD44-4BB4-9A51-8C31071FB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9</Pages>
  <Words>2069</Words>
  <Characters>11795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Queensland Human Rights Commission</Company>
  <LinksUpToDate>false</LinksUpToDate>
  <CharactersWithSpaces>13837</CharactersWithSpaces>
  <SharedDoc>false</SharedDoc>
  <HLinks>
    <vt:vector size="102" baseType="variant">
      <vt:variant>
        <vt:i4>1769530</vt:i4>
      </vt:variant>
      <vt:variant>
        <vt:i4>92</vt:i4>
      </vt:variant>
      <vt:variant>
        <vt:i4>0</vt:i4>
      </vt:variant>
      <vt:variant>
        <vt:i4>5</vt:i4>
      </vt:variant>
      <vt:variant>
        <vt:lpwstr/>
      </vt:variant>
      <vt:variant>
        <vt:lpwstr>_Toc149202283</vt:lpwstr>
      </vt:variant>
      <vt:variant>
        <vt:i4>1769530</vt:i4>
      </vt:variant>
      <vt:variant>
        <vt:i4>86</vt:i4>
      </vt:variant>
      <vt:variant>
        <vt:i4>0</vt:i4>
      </vt:variant>
      <vt:variant>
        <vt:i4>5</vt:i4>
      </vt:variant>
      <vt:variant>
        <vt:lpwstr/>
      </vt:variant>
      <vt:variant>
        <vt:lpwstr>_Toc149202282</vt:lpwstr>
      </vt:variant>
      <vt:variant>
        <vt:i4>1769530</vt:i4>
      </vt:variant>
      <vt:variant>
        <vt:i4>80</vt:i4>
      </vt:variant>
      <vt:variant>
        <vt:i4>0</vt:i4>
      </vt:variant>
      <vt:variant>
        <vt:i4>5</vt:i4>
      </vt:variant>
      <vt:variant>
        <vt:lpwstr/>
      </vt:variant>
      <vt:variant>
        <vt:lpwstr>_Toc149202281</vt:lpwstr>
      </vt:variant>
      <vt:variant>
        <vt:i4>1769530</vt:i4>
      </vt:variant>
      <vt:variant>
        <vt:i4>74</vt:i4>
      </vt:variant>
      <vt:variant>
        <vt:i4>0</vt:i4>
      </vt:variant>
      <vt:variant>
        <vt:i4>5</vt:i4>
      </vt:variant>
      <vt:variant>
        <vt:lpwstr/>
      </vt:variant>
      <vt:variant>
        <vt:lpwstr>_Toc149202280</vt:lpwstr>
      </vt:variant>
      <vt:variant>
        <vt:i4>1310778</vt:i4>
      </vt:variant>
      <vt:variant>
        <vt:i4>68</vt:i4>
      </vt:variant>
      <vt:variant>
        <vt:i4>0</vt:i4>
      </vt:variant>
      <vt:variant>
        <vt:i4>5</vt:i4>
      </vt:variant>
      <vt:variant>
        <vt:lpwstr/>
      </vt:variant>
      <vt:variant>
        <vt:lpwstr>_Toc149202279</vt:lpwstr>
      </vt:variant>
      <vt:variant>
        <vt:i4>1310778</vt:i4>
      </vt:variant>
      <vt:variant>
        <vt:i4>62</vt:i4>
      </vt:variant>
      <vt:variant>
        <vt:i4>0</vt:i4>
      </vt:variant>
      <vt:variant>
        <vt:i4>5</vt:i4>
      </vt:variant>
      <vt:variant>
        <vt:lpwstr/>
      </vt:variant>
      <vt:variant>
        <vt:lpwstr>_Toc149202278</vt:lpwstr>
      </vt:variant>
      <vt:variant>
        <vt:i4>1310778</vt:i4>
      </vt:variant>
      <vt:variant>
        <vt:i4>56</vt:i4>
      </vt:variant>
      <vt:variant>
        <vt:i4>0</vt:i4>
      </vt:variant>
      <vt:variant>
        <vt:i4>5</vt:i4>
      </vt:variant>
      <vt:variant>
        <vt:lpwstr/>
      </vt:variant>
      <vt:variant>
        <vt:lpwstr>_Toc149202277</vt:lpwstr>
      </vt:variant>
      <vt:variant>
        <vt:i4>1310778</vt:i4>
      </vt:variant>
      <vt:variant>
        <vt:i4>50</vt:i4>
      </vt:variant>
      <vt:variant>
        <vt:i4>0</vt:i4>
      </vt:variant>
      <vt:variant>
        <vt:i4>5</vt:i4>
      </vt:variant>
      <vt:variant>
        <vt:lpwstr/>
      </vt:variant>
      <vt:variant>
        <vt:lpwstr>_Toc149202276</vt:lpwstr>
      </vt:variant>
      <vt:variant>
        <vt:i4>1310778</vt:i4>
      </vt:variant>
      <vt:variant>
        <vt:i4>44</vt:i4>
      </vt:variant>
      <vt:variant>
        <vt:i4>0</vt:i4>
      </vt:variant>
      <vt:variant>
        <vt:i4>5</vt:i4>
      </vt:variant>
      <vt:variant>
        <vt:lpwstr/>
      </vt:variant>
      <vt:variant>
        <vt:lpwstr>_Toc149202275</vt:lpwstr>
      </vt:variant>
      <vt:variant>
        <vt:i4>1310778</vt:i4>
      </vt:variant>
      <vt:variant>
        <vt:i4>38</vt:i4>
      </vt:variant>
      <vt:variant>
        <vt:i4>0</vt:i4>
      </vt:variant>
      <vt:variant>
        <vt:i4>5</vt:i4>
      </vt:variant>
      <vt:variant>
        <vt:lpwstr/>
      </vt:variant>
      <vt:variant>
        <vt:lpwstr>_Toc149202274</vt:lpwstr>
      </vt:variant>
      <vt:variant>
        <vt:i4>1310778</vt:i4>
      </vt:variant>
      <vt:variant>
        <vt:i4>32</vt:i4>
      </vt:variant>
      <vt:variant>
        <vt:i4>0</vt:i4>
      </vt:variant>
      <vt:variant>
        <vt:i4>5</vt:i4>
      </vt:variant>
      <vt:variant>
        <vt:lpwstr/>
      </vt:variant>
      <vt:variant>
        <vt:lpwstr>_Toc149202273</vt:lpwstr>
      </vt:variant>
      <vt:variant>
        <vt:i4>1310778</vt:i4>
      </vt:variant>
      <vt:variant>
        <vt:i4>26</vt:i4>
      </vt:variant>
      <vt:variant>
        <vt:i4>0</vt:i4>
      </vt:variant>
      <vt:variant>
        <vt:i4>5</vt:i4>
      </vt:variant>
      <vt:variant>
        <vt:lpwstr/>
      </vt:variant>
      <vt:variant>
        <vt:lpwstr>_Toc149202272</vt:lpwstr>
      </vt:variant>
      <vt:variant>
        <vt:i4>1310778</vt:i4>
      </vt:variant>
      <vt:variant>
        <vt:i4>20</vt:i4>
      </vt:variant>
      <vt:variant>
        <vt:i4>0</vt:i4>
      </vt:variant>
      <vt:variant>
        <vt:i4>5</vt:i4>
      </vt:variant>
      <vt:variant>
        <vt:lpwstr/>
      </vt:variant>
      <vt:variant>
        <vt:lpwstr>_Toc149202271</vt:lpwstr>
      </vt:variant>
      <vt:variant>
        <vt:i4>1310778</vt:i4>
      </vt:variant>
      <vt:variant>
        <vt:i4>14</vt:i4>
      </vt:variant>
      <vt:variant>
        <vt:i4>0</vt:i4>
      </vt:variant>
      <vt:variant>
        <vt:i4>5</vt:i4>
      </vt:variant>
      <vt:variant>
        <vt:lpwstr/>
      </vt:variant>
      <vt:variant>
        <vt:lpwstr>_Toc149202270</vt:lpwstr>
      </vt:variant>
      <vt:variant>
        <vt:i4>1376314</vt:i4>
      </vt:variant>
      <vt:variant>
        <vt:i4>8</vt:i4>
      </vt:variant>
      <vt:variant>
        <vt:i4>0</vt:i4>
      </vt:variant>
      <vt:variant>
        <vt:i4>5</vt:i4>
      </vt:variant>
      <vt:variant>
        <vt:lpwstr/>
      </vt:variant>
      <vt:variant>
        <vt:lpwstr>_Toc149202269</vt:lpwstr>
      </vt:variant>
      <vt:variant>
        <vt:i4>1376314</vt:i4>
      </vt:variant>
      <vt:variant>
        <vt:i4>2</vt:i4>
      </vt:variant>
      <vt:variant>
        <vt:i4>0</vt:i4>
      </vt:variant>
      <vt:variant>
        <vt:i4>5</vt:i4>
      </vt:variant>
      <vt:variant>
        <vt:lpwstr/>
      </vt:variant>
      <vt:variant>
        <vt:lpwstr>_Toc149202268</vt:lpwstr>
      </vt:variant>
      <vt:variant>
        <vt:i4>131156</vt:i4>
      </vt:variant>
      <vt:variant>
        <vt:i4>0</vt:i4>
      </vt:variant>
      <vt:variant>
        <vt:i4>0</vt:i4>
      </vt:variant>
      <vt:variant>
        <vt:i4>5</vt:i4>
      </vt:variant>
      <vt:variant>
        <vt:lpwstr>https://www.publications.qld.gov.au/ckan-publications-attachments-prod/resources/84bb739b-4922-4098-8d70-a5a483d2f019/qg-response-wsjtaskforce-report1.pdf?ETag=adb9f2f7ba3ce907ae98eb5b81539100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Bree Callanan</dc:creator>
  <cp:keywords/>
  <dc:description/>
  <cp:lastModifiedBy>Heather</cp:lastModifiedBy>
  <cp:revision>15</cp:revision>
  <cp:lastPrinted>2023-10-26T06:06:00Z</cp:lastPrinted>
  <dcterms:created xsi:type="dcterms:W3CDTF">2024-03-07T02:55:00Z</dcterms:created>
  <dcterms:modified xsi:type="dcterms:W3CDTF">2024-03-07T06:00:00Z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0x01010050E670C0B708384A9FE68EDDD2FCA27F</vt:lpwstr>
  </property>
</Properties>
</file>